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3C700">
      <w:pPr>
        <w:wordWrap w:val="0"/>
        <w:spacing w:line="720" w:lineRule="exact"/>
        <w:jc w:val="center"/>
        <w:rPr>
          <w:rFonts w:hint="eastAsia" w:ascii="宋体" w:hAnsi="宋体" w:eastAsia="宋体" w:cs="宋体"/>
          <w:b/>
          <w:bCs/>
          <w:color w:val="auto"/>
          <w:kern w:val="0"/>
          <w:sz w:val="60"/>
          <w:szCs w:val="60"/>
          <w:highlight w:val="none"/>
        </w:rPr>
      </w:pPr>
    </w:p>
    <w:p w14:paraId="144A123D">
      <w:pPr>
        <w:wordWrap w:val="0"/>
        <w:spacing w:line="720" w:lineRule="exact"/>
        <w:jc w:val="center"/>
        <w:rPr>
          <w:rFonts w:hint="eastAsia" w:ascii="宋体" w:hAnsi="宋体" w:eastAsia="宋体" w:cs="宋体"/>
          <w:b/>
          <w:color w:val="auto"/>
          <w:kern w:val="0"/>
          <w:sz w:val="60"/>
          <w:szCs w:val="60"/>
          <w:highlight w:val="none"/>
        </w:rPr>
      </w:pPr>
      <w:r>
        <w:rPr>
          <w:rFonts w:hint="eastAsia" w:ascii="宋体" w:hAnsi="宋体" w:eastAsia="宋体" w:cs="宋体"/>
          <w:b/>
          <w:bCs/>
          <w:color w:val="auto"/>
          <w:kern w:val="0"/>
          <w:sz w:val="60"/>
          <w:szCs w:val="60"/>
          <w:highlight w:val="none"/>
        </w:rPr>
        <w:t>广西华诚达建设项目管理有限公司</w:t>
      </w:r>
    </w:p>
    <w:p w14:paraId="5C59CFE4">
      <w:pPr>
        <w:wordWrap w:val="0"/>
        <w:spacing w:line="720" w:lineRule="exact"/>
        <w:jc w:val="center"/>
        <w:rPr>
          <w:rFonts w:hint="eastAsia" w:ascii="宋体" w:hAnsi="宋体" w:eastAsia="宋体" w:cs="宋体"/>
          <w:color w:val="auto"/>
          <w:kern w:val="0"/>
          <w:sz w:val="52"/>
          <w:highlight w:val="none"/>
        </w:rPr>
      </w:pPr>
      <w:r>
        <w:rPr>
          <w:rFonts w:hint="eastAsia" w:ascii="宋体" w:hAnsi="宋体" w:eastAsia="宋体" w:cs="宋体"/>
          <w:color w:val="auto"/>
          <w:kern w:val="0"/>
          <w:sz w:val="52"/>
          <w:highlight w:val="none"/>
        </w:rPr>
        <w:cr/>
      </w:r>
    </w:p>
    <w:p w14:paraId="761C1A4C">
      <w:pPr>
        <w:wordWrap w:val="0"/>
        <w:spacing w:line="1000" w:lineRule="exact"/>
        <w:jc w:val="center"/>
        <w:rPr>
          <w:rFonts w:hint="eastAsia" w:ascii="宋体" w:hAnsi="宋体" w:eastAsia="宋体" w:cs="宋体"/>
          <w:color w:val="auto"/>
          <w:kern w:val="0"/>
          <w:sz w:val="72"/>
          <w:highlight w:val="none"/>
        </w:rPr>
      </w:pPr>
      <w:r>
        <w:rPr>
          <w:rFonts w:hint="eastAsia" w:ascii="宋体" w:hAnsi="宋体" w:eastAsia="宋体" w:cs="宋体"/>
          <w:color w:val="auto"/>
          <w:kern w:val="0"/>
          <w:sz w:val="72"/>
          <w:highlight w:val="none"/>
        </w:rPr>
        <w:cr/>
      </w:r>
    </w:p>
    <w:p w14:paraId="56BEB583">
      <w:pPr>
        <w:wordWrap w:val="0"/>
        <w:spacing w:line="1000" w:lineRule="exact"/>
        <w:jc w:val="center"/>
        <w:rPr>
          <w:rFonts w:hint="eastAsia" w:ascii="宋体" w:hAnsi="宋体" w:eastAsia="宋体" w:cs="宋体"/>
          <w:color w:val="auto"/>
          <w:sz w:val="96"/>
          <w:szCs w:val="96"/>
          <w:highlight w:val="none"/>
        </w:rPr>
      </w:pPr>
      <w:r>
        <w:rPr>
          <w:rFonts w:hint="eastAsia" w:ascii="宋体" w:hAnsi="宋体" w:eastAsia="宋体" w:cs="宋体"/>
          <w:b/>
          <w:color w:val="auto"/>
          <w:kern w:val="0"/>
          <w:sz w:val="96"/>
          <w:szCs w:val="96"/>
          <w:highlight w:val="none"/>
        </w:rPr>
        <w:t>竞争性磋商文件</w:t>
      </w:r>
      <w:r>
        <w:rPr>
          <w:rFonts w:hint="eastAsia" w:ascii="宋体" w:hAnsi="宋体" w:eastAsia="宋体" w:cs="宋体"/>
          <w:b/>
          <w:color w:val="auto"/>
          <w:kern w:val="0"/>
          <w:sz w:val="96"/>
          <w:szCs w:val="96"/>
          <w:highlight w:val="none"/>
        </w:rPr>
        <w:cr/>
      </w:r>
      <w:r>
        <w:rPr>
          <w:rFonts w:hint="eastAsia" w:ascii="宋体" w:hAnsi="宋体" w:eastAsia="宋体" w:cs="宋体"/>
          <w:b/>
          <w:color w:val="auto"/>
          <w:kern w:val="0"/>
          <w:sz w:val="96"/>
          <w:szCs w:val="96"/>
          <w:highlight w:val="none"/>
        </w:rPr>
        <w:cr/>
      </w:r>
    </w:p>
    <w:p w14:paraId="71D8673A">
      <w:pPr>
        <w:wordWrap w:val="0"/>
        <w:spacing w:line="560" w:lineRule="exact"/>
        <w:rPr>
          <w:rFonts w:hint="eastAsia" w:ascii="宋体" w:hAnsi="宋体" w:eastAsia="宋体" w:cs="宋体"/>
          <w:b/>
          <w:bCs/>
          <w:color w:val="auto"/>
          <w:kern w:val="0"/>
          <w:sz w:val="32"/>
          <w:highlight w:val="none"/>
        </w:rPr>
      </w:pPr>
      <w:r>
        <w:rPr>
          <w:rFonts w:hint="eastAsia" w:ascii="宋体" w:hAnsi="宋体" w:eastAsia="宋体" w:cs="宋体"/>
          <w:b/>
          <w:bCs/>
          <w:color w:val="auto"/>
          <w:kern w:val="0"/>
          <w:sz w:val="32"/>
          <w:highlight w:val="none"/>
        </w:rPr>
        <w:t xml:space="preserve">         项目编号：GLZC2026-C3-990416-GXHC</w:t>
      </w:r>
    </w:p>
    <w:p w14:paraId="0F32D1F6">
      <w:pPr>
        <w:wordWrap w:val="0"/>
        <w:spacing w:line="560" w:lineRule="exact"/>
        <w:rPr>
          <w:rFonts w:hint="eastAsia" w:ascii="宋体" w:hAnsi="宋体" w:eastAsia="宋体" w:cs="宋体"/>
          <w:b/>
          <w:bCs/>
          <w:color w:val="auto"/>
          <w:kern w:val="0"/>
          <w:sz w:val="32"/>
          <w:highlight w:val="none"/>
        </w:rPr>
      </w:pPr>
      <w:r>
        <w:rPr>
          <w:rFonts w:hint="eastAsia" w:ascii="宋体" w:hAnsi="宋体" w:eastAsia="宋体" w:cs="宋体"/>
          <w:b/>
          <w:bCs/>
          <w:color w:val="auto"/>
          <w:kern w:val="0"/>
          <w:sz w:val="32"/>
          <w:highlight w:val="none"/>
        </w:rPr>
        <w:t xml:space="preserve">         项目名称: 七星区农村学校伙房食材配送服务项目</w:t>
      </w:r>
    </w:p>
    <w:p w14:paraId="6C63CF8D">
      <w:pPr>
        <w:pStyle w:val="3"/>
        <w:wordWrap w:val="0"/>
        <w:spacing w:before="0" w:after="0" w:line="500" w:lineRule="exact"/>
        <w:rPr>
          <w:rFonts w:hint="eastAsia" w:ascii="宋体" w:hAnsi="宋体" w:eastAsia="宋体" w:cs="宋体"/>
          <w:b w:val="0"/>
          <w:bCs w:val="0"/>
          <w:color w:val="auto"/>
          <w:kern w:val="0"/>
          <w:highlight w:val="none"/>
        </w:rPr>
      </w:pPr>
    </w:p>
    <w:p w14:paraId="095D8567">
      <w:pPr>
        <w:wordWrap w:val="0"/>
        <w:rPr>
          <w:rFonts w:hint="eastAsia" w:ascii="宋体" w:hAnsi="宋体" w:eastAsia="宋体" w:cs="宋体"/>
          <w:b/>
          <w:bCs/>
          <w:color w:val="auto"/>
          <w:kern w:val="0"/>
          <w:sz w:val="32"/>
          <w:highlight w:val="none"/>
        </w:rPr>
      </w:pPr>
    </w:p>
    <w:p w14:paraId="303718E5">
      <w:pPr>
        <w:wordWrap w:val="0"/>
        <w:rPr>
          <w:rFonts w:hint="eastAsia" w:ascii="宋体" w:hAnsi="宋体" w:eastAsia="宋体" w:cs="宋体"/>
          <w:color w:val="auto"/>
          <w:kern w:val="0"/>
          <w:highlight w:val="none"/>
        </w:rPr>
      </w:pPr>
    </w:p>
    <w:p w14:paraId="69C90036">
      <w:pPr>
        <w:wordWrap w:val="0"/>
        <w:rPr>
          <w:rFonts w:hint="eastAsia" w:ascii="宋体" w:hAnsi="宋体" w:eastAsia="宋体" w:cs="宋体"/>
          <w:color w:val="auto"/>
          <w:kern w:val="0"/>
          <w:highlight w:val="none"/>
        </w:rPr>
      </w:pPr>
    </w:p>
    <w:p w14:paraId="0F7DBBEE">
      <w:pPr>
        <w:wordWrap w:val="0"/>
        <w:spacing w:line="460" w:lineRule="exact"/>
        <w:jc w:val="center"/>
        <w:rPr>
          <w:rFonts w:hint="eastAsia" w:ascii="宋体" w:hAnsi="宋体" w:eastAsia="宋体" w:cs="宋体"/>
          <w:b/>
          <w:bCs/>
          <w:color w:val="auto"/>
          <w:sz w:val="32"/>
          <w:szCs w:val="21"/>
          <w:highlight w:val="none"/>
        </w:rPr>
      </w:pPr>
    </w:p>
    <w:p w14:paraId="2BD58B36">
      <w:pPr>
        <w:wordWrap w:val="0"/>
        <w:spacing w:line="460" w:lineRule="exact"/>
        <w:jc w:val="center"/>
        <w:rPr>
          <w:rFonts w:hint="eastAsia" w:ascii="宋体" w:hAnsi="宋体" w:eastAsia="宋体" w:cs="宋体"/>
          <w:b/>
          <w:bCs/>
          <w:color w:val="auto"/>
          <w:sz w:val="32"/>
          <w:szCs w:val="21"/>
          <w:highlight w:val="none"/>
        </w:rPr>
      </w:pPr>
      <w:r>
        <w:rPr>
          <w:rFonts w:hint="eastAsia" w:ascii="宋体" w:hAnsi="宋体" w:eastAsia="宋体" w:cs="宋体"/>
          <w:b/>
          <w:bCs/>
          <w:color w:val="auto"/>
          <w:sz w:val="32"/>
          <w:szCs w:val="21"/>
          <w:highlight w:val="none"/>
        </w:rPr>
        <w:t>采购代理机构：广西华诚达建设项目管理有限公司</w:t>
      </w:r>
    </w:p>
    <w:p w14:paraId="182899F1">
      <w:pPr>
        <w:wordWrap w:val="0"/>
        <w:spacing w:line="460" w:lineRule="exact"/>
        <w:jc w:val="left"/>
        <w:rPr>
          <w:rFonts w:hint="eastAsia" w:ascii="宋体" w:hAnsi="宋体" w:eastAsia="宋体" w:cs="宋体"/>
          <w:b/>
          <w:bCs/>
          <w:color w:val="auto"/>
          <w:kern w:val="0"/>
          <w:sz w:val="32"/>
          <w:highlight w:val="none"/>
        </w:rPr>
      </w:pPr>
      <w:r>
        <w:rPr>
          <w:rFonts w:hint="eastAsia" w:ascii="宋体" w:hAnsi="宋体" w:eastAsia="宋体" w:cs="宋体"/>
          <w:b/>
          <w:bCs/>
          <w:color w:val="auto"/>
          <w:kern w:val="0"/>
          <w:sz w:val="32"/>
          <w:highlight w:val="none"/>
        </w:rPr>
        <w:t xml:space="preserve"> 　　　　　　　   　  2026年9月10日</w:t>
      </w:r>
    </w:p>
    <w:p w14:paraId="2B8E30DD">
      <w:pPr>
        <w:pStyle w:val="20"/>
        <w:rPr>
          <w:rFonts w:hint="eastAsia" w:ascii="宋体" w:hAnsi="宋体" w:eastAsia="宋体" w:cs="宋体"/>
          <w:color w:val="auto"/>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720" w:footer="720" w:gutter="0"/>
          <w:pgNumType w:start="1"/>
          <w:cols w:space="720" w:num="1"/>
          <w:docGrid w:type="linesAndChars" w:linePitch="331" w:charSpace="0"/>
        </w:sectPr>
      </w:pPr>
    </w:p>
    <w:p w14:paraId="1FB20BC9">
      <w:pPr>
        <w:pStyle w:val="20"/>
        <w:rPr>
          <w:rFonts w:hint="eastAsia" w:ascii="宋体" w:hAnsi="宋体" w:eastAsia="宋体" w:cs="宋体"/>
          <w:color w:val="auto"/>
          <w:highlight w:val="none"/>
        </w:rPr>
      </w:pPr>
    </w:p>
    <w:p w14:paraId="5AB48B24">
      <w:pPr>
        <w:wordWrap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目录</w:t>
      </w:r>
    </w:p>
    <w:p w14:paraId="275A3B50">
      <w:pPr>
        <w:pStyle w:val="26"/>
        <w:tabs>
          <w:tab w:val="right" w:leader="dot" w:pos="9746"/>
        </w:tabs>
        <w:spacing w:line="480" w:lineRule="auto"/>
        <w:rPr>
          <w:rFonts w:hint="eastAsia" w:ascii="宋体" w:hAnsi="宋体" w:eastAsia="宋体" w:cs="宋体"/>
          <w:b/>
          <w:bCs/>
          <w:color w:val="auto"/>
          <w:sz w:val="32"/>
          <w:szCs w:val="40"/>
          <w:highlight w:val="none"/>
        </w:rPr>
      </w:pPr>
      <w:r>
        <w:rPr>
          <w:rFonts w:hint="eastAsia" w:ascii="宋体" w:hAnsi="宋体" w:eastAsia="宋体" w:cs="宋体"/>
          <w:b/>
          <w:bCs/>
          <w:color w:val="auto"/>
          <w:sz w:val="192"/>
          <w:szCs w:val="192"/>
          <w:highlight w:val="none"/>
        </w:rPr>
        <w:fldChar w:fldCharType="begin"/>
      </w:r>
      <w:r>
        <w:rPr>
          <w:rFonts w:hint="eastAsia" w:ascii="宋体" w:hAnsi="宋体" w:eastAsia="宋体" w:cs="宋体"/>
          <w:b/>
          <w:bCs/>
          <w:color w:val="auto"/>
          <w:sz w:val="192"/>
          <w:szCs w:val="192"/>
          <w:highlight w:val="none"/>
        </w:rPr>
        <w:instrText xml:space="preserve">TOC \o "1-1" \h \u </w:instrText>
      </w:r>
      <w:r>
        <w:rPr>
          <w:rFonts w:hint="eastAsia" w:ascii="宋体" w:hAnsi="宋体" w:eastAsia="宋体" w:cs="宋体"/>
          <w:b/>
          <w:bCs/>
          <w:color w:val="auto"/>
          <w:sz w:val="192"/>
          <w:szCs w:val="192"/>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"_Toc15161"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kern w:val="0"/>
          <w:sz w:val="32"/>
          <w:szCs w:val="48"/>
          <w:highlight w:val="none"/>
        </w:rPr>
        <w:t>第一章 竞争性磋商公告</w:t>
      </w:r>
      <w:r>
        <w:rPr>
          <w:rFonts w:hint="eastAsia" w:ascii="宋体" w:hAnsi="宋体" w:eastAsia="宋体" w:cs="宋体"/>
          <w:b/>
          <w:bCs/>
          <w:color w:val="auto"/>
          <w:sz w:val="32"/>
          <w:szCs w:val="40"/>
          <w:highlight w:val="none"/>
        </w:rPr>
        <w:tab/>
      </w:r>
      <w:r>
        <w:rPr>
          <w:rFonts w:hint="eastAsia" w:ascii="宋体" w:hAnsi="宋体" w:eastAsia="宋体" w:cs="宋体"/>
          <w:b/>
          <w:bCs/>
          <w:color w:val="auto"/>
          <w:sz w:val="32"/>
          <w:szCs w:val="40"/>
          <w:highlight w:val="none"/>
        </w:rPr>
        <w:fldChar w:fldCharType="begin"/>
      </w:r>
      <w:r>
        <w:rPr>
          <w:rFonts w:hint="eastAsia" w:ascii="宋体" w:hAnsi="宋体" w:eastAsia="宋体" w:cs="宋体"/>
          <w:b/>
          <w:bCs/>
          <w:color w:val="auto"/>
          <w:sz w:val="32"/>
          <w:szCs w:val="40"/>
          <w:highlight w:val="none"/>
        </w:rPr>
        <w:instrText xml:space="preserve"> PAGEREF _Toc15161 \h </w:instrText>
      </w:r>
      <w:r>
        <w:rPr>
          <w:rFonts w:hint="eastAsia" w:ascii="宋体" w:hAnsi="宋体" w:eastAsia="宋体" w:cs="宋体"/>
          <w:b/>
          <w:bCs/>
          <w:color w:val="auto"/>
          <w:sz w:val="32"/>
          <w:szCs w:val="40"/>
          <w:highlight w:val="none"/>
        </w:rPr>
        <w:fldChar w:fldCharType="separate"/>
      </w:r>
      <w:r>
        <w:rPr>
          <w:rFonts w:hint="eastAsia" w:ascii="宋体" w:hAnsi="宋体" w:eastAsia="宋体" w:cs="宋体"/>
          <w:b/>
          <w:bCs/>
          <w:color w:val="auto"/>
          <w:sz w:val="32"/>
          <w:szCs w:val="40"/>
          <w:highlight w:val="none"/>
        </w:rPr>
        <w:t>1</w:t>
      </w:r>
      <w:r>
        <w:rPr>
          <w:rFonts w:hint="eastAsia" w:ascii="宋体" w:hAnsi="宋体" w:eastAsia="宋体" w:cs="宋体"/>
          <w:b/>
          <w:bCs/>
          <w:color w:val="auto"/>
          <w:sz w:val="32"/>
          <w:szCs w:val="40"/>
          <w:highlight w:val="none"/>
        </w:rPr>
        <w:fldChar w:fldCharType="end"/>
      </w:r>
      <w:r>
        <w:rPr>
          <w:rFonts w:hint="eastAsia" w:ascii="宋体" w:hAnsi="宋体" w:eastAsia="宋体" w:cs="宋体"/>
          <w:b/>
          <w:bCs/>
          <w:color w:val="auto"/>
          <w:sz w:val="32"/>
          <w:szCs w:val="40"/>
          <w:highlight w:val="none"/>
        </w:rPr>
        <w:fldChar w:fldCharType="end"/>
      </w:r>
    </w:p>
    <w:p w14:paraId="5E08E0AB">
      <w:pPr>
        <w:pStyle w:val="26"/>
        <w:tabs>
          <w:tab w:val="right" w:leader="dot" w:pos="9746"/>
        </w:tabs>
        <w:spacing w:line="480" w:lineRule="auto"/>
        <w:rPr>
          <w:rFonts w:hint="eastAsia" w:ascii="宋体" w:hAnsi="宋体" w:eastAsia="宋体" w:cs="宋体"/>
          <w:b/>
          <w:bCs/>
          <w:color w:val="auto"/>
          <w:sz w:val="32"/>
          <w:szCs w:val="4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"_Toc9324" </w:instrText>
      </w:r>
      <w:r>
        <w:rPr>
          <w:rFonts w:hint="eastAsia" w:ascii="宋体" w:hAnsi="宋体" w:eastAsia="宋体" w:cs="宋体"/>
          <w:color w:val="auto"/>
          <w:highlight w:val="none"/>
        </w:rPr>
        <w:fldChar w:fldCharType="separate"/>
      </w:r>
      <w:r>
        <w:rPr>
          <w:rFonts w:hint="eastAsia" w:ascii="宋体" w:hAnsi="宋体" w:eastAsia="宋体" w:cs="宋体"/>
          <w:b/>
          <w:bCs/>
          <w:color w:val="auto"/>
          <w:kern w:val="0"/>
          <w:sz w:val="32"/>
          <w:szCs w:val="48"/>
          <w:highlight w:val="none"/>
        </w:rPr>
        <w:t>第二章 供应商须知</w:t>
      </w:r>
      <w:r>
        <w:rPr>
          <w:rFonts w:hint="eastAsia" w:ascii="宋体" w:hAnsi="宋体" w:eastAsia="宋体" w:cs="宋体"/>
          <w:b/>
          <w:bCs/>
          <w:color w:val="auto"/>
          <w:sz w:val="32"/>
          <w:szCs w:val="40"/>
          <w:highlight w:val="none"/>
        </w:rPr>
        <w:tab/>
      </w:r>
      <w:r>
        <w:rPr>
          <w:rFonts w:hint="eastAsia" w:ascii="宋体" w:hAnsi="宋体" w:eastAsia="宋体" w:cs="宋体"/>
          <w:b/>
          <w:bCs/>
          <w:color w:val="auto"/>
          <w:sz w:val="32"/>
          <w:szCs w:val="40"/>
          <w:highlight w:val="none"/>
        </w:rPr>
        <w:fldChar w:fldCharType="begin"/>
      </w:r>
      <w:r>
        <w:rPr>
          <w:rFonts w:hint="eastAsia" w:ascii="宋体" w:hAnsi="宋体" w:eastAsia="宋体" w:cs="宋体"/>
          <w:b/>
          <w:bCs/>
          <w:color w:val="auto"/>
          <w:sz w:val="32"/>
          <w:szCs w:val="40"/>
          <w:highlight w:val="none"/>
        </w:rPr>
        <w:instrText xml:space="preserve"> PAGEREF _Toc9324 \h </w:instrText>
      </w:r>
      <w:r>
        <w:rPr>
          <w:rFonts w:hint="eastAsia" w:ascii="宋体" w:hAnsi="宋体" w:eastAsia="宋体" w:cs="宋体"/>
          <w:b/>
          <w:bCs/>
          <w:color w:val="auto"/>
          <w:sz w:val="32"/>
          <w:szCs w:val="40"/>
          <w:highlight w:val="none"/>
        </w:rPr>
        <w:fldChar w:fldCharType="separate"/>
      </w:r>
      <w:r>
        <w:rPr>
          <w:rFonts w:hint="eastAsia" w:ascii="宋体" w:hAnsi="宋体" w:eastAsia="宋体" w:cs="宋体"/>
          <w:b/>
          <w:bCs/>
          <w:color w:val="auto"/>
          <w:sz w:val="32"/>
          <w:szCs w:val="40"/>
          <w:highlight w:val="none"/>
        </w:rPr>
        <w:t>4</w:t>
      </w:r>
      <w:r>
        <w:rPr>
          <w:rFonts w:hint="eastAsia" w:ascii="宋体" w:hAnsi="宋体" w:eastAsia="宋体" w:cs="宋体"/>
          <w:b/>
          <w:bCs/>
          <w:color w:val="auto"/>
          <w:sz w:val="32"/>
          <w:szCs w:val="40"/>
          <w:highlight w:val="none"/>
        </w:rPr>
        <w:fldChar w:fldCharType="end"/>
      </w:r>
      <w:r>
        <w:rPr>
          <w:rFonts w:hint="eastAsia" w:ascii="宋体" w:hAnsi="宋体" w:eastAsia="宋体" w:cs="宋体"/>
          <w:b/>
          <w:bCs/>
          <w:color w:val="auto"/>
          <w:sz w:val="32"/>
          <w:szCs w:val="40"/>
          <w:highlight w:val="none"/>
        </w:rPr>
        <w:fldChar w:fldCharType="end"/>
      </w:r>
    </w:p>
    <w:p w14:paraId="29B722C0">
      <w:pPr>
        <w:pStyle w:val="26"/>
        <w:tabs>
          <w:tab w:val="right" w:leader="dot" w:pos="9746"/>
        </w:tabs>
        <w:spacing w:line="480" w:lineRule="auto"/>
        <w:rPr>
          <w:rFonts w:hint="eastAsia" w:ascii="宋体" w:hAnsi="宋体" w:eastAsia="宋体" w:cs="宋体"/>
          <w:b/>
          <w:bCs/>
          <w:color w:val="auto"/>
          <w:sz w:val="32"/>
          <w:szCs w:val="4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"_Toc4513" </w:instrText>
      </w:r>
      <w:r>
        <w:rPr>
          <w:rFonts w:hint="eastAsia" w:ascii="宋体" w:hAnsi="宋体" w:eastAsia="宋体" w:cs="宋体"/>
          <w:color w:val="auto"/>
          <w:highlight w:val="none"/>
        </w:rPr>
        <w:fldChar w:fldCharType="separate"/>
      </w:r>
      <w:r>
        <w:rPr>
          <w:rFonts w:hint="eastAsia" w:ascii="宋体" w:hAnsi="宋体" w:eastAsia="宋体" w:cs="宋体"/>
          <w:b/>
          <w:bCs/>
          <w:color w:val="auto"/>
          <w:kern w:val="0"/>
          <w:sz w:val="32"/>
          <w:szCs w:val="48"/>
          <w:highlight w:val="none"/>
        </w:rPr>
        <w:t>第三章 项目需求</w:t>
      </w:r>
      <w:r>
        <w:rPr>
          <w:rFonts w:hint="eastAsia" w:ascii="宋体" w:hAnsi="宋体" w:eastAsia="宋体" w:cs="宋体"/>
          <w:b/>
          <w:bCs/>
          <w:color w:val="auto"/>
          <w:sz w:val="32"/>
          <w:szCs w:val="40"/>
          <w:highlight w:val="none"/>
        </w:rPr>
        <w:tab/>
      </w:r>
      <w:r>
        <w:rPr>
          <w:rFonts w:hint="eastAsia" w:ascii="宋体" w:hAnsi="宋体" w:eastAsia="宋体" w:cs="宋体"/>
          <w:b/>
          <w:bCs/>
          <w:color w:val="auto"/>
          <w:sz w:val="32"/>
          <w:szCs w:val="40"/>
          <w:highlight w:val="none"/>
        </w:rPr>
        <w:fldChar w:fldCharType="begin"/>
      </w:r>
      <w:r>
        <w:rPr>
          <w:rFonts w:hint="eastAsia" w:ascii="宋体" w:hAnsi="宋体" w:eastAsia="宋体" w:cs="宋体"/>
          <w:b/>
          <w:bCs/>
          <w:color w:val="auto"/>
          <w:sz w:val="32"/>
          <w:szCs w:val="40"/>
          <w:highlight w:val="none"/>
        </w:rPr>
        <w:instrText xml:space="preserve"> PAGEREF _Toc4513 \h </w:instrText>
      </w:r>
      <w:r>
        <w:rPr>
          <w:rFonts w:hint="eastAsia" w:ascii="宋体" w:hAnsi="宋体" w:eastAsia="宋体" w:cs="宋体"/>
          <w:b/>
          <w:bCs/>
          <w:color w:val="auto"/>
          <w:sz w:val="32"/>
          <w:szCs w:val="40"/>
          <w:highlight w:val="none"/>
        </w:rPr>
        <w:fldChar w:fldCharType="separate"/>
      </w:r>
      <w:r>
        <w:rPr>
          <w:rFonts w:hint="eastAsia" w:ascii="宋体" w:hAnsi="宋体" w:eastAsia="宋体" w:cs="宋体"/>
          <w:b/>
          <w:bCs/>
          <w:color w:val="auto"/>
          <w:sz w:val="32"/>
          <w:szCs w:val="40"/>
          <w:highlight w:val="none"/>
        </w:rPr>
        <w:t>26</w:t>
      </w:r>
      <w:r>
        <w:rPr>
          <w:rFonts w:hint="eastAsia" w:ascii="宋体" w:hAnsi="宋体" w:eastAsia="宋体" w:cs="宋体"/>
          <w:b/>
          <w:bCs/>
          <w:color w:val="auto"/>
          <w:sz w:val="32"/>
          <w:szCs w:val="40"/>
          <w:highlight w:val="none"/>
        </w:rPr>
        <w:fldChar w:fldCharType="end"/>
      </w:r>
      <w:r>
        <w:rPr>
          <w:rFonts w:hint="eastAsia" w:ascii="宋体" w:hAnsi="宋体" w:eastAsia="宋体" w:cs="宋体"/>
          <w:b/>
          <w:bCs/>
          <w:color w:val="auto"/>
          <w:sz w:val="32"/>
          <w:szCs w:val="40"/>
          <w:highlight w:val="none"/>
        </w:rPr>
        <w:fldChar w:fldCharType="end"/>
      </w:r>
    </w:p>
    <w:p w14:paraId="59424399">
      <w:pPr>
        <w:pStyle w:val="26"/>
        <w:tabs>
          <w:tab w:val="right" w:leader="dot" w:pos="9746"/>
        </w:tabs>
        <w:spacing w:line="480" w:lineRule="auto"/>
        <w:rPr>
          <w:rFonts w:hint="eastAsia" w:ascii="宋体" w:hAnsi="宋体" w:eastAsia="宋体" w:cs="宋体"/>
          <w:b/>
          <w:bCs/>
          <w:color w:val="auto"/>
          <w:sz w:val="32"/>
          <w:szCs w:val="4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"_Toc12620" </w:instrText>
      </w:r>
      <w:r>
        <w:rPr>
          <w:rFonts w:hint="eastAsia" w:ascii="宋体" w:hAnsi="宋体" w:eastAsia="宋体" w:cs="宋体"/>
          <w:color w:val="auto"/>
          <w:highlight w:val="none"/>
        </w:rPr>
        <w:fldChar w:fldCharType="separate"/>
      </w:r>
      <w:r>
        <w:rPr>
          <w:rFonts w:hint="eastAsia" w:ascii="宋体" w:hAnsi="宋体" w:eastAsia="宋体" w:cs="宋体"/>
          <w:b/>
          <w:bCs/>
          <w:color w:val="auto"/>
          <w:kern w:val="0"/>
          <w:sz w:val="32"/>
          <w:szCs w:val="40"/>
          <w:highlight w:val="none"/>
        </w:rPr>
        <w:t xml:space="preserve">第四章 </w:t>
      </w:r>
      <w:r>
        <w:rPr>
          <w:rFonts w:hint="eastAsia" w:ascii="宋体" w:hAnsi="宋体" w:eastAsia="宋体" w:cs="宋体"/>
          <w:b/>
          <w:bCs/>
          <w:color w:val="auto"/>
          <w:kern w:val="0"/>
          <w:sz w:val="32"/>
          <w:szCs w:val="48"/>
          <w:highlight w:val="none"/>
        </w:rPr>
        <w:t>评审办法</w:t>
      </w:r>
      <w:r>
        <w:rPr>
          <w:rFonts w:hint="eastAsia" w:ascii="宋体" w:hAnsi="宋体" w:eastAsia="宋体" w:cs="宋体"/>
          <w:b/>
          <w:bCs/>
          <w:color w:val="auto"/>
          <w:sz w:val="32"/>
          <w:szCs w:val="40"/>
          <w:highlight w:val="none"/>
        </w:rPr>
        <w:tab/>
      </w:r>
      <w:r>
        <w:rPr>
          <w:rFonts w:hint="eastAsia" w:ascii="宋体" w:hAnsi="宋体" w:eastAsia="宋体" w:cs="宋体"/>
          <w:b/>
          <w:bCs/>
          <w:color w:val="auto"/>
          <w:sz w:val="32"/>
          <w:szCs w:val="40"/>
          <w:highlight w:val="none"/>
        </w:rPr>
        <w:fldChar w:fldCharType="begin"/>
      </w:r>
      <w:r>
        <w:rPr>
          <w:rFonts w:hint="eastAsia" w:ascii="宋体" w:hAnsi="宋体" w:eastAsia="宋体" w:cs="宋体"/>
          <w:b/>
          <w:bCs/>
          <w:color w:val="auto"/>
          <w:sz w:val="32"/>
          <w:szCs w:val="40"/>
          <w:highlight w:val="none"/>
        </w:rPr>
        <w:instrText xml:space="preserve"> PAGEREF _Toc12620 \h </w:instrText>
      </w:r>
      <w:r>
        <w:rPr>
          <w:rFonts w:hint="eastAsia" w:ascii="宋体" w:hAnsi="宋体" w:eastAsia="宋体" w:cs="宋体"/>
          <w:b/>
          <w:bCs/>
          <w:color w:val="auto"/>
          <w:sz w:val="32"/>
          <w:szCs w:val="40"/>
          <w:highlight w:val="none"/>
        </w:rPr>
        <w:fldChar w:fldCharType="separate"/>
      </w:r>
      <w:r>
        <w:rPr>
          <w:rFonts w:hint="eastAsia" w:ascii="宋体" w:hAnsi="宋体" w:eastAsia="宋体" w:cs="宋体"/>
          <w:b/>
          <w:bCs/>
          <w:color w:val="auto"/>
          <w:sz w:val="32"/>
          <w:szCs w:val="40"/>
          <w:highlight w:val="none"/>
        </w:rPr>
        <w:t>43</w:t>
      </w:r>
      <w:r>
        <w:rPr>
          <w:rFonts w:hint="eastAsia" w:ascii="宋体" w:hAnsi="宋体" w:eastAsia="宋体" w:cs="宋体"/>
          <w:b/>
          <w:bCs/>
          <w:color w:val="auto"/>
          <w:sz w:val="32"/>
          <w:szCs w:val="40"/>
          <w:highlight w:val="none"/>
        </w:rPr>
        <w:fldChar w:fldCharType="end"/>
      </w:r>
      <w:r>
        <w:rPr>
          <w:rFonts w:hint="eastAsia" w:ascii="宋体" w:hAnsi="宋体" w:eastAsia="宋体" w:cs="宋体"/>
          <w:b/>
          <w:bCs/>
          <w:color w:val="auto"/>
          <w:sz w:val="32"/>
          <w:szCs w:val="40"/>
          <w:highlight w:val="none"/>
        </w:rPr>
        <w:fldChar w:fldCharType="end"/>
      </w:r>
    </w:p>
    <w:p w14:paraId="3DEF4214">
      <w:pPr>
        <w:pStyle w:val="26"/>
        <w:tabs>
          <w:tab w:val="right" w:leader="dot" w:pos="9746"/>
        </w:tabs>
        <w:spacing w:line="480" w:lineRule="auto"/>
        <w:rPr>
          <w:rFonts w:hint="eastAsia" w:ascii="宋体" w:hAnsi="宋体" w:eastAsia="宋体" w:cs="宋体"/>
          <w:b/>
          <w:bCs/>
          <w:color w:val="auto"/>
          <w:sz w:val="32"/>
          <w:szCs w:val="4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"_Toc14172"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kern w:val="0"/>
          <w:sz w:val="32"/>
          <w:szCs w:val="48"/>
          <w:highlight w:val="none"/>
        </w:rPr>
        <w:t>第五章 政府采购合同（合同主要条款及格式）</w:t>
      </w:r>
      <w:r>
        <w:rPr>
          <w:rFonts w:hint="eastAsia" w:ascii="宋体" w:hAnsi="宋体" w:eastAsia="宋体" w:cs="宋体"/>
          <w:b/>
          <w:bCs/>
          <w:color w:val="auto"/>
          <w:sz w:val="32"/>
          <w:szCs w:val="40"/>
          <w:highlight w:val="none"/>
        </w:rPr>
        <w:tab/>
      </w:r>
      <w:r>
        <w:rPr>
          <w:rFonts w:hint="eastAsia" w:ascii="宋体" w:hAnsi="宋体" w:eastAsia="宋体" w:cs="宋体"/>
          <w:b/>
          <w:bCs/>
          <w:color w:val="auto"/>
          <w:sz w:val="32"/>
          <w:szCs w:val="40"/>
          <w:highlight w:val="none"/>
        </w:rPr>
        <w:fldChar w:fldCharType="begin"/>
      </w:r>
      <w:r>
        <w:rPr>
          <w:rFonts w:hint="eastAsia" w:ascii="宋体" w:hAnsi="宋体" w:eastAsia="宋体" w:cs="宋体"/>
          <w:b/>
          <w:bCs/>
          <w:color w:val="auto"/>
          <w:sz w:val="32"/>
          <w:szCs w:val="40"/>
          <w:highlight w:val="none"/>
        </w:rPr>
        <w:instrText xml:space="preserve"> PAGEREF _Toc14172 \h </w:instrText>
      </w:r>
      <w:r>
        <w:rPr>
          <w:rFonts w:hint="eastAsia" w:ascii="宋体" w:hAnsi="宋体" w:eastAsia="宋体" w:cs="宋体"/>
          <w:b/>
          <w:bCs/>
          <w:color w:val="auto"/>
          <w:sz w:val="32"/>
          <w:szCs w:val="40"/>
          <w:highlight w:val="none"/>
        </w:rPr>
        <w:fldChar w:fldCharType="separate"/>
      </w:r>
      <w:r>
        <w:rPr>
          <w:rFonts w:hint="eastAsia" w:ascii="宋体" w:hAnsi="宋体" w:eastAsia="宋体" w:cs="宋体"/>
          <w:b/>
          <w:bCs/>
          <w:color w:val="auto"/>
          <w:sz w:val="32"/>
          <w:szCs w:val="40"/>
          <w:highlight w:val="none"/>
        </w:rPr>
        <w:t>53</w:t>
      </w:r>
      <w:r>
        <w:rPr>
          <w:rFonts w:hint="eastAsia" w:ascii="宋体" w:hAnsi="宋体" w:eastAsia="宋体" w:cs="宋体"/>
          <w:b/>
          <w:bCs/>
          <w:color w:val="auto"/>
          <w:sz w:val="32"/>
          <w:szCs w:val="40"/>
          <w:highlight w:val="none"/>
        </w:rPr>
        <w:fldChar w:fldCharType="end"/>
      </w:r>
      <w:r>
        <w:rPr>
          <w:rFonts w:hint="eastAsia" w:ascii="宋体" w:hAnsi="宋体" w:eastAsia="宋体" w:cs="宋体"/>
          <w:b/>
          <w:bCs/>
          <w:color w:val="auto"/>
          <w:sz w:val="32"/>
          <w:szCs w:val="40"/>
          <w:highlight w:val="none"/>
        </w:rPr>
        <w:fldChar w:fldCharType="end"/>
      </w:r>
    </w:p>
    <w:p w14:paraId="39E38D2B">
      <w:pPr>
        <w:pStyle w:val="26"/>
        <w:tabs>
          <w:tab w:val="right" w:leader="dot" w:pos="9746"/>
        </w:tabs>
        <w:spacing w:line="480" w:lineRule="auto"/>
        <w:rPr>
          <w:rFonts w:hint="eastAsia" w:ascii="宋体" w:hAnsi="宋体" w:eastAsia="宋体" w:cs="宋体"/>
          <w:b/>
          <w:bCs/>
          <w:color w:val="auto"/>
          <w:sz w:val="32"/>
          <w:szCs w:val="4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"_Toc25892" </w:instrText>
      </w:r>
      <w:r>
        <w:rPr>
          <w:rFonts w:hint="eastAsia" w:ascii="宋体" w:hAnsi="宋体" w:eastAsia="宋体" w:cs="宋体"/>
          <w:color w:val="auto"/>
          <w:highlight w:val="none"/>
        </w:rPr>
        <w:fldChar w:fldCharType="separate"/>
      </w:r>
      <w:r>
        <w:rPr>
          <w:rFonts w:hint="eastAsia" w:ascii="宋体" w:hAnsi="宋体" w:eastAsia="宋体" w:cs="宋体"/>
          <w:b/>
          <w:bCs/>
          <w:color w:val="auto"/>
          <w:kern w:val="0"/>
          <w:sz w:val="32"/>
          <w:szCs w:val="48"/>
          <w:highlight w:val="none"/>
        </w:rPr>
        <w:t>第六章 响应文件（格式）</w:t>
      </w:r>
      <w:r>
        <w:rPr>
          <w:rFonts w:hint="eastAsia" w:ascii="宋体" w:hAnsi="宋体" w:eastAsia="宋体" w:cs="宋体"/>
          <w:b/>
          <w:bCs/>
          <w:color w:val="auto"/>
          <w:sz w:val="32"/>
          <w:szCs w:val="40"/>
          <w:highlight w:val="none"/>
        </w:rPr>
        <w:tab/>
      </w:r>
      <w:r>
        <w:rPr>
          <w:rFonts w:hint="eastAsia" w:ascii="宋体" w:hAnsi="宋体" w:eastAsia="宋体" w:cs="宋体"/>
          <w:b/>
          <w:bCs/>
          <w:color w:val="auto"/>
          <w:sz w:val="32"/>
          <w:szCs w:val="40"/>
          <w:highlight w:val="none"/>
        </w:rPr>
        <w:fldChar w:fldCharType="begin"/>
      </w:r>
      <w:r>
        <w:rPr>
          <w:rFonts w:hint="eastAsia" w:ascii="宋体" w:hAnsi="宋体" w:eastAsia="宋体" w:cs="宋体"/>
          <w:b/>
          <w:bCs/>
          <w:color w:val="auto"/>
          <w:sz w:val="32"/>
          <w:szCs w:val="40"/>
          <w:highlight w:val="none"/>
        </w:rPr>
        <w:instrText xml:space="preserve"> PAGEREF _Toc25892 \h </w:instrText>
      </w:r>
      <w:r>
        <w:rPr>
          <w:rFonts w:hint="eastAsia" w:ascii="宋体" w:hAnsi="宋体" w:eastAsia="宋体" w:cs="宋体"/>
          <w:b/>
          <w:bCs/>
          <w:color w:val="auto"/>
          <w:sz w:val="32"/>
          <w:szCs w:val="40"/>
          <w:highlight w:val="none"/>
        </w:rPr>
        <w:fldChar w:fldCharType="separate"/>
      </w:r>
      <w:r>
        <w:rPr>
          <w:rFonts w:hint="eastAsia" w:ascii="宋体" w:hAnsi="宋体" w:eastAsia="宋体" w:cs="宋体"/>
          <w:b/>
          <w:bCs/>
          <w:color w:val="auto"/>
          <w:sz w:val="32"/>
          <w:szCs w:val="40"/>
          <w:highlight w:val="none"/>
        </w:rPr>
        <w:t>63</w:t>
      </w:r>
      <w:r>
        <w:rPr>
          <w:rFonts w:hint="eastAsia" w:ascii="宋体" w:hAnsi="宋体" w:eastAsia="宋体" w:cs="宋体"/>
          <w:b/>
          <w:bCs/>
          <w:color w:val="auto"/>
          <w:sz w:val="32"/>
          <w:szCs w:val="40"/>
          <w:highlight w:val="none"/>
        </w:rPr>
        <w:fldChar w:fldCharType="end"/>
      </w:r>
      <w:r>
        <w:rPr>
          <w:rFonts w:hint="eastAsia" w:ascii="宋体" w:hAnsi="宋体" w:eastAsia="宋体" w:cs="宋体"/>
          <w:b/>
          <w:bCs/>
          <w:color w:val="auto"/>
          <w:sz w:val="32"/>
          <w:szCs w:val="40"/>
          <w:highlight w:val="none"/>
        </w:rPr>
        <w:fldChar w:fldCharType="end"/>
      </w:r>
    </w:p>
    <w:p w14:paraId="2407C1E2">
      <w:pPr>
        <w:pStyle w:val="26"/>
        <w:tabs>
          <w:tab w:val="right" w:leader="dot" w:pos="9746"/>
        </w:tabs>
        <w:spacing w:line="480" w:lineRule="auto"/>
        <w:rPr>
          <w:rFonts w:hint="eastAsia" w:ascii="宋体" w:hAnsi="宋体" w:eastAsia="宋体" w:cs="宋体"/>
          <w:b/>
          <w:bCs/>
          <w:color w:val="auto"/>
          <w:sz w:val="36"/>
          <w:szCs w:val="44"/>
          <w:highlight w:val="none"/>
        </w:rPr>
      </w:pPr>
      <w:r>
        <w:rPr>
          <w:rFonts w:hint="eastAsia" w:ascii="宋体" w:hAnsi="宋体" w:eastAsia="宋体" w:cs="宋体"/>
          <w:b/>
          <w:bCs/>
          <w:color w:val="auto"/>
          <w:sz w:val="32"/>
          <w:szCs w:val="192"/>
          <w:highlight w:val="none"/>
        </w:rPr>
        <w:fldChar w:fldCharType="end"/>
      </w:r>
      <w:bookmarkStart w:id="283" w:name="_GoBack"/>
      <w:bookmarkEnd w:id="283"/>
    </w:p>
    <w:p w14:paraId="7BFB91F4">
      <w:pPr>
        <w:wordWrap w:val="0"/>
        <w:rPr>
          <w:rFonts w:hint="eastAsia" w:ascii="宋体" w:hAnsi="宋体" w:eastAsia="宋体" w:cs="宋体"/>
          <w:color w:val="auto"/>
          <w:kern w:val="0"/>
          <w:szCs w:val="21"/>
          <w:highlight w:val="none"/>
        </w:rPr>
      </w:pPr>
    </w:p>
    <w:p w14:paraId="6A32F2A3">
      <w:pPr>
        <w:wordWrap w:val="0"/>
        <w:rPr>
          <w:rFonts w:hint="eastAsia" w:ascii="宋体" w:hAnsi="宋体" w:eastAsia="宋体" w:cs="宋体"/>
          <w:color w:val="auto"/>
          <w:kern w:val="0"/>
          <w:szCs w:val="21"/>
          <w:highlight w:val="none"/>
        </w:rPr>
      </w:pPr>
    </w:p>
    <w:p w14:paraId="6022755B">
      <w:pPr>
        <w:wordWrap w:val="0"/>
        <w:rPr>
          <w:rFonts w:hint="eastAsia" w:ascii="宋体" w:hAnsi="宋体" w:eastAsia="宋体" w:cs="宋体"/>
          <w:color w:val="auto"/>
          <w:kern w:val="0"/>
          <w:szCs w:val="21"/>
          <w:highlight w:val="none"/>
        </w:rPr>
      </w:pPr>
    </w:p>
    <w:p w14:paraId="34BAE647">
      <w:pPr>
        <w:wordWrap w:val="0"/>
        <w:rPr>
          <w:rFonts w:hint="eastAsia" w:ascii="宋体" w:hAnsi="宋体" w:eastAsia="宋体" w:cs="宋体"/>
          <w:color w:val="auto"/>
          <w:kern w:val="0"/>
          <w:szCs w:val="21"/>
          <w:highlight w:val="none"/>
        </w:rPr>
      </w:pPr>
    </w:p>
    <w:p w14:paraId="4094E70D">
      <w:pPr>
        <w:wordWrap w:val="0"/>
        <w:rPr>
          <w:rFonts w:hint="eastAsia" w:ascii="宋体" w:hAnsi="宋体" w:eastAsia="宋体" w:cs="宋体"/>
          <w:color w:val="auto"/>
          <w:kern w:val="0"/>
          <w:szCs w:val="21"/>
          <w:highlight w:val="none"/>
        </w:rPr>
      </w:pPr>
    </w:p>
    <w:p w14:paraId="3A333CCA">
      <w:pPr>
        <w:wordWrap w:val="0"/>
        <w:rPr>
          <w:rFonts w:hint="eastAsia" w:ascii="宋体" w:hAnsi="宋体" w:eastAsia="宋体" w:cs="宋体"/>
          <w:color w:val="auto"/>
          <w:kern w:val="0"/>
          <w:szCs w:val="21"/>
          <w:highlight w:val="none"/>
        </w:rPr>
      </w:pPr>
    </w:p>
    <w:p w14:paraId="0A2187BB">
      <w:pPr>
        <w:wordWrap w:val="0"/>
        <w:rPr>
          <w:rFonts w:hint="eastAsia" w:ascii="宋体" w:hAnsi="宋体" w:eastAsia="宋体" w:cs="宋体"/>
          <w:color w:val="auto"/>
          <w:kern w:val="0"/>
          <w:szCs w:val="21"/>
          <w:highlight w:val="none"/>
        </w:rPr>
      </w:pPr>
    </w:p>
    <w:p w14:paraId="470CBF1D">
      <w:pPr>
        <w:wordWrap w:val="0"/>
        <w:rPr>
          <w:rFonts w:hint="eastAsia" w:ascii="宋体" w:hAnsi="宋体" w:eastAsia="宋体" w:cs="宋体"/>
          <w:color w:val="auto"/>
          <w:kern w:val="0"/>
          <w:szCs w:val="21"/>
          <w:highlight w:val="none"/>
        </w:rPr>
      </w:pPr>
    </w:p>
    <w:p w14:paraId="584F2DC2">
      <w:pPr>
        <w:wordWrap w:val="0"/>
        <w:rPr>
          <w:rFonts w:hint="eastAsia" w:ascii="宋体" w:hAnsi="宋体" w:eastAsia="宋体" w:cs="宋体"/>
          <w:color w:val="auto"/>
          <w:kern w:val="0"/>
          <w:szCs w:val="21"/>
          <w:highlight w:val="none"/>
        </w:rPr>
      </w:pPr>
    </w:p>
    <w:p w14:paraId="583A7D6F">
      <w:pPr>
        <w:wordWrap w:val="0"/>
        <w:rPr>
          <w:rFonts w:hint="eastAsia" w:ascii="宋体" w:hAnsi="宋体" w:eastAsia="宋体" w:cs="宋体"/>
          <w:color w:val="auto"/>
          <w:kern w:val="0"/>
          <w:szCs w:val="21"/>
          <w:highlight w:val="none"/>
        </w:rPr>
      </w:pPr>
    </w:p>
    <w:p w14:paraId="1EF161B3">
      <w:pPr>
        <w:wordWrap w:val="0"/>
        <w:rPr>
          <w:rFonts w:hint="eastAsia" w:ascii="宋体" w:hAnsi="宋体" w:eastAsia="宋体" w:cs="宋体"/>
          <w:color w:val="auto"/>
          <w:kern w:val="0"/>
          <w:szCs w:val="21"/>
          <w:highlight w:val="none"/>
        </w:rPr>
      </w:pPr>
    </w:p>
    <w:p w14:paraId="119CD0F8">
      <w:pPr>
        <w:wordWrap w:val="0"/>
        <w:rPr>
          <w:rFonts w:hint="eastAsia" w:ascii="宋体" w:hAnsi="宋体" w:eastAsia="宋体" w:cs="宋体"/>
          <w:color w:val="auto"/>
          <w:kern w:val="0"/>
          <w:szCs w:val="21"/>
          <w:highlight w:val="none"/>
        </w:rPr>
      </w:pPr>
    </w:p>
    <w:p w14:paraId="25F54F16">
      <w:pPr>
        <w:wordWrap w:val="0"/>
        <w:rPr>
          <w:rFonts w:hint="eastAsia" w:ascii="宋体" w:hAnsi="宋体" w:eastAsia="宋体" w:cs="宋体"/>
          <w:color w:val="auto"/>
          <w:kern w:val="0"/>
          <w:szCs w:val="21"/>
          <w:highlight w:val="none"/>
        </w:rPr>
      </w:pPr>
    </w:p>
    <w:p w14:paraId="1730DE1B">
      <w:pPr>
        <w:wordWrap w:val="0"/>
        <w:rPr>
          <w:rFonts w:hint="eastAsia" w:ascii="宋体" w:hAnsi="宋体" w:eastAsia="宋体" w:cs="宋体"/>
          <w:color w:val="auto"/>
          <w:kern w:val="0"/>
          <w:szCs w:val="21"/>
          <w:highlight w:val="none"/>
        </w:rPr>
      </w:pPr>
    </w:p>
    <w:p w14:paraId="50BC214D">
      <w:pPr>
        <w:wordWrap w:val="0"/>
        <w:rPr>
          <w:rFonts w:hint="eastAsia" w:ascii="宋体" w:hAnsi="宋体" w:eastAsia="宋体" w:cs="宋体"/>
          <w:color w:val="auto"/>
          <w:kern w:val="0"/>
          <w:szCs w:val="21"/>
          <w:highlight w:val="none"/>
        </w:rPr>
      </w:pPr>
    </w:p>
    <w:p w14:paraId="25288FE3">
      <w:pPr>
        <w:wordWrap w:val="0"/>
        <w:rPr>
          <w:rFonts w:hint="eastAsia" w:ascii="宋体" w:hAnsi="宋体" w:eastAsia="宋体" w:cs="宋体"/>
          <w:color w:val="auto"/>
          <w:kern w:val="0"/>
          <w:szCs w:val="21"/>
          <w:highlight w:val="none"/>
        </w:rPr>
      </w:pPr>
    </w:p>
    <w:p w14:paraId="319A19CD">
      <w:pPr>
        <w:wordWrap w:val="0"/>
        <w:rPr>
          <w:rFonts w:hint="eastAsia" w:ascii="宋体" w:hAnsi="宋体" w:eastAsia="宋体" w:cs="宋体"/>
          <w:color w:val="auto"/>
          <w:kern w:val="0"/>
          <w:szCs w:val="21"/>
          <w:highlight w:val="none"/>
        </w:rPr>
      </w:pPr>
    </w:p>
    <w:p w14:paraId="24BBD7DA">
      <w:pPr>
        <w:wordWrap w:val="0"/>
        <w:rPr>
          <w:rFonts w:hint="eastAsia" w:ascii="宋体" w:hAnsi="宋体" w:eastAsia="宋体" w:cs="宋体"/>
          <w:color w:val="auto"/>
          <w:kern w:val="0"/>
          <w:szCs w:val="21"/>
          <w:highlight w:val="none"/>
        </w:rPr>
      </w:pPr>
    </w:p>
    <w:p w14:paraId="368339C2">
      <w:pPr>
        <w:wordWrap w:val="0"/>
        <w:rPr>
          <w:rFonts w:hint="eastAsia" w:ascii="宋体" w:hAnsi="宋体" w:eastAsia="宋体" w:cs="宋体"/>
          <w:color w:val="auto"/>
          <w:kern w:val="0"/>
          <w:szCs w:val="21"/>
          <w:highlight w:val="none"/>
        </w:rPr>
      </w:pPr>
    </w:p>
    <w:p w14:paraId="011483DD">
      <w:pPr>
        <w:wordWrap w:val="0"/>
        <w:rPr>
          <w:rFonts w:hint="eastAsia" w:ascii="宋体" w:hAnsi="宋体" w:eastAsia="宋体" w:cs="宋体"/>
          <w:color w:val="auto"/>
          <w:kern w:val="0"/>
          <w:szCs w:val="21"/>
          <w:highlight w:val="none"/>
        </w:rPr>
      </w:pPr>
    </w:p>
    <w:p w14:paraId="364A25A5">
      <w:pPr>
        <w:wordWrap w:val="0"/>
        <w:rPr>
          <w:rFonts w:hint="eastAsia" w:ascii="宋体" w:hAnsi="宋体" w:eastAsia="宋体" w:cs="宋体"/>
          <w:color w:val="auto"/>
          <w:kern w:val="0"/>
          <w:szCs w:val="21"/>
          <w:highlight w:val="none"/>
        </w:rPr>
      </w:pPr>
    </w:p>
    <w:p w14:paraId="263A02C6">
      <w:pPr>
        <w:numPr>
          <w:ilvl w:val="0"/>
          <w:numId w:val="1"/>
        </w:numPr>
        <w:wordWrap w:val="0"/>
        <w:spacing w:line="480" w:lineRule="exact"/>
        <w:ind w:left="0" w:firstLine="0"/>
        <w:jc w:val="center"/>
        <w:outlineLvl w:val="0"/>
        <w:rPr>
          <w:rFonts w:hint="eastAsia" w:ascii="宋体" w:hAnsi="宋体" w:eastAsia="宋体" w:cs="宋体"/>
          <w:b/>
          <w:color w:val="auto"/>
          <w:kern w:val="0"/>
          <w:sz w:val="32"/>
          <w:szCs w:val="32"/>
          <w:highlight w:val="none"/>
        </w:rPr>
        <w:sectPr>
          <w:footerReference r:id="rId9" w:type="default"/>
          <w:pgSz w:w="11906" w:h="16838"/>
          <w:pgMar w:top="1440" w:right="1080" w:bottom="1440" w:left="1080" w:header="851" w:footer="992" w:gutter="0"/>
          <w:cols w:space="720" w:num="1"/>
          <w:docGrid w:type="lines" w:linePitch="316" w:charSpace="0"/>
        </w:sectPr>
      </w:pPr>
    </w:p>
    <w:p w14:paraId="210A4BC0">
      <w:pPr>
        <w:numPr>
          <w:ilvl w:val="0"/>
          <w:numId w:val="1"/>
        </w:numPr>
        <w:wordWrap w:val="0"/>
        <w:spacing w:line="480" w:lineRule="exact"/>
        <w:ind w:left="0" w:firstLine="0"/>
        <w:jc w:val="center"/>
        <w:outlineLvl w:val="0"/>
        <w:rPr>
          <w:rFonts w:hint="eastAsia" w:ascii="宋体" w:hAnsi="宋体" w:eastAsia="宋体" w:cs="宋体"/>
          <w:b/>
          <w:color w:val="auto"/>
          <w:kern w:val="0"/>
          <w:sz w:val="32"/>
          <w:szCs w:val="32"/>
          <w:highlight w:val="none"/>
        </w:rPr>
      </w:pPr>
      <w:bookmarkStart w:id="0" w:name="_Toc15161"/>
      <w:r>
        <w:rPr>
          <w:rFonts w:hint="eastAsia" w:ascii="宋体" w:hAnsi="宋体" w:eastAsia="宋体" w:cs="宋体"/>
          <w:b/>
          <w:color w:val="auto"/>
          <w:kern w:val="0"/>
          <w:sz w:val="32"/>
          <w:szCs w:val="32"/>
          <w:highlight w:val="none"/>
        </w:rPr>
        <w:t>竞争性磋商公告</w:t>
      </w:r>
      <w:bookmarkEnd w:id="0"/>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0"/>
      </w:tblGrid>
      <w:tr w14:paraId="6574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trPr>
        <w:tc>
          <w:tcPr>
            <w:tcW w:w="9960" w:type="dxa"/>
            <w:vAlign w:val="center"/>
          </w:tcPr>
          <w:p w14:paraId="76CE9139">
            <w:pPr>
              <w:wordWrap w:val="0"/>
              <w:spacing w:line="400" w:lineRule="exact"/>
              <w:rPr>
                <w:rFonts w:hint="eastAsia" w:ascii="宋体" w:hAnsi="宋体" w:eastAsia="宋体" w:cs="宋体"/>
                <w:color w:val="auto"/>
                <w:highlight w:val="none"/>
              </w:rPr>
            </w:pPr>
            <w:bookmarkStart w:id="1" w:name="_Toc35393629"/>
            <w:bookmarkStart w:id="2" w:name="_Toc28359012"/>
            <w:bookmarkStart w:id="3" w:name="_Toc28359089"/>
            <w:bookmarkStart w:id="4" w:name="_Toc35393798"/>
            <w:bookmarkStart w:id="5" w:name="_Toc44229878"/>
            <w:bookmarkStart w:id="6" w:name="_Toc44405619"/>
            <w:r>
              <w:rPr>
                <w:rFonts w:hint="eastAsia" w:ascii="宋体" w:hAnsi="宋体" w:eastAsia="宋体" w:cs="宋体"/>
                <w:color w:val="auto"/>
                <w:highlight w:val="none"/>
              </w:rPr>
              <w:t>项目概况</w:t>
            </w:r>
          </w:p>
          <w:p w14:paraId="633275F5">
            <w:pPr>
              <w:wordWrap w:val="0"/>
              <w:spacing w:line="40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highlight w:val="none"/>
              </w:rPr>
              <w:t>七星区农村学校伙房食材配送服务的潜在供应商应在“广西政府采购云”平台（https://www.gcy.zfcg.gxzf.gov.cn/）获取竞争性磋商文件，并于2026年9月21日09:30（北京时间）前提交响应文件。</w:t>
            </w:r>
          </w:p>
        </w:tc>
      </w:tr>
    </w:tbl>
    <w:p w14:paraId="113ED656">
      <w:pPr>
        <w:pStyle w:val="128"/>
        <w:wordWrap w:val="0"/>
        <w:spacing w:line="440" w:lineRule="exact"/>
        <w:ind w:firstLine="422"/>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一、项目基本情况</w:t>
      </w:r>
      <w:bookmarkEnd w:id="1"/>
      <w:bookmarkEnd w:id="2"/>
      <w:bookmarkEnd w:id="3"/>
      <w:bookmarkEnd w:id="4"/>
    </w:p>
    <w:p w14:paraId="2B67E39E">
      <w:pPr>
        <w:wordWrap w:val="0"/>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项目编号：</w:t>
      </w:r>
      <w:bookmarkStart w:id="7" w:name="OLE_LINK237"/>
      <w:bookmarkStart w:id="8" w:name="OLE_LINK236"/>
      <w:r>
        <w:rPr>
          <w:rFonts w:hint="eastAsia" w:ascii="宋体" w:hAnsi="宋体" w:eastAsia="宋体" w:cs="宋体"/>
          <w:color w:val="auto"/>
          <w:szCs w:val="21"/>
          <w:highlight w:val="none"/>
        </w:rPr>
        <w:t>GLZC2026-C3-990416-GXHC</w:t>
      </w:r>
    </w:p>
    <w:bookmarkEnd w:id="7"/>
    <w:bookmarkEnd w:id="8"/>
    <w:p w14:paraId="7ADC0C67">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bookmarkStart w:id="9" w:name="OLE_LINK103"/>
      <w:bookmarkStart w:id="10" w:name="OLE_LINK104"/>
      <w:r>
        <w:rPr>
          <w:rFonts w:hint="eastAsia" w:ascii="宋体" w:hAnsi="宋体" w:eastAsia="宋体" w:cs="宋体"/>
          <w:color w:val="auto"/>
          <w:szCs w:val="21"/>
          <w:highlight w:val="none"/>
        </w:rPr>
        <w:t>七星区农村学校伙房食材配送服务</w:t>
      </w:r>
      <w:bookmarkEnd w:id="9"/>
      <w:bookmarkEnd w:id="10"/>
      <w:r>
        <w:rPr>
          <w:rFonts w:hint="eastAsia" w:ascii="宋体" w:hAnsi="宋体" w:eastAsia="宋体" w:cs="宋体"/>
          <w:color w:val="auto"/>
          <w:szCs w:val="21"/>
          <w:highlight w:val="none"/>
        </w:rPr>
        <w:t>项目</w:t>
      </w:r>
    </w:p>
    <w:p w14:paraId="00775D4D">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采购方式: 竞争性磋商</w:t>
      </w:r>
    </w:p>
    <w:p w14:paraId="352DEFA3">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预算总金额（元）：1950000.00</w:t>
      </w:r>
    </w:p>
    <w:p w14:paraId="0D19D939">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标项一</w:t>
      </w:r>
    </w:p>
    <w:p w14:paraId="65512C30">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p w14:paraId="3C28D652">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标项名称：七星区农村学校伙房食材配送服务项目</w:t>
      </w:r>
      <w:bookmarkStart w:id="11" w:name="OLE_LINK152"/>
      <w:bookmarkStart w:id="12" w:name="OLE_LINK153"/>
      <w:r>
        <w:rPr>
          <w:rFonts w:hint="eastAsia" w:ascii="宋体" w:hAnsi="宋体" w:eastAsia="宋体" w:cs="宋体"/>
          <w:color w:val="auto"/>
          <w:szCs w:val="21"/>
          <w:highlight w:val="none"/>
        </w:rPr>
        <w:t>(</w:t>
      </w:r>
      <w:r>
        <w:rPr>
          <w:rFonts w:hint="eastAsia" w:ascii="宋体" w:hAnsi="宋体" w:eastAsia="宋体" w:cs="宋体"/>
          <w:color w:val="auto"/>
          <w:spacing w:val="-4"/>
          <w:szCs w:val="21"/>
          <w:highlight w:val="none"/>
        </w:rPr>
        <w:t>禽畜肉类</w:t>
      </w:r>
      <w:r>
        <w:rPr>
          <w:rFonts w:hint="eastAsia" w:ascii="宋体" w:hAnsi="宋体" w:eastAsia="宋体" w:cs="宋体"/>
          <w:color w:val="auto"/>
          <w:spacing w:val="1"/>
          <w:szCs w:val="21"/>
          <w:highlight w:val="none"/>
        </w:rPr>
        <w:t>、</w:t>
      </w:r>
      <w:r>
        <w:rPr>
          <w:rFonts w:hint="eastAsia" w:ascii="宋体" w:hAnsi="宋体" w:eastAsia="宋体" w:cs="宋体"/>
          <w:color w:val="auto"/>
          <w:spacing w:val="-1"/>
          <w:szCs w:val="21"/>
          <w:highlight w:val="none"/>
        </w:rPr>
        <w:t>水产类</w:t>
      </w:r>
      <w:r>
        <w:rPr>
          <w:rFonts w:hint="eastAsia" w:ascii="宋体" w:hAnsi="宋体" w:eastAsia="宋体" w:cs="宋体"/>
          <w:color w:val="auto"/>
          <w:spacing w:val="-1"/>
          <w:szCs w:val="21"/>
          <w:highlight w:val="none"/>
        </w:rPr>
        <w:t>、</w:t>
      </w:r>
      <w:r>
        <w:rPr>
          <w:rFonts w:hint="eastAsia" w:ascii="宋体" w:hAnsi="宋体" w:eastAsia="宋体" w:cs="宋体"/>
          <w:color w:val="auto"/>
          <w:highlight w:val="none"/>
        </w:rPr>
        <w:t>豆制品类</w:t>
      </w:r>
      <w:r>
        <w:rPr>
          <w:rFonts w:hint="eastAsia" w:ascii="宋体" w:hAnsi="宋体" w:eastAsia="宋体" w:cs="宋体"/>
          <w:color w:val="auto"/>
          <w:szCs w:val="21"/>
          <w:highlight w:val="none"/>
        </w:rPr>
        <w:t>、蔬菜类</w:t>
      </w:r>
      <w:r>
        <w:rPr>
          <w:rFonts w:hint="eastAsia" w:ascii="宋体" w:hAnsi="宋体" w:eastAsia="宋体" w:cs="宋体"/>
          <w:color w:val="auto"/>
          <w:szCs w:val="21"/>
          <w:highlight w:val="none"/>
        </w:rPr>
        <w:t>)</w:t>
      </w:r>
    </w:p>
    <w:bookmarkEnd w:id="11"/>
    <w:bookmarkEnd w:id="12"/>
    <w:p w14:paraId="4C927301">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数量：1</w:t>
      </w:r>
    </w:p>
    <w:p w14:paraId="25ACE39E">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预算金额（元）：1200000.00</w:t>
      </w:r>
    </w:p>
    <w:p w14:paraId="632B321B">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简要规格描述或项目基本概况介绍、用途：七星区农村学校伙房食材配送服</w:t>
      </w:r>
      <w:r>
        <w:rPr>
          <w:rFonts w:hint="eastAsia" w:ascii="宋体" w:hAnsi="宋体" w:eastAsia="宋体" w:cs="宋体"/>
          <w:color w:val="auto"/>
          <w:szCs w:val="21"/>
          <w:highlight w:val="none"/>
        </w:rPr>
        <w:t>务</w:t>
      </w:r>
      <w:r>
        <w:rPr>
          <w:rFonts w:hint="eastAsia" w:ascii="宋体" w:hAnsi="宋体" w:eastAsia="宋体" w:cs="宋体"/>
          <w:color w:val="auto"/>
          <w:szCs w:val="21"/>
          <w:highlight w:val="none"/>
        </w:rPr>
        <w:t>(</w:t>
      </w:r>
      <w:r>
        <w:rPr>
          <w:rFonts w:hint="eastAsia" w:ascii="宋体" w:hAnsi="宋体" w:eastAsia="宋体" w:cs="宋体"/>
          <w:color w:val="auto"/>
          <w:spacing w:val="-4"/>
          <w:szCs w:val="21"/>
          <w:highlight w:val="none"/>
        </w:rPr>
        <w:t>禽畜肉类</w:t>
      </w:r>
      <w:r>
        <w:rPr>
          <w:rFonts w:hint="eastAsia" w:ascii="宋体" w:hAnsi="宋体" w:eastAsia="宋体" w:cs="宋体"/>
          <w:color w:val="auto"/>
          <w:spacing w:val="1"/>
          <w:szCs w:val="21"/>
          <w:highlight w:val="none"/>
        </w:rPr>
        <w:t>、</w:t>
      </w:r>
      <w:r>
        <w:rPr>
          <w:rFonts w:hint="eastAsia" w:ascii="宋体" w:hAnsi="宋体" w:eastAsia="宋体" w:cs="宋体"/>
          <w:color w:val="auto"/>
          <w:spacing w:val="-1"/>
          <w:szCs w:val="21"/>
          <w:highlight w:val="none"/>
        </w:rPr>
        <w:t>水产类</w:t>
      </w:r>
      <w:r>
        <w:rPr>
          <w:rFonts w:hint="eastAsia" w:ascii="宋体" w:hAnsi="宋体" w:eastAsia="宋体" w:cs="宋体"/>
          <w:color w:val="auto"/>
          <w:spacing w:val="-1"/>
          <w:szCs w:val="21"/>
          <w:highlight w:val="none"/>
        </w:rPr>
        <w:t>、</w:t>
      </w:r>
      <w:r>
        <w:rPr>
          <w:rFonts w:hint="eastAsia" w:ascii="宋体" w:hAnsi="宋体" w:eastAsia="宋体" w:cs="宋体"/>
          <w:color w:val="auto"/>
          <w:highlight w:val="none"/>
        </w:rPr>
        <w:t>豆制品类</w:t>
      </w:r>
      <w:r>
        <w:rPr>
          <w:rFonts w:hint="eastAsia" w:ascii="宋体" w:hAnsi="宋体" w:eastAsia="宋体" w:cs="宋体"/>
          <w:color w:val="auto"/>
          <w:szCs w:val="21"/>
          <w:highlight w:val="none"/>
        </w:rPr>
        <w:t>、蔬菜类</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rPr>
        <w:t>1项，如需进</w:t>
      </w:r>
      <w:r>
        <w:rPr>
          <w:rFonts w:hint="eastAsia" w:ascii="宋体" w:hAnsi="宋体" w:eastAsia="宋体" w:cs="宋体"/>
          <w:color w:val="auto"/>
          <w:szCs w:val="21"/>
          <w:highlight w:val="none"/>
        </w:rPr>
        <w:t>一步了解详细内容，详见</w:t>
      </w:r>
      <w:r>
        <w:rPr>
          <w:rFonts w:hint="eastAsia" w:ascii="宋体" w:hAnsi="宋体" w:eastAsia="宋体" w:cs="宋体"/>
          <w:color w:val="auto"/>
          <w:szCs w:val="21"/>
          <w:highlight w:val="none"/>
        </w:rPr>
        <w:t>竞争性磋商文件。</w:t>
      </w:r>
    </w:p>
    <w:p w14:paraId="3CDCE626">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最高限价（如有）：/</w:t>
      </w:r>
    </w:p>
    <w:p w14:paraId="3383E594">
      <w:pPr>
        <w:wordWrap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合同履约期限</w:t>
      </w:r>
      <w:r>
        <w:rPr>
          <w:rFonts w:hint="eastAsia" w:ascii="宋体" w:hAnsi="宋体" w:eastAsia="宋体" w:cs="宋体"/>
          <w:color w:val="auto"/>
          <w:szCs w:val="21"/>
          <w:highlight w:val="none"/>
        </w:rPr>
        <w:t>：</w:t>
      </w:r>
      <w:r>
        <w:rPr>
          <w:rFonts w:hint="eastAsia" w:ascii="宋体" w:hAnsi="宋体" w:eastAsia="宋体" w:cs="宋体"/>
          <w:color w:val="auto"/>
          <w:highlight w:val="none"/>
        </w:rPr>
        <w:t>自合同签订之日起至2027年春季学期结束止。</w:t>
      </w:r>
    </w:p>
    <w:p w14:paraId="79591604">
      <w:pPr>
        <w:wordWrap w:val="0"/>
        <w:spacing w:line="440" w:lineRule="exact"/>
        <w:ind w:firstLine="420" w:firstLineChars="200"/>
        <w:rPr>
          <w:rFonts w:hint="eastAsia" w:ascii="宋体" w:hAnsi="宋体" w:eastAsia="宋体" w:cs="宋体"/>
          <w:color w:val="auto"/>
          <w:highlight w:val="none"/>
        </w:rPr>
      </w:pPr>
      <w:bookmarkStart w:id="13" w:name="_Toc35393630"/>
      <w:bookmarkStart w:id="14" w:name="_Toc35393799"/>
      <w:bookmarkStart w:id="15" w:name="_Toc28359090"/>
      <w:bookmarkStart w:id="16" w:name="_Toc28359013"/>
      <w:r>
        <w:rPr>
          <w:rFonts w:hint="eastAsia" w:ascii="宋体" w:hAnsi="宋体" w:eastAsia="宋体" w:cs="宋体"/>
          <w:color w:val="auto"/>
          <w:highlight w:val="none"/>
        </w:rPr>
        <w:t>本标项（否）接受联合体参与磋商。</w:t>
      </w:r>
    </w:p>
    <w:p w14:paraId="1B6E9339">
      <w:pPr>
        <w:wordWrap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备注：</w:t>
      </w:r>
    </w:p>
    <w:p w14:paraId="4AF21EA7">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标项二</w:t>
      </w:r>
    </w:p>
    <w:p w14:paraId="503F54A5">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p w14:paraId="33F19392">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标项名称：七星区农村学校伙房食材配送服务项目</w:t>
      </w:r>
      <w:bookmarkStart w:id="17" w:name="OLE_LINK226"/>
      <w:bookmarkStart w:id="18" w:name="OLE_LINK151"/>
      <w:bookmarkStart w:id="19" w:name="OLE_LINK148"/>
      <w:r>
        <w:rPr>
          <w:rFonts w:hint="eastAsia" w:ascii="宋体" w:hAnsi="宋体" w:eastAsia="宋体" w:cs="宋体"/>
          <w:color w:val="auto"/>
          <w:szCs w:val="21"/>
          <w:highlight w:val="none"/>
        </w:rPr>
        <w:t>（米</w:t>
      </w:r>
      <w:r>
        <w:rPr>
          <w:rFonts w:hint="eastAsia" w:ascii="宋体" w:hAnsi="宋体" w:eastAsia="宋体" w:cs="宋体"/>
          <w:color w:val="auto"/>
          <w:szCs w:val="21"/>
          <w:highlight w:val="none"/>
        </w:rPr>
        <w:t>、</w:t>
      </w:r>
      <w:r>
        <w:rPr>
          <w:rFonts w:hint="eastAsia" w:ascii="宋体" w:hAnsi="宋体" w:eastAsia="宋体" w:cs="宋体"/>
          <w:color w:val="auto"/>
          <w:highlight w:val="none"/>
        </w:rPr>
        <w:t>食用油、</w:t>
      </w:r>
      <w:r>
        <w:rPr>
          <w:rFonts w:hint="eastAsia" w:ascii="宋体" w:hAnsi="宋体" w:eastAsia="宋体" w:cs="宋体"/>
          <w:color w:val="auto"/>
          <w:szCs w:val="21"/>
          <w:highlight w:val="none"/>
        </w:rPr>
        <w:t>干货类、调味品类、</w:t>
      </w:r>
      <w:r>
        <w:rPr>
          <w:rFonts w:hint="eastAsia" w:ascii="宋体" w:hAnsi="宋体" w:eastAsia="宋体" w:cs="宋体"/>
          <w:color w:val="auto"/>
          <w:highlight w:val="none"/>
        </w:rPr>
        <w:t>禽蛋</w:t>
      </w:r>
      <w:r>
        <w:rPr>
          <w:rFonts w:hint="eastAsia" w:ascii="宋体" w:hAnsi="宋体" w:eastAsia="宋体" w:cs="宋体"/>
          <w:color w:val="auto"/>
          <w:szCs w:val="21"/>
          <w:highlight w:val="none"/>
        </w:rPr>
        <w:t>）</w:t>
      </w:r>
      <w:bookmarkEnd w:id="17"/>
      <w:bookmarkEnd w:id="18"/>
      <w:bookmarkEnd w:id="19"/>
    </w:p>
    <w:p w14:paraId="535CDBA6">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数量：1</w:t>
      </w:r>
    </w:p>
    <w:p w14:paraId="2600719A">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预算金额（元）：750000.00</w:t>
      </w:r>
    </w:p>
    <w:p w14:paraId="1B4B2FAD">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简要规格描述或项目基本概况介绍、用途：七星区农村学校伙房食材配</w:t>
      </w:r>
      <w:r>
        <w:rPr>
          <w:rFonts w:hint="eastAsia" w:ascii="宋体" w:hAnsi="宋体" w:eastAsia="宋体" w:cs="宋体"/>
          <w:color w:val="auto"/>
          <w:szCs w:val="21"/>
          <w:highlight w:val="none"/>
        </w:rPr>
        <w:t>送服务</w:t>
      </w:r>
      <w:r>
        <w:rPr>
          <w:rFonts w:hint="eastAsia" w:ascii="宋体" w:hAnsi="宋体" w:eastAsia="宋体" w:cs="宋体"/>
          <w:color w:val="auto"/>
          <w:szCs w:val="21"/>
          <w:highlight w:val="none"/>
        </w:rPr>
        <w:t>（米</w:t>
      </w:r>
      <w:r>
        <w:rPr>
          <w:rFonts w:hint="eastAsia" w:ascii="宋体" w:hAnsi="宋体" w:eastAsia="宋体" w:cs="宋体"/>
          <w:color w:val="auto"/>
          <w:szCs w:val="21"/>
          <w:highlight w:val="none"/>
        </w:rPr>
        <w:t>、</w:t>
      </w:r>
      <w:r>
        <w:rPr>
          <w:rFonts w:hint="eastAsia" w:ascii="宋体" w:hAnsi="宋体" w:eastAsia="宋体" w:cs="宋体"/>
          <w:color w:val="auto"/>
          <w:highlight w:val="none"/>
        </w:rPr>
        <w:t>食用油、</w:t>
      </w:r>
      <w:r>
        <w:rPr>
          <w:rFonts w:hint="eastAsia" w:ascii="宋体" w:hAnsi="宋体" w:eastAsia="宋体" w:cs="宋体"/>
          <w:color w:val="auto"/>
          <w:szCs w:val="21"/>
          <w:highlight w:val="none"/>
        </w:rPr>
        <w:t>干货类、调味品类、</w:t>
      </w:r>
      <w:r>
        <w:rPr>
          <w:rFonts w:hint="eastAsia" w:ascii="宋体" w:hAnsi="宋体" w:eastAsia="宋体" w:cs="宋体"/>
          <w:color w:val="auto"/>
          <w:highlight w:val="none"/>
        </w:rPr>
        <w:t>禽蛋</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rPr>
        <w:t>1项，如</w:t>
      </w:r>
      <w:r>
        <w:rPr>
          <w:rFonts w:hint="eastAsia" w:ascii="宋体" w:hAnsi="宋体" w:eastAsia="宋体" w:cs="宋体"/>
          <w:color w:val="auto"/>
          <w:szCs w:val="21"/>
          <w:highlight w:val="none"/>
        </w:rPr>
        <w:t>需进一步了解详细内容，详见</w:t>
      </w:r>
      <w:r>
        <w:rPr>
          <w:rFonts w:hint="eastAsia" w:ascii="宋体" w:hAnsi="宋体" w:eastAsia="宋体" w:cs="宋体"/>
          <w:color w:val="auto"/>
          <w:szCs w:val="21"/>
          <w:highlight w:val="none"/>
        </w:rPr>
        <w:t>竞争性磋商文件。</w:t>
      </w:r>
    </w:p>
    <w:p w14:paraId="6BD51236">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最高限价（如有）：/</w:t>
      </w:r>
    </w:p>
    <w:p w14:paraId="6AB0FD1A">
      <w:pPr>
        <w:wordWrap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合同履约期限</w:t>
      </w:r>
      <w:r>
        <w:rPr>
          <w:rFonts w:hint="eastAsia" w:ascii="宋体" w:hAnsi="宋体" w:eastAsia="宋体" w:cs="宋体"/>
          <w:color w:val="auto"/>
          <w:szCs w:val="21"/>
          <w:highlight w:val="none"/>
        </w:rPr>
        <w:t>：</w:t>
      </w:r>
      <w:r>
        <w:rPr>
          <w:rFonts w:hint="eastAsia" w:ascii="宋体" w:hAnsi="宋体" w:eastAsia="宋体" w:cs="宋体"/>
          <w:color w:val="auto"/>
          <w:highlight w:val="none"/>
        </w:rPr>
        <w:t>自合同签订之日起至2027年春季学期结束止。</w:t>
      </w:r>
    </w:p>
    <w:p w14:paraId="7A61BBD5">
      <w:pPr>
        <w:wordWrap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本标项（否）接受联合体参与磋商。</w:t>
      </w:r>
    </w:p>
    <w:p w14:paraId="2CD68F82">
      <w:pPr>
        <w:wordWrap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备注：</w:t>
      </w:r>
    </w:p>
    <w:p w14:paraId="55CDCD68">
      <w:pPr>
        <w:wordWrap w:val="0"/>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二、申请人的资格要求</w:t>
      </w:r>
      <w:bookmarkEnd w:id="13"/>
      <w:bookmarkEnd w:id="14"/>
      <w:bookmarkEnd w:id="15"/>
      <w:bookmarkEnd w:id="16"/>
    </w:p>
    <w:p w14:paraId="21A60C30">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14:paraId="49CF33BC">
      <w:pPr>
        <w:wordWrap w:val="0"/>
        <w:spacing w:line="400" w:lineRule="exact"/>
        <w:rPr>
          <w:rStyle w:val="83"/>
          <w:rFonts w:hint="eastAsia" w:ascii="宋体" w:hAnsi="宋体" w:eastAsia="宋体" w:cs="宋体"/>
          <w:color w:val="auto"/>
          <w:szCs w:val="21"/>
          <w:highlight w:val="none"/>
        </w:rPr>
      </w:pPr>
      <w:bookmarkStart w:id="20" w:name="_Toc28359014"/>
      <w:bookmarkStart w:id="21" w:name="_Toc28359091"/>
      <w:r>
        <w:rPr>
          <w:rFonts w:hint="eastAsia" w:ascii="宋体" w:hAnsi="宋体" w:eastAsia="宋体" w:cs="宋体"/>
          <w:color w:val="auto"/>
          <w:szCs w:val="21"/>
          <w:highlight w:val="none"/>
        </w:rPr>
        <w:t xml:space="preserve">    2.落实政府采购政策需满足的资格要求：</w:t>
      </w:r>
      <w:bookmarkStart w:id="22" w:name="OLE_LINK44"/>
      <w:r>
        <w:rPr>
          <w:rFonts w:hint="eastAsia" w:ascii="宋体" w:hAnsi="宋体" w:eastAsia="宋体" w:cs="宋体"/>
          <w:color w:val="auto"/>
          <w:szCs w:val="21"/>
          <w:highlight w:val="none"/>
        </w:rPr>
        <w:t>分标1，2</w:t>
      </w:r>
      <w:r>
        <w:rPr>
          <w:rFonts w:hint="eastAsia" w:ascii="宋体" w:hAnsi="宋体" w:eastAsia="宋体" w:cs="宋体"/>
          <w:color w:val="auto"/>
          <w:spacing w:val="7"/>
          <w:highlight w:val="none"/>
        </w:rPr>
        <w:t>：</w:t>
      </w:r>
      <w:r>
        <w:rPr>
          <w:rFonts w:hint="eastAsia" w:ascii="宋体" w:hAnsi="宋体" w:eastAsia="宋体" w:cs="宋体"/>
          <w:color w:val="auto"/>
          <w:szCs w:val="21"/>
          <w:highlight w:val="none"/>
        </w:rPr>
        <w:t>专门面向中小企业采购【供应商应符合《政府采购促进中小企业发展管理办法》（财库[2020]46号）中关于中小微企业的相关规定；监狱企业及残疾人福利性单位视同于小微企业】。 </w:t>
      </w:r>
    </w:p>
    <w:bookmarkEnd w:id="22"/>
    <w:p w14:paraId="1AD88F7A">
      <w:pPr>
        <w:wordWrap w:val="0"/>
        <w:spacing w:line="440" w:lineRule="exact"/>
        <w:ind w:firstLine="420" w:firstLineChars="200"/>
        <w:rPr>
          <w:rStyle w:val="83"/>
          <w:rFonts w:hint="eastAsia" w:ascii="宋体" w:hAnsi="宋体" w:eastAsia="宋体" w:cs="宋体"/>
          <w:color w:val="auto"/>
          <w:sz w:val="22"/>
          <w:szCs w:val="22"/>
          <w:highlight w:val="none"/>
        </w:rPr>
      </w:pPr>
      <w:r>
        <w:rPr>
          <w:rFonts w:hint="eastAsia" w:ascii="宋体" w:hAnsi="宋体" w:eastAsia="宋体" w:cs="宋体"/>
          <w:color w:val="auto"/>
          <w:szCs w:val="21"/>
          <w:highlight w:val="none"/>
        </w:rPr>
        <w:t>3.</w:t>
      </w:r>
      <w:bookmarkStart w:id="23" w:name="_Toc35393631"/>
      <w:bookmarkStart w:id="24" w:name="_Toc35393800"/>
      <w:r>
        <w:rPr>
          <w:rFonts w:hint="eastAsia" w:ascii="宋体" w:hAnsi="宋体" w:eastAsia="宋体" w:cs="宋体"/>
          <w:color w:val="auto"/>
          <w:szCs w:val="21"/>
          <w:highlight w:val="none"/>
        </w:rPr>
        <w:t>本项目的特定资格要求：分标1，2：供应商须具有有效的《食品经营许可证》（若供应商所配送食材为自主生产的，还须具有有效的《食品生产许可证》）。</w:t>
      </w:r>
    </w:p>
    <w:p w14:paraId="4A32FE19">
      <w:pPr>
        <w:wordWrap w:val="0"/>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三、获取</w:t>
      </w:r>
      <w:bookmarkEnd w:id="20"/>
      <w:bookmarkEnd w:id="21"/>
      <w:bookmarkEnd w:id="23"/>
      <w:bookmarkEnd w:id="24"/>
      <w:r>
        <w:rPr>
          <w:rFonts w:hint="eastAsia" w:ascii="宋体" w:hAnsi="宋体" w:eastAsia="宋体" w:cs="宋体"/>
          <w:b/>
          <w:bCs/>
          <w:color w:val="auto"/>
          <w:szCs w:val="21"/>
          <w:highlight w:val="none"/>
        </w:rPr>
        <w:t>竞争性磋商文件</w:t>
      </w:r>
    </w:p>
    <w:p w14:paraId="11201C9A">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时间：/至2026年9月21日，每天上午00:00至12:00，下午12:01至23:59（北京时间，法定节假日除外）</w:t>
      </w:r>
    </w:p>
    <w:p w14:paraId="7FAF4E11">
      <w:pPr>
        <w:wordWrap w:val="0"/>
        <w:spacing w:line="44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地点（网址）：“广西政府采购云平台”平台（https://www.gcy.zfcg.gxzf.gov.cn/）</w:t>
      </w:r>
    </w:p>
    <w:p w14:paraId="509B21E3">
      <w:pPr>
        <w:wordWrap w:val="0"/>
        <w:spacing w:line="44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方式：潜在供应商在“广西政府采购云平台”平台（https://www.gcy.zfcg.gxzf.gov.cn/）免费</w:t>
      </w:r>
      <w:r>
        <w:rPr>
          <w:rFonts w:hint="eastAsia" w:ascii="宋体" w:hAnsi="宋体" w:eastAsia="宋体" w:cs="宋体"/>
          <w:color w:val="auto"/>
          <w:sz w:val="24"/>
          <w:highlight w:val="none"/>
        </w:rPr>
        <w:t>下载</w:t>
      </w:r>
      <w:r>
        <w:rPr>
          <w:rFonts w:hint="eastAsia" w:ascii="宋体" w:hAnsi="宋体" w:eastAsia="宋体" w:cs="宋体"/>
          <w:color w:val="auto"/>
          <w:szCs w:val="21"/>
          <w:highlight w:val="none"/>
        </w:rPr>
        <w:t>获取竞争性磋商文件电子版。</w:t>
      </w:r>
      <w:r>
        <w:rPr>
          <w:rFonts w:hint="eastAsia" w:ascii="宋体" w:hAnsi="宋体" w:eastAsia="宋体" w:cs="宋体"/>
          <w:b/>
          <w:bCs/>
          <w:color w:val="auto"/>
          <w:szCs w:val="21"/>
          <w:highlight w:val="none"/>
        </w:rPr>
        <w:t>供应商应登录“广西政府采购云”平台进行“申请获取竞争性磋商文件”操作，否则，将导致无法在线编制响应文件并参与磋商，其不利后果由供应商自行承担。</w:t>
      </w:r>
    </w:p>
    <w:p w14:paraId="544C2832">
      <w:pPr>
        <w:wordWrap w:val="0"/>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售价（元）：0</w:t>
      </w:r>
      <w:bookmarkStart w:id="25" w:name="_Toc28359092"/>
      <w:bookmarkStart w:id="26" w:name="_Toc35393632"/>
      <w:bookmarkStart w:id="27" w:name="_Toc35393801"/>
      <w:bookmarkStart w:id="28" w:name="_Toc28359015"/>
    </w:p>
    <w:p w14:paraId="574EF697">
      <w:pPr>
        <w:wordWrap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四、响应文件提交</w:t>
      </w:r>
      <w:bookmarkEnd w:id="25"/>
      <w:bookmarkEnd w:id="26"/>
      <w:bookmarkEnd w:id="27"/>
      <w:bookmarkEnd w:id="28"/>
    </w:p>
    <w:p w14:paraId="6FB8ABB7">
      <w:pPr>
        <w:wordWrap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截止时间：2026年9月21日09:30</w:t>
      </w:r>
      <w:r>
        <w:rPr>
          <w:rFonts w:hint="eastAsia" w:ascii="宋体" w:hAnsi="宋体" w:eastAsia="宋体" w:cs="宋体"/>
          <w:bCs/>
          <w:color w:val="auto"/>
          <w:szCs w:val="21"/>
          <w:highlight w:val="none"/>
        </w:rPr>
        <w:t>（北京时间）</w:t>
      </w:r>
    </w:p>
    <w:p w14:paraId="491FDAD9">
      <w:pPr>
        <w:wordWrap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地点：</w:t>
      </w:r>
      <w:bookmarkStart w:id="29" w:name="_Toc35393633"/>
      <w:bookmarkStart w:id="30" w:name="_Toc35393802"/>
      <w:bookmarkStart w:id="31" w:name="_Toc28359016"/>
      <w:bookmarkStart w:id="32" w:name="_Toc28359093"/>
      <w:r>
        <w:rPr>
          <w:rFonts w:hint="eastAsia" w:ascii="宋体" w:hAnsi="宋体" w:eastAsia="宋体" w:cs="宋体"/>
          <w:color w:val="auto"/>
          <w:highlight w:val="none"/>
        </w:rPr>
        <w:t>通过“广西政府采购云”平台在线提交</w:t>
      </w:r>
    </w:p>
    <w:p w14:paraId="42F13F53">
      <w:pPr>
        <w:wordWrap w:val="0"/>
        <w:spacing w:line="400" w:lineRule="exact"/>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五、开启</w:t>
      </w:r>
      <w:bookmarkEnd w:id="29"/>
      <w:bookmarkEnd w:id="30"/>
      <w:bookmarkEnd w:id="31"/>
      <w:bookmarkEnd w:id="32"/>
    </w:p>
    <w:p w14:paraId="08055C58">
      <w:pPr>
        <w:wordWrap w:val="0"/>
        <w:spacing w:line="400" w:lineRule="exact"/>
        <w:ind w:firstLine="420" w:firstLineChars="200"/>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时间：2026年9月21日09:30</w:t>
      </w:r>
      <w:r>
        <w:rPr>
          <w:rFonts w:hint="eastAsia" w:ascii="宋体" w:hAnsi="宋体" w:eastAsia="宋体" w:cs="宋体"/>
          <w:bCs/>
          <w:color w:val="auto"/>
          <w:szCs w:val="21"/>
          <w:highlight w:val="none"/>
        </w:rPr>
        <w:t>（北京时间）</w:t>
      </w:r>
    </w:p>
    <w:p w14:paraId="514A059E">
      <w:pPr>
        <w:wordWrap w:val="0"/>
        <w:spacing w:line="400" w:lineRule="exact"/>
        <w:ind w:firstLine="420" w:firstLineChars="200"/>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地点：</w:t>
      </w:r>
      <w:bookmarkStart w:id="33" w:name="_Toc28359017"/>
      <w:bookmarkStart w:id="34" w:name="_Toc35393634"/>
      <w:bookmarkStart w:id="35" w:name="_Toc35393803"/>
      <w:bookmarkStart w:id="36" w:name="_Toc28359094"/>
      <w:r>
        <w:rPr>
          <w:rFonts w:hint="eastAsia" w:ascii="宋体" w:hAnsi="宋体" w:eastAsia="宋体" w:cs="宋体"/>
          <w:color w:val="auto"/>
          <w:szCs w:val="21"/>
          <w:highlight w:val="none"/>
        </w:rPr>
        <w:t>通过“广西政府采购云”平台在线解密开启</w:t>
      </w:r>
    </w:p>
    <w:p w14:paraId="414C9241">
      <w:pPr>
        <w:wordWrap w:val="0"/>
        <w:spacing w:line="400" w:lineRule="exact"/>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六、公告期限</w:t>
      </w:r>
      <w:bookmarkEnd w:id="33"/>
      <w:bookmarkEnd w:id="34"/>
      <w:bookmarkEnd w:id="35"/>
      <w:bookmarkEnd w:id="36"/>
    </w:p>
    <w:p w14:paraId="758752C4">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bookmarkStart w:id="37" w:name="_Toc35393635"/>
      <w:bookmarkStart w:id="38" w:name="_Toc35393804"/>
    </w:p>
    <w:p w14:paraId="0488C43F">
      <w:pPr>
        <w:wordWrap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七、其他补充事宜</w:t>
      </w:r>
      <w:bookmarkEnd w:id="37"/>
      <w:bookmarkEnd w:id="38"/>
    </w:p>
    <w:p w14:paraId="50FB831E">
      <w:pPr>
        <w:wordWrap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bCs/>
          <w:color w:val="auto"/>
          <w:szCs w:val="21"/>
          <w:highlight w:val="none"/>
        </w:rPr>
        <w:t>1.信息公告发布媒体：中国政府采购网（</w:t>
      </w:r>
      <w:r>
        <w:rPr>
          <w:rFonts w:hint="eastAsia" w:ascii="宋体" w:hAnsi="宋体" w:eastAsia="宋体" w:cs="宋体"/>
          <w:bCs/>
          <w:color w:val="auto"/>
          <w:szCs w:val="21"/>
          <w:highlight w:val="none"/>
        </w:rPr>
        <w:t>http://</w:t>
      </w:r>
      <w:r>
        <w:rPr>
          <w:rFonts w:hint="eastAsia" w:ascii="宋体" w:hAnsi="宋体" w:eastAsia="宋体" w:cs="宋体"/>
          <w:bCs/>
          <w:color w:val="auto"/>
          <w:szCs w:val="21"/>
          <w:highlight w:val="none"/>
        </w:rPr>
        <w:t>www.ccgp.gov.cn）、广西壮族自治区政府采购网（</w:t>
      </w:r>
      <w:r>
        <w:rPr>
          <w:rFonts w:hint="eastAsia" w:ascii="宋体" w:hAnsi="宋体" w:eastAsia="宋体" w:cs="宋体"/>
          <w:bCs/>
          <w:color w:val="auto"/>
          <w:szCs w:val="21"/>
          <w:highlight w:val="none"/>
        </w:rPr>
        <w:t>http://</w:t>
      </w:r>
      <w:r>
        <w:rPr>
          <w:rFonts w:hint="eastAsia" w:ascii="宋体" w:hAnsi="宋体" w:eastAsia="宋体" w:cs="宋体"/>
          <w:bCs/>
          <w:color w:val="auto"/>
          <w:szCs w:val="21"/>
          <w:highlight w:val="none"/>
        </w:rPr>
        <w:t>zfcg.gxzf.gov.cn）、桂林市政府采购网（</w:t>
      </w:r>
      <w:r>
        <w:rPr>
          <w:rFonts w:hint="eastAsia" w:ascii="宋体" w:hAnsi="宋体" w:eastAsia="宋体" w:cs="宋体"/>
          <w:bCs/>
          <w:color w:val="auto"/>
          <w:szCs w:val="21"/>
          <w:highlight w:val="none"/>
        </w:rPr>
        <w:t>http://</w:t>
      </w:r>
      <w:r>
        <w:rPr>
          <w:rFonts w:hint="eastAsia" w:ascii="宋体" w:hAnsi="宋体" w:eastAsia="宋体" w:cs="宋体"/>
          <w:bCs/>
          <w:color w:val="auto"/>
          <w:szCs w:val="21"/>
          <w:highlight w:val="none"/>
        </w:rPr>
        <w:t>zfcg.czj.guilin.gov.cn/）</w:t>
      </w:r>
      <w:r>
        <w:rPr>
          <w:rFonts w:hint="eastAsia" w:ascii="宋体" w:hAnsi="宋体" w:eastAsia="宋体" w:cs="宋体"/>
          <w:color w:val="auto"/>
          <w:szCs w:val="21"/>
          <w:highlight w:val="none"/>
        </w:rPr>
        <w:t>。</w:t>
      </w:r>
    </w:p>
    <w:p w14:paraId="24AC23F5">
      <w:pPr>
        <w:wordWrap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2.本项目需要落实的政府采购政策：</w:t>
      </w:r>
    </w:p>
    <w:p w14:paraId="1081528A">
      <w:pPr>
        <w:wordWrap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（1）政府采购促进中小企业发展；</w:t>
      </w:r>
    </w:p>
    <w:p w14:paraId="493A57C0">
      <w:pPr>
        <w:wordWrap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（2）政府采购支持监狱企业发展；</w:t>
      </w:r>
    </w:p>
    <w:p w14:paraId="4FE3EA52">
      <w:pPr>
        <w:wordWrap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（3）政府采购促进残疾人就业政策；</w:t>
      </w:r>
    </w:p>
    <w:p w14:paraId="4CA85E95">
      <w:pPr>
        <w:wordWrap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（4）政府采购支持采用本国产品的政策；</w:t>
      </w:r>
    </w:p>
    <w:p w14:paraId="6C0C7A24">
      <w:pPr>
        <w:wordWrap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（5）优先采购节能产品、环境标志产品；</w:t>
      </w:r>
    </w:p>
    <w:p w14:paraId="7F1E5131">
      <w:pPr>
        <w:wordWrap w:val="0"/>
        <w:spacing w:line="400" w:lineRule="exact"/>
        <w:ind w:firstLine="420" w:firstLineChars="200"/>
        <w:rPr>
          <w:rFonts w:hint="eastAsia" w:ascii="宋体" w:hAnsi="宋体" w:eastAsia="宋体" w:cs="宋体"/>
          <w:bCs/>
          <w:color w:val="auto"/>
          <w:szCs w:val="21"/>
          <w:highlight w:val="none"/>
        </w:rPr>
      </w:pPr>
      <w:bookmarkStart w:id="39" w:name="_Toc35393636"/>
      <w:bookmarkStart w:id="40" w:name="_Toc35393805"/>
      <w:bookmarkStart w:id="41" w:name="_Toc28359095"/>
      <w:bookmarkStart w:id="42" w:name="_Toc28359018"/>
      <w:r>
        <w:rPr>
          <w:rFonts w:hint="eastAsia" w:ascii="宋体" w:hAnsi="宋体" w:eastAsia="宋体" w:cs="宋体"/>
          <w:bCs/>
          <w:color w:val="auto"/>
          <w:szCs w:val="21"/>
          <w:highlight w:val="none"/>
        </w:rPr>
        <w:t>（6）本项目为服务项目，不涉及强制采购节能产品。</w:t>
      </w:r>
    </w:p>
    <w:p w14:paraId="19E51600">
      <w:pPr>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 xml:space="preserve"> 3.</w:t>
      </w:r>
      <w:r>
        <w:rPr>
          <w:rFonts w:hint="eastAsia" w:ascii="宋体" w:hAnsi="宋体" w:eastAsia="宋体" w:cs="宋体"/>
          <w:color w:val="auto"/>
          <w:szCs w:val="21"/>
          <w:highlight w:val="none"/>
        </w:rPr>
        <w:t>资格条件特别说明：</w:t>
      </w:r>
    </w:p>
    <w:p w14:paraId="4593148B">
      <w:pPr>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5636769">
      <w:pPr>
        <w:wordWrap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（2）对在“信用中国”网站(https://www.creditchina.gov.cn) 、中国政府采购网(https://www.ccgp.gov.cn)被列入失信被执行人、重大税收违法失信主体、政府采购严重违法失信行为记录名单及其他不符合《中华人民共和国政府采购法》第二十二条规定条件的供应商，不得参与政府采购活动。</w:t>
      </w:r>
    </w:p>
    <w:p w14:paraId="2623A9DA">
      <w:pPr>
        <w:wordWrap w:val="0"/>
        <w:spacing w:line="440" w:lineRule="exact"/>
        <w:ind w:firstLine="525" w:firstLineChars="25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4.“广西政府采购云平台”电子竞标相关事宜：</w:t>
      </w:r>
    </w:p>
    <w:p w14:paraId="667ADE73">
      <w:pPr>
        <w:wordWrap w:val="0"/>
        <w:adjustRightInd w:val="0"/>
        <w:snapToGri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③下载“广西壮族自治区全流程电子招响应项目管理系统--供应商客户端”（操作方法详见广西壮族自治区政府采购网—办事服务—下载专区，以下称“广西政府采购云平台电子响应客户端”）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平台CA证书）。因供应商未做好相关准备工作等自身原因导致无法参加本项目电子竞标或竞标失败的，造成的一切后果，由供应商自行承担。</w:t>
      </w:r>
    </w:p>
    <w:p w14:paraId="4E6EE5FB">
      <w:pPr>
        <w:wordWrap w:val="0"/>
        <w:adjustRightInd w:val="0"/>
        <w:snapToGri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（2）电子竞标具体操作流程参考《政府采购项目电子交易管理操作指南-供应商》（详见桂林市政府采购网—采购资讯—重要通知）；如遇平台技术问题详询95763。</w:t>
      </w:r>
    </w:p>
    <w:p w14:paraId="5E0BEAF4">
      <w:pPr>
        <w:wordWrap w:val="0"/>
        <w:adjustRightInd w:val="0"/>
        <w:snapToGri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（3）电子响应文件的制作、加密、提交、解密等相关事宜详见第二章 “供应商须知”。</w:t>
      </w:r>
    </w:p>
    <w:p w14:paraId="2F110BB8">
      <w:pPr>
        <w:wordWrap w:val="0"/>
        <w:adjustRightInd w:val="0"/>
        <w:snapToGri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5.监督管理机构：桂林市七星区财政局；联系方式：0773-2126206。</w:t>
      </w:r>
    </w:p>
    <w:p w14:paraId="18CFBFCB">
      <w:pPr>
        <w:wordWrap w:val="0"/>
        <w:spacing w:line="44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八、凡对本次采购提出询问，请按以下方式联系</w:t>
      </w:r>
      <w:bookmarkEnd w:id="39"/>
      <w:bookmarkEnd w:id="40"/>
      <w:bookmarkEnd w:id="41"/>
      <w:bookmarkEnd w:id="42"/>
    </w:p>
    <w:p w14:paraId="43E210B5">
      <w:pPr>
        <w:wordWrap w:val="0"/>
        <w:spacing w:line="44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1.采购人信息</w:t>
      </w:r>
    </w:p>
    <w:p w14:paraId="14AC4873">
      <w:pPr>
        <w:wordWrap w:val="0"/>
        <w:spacing w:line="44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名  称：</w:t>
      </w:r>
      <w:bookmarkStart w:id="43" w:name="OLE_LINK182"/>
      <w:bookmarkStart w:id="44" w:name="OLE_LINK181"/>
      <w:r>
        <w:rPr>
          <w:rFonts w:hint="eastAsia" w:ascii="宋体" w:hAnsi="宋体" w:eastAsia="宋体" w:cs="宋体"/>
          <w:color w:val="auto"/>
          <w:kern w:val="0"/>
          <w:highlight w:val="none"/>
        </w:rPr>
        <w:t>桂林市七星区教育局 </w:t>
      </w:r>
      <w:bookmarkEnd w:id="43"/>
      <w:bookmarkEnd w:id="44"/>
    </w:p>
    <w:p w14:paraId="41B5BDED">
      <w:pPr>
        <w:wordWrap w:val="0"/>
        <w:spacing w:line="44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地  址：桂林市七星区码坪街15号 </w:t>
      </w:r>
    </w:p>
    <w:p w14:paraId="6516AD67">
      <w:pPr>
        <w:wordWrap w:val="0"/>
        <w:spacing w:line="44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采购人联系人：张鹏举</w:t>
      </w:r>
    </w:p>
    <w:p w14:paraId="522CCEE3">
      <w:pPr>
        <w:wordWrap w:val="0"/>
        <w:spacing w:line="44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联系方式：18177378279</w:t>
      </w:r>
    </w:p>
    <w:p w14:paraId="3C5B6912">
      <w:pPr>
        <w:wordWrap w:val="0"/>
        <w:spacing w:line="44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2.采购代理机构信息</w:t>
      </w:r>
      <w:bookmarkEnd w:id="5"/>
      <w:bookmarkEnd w:id="6"/>
    </w:p>
    <w:p w14:paraId="744031BF">
      <w:pPr>
        <w:wordWrap w:val="0"/>
        <w:spacing w:line="44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 名  称：广西华诚达建设项目管理有限公司</w:t>
      </w:r>
    </w:p>
    <w:p w14:paraId="05B6FDD6">
      <w:pPr>
        <w:wordWrap w:val="0"/>
        <w:spacing w:line="44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 地　址：桂林市七星区骖鸾路25号合鑫大楼6楼　　</w:t>
      </w:r>
    </w:p>
    <w:p w14:paraId="1C8ACCD8">
      <w:pPr>
        <w:wordWrap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采购代理机构联系人：常春华，廖云</w:t>
      </w:r>
    </w:p>
    <w:p w14:paraId="5947E07E">
      <w:pPr>
        <w:wordWrap w:val="0"/>
        <w:spacing w:line="44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 联系方式：0773-5630101</w:t>
      </w:r>
    </w:p>
    <w:p w14:paraId="19E4C648">
      <w:pPr>
        <w:numPr>
          <w:ilvl w:val="0"/>
          <w:numId w:val="2"/>
        </w:numPr>
        <w:wordWrap w:val="0"/>
        <w:spacing w:line="360" w:lineRule="exact"/>
        <w:ind w:left="0" w:firstLine="0"/>
        <w:jc w:val="center"/>
        <w:outlineLvl w:val="0"/>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bookmarkStart w:id="45" w:name="_Toc9324"/>
      <w:r>
        <w:rPr>
          <w:rFonts w:hint="eastAsia" w:ascii="宋体" w:hAnsi="宋体" w:eastAsia="宋体" w:cs="宋体"/>
          <w:b/>
          <w:color w:val="auto"/>
          <w:kern w:val="0"/>
          <w:sz w:val="32"/>
          <w:szCs w:val="32"/>
          <w:highlight w:val="none"/>
        </w:rPr>
        <w:t>供应商须知</w:t>
      </w:r>
      <w:bookmarkEnd w:id="45"/>
    </w:p>
    <w:p w14:paraId="7AADFB12">
      <w:pPr>
        <w:tabs>
          <w:tab w:val="left" w:pos="1065"/>
          <w:tab w:val="center" w:pos="4411"/>
        </w:tabs>
        <w:wordWrap w:val="0"/>
        <w:spacing w:line="360" w:lineRule="exact"/>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供 应 商 须 知 前 附 表</w:t>
      </w:r>
    </w:p>
    <w:tbl>
      <w:tblPr>
        <w:tblStyle w:val="3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09"/>
        <w:gridCol w:w="1559"/>
        <w:gridCol w:w="7088"/>
      </w:tblGrid>
      <w:tr w14:paraId="1D9C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75" w:type="dxa"/>
            <w:vAlign w:val="center"/>
          </w:tcPr>
          <w:p w14:paraId="282379AA">
            <w:pPr>
              <w:wordWrap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709" w:type="dxa"/>
            <w:vAlign w:val="center"/>
          </w:tcPr>
          <w:p w14:paraId="521138DB">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条款号</w:t>
            </w:r>
          </w:p>
        </w:tc>
        <w:tc>
          <w:tcPr>
            <w:tcW w:w="1559" w:type="dxa"/>
            <w:vAlign w:val="center"/>
          </w:tcPr>
          <w:p w14:paraId="4DCC01D1">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条款名称</w:t>
            </w:r>
          </w:p>
        </w:tc>
        <w:tc>
          <w:tcPr>
            <w:tcW w:w="7088" w:type="dxa"/>
            <w:vAlign w:val="center"/>
          </w:tcPr>
          <w:p w14:paraId="5ADF5663">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CD7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75" w:type="dxa"/>
            <w:vAlign w:val="center"/>
          </w:tcPr>
          <w:p w14:paraId="4B043B6D">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709" w:type="dxa"/>
            <w:vAlign w:val="center"/>
          </w:tcPr>
          <w:p w14:paraId="13D25971">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w:t>
            </w:r>
          </w:p>
        </w:tc>
        <w:tc>
          <w:tcPr>
            <w:tcW w:w="1559" w:type="dxa"/>
            <w:vAlign w:val="center"/>
          </w:tcPr>
          <w:p w14:paraId="324DBA25">
            <w:pPr>
              <w:wordWrap w:val="0"/>
              <w:spacing w:line="3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项目编号及项目名称</w:t>
            </w:r>
          </w:p>
        </w:tc>
        <w:tc>
          <w:tcPr>
            <w:tcW w:w="7088" w:type="dxa"/>
            <w:vAlign w:val="center"/>
          </w:tcPr>
          <w:p w14:paraId="613334D2">
            <w:pPr>
              <w:wordWrap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项目编号：</w:t>
            </w:r>
            <w:r>
              <w:rPr>
                <w:rFonts w:hint="eastAsia" w:ascii="宋体" w:hAnsi="宋体" w:eastAsia="宋体" w:cs="宋体"/>
                <w:color w:val="auto"/>
                <w:szCs w:val="21"/>
                <w:highlight w:val="none"/>
              </w:rPr>
              <w:t>GLZC2026-C3-990416-GXHC</w:t>
            </w:r>
          </w:p>
          <w:p w14:paraId="26770BB1">
            <w:pPr>
              <w:wordWrap w:val="0"/>
              <w:spacing w:line="4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项目名称：</w:t>
            </w:r>
            <w:r>
              <w:rPr>
                <w:rFonts w:hint="eastAsia" w:ascii="宋体" w:hAnsi="宋体" w:eastAsia="宋体" w:cs="宋体"/>
                <w:color w:val="auto"/>
                <w:szCs w:val="21"/>
                <w:highlight w:val="none"/>
              </w:rPr>
              <w:t>七星区农村学校伙房食材配送服务项目</w:t>
            </w:r>
          </w:p>
        </w:tc>
      </w:tr>
      <w:tr w14:paraId="37C6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vAlign w:val="center"/>
          </w:tcPr>
          <w:p w14:paraId="05B8353B">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709" w:type="dxa"/>
            <w:vAlign w:val="center"/>
          </w:tcPr>
          <w:p w14:paraId="576B13EB">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559" w:type="dxa"/>
            <w:vAlign w:val="center"/>
          </w:tcPr>
          <w:p w14:paraId="57FB607C">
            <w:pPr>
              <w:wordWrap w:val="0"/>
              <w:spacing w:line="3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供应商资格</w:t>
            </w:r>
          </w:p>
        </w:tc>
        <w:tc>
          <w:tcPr>
            <w:tcW w:w="7088" w:type="dxa"/>
            <w:vAlign w:val="center"/>
          </w:tcPr>
          <w:p w14:paraId="1C274898">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3.1满足《中华人民共和国政府采购法》第二十二条规定；</w:t>
            </w:r>
          </w:p>
          <w:p w14:paraId="66A0F2F2">
            <w:pPr>
              <w:wordWrap w:val="0"/>
              <w:spacing w:line="400" w:lineRule="exact"/>
              <w:rPr>
                <w:rStyle w:val="83"/>
                <w:rFonts w:hint="eastAsia" w:ascii="宋体" w:hAnsi="宋体" w:eastAsia="宋体" w:cs="宋体"/>
                <w:color w:val="auto"/>
                <w:szCs w:val="21"/>
                <w:highlight w:val="none"/>
              </w:rPr>
            </w:pPr>
            <w:r>
              <w:rPr>
                <w:rFonts w:hint="eastAsia" w:ascii="宋体" w:hAnsi="宋体" w:eastAsia="宋体" w:cs="宋体"/>
                <w:color w:val="auto"/>
                <w:szCs w:val="21"/>
                <w:highlight w:val="none"/>
              </w:rPr>
              <w:t>3.2落实政府采购政策需满足的资格要求：</w:t>
            </w:r>
            <w:bookmarkStart w:id="46" w:name="OLE_LINK36"/>
            <w:bookmarkStart w:id="47" w:name="OLE_LINK40"/>
            <w:r>
              <w:rPr>
                <w:rFonts w:hint="eastAsia" w:ascii="宋体" w:hAnsi="宋体" w:eastAsia="宋体" w:cs="宋体"/>
                <w:color w:val="auto"/>
                <w:szCs w:val="21"/>
                <w:highlight w:val="none"/>
              </w:rPr>
              <w:t>分标1，2</w:t>
            </w:r>
            <w:r>
              <w:rPr>
                <w:rFonts w:hint="eastAsia" w:ascii="宋体" w:hAnsi="宋体" w:eastAsia="宋体" w:cs="宋体"/>
                <w:color w:val="auto"/>
                <w:spacing w:val="7"/>
                <w:highlight w:val="none"/>
              </w:rPr>
              <w:t>：</w:t>
            </w:r>
            <w:r>
              <w:rPr>
                <w:rFonts w:hint="eastAsia" w:ascii="宋体" w:hAnsi="宋体" w:eastAsia="宋体" w:cs="宋体"/>
                <w:color w:val="auto"/>
                <w:szCs w:val="21"/>
                <w:highlight w:val="none"/>
              </w:rPr>
              <w:t>专门面向中小企业采购【供应商应符合《政府采购促进中小企业发展管理办法》（财库[2020]46号）中关于中小微企业的相关规定；监狱企业及残疾人福利性单位视同于小微企业】。 </w:t>
            </w:r>
          </w:p>
          <w:bookmarkEnd w:id="46"/>
          <w:bookmarkEnd w:id="47"/>
          <w:p w14:paraId="5F53BD11">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3.3本项目的特定资格要求：分标1，2</w:t>
            </w:r>
            <w:r>
              <w:rPr>
                <w:rFonts w:hint="eastAsia" w:ascii="宋体" w:hAnsi="宋体" w:eastAsia="宋体" w:cs="宋体"/>
                <w:color w:val="auto"/>
                <w:spacing w:val="7"/>
                <w:highlight w:val="none"/>
              </w:rPr>
              <w:t>：</w:t>
            </w:r>
            <w:r>
              <w:rPr>
                <w:rFonts w:hint="eastAsia" w:ascii="宋体" w:hAnsi="宋体" w:eastAsia="宋体" w:cs="宋体"/>
                <w:color w:val="auto"/>
                <w:szCs w:val="21"/>
                <w:highlight w:val="none"/>
              </w:rPr>
              <w:t>供应商须具有有效的《食品经营许可证》（若供应商所配送食材为自主生产的，还须具有有效的《食品生产许可证》）。</w:t>
            </w:r>
          </w:p>
          <w:p w14:paraId="319E6AC2">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资格条件特别说明：</w:t>
            </w:r>
          </w:p>
          <w:p w14:paraId="039BC436">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B6E424A">
            <w:pPr>
              <w:wordWrap w:val="0"/>
              <w:spacing w:line="400" w:lineRule="exact"/>
              <w:rPr>
                <w:rFonts w:hint="eastAsia" w:ascii="宋体" w:hAnsi="宋体" w:eastAsia="宋体" w:cs="宋体"/>
                <w:color w:val="auto"/>
                <w:kern w:val="0"/>
                <w:highlight w:val="none"/>
              </w:rPr>
            </w:pPr>
            <w:r>
              <w:rPr>
                <w:rFonts w:hint="eastAsia" w:ascii="宋体" w:hAnsi="宋体" w:eastAsia="宋体" w:cs="宋体"/>
                <w:color w:val="auto"/>
                <w:szCs w:val="21"/>
                <w:highlight w:val="none"/>
              </w:rPr>
              <w:t>（2）对在“信用中国”网站(</w:t>
            </w:r>
            <w:r>
              <w:rPr>
                <w:rFonts w:hint="eastAsia" w:ascii="宋体" w:hAnsi="宋体" w:eastAsia="宋体" w:cs="宋体"/>
                <w:color w:val="auto"/>
                <w:highlight w:val="none"/>
              </w:rPr>
              <w:t>https://</w:t>
            </w:r>
            <w:r>
              <w:rPr>
                <w:rFonts w:hint="eastAsia" w:ascii="宋体" w:hAnsi="宋体" w:eastAsia="宋体" w:cs="宋体"/>
                <w:color w:val="auto"/>
                <w:szCs w:val="21"/>
                <w:highlight w:val="none"/>
              </w:rPr>
              <w:t>www.creditchina.gov.cn)、中国政府采购网(</w:t>
            </w:r>
            <w:r>
              <w:rPr>
                <w:rFonts w:hint="eastAsia" w:ascii="宋体" w:hAnsi="宋体" w:eastAsia="宋体" w:cs="宋体"/>
                <w:color w:val="auto"/>
                <w:highlight w:val="none"/>
              </w:rPr>
              <w:t>https://</w:t>
            </w:r>
            <w:r>
              <w:rPr>
                <w:rFonts w:hint="eastAsia" w:ascii="宋体" w:hAnsi="宋体" w:eastAsia="宋体" w:cs="宋体"/>
                <w:color w:val="auto"/>
                <w:szCs w:val="21"/>
                <w:highlight w:val="none"/>
              </w:rPr>
              <w:t>www.ccgp.gov.cn)被列入失信被执行人、</w:t>
            </w:r>
            <w:r>
              <w:rPr>
                <w:rFonts w:hint="eastAsia" w:ascii="宋体" w:hAnsi="宋体" w:eastAsia="宋体" w:cs="宋体"/>
                <w:color w:val="auto"/>
                <w:highlight w:val="none"/>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、政府采购严重违法失信行为记录名单及其他不符合《中华人民共和国政府采购法》第二十二条规定条件的供应商，不得参与政府采购活动。</w:t>
            </w:r>
          </w:p>
        </w:tc>
      </w:tr>
      <w:tr w14:paraId="2E89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vAlign w:val="center"/>
          </w:tcPr>
          <w:p w14:paraId="3097F6D8">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709" w:type="dxa"/>
            <w:vAlign w:val="center"/>
          </w:tcPr>
          <w:p w14:paraId="7C71F6ED">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559" w:type="dxa"/>
            <w:vAlign w:val="center"/>
          </w:tcPr>
          <w:p w14:paraId="4D2811E8">
            <w:pPr>
              <w:wordWrap w:val="0"/>
              <w:spacing w:line="3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参与电子竞标的准备工作</w:t>
            </w:r>
          </w:p>
        </w:tc>
        <w:tc>
          <w:tcPr>
            <w:tcW w:w="7088" w:type="dxa"/>
            <w:vAlign w:val="center"/>
          </w:tcPr>
          <w:p w14:paraId="3BFE7777">
            <w:pPr>
              <w:wordWrap w:val="0"/>
              <w:snapToGrid w:val="0"/>
              <w:spacing w:line="4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4.1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③下载“广西壮族自治区全流程电子招响应项目管理系统--供应商客户端”（操作方法详见广西壮族自治区政府采购网—办事服务—下载专区，以下称“广西政府采购云电子响应客户端”）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CA证书）。因供应商未做好相关准备工作等自身原因导致无法参加本项目电子竞标或竞标失败的，造成的一切后果，由供应商自行承担。</w:t>
            </w:r>
          </w:p>
          <w:p w14:paraId="456CF474">
            <w:pPr>
              <w:wordWrap w:val="0"/>
              <w:snapToGrid w:val="0"/>
              <w:spacing w:line="4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4.2电子竞标具体操作流程参考《政府采购项目电子交易管理操作指南-供应商》（详见桂林市政府采购网—采购资讯—重要通知）；如遇平台技术问题详询95763。</w:t>
            </w:r>
          </w:p>
          <w:p w14:paraId="4F645851">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4.3不论磋商结果如何，供应商均应自行承担所有与磋商有关的全部费用。</w:t>
            </w:r>
          </w:p>
        </w:tc>
      </w:tr>
      <w:tr w14:paraId="5D84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vAlign w:val="center"/>
          </w:tcPr>
          <w:p w14:paraId="700163D5">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709" w:type="dxa"/>
            <w:vAlign w:val="center"/>
          </w:tcPr>
          <w:p w14:paraId="51450815">
            <w:pPr>
              <w:wordWrap w:val="0"/>
              <w:spacing w:line="360" w:lineRule="exact"/>
              <w:jc w:val="center"/>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13</w:t>
            </w:r>
          </w:p>
        </w:tc>
        <w:tc>
          <w:tcPr>
            <w:tcW w:w="1559" w:type="dxa"/>
            <w:vAlign w:val="center"/>
          </w:tcPr>
          <w:p w14:paraId="445150A1">
            <w:pPr>
              <w:wordWrap w:val="0"/>
              <w:spacing w:line="300" w:lineRule="exact"/>
              <w:jc w:val="center"/>
              <w:rPr>
                <w:rFonts w:hint="eastAsia" w:ascii="宋体" w:hAnsi="宋体" w:eastAsia="宋体" w:cs="宋体"/>
                <w:color w:val="auto"/>
                <w:kern w:val="0"/>
                <w:position w:val="-2"/>
                <w:szCs w:val="21"/>
                <w:highlight w:val="none"/>
              </w:rPr>
            </w:pPr>
            <w:r>
              <w:rPr>
                <w:rFonts w:hint="eastAsia" w:ascii="宋体" w:hAnsi="宋体" w:eastAsia="宋体" w:cs="宋体"/>
                <w:color w:val="auto"/>
                <w:kern w:val="0"/>
                <w:szCs w:val="21"/>
                <w:highlight w:val="none"/>
              </w:rPr>
              <w:t>磋商报价及采购预算金额</w:t>
            </w:r>
          </w:p>
        </w:tc>
        <w:tc>
          <w:tcPr>
            <w:tcW w:w="7088" w:type="dxa"/>
            <w:vAlign w:val="center"/>
          </w:tcPr>
          <w:p w14:paraId="1681205F">
            <w:pPr>
              <w:spacing w:line="400" w:lineRule="exact"/>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13.1</w:t>
            </w:r>
            <w:r>
              <w:rPr>
                <w:rFonts w:hint="eastAsia" w:ascii="宋体" w:hAnsi="宋体" w:eastAsia="宋体" w:cs="宋体"/>
                <w:bCs/>
                <w:color w:val="auto"/>
                <w:szCs w:val="21"/>
                <w:highlight w:val="none"/>
              </w:rPr>
              <w:t>本项目政府采购预算金额</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rPr>
              <w:t>人民币</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rPr>
              <w:t>：壹佰玖拾伍万元整</w:t>
            </w:r>
            <w:r>
              <w:rPr>
                <w:rFonts w:hint="eastAsia" w:ascii="宋体" w:hAnsi="宋体" w:eastAsia="宋体" w:cs="宋体"/>
                <w:bCs/>
                <w:color w:val="auto"/>
                <w:szCs w:val="21"/>
                <w:highlight w:val="none"/>
              </w:rPr>
              <w:t>（¥1950000.00）。其</w:t>
            </w:r>
            <w:r>
              <w:rPr>
                <w:rFonts w:hint="eastAsia" w:ascii="宋体" w:hAnsi="宋体" w:eastAsia="宋体" w:cs="宋体"/>
                <w:bCs/>
                <w:color w:val="auto"/>
                <w:szCs w:val="21"/>
                <w:highlight w:val="none"/>
              </w:rPr>
              <w:t>中，</w:t>
            </w:r>
            <w:r>
              <w:rPr>
                <w:rFonts w:hint="eastAsia" w:ascii="宋体" w:hAnsi="宋体" w:eastAsia="宋体" w:cs="宋体"/>
                <w:bCs/>
                <w:color w:val="auto"/>
                <w:szCs w:val="21"/>
                <w:highlight w:val="none"/>
              </w:rPr>
              <w:t>分标1</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rPr>
              <w:t>壹佰贰拾万元整（¥1200000.00）；分标2：柒拾伍万元整（¥750000.00）。磋商报价按综合折扣率报价，本项目</w:t>
            </w:r>
            <w:bookmarkStart w:id="48" w:name="OLE_LINK170"/>
            <w:bookmarkStart w:id="49" w:name="OLE_LINK171"/>
            <w:r>
              <w:rPr>
                <w:rFonts w:hint="eastAsia" w:ascii="宋体" w:hAnsi="宋体" w:eastAsia="宋体" w:cs="宋体"/>
                <w:bCs/>
                <w:color w:val="auto"/>
                <w:szCs w:val="21"/>
                <w:highlight w:val="none"/>
              </w:rPr>
              <w:t>综合折扣率控制范围</w:t>
            </w:r>
            <w:bookmarkEnd w:id="48"/>
            <w:bookmarkEnd w:id="49"/>
            <w:r>
              <w:rPr>
                <w:rFonts w:hint="eastAsia" w:ascii="宋体" w:hAnsi="宋体" w:eastAsia="宋体" w:cs="宋体"/>
                <w:bCs/>
                <w:color w:val="auto"/>
                <w:szCs w:val="21"/>
                <w:highlight w:val="none"/>
              </w:rPr>
              <w:t>为≤95%，超出范围的磋商报价均为无效报价，其响应文件将被视为无效处理。</w:t>
            </w:r>
          </w:p>
          <w:p w14:paraId="7EAF5AB4">
            <w:pPr>
              <w:spacing w:line="400" w:lineRule="exact"/>
              <w:rPr>
                <w:rFonts w:hint="eastAsia" w:ascii="宋体" w:hAnsi="宋体" w:eastAsia="宋体" w:cs="宋体"/>
                <w:b/>
                <w:color w:val="auto"/>
                <w:szCs w:val="21"/>
                <w:highlight w:val="none"/>
                <w:lang w:val="zh-TW" w:eastAsia="zh-TW"/>
              </w:rPr>
            </w:pPr>
            <w:r>
              <w:rPr>
                <w:rFonts w:hint="eastAsia" w:ascii="宋体" w:hAnsi="宋体" w:eastAsia="宋体" w:cs="宋体"/>
                <w:b/>
                <w:bCs/>
                <w:color w:val="auto"/>
                <w:szCs w:val="21"/>
                <w:highlight w:val="none"/>
              </w:rPr>
              <w:t>注：</w:t>
            </w:r>
            <w:bookmarkStart w:id="50" w:name="OLE_LINK133"/>
            <w:bookmarkStart w:id="51" w:name="OLE_LINK134"/>
            <w:r>
              <w:rPr>
                <w:rFonts w:hint="eastAsia" w:ascii="宋体" w:hAnsi="宋体" w:eastAsia="宋体" w:cs="宋体"/>
                <w:b/>
                <w:bCs/>
                <w:color w:val="auto"/>
                <w:spacing w:val="-4"/>
                <w:szCs w:val="21"/>
                <w:highlight w:val="none"/>
              </w:rPr>
              <w:t>结算金额=每次确定的基准价×供应商承诺的折扣率（综合折扣率&lt;%&gt;）×实际供应食材的数量【</w:t>
            </w:r>
            <w:r>
              <w:rPr>
                <w:rFonts w:hint="eastAsia" w:ascii="宋体" w:hAnsi="宋体" w:eastAsia="宋体" w:cs="宋体"/>
                <w:b/>
                <w:color w:val="auto"/>
                <w:szCs w:val="21"/>
                <w:highlight w:val="none"/>
                <w:lang w:val="zh-TW"/>
              </w:rPr>
              <w:t>基准价釆用周期性市场调查询价（每月询价不少于一次）的平均价确定。调查询价采取两种方式，一是线上询价，食材询价定价工作小组集体开展线上询价，对照桂林市发改委</w:t>
            </w:r>
            <w:r>
              <w:rPr>
                <w:rFonts w:hint="eastAsia" w:ascii="宋体" w:hAnsi="宋体" w:eastAsia="宋体" w:cs="宋体"/>
                <w:b/>
                <w:color w:val="auto"/>
                <w:szCs w:val="21"/>
                <w:highlight w:val="none"/>
                <w:lang w:val="zh-TW" w:eastAsia="zh-TW"/>
              </w:rPr>
              <w:t>(</w:t>
            </w:r>
            <w:r>
              <w:rPr>
                <w:rFonts w:hint="eastAsia" w:ascii="宋体" w:hAnsi="宋体" w:eastAsia="宋体" w:cs="宋体"/>
                <w:b/>
                <w:color w:val="auto"/>
                <w:szCs w:val="21"/>
                <w:highlight w:val="none"/>
                <w:lang w:val="zh-TW"/>
              </w:rPr>
              <w:t>网址</w:t>
            </w:r>
            <w:r>
              <w:rPr>
                <w:rFonts w:hint="eastAsia" w:ascii="宋体" w:hAnsi="宋体" w:eastAsia="宋体" w:cs="宋体"/>
                <w:b/>
                <w:color w:val="auto"/>
                <w:szCs w:val="21"/>
                <w:highlight w:val="none"/>
                <w:lang w:val="zh-TW" w:eastAsia="zh-TW"/>
              </w:rPr>
              <w:t>https://fgw.guilin.gov.cn/，首页“政策文件中心—价格监测”)同期公布的十二家市场农副产品市场均价进行比价议价。</w:t>
            </w:r>
            <w:r>
              <w:rPr>
                <w:rFonts w:hint="eastAsia" w:ascii="宋体" w:hAnsi="宋体" w:eastAsia="宋体" w:cs="宋体"/>
                <w:b/>
                <w:color w:val="auto"/>
                <w:szCs w:val="21"/>
                <w:highlight w:val="none"/>
                <w:lang w:val="zh-TW"/>
              </w:rPr>
              <w:t>二是线下询价，食材询价定价工作小组前往</w:t>
            </w:r>
            <w:r>
              <w:rPr>
                <w:rFonts w:hint="eastAsia" w:ascii="宋体" w:hAnsi="宋体" w:eastAsia="宋体" w:cs="宋体"/>
                <w:b/>
                <w:bCs/>
                <w:color w:val="auto"/>
                <w:spacing w:val="-4"/>
                <w:szCs w:val="21"/>
                <w:highlight w:val="none"/>
              </w:rPr>
              <w:t>桂林市汇东果菜批发市场、桂林市五里店果蔬批发市场、桂林市七星农贸市场、桂林市西门市场</w:t>
            </w:r>
            <w:r>
              <w:rPr>
                <w:rFonts w:hint="eastAsia" w:ascii="宋体" w:hAnsi="宋体" w:eastAsia="宋体" w:cs="宋体"/>
                <w:b/>
                <w:color w:val="auto"/>
                <w:szCs w:val="21"/>
                <w:highlight w:val="none"/>
                <w:lang w:val="zh-TW"/>
              </w:rPr>
              <w:t>及七星区大型超市（除特价超市外）等地点的批发价（或零售价）均值为平均价。由双方每月确认后确定</w:t>
            </w:r>
            <w:r>
              <w:rPr>
                <w:rFonts w:hint="eastAsia" w:ascii="宋体" w:hAnsi="宋体" w:eastAsia="宋体" w:cs="宋体"/>
                <w:b/>
                <w:bCs/>
                <w:color w:val="auto"/>
                <w:spacing w:val="-4"/>
                <w:szCs w:val="21"/>
                <w:highlight w:val="none"/>
              </w:rPr>
              <w:t>】</w:t>
            </w:r>
            <w:r>
              <w:rPr>
                <w:rFonts w:hint="eastAsia" w:ascii="宋体" w:hAnsi="宋体" w:eastAsia="宋体" w:cs="宋体"/>
                <w:b/>
                <w:color w:val="auto"/>
                <w:szCs w:val="21"/>
                <w:highlight w:val="none"/>
                <w:lang w:val="zh-TW"/>
              </w:rPr>
              <w:t>。</w:t>
            </w:r>
            <w:bookmarkEnd w:id="50"/>
            <w:bookmarkEnd w:id="51"/>
          </w:p>
          <w:p w14:paraId="5D514122">
            <w:pPr>
              <w:wordWrap w:val="0"/>
              <w:snapToGrid w:val="0"/>
              <w:spacing w:line="40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13.2供应商必须就“项目需求”中所有内容作完整唯一报价，否则，其响应将被拒绝；响应文件只允许有一个报价，有选择的或有条件的报价将不予接受。</w:t>
            </w:r>
          </w:p>
          <w:p w14:paraId="0A35560E">
            <w:pPr>
              <w:wordWrap w:val="0"/>
              <w:snapToGrid w:val="0"/>
              <w:spacing w:line="400" w:lineRule="exact"/>
              <w:jc w:val="left"/>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13.3</w:t>
            </w:r>
            <w:r>
              <w:rPr>
                <w:rFonts w:hint="eastAsia" w:ascii="宋体" w:hAnsi="宋体" w:eastAsia="宋体" w:cs="宋体"/>
                <w:color w:val="auto"/>
                <w:kern w:val="0"/>
                <w:szCs w:val="21"/>
                <w:highlight w:val="none"/>
              </w:rPr>
              <w:t>未书面退出磋商的供应商必须在规定时间内登录</w:t>
            </w:r>
            <w:r>
              <w:rPr>
                <w:rFonts w:hint="eastAsia" w:ascii="宋体" w:hAnsi="宋体" w:eastAsia="宋体" w:cs="宋体"/>
                <w:bCs/>
                <w:color w:val="auto"/>
                <w:szCs w:val="21"/>
                <w:highlight w:val="none"/>
              </w:rPr>
              <w:t>“广西政府采购云”平台</w:t>
            </w:r>
            <w:r>
              <w:rPr>
                <w:rFonts w:hint="eastAsia" w:ascii="宋体" w:hAnsi="宋体" w:eastAsia="宋体" w:cs="宋体"/>
                <w:color w:val="auto"/>
                <w:kern w:val="0"/>
                <w:szCs w:val="21"/>
                <w:highlight w:val="none"/>
              </w:rPr>
              <w:t>在线提交最后报价，其最后报价不得超出最高限价；磋商过程中磋商文件未作实质性变动的，</w:t>
            </w:r>
            <w:r>
              <w:rPr>
                <w:rFonts w:hint="eastAsia" w:ascii="宋体" w:hAnsi="宋体" w:eastAsia="宋体" w:cs="宋体"/>
                <w:b/>
                <w:color w:val="auto"/>
                <w:kern w:val="0"/>
                <w:szCs w:val="21"/>
                <w:highlight w:val="none"/>
              </w:rPr>
              <w:t>最后报价不得超过首次报价</w:t>
            </w:r>
            <w:r>
              <w:rPr>
                <w:rFonts w:hint="eastAsia" w:ascii="宋体" w:hAnsi="宋体" w:eastAsia="宋体" w:cs="宋体"/>
                <w:b/>
                <w:color w:val="auto"/>
                <w:kern w:val="0"/>
                <w:szCs w:val="21"/>
                <w:highlight w:val="none"/>
              </w:rPr>
              <w:t>。</w:t>
            </w:r>
          </w:p>
        </w:tc>
      </w:tr>
      <w:tr w14:paraId="3569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75" w:type="dxa"/>
            <w:vAlign w:val="center"/>
          </w:tcPr>
          <w:p w14:paraId="2802FA61">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709" w:type="dxa"/>
            <w:vAlign w:val="center"/>
          </w:tcPr>
          <w:p w14:paraId="2F619818">
            <w:pPr>
              <w:wordWrap w:val="0"/>
              <w:spacing w:line="360" w:lineRule="exact"/>
              <w:jc w:val="center"/>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14.</w:t>
            </w:r>
          </w:p>
        </w:tc>
        <w:tc>
          <w:tcPr>
            <w:tcW w:w="1559" w:type="dxa"/>
            <w:vAlign w:val="center"/>
          </w:tcPr>
          <w:p w14:paraId="1CB90236">
            <w:pPr>
              <w:wordWrap w:val="0"/>
              <w:spacing w:line="300" w:lineRule="exact"/>
              <w:jc w:val="center"/>
              <w:rPr>
                <w:rFonts w:hint="eastAsia" w:ascii="宋体" w:hAnsi="宋体" w:eastAsia="宋体" w:cs="宋体"/>
                <w:color w:val="auto"/>
                <w:kern w:val="0"/>
                <w:position w:val="-2"/>
                <w:szCs w:val="21"/>
                <w:highlight w:val="none"/>
              </w:rPr>
            </w:pPr>
            <w:r>
              <w:rPr>
                <w:rFonts w:hint="eastAsia" w:ascii="宋体" w:hAnsi="宋体" w:eastAsia="宋体" w:cs="宋体"/>
                <w:color w:val="auto"/>
                <w:kern w:val="0"/>
                <w:szCs w:val="21"/>
                <w:highlight w:val="none"/>
              </w:rPr>
              <w:t>响应文件有效期</w:t>
            </w:r>
          </w:p>
        </w:tc>
        <w:tc>
          <w:tcPr>
            <w:tcW w:w="7088" w:type="dxa"/>
            <w:vAlign w:val="center"/>
          </w:tcPr>
          <w:p w14:paraId="45AC9DE8">
            <w:pPr>
              <w:tabs>
                <w:tab w:val="left" w:pos="1305"/>
              </w:tabs>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自响应文件递交截止时间之日起90天，有效期不足的响应文件将被拒绝。</w:t>
            </w:r>
          </w:p>
        </w:tc>
      </w:tr>
      <w:tr w14:paraId="26DD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vAlign w:val="center"/>
          </w:tcPr>
          <w:p w14:paraId="5E5A4035">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709" w:type="dxa"/>
            <w:vAlign w:val="center"/>
          </w:tcPr>
          <w:p w14:paraId="69F1D875">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w:t>
            </w:r>
          </w:p>
        </w:tc>
        <w:tc>
          <w:tcPr>
            <w:tcW w:w="1559" w:type="dxa"/>
            <w:vAlign w:val="center"/>
          </w:tcPr>
          <w:p w14:paraId="22563A1E">
            <w:pPr>
              <w:wordWrap w:val="0"/>
              <w:spacing w:line="3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电子响应文件的制作、加密</w:t>
            </w:r>
          </w:p>
        </w:tc>
        <w:tc>
          <w:tcPr>
            <w:tcW w:w="7088" w:type="dxa"/>
            <w:vAlign w:val="center"/>
          </w:tcPr>
          <w:p w14:paraId="3B68E58E">
            <w:pPr>
              <w:wordWrap w:val="0"/>
              <w:snapToGrid w:val="0"/>
              <w:spacing w:line="400" w:lineRule="exact"/>
              <w:jc w:val="left"/>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15.1</w:t>
            </w:r>
            <w:r>
              <w:rPr>
                <w:rFonts w:hint="eastAsia" w:ascii="宋体" w:hAnsi="宋体" w:eastAsia="宋体" w:cs="宋体"/>
                <w:bCs/>
                <w:color w:val="auto"/>
                <w:szCs w:val="21"/>
                <w:highlight w:val="none"/>
              </w:rPr>
              <w:t>供应商制作电子响应文件前，应登录“广西政府采购云”平台进行“申请获取竞争性磋商文件”操作，否则，有可能导致无法在线编制响应文件并参与竞标，其不利后果由供应商自行承担。</w:t>
            </w:r>
          </w:p>
          <w:p w14:paraId="3A0E42BE">
            <w:pPr>
              <w:wordWrap w:val="0"/>
              <w:snapToGrid w:val="0"/>
              <w:spacing w:line="40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15.2供应商下载或获取竞争性磋商文件后，登录“广西政府采购云电子响应客户端”，按照本磋商文件</w:t>
            </w:r>
            <w:r>
              <w:rPr>
                <w:rFonts w:hint="eastAsia" w:ascii="宋体" w:hAnsi="宋体" w:eastAsia="宋体" w:cs="宋体"/>
                <w:color w:val="auto"/>
                <w:szCs w:val="21"/>
                <w:highlight w:val="none"/>
              </w:rPr>
              <w:t>规定的响应文件格式、顺序</w:t>
            </w:r>
            <w:r>
              <w:rPr>
                <w:rFonts w:hint="eastAsia" w:ascii="宋体" w:hAnsi="宋体" w:eastAsia="宋体" w:cs="宋体"/>
                <w:bCs/>
                <w:color w:val="auto"/>
                <w:szCs w:val="21"/>
                <w:highlight w:val="none"/>
              </w:rPr>
              <w:t>以及“广西政府采购云”平台的要求，通过“广西政府采购云电子响应客户端”编制电子响应文件。</w:t>
            </w:r>
          </w:p>
          <w:p w14:paraId="0DF99600">
            <w:pPr>
              <w:wordWrap w:val="0"/>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w:t>
            </w:r>
            <w:r>
              <w:rPr>
                <w:rFonts w:hint="eastAsia" w:ascii="宋体" w:hAnsi="宋体" w:eastAsia="宋体" w:cs="宋体"/>
                <w:color w:val="auto"/>
                <w:highlight w:val="none"/>
              </w:rPr>
              <w:t>供应商</w:t>
            </w:r>
            <w:r>
              <w:rPr>
                <w:rFonts w:hint="eastAsia" w:ascii="宋体" w:hAnsi="宋体" w:eastAsia="宋体" w:cs="宋体"/>
                <w:color w:val="auto"/>
                <w:highlight w:val="none"/>
              </w:rPr>
              <w:t>应按“广西政府采购云电子</w:t>
            </w:r>
            <w:r>
              <w:rPr>
                <w:rFonts w:hint="eastAsia" w:ascii="宋体" w:hAnsi="宋体" w:eastAsia="宋体" w:cs="宋体"/>
                <w:color w:val="auto"/>
                <w:highlight w:val="none"/>
              </w:rPr>
              <w:t>响应</w:t>
            </w:r>
            <w:r>
              <w:rPr>
                <w:rFonts w:hint="eastAsia" w:ascii="宋体" w:hAnsi="宋体" w:eastAsia="宋体" w:cs="宋体"/>
                <w:color w:val="auto"/>
                <w:highlight w:val="none"/>
              </w:rPr>
              <w:t>客户端”载明的“标书关联”功能进行电子</w:t>
            </w:r>
            <w:r>
              <w:rPr>
                <w:rFonts w:hint="eastAsia" w:ascii="宋体" w:hAnsi="宋体" w:eastAsia="宋体" w:cs="宋体"/>
                <w:color w:val="auto"/>
                <w:highlight w:val="none"/>
              </w:rPr>
              <w:t>响应</w:t>
            </w:r>
            <w:r>
              <w:rPr>
                <w:rFonts w:hint="eastAsia" w:ascii="宋体" w:hAnsi="宋体" w:eastAsia="宋体" w:cs="宋体"/>
                <w:color w:val="auto"/>
                <w:highlight w:val="none"/>
              </w:rPr>
              <w:t>文件的关联定位，以便</w:t>
            </w:r>
            <w:r>
              <w:rPr>
                <w:rFonts w:hint="eastAsia" w:ascii="宋体" w:hAnsi="宋体" w:eastAsia="宋体" w:cs="宋体"/>
                <w:color w:val="auto"/>
                <w:highlight w:val="none"/>
              </w:rPr>
              <w:t>磋商小组</w:t>
            </w:r>
            <w:r>
              <w:rPr>
                <w:rFonts w:hint="eastAsia" w:ascii="宋体" w:hAnsi="宋体" w:eastAsia="宋体" w:cs="宋体"/>
                <w:color w:val="auto"/>
                <w:highlight w:val="none"/>
              </w:rPr>
              <w:t>在评审时点击相应评审项可直接定位到该评审内容；如</w:t>
            </w:r>
            <w:r>
              <w:rPr>
                <w:rFonts w:hint="eastAsia" w:ascii="宋体" w:hAnsi="宋体" w:eastAsia="宋体" w:cs="宋体"/>
                <w:color w:val="auto"/>
                <w:highlight w:val="none"/>
              </w:rPr>
              <w:t>供应商</w:t>
            </w:r>
            <w:r>
              <w:rPr>
                <w:rFonts w:hint="eastAsia" w:ascii="宋体" w:hAnsi="宋体" w:eastAsia="宋体" w:cs="宋体"/>
                <w:color w:val="auto"/>
                <w:highlight w:val="none"/>
              </w:rPr>
              <w:t>的电子</w:t>
            </w:r>
            <w:r>
              <w:rPr>
                <w:rFonts w:hint="eastAsia" w:ascii="宋体" w:hAnsi="宋体" w:eastAsia="宋体" w:cs="宋体"/>
                <w:color w:val="auto"/>
                <w:highlight w:val="none"/>
              </w:rPr>
              <w:t>响应</w:t>
            </w:r>
            <w:r>
              <w:rPr>
                <w:rFonts w:hint="eastAsia" w:ascii="宋体" w:hAnsi="宋体" w:eastAsia="宋体" w:cs="宋体"/>
                <w:color w:val="auto"/>
                <w:highlight w:val="none"/>
              </w:rPr>
              <w:t>文件未能关联定位相应内容，或者关联定位的内容与该评审项不符，导致</w:t>
            </w:r>
            <w:r>
              <w:rPr>
                <w:rFonts w:hint="eastAsia" w:ascii="宋体" w:hAnsi="宋体" w:eastAsia="宋体" w:cs="宋体"/>
                <w:color w:val="auto"/>
                <w:highlight w:val="none"/>
              </w:rPr>
              <w:t>磋商小组</w:t>
            </w:r>
            <w:r>
              <w:rPr>
                <w:rFonts w:hint="eastAsia" w:ascii="宋体" w:hAnsi="宋体" w:eastAsia="宋体" w:cs="宋体"/>
                <w:color w:val="auto"/>
                <w:highlight w:val="none"/>
              </w:rPr>
              <w:t>无法查询并做出对</w:t>
            </w:r>
            <w:r>
              <w:rPr>
                <w:rFonts w:hint="eastAsia" w:ascii="宋体" w:hAnsi="宋体" w:eastAsia="宋体" w:cs="宋体"/>
                <w:color w:val="auto"/>
                <w:highlight w:val="none"/>
              </w:rPr>
              <w:t>供应商</w:t>
            </w:r>
            <w:r>
              <w:rPr>
                <w:rFonts w:hint="eastAsia" w:ascii="宋体" w:hAnsi="宋体" w:eastAsia="宋体" w:cs="宋体"/>
                <w:color w:val="auto"/>
                <w:highlight w:val="none"/>
              </w:rPr>
              <w:t>不利的评审，相关后果由</w:t>
            </w:r>
            <w:r>
              <w:rPr>
                <w:rFonts w:hint="eastAsia" w:ascii="宋体" w:hAnsi="宋体" w:eastAsia="宋体" w:cs="宋体"/>
                <w:color w:val="auto"/>
                <w:highlight w:val="none"/>
              </w:rPr>
              <w:t>供应商</w:t>
            </w:r>
            <w:r>
              <w:rPr>
                <w:rFonts w:hint="eastAsia" w:ascii="宋体" w:hAnsi="宋体" w:eastAsia="宋体" w:cs="宋体"/>
                <w:color w:val="auto"/>
                <w:highlight w:val="none"/>
              </w:rPr>
              <w:t>自行承担。</w:t>
            </w:r>
          </w:p>
          <w:p w14:paraId="2CCD27D9">
            <w:pPr>
              <w:wordWrap w:val="0"/>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15.4</w:t>
            </w:r>
            <w:r>
              <w:rPr>
                <w:rFonts w:hint="eastAsia" w:ascii="宋体" w:hAnsi="宋体" w:eastAsia="宋体" w:cs="宋体"/>
                <w:color w:val="auto"/>
                <w:highlight w:val="none"/>
              </w:rPr>
              <w:t>电子响应文件不得涂改，若有修改错漏处，须由法定代表人（负责人、自然人）或授权委托代理人签字（或者电子签名）。因响应文件字迹潦草、表达不清、内容不完整、编排混乱导致响应文件被误读、漏读，或者在按竞争性磋商文件规定的部位查找不到相关内容的，其不利后果由供应商自行承担。</w:t>
            </w:r>
          </w:p>
          <w:p w14:paraId="435164CE">
            <w:pPr>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15.5供应商编制、生成电子响应文件后应当</w:t>
            </w:r>
            <w:r>
              <w:rPr>
                <w:rFonts w:hint="eastAsia" w:ascii="宋体" w:hAnsi="宋体" w:eastAsia="宋体" w:cs="宋体"/>
                <w:bCs/>
                <w:color w:val="auto"/>
                <w:szCs w:val="21"/>
                <w:highlight w:val="none"/>
              </w:rPr>
              <w:t>加密响应文件。供应商未按规定编制并加密的响应文件，“广西政府采购云”平台将予以拒收。</w:t>
            </w:r>
          </w:p>
        </w:tc>
      </w:tr>
      <w:tr w14:paraId="09CA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75" w:type="dxa"/>
            <w:vAlign w:val="center"/>
          </w:tcPr>
          <w:p w14:paraId="221622B9">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709" w:type="dxa"/>
            <w:vAlign w:val="center"/>
          </w:tcPr>
          <w:p w14:paraId="4C167FA4">
            <w:pPr>
              <w:wordWrap w:val="0"/>
              <w:spacing w:line="360" w:lineRule="exact"/>
              <w:jc w:val="center"/>
              <w:rPr>
                <w:rFonts w:hint="eastAsia" w:ascii="宋体" w:hAnsi="宋体" w:eastAsia="宋体" w:cs="宋体"/>
                <w:color w:val="auto"/>
                <w:kern w:val="0"/>
                <w:position w:val="10"/>
                <w:szCs w:val="21"/>
                <w:highlight w:val="none"/>
              </w:rPr>
            </w:pPr>
            <w:r>
              <w:rPr>
                <w:rFonts w:hint="eastAsia" w:ascii="宋体" w:hAnsi="宋体" w:eastAsia="宋体" w:cs="宋体"/>
                <w:color w:val="auto"/>
                <w:kern w:val="0"/>
                <w:position w:val="10"/>
                <w:szCs w:val="21"/>
                <w:highlight w:val="none"/>
              </w:rPr>
              <w:t>15.6</w:t>
            </w:r>
          </w:p>
        </w:tc>
        <w:tc>
          <w:tcPr>
            <w:tcW w:w="1559" w:type="dxa"/>
            <w:vAlign w:val="center"/>
          </w:tcPr>
          <w:p w14:paraId="01AFC2F0">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供应商公章、签字、电子签章、电子签名</w:t>
            </w:r>
          </w:p>
        </w:tc>
        <w:tc>
          <w:tcPr>
            <w:tcW w:w="7088" w:type="dxa"/>
            <w:vAlign w:val="center"/>
          </w:tcPr>
          <w:p w14:paraId="11BAF80C">
            <w:pPr>
              <w:wordWrap w:val="0"/>
              <w:snapToGrid w:val="0"/>
              <w:spacing w:line="400" w:lineRule="exact"/>
              <w:jc w:val="left"/>
              <w:rPr>
                <w:rFonts w:hint="eastAsia" w:ascii="宋体" w:hAnsi="宋体" w:eastAsia="宋体" w:cs="宋体"/>
                <w:color w:val="auto"/>
                <w:highlight w:val="none"/>
              </w:rPr>
            </w:pPr>
            <w:r>
              <w:rPr>
                <w:rFonts w:hint="eastAsia" w:ascii="宋体" w:hAnsi="宋体" w:eastAsia="宋体" w:cs="宋体"/>
                <w:color w:val="auto"/>
                <w:highlight w:val="none"/>
              </w:rPr>
              <w:t>15.6.1本竞争性磋商文件中描述供应商的“公章”是指根据我国对公章的管理规定，用供应商法定主体行为名称制作的印章，除本竞争性磋商文件有特殊规定外，供应商的其他形式印章均不能代替公章。</w:t>
            </w:r>
          </w:p>
          <w:p w14:paraId="4D4EAFB2">
            <w:pPr>
              <w:wordWrap w:val="0"/>
              <w:snapToGrid w:val="0"/>
              <w:spacing w:line="400" w:lineRule="exact"/>
              <w:jc w:val="left"/>
              <w:rPr>
                <w:rFonts w:hint="eastAsia" w:ascii="宋体" w:hAnsi="宋体" w:eastAsia="宋体" w:cs="宋体"/>
                <w:color w:val="auto"/>
                <w:highlight w:val="none"/>
              </w:rPr>
            </w:pPr>
            <w:r>
              <w:rPr>
                <w:rFonts w:hint="eastAsia" w:ascii="宋体" w:hAnsi="宋体" w:eastAsia="宋体" w:cs="宋体"/>
                <w:color w:val="auto"/>
                <w:highlight w:val="none"/>
              </w:rPr>
              <w:t>15.6.2本竞争性磋商文件中描述供应商的“签字”是指供应商的法定代表人或者委托代理人亲自在文件规定签字处亲笔写上个人的名字的行为，私章、签字章、印鉴、影印等其他形式均不能代替亲笔签字。</w:t>
            </w:r>
          </w:p>
          <w:p w14:paraId="39003B0B">
            <w:pPr>
              <w:wordWrap w:val="0"/>
              <w:snapToGrid w:val="0"/>
              <w:spacing w:line="400" w:lineRule="exact"/>
              <w:jc w:val="left"/>
              <w:rPr>
                <w:rFonts w:hint="eastAsia" w:ascii="宋体" w:hAnsi="宋体" w:eastAsia="宋体" w:cs="宋体"/>
                <w:color w:val="auto"/>
                <w:highlight w:val="none"/>
              </w:rPr>
            </w:pPr>
            <w:r>
              <w:rPr>
                <w:rFonts w:hint="eastAsia" w:ascii="宋体" w:hAnsi="宋体" w:eastAsia="宋体" w:cs="宋体"/>
                <w:color w:val="auto"/>
                <w:highlight w:val="none"/>
              </w:rPr>
              <w:t>15.6.3本竞争性磋商文件所称的“电子签章”、“电子签名”，是指经“广西政府采购云”平台认可的CA认证的电子签名数据为表现形式的印章，可用于签署电子响应文件，电子签章、电子签名与实物印章、手写签名具有同等法律效力，不因其采用电子化表现形式而否定其法律效力。</w:t>
            </w:r>
          </w:p>
        </w:tc>
      </w:tr>
      <w:tr w14:paraId="588C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75" w:type="dxa"/>
            <w:vAlign w:val="center"/>
          </w:tcPr>
          <w:p w14:paraId="0CAD7C31">
            <w:pPr>
              <w:wordWrap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w:t>
            </w:r>
          </w:p>
        </w:tc>
        <w:tc>
          <w:tcPr>
            <w:tcW w:w="709" w:type="dxa"/>
            <w:vAlign w:val="center"/>
          </w:tcPr>
          <w:p w14:paraId="4B713E2E">
            <w:pPr>
              <w:wordWrap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1559" w:type="dxa"/>
            <w:vAlign w:val="center"/>
          </w:tcPr>
          <w:p w14:paraId="2E07DB7E">
            <w:pPr>
              <w:wordWrap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首次响应文件的提交、撤回、修改</w:t>
            </w:r>
          </w:p>
        </w:tc>
        <w:tc>
          <w:tcPr>
            <w:tcW w:w="7088" w:type="dxa"/>
            <w:vAlign w:val="center"/>
          </w:tcPr>
          <w:p w14:paraId="7AEBAB61">
            <w:pPr>
              <w:wordWrap w:val="0"/>
              <w:spacing w:line="400" w:lineRule="exac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16.1响应文件的提交截止时间：2026年9月21日上午09:30</w:t>
            </w:r>
            <w:r>
              <w:rPr>
                <w:rFonts w:hint="eastAsia" w:ascii="宋体" w:hAnsi="宋体" w:eastAsia="宋体" w:cs="宋体"/>
                <w:bCs/>
                <w:color w:val="auto"/>
                <w:szCs w:val="21"/>
                <w:highlight w:val="none"/>
              </w:rPr>
              <w:t>（北京时间）</w:t>
            </w:r>
          </w:p>
          <w:p w14:paraId="596C01AE">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16.2地点：通过“广西政府采购云”平台在线提交。</w:t>
            </w:r>
          </w:p>
          <w:p w14:paraId="469DB10C">
            <w:pPr>
              <w:wordWrap w:val="0"/>
              <w:snapToGrid w:val="0"/>
              <w:spacing w:line="4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16.3供应商应当在响应文件提交截止时间前，将生成的电子响应文件上传提交至“广西政府采购云”平台。响应文件提交截止时间前可以补充、修改或撤回电子响应文件，补充、修改电子响应文件的，应当先行撤回原文件，补充、修改后重新传输提交。</w:t>
            </w:r>
            <w:r>
              <w:rPr>
                <w:rFonts w:hint="eastAsia" w:ascii="宋体" w:hAnsi="宋体" w:eastAsia="宋体" w:cs="宋体"/>
                <w:color w:val="auto"/>
                <w:kern w:val="0"/>
                <w:szCs w:val="21"/>
                <w:highlight w:val="none"/>
              </w:rPr>
              <w:t>在响应文件提交截止时间后的响应文件有效期内，供应商不得撤回其响应文件。</w:t>
            </w:r>
            <w:r>
              <w:rPr>
                <w:rFonts w:hint="eastAsia" w:ascii="宋体" w:hAnsi="宋体" w:eastAsia="宋体" w:cs="宋体"/>
                <w:bCs/>
                <w:color w:val="auto"/>
                <w:szCs w:val="21"/>
                <w:highlight w:val="none"/>
              </w:rPr>
              <w:t>响应文件提交截止时间前未成功将电子响应文件上传“广西政府采购云”平台的，视为未提交响应文件。</w:t>
            </w:r>
          </w:p>
          <w:p w14:paraId="2C34BE79">
            <w:pPr>
              <w:tabs>
                <w:tab w:val="left" w:pos="1305"/>
              </w:tabs>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16.4除竞争性磋商文件另有规定外，供应商所提交的响应文件不予退还。</w:t>
            </w:r>
          </w:p>
        </w:tc>
      </w:tr>
      <w:tr w14:paraId="2B57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5" w:type="dxa"/>
            <w:vAlign w:val="center"/>
          </w:tcPr>
          <w:p w14:paraId="350B858F">
            <w:pPr>
              <w:wordWrap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w:t>
            </w:r>
          </w:p>
        </w:tc>
        <w:tc>
          <w:tcPr>
            <w:tcW w:w="709" w:type="dxa"/>
            <w:vAlign w:val="center"/>
          </w:tcPr>
          <w:p w14:paraId="68EDCBF0">
            <w:pPr>
              <w:wordWrap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1559" w:type="dxa"/>
            <w:vAlign w:val="center"/>
          </w:tcPr>
          <w:p w14:paraId="6D8651D2">
            <w:pPr>
              <w:wordWrap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响应文件的解密</w:t>
            </w:r>
          </w:p>
        </w:tc>
        <w:tc>
          <w:tcPr>
            <w:tcW w:w="7088" w:type="dxa"/>
            <w:vAlign w:val="center"/>
          </w:tcPr>
          <w:p w14:paraId="2A45E601">
            <w:pPr>
              <w:tabs>
                <w:tab w:val="left" w:pos="1305"/>
              </w:tabs>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响应文件提交截止时间后，采购代理机构开启解密响应文件操作，</w:t>
            </w:r>
            <w:r>
              <w:rPr>
                <w:rFonts w:hint="eastAsia" w:ascii="宋体" w:hAnsi="宋体" w:eastAsia="宋体" w:cs="宋体"/>
                <w:color w:val="auto"/>
                <w:highlight w:val="none"/>
              </w:rPr>
              <w:t>广西政府采购云平台</w:t>
            </w:r>
            <w:r>
              <w:rPr>
                <w:rFonts w:hint="eastAsia" w:ascii="宋体" w:hAnsi="宋体" w:eastAsia="宋体" w:cs="宋体"/>
                <w:color w:val="auto"/>
                <w:kern w:val="0"/>
                <w:szCs w:val="21"/>
                <w:highlight w:val="none"/>
              </w:rPr>
              <w:t>向各供应商发出电子加密响应文件解密通知，由供应商在系统发出解密通知后30分钟内自行使用加密的CA通过“项目采购</w:t>
            </w:r>
            <w:r>
              <w:rPr>
                <w:rFonts w:hint="eastAsia" w:ascii="宋体" w:hAnsi="宋体" w:eastAsia="宋体" w:cs="宋体"/>
                <w:bCs/>
                <w:color w:val="auto"/>
                <w:szCs w:val="21"/>
                <w:highlight w:val="none"/>
              </w:rPr>
              <w:t>－</w:t>
            </w:r>
            <w:r>
              <w:rPr>
                <w:rFonts w:hint="eastAsia" w:ascii="宋体" w:hAnsi="宋体" w:eastAsia="宋体" w:cs="宋体"/>
                <w:color w:val="auto"/>
                <w:kern w:val="0"/>
                <w:szCs w:val="21"/>
                <w:highlight w:val="none"/>
              </w:rPr>
              <w:t>开标评标”功能对响应文件进行解密。若供应商在上述规定的时间内无法解密或解密失败的，可以在响应文件解密截止时间后30分钟内向采购代理机构现场提交电子备份响应文件【现场提交电子响应文件地址：桂林市公共</w:t>
            </w:r>
            <w:r>
              <w:rPr>
                <w:rFonts w:hint="eastAsia" w:ascii="宋体" w:hAnsi="宋体" w:eastAsia="宋体" w:cs="宋体"/>
                <w:color w:val="auto"/>
                <w:kern w:val="0"/>
                <w:szCs w:val="21"/>
                <w:highlight w:val="none"/>
              </w:rPr>
              <w:t>资源交易中心</w:t>
            </w:r>
            <w:r>
              <w:rPr>
                <w:rFonts w:hint="eastAsia" w:ascii="宋体" w:hAnsi="宋体" w:eastAsia="宋体" w:cs="宋体"/>
                <w:color w:val="auto"/>
                <w:kern w:val="0"/>
                <w:szCs w:val="21"/>
                <w:highlight w:val="none"/>
                <w:u w:val="single"/>
              </w:rPr>
              <w:t>7号开标室</w:t>
            </w:r>
            <w:r>
              <w:rPr>
                <w:rFonts w:hint="eastAsia" w:ascii="宋体" w:hAnsi="宋体" w:eastAsia="宋体" w:cs="宋体"/>
                <w:color w:val="auto"/>
                <w:kern w:val="0"/>
                <w:szCs w:val="21"/>
                <w:highlight w:val="none"/>
              </w:rPr>
              <w:t>（广西</w:t>
            </w:r>
            <w:r>
              <w:rPr>
                <w:rFonts w:hint="eastAsia" w:ascii="宋体" w:hAnsi="宋体" w:eastAsia="宋体" w:cs="宋体"/>
                <w:color w:val="auto"/>
                <w:kern w:val="0"/>
                <w:szCs w:val="21"/>
                <w:highlight w:val="none"/>
              </w:rPr>
              <w:t>桂林市临桂区</w:t>
            </w:r>
            <w:r>
              <w:rPr>
                <w:rFonts w:hint="eastAsia" w:ascii="宋体" w:hAnsi="宋体" w:eastAsia="宋体" w:cs="宋体"/>
                <w:color w:val="auto"/>
                <w:kern w:val="0"/>
                <w:szCs w:val="21"/>
                <w:highlight w:val="none"/>
              </w:rPr>
              <w:t>西城中路69号创业大厦西辅楼</w:t>
            </w:r>
            <w:r>
              <w:rPr>
                <w:rFonts w:hint="eastAsia" w:ascii="宋体" w:hAnsi="宋体" w:eastAsia="宋体" w:cs="宋体"/>
                <w:color w:val="auto"/>
                <w:kern w:val="0"/>
                <w:szCs w:val="21"/>
                <w:highlight w:val="none"/>
              </w:rPr>
              <w:t>4楼北区）】</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rPr>
              <w:t>或以电子邮件的形式提交电子备份响应文件（接收电子备份响应文件的电子邮箱为：</w:t>
            </w:r>
            <w:r>
              <w:rPr>
                <w:rFonts w:hint="eastAsia" w:ascii="宋体" w:hAnsi="宋体" w:eastAsia="宋体" w:cs="宋体"/>
                <w:color w:val="auto"/>
                <w:kern w:val="0"/>
                <w:szCs w:val="21"/>
                <w:highlight w:val="none"/>
              </w:rPr>
              <w:t>gxhcdglfgs@163.com</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rPr>
              <w:t>；供应商未在上述规定的时间、地点（电子邮箱）提交的电子备份响应文件，采购代理机构不予接收或承认。</w:t>
            </w:r>
            <w:r>
              <w:rPr>
                <w:rFonts w:hint="eastAsia" w:ascii="宋体" w:hAnsi="宋体" w:eastAsia="宋体" w:cs="宋体"/>
                <w:color w:val="auto"/>
                <w:kern w:val="0"/>
                <w:szCs w:val="21"/>
                <w:highlight w:val="none"/>
              </w:rPr>
              <w:t>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eastAsia="宋体" w:cs="宋体"/>
                <w:color w:val="auto"/>
                <w:kern w:val="0"/>
                <w:szCs w:val="21"/>
                <w:highlight w:val="none"/>
              </w:rPr>
              <w:t>磋商。</w:t>
            </w:r>
          </w:p>
        </w:tc>
      </w:tr>
      <w:tr w14:paraId="39A2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vAlign w:val="center"/>
          </w:tcPr>
          <w:p w14:paraId="363CADD3">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w:t>
            </w:r>
          </w:p>
        </w:tc>
        <w:tc>
          <w:tcPr>
            <w:tcW w:w="709" w:type="dxa"/>
            <w:vAlign w:val="center"/>
          </w:tcPr>
          <w:p w14:paraId="58DEDDCD">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18.1</w:t>
            </w:r>
          </w:p>
        </w:tc>
        <w:tc>
          <w:tcPr>
            <w:tcW w:w="1559" w:type="dxa"/>
            <w:vAlign w:val="center"/>
          </w:tcPr>
          <w:p w14:paraId="4F95B5D5">
            <w:pPr>
              <w:wordWrap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磋商小组组成</w:t>
            </w:r>
          </w:p>
        </w:tc>
        <w:tc>
          <w:tcPr>
            <w:tcW w:w="7088" w:type="dxa"/>
            <w:vAlign w:val="center"/>
          </w:tcPr>
          <w:p w14:paraId="5645E504">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磋商及评审组织工作由采购代理机构负责，具体磋商、评审工作由依法组建的磋商小组负责，本项目的磋商小组由采购人代表和有关方面的专家组成。磋商小组的构成：3人。</w:t>
            </w:r>
          </w:p>
        </w:tc>
      </w:tr>
      <w:tr w14:paraId="12ED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75" w:type="dxa"/>
            <w:vAlign w:val="center"/>
          </w:tcPr>
          <w:p w14:paraId="4CD27685">
            <w:pPr>
              <w:wordWrap w:val="0"/>
              <w:spacing w:line="360" w:lineRule="exact"/>
              <w:jc w:val="center"/>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11</w:t>
            </w:r>
          </w:p>
        </w:tc>
        <w:tc>
          <w:tcPr>
            <w:tcW w:w="709" w:type="dxa"/>
            <w:vAlign w:val="center"/>
          </w:tcPr>
          <w:p w14:paraId="23A56687">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18.2</w:t>
            </w:r>
          </w:p>
        </w:tc>
        <w:tc>
          <w:tcPr>
            <w:tcW w:w="1559" w:type="dxa"/>
            <w:vAlign w:val="center"/>
          </w:tcPr>
          <w:p w14:paraId="788431CB">
            <w:pPr>
              <w:wordWrap w:val="0"/>
              <w:spacing w:line="3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磋商时间、地点、人员</w:t>
            </w:r>
          </w:p>
        </w:tc>
        <w:tc>
          <w:tcPr>
            <w:tcW w:w="7088" w:type="dxa"/>
          </w:tcPr>
          <w:p w14:paraId="6D5A908E">
            <w:pPr>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18.2.1磋商时间：首次响应文件递交截止时间后。</w:t>
            </w:r>
          </w:p>
          <w:p w14:paraId="34FD495C">
            <w:pPr>
              <w:wordWrap w:val="0"/>
              <w:spacing w:line="400" w:lineRule="exact"/>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18.2.2磋商地点：</w:t>
            </w:r>
            <w:r>
              <w:rPr>
                <w:rFonts w:hint="eastAsia" w:ascii="宋体" w:hAnsi="宋体" w:eastAsia="宋体" w:cs="宋体"/>
                <w:bCs/>
                <w:color w:val="auto"/>
                <w:szCs w:val="21"/>
                <w:highlight w:val="none"/>
              </w:rPr>
              <w:t>供应商代表在响应文件提交当天实时登录“广西政府采购云”平台，按磋商小组要求在线等候参与磋商及提交最后报价。因供应商未保持实时在线，导致磋商小组无法及时与其取得联系，从而造成供应商未按规定参与磋商或报价的，其不利后果由供应商自行承担。</w:t>
            </w:r>
          </w:p>
          <w:p w14:paraId="1D38D4A6">
            <w:pPr>
              <w:wordWrap w:val="0"/>
              <w:spacing w:line="400" w:lineRule="exact"/>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18.2.3磋商参加人员：</w:t>
            </w:r>
            <w:r>
              <w:rPr>
                <w:rFonts w:hint="eastAsia" w:ascii="宋体" w:hAnsi="宋体" w:eastAsia="宋体" w:cs="宋体"/>
                <w:color w:val="auto"/>
                <w:szCs w:val="21"/>
                <w:highlight w:val="none"/>
              </w:rPr>
              <w:t>供应商法定代表人（负责人/自然人）或相应的委托代理人持有效身份证原件参加磋商。</w:t>
            </w:r>
            <w:r>
              <w:rPr>
                <w:rFonts w:hint="eastAsia" w:ascii="宋体" w:hAnsi="宋体" w:eastAsia="宋体" w:cs="宋体"/>
                <w:bCs/>
                <w:color w:val="auto"/>
                <w:szCs w:val="21"/>
                <w:highlight w:val="none"/>
              </w:rPr>
              <w:t>请供应商实时登录“广西政府采购云”平台等候在线磋商。</w:t>
            </w:r>
          </w:p>
          <w:p w14:paraId="346697D5">
            <w:pPr>
              <w:wordWrap w:val="0"/>
              <w:spacing w:line="400" w:lineRule="exact"/>
              <w:rPr>
                <w:rFonts w:hint="eastAsia" w:ascii="宋体" w:hAnsi="宋体" w:eastAsia="宋体" w:cs="宋体"/>
                <w:b/>
                <w:color w:val="auto"/>
                <w:kern w:val="0"/>
                <w:szCs w:val="21"/>
                <w:highlight w:val="none"/>
              </w:rPr>
            </w:pPr>
            <w:r>
              <w:rPr>
                <w:rFonts w:hint="eastAsia" w:ascii="宋体" w:hAnsi="宋体" w:eastAsia="宋体" w:cs="宋体"/>
                <w:color w:val="auto"/>
                <w:szCs w:val="21"/>
                <w:highlight w:val="none"/>
              </w:rPr>
              <w:t>18.2.4首次响应文件递交截止时间后，</w:t>
            </w:r>
            <w:r>
              <w:rPr>
                <w:rFonts w:hint="eastAsia" w:ascii="宋体" w:hAnsi="宋体" w:eastAsia="宋体" w:cs="宋体"/>
                <w:bCs/>
                <w:color w:val="auto"/>
                <w:szCs w:val="21"/>
                <w:highlight w:val="none"/>
              </w:rPr>
              <w:t>登录“广西政府采购云”平台在线解密开启。</w:t>
            </w:r>
          </w:p>
        </w:tc>
      </w:tr>
      <w:tr w14:paraId="05BE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75" w:type="dxa"/>
            <w:vAlign w:val="center"/>
          </w:tcPr>
          <w:p w14:paraId="2C806F6C">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w:t>
            </w:r>
          </w:p>
        </w:tc>
        <w:tc>
          <w:tcPr>
            <w:tcW w:w="709" w:type="dxa"/>
            <w:vAlign w:val="center"/>
          </w:tcPr>
          <w:p w14:paraId="7C8C551B">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19.2</w:t>
            </w:r>
          </w:p>
        </w:tc>
        <w:tc>
          <w:tcPr>
            <w:tcW w:w="1559" w:type="dxa"/>
            <w:vAlign w:val="center"/>
          </w:tcPr>
          <w:p w14:paraId="0F2C0033">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  评审办法</w:t>
            </w:r>
          </w:p>
        </w:tc>
        <w:tc>
          <w:tcPr>
            <w:tcW w:w="7088" w:type="dxa"/>
            <w:vAlign w:val="center"/>
          </w:tcPr>
          <w:p w14:paraId="6C948E72">
            <w:pPr>
              <w:tabs>
                <w:tab w:val="left" w:pos="1140"/>
              </w:tabs>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综合评分法，具体详见第四章评审办法。</w:t>
            </w:r>
          </w:p>
        </w:tc>
      </w:tr>
      <w:tr w14:paraId="3F99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75" w:type="dxa"/>
            <w:vAlign w:val="center"/>
          </w:tcPr>
          <w:p w14:paraId="4D26629D">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w:t>
            </w:r>
          </w:p>
        </w:tc>
        <w:tc>
          <w:tcPr>
            <w:tcW w:w="709" w:type="dxa"/>
            <w:vAlign w:val="center"/>
          </w:tcPr>
          <w:p w14:paraId="0C742840">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26</w:t>
            </w:r>
          </w:p>
        </w:tc>
        <w:tc>
          <w:tcPr>
            <w:tcW w:w="1559" w:type="dxa"/>
            <w:vAlign w:val="center"/>
          </w:tcPr>
          <w:p w14:paraId="6352E80F">
            <w:pPr>
              <w:wordWrap w:val="0"/>
              <w:spacing w:line="3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信用查询</w:t>
            </w:r>
          </w:p>
        </w:tc>
        <w:tc>
          <w:tcPr>
            <w:tcW w:w="7088" w:type="dxa"/>
            <w:vAlign w:val="center"/>
          </w:tcPr>
          <w:p w14:paraId="137191E9">
            <w:pPr>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根据《关于做好政府采购有关信用主体标识码登记及在政府采购活动中查询使用信用记录有关问题的通知》（桂财采〔2016〕37），由采购代理机构对第一成交候选供应商进行信用查询：</w:t>
            </w:r>
          </w:p>
          <w:p w14:paraId="7CEFC8BE">
            <w:pPr>
              <w:pStyle w:val="144"/>
              <w:wordWrap w:val="0"/>
              <w:spacing w:line="400" w:lineRule="exact"/>
              <w:ind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（1）查询渠道：“信用中国”网站(</w:t>
            </w:r>
            <w:r>
              <w:rPr>
                <w:rFonts w:hint="eastAsia" w:ascii="宋体" w:hAnsi="宋体" w:eastAsia="宋体" w:cs="宋体"/>
                <w:bCs/>
                <w:color w:val="auto"/>
                <w:szCs w:val="21"/>
                <w:highlight w:val="none"/>
              </w:rPr>
              <w:t>http://</w:t>
            </w:r>
            <w:r>
              <w:rPr>
                <w:rFonts w:hint="eastAsia" w:ascii="宋体" w:hAnsi="宋体" w:eastAsia="宋体" w:cs="宋体"/>
                <w:color w:val="auto"/>
                <w:kern w:val="0"/>
                <w:szCs w:val="21"/>
                <w:highlight w:val="none"/>
              </w:rPr>
              <w:t>www.creditchina.gov.cn)、中国政府采购网(</w:t>
            </w:r>
            <w:r>
              <w:rPr>
                <w:rFonts w:hint="eastAsia" w:ascii="宋体" w:hAnsi="宋体" w:eastAsia="宋体" w:cs="宋体"/>
                <w:bCs/>
                <w:color w:val="auto"/>
                <w:szCs w:val="21"/>
                <w:highlight w:val="none"/>
              </w:rPr>
              <w:t>http://</w:t>
            </w:r>
            <w:r>
              <w:rPr>
                <w:rFonts w:hint="eastAsia" w:ascii="宋体" w:hAnsi="宋体" w:eastAsia="宋体" w:cs="宋体"/>
                <w:color w:val="auto"/>
                <w:kern w:val="0"/>
                <w:szCs w:val="21"/>
                <w:highlight w:val="none"/>
              </w:rPr>
              <w:t>www.ccgp.gov.cn)等；</w:t>
            </w:r>
          </w:p>
          <w:p w14:paraId="0B190D6F">
            <w:pPr>
              <w:pStyle w:val="144"/>
              <w:wordWrap w:val="0"/>
              <w:spacing w:line="400" w:lineRule="exact"/>
              <w:ind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（2）查询截止时间：成交通知书发出前；</w:t>
            </w:r>
          </w:p>
          <w:p w14:paraId="0E7FD8EC">
            <w:pPr>
              <w:pStyle w:val="144"/>
              <w:wordWrap w:val="0"/>
              <w:spacing w:line="400" w:lineRule="exact"/>
              <w:ind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（3）信用信息查询记录和证据留存方式：在查询网站中直接打印查询记录，打印材料作为采购活动资料保存；</w:t>
            </w:r>
          </w:p>
          <w:p w14:paraId="39C102B9">
            <w:pPr>
              <w:pStyle w:val="144"/>
              <w:wordWrap w:val="0"/>
              <w:spacing w:line="400" w:lineRule="exact"/>
              <w:ind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szCs w:val="21"/>
                <w:highlight w:val="none"/>
              </w:rPr>
              <w:t>信用信息使用规则：对在“信用中国”网站(</w:t>
            </w:r>
            <w:r>
              <w:rPr>
                <w:rFonts w:hint="eastAsia" w:ascii="宋体" w:hAnsi="宋体" w:eastAsia="宋体" w:cs="宋体"/>
                <w:bCs/>
                <w:color w:val="auto"/>
                <w:szCs w:val="21"/>
                <w:highlight w:val="none"/>
              </w:rPr>
              <w:t>http://</w:t>
            </w:r>
            <w:r>
              <w:rPr>
                <w:rFonts w:hint="eastAsia" w:ascii="宋体" w:hAnsi="宋体" w:eastAsia="宋体" w:cs="宋体"/>
                <w:color w:val="auto"/>
                <w:szCs w:val="21"/>
                <w:highlight w:val="none"/>
              </w:rPr>
              <w:t>www.creditchina.gov.cn)、中国政府采购网(</w:t>
            </w:r>
            <w:r>
              <w:rPr>
                <w:rFonts w:hint="eastAsia" w:ascii="宋体" w:hAnsi="宋体" w:eastAsia="宋体" w:cs="宋体"/>
                <w:bCs/>
                <w:color w:val="auto"/>
                <w:szCs w:val="21"/>
                <w:highlight w:val="none"/>
              </w:rPr>
              <w:t>http://</w:t>
            </w:r>
            <w:r>
              <w:rPr>
                <w:rFonts w:hint="eastAsia" w:ascii="宋体" w:hAnsi="宋体" w:eastAsia="宋体" w:cs="宋体"/>
                <w:color w:val="auto"/>
                <w:szCs w:val="21"/>
                <w:highlight w:val="none"/>
              </w:rPr>
              <w:t>www.ccgp.gov.cn)等渠道列入失信被执行人、</w:t>
            </w:r>
            <w:r>
              <w:rPr>
                <w:rFonts w:hint="eastAsia" w:ascii="宋体" w:hAnsi="宋体" w:eastAsia="宋体" w:cs="宋体"/>
                <w:color w:val="auto"/>
                <w:highlight w:val="none"/>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、政府采购严重违法失信行为记录名单及其他不符合《中华人民共和国政府采购法》第二十二条规定条件的供应商，取消其成交候选供应商资格。</w:t>
            </w:r>
          </w:p>
        </w:tc>
      </w:tr>
      <w:tr w14:paraId="6EA6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vAlign w:val="center"/>
          </w:tcPr>
          <w:p w14:paraId="2A435517">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w:t>
            </w:r>
          </w:p>
        </w:tc>
        <w:tc>
          <w:tcPr>
            <w:tcW w:w="709" w:type="dxa"/>
            <w:vAlign w:val="center"/>
          </w:tcPr>
          <w:p w14:paraId="2E2AAC88">
            <w:pPr>
              <w:wordWrap w:val="0"/>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p>
        </w:tc>
        <w:tc>
          <w:tcPr>
            <w:tcW w:w="1559" w:type="dxa"/>
            <w:vAlign w:val="center"/>
          </w:tcPr>
          <w:p w14:paraId="2F07018B">
            <w:pPr>
              <w:wordWrap w:val="0"/>
              <w:spacing w:line="3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成交公告</w:t>
            </w:r>
          </w:p>
          <w:p w14:paraId="01945D1E">
            <w:pPr>
              <w:wordWrap w:val="0"/>
              <w:spacing w:line="3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及成交通知书</w:t>
            </w:r>
          </w:p>
        </w:tc>
        <w:tc>
          <w:tcPr>
            <w:tcW w:w="7088" w:type="dxa"/>
          </w:tcPr>
          <w:p w14:paraId="07D57F4E">
            <w:pPr>
              <w:pStyle w:val="144"/>
              <w:wordWrap w:val="0"/>
              <w:spacing w:line="400" w:lineRule="exact"/>
              <w:ind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27.1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2748A1C7">
            <w:pPr>
              <w:pStyle w:val="144"/>
              <w:wordWrap w:val="0"/>
              <w:spacing w:line="400" w:lineRule="exact"/>
              <w:ind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27.3在发布成交公告的同时，采购代理机构向成交供应商发出成交通知书。成交供应商应自接到通知之日起七个工作日内，办理成交通知书领取手续。</w:t>
            </w:r>
          </w:p>
        </w:tc>
      </w:tr>
      <w:tr w14:paraId="0BC7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vAlign w:val="center"/>
          </w:tcPr>
          <w:p w14:paraId="227A2AE7">
            <w:pPr>
              <w:wordWrap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w:t>
            </w:r>
          </w:p>
        </w:tc>
        <w:tc>
          <w:tcPr>
            <w:tcW w:w="709" w:type="dxa"/>
            <w:vAlign w:val="center"/>
          </w:tcPr>
          <w:p w14:paraId="1BCA7A27">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28.1</w:t>
            </w:r>
          </w:p>
        </w:tc>
        <w:tc>
          <w:tcPr>
            <w:tcW w:w="1559" w:type="dxa"/>
            <w:vAlign w:val="center"/>
          </w:tcPr>
          <w:p w14:paraId="1C785A19">
            <w:pPr>
              <w:wordWrap w:val="0"/>
              <w:spacing w:line="24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履约保证金</w:t>
            </w:r>
          </w:p>
        </w:tc>
        <w:tc>
          <w:tcPr>
            <w:tcW w:w="7088" w:type="dxa"/>
            <w:vAlign w:val="center"/>
          </w:tcPr>
          <w:p w14:paraId="34A07E45">
            <w:pPr>
              <w:pStyle w:val="144"/>
              <w:wordWrap w:val="0"/>
              <w:spacing w:line="400" w:lineRule="exact"/>
              <w:ind w:firstLine="0" w:firstLineChars="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本项目不收取履约保证金。</w:t>
            </w:r>
          </w:p>
        </w:tc>
      </w:tr>
      <w:tr w14:paraId="57A6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75" w:type="dxa"/>
            <w:vAlign w:val="center"/>
          </w:tcPr>
          <w:p w14:paraId="342D7214">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p>
        </w:tc>
        <w:tc>
          <w:tcPr>
            <w:tcW w:w="709" w:type="dxa"/>
            <w:vAlign w:val="center"/>
          </w:tcPr>
          <w:p w14:paraId="6057C90E">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29.1</w:t>
            </w:r>
          </w:p>
        </w:tc>
        <w:tc>
          <w:tcPr>
            <w:tcW w:w="1559" w:type="dxa"/>
            <w:vAlign w:val="center"/>
          </w:tcPr>
          <w:p w14:paraId="7398A21B">
            <w:pPr>
              <w:wordWrap w:val="0"/>
              <w:spacing w:line="24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签订合同时间</w:t>
            </w:r>
          </w:p>
        </w:tc>
        <w:tc>
          <w:tcPr>
            <w:tcW w:w="7088" w:type="dxa"/>
            <w:vAlign w:val="center"/>
          </w:tcPr>
          <w:p w14:paraId="71BD61E9">
            <w:pPr>
              <w:pStyle w:val="144"/>
              <w:wordWrap w:val="0"/>
              <w:spacing w:line="400" w:lineRule="exact"/>
              <w:ind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成交通知书发出之日起8个工作日内。成交供应商领取成交通知书后，应按规定与采购人签订合同。</w:t>
            </w:r>
          </w:p>
        </w:tc>
      </w:tr>
      <w:tr w14:paraId="7A9F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675" w:type="dxa"/>
            <w:vAlign w:val="center"/>
          </w:tcPr>
          <w:p w14:paraId="2160A781">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17</w:t>
            </w:r>
          </w:p>
        </w:tc>
        <w:tc>
          <w:tcPr>
            <w:tcW w:w="709" w:type="dxa"/>
            <w:vAlign w:val="center"/>
          </w:tcPr>
          <w:p w14:paraId="2A3207BB">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29.3</w:t>
            </w:r>
          </w:p>
        </w:tc>
        <w:tc>
          <w:tcPr>
            <w:tcW w:w="1559" w:type="dxa"/>
            <w:vAlign w:val="center"/>
          </w:tcPr>
          <w:p w14:paraId="7D885C1D">
            <w:pPr>
              <w:wordWrap w:val="0"/>
              <w:spacing w:line="24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政府采购合同公告</w:t>
            </w:r>
          </w:p>
        </w:tc>
        <w:tc>
          <w:tcPr>
            <w:tcW w:w="7088" w:type="dxa"/>
            <w:vAlign w:val="center"/>
          </w:tcPr>
          <w:p w14:paraId="419BD800">
            <w:pPr>
              <w:wordWrap w:val="0"/>
              <w:snapToGrid w:val="0"/>
              <w:spacing w:line="400" w:lineRule="exact"/>
              <w:outlineLvl w:val="4"/>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采购人应当自政府采购合同签订之日起2个工作日内，将政府采购合同在省级以上人民政府财政部门指定的媒体上公告，但政府采购合同中涉及国家秘密、商业秘密的内容除外。</w:t>
            </w:r>
          </w:p>
        </w:tc>
      </w:tr>
      <w:tr w14:paraId="1893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5" w:type="dxa"/>
            <w:vAlign w:val="center"/>
          </w:tcPr>
          <w:p w14:paraId="6D869799">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18</w:t>
            </w:r>
          </w:p>
        </w:tc>
        <w:tc>
          <w:tcPr>
            <w:tcW w:w="709" w:type="dxa"/>
            <w:vAlign w:val="center"/>
          </w:tcPr>
          <w:p w14:paraId="457B138E">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30.1</w:t>
            </w:r>
          </w:p>
        </w:tc>
        <w:tc>
          <w:tcPr>
            <w:tcW w:w="1559" w:type="dxa"/>
            <w:vAlign w:val="center"/>
          </w:tcPr>
          <w:p w14:paraId="73FD75C9">
            <w:pPr>
              <w:wordWrap w:val="0"/>
              <w:spacing w:line="24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采购代理服务费</w:t>
            </w:r>
          </w:p>
        </w:tc>
        <w:tc>
          <w:tcPr>
            <w:tcW w:w="7088" w:type="dxa"/>
          </w:tcPr>
          <w:p w14:paraId="63D003B8">
            <w:pPr>
              <w:pStyle w:val="144"/>
              <w:wordWrap w:val="0"/>
              <w:spacing w:line="400" w:lineRule="exact"/>
              <w:ind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本项目代理服务费按本须知第30.2条“代理服务收费标准”</w:t>
            </w:r>
            <w:r>
              <w:rPr>
                <w:rFonts w:hint="eastAsia" w:ascii="宋体" w:hAnsi="宋体" w:eastAsia="宋体" w:cs="宋体"/>
                <w:color w:val="auto"/>
                <w:kern w:val="0"/>
                <w:szCs w:val="21"/>
                <w:highlight w:val="none"/>
              </w:rPr>
              <w:t>中服务类收费标准的90%计算，由成交供应商在领取成交通知书前，向采购代理机</w:t>
            </w:r>
            <w:r>
              <w:rPr>
                <w:rFonts w:hint="eastAsia" w:ascii="宋体" w:hAnsi="宋体" w:eastAsia="宋体" w:cs="宋体"/>
                <w:color w:val="auto"/>
                <w:kern w:val="0"/>
                <w:szCs w:val="21"/>
                <w:highlight w:val="none"/>
              </w:rPr>
              <w:t>构一次性支付。</w:t>
            </w:r>
          </w:p>
        </w:tc>
      </w:tr>
      <w:tr w14:paraId="3D3A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5" w:type="dxa"/>
            <w:vAlign w:val="center"/>
          </w:tcPr>
          <w:p w14:paraId="5873B73C">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19</w:t>
            </w:r>
          </w:p>
        </w:tc>
        <w:tc>
          <w:tcPr>
            <w:tcW w:w="709" w:type="dxa"/>
            <w:vAlign w:val="center"/>
          </w:tcPr>
          <w:p w14:paraId="237DCD49">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p>
        </w:tc>
        <w:tc>
          <w:tcPr>
            <w:tcW w:w="1559" w:type="dxa"/>
            <w:vAlign w:val="center"/>
          </w:tcPr>
          <w:p w14:paraId="1A883D38">
            <w:pPr>
              <w:wordWrap w:val="0"/>
              <w:spacing w:line="24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解释权</w:t>
            </w:r>
          </w:p>
        </w:tc>
        <w:tc>
          <w:tcPr>
            <w:tcW w:w="7088" w:type="dxa"/>
          </w:tcPr>
          <w:p w14:paraId="1C6FE57D">
            <w:pPr>
              <w:pStyle w:val="144"/>
              <w:wordWrap w:val="0"/>
              <w:spacing w:line="400" w:lineRule="exact"/>
              <w:ind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21AC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75" w:type="dxa"/>
            <w:vAlign w:val="center"/>
          </w:tcPr>
          <w:p w14:paraId="347CDF1A">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w:t>
            </w:r>
          </w:p>
        </w:tc>
        <w:tc>
          <w:tcPr>
            <w:tcW w:w="709" w:type="dxa"/>
            <w:vAlign w:val="center"/>
          </w:tcPr>
          <w:p w14:paraId="00EFECDB">
            <w:pPr>
              <w:wordWrap w:val="0"/>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34</w:t>
            </w:r>
          </w:p>
        </w:tc>
        <w:tc>
          <w:tcPr>
            <w:tcW w:w="1559" w:type="dxa"/>
            <w:vAlign w:val="center"/>
          </w:tcPr>
          <w:p w14:paraId="014DDD76">
            <w:pPr>
              <w:wordWrap w:val="0"/>
              <w:spacing w:line="24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监督管理机构</w:t>
            </w:r>
          </w:p>
        </w:tc>
        <w:tc>
          <w:tcPr>
            <w:tcW w:w="7088" w:type="dxa"/>
            <w:vAlign w:val="center"/>
          </w:tcPr>
          <w:p w14:paraId="3FC3AABC">
            <w:pPr>
              <w:pStyle w:val="144"/>
              <w:wordWrap w:val="0"/>
              <w:spacing w:line="360" w:lineRule="exact"/>
              <w:ind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桂林市七星区财政局；联系方式：0773-2126206</w:t>
            </w:r>
          </w:p>
        </w:tc>
      </w:tr>
    </w:tbl>
    <w:p w14:paraId="64B65A8A">
      <w:pPr>
        <w:wordWrap w:val="0"/>
        <w:spacing w:line="380" w:lineRule="exact"/>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br w:type="page"/>
      </w:r>
      <w:r>
        <w:rPr>
          <w:rFonts w:hint="eastAsia" w:ascii="宋体" w:hAnsi="宋体" w:eastAsia="宋体" w:cs="宋体"/>
          <w:b/>
          <w:color w:val="auto"/>
          <w:kern w:val="0"/>
          <w:sz w:val="28"/>
          <w:szCs w:val="28"/>
          <w:highlight w:val="none"/>
        </w:rPr>
        <w:t>一、总则</w:t>
      </w:r>
    </w:p>
    <w:p w14:paraId="265C1C90">
      <w:pPr>
        <w:wordWrap w:val="0"/>
        <w:spacing w:line="38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1.适应范围</w:t>
      </w:r>
    </w:p>
    <w:p w14:paraId="0D5C0DFA">
      <w:pPr>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1.1项目编号及项目名称：</w:t>
      </w:r>
    </w:p>
    <w:p w14:paraId="0CFE2306">
      <w:pPr>
        <w:wordWrap w:val="0"/>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项目编号：</w:t>
      </w:r>
      <w:r>
        <w:rPr>
          <w:rFonts w:hint="eastAsia" w:ascii="宋体" w:hAnsi="宋体" w:eastAsia="宋体" w:cs="宋体"/>
          <w:color w:val="auto"/>
          <w:szCs w:val="21"/>
          <w:highlight w:val="none"/>
        </w:rPr>
        <w:t>GLZC2026-C3-990416-GXHC</w:t>
      </w:r>
    </w:p>
    <w:p w14:paraId="3C0FB14F">
      <w:pPr>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项目名称：</w:t>
      </w:r>
      <w:r>
        <w:rPr>
          <w:rFonts w:hint="eastAsia" w:ascii="宋体" w:hAnsi="宋体" w:eastAsia="宋体" w:cs="宋体"/>
          <w:color w:val="auto"/>
          <w:szCs w:val="21"/>
          <w:highlight w:val="none"/>
        </w:rPr>
        <w:t>七星区农村学校伙房食材配送服务项目</w:t>
      </w:r>
    </w:p>
    <w:p w14:paraId="52D7A83D">
      <w:pPr>
        <w:pStyle w:val="17"/>
        <w:rPr>
          <w:rFonts w:hint="eastAsia" w:ascii="宋体" w:hAnsi="宋体" w:eastAsia="宋体" w:cs="宋体"/>
          <w:b w:val="0"/>
          <w:color w:val="auto"/>
          <w:kern w:val="0"/>
          <w:sz w:val="21"/>
          <w:szCs w:val="21"/>
          <w:highlight w:val="none"/>
        </w:rPr>
      </w:pPr>
      <w:r>
        <w:rPr>
          <w:rFonts w:hint="eastAsia" w:ascii="宋体" w:hAnsi="宋体" w:eastAsia="宋体" w:cs="宋体"/>
          <w:b w:val="0"/>
          <w:color w:val="auto"/>
          <w:kern w:val="0"/>
          <w:sz w:val="21"/>
          <w:szCs w:val="21"/>
          <w:highlight w:val="none"/>
        </w:rPr>
        <w:t xml:space="preserve">     1.2本竞争性磋商文件（以下简称磋商文件）适用于本磋商项目的磋商、评审、合同履约、验收、付款等行为（法律、法规另有规定的，从其规定）。</w:t>
      </w:r>
    </w:p>
    <w:p w14:paraId="4DCFFCF1">
      <w:pPr>
        <w:wordWrap w:val="0"/>
        <w:spacing w:line="38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67125AB7">
      <w:pPr>
        <w:wordWrap w:val="0"/>
        <w:spacing w:line="380" w:lineRule="exact"/>
        <w:ind w:firstLine="420" w:firstLineChars="200"/>
        <w:rPr>
          <w:rFonts w:hint="eastAsia" w:ascii="宋体" w:hAnsi="宋体" w:eastAsia="宋体" w:cs="宋体"/>
          <w:color w:val="auto"/>
          <w:kern w:val="0"/>
          <w:szCs w:val="21"/>
          <w:highlight w:val="none"/>
        </w:rPr>
      </w:pPr>
      <w:bookmarkStart w:id="52" w:name="OLE_LINK193"/>
      <w:bookmarkStart w:id="53" w:name="OLE_LINK194"/>
      <w:r>
        <w:rPr>
          <w:rFonts w:hint="eastAsia" w:ascii="宋体" w:hAnsi="宋体" w:eastAsia="宋体" w:cs="宋体"/>
          <w:color w:val="auto"/>
          <w:kern w:val="0"/>
          <w:szCs w:val="21"/>
          <w:highlight w:val="none"/>
        </w:rPr>
        <w:t>2.1“供应商”是指符合</w:t>
      </w:r>
      <w:bookmarkEnd w:id="52"/>
      <w:bookmarkEnd w:id="53"/>
      <w:r>
        <w:rPr>
          <w:rFonts w:hint="eastAsia" w:ascii="宋体" w:hAnsi="宋体" w:eastAsia="宋体" w:cs="宋体"/>
          <w:color w:val="auto"/>
          <w:kern w:val="0"/>
          <w:szCs w:val="21"/>
          <w:highlight w:val="none"/>
        </w:rPr>
        <w:t>本次采购项目的供应商资格并提交响应文件、参加磋商的供应商。如果该供应商在本次磋商中成交，即成为“成交供应商”。</w:t>
      </w:r>
    </w:p>
    <w:p w14:paraId="3E74A6C9">
      <w:pPr>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2.2“服务”系指按磋商文件规定，供应商须承担的</w:t>
      </w:r>
      <w:r>
        <w:rPr>
          <w:rFonts w:hint="eastAsia" w:ascii="宋体" w:hAnsi="宋体" w:eastAsia="宋体" w:cs="宋体"/>
          <w:color w:val="auto"/>
          <w:kern w:val="0"/>
          <w:szCs w:val="21"/>
          <w:highlight w:val="none"/>
        </w:rPr>
        <w:t>七星区农村学校伙房食材配送服务以</w:t>
      </w:r>
      <w:r>
        <w:rPr>
          <w:rFonts w:hint="eastAsia" w:ascii="宋体" w:hAnsi="宋体" w:eastAsia="宋体" w:cs="宋体"/>
          <w:color w:val="auto"/>
          <w:kern w:val="0"/>
          <w:szCs w:val="21"/>
          <w:highlight w:val="none"/>
        </w:rPr>
        <w:t>及与本项目采购标的涉及的其他相关的义务。</w:t>
      </w:r>
    </w:p>
    <w:p w14:paraId="60FA9475">
      <w:pPr>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2.3“项目”系指供应商按磋商文件规定向采购人提供的货物和服务。</w:t>
      </w:r>
    </w:p>
    <w:p w14:paraId="4B908463">
      <w:pPr>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2.4“书面形式”包括信函、传真、电报等。</w:t>
      </w:r>
    </w:p>
    <w:p w14:paraId="0A3750F8">
      <w:pPr>
        <w:wordWrap w:val="0"/>
        <w:adjustRightInd w:val="0"/>
        <w:snapToGrid w:val="0"/>
        <w:spacing w:line="38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w:t>
      </w:r>
      <w:r>
        <w:rPr>
          <w:rFonts w:hint="eastAsia" w:ascii="宋体" w:hAnsi="宋体" w:eastAsia="宋体" w:cs="宋体"/>
          <w:color w:val="auto"/>
          <w:kern w:val="0"/>
          <w:szCs w:val="20"/>
          <w:highlight w:val="none"/>
        </w:rPr>
        <w:t>“响应文件”：本项目实行全流程电子化采购，供应商通过“广西政府采购云”平台参与电子竞标。响应文件特指供应商按本磋商文件规定提交的电子响应文件（包括因特殊情况无法解密或解密失败提交的电子备份响应文件）。</w:t>
      </w:r>
    </w:p>
    <w:p w14:paraId="0424DC04">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    2.6实质性要求：</w:t>
      </w:r>
      <w:bookmarkStart w:id="54" w:name="OLE_LINK4"/>
      <w:bookmarkStart w:id="55" w:name="OLE_LINK3"/>
      <w:r>
        <w:rPr>
          <w:rFonts w:hint="eastAsia" w:ascii="宋体" w:hAnsi="宋体" w:eastAsia="宋体" w:cs="宋体"/>
          <w:color w:val="auto"/>
          <w:highlight w:val="none"/>
        </w:rPr>
        <w:t>本项目中“项目需求”中的所有要求均为实质性要求</w:t>
      </w:r>
      <w:bookmarkEnd w:id="54"/>
      <w:bookmarkEnd w:id="55"/>
      <w:r>
        <w:rPr>
          <w:rFonts w:hint="eastAsia" w:ascii="宋体" w:hAnsi="宋体" w:eastAsia="宋体" w:cs="宋体"/>
          <w:color w:val="auto"/>
          <w:highlight w:val="none"/>
        </w:rPr>
        <w:t>。</w:t>
      </w:r>
    </w:p>
    <w:p w14:paraId="3D6E47EF">
      <w:pPr>
        <w:wordWrap w:val="0"/>
        <w:spacing w:line="38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3.供应商资格</w:t>
      </w:r>
    </w:p>
    <w:p w14:paraId="0A4752D5">
      <w:pPr>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3.1满足《中华人民共和国政府采购法》第二十二条规定；</w:t>
      </w:r>
    </w:p>
    <w:p w14:paraId="61D24E7D">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3.2落实政府采购政策需满足的资格要求：</w:t>
      </w:r>
      <w:r>
        <w:rPr>
          <w:rFonts w:hint="eastAsia" w:ascii="宋体" w:hAnsi="宋体" w:eastAsia="宋体" w:cs="宋体"/>
          <w:color w:val="auto"/>
          <w:szCs w:val="21"/>
          <w:highlight w:val="none"/>
        </w:rPr>
        <w:t>分标1，2</w:t>
      </w:r>
      <w:r>
        <w:rPr>
          <w:rFonts w:hint="eastAsia" w:ascii="宋体" w:hAnsi="宋体" w:eastAsia="宋体" w:cs="宋体"/>
          <w:color w:val="auto"/>
          <w:spacing w:val="7"/>
          <w:highlight w:val="none"/>
        </w:rPr>
        <w:t>：</w:t>
      </w:r>
      <w:r>
        <w:rPr>
          <w:rFonts w:hint="eastAsia" w:ascii="宋体" w:hAnsi="宋体" w:eastAsia="宋体" w:cs="宋体"/>
          <w:color w:val="auto"/>
          <w:szCs w:val="21"/>
          <w:highlight w:val="none"/>
        </w:rPr>
        <w:t>专门面向中小企业采购【供应商应符合《政府采购促进中小企业发展管理办法》（财库[2020]46号）中关于中小微企业的相关规定；监狱企业及残疾人福利性单位视同于小微企业】；</w:t>
      </w:r>
    </w:p>
    <w:p w14:paraId="70025C7F">
      <w:pPr>
        <w:wordWrap w:val="0"/>
        <w:spacing w:line="400" w:lineRule="exact"/>
        <w:ind w:firstLine="420" w:firstLineChars="200"/>
        <w:rPr>
          <w:rStyle w:val="83"/>
          <w:rFonts w:hint="eastAsia" w:ascii="宋体" w:hAnsi="宋体" w:eastAsia="宋体" w:cs="宋体"/>
          <w:color w:val="auto"/>
          <w:sz w:val="22"/>
          <w:szCs w:val="22"/>
          <w:highlight w:val="none"/>
        </w:rPr>
      </w:pPr>
      <w:r>
        <w:rPr>
          <w:rFonts w:hint="eastAsia" w:ascii="宋体" w:hAnsi="宋体" w:eastAsia="宋体" w:cs="宋体"/>
          <w:color w:val="auto"/>
          <w:szCs w:val="21"/>
          <w:highlight w:val="none"/>
        </w:rPr>
        <w:t>3.3本项目的特定资格要求：分标1，2</w:t>
      </w:r>
      <w:r>
        <w:rPr>
          <w:rFonts w:hint="eastAsia" w:ascii="宋体" w:hAnsi="宋体" w:eastAsia="宋体" w:cs="宋体"/>
          <w:color w:val="auto"/>
          <w:spacing w:val="7"/>
          <w:highlight w:val="none"/>
        </w:rPr>
        <w:t>：</w:t>
      </w:r>
      <w:r>
        <w:rPr>
          <w:rFonts w:hint="eastAsia" w:ascii="宋体" w:hAnsi="宋体" w:eastAsia="宋体" w:cs="宋体"/>
          <w:color w:val="auto"/>
          <w:szCs w:val="21"/>
          <w:highlight w:val="none"/>
        </w:rPr>
        <w:t>供应商须具有有效的《食品经营许可证》（若供应商所配送食材为自主生产的，还须具有有效的《食品生产许可证》）。</w:t>
      </w:r>
    </w:p>
    <w:p w14:paraId="2941F287">
      <w:pPr>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资格条件特别说明：</w:t>
      </w:r>
    </w:p>
    <w:p w14:paraId="43B8F87D">
      <w:pPr>
        <w:wordWrap w:val="0"/>
        <w:spacing w:line="400" w:lineRule="exact"/>
        <w:ind w:firstLine="420" w:firstLineChars="200"/>
        <w:rPr>
          <w:rFonts w:hint="eastAsia" w:ascii="宋体" w:hAnsi="宋体" w:eastAsia="宋体" w:cs="宋体"/>
          <w:color w:val="auto"/>
          <w:szCs w:val="21"/>
          <w:highlight w:val="none"/>
        </w:rPr>
      </w:pPr>
      <w:bookmarkStart w:id="56" w:name="OLE_LINK50"/>
      <w:bookmarkStart w:id="57" w:name="OLE_LINK71"/>
      <w:r>
        <w:rPr>
          <w:rFonts w:hint="eastAsia" w:ascii="宋体" w:hAnsi="宋体" w:eastAsia="宋体" w:cs="宋体"/>
          <w:color w:val="auto"/>
          <w:szCs w:val="21"/>
          <w:highlight w:val="none"/>
        </w:rPr>
        <w:t>（1）</w:t>
      </w:r>
      <w:bookmarkEnd w:id="56"/>
      <w:bookmarkEnd w:id="57"/>
      <w:r>
        <w:rPr>
          <w:rFonts w:hint="eastAsia" w:ascii="宋体" w:hAnsi="宋体" w:eastAsia="宋体" w:cs="宋体"/>
          <w:color w:val="auto"/>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8FFFAE7">
      <w:pPr>
        <w:tabs>
          <w:tab w:val="left" w:pos="1635"/>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highlight w:val="none"/>
        </w:rPr>
        <w:t>对在“信用中国”网站(</w:t>
      </w:r>
      <w:r>
        <w:rPr>
          <w:rFonts w:hint="eastAsia" w:ascii="宋体" w:hAnsi="宋体" w:eastAsia="宋体" w:cs="宋体"/>
          <w:bCs/>
          <w:color w:val="auto"/>
          <w:szCs w:val="21"/>
          <w:highlight w:val="none"/>
        </w:rPr>
        <w:t>http://</w:t>
      </w:r>
      <w:r>
        <w:rPr>
          <w:rFonts w:hint="eastAsia" w:ascii="宋体" w:hAnsi="宋体" w:eastAsia="宋体" w:cs="宋体"/>
          <w:color w:val="auto"/>
          <w:highlight w:val="none"/>
        </w:rPr>
        <w:t>www.creditchina.gov.cn)、中国政府采购网(</w:t>
      </w:r>
      <w:r>
        <w:rPr>
          <w:rFonts w:hint="eastAsia" w:ascii="宋体" w:hAnsi="宋体" w:eastAsia="宋体" w:cs="宋体"/>
          <w:bCs/>
          <w:color w:val="auto"/>
          <w:szCs w:val="21"/>
          <w:highlight w:val="none"/>
        </w:rPr>
        <w:t>http://</w:t>
      </w:r>
      <w:r>
        <w:rPr>
          <w:rFonts w:hint="eastAsia" w:ascii="宋体" w:hAnsi="宋体" w:eastAsia="宋体" w:cs="宋体"/>
          <w:color w:val="auto"/>
          <w:highlight w:val="none"/>
        </w:rPr>
        <w:t>www.ccgp.gov.cn)被列入失信被执行人、重大税收违法失信主体、政府采购严重违法失信行为记录名单及其他不符合《中华人民共和国政府采购法》第二十二条规定条件的供应商，不得参与政府采购活动。</w:t>
      </w:r>
    </w:p>
    <w:p w14:paraId="4DFAE836">
      <w:pPr>
        <w:wordWrap w:val="0"/>
        <w:spacing w:line="36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4.参与电子竞标的准备工作</w:t>
      </w:r>
    </w:p>
    <w:p w14:paraId="09EB1A8F">
      <w:pPr>
        <w:tabs>
          <w:tab w:val="left" w:pos="1635"/>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③下载“广西壮族自治区全流程电子招响应项目管理系统--供应商客户端”（操作方法详见广西壮族自治区政府采购网—办事服务—下载专区，以下称“广西政府采购云电子响应客户端”）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CA证书）。因供应商未做好相关准备工作等自身原因导致无法参加本项目电子竞标或竞标失败的，造成的一切后果，由供应商自行承担。</w:t>
      </w:r>
    </w:p>
    <w:p w14:paraId="5CAD4D1A">
      <w:pPr>
        <w:tabs>
          <w:tab w:val="left" w:pos="1635"/>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4.2电子竞标具体操作流程参考《政府采购项目电子交易管理操作指南-供应商》（详见桂林市政府采购网—采购资讯—重要通知）；如遇平台技术问题详询95763。</w:t>
      </w:r>
    </w:p>
    <w:p w14:paraId="656C144D">
      <w:pPr>
        <w:tabs>
          <w:tab w:val="left" w:pos="1635"/>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4.3不论磋商结果如何，供应商均应自行承担所有与磋商有关的全部费用。</w:t>
      </w:r>
    </w:p>
    <w:p w14:paraId="099C7236">
      <w:pPr>
        <w:tabs>
          <w:tab w:val="left" w:pos="1635"/>
        </w:tabs>
        <w:wordWrap w:val="0"/>
        <w:spacing w:line="38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5.联合体要求：</w:t>
      </w:r>
    </w:p>
    <w:p w14:paraId="014B0C14">
      <w:pPr>
        <w:wordWrap w:val="0"/>
        <w:snapToGrid w:val="0"/>
        <w:spacing w:line="380" w:lineRule="exact"/>
        <w:ind w:firstLine="420" w:firstLineChars="200"/>
        <w:jc w:val="left"/>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本项目不接受联合体参与磋商。</w:t>
      </w:r>
    </w:p>
    <w:p w14:paraId="55C1B566">
      <w:pPr>
        <w:tabs>
          <w:tab w:val="left" w:pos="2190"/>
        </w:tabs>
        <w:wordWrap w:val="0"/>
        <w:spacing w:line="38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6.质疑和投诉</w:t>
      </w:r>
      <w:r>
        <w:rPr>
          <w:rFonts w:hint="eastAsia" w:ascii="宋体" w:hAnsi="宋体" w:eastAsia="宋体" w:cs="宋体"/>
          <w:b/>
          <w:color w:val="auto"/>
          <w:kern w:val="0"/>
          <w:szCs w:val="21"/>
          <w:highlight w:val="none"/>
        </w:rPr>
        <w:tab/>
      </w:r>
    </w:p>
    <w:p w14:paraId="7E023C39">
      <w:pPr>
        <w:tabs>
          <w:tab w:val="left" w:pos="2190"/>
        </w:tabs>
        <w:wordWrap w:val="0"/>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w:t>
      </w:r>
      <w:r>
        <w:rPr>
          <w:rFonts w:hint="eastAsia" w:ascii="宋体" w:hAnsi="宋体" w:eastAsia="宋体" w:cs="宋体"/>
          <w:b/>
          <w:color w:val="auto"/>
          <w:szCs w:val="21"/>
          <w:highlight w:val="none"/>
        </w:rPr>
        <w:t>（“质疑函”格式见附表1）</w:t>
      </w:r>
      <w:r>
        <w:rPr>
          <w:rFonts w:hint="eastAsia" w:ascii="宋体" w:hAnsi="宋体" w:eastAsia="宋体" w:cs="宋体"/>
          <w:color w:val="auto"/>
          <w:szCs w:val="21"/>
          <w:highlight w:val="none"/>
        </w:rPr>
        <w:t>。否则，采购代理机构有权拒收。</w:t>
      </w:r>
    </w:p>
    <w:p w14:paraId="28FFA1C1">
      <w:pPr>
        <w:tabs>
          <w:tab w:val="left" w:pos="2190"/>
        </w:tabs>
        <w:wordWrap w:val="0"/>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采购代理机构应认真做好质疑处理工作，对于质疑供应商在法定质疑期内提出的质疑函，应当在收到质疑函后7个工作日内作出答复，并以书面形式通知质疑供应商和其他有关供应商。</w:t>
      </w:r>
    </w:p>
    <w:p w14:paraId="7E94953A">
      <w:pPr>
        <w:tabs>
          <w:tab w:val="left" w:pos="2190"/>
        </w:tabs>
        <w:wordWrap w:val="0"/>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供应商在法定质疑期内应一次性提出与项目相关的质疑，供应商在提出与项目相关的质疑前应当做好全面且详细的工作，代理机构不再受理供应商针对同一采购程序环节的再次质疑。</w:t>
      </w:r>
    </w:p>
    <w:p w14:paraId="5B903CAE">
      <w:pPr>
        <w:tabs>
          <w:tab w:val="left" w:pos="2190"/>
        </w:tabs>
        <w:wordWrap w:val="0"/>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6.2供应商对采购代理机构的质疑答复不满意或者采购代理机构未在规定的时间内作出答复的，可以在答复期满后十五个工作日内向桂林市政府采购监督管理机构投诉</w:t>
      </w:r>
      <w:r>
        <w:rPr>
          <w:rFonts w:hint="eastAsia" w:ascii="宋体" w:hAnsi="宋体" w:eastAsia="宋体" w:cs="宋体"/>
          <w:b/>
          <w:color w:val="auto"/>
          <w:szCs w:val="21"/>
          <w:highlight w:val="none"/>
        </w:rPr>
        <w:t>（“投诉书”格式见附表2）</w:t>
      </w:r>
      <w:r>
        <w:rPr>
          <w:rFonts w:hint="eastAsia" w:ascii="宋体" w:hAnsi="宋体" w:eastAsia="宋体" w:cs="宋体"/>
          <w:color w:val="auto"/>
          <w:szCs w:val="21"/>
          <w:highlight w:val="none"/>
        </w:rPr>
        <w:t>。</w:t>
      </w:r>
    </w:p>
    <w:p w14:paraId="2BF3F8C3">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6.3质疑、投诉应当采用书面形式，质疑书、投诉书实行实名制，均应明确阐述磋商文件、磋商过程或成交结果中使自己合法权益受到损害的实质性内容，并提供必要的证明材料</w:t>
      </w:r>
      <w:r>
        <w:rPr>
          <w:rFonts w:hint="eastAsia" w:ascii="宋体" w:hAnsi="宋体" w:eastAsia="宋体" w:cs="宋体"/>
          <w:color w:val="auto"/>
          <w:kern w:val="0"/>
          <w:szCs w:val="21"/>
          <w:highlight w:val="none"/>
        </w:rPr>
        <w:t>。</w:t>
      </w:r>
    </w:p>
    <w:p w14:paraId="5BA48095">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供应商提出质疑应当提交质疑函和必要的证明材料，针对同一采购程序环节的质疑必须在法定质疑期内一次性提出。质疑函应当包括下列内容：</w:t>
      </w:r>
    </w:p>
    <w:p w14:paraId="197821E6">
      <w:pPr>
        <w:tabs>
          <w:tab w:val="left" w:pos="2190"/>
        </w:tabs>
        <w:wordWrap w:val="0"/>
        <w:spacing w:line="38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（1）供应商的姓名或者名称、地址、邮编、联系人及联系电话；</w:t>
      </w:r>
    </w:p>
    <w:p w14:paraId="4512D15D">
      <w:pPr>
        <w:tabs>
          <w:tab w:val="left" w:pos="2190"/>
        </w:tabs>
        <w:wordWrap w:val="0"/>
        <w:spacing w:line="38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（2）质疑项目的名称、编号；</w:t>
      </w:r>
    </w:p>
    <w:p w14:paraId="01BD6A53">
      <w:pPr>
        <w:tabs>
          <w:tab w:val="left" w:pos="2190"/>
        </w:tabs>
        <w:wordWrap w:val="0"/>
        <w:spacing w:line="38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（3）具体、明确的质疑事项和与质疑事项相关的请求；</w:t>
      </w:r>
    </w:p>
    <w:p w14:paraId="213FA492">
      <w:pPr>
        <w:tabs>
          <w:tab w:val="left" w:pos="2190"/>
        </w:tabs>
        <w:wordWrap w:val="0"/>
        <w:spacing w:line="38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（4）事实依据；</w:t>
      </w:r>
    </w:p>
    <w:p w14:paraId="775C3CA3">
      <w:pPr>
        <w:tabs>
          <w:tab w:val="left" w:pos="2190"/>
        </w:tabs>
        <w:wordWrap w:val="0"/>
        <w:spacing w:line="38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（5）必要的法律依据；</w:t>
      </w:r>
    </w:p>
    <w:p w14:paraId="20D4FD68">
      <w:pPr>
        <w:tabs>
          <w:tab w:val="left" w:pos="2190"/>
        </w:tabs>
        <w:wordWrap w:val="0"/>
        <w:spacing w:line="38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（6）提出质疑的日期。</w:t>
      </w:r>
    </w:p>
    <w:p w14:paraId="03CEF753">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供应商为自然人的，应当由本人签字；供应商为法人或者其他组织的，应当由法定代表人、主要负责人，或者其授权代表签字或者盖章，并加盖公章。</w:t>
      </w:r>
    </w:p>
    <w:p w14:paraId="7B77FD8A">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接收质疑函方式：以书面形式。</w:t>
      </w:r>
    </w:p>
    <w:p w14:paraId="720BDB41">
      <w:pPr>
        <w:tabs>
          <w:tab w:val="left" w:pos="2190"/>
        </w:tabs>
        <w:wordWrap w:val="0"/>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kern w:val="0"/>
          <w:szCs w:val="21"/>
          <w:highlight w:val="none"/>
        </w:rPr>
        <w:t>质疑联系部门及联系方式：广西华诚达建设项目管理有限公司桂林分公司，联系人：杨薇，联系电话：0773-5630101。通讯地址：</w:t>
      </w:r>
      <w:r>
        <w:rPr>
          <w:rFonts w:hint="eastAsia" w:ascii="宋体" w:hAnsi="宋体" w:eastAsia="宋体" w:cs="宋体"/>
          <w:color w:val="auto"/>
          <w:highlight w:val="none"/>
        </w:rPr>
        <w:t>广西桂林市七星区骖鸾路25号合鑫大楼6楼。</w:t>
      </w:r>
    </w:p>
    <w:p w14:paraId="3552AB1D">
      <w:pPr>
        <w:tabs>
          <w:tab w:val="left" w:pos="2190"/>
        </w:tabs>
        <w:wordWrap w:val="0"/>
        <w:spacing w:line="38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7.转包与分包</w:t>
      </w:r>
    </w:p>
    <w:p w14:paraId="0E883F7F">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7.1本项目不允许转包。</w:t>
      </w:r>
    </w:p>
    <w:p w14:paraId="4B72D799">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7.2本项目不可以分包。</w:t>
      </w:r>
    </w:p>
    <w:p w14:paraId="7ECFF72F">
      <w:pPr>
        <w:tabs>
          <w:tab w:val="left" w:pos="1635"/>
        </w:tabs>
        <w:wordWrap w:val="0"/>
        <w:spacing w:line="38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8.特别说明</w:t>
      </w:r>
    </w:p>
    <w:p w14:paraId="78696675">
      <w:pPr>
        <w:tabs>
          <w:tab w:val="left" w:pos="1635"/>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8.1关联供应商不得参加同一合同项下政府采购活动，否则响应文件将被视为无效：</w:t>
      </w:r>
    </w:p>
    <w:p w14:paraId="24DEAB88">
      <w:pPr>
        <w:tabs>
          <w:tab w:val="left" w:pos="1635"/>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（1）单位负责人为同一人或者存在直接控股、管理关系的不同供应商，不得参加同一合同项下的政府采购活动。</w:t>
      </w:r>
    </w:p>
    <w:p w14:paraId="2B31A5C4">
      <w:pPr>
        <w:tabs>
          <w:tab w:val="left" w:pos="1635"/>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（2）为本采购项目提供整体设计、规范编制或者项目管理、监理、检测等服务的供应商，不得再参加本次采购活动。</w:t>
      </w:r>
    </w:p>
    <w:p w14:paraId="5F083274">
      <w:pPr>
        <w:tabs>
          <w:tab w:val="left" w:pos="2190"/>
        </w:tabs>
        <w:wordWrap w:val="0"/>
        <w:spacing w:line="380" w:lineRule="exact"/>
        <w:jc w:val="center"/>
        <w:rPr>
          <w:rFonts w:hint="eastAsia" w:ascii="宋体" w:hAnsi="宋体" w:eastAsia="宋体" w:cs="宋体"/>
          <w:b/>
          <w:color w:val="auto"/>
          <w:kern w:val="0"/>
          <w:sz w:val="28"/>
          <w:szCs w:val="28"/>
          <w:highlight w:val="none"/>
        </w:rPr>
      </w:pPr>
    </w:p>
    <w:p w14:paraId="24FA7C4B">
      <w:pPr>
        <w:tabs>
          <w:tab w:val="left" w:pos="2190"/>
        </w:tabs>
        <w:wordWrap w:val="0"/>
        <w:spacing w:line="380" w:lineRule="exact"/>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二、磋商文件</w:t>
      </w:r>
    </w:p>
    <w:p w14:paraId="6CB2DB83">
      <w:pPr>
        <w:tabs>
          <w:tab w:val="left" w:pos="2190"/>
        </w:tabs>
        <w:wordWrap w:val="0"/>
        <w:spacing w:line="38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 9.磋商文件的构成</w:t>
      </w:r>
    </w:p>
    <w:p w14:paraId="7066CB75">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（1）竞争性磋商公告；</w:t>
      </w:r>
    </w:p>
    <w:p w14:paraId="68E30F94">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（2）供应商须知；</w:t>
      </w:r>
    </w:p>
    <w:p w14:paraId="23CAD893">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（3）项目需求；</w:t>
      </w:r>
    </w:p>
    <w:p w14:paraId="44600925">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（4）评审办法；</w:t>
      </w:r>
    </w:p>
    <w:p w14:paraId="3296B61F">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（5）政府采购合同（合同主要条款及格式）；</w:t>
      </w:r>
    </w:p>
    <w:p w14:paraId="717AB922">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（6）响应文件（格式）。</w:t>
      </w:r>
    </w:p>
    <w:p w14:paraId="4EFBC2C4">
      <w:pPr>
        <w:tabs>
          <w:tab w:val="left" w:pos="2190"/>
        </w:tabs>
        <w:wordWrap w:val="0"/>
        <w:spacing w:line="38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10.磋商文件的澄清与修改</w:t>
      </w:r>
    </w:p>
    <w:p w14:paraId="31A73006">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10.1提交首次响应文件截止之日前，采购代理机构可以对已发出的磋商文件进行必要澄清或者修改，澄清或者修改的内容可能影响响应文件编制的，采购代理机构应当在提交首次响应文件递交截止时间五日前在本项目竞争性磋商公告发布的同一媒体上发布更正公告，不足五日的，应当顺延首次响应文件递交截止时间。</w:t>
      </w:r>
    </w:p>
    <w:p w14:paraId="37C22D4F">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78A61CA0">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10.3澄清或者修改的内容为磋商文件的组成部分。当澄清或者修改通知就同一内容的表述不一致时，以最后发出的书面文件为准。</w:t>
      </w:r>
    </w:p>
    <w:p w14:paraId="79B3B981">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10.4磋商文件的澄清或者修改都应该通过本项目采购代理机构以法定形式发布，采购人非通过本机构，不得擅自澄清、答复、修改或补充磋商文件。</w:t>
      </w:r>
    </w:p>
    <w:p w14:paraId="435BC641">
      <w:pPr>
        <w:tabs>
          <w:tab w:val="left" w:pos="2190"/>
        </w:tabs>
        <w:wordWrap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10.5采购代理机构可以视采购具体情况，延长响应文件递交截止时间和磋商时间，并在本项目竞争性磋商公告发布的同一媒体上发布变更公告。</w:t>
      </w:r>
    </w:p>
    <w:p w14:paraId="364EFD96">
      <w:pPr>
        <w:tabs>
          <w:tab w:val="left" w:pos="2190"/>
        </w:tabs>
        <w:wordWrap w:val="0"/>
        <w:spacing w:line="380" w:lineRule="exact"/>
        <w:jc w:val="center"/>
        <w:rPr>
          <w:rFonts w:hint="eastAsia" w:ascii="宋体" w:hAnsi="宋体" w:eastAsia="宋体" w:cs="宋体"/>
          <w:b/>
          <w:color w:val="auto"/>
          <w:kern w:val="0"/>
          <w:sz w:val="28"/>
          <w:szCs w:val="28"/>
          <w:highlight w:val="none"/>
        </w:rPr>
      </w:pPr>
    </w:p>
    <w:p w14:paraId="5050ECB1">
      <w:pPr>
        <w:tabs>
          <w:tab w:val="left" w:pos="2190"/>
        </w:tabs>
        <w:wordWrap w:val="0"/>
        <w:spacing w:line="380" w:lineRule="exact"/>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三、竞争性磋商响应文件的编制</w:t>
      </w:r>
    </w:p>
    <w:p w14:paraId="169A5E96">
      <w:pPr>
        <w:tabs>
          <w:tab w:val="left" w:pos="2190"/>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11.竞争性磋商响应文件（以下简称响应文件）的组成及要求</w:t>
      </w:r>
    </w:p>
    <w:p w14:paraId="12B83492">
      <w:pPr>
        <w:tabs>
          <w:tab w:val="left" w:pos="1305"/>
        </w:tabs>
        <w:wordWrap w:val="0"/>
        <w:spacing w:line="400" w:lineRule="exact"/>
        <w:ind w:firstLine="422" w:firstLineChars="200"/>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rPr>
        <w:t>11.1响应文件组成【格式见第六章“响应文件（格式）”】</w:t>
      </w:r>
    </w:p>
    <w:p w14:paraId="21645496">
      <w:pPr>
        <w:tabs>
          <w:tab w:val="left" w:pos="1305"/>
        </w:tabs>
        <w:wordWrap w:val="0"/>
        <w:spacing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11.1.1资格性响应证明材料：</w:t>
      </w:r>
    </w:p>
    <w:p w14:paraId="25AE56CC">
      <w:pPr>
        <w:tabs>
          <w:tab w:val="left" w:pos="1305"/>
        </w:tabs>
        <w:wordWrap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（1）响应函（必须提供）；</w:t>
      </w:r>
    </w:p>
    <w:p w14:paraId="6E4497B3">
      <w:pPr>
        <w:tabs>
          <w:tab w:val="left" w:pos="1305"/>
        </w:tabs>
        <w:wordWrap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（2）供应商相应的法定代表人或负责人或自然人身份证正反两面复印件（必须提供）；</w:t>
      </w:r>
    </w:p>
    <w:p w14:paraId="090BDC2B">
      <w:pPr>
        <w:tabs>
          <w:tab w:val="left" w:pos="1305"/>
        </w:tabs>
        <w:wordWrap w:val="0"/>
        <w:spacing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（3）</w:t>
      </w:r>
      <w:r>
        <w:rPr>
          <w:rFonts w:hint="eastAsia" w:ascii="宋体" w:hAnsi="宋体" w:eastAsia="宋体" w:cs="宋体"/>
          <w:b/>
          <w:color w:val="auto"/>
          <w:szCs w:val="21"/>
          <w:highlight w:val="none"/>
        </w:rPr>
        <w:t>供应商的授权委托书原件、委托代理人</w:t>
      </w:r>
      <w:r>
        <w:rPr>
          <w:rFonts w:hint="eastAsia" w:ascii="宋体" w:hAnsi="宋体" w:eastAsia="宋体" w:cs="宋体"/>
          <w:b/>
          <w:color w:val="auto"/>
          <w:highlight w:val="none"/>
        </w:rPr>
        <w:t>身份证正反面</w:t>
      </w:r>
      <w:r>
        <w:rPr>
          <w:rFonts w:hint="eastAsia" w:ascii="宋体" w:hAnsi="宋体" w:eastAsia="宋体" w:cs="宋体"/>
          <w:b/>
          <w:color w:val="auto"/>
          <w:szCs w:val="21"/>
          <w:highlight w:val="none"/>
        </w:rPr>
        <w:t>复印件以及由社保经办机构出具的供应商为委托代理人缴纳的社保证明复印件（委托代理时必须提供）</w:t>
      </w:r>
    </w:p>
    <w:p w14:paraId="6EF80F40">
      <w:pPr>
        <w:tabs>
          <w:tab w:val="left" w:pos="1305"/>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注：①如供应商为截标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社保证明复印件。④属自然人的应提供由社保经办机构出具的自然人本人及委托代理人所缴纳的社保证明复印件。</w:t>
      </w:r>
    </w:p>
    <w:p w14:paraId="016C8632">
      <w:pPr>
        <w:tabs>
          <w:tab w:val="left" w:pos="1305"/>
        </w:tabs>
        <w:wordWrap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（4）供应商的法人或者其他组织营业执照等证明文件</w:t>
      </w:r>
      <w:bookmarkStart w:id="58" w:name="OLE_LINK162"/>
      <w:bookmarkStart w:id="59" w:name="OLE_LINK165"/>
      <w:r>
        <w:rPr>
          <w:rFonts w:hint="eastAsia" w:ascii="宋体" w:hAnsi="宋体" w:eastAsia="宋体" w:cs="宋体"/>
          <w:b/>
          <w:bCs/>
          <w:color w:val="auto"/>
          <w:szCs w:val="21"/>
          <w:highlight w:val="none"/>
        </w:rPr>
        <w:t>复印件</w:t>
      </w:r>
      <w:bookmarkEnd w:id="58"/>
      <w:bookmarkEnd w:id="59"/>
      <w:r>
        <w:rPr>
          <w:rFonts w:hint="eastAsia" w:ascii="宋体" w:hAnsi="宋体" w:eastAsia="宋体" w:cs="宋体"/>
          <w:b/>
          <w:bCs/>
          <w:color w:val="auto"/>
          <w:szCs w:val="21"/>
          <w:highlight w:val="none"/>
        </w:rPr>
        <w:t>（必须提供，自然人除外）；</w:t>
      </w:r>
    </w:p>
    <w:p w14:paraId="4F5FA401">
      <w:pPr>
        <w:tabs>
          <w:tab w:val="left" w:pos="1305"/>
        </w:tabs>
        <w:wordWrap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70F3F923">
      <w:pPr>
        <w:tabs>
          <w:tab w:val="left" w:pos="1305"/>
        </w:tabs>
        <w:wordWrap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color w:val="auto"/>
          <w:kern w:val="0"/>
          <w:szCs w:val="21"/>
          <w:highlight w:val="none"/>
        </w:rPr>
        <w:t>（5）总公司授权分公司参与磋商的授权书原件扫描件</w:t>
      </w:r>
      <w:r>
        <w:rPr>
          <w:rFonts w:hint="eastAsia" w:ascii="宋体" w:hAnsi="宋体" w:eastAsia="宋体" w:cs="宋体"/>
          <w:b/>
          <w:color w:val="auto"/>
          <w:szCs w:val="21"/>
          <w:highlight w:val="none"/>
        </w:rPr>
        <w:t>（分公司参与磋商时必须提供）；</w:t>
      </w:r>
    </w:p>
    <w:p w14:paraId="002F3951">
      <w:pPr>
        <w:widowControl/>
        <w:wordWrap w:val="0"/>
        <w:spacing w:line="400" w:lineRule="exact"/>
        <w:ind w:firstLine="422" w:firstLineChars="200"/>
        <w:jc w:val="left"/>
        <w:rPr>
          <w:rFonts w:hint="eastAsia" w:ascii="宋体" w:hAnsi="宋体" w:eastAsia="宋体" w:cs="宋体"/>
          <w:b/>
          <w:bCs/>
          <w:color w:val="auto"/>
          <w:szCs w:val="21"/>
          <w:highlight w:val="none"/>
        </w:rPr>
      </w:pPr>
      <w:bookmarkStart w:id="60" w:name="OLE_LINK199"/>
      <w:bookmarkStart w:id="61" w:name="OLE_LINK198"/>
      <w:r>
        <w:rPr>
          <w:rFonts w:hint="eastAsia" w:ascii="宋体" w:hAnsi="宋体" w:eastAsia="宋体" w:cs="宋体"/>
          <w:b/>
          <w:bCs/>
          <w:color w:val="auto"/>
          <w:szCs w:val="21"/>
          <w:highlight w:val="none"/>
        </w:rPr>
        <w:t>（6）</w:t>
      </w:r>
      <w:r>
        <w:rPr>
          <w:rFonts w:hint="eastAsia" w:ascii="宋体" w:hAnsi="宋体" w:eastAsia="宋体" w:cs="宋体"/>
          <w:b/>
          <w:color w:val="auto"/>
          <w:szCs w:val="21"/>
          <w:highlight w:val="none"/>
        </w:rPr>
        <w:t>供应商有效的《食品经营许可证》复印件（若供应商所配送食材为自主生产的，还须提供有效的《食品生产许可证》复印件）</w:t>
      </w:r>
      <w:r>
        <w:rPr>
          <w:rFonts w:hint="eastAsia" w:ascii="宋体" w:hAnsi="宋体" w:eastAsia="宋体" w:cs="宋体"/>
          <w:b/>
          <w:color w:val="auto"/>
          <w:szCs w:val="21"/>
          <w:highlight w:val="none"/>
        </w:rPr>
        <w:t>（必须提供）；</w:t>
      </w:r>
    </w:p>
    <w:p w14:paraId="55962083">
      <w:pPr>
        <w:widowControl/>
        <w:wordWrap w:val="0"/>
        <w:spacing w:line="400" w:lineRule="exact"/>
        <w:ind w:firstLine="422" w:firstLineChars="200"/>
        <w:jc w:val="left"/>
        <w:rPr>
          <w:rFonts w:hint="eastAsia" w:ascii="宋体" w:hAnsi="宋体" w:eastAsia="宋体" w:cs="宋体"/>
          <w:b/>
          <w:color w:val="auto"/>
          <w:kern w:val="0"/>
          <w:szCs w:val="21"/>
          <w:highlight w:val="none"/>
        </w:rPr>
      </w:pPr>
      <w:r>
        <w:rPr>
          <w:rFonts w:hint="eastAsia" w:ascii="宋体" w:hAnsi="宋体" w:eastAsia="宋体" w:cs="宋体"/>
          <w:b/>
          <w:bCs/>
          <w:color w:val="auto"/>
          <w:szCs w:val="21"/>
          <w:highlight w:val="none"/>
        </w:rPr>
        <w:t>（7）</w:t>
      </w:r>
      <w:r>
        <w:rPr>
          <w:rFonts w:hint="eastAsia" w:ascii="宋体" w:hAnsi="宋体" w:eastAsia="宋体" w:cs="宋体"/>
          <w:b/>
          <w:color w:val="auto"/>
          <w:kern w:val="0"/>
          <w:szCs w:val="21"/>
          <w:highlight w:val="none"/>
        </w:rPr>
        <w:t>供应商2024年以来任意年度内的财务状况报告复印件或2025年以来银行出具的资信证</w:t>
      </w:r>
      <w:r>
        <w:rPr>
          <w:rFonts w:hint="eastAsia" w:ascii="宋体" w:hAnsi="宋体" w:eastAsia="宋体" w:cs="宋体"/>
          <w:b/>
          <w:color w:val="auto"/>
          <w:szCs w:val="21"/>
          <w:highlight w:val="none"/>
        </w:rPr>
        <w:t>明复印件</w:t>
      </w:r>
      <w:r>
        <w:rPr>
          <w:rFonts w:hint="eastAsia" w:ascii="宋体" w:hAnsi="宋体" w:eastAsia="宋体" w:cs="宋体"/>
          <w:b/>
          <w:color w:val="auto"/>
          <w:kern w:val="0"/>
          <w:szCs w:val="21"/>
          <w:highlight w:val="none"/>
        </w:rPr>
        <w:t>（若为新成立的企业，请根据实际情况提供</w:t>
      </w:r>
      <w:r>
        <w:rPr>
          <w:rFonts w:hint="eastAsia" w:ascii="宋体" w:hAnsi="宋体" w:eastAsia="宋体" w:cs="宋体"/>
          <w:b/>
          <w:color w:val="auto"/>
          <w:kern w:val="0"/>
          <w:szCs w:val="21"/>
          <w:highlight w:val="none"/>
        </w:rPr>
        <w:t>）（必须提供</w:t>
      </w:r>
      <w:r>
        <w:rPr>
          <w:rFonts w:hint="eastAsia" w:ascii="宋体" w:hAnsi="宋体" w:eastAsia="宋体" w:cs="宋体"/>
          <w:b/>
          <w:color w:val="auto"/>
          <w:kern w:val="0"/>
          <w:szCs w:val="21"/>
          <w:highlight w:val="none"/>
        </w:rPr>
        <w:t>）；</w:t>
      </w:r>
    </w:p>
    <w:p w14:paraId="2F2865FA">
      <w:pPr>
        <w:tabs>
          <w:tab w:val="left" w:pos="1305"/>
        </w:tabs>
        <w:wordWrap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w:t>
      </w:r>
      <w:r>
        <w:rPr>
          <w:rFonts w:hint="eastAsia" w:ascii="宋体" w:hAnsi="宋体" w:eastAsia="宋体" w:cs="宋体"/>
          <w:b/>
          <w:color w:val="auto"/>
          <w:kern w:val="0"/>
          <w:szCs w:val="21"/>
          <w:highlight w:val="none"/>
        </w:rPr>
        <w:t>供应商2026年以来任意一个月依法缴纳税收的相关材料 (可以是银行已缴纳税费凭证复印件或第三方有效的相关业务托缴凭证复印件或供应商所在地税务部门出具的有效证明复印件；无纳税记录的，应提供由供应商所在地的税务部门出具的依法免税或准予延期缴税的证明复印件；</w:t>
      </w:r>
      <w:bookmarkStart w:id="62" w:name="OLE_LINK175"/>
      <w:bookmarkStart w:id="63" w:name="OLE_LINK174"/>
      <w:r>
        <w:rPr>
          <w:rFonts w:hint="eastAsia" w:ascii="宋体" w:hAnsi="宋体" w:eastAsia="宋体" w:cs="宋体"/>
          <w:b/>
          <w:color w:val="auto"/>
          <w:szCs w:val="21"/>
          <w:highlight w:val="none"/>
        </w:rPr>
        <w:t>若为新成立的企业，请根据实际情况提供）</w:t>
      </w:r>
      <w:bookmarkEnd w:id="62"/>
      <w:bookmarkEnd w:id="63"/>
      <w:r>
        <w:rPr>
          <w:rFonts w:hint="eastAsia" w:ascii="宋体" w:hAnsi="宋体" w:eastAsia="宋体" w:cs="宋体"/>
          <w:b/>
          <w:bCs/>
          <w:color w:val="auto"/>
          <w:szCs w:val="21"/>
          <w:highlight w:val="none"/>
        </w:rPr>
        <w:t>(必须提供)；</w:t>
      </w:r>
    </w:p>
    <w:p w14:paraId="5A297686">
      <w:pPr>
        <w:wordWrap w:val="0"/>
        <w:spacing w:line="400" w:lineRule="exac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    （9）供应商2026年以来任意一个月的依法缴纳社会保障资金的相关材料（可以是专用收据、社会保险缴纳清单或者社保部门的证明复印件；无缴费记录的，应提供由供应商所在地的行政主管部门出具的依法免缴社保费或准予延期缴纳社保费的证明</w:t>
      </w:r>
      <w:bookmarkStart w:id="64" w:name="OLE_LINK197"/>
      <w:bookmarkStart w:id="65" w:name="OLE_LINK180"/>
      <w:r>
        <w:rPr>
          <w:rFonts w:hint="eastAsia" w:ascii="宋体" w:hAnsi="宋体" w:eastAsia="宋体" w:cs="宋体"/>
          <w:b/>
          <w:color w:val="auto"/>
          <w:kern w:val="0"/>
          <w:szCs w:val="21"/>
          <w:highlight w:val="none"/>
        </w:rPr>
        <w:t>复印件</w:t>
      </w:r>
      <w:bookmarkEnd w:id="64"/>
      <w:bookmarkEnd w:id="65"/>
      <w:r>
        <w:rPr>
          <w:rFonts w:hint="eastAsia" w:ascii="宋体" w:hAnsi="宋体" w:eastAsia="宋体" w:cs="宋体"/>
          <w:b/>
          <w:color w:val="auto"/>
          <w:kern w:val="0"/>
          <w:szCs w:val="21"/>
          <w:highlight w:val="none"/>
        </w:rPr>
        <w:t>；</w:t>
      </w:r>
      <w:r>
        <w:rPr>
          <w:rFonts w:hint="eastAsia" w:ascii="宋体" w:hAnsi="宋体" w:eastAsia="宋体" w:cs="宋体"/>
          <w:b/>
          <w:color w:val="auto"/>
          <w:szCs w:val="21"/>
          <w:highlight w:val="none"/>
        </w:rPr>
        <w:t>若为新成立的企业，请根据实际情况提供）</w:t>
      </w:r>
      <w:r>
        <w:rPr>
          <w:rFonts w:hint="eastAsia" w:ascii="宋体" w:hAnsi="宋体" w:eastAsia="宋体" w:cs="宋体"/>
          <w:b/>
          <w:color w:val="auto"/>
          <w:kern w:val="0"/>
          <w:szCs w:val="21"/>
          <w:highlight w:val="none"/>
        </w:rPr>
        <w:t>（必须提供）；</w:t>
      </w:r>
    </w:p>
    <w:bookmarkEnd w:id="60"/>
    <w:bookmarkEnd w:id="61"/>
    <w:p w14:paraId="266436F2">
      <w:pPr>
        <w:tabs>
          <w:tab w:val="left" w:pos="1305"/>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（10）供应商的《中小企业声明函》(供应商提供的服务全部由符合政策要求的中小企业提供的)（除监狱企业及残疾人福利性单位外，必须提供）；</w:t>
      </w:r>
    </w:p>
    <w:p w14:paraId="749A8190">
      <w:pPr>
        <w:tabs>
          <w:tab w:val="left" w:pos="1305"/>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（11）如提供服务的供应商属于监狱企业的，应当提供由省级以上监狱管理局、戒毒管理局等（含新疆生产建设兵团）出具的属于监狱企业的证明文件（如供应商属于监狱企业的，则必须提供）；</w:t>
      </w:r>
    </w:p>
    <w:p w14:paraId="3DD1D111">
      <w:pPr>
        <w:tabs>
          <w:tab w:val="left" w:pos="1305"/>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（12）符合条件的残疾人福利性单位在参加政府采购活动时，应当提供《残疾人福利性单位声明函》（见附件），并对声明的真实性负责；（如供应商属于残疾人福利性单位的，则必须提供）；</w:t>
      </w:r>
    </w:p>
    <w:p w14:paraId="0BB79ED2">
      <w:pPr>
        <w:tabs>
          <w:tab w:val="left" w:pos="1305"/>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（13）供应商参加本项目无围标串标行为的承诺函（必须提供）；</w:t>
      </w:r>
    </w:p>
    <w:p w14:paraId="10B87CB2">
      <w:pPr>
        <w:tabs>
          <w:tab w:val="left" w:pos="1305"/>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（14）供应商参加政府采购活动前3年内在经营活动中没有重大违法记录及有关信用信息的书面声明（必须提供）。</w:t>
      </w:r>
    </w:p>
    <w:p w14:paraId="0A492140">
      <w:pPr>
        <w:tabs>
          <w:tab w:val="left" w:pos="1305"/>
        </w:tabs>
        <w:wordWrap w:val="0"/>
        <w:spacing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11.</w:t>
      </w:r>
      <w:r>
        <w:rPr>
          <w:rFonts w:hint="eastAsia" w:ascii="宋体" w:hAnsi="宋体" w:eastAsia="宋体" w:cs="宋体"/>
          <w:b/>
          <w:color w:val="auto"/>
          <w:szCs w:val="21"/>
          <w:highlight w:val="none"/>
        </w:rPr>
        <w:t>1.2符</w:t>
      </w:r>
      <w:r>
        <w:rPr>
          <w:rFonts w:hint="eastAsia" w:ascii="宋体" w:hAnsi="宋体" w:eastAsia="宋体" w:cs="宋体"/>
          <w:b/>
          <w:color w:val="auto"/>
          <w:szCs w:val="21"/>
          <w:highlight w:val="none"/>
        </w:rPr>
        <w:t>合性响应证明材料：</w:t>
      </w:r>
    </w:p>
    <w:p w14:paraId="6C7C84EF">
      <w:pPr>
        <w:tabs>
          <w:tab w:val="left" w:pos="1305"/>
        </w:tabs>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（1）磋商报价表（必须提供）；</w:t>
      </w:r>
    </w:p>
    <w:p w14:paraId="0CB19390">
      <w:pPr>
        <w:tabs>
          <w:tab w:val="left" w:pos="1305"/>
        </w:tabs>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（2）服务内容及商务要求响应表（必须提供）。</w:t>
      </w:r>
    </w:p>
    <w:p w14:paraId="15D1EE2D">
      <w:pPr>
        <w:tabs>
          <w:tab w:val="left" w:pos="1305"/>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11.1.3其它有效证明材料：</w:t>
      </w:r>
    </w:p>
    <w:p w14:paraId="2FD6C64F">
      <w:pPr>
        <w:tabs>
          <w:tab w:val="left" w:pos="1305"/>
        </w:tabs>
        <w:wordWrap w:val="0"/>
        <w:spacing w:line="400" w:lineRule="exact"/>
        <w:ind w:firstLine="420" w:firstLineChars="200"/>
        <w:rPr>
          <w:rFonts w:hint="eastAsia" w:ascii="宋体" w:hAnsi="宋体" w:eastAsia="宋体" w:cs="宋体"/>
          <w:b/>
          <w:color w:val="auto"/>
          <w:kern w:val="0"/>
          <w:szCs w:val="21"/>
          <w:highlight w:val="none"/>
        </w:rPr>
      </w:pPr>
      <w:r>
        <w:rPr>
          <w:rFonts w:hint="eastAsia" w:ascii="宋体" w:hAnsi="宋体" w:eastAsia="宋体" w:cs="宋体"/>
          <w:bCs/>
          <w:color w:val="auto"/>
          <w:kern w:val="0"/>
          <w:szCs w:val="21"/>
          <w:highlight w:val="none"/>
        </w:rPr>
        <w:t>（1）项目实施方案</w:t>
      </w:r>
      <w:r>
        <w:rPr>
          <w:rFonts w:hint="eastAsia" w:ascii="宋体" w:hAnsi="宋体" w:eastAsia="宋体" w:cs="宋体"/>
          <w:color w:val="auto"/>
          <w:highlight w:val="none"/>
        </w:rPr>
        <w:t>（如有，请提供）</w:t>
      </w:r>
      <w:r>
        <w:rPr>
          <w:rFonts w:hint="eastAsia" w:ascii="宋体" w:hAnsi="宋体" w:eastAsia="宋体" w:cs="宋体"/>
          <w:bCs/>
          <w:color w:val="auto"/>
          <w:kern w:val="0"/>
          <w:szCs w:val="21"/>
          <w:highlight w:val="none"/>
        </w:rPr>
        <w:t>；</w:t>
      </w:r>
    </w:p>
    <w:p w14:paraId="4E544DD4">
      <w:pPr>
        <w:tabs>
          <w:tab w:val="left" w:pos="1305"/>
        </w:tabs>
        <w:wordWrap w:val="0"/>
        <w:spacing w:line="400" w:lineRule="exact"/>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（2）拟投入本项目人员配备表</w:t>
      </w:r>
      <w:r>
        <w:rPr>
          <w:rFonts w:hint="eastAsia" w:ascii="宋体" w:hAnsi="宋体" w:eastAsia="宋体" w:cs="宋体"/>
          <w:color w:val="auto"/>
          <w:highlight w:val="none"/>
        </w:rPr>
        <w:t>（如有，请提供）</w:t>
      </w:r>
      <w:r>
        <w:rPr>
          <w:rFonts w:hint="eastAsia" w:ascii="宋体" w:hAnsi="宋体" w:eastAsia="宋体" w:cs="宋体"/>
          <w:bCs/>
          <w:color w:val="auto"/>
          <w:kern w:val="0"/>
          <w:szCs w:val="21"/>
          <w:highlight w:val="none"/>
        </w:rPr>
        <w:t>；</w:t>
      </w:r>
    </w:p>
    <w:p w14:paraId="7531C92A">
      <w:pPr>
        <w:tabs>
          <w:tab w:val="left" w:pos="1305"/>
        </w:tabs>
        <w:wordWrap w:val="0"/>
        <w:spacing w:line="400" w:lineRule="exact"/>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（3）服务承诺书</w:t>
      </w:r>
      <w:r>
        <w:rPr>
          <w:rFonts w:hint="eastAsia" w:ascii="宋体" w:hAnsi="宋体" w:eastAsia="宋体" w:cs="宋体"/>
          <w:color w:val="auto"/>
          <w:highlight w:val="none"/>
        </w:rPr>
        <w:t>（如有，请提供）</w:t>
      </w:r>
      <w:r>
        <w:rPr>
          <w:rFonts w:hint="eastAsia" w:ascii="宋体" w:hAnsi="宋体" w:eastAsia="宋体" w:cs="宋体"/>
          <w:bCs/>
          <w:color w:val="auto"/>
          <w:kern w:val="0"/>
          <w:szCs w:val="21"/>
          <w:highlight w:val="none"/>
        </w:rPr>
        <w:t>。</w:t>
      </w:r>
    </w:p>
    <w:p w14:paraId="21AA5D74">
      <w:pPr>
        <w:tabs>
          <w:tab w:val="left" w:pos="1305"/>
        </w:tabs>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highlight w:val="none"/>
        </w:rPr>
        <w:t xml:space="preserve">    （4）</w:t>
      </w:r>
      <w:r>
        <w:rPr>
          <w:rFonts w:hint="eastAsia" w:ascii="宋体" w:hAnsi="宋体" w:eastAsia="宋体" w:cs="宋体"/>
          <w:color w:val="auto"/>
          <w:szCs w:val="21"/>
          <w:highlight w:val="none"/>
        </w:rPr>
        <w:t>供应商2023年以来具有同类项目的业绩相关证明材料（无不良记录，以中标、成交通知书或签订的合同为准，并能清晰反映项目的名称、采购内容、采购时间）</w:t>
      </w:r>
      <w:bookmarkStart w:id="66" w:name="OLE_LINK195"/>
      <w:bookmarkStart w:id="67" w:name="OLE_LINK196"/>
      <w:r>
        <w:rPr>
          <w:rFonts w:hint="eastAsia" w:ascii="宋体" w:hAnsi="宋体" w:eastAsia="宋体" w:cs="宋体"/>
          <w:color w:val="auto"/>
          <w:highlight w:val="none"/>
        </w:rPr>
        <w:t>（如有，请提供）</w:t>
      </w:r>
      <w:bookmarkEnd w:id="66"/>
      <w:bookmarkEnd w:id="67"/>
      <w:r>
        <w:rPr>
          <w:rFonts w:hint="eastAsia" w:ascii="宋体" w:hAnsi="宋体" w:eastAsia="宋体" w:cs="宋体"/>
          <w:color w:val="auto"/>
          <w:highlight w:val="none"/>
        </w:rPr>
        <w:t>；</w:t>
      </w:r>
    </w:p>
    <w:p w14:paraId="5B716BD0">
      <w:pPr>
        <w:tabs>
          <w:tab w:val="left" w:pos="1305"/>
        </w:tabs>
        <w:wordWrap w:val="0"/>
        <w:spacing w:line="400" w:lineRule="exact"/>
        <w:rPr>
          <w:rFonts w:hint="eastAsia" w:ascii="宋体" w:hAnsi="宋体" w:eastAsia="宋体" w:cs="宋体"/>
          <w:color w:val="auto"/>
          <w:szCs w:val="20"/>
          <w:highlight w:val="none"/>
        </w:rPr>
      </w:pPr>
      <w:r>
        <w:rPr>
          <w:rFonts w:hint="eastAsia" w:ascii="宋体" w:hAnsi="宋体" w:eastAsia="宋体" w:cs="宋体"/>
          <w:color w:val="auto"/>
          <w:szCs w:val="21"/>
          <w:highlight w:val="none"/>
        </w:rPr>
        <w:t xml:space="preserve">    （5）“项目需求”需提供的有效证明文件</w:t>
      </w:r>
      <w:r>
        <w:rPr>
          <w:rFonts w:hint="eastAsia" w:ascii="宋体" w:hAnsi="宋体" w:eastAsia="宋体" w:cs="宋体"/>
          <w:color w:val="auto"/>
          <w:highlight w:val="none"/>
        </w:rPr>
        <w:t>（如有，请提供）</w:t>
      </w:r>
      <w:r>
        <w:rPr>
          <w:rFonts w:hint="eastAsia" w:ascii="宋体" w:hAnsi="宋体" w:eastAsia="宋体" w:cs="宋体"/>
          <w:color w:val="auto"/>
          <w:szCs w:val="20"/>
          <w:highlight w:val="none"/>
        </w:rPr>
        <w:t>；</w:t>
      </w:r>
    </w:p>
    <w:p w14:paraId="6EAE33FA">
      <w:pPr>
        <w:tabs>
          <w:tab w:val="left" w:pos="1305"/>
        </w:tabs>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highlight w:val="none"/>
        </w:rPr>
        <w:t xml:space="preserve">    （6）供应商可结合本项目的评审办法视自身情况自行提交相关证明材料</w:t>
      </w:r>
      <w:r>
        <w:rPr>
          <w:rFonts w:hint="eastAsia" w:ascii="宋体" w:hAnsi="宋体" w:eastAsia="宋体" w:cs="宋体"/>
          <w:color w:val="auto"/>
          <w:highlight w:val="none"/>
        </w:rPr>
        <w:t>（如有，请提供）</w:t>
      </w:r>
      <w:r>
        <w:rPr>
          <w:rFonts w:hint="eastAsia" w:ascii="宋体" w:hAnsi="宋体" w:eastAsia="宋体" w:cs="宋体"/>
          <w:color w:val="auto"/>
          <w:highlight w:val="none"/>
        </w:rPr>
        <w:t>。</w:t>
      </w:r>
    </w:p>
    <w:p w14:paraId="01E9A8DA">
      <w:pPr>
        <w:wordWrap w:val="0"/>
        <w:spacing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广西政府采购云个人CA证书签章的可在响应文件中涉及到签字的位置手写签字后扫描或者拍照做成PDF的格式上传，无个人CA证书签章及手写签字的，响应文件按无效处理。</w:t>
      </w:r>
    </w:p>
    <w:p w14:paraId="701151F5">
      <w:pPr>
        <w:tabs>
          <w:tab w:val="left" w:pos="1305"/>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11.2供应商应按竞争性磋商文件第六章“响应文件（格式）”编制响应文件。</w:t>
      </w:r>
    </w:p>
    <w:p w14:paraId="07A1CD0F">
      <w:pPr>
        <w:tabs>
          <w:tab w:val="left" w:pos="1305"/>
        </w:tabs>
        <w:wordWrap w:val="0"/>
        <w:spacing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12.响应文件的语言及计量</w:t>
      </w:r>
    </w:p>
    <w:p w14:paraId="7BD2F0C8">
      <w:pPr>
        <w:tabs>
          <w:tab w:val="left" w:pos="1305"/>
        </w:tabs>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以及供应商与采购代理机构就有关响应事宜的所有来往函电，均应以中文汉语书写。供应商提交的支持文件和印刷的文献可以使用别的语言，但其相应内容必须附有中文翻译文本，在解释响应文件时以中文翻译文本为主。</w:t>
      </w:r>
    </w:p>
    <w:p w14:paraId="6E583169">
      <w:pPr>
        <w:tabs>
          <w:tab w:val="left" w:pos="1305"/>
        </w:tabs>
        <w:wordWrap w:val="0"/>
        <w:spacing w:line="400" w:lineRule="exact"/>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12.2响应计量单位，磋商文件已有明确规定的，使用磋商文件规定的计量单位；磋商文件没有规定的，应采用中华人民共和国法定计量单位（货币单位：人民币元），否则视同未响应。</w:t>
      </w:r>
    </w:p>
    <w:p w14:paraId="212498D5">
      <w:pPr>
        <w:tabs>
          <w:tab w:val="left" w:pos="1305"/>
        </w:tabs>
        <w:wordWrap w:val="0"/>
        <w:spacing w:line="400" w:lineRule="exact"/>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13.采购预算金额及磋商报价</w:t>
      </w:r>
    </w:p>
    <w:p w14:paraId="48B00078">
      <w:pPr>
        <w:spacing w:line="400" w:lineRule="exact"/>
        <w:ind w:firstLine="420" w:firstLineChars="200"/>
        <w:rPr>
          <w:rFonts w:hint="eastAsia" w:ascii="宋体" w:hAnsi="宋体" w:eastAsia="宋体" w:cs="宋体"/>
          <w:bCs/>
          <w:color w:val="auto"/>
          <w:szCs w:val="21"/>
          <w:highlight w:val="none"/>
        </w:rPr>
      </w:pPr>
      <w:bookmarkStart w:id="68" w:name="OLE_LINK168"/>
      <w:bookmarkStart w:id="69" w:name="OLE_LINK169"/>
      <w:r>
        <w:rPr>
          <w:rFonts w:hint="eastAsia" w:ascii="宋体" w:hAnsi="宋体" w:eastAsia="宋体" w:cs="宋体"/>
          <w:color w:val="auto"/>
          <w:szCs w:val="21"/>
          <w:highlight w:val="none"/>
        </w:rPr>
        <w:t>13.1</w:t>
      </w:r>
      <w:bookmarkStart w:id="70" w:name="OLE_LINK19"/>
      <w:bookmarkStart w:id="71" w:name="OLE_LINK17"/>
      <w:r>
        <w:rPr>
          <w:rFonts w:hint="eastAsia" w:ascii="宋体" w:hAnsi="宋体" w:eastAsia="宋体" w:cs="宋体"/>
          <w:bCs/>
          <w:color w:val="auto"/>
          <w:szCs w:val="21"/>
          <w:highlight w:val="none"/>
        </w:rPr>
        <w:t>本项目政府采购预算金额(人民币)：壹佰玖拾伍万元整</w:t>
      </w:r>
      <w:r>
        <w:rPr>
          <w:rFonts w:hint="eastAsia" w:ascii="宋体" w:hAnsi="宋体" w:eastAsia="宋体" w:cs="宋体"/>
          <w:bCs/>
          <w:color w:val="auto"/>
          <w:szCs w:val="21"/>
          <w:highlight w:val="none"/>
        </w:rPr>
        <w:t>（¥1950000.00）。其</w:t>
      </w:r>
      <w:r>
        <w:rPr>
          <w:rFonts w:hint="eastAsia" w:ascii="宋体" w:hAnsi="宋体" w:eastAsia="宋体" w:cs="宋体"/>
          <w:bCs/>
          <w:color w:val="auto"/>
          <w:szCs w:val="21"/>
          <w:highlight w:val="none"/>
        </w:rPr>
        <w:t>中，</w:t>
      </w:r>
      <w:r>
        <w:rPr>
          <w:rFonts w:hint="eastAsia" w:ascii="宋体" w:hAnsi="宋体" w:eastAsia="宋体" w:cs="宋体"/>
          <w:bCs/>
          <w:color w:val="auto"/>
          <w:szCs w:val="21"/>
          <w:highlight w:val="none"/>
        </w:rPr>
        <w:t>分标1</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rPr>
        <w:t>壹佰贰拾万元整（¥1200000.00）；分标2：柒拾伍万元整（¥750000.00）。</w:t>
      </w:r>
      <w:bookmarkStart w:id="72" w:name="OLE_LINK35"/>
      <w:bookmarkStart w:id="73" w:name="OLE_LINK33"/>
      <w:r>
        <w:rPr>
          <w:rFonts w:hint="eastAsia" w:ascii="宋体" w:hAnsi="宋体" w:eastAsia="宋体" w:cs="宋体"/>
          <w:bCs/>
          <w:color w:val="auto"/>
          <w:szCs w:val="21"/>
          <w:highlight w:val="none"/>
        </w:rPr>
        <w:t>磋商报价按综合折扣率报价，本项目综合折扣率控制范围为≤95%，超出范围的磋商报价均为无效报价，其响应文件将被视为无效处理。</w:t>
      </w:r>
    </w:p>
    <w:p w14:paraId="004B4FF0">
      <w:pPr>
        <w:spacing w:line="400" w:lineRule="exact"/>
        <w:ind w:firstLine="422" w:firstLineChars="200"/>
        <w:rPr>
          <w:rFonts w:hint="eastAsia" w:ascii="宋体" w:hAnsi="宋体" w:eastAsia="宋体" w:cs="宋体"/>
          <w:b/>
          <w:color w:val="auto"/>
          <w:szCs w:val="21"/>
          <w:highlight w:val="none"/>
          <w:lang w:val="zh-TW" w:eastAsia="zh-TW"/>
        </w:rPr>
      </w:pPr>
      <w:r>
        <w:rPr>
          <w:rFonts w:hint="eastAsia" w:ascii="宋体" w:hAnsi="宋体" w:eastAsia="宋体" w:cs="宋体"/>
          <w:b/>
          <w:bCs/>
          <w:color w:val="auto"/>
          <w:szCs w:val="21"/>
          <w:highlight w:val="none"/>
        </w:rPr>
        <w:t>注：</w:t>
      </w:r>
      <w:r>
        <w:rPr>
          <w:rFonts w:hint="eastAsia" w:ascii="宋体" w:hAnsi="宋体" w:eastAsia="宋体" w:cs="宋体"/>
          <w:b/>
          <w:bCs/>
          <w:color w:val="auto"/>
          <w:spacing w:val="-4"/>
          <w:szCs w:val="21"/>
          <w:highlight w:val="none"/>
        </w:rPr>
        <w:t>结算金额=每次确定的基准价×供应商承诺的折扣率（综合折扣率&lt;%&gt;）×实际供应食材的数量【</w:t>
      </w:r>
      <w:r>
        <w:rPr>
          <w:rFonts w:hint="eastAsia" w:ascii="宋体" w:hAnsi="宋体" w:eastAsia="宋体" w:cs="宋体"/>
          <w:b/>
          <w:color w:val="auto"/>
          <w:szCs w:val="21"/>
          <w:highlight w:val="none"/>
          <w:lang w:val="zh-TW"/>
        </w:rPr>
        <w:t>基准价釆用周期性市场调查询价（每月询价不少于一次）的平均价确定。调查询价采取两种方式，一是线上询价，食材询价定价工作小组集体开展线上询价，对照桂林市发改委</w:t>
      </w:r>
      <w:r>
        <w:rPr>
          <w:rFonts w:hint="eastAsia" w:ascii="宋体" w:hAnsi="宋体" w:eastAsia="宋体" w:cs="宋体"/>
          <w:b/>
          <w:color w:val="auto"/>
          <w:szCs w:val="21"/>
          <w:highlight w:val="none"/>
          <w:lang w:val="zh-TW" w:eastAsia="zh-TW"/>
        </w:rPr>
        <w:t>(</w:t>
      </w:r>
      <w:r>
        <w:rPr>
          <w:rFonts w:hint="eastAsia" w:ascii="宋体" w:hAnsi="宋体" w:eastAsia="宋体" w:cs="宋体"/>
          <w:b/>
          <w:color w:val="auto"/>
          <w:szCs w:val="21"/>
          <w:highlight w:val="none"/>
          <w:lang w:val="zh-TW"/>
        </w:rPr>
        <w:t>网址</w:t>
      </w:r>
      <w:r>
        <w:rPr>
          <w:rFonts w:hint="eastAsia" w:ascii="宋体" w:hAnsi="宋体" w:eastAsia="宋体" w:cs="宋体"/>
          <w:b/>
          <w:color w:val="auto"/>
          <w:szCs w:val="21"/>
          <w:highlight w:val="none"/>
          <w:lang w:val="zh-TW" w:eastAsia="zh-TW"/>
        </w:rPr>
        <w:t>https://fgw.guilin.gov.cn/，首页“政策文件中心—价格监测”)同期公布的十二家市场农副产品市场均价进行比价议价。</w:t>
      </w:r>
      <w:r>
        <w:rPr>
          <w:rFonts w:hint="eastAsia" w:ascii="宋体" w:hAnsi="宋体" w:eastAsia="宋体" w:cs="宋体"/>
          <w:b/>
          <w:color w:val="auto"/>
          <w:szCs w:val="21"/>
          <w:highlight w:val="none"/>
          <w:lang w:val="zh-TW"/>
        </w:rPr>
        <w:t>二是线下询价，食材询价定价工作小组前往</w:t>
      </w:r>
      <w:r>
        <w:rPr>
          <w:rFonts w:hint="eastAsia" w:ascii="宋体" w:hAnsi="宋体" w:eastAsia="宋体" w:cs="宋体"/>
          <w:b/>
          <w:bCs/>
          <w:color w:val="auto"/>
          <w:spacing w:val="-4"/>
          <w:szCs w:val="21"/>
          <w:highlight w:val="none"/>
        </w:rPr>
        <w:t>桂林市汇东果菜批发市场、桂林市五里店果蔬批发市场、桂林市七星农贸市场、桂林市西门市场</w:t>
      </w:r>
      <w:r>
        <w:rPr>
          <w:rFonts w:hint="eastAsia" w:ascii="宋体" w:hAnsi="宋体" w:eastAsia="宋体" w:cs="宋体"/>
          <w:b/>
          <w:color w:val="auto"/>
          <w:szCs w:val="21"/>
          <w:highlight w:val="none"/>
          <w:lang w:val="zh-TW"/>
        </w:rPr>
        <w:t>及七星区大型超市（除特价超市外）等地点的批发价（或零售价）均值为平均价。由双方每月确认后确定</w:t>
      </w:r>
      <w:r>
        <w:rPr>
          <w:rFonts w:hint="eastAsia" w:ascii="宋体" w:hAnsi="宋体" w:eastAsia="宋体" w:cs="宋体"/>
          <w:b/>
          <w:bCs/>
          <w:color w:val="auto"/>
          <w:spacing w:val="-4"/>
          <w:szCs w:val="21"/>
          <w:highlight w:val="none"/>
        </w:rPr>
        <w:t>】</w:t>
      </w:r>
      <w:r>
        <w:rPr>
          <w:rFonts w:hint="eastAsia" w:ascii="宋体" w:hAnsi="宋体" w:eastAsia="宋体" w:cs="宋体"/>
          <w:b/>
          <w:color w:val="auto"/>
          <w:szCs w:val="21"/>
          <w:highlight w:val="none"/>
          <w:lang w:val="zh-TW"/>
        </w:rPr>
        <w:t>。</w:t>
      </w:r>
    </w:p>
    <w:bookmarkEnd w:id="68"/>
    <w:bookmarkEnd w:id="69"/>
    <w:bookmarkEnd w:id="70"/>
    <w:bookmarkEnd w:id="71"/>
    <w:bookmarkEnd w:id="72"/>
    <w:bookmarkEnd w:id="73"/>
    <w:p w14:paraId="5DDC47DD">
      <w:pPr>
        <w:tabs>
          <w:tab w:val="left" w:pos="1305"/>
        </w:tabs>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w:t>
      </w:r>
      <w:r>
        <w:rPr>
          <w:rFonts w:hint="eastAsia" w:ascii="宋体" w:hAnsi="宋体" w:eastAsia="宋体" w:cs="宋体"/>
          <w:color w:val="auto"/>
          <w:szCs w:val="21"/>
          <w:highlight w:val="none"/>
        </w:rPr>
        <w:t>供应商必须就“项目需求”中</w:t>
      </w:r>
      <w:bookmarkStart w:id="74" w:name="OLE_LINK41"/>
      <w:bookmarkStart w:id="75" w:name="OLE_LINK39"/>
      <w:r>
        <w:rPr>
          <w:rFonts w:hint="eastAsia" w:ascii="宋体" w:hAnsi="宋体" w:eastAsia="宋体" w:cs="宋体"/>
          <w:color w:val="auto"/>
          <w:szCs w:val="21"/>
          <w:highlight w:val="none"/>
        </w:rPr>
        <w:t>所竞分标</w:t>
      </w:r>
      <w:bookmarkEnd w:id="74"/>
      <w:bookmarkEnd w:id="75"/>
      <w:r>
        <w:rPr>
          <w:rFonts w:hint="eastAsia" w:ascii="宋体" w:hAnsi="宋体" w:eastAsia="宋体" w:cs="宋体"/>
          <w:color w:val="auto"/>
          <w:szCs w:val="21"/>
          <w:highlight w:val="none"/>
        </w:rPr>
        <w:t>所有内容作完整唯一报价，否则，其响应将被拒绝；响应文件只允许有一个报价，有选择的或有条件的报价将不予接受。</w:t>
      </w:r>
    </w:p>
    <w:p w14:paraId="7BDA687D">
      <w:pPr>
        <w:tabs>
          <w:tab w:val="left" w:pos="1305"/>
        </w:tabs>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w:t>
      </w:r>
      <w:r>
        <w:rPr>
          <w:rFonts w:hint="eastAsia" w:ascii="宋体" w:hAnsi="宋体" w:eastAsia="宋体" w:cs="宋体"/>
          <w:color w:val="auto"/>
          <w:kern w:val="0"/>
          <w:szCs w:val="21"/>
          <w:highlight w:val="none"/>
        </w:rPr>
        <w:t>未书面退出磋商的供应商必须在规定时间内登录</w:t>
      </w:r>
      <w:r>
        <w:rPr>
          <w:rFonts w:hint="eastAsia" w:ascii="宋体" w:hAnsi="宋体" w:eastAsia="宋体" w:cs="宋体"/>
          <w:bCs/>
          <w:color w:val="auto"/>
          <w:szCs w:val="21"/>
          <w:highlight w:val="none"/>
        </w:rPr>
        <w:t>“广西政府采购云”平台</w:t>
      </w:r>
      <w:r>
        <w:rPr>
          <w:rFonts w:hint="eastAsia" w:ascii="宋体" w:hAnsi="宋体" w:eastAsia="宋体" w:cs="宋体"/>
          <w:color w:val="auto"/>
          <w:kern w:val="0"/>
          <w:szCs w:val="21"/>
          <w:highlight w:val="none"/>
        </w:rPr>
        <w:t>在线提交最后报价，其最后报价不得超出最高限价；磋商过程中磋商文件未作实质性变动的，</w:t>
      </w:r>
      <w:r>
        <w:rPr>
          <w:rFonts w:hint="eastAsia" w:ascii="宋体" w:hAnsi="宋体" w:eastAsia="宋体" w:cs="宋体"/>
          <w:b/>
          <w:color w:val="auto"/>
          <w:kern w:val="0"/>
          <w:szCs w:val="21"/>
          <w:highlight w:val="none"/>
        </w:rPr>
        <w:t>最后报价不得超过首次报价</w:t>
      </w:r>
      <w:r>
        <w:rPr>
          <w:rFonts w:hint="eastAsia" w:ascii="宋体" w:hAnsi="宋体" w:eastAsia="宋体" w:cs="宋体"/>
          <w:color w:val="auto"/>
          <w:kern w:val="0"/>
          <w:szCs w:val="21"/>
          <w:highlight w:val="none"/>
        </w:rPr>
        <w:t>。</w:t>
      </w:r>
    </w:p>
    <w:p w14:paraId="55A80725">
      <w:pPr>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w:t>
      </w:r>
      <w:bookmarkStart w:id="76" w:name="OLE_LINK117"/>
      <w:bookmarkStart w:id="77" w:name="OLE_LINK116"/>
      <w:bookmarkStart w:id="78" w:name="OLE_LINK161"/>
      <w:bookmarkStart w:id="79" w:name="OLE_LINK160"/>
      <w:bookmarkStart w:id="80" w:name="OLE_LINK201"/>
      <w:r>
        <w:rPr>
          <w:rFonts w:hint="eastAsia" w:ascii="宋体" w:hAnsi="宋体" w:eastAsia="宋体" w:cs="宋体"/>
          <w:color w:val="auto"/>
          <w:szCs w:val="21"/>
          <w:highlight w:val="none"/>
        </w:rPr>
        <w:t>磋商报价</w:t>
      </w:r>
      <w:bookmarkEnd w:id="76"/>
      <w:bookmarkEnd w:id="77"/>
      <w:r>
        <w:rPr>
          <w:rFonts w:hint="eastAsia" w:ascii="宋体" w:hAnsi="宋体" w:eastAsia="宋体" w:cs="宋体"/>
          <w:color w:val="auto"/>
          <w:szCs w:val="21"/>
          <w:highlight w:val="none"/>
        </w:rPr>
        <w:t>应包括完成本项目“项目需求”中所列所有服务内容产生的采购成本、人工、包装、运输（装卸）、食品安全防护产生的费用、相关质量检测费、验收、配合调换服务费、售后服务、税金、利润、保险等所涉及到的一切服务费用的总和。供应商应综合考虑在报价中。</w:t>
      </w:r>
    </w:p>
    <w:bookmarkEnd w:id="78"/>
    <w:bookmarkEnd w:id="79"/>
    <w:bookmarkEnd w:id="80"/>
    <w:p w14:paraId="107F9F8F">
      <w:pPr>
        <w:widowControl/>
        <w:kinsoku w:val="0"/>
        <w:autoSpaceDE w:val="0"/>
        <w:autoSpaceDN w:val="0"/>
        <w:adjustRightInd w:val="0"/>
        <w:snapToGrid w:val="0"/>
        <w:spacing w:line="400" w:lineRule="exact"/>
        <w:ind w:firstLine="422" w:firstLineChars="200"/>
        <w:jc w:val="left"/>
        <w:textAlignment w:val="baseline"/>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14.响应文件有效期</w:t>
      </w:r>
    </w:p>
    <w:p w14:paraId="4239A3D1">
      <w:pPr>
        <w:tabs>
          <w:tab w:val="left" w:pos="1305"/>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14.1响应文件有效期：自响应文件提交截止时间之日起90天，有效期不足的响应文件将被拒绝。</w:t>
      </w:r>
    </w:p>
    <w:p w14:paraId="22874E9D">
      <w:pPr>
        <w:tabs>
          <w:tab w:val="left" w:pos="1305"/>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14.2出现特殊情况下，需要延长响应文件有效期的，采购代理机构以书面形式通知供应商延长响应文件有效期。供应商同意延长的，不能修改响应文件。供应商拒绝延长的，其响应无效。</w:t>
      </w:r>
    </w:p>
    <w:p w14:paraId="6E941538">
      <w:pPr>
        <w:tabs>
          <w:tab w:val="left" w:pos="1305"/>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15.电子响应文件的制作、加密要求</w:t>
      </w:r>
    </w:p>
    <w:p w14:paraId="41A1C308">
      <w:pPr>
        <w:wordWrap w:val="0"/>
        <w:snapToGrid w:val="0"/>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15.1</w:t>
      </w:r>
      <w:r>
        <w:rPr>
          <w:rFonts w:hint="eastAsia" w:ascii="宋体" w:hAnsi="宋体" w:eastAsia="宋体" w:cs="宋体"/>
          <w:bCs/>
          <w:color w:val="auto"/>
          <w:szCs w:val="21"/>
          <w:highlight w:val="none"/>
        </w:rPr>
        <w:t>供应商制作电子响应文件前，应登陆“广西政府采购云”平台进行“申请获取竞争性磋商文件”操作，否则，有可能导致无法在线编制响应文件并参与竞标，其不利后果由供应商自行承担</w:t>
      </w:r>
      <w:r>
        <w:rPr>
          <w:rFonts w:hint="eastAsia" w:ascii="宋体" w:hAnsi="宋体" w:eastAsia="宋体" w:cs="宋体"/>
          <w:color w:val="auto"/>
          <w:highlight w:val="none"/>
        </w:rPr>
        <w:t>。</w:t>
      </w:r>
    </w:p>
    <w:p w14:paraId="04ADF0DA">
      <w:pPr>
        <w:wordWrap w:val="0"/>
        <w:snapToGrid w:val="0"/>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15.2供应商下载或获取竞争性磋商文件后，登录“广西政府采购云电子响应客户端”，按照本磋商文件规定的响应文件格式、顺序以及“广西政府采购云”平台的要求，通过“广西政府采购云电子响应客户端”编制电子响应文件。</w:t>
      </w:r>
    </w:p>
    <w:p w14:paraId="455BE628">
      <w:pPr>
        <w:wordWrap w:val="0"/>
        <w:snapToGrid w:val="0"/>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15.3</w:t>
      </w:r>
      <w:r>
        <w:rPr>
          <w:rFonts w:hint="eastAsia" w:ascii="宋体" w:hAnsi="宋体" w:eastAsia="宋体" w:cs="宋体"/>
          <w:color w:val="auto"/>
          <w:highlight w:val="none"/>
        </w:rPr>
        <w:t>供应商</w:t>
      </w:r>
      <w:r>
        <w:rPr>
          <w:rFonts w:hint="eastAsia" w:ascii="宋体" w:hAnsi="宋体" w:eastAsia="宋体" w:cs="宋体"/>
          <w:color w:val="auto"/>
          <w:highlight w:val="none"/>
        </w:rPr>
        <w:t>应按“广西政府采购云电子</w:t>
      </w:r>
      <w:r>
        <w:rPr>
          <w:rFonts w:hint="eastAsia" w:ascii="宋体" w:hAnsi="宋体" w:eastAsia="宋体" w:cs="宋体"/>
          <w:color w:val="auto"/>
          <w:highlight w:val="none"/>
        </w:rPr>
        <w:t>响应</w:t>
      </w:r>
      <w:r>
        <w:rPr>
          <w:rFonts w:hint="eastAsia" w:ascii="宋体" w:hAnsi="宋体" w:eastAsia="宋体" w:cs="宋体"/>
          <w:color w:val="auto"/>
          <w:highlight w:val="none"/>
        </w:rPr>
        <w:t>客户端”载明的“标书关联”功能进行电子</w:t>
      </w:r>
      <w:r>
        <w:rPr>
          <w:rFonts w:hint="eastAsia" w:ascii="宋体" w:hAnsi="宋体" w:eastAsia="宋体" w:cs="宋体"/>
          <w:color w:val="auto"/>
          <w:highlight w:val="none"/>
        </w:rPr>
        <w:t>响应</w:t>
      </w:r>
      <w:r>
        <w:rPr>
          <w:rFonts w:hint="eastAsia" w:ascii="宋体" w:hAnsi="宋体" w:eastAsia="宋体" w:cs="宋体"/>
          <w:color w:val="auto"/>
          <w:highlight w:val="none"/>
        </w:rPr>
        <w:t>文件的关联定位，以便</w:t>
      </w:r>
      <w:r>
        <w:rPr>
          <w:rFonts w:hint="eastAsia" w:ascii="宋体" w:hAnsi="宋体" w:eastAsia="宋体" w:cs="宋体"/>
          <w:color w:val="auto"/>
          <w:highlight w:val="none"/>
        </w:rPr>
        <w:t>磋商小组</w:t>
      </w:r>
      <w:r>
        <w:rPr>
          <w:rFonts w:hint="eastAsia" w:ascii="宋体" w:hAnsi="宋体" w:eastAsia="宋体" w:cs="宋体"/>
          <w:color w:val="auto"/>
          <w:highlight w:val="none"/>
        </w:rPr>
        <w:t>在评审时点击相应评审项可直接定位到该评审内容；如</w:t>
      </w:r>
      <w:r>
        <w:rPr>
          <w:rFonts w:hint="eastAsia" w:ascii="宋体" w:hAnsi="宋体" w:eastAsia="宋体" w:cs="宋体"/>
          <w:color w:val="auto"/>
          <w:highlight w:val="none"/>
        </w:rPr>
        <w:t>供应商</w:t>
      </w:r>
      <w:r>
        <w:rPr>
          <w:rFonts w:hint="eastAsia" w:ascii="宋体" w:hAnsi="宋体" w:eastAsia="宋体" w:cs="宋体"/>
          <w:color w:val="auto"/>
          <w:highlight w:val="none"/>
        </w:rPr>
        <w:t>的电子</w:t>
      </w:r>
      <w:r>
        <w:rPr>
          <w:rFonts w:hint="eastAsia" w:ascii="宋体" w:hAnsi="宋体" w:eastAsia="宋体" w:cs="宋体"/>
          <w:color w:val="auto"/>
          <w:highlight w:val="none"/>
        </w:rPr>
        <w:t>响应</w:t>
      </w:r>
      <w:r>
        <w:rPr>
          <w:rFonts w:hint="eastAsia" w:ascii="宋体" w:hAnsi="宋体" w:eastAsia="宋体" w:cs="宋体"/>
          <w:color w:val="auto"/>
          <w:highlight w:val="none"/>
        </w:rPr>
        <w:t>文件未能关联定位相应内容，或者关联定位的内容与该评审项不符，导致</w:t>
      </w:r>
      <w:r>
        <w:rPr>
          <w:rFonts w:hint="eastAsia" w:ascii="宋体" w:hAnsi="宋体" w:eastAsia="宋体" w:cs="宋体"/>
          <w:color w:val="auto"/>
          <w:highlight w:val="none"/>
        </w:rPr>
        <w:t>磋商小组</w:t>
      </w:r>
      <w:r>
        <w:rPr>
          <w:rFonts w:hint="eastAsia" w:ascii="宋体" w:hAnsi="宋体" w:eastAsia="宋体" w:cs="宋体"/>
          <w:color w:val="auto"/>
          <w:highlight w:val="none"/>
        </w:rPr>
        <w:t>无法查询并做出对</w:t>
      </w:r>
      <w:r>
        <w:rPr>
          <w:rFonts w:hint="eastAsia" w:ascii="宋体" w:hAnsi="宋体" w:eastAsia="宋体" w:cs="宋体"/>
          <w:color w:val="auto"/>
          <w:highlight w:val="none"/>
        </w:rPr>
        <w:t>供应商</w:t>
      </w:r>
      <w:r>
        <w:rPr>
          <w:rFonts w:hint="eastAsia" w:ascii="宋体" w:hAnsi="宋体" w:eastAsia="宋体" w:cs="宋体"/>
          <w:color w:val="auto"/>
          <w:highlight w:val="none"/>
        </w:rPr>
        <w:t>不利的评审，相关后果由</w:t>
      </w:r>
      <w:r>
        <w:rPr>
          <w:rFonts w:hint="eastAsia" w:ascii="宋体" w:hAnsi="宋体" w:eastAsia="宋体" w:cs="宋体"/>
          <w:color w:val="auto"/>
          <w:highlight w:val="none"/>
        </w:rPr>
        <w:t>供应商</w:t>
      </w:r>
      <w:r>
        <w:rPr>
          <w:rFonts w:hint="eastAsia" w:ascii="宋体" w:hAnsi="宋体" w:eastAsia="宋体" w:cs="宋体"/>
          <w:color w:val="auto"/>
          <w:highlight w:val="none"/>
        </w:rPr>
        <w:t>自行承担。</w:t>
      </w:r>
    </w:p>
    <w:p w14:paraId="029F6157">
      <w:pPr>
        <w:wordWrap w:val="0"/>
        <w:snapToGrid w:val="0"/>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15.4电子响应文件不得涂改，若有修改错漏处，须由法定代表人（负责人、自然人）或授权委托代理人通过“广西政府采购云电子响应客户端”采用广西政府采购云个人CA证书签章，没有办理广西政府采购云个人CA证书签章的，在响应文件中响应位置手写签字后扫描或者拍照做成PDF的格式上传。因响应文件字迹潦草、表达不清、内容不完整、编排混乱导致响应文件被误读、漏读，或者在按竞争性磋商文件规定的部位查找不到相关内容的，其不利后果由供应商自行承担。</w:t>
      </w:r>
    </w:p>
    <w:p w14:paraId="53857F5F">
      <w:pPr>
        <w:wordWrap w:val="0"/>
        <w:snapToGrid w:val="0"/>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15.5供应商编制、生成电子响应文件后应当加密响应文件。供应商未按规定编制并加密的响应文件，“广西政府采购云”平台将予以拒收。</w:t>
      </w:r>
    </w:p>
    <w:p w14:paraId="75D9FCD5">
      <w:pPr>
        <w:wordWrap w:val="0"/>
        <w:snapToGrid w:val="0"/>
        <w:spacing w:line="400" w:lineRule="exact"/>
        <w:ind w:firstLine="420" w:firstLineChars="200"/>
        <w:jc w:val="left"/>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15.6</w:t>
      </w:r>
      <w:r>
        <w:rPr>
          <w:rFonts w:hint="eastAsia" w:ascii="宋体" w:hAnsi="宋体" w:eastAsia="宋体" w:cs="宋体"/>
          <w:b/>
          <w:color w:val="auto"/>
          <w:kern w:val="0"/>
          <w:szCs w:val="21"/>
          <w:highlight w:val="none"/>
        </w:rPr>
        <w:t>供应商公章及签字</w:t>
      </w:r>
    </w:p>
    <w:p w14:paraId="58E89D43">
      <w:pPr>
        <w:wordWrap w:val="0"/>
        <w:snapToGrid w:val="0"/>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15.6.1本竞争性磋商文件中描述供应商的“公章”是指供应商通过指定电子化政府采购平台办理数字证书（CA认证证书）获得的以法定主体行为名称制作的电子印章。</w:t>
      </w:r>
    </w:p>
    <w:p w14:paraId="35587E1E">
      <w:pPr>
        <w:wordWrap w:val="0"/>
        <w:snapToGrid w:val="0"/>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15.6.2本竞争性磋商文件中要求供应商对其电子响应文件的相关内容加盖公章的，均指采用CA证书签章。</w:t>
      </w:r>
    </w:p>
    <w:p w14:paraId="74A7581A">
      <w:pPr>
        <w:wordWrap w:val="0"/>
        <w:snapToGrid w:val="0"/>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15.6.3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p>
    <w:p w14:paraId="39EC9337">
      <w:pPr>
        <w:tabs>
          <w:tab w:val="left" w:pos="1305"/>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16.首次响应文件的提交、撤回、修改</w:t>
      </w:r>
    </w:p>
    <w:p w14:paraId="7B9D9BFE">
      <w:pPr>
        <w:wordWrap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16.1响应文件的提交截止时间：2026年9月21日09:30</w:t>
      </w:r>
      <w:r>
        <w:rPr>
          <w:rFonts w:hint="eastAsia" w:ascii="宋体" w:hAnsi="宋体" w:eastAsia="宋体" w:cs="宋体"/>
          <w:bCs/>
          <w:color w:val="auto"/>
          <w:szCs w:val="21"/>
          <w:highlight w:val="none"/>
        </w:rPr>
        <w:t>（北京时间）</w:t>
      </w:r>
    </w:p>
    <w:p w14:paraId="189956D5">
      <w:pPr>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16.2地点：通过“广西政府采购云”平台在线提交。</w:t>
      </w:r>
    </w:p>
    <w:p w14:paraId="710644DE">
      <w:pPr>
        <w:wordWrap w:val="0"/>
        <w:adjustRightInd w:val="0"/>
        <w:snapToGri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16.3供应商应当在响应文件提交截止时间前，将生成的电子响应文件上传提交至“广西政府采购云”平台。响应文件提交截止时间前可以补充、修改或撤回电子响应文件，补充、修改电子响应文件的，应当先行撤回原文件，补充、修改后重新传输提交。</w:t>
      </w:r>
      <w:r>
        <w:rPr>
          <w:rFonts w:hint="eastAsia" w:ascii="宋体" w:hAnsi="宋体" w:eastAsia="宋体" w:cs="宋体"/>
          <w:color w:val="auto"/>
          <w:kern w:val="0"/>
          <w:szCs w:val="21"/>
          <w:highlight w:val="none"/>
        </w:rPr>
        <w:t>在响应文件提交截止时间后的响应文件有效期内，供应商不得撤回其响应文件。</w:t>
      </w:r>
      <w:r>
        <w:rPr>
          <w:rFonts w:hint="eastAsia" w:ascii="宋体" w:hAnsi="宋体" w:eastAsia="宋体" w:cs="宋体"/>
          <w:bCs/>
          <w:color w:val="auto"/>
          <w:szCs w:val="21"/>
          <w:highlight w:val="none"/>
        </w:rPr>
        <w:t>响应文件提交截止时间前未成功将电子响应文件上传“广西政府采购云”平台的，视为未提交响应文件。</w:t>
      </w:r>
    </w:p>
    <w:p w14:paraId="303F2DF1">
      <w:pPr>
        <w:tabs>
          <w:tab w:val="left" w:pos="1305"/>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16.4除竞争性磋商文件另有规定外，供应商所提交的响应文件不予退还。</w:t>
      </w:r>
    </w:p>
    <w:p w14:paraId="319677FE">
      <w:pPr>
        <w:tabs>
          <w:tab w:val="left" w:pos="1305"/>
        </w:tabs>
        <w:wordWrap w:val="0"/>
        <w:spacing w:line="400" w:lineRule="exact"/>
        <w:ind w:firstLine="422" w:firstLineChars="200"/>
        <w:rPr>
          <w:rStyle w:val="102"/>
          <w:rFonts w:hint="eastAsia" w:ascii="宋体" w:hAnsi="宋体" w:eastAsia="宋体" w:cs="宋体"/>
          <w:color w:val="auto"/>
          <w:highlight w:val="none"/>
        </w:rPr>
      </w:pPr>
      <w:r>
        <w:rPr>
          <w:rFonts w:hint="eastAsia" w:ascii="宋体" w:hAnsi="宋体" w:eastAsia="宋体" w:cs="宋体"/>
          <w:b/>
          <w:color w:val="auto"/>
          <w:kern w:val="0"/>
          <w:szCs w:val="21"/>
          <w:highlight w:val="none"/>
        </w:rPr>
        <w:t>17.响应文件的解密</w:t>
      </w:r>
    </w:p>
    <w:p w14:paraId="431AB511">
      <w:pPr>
        <w:tabs>
          <w:tab w:val="left" w:pos="1305"/>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响应文件提交截止时间后，采购代理机构开启解密响应文件操作，</w:t>
      </w:r>
      <w:r>
        <w:rPr>
          <w:rFonts w:hint="eastAsia" w:ascii="宋体" w:hAnsi="宋体" w:eastAsia="宋体" w:cs="宋体"/>
          <w:color w:val="auto"/>
          <w:highlight w:val="none"/>
        </w:rPr>
        <w:t>广西政府采购云平台</w:t>
      </w:r>
      <w:r>
        <w:rPr>
          <w:rFonts w:hint="eastAsia" w:ascii="宋体" w:hAnsi="宋体" w:eastAsia="宋体" w:cs="宋体"/>
          <w:color w:val="auto"/>
          <w:kern w:val="0"/>
          <w:szCs w:val="21"/>
          <w:highlight w:val="none"/>
        </w:rPr>
        <w:t>向各供应商发出电子加密响应文件解密通知，由供应商在系统发出解密通知后30分钟内自行使用加密的CA通过“项目采购</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rPr>
        <w:t>开标评标”功能对响应文件进行解密。若供应商在上述规定的时间内无法解密或解密失败的，可以在响应文件解密截止时间后30分钟内向采购代理机构现场提交电子备份响应文件【现场提交电子响应文件地址：桂林市公共资源交易中心</w:t>
      </w:r>
      <w:r>
        <w:rPr>
          <w:rFonts w:hint="eastAsia" w:ascii="宋体" w:hAnsi="宋体" w:eastAsia="宋体" w:cs="宋体"/>
          <w:color w:val="auto"/>
          <w:kern w:val="0"/>
          <w:szCs w:val="21"/>
          <w:highlight w:val="none"/>
          <w:u w:val="single"/>
        </w:rPr>
        <w:t>7号开标室</w:t>
      </w:r>
      <w:r>
        <w:rPr>
          <w:rFonts w:hint="eastAsia" w:ascii="宋体" w:hAnsi="宋体" w:eastAsia="宋体" w:cs="宋体"/>
          <w:color w:val="auto"/>
          <w:kern w:val="0"/>
          <w:szCs w:val="21"/>
          <w:highlight w:val="none"/>
        </w:rPr>
        <w:t>（广西</w:t>
      </w:r>
      <w:r>
        <w:rPr>
          <w:rFonts w:hint="eastAsia" w:ascii="宋体" w:hAnsi="宋体" w:eastAsia="宋体" w:cs="宋体"/>
          <w:color w:val="auto"/>
          <w:kern w:val="0"/>
          <w:szCs w:val="21"/>
          <w:highlight w:val="none"/>
        </w:rPr>
        <w:t>桂</w:t>
      </w:r>
      <w:r>
        <w:rPr>
          <w:rFonts w:hint="eastAsia" w:ascii="宋体" w:hAnsi="宋体" w:eastAsia="宋体" w:cs="宋体"/>
          <w:color w:val="auto"/>
          <w:kern w:val="0"/>
          <w:szCs w:val="21"/>
          <w:highlight w:val="none"/>
        </w:rPr>
        <w:t>林市临桂区</w:t>
      </w:r>
      <w:r>
        <w:rPr>
          <w:rFonts w:hint="eastAsia" w:ascii="宋体" w:hAnsi="宋体" w:eastAsia="宋体" w:cs="宋体"/>
          <w:color w:val="auto"/>
          <w:kern w:val="0"/>
          <w:szCs w:val="21"/>
          <w:highlight w:val="none"/>
        </w:rPr>
        <w:t>西城中路69号创业大厦西辅楼4楼北区）】</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rPr>
        <w:t>或以电子邮件的形式提交电子备份响应文件（接收电子备份响应文件的电子邮箱为：</w:t>
      </w:r>
      <w:r>
        <w:rPr>
          <w:rFonts w:hint="eastAsia" w:ascii="宋体" w:hAnsi="宋体" w:eastAsia="宋体" w:cs="宋体"/>
          <w:color w:val="auto"/>
          <w:kern w:val="0"/>
          <w:szCs w:val="21"/>
          <w:highlight w:val="none"/>
        </w:rPr>
        <w:t>gxhcdglfgs@163.com</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rPr>
        <w:t>；供应商未在上述规定的时间、地点（电子邮箱）提交的电子备份响应文件，采购代理机构不予接收或承认。</w:t>
      </w:r>
      <w:r>
        <w:rPr>
          <w:rFonts w:hint="eastAsia" w:ascii="宋体" w:hAnsi="宋体" w:eastAsia="宋体" w:cs="宋体"/>
          <w:color w:val="auto"/>
          <w:kern w:val="0"/>
          <w:szCs w:val="21"/>
          <w:highlight w:val="none"/>
        </w:rPr>
        <w:t>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eastAsia="宋体" w:cs="宋体"/>
          <w:color w:val="auto"/>
          <w:kern w:val="0"/>
          <w:szCs w:val="21"/>
          <w:highlight w:val="none"/>
        </w:rPr>
        <w:t>磋商。</w:t>
      </w:r>
    </w:p>
    <w:p w14:paraId="5AC3BB3D">
      <w:pPr>
        <w:tabs>
          <w:tab w:val="left" w:pos="1305"/>
        </w:tabs>
        <w:wordWrap w:val="0"/>
        <w:spacing w:line="400" w:lineRule="exact"/>
        <w:jc w:val="center"/>
        <w:rPr>
          <w:rFonts w:hint="eastAsia" w:ascii="宋体" w:hAnsi="宋体" w:eastAsia="宋体" w:cs="宋体"/>
          <w:b/>
          <w:color w:val="auto"/>
          <w:kern w:val="0"/>
          <w:sz w:val="28"/>
          <w:szCs w:val="28"/>
          <w:highlight w:val="none"/>
        </w:rPr>
      </w:pPr>
    </w:p>
    <w:p w14:paraId="46A95422">
      <w:pPr>
        <w:tabs>
          <w:tab w:val="left" w:pos="1305"/>
        </w:tabs>
        <w:wordWrap w:val="0"/>
        <w:spacing w:line="400" w:lineRule="exact"/>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四、竞争性磋商（简称磋商）与评审</w:t>
      </w:r>
    </w:p>
    <w:p w14:paraId="4A4322DC">
      <w:pPr>
        <w:tabs>
          <w:tab w:val="center" w:pos="4411"/>
          <w:tab w:val="left" w:pos="5475"/>
        </w:tabs>
        <w:wordWrap w:val="0"/>
        <w:spacing w:line="400" w:lineRule="exact"/>
        <w:ind w:firstLine="422" w:firstLineChars="200"/>
        <w:jc w:val="lef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18.磋商小组组成及磋商时间、地点、人员</w:t>
      </w:r>
    </w:p>
    <w:p w14:paraId="23CDEBBC">
      <w:pPr>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18.1磋商小组组成：</w:t>
      </w:r>
    </w:p>
    <w:p w14:paraId="006EB588">
      <w:pPr>
        <w:tabs>
          <w:tab w:val="left" w:pos="1140"/>
        </w:tabs>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磋商及评审组织工作由采购代理机构负责，具体磋商、评审工作由依法组建的磋商小组负责，本项目的磋商小组由采购人代表和有关方面的专家组成。</w:t>
      </w:r>
    </w:p>
    <w:p w14:paraId="0975433C">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磋商小组的构成：3人。</w:t>
      </w:r>
    </w:p>
    <w:p w14:paraId="41DBA438">
      <w:pPr>
        <w:tabs>
          <w:tab w:val="left" w:pos="1305"/>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18.2磋商时间、地点、人员：</w:t>
      </w:r>
    </w:p>
    <w:p w14:paraId="0A46FA76">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18.2.1磋商时间：首次响应文件递交截止时间后。</w:t>
      </w:r>
    </w:p>
    <w:p w14:paraId="3AE30826">
      <w:pPr>
        <w:wordWrap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18.2.2磋商地点：</w:t>
      </w:r>
      <w:r>
        <w:rPr>
          <w:rFonts w:hint="eastAsia" w:ascii="宋体" w:hAnsi="宋体" w:eastAsia="宋体" w:cs="宋体"/>
          <w:bCs/>
          <w:color w:val="auto"/>
          <w:szCs w:val="21"/>
          <w:highlight w:val="none"/>
        </w:rPr>
        <w:t>供应商代表在响应文件提交当天实时登录“广西政府采购云”平台，按磋商小组要求在线等候参与磋商及提交最后报价。因供应商未保持实时在线，导致磋商小组无法及时与其取得联系，从而造成供应商未按规定参与磋商或报价的，其不利后果由供应商自行承担。</w:t>
      </w:r>
    </w:p>
    <w:p w14:paraId="4AE5BC9B">
      <w:pPr>
        <w:tabs>
          <w:tab w:val="left" w:pos="1140"/>
        </w:tabs>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18.2.3磋商参加人员：</w:t>
      </w:r>
      <w:r>
        <w:rPr>
          <w:rFonts w:hint="eastAsia" w:ascii="宋体" w:hAnsi="宋体" w:eastAsia="宋体" w:cs="宋体"/>
          <w:color w:val="auto"/>
          <w:szCs w:val="21"/>
          <w:highlight w:val="none"/>
        </w:rPr>
        <w:t>供应商法定代表人(负责人、自然人)或相应的委托代理人参加磋商。请</w:t>
      </w:r>
    </w:p>
    <w:p w14:paraId="28A3A9B0">
      <w:pPr>
        <w:tabs>
          <w:tab w:val="left" w:pos="1140"/>
        </w:tabs>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w:t>
      </w:r>
      <w:r>
        <w:rPr>
          <w:rFonts w:hint="eastAsia" w:ascii="宋体" w:hAnsi="宋体" w:eastAsia="宋体" w:cs="宋体"/>
          <w:bCs/>
          <w:color w:val="auto"/>
          <w:szCs w:val="21"/>
          <w:highlight w:val="none"/>
        </w:rPr>
        <w:t>实时登录“广西政府采购云”平台</w:t>
      </w:r>
      <w:r>
        <w:rPr>
          <w:rFonts w:hint="eastAsia" w:ascii="宋体" w:hAnsi="宋体" w:eastAsia="宋体" w:cs="宋体"/>
          <w:color w:val="auto"/>
          <w:szCs w:val="21"/>
          <w:highlight w:val="none"/>
        </w:rPr>
        <w:t>等候在线磋商。</w:t>
      </w:r>
    </w:p>
    <w:p w14:paraId="47B775E1">
      <w:pPr>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18.2.4首次响应文件提交截止时间后，登录</w:t>
      </w:r>
      <w:r>
        <w:rPr>
          <w:rFonts w:hint="eastAsia" w:ascii="宋体" w:hAnsi="宋体" w:eastAsia="宋体" w:cs="宋体"/>
          <w:bCs/>
          <w:color w:val="auto"/>
          <w:szCs w:val="21"/>
          <w:highlight w:val="none"/>
        </w:rPr>
        <w:t>“广西政府采购云”平台</w:t>
      </w:r>
      <w:r>
        <w:rPr>
          <w:rFonts w:hint="eastAsia" w:ascii="宋体" w:hAnsi="宋体" w:eastAsia="宋体" w:cs="宋体"/>
          <w:color w:val="auto"/>
          <w:szCs w:val="21"/>
          <w:highlight w:val="none"/>
        </w:rPr>
        <w:t>在线解密开启。</w:t>
      </w:r>
    </w:p>
    <w:p w14:paraId="7D2F01A9">
      <w:pPr>
        <w:tabs>
          <w:tab w:val="left" w:pos="1140"/>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19.评审原则和评审办法</w:t>
      </w:r>
    </w:p>
    <w:p w14:paraId="2727BFCF">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0"/>
          <w:highlight w:val="none"/>
        </w:rPr>
        <w:t>19.1</w:t>
      </w:r>
      <w:r>
        <w:rPr>
          <w:rFonts w:hint="eastAsia" w:ascii="宋体" w:hAnsi="宋体" w:eastAsia="宋体" w:cs="宋体"/>
          <w:color w:val="auto"/>
          <w:kern w:val="0"/>
          <w:szCs w:val="21"/>
          <w:highlight w:val="none"/>
        </w:rPr>
        <w:t>磋商小组必须坚持公平、公正、科学和择优的原则。</w:t>
      </w:r>
    </w:p>
    <w:p w14:paraId="0D4DA574">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0"/>
          <w:highlight w:val="none"/>
        </w:rPr>
        <w:t>19.2</w:t>
      </w:r>
      <w:r>
        <w:rPr>
          <w:rFonts w:hint="eastAsia" w:ascii="宋体" w:hAnsi="宋体" w:eastAsia="宋体" w:cs="宋体"/>
          <w:color w:val="auto"/>
          <w:kern w:val="0"/>
          <w:szCs w:val="21"/>
          <w:highlight w:val="none"/>
        </w:rPr>
        <w:t>评审办法：综合评分法，具体详见“第四章评审办法”。</w:t>
      </w:r>
    </w:p>
    <w:p w14:paraId="6067407F">
      <w:pPr>
        <w:pStyle w:val="20"/>
        <w:rPr>
          <w:rFonts w:hint="eastAsia" w:ascii="宋体" w:hAnsi="宋体" w:eastAsia="宋体" w:cs="宋体"/>
          <w:color w:val="auto"/>
          <w:highlight w:val="none"/>
        </w:rPr>
      </w:pPr>
      <w:r>
        <w:rPr>
          <w:rFonts w:hint="eastAsia" w:ascii="宋体" w:hAnsi="宋体" w:eastAsia="宋体" w:cs="宋体"/>
          <w:color w:val="auto"/>
          <w:highlight w:val="none"/>
        </w:rPr>
        <w:t>19.3磋商小组应按磋商文件进行评审，不得擅自更改评审办法。</w:t>
      </w:r>
    </w:p>
    <w:p w14:paraId="094D88DD">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    19.4在评审过程中，磋商小组任何人不得对某个供应商发表任何倾向性意见，不得向其他磋商小组成员明示或者暗示自己的评审意见。</w:t>
      </w:r>
    </w:p>
    <w:p w14:paraId="7F12B365">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19.5磋商小组成员对需要共同认定的事项存在争议的，按照少数服从多数的原则作出结论。持不同意见的磋商小组成员应当在评审报告上签署不同意见并说明理由，否则视为同意。</w:t>
      </w:r>
    </w:p>
    <w:p w14:paraId="38C76B28">
      <w:pPr>
        <w:tabs>
          <w:tab w:val="left" w:pos="1140"/>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20.评审程序及磋商要求</w:t>
      </w:r>
    </w:p>
    <w:p w14:paraId="5DEA06DA">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    20.1磋商小组成员的通讯工具或相关电子设备交由桂林市公共资源交易中心统一保管后到达评标室，采购代理机构核实磋商小组成员身份，告知回避要求，宣布评审工作纪律和程序，推选磋商小组组长。</w:t>
      </w:r>
    </w:p>
    <w:p w14:paraId="2CF8C6EB">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20.2磋商小组应当审查供应商的响应文件并作出评价；要求供应商解释或者澄清其响应文件；编写评审报告；告知采购人、采购代理机构在评审过程中发现的供应商的违法违规行为。</w:t>
      </w:r>
    </w:p>
    <w:p w14:paraId="0365DAA3">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20.3磋商小组依据法律法规和竞争性磋商文件的规定，</w:t>
      </w:r>
      <w:r>
        <w:rPr>
          <w:rFonts w:hint="eastAsia" w:ascii="宋体" w:hAnsi="宋体" w:eastAsia="宋体" w:cs="宋体"/>
          <w:color w:val="auto"/>
          <w:kern w:val="0"/>
          <w:highlight w:val="none"/>
        </w:rPr>
        <w:t>首先对响应文件进行资格性审查，</w:t>
      </w:r>
      <w:r>
        <w:rPr>
          <w:rFonts w:hint="eastAsia" w:ascii="宋体" w:hAnsi="宋体" w:eastAsia="宋体" w:cs="宋体"/>
          <w:color w:val="auto"/>
          <w:kern w:val="0"/>
          <w:szCs w:val="21"/>
          <w:highlight w:val="none"/>
        </w:rPr>
        <w:t>以确定供应商是否具备供应商资格；再对通过资格性审查的供应商响应文件的有效性、完整性和对磋商文件的响应程度进行符合性审查，以确定是否对磋商文件的实质性要求做出响应。</w:t>
      </w:r>
    </w:p>
    <w:p w14:paraId="4FE7D56F">
      <w:pPr>
        <w:wordWrap w:val="0"/>
        <w:spacing w:line="400" w:lineRule="exact"/>
        <w:ind w:firstLine="422" w:firstLineChars="200"/>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rPr>
        <w:t>20.4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06295929">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20.4.1查询渠道：《国家企业信用信息公示系统》（网址：</w:t>
      </w:r>
      <w:r>
        <w:rPr>
          <w:rFonts w:hint="eastAsia" w:ascii="宋体" w:hAnsi="宋体" w:eastAsia="宋体" w:cs="宋体"/>
          <w:color w:val="auto"/>
          <w:highlight w:val="none"/>
        </w:rPr>
        <w:t>https://</w:t>
      </w:r>
      <w:r>
        <w:rPr>
          <w:rFonts w:hint="eastAsia" w:ascii="宋体" w:hAnsi="宋体" w:eastAsia="宋体" w:cs="宋体"/>
          <w:color w:val="auto"/>
          <w:kern w:val="0"/>
          <w:highlight w:val="none"/>
        </w:rPr>
        <w:t>www.gsxt.gov.cn/index.html</w:t>
      </w:r>
      <w:r>
        <w:rPr>
          <w:rFonts w:hint="eastAsia" w:ascii="宋体" w:hAnsi="宋体" w:eastAsia="宋体" w:cs="宋体"/>
          <w:color w:val="auto"/>
          <w:kern w:val="0"/>
          <w:szCs w:val="21"/>
          <w:highlight w:val="none"/>
        </w:rPr>
        <w:t>）</w:t>
      </w:r>
    </w:p>
    <w:p w14:paraId="63EBC519">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20.4.2审查流程：</w:t>
      </w:r>
    </w:p>
    <w:p w14:paraId="2D06DD9B">
      <w:pPr>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（1）进入《国家企业信用信息公示系统》（网址：</w:t>
      </w:r>
      <w:r>
        <w:rPr>
          <w:rFonts w:hint="eastAsia" w:ascii="宋体" w:hAnsi="宋体" w:eastAsia="宋体" w:cs="宋体"/>
          <w:color w:val="auto"/>
          <w:highlight w:val="none"/>
        </w:rPr>
        <w:t>https://</w:t>
      </w:r>
      <w:r>
        <w:rPr>
          <w:rFonts w:hint="eastAsia" w:ascii="宋体" w:hAnsi="宋体" w:eastAsia="宋体" w:cs="宋体"/>
          <w:color w:val="auto"/>
          <w:kern w:val="0"/>
          <w:szCs w:val="21"/>
          <w:highlight w:val="none"/>
        </w:rPr>
        <w:t>www.gsxt.gov.cn/index.html），输入企业名称，进入企业信息主页面；</w:t>
      </w:r>
    </w:p>
    <w:p w14:paraId="17DD69F2">
      <w:pPr>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（2）查看主页“股东及出资信息”栏，或年报中的“股东及出资信息”栏信息；</w:t>
      </w:r>
    </w:p>
    <w:p w14:paraId="5F364E6F">
      <w:pPr>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（3）将各供应商的股东及出资信息进行比对，得出审查结论；</w:t>
      </w:r>
    </w:p>
    <w:p w14:paraId="43C98D59">
      <w:pPr>
        <w:wordWrap w:val="0"/>
        <w:snapToGrid w:val="0"/>
        <w:spacing w:line="400" w:lineRule="exac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（4）将相关资料作为评审资料打印存档。</w:t>
      </w:r>
    </w:p>
    <w:p w14:paraId="4D0DCB9F">
      <w:pPr>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3E1C6E6C">
      <w:pPr>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20.5磋商小组在对响应文件的有效性、完整性和响应程度进行审查时，可以要求供应商对</w:t>
      </w:r>
      <w:r>
        <w:rPr>
          <w:rFonts w:hint="eastAsia" w:ascii="宋体" w:hAnsi="宋体" w:eastAsia="宋体" w:cs="宋体"/>
          <w:color w:val="auto"/>
          <w:szCs w:val="21"/>
          <w:highlight w:val="none"/>
        </w:rPr>
        <w:t>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eastAsia="宋体" w:cs="宋体"/>
          <w:bCs/>
          <w:color w:val="auto"/>
          <w:szCs w:val="21"/>
          <w:highlight w:val="none"/>
        </w:rPr>
        <w:t>“广西政府采购云”平台</w:t>
      </w:r>
      <w:r>
        <w:rPr>
          <w:rFonts w:hint="eastAsia" w:ascii="宋体" w:hAnsi="宋体" w:eastAsia="宋体" w:cs="宋体"/>
          <w:color w:val="auto"/>
          <w:szCs w:val="21"/>
          <w:highlight w:val="none"/>
        </w:rPr>
        <w:t>采用在线书面形式，并加盖公章（CA证书签章），或者由法定代表人（负责人）或其授权委托代理人个人CA证书签章（没有办理广西政府采购云个人CA证书签章的可在响应文件中涉及到签字的位置手写签字后扫描或者拍照做成PDF的格式上传），供应商为自然人的，应当由本人个人CA证书签章（没有办理广西政府采购云个人CA证书签章的可在响应文件中涉及到签字的位置手写签字后扫描或者拍照做成PDF的格式上传）并附身份证明。</w:t>
      </w:r>
    </w:p>
    <w:p w14:paraId="2096E9D2">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44FA4043">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磋商小组所有成员应当按已确定的磋商顺序集中与单一供应商分别进行磋商，并给予所有实质性响应竞争性磋商文件要求的供应商平等的磋商机会。</w:t>
      </w:r>
    </w:p>
    <w:p w14:paraId="05F341E0">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磋商中，磋商小组不得透露与磋商有关的其他供应商的技术资料、价格和其他信息。</w:t>
      </w:r>
    </w:p>
    <w:p w14:paraId="2DE9CE5A">
      <w:pPr>
        <w:widowControl/>
        <w:tabs>
          <w:tab w:val="left" w:pos="540"/>
        </w:tabs>
        <w:wordWrap w:val="0"/>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采购代理机构（磋商小组）对磋商过程和重要磋商内容进行记录，磋商双方在记录上签字确认</w:t>
      </w:r>
      <w:r>
        <w:rPr>
          <w:rFonts w:hint="eastAsia" w:ascii="宋体" w:hAnsi="宋体" w:eastAsia="宋体" w:cs="宋体"/>
          <w:color w:val="auto"/>
          <w:szCs w:val="21"/>
          <w:highlight w:val="none"/>
        </w:rPr>
        <w:t>（或CA证书签章）</w:t>
      </w:r>
      <w:r>
        <w:rPr>
          <w:rFonts w:hint="eastAsia" w:ascii="宋体" w:hAnsi="宋体" w:eastAsia="宋体" w:cs="宋体"/>
          <w:color w:val="auto"/>
          <w:kern w:val="0"/>
          <w:szCs w:val="21"/>
          <w:highlight w:val="none"/>
        </w:rPr>
        <w:t>。</w:t>
      </w:r>
    </w:p>
    <w:p w14:paraId="26ECE2D3">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20.6在磋商过程中，磋商小组可以根据磋商文件和磋商情况实质性变</w:t>
      </w:r>
      <w:r>
        <w:rPr>
          <w:rFonts w:hint="eastAsia" w:ascii="宋体" w:hAnsi="宋体" w:eastAsia="宋体" w:cs="宋体"/>
          <w:color w:val="auto"/>
          <w:kern w:val="0"/>
          <w:szCs w:val="21"/>
          <w:highlight w:val="none"/>
        </w:rPr>
        <w:t>动项目需求中的技术</w:t>
      </w:r>
      <w:r>
        <w:rPr>
          <w:rFonts w:hint="eastAsia" w:ascii="宋体" w:hAnsi="宋体" w:eastAsia="宋体" w:cs="宋体"/>
          <w:color w:val="auto"/>
          <w:kern w:val="0"/>
          <w:szCs w:val="21"/>
          <w:highlight w:val="none"/>
        </w:rPr>
        <w:t>、服务要求以及合同草案条款，但不得变动磋商文件中的其他内容。实质性变动的内容，须经采购人代表确认。</w:t>
      </w:r>
    </w:p>
    <w:p w14:paraId="614B5283">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对磋商文件作出的实质性变动是磋商文件的有效组成部分，磋商小组应当及时通过“广西政府采购云”平台以书面形式同时通知所有参加磋商的供应商。</w:t>
      </w:r>
    </w:p>
    <w:p w14:paraId="39519128">
      <w:pPr>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变动情况和磋商小组的要求重新提交响应文件，并由其法定代表人(负责人、自然人)或相应的授权委托代表个人CA证书签章（没有办理广西政府采购云个人CA证书签章的可在响应文件中涉及到签字的位置手写签字后扫描或者拍照做成PDF的格式上传）或者加盖供应商公章（CA证书签章）。逾时不交的，视同放弃磋商。</w:t>
      </w:r>
    </w:p>
    <w:p w14:paraId="3FF73A76">
      <w:pPr>
        <w:widowControl/>
        <w:wordWrap w:val="0"/>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20.7最后报价</w:t>
      </w:r>
    </w:p>
    <w:p w14:paraId="6580D99F">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20.7.1磋商文件能够详细列明采购标的的技术、服务要求的，磋商结束后，磋商小组应当要求所有继续参加磋商的供应商在规定时间内通过“广西政府采购云”平台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广西政府采购云”平台在线提交最后报价。</w:t>
      </w:r>
    </w:p>
    <w:p w14:paraId="179DDBA6">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20.7.2根据财库【2015】124号《财政部关于政府采购竞争性磋商采购方式有关问题的通知》的规定，如采购项目为政府购买服务项目（含政府和社会资本合作项目），在采购过程中符合要求的供应商（社会资本）只有2家的，竞争性磋商采购活动可以继续进行，并要求其在规定时间内密封提交最后报价；采购过程中符合要求的供应商（社会资本）只有1家的，采购人或者采购代理机构应当终止竞争性磋商采购活动，发布项目终止公告并说明原因，重新开展采购活动。</w:t>
      </w:r>
    </w:p>
    <w:p w14:paraId="7D8759BA">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20.7.3最后报价是供应商响应文件的有效组成部分。</w:t>
      </w:r>
    </w:p>
    <w:p w14:paraId="5E8C2079">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20.8已提交响应文件的供应商，在提交最后报价之前，可以根据磋商情况书面退出磋商。</w:t>
      </w:r>
    </w:p>
    <w:p w14:paraId="0A484399">
      <w:pPr>
        <w:widowControl/>
        <w:tabs>
          <w:tab w:val="left" w:pos="540"/>
        </w:tabs>
        <w:wordWrap w:val="0"/>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未书面退出磋商的供应商必须在规定时间内通过“广西政府采购云”平台在线提交最后报价；磋商过程中磋商文件未作实质性变动的，</w:t>
      </w:r>
      <w:r>
        <w:rPr>
          <w:rFonts w:hint="eastAsia" w:ascii="宋体" w:hAnsi="宋体" w:eastAsia="宋体" w:cs="宋体"/>
          <w:color w:val="auto"/>
          <w:szCs w:val="21"/>
          <w:highlight w:val="none"/>
        </w:rPr>
        <w:t>最后报价不得超过首次报价</w:t>
      </w:r>
      <w:r>
        <w:rPr>
          <w:rFonts w:hint="eastAsia" w:ascii="宋体" w:hAnsi="宋体" w:eastAsia="宋体" w:cs="宋体"/>
          <w:color w:val="auto"/>
          <w:kern w:val="0"/>
          <w:szCs w:val="21"/>
          <w:highlight w:val="none"/>
        </w:rPr>
        <w:t>。</w:t>
      </w:r>
    </w:p>
    <w:p w14:paraId="6835607F">
      <w:pPr>
        <w:widowControl/>
        <w:tabs>
          <w:tab w:val="left" w:pos="540"/>
        </w:tabs>
        <w:wordWrap w:val="0"/>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20.9综合比较与评价：</w:t>
      </w:r>
    </w:p>
    <w:p w14:paraId="217E4B83">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20.9.1磋商小组按竞争性磋商文件中规定的评审办法，对资格性审查和符合性审查合格的响应文件进行商务和技术评估，综合比较与评价。</w:t>
      </w:r>
    </w:p>
    <w:p w14:paraId="5268C460">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20.9.2磋商小组成员应当独立对每个供应商的响应文件进行评价，最终汇总每个供应商的得分。各供应商的得分为所有磋商小组的有效评分的算术平均数。</w:t>
      </w:r>
    </w:p>
    <w:p w14:paraId="19241E1B">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20.9.3采购代理机构对评审数据进行校对、核对，对畸高、畸低的重大差异评分提示磋商小组复核或书面说明理由。</w:t>
      </w:r>
    </w:p>
    <w:p w14:paraId="6BC166EA">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20.10在评审过程中出现法律法规和磋商文件均没有明确规定的情形时，由磋商小组现场协商解决，协商不一致的，由全体磋商小组投票表决，以得票率二分之一以上专家的意见为准。</w:t>
      </w:r>
    </w:p>
    <w:p w14:paraId="4AD25F29">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20.11采购代理机构发现磋商小组有明显的违规倾向或歧视现象，或不按评审办法进行，或其他不正常行为的，应当及时制止。如制止无效，应及时向桂林市政府采购监督管理机构报告。</w:t>
      </w:r>
    </w:p>
    <w:p w14:paraId="499A8842">
      <w:pPr>
        <w:widowControl/>
        <w:tabs>
          <w:tab w:val="left" w:pos="540"/>
        </w:tabs>
        <w:wordWrap w:val="0"/>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20.12 异常低价响应审查 </w:t>
      </w:r>
    </w:p>
    <w:p w14:paraId="7179D2D0">
      <w:pPr>
        <w:widowControl/>
        <w:tabs>
          <w:tab w:val="left" w:pos="540"/>
        </w:tabs>
        <w:wordWrap w:val="0"/>
        <w:spacing w:line="400" w:lineRule="exact"/>
        <w:ind w:firstLine="422" w:firstLineChars="200"/>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 xml:space="preserve">20.12.1 </w:t>
      </w:r>
      <w:r>
        <w:rPr>
          <w:rFonts w:hint="eastAsia" w:ascii="宋体" w:hAnsi="宋体" w:eastAsia="宋体" w:cs="宋体"/>
          <w:color w:val="auto"/>
          <w:kern w:val="0"/>
          <w:szCs w:val="21"/>
          <w:highlight w:val="none"/>
        </w:rPr>
        <w:t xml:space="preserve">本项目采用综合折扣率报价模式（综合折扣率≤95%），折扣率数值越小代表实际供货结算价格越低。评审过程出现下列情形之一的，磋商小组应当启动异常低价响应审查程序： </w:t>
      </w:r>
    </w:p>
    <w:p w14:paraId="451317FC">
      <w:pPr>
        <w:widowControl/>
        <w:tabs>
          <w:tab w:val="left" w:pos="540"/>
        </w:tabs>
        <w:wordWrap w:val="0"/>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（1）供应商</w:t>
      </w:r>
      <w:bookmarkStart w:id="81" w:name="OLE_LINK21"/>
      <w:bookmarkStart w:id="82" w:name="OLE_LINK20"/>
      <w:r>
        <w:rPr>
          <w:rFonts w:hint="eastAsia" w:ascii="宋体" w:hAnsi="宋体" w:eastAsia="宋体" w:cs="宋体"/>
          <w:color w:val="auto"/>
          <w:kern w:val="0"/>
          <w:szCs w:val="21"/>
          <w:highlight w:val="none"/>
        </w:rPr>
        <w:t>报价(综合折扣率)</w:t>
      </w:r>
      <w:bookmarkEnd w:id="81"/>
      <w:bookmarkEnd w:id="82"/>
      <w:r>
        <w:rPr>
          <w:rFonts w:hint="eastAsia" w:ascii="宋体" w:hAnsi="宋体" w:eastAsia="宋体" w:cs="宋体"/>
          <w:color w:val="auto"/>
          <w:kern w:val="0"/>
          <w:szCs w:val="21"/>
          <w:highlight w:val="none"/>
        </w:rPr>
        <w:t xml:space="preserve">＜全部通过符合性审查供应商报价(综合折扣率)算术平均值 ×65%； </w:t>
      </w:r>
    </w:p>
    <w:p w14:paraId="559BAC7B">
      <w:pPr>
        <w:widowControl/>
        <w:tabs>
          <w:tab w:val="left" w:pos="540"/>
        </w:tabs>
        <w:wordWrap w:val="0"/>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（2）供应商报价(综合折扣率)＜通过符合性审查的次低报价(综合折扣率) ×65%；</w:t>
      </w:r>
    </w:p>
    <w:p w14:paraId="1E95F212">
      <w:pPr>
        <w:widowControl/>
        <w:tabs>
          <w:tab w:val="left" w:pos="540"/>
        </w:tabs>
        <w:wordWrap w:val="0"/>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（3）供应商报价(综合折扣率)＜本项目允许最高综合折扣率（95%）×65%； </w:t>
      </w:r>
    </w:p>
    <w:p w14:paraId="28306A92">
      <w:pPr>
        <w:widowControl/>
        <w:tabs>
          <w:tab w:val="left" w:pos="540"/>
        </w:tabs>
        <w:wordWrap w:val="0"/>
        <w:spacing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（4）磋商小组基于专业判断，认为供应商综合折扣率过低，有可能影响食材产品质量或者不能诚信履约的其他情形。</w:t>
      </w:r>
    </w:p>
    <w:p w14:paraId="2CCC7E4D">
      <w:pPr>
        <w:wordWrap w:val="0"/>
        <w:spacing w:line="40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 20.12.2 异常低价竞标审查流程： 磋商小组启动异常低价竞标审查程序后，应当要求相关供应商在评审现场合理的时间内提供书面说明及必要的证明材料，对磋商折扣率报价的合理性作出解释。书面说明、证明材料主要是项目具体成本测算（食材采购成本、运输、人工、仓储、检测、保险、损耗、税费等）等与报价合理性相关的说明、材料。 磋商小组应当结合桂林市本地食材市场行情、同类配送项目成本、当地薪资水平、食材损耗等情况，依据专业经验对报价合理性进行判断。如果供应商不提供书面说明、证明材料，或者提供的书面说明、证明材料不能证明其折扣率报价合理性的，磋商小组应当将其作为响应文件无效处理。以上审查相关情况应当在评审报告中记录。</w:t>
      </w:r>
    </w:p>
    <w:p w14:paraId="6C7367E6">
      <w:pPr>
        <w:tabs>
          <w:tab w:val="left" w:pos="1140"/>
        </w:tabs>
        <w:wordWrap w:val="0"/>
        <w:spacing w:line="40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21.推荐及确定成交候选供应商原则</w:t>
      </w:r>
    </w:p>
    <w:p w14:paraId="3FCBE7F3">
      <w:pPr>
        <w:tabs>
          <w:tab w:val="left" w:pos="1140"/>
        </w:tabs>
        <w:spacing w:line="380" w:lineRule="exact"/>
        <w:rPr>
          <w:rFonts w:hint="eastAsia" w:ascii="宋体" w:hAnsi="宋体" w:eastAsia="宋体" w:cs="宋体"/>
          <w:color w:val="auto"/>
          <w:kern w:val="0"/>
          <w:szCs w:val="21"/>
          <w:highlight w:val="none"/>
        </w:rPr>
      </w:pPr>
      <w:bookmarkStart w:id="83" w:name="OLE_LINK30"/>
      <w:bookmarkStart w:id="84" w:name="OLE_LINK31"/>
      <w:r>
        <w:rPr>
          <w:rFonts w:hint="eastAsia" w:ascii="宋体" w:hAnsi="宋体" w:eastAsia="宋体" w:cs="宋体"/>
          <w:color w:val="auto"/>
          <w:kern w:val="0"/>
          <w:szCs w:val="21"/>
          <w:highlight w:val="none"/>
        </w:rPr>
        <w:t xml:space="preserve"> （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服务承诺分、服务保障分、履约能力分由高到低顺序排列并推荐成交候选供应商。</w:t>
      </w:r>
    </w:p>
    <w:p w14:paraId="1B3DE815">
      <w:pPr>
        <w:tabs>
          <w:tab w:val="left" w:pos="1140"/>
        </w:tabs>
        <w:spacing w:line="38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（2）本项目确定一名成交供应商。采购单位应当确定磋商小组推荐排名第一的成交候选供应商为成交供应商。</w:t>
      </w:r>
    </w:p>
    <w:p w14:paraId="216B99A1">
      <w:pPr>
        <w:tabs>
          <w:tab w:val="left" w:pos="1140"/>
        </w:tabs>
        <w:spacing w:line="38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3）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1E4D8C55">
      <w:pPr>
        <w:tabs>
          <w:tab w:val="left" w:pos="1140"/>
        </w:tabs>
        <w:spacing w:line="38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（4）排名第二的成交候选供应商因前款规定的同样原因不能签订合同的，采购单位可以确定排名第三的成交候选人为成交供应商。以此类推。</w:t>
      </w:r>
    </w:p>
    <w:bookmarkEnd w:id="83"/>
    <w:bookmarkEnd w:id="84"/>
    <w:p w14:paraId="36AD85D7">
      <w:pPr>
        <w:tabs>
          <w:tab w:val="left" w:pos="1140"/>
        </w:tabs>
        <w:wordWrap w:val="0"/>
        <w:spacing w:line="40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22.属于下列情况之一者，响应文件无效：</w:t>
      </w:r>
    </w:p>
    <w:p w14:paraId="07195649">
      <w:pPr>
        <w:tabs>
          <w:tab w:val="left" w:pos="1140"/>
        </w:tabs>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（1）未按磋商文件规定完整提交响应文件或未按规定要求签字、盖章的，或未提供授权委托书（委托代理的）；</w:t>
      </w:r>
    </w:p>
    <w:p w14:paraId="1B0BC2DB">
      <w:pPr>
        <w:wordWrap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（2）超越了行政审批的经营范围的；</w:t>
      </w:r>
    </w:p>
    <w:p w14:paraId="6910D77F">
      <w:pPr>
        <w:wordWrap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（3）不具备磋商文件规定的资格要求的</w:t>
      </w:r>
      <w:r>
        <w:rPr>
          <w:rFonts w:hint="eastAsia" w:ascii="宋体" w:hAnsi="宋体" w:eastAsia="宋体" w:cs="宋体"/>
          <w:color w:val="auto"/>
          <w:kern w:val="0"/>
          <w:highlight w:val="none"/>
        </w:rPr>
        <w:t>；</w:t>
      </w:r>
    </w:p>
    <w:p w14:paraId="03C76314">
      <w:pPr>
        <w:wordWrap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（4）响应文件未按磋商文件的内容和要求编制，或提供虚假材料的；</w:t>
      </w:r>
    </w:p>
    <w:p w14:paraId="399748CF">
      <w:pPr>
        <w:wordWrap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（5）响应文件有效期、服务时间不能满足磋商文件要求的；</w:t>
      </w:r>
    </w:p>
    <w:p w14:paraId="70571CA2">
      <w:pPr>
        <w:wordWrap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（6）</w:t>
      </w:r>
      <w:r>
        <w:rPr>
          <w:rFonts w:hint="eastAsia" w:ascii="宋体" w:hAnsi="宋体" w:eastAsia="宋体" w:cs="宋体"/>
          <w:color w:val="auto"/>
          <w:kern w:val="0"/>
          <w:highlight w:val="none"/>
        </w:rPr>
        <w:t>供应商</w:t>
      </w:r>
      <w:r>
        <w:rPr>
          <w:rFonts w:hint="eastAsia" w:ascii="宋体" w:hAnsi="宋体" w:eastAsia="宋体" w:cs="宋体"/>
          <w:color w:val="auto"/>
          <w:kern w:val="0"/>
          <w:szCs w:val="21"/>
          <w:highlight w:val="none"/>
        </w:rPr>
        <w:t>未就“项目需求”中的</w:t>
      </w:r>
      <w:r>
        <w:rPr>
          <w:rFonts w:hint="eastAsia" w:ascii="宋体" w:hAnsi="宋体" w:eastAsia="宋体" w:cs="宋体"/>
          <w:color w:val="auto"/>
          <w:szCs w:val="21"/>
          <w:highlight w:val="none"/>
        </w:rPr>
        <w:t>所竞分标</w:t>
      </w:r>
      <w:r>
        <w:rPr>
          <w:rFonts w:hint="eastAsia" w:ascii="宋体" w:hAnsi="宋体" w:eastAsia="宋体" w:cs="宋体"/>
          <w:color w:val="auto"/>
          <w:kern w:val="0"/>
          <w:szCs w:val="21"/>
          <w:highlight w:val="none"/>
        </w:rPr>
        <w:t>所有服务内容作完整唯一报价的，</w:t>
      </w:r>
      <w:r>
        <w:rPr>
          <w:rFonts w:hint="eastAsia" w:ascii="宋体" w:hAnsi="宋体" w:eastAsia="宋体" w:cs="宋体"/>
          <w:color w:val="auto"/>
          <w:kern w:val="0"/>
          <w:szCs w:val="21"/>
          <w:highlight w:val="none"/>
        </w:rPr>
        <w:t>或报价高于</w:t>
      </w:r>
      <w:r>
        <w:rPr>
          <w:rFonts w:hint="eastAsia" w:ascii="宋体" w:hAnsi="宋体" w:eastAsia="宋体" w:cs="宋体"/>
          <w:bCs/>
          <w:color w:val="auto"/>
          <w:szCs w:val="21"/>
          <w:highlight w:val="none"/>
        </w:rPr>
        <w:t>综合折扣率控制范围</w:t>
      </w:r>
      <w:r>
        <w:rPr>
          <w:rFonts w:hint="eastAsia" w:ascii="宋体" w:hAnsi="宋体" w:eastAsia="宋体" w:cs="宋体"/>
          <w:color w:val="auto"/>
          <w:kern w:val="0"/>
          <w:szCs w:val="21"/>
          <w:highlight w:val="none"/>
        </w:rPr>
        <w:t>的</w:t>
      </w:r>
      <w:r>
        <w:rPr>
          <w:rFonts w:hint="eastAsia" w:ascii="宋体" w:hAnsi="宋体" w:eastAsia="宋体" w:cs="宋体"/>
          <w:color w:val="auto"/>
          <w:kern w:val="0"/>
          <w:highlight w:val="none"/>
        </w:rPr>
        <w:t>；</w:t>
      </w:r>
    </w:p>
    <w:p w14:paraId="3B6BEB18">
      <w:pPr>
        <w:wordWrap w:val="0"/>
        <w:snapToGrid w:val="0"/>
        <w:spacing w:line="400" w:lineRule="exac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（7）</w:t>
      </w:r>
      <w:r>
        <w:rPr>
          <w:rFonts w:hint="eastAsia" w:ascii="宋体" w:hAnsi="宋体" w:eastAsia="宋体" w:cs="宋体"/>
          <w:color w:val="auto"/>
          <w:kern w:val="0"/>
          <w:szCs w:val="21"/>
          <w:highlight w:val="none"/>
        </w:rPr>
        <w:t>未在磋商小组规定的时间内重新提交响应文件的；</w:t>
      </w:r>
    </w:p>
    <w:p w14:paraId="297121E7">
      <w:pPr>
        <w:wordWrap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（8）未满足磋商文件实质性要求的；或者响应文件有采购人不能接受的附加条件的；</w:t>
      </w:r>
    </w:p>
    <w:p w14:paraId="0BF43B3A">
      <w:pPr>
        <w:wordWrap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（9）磋商文件未作实质性变动，供应商最后报价高于首次报价的；</w:t>
      </w:r>
    </w:p>
    <w:p w14:paraId="46D9063E">
      <w:pPr>
        <w:pStyle w:val="2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（10）不符合法律、法规和磋商文件规定的其他实质性要求和条件的。</w:t>
      </w:r>
    </w:p>
    <w:p w14:paraId="41975F39">
      <w:pPr>
        <w:wordWrap w:val="0"/>
        <w:snapToGrid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供应商有下列情形之一的，视为串通参与磋商，响应文件将被视为无效：</w:t>
      </w:r>
    </w:p>
    <w:p w14:paraId="57984403">
      <w:pPr>
        <w:wordWrap w:val="0"/>
        <w:snapToGrid w:val="0"/>
        <w:spacing w:line="400" w:lineRule="exac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（1）不同供应商的响应文件由同一单位或者个人编制的；</w:t>
      </w:r>
    </w:p>
    <w:p w14:paraId="56C0A47C">
      <w:pPr>
        <w:wordWrap w:val="0"/>
        <w:snapToGrid w:val="0"/>
        <w:spacing w:line="400" w:lineRule="exac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（2）不同供应商委托同一单位或者个人办理磋商事宜的；</w:t>
      </w:r>
    </w:p>
    <w:p w14:paraId="42C517D8">
      <w:pPr>
        <w:wordWrap w:val="0"/>
        <w:snapToGrid w:val="0"/>
        <w:spacing w:line="400" w:lineRule="exac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（3）不同的供应商的响应文件载明的项目管理员为同一个人的；</w:t>
      </w:r>
    </w:p>
    <w:p w14:paraId="66FD7C5E">
      <w:pPr>
        <w:wordWrap w:val="0"/>
        <w:snapToGrid w:val="0"/>
        <w:spacing w:line="400" w:lineRule="exac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（4）不同供应商的响应文件异常一致或最后报价呈规律性差异的。</w:t>
      </w:r>
    </w:p>
    <w:p w14:paraId="38FF1D4E">
      <w:pPr>
        <w:wordWrap w:val="0"/>
        <w:snapToGrid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23.出现下列情形之一的，采购人或者采购代理机构应当终止竞争性磋商采购活动，发布项目终止公告并说明原因，重新开展采购活动：</w:t>
      </w:r>
    </w:p>
    <w:p w14:paraId="1B6A98AC">
      <w:pPr>
        <w:wordWrap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（1）因情况变化，不再符合规定的竞争性磋商采购方式适用情形的；</w:t>
      </w:r>
    </w:p>
    <w:p w14:paraId="6512F46A">
      <w:pPr>
        <w:wordWrap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（2）出现影响采购公正的违法、违规行为的；</w:t>
      </w:r>
    </w:p>
    <w:p w14:paraId="4401E9A3">
      <w:pPr>
        <w:widowControl/>
        <w:wordWrap w:val="0"/>
        <w:spacing w:line="4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（3）除本须知第20.7.2条及法律法规规定的情形外，在采购过程中符合要求的供应商或者报价未超过采购预算的供应商不足3家的。</w:t>
      </w:r>
    </w:p>
    <w:p w14:paraId="460C2D3F">
      <w:pPr>
        <w:wordWrap w:val="0"/>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24.在采购活动中因重大变故，采购任务取消的，采购人或者采购代理机构应当终止采购活动，通知所有参加采购活动的供应商，并将项目实施情况和采购任务取消原因报送本级财政部门。</w:t>
      </w:r>
    </w:p>
    <w:p w14:paraId="6AAF3475">
      <w:pPr>
        <w:wordWrap w:val="0"/>
        <w:snapToGrid w:val="0"/>
        <w:spacing w:line="400" w:lineRule="exact"/>
        <w:ind w:firstLine="422" w:firstLineChars="200"/>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25.磋商过程的监控</w:t>
      </w:r>
    </w:p>
    <w:p w14:paraId="15D473D3">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    本项目磋商过程实行全程录音、录像监控，供应商在磋商过程中所进行的试图影响磋商结果的不公正活动，可能导致其响应被拒绝。</w:t>
      </w:r>
    </w:p>
    <w:p w14:paraId="0BC55499">
      <w:pPr>
        <w:wordWrap w:val="0"/>
        <w:snapToGrid w:val="0"/>
        <w:spacing w:line="400" w:lineRule="exact"/>
        <w:ind w:firstLine="422" w:firstLineChars="200"/>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26.信用查询</w:t>
      </w:r>
    </w:p>
    <w:p w14:paraId="515FC4C7">
      <w:pPr>
        <w:wordWrap w:val="0"/>
        <w:snapToGrid w:val="0"/>
        <w:spacing w:line="400" w:lineRule="exact"/>
        <w:ind w:firstLine="420" w:firstLineChars="200"/>
        <w:rPr>
          <w:rFonts w:hint="eastAsia" w:ascii="宋体" w:hAnsi="宋体" w:eastAsia="宋体" w:cs="宋体"/>
          <w:color w:val="auto"/>
          <w:kern w:val="0"/>
          <w:szCs w:val="21"/>
          <w:highlight w:val="none"/>
        </w:rPr>
      </w:pPr>
      <w:bookmarkStart w:id="85" w:name="OLE_LINK23"/>
      <w:bookmarkStart w:id="86" w:name="OLE_LINK22"/>
      <w:r>
        <w:rPr>
          <w:rFonts w:hint="eastAsia" w:ascii="宋体" w:hAnsi="宋体" w:eastAsia="宋体" w:cs="宋体"/>
          <w:color w:val="auto"/>
          <w:kern w:val="0"/>
          <w:szCs w:val="21"/>
          <w:highlight w:val="none"/>
        </w:rPr>
        <w:t>根据《关于做好政府采购有关信用主体标识码登记及在政府采购活动中查询使用信用记录有关问题的通知》（桂财采〔2016〕37），</w:t>
      </w:r>
      <w:bookmarkEnd w:id="85"/>
      <w:bookmarkEnd w:id="86"/>
      <w:r>
        <w:rPr>
          <w:rFonts w:hint="eastAsia" w:ascii="宋体" w:hAnsi="宋体" w:eastAsia="宋体" w:cs="宋体"/>
          <w:color w:val="auto"/>
          <w:kern w:val="0"/>
          <w:szCs w:val="21"/>
          <w:highlight w:val="none"/>
        </w:rPr>
        <w:t>由采购代理机构对第一成交候选供应商进行信用查询：</w:t>
      </w:r>
    </w:p>
    <w:p w14:paraId="39A6DF4E">
      <w:pPr>
        <w:wordWrap w:val="0"/>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⑴查询渠道：“信用中国”网站(</w:t>
      </w:r>
      <w:r>
        <w:rPr>
          <w:rFonts w:hint="eastAsia" w:ascii="宋体" w:hAnsi="宋体" w:eastAsia="宋体" w:cs="宋体"/>
          <w:color w:val="auto"/>
          <w:highlight w:val="none"/>
        </w:rPr>
        <w:t>https://</w:t>
      </w:r>
      <w:r>
        <w:rPr>
          <w:rFonts w:hint="eastAsia" w:ascii="宋体" w:hAnsi="宋体" w:eastAsia="宋体" w:cs="宋体"/>
          <w:color w:val="auto"/>
          <w:kern w:val="0"/>
          <w:szCs w:val="21"/>
          <w:highlight w:val="none"/>
        </w:rPr>
        <w:t>www.creditchina.gov.cn)、中国政府采购网(</w:t>
      </w:r>
      <w:r>
        <w:rPr>
          <w:rFonts w:hint="eastAsia" w:ascii="宋体" w:hAnsi="宋体" w:eastAsia="宋体" w:cs="宋体"/>
          <w:color w:val="auto"/>
          <w:highlight w:val="none"/>
        </w:rPr>
        <w:t>https://</w:t>
      </w:r>
      <w:r>
        <w:rPr>
          <w:rFonts w:hint="eastAsia" w:ascii="宋体" w:hAnsi="宋体" w:eastAsia="宋体" w:cs="宋体"/>
          <w:color w:val="auto"/>
          <w:kern w:val="0"/>
          <w:szCs w:val="21"/>
          <w:highlight w:val="none"/>
        </w:rPr>
        <w:t>www.ccgp.gov.cn)等；</w:t>
      </w:r>
    </w:p>
    <w:p w14:paraId="277DB4CA">
      <w:pPr>
        <w:wordWrap w:val="0"/>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⑵查询截止时间：成交通知书发出前；</w:t>
      </w:r>
    </w:p>
    <w:p w14:paraId="7C35C6D6">
      <w:pPr>
        <w:wordWrap w:val="0"/>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⑶信用信息查询记录和证据留存方式：在查询网站中直接打印查询记录，打印材料作为采购活动资料保存；</w:t>
      </w:r>
    </w:p>
    <w:p w14:paraId="07075B39">
      <w:pPr>
        <w:wordWrap w:val="0"/>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⑷信用信息使用规则：对在“信用中国”网站(</w:t>
      </w:r>
      <w:r>
        <w:rPr>
          <w:rFonts w:hint="eastAsia" w:ascii="宋体" w:hAnsi="宋体" w:eastAsia="宋体" w:cs="宋体"/>
          <w:color w:val="auto"/>
          <w:highlight w:val="none"/>
        </w:rPr>
        <w:t>https://</w:t>
      </w:r>
      <w:r>
        <w:rPr>
          <w:rFonts w:hint="eastAsia" w:ascii="宋体" w:hAnsi="宋体" w:eastAsia="宋体" w:cs="宋体"/>
          <w:color w:val="auto"/>
          <w:kern w:val="0"/>
          <w:szCs w:val="21"/>
          <w:highlight w:val="none"/>
        </w:rPr>
        <w:t>www.creditchina.gov.cn)、中国政府采购网(</w:t>
      </w:r>
      <w:r>
        <w:rPr>
          <w:rFonts w:hint="eastAsia" w:ascii="宋体" w:hAnsi="宋体" w:eastAsia="宋体" w:cs="宋体"/>
          <w:color w:val="auto"/>
          <w:highlight w:val="none"/>
        </w:rPr>
        <w:t>https://</w:t>
      </w:r>
      <w:r>
        <w:rPr>
          <w:rFonts w:hint="eastAsia" w:ascii="宋体" w:hAnsi="宋体" w:eastAsia="宋体" w:cs="宋体"/>
          <w:color w:val="auto"/>
          <w:kern w:val="0"/>
          <w:szCs w:val="21"/>
          <w:highlight w:val="none"/>
        </w:rPr>
        <w:t>www.ccgp.gov.cn)等渠道列入失信被执行人、</w:t>
      </w:r>
      <w:r>
        <w:rPr>
          <w:rFonts w:hint="eastAsia" w:ascii="宋体" w:hAnsi="宋体" w:eastAsia="宋体" w:cs="宋体"/>
          <w:color w:val="auto"/>
          <w:highlight w:val="none"/>
        </w:rPr>
        <w:t>重大税收违法失信主体</w:t>
      </w:r>
      <w:r>
        <w:rPr>
          <w:rFonts w:hint="eastAsia" w:ascii="宋体" w:hAnsi="宋体" w:eastAsia="宋体" w:cs="宋体"/>
          <w:color w:val="auto"/>
          <w:kern w:val="0"/>
          <w:szCs w:val="21"/>
          <w:highlight w:val="none"/>
        </w:rPr>
        <w:t>、政府采购严重违法失信行为记录名单及其他不符合《中华人民共和国政府采购法》第二十二条规定条件的供应商，取消其成交候选供应商资格。</w:t>
      </w:r>
    </w:p>
    <w:p w14:paraId="6E692CB8">
      <w:pPr>
        <w:wordWrap w:val="0"/>
        <w:spacing w:line="380" w:lineRule="exact"/>
        <w:ind w:firstLine="422" w:firstLineChars="200"/>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27.成交公告及成交通知书</w:t>
      </w:r>
    </w:p>
    <w:p w14:paraId="29D9CC9F">
      <w:pPr>
        <w:wordWrap w:val="0"/>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27.1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116DC63D">
      <w:pPr>
        <w:wordWrap w:val="0"/>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27.2中小企业在政府采购活动过程中，请根据自己的真实情况出具《中小企业声明函》。采购人或采购代理机构在公告成交结果时，同时公告其《中小企业声明函》，接受社会监督。</w:t>
      </w:r>
    </w:p>
    <w:p w14:paraId="0DC166DF">
      <w:pPr>
        <w:wordWrap w:val="0"/>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27.3在发布成交公告的同时，采购代理机构向成交供应商发出成交通知书。成交供应商应自接到通知之日起七个工作日内，办理成交通知书领取手续。</w:t>
      </w:r>
    </w:p>
    <w:p w14:paraId="0A9F769B">
      <w:pPr>
        <w:wordWrap w:val="0"/>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27.4采购代理机构无义务向未成交的供应商解释未成交原因和退还响应文件。</w:t>
      </w:r>
    </w:p>
    <w:p w14:paraId="02F12BC6">
      <w:pPr>
        <w:pStyle w:val="20"/>
        <w:rPr>
          <w:rFonts w:hint="eastAsia" w:ascii="宋体" w:hAnsi="宋体" w:eastAsia="宋体" w:cs="宋体"/>
          <w:color w:val="auto"/>
          <w:highlight w:val="none"/>
        </w:rPr>
      </w:pPr>
    </w:p>
    <w:p w14:paraId="2836B12E">
      <w:pPr>
        <w:tabs>
          <w:tab w:val="left" w:pos="1305"/>
        </w:tabs>
        <w:wordWrap w:val="0"/>
        <w:spacing w:line="380" w:lineRule="exact"/>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 xml:space="preserve">                           五、签订合同</w:t>
      </w:r>
    </w:p>
    <w:p w14:paraId="16342A9F">
      <w:pPr>
        <w:wordWrap w:val="0"/>
        <w:spacing w:line="380" w:lineRule="exact"/>
        <w:ind w:firstLine="422" w:firstLineChars="200"/>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28</w:t>
      </w:r>
      <w:r>
        <w:rPr>
          <w:rFonts w:hint="eastAsia" w:ascii="宋体" w:hAnsi="宋体" w:eastAsia="宋体" w:cs="宋体"/>
          <w:b/>
          <w:color w:val="auto"/>
          <w:kern w:val="0"/>
          <w:szCs w:val="21"/>
          <w:highlight w:val="none"/>
        </w:rPr>
        <w:t>.</w:t>
      </w:r>
      <w:r>
        <w:rPr>
          <w:rFonts w:hint="eastAsia" w:ascii="宋体" w:hAnsi="宋体" w:eastAsia="宋体" w:cs="宋体"/>
          <w:b/>
          <w:color w:val="auto"/>
          <w:kern w:val="0"/>
          <w:highlight w:val="none"/>
        </w:rPr>
        <w:t>履约保证金</w:t>
      </w:r>
    </w:p>
    <w:p w14:paraId="4EA12FC7">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本项目不收取履约保证金。</w:t>
      </w:r>
    </w:p>
    <w:p w14:paraId="3C4F75C8">
      <w:pPr>
        <w:tabs>
          <w:tab w:val="left" w:pos="1140"/>
        </w:tabs>
        <w:wordWrap w:val="0"/>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29.签订合同</w:t>
      </w:r>
    </w:p>
    <w:p w14:paraId="0449D65F">
      <w:pPr>
        <w:wordWrap w:val="0"/>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highlight w:val="none"/>
        </w:rPr>
        <w:t>29.1</w:t>
      </w:r>
      <w:r>
        <w:rPr>
          <w:rFonts w:hint="eastAsia" w:ascii="宋体" w:hAnsi="宋体" w:eastAsia="宋体" w:cs="宋体"/>
          <w:color w:val="auto"/>
          <w:kern w:val="0"/>
          <w:szCs w:val="21"/>
          <w:highlight w:val="none"/>
        </w:rPr>
        <w:t>签订合同时间：成交通知书发出之日起8个工作日内。成交供应商领取成交通知书后，应按规定与采购人签订合同。</w:t>
      </w:r>
    </w:p>
    <w:p w14:paraId="416A86ED">
      <w:pPr>
        <w:wordWrap w:val="0"/>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29.2如成交供应商有下列情形之一，情节严重的，由财政部门将其列入不良行为记录名单，在一至三年内禁止参加政府采购活动，并予以通报。采购代理机构可从磋商小组推荐的成交候选供应商中按顺序重新确定成交供应商或重新组织采购。拒绝签订政府采购合同的成交供应商不得参加对该项目重新开展的采购活动。</w:t>
      </w:r>
    </w:p>
    <w:p w14:paraId="2C346254">
      <w:pPr>
        <w:wordWrap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（1）成交后不与采购人签订合同的（不可抗力除外）；</w:t>
      </w:r>
    </w:p>
    <w:p w14:paraId="76F95FAE">
      <w:pPr>
        <w:wordWrap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（2）将成交项目转让给他人，或者在响应文件中未说明，且未经采购人同意，将成交项目分包给他人的；</w:t>
      </w:r>
    </w:p>
    <w:p w14:paraId="13895AE6">
      <w:pPr>
        <w:wordWrap w:val="0"/>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（3）拒绝履行合同义务的。</w:t>
      </w:r>
    </w:p>
    <w:p w14:paraId="51A505CD">
      <w:pPr>
        <w:wordWrap w:val="0"/>
        <w:snapToGrid w:val="0"/>
        <w:spacing w:line="400" w:lineRule="exact"/>
        <w:ind w:firstLine="420" w:firstLineChars="200"/>
        <w:outlineLvl w:val="4"/>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29.3政府采购合同公告：</w:t>
      </w:r>
      <w:r>
        <w:rPr>
          <w:rFonts w:hint="eastAsia" w:ascii="宋体" w:hAnsi="宋体" w:eastAsia="宋体" w:cs="宋体"/>
          <w:color w:val="auto"/>
          <w:szCs w:val="21"/>
          <w:highlight w:val="none"/>
        </w:rPr>
        <w:t>采购人应当自政府采购合同签订之日起2个工作日内，将政府采购合同在省级以上人民政府财政部门指定的媒体上公告，但政府采购合同中涉及国家秘密、商业秘密的内容除外</w:t>
      </w:r>
      <w:r>
        <w:rPr>
          <w:rFonts w:hint="eastAsia" w:ascii="宋体" w:hAnsi="宋体" w:eastAsia="宋体" w:cs="宋体"/>
          <w:color w:val="auto"/>
          <w:kern w:val="0"/>
          <w:szCs w:val="21"/>
          <w:highlight w:val="none"/>
        </w:rPr>
        <w:t>。</w:t>
      </w:r>
    </w:p>
    <w:p w14:paraId="11DB6C24">
      <w:pPr>
        <w:tabs>
          <w:tab w:val="left" w:pos="1305"/>
        </w:tabs>
        <w:wordWrap w:val="0"/>
        <w:spacing w:beforeLines="50" w:afterLines="50" w:line="380" w:lineRule="exact"/>
        <w:jc w:val="left"/>
        <w:rPr>
          <w:rFonts w:hint="eastAsia" w:ascii="宋体" w:hAnsi="宋体" w:eastAsia="宋体" w:cs="宋体"/>
          <w:b/>
          <w:color w:val="auto"/>
          <w:sz w:val="28"/>
          <w:szCs w:val="28"/>
          <w:highlight w:val="none"/>
        </w:rPr>
      </w:pPr>
    </w:p>
    <w:p w14:paraId="669E52B8">
      <w:pPr>
        <w:tabs>
          <w:tab w:val="left" w:pos="1305"/>
        </w:tabs>
        <w:wordWrap w:val="0"/>
        <w:spacing w:beforeLines="50" w:afterLines="50" w:line="380" w:lineRule="exact"/>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六、其他事项</w:t>
      </w:r>
    </w:p>
    <w:p w14:paraId="69600645">
      <w:pPr>
        <w:wordWrap w:val="0"/>
        <w:spacing w:line="380" w:lineRule="exact"/>
        <w:ind w:firstLine="422" w:firstLineChars="200"/>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30</w:t>
      </w:r>
      <w:r>
        <w:rPr>
          <w:rFonts w:hint="eastAsia" w:ascii="宋体" w:hAnsi="宋体" w:eastAsia="宋体" w:cs="宋体"/>
          <w:b/>
          <w:color w:val="auto"/>
          <w:kern w:val="0"/>
          <w:szCs w:val="21"/>
          <w:highlight w:val="none"/>
        </w:rPr>
        <w:t>.采购</w:t>
      </w:r>
      <w:r>
        <w:rPr>
          <w:rFonts w:hint="eastAsia" w:ascii="宋体" w:hAnsi="宋体" w:eastAsia="宋体" w:cs="宋体"/>
          <w:b/>
          <w:color w:val="auto"/>
          <w:kern w:val="0"/>
          <w:highlight w:val="none"/>
        </w:rPr>
        <w:t>代理服务费</w:t>
      </w:r>
    </w:p>
    <w:p w14:paraId="3150C0CA">
      <w:pPr>
        <w:wordWrap w:val="0"/>
        <w:snapToGrid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30.1本项目代理服务费按本须知第30.2条“代理服务收费标准”中服务类收费标准的90%计算，由成交供应商在领取成交通知书前，向采购代理机构一次性支付。</w:t>
      </w:r>
    </w:p>
    <w:p w14:paraId="6CA937D5">
      <w:pPr>
        <w:wordWrap w:val="0"/>
        <w:spacing w:line="36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30.2代理服务收费标准：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8"/>
        <w:gridCol w:w="2073"/>
        <w:gridCol w:w="2073"/>
        <w:gridCol w:w="2074"/>
      </w:tblGrid>
      <w:tr w14:paraId="4EF0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2918" w:type="dxa"/>
            <w:vAlign w:val="center"/>
          </w:tcPr>
          <w:p w14:paraId="527E39B4">
            <w:pPr>
              <w:pStyle w:val="20"/>
              <w:rPr>
                <w:rFonts w:hint="eastAsia" w:ascii="宋体" w:hAnsi="宋体" w:eastAsia="宋体" w:cs="宋体"/>
                <w:color w:val="auto"/>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296545</wp:posOffset>
                      </wp:positionH>
                      <wp:positionV relativeFrom="paragraph">
                        <wp:posOffset>10795</wp:posOffset>
                      </wp:positionV>
                      <wp:extent cx="1487805" cy="586740"/>
                      <wp:effectExtent l="1905" t="4445" r="15240" b="18415"/>
                      <wp:wrapNone/>
                      <wp:docPr id="2" name="直线 105"/>
                      <wp:cNvGraphicFramePr/>
                      <a:graphic xmlns:a="http://schemas.openxmlformats.org/drawingml/2006/main">
                        <a:graphicData uri="http://schemas.microsoft.com/office/word/2010/wordprocessingShape">
                          <wps:wsp>
                            <wps:cNvCnPr/>
                            <wps:spPr>
                              <a:xfrm>
                                <a:off x="0" y="0"/>
                                <a:ext cx="1487805" cy="5867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05" o:spid="_x0000_s1026" o:spt="20" style="position:absolute;left:0pt;margin-left:23.35pt;margin-top:0.85pt;height:46.2pt;width:117.15pt;z-index:251661312;mso-width-relative:page;mso-height-relative:page;" filled="f" stroked="t" coordsize="21600,21600" o:gfxdata="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18&#10;mgrWAAAABwEAAA8AAAAAAAAAAQAgAAAAIgAAAGRycy9kb3ducmV2LnhtbFBLAQIUABQAAAAIAIdO&#10;4kAkBnRn7AEAAOQDAAAOAAAAAAAAAAEAIAAAACUBAABkcnMvZTJvRG9jLnhtbFBLBQYAAAAABgAG&#10;AFkBAACDBQAAAAA=&#10;">
                      <v:fill on="f" focussize="0,0"/>
                      <v:stroke color="#000000" joinstyle="round"/>
                      <v:imagedata o:title=""/>
                      <o:lock v:ext="edit" aspectratio="f"/>
                    </v:line>
                  </w:pict>
                </mc:Fallback>
              </mc:AlternateContent>
            </w:r>
            <w:r>
              <w:rPr>
                <w:rFonts w:hint="eastAsia" w:ascii="宋体" w:hAnsi="宋体" w:eastAsia="宋体" w:cs="宋体"/>
                <w:color w:val="auto"/>
                <w:highlight w:val="none"/>
              </w:rPr>
              <w:t>费率           服务类型</w:t>
            </w:r>
          </w:p>
          <w:p w14:paraId="0BEB0CEE">
            <w:pPr>
              <w:pStyle w:val="20"/>
              <w:rPr>
                <w:rFonts w:hint="eastAsia" w:ascii="宋体" w:hAnsi="宋体" w:eastAsia="宋体" w:cs="宋体"/>
                <w:color w:val="auto"/>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-50165</wp:posOffset>
                      </wp:positionH>
                      <wp:positionV relativeFrom="paragraph">
                        <wp:posOffset>6985</wp:posOffset>
                      </wp:positionV>
                      <wp:extent cx="1828800" cy="396240"/>
                      <wp:effectExtent l="1270" t="4445" r="17780" b="18415"/>
                      <wp:wrapNone/>
                      <wp:docPr id="3" name="直线 106"/>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06" o:spid="_x0000_s1026" o:spt="20" style="position:absolute;left:0pt;margin-left:-3.95pt;margin-top:0.55pt;height:31.2pt;width:144pt;z-index:251662336;mso-width-relative:page;mso-height-relative:page;" filled="f" stroked="t" coordsize="21600,21600" o:gfxdata="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F&#10;JttY1gAAAAcBAAAPAAAAAAAAAAEAIAAAACIAAABkcnMvZG93bnJldi54bWxQSwECFAAUAAAACACH&#10;TuJA7mCHPe0BAADkAwAADgAAAAAAAAABACAAAAAlAQAAZHJzL2Uyb0RvYy54bWxQSwUGAAAAAAYA&#10;BgBZAQAAhAUAAAAA&#10;">
                      <v:fill on="f" focussize="0,0"/>
                      <v:stroke color="#000000" joinstyle="round"/>
                      <v:imagedata o:title=""/>
                      <o:lock v:ext="edit" aspectratio="f"/>
                    </v:line>
                  </w:pict>
                </mc:Fallback>
              </mc:AlternateContent>
            </w:r>
          </w:p>
          <w:p w14:paraId="6B38AD20">
            <w:pPr>
              <w:pStyle w:val="20"/>
              <w:rPr>
                <w:rFonts w:hint="eastAsia" w:ascii="宋体" w:hAnsi="宋体" w:eastAsia="宋体" w:cs="宋体"/>
                <w:color w:val="auto"/>
                <w:highlight w:val="none"/>
              </w:rPr>
            </w:pPr>
            <w:r>
              <w:rPr>
                <w:rFonts w:hint="eastAsia" w:ascii="宋体" w:hAnsi="宋体" w:eastAsia="宋体" w:cs="宋体"/>
                <w:color w:val="auto"/>
                <w:highlight w:val="none"/>
              </w:rPr>
              <w:t>成交金额</w:t>
            </w:r>
          </w:p>
        </w:tc>
        <w:tc>
          <w:tcPr>
            <w:tcW w:w="2073" w:type="dxa"/>
            <w:vAlign w:val="center"/>
          </w:tcPr>
          <w:p w14:paraId="6F57A67E">
            <w:pPr>
              <w:pStyle w:val="20"/>
              <w:rPr>
                <w:rFonts w:hint="eastAsia" w:ascii="宋体" w:hAnsi="宋体" w:eastAsia="宋体" w:cs="宋体"/>
                <w:color w:val="auto"/>
                <w:highlight w:val="none"/>
              </w:rPr>
            </w:pPr>
            <w:r>
              <w:rPr>
                <w:rFonts w:hint="eastAsia" w:ascii="宋体" w:hAnsi="宋体" w:eastAsia="宋体" w:cs="宋体"/>
                <w:color w:val="auto"/>
                <w:highlight w:val="none"/>
              </w:rPr>
              <w:t>货物采购</w:t>
            </w:r>
          </w:p>
        </w:tc>
        <w:tc>
          <w:tcPr>
            <w:tcW w:w="2073" w:type="dxa"/>
            <w:vAlign w:val="center"/>
          </w:tcPr>
          <w:p w14:paraId="5D256DE6">
            <w:pPr>
              <w:pStyle w:val="20"/>
              <w:rPr>
                <w:rFonts w:hint="eastAsia" w:ascii="宋体" w:hAnsi="宋体" w:eastAsia="宋体" w:cs="宋体"/>
                <w:color w:val="auto"/>
                <w:highlight w:val="none"/>
              </w:rPr>
            </w:pPr>
            <w:r>
              <w:rPr>
                <w:rFonts w:hint="eastAsia" w:ascii="宋体" w:hAnsi="宋体" w:eastAsia="宋体" w:cs="宋体"/>
                <w:color w:val="auto"/>
                <w:highlight w:val="none"/>
              </w:rPr>
              <w:t>服务采购</w:t>
            </w:r>
          </w:p>
        </w:tc>
        <w:tc>
          <w:tcPr>
            <w:tcW w:w="2074" w:type="dxa"/>
            <w:vAlign w:val="center"/>
          </w:tcPr>
          <w:p w14:paraId="0FE8CE13">
            <w:pPr>
              <w:pStyle w:val="20"/>
              <w:rPr>
                <w:rFonts w:hint="eastAsia" w:ascii="宋体" w:hAnsi="宋体" w:eastAsia="宋体" w:cs="宋体"/>
                <w:color w:val="auto"/>
                <w:highlight w:val="none"/>
              </w:rPr>
            </w:pPr>
            <w:r>
              <w:rPr>
                <w:rFonts w:hint="eastAsia" w:ascii="宋体" w:hAnsi="宋体" w:eastAsia="宋体" w:cs="宋体"/>
                <w:color w:val="auto"/>
                <w:highlight w:val="none"/>
              </w:rPr>
              <w:t>工程采购</w:t>
            </w:r>
          </w:p>
        </w:tc>
      </w:tr>
      <w:tr w14:paraId="5510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918" w:type="dxa"/>
            <w:vAlign w:val="center"/>
          </w:tcPr>
          <w:p w14:paraId="0902DD33">
            <w:pPr>
              <w:pStyle w:val="20"/>
              <w:rPr>
                <w:rFonts w:hint="eastAsia" w:ascii="宋体" w:hAnsi="宋体" w:eastAsia="宋体" w:cs="宋体"/>
                <w:color w:val="auto"/>
                <w:highlight w:val="none"/>
              </w:rPr>
            </w:pPr>
            <w:r>
              <w:rPr>
                <w:rFonts w:hint="eastAsia" w:ascii="宋体" w:hAnsi="宋体" w:eastAsia="宋体" w:cs="宋体"/>
                <w:color w:val="auto"/>
                <w:highlight w:val="none"/>
              </w:rPr>
              <w:t>100万元以下</w:t>
            </w:r>
          </w:p>
        </w:tc>
        <w:tc>
          <w:tcPr>
            <w:tcW w:w="2073" w:type="dxa"/>
            <w:vAlign w:val="center"/>
          </w:tcPr>
          <w:p w14:paraId="72CBF85C">
            <w:pPr>
              <w:pStyle w:val="20"/>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2073" w:type="dxa"/>
            <w:vAlign w:val="center"/>
          </w:tcPr>
          <w:p w14:paraId="07F7DD73">
            <w:pPr>
              <w:pStyle w:val="20"/>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2074" w:type="dxa"/>
            <w:vAlign w:val="center"/>
          </w:tcPr>
          <w:p w14:paraId="3E8B1A91">
            <w:pPr>
              <w:pStyle w:val="20"/>
              <w:rPr>
                <w:rFonts w:hint="eastAsia" w:ascii="宋体" w:hAnsi="宋体" w:eastAsia="宋体" w:cs="宋体"/>
                <w:color w:val="auto"/>
                <w:highlight w:val="none"/>
              </w:rPr>
            </w:pPr>
            <w:r>
              <w:rPr>
                <w:rFonts w:hint="eastAsia" w:ascii="宋体" w:hAnsi="宋体" w:eastAsia="宋体" w:cs="宋体"/>
                <w:color w:val="auto"/>
                <w:highlight w:val="none"/>
              </w:rPr>
              <w:t>1.0%</w:t>
            </w:r>
          </w:p>
        </w:tc>
      </w:tr>
      <w:tr w14:paraId="6D60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918" w:type="dxa"/>
            <w:vAlign w:val="center"/>
          </w:tcPr>
          <w:p w14:paraId="1BE17CE0">
            <w:pPr>
              <w:pStyle w:val="20"/>
              <w:rPr>
                <w:rFonts w:hint="eastAsia" w:ascii="宋体" w:hAnsi="宋体" w:eastAsia="宋体" w:cs="宋体"/>
                <w:color w:val="auto"/>
                <w:highlight w:val="none"/>
              </w:rPr>
            </w:pPr>
            <w:r>
              <w:rPr>
                <w:rFonts w:hint="eastAsia" w:ascii="宋体" w:hAnsi="宋体" w:eastAsia="宋体" w:cs="宋体"/>
                <w:color w:val="auto"/>
                <w:highlight w:val="none"/>
              </w:rPr>
              <w:t>100～500万元</w:t>
            </w:r>
          </w:p>
        </w:tc>
        <w:tc>
          <w:tcPr>
            <w:tcW w:w="2073" w:type="dxa"/>
            <w:vAlign w:val="center"/>
          </w:tcPr>
          <w:p w14:paraId="23B65B91">
            <w:pPr>
              <w:pStyle w:val="20"/>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2073" w:type="dxa"/>
            <w:vAlign w:val="center"/>
          </w:tcPr>
          <w:p w14:paraId="651E815E">
            <w:pPr>
              <w:pStyle w:val="20"/>
              <w:rPr>
                <w:rFonts w:hint="eastAsia" w:ascii="宋体" w:hAnsi="宋体" w:eastAsia="宋体" w:cs="宋体"/>
                <w:color w:val="auto"/>
                <w:highlight w:val="none"/>
              </w:rPr>
            </w:pPr>
            <w:r>
              <w:rPr>
                <w:rFonts w:hint="eastAsia" w:ascii="宋体" w:hAnsi="宋体" w:eastAsia="宋体" w:cs="宋体"/>
                <w:color w:val="auto"/>
                <w:highlight w:val="none"/>
              </w:rPr>
              <w:t>0.8%</w:t>
            </w:r>
          </w:p>
        </w:tc>
        <w:tc>
          <w:tcPr>
            <w:tcW w:w="2074" w:type="dxa"/>
            <w:vAlign w:val="center"/>
          </w:tcPr>
          <w:p w14:paraId="060EDA93">
            <w:pPr>
              <w:pStyle w:val="20"/>
              <w:rPr>
                <w:rFonts w:hint="eastAsia" w:ascii="宋体" w:hAnsi="宋体" w:eastAsia="宋体" w:cs="宋体"/>
                <w:color w:val="auto"/>
                <w:highlight w:val="none"/>
              </w:rPr>
            </w:pPr>
            <w:r>
              <w:rPr>
                <w:rFonts w:hint="eastAsia" w:ascii="宋体" w:hAnsi="宋体" w:eastAsia="宋体" w:cs="宋体"/>
                <w:color w:val="auto"/>
                <w:highlight w:val="none"/>
              </w:rPr>
              <w:t>0.7%</w:t>
            </w:r>
          </w:p>
        </w:tc>
      </w:tr>
      <w:tr w14:paraId="0724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918" w:type="dxa"/>
            <w:vAlign w:val="center"/>
          </w:tcPr>
          <w:p w14:paraId="23BDC087">
            <w:pPr>
              <w:pStyle w:val="20"/>
              <w:rPr>
                <w:rFonts w:hint="eastAsia" w:ascii="宋体" w:hAnsi="宋体" w:eastAsia="宋体" w:cs="宋体"/>
                <w:color w:val="auto"/>
                <w:highlight w:val="none"/>
              </w:rPr>
            </w:pPr>
            <w:r>
              <w:rPr>
                <w:rFonts w:hint="eastAsia" w:ascii="宋体" w:hAnsi="宋体" w:eastAsia="宋体" w:cs="宋体"/>
                <w:color w:val="auto"/>
                <w:highlight w:val="none"/>
              </w:rPr>
              <w:t>500～1000万元</w:t>
            </w:r>
          </w:p>
        </w:tc>
        <w:tc>
          <w:tcPr>
            <w:tcW w:w="2073" w:type="dxa"/>
            <w:vAlign w:val="center"/>
          </w:tcPr>
          <w:p w14:paraId="01B9E766">
            <w:pPr>
              <w:pStyle w:val="20"/>
              <w:rPr>
                <w:rFonts w:hint="eastAsia" w:ascii="宋体" w:hAnsi="宋体" w:eastAsia="宋体" w:cs="宋体"/>
                <w:color w:val="auto"/>
                <w:highlight w:val="none"/>
              </w:rPr>
            </w:pPr>
            <w:r>
              <w:rPr>
                <w:rFonts w:hint="eastAsia" w:ascii="宋体" w:hAnsi="宋体" w:eastAsia="宋体" w:cs="宋体"/>
                <w:color w:val="auto"/>
                <w:highlight w:val="none"/>
              </w:rPr>
              <w:t>0.8%</w:t>
            </w:r>
          </w:p>
        </w:tc>
        <w:tc>
          <w:tcPr>
            <w:tcW w:w="2073" w:type="dxa"/>
            <w:vAlign w:val="center"/>
          </w:tcPr>
          <w:p w14:paraId="4811E526">
            <w:pPr>
              <w:pStyle w:val="20"/>
              <w:rPr>
                <w:rFonts w:hint="eastAsia" w:ascii="宋体" w:hAnsi="宋体" w:eastAsia="宋体" w:cs="宋体"/>
                <w:color w:val="auto"/>
                <w:highlight w:val="none"/>
              </w:rPr>
            </w:pPr>
            <w:r>
              <w:rPr>
                <w:rFonts w:hint="eastAsia" w:ascii="宋体" w:hAnsi="宋体" w:eastAsia="宋体" w:cs="宋体"/>
                <w:color w:val="auto"/>
                <w:highlight w:val="none"/>
              </w:rPr>
              <w:t>0.45%</w:t>
            </w:r>
          </w:p>
        </w:tc>
        <w:tc>
          <w:tcPr>
            <w:tcW w:w="2074" w:type="dxa"/>
            <w:vAlign w:val="center"/>
          </w:tcPr>
          <w:p w14:paraId="73A33AAF">
            <w:pPr>
              <w:pStyle w:val="20"/>
              <w:rPr>
                <w:rFonts w:hint="eastAsia" w:ascii="宋体" w:hAnsi="宋体" w:eastAsia="宋体" w:cs="宋体"/>
                <w:color w:val="auto"/>
                <w:highlight w:val="none"/>
              </w:rPr>
            </w:pPr>
            <w:r>
              <w:rPr>
                <w:rFonts w:hint="eastAsia" w:ascii="宋体" w:hAnsi="宋体" w:eastAsia="宋体" w:cs="宋体"/>
                <w:color w:val="auto"/>
                <w:highlight w:val="none"/>
              </w:rPr>
              <w:t>0.55%</w:t>
            </w:r>
          </w:p>
        </w:tc>
      </w:tr>
      <w:tr w14:paraId="10E92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18" w:type="dxa"/>
            <w:vAlign w:val="center"/>
          </w:tcPr>
          <w:p w14:paraId="7C83D2F0">
            <w:pPr>
              <w:pStyle w:val="20"/>
              <w:rPr>
                <w:rFonts w:hint="eastAsia" w:ascii="宋体" w:hAnsi="宋体" w:eastAsia="宋体" w:cs="宋体"/>
                <w:color w:val="auto"/>
                <w:highlight w:val="none"/>
              </w:rPr>
            </w:pPr>
            <w:r>
              <w:rPr>
                <w:rFonts w:hint="eastAsia" w:ascii="宋体" w:hAnsi="宋体" w:eastAsia="宋体" w:cs="宋体"/>
                <w:color w:val="auto"/>
                <w:highlight w:val="none"/>
              </w:rPr>
              <w:t>1000～5000万元</w:t>
            </w:r>
          </w:p>
        </w:tc>
        <w:tc>
          <w:tcPr>
            <w:tcW w:w="2073" w:type="dxa"/>
            <w:vAlign w:val="center"/>
          </w:tcPr>
          <w:p w14:paraId="34176ACB">
            <w:pPr>
              <w:pStyle w:val="20"/>
              <w:rPr>
                <w:rFonts w:hint="eastAsia" w:ascii="宋体" w:hAnsi="宋体" w:eastAsia="宋体" w:cs="宋体"/>
                <w:color w:val="auto"/>
                <w:highlight w:val="none"/>
              </w:rPr>
            </w:pPr>
            <w:r>
              <w:rPr>
                <w:rFonts w:hint="eastAsia" w:ascii="宋体" w:hAnsi="宋体" w:eastAsia="宋体" w:cs="宋体"/>
                <w:color w:val="auto"/>
                <w:highlight w:val="none"/>
              </w:rPr>
              <w:t>0.5%</w:t>
            </w:r>
          </w:p>
        </w:tc>
        <w:tc>
          <w:tcPr>
            <w:tcW w:w="2073" w:type="dxa"/>
            <w:vAlign w:val="center"/>
          </w:tcPr>
          <w:p w14:paraId="73A01C37">
            <w:pPr>
              <w:pStyle w:val="20"/>
              <w:rPr>
                <w:rFonts w:hint="eastAsia" w:ascii="宋体" w:hAnsi="宋体" w:eastAsia="宋体" w:cs="宋体"/>
                <w:color w:val="auto"/>
                <w:highlight w:val="none"/>
              </w:rPr>
            </w:pPr>
            <w:r>
              <w:rPr>
                <w:rFonts w:hint="eastAsia" w:ascii="宋体" w:hAnsi="宋体" w:eastAsia="宋体" w:cs="宋体"/>
                <w:color w:val="auto"/>
                <w:highlight w:val="none"/>
              </w:rPr>
              <w:t>0.25%</w:t>
            </w:r>
          </w:p>
        </w:tc>
        <w:tc>
          <w:tcPr>
            <w:tcW w:w="2074" w:type="dxa"/>
            <w:vAlign w:val="center"/>
          </w:tcPr>
          <w:p w14:paraId="4604DD94">
            <w:pPr>
              <w:pStyle w:val="20"/>
              <w:rPr>
                <w:rFonts w:hint="eastAsia" w:ascii="宋体" w:hAnsi="宋体" w:eastAsia="宋体" w:cs="宋体"/>
                <w:color w:val="auto"/>
                <w:highlight w:val="none"/>
              </w:rPr>
            </w:pPr>
            <w:r>
              <w:rPr>
                <w:rFonts w:hint="eastAsia" w:ascii="宋体" w:hAnsi="宋体" w:eastAsia="宋体" w:cs="宋体"/>
                <w:color w:val="auto"/>
                <w:highlight w:val="none"/>
              </w:rPr>
              <w:t>0.35%</w:t>
            </w:r>
          </w:p>
        </w:tc>
      </w:tr>
    </w:tbl>
    <w:p w14:paraId="7B240B18">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    注：代理服务收费按差额定率累进法计算。</w:t>
      </w:r>
    </w:p>
    <w:p w14:paraId="0FD70B44">
      <w:pPr>
        <w:wordWrap w:val="0"/>
        <w:spacing w:line="400" w:lineRule="exact"/>
        <w:ind w:firstLine="422" w:firstLineChars="200"/>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31.采购代理机构银行账户（用于缴纳采购代理服务费）：</w:t>
      </w:r>
    </w:p>
    <w:p w14:paraId="747A4074">
      <w:pPr>
        <w:wordWrap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开户名称：广西华诚达建设项目管理有限公司桂林分公司</w:t>
      </w:r>
    </w:p>
    <w:p w14:paraId="508C2AF4">
      <w:pPr>
        <w:wordWrap w:val="0"/>
        <w:spacing w:line="400" w:lineRule="exact"/>
        <w:ind w:firstLine="420" w:firstLineChars="200"/>
        <w:rPr>
          <w:rFonts w:hint="eastAsia" w:ascii="宋体" w:hAnsi="宋体" w:eastAsia="宋体" w:cs="宋体"/>
          <w:color w:val="auto"/>
          <w:kern w:val="0"/>
          <w:szCs w:val="20"/>
          <w:highlight w:val="none"/>
        </w:rPr>
      </w:pPr>
      <w:r>
        <w:rPr>
          <w:rFonts w:hint="eastAsia" w:ascii="宋体" w:hAnsi="宋体" w:eastAsia="宋体" w:cs="宋体"/>
          <w:color w:val="auto"/>
          <w:szCs w:val="22"/>
          <w:highlight w:val="none"/>
        </w:rPr>
        <w:t>开户银行：桂林银行七星科技支行</w:t>
      </w:r>
    </w:p>
    <w:p w14:paraId="19F342FD">
      <w:pPr>
        <w:wordWrap w:val="0"/>
        <w:spacing w:line="400" w:lineRule="exact"/>
        <w:ind w:firstLine="420" w:firstLineChars="200"/>
        <w:rPr>
          <w:rFonts w:hint="eastAsia" w:ascii="宋体" w:hAnsi="宋体" w:eastAsia="宋体" w:cs="宋体"/>
          <w:color w:val="auto"/>
          <w:kern w:val="0"/>
          <w:szCs w:val="20"/>
          <w:highlight w:val="none"/>
        </w:rPr>
      </w:pPr>
      <w:r>
        <w:rPr>
          <w:rFonts w:hint="eastAsia" w:ascii="宋体" w:hAnsi="宋体" w:eastAsia="宋体" w:cs="宋体"/>
          <w:color w:val="auto"/>
          <w:highlight w:val="none"/>
        </w:rPr>
        <w:t>银行账号：</w:t>
      </w:r>
      <w:r>
        <w:rPr>
          <w:rFonts w:hint="eastAsia" w:ascii="宋体" w:hAnsi="宋体" w:eastAsia="宋体" w:cs="宋体"/>
          <w:color w:val="auto"/>
          <w:highlight w:val="none"/>
        </w:rPr>
        <w:t>660011049661800010</w:t>
      </w:r>
    </w:p>
    <w:p w14:paraId="2F709148">
      <w:pPr>
        <w:wordWrap w:val="0"/>
        <w:spacing w:line="400" w:lineRule="exact"/>
        <w:ind w:firstLine="422" w:firstLineChars="200"/>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32.广西线上“政采贷”政策详见附表3。</w:t>
      </w:r>
    </w:p>
    <w:p w14:paraId="6F90CB8E">
      <w:pPr>
        <w:wordWrap w:val="0"/>
        <w:spacing w:line="400" w:lineRule="exact"/>
        <w:ind w:firstLine="422" w:firstLineChars="200"/>
        <w:rPr>
          <w:rFonts w:hint="eastAsia" w:ascii="宋体" w:hAnsi="宋体" w:eastAsia="宋体" w:cs="宋体"/>
          <w:color w:val="auto"/>
          <w:kern w:val="0"/>
          <w:szCs w:val="21"/>
          <w:highlight w:val="none"/>
        </w:rPr>
      </w:pPr>
      <w:r>
        <w:rPr>
          <w:rFonts w:hint="eastAsia" w:ascii="宋体" w:hAnsi="宋体" w:eastAsia="宋体" w:cs="宋体"/>
          <w:b/>
          <w:color w:val="auto"/>
          <w:kern w:val="0"/>
          <w:highlight w:val="none"/>
        </w:rPr>
        <w:t>33.解释权：</w:t>
      </w:r>
      <w:r>
        <w:rPr>
          <w:rFonts w:hint="eastAsia" w:ascii="宋体" w:hAnsi="宋体" w:eastAsia="宋体" w:cs="宋体"/>
          <w:color w:val="auto"/>
          <w:kern w:val="0"/>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6AB22F29">
      <w:pPr>
        <w:wordWrap w:val="0"/>
        <w:spacing w:line="400" w:lineRule="exact"/>
        <w:ind w:firstLine="422" w:firstLineChars="200"/>
        <w:rPr>
          <w:rFonts w:hint="eastAsia" w:ascii="宋体" w:hAnsi="宋体" w:eastAsia="宋体" w:cs="宋体"/>
          <w:color w:val="auto"/>
          <w:kern w:val="0"/>
          <w:szCs w:val="21"/>
          <w:highlight w:val="none"/>
        </w:rPr>
      </w:pPr>
      <w:r>
        <w:rPr>
          <w:rFonts w:hint="eastAsia" w:ascii="宋体" w:hAnsi="宋体" w:eastAsia="宋体" w:cs="宋体"/>
          <w:b/>
          <w:color w:val="auto"/>
          <w:kern w:val="0"/>
          <w:highlight w:val="none"/>
        </w:rPr>
        <w:t>34.监督管理机构：</w:t>
      </w:r>
      <w:r>
        <w:rPr>
          <w:rFonts w:hint="eastAsia" w:ascii="宋体" w:hAnsi="宋体" w:eastAsia="宋体" w:cs="宋体"/>
          <w:color w:val="auto"/>
          <w:kern w:val="0"/>
          <w:szCs w:val="21"/>
          <w:highlight w:val="none"/>
        </w:rPr>
        <w:t>桂林市七星区财政局；联系方式：0773-2126206。</w:t>
      </w:r>
    </w:p>
    <w:p w14:paraId="481AF292">
      <w:pPr>
        <w:wordWrap w:val="0"/>
        <w:rPr>
          <w:rFonts w:hint="eastAsia" w:ascii="宋体" w:hAnsi="宋体" w:eastAsia="宋体" w:cs="宋体"/>
          <w:b/>
          <w:color w:val="auto"/>
          <w:sz w:val="28"/>
          <w:szCs w:val="28"/>
          <w:highlight w:val="none"/>
        </w:rPr>
      </w:pPr>
    </w:p>
    <w:p w14:paraId="546D201E">
      <w:pPr>
        <w:wordWrap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rPr>
        <w:t>1</w:t>
      </w:r>
      <w:r>
        <w:rPr>
          <w:rFonts w:hint="eastAsia" w:ascii="宋体" w:hAnsi="宋体" w:eastAsia="宋体" w:cs="宋体"/>
          <w:b/>
          <w:color w:val="auto"/>
          <w:sz w:val="28"/>
          <w:szCs w:val="28"/>
          <w:highlight w:val="none"/>
        </w:rPr>
        <w:t>：</w:t>
      </w:r>
    </w:p>
    <w:p w14:paraId="486B86CC">
      <w:pPr>
        <w:wordWrap w:val="0"/>
        <w:spacing w:line="46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质疑函（格式）</w:t>
      </w:r>
    </w:p>
    <w:p w14:paraId="23385A60">
      <w:pPr>
        <w:pStyle w:val="20"/>
        <w:rPr>
          <w:rFonts w:hint="eastAsia" w:ascii="宋体" w:hAnsi="宋体" w:eastAsia="宋体" w:cs="宋体"/>
          <w:color w:val="auto"/>
          <w:highlight w:val="none"/>
        </w:rPr>
      </w:pPr>
      <w:r>
        <w:rPr>
          <w:rFonts w:hint="eastAsia" w:ascii="宋体" w:hAnsi="宋体" w:eastAsia="宋体" w:cs="宋体"/>
          <w:color w:val="auto"/>
          <w:highlight w:val="none"/>
        </w:rPr>
        <w:t>一、质疑供应商基本信息：</w:t>
      </w:r>
    </w:p>
    <w:p w14:paraId="76B05AEF">
      <w:pPr>
        <w:pStyle w:val="20"/>
        <w:rPr>
          <w:rFonts w:hint="eastAsia" w:ascii="宋体" w:hAnsi="宋体" w:eastAsia="宋体" w:cs="宋体"/>
          <w:color w:val="auto"/>
          <w:highlight w:val="none"/>
        </w:rPr>
      </w:pPr>
      <w:r>
        <w:rPr>
          <w:rFonts w:hint="eastAsia" w:ascii="宋体" w:hAnsi="宋体" w:eastAsia="宋体" w:cs="宋体"/>
          <w:color w:val="auto"/>
          <w:highlight w:val="none"/>
        </w:rPr>
        <w:t>质疑供应商：</w:t>
      </w:r>
    </w:p>
    <w:p w14:paraId="3752EF58">
      <w:pPr>
        <w:pStyle w:val="20"/>
        <w:rPr>
          <w:rFonts w:hint="eastAsia" w:ascii="宋体" w:hAnsi="宋体" w:eastAsia="宋体" w:cs="宋体"/>
          <w:color w:val="auto"/>
          <w:highlight w:val="none"/>
        </w:rPr>
      </w:pPr>
      <w:r>
        <w:rPr>
          <w:rFonts w:hint="eastAsia" w:ascii="宋体" w:hAnsi="宋体" w:eastAsia="宋体" w:cs="宋体"/>
          <w:color w:val="auto"/>
          <w:highlight w:val="none"/>
        </w:rPr>
        <w:t>地址：                    邮编：</w:t>
      </w:r>
    </w:p>
    <w:p w14:paraId="5414AD20">
      <w:pPr>
        <w:pStyle w:val="20"/>
        <w:rPr>
          <w:rFonts w:hint="eastAsia" w:ascii="宋体" w:hAnsi="宋体" w:eastAsia="宋体" w:cs="宋体"/>
          <w:color w:val="auto"/>
          <w:highlight w:val="none"/>
        </w:rPr>
      </w:pPr>
      <w:r>
        <w:rPr>
          <w:rFonts w:hint="eastAsia" w:ascii="宋体" w:hAnsi="宋体" w:eastAsia="宋体" w:cs="宋体"/>
          <w:color w:val="auto"/>
          <w:highlight w:val="none"/>
        </w:rPr>
        <w:t>联系人：                  联系电话：</w:t>
      </w:r>
    </w:p>
    <w:p w14:paraId="19FC5447">
      <w:pPr>
        <w:pStyle w:val="20"/>
        <w:rPr>
          <w:rFonts w:hint="eastAsia" w:ascii="宋体" w:hAnsi="宋体" w:eastAsia="宋体" w:cs="宋体"/>
          <w:color w:val="auto"/>
          <w:highlight w:val="none"/>
        </w:rPr>
      </w:pPr>
      <w:r>
        <w:rPr>
          <w:rFonts w:hint="eastAsia" w:ascii="宋体" w:hAnsi="宋体" w:eastAsia="宋体" w:cs="宋体"/>
          <w:color w:val="auto"/>
          <w:highlight w:val="none"/>
        </w:rPr>
        <w:t>授权代表：</w:t>
      </w:r>
    </w:p>
    <w:p w14:paraId="37FAFA6E">
      <w:pPr>
        <w:pStyle w:val="20"/>
        <w:rPr>
          <w:rFonts w:hint="eastAsia" w:ascii="宋体" w:hAnsi="宋体" w:eastAsia="宋体" w:cs="宋体"/>
          <w:color w:val="auto"/>
          <w:highlight w:val="none"/>
        </w:rPr>
      </w:pPr>
      <w:r>
        <w:rPr>
          <w:rFonts w:hint="eastAsia" w:ascii="宋体" w:hAnsi="宋体" w:eastAsia="宋体" w:cs="宋体"/>
          <w:color w:val="auto"/>
          <w:highlight w:val="none"/>
        </w:rPr>
        <w:t>联系电话：</w:t>
      </w:r>
    </w:p>
    <w:p w14:paraId="55853CE0">
      <w:pPr>
        <w:pStyle w:val="20"/>
        <w:rPr>
          <w:rFonts w:hint="eastAsia" w:ascii="宋体" w:hAnsi="宋体" w:eastAsia="宋体" w:cs="宋体"/>
          <w:color w:val="auto"/>
          <w:highlight w:val="none"/>
        </w:rPr>
      </w:pPr>
      <w:r>
        <w:rPr>
          <w:rFonts w:hint="eastAsia" w:ascii="宋体" w:hAnsi="宋体" w:eastAsia="宋体" w:cs="宋体"/>
          <w:color w:val="auto"/>
          <w:highlight w:val="none"/>
        </w:rPr>
        <w:t>地址：                     邮编：</w:t>
      </w:r>
    </w:p>
    <w:p w14:paraId="35B409A8">
      <w:pPr>
        <w:pStyle w:val="20"/>
        <w:rPr>
          <w:rFonts w:hint="eastAsia" w:ascii="宋体" w:hAnsi="宋体" w:eastAsia="宋体" w:cs="宋体"/>
          <w:color w:val="auto"/>
          <w:highlight w:val="none"/>
        </w:rPr>
      </w:pPr>
      <w:r>
        <w:rPr>
          <w:rFonts w:hint="eastAsia" w:ascii="宋体" w:hAnsi="宋体" w:eastAsia="宋体" w:cs="宋体"/>
          <w:color w:val="auto"/>
          <w:highlight w:val="none"/>
        </w:rPr>
        <w:t>二、质疑项目基本情况：</w:t>
      </w:r>
    </w:p>
    <w:p w14:paraId="0B355C0A">
      <w:pPr>
        <w:pStyle w:val="20"/>
        <w:rPr>
          <w:rFonts w:hint="eastAsia" w:ascii="宋体" w:hAnsi="宋体" w:eastAsia="宋体" w:cs="宋体"/>
          <w:color w:val="auto"/>
          <w:highlight w:val="none"/>
        </w:rPr>
      </w:pPr>
      <w:r>
        <w:rPr>
          <w:rFonts w:hint="eastAsia" w:ascii="宋体" w:hAnsi="宋体" w:eastAsia="宋体" w:cs="宋体"/>
          <w:color w:val="auto"/>
          <w:highlight w:val="none"/>
        </w:rPr>
        <w:t>质疑项目的名称：</w:t>
      </w:r>
    </w:p>
    <w:p w14:paraId="3FC04F73">
      <w:pPr>
        <w:pStyle w:val="20"/>
        <w:rPr>
          <w:rFonts w:hint="eastAsia" w:ascii="宋体" w:hAnsi="宋体" w:eastAsia="宋体" w:cs="宋体"/>
          <w:color w:val="auto"/>
          <w:highlight w:val="none"/>
        </w:rPr>
      </w:pPr>
      <w:r>
        <w:rPr>
          <w:rFonts w:hint="eastAsia" w:ascii="宋体" w:hAnsi="宋体" w:eastAsia="宋体" w:cs="宋体"/>
          <w:color w:val="auto"/>
          <w:highlight w:val="none"/>
        </w:rPr>
        <w:t>质疑项目的编号：</w:t>
      </w:r>
    </w:p>
    <w:p w14:paraId="1E2A89A6">
      <w:pPr>
        <w:pStyle w:val="20"/>
        <w:rPr>
          <w:rFonts w:hint="eastAsia" w:ascii="宋体" w:hAnsi="宋体" w:eastAsia="宋体" w:cs="宋体"/>
          <w:color w:val="auto"/>
          <w:highlight w:val="none"/>
        </w:rPr>
      </w:pPr>
      <w:r>
        <w:rPr>
          <w:rFonts w:hint="eastAsia" w:ascii="宋体" w:hAnsi="宋体" w:eastAsia="宋体" w:cs="宋体"/>
          <w:color w:val="auto"/>
          <w:highlight w:val="none"/>
        </w:rPr>
        <w:t>采购人名称：</w:t>
      </w:r>
    </w:p>
    <w:p w14:paraId="1C157851">
      <w:pPr>
        <w:pStyle w:val="20"/>
        <w:rPr>
          <w:rFonts w:hint="eastAsia" w:ascii="宋体" w:hAnsi="宋体" w:eastAsia="宋体" w:cs="宋体"/>
          <w:color w:val="auto"/>
          <w:highlight w:val="none"/>
        </w:rPr>
      </w:pPr>
      <w:r>
        <w:rPr>
          <w:rFonts w:hint="eastAsia" w:ascii="宋体" w:hAnsi="宋体" w:eastAsia="宋体" w:cs="宋体"/>
          <w:color w:val="auto"/>
          <w:highlight w:val="none"/>
        </w:rPr>
        <w:t>质疑事项：</w:t>
      </w:r>
    </w:p>
    <w:p w14:paraId="05B13C52">
      <w:pPr>
        <w:pStyle w:val="20"/>
        <w:rPr>
          <w:rFonts w:hint="eastAsia" w:ascii="宋体" w:hAnsi="宋体" w:eastAsia="宋体" w:cs="宋体"/>
          <w:color w:val="auto"/>
          <w:highlight w:val="none"/>
        </w:rPr>
      </w:pPr>
      <w:r>
        <w:rPr>
          <w:rFonts w:hint="eastAsia" w:ascii="宋体" w:hAnsi="宋体" w:eastAsia="宋体" w:cs="宋体"/>
          <w:color w:val="auto"/>
          <w:highlight w:val="none"/>
        </w:rPr>
        <w:t>□磋商文件                  磋商文件获取日期：</w:t>
      </w:r>
    </w:p>
    <w:p w14:paraId="7FAEE61D">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□采购过程   </w:t>
      </w:r>
    </w:p>
    <w:p w14:paraId="5ABBC537">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□成交结果   </w:t>
      </w:r>
    </w:p>
    <w:p w14:paraId="16AD9EFE">
      <w:pPr>
        <w:pStyle w:val="20"/>
        <w:rPr>
          <w:rFonts w:hint="eastAsia" w:ascii="宋体" w:hAnsi="宋体" w:eastAsia="宋体" w:cs="宋体"/>
          <w:color w:val="auto"/>
          <w:highlight w:val="none"/>
        </w:rPr>
      </w:pPr>
      <w:r>
        <w:rPr>
          <w:rFonts w:hint="eastAsia" w:ascii="宋体" w:hAnsi="宋体" w:eastAsia="宋体" w:cs="宋体"/>
          <w:color w:val="auto"/>
          <w:highlight w:val="none"/>
        </w:rPr>
        <w:t>三、质疑事项具体内容</w:t>
      </w:r>
    </w:p>
    <w:p w14:paraId="57D1C80F">
      <w:pPr>
        <w:pStyle w:val="20"/>
        <w:rPr>
          <w:rFonts w:hint="eastAsia" w:ascii="宋体" w:hAnsi="宋体" w:eastAsia="宋体" w:cs="宋体"/>
          <w:color w:val="auto"/>
          <w:highlight w:val="none"/>
        </w:rPr>
      </w:pPr>
      <w:r>
        <w:rPr>
          <w:rFonts w:hint="eastAsia" w:ascii="宋体" w:hAnsi="宋体" w:eastAsia="宋体" w:cs="宋体"/>
          <w:color w:val="auto"/>
          <w:highlight w:val="none"/>
        </w:rPr>
        <w:t>质疑事项1：</w:t>
      </w:r>
    </w:p>
    <w:p w14:paraId="78E6E7FE">
      <w:pPr>
        <w:pStyle w:val="20"/>
        <w:rPr>
          <w:rFonts w:hint="eastAsia" w:ascii="宋体" w:hAnsi="宋体" w:eastAsia="宋体" w:cs="宋体"/>
          <w:color w:val="auto"/>
          <w:highlight w:val="none"/>
        </w:rPr>
      </w:pPr>
      <w:r>
        <w:rPr>
          <w:rFonts w:hint="eastAsia" w:ascii="宋体" w:hAnsi="宋体" w:eastAsia="宋体" w:cs="宋体"/>
          <w:color w:val="auto"/>
          <w:highlight w:val="none"/>
        </w:rPr>
        <w:t>事实依据：</w:t>
      </w:r>
    </w:p>
    <w:p w14:paraId="2796972E">
      <w:pPr>
        <w:pStyle w:val="20"/>
        <w:rPr>
          <w:rFonts w:hint="eastAsia" w:ascii="宋体" w:hAnsi="宋体" w:eastAsia="宋体" w:cs="宋体"/>
          <w:color w:val="auto"/>
          <w:highlight w:val="none"/>
        </w:rPr>
      </w:pPr>
      <w:r>
        <w:rPr>
          <w:rFonts w:hint="eastAsia" w:ascii="宋体" w:hAnsi="宋体" w:eastAsia="宋体" w:cs="宋体"/>
          <w:color w:val="auto"/>
          <w:highlight w:val="none"/>
        </w:rPr>
        <w:t>法律依据：</w:t>
      </w:r>
    </w:p>
    <w:p w14:paraId="27CABF0C">
      <w:pPr>
        <w:pStyle w:val="20"/>
        <w:rPr>
          <w:rFonts w:hint="eastAsia" w:ascii="宋体" w:hAnsi="宋体" w:eastAsia="宋体" w:cs="宋体"/>
          <w:color w:val="auto"/>
          <w:highlight w:val="none"/>
        </w:rPr>
      </w:pPr>
      <w:r>
        <w:rPr>
          <w:rFonts w:hint="eastAsia" w:ascii="宋体" w:hAnsi="宋体" w:eastAsia="宋体" w:cs="宋体"/>
          <w:color w:val="auto"/>
          <w:highlight w:val="none"/>
        </w:rPr>
        <w:t>质疑事项2</w:t>
      </w:r>
    </w:p>
    <w:p w14:paraId="334BD30D">
      <w:pPr>
        <w:pStyle w:val="20"/>
        <w:rPr>
          <w:rFonts w:hint="eastAsia" w:ascii="宋体" w:hAnsi="宋体" w:eastAsia="宋体" w:cs="宋体"/>
          <w:color w:val="auto"/>
          <w:highlight w:val="none"/>
        </w:rPr>
      </w:pPr>
      <w:r>
        <w:rPr>
          <w:rFonts w:hint="eastAsia" w:ascii="宋体" w:hAnsi="宋体" w:eastAsia="宋体" w:cs="宋体"/>
          <w:color w:val="auto"/>
          <w:highlight w:val="none"/>
        </w:rPr>
        <w:t>……</w:t>
      </w:r>
    </w:p>
    <w:p w14:paraId="6A9D92D3">
      <w:pPr>
        <w:pStyle w:val="20"/>
        <w:rPr>
          <w:rFonts w:hint="eastAsia" w:ascii="宋体" w:hAnsi="宋体" w:eastAsia="宋体" w:cs="宋体"/>
          <w:color w:val="auto"/>
          <w:highlight w:val="none"/>
        </w:rPr>
      </w:pPr>
      <w:r>
        <w:rPr>
          <w:rFonts w:hint="eastAsia" w:ascii="宋体" w:hAnsi="宋体" w:eastAsia="宋体" w:cs="宋体"/>
          <w:color w:val="auto"/>
          <w:highlight w:val="none"/>
        </w:rPr>
        <w:t>四、与质疑事项相关的质疑请求：</w:t>
      </w:r>
    </w:p>
    <w:p w14:paraId="25929C84">
      <w:pPr>
        <w:pStyle w:val="20"/>
        <w:rPr>
          <w:rFonts w:hint="eastAsia" w:ascii="宋体" w:hAnsi="宋体" w:eastAsia="宋体" w:cs="宋体"/>
          <w:color w:val="auto"/>
          <w:highlight w:val="none"/>
        </w:rPr>
      </w:pPr>
      <w:r>
        <w:rPr>
          <w:rFonts w:hint="eastAsia" w:ascii="宋体" w:hAnsi="宋体" w:eastAsia="宋体" w:cs="宋体"/>
          <w:color w:val="auto"/>
          <w:highlight w:val="none"/>
        </w:rPr>
        <w:t>请求：</w:t>
      </w:r>
    </w:p>
    <w:p w14:paraId="511CC7F7">
      <w:pPr>
        <w:pStyle w:val="20"/>
        <w:rPr>
          <w:rFonts w:hint="eastAsia" w:ascii="宋体" w:hAnsi="宋体" w:eastAsia="宋体" w:cs="宋体"/>
          <w:color w:val="auto"/>
          <w:highlight w:val="none"/>
        </w:rPr>
      </w:pPr>
    </w:p>
    <w:p w14:paraId="10546D4C">
      <w:pPr>
        <w:pStyle w:val="20"/>
        <w:rPr>
          <w:rFonts w:hint="eastAsia" w:ascii="宋体" w:hAnsi="宋体" w:eastAsia="宋体" w:cs="宋体"/>
          <w:color w:val="auto"/>
          <w:highlight w:val="none"/>
        </w:rPr>
      </w:pPr>
      <w:r>
        <w:rPr>
          <w:rFonts w:hint="eastAsia" w:ascii="宋体" w:hAnsi="宋体" w:eastAsia="宋体" w:cs="宋体"/>
          <w:color w:val="auto"/>
          <w:highlight w:val="none"/>
        </w:rPr>
        <w:t>签字（签章）：                                       公章：</w:t>
      </w:r>
    </w:p>
    <w:p w14:paraId="3FDDBAF5">
      <w:pPr>
        <w:pStyle w:val="20"/>
        <w:rPr>
          <w:rFonts w:hint="eastAsia" w:ascii="宋体" w:hAnsi="宋体" w:eastAsia="宋体" w:cs="宋体"/>
          <w:color w:val="auto"/>
          <w:highlight w:val="none"/>
        </w:rPr>
      </w:pPr>
    </w:p>
    <w:p w14:paraId="22EF3041">
      <w:pPr>
        <w:pStyle w:val="20"/>
        <w:rPr>
          <w:rFonts w:hint="eastAsia" w:ascii="宋体" w:hAnsi="宋体" w:eastAsia="宋体" w:cs="宋体"/>
          <w:color w:val="auto"/>
          <w:highlight w:val="none"/>
        </w:rPr>
      </w:pPr>
      <w:r>
        <w:rPr>
          <w:rFonts w:hint="eastAsia" w:ascii="宋体" w:hAnsi="宋体" w:eastAsia="宋体" w:cs="宋体"/>
          <w:color w:val="auto"/>
          <w:highlight w:val="none"/>
        </w:rPr>
        <w:t>日期：</w:t>
      </w:r>
    </w:p>
    <w:p w14:paraId="45250530">
      <w:pPr>
        <w:pStyle w:val="20"/>
        <w:rPr>
          <w:rFonts w:hint="eastAsia" w:ascii="宋体" w:hAnsi="宋体" w:eastAsia="宋体" w:cs="宋体"/>
          <w:color w:val="auto"/>
          <w:highlight w:val="none"/>
        </w:rPr>
      </w:pPr>
    </w:p>
    <w:p w14:paraId="4E42B8D5">
      <w:pPr>
        <w:pStyle w:val="20"/>
        <w:rPr>
          <w:rFonts w:hint="eastAsia" w:ascii="宋体" w:hAnsi="宋体" w:eastAsia="宋体" w:cs="宋体"/>
          <w:color w:val="auto"/>
          <w:highlight w:val="none"/>
        </w:rPr>
      </w:pPr>
      <w:r>
        <w:rPr>
          <w:rFonts w:hint="eastAsia" w:ascii="宋体" w:hAnsi="宋体" w:eastAsia="宋体" w:cs="宋体"/>
          <w:color w:val="auto"/>
          <w:highlight w:val="none"/>
        </w:rPr>
        <w:t>说明：</w:t>
      </w:r>
    </w:p>
    <w:p w14:paraId="22ABF6A7">
      <w:pPr>
        <w:pStyle w:val="20"/>
        <w:rPr>
          <w:rFonts w:hint="eastAsia" w:ascii="宋体" w:hAnsi="宋体" w:eastAsia="宋体" w:cs="宋体"/>
          <w:color w:val="auto"/>
          <w:highlight w:val="none"/>
        </w:rPr>
      </w:pPr>
      <w:r>
        <w:rPr>
          <w:rFonts w:hint="eastAsia" w:ascii="宋体" w:hAnsi="宋体" w:eastAsia="宋体" w:cs="宋体"/>
          <w:color w:val="auto"/>
          <w:highlight w:val="none"/>
        </w:rPr>
        <w:t>1.供应商提出质疑时，应提交质疑函和必要的证明材料。</w:t>
      </w:r>
    </w:p>
    <w:p w14:paraId="24090549">
      <w:pPr>
        <w:pStyle w:val="20"/>
        <w:rPr>
          <w:rFonts w:hint="eastAsia" w:ascii="宋体" w:hAnsi="宋体" w:eastAsia="宋体" w:cs="宋体"/>
          <w:color w:val="auto"/>
          <w:highlight w:val="none"/>
        </w:rPr>
      </w:pPr>
      <w:r>
        <w:rPr>
          <w:rFonts w:hint="eastAsia" w:ascii="宋体" w:hAnsi="宋体" w:eastAsia="宋体" w:cs="宋体"/>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1B7C426">
      <w:pPr>
        <w:pStyle w:val="20"/>
        <w:rPr>
          <w:rFonts w:hint="eastAsia" w:ascii="宋体" w:hAnsi="宋体" w:eastAsia="宋体" w:cs="宋体"/>
          <w:color w:val="auto"/>
          <w:highlight w:val="none"/>
        </w:rPr>
      </w:pPr>
      <w:r>
        <w:rPr>
          <w:rFonts w:hint="eastAsia" w:ascii="宋体" w:hAnsi="宋体" w:eastAsia="宋体" w:cs="宋体"/>
          <w:color w:val="auto"/>
          <w:highlight w:val="none"/>
        </w:rPr>
        <w:t>3.质疑函的质疑事项应具体、明确，并有必要的事实依据和法律依据。</w:t>
      </w:r>
    </w:p>
    <w:p w14:paraId="48DF04D9">
      <w:pPr>
        <w:pStyle w:val="20"/>
        <w:rPr>
          <w:rFonts w:hint="eastAsia" w:ascii="宋体" w:hAnsi="宋体" w:eastAsia="宋体" w:cs="宋体"/>
          <w:color w:val="auto"/>
          <w:highlight w:val="none"/>
        </w:rPr>
      </w:pPr>
      <w:r>
        <w:rPr>
          <w:rFonts w:hint="eastAsia" w:ascii="宋体" w:hAnsi="宋体" w:eastAsia="宋体" w:cs="宋体"/>
          <w:color w:val="auto"/>
          <w:highlight w:val="none"/>
        </w:rPr>
        <w:t>4.质疑函的质疑请求应与质疑事项相关。</w:t>
      </w:r>
    </w:p>
    <w:p w14:paraId="2216FD6D">
      <w:pPr>
        <w:pStyle w:val="20"/>
        <w:rPr>
          <w:rFonts w:hint="eastAsia" w:ascii="宋体" w:hAnsi="宋体" w:eastAsia="宋体" w:cs="宋体"/>
          <w:color w:val="auto"/>
          <w:highlight w:val="none"/>
        </w:rPr>
      </w:pPr>
      <w:r>
        <w:rPr>
          <w:rFonts w:hint="eastAsia" w:ascii="宋体" w:hAnsi="宋体" w:eastAsia="宋体" w:cs="宋体"/>
          <w:color w:val="auto"/>
          <w:highlight w:val="none"/>
        </w:rPr>
        <w:t>5.质疑供应商为自然人的，质疑函应由本人签字；质疑供应商为法人或者其他组织的，质疑函应由法定代表人、主要负责人，或者其授权代表签字或者盖章，并加盖公章。</w:t>
      </w:r>
    </w:p>
    <w:p w14:paraId="1FD0C4D7">
      <w:pPr>
        <w:wordWrap w:val="0"/>
        <w:rPr>
          <w:rFonts w:hint="eastAsia" w:ascii="宋体" w:hAnsi="宋体" w:eastAsia="宋体" w:cs="宋体"/>
          <w:b/>
          <w:color w:val="auto"/>
          <w:sz w:val="28"/>
          <w:szCs w:val="28"/>
          <w:highlight w:val="none"/>
        </w:rPr>
      </w:pPr>
    </w:p>
    <w:p w14:paraId="5A55CA40">
      <w:pPr>
        <w:wordWrap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附表2：</w:t>
      </w:r>
    </w:p>
    <w:p w14:paraId="143C9FCF">
      <w:pPr>
        <w:wordWrap w:val="0"/>
        <w:spacing w:line="46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投诉书（格式）</w:t>
      </w:r>
    </w:p>
    <w:p w14:paraId="53E09D2F">
      <w:pPr>
        <w:pStyle w:val="20"/>
        <w:rPr>
          <w:rFonts w:hint="eastAsia" w:ascii="宋体" w:hAnsi="宋体" w:eastAsia="宋体" w:cs="宋体"/>
          <w:color w:val="auto"/>
          <w:highlight w:val="none"/>
        </w:rPr>
      </w:pPr>
      <w:r>
        <w:rPr>
          <w:rFonts w:hint="eastAsia" w:ascii="宋体" w:hAnsi="宋体" w:eastAsia="宋体" w:cs="宋体"/>
          <w:color w:val="auto"/>
          <w:highlight w:val="none"/>
        </w:rPr>
        <w:t>一、投诉相关主体基本情况：</w:t>
      </w:r>
    </w:p>
    <w:p w14:paraId="52042E7C">
      <w:pPr>
        <w:pStyle w:val="20"/>
        <w:rPr>
          <w:rFonts w:hint="eastAsia" w:ascii="宋体" w:hAnsi="宋体" w:eastAsia="宋体" w:cs="宋体"/>
          <w:color w:val="auto"/>
          <w:highlight w:val="none"/>
        </w:rPr>
      </w:pPr>
      <w:r>
        <w:rPr>
          <w:rFonts w:hint="eastAsia" w:ascii="宋体" w:hAnsi="宋体" w:eastAsia="宋体" w:cs="宋体"/>
          <w:color w:val="auto"/>
          <w:highlight w:val="none"/>
        </w:rPr>
        <w:t>供应商：</w:t>
      </w:r>
    </w:p>
    <w:p w14:paraId="4D24F80A">
      <w:pPr>
        <w:pStyle w:val="20"/>
        <w:rPr>
          <w:rFonts w:hint="eastAsia" w:ascii="宋体" w:hAnsi="宋体" w:eastAsia="宋体" w:cs="宋体"/>
          <w:color w:val="auto"/>
          <w:highlight w:val="none"/>
        </w:rPr>
      </w:pPr>
      <w:r>
        <w:rPr>
          <w:rFonts w:hint="eastAsia" w:ascii="宋体" w:hAnsi="宋体" w:eastAsia="宋体" w:cs="宋体"/>
          <w:color w:val="auto"/>
          <w:highlight w:val="none"/>
        </w:rPr>
        <w:t>地址：                              邮编：</w:t>
      </w:r>
    </w:p>
    <w:p w14:paraId="0216F44E">
      <w:pPr>
        <w:pStyle w:val="20"/>
        <w:rPr>
          <w:rFonts w:hint="eastAsia" w:ascii="宋体" w:hAnsi="宋体" w:eastAsia="宋体" w:cs="宋体"/>
          <w:color w:val="auto"/>
          <w:highlight w:val="none"/>
        </w:rPr>
      </w:pPr>
      <w:r>
        <w:rPr>
          <w:rFonts w:hint="eastAsia" w:ascii="宋体" w:hAnsi="宋体" w:eastAsia="宋体" w:cs="宋体"/>
          <w:color w:val="auto"/>
          <w:highlight w:val="none"/>
        </w:rPr>
        <w:t>法定代表人/主要负责人：</w:t>
      </w:r>
    </w:p>
    <w:p w14:paraId="3A135D52">
      <w:pPr>
        <w:pStyle w:val="20"/>
        <w:rPr>
          <w:rFonts w:hint="eastAsia" w:ascii="宋体" w:hAnsi="宋体" w:eastAsia="宋体" w:cs="宋体"/>
          <w:color w:val="auto"/>
          <w:highlight w:val="none"/>
        </w:rPr>
      </w:pPr>
      <w:r>
        <w:rPr>
          <w:rFonts w:hint="eastAsia" w:ascii="宋体" w:hAnsi="宋体" w:eastAsia="宋体" w:cs="宋体"/>
          <w:color w:val="auto"/>
          <w:highlight w:val="none"/>
        </w:rPr>
        <w:t>联系电话：</w:t>
      </w:r>
    </w:p>
    <w:p w14:paraId="6ECA7046">
      <w:pPr>
        <w:pStyle w:val="20"/>
        <w:rPr>
          <w:rFonts w:hint="eastAsia" w:ascii="宋体" w:hAnsi="宋体" w:eastAsia="宋体" w:cs="宋体"/>
          <w:color w:val="auto"/>
          <w:highlight w:val="none"/>
        </w:rPr>
      </w:pPr>
      <w:r>
        <w:rPr>
          <w:rFonts w:hint="eastAsia" w:ascii="宋体" w:hAnsi="宋体" w:eastAsia="宋体" w:cs="宋体"/>
          <w:color w:val="auto"/>
          <w:highlight w:val="none"/>
        </w:rPr>
        <w:t>授权代表：                          联系电话：</w:t>
      </w:r>
    </w:p>
    <w:p w14:paraId="224B627E">
      <w:pPr>
        <w:pStyle w:val="20"/>
        <w:rPr>
          <w:rFonts w:hint="eastAsia" w:ascii="宋体" w:hAnsi="宋体" w:eastAsia="宋体" w:cs="宋体"/>
          <w:color w:val="auto"/>
          <w:highlight w:val="none"/>
        </w:rPr>
      </w:pPr>
      <w:r>
        <w:rPr>
          <w:rFonts w:hint="eastAsia" w:ascii="宋体" w:hAnsi="宋体" w:eastAsia="宋体" w:cs="宋体"/>
          <w:color w:val="auto"/>
          <w:highlight w:val="none"/>
        </w:rPr>
        <w:t>地址：                              邮编：</w:t>
      </w:r>
    </w:p>
    <w:p w14:paraId="6D02D142">
      <w:pPr>
        <w:pStyle w:val="20"/>
        <w:rPr>
          <w:rFonts w:hint="eastAsia" w:ascii="宋体" w:hAnsi="宋体" w:eastAsia="宋体" w:cs="宋体"/>
          <w:color w:val="auto"/>
          <w:highlight w:val="none"/>
        </w:rPr>
      </w:pPr>
      <w:r>
        <w:rPr>
          <w:rFonts w:hint="eastAsia" w:ascii="宋体" w:hAnsi="宋体" w:eastAsia="宋体" w:cs="宋体"/>
          <w:color w:val="auto"/>
          <w:highlight w:val="none"/>
        </w:rPr>
        <w:t>被投诉人1：</w:t>
      </w:r>
    </w:p>
    <w:p w14:paraId="301489DB">
      <w:pPr>
        <w:pStyle w:val="20"/>
        <w:rPr>
          <w:rFonts w:hint="eastAsia" w:ascii="宋体" w:hAnsi="宋体" w:eastAsia="宋体" w:cs="宋体"/>
          <w:color w:val="auto"/>
          <w:highlight w:val="none"/>
        </w:rPr>
      </w:pPr>
      <w:r>
        <w:rPr>
          <w:rFonts w:hint="eastAsia" w:ascii="宋体" w:hAnsi="宋体" w:eastAsia="宋体" w:cs="宋体"/>
          <w:color w:val="auto"/>
          <w:highlight w:val="none"/>
        </w:rPr>
        <w:t>地址：                              邮编：</w:t>
      </w:r>
    </w:p>
    <w:p w14:paraId="0CA2345E">
      <w:pPr>
        <w:pStyle w:val="20"/>
        <w:rPr>
          <w:rFonts w:hint="eastAsia" w:ascii="宋体" w:hAnsi="宋体" w:eastAsia="宋体" w:cs="宋体"/>
          <w:color w:val="auto"/>
          <w:highlight w:val="none"/>
        </w:rPr>
      </w:pPr>
      <w:r>
        <w:rPr>
          <w:rFonts w:hint="eastAsia" w:ascii="宋体" w:hAnsi="宋体" w:eastAsia="宋体" w:cs="宋体"/>
          <w:color w:val="auto"/>
          <w:highlight w:val="none"/>
        </w:rPr>
        <w:t>联系人：                            联系电话：</w:t>
      </w:r>
    </w:p>
    <w:p w14:paraId="19D8F4A2">
      <w:pPr>
        <w:pStyle w:val="20"/>
        <w:rPr>
          <w:rFonts w:hint="eastAsia" w:ascii="宋体" w:hAnsi="宋体" w:eastAsia="宋体" w:cs="宋体"/>
          <w:color w:val="auto"/>
          <w:highlight w:val="none"/>
        </w:rPr>
      </w:pPr>
      <w:r>
        <w:rPr>
          <w:rFonts w:hint="eastAsia" w:ascii="宋体" w:hAnsi="宋体" w:eastAsia="宋体" w:cs="宋体"/>
          <w:color w:val="auto"/>
          <w:highlight w:val="none"/>
        </w:rPr>
        <w:t>被投诉人2：</w:t>
      </w:r>
    </w:p>
    <w:p w14:paraId="053AB4C2">
      <w:pPr>
        <w:pStyle w:val="20"/>
        <w:rPr>
          <w:rFonts w:hint="eastAsia" w:ascii="宋体" w:hAnsi="宋体" w:eastAsia="宋体" w:cs="宋体"/>
          <w:color w:val="auto"/>
          <w:highlight w:val="none"/>
        </w:rPr>
      </w:pPr>
      <w:r>
        <w:rPr>
          <w:rFonts w:hint="eastAsia" w:ascii="宋体" w:hAnsi="宋体" w:eastAsia="宋体" w:cs="宋体"/>
          <w:color w:val="auto"/>
          <w:highlight w:val="none"/>
        </w:rPr>
        <w:t>……</w:t>
      </w:r>
    </w:p>
    <w:p w14:paraId="2FA4EE3B">
      <w:pPr>
        <w:pStyle w:val="20"/>
        <w:rPr>
          <w:rFonts w:hint="eastAsia" w:ascii="宋体" w:hAnsi="宋体" w:eastAsia="宋体" w:cs="宋体"/>
          <w:color w:val="auto"/>
          <w:highlight w:val="none"/>
        </w:rPr>
      </w:pPr>
      <w:r>
        <w:rPr>
          <w:rFonts w:hint="eastAsia" w:ascii="宋体" w:hAnsi="宋体" w:eastAsia="宋体" w:cs="宋体"/>
          <w:color w:val="auto"/>
          <w:highlight w:val="none"/>
        </w:rPr>
        <w:t>相关供应商：</w:t>
      </w:r>
    </w:p>
    <w:p w14:paraId="78A3980E">
      <w:pPr>
        <w:pStyle w:val="20"/>
        <w:rPr>
          <w:rFonts w:hint="eastAsia" w:ascii="宋体" w:hAnsi="宋体" w:eastAsia="宋体" w:cs="宋体"/>
          <w:color w:val="auto"/>
          <w:highlight w:val="none"/>
        </w:rPr>
      </w:pPr>
      <w:r>
        <w:rPr>
          <w:rFonts w:hint="eastAsia" w:ascii="宋体" w:hAnsi="宋体" w:eastAsia="宋体" w:cs="宋体"/>
          <w:color w:val="auto"/>
          <w:highlight w:val="none"/>
        </w:rPr>
        <w:t>地址：                              邮编：</w:t>
      </w:r>
    </w:p>
    <w:p w14:paraId="28A067ED">
      <w:pPr>
        <w:pStyle w:val="20"/>
        <w:rPr>
          <w:rFonts w:hint="eastAsia" w:ascii="宋体" w:hAnsi="宋体" w:eastAsia="宋体" w:cs="宋体"/>
          <w:color w:val="auto"/>
          <w:highlight w:val="none"/>
        </w:rPr>
      </w:pPr>
      <w:r>
        <w:rPr>
          <w:rFonts w:hint="eastAsia" w:ascii="宋体" w:hAnsi="宋体" w:eastAsia="宋体" w:cs="宋体"/>
          <w:color w:val="auto"/>
          <w:highlight w:val="none"/>
        </w:rPr>
        <w:t>联系人：                            联系电话：</w:t>
      </w:r>
    </w:p>
    <w:p w14:paraId="66D10924">
      <w:pPr>
        <w:pStyle w:val="20"/>
        <w:rPr>
          <w:rFonts w:hint="eastAsia" w:ascii="宋体" w:hAnsi="宋体" w:eastAsia="宋体" w:cs="宋体"/>
          <w:color w:val="auto"/>
          <w:highlight w:val="none"/>
        </w:rPr>
      </w:pPr>
      <w:r>
        <w:rPr>
          <w:rFonts w:hint="eastAsia" w:ascii="宋体" w:hAnsi="宋体" w:eastAsia="宋体" w:cs="宋体"/>
          <w:color w:val="auto"/>
          <w:highlight w:val="none"/>
        </w:rPr>
        <w:t>二、投诉项目基本情况：</w:t>
      </w:r>
    </w:p>
    <w:p w14:paraId="3BAD61AD">
      <w:pPr>
        <w:pStyle w:val="20"/>
        <w:rPr>
          <w:rFonts w:hint="eastAsia" w:ascii="宋体" w:hAnsi="宋体" w:eastAsia="宋体" w:cs="宋体"/>
          <w:color w:val="auto"/>
          <w:highlight w:val="none"/>
        </w:rPr>
      </w:pPr>
      <w:r>
        <w:rPr>
          <w:rFonts w:hint="eastAsia" w:ascii="宋体" w:hAnsi="宋体" w:eastAsia="宋体" w:cs="宋体"/>
          <w:color w:val="auto"/>
          <w:highlight w:val="none"/>
        </w:rPr>
        <w:t>采购项目的名称：</w:t>
      </w:r>
    </w:p>
    <w:p w14:paraId="2EB1152C">
      <w:pPr>
        <w:pStyle w:val="20"/>
        <w:rPr>
          <w:rFonts w:hint="eastAsia" w:ascii="宋体" w:hAnsi="宋体" w:eastAsia="宋体" w:cs="宋体"/>
          <w:color w:val="auto"/>
          <w:highlight w:val="none"/>
        </w:rPr>
      </w:pPr>
      <w:r>
        <w:rPr>
          <w:rFonts w:hint="eastAsia" w:ascii="宋体" w:hAnsi="宋体" w:eastAsia="宋体" w:cs="宋体"/>
          <w:color w:val="auto"/>
          <w:highlight w:val="none"/>
        </w:rPr>
        <w:t>采购项目的编号：</w:t>
      </w:r>
    </w:p>
    <w:p w14:paraId="628D9261">
      <w:pPr>
        <w:pStyle w:val="20"/>
        <w:rPr>
          <w:rFonts w:hint="eastAsia" w:ascii="宋体" w:hAnsi="宋体" w:eastAsia="宋体" w:cs="宋体"/>
          <w:color w:val="auto"/>
          <w:highlight w:val="none"/>
        </w:rPr>
      </w:pPr>
      <w:r>
        <w:rPr>
          <w:rFonts w:hint="eastAsia" w:ascii="宋体" w:hAnsi="宋体" w:eastAsia="宋体" w:cs="宋体"/>
          <w:color w:val="auto"/>
          <w:highlight w:val="none"/>
        </w:rPr>
        <w:t>采购人名称：</w:t>
      </w:r>
    </w:p>
    <w:p w14:paraId="5379F60F">
      <w:pPr>
        <w:pStyle w:val="20"/>
        <w:rPr>
          <w:rFonts w:hint="eastAsia" w:ascii="宋体" w:hAnsi="宋体" w:eastAsia="宋体" w:cs="宋体"/>
          <w:color w:val="auto"/>
          <w:highlight w:val="none"/>
        </w:rPr>
      </w:pPr>
      <w:r>
        <w:rPr>
          <w:rFonts w:hint="eastAsia" w:ascii="宋体" w:hAnsi="宋体" w:eastAsia="宋体" w:cs="宋体"/>
          <w:color w:val="auto"/>
          <w:highlight w:val="none"/>
        </w:rPr>
        <w:t>代理机构名称：</w:t>
      </w:r>
    </w:p>
    <w:p w14:paraId="5D63673E">
      <w:pPr>
        <w:pStyle w:val="20"/>
        <w:rPr>
          <w:rFonts w:hint="eastAsia" w:ascii="宋体" w:hAnsi="宋体" w:eastAsia="宋体" w:cs="宋体"/>
          <w:color w:val="auto"/>
          <w:highlight w:val="none"/>
        </w:rPr>
      </w:pPr>
      <w:r>
        <w:rPr>
          <w:rFonts w:hint="eastAsia" w:ascii="宋体" w:hAnsi="宋体" w:eastAsia="宋体" w:cs="宋体"/>
          <w:color w:val="auto"/>
          <w:highlight w:val="none"/>
        </w:rPr>
        <w:t>竞争性磋商文件公告：是/否公告期限：</w:t>
      </w:r>
    </w:p>
    <w:p w14:paraId="62642A90">
      <w:pPr>
        <w:pStyle w:val="20"/>
        <w:rPr>
          <w:rFonts w:hint="eastAsia" w:ascii="宋体" w:hAnsi="宋体" w:eastAsia="宋体" w:cs="宋体"/>
          <w:color w:val="auto"/>
          <w:highlight w:val="none"/>
        </w:rPr>
      </w:pPr>
      <w:r>
        <w:rPr>
          <w:rFonts w:hint="eastAsia" w:ascii="宋体" w:hAnsi="宋体" w:eastAsia="宋体" w:cs="宋体"/>
          <w:color w:val="auto"/>
          <w:highlight w:val="none"/>
        </w:rPr>
        <w:t>采购结果公告：是/否公告期限：</w:t>
      </w:r>
    </w:p>
    <w:p w14:paraId="1A7D3947">
      <w:pPr>
        <w:pStyle w:val="20"/>
        <w:rPr>
          <w:rFonts w:hint="eastAsia" w:ascii="宋体" w:hAnsi="宋体" w:eastAsia="宋体" w:cs="宋体"/>
          <w:color w:val="auto"/>
          <w:highlight w:val="none"/>
        </w:rPr>
      </w:pPr>
      <w:r>
        <w:rPr>
          <w:rFonts w:hint="eastAsia" w:ascii="宋体" w:hAnsi="宋体" w:eastAsia="宋体" w:cs="宋体"/>
          <w:color w:val="auto"/>
          <w:highlight w:val="none"/>
        </w:rPr>
        <w:t>三、质疑基本情况</w:t>
      </w:r>
    </w:p>
    <w:p w14:paraId="3CAB8539">
      <w:pPr>
        <w:pStyle w:val="20"/>
        <w:rPr>
          <w:rFonts w:hint="eastAsia" w:ascii="宋体" w:hAnsi="宋体" w:eastAsia="宋体" w:cs="宋体"/>
          <w:color w:val="auto"/>
          <w:highlight w:val="none"/>
        </w:rPr>
      </w:pPr>
      <w:r>
        <w:rPr>
          <w:rFonts w:hint="eastAsia" w:ascii="宋体" w:hAnsi="宋体" w:eastAsia="宋体" w:cs="宋体"/>
          <w:color w:val="auto"/>
          <w:highlight w:val="none"/>
        </w:rPr>
        <w:t>投诉人于年月日，向提出质疑，质疑事项为：</w:t>
      </w:r>
    </w:p>
    <w:p w14:paraId="14587C98">
      <w:pPr>
        <w:pStyle w:val="20"/>
        <w:rPr>
          <w:rFonts w:hint="eastAsia" w:ascii="宋体" w:hAnsi="宋体" w:eastAsia="宋体" w:cs="宋体"/>
          <w:color w:val="auto"/>
          <w:highlight w:val="none"/>
        </w:rPr>
      </w:pPr>
    </w:p>
    <w:p w14:paraId="06E8262C">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采购人/代理机构于年月日，就质疑事项作出了答复/没有在法定期限内作出答复。                                                                                             </w:t>
      </w:r>
    </w:p>
    <w:p w14:paraId="76A87C56">
      <w:pPr>
        <w:pStyle w:val="20"/>
        <w:rPr>
          <w:rFonts w:hint="eastAsia" w:ascii="宋体" w:hAnsi="宋体" w:eastAsia="宋体" w:cs="宋体"/>
          <w:color w:val="auto"/>
          <w:highlight w:val="none"/>
        </w:rPr>
      </w:pPr>
      <w:r>
        <w:rPr>
          <w:rFonts w:hint="eastAsia" w:ascii="宋体" w:hAnsi="宋体" w:eastAsia="宋体" w:cs="宋体"/>
          <w:color w:val="auto"/>
          <w:highlight w:val="none"/>
        </w:rPr>
        <w:t>四、投诉事项具体内容</w:t>
      </w:r>
    </w:p>
    <w:p w14:paraId="4C7CE39C">
      <w:pPr>
        <w:pStyle w:val="20"/>
        <w:rPr>
          <w:rFonts w:hint="eastAsia" w:ascii="宋体" w:hAnsi="宋体" w:eastAsia="宋体" w:cs="宋体"/>
          <w:color w:val="auto"/>
          <w:highlight w:val="none"/>
        </w:rPr>
      </w:pPr>
      <w:r>
        <w:rPr>
          <w:rFonts w:hint="eastAsia" w:ascii="宋体" w:hAnsi="宋体" w:eastAsia="宋体" w:cs="宋体"/>
          <w:color w:val="auto"/>
          <w:highlight w:val="none"/>
        </w:rPr>
        <w:t>投诉事项1：</w:t>
      </w:r>
    </w:p>
    <w:p w14:paraId="5DFEF41E">
      <w:pPr>
        <w:pStyle w:val="20"/>
        <w:rPr>
          <w:rFonts w:hint="eastAsia" w:ascii="宋体" w:hAnsi="宋体" w:eastAsia="宋体" w:cs="宋体"/>
          <w:color w:val="auto"/>
          <w:highlight w:val="none"/>
        </w:rPr>
      </w:pPr>
      <w:r>
        <w:rPr>
          <w:rFonts w:hint="eastAsia" w:ascii="宋体" w:hAnsi="宋体" w:eastAsia="宋体" w:cs="宋体"/>
          <w:color w:val="auto"/>
          <w:highlight w:val="none"/>
        </w:rPr>
        <w:t>事实依据：</w:t>
      </w:r>
    </w:p>
    <w:p w14:paraId="5541DCE2">
      <w:pPr>
        <w:pStyle w:val="20"/>
        <w:rPr>
          <w:rFonts w:hint="eastAsia" w:ascii="宋体" w:hAnsi="宋体" w:eastAsia="宋体" w:cs="宋体"/>
          <w:color w:val="auto"/>
          <w:highlight w:val="none"/>
        </w:rPr>
      </w:pPr>
    </w:p>
    <w:p w14:paraId="463DD8ED">
      <w:pPr>
        <w:pStyle w:val="20"/>
        <w:rPr>
          <w:rFonts w:hint="eastAsia" w:ascii="宋体" w:hAnsi="宋体" w:eastAsia="宋体" w:cs="宋体"/>
          <w:color w:val="auto"/>
          <w:highlight w:val="none"/>
        </w:rPr>
      </w:pPr>
      <w:r>
        <w:rPr>
          <w:rFonts w:hint="eastAsia" w:ascii="宋体" w:hAnsi="宋体" w:eastAsia="宋体" w:cs="宋体"/>
          <w:color w:val="auto"/>
          <w:highlight w:val="none"/>
        </w:rPr>
        <w:t>法律依据：</w:t>
      </w:r>
    </w:p>
    <w:p w14:paraId="160AB9B0">
      <w:pPr>
        <w:pStyle w:val="20"/>
        <w:rPr>
          <w:rFonts w:hint="eastAsia" w:ascii="宋体" w:hAnsi="宋体" w:eastAsia="宋体" w:cs="宋体"/>
          <w:color w:val="auto"/>
          <w:highlight w:val="none"/>
        </w:rPr>
      </w:pPr>
    </w:p>
    <w:p w14:paraId="51FD0393">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投诉事项2  </w:t>
      </w:r>
    </w:p>
    <w:p w14:paraId="22AF8F8C">
      <w:pPr>
        <w:pStyle w:val="20"/>
        <w:rPr>
          <w:rFonts w:hint="eastAsia" w:ascii="宋体" w:hAnsi="宋体" w:eastAsia="宋体" w:cs="宋体"/>
          <w:color w:val="auto"/>
          <w:highlight w:val="none"/>
        </w:rPr>
      </w:pPr>
      <w:r>
        <w:rPr>
          <w:rFonts w:hint="eastAsia" w:ascii="宋体" w:hAnsi="宋体" w:eastAsia="宋体" w:cs="宋体"/>
          <w:color w:val="auto"/>
          <w:highlight w:val="none"/>
        </w:rPr>
        <w:t>……</w:t>
      </w:r>
    </w:p>
    <w:p w14:paraId="0E10CCA5">
      <w:pPr>
        <w:pStyle w:val="20"/>
        <w:rPr>
          <w:rFonts w:hint="eastAsia" w:ascii="宋体" w:hAnsi="宋体" w:eastAsia="宋体" w:cs="宋体"/>
          <w:color w:val="auto"/>
          <w:highlight w:val="none"/>
        </w:rPr>
      </w:pPr>
      <w:r>
        <w:rPr>
          <w:rFonts w:hint="eastAsia" w:ascii="宋体" w:hAnsi="宋体" w:eastAsia="宋体" w:cs="宋体"/>
          <w:color w:val="auto"/>
          <w:highlight w:val="none"/>
        </w:rPr>
        <w:t>五、与投诉事项相关的投诉请求：</w:t>
      </w:r>
    </w:p>
    <w:p w14:paraId="3ABAA756">
      <w:pPr>
        <w:pStyle w:val="20"/>
        <w:rPr>
          <w:rFonts w:hint="eastAsia" w:ascii="宋体" w:hAnsi="宋体" w:eastAsia="宋体" w:cs="宋体"/>
          <w:color w:val="auto"/>
          <w:highlight w:val="none"/>
        </w:rPr>
      </w:pPr>
      <w:r>
        <w:rPr>
          <w:rFonts w:hint="eastAsia" w:ascii="宋体" w:hAnsi="宋体" w:eastAsia="宋体" w:cs="宋体"/>
          <w:color w:val="auto"/>
          <w:highlight w:val="none"/>
        </w:rPr>
        <w:t>请求：</w:t>
      </w:r>
    </w:p>
    <w:p w14:paraId="7DD3A8EE">
      <w:pPr>
        <w:pStyle w:val="20"/>
        <w:rPr>
          <w:rFonts w:hint="eastAsia" w:ascii="宋体" w:hAnsi="宋体" w:eastAsia="宋体" w:cs="宋体"/>
          <w:color w:val="auto"/>
          <w:highlight w:val="none"/>
        </w:rPr>
      </w:pPr>
    </w:p>
    <w:p w14:paraId="103FA501">
      <w:pPr>
        <w:pStyle w:val="20"/>
        <w:rPr>
          <w:rFonts w:hint="eastAsia" w:ascii="宋体" w:hAnsi="宋体" w:eastAsia="宋体" w:cs="宋体"/>
          <w:color w:val="auto"/>
          <w:highlight w:val="none"/>
        </w:rPr>
      </w:pPr>
      <w:r>
        <w:rPr>
          <w:rFonts w:hint="eastAsia" w:ascii="宋体" w:hAnsi="宋体" w:eastAsia="宋体" w:cs="宋体"/>
          <w:color w:val="auto"/>
          <w:highlight w:val="none"/>
        </w:rPr>
        <w:t>签字（签章）：                                       公章：</w:t>
      </w:r>
    </w:p>
    <w:p w14:paraId="12755AE6">
      <w:pPr>
        <w:pStyle w:val="20"/>
        <w:rPr>
          <w:rFonts w:hint="eastAsia" w:ascii="宋体" w:hAnsi="宋体" w:eastAsia="宋体" w:cs="宋体"/>
          <w:color w:val="auto"/>
          <w:highlight w:val="none"/>
        </w:rPr>
      </w:pPr>
    </w:p>
    <w:p w14:paraId="4D0B45DA">
      <w:pPr>
        <w:pStyle w:val="20"/>
        <w:rPr>
          <w:rFonts w:hint="eastAsia" w:ascii="宋体" w:hAnsi="宋体" w:eastAsia="宋体" w:cs="宋体"/>
          <w:color w:val="auto"/>
          <w:highlight w:val="none"/>
        </w:rPr>
      </w:pPr>
      <w:r>
        <w:rPr>
          <w:rFonts w:hint="eastAsia" w:ascii="宋体" w:hAnsi="宋体" w:eastAsia="宋体" w:cs="宋体"/>
          <w:color w:val="auto"/>
          <w:highlight w:val="none"/>
        </w:rPr>
        <w:t>日期：</w:t>
      </w:r>
    </w:p>
    <w:p w14:paraId="6AA2613F">
      <w:pPr>
        <w:pStyle w:val="20"/>
        <w:rPr>
          <w:rFonts w:hint="eastAsia" w:ascii="宋体" w:hAnsi="宋体" w:eastAsia="宋体" w:cs="宋体"/>
          <w:color w:val="auto"/>
          <w:highlight w:val="none"/>
        </w:rPr>
      </w:pPr>
      <w:r>
        <w:rPr>
          <w:rFonts w:hint="eastAsia" w:ascii="宋体" w:hAnsi="宋体" w:eastAsia="宋体" w:cs="宋体"/>
          <w:color w:val="auto"/>
          <w:highlight w:val="none"/>
        </w:rPr>
        <w:t>说明：</w:t>
      </w:r>
    </w:p>
    <w:p w14:paraId="4FCB621C">
      <w:pPr>
        <w:pStyle w:val="20"/>
        <w:rPr>
          <w:rFonts w:hint="eastAsia" w:ascii="宋体" w:hAnsi="宋体" w:eastAsia="宋体" w:cs="宋体"/>
          <w:color w:val="auto"/>
          <w:highlight w:val="none"/>
        </w:rPr>
      </w:pPr>
      <w:r>
        <w:rPr>
          <w:rFonts w:hint="eastAsia" w:ascii="宋体" w:hAnsi="宋体" w:eastAsia="宋体" w:cs="宋体"/>
          <w:color w:val="auto"/>
          <w:highlight w:val="none"/>
        </w:rPr>
        <w:t>1.投诉人提起投诉时，应当提交投诉书和必要的证明材料，并按照被投诉人和与投诉事项有关的供应商数量提供投诉书副本。</w:t>
      </w:r>
    </w:p>
    <w:p w14:paraId="565CA17C">
      <w:pPr>
        <w:pStyle w:val="20"/>
        <w:rPr>
          <w:rFonts w:hint="eastAsia" w:ascii="宋体" w:hAnsi="宋体" w:eastAsia="宋体" w:cs="宋体"/>
          <w:color w:val="auto"/>
          <w:highlight w:val="none"/>
        </w:rPr>
      </w:pPr>
      <w:r>
        <w:rPr>
          <w:rFonts w:hint="eastAsia" w:ascii="宋体" w:hAnsi="宋体" w:eastAsia="宋体" w:cs="宋体"/>
          <w:color w:val="auto"/>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148E73D">
      <w:pPr>
        <w:pStyle w:val="20"/>
        <w:rPr>
          <w:rFonts w:hint="eastAsia" w:ascii="宋体" w:hAnsi="宋体" w:eastAsia="宋体" w:cs="宋体"/>
          <w:color w:val="auto"/>
          <w:highlight w:val="none"/>
        </w:rPr>
      </w:pPr>
      <w:r>
        <w:rPr>
          <w:rFonts w:hint="eastAsia" w:ascii="宋体" w:hAnsi="宋体" w:eastAsia="宋体" w:cs="宋体"/>
          <w:color w:val="auto"/>
          <w:highlight w:val="none"/>
        </w:rPr>
        <w:t>3.投诉书应简要列明质疑事项，质疑函、质疑答复等作为附件材料提供。</w:t>
      </w:r>
    </w:p>
    <w:p w14:paraId="381AC004">
      <w:pPr>
        <w:pStyle w:val="20"/>
        <w:rPr>
          <w:rFonts w:hint="eastAsia" w:ascii="宋体" w:hAnsi="宋体" w:eastAsia="宋体" w:cs="宋体"/>
          <w:color w:val="auto"/>
          <w:highlight w:val="none"/>
        </w:rPr>
      </w:pPr>
      <w:r>
        <w:rPr>
          <w:rFonts w:hint="eastAsia" w:ascii="宋体" w:hAnsi="宋体" w:eastAsia="宋体" w:cs="宋体"/>
          <w:color w:val="auto"/>
          <w:highlight w:val="none"/>
        </w:rPr>
        <w:t>4.投诉书的投诉事项应具体、明确，并有必要的事实依据和法律依据。</w:t>
      </w:r>
    </w:p>
    <w:p w14:paraId="2C7A8FDD">
      <w:pPr>
        <w:pStyle w:val="20"/>
        <w:rPr>
          <w:rFonts w:hint="eastAsia" w:ascii="宋体" w:hAnsi="宋体" w:eastAsia="宋体" w:cs="宋体"/>
          <w:color w:val="auto"/>
          <w:highlight w:val="none"/>
        </w:rPr>
      </w:pPr>
      <w:r>
        <w:rPr>
          <w:rFonts w:hint="eastAsia" w:ascii="宋体" w:hAnsi="宋体" w:eastAsia="宋体" w:cs="宋体"/>
          <w:color w:val="auto"/>
          <w:highlight w:val="none"/>
        </w:rPr>
        <w:t>5.投诉书的投诉请求应与投诉事项相关。</w:t>
      </w:r>
    </w:p>
    <w:p w14:paraId="49AA7127">
      <w:pPr>
        <w:pStyle w:val="20"/>
        <w:rPr>
          <w:rFonts w:hint="eastAsia" w:ascii="宋体" w:hAnsi="宋体" w:eastAsia="宋体" w:cs="宋体"/>
          <w:color w:val="auto"/>
          <w:highlight w:val="none"/>
        </w:rPr>
      </w:pPr>
      <w:r>
        <w:rPr>
          <w:rFonts w:hint="eastAsia" w:ascii="宋体" w:hAnsi="宋体" w:eastAsia="宋体" w:cs="宋体"/>
          <w:color w:val="auto"/>
          <w:highlight w:val="none"/>
        </w:rPr>
        <w:t>6.投诉人为自然人的，投诉书应由本人签字；投诉人为法人或者其他组织的，投诉书应由法定代表人、主要负责人，或者其授权代表签字或者盖章，并加盖公章。</w:t>
      </w:r>
    </w:p>
    <w:p w14:paraId="396A7B3C">
      <w:pPr>
        <w:pStyle w:val="20"/>
        <w:rPr>
          <w:rFonts w:hint="eastAsia" w:ascii="宋体" w:hAnsi="宋体" w:eastAsia="宋体" w:cs="宋体"/>
          <w:color w:val="auto"/>
          <w:highlight w:val="none"/>
        </w:rPr>
      </w:pPr>
    </w:p>
    <w:p w14:paraId="3BF5CF6B">
      <w:pPr>
        <w:pStyle w:val="20"/>
        <w:rPr>
          <w:rFonts w:hint="eastAsia" w:ascii="宋体" w:hAnsi="宋体" w:eastAsia="宋体" w:cs="宋体"/>
          <w:color w:val="auto"/>
          <w:highlight w:val="none"/>
        </w:rPr>
      </w:pPr>
    </w:p>
    <w:p w14:paraId="7F61FA7E">
      <w:pPr>
        <w:tabs>
          <w:tab w:val="center" w:pos="4410"/>
          <w:tab w:val="left" w:pos="6735"/>
        </w:tabs>
        <w:wordWrap w:val="0"/>
        <w:spacing w:line="480" w:lineRule="auto"/>
        <w:jc w:val="center"/>
        <w:rPr>
          <w:rFonts w:hint="eastAsia" w:ascii="宋体" w:hAnsi="宋体" w:eastAsia="宋体" w:cs="宋体"/>
          <w:b/>
          <w:color w:val="auto"/>
          <w:kern w:val="0"/>
          <w:sz w:val="32"/>
          <w:szCs w:val="32"/>
          <w:highlight w:val="none"/>
        </w:rPr>
      </w:pPr>
    </w:p>
    <w:p w14:paraId="36CC58CB">
      <w:pPr>
        <w:tabs>
          <w:tab w:val="center" w:pos="4410"/>
          <w:tab w:val="left" w:pos="6735"/>
        </w:tabs>
        <w:wordWrap w:val="0"/>
        <w:spacing w:line="480" w:lineRule="auto"/>
        <w:jc w:val="center"/>
        <w:rPr>
          <w:rFonts w:hint="eastAsia" w:ascii="宋体" w:hAnsi="宋体" w:eastAsia="宋体" w:cs="宋体"/>
          <w:b/>
          <w:color w:val="auto"/>
          <w:kern w:val="0"/>
          <w:sz w:val="32"/>
          <w:szCs w:val="32"/>
          <w:highlight w:val="none"/>
        </w:rPr>
      </w:pPr>
    </w:p>
    <w:p w14:paraId="38061098">
      <w:pPr>
        <w:pStyle w:val="17"/>
        <w:rPr>
          <w:rFonts w:hint="eastAsia" w:ascii="宋体" w:hAnsi="宋体" w:eastAsia="宋体" w:cs="宋体"/>
          <w:color w:val="auto"/>
          <w:highlight w:val="none"/>
        </w:rPr>
      </w:pPr>
    </w:p>
    <w:p w14:paraId="73FB5AD9">
      <w:pPr>
        <w:pStyle w:val="17"/>
        <w:rPr>
          <w:rFonts w:hint="eastAsia" w:ascii="宋体" w:hAnsi="宋体" w:eastAsia="宋体" w:cs="宋体"/>
          <w:color w:val="auto"/>
          <w:highlight w:val="none"/>
        </w:rPr>
      </w:pPr>
    </w:p>
    <w:p w14:paraId="14F301CD">
      <w:pPr>
        <w:pStyle w:val="17"/>
        <w:rPr>
          <w:rFonts w:hint="eastAsia" w:ascii="宋体" w:hAnsi="宋体" w:eastAsia="宋体" w:cs="宋体"/>
          <w:color w:val="auto"/>
          <w:highlight w:val="none"/>
        </w:rPr>
      </w:pPr>
    </w:p>
    <w:p w14:paraId="5A2226D4">
      <w:pPr>
        <w:pStyle w:val="17"/>
        <w:rPr>
          <w:rFonts w:hint="eastAsia" w:ascii="宋体" w:hAnsi="宋体" w:eastAsia="宋体" w:cs="宋体"/>
          <w:color w:val="auto"/>
          <w:highlight w:val="none"/>
        </w:rPr>
      </w:pPr>
    </w:p>
    <w:p w14:paraId="5A40FC3F">
      <w:pPr>
        <w:pStyle w:val="17"/>
        <w:rPr>
          <w:rFonts w:hint="eastAsia" w:ascii="宋体" w:hAnsi="宋体" w:eastAsia="宋体" w:cs="宋体"/>
          <w:color w:val="auto"/>
          <w:highlight w:val="none"/>
        </w:rPr>
      </w:pPr>
    </w:p>
    <w:p w14:paraId="13AEFBE2">
      <w:pPr>
        <w:pStyle w:val="17"/>
        <w:rPr>
          <w:rFonts w:hint="eastAsia" w:ascii="宋体" w:hAnsi="宋体" w:eastAsia="宋体" w:cs="宋体"/>
          <w:color w:val="auto"/>
          <w:highlight w:val="none"/>
        </w:rPr>
      </w:pPr>
    </w:p>
    <w:p w14:paraId="45F59324">
      <w:pPr>
        <w:wordWrap w:val="0"/>
        <w:rPr>
          <w:rFonts w:hint="eastAsia" w:ascii="宋体" w:hAnsi="宋体" w:eastAsia="宋体" w:cs="宋体"/>
          <w:color w:val="auto"/>
          <w:highlight w:val="none"/>
        </w:rPr>
      </w:pPr>
    </w:p>
    <w:p w14:paraId="4E4774D0">
      <w:pPr>
        <w:pStyle w:val="17"/>
        <w:rPr>
          <w:rFonts w:hint="eastAsia" w:ascii="宋体" w:hAnsi="宋体" w:eastAsia="宋体" w:cs="宋体"/>
          <w:color w:val="auto"/>
          <w:highlight w:val="none"/>
        </w:rPr>
      </w:pPr>
    </w:p>
    <w:p w14:paraId="0CF58E8C">
      <w:pPr>
        <w:wordWrap w:val="0"/>
        <w:rPr>
          <w:rFonts w:hint="eastAsia" w:ascii="宋体" w:hAnsi="宋体" w:eastAsia="宋体" w:cs="宋体"/>
          <w:color w:val="auto"/>
          <w:highlight w:val="none"/>
        </w:rPr>
      </w:pPr>
    </w:p>
    <w:p w14:paraId="3B0EDEF4">
      <w:pPr>
        <w:pStyle w:val="17"/>
        <w:rPr>
          <w:rFonts w:hint="eastAsia" w:ascii="宋体" w:hAnsi="宋体" w:eastAsia="宋体" w:cs="宋体"/>
          <w:color w:val="auto"/>
          <w:highlight w:val="none"/>
        </w:rPr>
      </w:pPr>
    </w:p>
    <w:p w14:paraId="4C1FCC06">
      <w:pPr>
        <w:wordWrap w:val="0"/>
        <w:rPr>
          <w:rFonts w:hint="eastAsia" w:ascii="宋体" w:hAnsi="宋体" w:eastAsia="宋体" w:cs="宋体"/>
          <w:color w:val="auto"/>
          <w:highlight w:val="none"/>
        </w:rPr>
      </w:pPr>
    </w:p>
    <w:p w14:paraId="30D86BDE">
      <w:pPr>
        <w:wordWrap w:val="0"/>
        <w:rPr>
          <w:rFonts w:hint="eastAsia" w:ascii="宋体" w:hAnsi="宋体" w:eastAsia="宋体" w:cs="宋体"/>
          <w:color w:val="auto"/>
          <w:highlight w:val="none"/>
        </w:rPr>
      </w:pPr>
    </w:p>
    <w:p w14:paraId="1ABF1353">
      <w:pPr>
        <w:wordWrap w:val="0"/>
        <w:rPr>
          <w:rFonts w:hint="eastAsia" w:ascii="宋体" w:hAnsi="宋体" w:eastAsia="宋体" w:cs="宋体"/>
          <w:b/>
          <w:color w:val="auto"/>
          <w:sz w:val="28"/>
          <w:szCs w:val="28"/>
          <w:highlight w:val="none"/>
        </w:rPr>
      </w:pPr>
    </w:p>
    <w:p w14:paraId="5C96BF46">
      <w:pPr>
        <w:wordWrap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附表3：</w:t>
      </w:r>
      <w:r>
        <w:rPr>
          <w:rFonts w:hint="eastAsia" w:ascii="宋体" w:hAnsi="宋体" w:eastAsia="宋体" w:cs="宋体"/>
          <w:b/>
          <w:color w:val="auto"/>
          <w:sz w:val="28"/>
          <w:szCs w:val="28"/>
          <w:highlight w:val="none"/>
        </w:rPr>
        <w:tab/>
      </w:r>
    </w:p>
    <w:p w14:paraId="7D605B7B">
      <w:pPr>
        <w:wordWrap w:val="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drawing>
          <wp:inline distT="0" distB="0" distL="0" distR="0">
            <wp:extent cx="5890260" cy="8313420"/>
            <wp:effectExtent l="19050" t="0" r="0" b="0"/>
            <wp:docPr id="1" name="图片 4" descr="QQ图片2022051215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QQ图片20220512155052"/>
                    <pic:cNvPicPr>
                      <a:picLocks noChangeAspect="1" noChangeArrowheads="1"/>
                    </pic:cNvPicPr>
                  </pic:nvPicPr>
                  <pic:blipFill>
                    <a:blip r:embed="rId12"/>
                    <a:srcRect/>
                    <a:stretch>
                      <a:fillRect/>
                    </a:stretch>
                  </pic:blipFill>
                  <pic:spPr>
                    <a:xfrm>
                      <a:off x="0" y="0"/>
                      <a:ext cx="5890260" cy="8313420"/>
                    </a:xfrm>
                    <a:prstGeom prst="rect">
                      <a:avLst/>
                    </a:prstGeom>
                    <a:noFill/>
                    <a:ln w="9525">
                      <a:noFill/>
                      <a:miter lim="800000"/>
                      <a:headEnd/>
                      <a:tailEnd/>
                    </a:ln>
                  </pic:spPr>
                </pic:pic>
              </a:graphicData>
            </a:graphic>
          </wp:inline>
        </w:drawing>
      </w:r>
    </w:p>
    <w:p w14:paraId="2E8B1E16">
      <w:pPr>
        <w:wordWrap w:val="0"/>
        <w:jc w:val="center"/>
        <w:outlineLvl w:val="0"/>
        <w:rPr>
          <w:rFonts w:hint="eastAsia" w:ascii="宋体" w:hAnsi="宋体" w:eastAsia="宋体" w:cs="宋体"/>
          <w:b/>
          <w:color w:val="auto"/>
          <w:kern w:val="0"/>
          <w:sz w:val="32"/>
          <w:szCs w:val="32"/>
          <w:highlight w:val="none"/>
        </w:rPr>
      </w:pPr>
      <w:bookmarkStart w:id="87" w:name="_Toc4513"/>
      <w:r>
        <w:rPr>
          <w:rFonts w:hint="eastAsia" w:ascii="宋体" w:hAnsi="宋体" w:eastAsia="宋体" w:cs="宋体"/>
          <w:b/>
          <w:color w:val="auto"/>
          <w:kern w:val="0"/>
          <w:sz w:val="32"/>
          <w:szCs w:val="32"/>
          <w:highlight w:val="none"/>
        </w:rPr>
        <w:t>第三章  项目需求</w:t>
      </w:r>
      <w:bookmarkEnd w:id="87"/>
    </w:p>
    <w:p w14:paraId="0BC612B5">
      <w:pPr>
        <w:wordWrap w:val="0"/>
        <w:spacing w:line="40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 Ⅰ.说明：</w:t>
      </w:r>
    </w:p>
    <w:p w14:paraId="5188E0EE">
      <w:pPr>
        <w:wordWrap w:val="0"/>
        <w:adjustRightInd w:val="0"/>
        <w:snapToGrid w:val="0"/>
        <w:spacing w:line="400" w:lineRule="exact"/>
        <w:ind w:firstLine="422" w:firstLineChars="200"/>
        <w:rPr>
          <w:rFonts w:hint="eastAsia" w:ascii="宋体" w:hAnsi="宋体" w:eastAsia="宋体" w:cs="宋体"/>
          <w:b/>
          <w:bCs/>
          <w:color w:val="auto"/>
          <w:kern w:val="44"/>
          <w:szCs w:val="21"/>
          <w:highlight w:val="none"/>
          <w:lang w:val="zh-CN"/>
        </w:rPr>
      </w:pPr>
      <w:r>
        <w:rPr>
          <w:rFonts w:hint="eastAsia" w:ascii="宋体" w:hAnsi="宋体" w:eastAsia="宋体" w:cs="宋体"/>
          <w:b/>
          <w:color w:val="auto"/>
          <w:kern w:val="0"/>
          <w:szCs w:val="21"/>
          <w:highlight w:val="none"/>
        </w:rPr>
        <w:t>一、本项目所要执行的政府采购政策：</w:t>
      </w:r>
    </w:p>
    <w:p w14:paraId="3457EBF5">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1.根据《政府采购促进中小企业发展管理办法》（财库〔2020〕46号）及</w:t>
      </w:r>
      <w:r>
        <w:rPr>
          <w:rFonts w:hint="eastAsia" w:ascii="宋体" w:hAnsi="宋体" w:eastAsia="宋体" w:cs="宋体"/>
          <w:color w:val="auto"/>
          <w:szCs w:val="21"/>
          <w:highlight w:val="none"/>
        </w:rPr>
        <w:t>《广西壮族自治区财政厅关于贯彻落实政府采购支持中小企业发展政策的通知》（桂财采〔2022〕31号）</w:t>
      </w:r>
      <w:r>
        <w:rPr>
          <w:rFonts w:hint="eastAsia" w:ascii="宋体" w:hAnsi="宋体" w:eastAsia="宋体" w:cs="宋体"/>
          <w:color w:val="auto"/>
          <w:kern w:val="0"/>
          <w:szCs w:val="21"/>
          <w:highlight w:val="none"/>
        </w:rPr>
        <w:t>的规定，本项目专门面向中小企业采购。</w:t>
      </w:r>
    </w:p>
    <w:p w14:paraId="136382C1">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根据财政部、司法部关于政府采购支持监狱企业发展有关问题的通知（财库[2014]68号），监狱企业视同小型、微型企业，享受预留份额、评审中价格扣除等政府采购政策。监狱企业属于小型、微型企业的，不重复享受政策。</w:t>
      </w:r>
    </w:p>
    <w:p w14:paraId="1B184D0E">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4381DA1B">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4.优先采购节能产品、环境标志产品。</w:t>
      </w:r>
    </w:p>
    <w:p w14:paraId="4F6E7DA8">
      <w:pPr>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5.本项目为服务项目，不涉及强制采购节能产品。</w:t>
      </w:r>
    </w:p>
    <w:p w14:paraId="7EF6F198">
      <w:pPr>
        <w:wordWrap w:val="0"/>
        <w:spacing w:line="440" w:lineRule="exact"/>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Ⅱ.本项目标的所属行业</w:t>
      </w:r>
      <w:r>
        <w:rPr>
          <w:rFonts w:hint="eastAsia" w:ascii="宋体" w:hAnsi="宋体" w:eastAsia="宋体" w:cs="宋体"/>
          <w:b/>
          <w:bCs/>
          <w:color w:val="auto"/>
          <w:kern w:val="0"/>
          <w:szCs w:val="21"/>
          <w:highlight w:val="none"/>
        </w:rPr>
        <w:t>：采购标的属于批发业。</w:t>
      </w:r>
    </w:p>
    <w:p w14:paraId="4A0892B9">
      <w:pPr>
        <w:wordWrap w:val="0"/>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Ⅲ.项目需求</w:t>
      </w:r>
    </w:p>
    <w:p w14:paraId="235A623B">
      <w:pPr>
        <w:wordWrap w:val="0"/>
        <w:spacing w:line="44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分标1：</w:t>
      </w:r>
    </w:p>
    <w:p w14:paraId="2E33EBD4">
      <w:pPr>
        <w:wordWrap w:val="0"/>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一、基本需求</w:t>
      </w:r>
    </w:p>
    <w:p w14:paraId="516E03B1">
      <w:pPr>
        <w:widowControl/>
        <w:tabs>
          <w:tab w:val="left" w:pos="180"/>
          <w:tab w:val="left" w:pos="525"/>
          <w:tab w:val="left" w:pos="720"/>
        </w:tabs>
        <w:spacing w:line="38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   （一）项目政策依据</w:t>
      </w:r>
    </w:p>
    <w:p w14:paraId="1254337E">
      <w:pPr>
        <w:widowControl/>
        <w:tabs>
          <w:tab w:val="left" w:pos="180"/>
          <w:tab w:val="left" w:pos="525"/>
          <w:tab w:val="left" w:pos="720"/>
        </w:tabs>
        <w:spacing w:line="38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1.《关于进一步加强和规范农村义务教育学生营养改善计划招标采购工作的通知》〔全国学生营养办（2015）2号〕。</w:t>
      </w:r>
    </w:p>
    <w:p w14:paraId="337FA11A">
      <w:pPr>
        <w:widowControl/>
        <w:tabs>
          <w:tab w:val="left" w:pos="180"/>
          <w:tab w:val="left" w:pos="525"/>
          <w:tab w:val="left" w:pos="720"/>
        </w:tabs>
        <w:spacing w:line="38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2.《关于切实解决好当前营养改善计划实施中五个突出问题的通知》〔全国学生营养办（2013）3号〕。</w:t>
      </w:r>
    </w:p>
    <w:p w14:paraId="5462C974">
      <w:pPr>
        <w:widowControl/>
        <w:tabs>
          <w:tab w:val="left" w:pos="180"/>
          <w:tab w:val="left" w:pos="525"/>
          <w:tab w:val="left" w:pos="720"/>
        </w:tabs>
        <w:spacing w:line="38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3.餐费标准：每学年按在校天数195天，学生2000人计算，享受国家营养午餐补贴的学生按国家规定午餐享受财政资金5元/人/午餐。</w:t>
      </w:r>
    </w:p>
    <w:p w14:paraId="6864A07C">
      <w:pPr>
        <w:wordWrap w:val="0"/>
        <w:spacing w:line="44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   （二）服务内容及范围：</w:t>
      </w:r>
    </w:p>
    <w:p w14:paraId="15C05329">
      <w:pPr>
        <w:spacing w:line="400" w:lineRule="exact"/>
        <w:ind w:firstLine="424" w:firstLineChars="20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为</w:t>
      </w:r>
      <w:r>
        <w:rPr>
          <w:rFonts w:hint="eastAsia" w:ascii="宋体" w:hAnsi="宋体" w:eastAsia="宋体" w:cs="宋体"/>
          <w:color w:val="auto"/>
          <w:spacing w:val="1"/>
          <w:szCs w:val="21"/>
          <w:highlight w:val="none"/>
        </w:rPr>
        <w:t>桂林市七星区</w:t>
      </w:r>
      <w:bookmarkStart w:id="88" w:name="OLE_LINK94"/>
      <w:bookmarkStart w:id="89" w:name="OLE_LINK93"/>
      <w:bookmarkStart w:id="90" w:name="OLE_LINK95"/>
      <w:bookmarkStart w:id="91" w:name="OLE_LINK96"/>
      <w:r>
        <w:rPr>
          <w:rFonts w:hint="eastAsia" w:ascii="宋体" w:hAnsi="宋体" w:eastAsia="宋体" w:cs="宋体"/>
          <w:color w:val="auto"/>
          <w:spacing w:val="1"/>
          <w:szCs w:val="21"/>
          <w:highlight w:val="none"/>
        </w:rPr>
        <w:t>西南中心校及新建分校、合心中心校、龙门中心校及分校</w:t>
      </w:r>
      <w:bookmarkEnd w:id="88"/>
      <w:bookmarkEnd w:id="89"/>
      <w:r>
        <w:rPr>
          <w:rFonts w:hint="eastAsia" w:ascii="宋体" w:hAnsi="宋体" w:eastAsia="宋体" w:cs="宋体"/>
          <w:color w:val="auto"/>
          <w:spacing w:val="1"/>
          <w:szCs w:val="21"/>
          <w:highlight w:val="none"/>
        </w:rPr>
        <w:t>伙房</w:t>
      </w:r>
      <w:bookmarkEnd w:id="90"/>
      <w:bookmarkEnd w:id="91"/>
      <w:r>
        <w:rPr>
          <w:rFonts w:hint="eastAsia" w:ascii="宋体" w:hAnsi="宋体" w:eastAsia="宋体" w:cs="宋体"/>
          <w:color w:val="auto"/>
          <w:spacing w:val="1"/>
          <w:szCs w:val="21"/>
          <w:highlight w:val="none"/>
        </w:rPr>
        <w:t>提供</w:t>
      </w:r>
      <w:bookmarkStart w:id="92" w:name="OLE_LINK70"/>
      <w:bookmarkStart w:id="93" w:name="OLE_LINK141"/>
      <w:bookmarkStart w:id="94" w:name="OLE_LINK72"/>
      <w:bookmarkStart w:id="95" w:name="OLE_LINK218"/>
      <w:bookmarkStart w:id="96" w:name="OLE_LINK217"/>
      <w:r>
        <w:rPr>
          <w:rFonts w:hint="eastAsia" w:ascii="宋体" w:hAnsi="宋体" w:eastAsia="宋体" w:cs="宋体"/>
          <w:color w:val="auto"/>
          <w:spacing w:val="-4"/>
          <w:szCs w:val="21"/>
          <w:highlight w:val="none"/>
        </w:rPr>
        <w:t>禽畜肉类</w:t>
      </w:r>
      <w:r>
        <w:rPr>
          <w:rFonts w:hint="eastAsia" w:ascii="宋体" w:hAnsi="宋体" w:eastAsia="宋体" w:cs="宋体"/>
          <w:color w:val="auto"/>
          <w:spacing w:val="1"/>
          <w:szCs w:val="21"/>
          <w:highlight w:val="none"/>
        </w:rPr>
        <w:t>、</w:t>
      </w:r>
      <w:r>
        <w:rPr>
          <w:rFonts w:hint="eastAsia" w:ascii="宋体" w:hAnsi="宋体" w:eastAsia="宋体" w:cs="宋体"/>
          <w:color w:val="auto"/>
          <w:spacing w:val="-1"/>
          <w:szCs w:val="21"/>
          <w:highlight w:val="none"/>
        </w:rPr>
        <w:t>水产类</w:t>
      </w:r>
      <w:r>
        <w:rPr>
          <w:rFonts w:hint="eastAsia" w:ascii="宋体" w:hAnsi="宋体" w:eastAsia="宋体" w:cs="宋体"/>
          <w:color w:val="auto"/>
          <w:spacing w:val="-1"/>
          <w:szCs w:val="21"/>
          <w:highlight w:val="none"/>
        </w:rPr>
        <w:t>、</w:t>
      </w:r>
      <w:r>
        <w:rPr>
          <w:rFonts w:hint="eastAsia" w:ascii="宋体" w:hAnsi="宋体" w:eastAsia="宋体" w:cs="宋体"/>
          <w:color w:val="auto"/>
          <w:highlight w:val="none"/>
        </w:rPr>
        <w:t>豆制品类</w:t>
      </w:r>
      <w:r>
        <w:rPr>
          <w:rFonts w:hint="eastAsia" w:ascii="宋体" w:hAnsi="宋体" w:eastAsia="宋体" w:cs="宋体"/>
          <w:color w:val="auto"/>
          <w:szCs w:val="21"/>
          <w:highlight w:val="none"/>
        </w:rPr>
        <w:t>、蔬菜类</w:t>
      </w:r>
      <w:bookmarkEnd w:id="92"/>
      <w:bookmarkEnd w:id="93"/>
      <w:bookmarkEnd w:id="94"/>
      <w:r>
        <w:rPr>
          <w:rFonts w:hint="eastAsia" w:ascii="宋体" w:hAnsi="宋体" w:eastAsia="宋体" w:cs="宋体"/>
          <w:color w:val="auto"/>
          <w:szCs w:val="21"/>
          <w:highlight w:val="none"/>
        </w:rPr>
        <w:t>等食材</w:t>
      </w:r>
      <w:bookmarkEnd w:id="95"/>
      <w:bookmarkEnd w:id="96"/>
      <w:r>
        <w:rPr>
          <w:rFonts w:hint="eastAsia" w:ascii="宋体" w:hAnsi="宋体" w:eastAsia="宋体" w:cs="宋体"/>
          <w:color w:val="auto"/>
          <w:szCs w:val="21"/>
          <w:highlight w:val="none"/>
        </w:rPr>
        <w:t>配送服务</w:t>
      </w:r>
      <w:r>
        <w:rPr>
          <w:rFonts w:hint="eastAsia" w:ascii="宋体" w:hAnsi="宋体" w:eastAsia="宋体" w:cs="宋体"/>
          <w:color w:val="auto"/>
          <w:spacing w:val="1"/>
          <w:szCs w:val="21"/>
          <w:highlight w:val="none"/>
        </w:rPr>
        <w:t>。</w:t>
      </w:r>
    </w:p>
    <w:p w14:paraId="0334620A">
      <w:pPr>
        <w:spacing w:line="400" w:lineRule="exact"/>
        <w:rPr>
          <w:rFonts w:hint="eastAsia" w:ascii="宋体" w:hAnsi="宋体" w:eastAsia="宋体" w:cs="宋体"/>
          <w:color w:val="auto"/>
          <w:szCs w:val="21"/>
          <w:highlight w:val="none"/>
        </w:rPr>
      </w:pPr>
      <w:r>
        <w:rPr>
          <w:rFonts w:hint="eastAsia" w:ascii="宋体" w:hAnsi="宋体" w:eastAsia="宋体" w:cs="宋体"/>
          <w:b/>
          <w:bCs/>
          <w:color w:val="auto"/>
          <w:spacing w:val="1"/>
          <w:szCs w:val="21"/>
          <w:highlight w:val="none"/>
        </w:rPr>
        <w:t xml:space="preserve">    二、</w:t>
      </w:r>
      <w:r>
        <w:rPr>
          <w:rFonts w:hint="eastAsia" w:ascii="宋体" w:hAnsi="宋体" w:eastAsia="宋体" w:cs="宋体"/>
          <w:b/>
          <w:bCs/>
          <w:color w:val="auto"/>
          <w:spacing w:val="1"/>
          <w:szCs w:val="21"/>
          <w:highlight w:val="none"/>
        </w:rPr>
        <w:t>服务要求：</w:t>
      </w:r>
    </w:p>
    <w:p w14:paraId="061A8D4E">
      <w:pPr>
        <w:widowControl/>
        <w:tabs>
          <w:tab w:val="left" w:pos="180"/>
          <w:tab w:val="left" w:pos="525"/>
          <w:tab w:val="left" w:pos="720"/>
        </w:tabs>
        <w:spacing w:line="38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（一）配送内容</w:t>
      </w:r>
    </w:p>
    <w:p w14:paraId="2C7CA23F">
      <w:pPr>
        <w:widowControl/>
        <w:tabs>
          <w:tab w:val="left" w:pos="180"/>
          <w:tab w:val="left" w:pos="525"/>
          <w:tab w:val="left" w:pos="720"/>
        </w:tabs>
        <w:spacing w:line="360" w:lineRule="exact"/>
        <w:ind w:firstLine="424" w:firstLineChars="200"/>
        <w:rPr>
          <w:rFonts w:hint="eastAsia" w:ascii="宋体" w:hAnsi="宋体" w:eastAsia="宋体" w:cs="宋体"/>
          <w:color w:val="auto"/>
          <w:spacing w:val="-4"/>
          <w:szCs w:val="21"/>
          <w:highlight w:val="none"/>
        </w:rPr>
      </w:pPr>
      <w:r>
        <w:rPr>
          <w:rFonts w:hint="eastAsia" w:ascii="宋体" w:hAnsi="宋体" w:eastAsia="宋体" w:cs="宋体"/>
          <w:color w:val="auto"/>
          <w:spacing w:val="1"/>
          <w:szCs w:val="21"/>
          <w:highlight w:val="none"/>
        </w:rPr>
        <w:t>根据学校</w:t>
      </w:r>
      <w:r>
        <w:rPr>
          <w:rFonts w:hint="eastAsia" w:ascii="宋体" w:hAnsi="宋体" w:eastAsia="宋体" w:cs="宋体"/>
          <w:color w:val="auto"/>
          <w:spacing w:val="1"/>
          <w:szCs w:val="21"/>
          <w:highlight w:val="none"/>
        </w:rPr>
        <w:t>伙房</w:t>
      </w:r>
      <w:r>
        <w:rPr>
          <w:rFonts w:hint="eastAsia" w:ascii="宋体" w:hAnsi="宋体" w:eastAsia="宋体" w:cs="宋体"/>
          <w:color w:val="auto"/>
          <w:spacing w:val="1"/>
          <w:szCs w:val="21"/>
          <w:highlight w:val="none"/>
        </w:rPr>
        <w:t>的采购计划，向学校</w:t>
      </w:r>
      <w:r>
        <w:rPr>
          <w:rFonts w:hint="eastAsia" w:ascii="宋体" w:hAnsi="宋体" w:eastAsia="宋体" w:cs="宋体"/>
          <w:color w:val="auto"/>
          <w:spacing w:val="1"/>
          <w:szCs w:val="21"/>
          <w:highlight w:val="none"/>
        </w:rPr>
        <w:t>伙房</w:t>
      </w:r>
      <w:r>
        <w:rPr>
          <w:rFonts w:hint="eastAsia" w:ascii="宋体" w:hAnsi="宋体" w:eastAsia="宋体" w:cs="宋体"/>
          <w:color w:val="auto"/>
          <w:spacing w:val="1"/>
          <w:szCs w:val="21"/>
          <w:highlight w:val="none"/>
        </w:rPr>
        <w:t>报备后，为学校</w:t>
      </w:r>
      <w:r>
        <w:rPr>
          <w:rFonts w:hint="eastAsia" w:ascii="宋体" w:hAnsi="宋体" w:eastAsia="宋体" w:cs="宋体"/>
          <w:color w:val="auto"/>
          <w:spacing w:val="1"/>
          <w:szCs w:val="21"/>
          <w:highlight w:val="none"/>
        </w:rPr>
        <w:t>伙房</w:t>
      </w:r>
      <w:r>
        <w:rPr>
          <w:rFonts w:hint="eastAsia" w:ascii="宋体" w:hAnsi="宋体" w:eastAsia="宋体" w:cs="宋体"/>
          <w:color w:val="auto"/>
          <w:spacing w:val="1"/>
          <w:szCs w:val="21"/>
          <w:highlight w:val="none"/>
        </w:rPr>
        <w:t>提供以下（包含但不</w:t>
      </w:r>
      <w:r>
        <w:rPr>
          <w:rFonts w:hint="eastAsia" w:ascii="宋体" w:hAnsi="宋体" w:eastAsia="宋体" w:cs="宋体"/>
          <w:color w:val="auto"/>
          <w:spacing w:val="-4"/>
          <w:szCs w:val="21"/>
          <w:highlight w:val="none"/>
        </w:rPr>
        <w:t>限于）</w:t>
      </w:r>
      <w:r>
        <w:rPr>
          <w:rFonts w:hint="eastAsia" w:ascii="宋体" w:hAnsi="宋体" w:eastAsia="宋体" w:cs="宋体"/>
          <w:color w:val="auto"/>
          <w:spacing w:val="-4"/>
          <w:szCs w:val="21"/>
          <w:highlight w:val="none"/>
        </w:rPr>
        <w:t>：</w:t>
      </w:r>
      <w:r>
        <w:rPr>
          <w:rFonts w:hint="eastAsia" w:ascii="宋体" w:hAnsi="宋体" w:eastAsia="宋体" w:cs="宋体"/>
          <w:color w:val="auto"/>
          <w:spacing w:val="-4"/>
          <w:szCs w:val="21"/>
          <w:highlight w:val="none"/>
        </w:rPr>
        <w:t>禽畜肉类：猪肉、牛肉、羊肉、鸡肉、鸭肉等肉类；</w:t>
      </w:r>
      <w:r>
        <w:rPr>
          <w:rFonts w:hint="eastAsia" w:ascii="宋体" w:hAnsi="宋体" w:eastAsia="宋体" w:cs="宋体"/>
          <w:color w:val="auto"/>
          <w:spacing w:val="-1"/>
          <w:szCs w:val="21"/>
          <w:highlight w:val="none"/>
        </w:rPr>
        <w:t>水产类：淡水鱼、海鱼、虾、蟹、海带、带壳类海鲜</w:t>
      </w:r>
      <w:r>
        <w:rPr>
          <w:rFonts w:hint="eastAsia" w:ascii="宋体" w:hAnsi="宋体" w:eastAsia="宋体" w:cs="宋体"/>
          <w:color w:val="auto"/>
          <w:szCs w:val="21"/>
          <w:highlight w:val="none"/>
        </w:rPr>
        <w:t>；</w:t>
      </w:r>
      <w:bookmarkStart w:id="97" w:name="OLE_LINK92"/>
      <w:bookmarkStart w:id="98" w:name="OLE_LINK91"/>
      <w:bookmarkStart w:id="99" w:name="OLE_LINK27"/>
      <w:bookmarkStart w:id="100" w:name="OLE_LINK26"/>
      <w:r>
        <w:rPr>
          <w:rFonts w:hint="eastAsia" w:ascii="宋体" w:hAnsi="宋体" w:eastAsia="宋体" w:cs="宋体"/>
          <w:color w:val="auto"/>
          <w:highlight w:val="none"/>
        </w:rPr>
        <w:t>豆制品类</w:t>
      </w:r>
      <w:bookmarkEnd w:id="97"/>
      <w:bookmarkEnd w:id="98"/>
      <w:r>
        <w:rPr>
          <w:rFonts w:hint="eastAsia" w:ascii="宋体" w:hAnsi="宋体" w:eastAsia="宋体" w:cs="宋体"/>
          <w:color w:val="auto"/>
          <w:highlight w:val="none"/>
        </w:rPr>
        <w:t>：鲜豆腐、豆腐干、腐竹；</w:t>
      </w:r>
      <w:r>
        <w:rPr>
          <w:rFonts w:hint="eastAsia" w:ascii="宋体" w:hAnsi="宋体" w:eastAsia="宋体" w:cs="宋体"/>
          <w:color w:val="auto"/>
          <w:szCs w:val="21"/>
          <w:highlight w:val="none"/>
        </w:rPr>
        <w:t>蔬菜</w:t>
      </w:r>
      <w:bookmarkEnd w:id="99"/>
      <w:bookmarkEnd w:id="100"/>
      <w:r>
        <w:rPr>
          <w:rFonts w:hint="eastAsia" w:ascii="宋体" w:hAnsi="宋体" w:eastAsia="宋体" w:cs="宋体"/>
          <w:color w:val="auto"/>
          <w:szCs w:val="21"/>
          <w:highlight w:val="none"/>
        </w:rPr>
        <w:t>类：各类蔬菜、</w:t>
      </w:r>
      <w:r>
        <w:rPr>
          <w:rFonts w:hint="eastAsia" w:ascii="宋体" w:hAnsi="宋体" w:eastAsia="宋体" w:cs="宋体"/>
          <w:color w:val="auto"/>
          <w:spacing w:val="-1"/>
          <w:szCs w:val="21"/>
          <w:highlight w:val="none"/>
        </w:rPr>
        <w:t>芋头、红薯、黄瓜、鲜笋、萝卜、冬瓜、豆角、西红柿</w:t>
      </w:r>
      <w:r>
        <w:rPr>
          <w:rFonts w:hint="eastAsia" w:ascii="宋体" w:hAnsi="宋体" w:eastAsia="宋体" w:cs="宋体"/>
          <w:color w:val="auto"/>
          <w:spacing w:val="-1"/>
          <w:szCs w:val="21"/>
          <w:highlight w:val="none"/>
        </w:rPr>
        <w:t>、</w:t>
      </w:r>
      <w:r>
        <w:rPr>
          <w:rFonts w:hint="eastAsia" w:ascii="宋体" w:hAnsi="宋体" w:eastAsia="宋体" w:cs="宋体"/>
          <w:color w:val="auto"/>
          <w:spacing w:val="-1"/>
          <w:szCs w:val="21"/>
          <w:highlight w:val="none"/>
        </w:rPr>
        <w:t>黄豆、青豆、豌豆等食材配送服务。由于某些食材具有地域性、时令性等特点，采购人根据实际情</w:t>
      </w:r>
      <w:r>
        <w:rPr>
          <w:rFonts w:hint="eastAsia" w:ascii="宋体" w:hAnsi="宋体" w:eastAsia="宋体" w:cs="宋体"/>
          <w:color w:val="auto"/>
          <w:spacing w:val="-4"/>
          <w:szCs w:val="21"/>
          <w:highlight w:val="none"/>
        </w:rPr>
        <w:t>况选定品种</w:t>
      </w:r>
      <w:r>
        <w:rPr>
          <w:rFonts w:hint="eastAsia" w:ascii="宋体" w:hAnsi="宋体" w:eastAsia="宋体" w:cs="宋体"/>
          <w:color w:val="auto"/>
          <w:spacing w:val="-4"/>
          <w:szCs w:val="21"/>
          <w:highlight w:val="none"/>
        </w:rPr>
        <w:t>。</w:t>
      </w:r>
    </w:p>
    <w:p w14:paraId="3584D259">
      <w:pPr>
        <w:spacing w:line="400" w:lineRule="exact"/>
        <w:rPr>
          <w:rFonts w:hint="eastAsia" w:ascii="宋体" w:hAnsi="宋体" w:eastAsia="宋体" w:cs="宋体"/>
          <w:color w:val="auto"/>
          <w:spacing w:val="1"/>
          <w:szCs w:val="21"/>
          <w:highlight w:val="none"/>
        </w:rPr>
      </w:pPr>
      <w:r>
        <w:rPr>
          <w:rFonts w:hint="eastAsia" w:ascii="宋体" w:hAnsi="宋体" w:eastAsia="宋体" w:cs="宋体"/>
          <w:b/>
          <w:bCs/>
          <w:color w:val="auto"/>
          <w:spacing w:val="-7"/>
          <w:szCs w:val="21"/>
          <w:highlight w:val="none"/>
        </w:rPr>
        <w:t xml:space="preserve">    （二）</w:t>
      </w:r>
      <w:r>
        <w:rPr>
          <w:rFonts w:hint="eastAsia" w:ascii="宋体" w:hAnsi="宋体" w:eastAsia="宋体" w:cs="宋体"/>
          <w:b/>
          <w:bCs/>
          <w:color w:val="auto"/>
          <w:spacing w:val="-7"/>
          <w:szCs w:val="21"/>
          <w:highlight w:val="none"/>
        </w:rPr>
        <w:t>配送</w:t>
      </w:r>
      <w:r>
        <w:rPr>
          <w:rFonts w:hint="eastAsia" w:ascii="宋体" w:hAnsi="宋体" w:eastAsia="宋体" w:cs="宋体"/>
          <w:b/>
          <w:bCs/>
          <w:color w:val="auto"/>
          <w:spacing w:val="-7"/>
          <w:szCs w:val="21"/>
          <w:highlight w:val="none"/>
        </w:rPr>
        <w:t>标准</w:t>
      </w:r>
    </w:p>
    <w:tbl>
      <w:tblPr>
        <w:tblStyle w:val="158"/>
        <w:tblW w:w="501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0"/>
        <w:gridCol w:w="1009"/>
        <w:gridCol w:w="925"/>
        <w:gridCol w:w="7163"/>
      </w:tblGrid>
      <w:tr w14:paraId="773A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348" w:type="pct"/>
            <w:vAlign w:val="center"/>
          </w:tcPr>
          <w:p w14:paraId="1D769BAE">
            <w:pPr>
              <w:spacing w:line="400" w:lineRule="exact"/>
              <w:jc w:val="center"/>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序号</w:t>
            </w:r>
          </w:p>
        </w:tc>
        <w:tc>
          <w:tcPr>
            <w:tcW w:w="516" w:type="pct"/>
            <w:tcBorders>
              <w:right w:val="single" w:color="auto" w:sz="4" w:space="0"/>
            </w:tcBorders>
            <w:vAlign w:val="center"/>
          </w:tcPr>
          <w:p w14:paraId="1CA407E7">
            <w:pPr>
              <w:spacing w:line="400" w:lineRule="exact"/>
              <w:jc w:val="center"/>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采购类别</w:t>
            </w:r>
          </w:p>
        </w:tc>
        <w:tc>
          <w:tcPr>
            <w:tcW w:w="473" w:type="pct"/>
            <w:tcBorders>
              <w:left w:val="single" w:color="auto" w:sz="4" w:space="0"/>
            </w:tcBorders>
            <w:vAlign w:val="center"/>
          </w:tcPr>
          <w:p w14:paraId="2C8A27A9">
            <w:pPr>
              <w:spacing w:line="400" w:lineRule="exact"/>
              <w:jc w:val="center"/>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品名</w:t>
            </w:r>
          </w:p>
        </w:tc>
        <w:tc>
          <w:tcPr>
            <w:tcW w:w="3663" w:type="pct"/>
            <w:vAlign w:val="center"/>
          </w:tcPr>
          <w:p w14:paraId="6D79101E">
            <w:pPr>
              <w:spacing w:line="400" w:lineRule="exact"/>
              <w:jc w:val="center"/>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质量要求</w:t>
            </w:r>
          </w:p>
        </w:tc>
      </w:tr>
      <w:tr w14:paraId="0E12B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348" w:type="pct"/>
            <w:vMerge w:val="restart"/>
          </w:tcPr>
          <w:p w14:paraId="2926B41E">
            <w:pPr>
              <w:pStyle w:val="20"/>
              <w:jc w:val="center"/>
              <w:rPr>
                <w:rFonts w:hint="eastAsia" w:ascii="宋体" w:hAnsi="宋体" w:eastAsia="宋体" w:cs="宋体"/>
                <w:snapToGrid w:val="0"/>
                <w:color w:val="auto"/>
                <w:kern w:val="2"/>
                <w:highlight w:val="none"/>
              </w:rPr>
            </w:pPr>
          </w:p>
          <w:p w14:paraId="13EFA4EF">
            <w:pPr>
              <w:pStyle w:val="20"/>
              <w:jc w:val="center"/>
              <w:rPr>
                <w:rFonts w:hint="eastAsia" w:ascii="宋体" w:hAnsi="宋体" w:eastAsia="宋体" w:cs="宋体"/>
                <w:snapToGrid w:val="0"/>
                <w:color w:val="auto"/>
                <w:kern w:val="2"/>
                <w:highlight w:val="none"/>
              </w:rPr>
            </w:pPr>
          </w:p>
          <w:p w14:paraId="66785C2E">
            <w:pPr>
              <w:pStyle w:val="20"/>
              <w:jc w:val="center"/>
              <w:rPr>
                <w:rFonts w:hint="eastAsia" w:ascii="宋体" w:hAnsi="宋体" w:eastAsia="宋体" w:cs="宋体"/>
                <w:snapToGrid w:val="0"/>
                <w:color w:val="auto"/>
                <w:kern w:val="2"/>
                <w:highlight w:val="none"/>
              </w:rPr>
            </w:pPr>
          </w:p>
          <w:p w14:paraId="49182517">
            <w:pPr>
              <w:pStyle w:val="20"/>
              <w:jc w:val="center"/>
              <w:rPr>
                <w:rFonts w:hint="eastAsia" w:ascii="宋体" w:hAnsi="宋体" w:eastAsia="宋体" w:cs="宋体"/>
                <w:snapToGrid w:val="0"/>
                <w:color w:val="auto"/>
                <w:kern w:val="2"/>
                <w:highlight w:val="none"/>
              </w:rPr>
            </w:pPr>
          </w:p>
          <w:p w14:paraId="17DF7812">
            <w:pPr>
              <w:pStyle w:val="20"/>
              <w:jc w:val="center"/>
              <w:rPr>
                <w:rFonts w:hint="eastAsia" w:ascii="宋体" w:hAnsi="宋体" w:eastAsia="宋体" w:cs="宋体"/>
                <w:snapToGrid w:val="0"/>
                <w:color w:val="auto"/>
                <w:kern w:val="2"/>
                <w:highlight w:val="none"/>
              </w:rPr>
            </w:pPr>
          </w:p>
          <w:p w14:paraId="1B1A192E">
            <w:pPr>
              <w:pStyle w:val="20"/>
              <w:jc w:val="center"/>
              <w:rPr>
                <w:rFonts w:hint="eastAsia" w:ascii="宋体" w:hAnsi="宋体" w:eastAsia="宋体" w:cs="宋体"/>
                <w:snapToGrid w:val="0"/>
                <w:color w:val="auto"/>
                <w:kern w:val="2"/>
                <w:highlight w:val="none"/>
              </w:rPr>
            </w:pPr>
          </w:p>
          <w:p w14:paraId="1A4F44B6">
            <w:pPr>
              <w:pStyle w:val="20"/>
              <w:jc w:val="center"/>
              <w:rPr>
                <w:rFonts w:hint="eastAsia" w:ascii="宋体" w:hAnsi="宋体" w:eastAsia="宋体" w:cs="宋体"/>
                <w:snapToGrid w:val="0"/>
                <w:color w:val="auto"/>
                <w:kern w:val="2"/>
                <w:highlight w:val="none"/>
              </w:rPr>
            </w:pPr>
          </w:p>
          <w:p w14:paraId="48D6446A">
            <w:pPr>
              <w:pStyle w:val="20"/>
              <w:jc w:val="center"/>
              <w:rPr>
                <w:rFonts w:hint="eastAsia" w:ascii="宋体" w:hAnsi="宋体" w:eastAsia="宋体" w:cs="宋体"/>
                <w:snapToGrid w:val="0"/>
                <w:color w:val="auto"/>
                <w:kern w:val="2"/>
                <w:highlight w:val="none"/>
              </w:rPr>
            </w:pPr>
          </w:p>
          <w:p w14:paraId="11EF8F98">
            <w:pPr>
              <w:pStyle w:val="20"/>
              <w:jc w:val="center"/>
              <w:rPr>
                <w:rFonts w:hint="eastAsia" w:ascii="宋体" w:hAnsi="宋体" w:eastAsia="宋体" w:cs="宋体"/>
                <w:snapToGrid w:val="0"/>
                <w:color w:val="auto"/>
                <w:kern w:val="2"/>
                <w:highlight w:val="none"/>
              </w:rPr>
            </w:pPr>
          </w:p>
          <w:p w14:paraId="5D4D6A11">
            <w:pPr>
              <w:pStyle w:val="20"/>
              <w:jc w:val="center"/>
              <w:rPr>
                <w:rFonts w:hint="eastAsia" w:ascii="宋体" w:hAnsi="宋体" w:eastAsia="宋体" w:cs="宋体"/>
                <w:snapToGrid w:val="0"/>
                <w:color w:val="auto"/>
                <w:kern w:val="2"/>
                <w:highlight w:val="none"/>
              </w:rPr>
            </w:pPr>
          </w:p>
          <w:p w14:paraId="7D335B6A">
            <w:pPr>
              <w:pStyle w:val="20"/>
              <w:jc w:val="center"/>
              <w:rPr>
                <w:rFonts w:hint="eastAsia" w:ascii="宋体" w:hAnsi="宋体" w:eastAsia="宋体" w:cs="宋体"/>
                <w:snapToGrid w:val="0"/>
                <w:color w:val="auto"/>
                <w:kern w:val="2"/>
                <w:highlight w:val="none"/>
              </w:rPr>
            </w:pPr>
          </w:p>
          <w:p w14:paraId="6A2C6DF7">
            <w:pPr>
              <w:pStyle w:val="20"/>
              <w:jc w:val="center"/>
              <w:rPr>
                <w:rFonts w:hint="eastAsia" w:ascii="宋体" w:hAnsi="宋体" w:eastAsia="宋体" w:cs="宋体"/>
                <w:snapToGrid w:val="0"/>
                <w:color w:val="auto"/>
                <w:kern w:val="2"/>
                <w:highlight w:val="none"/>
              </w:rPr>
            </w:pPr>
          </w:p>
          <w:p w14:paraId="6E876D49">
            <w:pPr>
              <w:pStyle w:val="20"/>
              <w:jc w:val="center"/>
              <w:rPr>
                <w:rFonts w:hint="eastAsia" w:ascii="宋体" w:hAnsi="宋体" w:eastAsia="宋体" w:cs="宋体"/>
                <w:snapToGrid w:val="0"/>
                <w:color w:val="auto"/>
                <w:kern w:val="2"/>
                <w:highlight w:val="none"/>
              </w:rPr>
            </w:pPr>
          </w:p>
          <w:p w14:paraId="63F0B6E7">
            <w:pPr>
              <w:pStyle w:val="20"/>
              <w:jc w:val="center"/>
              <w:rPr>
                <w:rFonts w:hint="eastAsia" w:ascii="宋体" w:hAnsi="宋体" w:eastAsia="宋体" w:cs="宋体"/>
                <w:snapToGrid w:val="0"/>
                <w:color w:val="auto"/>
                <w:kern w:val="2"/>
                <w:highlight w:val="none"/>
              </w:rPr>
            </w:pPr>
            <w:r>
              <w:rPr>
                <w:rFonts w:hint="eastAsia" w:ascii="宋体" w:hAnsi="宋体" w:eastAsia="宋体" w:cs="宋体"/>
                <w:snapToGrid w:val="0"/>
                <w:color w:val="auto"/>
                <w:kern w:val="2"/>
                <w:highlight w:val="none"/>
              </w:rPr>
              <w:t>1</w:t>
            </w:r>
          </w:p>
        </w:tc>
        <w:tc>
          <w:tcPr>
            <w:tcW w:w="516" w:type="pct"/>
            <w:vMerge w:val="restart"/>
            <w:tcBorders>
              <w:right w:val="single" w:color="auto" w:sz="4" w:space="0"/>
            </w:tcBorders>
          </w:tcPr>
          <w:p w14:paraId="2D80D09D">
            <w:pPr>
              <w:pStyle w:val="20"/>
              <w:jc w:val="center"/>
              <w:rPr>
                <w:rFonts w:hint="eastAsia" w:ascii="宋体" w:hAnsi="宋体" w:eastAsia="宋体" w:cs="宋体"/>
                <w:snapToGrid w:val="0"/>
                <w:color w:val="auto"/>
                <w:kern w:val="2"/>
                <w:highlight w:val="none"/>
              </w:rPr>
            </w:pPr>
          </w:p>
          <w:p w14:paraId="2144EF56">
            <w:pPr>
              <w:pStyle w:val="20"/>
              <w:jc w:val="center"/>
              <w:rPr>
                <w:rFonts w:hint="eastAsia" w:ascii="宋体" w:hAnsi="宋体" w:eastAsia="宋体" w:cs="宋体"/>
                <w:snapToGrid w:val="0"/>
                <w:color w:val="auto"/>
                <w:kern w:val="2"/>
                <w:highlight w:val="none"/>
              </w:rPr>
            </w:pPr>
          </w:p>
          <w:p w14:paraId="76C32641">
            <w:pPr>
              <w:pStyle w:val="20"/>
              <w:jc w:val="center"/>
              <w:rPr>
                <w:rFonts w:hint="eastAsia" w:ascii="宋体" w:hAnsi="宋体" w:eastAsia="宋体" w:cs="宋体"/>
                <w:snapToGrid w:val="0"/>
                <w:color w:val="auto"/>
                <w:kern w:val="2"/>
                <w:highlight w:val="none"/>
              </w:rPr>
            </w:pPr>
          </w:p>
          <w:p w14:paraId="2B6630D5">
            <w:pPr>
              <w:pStyle w:val="20"/>
              <w:jc w:val="center"/>
              <w:rPr>
                <w:rFonts w:hint="eastAsia" w:ascii="宋体" w:hAnsi="宋体" w:eastAsia="宋体" w:cs="宋体"/>
                <w:snapToGrid w:val="0"/>
                <w:color w:val="auto"/>
                <w:kern w:val="2"/>
                <w:highlight w:val="none"/>
              </w:rPr>
            </w:pPr>
          </w:p>
          <w:p w14:paraId="0517BF72">
            <w:pPr>
              <w:pStyle w:val="20"/>
              <w:jc w:val="center"/>
              <w:rPr>
                <w:rFonts w:hint="eastAsia" w:ascii="宋体" w:hAnsi="宋体" w:eastAsia="宋体" w:cs="宋体"/>
                <w:snapToGrid w:val="0"/>
                <w:color w:val="auto"/>
                <w:kern w:val="2"/>
                <w:highlight w:val="none"/>
              </w:rPr>
            </w:pPr>
          </w:p>
          <w:p w14:paraId="3DD8E740">
            <w:pPr>
              <w:pStyle w:val="20"/>
              <w:jc w:val="center"/>
              <w:rPr>
                <w:rFonts w:hint="eastAsia" w:ascii="宋体" w:hAnsi="宋体" w:eastAsia="宋体" w:cs="宋体"/>
                <w:snapToGrid w:val="0"/>
                <w:color w:val="auto"/>
                <w:kern w:val="2"/>
                <w:highlight w:val="none"/>
              </w:rPr>
            </w:pPr>
          </w:p>
          <w:p w14:paraId="6512061A">
            <w:pPr>
              <w:pStyle w:val="20"/>
              <w:jc w:val="center"/>
              <w:rPr>
                <w:rFonts w:hint="eastAsia" w:ascii="宋体" w:hAnsi="宋体" w:eastAsia="宋体" w:cs="宋体"/>
                <w:snapToGrid w:val="0"/>
                <w:color w:val="auto"/>
                <w:kern w:val="2"/>
                <w:highlight w:val="none"/>
              </w:rPr>
            </w:pPr>
          </w:p>
          <w:p w14:paraId="2265BE54">
            <w:pPr>
              <w:pStyle w:val="20"/>
              <w:jc w:val="center"/>
              <w:rPr>
                <w:rFonts w:hint="eastAsia" w:ascii="宋体" w:hAnsi="宋体" w:eastAsia="宋体" w:cs="宋体"/>
                <w:snapToGrid w:val="0"/>
                <w:color w:val="auto"/>
                <w:kern w:val="2"/>
                <w:highlight w:val="none"/>
              </w:rPr>
            </w:pPr>
          </w:p>
          <w:p w14:paraId="0DD846CB">
            <w:pPr>
              <w:pStyle w:val="20"/>
              <w:jc w:val="center"/>
              <w:rPr>
                <w:rFonts w:hint="eastAsia" w:ascii="宋体" w:hAnsi="宋体" w:eastAsia="宋体" w:cs="宋体"/>
                <w:snapToGrid w:val="0"/>
                <w:color w:val="auto"/>
                <w:kern w:val="2"/>
                <w:highlight w:val="none"/>
              </w:rPr>
            </w:pPr>
          </w:p>
          <w:p w14:paraId="469647C0">
            <w:pPr>
              <w:pStyle w:val="20"/>
              <w:jc w:val="center"/>
              <w:rPr>
                <w:rFonts w:hint="eastAsia" w:ascii="宋体" w:hAnsi="宋体" w:eastAsia="宋体" w:cs="宋体"/>
                <w:snapToGrid w:val="0"/>
                <w:color w:val="auto"/>
                <w:kern w:val="2"/>
                <w:highlight w:val="none"/>
              </w:rPr>
            </w:pPr>
          </w:p>
          <w:p w14:paraId="01DBACDE">
            <w:pPr>
              <w:pStyle w:val="20"/>
              <w:jc w:val="center"/>
              <w:rPr>
                <w:rFonts w:hint="eastAsia" w:ascii="宋体" w:hAnsi="宋体" w:eastAsia="宋体" w:cs="宋体"/>
                <w:snapToGrid w:val="0"/>
                <w:color w:val="auto"/>
                <w:kern w:val="2"/>
                <w:highlight w:val="none"/>
              </w:rPr>
            </w:pPr>
          </w:p>
          <w:p w14:paraId="010FB3B4">
            <w:pPr>
              <w:pStyle w:val="20"/>
              <w:jc w:val="center"/>
              <w:rPr>
                <w:rFonts w:hint="eastAsia" w:ascii="宋体" w:hAnsi="宋体" w:eastAsia="宋体" w:cs="宋体"/>
                <w:snapToGrid w:val="0"/>
                <w:color w:val="auto"/>
                <w:kern w:val="2"/>
                <w:highlight w:val="none"/>
              </w:rPr>
            </w:pPr>
          </w:p>
          <w:p w14:paraId="359C8F75">
            <w:pPr>
              <w:pStyle w:val="20"/>
              <w:jc w:val="center"/>
              <w:rPr>
                <w:rFonts w:hint="eastAsia" w:ascii="宋体" w:hAnsi="宋体" w:eastAsia="宋体" w:cs="宋体"/>
                <w:snapToGrid w:val="0"/>
                <w:color w:val="auto"/>
                <w:kern w:val="2"/>
                <w:highlight w:val="none"/>
              </w:rPr>
            </w:pPr>
          </w:p>
          <w:p w14:paraId="5794FEB7">
            <w:pPr>
              <w:pStyle w:val="20"/>
              <w:jc w:val="center"/>
              <w:rPr>
                <w:rFonts w:hint="eastAsia" w:ascii="宋体" w:hAnsi="宋体" w:eastAsia="宋体" w:cs="宋体"/>
                <w:b/>
                <w:snapToGrid w:val="0"/>
                <w:color w:val="auto"/>
                <w:kern w:val="2"/>
                <w:highlight w:val="none"/>
              </w:rPr>
            </w:pPr>
            <w:r>
              <w:rPr>
                <w:rFonts w:hint="eastAsia" w:ascii="宋体" w:hAnsi="宋体" w:eastAsia="宋体" w:cs="宋体"/>
                <w:snapToGrid w:val="0"/>
                <w:color w:val="auto"/>
                <w:kern w:val="2"/>
                <w:highlight w:val="none"/>
              </w:rPr>
              <w:t>禽畜</w:t>
            </w:r>
            <w:r>
              <w:rPr>
                <w:rFonts w:hint="eastAsia" w:ascii="宋体" w:hAnsi="宋体" w:eastAsia="宋体" w:cs="宋体"/>
                <w:snapToGrid w:val="0"/>
                <w:color w:val="auto"/>
                <w:kern w:val="2"/>
                <w:highlight w:val="none"/>
              </w:rPr>
              <w:t>肉类</w:t>
            </w:r>
          </w:p>
        </w:tc>
        <w:tc>
          <w:tcPr>
            <w:tcW w:w="473" w:type="pct"/>
            <w:tcBorders>
              <w:left w:val="single" w:color="auto" w:sz="4" w:space="0"/>
            </w:tcBorders>
            <w:vAlign w:val="center"/>
          </w:tcPr>
          <w:p w14:paraId="0DA075F5">
            <w:pPr>
              <w:adjustRightInd w:val="0"/>
              <w:snapToGrid w:val="0"/>
              <w:spacing w:line="400" w:lineRule="exact"/>
              <w:jc w:val="center"/>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鲜猪肉、牛肉等</w:t>
            </w:r>
          </w:p>
        </w:tc>
        <w:tc>
          <w:tcPr>
            <w:tcW w:w="3663" w:type="pct"/>
            <w:vAlign w:val="center"/>
          </w:tcPr>
          <w:p w14:paraId="567021F5">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1.产品符合国家及行业相关标准，必须符合GB 2707-2016《食品安全国家标准 鲜（冻）畜、禽产品》标准要求。保证无异味、无霉烂变质；</w:t>
            </w:r>
          </w:p>
          <w:p w14:paraId="332F963A">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2.所供每批次鲜肉必须为当天屠宰的，有齐全的“两证两章一报告”（《肉品品质检验合格证明》、《动物产品检疫合格证明》、《肉品品质检验合格验讫印章》、《动物产品检疫合格印章》、《非洲猪瘟病毒检测报告》),供货现场查验；</w:t>
            </w:r>
          </w:p>
          <w:p w14:paraId="038EE1BA">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3.色泽：肌肉有光泽,颜色均匀,脂肪乳白色。组织状态：纤维清晰，有坚韧性，指压后凹陷立即恢复，肉质紧密，有坚韧性；</w:t>
            </w:r>
          </w:p>
          <w:p w14:paraId="5102618F">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4.粘度：外表湿润，不粘手，切面有渗出液，不粘手；</w:t>
            </w:r>
          </w:p>
          <w:p w14:paraId="4BF1FAA5">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5.气味：具有肉类固有的气味，无异味，煮沸后肉汤澄清透明，脂肪团聚于表面澄清透明或稍有浑浊。</w:t>
            </w:r>
          </w:p>
        </w:tc>
      </w:tr>
      <w:tr w14:paraId="33A83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348" w:type="pct"/>
            <w:vMerge w:val="continue"/>
          </w:tcPr>
          <w:p w14:paraId="0A98BB60">
            <w:pPr>
              <w:pStyle w:val="20"/>
              <w:jc w:val="center"/>
              <w:rPr>
                <w:rFonts w:hint="eastAsia" w:ascii="宋体" w:hAnsi="宋体" w:eastAsia="宋体" w:cs="宋体"/>
                <w:snapToGrid w:val="0"/>
                <w:color w:val="auto"/>
                <w:highlight w:val="none"/>
              </w:rPr>
            </w:pPr>
          </w:p>
        </w:tc>
        <w:tc>
          <w:tcPr>
            <w:tcW w:w="516" w:type="pct"/>
            <w:vMerge w:val="continue"/>
            <w:tcBorders>
              <w:right w:val="single" w:color="auto" w:sz="4" w:space="0"/>
            </w:tcBorders>
          </w:tcPr>
          <w:p w14:paraId="7D880304">
            <w:pPr>
              <w:pStyle w:val="20"/>
              <w:jc w:val="center"/>
              <w:rPr>
                <w:rFonts w:hint="eastAsia" w:ascii="宋体" w:hAnsi="宋体" w:eastAsia="宋体" w:cs="宋体"/>
                <w:snapToGrid w:val="0"/>
                <w:color w:val="auto"/>
                <w:highlight w:val="none"/>
              </w:rPr>
            </w:pPr>
          </w:p>
        </w:tc>
        <w:tc>
          <w:tcPr>
            <w:tcW w:w="473" w:type="pct"/>
            <w:tcBorders>
              <w:left w:val="single" w:color="auto" w:sz="4" w:space="0"/>
            </w:tcBorders>
            <w:vAlign w:val="center"/>
          </w:tcPr>
          <w:p w14:paraId="08745059">
            <w:pPr>
              <w:adjustRightInd w:val="0"/>
              <w:snapToGrid w:val="0"/>
              <w:spacing w:line="400" w:lineRule="exact"/>
              <w:jc w:val="center"/>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鲜家禽肉等</w:t>
            </w:r>
          </w:p>
        </w:tc>
        <w:tc>
          <w:tcPr>
            <w:tcW w:w="3663" w:type="pct"/>
            <w:vAlign w:val="center"/>
          </w:tcPr>
          <w:p w14:paraId="48097D66">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1.产品符合国家及行业相关标准；</w:t>
            </w:r>
          </w:p>
          <w:p w14:paraId="4F78F92F">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2.白条鸡：有检疫证明,鸡龄4个月以上,无伤残,宰杀干净,去爪。宰杀时间不超过3小时，单个重量3斤以上；</w:t>
            </w:r>
          </w:p>
          <w:p w14:paraId="54123180">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3.土鸡：有检疫证明，天然放养，谷物喂养，鸡龄 6个月以上，项鸡4个月以上，无伤残，宰杀干净、去爪，单个重：项鸡2斤以上，剦鸡3.5斤以上；</w:t>
            </w:r>
          </w:p>
          <w:p w14:paraId="6A3840C8">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4.白条鸭：有检疫证明，鸭龄3个月以上，无伤残，宰杀干净，去脚，无异味，单个重量4斤以上，宰杀时间不超过3小时；</w:t>
            </w:r>
          </w:p>
          <w:p w14:paraId="1DAE9114">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5.土鸭：有检疫证明,鸭龄3个月以上，无伤残,宰杀干净,去脚,无异味,单个重量3斤以上，宰杀时间不超过3小时；</w:t>
            </w:r>
          </w:p>
          <w:p w14:paraId="774AC904">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6.西洋鸭：有检疫证明，鸭龄3个月以上，无伤残，宰杀干净，去脚，无异味，单个重量4斤以上，宰杀时间不超过3小时；</w:t>
            </w:r>
          </w:p>
          <w:p w14:paraId="3B47C7B3">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7.检疫证明在供货现场查验。</w:t>
            </w:r>
          </w:p>
        </w:tc>
      </w:tr>
      <w:tr w14:paraId="24AB9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348" w:type="pct"/>
            <w:vAlign w:val="center"/>
          </w:tcPr>
          <w:p w14:paraId="2C05ABEF">
            <w:pPr>
              <w:pStyle w:val="20"/>
              <w:jc w:val="center"/>
              <w:rPr>
                <w:rFonts w:hint="eastAsia" w:ascii="宋体" w:hAnsi="宋体" w:eastAsia="宋体" w:cs="宋体"/>
                <w:snapToGrid w:val="0"/>
                <w:color w:val="auto"/>
                <w:kern w:val="2"/>
                <w:highlight w:val="none"/>
              </w:rPr>
            </w:pPr>
            <w:r>
              <w:rPr>
                <w:rFonts w:hint="eastAsia" w:ascii="宋体" w:hAnsi="宋体" w:eastAsia="宋体" w:cs="宋体"/>
                <w:snapToGrid w:val="0"/>
                <w:color w:val="auto"/>
                <w:kern w:val="2"/>
                <w:highlight w:val="none"/>
              </w:rPr>
              <w:t>2</w:t>
            </w:r>
          </w:p>
        </w:tc>
        <w:tc>
          <w:tcPr>
            <w:tcW w:w="516" w:type="pct"/>
            <w:tcBorders>
              <w:right w:val="single" w:color="auto" w:sz="4" w:space="0"/>
            </w:tcBorders>
            <w:vAlign w:val="center"/>
          </w:tcPr>
          <w:p w14:paraId="43B5FB35">
            <w:pPr>
              <w:pStyle w:val="20"/>
              <w:jc w:val="center"/>
              <w:rPr>
                <w:rFonts w:hint="eastAsia" w:ascii="宋体" w:hAnsi="宋体" w:eastAsia="宋体" w:cs="宋体"/>
                <w:b/>
                <w:snapToGrid w:val="0"/>
                <w:color w:val="auto"/>
                <w:kern w:val="2"/>
                <w:highlight w:val="none"/>
              </w:rPr>
            </w:pPr>
            <w:r>
              <w:rPr>
                <w:rFonts w:hint="eastAsia" w:ascii="宋体" w:hAnsi="宋体" w:eastAsia="宋体" w:cs="宋体"/>
                <w:snapToGrid w:val="0"/>
                <w:color w:val="auto"/>
                <w:kern w:val="2"/>
                <w:highlight w:val="none"/>
              </w:rPr>
              <w:t>水产类</w:t>
            </w:r>
          </w:p>
        </w:tc>
        <w:tc>
          <w:tcPr>
            <w:tcW w:w="473" w:type="pct"/>
            <w:tcBorders>
              <w:left w:val="single" w:color="auto" w:sz="4" w:space="0"/>
            </w:tcBorders>
            <w:vAlign w:val="center"/>
          </w:tcPr>
          <w:p w14:paraId="50F4E3F6">
            <w:pPr>
              <w:pStyle w:val="20"/>
              <w:rPr>
                <w:rFonts w:hint="eastAsia" w:ascii="宋体" w:hAnsi="宋体" w:eastAsia="宋体" w:cs="宋体"/>
                <w:b/>
                <w:snapToGrid w:val="0"/>
                <w:color w:val="auto"/>
                <w:kern w:val="2"/>
                <w:highlight w:val="none"/>
              </w:rPr>
            </w:pPr>
            <w:r>
              <w:rPr>
                <w:rFonts w:hint="eastAsia" w:ascii="宋体" w:hAnsi="宋体" w:eastAsia="宋体" w:cs="宋体"/>
                <w:snapToGrid w:val="0"/>
                <w:color w:val="auto"/>
                <w:kern w:val="2"/>
                <w:highlight w:val="none"/>
              </w:rPr>
              <w:t>鱼、虾等</w:t>
            </w:r>
          </w:p>
        </w:tc>
        <w:tc>
          <w:tcPr>
            <w:tcW w:w="3663" w:type="pct"/>
          </w:tcPr>
          <w:p w14:paraId="157E9311">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1.产品符合国家及行业相关标准；</w:t>
            </w:r>
          </w:p>
          <w:p w14:paraId="6AB0F367">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2.鱼：游水生猛、对外界刺激敏感、无翻肛、无嘴烂及其它外表损伤，大小均匀；</w:t>
            </w:r>
          </w:p>
          <w:p w14:paraId="08620954">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3.虾：游水快、对外界刺激敏感、头尾完整，有一定弯曲度，虾眼突起、肉质坚实。</w:t>
            </w:r>
          </w:p>
        </w:tc>
      </w:tr>
      <w:tr w14:paraId="62C6F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348" w:type="pct"/>
            <w:vAlign w:val="center"/>
          </w:tcPr>
          <w:p w14:paraId="3539DB93">
            <w:pPr>
              <w:pStyle w:val="20"/>
              <w:jc w:val="center"/>
              <w:rPr>
                <w:rFonts w:hint="eastAsia" w:ascii="宋体" w:hAnsi="宋体" w:eastAsia="宋体" w:cs="宋体"/>
                <w:snapToGrid w:val="0"/>
                <w:color w:val="auto"/>
                <w:kern w:val="2"/>
                <w:highlight w:val="none"/>
              </w:rPr>
            </w:pPr>
            <w:r>
              <w:rPr>
                <w:rFonts w:hint="eastAsia" w:ascii="宋体" w:hAnsi="宋体" w:eastAsia="宋体" w:cs="宋体"/>
                <w:snapToGrid w:val="0"/>
                <w:color w:val="auto"/>
                <w:kern w:val="2"/>
                <w:highlight w:val="none"/>
              </w:rPr>
              <w:t>3</w:t>
            </w:r>
          </w:p>
        </w:tc>
        <w:tc>
          <w:tcPr>
            <w:tcW w:w="516" w:type="pct"/>
            <w:tcBorders>
              <w:right w:val="single" w:color="auto" w:sz="4" w:space="0"/>
            </w:tcBorders>
            <w:vAlign w:val="center"/>
          </w:tcPr>
          <w:p w14:paraId="3F895AC2">
            <w:pPr>
              <w:pStyle w:val="20"/>
              <w:jc w:val="center"/>
              <w:rPr>
                <w:rFonts w:hint="eastAsia" w:ascii="宋体" w:hAnsi="宋体" w:eastAsia="宋体" w:cs="宋体"/>
                <w:b/>
                <w:snapToGrid w:val="0"/>
                <w:color w:val="auto"/>
                <w:kern w:val="2"/>
                <w:highlight w:val="none"/>
              </w:rPr>
            </w:pPr>
            <w:bookmarkStart w:id="101" w:name="OLE_LINK73"/>
            <w:bookmarkStart w:id="102" w:name="OLE_LINK74"/>
            <w:r>
              <w:rPr>
                <w:rFonts w:hint="eastAsia" w:ascii="宋体" w:hAnsi="宋体" w:eastAsia="宋体" w:cs="宋体"/>
                <w:snapToGrid w:val="0"/>
                <w:color w:val="auto"/>
                <w:kern w:val="2"/>
                <w:highlight w:val="none"/>
              </w:rPr>
              <w:t>豆制品类</w:t>
            </w:r>
            <w:bookmarkEnd w:id="101"/>
            <w:bookmarkEnd w:id="102"/>
          </w:p>
        </w:tc>
        <w:tc>
          <w:tcPr>
            <w:tcW w:w="473" w:type="pct"/>
            <w:tcBorders>
              <w:left w:val="single" w:color="auto" w:sz="4" w:space="0"/>
            </w:tcBorders>
            <w:vAlign w:val="center"/>
          </w:tcPr>
          <w:p w14:paraId="56D03C77">
            <w:pPr>
              <w:pStyle w:val="20"/>
              <w:rPr>
                <w:rFonts w:hint="eastAsia" w:ascii="宋体" w:hAnsi="宋体" w:eastAsia="宋体" w:cs="宋体"/>
                <w:b/>
                <w:snapToGrid w:val="0"/>
                <w:color w:val="auto"/>
                <w:kern w:val="2"/>
                <w:highlight w:val="none"/>
              </w:rPr>
            </w:pPr>
            <w:r>
              <w:rPr>
                <w:rFonts w:hint="eastAsia" w:ascii="宋体" w:hAnsi="宋体" w:eastAsia="宋体" w:cs="宋体"/>
                <w:snapToGrid w:val="0"/>
                <w:color w:val="auto"/>
                <w:kern w:val="2"/>
                <w:highlight w:val="none"/>
              </w:rPr>
              <w:t>豆制品</w:t>
            </w:r>
          </w:p>
        </w:tc>
        <w:tc>
          <w:tcPr>
            <w:tcW w:w="3663" w:type="pct"/>
          </w:tcPr>
          <w:p w14:paraId="4E244B0C">
            <w:pPr>
              <w:adjustRightInd w:val="0"/>
              <w:snapToGrid w:val="0"/>
              <w:spacing w:line="360" w:lineRule="exact"/>
              <w:ind w:left="113" w:right="113"/>
              <w:jc w:val="left"/>
              <w:textAlignment w:val="center"/>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1.产品符合国家及行业相关标准；</w:t>
            </w:r>
          </w:p>
          <w:p w14:paraId="7E8D0A2E">
            <w:pPr>
              <w:adjustRightInd w:val="0"/>
              <w:snapToGrid w:val="0"/>
              <w:spacing w:line="360" w:lineRule="exact"/>
              <w:ind w:left="113" w:right="113"/>
              <w:jc w:val="left"/>
              <w:textAlignment w:val="center"/>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2.配送的</w:t>
            </w:r>
            <w:bookmarkStart w:id="103" w:name="OLE_LINK76"/>
            <w:bookmarkStart w:id="104" w:name="OLE_LINK75"/>
            <w:r>
              <w:rPr>
                <w:rFonts w:hint="eastAsia" w:ascii="宋体" w:hAnsi="宋体" w:eastAsia="宋体" w:cs="宋体"/>
                <w:snapToGrid w:val="0"/>
                <w:color w:val="auto"/>
                <w:highlight w:val="none"/>
              </w:rPr>
              <w:t>鲜豆腐、豆腐干、腐竹</w:t>
            </w:r>
            <w:bookmarkEnd w:id="103"/>
            <w:bookmarkEnd w:id="104"/>
            <w:r>
              <w:rPr>
                <w:rFonts w:hint="eastAsia" w:ascii="宋体" w:hAnsi="宋体" w:eastAsia="宋体" w:cs="宋体"/>
                <w:snapToGrid w:val="0"/>
                <w:color w:val="auto"/>
                <w:highlight w:val="none"/>
              </w:rPr>
              <w:t>等，要求无污染、色泽、气味、口味正常，无异味或霉味（霉变），无杂质异物。</w:t>
            </w:r>
          </w:p>
        </w:tc>
      </w:tr>
      <w:tr w14:paraId="09BBC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348" w:type="pct"/>
            <w:vAlign w:val="center"/>
          </w:tcPr>
          <w:p w14:paraId="51CC1124">
            <w:pPr>
              <w:pStyle w:val="20"/>
              <w:jc w:val="center"/>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4</w:t>
            </w:r>
          </w:p>
        </w:tc>
        <w:tc>
          <w:tcPr>
            <w:tcW w:w="516" w:type="pct"/>
            <w:tcBorders>
              <w:right w:val="single" w:color="auto" w:sz="4" w:space="0"/>
            </w:tcBorders>
            <w:vAlign w:val="center"/>
          </w:tcPr>
          <w:p w14:paraId="31FD0FDA">
            <w:pPr>
              <w:pStyle w:val="20"/>
              <w:jc w:val="center"/>
              <w:rPr>
                <w:rFonts w:hint="eastAsia" w:ascii="宋体" w:hAnsi="宋体" w:eastAsia="宋体" w:cs="宋体"/>
                <w:b/>
                <w:snapToGrid w:val="0"/>
                <w:color w:val="auto"/>
                <w:highlight w:val="none"/>
              </w:rPr>
            </w:pPr>
            <w:bookmarkStart w:id="105" w:name="OLE_LINK11"/>
            <w:bookmarkStart w:id="106" w:name="OLE_LINK12"/>
            <w:r>
              <w:rPr>
                <w:rFonts w:hint="eastAsia" w:ascii="宋体" w:hAnsi="宋体" w:eastAsia="宋体" w:cs="宋体"/>
                <w:snapToGrid w:val="0"/>
                <w:color w:val="auto"/>
                <w:highlight w:val="none"/>
              </w:rPr>
              <w:t>蔬菜</w:t>
            </w:r>
            <w:bookmarkEnd w:id="105"/>
            <w:bookmarkEnd w:id="106"/>
            <w:r>
              <w:rPr>
                <w:rFonts w:hint="eastAsia" w:ascii="宋体" w:hAnsi="宋体" w:eastAsia="宋体" w:cs="宋体"/>
                <w:snapToGrid w:val="0"/>
                <w:color w:val="auto"/>
                <w:highlight w:val="none"/>
              </w:rPr>
              <w:t>类</w:t>
            </w:r>
          </w:p>
        </w:tc>
        <w:tc>
          <w:tcPr>
            <w:tcW w:w="473" w:type="pct"/>
            <w:tcBorders>
              <w:left w:val="single" w:color="auto" w:sz="4" w:space="0"/>
            </w:tcBorders>
            <w:vAlign w:val="center"/>
          </w:tcPr>
          <w:p w14:paraId="58DD6273">
            <w:pPr>
              <w:pStyle w:val="20"/>
              <w:rPr>
                <w:rFonts w:hint="eastAsia" w:ascii="宋体" w:hAnsi="宋体" w:eastAsia="宋体" w:cs="宋体"/>
                <w:b/>
                <w:snapToGrid w:val="0"/>
                <w:color w:val="auto"/>
                <w:highlight w:val="none"/>
              </w:rPr>
            </w:pPr>
            <w:r>
              <w:rPr>
                <w:rFonts w:hint="eastAsia" w:ascii="宋体" w:hAnsi="宋体" w:eastAsia="宋体" w:cs="宋体"/>
                <w:snapToGrid w:val="0"/>
                <w:color w:val="auto"/>
                <w:highlight w:val="none"/>
              </w:rPr>
              <w:t>各类蔬菜</w:t>
            </w:r>
          </w:p>
        </w:tc>
        <w:tc>
          <w:tcPr>
            <w:tcW w:w="3663" w:type="pct"/>
          </w:tcPr>
          <w:p w14:paraId="604ECC8A">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1.叶菜类：外形正常，叶梗光滑幼嫩，不干瘪凋萎，无过多黄叶，色泽正常。去除根须，不含土，无虫害，大白菜、卷心菜切开心不变黑，无腐烂情形，无明显浸水现象；</w:t>
            </w:r>
          </w:p>
          <w:p w14:paraId="29EC54E7">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2.根茎类：无虫咬、发芽、发霉现象，新鲜，形态大小与采购人自购标准相当。农药残留不超标；</w:t>
            </w:r>
          </w:p>
          <w:p w14:paraId="326EB78B">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3.花果类：无虫害，成熟度良好，新鲜固有的色泽鲜明，无发霉发黄；</w:t>
            </w:r>
          </w:p>
          <w:p w14:paraId="5069C601">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4.瓜果类：外表光亮无斑点，有新鲜链接的秧，形状正常、大小均匀，无软榻，成熟度适度。无</w:t>
            </w:r>
            <w:bookmarkStart w:id="107" w:name="OLE_LINK56"/>
            <w:r>
              <w:rPr>
                <w:rFonts w:hint="eastAsia" w:ascii="宋体" w:hAnsi="宋体" w:eastAsia="宋体" w:cs="宋体"/>
                <w:snapToGrid w:val="0"/>
                <w:color w:val="auto"/>
                <w:szCs w:val="21"/>
                <w:highlight w:val="none"/>
              </w:rPr>
              <w:t>腐烂，无污染，清洁，新鲜，无异味、无病虫损害</w:t>
            </w:r>
            <w:bookmarkEnd w:id="107"/>
            <w:r>
              <w:rPr>
                <w:rFonts w:hint="eastAsia" w:ascii="宋体" w:hAnsi="宋体" w:eastAsia="宋体" w:cs="宋体"/>
                <w:snapToGrid w:val="0"/>
                <w:color w:val="auto"/>
                <w:szCs w:val="21"/>
                <w:highlight w:val="none"/>
              </w:rPr>
              <w:t>；</w:t>
            </w:r>
          </w:p>
          <w:p w14:paraId="7EA94C24">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5.</w:t>
            </w:r>
            <w:r>
              <w:rPr>
                <w:rFonts w:hint="eastAsia" w:ascii="宋体" w:hAnsi="宋体" w:eastAsia="宋体" w:cs="宋体"/>
                <w:snapToGrid w:val="0"/>
                <w:color w:val="auto"/>
                <w:spacing w:val="8"/>
                <w:sz w:val="20"/>
                <w:szCs w:val="20"/>
                <w:highlight w:val="none"/>
              </w:rPr>
              <w:t>豆类：</w:t>
            </w:r>
            <w:r>
              <w:rPr>
                <w:rFonts w:hint="eastAsia" w:ascii="宋体" w:hAnsi="宋体" w:eastAsia="宋体" w:cs="宋体"/>
                <w:snapToGrid w:val="0"/>
                <w:color w:val="auto"/>
                <w:spacing w:val="8"/>
                <w:sz w:val="20"/>
                <w:szCs w:val="20"/>
                <w:highlight w:val="none"/>
              </w:rPr>
              <w:t>无</w:t>
            </w:r>
            <w:r>
              <w:rPr>
                <w:rFonts w:hint="eastAsia" w:ascii="宋体" w:hAnsi="宋体" w:eastAsia="宋体" w:cs="宋体"/>
                <w:snapToGrid w:val="0"/>
                <w:color w:val="auto"/>
                <w:szCs w:val="21"/>
                <w:highlight w:val="none"/>
              </w:rPr>
              <w:t>腐烂，无污染，清洁，新鲜，无异味、无病虫损害；</w:t>
            </w:r>
          </w:p>
          <w:p w14:paraId="321020C4">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6.必须符合国家食品安全标准，保证食用安全，绝无农药等有害物质的留存，每天提交批次残留物检测证明；</w:t>
            </w:r>
          </w:p>
          <w:p w14:paraId="5DEE0AB2">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7.蔬菜瓜果在配送前必须采样送检，并注明蔬菜瓜果的产地、生产者及数量等，经区(或乡镇)农产品质量安全监管站进行农药残留检测，检测合格并出具农药残留检测合格报告单后，方可采收配送；</w:t>
            </w:r>
          </w:p>
          <w:p w14:paraId="716CC984">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8.不准</w:t>
            </w:r>
            <w:r>
              <w:rPr>
                <w:rFonts w:hint="eastAsia" w:ascii="宋体" w:hAnsi="宋体" w:eastAsia="宋体" w:cs="宋体"/>
                <w:snapToGrid w:val="0"/>
                <w:color w:val="auto"/>
                <w:szCs w:val="21"/>
                <w:highlight w:val="none"/>
              </w:rPr>
              <w:t>配送四季豆、发芽土豆、蚕豆等高风险食品。</w:t>
            </w:r>
          </w:p>
        </w:tc>
      </w:tr>
    </w:tbl>
    <w:p w14:paraId="4DCB6D9F">
      <w:pPr>
        <w:widowControl/>
        <w:tabs>
          <w:tab w:val="left" w:pos="180"/>
          <w:tab w:val="left" w:pos="525"/>
          <w:tab w:val="left" w:pos="720"/>
        </w:tabs>
        <w:spacing w:line="380" w:lineRule="exact"/>
        <w:ind w:firstLine="422" w:firstLineChars="200"/>
        <w:rPr>
          <w:rFonts w:hint="eastAsia" w:ascii="宋体" w:hAnsi="宋体" w:eastAsia="宋体" w:cs="宋体"/>
          <w:b/>
          <w:bCs/>
          <w:color w:val="auto"/>
          <w:szCs w:val="20"/>
          <w:highlight w:val="none"/>
        </w:rPr>
      </w:pPr>
      <w:bookmarkStart w:id="108" w:name="OLE_LINK102"/>
      <w:bookmarkStart w:id="109" w:name="OLE_LINK101"/>
      <w:r>
        <w:rPr>
          <w:rFonts w:hint="eastAsia" w:ascii="宋体" w:hAnsi="宋体" w:eastAsia="宋体" w:cs="宋体"/>
          <w:b/>
          <w:bCs/>
          <w:color w:val="auto"/>
          <w:szCs w:val="20"/>
          <w:highlight w:val="none"/>
        </w:rPr>
        <w:t>（三）配送质量要求</w:t>
      </w:r>
    </w:p>
    <w:p w14:paraId="428914A1">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1.供应商所有供应食品必须符合《中华人民共和国食品安全法》、《中华人民共和国农产品质量安全法》、《中华人民共和国食品安全法实施条例》和采购人对食品安全有关要求，确保饮食安全，严禁供应假冒伪劣产品和过期、临期食品。</w:t>
      </w:r>
    </w:p>
    <w:p w14:paraId="026D52BE">
      <w:pPr>
        <w:widowControl/>
        <w:tabs>
          <w:tab w:val="left" w:pos="180"/>
          <w:tab w:val="left" w:pos="525"/>
          <w:tab w:val="left" w:pos="720"/>
        </w:tabs>
        <w:spacing w:line="380" w:lineRule="exact"/>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2.成交供应商应对每日配送食材进行留样保存（保存期限不得少于5日），如发生食品安全责任事故，应立即无条件配合相关部门进行调查及处理后续事宜。</w:t>
      </w:r>
    </w:p>
    <w:p w14:paraId="037B69CC">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3.成交供应商须确保所提供食材的包装材料、容器、运输工具无污染、无破损。</w:t>
      </w:r>
    </w:p>
    <w:p w14:paraId="054305A3">
      <w:pPr>
        <w:spacing w:line="400" w:lineRule="exact"/>
        <w:ind w:firstLine="424"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4.</w:t>
      </w:r>
      <w:r>
        <w:rPr>
          <w:rFonts w:hint="eastAsia" w:ascii="宋体" w:hAnsi="宋体" w:eastAsia="宋体" w:cs="宋体"/>
          <w:color w:val="auto"/>
          <w:spacing w:val="1"/>
          <w:szCs w:val="21"/>
          <w:highlight w:val="none"/>
        </w:rPr>
        <w:t>必须按照采购人通知的时间、数量、品种、品质要求及协定的价格送货，不能以任何理由推</w:t>
      </w:r>
      <w:r>
        <w:rPr>
          <w:rFonts w:hint="eastAsia" w:ascii="宋体" w:hAnsi="宋体" w:eastAsia="宋体" w:cs="宋体"/>
          <w:color w:val="auto"/>
          <w:spacing w:val="-1"/>
          <w:szCs w:val="21"/>
          <w:highlight w:val="none"/>
        </w:rPr>
        <w:t>托，一旦影响到学校伙房的正常运转，</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须承担相应的违约责任。</w:t>
      </w:r>
    </w:p>
    <w:p w14:paraId="1AF88A97">
      <w:pPr>
        <w:spacing w:line="400" w:lineRule="exact"/>
        <w:ind w:firstLine="424"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5.</w:t>
      </w:r>
      <w:r>
        <w:rPr>
          <w:rFonts w:hint="eastAsia" w:ascii="宋体" w:hAnsi="宋体" w:eastAsia="宋体" w:cs="宋体"/>
          <w:color w:val="auto"/>
          <w:spacing w:val="1"/>
          <w:szCs w:val="21"/>
          <w:highlight w:val="none"/>
        </w:rPr>
        <w:t>①正常情况下，</w:t>
      </w:r>
      <w:r>
        <w:rPr>
          <w:rFonts w:hint="eastAsia" w:ascii="宋体" w:hAnsi="宋体" w:eastAsia="宋体" w:cs="宋体"/>
          <w:color w:val="auto"/>
          <w:spacing w:val="1"/>
          <w:szCs w:val="21"/>
          <w:highlight w:val="none"/>
        </w:rPr>
        <w:t>学生在校期间每日</w:t>
      </w:r>
      <w:r>
        <w:rPr>
          <w:rFonts w:hint="eastAsia" w:ascii="宋体" w:hAnsi="宋体" w:eastAsia="宋体" w:cs="宋体"/>
          <w:color w:val="auto"/>
          <w:spacing w:val="1"/>
          <w:szCs w:val="21"/>
          <w:highlight w:val="none"/>
        </w:rPr>
        <w:t>配送一次（履约时学校伙房可按使用情况临时增减配送次数</w:t>
      </w:r>
      <w:r>
        <w:rPr>
          <w:rFonts w:hint="eastAsia" w:ascii="宋体" w:hAnsi="宋体" w:eastAsia="宋体" w:cs="宋体"/>
          <w:color w:val="auto"/>
          <w:spacing w:val="5"/>
          <w:szCs w:val="21"/>
          <w:highlight w:val="none"/>
        </w:rPr>
        <w:t>），</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每日按采购人规定的时间将货送到指定地点，如遇特殊情况需要应急采购时，</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须接到通</w:t>
      </w:r>
      <w:r>
        <w:rPr>
          <w:rFonts w:hint="eastAsia" w:ascii="宋体" w:hAnsi="宋体" w:eastAsia="宋体" w:cs="宋体"/>
          <w:color w:val="auto"/>
          <w:spacing w:val="-3"/>
          <w:szCs w:val="21"/>
          <w:highlight w:val="none"/>
        </w:rPr>
        <w:t>知后1个小时内配送到现场。延误1次处以1000元的处罚金，处罚金在货款中扣减，年累计超过3次</w:t>
      </w:r>
      <w:r>
        <w:rPr>
          <w:rFonts w:hint="eastAsia" w:ascii="宋体" w:hAnsi="宋体" w:eastAsia="宋体" w:cs="宋体"/>
          <w:color w:val="auto"/>
          <w:spacing w:val="-1"/>
          <w:szCs w:val="21"/>
          <w:highlight w:val="none"/>
        </w:rPr>
        <w:t>者，采购人有权解除合同，因此产生的责任和经济损失由</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承担。</w:t>
      </w:r>
    </w:p>
    <w:p w14:paraId="6D758231">
      <w:pPr>
        <w:spacing w:line="400" w:lineRule="exact"/>
        <w:ind w:firstLine="408" w:firstLineChars="200"/>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②对学校伙房下达的订单，</w:t>
      </w:r>
      <w:r>
        <w:rPr>
          <w:rFonts w:hint="eastAsia" w:ascii="宋体" w:hAnsi="宋体" w:eastAsia="宋体" w:cs="宋体"/>
          <w:color w:val="auto"/>
          <w:spacing w:val="-3"/>
          <w:szCs w:val="21"/>
          <w:highlight w:val="none"/>
        </w:rPr>
        <w:t>成交供应商</w:t>
      </w:r>
      <w:r>
        <w:rPr>
          <w:rFonts w:hint="eastAsia" w:ascii="宋体" w:hAnsi="宋体" w:eastAsia="宋体" w:cs="宋体"/>
          <w:color w:val="auto"/>
          <w:spacing w:val="-3"/>
          <w:szCs w:val="21"/>
          <w:highlight w:val="none"/>
        </w:rPr>
        <w:t>须在30分钟内作出响应，延误1次处以1000元的处</w:t>
      </w:r>
      <w:r>
        <w:rPr>
          <w:rFonts w:hint="eastAsia" w:ascii="宋体" w:hAnsi="宋体" w:eastAsia="宋体" w:cs="宋体"/>
          <w:color w:val="auto"/>
          <w:spacing w:val="-4"/>
          <w:szCs w:val="21"/>
          <w:highlight w:val="none"/>
        </w:rPr>
        <w:t>罚金，</w:t>
      </w:r>
      <w:r>
        <w:rPr>
          <w:rFonts w:hint="eastAsia" w:ascii="宋体" w:hAnsi="宋体" w:eastAsia="宋体" w:cs="宋体"/>
          <w:color w:val="auto"/>
          <w:spacing w:val="-1"/>
          <w:szCs w:val="21"/>
          <w:highlight w:val="none"/>
        </w:rPr>
        <w:t>处罚金在货款中扣减，年累计超过3次者，采</w:t>
      </w:r>
      <w:r>
        <w:rPr>
          <w:rFonts w:hint="eastAsia" w:ascii="宋体" w:hAnsi="宋体" w:eastAsia="宋体" w:cs="宋体"/>
          <w:color w:val="auto"/>
          <w:spacing w:val="-2"/>
          <w:szCs w:val="21"/>
          <w:highlight w:val="none"/>
        </w:rPr>
        <w:t>购人有权解除合同，因此产生的责任和经济损失由</w:t>
      </w:r>
      <w:r>
        <w:rPr>
          <w:rFonts w:hint="eastAsia" w:ascii="宋体" w:hAnsi="宋体" w:eastAsia="宋体" w:cs="宋体"/>
          <w:color w:val="auto"/>
          <w:spacing w:val="-2"/>
          <w:szCs w:val="21"/>
          <w:highlight w:val="none"/>
        </w:rPr>
        <w:t>成交供应商</w:t>
      </w:r>
      <w:r>
        <w:rPr>
          <w:rFonts w:hint="eastAsia" w:ascii="宋体" w:hAnsi="宋体" w:eastAsia="宋体" w:cs="宋体"/>
          <w:color w:val="auto"/>
          <w:spacing w:val="-5"/>
          <w:szCs w:val="21"/>
          <w:highlight w:val="none"/>
        </w:rPr>
        <w:t>承担。</w:t>
      </w:r>
    </w:p>
    <w:p w14:paraId="4A0E1A4B">
      <w:pPr>
        <w:spacing w:line="400" w:lineRule="exact"/>
        <w:ind w:firstLine="424"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6.成交供应商</w:t>
      </w:r>
      <w:r>
        <w:rPr>
          <w:rFonts w:hint="eastAsia" w:ascii="宋体" w:hAnsi="宋体" w:eastAsia="宋体" w:cs="宋体"/>
          <w:color w:val="auto"/>
          <w:spacing w:val="1"/>
          <w:szCs w:val="21"/>
          <w:highlight w:val="none"/>
        </w:rPr>
        <w:t>提供的猪肉牛肉羊肉必须均为桂林市定点屠宰厂（场）经检疫和肉品品质检验合</w:t>
      </w:r>
      <w:r>
        <w:rPr>
          <w:rFonts w:hint="eastAsia" w:ascii="宋体" w:hAnsi="宋体" w:eastAsia="宋体" w:cs="宋体"/>
          <w:color w:val="auto"/>
          <w:spacing w:val="-1"/>
          <w:szCs w:val="21"/>
          <w:highlight w:val="none"/>
        </w:rPr>
        <w:t>格的产品，有由定点屠宰厂（场）加盖验讫印章并出具《畜产品检验证明》或《动物检</w:t>
      </w:r>
      <w:r>
        <w:rPr>
          <w:rFonts w:hint="eastAsia" w:ascii="宋体" w:hAnsi="宋体" w:eastAsia="宋体" w:cs="宋体"/>
          <w:color w:val="auto"/>
          <w:spacing w:val="-2"/>
          <w:szCs w:val="21"/>
          <w:highlight w:val="none"/>
        </w:rPr>
        <w:t>疫合格证明》，</w:t>
      </w:r>
      <w:r>
        <w:rPr>
          <w:rFonts w:hint="eastAsia" w:ascii="宋体" w:hAnsi="宋体" w:eastAsia="宋体" w:cs="宋体"/>
          <w:color w:val="auto"/>
          <w:spacing w:val="-1"/>
          <w:szCs w:val="21"/>
          <w:highlight w:val="none"/>
        </w:rPr>
        <w:t>所有商品可追索，鲜鱼、肉类保证每日新鲜，符合食品卫生要求。</w:t>
      </w:r>
    </w:p>
    <w:p w14:paraId="7E2DAA0A">
      <w:pPr>
        <w:spacing w:line="400" w:lineRule="exact"/>
        <w:ind w:firstLine="424"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7.</w:t>
      </w:r>
      <w:r>
        <w:rPr>
          <w:rFonts w:hint="eastAsia" w:ascii="宋体" w:hAnsi="宋体" w:eastAsia="宋体" w:cs="宋体"/>
          <w:color w:val="auto"/>
          <w:spacing w:val="1"/>
          <w:szCs w:val="21"/>
          <w:highlight w:val="none"/>
        </w:rPr>
        <w:t>对有个别肉类、水产类需要进行粗加工的，</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必须按照学校</w:t>
      </w:r>
      <w:r>
        <w:rPr>
          <w:rFonts w:hint="eastAsia" w:ascii="宋体" w:hAnsi="宋体" w:eastAsia="宋体" w:cs="宋体"/>
          <w:color w:val="auto"/>
          <w:spacing w:val="1"/>
          <w:szCs w:val="21"/>
          <w:highlight w:val="none"/>
        </w:rPr>
        <w:t>伙房</w:t>
      </w:r>
      <w:r>
        <w:rPr>
          <w:rFonts w:hint="eastAsia" w:ascii="宋体" w:hAnsi="宋体" w:eastAsia="宋体" w:cs="宋体"/>
          <w:color w:val="auto"/>
          <w:spacing w:val="1"/>
          <w:szCs w:val="21"/>
          <w:highlight w:val="none"/>
        </w:rPr>
        <w:t>要求</w:t>
      </w:r>
      <w:r>
        <w:rPr>
          <w:rFonts w:hint="eastAsia" w:ascii="宋体" w:hAnsi="宋体" w:eastAsia="宋体" w:cs="宋体"/>
          <w:color w:val="auto"/>
          <w:szCs w:val="21"/>
          <w:highlight w:val="none"/>
        </w:rPr>
        <w:t>进行</w:t>
      </w:r>
      <w:r>
        <w:rPr>
          <w:rFonts w:hint="eastAsia" w:ascii="宋体" w:hAnsi="宋体" w:eastAsia="宋体" w:cs="宋体"/>
          <w:color w:val="auto"/>
          <w:spacing w:val="-5"/>
          <w:szCs w:val="21"/>
          <w:highlight w:val="none"/>
        </w:rPr>
        <w:t>相应加工。</w:t>
      </w:r>
    </w:p>
    <w:p w14:paraId="4D72DAA1">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8.成交供应商</w:t>
      </w:r>
      <w:r>
        <w:rPr>
          <w:rFonts w:hint="eastAsia" w:ascii="宋体" w:hAnsi="宋体" w:eastAsia="宋体" w:cs="宋体"/>
          <w:color w:val="auto"/>
          <w:szCs w:val="21"/>
          <w:highlight w:val="none"/>
        </w:rPr>
        <w:t>所提供的鲜肉类、活禽、鲜水产须具有多样性和季节</w:t>
      </w:r>
      <w:r>
        <w:rPr>
          <w:rFonts w:hint="eastAsia" w:ascii="宋体" w:hAnsi="宋体" w:eastAsia="宋体" w:cs="宋体"/>
          <w:color w:val="auto"/>
          <w:spacing w:val="-1"/>
          <w:szCs w:val="21"/>
          <w:highlight w:val="none"/>
        </w:rPr>
        <w:t>性，以保证新鲜感。</w:t>
      </w:r>
    </w:p>
    <w:p w14:paraId="255465BD">
      <w:pPr>
        <w:spacing w:line="360" w:lineRule="exact"/>
        <w:ind w:firstLine="424" w:firstLineChars="20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9.</w:t>
      </w:r>
      <w:r>
        <w:rPr>
          <w:rFonts w:hint="eastAsia" w:ascii="宋体" w:hAnsi="宋体" w:eastAsia="宋体" w:cs="宋体"/>
          <w:color w:val="auto"/>
          <w:spacing w:val="1"/>
          <w:szCs w:val="21"/>
          <w:highlight w:val="none"/>
        </w:rPr>
        <w:t>每次交货时须提供本批次产品的出厂（库）检验合格证明（随车同行</w:t>
      </w:r>
      <w:r>
        <w:rPr>
          <w:rFonts w:hint="eastAsia" w:ascii="宋体" w:hAnsi="宋体" w:eastAsia="宋体" w:cs="宋体"/>
          <w:color w:val="auto"/>
          <w:spacing w:val="5"/>
          <w:szCs w:val="21"/>
          <w:highlight w:val="none"/>
        </w:rPr>
        <w:t>）：</w:t>
      </w:r>
      <w:r>
        <w:rPr>
          <w:rFonts w:hint="eastAsia" w:ascii="宋体" w:hAnsi="宋体" w:eastAsia="宋体" w:cs="宋体"/>
          <w:color w:val="auto"/>
          <w:spacing w:val="1"/>
          <w:szCs w:val="21"/>
          <w:highlight w:val="none"/>
        </w:rPr>
        <w:t>《出县境动物产品</w:t>
      </w:r>
      <w:r>
        <w:rPr>
          <w:rFonts w:hint="eastAsia" w:ascii="宋体" w:hAnsi="宋体" w:eastAsia="宋体" w:cs="宋体"/>
          <w:color w:val="auto"/>
          <w:spacing w:val="-1"/>
          <w:szCs w:val="21"/>
          <w:highlight w:val="none"/>
        </w:rPr>
        <w:t>检疫合格证》、《产品合格证》、《卫生检疫报告》、《贮存地的出入库检疫证明》（水产品类</w:t>
      </w:r>
      <w:r>
        <w:rPr>
          <w:rFonts w:hint="eastAsia" w:ascii="宋体" w:hAnsi="宋体" w:eastAsia="宋体" w:cs="宋体"/>
          <w:color w:val="auto"/>
          <w:spacing w:val="1"/>
          <w:szCs w:val="21"/>
          <w:highlight w:val="none"/>
        </w:rPr>
        <w:t>）；</w:t>
      </w:r>
      <w:r>
        <w:rPr>
          <w:rFonts w:hint="eastAsia" w:ascii="宋体" w:hAnsi="宋体" w:eastAsia="宋体" w:cs="宋体"/>
          <w:color w:val="auto"/>
          <w:spacing w:val="-1"/>
          <w:szCs w:val="21"/>
          <w:highlight w:val="none"/>
        </w:rPr>
        <w:t>每天的肉类供货必须提供检疫合格证明，与货品一同送达学校，并且在食材包装上贴上出厂标签，标签上注明配送公司、出库时间、重量等内容。</w:t>
      </w:r>
      <w:r>
        <w:rPr>
          <w:rFonts w:hint="eastAsia" w:ascii="宋体" w:hAnsi="宋体" w:eastAsia="宋体" w:cs="宋体"/>
          <w:color w:val="auto"/>
          <w:spacing w:val="-1"/>
          <w:szCs w:val="21"/>
          <w:highlight w:val="none"/>
        </w:rPr>
        <w:t>蔬菜类每天供货必须进行农药残留检测并提供农药残留检测合格报告单，配送食品必须从配送企业的分拣仓库出库，在食材包装上粘贴出库标签，注明配送公司名称、食材品名、出库时间、重量、检测信息、检测员等内容；如发现质量问题</w:t>
      </w:r>
      <w:r>
        <w:rPr>
          <w:rFonts w:hint="eastAsia" w:ascii="宋体" w:hAnsi="宋体" w:eastAsia="宋体" w:cs="宋体"/>
          <w:color w:val="auto"/>
          <w:spacing w:val="-1"/>
          <w:szCs w:val="21"/>
          <w:highlight w:val="none"/>
          <w:lang w:eastAsia="zh-CN"/>
        </w:rPr>
        <w:t>，</w:t>
      </w:r>
      <w:r>
        <w:rPr>
          <w:rFonts w:hint="eastAsia" w:ascii="宋体" w:hAnsi="宋体" w:eastAsia="宋体" w:cs="宋体"/>
          <w:color w:val="auto"/>
          <w:spacing w:val="-1"/>
          <w:szCs w:val="21"/>
          <w:highlight w:val="none"/>
        </w:rPr>
        <w:t>必须按</w:t>
      </w:r>
      <w:r>
        <w:rPr>
          <w:rFonts w:hint="eastAsia" w:ascii="宋体" w:hAnsi="宋体" w:eastAsia="宋体" w:cs="宋体"/>
          <w:color w:val="auto"/>
          <w:spacing w:val="-1"/>
          <w:szCs w:val="21"/>
          <w:highlight w:val="none"/>
          <w:lang w:eastAsia="zh-CN"/>
        </w:rPr>
        <w:t>采购人</w:t>
      </w:r>
      <w:r>
        <w:rPr>
          <w:rFonts w:hint="eastAsia" w:ascii="宋体" w:hAnsi="宋体" w:eastAsia="宋体" w:cs="宋体"/>
          <w:color w:val="auto"/>
          <w:spacing w:val="-1"/>
          <w:szCs w:val="21"/>
          <w:highlight w:val="none"/>
        </w:rPr>
        <w:t>要求在限时内包退包换。</w:t>
      </w:r>
    </w:p>
    <w:p w14:paraId="59957BB3">
      <w:pPr>
        <w:spacing w:line="360" w:lineRule="exact"/>
        <w:ind w:firstLine="412"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10.</w:t>
      </w:r>
      <w:r>
        <w:rPr>
          <w:rFonts w:hint="eastAsia" w:ascii="宋体" w:hAnsi="宋体" w:eastAsia="宋体" w:cs="宋体"/>
          <w:color w:val="auto"/>
          <w:spacing w:val="-2"/>
          <w:szCs w:val="21"/>
          <w:highlight w:val="none"/>
        </w:rPr>
        <w:t>在学校</w:t>
      </w:r>
      <w:r>
        <w:rPr>
          <w:rFonts w:hint="eastAsia" w:ascii="宋体" w:hAnsi="宋体" w:eastAsia="宋体" w:cs="宋体"/>
          <w:color w:val="auto"/>
          <w:spacing w:val="-2"/>
          <w:szCs w:val="21"/>
          <w:highlight w:val="none"/>
        </w:rPr>
        <w:t>伙房</w:t>
      </w:r>
      <w:r>
        <w:rPr>
          <w:rFonts w:hint="eastAsia" w:ascii="宋体" w:hAnsi="宋体" w:eastAsia="宋体" w:cs="宋体"/>
          <w:color w:val="auto"/>
          <w:spacing w:val="-2"/>
          <w:szCs w:val="21"/>
          <w:highlight w:val="none"/>
        </w:rPr>
        <w:t>签收之前，每批次的食材所有权和风险属于</w:t>
      </w:r>
      <w:r>
        <w:rPr>
          <w:rFonts w:hint="eastAsia" w:ascii="宋体" w:hAnsi="宋体" w:eastAsia="宋体" w:cs="宋体"/>
          <w:color w:val="auto"/>
          <w:spacing w:val="-2"/>
          <w:szCs w:val="21"/>
          <w:highlight w:val="none"/>
        </w:rPr>
        <w:t>成交供应商</w:t>
      </w:r>
      <w:r>
        <w:rPr>
          <w:rFonts w:hint="eastAsia" w:ascii="宋体" w:hAnsi="宋体" w:eastAsia="宋体" w:cs="宋体"/>
          <w:color w:val="auto"/>
          <w:spacing w:val="-2"/>
          <w:szCs w:val="21"/>
          <w:highlight w:val="none"/>
        </w:rPr>
        <w:t>，发生的遗失、损坏由</w:t>
      </w:r>
      <w:r>
        <w:rPr>
          <w:rFonts w:hint="eastAsia" w:ascii="宋体" w:hAnsi="宋体" w:eastAsia="宋体" w:cs="宋体"/>
          <w:color w:val="auto"/>
          <w:spacing w:val="-2"/>
          <w:szCs w:val="21"/>
          <w:highlight w:val="none"/>
        </w:rPr>
        <w:t>成交供应商</w:t>
      </w:r>
      <w:r>
        <w:rPr>
          <w:rFonts w:hint="eastAsia" w:ascii="宋体" w:hAnsi="宋体" w:eastAsia="宋体" w:cs="宋体"/>
          <w:color w:val="auto"/>
          <w:spacing w:val="-3"/>
          <w:szCs w:val="21"/>
          <w:highlight w:val="none"/>
        </w:rPr>
        <w:t>负责。</w:t>
      </w:r>
    </w:p>
    <w:p w14:paraId="2A8B7EA0">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11.成交供应商</w:t>
      </w:r>
      <w:r>
        <w:rPr>
          <w:rFonts w:hint="eastAsia" w:ascii="宋体" w:hAnsi="宋体" w:eastAsia="宋体" w:cs="宋体"/>
          <w:color w:val="auto"/>
          <w:spacing w:val="-1"/>
          <w:szCs w:val="21"/>
          <w:highlight w:val="none"/>
        </w:rPr>
        <w:t>须严格按照学校伙房的指令配送商品的数量，不</w:t>
      </w:r>
      <w:r>
        <w:rPr>
          <w:rFonts w:hint="eastAsia" w:ascii="宋体" w:hAnsi="宋体" w:eastAsia="宋体" w:cs="宋体"/>
          <w:color w:val="auto"/>
          <w:spacing w:val="-2"/>
          <w:szCs w:val="21"/>
          <w:highlight w:val="none"/>
        </w:rPr>
        <w:t>得随意增减，否则学校</w:t>
      </w:r>
      <w:r>
        <w:rPr>
          <w:rFonts w:hint="eastAsia" w:ascii="宋体" w:hAnsi="宋体" w:eastAsia="宋体" w:cs="宋体"/>
          <w:color w:val="auto"/>
          <w:spacing w:val="-2"/>
          <w:szCs w:val="21"/>
          <w:highlight w:val="none"/>
        </w:rPr>
        <w:t>伙房</w:t>
      </w:r>
      <w:r>
        <w:rPr>
          <w:rFonts w:hint="eastAsia" w:ascii="宋体" w:hAnsi="宋体" w:eastAsia="宋体" w:cs="宋体"/>
          <w:color w:val="auto"/>
          <w:spacing w:val="-2"/>
          <w:szCs w:val="21"/>
          <w:highlight w:val="none"/>
        </w:rPr>
        <w:t>有权</w:t>
      </w:r>
      <w:r>
        <w:rPr>
          <w:rFonts w:hint="eastAsia" w:ascii="宋体" w:hAnsi="宋体" w:eastAsia="宋体" w:cs="宋体"/>
          <w:color w:val="auto"/>
          <w:spacing w:val="-8"/>
          <w:szCs w:val="21"/>
          <w:highlight w:val="none"/>
        </w:rPr>
        <w:t>拒收。</w:t>
      </w:r>
    </w:p>
    <w:p w14:paraId="61FAF131">
      <w:pPr>
        <w:spacing w:line="400" w:lineRule="exact"/>
        <w:ind w:firstLine="416" w:firstLineChars="200"/>
        <w:rPr>
          <w:rFonts w:hint="eastAsia" w:ascii="宋体" w:hAnsi="宋体" w:eastAsia="宋体" w:cs="宋体"/>
          <w:color w:val="auto"/>
          <w:szCs w:val="20"/>
          <w:highlight w:val="none"/>
        </w:rPr>
      </w:pPr>
      <w:r>
        <w:rPr>
          <w:rFonts w:hint="eastAsia" w:ascii="宋体" w:hAnsi="宋体" w:eastAsia="宋体" w:cs="宋体"/>
          <w:color w:val="auto"/>
          <w:spacing w:val="-1"/>
          <w:szCs w:val="21"/>
          <w:highlight w:val="none"/>
        </w:rPr>
        <w:t>12.</w:t>
      </w:r>
      <w:r>
        <w:rPr>
          <w:rFonts w:hint="eastAsia" w:ascii="宋体" w:hAnsi="宋体" w:eastAsia="宋体" w:cs="宋体"/>
          <w:color w:val="auto"/>
          <w:spacing w:val="-1"/>
          <w:szCs w:val="21"/>
          <w:highlight w:val="none"/>
        </w:rPr>
        <w:t>除客观不可抗力外，</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不得更改送货内容。如因市场流通问题确</w:t>
      </w:r>
      <w:r>
        <w:rPr>
          <w:rFonts w:hint="eastAsia" w:ascii="宋体" w:hAnsi="宋体" w:eastAsia="宋体" w:cs="宋体"/>
          <w:color w:val="auto"/>
          <w:spacing w:val="-2"/>
          <w:szCs w:val="21"/>
          <w:highlight w:val="none"/>
        </w:rPr>
        <w:t>实需要变更供货内</w:t>
      </w:r>
      <w:r>
        <w:rPr>
          <w:rFonts w:hint="eastAsia" w:ascii="宋体" w:hAnsi="宋体" w:eastAsia="宋体" w:cs="宋体"/>
          <w:color w:val="auto"/>
          <w:spacing w:val="-1"/>
          <w:szCs w:val="21"/>
          <w:highlight w:val="none"/>
        </w:rPr>
        <w:t>容的，</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应在得知情况的同时告知学校伙房并书面申请，经学校伙房同意后方可更改。发现</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有私自更改菜单中货品时以违约论处，因此产生的一切损失和费用由</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承担。出现</w:t>
      </w:r>
      <w:r>
        <w:rPr>
          <w:rFonts w:hint="eastAsia" w:ascii="宋体" w:hAnsi="宋体" w:eastAsia="宋体" w:cs="宋体"/>
          <w:color w:val="auto"/>
          <w:spacing w:val="-1"/>
          <w:szCs w:val="21"/>
          <w:highlight w:val="none"/>
        </w:rPr>
        <w:t>1</w:t>
      </w:r>
      <w:r>
        <w:rPr>
          <w:rFonts w:hint="eastAsia" w:ascii="宋体" w:hAnsi="宋体" w:eastAsia="宋体" w:cs="宋体"/>
          <w:color w:val="auto"/>
          <w:spacing w:val="-2"/>
          <w:szCs w:val="21"/>
          <w:highlight w:val="none"/>
        </w:rPr>
        <w:t>次上述情况的，处以500元罚金，累计出现3次上述情况，采购人有权终止合同，处罚金从供货结算款内扣除。</w:t>
      </w:r>
    </w:p>
    <w:p w14:paraId="07B7BEFE">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13.成交供应商须严格遵守《食品安全法》和《动物检疫法》等相关规定，所提供的食材是安全合格产品，确保所有供应的食材原材料重金属含量必须符合国家相关食品安全标准，确保所有供应的禽畜肉类、水产品类等兽药残留指标应符合国家食品安全相关标准，如在随机抽检过程中发现兽药残留超标现象或一经发现供应以下问题食材，采购人除全部退货外，将取消供货资格，承担由此造成的全部经济责任和法律责任：</w:t>
      </w:r>
    </w:p>
    <w:p w14:paraId="480D7081">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（1）腐烂变质、油脂酸败、霉变、生虫、污秽不洁、混有异物或者其他感官性状异常，对人体健康有害的。</w:t>
      </w:r>
    </w:p>
    <w:p w14:paraId="40EA60B5">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（2）含有毒、有害物质或者被有害物质污染，对人体健康有害的。</w:t>
      </w:r>
    </w:p>
    <w:p w14:paraId="2D6C13DD">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（3）含有致病性寄生虫、微生物或者微生物含量超过国家限定标准的。</w:t>
      </w:r>
    </w:p>
    <w:p w14:paraId="15A541D6">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（4）未经动物检疫部门检疫、检验或者检疫、检验不合格的肉类及其制品。</w:t>
      </w:r>
    </w:p>
    <w:p w14:paraId="36F9934E">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（5）病死、毒死或者死因不明的禽、畜、水产动物等及其制品。</w:t>
      </w:r>
    </w:p>
    <w:p w14:paraId="1EB54971">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（6）掺假、掺杂、伪造的。</w:t>
      </w:r>
    </w:p>
    <w:p w14:paraId="4EE7FBD9">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（7）用非食品原料加工的，加入非食品用化学物质或者将非食品当作食品的。</w:t>
      </w:r>
    </w:p>
    <w:p w14:paraId="7E9F00B9">
      <w:pPr>
        <w:widowControl/>
        <w:tabs>
          <w:tab w:val="left" w:pos="180"/>
          <w:tab w:val="left" w:pos="525"/>
          <w:tab w:val="left" w:pos="720"/>
        </w:tabs>
        <w:spacing w:line="380" w:lineRule="exact"/>
        <w:ind w:firstLine="420" w:firstLineChars="200"/>
        <w:rPr>
          <w:rFonts w:hint="eastAsia" w:ascii="宋体" w:hAnsi="宋体" w:eastAsia="宋体" w:cs="宋体"/>
          <w:color w:val="auto"/>
          <w:spacing w:val="1"/>
          <w:szCs w:val="21"/>
          <w:highlight w:val="none"/>
        </w:rPr>
      </w:pPr>
      <w:r>
        <w:rPr>
          <w:rFonts w:hint="eastAsia" w:ascii="宋体" w:hAnsi="宋体" w:eastAsia="宋体" w:cs="宋体"/>
          <w:color w:val="auto"/>
          <w:szCs w:val="20"/>
          <w:highlight w:val="none"/>
        </w:rPr>
        <w:t>（8）超过保质期限的。</w:t>
      </w:r>
    </w:p>
    <w:p w14:paraId="4C183935">
      <w:pPr>
        <w:widowControl/>
        <w:tabs>
          <w:tab w:val="left" w:pos="180"/>
          <w:tab w:val="left" w:pos="525"/>
          <w:tab w:val="left" w:pos="720"/>
        </w:tabs>
        <w:spacing w:line="380" w:lineRule="exact"/>
        <w:ind w:firstLine="422" w:firstLineChars="200"/>
        <w:rPr>
          <w:rFonts w:hint="eastAsia" w:ascii="宋体" w:hAnsi="宋体" w:eastAsia="宋体" w:cs="宋体"/>
          <w:color w:val="auto"/>
          <w:szCs w:val="20"/>
          <w:highlight w:val="none"/>
        </w:rPr>
      </w:pPr>
      <w:r>
        <w:rPr>
          <w:rFonts w:hint="eastAsia" w:ascii="宋体" w:hAnsi="宋体" w:eastAsia="宋体" w:cs="宋体"/>
          <w:b/>
          <w:bCs/>
          <w:color w:val="auto"/>
          <w:szCs w:val="20"/>
          <w:highlight w:val="none"/>
        </w:rPr>
        <w:t>（四）配送条件要求</w:t>
      </w:r>
    </w:p>
    <w:p w14:paraId="72E716B5">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1.经营场所要求：</w:t>
      </w:r>
    </w:p>
    <w:p w14:paraId="6648107A">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（1）具有与所供应的食材品种、数量额度相适应的食材分拣、贮存等场所（办公场地、</w:t>
      </w:r>
      <w:r>
        <w:rPr>
          <w:rFonts w:hint="eastAsia" w:ascii="宋体" w:hAnsi="宋体" w:eastAsia="宋体" w:cs="宋体"/>
          <w:color w:val="auto"/>
          <w:szCs w:val="20"/>
          <w:highlight w:val="none"/>
          <w:lang w:eastAsia="zh-CN"/>
        </w:rPr>
        <w:t>冷藏库和冷冻库</w:t>
      </w:r>
      <w:r>
        <w:rPr>
          <w:rFonts w:hint="eastAsia" w:ascii="宋体" w:hAnsi="宋体" w:eastAsia="宋体" w:cs="宋体"/>
          <w:color w:val="auto"/>
          <w:szCs w:val="20"/>
          <w:highlight w:val="none"/>
        </w:rPr>
        <w:t>、仓库等），要求场所环境整洁，配备“三防 ”（防蝇、防鼠、防虫）卫生设施和消毒、照明、通风等设备，并与有毒、有害场所以及其他污染源保持25米以上的距离。</w:t>
      </w:r>
    </w:p>
    <w:p w14:paraId="4117725F">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（2）具有合理的功能室布局和加工流程，防止原料与成品 交叉污染，避免食品接触有毒物、不洁物；</w:t>
      </w:r>
    </w:p>
    <w:p w14:paraId="72E99A23">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（3）签订合同后采购人将对供应商自有场所条件进行现场核查及考核，如发现不满足项目要求或虚假应标的，将做供应商违约处理，采购人将取消合同并上报财政部门进行处罚。</w:t>
      </w:r>
    </w:p>
    <w:p w14:paraId="371D3082">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bookmarkStart w:id="110" w:name="OLE_LINK87"/>
      <w:bookmarkStart w:id="111" w:name="OLE_LINK88"/>
      <w:bookmarkStart w:id="112" w:name="OLE_LINK100"/>
      <w:bookmarkStart w:id="113" w:name="OLE_LINK97"/>
      <w:r>
        <w:rPr>
          <w:rFonts w:hint="eastAsia" w:ascii="宋体" w:hAnsi="宋体" w:eastAsia="宋体" w:cs="宋体"/>
          <w:color w:val="auto"/>
          <w:szCs w:val="20"/>
          <w:highlight w:val="none"/>
        </w:rPr>
        <w:t>2.配送设备要求</w:t>
      </w:r>
    </w:p>
    <w:bookmarkEnd w:id="110"/>
    <w:bookmarkEnd w:id="111"/>
    <w:p w14:paraId="79120239">
      <w:pPr>
        <w:widowControl/>
        <w:tabs>
          <w:tab w:val="left" w:pos="180"/>
          <w:tab w:val="left" w:pos="525"/>
          <w:tab w:val="left" w:pos="720"/>
        </w:tabs>
        <w:spacing w:line="380" w:lineRule="exact"/>
        <w:ind w:firstLine="420" w:firstLineChars="200"/>
        <w:rPr>
          <w:rFonts w:hint="eastAsia" w:ascii="宋体" w:hAnsi="宋体" w:eastAsia="宋体" w:cs="宋体"/>
          <w:color w:val="auto"/>
          <w:spacing w:val="1"/>
          <w:szCs w:val="21"/>
          <w:highlight w:val="none"/>
        </w:rPr>
      </w:pPr>
      <w:r>
        <w:rPr>
          <w:rFonts w:hint="eastAsia" w:ascii="宋体" w:hAnsi="宋体" w:eastAsia="宋体" w:cs="宋体"/>
          <w:color w:val="auto"/>
          <w:szCs w:val="20"/>
          <w:highlight w:val="none"/>
        </w:rPr>
        <w:t>（1）</w:t>
      </w:r>
      <w:r>
        <w:rPr>
          <w:rFonts w:hint="eastAsia" w:ascii="宋体" w:hAnsi="宋体" w:eastAsia="宋体" w:cs="宋体"/>
          <w:color w:val="auto"/>
          <w:spacing w:val="1"/>
          <w:szCs w:val="21"/>
          <w:highlight w:val="none"/>
        </w:rPr>
        <w:t>供应商必须具有相应的供货能力、配送能力，配送时</w:t>
      </w:r>
      <w:r>
        <w:rPr>
          <w:rFonts w:hint="eastAsia" w:ascii="宋体" w:hAnsi="宋体" w:eastAsia="宋体" w:cs="宋体"/>
          <w:color w:val="auto"/>
          <w:spacing w:val="1"/>
          <w:szCs w:val="21"/>
          <w:highlight w:val="none"/>
        </w:rPr>
        <w:t>必须使用</w:t>
      </w:r>
      <w:r>
        <w:rPr>
          <w:rFonts w:hint="eastAsia" w:ascii="宋体" w:hAnsi="宋体" w:eastAsia="宋体" w:cs="宋体"/>
          <w:color w:val="auto"/>
          <w:spacing w:val="1"/>
          <w:szCs w:val="21"/>
          <w:highlight w:val="none"/>
        </w:rPr>
        <w:t>生鲜食材冷藏车</w:t>
      </w:r>
      <w:r>
        <w:rPr>
          <w:rFonts w:hint="eastAsia" w:ascii="宋体" w:hAnsi="宋体" w:eastAsia="宋体" w:cs="宋体"/>
          <w:color w:val="auto"/>
          <w:szCs w:val="20"/>
          <w:highlight w:val="none"/>
        </w:rPr>
        <w:t>及专用密闭运输容器；车辆必须手续齐全。</w:t>
      </w:r>
    </w:p>
    <w:p w14:paraId="00E330D8">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（2）配送设备应当符合食品操作规范的相关规定</w:t>
      </w:r>
      <w:bookmarkStart w:id="114" w:name="OLE_LINK84"/>
      <w:bookmarkStart w:id="115" w:name="OLE_LINK83"/>
      <w:r>
        <w:rPr>
          <w:rFonts w:hint="eastAsia" w:ascii="宋体" w:hAnsi="宋体" w:eastAsia="宋体" w:cs="宋体"/>
          <w:color w:val="auto"/>
          <w:szCs w:val="20"/>
          <w:highlight w:val="none"/>
        </w:rPr>
        <w:t>；</w:t>
      </w:r>
      <w:bookmarkEnd w:id="114"/>
      <w:bookmarkEnd w:id="115"/>
      <w:r>
        <w:rPr>
          <w:rFonts w:hint="eastAsia" w:ascii="宋体" w:hAnsi="宋体" w:eastAsia="宋体" w:cs="宋体"/>
          <w:color w:val="auto"/>
          <w:szCs w:val="20"/>
          <w:highlight w:val="none"/>
        </w:rPr>
        <w:t>运输车辆和容器内部材质、结构便于清洗和消毒。每次送货车辆及工具必须做到清洗消毒、保持清洁卫生，防止食品运输过程中受污染。</w:t>
      </w:r>
    </w:p>
    <w:p w14:paraId="1AADDCEA">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3）根据采购的数量分类包装，每天按采购人规定时间送到指定地点。采购人有紧急采购需求时，成交供应商必须有专人负责，根据具体时间和采购需求，与成交供应商进行协商配送的相关事宜，并提供免费送货服务。</w:t>
      </w:r>
    </w:p>
    <w:bookmarkEnd w:id="112"/>
    <w:bookmarkEnd w:id="113"/>
    <w:p w14:paraId="31BC0A6D">
      <w:pPr>
        <w:widowControl/>
        <w:tabs>
          <w:tab w:val="left" w:pos="180"/>
          <w:tab w:val="left" w:pos="525"/>
          <w:tab w:val="left" w:pos="720"/>
        </w:tabs>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3.配送人员要求</w:t>
      </w:r>
    </w:p>
    <w:p w14:paraId="37AF5F4C">
      <w:pPr>
        <w:spacing w:line="400" w:lineRule="exact"/>
        <w:rPr>
          <w:rFonts w:hint="eastAsia" w:ascii="宋体" w:hAnsi="宋体" w:eastAsia="宋体" w:cs="宋体"/>
          <w:color w:val="auto"/>
          <w:spacing w:val="7"/>
          <w:szCs w:val="21"/>
          <w:highlight w:val="none"/>
        </w:rPr>
      </w:pPr>
      <w:r>
        <w:rPr>
          <w:rFonts w:hint="eastAsia" w:ascii="宋体" w:hAnsi="宋体" w:eastAsia="宋体" w:cs="宋体"/>
          <w:color w:val="auto"/>
          <w:spacing w:val="7"/>
          <w:szCs w:val="21"/>
          <w:highlight w:val="none"/>
        </w:rPr>
        <w:t xml:space="preserve">   （1）要求至少拟派一名负责人与采购人进行有效沟通，随时向采购人汇报工作，跟进项目进度，确保服务质量并承担相应责任。组织相关服务工作，能够就服务中的重大质量问题、重大争议与纠纷提出处理建议。采购人有紧急采购需求时，可根据具体时间和采购需求，与采购人进行协商配送的相关事宜，并安排免费送货服务。按规定提交采购人要求的各项质量要求和安全要求进行报告，并协助采购人进行系统填报。</w:t>
      </w:r>
    </w:p>
    <w:p w14:paraId="12A86CCF">
      <w:pPr>
        <w:widowControl/>
        <w:tabs>
          <w:tab w:val="left" w:pos="180"/>
          <w:tab w:val="left" w:pos="525"/>
          <w:tab w:val="left" w:pos="720"/>
        </w:tabs>
        <w:spacing w:line="380" w:lineRule="exact"/>
        <w:rPr>
          <w:rFonts w:hint="eastAsia" w:ascii="宋体" w:hAnsi="宋体" w:eastAsia="宋体" w:cs="宋体"/>
          <w:color w:val="auto"/>
          <w:szCs w:val="20"/>
          <w:highlight w:val="none"/>
        </w:rPr>
      </w:pPr>
      <w:r>
        <w:rPr>
          <w:rFonts w:hint="eastAsia" w:ascii="宋体" w:hAnsi="宋体" w:eastAsia="宋体" w:cs="宋体"/>
          <w:color w:val="auto"/>
          <w:spacing w:val="1"/>
          <w:szCs w:val="21"/>
          <w:highlight w:val="none"/>
        </w:rPr>
        <w:t xml:space="preserve">   （2）</w:t>
      </w:r>
      <w:r>
        <w:rPr>
          <w:rFonts w:hint="eastAsia" w:ascii="宋体" w:hAnsi="宋体" w:eastAsia="宋体" w:cs="宋体"/>
          <w:color w:val="auto"/>
          <w:spacing w:val="1"/>
          <w:szCs w:val="21"/>
          <w:highlight w:val="none"/>
        </w:rPr>
        <w:t>配送</w:t>
      </w:r>
      <w:r>
        <w:rPr>
          <w:rFonts w:hint="eastAsia" w:ascii="宋体" w:hAnsi="宋体" w:eastAsia="宋体" w:cs="宋体"/>
          <w:color w:val="auto"/>
          <w:szCs w:val="20"/>
          <w:highlight w:val="none"/>
        </w:rPr>
        <w:t>且固定的专业驾驶人员、固定的随配送人员。所有参与配送的人员每年必须进行健康检查，取得有效的健康合格证明后方可从事配送服务，如出现临时更换配送服务人员的，应提前2天向采购人报送相关材料并经同意后方可更换，如出现由于配送服务人员引发的食品安全问题，由成交供应商承担全部责任，采购人有权终止合同。成交供应商必须将其身份证复印件、劳动合同复印件、健康合格证明复印件、驾驶证复印件等资料上报采购人登记备案。</w:t>
      </w:r>
    </w:p>
    <w:p w14:paraId="6001F947">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4.配送职责要求</w:t>
      </w:r>
    </w:p>
    <w:p w14:paraId="421F2840">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（1）按计划送货</w:t>
      </w:r>
    </w:p>
    <w:p w14:paraId="52A194FE">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成交供应商必须按计划组织供应，并完整、正确填写采购单，由采购人对数量、质量、随货批次检验检疫证明进行验收 ,准确无误后，双方在采购单上签字确认。成交供应商不得随意更改供应计划，确因客观原因个别品种无法 满足需求时，成交供应商必须提前12小时与采购人协商，经允许后方可更换品种。成交供应商不能按时组织供应且事先未主动与达成协议，造成采购人不能正常开展教学、运营工作或损失的，视为成交供应商违约，由成交供应商双倍赔偿当天所购货款；造成严重后果的，采购人可无条件终止协议并拒付所有未支付款项。如发生不提供批次质检报告，第一次罚款200元，第二次罚款1000元，第三次直接终止合同。</w:t>
      </w:r>
    </w:p>
    <w:p w14:paraId="6971515F">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（2）确保质量</w:t>
      </w:r>
    </w:p>
    <w:p w14:paraId="2AAA02A4">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成交供应商提供的食品必须达到国家及相关行业的食品安全、卫生、质量等要求，所有食品必须经过检验检疫合格后方可供应。成交供应商提供的食品质量达不到规定标准，采购人有权拒绝接受，如因使用成交供应商提供的不合格食品，造成人员食物中毒或产生其他不适症状，成交供应商必须承担由此产生的一切经济、法律责任，同时采购人无条件终止协议并拒付所有未支付款项。</w:t>
      </w:r>
    </w:p>
    <w:p w14:paraId="72B5691E">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（3）数量问题</w:t>
      </w:r>
    </w:p>
    <w:p w14:paraId="73FD6DF3">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成交供应商所供应的生鲜类食品、散装食品出现缺斤少两（正常耗损除外）、腐烂变质等情况，将按照所缺重量、变质重量产品供应金额的一百倍进行赔偿；预包装食品出现数量与订单不符、产品 质量不达标、产品为假冒伪劣产品等违法行为，将按照所缺数量、不合格产品或假冒伪劣产品供应金额的一百倍进行赔偿，并将以上违法经营行为上报市场监管部门，对成交供应商进行查处。假冒伪劣产品，或检验检疫不合格或腐烂变质等产品，金额超过一千元的，采购人无条件终止协议并拒付所有未支付款项，并保留司法诉讼权利。</w:t>
      </w:r>
    </w:p>
    <w:p w14:paraId="75436908">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（4）提供明细</w:t>
      </w:r>
    </w:p>
    <w:p w14:paraId="59E083E2">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成交供应商每天供应的食材必须出示电脑打印的票据，每周一提供一份上周所供食材桂林市发改委公布的价格参考明细截图，并加盖公章（含电子版）。供应商需提前提供食材报价，价格合理符合市场规律，积极配合学校做好询价调价工作，下月初及时提供上月核算报表，及时完成结算工作。如发生不提前提供合理报价，不配合询价调价，不及时完成核算工作的；第一次罚款1000元，第二次罚款5000元，第三次直接终止合同。</w:t>
      </w:r>
    </w:p>
    <w:p w14:paraId="13DA37CD">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（5）接受监督</w:t>
      </w:r>
    </w:p>
    <w:p w14:paraId="55115A36">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w:t>
      </w:r>
      <w:r>
        <w:rPr>
          <w:rFonts w:hint="eastAsia" w:ascii="宋体" w:hAnsi="宋体" w:eastAsia="宋体" w:cs="宋体"/>
          <w:color w:val="auto"/>
          <w:szCs w:val="20"/>
          <w:highlight w:val="none"/>
        </w:rPr>
        <w:t>成交供应商须自觉配合采购人及相关主管部门对所供应食材的质量、价格、卫生标准开展监督检查，做到服务周到、耐心答疑。采购人在收到食材后发现质量问题的，禽畜肉类、水产类、豆制品类、蔬菜类食材应当在 8 小时内向成交供应商提出，采购人对存在质量问题的食材予以留存，供成交供应商现场查验核对。</w:t>
      </w:r>
    </w:p>
    <w:p w14:paraId="7A537EF8">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（6）服从管理</w:t>
      </w:r>
    </w:p>
    <w:p w14:paraId="29D90359">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成交供应商的服务人员、配送车辆进入学校区域时，必须严格遵守相关的管理规定，自觉接受相关部门及人员的检查和盘问。</w:t>
      </w:r>
    </w:p>
    <w:p w14:paraId="4EC31EB2">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（7）成交供应商需具备一定的检测食材能力，也可委托具备食材检测资格的食材配送公司对食材进行检测及配送，配送公司也应满足本采购需求中关于配送食材的全部要求。</w:t>
      </w:r>
    </w:p>
    <w:p w14:paraId="3E0EAAF7">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（8）成交供应商所供应的食材必须与物品清单的品名、规格、数量、价格一致。随货出具应提供与实物一致的相关证明，出现食材与物品清单、相关证明不一致的， 采购人有权拒收，因此产生的费用和损失和责任由成交供应商承担。</w:t>
      </w:r>
    </w:p>
    <w:p w14:paraId="1C9B06CC">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5.其它要求</w:t>
      </w:r>
    </w:p>
    <w:p w14:paraId="3663393E">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（1）因每个校区的道路运输条件限制，制定合理配送的运输路线，选择合理的运输方式，按约定时间把食材配送至学校伙房，以保障学校伙房的正常运行。</w:t>
      </w:r>
    </w:p>
    <w:p w14:paraId="45F803AC">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bookmarkStart w:id="116" w:name="OLE_LINK219"/>
      <w:bookmarkStart w:id="117" w:name="OLE_LINK220"/>
      <w:r>
        <w:rPr>
          <w:rFonts w:hint="eastAsia" w:ascii="宋体" w:hAnsi="宋体" w:eastAsia="宋体" w:cs="宋体"/>
          <w:color w:val="auto"/>
          <w:szCs w:val="20"/>
          <w:highlight w:val="none"/>
        </w:rPr>
        <w:t>（2）食材采购：</w:t>
      </w:r>
      <w:r>
        <w:rPr>
          <w:rFonts w:hint="eastAsia" w:ascii="宋体" w:hAnsi="宋体" w:eastAsia="宋体" w:cs="宋体"/>
          <w:color w:val="auto"/>
          <w:szCs w:val="20"/>
          <w:highlight w:val="none"/>
        </w:rPr>
        <w:t>选择具有生产或销售相应种类食品的许可证、营业执照及同批产品质检合格报告的优良供货商定点采购。</w:t>
      </w:r>
    </w:p>
    <w:bookmarkEnd w:id="116"/>
    <w:bookmarkEnd w:id="117"/>
    <w:p w14:paraId="7EB7B8D6">
      <w:pPr>
        <w:widowControl/>
        <w:tabs>
          <w:tab w:val="left" w:pos="180"/>
          <w:tab w:val="left" w:pos="525"/>
          <w:tab w:val="left" w:pos="720"/>
        </w:tabs>
        <w:spacing w:line="40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3）食材贮存：食材贮存场所要符合卫生安全标准，配备必要的食材储藏保鲜设施；建立健全食材出入库管理制度和库存盘点制度；食材贮存应当分类、分架、安全管理；遵循先进先出的原则，及时清理销毁变质和过期的食材。</w:t>
      </w:r>
    </w:p>
    <w:p w14:paraId="41AB952F">
      <w:pPr>
        <w:spacing w:line="40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（4）食材配送：送货车辆及用具必须清洁卫生，运输过程中冷藏大宗食材表面温度与标签标识的温度要求不得超过±3℃，冷冻大宗食材表面温度不宜高于-9℃。</w:t>
      </w:r>
    </w:p>
    <w:p w14:paraId="5F24D26E">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（5）配送管理制度要求：制定与本单位实际相适应的食材原料采购管理制度，保证食材安全。</w:t>
      </w:r>
    </w:p>
    <w:p w14:paraId="10D1CDD6">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bookmarkStart w:id="118" w:name="OLE_LINK46"/>
      <w:bookmarkStart w:id="119" w:name="OLE_LINK45"/>
      <w:r>
        <w:rPr>
          <w:rFonts w:hint="eastAsia" w:ascii="宋体" w:hAnsi="宋体" w:eastAsia="宋体" w:cs="宋体"/>
          <w:color w:val="auto"/>
          <w:szCs w:val="20"/>
          <w:highlight w:val="none"/>
        </w:rPr>
        <w:t>（6）配送食材安全责任险要求：必须</w:t>
      </w:r>
      <w:r>
        <w:rPr>
          <w:rFonts w:hint="eastAsia" w:ascii="宋体" w:hAnsi="宋体" w:eastAsia="宋体" w:cs="宋体"/>
          <w:bCs/>
          <w:color w:val="auto"/>
          <w:szCs w:val="21"/>
          <w:highlight w:val="none"/>
        </w:rPr>
        <w:t>购买食品安全责任险至少1000万元（含1000万元）</w:t>
      </w:r>
      <w:r>
        <w:rPr>
          <w:rFonts w:hint="eastAsia" w:ascii="宋体" w:hAnsi="宋体" w:eastAsia="宋体" w:cs="宋体"/>
          <w:color w:val="auto"/>
          <w:szCs w:val="20"/>
          <w:highlight w:val="none"/>
        </w:rPr>
        <w:t>。</w:t>
      </w:r>
    </w:p>
    <w:bookmarkEnd w:id="118"/>
    <w:bookmarkEnd w:id="119"/>
    <w:p w14:paraId="62683E9B">
      <w:pPr>
        <w:widowControl/>
        <w:spacing w:line="400" w:lineRule="exact"/>
        <w:jc w:val="left"/>
        <w:rPr>
          <w:rFonts w:hint="eastAsia" w:ascii="宋体" w:hAnsi="宋体" w:eastAsia="宋体" w:cs="宋体"/>
          <w:color w:val="auto"/>
          <w:szCs w:val="21"/>
          <w:highlight w:val="none"/>
        </w:rPr>
      </w:pPr>
      <w:bookmarkStart w:id="120" w:name="OLE_LINK222"/>
      <w:bookmarkStart w:id="121" w:name="OLE_LINK221"/>
      <w:r>
        <w:rPr>
          <w:rFonts w:hint="eastAsia" w:ascii="宋体" w:hAnsi="宋体" w:eastAsia="宋体" w:cs="宋体"/>
          <w:b/>
          <w:bCs/>
          <w:color w:val="auto"/>
          <w:spacing w:val="6"/>
          <w:szCs w:val="21"/>
          <w:highlight w:val="none"/>
        </w:rPr>
        <w:t xml:space="preserve">    </w:t>
      </w:r>
      <w:r>
        <w:rPr>
          <w:rFonts w:hint="eastAsia" w:ascii="宋体" w:hAnsi="宋体" w:eastAsia="宋体" w:cs="宋体"/>
          <w:b/>
          <w:bCs/>
          <w:color w:val="auto"/>
          <w:spacing w:val="6"/>
          <w:szCs w:val="21"/>
          <w:highlight w:val="none"/>
        </w:rPr>
        <w:t>（</w:t>
      </w:r>
      <w:r>
        <w:rPr>
          <w:rFonts w:hint="eastAsia" w:ascii="宋体" w:hAnsi="宋体" w:eastAsia="宋体" w:cs="宋体"/>
          <w:b/>
          <w:bCs/>
          <w:color w:val="auto"/>
          <w:spacing w:val="6"/>
          <w:szCs w:val="21"/>
          <w:highlight w:val="none"/>
        </w:rPr>
        <w:t>五</w:t>
      </w:r>
      <w:r>
        <w:rPr>
          <w:rFonts w:hint="eastAsia" w:ascii="宋体" w:hAnsi="宋体" w:eastAsia="宋体" w:cs="宋体"/>
          <w:b/>
          <w:bCs/>
          <w:color w:val="auto"/>
          <w:spacing w:val="6"/>
          <w:szCs w:val="21"/>
          <w:highlight w:val="none"/>
        </w:rPr>
        <w:t>）食材的</w:t>
      </w:r>
      <w:r>
        <w:rPr>
          <w:rFonts w:hint="eastAsia" w:ascii="宋体" w:hAnsi="宋体" w:eastAsia="宋体" w:cs="宋体"/>
          <w:b/>
          <w:bCs/>
          <w:color w:val="auto"/>
          <w:kern w:val="0"/>
          <w:szCs w:val="21"/>
          <w:highlight w:val="none"/>
        </w:rPr>
        <w:t xml:space="preserve">收货及验收方式 </w:t>
      </w:r>
    </w:p>
    <w:p w14:paraId="169BF069">
      <w:pPr>
        <w:spacing w:line="400" w:lineRule="exact"/>
        <w:ind w:firstLine="404" w:firstLineChars="200"/>
        <w:rPr>
          <w:rFonts w:hint="eastAsia" w:ascii="宋体" w:hAnsi="宋体" w:eastAsia="宋体" w:cs="宋体"/>
          <w:color w:val="auto"/>
          <w:szCs w:val="21"/>
          <w:highlight w:val="none"/>
        </w:rPr>
      </w:pPr>
      <w:r>
        <w:rPr>
          <w:rFonts w:hint="eastAsia" w:ascii="宋体" w:hAnsi="宋体" w:eastAsia="宋体" w:cs="宋体"/>
          <w:color w:val="auto"/>
          <w:spacing w:val="-4"/>
          <w:szCs w:val="21"/>
          <w:highlight w:val="none"/>
        </w:rPr>
        <w:t>1.</w:t>
      </w:r>
      <w:r>
        <w:rPr>
          <w:rFonts w:hint="eastAsia" w:ascii="宋体" w:hAnsi="宋体" w:eastAsia="宋体" w:cs="宋体"/>
          <w:color w:val="auto"/>
          <w:spacing w:val="-4"/>
          <w:szCs w:val="21"/>
          <w:highlight w:val="none"/>
        </w:rPr>
        <w:t>成交供应商</w:t>
      </w:r>
      <w:r>
        <w:rPr>
          <w:rFonts w:hint="eastAsia" w:ascii="宋体" w:hAnsi="宋体" w:eastAsia="宋体" w:cs="宋体"/>
          <w:color w:val="auto"/>
          <w:spacing w:val="-4"/>
          <w:szCs w:val="21"/>
          <w:highlight w:val="none"/>
        </w:rPr>
        <w:t>在交货时需出示《送货单》一式三份，标明送货日期、食材</w:t>
      </w:r>
      <w:r>
        <w:rPr>
          <w:rFonts w:hint="eastAsia" w:ascii="宋体" w:hAnsi="宋体" w:eastAsia="宋体" w:cs="宋体"/>
          <w:color w:val="auto"/>
          <w:spacing w:val="-5"/>
          <w:szCs w:val="21"/>
          <w:highlight w:val="none"/>
        </w:rPr>
        <w:t>品名、</w:t>
      </w:r>
      <w:r>
        <w:rPr>
          <w:rFonts w:hint="eastAsia" w:ascii="宋体" w:hAnsi="宋体" w:eastAsia="宋体" w:cs="宋体"/>
          <w:color w:val="auto"/>
          <w:spacing w:val="-5"/>
          <w:szCs w:val="21"/>
          <w:highlight w:val="none"/>
        </w:rPr>
        <w:t>规格、</w:t>
      </w:r>
      <w:r>
        <w:rPr>
          <w:rFonts w:hint="eastAsia" w:ascii="宋体" w:hAnsi="宋体" w:eastAsia="宋体" w:cs="宋体"/>
          <w:color w:val="auto"/>
          <w:spacing w:val="-5"/>
          <w:szCs w:val="21"/>
          <w:highlight w:val="none"/>
        </w:rPr>
        <w:t>数量、</w:t>
      </w:r>
      <w:r>
        <w:rPr>
          <w:rFonts w:hint="eastAsia" w:ascii="宋体" w:hAnsi="宋体" w:eastAsia="宋体" w:cs="宋体"/>
          <w:color w:val="auto"/>
          <w:spacing w:val="-5"/>
          <w:szCs w:val="21"/>
          <w:highlight w:val="none"/>
        </w:rPr>
        <w:t>质量、</w:t>
      </w:r>
      <w:r>
        <w:rPr>
          <w:rFonts w:hint="eastAsia" w:ascii="宋体" w:hAnsi="宋体" w:eastAsia="宋体" w:cs="宋体"/>
          <w:color w:val="auto"/>
          <w:spacing w:val="-5"/>
          <w:szCs w:val="21"/>
          <w:highlight w:val="none"/>
        </w:rPr>
        <w:t>单价、金额、</w:t>
      </w:r>
      <w:r>
        <w:rPr>
          <w:rFonts w:hint="eastAsia" w:ascii="宋体" w:hAnsi="宋体" w:eastAsia="宋体" w:cs="宋体"/>
          <w:color w:val="auto"/>
          <w:spacing w:val="-1"/>
          <w:szCs w:val="21"/>
          <w:highlight w:val="none"/>
        </w:rPr>
        <w:t>经手人、验收人等信息，由</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和学校</w:t>
      </w:r>
      <w:r>
        <w:rPr>
          <w:rFonts w:hint="eastAsia" w:ascii="宋体" w:hAnsi="宋体" w:eastAsia="宋体" w:cs="宋体"/>
          <w:color w:val="auto"/>
          <w:spacing w:val="-1"/>
          <w:szCs w:val="21"/>
          <w:highlight w:val="none"/>
        </w:rPr>
        <w:t>伙房</w:t>
      </w:r>
      <w:r>
        <w:rPr>
          <w:rFonts w:hint="eastAsia" w:ascii="宋体" w:hAnsi="宋体" w:eastAsia="宋体" w:cs="宋体"/>
          <w:color w:val="auto"/>
          <w:szCs w:val="21"/>
          <w:highlight w:val="none"/>
        </w:rPr>
        <w:t>分别指定的验收人</w:t>
      </w:r>
      <w:r>
        <w:rPr>
          <w:rFonts w:hint="eastAsia" w:ascii="宋体" w:hAnsi="宋体" w:eastAsia="宋体" w:cs="宋体"/>
          <w:color w:val="auto"/>
          <w:spacing w:val="-1"/>
          <w:szCs w:val="21"/>
          <w:highlight w:val="none"/>
        </w:rPr>
        <w:t>共同对货物进行验收</w:t>
      </w:r>
      <w:r>
        <w:rPr>
          <w:rFonts w:hint="eastAsia" w:ascii="宋体" w:hAnsi="宋体" w:eastAsia="宋体" w:cs="宋体"/>
          <w:color w:val="auto"/>
          <w:spacing w:val="-1"/>
          <w:szCs w:val="21"/>
          <w:highlight w:val="none"/>
        </w:rPr>
        <w:t>、</w:t>
      </w:r>
      <w:r>
        <w:rPr>
          <w:rFonts w:hint="eastAsia" w:ascii="宋体" w:hAnsi="宋体" w:eastAsia="宋体" w:cs="宋体"/>
          <w:color w:val="auto"/>
          <w:szCs w:val="21"/>
          <w:highlight w:val="none"/>
        </w:rPr>
        <w:t>确认和签字。</w:t>
      </w:r>
      <w:r>
        <w:rPr>
          <w:rFonts w:hint="eastAsia" w:ascii="宋体" w:hAnsi="宋体" w:eastAsia="宋体" w:cs="宋体"/>
          <w:color w:val="auto"/>
          <w:spacing w:val="-1"/>
          <w:szCs w:val="21"/>
          <w:highlight w:val="none"/>
        </w:rPr>
        <w:t>经双方签字确认的验收单（</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2"/>
          <w:szCs w:val="21"/>
          <w:highlight w:val="none"/>
        </w:rPr>
        <w:t>加盖公章）将作为结算的依据。</w:t>
      </w:r>
    </w:p>
    <w:p w14:paraId="387FBA1F">
      <w:pPr>
        <w:spacing w:line="400" w:lineRule="exact"/>
        <w:ind w:firstLine="416" w:firstLineChars="20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2.</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提供的食材须经过学校</w:t>
      </w:r>
      <w:r>
        <w:rPr>
          <w:rFonts w:hint="eastAsia" w:ascii="宋体" w:hAnsi="宋体" w:eastAsia="宋体" w:cs="宋体"/>
          <w:color w:val="auto"/>
          <w:spacing w:val="-1"/>
          <w:szCs w:val="21"/>
          <w:highlight w:val="none"/>
        </w:rPr>
        <w:t>伙房</w:t>
      </w:r>
      <w:r>
        <w:rPr>
          <w:rFonts w:hint="eastAsia" w:ascii="宋体" w:hAnsi="宋体" w:eastAsia="宋体" w:cs="宋体"/>
          <w:color w:val="auto"/>
          <w:spacing w:val="-1"/>
          <w:szCs w:val="21"/>
          <w:highlight w:val="none"/>
        </w:rPr>
        <w:t>验收人员的感官（如气味等）、外观</w:t>
      </w:r>
      <w:r>
        <w:rPr>
          <w:rFonts w:hint="eastAsia" w:ascii="宋体" w:hAnsi="宋体" w:eastAsia="宋体" w:cs="宋体"/>
          <w:color w:val="auto"/>
          <w:spacing w:val="-1"/>
          <w:szCs w:val="21"/>
          <w:highlight w:val="none"/>
        </w:rPr>
        <w:t>、包装、卫生、质量、票证、检验（检测）报告等方面进行</w:t>
      </w:r>
      <w:r>
        <w:rPr>
          <w:rFonts w:hint="eastAsia" w:ascii="宋体" w:hAnsi="宋体" w:eastAsia="宋体" w:cs="宋体"/>
          <w:color w:val="auto"/>
          <w:spacing w:val="-1"/>
          <w:szCs w:val="21"/>
          <w:highlight w:val="none"/>
        </w:rPr>
        <w:t>检验，</w:t>
      </w:r>
      <w:r>
        <w:rPr>
          <w:rFonts w:hint="eastAsia" w:ascii="宋体" w:hAnsi="宋体" w:eastAsia="宋体" w:cs="宋体"/>
          <w:color w:val="auto"/>
          <w:spacing w:val="-1"/>
          <w:szCs w:val="21"/>
          <w:highlight w:val="none"/>
        </w:rPr>
        <w:t>若所供货物品名、规格、数量与采购人当日采购通知不相符的，或所供食材质量、卫生质量及相关材料与合同约定产品质量保证不相符</w:t>
      </w:r>
      <w:r>
        <w:rPr>
          <w:rFonts w:hint="eastAsia" w:ascii="宋体" w:hAnsi="宋体" w:eastAsia="宋体" w:cs="宋体"/>
          <w:color w:val="auto"/>
          <w:szCs w:val="21"/>
          <w:highlight w:val="none"/>
        </w:rPr>
        <w:t>的，采购人有权拒收。</w:t>
      </w:r>
      <w:bookmarkStart w:id="122" w:name="OLE_LINK203"/>
      <w:bookmarkStart w:id="123" w:name="OLE_LINK204"/>
      <w:r>
        <w:rPr>
          <w:rFonts w:hint="eastAsia" w:ascii="宋体" w:hAnsi="宋体" w:eastAsia="宋体" w:cs="宋体"/>
          <w:color w:val="auto"/>
          <w:spacing w:val="-1"/>
          <w:szCs w:val="21"/>
          <w:highlight w:val="none"/>
        </w:rPr>
        <w:t>成交供应商</w:t>
      </w:r>
      <w:bookmarkEnd w:id="122"/>
      <w:bookmarkEnd w:id="123"/>
      <w:r>
        <w:rPr>
          <w:rFonts w:hint="eastAsia" w:ascii="宋体" w:hAnsi="宋体" w:eastAsia="宋体" w:cs="宋体"/>
          <w:color w:val="auto"/>
          <w:spacing w:val="-1"/>
          <w:szCs w:val="21"/>
          <w:highlight w:val="none"/>
        </w:rPr>
        <w:t>须立即更换合格食材并按规定时间送达，因未送达影响到学校伙房的正常运转，</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须承担相应的违约责任。</w:t>
      </w:r>
    </w:p>
    <w:p w14:paraId="47EB77FC">
      <w:pPr>
        <w:widowControl/>
        <w:kinsoku w:val="0"/>
        <w:autoSpaceDE w:val="0"/>
        <w:autoSpaceDN w:val="0"/>
        <w:adjustRightInd w:val="0"/>
        <w:snapToGrid w:val="0"/>
        <w:spacing w:line="400" w:lineRule="exact"/>
        <w:ind w:firstLine="420" w:firstLineChars="200"/>
        <w:jc w:val="left"/>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3.验收后，如发现食材存在其他问题，可要求成交供应商进行换货，</w:t>
      </w:r>
      <w:bookmarkStart w:id="124" w:name="OLE_LINK214"/>
      <w:bookmarkStart w:id="125" w:name="OLE_LINK213"/>
      <w:r>
        <w:rPr>
          <w:rFonts w:hint="eastAsia" w:ascii="宋体" w:hAnsi="宋体" w:eastAsia="宋体" w:cs="宋体"/>
          <w:color w:val="auto"/>
          <w:szCs w:val="21"/>
          <w:highlight w:val="none"/>
        </w:rPr>
        <w:t>成交供应商</w:t>
      </w:r>
      <w:bookmarkEnd w:id="124"/>
      <w:bookmarkEnd w:id="125"/>
      <w:r>
        <w:rPr>
          <w:rFonts w:hint="eastAsia" w:ascii="宋体" w:hAnsi="宋体" w:eastAsia="宋体" w:cs="宋体"/>
          <w:color w:val="auto"/>
          <w:szCs w:val="21"/>
          <w:highlight w:val="none"/>
        </w:rPr>
        <w:t>应在采购人要求的时间内及时调换符合采购人要求的产品并送达采购人指定地点。</w:t>
      </w:r>
    </w:p>
    <w:p w14:paraId="430AFA84">
      <w:pPr>
        <w:widowControl/>
        <w:kinsoku w:val="0"/>
        <w:autoSpaceDE w:val="0"/>
        <w:autoSpaceDN w:val="0"/>
        <w:adjustRightInd w:val="0"/>
        <w:snapToGrid w:val="0"/>
        <w:spacing w:line="400" w:lineRule="exact"/>
        <w:ind w:firstLine="420" w:firstLineChars="200"/>
        <w:jc w:val="left"/>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4.其它事项</w:t>
      </w:r>
      <w:r>
        <w:rPr>
          <w:rFonts w:hint="eastAsia" w:ascii="宋体" w:hAnsi="宋体" w:eastAsia="宋体" w:cs="宋体"/>
          <w:color w:val="auto"/>
          <w:szCs w:val="21"/>
          <w:highlight w:val="none"/>
        </w:rPr>
        <w:t>将按照《</w:t>
      </w:r>
      <w:r>
        <w:rPr>
          <w:rFonts w:hint="eastAsia" w:ascii="宋体" w:hAnsi="宋体" w:eastAsia="宋体" w:cs="宋体"/>
          <w:color w:val="auto"/>
          <w:szCs w:val="21"/>
          <w:highlight w:val="none"/>
        </w:rPr>
        <w:t>桂林市中小学校园食品进货查验记录制度（试行）</w:t>
      </w:r>
      <w:r>
        <w:rPr>
          <w:rFonts w:hint="eastAsia" w:ascii="宋体" w:hAnsi="宋体" w:eastAsia="宋体" w:cs="宋体"/>
          <w:color w:val="auto"/>
          <w:spacing w:val="-1"/>
          <w:szCs w:val="21"/>
          <w:highlight w:val="none"/>
        </w:rPr>
        <w:t>》</w:t>
      </w:r>
      <w:r>
        <w:rPr>
          <w:rFonts w:hint="eastAsia" w:ascii="宋体" w:hAnsi="宋体" w:eastAsia="宋体" w:cs="宋体"/>
          <w:color w:val="auto"/>
          <w:spacing w:val="-1"/>
          <w:szCs w:val="21"/>
          <w:highlight w:val="none"/>
        </w:rPr>
        <w:t>相关要求执行。</w:t>
      </w:r>
    </w:p>
    <w:bookmarkEnd w:id="120"/>
    <w:bookmarkEnd w:id="121"/>
    <w:p w14:paraId="4B25C19C">
      <w:pPr>
        <w:spacing w:line="400" w:lineRule="exact"/>
        <w:rPr>
          <w:rFonts w:hint="eastAsia" w:ascii="宋体" w:hAnsi="宋体" w:eastAsia="宋体" w:cs="宋体"/>
          <w:color w:val="auto"/>
          <w:szCs w:val="21"/>
          <w:highlight w:val="none"/>
        </w:rPr>
      </w:pPr>
      <w:r>
        <w:rPr>
          <w:rFonts w:hint="eastAsia" w:ascii="宋体" w:hAnsi="宋体" w:eastAsia="宋体" w:cs="宋体"/>
          <w:b/>
          <w:bCs/>
          <w:color w:val="auto"/>
          <w:spacing w:val="6"/>
          <w:szCs w:val="21"/>
          <w:highlight w:val="none"/>
        </w:rPr>
        <w:t xml:space="preserve">   </w:t>
      </w:r>
      <w:r>
        <w:rPr>
          <w:rFonts w:hint="eastAsia" w:ascii="宋体" w:hAnsi="宋体" w:eastAsia="宋体" w:cs="宋体"/>
          <w:b/>
          <w:bCs/>
          <w:color w:val="auto"/>
          <w:spacing w:val="6"/>
          <w:szCs w:val="21"/>
          <w:highlight w:val="none"/>
        </w:rPr>
        <w:t>（</w:t>
      </w:r>
      <w:r>
        <w:rPr>
          <w:rFonts w:hint="eastAsia" w:ascii="宋体" w:hAnsi="宋体" w:eastAsia="宋体" w:cs="宋体"/>
          <w:b/>
          <w:bCs/>
          <w:color w:val="auto"/>
          <w:spacing w:val="6"/>
          <w:szCs w:val="21"/>
          <w:highlight w:val="none"/>
        </w:rPr>
        <w:t>六</w:t>
      </w:r>
      <w:r>
        <w:rPr>
          <w:rFonts w:hint="eastAsia" w:ascii="宋体" w:hAnsi="宋体" w:eastAsia="宋体" w:cs="宋体"/>
          <w:b/>
          <w:bCs/>
          <w:color w:val="auto"/>
          <w:spacing w:val="6"/>
          <w:szCs w:val="21"/>
          <w:highlight w:val="none"/>
        </w:rPr>
        <w:t>）结算方式</w:t>
      </w:r>
    </w:p>
    <w:p w14:paraId="05EE60E2">
      <w:pPr>
        <w:spacing w:line="400" w:lineRule="exact"/>
        <w:ind w:firstLine="424" w:firstLineChars="200"/>
        <w:rPr>
          <w:rFonts w:hint="eastAsia" w:ascii="宋体" w:hAnsi="宋体" w:eastAsia="宋体" w:cs="宋体"/>
          <w:color w:val="auto"/>
          <w:szCs w:val="21"/>
          <w:highlight w:val="none"/>
        </w:rPr>
      </w:pPr>
      <w:bookmarkStart w:id="126" w:name="OLE_LINK163"/>
      <w:bookmarkStart w:id="127" w:name="OLE_LINK164"/>
      <w:r>
        <w:rPr>
          <w:rFonts w:hint="eastAsia" w:ascii="宋体" w:hAnsi="宋体" w:eastAsia="宋体" w:cs="宋体"/>
          <w:color w:val="auto"/>
          <w:spacing w:val="1"/>
          <w:szCs w:val="21"/>
          <w:highlight w:val="none"/>
        </w:rPr>
        <w:t>1.服务期内按月度实际供货数量进行结算</w:t>
      </w:r>
      <w:r>
        <w:rPr>
          <w:rFonts w:hint="eastAsia" w:ascii="宋体" w:hAnsi="宋体" w:eastAsia="宋体" w:cs="宋体"/>
          <w:color w:val="auto"/>
          <w:spacing w:val="1"/>
          <w:szCs w:val="21"/>
          <w:highlight w:val="none"/>
        </w:rPr>
        <w:t>；</w:t>
      </w:r>
      <w:r>
        <w:rPr>
          <w:rFonts w:hint="eastAsia" w:ascii="宋体" w:hAnsi="宋体" w:eastAsia="宋体" w:cs="宋体"/>
          <w:color w:val="auto"/>
          <w:spacing w:val="-1"/>
          <w:szCs w:val="21"/>
          <w:highlight w:val="none"/>
        </w:rPr>
        <w:t>即：</w:t>
      </w:r>
      <w:r>
        <w:rPr>
          <w:rFonts w:hint="eastAsia" w:ascii="宋体" w:hAnsi="宋体" w:eastAsia="宋体" w:cs="宋体"/>
          <w:bCs/>
          <w:color w:val="auto"/>
          <w:spacing w:val="-4"/>
          <w:szCs w:val="21"/>
          <w:highlight w:val="none"/>
        </w:rPr>
        <w:t>结算金额=每次确定的基准价×供应商承诺的折扣率（综合折扣率&lt;%&gt;）×实际供应食材的数量。</w:t>
      </w:r>
    </w:p>
    <w:p w14:paraId="0672C920">
      <w:pPr>
        <w:spacing w:line="400" w:lineRule="exact"/>
        <w:ind w:firstLine="422" w:firstLineChars="200"/>
        <w:rPr>
          <w:rFonts w:hint="eastAsia" w:ascii="宋体" w:hAnsi="宋体" w:eastAsia="宋体" w:cs="宋体"/>
          <w:b/>
          <w:color w:val="auto"/>
          <w:szCs w:val="21"/>
          <w:highlight w:val="none"/>
          <w:lang w:val="zh-TW"/>
        </w:rPr>
      </w:pPr>
      <w:bookmarkStart w:id="128" w:name="OLE_LINK166"/>
      <w:bookmarkStart w:id="129" w:name="OLE_LINK167"/>
      <w:r>
        <w:rPr>
          <w:rFonts w:hint="eastAsia" w:ascii="宋体" w:hAnsi="宋体" w:eastAsia="宋体" w:cs="宋体"/>
          <w:b/>
          <w:color w:val="auto"/>
          <w:szCs w:val="21"/>
          <w:highlight w:val="none"/>
          <w:lang w:val="zh-TW"/>
        </w:rPr>
        <w:t xml:space="preserve"> 基准价釆用周期性市场调查询价（每月询价不少于一次）的平均价确定。调查询价采取两种方式，一是线上询价，食材询价定价工作小组集体开展线上询价，对照桂林市发改委(网址</w:t>
      </w:r>
      <w:r>
        <w:rPr>
          <w:rFonts w:hint="eastAsia" w:ascii="宋体" w:hAnsi="宋体" w:eastAsia="宋体" w:cs="宋体"/>
          <w:b/>
          <w:color w:val="auto"/>
          <w:szCs w:val="21"/>
          <w:highlight w:val="none"/>
          <w:lang w:val="zh-TW" w:eastAsia="zh-TW"/>
        </w:rPr>
        <w:t>https://fgw.guilin</w:t>
      </w:r>
    </w:p>
    <w:p w14:paraId="42B0AA4B">
      <w:pPr>
        <w:spacing w:line="400" w:lineRule="exact"/>
        <w:rPr>
          <w:rFonts w:hint="eastAsia" w:ascii="宋体" w:hAnsi="宋体" w:eastAsia="宋体" w:cs="宋体"/>
          <w:b/>
          <w:color w:val="auto"/>
          <w:szCs w:val="21"/>
          <w:highlight w:val="none"/>
          <w:lang w:val="zh-TW"/>
        </w:rPr>
      </w:pPr>
      <w:r>
        <w:rPr>
          <w:rFonts w:hint="eastAsia" w:ascii="宋体" w:hAnsi="宋体" w:eastAsia="宋体" w:cs="宋体"/>
          <w:b/>
          <w:color w:val="auto"/>
          <w:szCs w:val="21"/>
          <w:highlight w:val="none"/>
          <w:lang w:val="zh-TW" w:eastAsia="zh-TW"/>
        </w:rPr>
        <w:t>.gov.cn/，首页“政策文件中心—价格监测”)同期公布的十二家市场农副产品市场均价进行比价议价。</w:t>
      </w:r>
      <w:r>
        <w:rPr>
          <w:rFonts w:hint="eastAsia" w:ascii="宋体" w:hAnsi="宋体" w:eastAsia="宋体" w:cs="宋体"/>
          <w:b/>
          <w:color w:val="auto"/>
          <w:szCs w:val="21"/>
          <w:highlight w:val="none"/>
          <w:lang w:val="zh-TW"/>
        </w:rPr>
        <w:t>二是线下询价，食材询价定价工作小组前往</w:t>
      </w:r>
      <w:r>
        <w:rPr>
          <w:rFonts w:hint="eastAsia" w:ascii="宋体" w:hAnsi="宋体" w:eastAsia="宋体" w:cs="宋体"/>
          <w:b/>
          <w:bCs/>
          <w:color w:val="auto"/>
          <w:spacing w:val="-4"/>
          <w:szCs w:val="21"/>
          <w:highlight w:val="none"/>
        </w:rPr>
        <w:t>桂林市汇东果菜批发市场、桂林市五里店果蔬批发市场、桂林市七星农贸市场、桂林市西门市场</w:t>
      </w:r>
      <w:r>
        <w:rPr>
          <w:rFonts w:hint="eastAsia" w:ascii="宋体" w:hAnsi="宋体" w:eastAsia="宋体" w:cs="宋体"/>
          <w:b/>
          <w:color w:val="auto"/>
          <w:szCs w:val="21"/>
          <w:highlight w:val="none"/>
          <w:lang w:val="zh-TW"/>
        </w:rPr>
        <w:t>及七星区大型超市（除特价超市外）等地点的批发价（或零售价）均值为平均价。由双方每月确认后确定。</w:t>
      </w:r>
    </w:p>
    <w:bookmarkEnd w:id="126"/>
    <w:bookmarkEnd w:id="127"/>
    <w:bookmarkEnd w:id="128"/>
    <w:bookmarkEnd w:id="129"/>
    <w:p w14:paraId="1214989A">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2.合同期内，学校学生人数每个学期会有变动，学校根据月度及需求对产品进行调整，结</w:t>
      </w:r>
      <w:r>
        <w:rPr>
          <w:rFonts w:hint="eastAsia" w:ascii="宋体" w:hAnsi="宋体" w:eastAsia="宋体" w:cs="宋体"/>
          <w:color w:val="auto"/>
          <w:spacing w:val="-2"/>
          <w:szCs w:val="21"/>
          <w:highlight w:val="none"/>
        </w:rPr>
        <w:t>算金</w:t>
      </w:r>
      <w:r>
        <w:rPr>
          <w:rFonts w:hint="eastAsia" w:ascii="宋体" w:hAnsi="宋体" w:eastAsia="宋体" w:cs="宋体"/>
          <w:color w:val="auto"/>
          <w:spacing w:val="-1"/>
          <w:szCs w:val="21"/>
          <w:highlight w:val="none"/>
        </w:rPr>
        <w:t>额以实际采购产品数量、价格来结算。</w:t>
      </w:r>
    </w:p>
    <w:p w14:paraId="4E9526AF">
      <w:pPr>
        <w:spacing w:line="400" w:lineRule="exact"/>
        <w:ind w:firstLine="424"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3</w:t>
      </w:r>
      <w:r>
        <w:rPr>
          <w:rFonts w:hint="eastAsia" w:ascii="宋体" w:hAnsi="宋体" w:eastAsia="宋体" w:cs="宋体"/>
          <w:color w:val="auto"/>
          <w:spacing w:val="1"/>
          <w:szCs w:val="21"/>
          <w:highlight w:val="none"/>
        </w:rPr>
        <w:t>.供货协议期内的每一个定价周期，除消费物价指数（</w:t>
      </w:r>
      <w:r>
        <w:rPr>
          <w:rFonts w:hint="eastAsia" w:ascii="宋体" w:hAnsi="宋体" w:eastAsia="宋体" w:cs="宋体"/>
          <w:color w:val="auto"/>
          <w:szCs w:val="21"/>
          <w:highlight w:val="none"/>
        </w:rPr>
        <w:t>CPI</w:t>
      </w:r>
      <w:r>
        <w:rPr>
          <w:rFonts w:hint="eastAsia" w:ascii="宋体" w:hAnsi="宋体" w:eastAsia="宋体" w:cs="宋体"/>
          <w:color w:val="auto"/>
          <w:spacing w:val="1"/>
          <w:szCs w:val="21"/>
          <w:highlight w:val="none"/>
        </w:rPr>
        <w:t>）发生大幅波</w:t>
      </w:r>
      <w:r>
        <w:rPr>
          <w:rFonts w:hint="eastAsia" w:ascii="宋体" w:hAnsi="宋体" w:eastAsia="宋体" w:cs="宋体"/>
          <w:color w:val="auto"/>
          <w:szCs w:val="21"/>
          <w:highlight w:val="none"/>
        </w:rPr>
        <w:t>动等特殊情况</w:t>
      </w:r>
      <w:r>
        <w:rPr>
          <w:rFonts w:hint="eastAsia" w:ascii="宋体" w:hAnsi="宋体" w:eastAsia="宋体" w:cs="宋体"/>
          <w:color w:val="auto"/>
          <w:szCs w:val="21"/>
          <w:highlight w:val="none"/>
        </w:rPr>
        <w:t>外</w:t>
      </w:r>
      <w:r>
        <w:rPr>
          <w:rFonts w:hint="eastAsia" w:ascii="宋体" w:hAnsi="宋体" w:eastAsia="宋体" w:cs="宋体"/>
          <w:color w:val="auto"/>
          <w:szCs w:val="21"/>
          <w:highlight w:val="none"/>
        </w:rPr>
        <w:t>，不</w:t>
      </w:r>
      <w:r>
        <w:rPr>
          <w:rFonts w:hint="eastAsia" w:ascii="宋体" w:hAnsi="宋体" w:eastAsia="宋体" w:cs="宋体"/>
          <w:color w:val="auto"/>
          <w:spacing w:val="1"/>
          <w:szCs w:val="21"/>
          <w:highlight w:val="none"/>
        </w:rPr>
        <w:t>允许</w:t>
      </w:r>
      <w:r>
        <w:rPr>
          <w:rFonts w:hint="eastAsia" w:ascii="宋体" w:hAnsi="宋体" w:eastAsia="宋体" w:cs="宋体"/>
          <w:color w:val="auto"/>
          <w:spacing w:val="-1"/>
          <w:szCs w:val="21"/>
          <w:highlight w:val="none"/>
        </w:rPr>
        <w:t>上调本定价周期内的</w:t>
      </w:r>
      <w:r>
        <w:rPr>
          <w:rFonts w:hint="eastAsia" w:ascii="宋体" w:hAnsi="宋体" w:eastAsia="宋体" w:cs="宋体"/>
          <w:color w:val="auto"/>
          <w:spacing w:val="-1"/>
          <w:szCs w:val="21"/>
          <w:highlight w:val="none"/>
        </w:rPr>
        <w:t>基准价</w:t>
      </w:r>
      <w:r>
        <w:rPr>
          <w:rFonts w:hint="eastAsia" w:ascii="宋体" w:hAnsi="宋体" w:eastAsia="宋体" w:cs="宋体"/>
          <w:color w:val="auto"/>
          <w:spacing w:val="-1"/>
          <w:szCs w:val="21"/>
          <w:highlight w:val="none"/>
        </w:rPr>
        <w:t>。</w:t>
      </w:r>
    </w:p>
    <w:p w14:paraId="20F1C77A">
      <w:pPr>
        <w:spacing w:line="400" w:lineRule="exact"/>
        <w:rPr>
          <w:rFonts w:hint="eastAsia" w:ascii="宋体" w:hAnsi="宋体" w:eastAsia="宋体" w:cs="宋体"/>
          <w:color w:val="auto"/>
          <w:szCs w:val="21"/>
          <w:highlight w:val="none"/>
        </w:rPr>
      </w:pPr>
      <w:r>
        <w:rPr>
          <w:rFonts w:hint="eastAsia" w:ascii="宋体" w:hAnsi="宋体" w:eastAsia="宋体" w:cs="宋体"/>
          <w:b/>
          <w:bCs/>
          <w:color w:val="auto"/>
          <w:spacing w:val="5"/>
          <w:szCs w:val="21"/>
          <w:highlight w:val="none"/>
        </w:rPr>
        <w:t xml:space="preserve">  </w:t>
      </w:r>
      <w:r>
        <w:rPr>
          <w:rFonts w:hint="eastAsia" w:ascii="宋体" w:hAnsi="宋体" w:eastAsia="宋体" w:cs="宋体"/>
          <w:b/>
          <w:bCs/>
          <w:color w:val="auto"/>
          <w:spacing w:val="5"/>
          <w:szCs w:val="21"/>
          <w:highlight w:val="none"/>
        </w:rPr>
        <w:t xml:space="preserve"> </w:t>
      </w:r>
      <w:r>
        <w:rPr>
          <w:rFonts w:hint="eastAsia" w:ascii="宋体" w:hAnsi="宋体" w:eastAsia="宋体" w:cs="宋体"/>
          <w:b/>
          <w:bCs/>
          <w:color w:val="auto"/>
          <w:spacing w:val="5"/>
          <w:szCs w:val="21"/>
          <w:highlight w:val="none"/>
        </w:rPr>
        <w:t>（</w:t>
      </w:r>
      <w:r>
        <w:rPr>
          <w:rFonts w:hint="eastAsia" w:ascii="宋体" w:hAnsi="宋体" w:eastAsia="宋体" w:cs="宋体"/>
          <w:b/>
          <w:bCs/>
          <w:color w:val="auto"/>
          <w:spacing w:val="5"/>
          <w:szCs w:val="21"/>
          <w:highlight w:val="none"/>
        </w:rPr>
        <w:t>七</w:t>
      </w:r>
      <w:r>
        <w:rPr>
          <w:rFonts w:hint="eastAsia" w:ascii="宋体" w:hAnsi="宋体" w:eastAsia="宋体" w:cs="宋体"/>
          <w:b/>
          <w:bCs/>
          <w:color w:val="auto"/>
          <w:spacing w:val="5"/>
          <w:szCs w:val="21"/>
          <w:highlight w:val="none"/>
        </w:rPr>
        <w:t>）违约责任</w:t>
      </w:r>
    </w:p>
    <w:p w14:paraId="17158012">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所供食材因质量问题发生食物中毒等事故，由</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2"/>
          <w:szCs w:val="21"/>
          <w:highlight w:val="none"/>
        </w:rPr>
        <w:t>承担经济赔偿责任以及其他</w:t>
      </w:r>
      <w:r>
        <w:rPr>
          <w:rFonts w:hint="eastAsia" w:ascii="宋体" w:hAnsi="宋体" w:eastAsia="宋体" w:cs="宋体"/>
          <w:color w:val="auto"/>
          <w:spacing w:val="-1"/>
          <w:szCs w:val="21"/>
          <w:highlight w:val="none"/>
        </w:rPr>
        <w:t>相关法律责任，采购人有权单方面解除合同。</w:t>
      </w:r>
    </w:p>
    <w:p w14:paraId="1B31D9A4">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2.如发现</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因自身原因不能按要求使用冷藏车配</w:t>
      </w:r>
      <w:r>
        <w:rPr>
          <w:rFonts w:hint="eastAsia" w:ascii="宋体" w:hAnsi="宋体" w:eastAsia="宋体" w:cs="宋体"/>
          <w:color w:val="auto"/>
          <w:spacing w:val="-2"/>
          <w:szCs w:val="21"/>
          <w:highlight w:val="none"/>
        </w:rPr>
        <w:t>送的，每发现一次从结算款中扣除500元</w:t>
      </w:r>
      <w:r>
        <w:rPr>
          <w:rFonts w:hint="eastAsia" w:ascii="宋体" w:hAnsi="宋体" w:eastAsia="宋体" w:cs="宋体"/>
          <w:color w:val="auto"/>
          <w:szCs w:val="21"/>
          <w:highlight w:val="none"/>
        </w:rPr>
        <w:t>（车辆在运输中出现故障需要更换车辆或应急采购</w:t>
      </w:r>
      <w:r>
        <w:rPr>
          <w:rFonts w:hint="eastAsia" w:ascii="宋体" w:hAnsi="宋体" w:eastAsia="宋体" w:cs="宋体"/>
          <w:color w:val="auto"/>
          <w:spacing w:val="-1"/>
          <w:szCs w:val="21"/>
          <w:highlight w:val="none"/>
        </w:rPr>
        <w:t>的除外</w:t>
      </w:r>
      <w:r>
        <w:rPr>
          <w:rFonts w:hint="eastAsia" w:ascii="宋体" w:hAnsi="宋体" w:eastAsia="宋体" w:cs="宋体"/>
          <w:color w:val="auto"/>
          <w:spacing w:val="-10"/>
          <w:szCs w:val="21"/>
          <w:highlight w:val="none"/>
        </w:rPr>
        <w:t>），</w:t>
      </w:r>
      <w:r>
        <w:rPr>
          <w:rFonts w:hint="eastAsia" w:ascii="宋体" w:hAnsi="宋体" w:eastAsia="宋体" w:cs="宋体"/>
          <w:color w:val="auto"/>
          <w:spacing w:val="-1"/>
          <w:szCs w:val="21"/>
          <w:highlight w:val="none"/>
        </w:rPr>
        <w:t>食材品质或供货时间因此受到影响的，采购人保留追究</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相关责任的权利。每月超过</w:t>
      </w:r>
      <w:r>
        <w:rPr>
          <w:rFonts w:hint="eastAsia" w:ascii="宋体" w:hAnsi="宋体" w:eastAsia="宋体" w:cs="宋体"/>
          <w:color w:val="auto"/>
          <w:spacing w:val="-2"/>
          <w:szCs w:val="21"/>
          <w:highlight w:val="none"/>
        </w:rPr>
        <w:t>2次未使用冷藏车供货的，采购人有权单方面终止</w:t>
      </w:r>
      <w:r>
        <w:rPr>
          <w:rFonts w:hint="eastAsia" w:ascii="宋体" w:hAnsi="宋体" w:eastAsia="宋体" w:cs="宋体"/>
          <w:color w:val="auto"/>
          <w:szCs w:val="21"/>
          <w:highlight w:val="none"/>
        </w:rPr>
        <w:t>合同，</w:t>
      </w:r>
      <w:r>
        <w:rPr>
          <w:rFonts w:hint="eastAsia" w:ascii="宋体" w:hAnsi="宋体" w:eastAsia="宋体" w:cs="宋体"/>
          <w:color w:val="auto"/>
          <w:szCs w:val="21"/>
          <w:highlight w:val="none"/>
        </w:rPr>
        <w:t>成交供应商</w:t>
      </w:r>
      <w:r>
        <w:rPr>
          <w:rFonts w:hint="eastAsia" w:ascii="宋体" w:hAnsi="宋体" w:eastAsia="宋体" w:cs="宋体"/>
          <w:color w:val="auto"/>
          <w:szCs w:val="21"/>
          <w:highlight w:val="none"/>
        </w:rPr>
        <w:t>须承担由此给采购人带来的</w:t>
      </w:r>
      <w:r>
        <w:rPr>
          <w:rFonts w:hint="eastAsia" w:ascii="宋体" w:hAnsi="宋体" w:eastAsia="宋体" w:cs="宋体"/>
          <w:color w:val="auto"/>
          <w:spacing w:val="-1"/>
          <w:szCs w:val="21"/>
          <w:highlight w:val="none"/>
        </w:rPr>
        <w:t>损失。</w:t>
      </w:r>
    </w:p>
    <w:p w14:paraId="0AD83356">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3.</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拒绝履行合同义务的，采购人有权单方面终止合同。</w:t>
      </w:r>
    </w:p>
    <w:p w14:paraId="49FBACFE">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4.</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连续2次或半年内累计超过3次所供食材达不到</w:t>
      </w:r>
      <w:r>
        <w:rPr>
          <w:rFonts w:hint="eastAsia" w:ascii="宋体" w:hAnsi="宋体" w:eastAsia="宋体" w:cs="宋体"/>
          <w:color w:val="auto"/>
          <w:spacing w:val="-1"/>
          <w:szCs w:val="21"/>
          <w:highlight w:val="none"/>
        </w:rPr>
        <w:t>竞争性磋商文件</w:t>
      </w:r>
      <w:r>
        <w:rPr>
          <w:rFonts w:hint="eastAsia" w:ascii="宋体" w:hAnsi="宋体" w:eastAsia="宋体" w:cs="宋体"/>
          <w:color w:val="auto"/>
          <w:spacing w:val="-1"/>
          <w:szCs w:val="21"/>
          <w:highlight w:val="none"/>
        </w:rPr>
        <w:t>中的品质要</w:t>
      </w:r>
      <w:r>
        <w:rPr>
          <w:rFonts w:hint="eastAsia" w:ascii="宋体" w:hAnsi="宋体" w:eastAsia="宋体" w:cs="宋体"/>
          <w:color w:val="auto"/>
          <w:spacing w:val="-2"/>
          <w:szCs w:val="21"/>
          <w:highlight w:val="none"/>
        </w:rPr>
        <w:t>求或</w:t>
      </w:r>
      <w:r>
        <w:rPr>
          <w:rFonts w:hint="eastAsia" w:ascii="宋体" w:hAnsi="宋体" w:eastAsia="宋体" w:cs="宋体"/>
          <w:color w:val="auto"/>
          <w:spacing w:val="-2"/>
          <w:szCs w:val="21"/>
          <w:highlight w:val="none"/>
        </w:rPr>
        <w:t>响应文件</w:t>
      </w:r>
      <w:r>
        <w:rPr>
          <w:rFonts w:hint="eastAsia" w:ascii="宋体" w:hAnsi="宋体" w:eastAsia="宋体" w:cs="宋体"/>
          <w:color w:val="auto"/>
          <w:spacing w:val="-2"/>
          <w:szCs w:val="21"/>
          <w:highlight w:val="none"/>
        </w:rPr>
        <w:t>中</w:t>
      </w:r>
      <w:r>
        <w:rPr>
          <w:rFonts w:hint="eastAsia" w:ascii="宋体" w:hAnsi="宋体" w:eastAsia="宋体" w:cs="宋体"/>
          <w:color w:val="auto"/>
          <w:szCs w:val="21"/>
          <w:highlight w:val="none"/>
        </w:rPr>
        <w:t>对品质要求的承诺时，采购人有权单方面终止</w:t>
      </w:r>
      <w:r>
        <w:rPr>
          <w:rFonts w:hint="eastAsia" w:ascii="宋体" w:hAnsi="宋体" w:eastAsia="宋体" w:cs="宋体"/>
          <w:color w:val="auto"/>
          <w:spacing w:val="-1"/>
          <w:szCs w:val="21"/>
          <w:highlight w:val="none"/>
        </w:rPr>
        <w:t>合同。</w:t>
      </w:r>
    </w:p>
    <w:p w14:paraId="6266C0C1">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5.</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所供应的食材必须与物品清单的品名、规格、数量、单价一致。随货出具应提供与实物一致的相关证明（如畜禽肉及其副产品提供检验检疫合格证明等</w:t>
      </w:r>
      <w:r>
        <w:rPr>
          <w:rFonts w:hint="eastAsia" w:ascii="宋体" w:hAnsi="宋体" w:eastAsia="宋体" w:cs="宋体"/>
          <w:color w:val="auto"/>
          <w:spacing w:val="2"/>
          <w:szCs w:val="21"/>
          <w:highlight w:val="none"/>
        </w:rPr>
        <w:t>），</w:t>
      </w:r>
      <w:r>
        <w:rPr>
          <w:rFonts w:hint="eastAsia" w:ascii="宋体" w:hAnsi="宋体" w:eastAsia="宋体" w:cs="宋体"/>
          <w:color w:val="auto"/>
          <w:spacing w:val="-1"/>
          <w:szCs w:val="21"/>
          <w:highlight w:val="none"/>
        </w:rPr>
        <w:t>出现食材与物品清单</w:t>
      </w:r>
      <w:r>
        <w:rPr>
          <w:rFonts w:hint="eastAsia" w:ascii="宋体" w:hAnsi="宋体" w:eastAsia="宋体" w:cs="宋体"/>
          <w:color w:val="auto"/>
          <w:spacing w:val="-2"/>
          <w:szCs w:val="21"/>
          <w:highlight w:val="none"/>
        </w:rPr>
        <w:t>、相关证明</w:t>
      </w:r>
      <w:r>
        <w:rPr>
          <w:rFonts w:hint="eastAsia" w:ascii="宋体" w:hAnsi="宋体" w:eastAsia="宋体" w:cs="宋体"/>
          <w:color w:val="auto"/>
          <w:spacing w:val="-1"/>
          <w:szCs w:val="21"/>
          <w:highlight w:val="none"/>
        </w:rPr>
        <w:t>不一致的，学校伙房有权拒收，因此产生的费用和损失由</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承担，造成学校伙房无法正常运转的，</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须向采购人支付违约金每次人民币500元</w:t>
      </w:r>
      <w:r>
        <w:rPr>
          <w:rFonts w:hint="eastAsia" w:ascii="宋体" w:hAnsi="宋体" w:eastAsia="宋体" w:cs="宋体"/>
          <w:color w:val="auto"/>
          <w:spacing w:val="-2"/>
          <w:szCs w:val="21"/>
          <w:highlight w:val="none"/>
        </w:rPr>
        <w:t>，采购人同时提出整改意见。采购人提出整改</w:t>
      </w:r>
      <w:r>
        <w:rPr>
          <w:rFonts w:hint="eastAsia" w:ascii="宋体" w:hAnsi="宋体" w:eastAsia="宋体" w:cs="宋体"/>
          <w:color w:val="auto"/>
          <w:szCs w:val="21"/>
          <w:highlight w:val="none"/>
        </w:rPr>
        <w:t>意见后</w:t>
      </w:r>
      <w:r>
        <w:rPr>
          <w:rFonts w:hint="eastAsia" w:ascii="宋体" w:hAnsi="宋体" w:eastAsia="宋体" w:cs="宋体"/>
          <w:color w:val="auto"/>
          <w:szCs w:val="21"/>
          <w:highlight w:val="none"/>
        </w:rPr>
        <w:t>成交供应商</w:t>
      </w:r>
      <w:r>
        <w:rPr>
          <w:rFonts w:hint="eastAsia" w:ascii="宋体" w:hAnsi="宋体" w:eastAsia="宋体" w:cs="宋体"/>
          <w:color w:val="auto"/>
          <w:szCs w:val="21"/>
          <w:highlight w:val="none"/>
        </w:rPr>
        <w:t>仍不改正的，采购人有权终止其</w:t>
      </w:r>
      <w:r>
        <w:rPr>
          <w:rFonts w:hint="eastAsia" w:ascii="宋体" w:hAnsi="宋体" w:eastAsia="宋体" w:cs="宋体"/>
          <w:color w:val="auto"/>
          <w:szCs w:val="21"/>
          <w:highlight w:val="none"/>
        </w:rPr>
        <w:t>成交供应商</w:t>
      </w:r>
      <w:r>
        <w:rPr>
          <w:rFonts w:hint="eastAsia" w:ascii="宋体" w:hAnsi="宋体" w:eastAsia="宋体" w:cs="宋体"/>
          <w:color w:val="auto"/>
          <w:szCs w:val="21"/>
          <w:highlight w:val="none"/>
        </w:rPr>
        <w:t>供应</w:t>
      </w:r>
      <w:r>
        <w:rPr>
          <w:rFonts w:hint="eastAsia" w:ascii="宋体" w:hAnsi="宋体" w:eastAsia="宋体" w:cs="宋体"/>
          <w:color w:val="auto"/>
          <w:spacing w:val="-1"/>
          <w:szCs w:val="21"/>
          <w:highlight w:val="none"/>
        </w:rPr>
        <w:t>资格。</w:t>
      </w:r>
    </w:p>
    <w:p w14:paraId="3667F9A8">
      <w:pPr>
        <w:spacing w:line="400" w:lineRule="exact"/>
        <w:rPr>
          <w:rFonts w:hint="eastAsia" w:ascii="宋体" w:hAnsi="宋体" w:eastAsia="宋体" w:cs="宋体"/>
          <w:color w:val="auto"/>
          <w:szCs w:val="21"/>
          <w:highlight w:val="none"/>
        </w:rPr>
      </w:pPr>
      <w:r>
        <w:rPr>
          <w:rFonts w:hint="eastAsia" w:ascii="宋体" w:hAnsi="宋体" w:eastAsia="宋体" w:cs="宋体"/>
          <w:b/>
          <w:bCs/>
          <w:color w:val="auto"/>
          <w:spacing w:val="5"/>
          <w:szCs w:val="21"/>
          <w:highlight w:val="none"/>
        </w:rPr>
        <w:t xml:space="preserve">   </w:t>
      </w:r>
      <w:r>
        <w:rPr>
          <w:rFonts w:hint="eastAsia" w:ascii="宋体" w:hAnsi="宋体" w:eastAsia="宋体" w:cs="宋体"/>
          <w:b/>
          <w:bCs/>
          <w:color w:val="auto"/>
          <w:spacing w:val="5"/>
          <w:szCs w:val="21"/>
          <w:highlight w:val="none"/>
        </w:rPr>
        <w:t>（</w:t>
      </w:r>
      <w:r>
        <w:rPr>
          <w:rFonts w:hint="eastAsia" w:ascii="宋体" w:hAnsi="宋体" w:eastAsia="宋体" w:cs="宋体"/>
          <w:b/>
          <w:bCs/>
          <w:color w:val="auto"/>
          <w:spacing w:val="5"/>
          <w:szCs w:val="21"/>
          <w:highlight w:val="none"/>
        </w:rPr>
        <w:t>八</w:t>
      </w:r>
      <w:r>
        <w:rPr>
          <w:rFonts w:hint="eastAsia" w:ascii="宋体" w:hAnsi="宋体" w:eastAsia="宋体" w:cs="宋体"/>
          <w:b/>
          <w:bCs/>
          <w:color w:val="auto"/>
          <w:spacing w:val="5"/>
          <w:szCs w:val="21"/>
          <w:highlight w:val="none"/>
        </w:rPr>
        <w:t>）其</w:t>
      </w:r>
      <w:r>
        <w:rPr>
          <w:rFonts w:hint="eastAsia" w:ascii="宋体" w:hAnsi="宋体" w:eastAsia="宋体" w:cs="宋体"/>
          <w:b/>
          <w:bCs/>
          <w:color w:val="auto"/>
          <w:spacing w:val="5"/>
          <w:szCs w:val="21"/>
          <w:highlight w:val="none"/>
        </w:rPr>
        <w:t>它</w:t>
      </w:r>
      <w:r>
        <w:rPr>
          <w:rFonts w:hint="eastAsia" w:ascii="宋体" w:hAnsi="宋体" w:eastAsia="宋体" w:cs="宋体"/>
          <w:b/>
          <w:bCs/>
          <w:color w:val="auto"/>
          <w:spacing w:val="5"/>
          <w:szCs w:val="21"/>
          <w:highlight w:val="none"/>
        </w:rPr>
        <w:t>要求</w:t>
      </w:r>
    </w:p>
    <w:p w14:paraId="5E10CE81">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不得将合同转让他人，也不得将</w:t>
      </w:r>
      <w:r>
        <w:rPr>
          <w:rFonts w:hint="eastAsia" w:ascii="宋体" w:hAnsi="宋体" w:eastAsia="宋体" w:cs="宋体"/>
          <w:color w:val="auto"/>
          <w:spacing w:val="-1"/>
          <w:szCs w:val="21"/>
          <w:highlight w:val="none"/>
        </w:rPr>
        <w:t>本</w:t>
      </w:r>
      <w:r>
        <w:rPr>
          <w:rFonts w:hint="eastAsia" w:ascii="宋体" w:hAnsi="宋体" w:eastAsia="宋体" w:cs="宋体"/>
          <w:color w:val="auto"/>
          <w:spacing w:val="-1"/>
          <w:szCs w:val="21"/>
          <w:highlight w:val="none"/>
        </w:rPr>
        <w:t>项目分解后</w:t>
      </w:r>
      <w:r>
        <w:rPr>
          <w:rFonts w:hint="eastAsia" w:ascii="宋体" w:hAnsi="宋体" w:eastAsia="宋体" w:cs="宋体"/>
          <w:color w:val="auto"/>
          <w:spacing w:val="-2"/>
          <w:szCs w:val="21"/>
          <w:highlight w:val="none"/>
        </w:rPr>
        <w:t>转让他人，如有此类情况，采购人</w:t>
      </w:r>
      <w:r>
        <w:rPr>
          <w:rFonts w:hint="eastAsia" w:ascii="宋体" w:hAnsi="宋体" w:eastAsia="宋体" w:cs="宋体"/>
          <w:color w:val="auto"/>
          <w:spacing w:val="-1"/>
          <w:szCs w:val="21"/>
          <w:highlight w:val="none"/>
        </w:rPr>
        <w:t>有权单方面终止合同。</w:t>
      </w:r>
    </w:p>
    <w:p w14:paraId="327FBDF9">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w:t>
      </w:r>
      <w:r>
        <w:rPr>
          <w:rFonts w:hint="eastAsia" w:ascii="宋体" w:hAnsi="宋体" w:eastAsia="宋体" w:cs="宋体"/>
          <w:color w:val="auto"/>
          <w:spacing w:val="-1"/>
          <w:szCs w:val="21"/>
          <w:highlight w:val="none"/>
        </w:rPr>
        <w:t>.结算价是指</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送达食材到校园内学校伙房交货价，已包含食材费、运输费、装卸费、税</w:t>
      </w:r>
      <w:r>
        <w:rPr>
          <w:rFonts w:hint="eastAsia" w:ascii="宋体" w:hAnsi="宋体" w:eastAsia="宋体" w:cs="宋体"/>
          <w:color w:val="auto"/>
          <w:spacing w:val="-3"/>
          <w:szCs w:val="21"/>
          <w:highlight w:val="none"/>
        </w:rPr>
        <w:t>费等各种相关费用总和。</w:t>
      </w:r>
    </w:p>
    <w:p w14:paraId="4122C4FA">
      <w:pPr>
        <w:spacing w:line="3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3</w:t>
      </w:r>
      <w:r>
        <w:rPr>
          <w:rFonts w:hint="eastAsia" w:ascii="宋体" w:hAnsi="宋体" w:eastAsia="宋体" w:cs="宋体"/>
          <w:color w:val="auto"/>
          <w:spacing w:val="-1"/>
          <w:szCs w:val="21"/>
          <w:highlight w:val="none"/>
        </w:rPr>
        <w:t>.</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对每天的肉类供货必须提供检疫合格证明，与货品一同送达学校，并且在食材包装上贴上出厂标签，标签上注明配送公司、出库时间、重量等内容。生鲜食材每天供货必须进行农药残留检测，配送食材必须从配送企业的分拣仓库出库，在食材包装上粘贴出库标签，注明配送公司名称、食材品名、出库时间、重量、检测信息、检测员等内容。</w:t>
      </w:r>
    </w:p>
    <w:p w14:paraId="17631A1A">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4</w:t>
      </w:r>
      <w:r>
        <w:rPr>
          <w:rFonts w:hint="eastAsia" w:ascii="宋体" w:hAnsi="宋体" w:eastAsia="宋体" w:cs="宋体"/>
          <w:color w:val="auto"/>
          <w:spacing w:val="-1"/>
          <w:szCs w:val="21"/>
          <w:highlight w:val="none"/>
        </w:rPr>
        <w:t>.</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应能够配合采购人及时更新所提供的符合卫监部门的有效证明材料。如有效的营业执照、产品合格证或食品经营许可证等。</w:t>
      </w:r>
    </w:p>
    <w:p w14:paraId="39B55DBD">
      <w:pPr>
        <w:spacing w:line="400" w:lineRule="exact"/>
        <w:ind w:firstLine="412"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5</w:t>
      </w:r>
      <w:r>
        <w:rPr>
          <w:rFonts w:hint="eastAsia" w:ascii="宋体" w:hAnsi="宋体" w:eastAsia="宋体" w:cs="宋体"/>
          <w:color w:val="auto"/>
          <w:spacing w:val="-2"/>
          <w:szCs w:val="21"/>
          <w:highlight w:val="none"/>
        </w:rPr>
        <w:t>.若</w:t>
      </w:r>
      <w:r>
        <w:rPr>
          <w:rFonts w:hint="eastAsia" w:ascii="宋体" w:hAnsi="宋体" w:eastAsia="宋体" w:cs="宋体"/>
          <w:color w:val="auto"/>
          <w:spacing w:val="-2"/>
          <w:szCs w:val="21"/>
          <w:highlight w:val="none"/>
        </w:rPr>
        <w:t>成交供应商</w:t>
      </w:r>
      <w:r>
        <w:rPr>
          <w:rFonts w:hint="eastAsia" w:ascii="宋体" w:hAnsi="宋体" w:eastAsia="宋体" w:cs="宋体"/>
          <w:color w:val="auto"/>
          <w:spacing w:val="-2"/>
          <w:szCs w:val="21"/>
          <w:highlight w:val="none"/>
        </w:rPr>
        <w:t>不能满足供货要求履行合同时，须提前不少于1个月书面通知采购人，采购人同意</w:t>
      </w:r>
      <w:r>
        <w:rPr>
          <w:rFonts w:hint="eastAsia" w:ascii="宋体" w:hAnsi="宋体" w:eastAsia="宋体" w:cs="宋体"/>
          <w:color w:val="auto"/>
          <w:spacing w:val="-1"/>
          <w:szCs w:val="21"/>
          <w:highlight w:val="none"/>
        </w:rPr>
        <w:t>后方可终止合同。</w:t>
      </w:r>
    </w:p>
    <w:p w14:paraId="46D3B148">
      <w:pPr>
        <w:widowControl/>
        <w:tabs>
          <w:tab w:val="left" w:pos="180"/>
          <w:tab w:val="left" w:pos="525"/>
          <w:tab w:val="left" w:pos="720"/>
        </w:tabs>
        <w:spacing w:line="380" w:lineRule="exact"/>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（九）考核机制</w:t>
      </w:r>
    </w:p>
    <w:p w14:paraId="07B4FA11">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1.每学期</w:t>
      </w:r>
      <w:bookmarkStart w:id="130" w:name="OLE_LINK177"/>
      <w:bookmarkStart w:id="131" w:name="OLE_LINK176"/>
      <w:r>
        <w:rPr>
          <w:rFonts w:hint="eastAsia" w:ascii="宋体" w:hAnsi="宋体" w:eastAsia="宋体" w:cs="宋体"/>
          <w:color w:val="auto"/>
          <w:szCs w:val="20"/>
          <w:highlight w:val="none"/>
        </w:rPr>
        <w:t>由七星区教育局、学校、各校膳食委员会</w:t>
      </w:r>
      <w:bookmarkEnd w:id="130"/>
      <w:bookmarkEnd w:id="131"/>
      <w:r>
        <w:rPr>
          <w:rFonts w:hint="eastAsia" w:ascii="宋体" w:hAnsi="宋体" w:eastAsia="宋体" w:cs="宋体"/>
          <w:color w:val="auto"/>
          <w:szCs w:val="20"/>
          <w:highlight w:val="none"/>
        </w:rPr>
        <w:t>联合对成交供应商进行一次评议，对有违规行为，评议不合格，将启动供货商准入、退出机制，停止配送资格的企业（单位）并列入“黑名单 ”，禁止其再以任何形式参与七星区学校营养改善计划等相关工作。</w:t>
      </w:r>
    </w:p>
    <w:p w14:paraId="548AC81D">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w:t>
      </w:r>
      <w:r>
        <w:rPr>
          <w:rFonts w:hint="eastAsia" w:ascii="宋体" w:hAnsi="宋体" w:eastAsia="宋体" w:cs="宋体"/>
          <w:color w:val="auto"/>
          <w:spacing w:val="-1"/>
          <w:szCs w:val="21"/>
          <w:highlight w:val="none"/>
        </w:rPr>
        <w:t>.</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必须服从采购人的监督、管理。采购人将制定考核办法</w:t>
      </w:r>
      <w:r>
        <w:rPr>
          <w:rFonts w:hint="eastAsia" w:ascii="宋体" w:hAnsi="宋体" w:eastAsia="宋体" w:cs="宋体"/>
          <w:b/>
          <w:bCs/>
          <w:color w:val="auto"/>
          <w:spacing w:val="-1"/>
          <w:szCs w:val="21"/>
          <w:highlight w:val="none"/>
        </w:rPr>
        <w:t>（详见附</w:t>
      </w:r>
      <w:r>
        <w:rPr>
          <w:rFonts w:hint="eastAsia" w:ascii="宋体" w:hAnsi="宋体" w:eastAsia="宋体" w:cs="宋体"/>
          <w:b/>
          <w:bCs/>
          <w:color w:val="auto"/>
          <w:spacing w:val="-2"/>
          <w:szCs w:val="21"/>
          <w:highlight w:val="none"/>
        </w:rPr>
        <w:t>件</w:t>
      </w:r>
      <w:r>
        <w:rPr>
          <w:rFonts w:hint="eastAsia" w:ascii="宋体" w:hAnsi="宋体" w:eastAsia="宋体" w:cs="宋体"/>
          <w:b/>
          <w:bCs/>
          <w:color w:val="auto"/>
          <w:spacing w:val="2"/>
          <w:szCs w:val="21"/>
          <w:highlight w:val="none"/>
        </w:rPr>
        <w:t>）</w:t>
      </w:r>
      <w:r>
        <w:rPr>
          <w:rFonts w:hint="eastAsia" w:ascii="宋体" w:hAnsi="宋体" w:eastAsia="宋体" w:cs="宋体"/>
          <w:color w:val="auto"/>
          <w:spacing w:val="2"/>
          <w:szCs w:val="21"/>
          <w:highlight w:val="none"/>
        </w:rPr>
        <w:t>，</w:t>
      </w:r>
      <w:r>
        <w:rPr>
          <w:rFonts w:hint="eastAsia" w:ascii="宋体" w:hAnsi="宋体" w:eastAsia="宋体" w:cs="宋体"/>
          <w:color w:val="auto"/>
          <w:spacing w:val="-2"/>
          <w:szCs w:val="21"/>
          <w:highlight w:val="none"/>
        </w:rPr>
        <w:t>对</w:t>
      </w:r>
      <w:r>
        <w:rPr>
          <w:rFonts w:hint="eastAsia" w:ascii="宋体" w:hAnsi="宋体" w:eastAsia="宋体" w:cs="宋体"/>
          <w:color w:val="auto"/>
          <w:spacing w:val="-2"/>
          <w:szCs w:val="21"/>
          <w:highlight w:val="none"/>
        </w:rPr>
        <w:t>成交供应商</w:t>
      </w:r>
      <w:r>
        <w:rPr>
          <w:rFonts w:hint="eastAsia" w:ascii="宋体" w:hAnsi="宋体" w:eastAsia="宋体" w:cs="宋体"/>
          <w:color w:val="auto"/>
          <w:spacing w:val="-1"/>
          <w:szCs w:val="21"/>
          <w:highlight w:val="none"/>
        </w:rPr>
        <w:t>实施量化考核，同时实施动态退出机制。</w:t>
      </w:r>
    </w:p>
    <w:bookmarkEnd w:id="108"/>
    <w:bookmarkEnd w:id="109"/>
    <w:p w14:paraId="67648868">
      <w:pPr>
        <w:spacing w:line="400" w:lineRule="exact"/>
        <w:ind w:firstLine="406" w:firstLineChars="200"/>
        <w:rPr>
          <w:rFonts w:hint="eastAsia" w:ascii="宋体" w:hAnsi="宋体" w:eastAsia="宋体" w:cs="宋体"/>
          <w:color w:val="auto"/>
          <w:szCs w:val="21"/>
          <w:highlight w:val="none"/>
        </w:rPr>
      </w:pPr>
      <w:r>
        <w:rPr>
          <w:rFonts w:hint="eastAsia" w:ascii="宋体" w:hAnsi="宋体" w:eastAsia="宋体" w:cs="宋体"/>
          <w:b/>
          <w:bCs/>
          <w:color w:val="auto"/>
          <w:spacing w:val="-4"/>
          <w:szCs w:val="21"/>
          <w:highlight w:val="none"/>
        </w:rPr>
        <w:t xml:space="preserve"> 三</w:t>
      </w:r>
      <w:r>
        <w:rPr>
          <w:rFonts w:hint="eastAsia" w:ascii="宋体" w:hAnsi="宋体" w:eastAsia="宋体" w:cs="宋体"/>
          <w:b/>
          <w:bCs/>
          <w:color w:val="auto"/>
          <w:spacing w:val="-4"/>
          <w:szCs w:val="21"/>
          <w:highlight w:val="none"/>
        </w:rPr>
        <w:t>、商务要求</w:t>
      </w:r>
    </w:p>
    <w:p w14:paraId="2D44034D">
      <w:pPr>
        <w:spacing w:line="400" w:lineRule="exact"/>
        <w:ind w:firstLine="398" w:firstLineChars="200"/>
        <w:rPr>
          <w:rFonts w:hint="eastAsia" w:ascii="宋体" w:hAnsi="宋体" w:eastAsia="宋体" w:cs="宋体"/>
          <w:color w:val="auto"/>
          <w:szCs w:val="21"/>
          <w:highlight w:val="none"/>
        </w:rPr>
      </w:pPr>
      <w:r>
        <w:rPr>
          <w:rFonts w:hint="eastAsia" w:ascii="宋体" w:hAnsi="宋体" w:eastAsia="宋体" w:cs="宋体"/>
          <w:b/>
          <w:bCs/>
          <w:color w:val="auto"/>
          <w:spacing w:val="-6"/>
          <w:szCs w:val="21"/>
          <w:highlight w:val="none"/>
        </w:rPr>
        <w:t>（一）服务时间及服务地点：</w:t>
      </w:r>
    </w:p>
    <w:p w14:paraId="61BAA12D">
      <w:pPr>
        <w:spacing w:line="400" w:lineRule="exact"/>
        <w:ind w:firstLine="414" w:firstLineChars="200"/>
        <w:rPr>
          <w:rFonts w:hint="eastAsia" w:ascii="宋体" w:hAnsi="宋体" w:eastAsia="宋体" w:cs="宋体"/>
          <w:color w:val="auto"/>
          <w:spacing w:val="-1"/>
          <w:szCs w:val="21"/>
          <w:highlight w:val="none"/>
        </w:rPr>
      </w:pPr>
      <w:r>
        <w:rPr>
          <w:rFonts w:hint="eastAsia" w:ascii="宋体" w:hAnsi="宋体" w:eastAsia="宋体" w:cs="宋体"/>
          <w:b/>
          <w:bCs/>
          <w:color w:val="auto"/>
          <w:spacing w:val="-2"/>
          <w:szCs w:val="21"/>
          <w:highlight w:val="none"/>
        </w:rPr>
        <w:t>1.服务时间：</w:t>
      </w:r>
      <w:bookmarkStart w:id="132" w:name="OLE_LINK179"/>
      <w:bookmarkStart w:id="133" w:name="OLE_LINK178"/>
      <w:r>
        <w:rPr>
          <w:rFonts w:hint="eastAsia" w:ascii="宋体" w:hAnsi="宋体" w:eastAsia="宋体" w:cs="宋体"/>
          <w:color w:val="auto"/>
          <w:spacing w:val="-1"/>
          <w:szCs w:val="21"/>
          <w:highlight w:val="none"/>
        </w:rPr>
        <w:t>自合同签订之日起至2027年春季学期结束止。</w:t>
      </w:r>
      <w:bookmarkEnd w:id="132"/>
      <w:bookmarkEnd w:id="133"/>
    </w:p>
    <w:p w14:paraId="50D3EFFA">
      <w:pPr>
        <w:spacing w:line="400" w:lineRule="exact"/>
        <w:ind w:firstLine="410" w:firstLineChars="200"/>
        <w:rPr>
          <w:rFonts w:hint="eastAsia" w:ascii="宋体" w:hAnsi="宋体" w:eastAsia="宋体" w:cs="宋体"/>
          <w:bCs/>
          <w:color w:val="auto"/>
          <w:spacing w:val="-3"/>
          <w:szCs w:val="21"/>
          <w:highlight w:val="none"/>
        </w:rPr>
      </w:pPr>
      <w:r>
        <w:rPr>
          <w:rFonts w:hint="eastAsia" w:ascii="宋体" w:hAnsi="宋体" w:eastAsia="宋体" w:cs="宋体"/>
          <w:b/>
          <w:bCs/>
          <w:color w:val="auto"/>
          <w:spacing w:val="-3"/>
          <w:szCs w:val="21"/>
          <w:highlight w:val="none"/>
        </w:rPr>
        <w:t>2.服务地点：</w:t>
      </w:r>
      <w:r>
        <w:rPr>
          <w:rFonts w:hint="eastAsia" w:ascii="宋体" w:hAnsi="宋体" w:eastAsia="宋体" w:cs="宋体"/>
          <w:bCs/>
          <w:color w:val="auto"/>
          <w:spacing w:val="-3"/>
          <w:szCs w:val="21"/>
          <w:highlight w:val="none"/>
        </w:rPr>
        <w:t>广西桂林市采购人指定地点</w:t>
      </w:r>
      <w:r>
        <w:rPr>
          <w:rFonts w:hint="eastAsia" w:ascii="宋体" w:hAnsi="宋体" w:eastAsia="宋体" w:cs="宋体"/>
          <w:bCs/>
          <w:color w:val="auto"/>
          <w:spacing w:val="-3"/>
          <w:szCs w:val="21"/>
          <w:highlight w:val="none"/>
        </w:rPr>
        <w:t>(桂林市</w:t>
      </w:r>
      <w:r>
        <w:rPr>
          <w:rFonts w:hint="eastAsia" w:ascii="宋体" w:hAnsi="宋体" w:eastAsia="宋体" w:cs="宋体"/>
          <w:bCs/>
          <w:color w:val="auto"/>
          <w:spacing w:val="-13"/>
          <w:szCs w:val="21"/>
          <w:highlight w:val="none"/>
        </w:rPr>
        <w:t>七星区</w:t>
      </w:r>
      <w:r>
        <w:rPr>
          <w:rFonts w:hint="eastAsia" w:ascii="宋体" w:hAnsi="宋体" w:eastAsia="宋体" w:cs="宋体"/>
          <w:bCs/>
          <w:color w:val="auto"/>
          <w:spacing w:val="-3"/>
          <w:szCs w:val="21"/>
          <w:highlight w:val="none"/>
        </w:rPr>
        <w:t>西南中心校及新建分校、合心中心校、龙门中心校及分校伙房)。</w:t>
      </w:r>
    </w:p>
    <w:p w14:paraId="00EAFEDB">
      <w:pPr>
        <w:spacing w:line="360" w:lineRule="exact"/>
        <w:ind w:firstLine="418" w:firstLineChars="200"/>
        <w:rPr>
          <w:rFonts w:hint="eastAsia" w:ascii="宋体" w:hAnsi="宋体" w:eastAsia="宋体" w:cs="宋体"/>
          <w:color w:val="auto"/>
          <w:szCs w:val="21"/>
          <w:highlight w:val="none"/>
        </w:rPr>
      </w:pPr>
      <w:r>
        <w:rPr>
          <w:rFonts w:hint="eastAsia" w:ascii="宋体" w:hAnsi="宋体" w:eastAsia="宋体" w:cs="宋体"/>
          <w:b/>
          <w:bCs/>
          <w:color w:val="auto"/>
          <w:spacing w:val="-1"/>
          <w:szCs w:val="21"/>
          <w:highlight w:val="none"/>
        </w:rPr>
        <w:t>（二）付款方式：</w:t>
      </w:r>
      <w:r>
        <w:rPr>
          <w:rFonts w:hint="eastAsia" w:ascii="宋体" w:hAnsi="宋体" w:eastAsia="宋体" w:cs="宋体"/>
          <w:color w:val="auto"/>
          <w:spacing w:val="-1"/>
          <w:szCs w:val="21"/>
          <w:highlight w:val="none"/>
        </w:rPr>
        <w:t>实行按月结算方式，即本月货款于次月结算。以双方（</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和学校）签字确认后的送货单为依据，月末经双方汇总核对无误后，</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开具</w:t>
      </w:r>
      <w:r>
        <w:rPr>
          <w:rFonts w:hint="eastAsia" w:ascii="宋体" w:hAnsi="宋体" w:eastAsia="宋体" w:cs="宋体"/>
          <w:color w:val="auto"/>
          <w:szCs w:val="21"/>
          <w:highlight w:val="none"/>
        </w:rPr>
        <w:t>正规增值税普通发票给采购人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rPr>
        <w:t>采购人</w:t>
      </w:r>
      <w:r>
        <w:rPr>
          <w:rFonts w:hint="eastAsia" w:ascii="宋体" w:hAnsi="宋体" w:eastAsia="宋体" w:cs="宋体"/>
          <w:color w:val="auto"/>
          <w:spacing w:val="-1"/>
          <w:szCs w:val="21"/>
          <w:highlight w:val="none"/>
        </w:rPr>
        <w:t>在收到</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开具正规增值税普通发票</w:t>
      </w:r>
      <w:r>
        <w:rPr>
          <w:rFonts w:hint="eastAsia" w:ascii="宋体" w:hAnsi="宋体" w:eastAsia="宋体" w:cs="宋体"/>
          <w:color w:val="auto"/>
          <w:spacing w:val="-1"/>
          <w:szCs w:val="21"/>
          <w:highlight w:val="none"/>
        </w:rPr>
        <w:t>后的</w:t>
      </w:r>
      <w:r>
        <w:rPr>
          <w:rFonts w:hint="eastAsia" w:ascii="宋体" w:hAnsi="宋体" w:eastAsia="宋体" w:cs="宋体"/>
          <w:color w:val="auto"/>
          <w:spacing w:val="-1"/>
          <w:szCs w:val="21"/>
          <w:highlight w:val="none"/>
        </w:rPr>
        <w:t>30个工作日内以银行转账方式支付(无息)（注：票据要求：</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必须按照采购</w:t>
      </w:r>
      <w:r>
        <w:rPr>
          <w:rFonts w:hint="eastAsia" w:ascii="宋体" w:hAnsi="宋体" w:eastAsia="宋体" w:cs="宋体"/>
          <w:color w:val="auto"/>
          <w:spacing w:val="-2"/>
          <w:szCs w:val="21"/>
          <w:highlight w:val="none"/>
        </w:rPr>
        <w:t>人要求提供真实、有效、</w:t>
      </w:r>
      <w:r>
        <w:rPr>
          <w:rFonts w:hint="eastAsia" w:ascii="宋体" w:hAnsi="宋体" w:eastAsia="宋体" w:cs="宋体"/>
          <w:color w:val="auto"/>
          <w:spacing w:val="-1"/>
          <w:szCs w:val="21"/>
          <w:highlight w:val="none"/>
        </w:rPr>
        <w:t>合法的正式发票及转账资料。如</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提供虚假发票的，除须向采购人补开合法发票外，并须赔偿采购人发票票面金额一倍的违约金，且采购人有权无条件终止合同，因终止合同而产生的一切损失均由</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承担。结算账户要求：货款结算账户要求必须为银行对公账户，账户名称须与发票专用章上的单位名称一致，不得使用个人银行账户结算货款）。</w:t>
      </w:r>
    </w:p>
    <w:p w14:paraId="3C029254">
      <w:pPr>
        <w:spacing w:line="400" w:lineRule="exact"/>
        <w:ind w:firstLine="410" w:firstLineChars="200"/>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（三）供应商于</w:t>
      </w:r>
      <w:r>
        <w:rPr>
          <w:rFonts w:hint="eastAsia" w:ascii="宋体" w:hAnsi="宋体" w:eastAsia="宋体" w:cs="宋体"/>
          <w:b/>
          <w:bCs/>
          <w:color w:val="auto"/>
          <w:spacing w:val="-3"/>
          <w:szCs w:val="21"/>
          <w:highlight w:val="none"/>
        </w:rPr>
        <w:t>响应文件</w:t>
      </w:r>
      <w:r>
        <w:rPr>
          <w:rFonts w:hint="eastAsia" w:ascii="宋体" w:hAnsi="宋体" w:eastAsia="宋体" w:cs="宋体"/>
          <w:b/>
          <w:bCs/>
          <w:color w:val="auto"/>
          <w:spacing w:val="-3"/>
          <w:szCs w:val="21"/>
          <w:highlight w:val="none"/>
        </w:rPr>
        <w:t>中提供以下方案：</w:t>
      </w:r>
    </w:p>
    <w:p w14:paraId="0ED0AEF0">
      <w:pPr>
        <w:spacing w:line="400" w:lineRule="exact"/>
        <w:ind w:firstLine="432" w:firstLineChars="200"/>
        <w:rPr>
          <w:rFonts w:hint="eastAsia" w:ascii="宋体" w:hAnsi="宋体" w:eastAsia="宋体" w:cs="宋体"/>
          <w:color w:val="auto"/>
          <w:szCs w:val="21"/>
          <w:highlight w:val="none"/>
        </w:rPr>
      </w:pPr>
      <w:bookmarkStart w:id="134" w:name="OLE_LINK187"/>
      <w:bookmarkStart w:id="135" w:name="OLE_LINK188"/>
      <w:r>
        <w:rPr>
          <w:rFonts w:hint="eastAsia" w:ascii="宋体" w:hAnsi="宋体" w:eastAsia="宋体" w:cs="宋体"/>
          <w:color w:val="auto"/>
          <w:spacing w:val="3"/>
          <w:szCs w:val="21"/>
          <w:highlight w:val="none"/>
        </w:rPr>
        <w:t xml:space="preserve"> 1.</w:t>
      </w:r>
      <w:r>
        <w:rPr>
          <w:rFonts w:hint="eastAsia" w:ascii="宋体" w:hAnsi="宋体" w:eastAsia="宋体" w:cs="宋体"/>
          <w:color w:val="auto"/>
          <w:spacing w:val="3"/>
          <w:szCs w:val="21"/>
          <w:highlight w:val="none"/>
        </w:rPr>
        <w:t>供应商的项目实施方案</w:t>
      </w:r>
      <w:bookmarkStart w:id="136" w:name="OLE_LINK183"/>
      <w:bookmarkStart w:id="137" w:name="OLE_LINK184"/>
      <w:r>
        <w:rPr>
          <w:rFonts w:hint="eastAsia" w:ascii="宋体" w:hAnsi="宋体" w:eastAsia="宋体" w:cs="宋体"/>
          <w:color w:val="auto"/>
          <w:spacing w:val="3"/>
          <w:szCs w:val="21"/>
          <w:highlight w:val="none"/>
        </w:rPr>
        <w:t>（供应商可结合本项目的评标办法视自身情况自行编制</w:t>
      </w:r>
      <w:r>
        <w:rPr>
          <w:rFonts w:hint="eastAsia" w:ascii="宋体" w:hAnsi="宋体" w:eastAsia="宋体" w:cs="宋体"/>
          <w:color w:val="auto"/>
          <w:spacing w:val="2"/>
          <w:szCs w:val="21"/>
          <w:highlight w:val="none"/>
        </w:rPr>
        <w:t>）</w:t>
      </w:r>
      <w:bookmarkEnd w:id="136"/>
      <w:bookmarkEnd w:id="137"/>
      <w:r>
        <w:rPr>
          <w:rFonts w:hint="eastAsia" w:ascii="宋体" w:hAnsi="宋体" w:eastAsia="宋体" w:cs="宋体"/>
          <w:color w:val="auto"/>
          <w:spacing w:val="2"/>
          <w:szCs w:val="21"/>
          <w:highlight w:val="none"/>
        </w:rPr>
        <w:t>,</w:t>
      </w:r>
      <w:bookmarkStart w:id="138" w:name="OLE_LINK185"/>
      <w:bookmarkStart w:id="139" w:name="OLE_LINK186"/>
      <w:r>
        <w:rPr>
          <w:rFonts w:hint="eastAsia" w:ascii="宋体" w:hAnsi="宋体" w:eastAsia="宋体" w:cs="宋体"/>
          <w:color w:val="auto"/>
          <w:spacing w:val="2"/>
          <w:szCs w:val="21"/>
          <w:highlight w:val="none"/>
        </w:rPr>
        <w:t>若供应商</w:t>
      </w:r>
      <w:r>
        <w:rPr>
          <w:rFonts w:hint="eastAsia" w:ascii="宋体" w:hAnsi="宋体" w:eastAsia="宋体" w:cs="宋体"/>
          <w:color w:val="auto"/>
          <w:szCs w:val="21"/>
          <w:highlight w:val="none"/>
        </w:rPr>
        <w:t>未提供项目实施方案的，“项目实施方案分”中涉及的</w:t>
      </w:r>
      <w:r>
        <w:rPr>
          <w:rFonts w:hint="eastAsia" w:ascii="宋体" w:hAnsi="宋体" w:eastAsia="宋体" w:cs="宋体"/>
          <w:color w:val="auto"/>
          <w:szCs w:val="21"/>
          <w:highlight w:val="none"/>
        </w:rPr>
        <w:t>评分</w:t>
      </w:r>
      <w:r>
        <w:rPr>
          <w:rFonts w:hint="eastAsia" w:ascii="宋体" w:hAnsi="宋体" w:eastAsia="宋体" w:cs="宋体"/>
          <w:color w:val="auto"/>
          <w:spacing w:val="-1"/>
          <w:szCs w:val="21"/>
          <w:highlight w:val="none"/>
        </w:rPr>
        <w:t>相应不得分</w:t>
      </w:r>
      <w:bookmarkEnd w:id="138"/>
      <w:bookmarkEnd w:id="139"/>
      <w:r>
        <w:rPr>
          <w:rFonts w:hint="eastAsia" w:ascii="宋体" w:hAnsi="宋体" w:eastAsia="宋体" w:cs="宋体"/>
          <w:color w:val="auto"/>
          <w:spacing w:val="-1"/>
          <w:szCs w:val="21"/>
          <w:highlight w:val="none"/>
        </w:rPr>
        <w:t>。</w:t>
      </w:r>
    </w:p>
    <w:p w14:paraId="7F4A1154">
      <w:pPr>
        <w:spacing w:line="400" w:lineRule="exact"/>
        <w:ind w:firstLine="404" w:firstLineChars="200"/>
        <w:rPr>
          <w:rFonts w:hint="eastAsia" w:ascii="宋体" w:hAnsi="宋体" w:eastAsia="宋体" w:cs="宋体"/>
          <w:b/>
          <w:bCs/>
          <w:color w:val="auto"/>
          <w:spacing w:val="-4"/>
          <w:szCs w:val="21"/>
          <w:highlight w:val="none"/>
        </w:rPr>
      </w:pPr>
      <w:r>
        <w:rPr>
          <w:rFonts w:hint="eastAsia" w:ascii="宋体" w:hAnsi="宋体" w:eastAsia="宋体" w:cs="宋体"/>
          <w:bCs/>
          <w:color w:val="auto"/>
          <w:spacing w:val="-4"/>
          <w:szCs w:val="21"/>
          <w:highlight w:val="none"/>
        </w:rPr>
        <w:t xml:space="preserve"> 2.</w:t>
      </w:r>
      <w:r>
        <w:rPr>
          <w:rFonts w:hint="eastAsia" w:ascii="宋体" w:hAnsi="宋体" w:eastAsia="宋体" w:cs="宋体"/>
          <w:bCs/>
          <w:color w:val="auto"/>
          <w:kern w:val="0"/>
          <w:highlight w:val="none"/>
        </w:rPr>
        <w:t>供应商的服务承诺书</w:t>
      </w:r>
      <w:r>
        <w:rPr>
          <w:rFonts w:hint="eastAsia" w:ascii="宋体" w:hAnsi="宋体" w:eastAsia="宋体" w:cs="宋体"/>
          <w:color w:val="auto"/>
          <w:spacing w:val="3"/>
          <w:szCs w:val="21"/>
          <w:highlight w:val="none"/>
        </w:rPr>
        <w:t>（供应商可结合本项目的评标办法视自身情况自行编制</w:t>
      </w:r>
      <w:r>
        <w:rPr>
          <w:rFonts w:hint="eastAsia" w:ascii="宋体" w:hAnsi="宋体" w:eastAsia="宋体" w:cs="宋体"/>
          <w:color w:val="auto"/>
          <w:spacing w:val="2"/>
          <w:szCs w:val="21"/>
          <w:highlight w:val="none"/>
        </w:rPr>
        <w:t>），</w:t>
      </w:r>
      <w:r>
        <w:rPr>
          <w:rFonts w:hint="eastAsia" w:ascii="宋体" w:hAnsi="宋体" w:eastAsia="宋体" w:cs="宋体"/>
          <w:color w:val="auto"/>
          <w:spacing w:val="2"/>
          <w:szCs w:val="21"/>
          <w:highlight w:val="none"/>
        </w:rPr>
        <w:t>若供应商</w:t>
      </w:r>
      <w:r>
        <w:rPr>
          <w:rFonts w:hint="eastAsia" w:ascii="宋体" w:hAnsi="宋体" w:eastAsia="宋体" w:cs="宋体"/>
          <w:color w:val="auto"/>
          <w:szCs w:val="21"/>
          <w:highlight w:val="none"/>
        </w:rPr>
        <w:t>未提供</w:t>
      </w:r>
      <w:r>
        <w:rPr>
          <w:rFonts w:hint="eastAsia" w:ascii="宋体" w:hAnsi="宋体" w:eastAsia="宋体" w:cs="宋体"/>
          <w:bCs/>
          <w:color w:val="auto"/>
          <w:kern w:val="0"/>
          <w:highlight w:val="none"/>
        </w:rPr>
        <w:t>服务承诺书</w:t>
      </w:r>
      <w:r>
        <w:rPr>
          <w:rFonts w:hint="eastAsia" w:ascii="宋体" w:hAnsi="宋体" w:eastAsia="宋体" w:cs="宋体"/>
          <w:color w:val="auto"/>
          <w:szCs w:val="21"/>
          <w:highlight w:val="none"/>
        </w:rPr>
        <w:t>的，“</w:t>
      </w:r>
      <w:r>
        <w:rPr>
          <w:rFonts w:hint="eastAsia" w:ascii="宋体" w:hAnsi="宋体" w:eastAsia="宋体" w:cs="宋体"/>
          <w:bCs/>
          <w:color w:val="auto"/>
          <w:kern w:val="0"/>
          <w:highlight w:val="none"/>
        </w:rPr>
        <w:t>服务承诺</w:t>
      </w:r>
      <w:r>
        <w:rPr>
          <w:rFonts w:hint="eastAsia" w:ascii="宋体" w:hAnsi="宋体" w:eastAsia="宋体" w:cs="宋体"/>
          <w:color w:val="auto"/>
          <w:szCs w:val="21"/>
          <w:highlight w:val="none"/>
        </w:rPr>
        <w:t>分”中涉及的</w:t>
      </w:r>
      <w:r>
        <w:rPr>
          <w:rFonts w:hint="eastAsia" w:ascii="宋体" w:hAnsi="宋体" w:eastAsia="宋体" w:cs="宋体"/>
          <w:color w:val="auto"/>
          <w:szCs w:val="21"/>
          <w:highlight w:val="none"/>
        </w:rPr>
        <w:t>评分</w:t>
      </w:r>
      <w:r>
        <w:rPr>
          <w:rFonts w:hint="eastAsia" w:ascii="宋体" w:hAnsi="宋体" w:eastAsia="宋体" w:cs="宋体"/>
          <w:color w:val="auto"/>
          <w:spacing w:val="-1"/>
          <w:szCs w:val="21"/>
          <w:highlight w:val="none"/>
        </w:rPr>
        <w:t>相应不得分</w:t>
      </w:r>
      <w:r>
        <w:rPr>
          <w:rFonts w:hint="eastAsia" w:ascii="宋体" w:hAnsi="宋体" w:eastAsia="宋体" w:cs="宋体"/>
          <w:bCs/>
          <w:color w:val="auto"/>
          <w:kern w:val="0"/>
          <w:highlight w:val="none"/>
        </w:rPr>
        <w:t>。</w:t>
      </w:r>
    </w:p>
    <w:bookmarkEnd w:id="134"/>
    <w:bookmarkEnd w:id="135"/>
    <w:p w14:paraId="6193FC42">
      <w:pPr>
        <w:spacing w:line="400" w:lineRule="exact"/>
        <w:ind w:firstLine="406" w:firstLineChars="200"/>
        <w:rPr>
          <w:rFonts w:hint="eastAsia" w:ascii="宋体" w:hAnsi="宋体" w:eastAsia="宋体" w:cs="宋体"/>
          <w:b/>
          <w:bCs/>
          <w:color w:val="auto"/>
          <w:spacing w:val="-4"/>
          <w:szCs w:val="21"/>
          <w:highlight w:val="none"/>
        </w:rPr>
      </w:pPr>
      <w:r>
        <w:rPr>
          <w:rFonts w:hint="eastAsia" w:ascii="宋体" w:hAnsi="宋体" w:eastAsia="宋体" w:cs="宋体"/>
          <w:b/>
          <w:bCs/>
          <w:color w:val="auto"/>
          <w:spacing w:val="-4"/>
          <w:szCs w:val="21"/>
          <w:highlight w:val="none"/>
        </w:rPr>
        <w:t>（四）本项目采购预算金额为（人民币</w:t>
      </w:r>
      <w:r>
        <w:rPr>
          <w:rFonts w:hint="eastAsia" w:ascii="宋体" w:hAnsi="宋体" w:eastAsia="宋体" w:cs="宋体"/>
          <w:b/>
          <w:bCs/>
          <w:color w:val="auto"/>
          <w:spacing w:val="8"/>
          <w:szCs w:val="21"/>
          <w:highlight w:val="none"/>
        </w:rPr>
        <w:t>）</w:t>
      </w:r>
      <w:r>
        <w:rPr>
          <w:rFonts w:hint="eastAsia" w:ascii="宋体" w:hAnsi="宋体" w:eastAsia="宋体" w:cs="宋体"/>
          <w:color w:val="auto"/>
          <w:spacing w:val="8"/>
          <w:szCs w:val="21"/>
          <w:highlight w:val="none"/>
        </w:rPr>
        <w:t>：</w:t>
      </w:r>
      <w:r>
        <w:rPr>
          <w:rFonts w:hint="eastAsia" w:ascii="宋体" w:hAnsi="宋体" w:eastAsia="宋体" w:cs="宋体"/>
          <w:b/>
          <w:bCs/>
          <w:color w:val="auto"/>
          <w:spacing w:val="-4"/>
          <w:szCs w:val="21"/>
          <w:highlight w:val="none"/>
        </w:rPr>
        <w:t>壹佰贰拾万元整（¥1200000.00）。磋商报价按综合折扣率报价，本项目综合折扣率控制范围为≤95%，超出范围的磋商报价均为无效报价，其响应文件将被视为无效处理。</w:t>
      </w:r>
    </w:p>
    <w:p w14:paraId="3989175C">
      <w:pPr>
        <w:spacing w:line="400" w:lineRule="exact"/>
        <w:ind w:firstLine="422" w:firstLineChars="200"/>
        <w:rPr>
          <w:rFonts w:hint="eastAsia" w:ascii="宋体" w:hAnsi="宋体" w:eastAsia="宋体" w:cs="宋体"/>
          <w:b/>
          <w:color w:val="auto"/>
          <w:szCs w:val="21"/>
          <w:highlight w:val="none"/>
        </w:rPr>
      </w:pPr>
    </w:p>
    <w:p w14:paraId="23125C57">
      <w:pPr>
        <w:spacing w:line="400" w:lineRule="exact"/>
        <w:ind w:firstLine="422" w:firstLineChars="200"/>
        <w:rPr>
          <w:rFonts w:hint="eastAsia" w:ascii="宋体" w:hAnsi="宋体" w:eastAsia="宋体" w:cs="宋体"/>
          <w:b/>
          <w:color w:val="auto"/>
          <w:szCs w:val="21"/>
          <w:highlight w:val="none"/>
        </w:rPr>
      </w:pPr>
    </w:p>
    <w:p w14:paraId="007C110A">
      <w:pPr>
        <w:spacing w:line="400" w:lineRule="exact"/>
        <w:ind w:firstLine="422" w:firstLineChars="200"/>
        <w:rPr>
          <w:rFonts w:hint="eastAsia" w:ascii="宋体" w:hAnsi="宋体" w:eastAsia="宋体" w:cs="宋体"/>
          <w:b/>
          <w:color w:val="auto"/>
          <w:szCs w:val="21"/>
          <w:highlight w:val="none"/>
        </w:rPr>
      </w:pPr>
    </w:p>
    <w:p w14:paraId="271BD203">
      <w:pPr>
        <w:spacing w:line="40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分标2：</w:t>
      </w:r>
    </w:p>
    <w:p w14:paraId="07F29CE6">
      <w:pPr>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一、基本需求</w:t>
      </w:r>
    </w:p>
    <w:p w14:paraId="6F91F3F9">
      <w:pPr>
        <w:widowControl/>
        <w:tabs>
          <w:tab w:val="left" w:pos="180"/>
          <w:tab w:val="left" w:pos="525"/>
          <w:tab w:val="left" w:pos="720"/>
        </w:tabs>
        <w:spacing w:line="38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   （一）项目政策依据</w:t>
      </w:r>
    </w:p>
    <w:p w14:paraId="14F81C86">
      <w:pPr>
        <w:widowControl/>
        <w:tabs>
          <w:tab w:val="left" w:pos="180"/>
          <w:tab w:val="left" w:pos="525"/>
          <w:tab w:val="left" w:pos="720"/>
        </w:tabs>
        <w:spacing w:line="38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1.《关于进一步加强和规范农村义务教育学生营养改善计划招标采购工作的通知》〔全国学生营养办（2015）2号〕。</w:t>
      </w:r>
    </w:p>
    <w:p w14:paraId="5D3E7954">
      <w:pPr>
        <w:widowControl/>
        <w:tabs>
          <w:tab w:val="left" w:pos="180"/>
          <w:tab w:val="left" w:pos="525"/>
          <w:tab w:val="left" w:pos="720"/>
        </w:tabs>
        <w:spacing w:line="38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2.《关于切实解决好当前营养改善计划实施中五个突出问题的通知》〔全国学生营养办（2013）3号〕。</w:t>
      </w:r>
    </w:p>
    <w:p w14:paraId="6CD80BA7">
      <w:pPr>
        <w:widowControl/>
        <w:tabs>
          <w:tab w:val="left" w:pos="180"/>
          <w:tab w:val="left" w:pos="525"/>
          <w:tab w:val="left" w:pos="720"/>
        </w:tabs>
        <w:spacing w:line="38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3.餐费标准：每学年按在校天数195天，学生2000人计算，享受国家营养午餐补贴的学生按国家规定午餐享受财政资金5元/人/午餐。</w:t>
      </w:r>
    </w:p>
    <w:p w14:paraId="5726D43E">
      <w:pPr>
        <w:wordWrap w:val="0"/>
        <w:spacing w:line="44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    （二）服务内容及范围：</w:t>
      </w:r>
    </w:p>
    <w:p w14:paraId="122BA5C4">
      <w:pPr>
        <w:spacing w:line="400" w:lineRule="exact"/>
        <w:ind w:firstLine="424" w:firstLineChars="20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为</w:t>
      </w:r>
      <w:r>
        <w:rPr>
          <w:rFonts w:hint="eastAsia" w:ascii="宋体" w:hAnsi="宋体" w:eastAsia="宋体" w:cs="宋体"/>
          <w:color w:val="auto"/>
          <w:spacing w:val="1"/>
          <w:szCs w:val="21"/>
          <w:highlight w:val="none"/>
        </w:rPr>
        <w:t>桂林市七星区西南中心校及新建分校、合心中心校、龙门中心校及分校伙房提供</w:t>
      </w:r>
      <w:bookmarkStart w:id="140" w:name="OLE_LINK145"/>
      <w:bookmarkStart w:id="141" w:name="OLE_LINK78"/>
      <w:bookmarkStart w:id="142" w:name="OLE_LINK77"/>
      <w:bookmarkStart w:id="143" w:name="OLE_LINK142"/>
      <w:r>
        <w:rPr>
          <w:rFonts w:hint="eastAsia" w:ascii="宋体" w:hAnsi="宋体" w:eastAsia="宋体" w:cs="宋体"/>
          <w:color w:val="auto"/>
          <w:szCs w:val="21"/>
          <w:highlight w:val="none"/>
        </w:rPr>
        <w:t>米、</w:t>
      </w:r>
      <w:r>
        <w:rPr>
          <w:rFonts w:hint="eastAsia" w:ascii="宋体" w:hAnsi="宋体" w:eastAsia="宋体" w:cs="宋体"/>
          <w:color w:val="auto"/>
          <w:highlight w:val="none"/>
        </w:rPr>
        <w:t>食用油、</w:t>
      </w:r>
      <w:r>
        <w:rPr>
          <w:rFonts w:hint="eastAsia" w:ascii="宋体" w:hAnsi="宋体" w:eastAsia="宋体" w:cs="宋体"/>
          <w:color w:val="auto"/>
          <w:szCs w:val="21"/>
          <w:highlight w:val="none"/>
        </w:rPr>
        <w:t>干货类、调味品类、</w:t>
      </w:r>
      <w:r>
        <w:rPr>
          <w:rFonts w:hint="eastAsia" w:ascii="宋体" w:hAnsi="宋体" w:eastAsia="宋体" w:cs="宋体"/>
          <w:color w:val="auto"/>
          <w:highlight w:val="none"/>
        </w:rPr>
        <w:t>禽蛋</w:t>
      </w:r>
      <w:bookmarkEnd w:id="140"/>
      <w:bookmarkEnd w:id="141"/>
      <w:bookmarkEnd w:id="142"/>
      <w:bookmarkEnd w:id="143"/>
      <w:r>
        <w:rPr>
          <w:rFonts w:hint="eastAsia" w:ascii="宋体" w:hAnsi="宋体" w:eastAsia="宋体" w:cs="宋体"/>
          <w:color w:val="auto"/>
          <w:szCs w:val="21"/>
          <w:highlight w:val="none"/>
        </w:rPr>
        <w:t>等</w:t>
      </w:r>
      <w:bookmarkStart w:id="144" w:name="OLE_LINK24"/>
      <w:bookmarkStart w:id="145" w:name="OLE_LINK25"/>
      <w:r>
        <w:rPr>
          <w:rFonts w:hint="eastAsia" w:ascii="宋体" w:hAnsi="宋体" w:eastAsia="宋体" w:cs="宋体"/>
          <w:color w:val="auto"/>
          <w:szCs w:val="21"/>
          <w:highlight w:val="none"/>
        </w:rPr>
        <w:t>食材配送服务</w:t>
      </w:r>
      <w:bookmarkEnd w:id="144"/>
      <w:bookmarkEnd w:id="145"/>
      <w:r>
        <w:rPr>
          <w:rFonts w:hint="eastAsia" w:ascii="宋体" w:hAnsi="宋体" w:eastAsia="宋体" w:cs="宋体"/>
          <w:color w:val="auto"/>
          <w:spacing w:val="1"/>
          <w:szCs w:val="21"/>
          <w:highlight w:val="none"/>
        </w:rPr>
        <w:t>。</w:t>
      </w:r>
    </w:p>
    <w:p w14:paraId="49B0EDEB">
      <w:pPr>
        <w:spacing w:line="400" w:lineRule="exact"/>
        <w:rPr>
          <w:rFonts w:hint="eastAsia" w:ascii="宋体" w:hAnsi="宋体" w:eastAsia="宋体" w:cs="宋体"/>
          <w:color w:val="auto"/>
          <w:szCs w:val="21"/>
          <w:highlight w:val="none"/>
        </w:rPr>
      </w:pPr>
      <w:r>
        <w:rPr>
          <w:rFonts w:hint="eastAsia" w:ascii="宋体" w:hAnsi="宋体" w:eastAsia="宋体" w:cs="宋体"/>
          <w:b/>
          <w:bCs/>
          <w:color w:val="auto"/>
          <w:spacing w:val="1"/>
          <w:szCs w:val="21"/>
          <w:highlight w:val="none"/>
        </w:rPr>
        <w:t xml:space="preserve">     二、</w:t>
      </w:r>
      <w:r>
        <w:rPr>
          <w:rFonts w:hint="eastAsia" w:ascii="宋体" w:hAnsi="宋体" w:eastAsia="宋体" w:cs="宋体"/>
          <w:b/>
          <w:bCs/>
          <w:color w:val="auto"/>
          <w:spacing w:val="1"/>
          <w:szCs w:val="21"/>
          <w:highlight w:val="none"/>
        </w:rPr>
        <w:t>服务要求：</w:t>
      </w:r>
    </w:p>
    <w:p w14:paraId="1E6B7B94">
      <w:pPr>
        <w:widowControl/>
        <w:tabs>
          <w:tab w:val="left" w:pos="180"/>
          <w:tab w:val="left" w:pos="525"/>
          <w:tab w:val="left" w:pos="720"/>
        </w:tabs>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（一）配送内容</w:t>
      </w:r>
    </w:p>
    <w:p w14:paraId="09E6380F">
      <w:pPr>
        <w:widowControl/>
        <w:tabs>
          <w:tab w:val="left" w:pos="180"/>
          <w:tab w:val="left" w:pos="525"/>
          <w:tab w:val="left" w:pos="720"/>
        </w:tabs>
        <w:spacing w:line="380" w:lineRule="exact"/>
        <w:ind w:firstLine="424" w:firstLineChars="200"/>
        <w:rPr>
          <w:rFonts w:hint="eastAsia" w:ascii="宋体" w:hAnsi="宋体" w:eastAsia="宋体" w:cs="宋体"/>
          <w:color w:val="auto"/>
          <w:spacing w:val="-4"/>
          <w:szCs w:val="21"/>
          <w:highlight w:val="none"/>
        </w:rPr>
      </w:pPr>
      <w:r>
        <w:rPr>
          <w:rFonts w:hint="eastAsia" w:ascii="宋体" w:hAnsi="宋体" w:eastAsia="宋体" w:cs="宋体"/>
          <w:color w:val="auto"/>
          <w:spacing w:val="1"/>
          <w:szCs w:val="21"/>
          <w:highlight w:val="none"/>
        </w:rPr>
        <w:t>根据学校</w:t>
      </w:r>
      <w:r>
        <w:rPr>
          <w:rFonts w:hint="eastAsia" w:ascii="宋体" w:hAnsi="宋体" w:eastAsia="宋体" w:cs="宋体"/>
          <w:color w:val="auto"/>
          <w:spacing w:val="1"/>
          <w:szCs w:val="21"/>
          <w:highlight w:val="none"/>
        </w:rPr>
        <w:t>伙房</w:t>
      </w:r>
      <w:r>
        <w:rPr>
          <w:rFonts w:hint="eastAsia" w:ascii="宋体" w:hAnsi="宋体" w:eastAsia="宋体" w:cs="宋体"/>
          <w:color w:val="auto"/>
          <w:spacing w:val="1"/>
          <w:szCs w:val="21"/>
          <w:highlight w:val="none"/>
        </w:rPr>
        <w:t>的采购计划，向学校</w:t>
      </w:r>
      <w:r>
        <w:rPr>
          <w:rFonts w:hint="eastAsia" w:ascii="宋体" w:hAnsi="宋体" w:eastAsia="宋体" w:cs="宋体"/>
          <w:color w:val="auto"/>
          <w:spacing w:val="1"/>
          <w:szCs w:val="21"/>
          <w:highlight w:val="none"/>
        </w:rPr>
        <w:t>伙房</w:t>
      </w:r>
      <w:r>
        <w:rPr>
          <w:rFonts w:hint="eastAsia" w:ascii="宋体" w:hAnsi="宋体" w:eastAsia="宋体" w:cs="宋体"/>
          <w:color w:val="auto"/>
          <w:spacing w:val="1"/>
          <w:szCs w:val="21"/>
          <w:highlight w:val="none"/>
        </w:rPr>
        <w:t>报备后，为学校</w:t>
      </w:r>
      <w:r>
        <w:rPr>
          <w:rFonts w:hint="eastAsia" w:ascii="宋体" w:hAnsi="宋体" w:eastAsia="宋体" w:cs="宋体"/>
          <w:color w:val="auto"/>
          <w:spacing w:val="1"/>
          <w:szCs w:val="21"/>
          <w:highlight w:val="none"/>
        </w:rPr>
        <w:t>伙房</w:t>
      </w:r>
      <w:r>
        <w:rPr>
          <w:rFonts w:hint="eastAsia" w:ascii="宋体" w:hAnsi="宋体" w:eastAsia="宋体" w:cs="宋体"/>
          <w:color w:val="auto"/>
          <w:spacing w:val="1"/>
          <w:szCs w:val="21"/>
          <w:highlight w:val="none"/>
        </w:rPr>
        <w:t>提供以下（包含但不</w:t>
      </w:r>
      <w:r>
        <w:rPr>
          <w:rFonts w:hint="eastAsia" w:ascii="宋体" w:hAnsi="宋体" w:eastAsia="宋体" w:cs="宋体"/>
          <w:color w:val="auto"/>
          <w:spacing w:val="-4"/>
          <w:szCs w:val="21"/>
          <w:highlight w:val="none"/>
        </w:rPr>
        <w:t>限于）：</w:t>
      </w:r>
      <w:bookmarkStart w:id="146" w:name="OLE_LINK202"/>
      <w:bookmarkStart w:id="147" w:name="OLE_LINK205"/>
      <w:r>
        <w:rPr>
          <w:rFonts w:hint="eastAsia" w:ascii="宋体" w:hAnsi="宋体" w:eastAsia="宋体" w:cs="宋体"/>
          <w:color w:val="auto"/>
          <w:spacing w:val="-1"/>
          <w:szCs w:val="21"/>
          <w:highlight w:val="none"/>
        </w:rPr>
        <w:t>米</w:t>
      </w:r>
      <w:r>
        <w:rPr>
          <w:rFonts w:hint="eastAsia" w:ascii="宋体" w:hAnsi="宋体" w:eastAsia="宋体" w:cs="宋体"/>
          <w:color w:val="auto"/>
          <w:spacing w:val="-1"/>
          <w:szCs w:val="21"/>
          <w:highlight w:val="none"/>
        </w:rPr>
        <w:t>；</w:t>
      </w:r>
      <w:r>
        <w:rPr>
          <w:rFonts w:hint="eastAsia" w:ascii="宋体" w:hAnsi="宋体" w:eastAsia="宋体" w:cs="宋体"/>
          <w:color w:val="auto"/>
          <w:spacing w:val="-1"/>
          <w:szCs w:val="21"/>
          <w:highlight w:val="none"/>
        </w:rPr>
        <w:t>食用油</w:t>
      </w:r>
      <w:r>
        <w:rPr>
          <w:rFonts w:hint="eastAsia" w:ascii="宋体" w:hAnsi="宋体" w:eastAsia="宋体" w:cs="宋体"/>
          <w:color w:val="auto"/>
          <w:spacing w:val="-1"/>
          <w:szCs w:val="21"/>
          <w:highlight w:val="none"/>
        </w:rPr>
        <w:t>；</w:t>
      </w:r>
      <w:r>
        <w:rPr>
          <w:rFonts w:hint="eastAsia" w:ascii="宋体" w:hAnsi="宋体" w:eastAsia="宋体" w:cs="宋体"/>
          <w:color w:val="auto"/>
          <w:highlight w:val="none"/>
        </w:rPr>
        <w:t>干货类：</w:t>
      </w:r>
      <w:r>
        <w:rPr>
          <w:rFonts w:hint="eastAsia" w:ascii="宋体" w:hAnsi="宋体" w:eastAsia="宋体" w:cs="宋体"/>
          <w:color w:val="auto"/>
          <w:spacing w:val="-1"/>
          <w:szCs w:val="21"/>
          <w:highlight w:val="none"/>
        </w:rPr>
        <w:t>粉</w:t>
      </w:r>
      <w:r>
        <w:rPr>
          <w:rFonts w:hint="eastAsia" w:ascii="宋体" w:hAnsi="宋体" w:eastAsia="宋体" w:cs="宋体"/>
          <w:color w:val="auto"/>
          <w:szCs w:val="21"/>
          <w:highlight w:val="none"/>
        </w:rPr>
        <w:t>丝、香菇、木耳、干笋</w:t>
      </w:r>
      <w:r>
        <w:rPr>
          <w:rFonts w:hint="eastAsia" w:ascii="宋体" w:hAnsi="宋体" w:eastAsia="宋体" w:cs="宋体"/>
          <w:color w:val="auto"/>
          <w:szCs w:val="21"/>
          <w:highlight w:val="none"/>
        </w:rPr>
        <w:t>；</w:t>
      </w:r>
      <w:r>
        <w:rPr>
          <w:rFonts w:hint="eastAsia" w:ascii="宋体" w:hAnsi="宋体" w:eastAsia="宋体" w:cs="宋体"/>
          <w:color w:val="auto"/>
          <w:highlight w:val="none"/>
        </w:rPr>
        <w:t>调味品类：</w:t>
      </w:r>
      <w:r>
        <w:rPr>
          <w:rFonts w:hint="eastAsia" w:ascii="宋体" w:hAnsi="宋体" w:eastAsia="宋体" w:cs="宋体"/>
          <w:color w:val="auto"/>
          <w:szCs w:val="21"/>
          <w:highlight w:val="none"/>
        </w:rPr>
        <w:t>盐、酱油、醋、蚝油</w:t>
      </w:r>
      <w:r>
        <w:rPr>
          <w:rFonts w:hint="eastAsia" w:ascii="宋体" w:hAnsi="宋体" w:eastAsia="宋体" w:cs="宋体"/>
          <w:color w:val="auto"/>
          <w:szCs w:val="21"/>
          <w:highlight w:val="none"/>
        </w:rPr>
        <w:t>；</w:t>
      </w:r>
      <w:r>
        <w:rPr>
          <w:rFonts w:hint="eastAsia" w:ascii="宋体" w:hAnsi="宋体" w:eastAsia="宋体" w:cs="宋体"/>
          <w:color w:val="auto"/>
          <w:highlight w:val="none"/>
        </w:rPr>
        <w:t>禽蛋</w:t>
      </w:r>
      <w:r>
        <w:rPr>
          <w:rFonts w:hint="eastAsia" w:ascii="宋体" w:hAnsi="宋体" w:eastAsia="宋体" w:cs="宋体"/>
          <w:color w:val="auto"/>
          <w:szCs w:val="21"/>
          <w:highlight w:val="none"/>
        </w:rPr>
        <w:t>类：</w:t>
      </w:r>
      <w:r>
        <w:rPr>
          <w:rFonts w:hint="eastAsia" w:ascii="宋体" w:hAnsi="宋体" w:eastAsia="宋体" w:cs="宋体"/>
          <w:color w:val="auto"/>
          <w:spacing w:val="-4"/>
          <w:szCs w:val="21"/>
          <w:highlight w:val="none"/>
        </w:rPr>
        <w:t>鸡蛋、鸭蛋</w:t>
      </w:r>
      <w:r>
        <w:rPr>
          <w:rFonts w:hint="eastAsia" w:ascii="宋体" w:hAnsi="宋体" w:eastAsia="宋体" w:cs="宋体"/>
          <w:color w:val="auto"/>
          <w:spacing w:val="-1"/>
          <w:szCs w:val="21"/>
          <w:highlight w:val="none"/>
        </w:rPr>
        <w:t>等</w:t>
      </w:r>
      <w:r>
        <w:rPr>
          <w:rFonts w:hint="eastAsia" w:ascii="宋体" w:hAnsi="宋体" w:eastAsia="宋体" w:cs="宋体"/>
          <w:color w:val="auto"/>
          <w:spacing w:val="-4"/>
          <w:szCs w:val="21"/>
          <w:highlight w:val="none"/>
        </w:rPr>
        <w:t>食材配送服务</w:t>
      </w:r>
      <w:bookmarkEnd w:id="146"/>
      <w:bookmarkEnd w:id="147"/>
      <w:r>
        <w:rPr>
          <w:rFonts w:hint="eastAsia" w:ascii="宋体" w:hAnsi="宋体" w:eastAsia="宋体" w:cs="宋体"/>
          <w:color w:val="auto"/>
          <w:spacing w:val="-1"/>
          <w:szCs w:val="21"/>
          <w:highlight w:val="none"/>
        </w:rPr>
        <w:t>。由于某些食材具有地域性、时令性</w:t>
      </w:r>
      <w:r>
        <w:rPr>
          <w:rFonts w:hint="eastAsia" w:ascii="宋体" w:hAnsi="宋体" w:eastAsia="宋体" w:cs="宋体"/>
          <w:color w:val="auto"/>
          <w:spacing w:val="-2"/>
          <w:szCs w:val="21"/>
          <w:highlight w:val="none"/>
        </w:rPr>
        <w:t>等特</w:t>
      </w:r>
      <w:r>
        <w:rPr>
          <w:rFonts w:hint="eastAsia" w:ascii="宋体" w:hAnsi="宋体" w:eastAsia="宋体" w:cs="宋体"/>
          <w:color w:val="auto"/>
          <w:spacing w:val="-4"/>
          <w:szCs w:val="21"/>
          <w:highlight w:val="none"/>
        </w:rPr>
        <w:t>点，采购人根据实际情况选定品种</w:t>
      </w:r>
      <w:r>
        <w:rPr>
          <w:rFonts w:hint="eastAsia" w:ascii="宋体" w:hAnsi="宋体" w:eastAsia="宋体" w:cs="宋体"/>
          <w:color w:val="auto"/>
          <w:spacing w:val="-4"/>
          <w:szCs w:val="21"/>
          <w:highlight w:val="none"/>
        </w:rPr>
        <w:t>。</w:t>
      </w:r>
    </w:p>
    <w:p w14:paraId="4AACCEEF">
      <w:pPr>
        <w:spacing w:line="400" w:lineRule="exact"/>
        <w:rPr>
          <w:rFonts w:hint="eastAsia" w:ascii="宋体" w:hAnsi="宋体" w:eastAsia="宋体" w:cs="宋体"/>
          <w:color w:val="auto"/>
          <w:spacing w:val="1"/>
          <w:szCs w:val="21"/>
          <w:highlight w:val="none"/>
        </w:rPr>
      </w:pPr>
      <w:r>
        <w:rPr>
          <w:rFonts w:hint="eastAsia" w:ascii="宋体" w:hAnsi="宋体" w:eastAsia="宋体" w:cs="宋体"/>
          <w:b/>
          <w:bCs/>
          <w:color w:val="auto"/>
          <w:spacing w:val="-7"/>
          <w:szCs w:val="21"/>
          <w:highlight w:val="none"/>
        </w:rPr>
        <w:t xml:space="preserve">    （二）</w:t>
      </w:r>
      <w:r>
        <w:rPr>
          <w:rFonts w:hint="eastAsia" w:ascii="宋体" w:hAnsi="宋体" w:eastAsia="宋体" w:cs="宋体"/>
          <w:b/>
          <w:bCs/>
          <w:color w:val="auto"/>
          <w:spacing w:val="-7"/>
          <w:szCs w:val="21"/>
          <w:highlight w:val="none"/>
        </w:rPr>
        <w:t>配送</w:t>
      </w:r>
      <w:r>
        <w:rPr>
          <w:rFonts w:hint="eastAsia" w:ascii="宋体" w:hAnsi="宋体" w:eastAsia="宋体" w:cs="宋体"/>
          <w:b/>
          <w:bCs/>
          <w:color w:val="auto"/>
          <w:spacing w:val="-7"/>
          <w:szCs w:val="21"/>
          <w:highlight w:val="none"/>
        </w:rPr>
        <w:t>标准</w:t>
      </w:r>
    </w:p>
    <w:tbl>
      <w:tblPr>
        <w:tblStyle w:val="158"/>
        <w:tblW w:w="501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77"/>
        <w:gridCol w:w="1091"/>
        <w:gridCol w:w="8009"/>
      </w:tblGrid>
      <w:tr w14:paraId="669B3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346" w:type="pct"/>
            <w:vAlign w:val="center"/>
          </w:tcPr>
          <w:p w14:paraId="5C4BC82A">
            <w:pPr>
              <w:jc w:val="center"/>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序号</w:t>
            </w:r>
          </w:p>
        </w:tc>
        <w:tc>
          <w:tcPr>
            <w:tcW w:w="558" w:type="pct"/>
            <w:vAlign w:val="center"/>
          </w:tcPr>
          <w:p w14:paraId="45169058">
            <w:pPr>
              <w:jc w:val="center"/>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品目</w:t>
            </w:r>
          </w:p>
        </w:tc>
        <w:tc>
          <w:tcPr>
            <w:tcW w:w="4096" w:type="pct"/>
            <w:vAlign w:val="center"/>
          </w:tcPr>
          <w:p w14:paraId="0552F44D">
            <w:pPr>
              <w:jc w:val="center"/>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品目标准</w:t>
            </w:r>
          </w:p>
        </w:tc>
      </w:tr>
      <w:tr w14:paraId="44537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346" w:type="pct"/>
            <w:vAlign w:val="center"/>
          </w:tcPr>
          <w:p w14:paraId="2F317048">
            <w:pPr>
              <w:pStyle w:val="20"/>
              <w:jc w:val="center"/>
              <w:rPr>
                <w:rFonts w:hint="eastAsia" w:ascii="宋体" w:hAnsi="宋体" w:eastAsia="宋体" w:cs="宋体"/>
                <w:snapToGrid w:val="0"/>
                <w:color w:val="auto"/>
                <w:kern w:val="2"/>
                <w:highlight w:val="none"/>
              </w:rPr>
            </w:pPr>
            <w:r>
              <w:rPr>
                <w:rFonts w:hint="eastAsia" w:ascii="宋体" w:hAnsi="宋体" w:eastAsia="宋体" w:cs="宋体"/>
                <w:snapToGrid w:val="0"/>
                <w:color w:val="auto"/>
                <w:kern w:val="2"/>
                <w:highlight w:val="none"/>
              </w:rPr>
              <w:t>1</w:t>
            </w:r>
          </w:p>
        </w:tc>
        <w:tc>
          <w:tcPr>
            <w:tcW w:w="558" w:type="pct"/>
            <w:vAlign w:val="center"/>
          </w:tcPr>
          <w:p w14:paraId="26545B87">
            <w:pPr>
              <w:pStyle w:val="20"/>
              <w:jc w:val="center"/>
              <w:rPr>
                <w:rFonts w:hint="eastAsia" w:ascii="宋体" w:hAnsi="宋体" w:eastAsia="宋体" w:cs="宋体"/>
                <w:b/>
                <w:snapToGrid w:val="0"/>
                <w:color w:val="auto"/>
                <w:kern w:val="2"/>
                <w:highlight w:val="none"/>
              </w:rPr>
            </w:pPr>
            <w:r>
              <w:rPr>
                <w:rFonts w:hint="eastAsia" w:ascii="宋体" w:hAnsi="宋体" w:eastAsia="宋体" w:cs="宋体"/>
                <w:snapToGrid w:val="0"/>
                <w:color w:val="auto"/>
                <w:kern w:val="2"/>
                <w:highlight w:val="none"/>
              </w:rPr>
              <w:t xml:space="preserve"> 大米</w:t>
            </w:r>
          </w:p>
        </w:tc>
        <w:tc>
          <w:tcPr>
            <w:tcW w:w="4096" w:type="pct"/>
          </w:tcPr>
          <w:p w14:paraId="407AC87D">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1.产品符合国家及行业相关标准；符合GBl354-2018《大米》标准要求；</w:t>
            </w:r>
          </w:p>
          <w:p w14:paraId="14D6ABA6">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2.有“SC ”标志，标明加工厂名称、品名、生产日期、保质期或保存期；</w:t>
            </w:r>
          </w:p>
          <w:p w14:paraId="2431B3FF">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3.供货时的剩余保质期不少于三分之二，有质量等级、产品标准号等内容，具有产品合格证；</w:t>
            </w:r>
          </w:p>
          <w:p w14:paraId="6DCDB5A9">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4.具有固有色泽和香味，无污染、无虫害，色泽、气味、口味正常，无异味或霉味（霉变），无虫蛀结块挂丝或杂质异物等；</w:t>
            </w:r>
          </w:p>
          <w:p w14:paraId="435BBD40">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5.不接受陈化粮。</w:t>
            </w:r>
          </w:p>
        </w:tc>
      </w:tr>
      <w:tr w14:paraId="4EACD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346" w:type="pct"/>
          </w:tcPr>
          <w:p w14:paraId="49C54F1B">
            <w:pPr>
              <w:pStyle w:val="20"/>
              <w:jc w:val="center"/>
              <w:rPr>
                <w:rFonts w:hint="eastAsia" w:ascii="宋体" w:hAnsi="宋体" w:eastAsia="宋体" w:cs="宋体"/>
                <w:snapToGrid w:val="0"/>
                <w:color w:val="auto"/>
                <w:kern w:val="2"/>
                <w:highlight w:val="none"/>
              </w:rPr>
            </w:pPr>
          </w:p>
          <w:p w14:paraId="2117CF7D">
            <w:pPr>
              <w:pStyle w:val="20"/>
              <w:jc w:val="center"/>
              <w:rPr>
                <w:rFonts w:hint="eastAsia" w:ascii="宋体" w:hAnsi="宋体" w:eastAsia="宋体" w:cs="宋体"/>
                <w:snapToGrid w:val="0"/>
                <w:color w:val="auto"/>
                <w:kern w:val="2"/>
                <w:highlight w:val="none"/>
              </w:rPr>
            </w:pPr>
          </w:p>
          <w:p w14:paraId="5C53968A">
            <w:pPr>
              <w:pStyle w:val="20"/>
              <w:jc w:val="center"/>
              <w:rPr>
                <w:rFonts w:hint="eastAsia" w:ascii="宋体" w:hAnsi="宋体" w:eastAsia="宋体" w:cs="宋体"/>
                <w:snapToGrid w:val="0"/>
                <w:color w:val="auto"/>
                <w:kern w:val="2"/>
                <w:highlight w:val="none"/>
              </w:rPr>
            </w:pPr>
          </w:p>
          <w:p w14:paraId="37639F36">
            <w:pPr>
              <w:pStyle w:val="20"/>
              <w:jc w:val="center"/>
              <w:rPr>
                <w:rFonts w:hint="eastAsia" w:ascii="宋体" w:hAnsi="宋体" w:eastAsia="宋体" w:cs="宋体"/>
                <w:snapToGrid w:val="0"/>
                <w:color w:val="auto"/>
                <w:kern w:val="2"/>
                <w:highlight w:val="none"/>
              </w:rPr>
            </w:pPr>
          </w:p>
          <w:p w14:paraId="19183656">
            <w:pPr>
              <w:pStyle w:val="20"/>
              <w:jc w:val="center"/>
              <w:rPr>
                <w:rFonts w:hint="eastAsia" w:ascii="宋体" w:hAnsi="宋体" w:eastAsia="宋体" w:cs="宋体"/>
                <w:snapToGrid w:val="0"/>
                <w:color w:val="auto"/>
                <w:kern w:val="2"/>
                <w:highlight w:val="none"/>
              </w:rPr>
            </w:pPr>
          </w:p>
          <w:p w14:paraId="59A6D14C">
            <w:pPr>
              <w:pStyle w:val="20"/>
              <w:jc w:val="center"/>
              <w:rPr>
                <w:rFonts w:hint="eastAsia" w:ascii="宋体" w:hAnsi="宋体" w:eastAsia="宋体" w:cs="宋体"/>
                <w:snapToGrid w:val="0"/>
                <w:color w:val="auto"/>
                <w:kern w:val="2"/>
                <w:highlight w:val="none"/>
              </w:rPr>
            </w:pPr>
            <w:r>
              <w:rPr>
                <w:rFonts w:hint="eastAsia" w:ascii="宋体" w:hAnsi="宋体" w:eastAsia="宋体" w:cs="宋体"/>
                <w:snapToGrid w:val="0"/>
                <w:color w:val="auto"/>
                <w:kern w:val="2"/>
                <w:highlight w:val="none"/>
              </w:rPr>
              <w:t xml:space="preserve"> 2</w:t>
            </w:r>
          </w:p>
        </w:tc>
        <w:tc>
          <w:tcPr>
            <w:tcW w:w="558" w:type="pct"/>
          </w:tcPr>
          <w:p w14:paraId="7B41CF6C">
            <w:pPr>
              <w:pStyle w:val="20"/>
              <w:jc w:val="center"/>
              <w:rPr>
                <w:rFonts w:hint="eastAsia" w:ascii="宋体" w:hAnsi="宋体" w:eastAsia="宋体" w:cs="宋体"/>
                <w:snapToGrid w:val="0"/>
                <w:color w:val="auto"/>
                <w:kern w:val="2"/>
                <w:highlight w:val="none"/>
              </w:rPr>
            </w:pPr>
          </w:p>
          <w:p w14:paraId="73C32F11">
            <w:pPr>
              <w:pStyle w:val="20"/>
              <w:jc w:val="center"/>
              <w:rPr>
                <w:rFonts w:hint="eastAsia" w:ascii="宋体" w:hAnsi="宋体" w:eastAsia="宋体" w:cs="宋体"/>
                <w:snapToGrid w:val="0"/>
                <w:color w:val="auto"/>
                <w:kern w:val="2"/>
                <w:highlight w:val="none"/>
              </w:rPr>
            </w:pPr>
          </w:p>
          <w:p w14:paraId="709661FC">
            <w:pPr>
              <w:pStyle w:val="20"/>
              <w:jc w:val="center"/>
              <w:rPr>
                <w:rFonts w:hint="eastAsia" w:ascii="宋体" w:hAnsi="宋体" w:eastAsia="宋体" w:cs="宋体"/>
                <w:snapToGrid w:val="0"/>
                <w:color w:val="auto"/>
                <w:kern w:val="2"/>
                <w:highlight w:val="none"/>
              </w:rPr>
            </w:pPr>
          </w:p>
          <w:p w14:paraId="58B8D65D">
            <w:pPr>
              <w:pStyle w:val="20"/>
              <w:jc w:val="center"/>
              <w:rPr>
                <w:rFonts w:hint="eastAsia" w:ascii="宋体" w:hAnsi="宋体" w:eastAsia="宋体" w:cs="宋体"/>
                <w:snapToGrid w:val="0"/>
                <w:color w:val="auto"/>
                <w:kern w:val="2"/>
                <w:highlight w:val="none"/>
              </w:rPr>
            </w:pPr>
          </w:p>
          <w:p w14:paraId="39368C03">
            <w:pPr>
              <w:pStyle w:val="20"/>
              <w:jc w:val="center"/>
              <w:rPr>
                <w:rFonts w:hint="eastAsia" w:ascii="宋体" w:hAnsi="宋体" w:eastAsia="宋体" w:cs="宋体"/>
                <w:snapToGrid w:val="0"/>
                <w:color w:val="auto"/>
                <w:kern w:val="2"/>
                <w:highlight w:val="none"/>
              </w:rPr>
            </w:pPr>
          </w:p>
          <w:p w14:paraId="5F26F349">
            <w:pPr>
              <w:pStyle w:val="20"/>
              <w:jc w:val="center"/>
              <w:rPr>
                <w:rFonts w:hint="eastAsia" w:ascii="宋体" w:hAnsi="宋体" w:eastAsia="宋体" w:cs="宋体"/>
                <w:b/>
                <w:snapToGrid w:val="0"/>
                <w:color w:val="auto"/>
                <w:kern w:val="2"/>
                <w:highlight w:val="none"/>
              </w:rPr>
            </w:pPr>
            <w:r>
              <w:rPr>
                <w:rFonts w:hint="eastAsia" w:ascii="宋体" w:hAnsi="宋体" w:eastAsia="宋体" w:cs="宋体"/>
                <w:snapToGrid w:val="0"/>
                <w:color w:val="auto"/>
                <w:kern w:val="2"/>
                <w:highlight w:val="none"/>
              </w:rPr>
              <w:t>食用油</w:t>
            </w:r>
          </w:p>
        </w:tc>
        <w:tc>
          <w:tcPr>
            <w:tcW w:w="4096" w:type="pct"/>
          </w:tcPr>
          <w:p w14:paraId="777A0E6E">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1.产品符合国家及行业相关标准，外包装完好，有SC 标志，标明品名、厂名、重量、生产日期、保质期或保存期、执行标准，供货时剩余保质期不少于三分之二，具有产品合格证；</w:t>
            </w:r>
          </w:p>
          <w:p w14:paraId="31B2D23B">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2.具有正常植物油的色泽、透明度、气味和滋味,无焦臭、酸败及其他异味。竞标品类仅限于：一级非转基因大豆油、一级非转基因花生油；</w:t>
            </w:r>
          </w:p>
          <w:p w14:paraId="5CE33225">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3.</w:t>
            </w:r>
            <w:r>
              <w:rPr>
                <w:rFonts w:hint="eastAsia" w:ascii="宋体" w:hAnsi="宋体" w:eastAsia="宋体" w:cs="宋体"/>
                <w:snapToGrid w:val="0"/>
                <w:color w:val="auto"/>
                <w:szCs w:val="21"/>
                <w:highlight w:val="none"/>
              </w:rPr>
              <w:t>严禁提供变质变味、过期、假冒伪劣的产品，严禁供应禁用油类（如潲水油、工业油）；</w:t>
            </w:r>
            <w:r>
              <w:rPr>
                <w:rFonts w:hint="eastAsia" w:ascii="宋体" w:hAnsi="宋体" w:eastAsia="宋体" w:cs="宋体"/>
                <w:snapToGrid w:val="0"/>
                <w:color w:val="auto"/>
                <w:szCs w:val="21"/>
                <w:highlight w:val="none"/>
              </w:rPr>
              <w:t>并随货配送批次质检报告；</w:t>
            </w:r>
          </w:p>
          <w:p w14:paraId="55700F86">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4.包装、运输和储存必须符合保质、保量、运输安全和分类、分等储存的要求，严防污染。</w:t>
            </w:r>
          </w:p>
        </w:tc>
      </w:tr>
      <w:tr w14:paraId="34AD7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346" w:type="pct"/>
            <w:vAlign w:val="center"/>
          </w:tcPr>
          <w:p w14:paraId="1E526E8D">
            <w:pPr>
              <w:pStyle w:val="20"/>
              <w:jc w:val="center"/>
              <w:rPr>
                <w:rFonts w:hint="eastAsia" w:ascii="宋体" w:hAnsi="宋体" w:eastAsia="宋体" w:cs="宋体"/>
                <w:snapToGrid w:val="0"/>
                <w:color w:val="auto"/>
                <w:kern w:val="2"/>
                <w:highlight w:val="none"/>
              </w:rPr>
            </w:pPr>
            <w:r>
              <w:rPr>
                <w:rFonts w:hint="eastAsia" w:ascii="宋体" w:hAnsi="宋体" w:eastAsia="宋体" w:cs="宋体"/>
                <w:snapToGrid w:val="0"/>
                <w:color w:val="auto"/>
                <w:kern w:val="2"/>
                <w:highlight w:val="none"/>
              </w:rPr>
              <w:t>3</w:t>
            </w:r>
          </w:p>
        </w:tc>
        <w:tc>
          <w:tcPr>
            <w:tcW w:w="558" w:type="pct"/>
            <w:vAlign w:val="center"/>
          </w:tcPr>
          <w:p w14:paraId="63FC2945">
            <w:pPr>
              <w:pStyle w:val="20"/>
              <w:jc w:val="center"/>
              <w:rPr>
                <w:rFonts w:hint="eastAsia" w:ascii="宋体" w:hAnsi="宋体" w:eastAsia="宋体" w:cs="宋体"/>
                <w:b/>
                <w:snapToGrid w:val="0"/>
                <w:color w:val="auto"/>
                <w:kern w:val="2"/>
                <w:highlight w:val="none"/>
              </w:rPr>
            </w:pPr>
            <w:bookmarkStart w:id="148" w:name="OLE_LINK224"/>
            <w:bookmarkStart w:id="149" w:name="OLE_LINK223"/>
            <w:r>
              <w:rPr>
                <w:rFonts w:hint="eastAsia" w:ascii="宋体" w:hAnsi="宋体" w:eastAsia="宋体" w:cs="宋体"/>
                <w:snapToGrid w:val="0"/>
                <w:color w:val="auto"/>
                <w:kern w:val="2"/>
                <w:highlight w:val="none"/>
              </w:rPr>
              <w:t>干货类</w:t>
            </w:r>
            <w:bookmarkEnd w:id="148"/>
            <w:bookmarkEnd w:id="149"/>
          </w:p>
        </w:tc>
        <w:tc>
          <w:tcPr>
            <w:tcW w:w="4096" w:type="pct"/>
          </w:tcPr>
          <w:p w14:paraId="485BFC03">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bookmarkStart w:id="150" w:name="OLE_LINK61"/>
            <w:bookmarkStart w:id="151" w:name="OLE_LINK60"/>
            <w:r>
              <w:rPr>
                <w:rFonts w:hint="eastAsia" w:ascii="宋体" w:hAnsi="宋体" w:eastAsia="宋体" w:cs="宋体"/>
                <w:snapToGrid w:val="0"/>
                <w:color w:val="auto"/>
                <w:szCs w:val="21"/>
                <w:highlight w:val="none"/>
              </w:rPr>
              <w:t>1.产品符合国家及行业相关标准；</w:t>
            </w:r>
          </w:p>
          <w:bookmarkEnd w:id="150"/>
          <w:bookmarkEnd w:id="151"/>
          <w:p w14:paraId="2BFCA64D">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2.外包装要有明确的生产日期与保质期，供货时的剩余保质期不少于三分之二；</w:t>
            </w:r>
          </w:p>
          <w:p w14:paraId="5A81FCE7">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3.具有固有色泽和香味，</w:t>
            </w:r>
            <w:bookmarkStart w:id="152" w:name="OLE_LINK62"/>
            <w:bookmarkStart w:id="153" w:name="OLE_LINK63"/>
            <w:r>
              <w:rPr>
                <w:rFonts w:hint="eastAsia" w:ascii="宋体" w:hAnsi="宋体" w:eastAsia="宋体" w:cs="宋体"/>
                <w:snapToGrid w:val="0"/>
                <w:color w:val="auto"/>
                <w:szCs w:val="21"/>
                <w:highlight w:val="none"/>
              </w:rPr>
              <w:t>无污染、色泽、气味、口味正常，无异味或霉味（霉变），无杂质异物、</w:t>
            </w:r>
            <w:bookmarkEnd w:id="152"/>
            <w:bookmarkEnd w:id="153"/>
            <w:r>
              <w:rPr>
                <w:rFonts w:hint="eastAsia" w:ascii="宋体" w:hAnsi="宋体" w:eastAsia="宋体" w:cs="宋体"/>
                <w:snapToGrid w:val="0"/>
                <w:color w:val="auto"/>
                <w:szCs w:val="21"/>
                <w:highlight w:val="none"/>
              </w:rPr>
              <w:t>无破碎片、虫蛀</w:t>
            </w:r>
            <w:r>
              <w:rPr>
                <w:rFonts w:hint="eastAsia" w:ascii="宋体" w:hAnsi="宋体" w:eastAsia="宋体" w:cs="宋体"/>
                <w:snapToGrid w:val="0"/>
                <w:color w:val="auto"/>
                <w:szCs w:val="21"/>
                <w:highlight w:val="none"/>
              </w:rPr>
              <w:t>等。</w:t>
            </w:r>
          </w:p>
        </w:tc>
      </w:tr>
      <w:tr w14:paraId="41082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346" w:type="pct"/>
            <w:vAlign w:val="center"/>
          </w:tcPr>
          <w:p w14:paraId="16B4C8D6">
            <w:pPr>
              <w:pStyle w:val="20"/>
              <w:jc w:val="center"/>
              <w:rPr>
                <w:rFonts w:hint="eastAsia" w:ascii="宋体" w:hAnsi="宋体" w:eastAsia="宋体" w:cs="宋体"/>
                <w:snapToGrid w:val="0"/>
                <w:color w:val="auto"/>
                <w:kern w:val="2"/>
                <w:highlight w:val="none"/>
              </w:rPr>
            </w:pPr>
            <w:r>
              <w:rPr>
                <w:rFonts w:hint="eastAsia" w:ascii="宋体" w:hAnsi="宋体" w:eastAsia="宋体" w:cs="宋体"/>
                <w:snapToGrid w:val="0"/>
                <w:color w:val="auto"/>
                <w:kern w:val="2"/>
                <w:highlight w:val="none"/>
              </w:rPr>
              <w:t>4</w:t>
            </w:r>
          </w:p>
        </w:tc>
        <w:tc>
          <w:tcPr>
            <w:tcW w:w="558" w:type="pct"/>
            <w:vAlign w:val="center"/>
          </w:tcPr>
          <w:p w14:paraId="5581AA51">
            <w:pPr>
              <w:pStyle w:val="20"/>
              <w:jc w:val="center"/>
              <w:rPr>
                <w:rFonts w:hint="eastAsia" w:ascii="宋体" w:hAnsi="宋体" w:eastAsia="宋体" w:cs="宋体"/>
                <w:b/>
                <w:snapToGrid w:val="0"/>
                <w:color w:val="auto"/>
                <w:kern w:val="2"/>
                <w:highlight w:val="none"/>
              </w:rPr>
            </w:pPr>
            <w:bookmarkStart w:id="154" w:name="OLE_LINK108"/>
            <w:bookmarkStart w:id="155" w:name="OLE_LINK107"/>
            <w:bookmarkStart w:id="156" w:name="OLE_LINK225"/>
            <w:r>
              <w:rPr>
                <w:rFonts w:hint="eastAsia" w:ascii="宋体" w:hAnsi="宋体" w:eastAsia="宋体" w:cs="宋体"/>
                <w:snapToGrid w:val="0"/>
                <w:color w:val="auto"/>
                <w:kern w:val="2"/>
                <w:highlight w:val="none"/>
              </w:rPr>
              <w:t>调味品类</w:t>
            </w:r>
            <w:bookmarkEnd w:id="154"/>
            <w:bookmarkEnd w:id="155"/>
            <w:bookmarkEnd w:id="156"/>
          </w:p>
        </w:tc>
        <w:tc>
          <w:tcPr>
            <w:tcW w:w="4096" w:type="pct"/>
          </w:tcPr>
          <w:p w14:paraId="0AACB862">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1.产品符合国家及行业相关标准,有“SC ”标志,标明加工厂名称、品名、生产日期、保质期或保存期，供货时的剩余保质期不少于三分之二，有产品标准号等内容；</w:t>
            </w:r>
          </w:p>
          <w:p w14:paraId="6E6DDC5E">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2.酱油：颜色比较红、亮，有光泽、透明,把酱油倒在瓶子里后,摇一下，产生的泡沫非常细腻，保持持久，挂碗现象非常好，有一种发黏的感觉；</w:t>
            </w:r>
          </w:p>
          <w:p w14:paraId="23089F2A">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3.醋：具有正常食醋的色泽、气味和滋味，不涩,无其他不良气味与异味，无浮物，不浑浊，无沉淀，无异物，无醋鳗、醋虱；</w:t>
            </w:r>
          </w:p>
          <w:p w14:paraId="51CD7FE0">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4.味精、鸡精等：结晶或粉末,具有特殊的鲜味,无异味，无肉眼可见杂质，无返卤吸潮现象；</w:t>
            </w:r>
          </w:p>
          <w:p w14:paraId="74965462">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5.食盐：结晶整齐一致,坚硬光滑,呈透明或半透明，不结块,无反卤吸潮现象,无杂质，蘸取少许尝试具有纯正的咸味；</w:t>
            </w:r>
          </w:p>
          <w:p w14:paraId="399DF2E8">
            <w:pPr>
              <w:adjustRightInd w:val="0"/>
              <w:snapToGrid w:val="0"/>
              <w:spacing w:line="40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6.食糖：色泽洁白明亮，有光泽，具有白糖的正常气味，无酸味、酒味或其他外来气味（绵白糖：颗粒细小而均匀，质地绵软、潮润）；</w:t>
            </w:r>
          </w:p>
          <w:p w14:paraId="7A4FB877">
            <w:pPr>
              <w:pStyle w:val="20"/>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 xml:space="preserve"> 7.调料粉（黑胡椒粉、椒盐粉、八角、八角粉、孜然粉等）：呈干燥状，具有该种香料植物所特有的色、香、味，没有不纯正的气味和味道，无发霉味或其他异味。</w:t>
            </w:r>
          </w:p>
        </w:tc>
      </w:tr>
      <w:tr w14:paraId="5B468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346" w:type="pct"/>
            <w:vAlign w:val="center"/>
          </w:tcPr>
          <w:p w14:paraId="10FE749E">
            <w:pPr>
              <w:pStyle w:val="20"/>
              <w:jc w:val="center"/>
              <w:rPr>
                <w:rFonts w:hint="eastAsia" w:ascii="宋体" w:hAnsi="宋体" w:eastAsia="宋体" w:cs="宋体"/>
                <w:snapToGrid w:val="0"/>
                <w:color w:val="auto"/>
                <w:kern w:val="2"/>
                <w:highlight w:val="none"/>
              </w:rPr>
            </w:pPr>
            <w:r>
              <w:rPr>
                <w:rFonts w:hint="eastAsia" w:ascii="宋体" w:hAnsi="宋体" w:eastAsia="宋体" w:cs="宋体"/>
                <w:snapToGrid w:val="0"/>
                <w:color w:val="auto"/>
                <w:kern w:val="2"/>
                <w:highlight w:val="none"/>
              </w:rPr>
              <w:t>5</w:t>
            </w:r>
          </w:p>
        </w:tc>
        <w:tc>
          <w:tcPr>
            <w:tcW w:w="558" w:type="pct"/>
            <w:vAlign w:val="center"/>
          </w:tcPr>
          <w:p w14:paraId="4C6DC752">
            <w:pPr>
              <w:pStyle w:val="20"/>
              <w:jc w:val="center"/>
              <w:rPr>
                <w:rFonts w:hint="eastAsia" w:ascii="宋体" w:hAnsi="宋体" w:eastAsia="宋体" w:cs="宋体"/>
                <w:b/>
                <w:snapToGrid w:val="0"/>
                <w:color w:val="auto"/>
                <w:kern w:val="2"/>
                <w:highlight w:val="none"/>
              </w:rPr>
            </w:pPr>
            <w:bookmarkStart w:id="157" w:name="OLE_LINK111"/>
            <w:bookmarkStart w:id="158" w:name="OLE_LINK112"/>
            <w:r>
              <w:rPr>
                <w:rFonts w:hint="eastAsia" w:ascii="宋体" w:hAnsi="宋体" w:eastAsia="宋体" w:cs="宋体"/>
                <w:snapToGrid w:val="0"/>
                <w:color w:val="auto"/>
                <w:kern w:val="2"/>
                <w:highlight w:val="none"/>
              </w:rPr>
              <w:t>禽蛋</w:t>
            </w:r>
            <w:bookmarkEnd w:id="157"/>
            <w:bookmarkEnd w:id="158"/>
            <w:r>
              <w:rPr>
                <w:rFonts w:hint="eastAsia" w:ascii="宋体" w:hAnsi="宋体" w:eastAsia="宋体" w:cs="宋体"/>
                <w:snapToGrid w:val="0"/>
                <w:color w:val="auto"/>
                <w:kern w:val="2"/>
                <w:highlight w:val="none"/>
              </w:rPr>
              <w:t>类</w:t>
            </w:r>
          </w:p>
        </w:tc>
        <w:tc>
          <w:tcPr>
            <w:tcW w:w="4096" w:type="pct"/>
          </w:tcPr>
          <w:p w14:paraId="670ABD0F">
            <w:pPr>
              <w:pStyle w:val="161"/>
              <w:spacing w:line="360" w:lineRule="exact"/>
              <w:ind w:left="113" w:right="113"/>
              <w:rPr>
                <w:rFonts w:hint="eastAsia" w:ascii="宋体" w:hAnsi="宋体" w:eastAsia="宋体" w:cs="宋体"/>
                <w:snapToGrid w:val="0"/>
                <w:color w:val="auto"/>
                <w:sz w:val="21"/>
                <w:szCs w:val="21"/>
                <w:highlight w:val="none"/>
                <w:lang w:eastAsia="zh-CN"/>
              </w:rPr>
            </w:pPr>
            <w:r>
              <w:rPr>
                <w:rFonts w:hint="eastAsia" w:ascii="宋体" w:hAnsi="宋体" w:eastAsia="宋体" w:cs="宋体"/>
                <w:snapToGrid w:val="0"/>
                <w:color w:val="auto"/>
                <w:sz w:val="21"/>
                <w:szCs w:val="21"/>
                <w:highlight w:val="none"/>
                <w:lang w:eastAsia="zh-CN"/>
              </w:rPr>
              <w:t>1.规格要求：单个鸡蛋重 60g 以上；</w:t>
            </w:r>
          </w:p>
          <w:p w14:paraId="659200FE">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2.产品必须是果园蛋，蛋壳清洁完整，色泽鲜明，大小均匀、无破损、裂纹，无霉斑，灯光透视时，整个蛋呈桔黄色至橙红色，蛋黄不见或略见阴影，没有霉味、酸味，臭味等不良气味，打开后蛋黄凸起、完整、有韧性，蛋白澄清、透明、稀稠分明，无异味。</w:t>
            </w:r>
          </w:p>
          <w:p w14:paraId="2070C50E">
            <w:pPr>
              <w:adjustRightInd w:val="0"/>
              <w:snapToGrid w:val="0"/>
              <w:spacing w:line="360" w:lineRule="exact"/>
              <w:ind w:left="113" w:right="113"/>
              <w:jc w:val="left"/>
              <w:textAlignment w:val="center"/>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3.健康状况：要求所产蛋的家禽健康；</w:t>
            </w:r>
          </w:p>
          <w:p w14:paraId="58170FBB">
            <w:pPr>
              <w:widowControl/>
              <w:tabs>
                <w:tab w:val="left" w:pos="180"/>
                <w:tab w:val="left" w:pos="525"/>
                <w:tab w:val="left" w:pos="720"/>
              </w:tabs>
              <w:spacing w:line="360" w:lineRule="exact"/>
              <w:ind w:left="113" w:right="113"/>
              <w:rPr>
                <w:rFonts w:hint="eastAsia" w:ascii="宋体" w:hAnsi="宋体" w:eastAsia="宋体" w:cs="宋体"/>
                <w:snapToGrid w:val="0"/>
                <w:color w:val="auto"/>
                <w:szCs w:val="20"/>
                <w:highlight w:val="none"/>
              </w:rPr>
            </w:pPr>
            <w:r>
              <w:rPr>
                <w:rFonts w:hint="eastAsia" w:ascii="宋体" w:hAnsi="宋体" w:eastAsia="宋体" w:cs="宋体"/>
                <w:snapToGrid w:val="0"/>
                <w:color w:val="auto"/>
                <w:szCs w:val="21"/>
                <w:highlight w:val="none"/>
              </w:rPr>
              <w:t>4.产品符合国家及行业相关标准，并随货配送批次质检报告。</w:t>
            </w:r>
          </w:p>
        </w:tc>
      </w:tr>
    </w:tbl>
    <w:p w14:paraId="5B8852BB">
      <w:pPr>
        <w:widowControl/>
        <w:tabs>
          <w:tab w:val="left" w:pos="180"/>
          <w:tab w:val="left" w:pos="525"/>
          <w:tab w:val="left" w:pos="720"/>
        </w:tabs>
        <w:spacing w:line="380" w:lineRule="exact"/>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（三）配送质量要求</w:t>
      </w:r>
    </w:p>
    <w:p w14:paraId="5A989260">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1.供应商所有供应食材必须符合《中华人民共和国食品安全法》、《中华人民共和国农产品质量安全法》、《中华人民共和国食品安全法实施条例》和采购人对食材安全有关要求，确保饮食安全，严禁供应假冒伪劣产品和过期、临期食材。</w:t>
      </w:r>
    </w:p>
    <w:p w14:paraId="21849462">
      <w:pPr>
        <w:widowControl/>
        <w:tabs>
          <w:tab w:val="left" w:pos="180"/>
          <w:tab w:val="left" w:pos="525"/>
          <w:tab w:val="left" w:pos="720"/>
        </w:tabs>
        <w:spacing w:line="380" w:lineRule="exact"/>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2.成交供应商应对每日配送食材进行留样保存（保存期限不得少于5日），如发生食品安全责任事故，应立即无条件配合相关部门进行调查及处理后续事宜。</w:t>
      </w:r>
    </w:p>
    <w:p w14:paraId="0398F185">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3.成交供应商须确保所提供食材的包装材料、容器、运输工具无污染、无破损。</w:t>
      </w:r>
    </w:p>
    <w:p w14:paraId="5A909F77">
      <w:pPr>
        <w:spacing w:line="400" w:lineRule="exact"/>
        <w:ind w:firstLine="424"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4.必须按照采购人通知的时间、数量、品种、品质要求及协定的价格送货，不能以任何理由推</w:t>
      </w:r>
      <w:r>
        <w:rPr>
          <w:rFonts w:hint="eastAsia" w:ascii="宋体" w:hAnsi="宋体" w:eastAsia="宋体" w:cs="宋体"/>
          <w:color w:val="auto"/>
          <w:spacing w:val="-1"/>
          <w:szCs w:val="21"/>
          <w:highlight w:val="none"/>
        </w:rPr>
        <w:t>托，一旦影响到学校伙房的正常运转，成交供应商须承担相应的违约责任。</w:t>
      </w:r>
    </w:p>
    <w:p w14:paraId="48CB1AAB">
      <w:pPr>
        <w:spacing w:line="400" w:lineRule="exact"/>
        <w:ind w:firstLine="424"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5.①正常情况下，</w:t>
      </w:r>
      <w:bookmarkStart w:id="159" w:name="OLE_LINK172"/>
      <w:bookmarkStart w:id="160" w:name="OLE_LINK173"/>
      <w:r>
        <w:rPr>
          <w:rFonts w:hint="eastAsia" w:ascii="宋体" w:hAnsi="宋体" w:eastAsia="宋体" w:cs="宋体"/>
          <w:color w:val="auto"/>
          <w:spacing w:val="1"/>
          <w:szCs w:val="21"/>
          <w:highlight w:val="none"/>
        </w:rPr>
        <w:t>学生在校期间每日</w:t>
      </w:r>
      <w:bookmarkEnd w:id="159"/>
      <w:bookmarkEnd w:id="160"/>
      <w:r>
        <w:rPr>
          <w:rFonts w:hint="eastAsia" w:ascii="宋体" w:hAnsi="宋体" w:eastAsia="宋体" w:cs="宋体"/>
          <w:color w:val="auto"/>
          <w:spacing w:val="1"/>
          <w:szCs w:val="21"/>
          <w:highlight w:val="none"/>
        </w:rPr>
        <w:t>配送一次（履约时学校伙房可按使用情况临时增减配送次数</w:t>
      </w:r>
      <w:r>
        <w:rPr>
          <w:rFonts w:hint="eastAsia" w:ascii="宋体" w:hAnsi="宋体" w:eastAsia="宋体" w:cs="宋体"/>
          <w:color w:val="auto"/>
          <w:spacing w:val="5"/>
          <w:szCs w:val="21"/>
          <w:highlight w:val="none"/>
        </w:rPr>
        <w:t>），</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每日按采购人规定的时间将货送到指定地点，如遇特殊情况需要应急采购时，成交供应商须接到通</w:t>
      </w:r>
      <w:r>
        <w:rPr>
          <w:rFonts w:hint="eastAsia" w:ascii="宋体" w:hAnsi="宋体" w:eastAsia="宋体" w:cs="宋体"/>
          <w:color w:val="auto"/>
          <w:spacing w:val="-3"/>
          <w:szCs w:val="21"/>
          <w:highlight w:val="none"/>
        </w:rPr>
        <w:t>知后1个小时内配送到现场。延误1次处以1000元的处罚金，处罚金在货款中扣减，年累计超过3次</w:t>
      </w:r>
      <w:r>
        <w:rPr>
          <w:rFonts w:hint="eastAsia" w:ascii="宋体" w:hAnsi="宋体" w:eastAsia="宋体" w:cs="宋体"/>
          <w:color w:val="auto"/>
          <w:spacing w:val="-1"/>
          <w:szCs w:val="21"/>
          <w:highlight w:val="none"/>
        </w:rPr>
        <w:t>者，采购人有权解除合同，因此产生的责任和经济损失由成交供应商承担。</w:t>
      </w:r>
    </w:p>
    <w:p w14:paraId="11D33CA0">
      <w:pPr>
        <w:spacing w:line="400" w:lineRule="exact"/>
        <w:ind w:firstLine="408" w:firstLineChars="200"/>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②对学校伙房下达的订单，成交供应商须在30分钟内作出响应，延误1次处以1000元的处</w:t>
      </w:r>
      <w:r>
        <w:rPr>
          <w:rFonts w:hint="eastAsia" w:ascii="宋体" w:hAnsi="宋体" w:eastAsia="宋体" w:cs="宋体"/>
          <w:color w:val="auto"/>
          <w:spacing w:val="-4"/>
          <w:szCs w:val="21"/>
          <w:highlight w:val="none"/>
        </w:rPr>
        <w:t>罚金，</w:t>
      </w:r>
      <w:r>
        <w:rPr>
          <w:rFonts w:hint="eastAsia" w:ascii="宋体" w:hAnsi="宋体" w:eastAsia="宋体" w:cs="宋体"/>
          <w:color w:val="auto"/>
          <w:spacing w:val="-1"/>
          <w:szCs w:val="21"/>
          <w:highlight w:val="none"/>
        </w:rPr>
        <w:t>处罚金在货款中扣减，年累计超过3次者，采</w:t>
      </w:r>
      <w:r>
        <w:rPr>
          <w:rFonts w:hint="eastAsia" w:ascii="宋体" w:hAnsi="宋体" w:eastAsia="宋体" w:cs="宋体"/>
          <w:color w:val="auto"/>
          <w:spacing w:val="-2"/>
          <w:szCs w:val="21"/>
          <w:highlight w:val="none"/>
        </w:rPr>
        <w:t>购人有权解除合同，因此产生的责任和经济损失由成交供应商</w:t>
      </w:r>
      <w:r>
        <w:rPr>
          <w:rFonts w:hint="eastAsia" w:ascii="宋体" w:hAnsi="宋体" w:eastAsia="宋体" w:cs="宋体"/>
          <w:color w:val="auto"/>
          <w:spacing w:val="-5"/>
          <w:szCs w:val="21"/>
          <w:highlight w:val="none"/>
        </w:rPr>
        <w:t>承担。</w:t>
      </w:r>
    </w:p>
    <w:p w14:paraId="0BDABBAA">
      <w:pPr>
        <w:spacing w:line="400" w:lineRule="exact"/>
        <w:ind w:firstLine="424" w:firstLineChars="20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6.每次配送时须提供本批次出厂（库）检验合格证明、产品合格证及批次质检报告，证明文件与食材一同送达学校（随车同行），并且在食材包装上贴上出厂标签，标签上注明配送公司、出库时间、重量等内容。配送食材必须从配送企业的分拣仓库出库，在食材包装上粘贴出库标签，注明配送公司名称、食材品名、出库时间、重量等内容；如发现质量问题，必须按</w:t>
      </w:r>
      <w:r>
        <w:rPr>
          <w:rFonts w:hint="eastAsia" w:ascii="宋体" w:hAnsi="宋体" w:eastAsia="宋体" w:cs="宋体"/>
          <w:color w:val="auto"/>
          <w:spacing w:val="1"/>
          <w:szCs w:val="21"/>
          <w:highlight w:val="none"/>
          <w:lang w:eastAsia="zh-CN"/>
        </w:rPr>
        <w:t>采购人</w:t>
      </w:r>
      <w:r>
        <w:rPr>
          <w:rFonts w:hint="eastAsia" w:ascii="宋体" w:hAnsi="宋体" w:eastAsia="宋体" w:cs="宋体"/>
          <w:color w:val="auto"/>
          <w:spacing w:val="1"/>
          <w:szCs w:val="21"/>
          <w:highlight w:val="none"/>
        </w:rPr>
        <w:t>要求在限时内包退包换。</w:t>
      </w:r>
    </w:p>
    <w:p w14:paraId="04C87AA5">
      <w:pPr>
        <w:spacing w:line="400" w:lineRule="exact"/>
        <w:ind w:firstLine="412"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7.在学校伙房签收之前，每批次的食材所有权和风险属于成交供应商，发生的遗失、损坏由成交供应商</w:t>
      </w:r>
      <w:r>
        <w:rPr>
          <w:rFonts w:hint="eastAsia" w:ascii="宋体" w:hAnsi="宋体" w:eastAsia="宋体" w:cs="宋体"/>
          <w:color w:val="auto"/>
          <w:spacing w:val="-3"/>
          <w:szCs w:val="21"/>
          <w:highlight w:val="none"/>
        </w:rPr>
        <w:t>负责。</w:t>
      </w:r>
    </w:p>
    <w:p w14:paraId="6ED343F4">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8.成交供应商须严格按照学校伙房的指令配送商品的数量，不</w:t>
      </w:r>
      <w:r>
        <w:rPr>
          <w:rFonts w:hint="eastAsia" w:ascii="宋体" w:hAnsi="宋体" w:eastAsia="宋体" w:cs="宋体"/>
          <w:color w:val="auto"/>
          <w:spacing w:val="-2"/>
          <w:szCs w:val="21"/>
          <w:highlight w:val="none"/>
        </w:rPr>
        <w:t>得随意增减，否则学校伙房有权</w:t>
      </w:r>
      <w:r>
        <w:rPr>
          <w:rFonts w:hint="eastAsia" w:ascii="宋体" w:hAnsi="宋体" w:eastAsia="宋体" w:cs="宋体"/>
          <w:color w:val="auto"/>
          <w:spacing w:val="-8"/>
          <w:szCs w:val="21"/>
          <w:highlight w:val="none"/>
        </w:rPr>
        <w:t>拒收。</w:t>
      </w:r>
    </w:p>
    <w:p w14:paraId="777234C6">
      <w:pPr>
        <w:spacing w:line="400" w:lineRule="exact"/>
        <w:ind w:firstLine="416" w:firstLineChars="200"/>
        <w:rPr>
          <w:rFonts w:hint="eastAsia" w:ascii="宋体" w:hAnsi="宋体" w:eastAsia="宋体" w:cs="宋体"/>
          <w:color w:val="auto"/>
          <w:szCs w:val="20"/>
          <w:highlight w:val="none"/>
        </w:rPr>
      </w:pPr>
      <w:r>
        <w:rPr>
          <w:rFonts w:hint="eastAsia" w:ascii="宋体" w:hAnsi="宋体" w:eastAsia="宋体" w:cs="宋体"/>
          <w:color w:val="auto"/>
          <w:spacing w:val="-1"/>
          <w:szCs w:val="21"/>
          <w:highlight w:val="none"/>
        </w:rPr>
        <w:t>9.除客观不可抗力外，成交供应商不得更改送货内容。如因市场流通问题确</w:t>
      </w:r>
      <w:r>
        <w:rPr>
          <w:rFonts w:hint="eastAsia" w:ascii="宋体" w:hAnsi="宋体" w:eastAsia="宋体" w:cs="宋体"/>
          <w:color w:val="auto"/>
          <w:spacing w:val="-2"/>
          <w:szCs w:val="21"/>
          <w:highlight w:val="none"/>
        </w:rPr>
        <w:t>实需要变更供货内</w:t>
      </w:r>
      <w:r>
        <w:rPr>
          <w:rFonts w:hint="eastAsia" w:ascii="宋体" w:hAnsi="宋体" w:eastAsia="宋体" w:cs="宋体"/>
          <w:color w:val="auto"/>
          <w:spacing w:val="-1"/>
          <w:szCs w:val="21"/>
          <w:highlight w:val="none"/>
        </w:rPr>
        <w:t>容的，成交供应商应在得知情况的同时告知学校伙房并书面申请，经学校伙房同意后方可更改。发现成交供应商有私自更改菜单中货品时以违约论处，因此产生的一切损失和费用由成交供应商承担。出现1</w:t>
      </w:r>
      <w:r>
        <w:rPr>
          <w:rFonts w:hint="eastAsia" w:ascii="宋体" w:hAnsi="宋体" w:eastAsia="宋体" w:cs="宋体"/>
          <w:color w:val="auto"/>
          <w:spacing w:val="-2"/>
          <w:szCs w:val="21"/>
          <w:highlight w:val="none"/>
        </w:rPr>
        <w:t>次上述情况的，处以500元罚金，累计出现3次上述情况，采购人有权终止合同，处罚金从供货结算款内扣除。</w:t>
      </w:r>
    </w:p>
    <w:p w14:paraId="7D41872A">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10.成交供应商须严格遵守《食品安全法》等相关规定，所提供的食材是安全合格产品，确保所有供应的食材原材料重金属含量必须符合国家相关食品安全标准，一经发现供应以下问题食材，采购人除全部退货外，将取消供货资格，承担由此造成的全部经济责任和法律责任：</w:t>
      </w:r>
    </w:p>
    <w:p w14:paraId="5AE24E6B">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（1）腐烂变质、油脂酸败、霉变、生虫、污秽不洁、混有异物或者其他感官性状异常，对人体健康有害的。</w:t>
      </w:r>
    </w:p>
    <w:p w14:paraId="16D5E46E">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（2）含有毒、有害物质或者被有害物质污染，对人体健康有害的。</w:t>
      </w:r>
    </w:p>
    <w:p w14:paraId="2949257C">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（3）含有致病性寄生虫、微生物或者微生物含量超过国家限定标准的。</w:t>
      </w:r>
    </w:p>
    <w:p w14:paraId="73553B42">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（4）掺假、掺杂、伪造的。</w:t>
      </w:r>
    </w:p>
    <w:p w14:paraId="71C91E82">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（5）用非食品原料加工的，加入非食品用化学物质或者将非食品当作食品的。</w:t>
      </w:r>
    </w:p>
    <w:p w14:paraId="4BB82545">
      <w:pPr>
        <w:widowControl/>
        <w:tabs>
          <w:tab w:val="left" w:pos="180"/>
          <w:tab w:val="left" w:pos="525"/>
          <w:tab w:val="left" w:pos="720"/>
        </w:tabs>
        <w:spacing w:line="380" w:lineRule="exact"/>
        <w:ind w:firstLine="420" w:firstLineChars="200"/>
        <w:rPr>
          <w:rFonts w:hint="eastAsia" w:ascii="宋体" w:hAnsi="宋体" w:eastAsia="宋体" w:cs="宋体"/>
          <w:color w:val="auto"/>
          <w:spacing w:val="1"/>
          <w:szCs w:val="21"/>
          <w:highlight w:val="none"/>
        </w:rPr>
      </w:pPr>
      <w:r>
        <w:rPr>
          <w:rFonts w:hint="eastAsia" w:ascii="宋体" w:hAnsi="宋体" w:eastAsia="宋体" w:cs="宋体"/>
          <w:color w:val="auto"/>
          <w:szCs w:val="20"/>
          <w:highlight w:val="none"/>
        </w:rPr>
        <w:t>（6）超过保质期限的。</w:t>
      </w:r>
    </w:p>
    <w:p w14:paraId="17C73452">
      <w:pPr>
        <w:widowControl/>
        <w:tabs>
          <w:tab w:val="left" w:pos="180"/>
          <w:tab w:val="left" w:pos="525"/>
          <w:tab w:val="left" w:pos="720"/>
        </w:tabs>
        <w:spacing w:line="380" w:lineRule="exact"/>
        <w:ind w:firstLine="422" w:firstLineChars="200"/>
        <w:rPr>
          <w:rFonts w:hint="eastAsia" w:ascii="宋体" w:hAnsi="宋体" w:eastAsia="宋体" w:cs="宋体"/>
          <w:color w:val="auto"/>
          <w:szCs w:val="20"/>
          <w:highlight w:val="none"/>
        </w:rPr>
      </w:pPr>
      <w:r>
        <w:rPr>
          <w:rFonts w:hint="eastAsia" w:ascii="宋体" w:hAnsi="宋体" w:eastAsia="宋体" w:cs="宋体"/>
          <w:b/>
          <w:bCs/>
          <w:color w:val="auto"/>
          <w:szCs w:val="20"/>
          <w:highlight w:val="none"/>
        </w:rPr>
        <w:t>（四）配送条件要求</w:t>
      </w:r>
    </w:p>
    <w:p w14:paraId="25EEA766">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1.经营场所要求：</w:t>
      </w:r>
    </w:p>
    <w:p w14:paraId="20FD1978">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bookmarkStart w:id="161" w:name="OLE_LINK159"/>
      <w:bookmarkStart w:id="162" w:name="OLE_LINK158"/>
      <w:r>
        <w:rPr>
          <w:rFonts w:hint="eastAsia" w:ascii="宋体" w:hAnsi="宋体" w:eastAsia="宋体" w:cs="宋体"/>
          <w:color w:val="auto"/>
          <w:szCs w:val="20"/>
          <w:highlight w:val="none"/>
        </w:rPr>
        <w:t>（1）具有与所供应的食材品种、数量额度相适应的食材分拣、贮存等场所（办公场地、仓库等），要求场所环境整洁，配备“三防 ”（防蝇、防鼠、防虫）卫生设施和消毒、照明、通风等设备，并与有毒、有害场所以及其他污染源保持25米以上的距离。</w:t>
      </w:r>
    </w:p>
    <w:bookmarkEnd w:id="161"/>
    <w:bookmarkEnd w:id="162"/>
    <w:p w14:paraId="401183AB">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（2）具有合理的功能室布局和加工流程，防止原料与成品交叉污染，避免食材接触有毒物、不洁物。</w:t>
      </w:r>
    </w:p>
    <w:p w14:paraId="18971EA4">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（3）签订合同后采购人将对供应商自有场所条件进行现场核查及考核，如发现不满足项目要求或虚假应标的，将做供应商违约处理，采购人将取消合同并上报财政部门进行处罚。</w:t>
      </w:r>
    </w:p>
    <w:p w14:paraId="160914C2">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2.配送设备要求</w:t>
      </w:r>
    </w:p>
    <w:p w14:paraId="3C11D708">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（1）</w:t>
      </w:r>
      <w:r>
        <w:rPr>
          <w:rFonts w:hint="eastAsia" w:ascii="宋体" w:hAnsi="宋体" w:eastAsia="宋体" w:cs="宋体"/>
          <w:color w:val="auto"/>
          <w:spacing w:val="1"/>
          <w:szCs w:val="21"/>
          <w:highlight w:val="none"/>
        </w:rPr>
        <w:t>供应商必须具有相应的供货能力、配送能力，配送时须用</w:t>
      </w:r>
      <w:bookmarkStart w:id="163" w:name="OLE_LINK37"/>
      <w:bookmarkStart w:id="164" w:name="OLE_LINK38"/>
      <w:r>
        <w:rPr>
          <w:rFonts w:hint="eastAsia" w:ascii="宋体" w:hAnsi="宋体" w:eastAsia="宋体" w:cs="宋体"/>
          <w:color w:val="auto"/>
          <w:spacing w:val="7"/>
          <w:sz w:val="20"/>
          <w:szCs w:val="20"/>
          <w:highlight w:val="none"/>
        </w:rPr>
        <w:t>厢式运输车辆</w:t>
      </w:r>
      <w:bookmarkEnd w:id="163"/>
      <w:bookmarkEnd w:id="164"/>
      <w:r>
        <w:rPr>
          <w:rFonts w:hint="eastAsia" w:ascii="宋体" w:hAnsi="宋体" w:eastAsia="宋体" w:cs="宋体"/>
          <w:color w:val="auto"/>
          <w:szCs w:val="20"/>
          <w:highlight w:val="none"/>
        </w:rPr>
        <w:t>及专用密闭运输容器；要求车辆为密封车辆，车辆必须手续齐全。</w:t>
      </w:r>
    </w:p>
    <w:p w14:paraId="6C2010C7">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（2）配送设备应当符合食品操作规范的相关规定；运输车辆和容器内部材质、结构便于清洗和消毒。每次送货车辆及工具必须做到清洗消毒、保持清洁卫生，防止食材运输过程中受污染。</w:t>
      </w:r>
    </w:p>
    <w:p w14:paraId="75F51856">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3）根据采购的数量分类包装，每天按采购人规定时间送到指定地点。采购人有紧急采购需求时，成交供应商必须有专人负责，根据具体时间和采购需求，与成交供应商进行协商配送的相关事宜，并提供免费送货服务。</w:t>
      </w:r>
    </w:p>
    <w:p w14:paraId="14B5DDDB">
      <w:pPr>
        <w:widowControl/>
        <w:tabs>
          <w:tab w:val="left" w:pos="180"/>
          <w:tab w:val="left" w:pos="525"/>
          <w:tab w:val="left" w:pos="720"/>
        </w:tabs>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3.配送人员要求</w:t>
      </w:r>
    </w:p>
    <w:p w14:paraId="04CA25AB">
      <w:pPr>
        <w:spacing w:line="400" w:lineRule="exact"/>
        <w:rPr>
          <w:rFonts w:hint="eastAsia" w:ascii="宋体" w:hAnsi="宋体" w:eastAsia="宋体" w:cs="宋体"/>
          <w:color w:val="auto"/>
          <w:spacing w:val="7"/>
          <w:szCs w:val="21"/>
          <w:highlight w:val="none"/>
        </w:rPr>
      </w:pPr>
      <w:r>
        <w:rPr>
          <w:rFonts w:hint="eastAsia" w:ascii="宋体" w:hAnsi="宋体" w:eastAsia="宋体" w:cs="宋体"/>
          <w:color w:val="auto"/>
          <w:spacing w:val="7"/>
          <w:szCs w:val="21"/>
          <w:highlight w:val="none"/>
        </w:rPr>
        <w:t xml:space="preserve">   （1）要求至少拟派一名负责人与采购人进行有效沟通，随时向采购人汇报工作，跟进项目进度，确保服务质量并承担相应责任。组织相关服务工作，能够就服务中的重大质量问题、重大争议与纠纷提出处理建议。采购人有紧急采购需求时，可根据具体时间和采购需求，与采购人进行协商配送的相关事宜，并安排免费送货服务。按规定提交采购人要求的各项质量要求和安全要求进行报告，并协助采购人进行系统填报。</w:t>
      </w:r>
    </w:p>
    <w:p w14:paraId="3664F925">
      <w:pPr>
        <w:widowControl/>
        <w:tabs>
          <w:tab w:val="left" w:pos="180"/>
          <w:tab w:val="left" w:pos="525"/>
          <w:tab w:val="left" w:pos="720"/>
        </w:tabs>
        <w:spacing w:line="380" w:lineRule="exact"/>
        <w:ind w:firstLine="424" w:firstLineChars="200"/>
        <w:rPr>
          <w:rFonts w:hint="eastAsia" w:ascii="宋体" w:hAnsi="宋体" w:eastAsia="宋体" w:cs="宋体"/>
          <w:color w:val="auto"/>
          <w:szCs w:val="20"/>
          <w:highlight w:val="none"/>
        </w:rPr>
      </w:pPr>
      <w:r>
        <w:rPr>
          <w:rFonts w:hint="eastAsia" w:ascii="宋体" w:hAnsi="宋体" w:eastAsia="宋体" w:cs="宋体"/>
          <w:color w:val="auto"/>
          <w:spacing w:val="1"/>
          <w:szCs w:val="21"/>
          <w:highlight w:val="none"/>
        </w:rPr>
        <w:t>（2）要求由</w:t>
      </w:r>
      <w:r>
        <w:rPr>
          <w:rFonts w:hint="eastAsia" w:ascii="宋体" w:hAnsi="宋体" w:eastAsia="宋体" w:cs="宋体"/>
          <w:color w:val="auto"/>
          <w:szCs w:val="20"/>
          <w:highlight w:val="none"/>
        </w:rPr>
        <w:t>固定的专业驾驶人员、固定的随配送人员。所有参与配送的人员每年必须进行健康检查，取得有效的健康合格证明后方可从事配送服务，如出现临时更换配送服务人员的，应提前2天向采购人报送相关材料并经同意后方可更换，如出现由于配送服务人员引发的食品安全问题，由成交供应商承担全部责任，采购人有权终止合同。成交供应商必须将其身份证复印件、劳动合同复印件、健康合格证明复印件、驾驶证复印件等资料上报采购人登记备案。</w:t>
      </w:r>
    </w:p>
    <w:p w14:paraId="2B3761DC">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4.配送职责要求</w:t>
      </w:r>
    </w:p>
    <w:p w14:paraId="18D1F373">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（1）按计划送货</w:t>
      </w:r>
    </w:p>
    <w:p w14:paraId="6C35B6F5">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成交供应商必须按计划组织供应，并完整、正确填写采购单，由采购人对数量、质量、随货批次检验检疫证明进行验收 ,准确无误后，双方在采购单上签字确认。成交供应商不得随意更改供应计划，确因客观原因个别品种无法 满足需求时，成交供应商必须提前12小时与采购人协商，经允许后方可更换品种。成交供应商不能按时组织供应且事先未主动与达成协议，造成采购人不能正常开展教学、运营工作或损失的，视为成交供应商违约，由成交供应商双倍赔偿当天所购货款；造成严重后果的，采购人可无条件终止协议并拒付所有未支付款项，如发生不提供批次质检报告，第一次罚款200元，第二次罚款1000元，第三次直接终止合同。</w:t>
      </w:r>
    </w:p>
    <w:p w14:paraId="0BA33EFA">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（2）确保质量</w:t>
      </w:r>
    </w:p>
    <w:p w14:paraId="1357381A">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成交供应商提供的食材必须达到国家及相关行业的食品安全、卫生、质量等要求，所有食材必须经过检验检疫合格后方可供应。成交供应商提供的食材质量达不到规定标准，采购人有权拒绝接受，如因使用成交供应商提供的不合格食材，造成人员食物中毒或产生其他不适症状，成交供应商必须承担由此产生的一切经济、法律责任，同时采购人无条件终止协议并拒付所有未支付款项。</w:t>
      </w:r>
    </w:p>
    <w:p w14:paraId="3BCF52DB">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（3）数量问题</w:t>
      </w:r>
    </w:p>
    <w:p w14:paraId="1D1AFE18">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成交供应商所供应的食材出现缺斤少两（正常耗损除外）、腐烂变质等情况，将按照所缺重量、变质重量产品供应金额的一百倍进行赔偿；预包装食品出现数量与订单不符、产品 质量不达标、产品为假冒伪劣产品等违法行为，将按照所缺数量、不合格产品或假冒伪劣产品供应金额的一百倍进行赔偿，并将以上违法经营行为上报市场监管部门，对成交供应商进行查处。假冒伪劣产品，或检验检疫不合格或腐烂变质等产品，金额超过一千元的，采购人无条件终止协议并拒付所有未支付款项，并保留司法诉讼权利。</w:t>
      </w:r>
    </w:p>
    <w:p w14:paraId="126E35D0">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（4）提供明细</w:t>
      </w:r>
    </w:p>
    <w:p w14:paraId="4AE99873">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成交供应商每天供应的食材必须出示电脑打印的票据，每周一提供一份上周所供食材桂林市发改委公布的价格参考明细截图，并加盖公章（含电子版）。供应商需提前提供食材报价，价格合理符合市场规律，积极配合学校做好询价调价工作，下月初及时提供上月核算报表，及时完成结算工作。如发生不提前提供合理报价，不配合询价调价，不及时完成核算工作的；第一次罚款1000元，第二次罚款5000元，第三次直接终止合同。</w:t>
      </w:r>
    </w:p>
    <w:p w14:paraId="538DB436">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（5）接受监督</w:t>
      </w:r>
    </w:p>
    <w:p w14:paraId="6CE2A657">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成交供应商须自觉配合采购人及相关主管部门对所供应食材的质量、价格、卫生标准开展监督检查，做到服务周到、耐心答疑。采购人在收到食材后发现质量问题的，米、食用油、干货类、调味品类、禽蛋等预包装类食材应当在 48 小时内向成交供应商提出，采购人对存在质量问题的食材予以留存，供成交供应商现场查验核对。</w:t>
      </w:r>
    </w:p>
    <w:p w14:paraId="7CC13C64">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（6）服从管理</w:t>
      </w:r>
    </w:p>
    <w:p w14:paraId="70AD920B">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成交供应商的服务人员，配送车辆进入学校区域时，必须严格遵守相关的管理规定，自觉接受相关部门及人员的检查和盘问。</w:t>
      </w:r>
    </w:p>
    <w:p w14:paraId="151E179D">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（7）成交供应商所供应的食材必须与物品清单的品名、规格、数量、价格一致。随货出具应提供与实物一致的相关证明，出现食材与物品清单、相关证明不一致的， 采购人有权拒收，因此产生的费用和损失和责任由成交供应商承担。</w:t>
      </w:r>
    </w:p>
    <w:p w14:paraId="39C73818">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5.其它要求</w:t>
      </w:r>
    </w:p>
    <w:p w14:paraId="7D7E177D">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（1）因每个校区的道路运输条件限制，制定合理配送的运输路线，选择合理的运输方式，按约定时间把食材配送至学校伙房，以保障学校伙房的正常运行。</w:t>
      </w:r>
    </w:p>
    <w:p w14:paraId="7601D682">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（2）食材采购：选择具有生产或销售相应种类食品的许可证、营业执照及同批产品质检合格报告的优良供货商定点采购。</w:t>
      </w:r>
    </w:p>
    <w:p w14:paraId="7033B3E5">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3）食材贮存：食材贮存场所要符合卫生安全标准，配备必要的食材储藏保鲜设施；建立健全食材出入库管理制度和库存盘点制度；食材贮存应当分类、分架、安全管理；遵循先进先出的原则，及时清理销毁变质和过期的食材。</w:t>
      </w:r>
    </w:p>
    <w:p w14:paraId="7C4A392D">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（4）食材配送：送货车辆及用具必须清洁卫生。</w:t>
      </w:r>
    </w:p>
    <w:p w14:paraId="79E3B3E1">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（5）配送管理制度要求：制定与本项目实际相适应的食材原料采购管理制度，保证食材安全。</w:t>
      </w:r>
    </w:p>
    <w:p w14:paraId="02D89D02">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（6）配送食材安全责任险要求：必须</w:t>
      </w:r>
      <w:r>
        <w:rPr>
          <w:rFonts w:hint="eastAsia" w:ascii="宋体" w:hAnsi="宋体" w:eastAsia="宋体" w:cs="宋体"/>
          <w:bCs/>
          <w:color w:val="auto"/>
          <w:szCs w:val="21"/>
          <w:highlight w:val="none"/>
        </w:rPr>
        <w:t>购买食品安全责任险至少1000万元（含1000万元）</w:t>
      </w:r>
      <w:r>
        <w:rPr>
          <w:rFonts w:hint="eastAsia" w:ascii="宋体" w:hAnsi="宋体" w:eastAsia="宋体" w:cs="宋体"/>
          <w:color w:val="auto"/>
          <w:szCs w:val="20"/>
          <w:highlight w:val="none"/>
        </w:rPr>
        <w:t>。</w:t>
      </w:r>
    </w:p>
    <w:p w14:paraId="0DFD9F2F">
      <w:pPr>
        <w:widowControl/>
        <w:spacing w:line="400" w:lineRule="exact"/>
        <w:jc w:val="left"/>
        <w:rPr>
          <w:rFonts w:hint="eastAsia" w:ascii="宋体" w:hAnsi="宋体" w:eastAsia="宋体" w:cs="宋体"/>
          <w:color w:val="auto"/>
          <w:szCs w:val="21"/>
          <w:highlight w:val="none"/>
        </w:rPr>
      </w:pPr>
      <w:r>
        <w:rPr>
          <w:rFonts w:hint="eastAsia" w:ascii="宋体" w:hAnsi="宋体" w:eastAsia="宋体" w:cs="宋体"/>
          <w:b/>
          <w:bCs/>
          <w:color w:val="auto"/>
          <w:spacing w:val="6"/>
          <w:szCs w:val="21"/>
          <w:highlight w:val="none"/>
        </w:rPr>
        <w:t xml:space="preserve">   （五）食材的</w:t>
      </w:r>
      <w:r>
        <w:rPr>
          <w:rFonts w:hint="eastAsia" w:ascii="宋体" w:hAnsi="宋体" w:eastAsia="宋体" w:cs="宋体"/>
          <w:b/>
          <w:bCs/>
          <w:color w:val="auto"/>
          <w:kern w:val="0"/>
          <w:szCs w:val="21"/>
          <w:highlight w:val="none"/>
        </w:rPr>
        <w:t xml:space="preserve">收货及验收方式 </w:t>
      </w:r>
    </w:p>
    <w:p w14:paraId="3138EB50">
      <w:pPr>
        <w:spacing w:line="400" w:lineRule="exact"/>
        <w:ind w:firstLine="404" w:firstLineChars="200"/>
        <w:rPr>
          <w:rFonts w:hint="eastAsia" w:ascii="宋体" w:hAnsi="宋体" w:eastAsia="宋体" w:cs="宋体"/>
          <w:color w:val="auto"/>
          <w:szCs w:val="21"/>
          <w:highlight w:val="none"/>
        </w:rPr>
      </w:pPr>
      <w:r>
        <w:rPr>
          <w:rFonts w:hint="eastAsia" w:ascii="宋体" w:hAnsi="宋体" w:eastAsia="宋体" w:cs="宋体"/>
          <w:color w:val="auto"/>
          <w:spacing w:val="-4"/>
          <w:szCs w:val="21"/>
          <w:highlight w:val="none"/>
        </w:rPr>
        <w:t>1.成交供应商在交货时需出示《送货单》一式三份，标明送货日期、食材</w:t>
      </w:r>
      <w:r>
        <w:rPr>
          <w:rFonts w:hint="eastAsia" w:ascii="宋体" w:hAnsi="宋体" w:eastAsia="宋体" w:cs="宋体"/>
          <w:color w:val="auto"/>
          <w:spacing w:val="-5"/>
          <w:szCs w:val="21"/>
          <w:highlight w:val="none"/>
        </w:rPr>
        <w:t>品名、规格、数量、质量、单价、金额、</w:t>
      </w:r>
      <w:r>
        <w:rPr>
          <w:rFonts w:hint="eastAsia" w:ascii="宋体" w:hAnsi="宋体" w:eastAsia="宋体" w:cs="宋体"/>
          <w:color w:val="auto"/>
          <w:spacing w:val="-1"/>
          <w:szCs w:val="21"/>
          <w:highlight w:val="none"/>
        </w:rPr>
        <w:t>经手人、验收人等信息，由成交供应商和学校伙房</w:t>
      </w:r>
      <w:r>
        <w:rPr>
          <w:rFonts w:hint="eastAsia" w:ascii="宋体" w:hAnsi="宋体" w:eastAsia="宋体" w:cs="宋体"/>
          <w:color w:val="auto"/>
          <w:szCs w:val="21"/>
          <w:highlight w:val="none"/>
        </w:rPr>
        <w:t>分别指定的验收人</w:t>
      </w:r>
      <w:r>
        <w:rPr>
          <w:rFonts w:hint="eastAsia" w:ascii="宋体" w:hAnsi="宋体" w:eastAsia="宋体" w:cs="宋体"/>
          <w:color w:val="auto"/>
          <w:spacing w:val="-1"/>
          <w:szCs w:val="21"/>
          <w:highlight w:val="none"/>
        </w:rPr>
        <w:t>共同对货物进行验收、</w:t>
      </w:r>
      <w:r>
        <w:rPr>
          <w:rFonts w:hint="eastAsia" w:ascii="宋体" w:hAnsi="宋体" w:eastAsia="宋体" w:cs="宋体"/>
          <w:color w:val="auto"/>
          <w:szCs w:val="21"/>
          <w:highlight w:val="none"/>
        </w:rPr>
        <w:t>确认和签字。</w:t>
      </w:r>
      <w:r>
        <w:rPr>
          <w:rFonts w:hint="eastAsia" w:ascii="宋体" w:hAnsi="宋体" w:eastAsia="宋体" w:cs="宋体"/>
          <w:color w:val="auto"/>
          <w:spacing w:val="-1"/>
          <w:szCs w:val="21"/>
          <w:highlight w:val="none"/>
        </w:rPr>
        <w:t>经双方签字确认的验收单（成交供应商</w:t>
      </w:r>
      <w:r>
        <w:rPr>
          <w:rFonts w:hint="eastAsia" w:ascii="宋体" w:hAnsi="宋体" w:eastAsia="宋体" w:cs="宋体"/>
          <w:color w:val="auto"/>
          <w:spacing w:val="-2"/>
          <w:szCs w:val="21"/>
          <w:highlight w:val="none"/>
        </w:rPr>
        <w:t>加盖公章）将作为结算的依据。</w:t>
      </w:r>
    </w:p>
    <w:p w14:paraId="334C1454">
      <w:pPr>
        <w:spacing w:line="400" w:lineRule="exact"/>
        <w:ind w:firstLine="416" w:firstLineChars="20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2.成交供应商提供的食材须经过学校伙房验收人员的感官（如气味等）、外观、包装、卫生、质量、票证、检验（检测）报告等方面进行检验，若所供货物品名、规格、数量与采购人当日采购通知不相符的，或所供食材质量、卫生质量及相关材料与合同约定产品质量保证不相符</w:t>
      </w:r>
      <w:r>
        <w:rPr>
          <w:rFonts w:hint="eastAsia" w:ascii="宋体" w:hAnsi="宋体" w:eastAsia="宋体" w:cs="宋体"/>
          <w:color w:val="auto"/>
          <w:szCs w:val="21"/>
          <w:highlight w:val="none"/>
        </w:rPr>
        <w:t>的，采购人有权拒收。</w:t>
      </w:r>
      <w:r>
        <w:rPr>
          <w:rFonts w:hint="eastAsia" w:ascii="宋体" w:hAnsi="宋体" w:eastAsia="宋体" w:cs="宋体"/>
          <w:color w:val="auto"/>
          <w:spacing w:val="-1"/>
          <w:szCs w:val="21"/>
          <w:highlight w:val="none"/>
        </w:rPr>
        <w:t>成交供应商须立即更换合格食材并按规定时间送达，因未送达影响到学校伙房的正常运转，成交供应商须承担相应的违约责任。</w:t>
      </w:r>
    </w:p>
    <w:p w14:paraId="796CE6C2">
      <w:pPr>
        <w:widowControl/>
        <w:kinsoku w:val="0"/>
        <w:autoSpaceDE w:val="0"/>
        <w:autoSpaceDN w:val="0"/>
        <w:adjustRightInd w:val="0"/>
        <w:snapToGrid w:val="0"/>
        <w:spacing w:line="400" w:lineRule="exact"/>
        <w:ind w:firstLine="420" w:firstLineChars="200"/>
        <w:jc w:val="left"/>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3.验收后，如发现食材存在其他问题，可要求成交供应商进行换货，成交供应商应在采购人要求的时间内及时调换符合采购人要求的产品并送达采购人指定地点。</w:t>
      </w:r>
    </w:p>
    <w:p w14:paraId="0051A22A">
      <w:pPr>
        <w:widowControl/>
        <w:kinsoku w:val="0"/>
        <w:autoSpaceDE w:val="0"/>
        <w:autoSpaceDN w:val="0"/>
        <w:adjustRightInd w:val="0"/>
        <w:snapToGrid w:val="0"/>
        <w:spacing w:line="400" w:lineRule="exact"/>
        <w:ind w:firstLine="420" w:firstLineChars="200"/>
        <w:jc w:val="left"/>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4.其它事项将按照《桂林市中小学校园食品进货查验记录制度（试行）</w:t>
      </w:r>
      <w:r>
        <w:rPr>
          <w:rFonts w:hint="eastAsia" w:ascii="宋体" w:hAnsi="宋体" w:eastAsia="宋体" w:cs="宋体"/>
          <w:color w:val="auto"/>
          <w:spacing w:val="-1"/>
          <w:szCs w:val="21"/>
          <w:highlight w:val="none"/>
        </w:rPr>
        <w:t>》相关要求执行。</w:t>
      </w:r>
    </w:p>
    <w:p w14:paraId="0C4A2306">
      <w:pPr>
        <w:spacing w:line="400" w:lineRule="exact"/>
        <w:rPr>
          <w:rFonts w:hint="eastAsia" w:ascii="宋体" w:hAnsi="宋体" w:eastAsia="宋体" w:cs="宋体"/>
          <w:color w:val="auto"/>
          <w:szCs w:val="21"/>
          <w:highlight w:val="none"/>
        </w:rPr>
      </w:pPr>
      <w:r>
        <w:rPr>
          <w:rFonts w:hint="eastAsia" w:ascii="宋体" w:hAnsi="宋体" w:eastAsia="宋体" w:cs="宋体"/>
          <w:b/>
          <w:bCs/>
          <w:color w:val="auto"/>
          <w:spacing w:val="6"/>
          <w:szCs w:val="21"/>
          <w:highlight w:val="none"/>
        </w:rPr>
        <w:t xml:space="preserve">   （六）结算方式</w:t>
      </w:r>
    </w:p>
    <w:p w14:paraId="0ECCE5C9">
      <w:pPr>
        <w:spacing w:line="400" w:lineRule="exact"/>
        <w:ind w:firstLine="424" w:firstLineChars="200"/>
        <w:rPr>
          <w:rFonts w:hint="eastAsia" w:ascii="宋体" w:hAnsi="宋体" w:eastAsia="宋体" w:cs="宋体"/>
          <w:color w:val="auto"/>
          <w:szCs w:val="21"/>
          <w:highlight w:val="none"/>
        </w:rPr>
      </w:pPr>
      <w:bookmarkStart w:id="165" w:name="OLE_LINK140"/>
      <w:bookmarkStart w:id="166" w:name="OLE_LINK139"/>
      <w:r>
        <w:rPr>
          <w:rFonts w:hint="eastAsia" w:ascii="宋体" w:hAnsi="宋体" w:eastAsia="宋体" w:cs="宋体"/>
          <w:color w:val="auto"/>
          <w:spacing w:val="1"/>
          <w:szCs w:val="21"/>
          <w:highlight w:val="none"/>
        </w:rPr>
        <w:t>1.服务期内按月度实际供货数量进行结算；</w:t>
      </w:r>
      <w:r>
        <w:rPr>
          <w:rFonts w:hint="eastAsia" w:ascii="宋体" w:hAnsi="宋体" w:eastAsia="宋体" w:cs="宋体"/>
          <w:color w:val="auto"/>
          <w:spacing w:val="-1"/>
          <w:szCs w:val="21"/>
          <w:highlight w:val="none"/>
        </w:rPr>
        <w:t>即：</w:t>
      </w:r>
      <w:r>
        <w:rPr>
          <w:rFonts w:hint="eastAsia" w:ascii="宋体" w:hAnsi="宋体" w:eastAsia="宋体" w:cs="宋体"/>
          <w:bCs/>
          <w:color w:val="auto"/>
          <w:spacing w:val="-4"/>
          <w:szCs w:val="21"/>
          <w:highlight w:val="none"/>
        </w:rPr>
        <w:t>结算金额=每次确定的基准价×供应商承诺的折扣率（综合折扣率&lt;%&gt;）×实际供应食材的数量。</w:t>
      </w:r>
    </w:p>
    <w:p w14:paraId="54CDAA8E">
      <w:pPr>
        <w:spacing w:line="400" w:lineRule="exact"/>
        <w:ind w:firstLine="422" w:firstLineChars="200"/>
        <w:rPr>
          <w:rFonts w:hint="eastAsia" w:ascii="宋体" w:hAnsi="宋体" w:eastAsia="宋体" w:cs="宋体"/>
          <w:b/>
          <w:color w:val="auto"/>
          <w:szCs w:val="21"/>
          <w:highlight w:val="none"/>
          <w:lang w:val="zh-TW" w:eastAsia="zh-TW"/>
        </w:rPr>
      </w:pPr>
      <w:r>
        <w:rPr>
          <w:rFonts w:hint="eastAsia" w:ascii="宋体" w:hAnsi="宋体" w:eastAsia="宋体" w:cs="宋体"/>
          <w:b/>
          <w:color w:val="auto"/>
          <w:szCs w:val="21"/>
          <w:highlight w:val="none"/>
          <w:lang w:val="zh-TW"/>
        </w:rPr>
        <w:t>基准价釆用周期性市场调查询价（每月询价不少于一次）的平均价确定。调查询价采取两种方式，一是线上询价，食材询价定价工作小组集体开展线上询价，对照桂林市发改委</w:t>
      </w:r>
      <w:r>
        <w:rPr>
          <w:rFonts w:hint="eastAsia" w:ascii="宋体" w:hAnsi="宋体" w:eastAsia="宋体" w:cs="宋体"/>
          <w:b/>
          <w:color w:val="auto"/>
          <w:szCs w:val="21"/>
          <w:highlight w:val="none"/>
          <w:lang w:val="zh-TW" w:eastAsia="zh-TW"/>
        </w:rPr>
        <w:t>(</w:t>
      </w:r>
      <w:r>
        <w:rPr>
          <w:rFonts w:hint="eastAsia" w:ascii="宋体" w:hAnsi="宋体" w:eastAsia="宋体" w:cs="宋体"/>
          <w:b/>
          <w:color w:val="auto"/>
          <w:szCs w:val="21"/>
          <w:highlight w:val="none"/>
          <w:lang w:val="zh-TW"/>
        </w:rPr>
        <w:t>网址</w:t>
      </w:r>
      <w:r>
        <w:rPr>
          <w:rFonts w:hint="eastAsia" w:ascii="宋体" w:hAnsi="宋体" w:eastAsia="宋体" w:cs="宋体"/>
          <w:b/>
          <w:color w:val="auto"/>
          <w:szCs w:val="21"/>
          <w:highlight w:val="none"/>
          <w:lang w:val="zh-TW" w:eastAsia="zh-TW"/>
        </w:rPr>
        <w:t>https://fgw.guilin</w:t>
      </w:r>
    </w:p>
    <w:p w14:paraId="6C6923F0">
      <w:pPr>
        <w:spacing w:line="400" w:lineRule="exact"/>
        <w:rPr>
          <w:rFonts w:hint="eastAsia" w:ascii="宋体" w:hAnsi="宋体" w:eastAsia="宋体" w:cs="宋体"/>
          <w:b/>
          <w:color w:val="auto"/>
          <w:szCs w:val="21"/>
          <w:highlight w:val="none"/>
          <w:lang w:val="zh-TW" w:eastAsia="zh-TW"/>
        </w:rPr>
      </w:pPr>
      <w:r>
        <w:rPr>
          <w:rFonts w:hint="eastAsia" w:ascii="宋体" w:hAnsi="宋体" w:eastAsia="宋体" w:cs="宋体"/>
          <w:b/>
          <w:color w:val="auto"/>
          <w:szCs w:val="21"/>
          <w:highlight w:val="none"/>
          <w:lang w:val="zh-TW" w:eastAsia="zh-TW"/>
        </w:rPr>
        <w:t>.gov.cn/，首页“政策文件中心—价格监测”)同期公布的十二家市场农副产品市场均价进行比价议价。</w:t>
      </w:r>
      <w:r>
        <w:rPr>
          <w:rFonts w:hint="eastAsia" w:ascii="宋体" w:hAnsi="宋体" w:eastAsia="宋体" w:cs="宋体"/>
          <w:b/>
          <w:color w:val="auto"/>
          <w:szCs w:val="21"/>
          <w:highlight w:val="none"/>
          <w:lang w:val="zh-TW"/>
        </w:rPr>
        <w:t>二是线下询价，食材询价定价工作小组前往</w:t>
      </w:r>
      <w:r>
        <w:rPr>
          <w:rFonts w:hint="eastAsia" w:ascii="宋体" w:hAnsi="宋体" w:eastAsia="宋体" w:cs="宋体"/>
          <w:b/>
          <w:bCs/>
          <w:color w:val="auto"/>
          <w:spacing w:val="-4"/>
          <w:szCs w:val="21"/>
          <w:highlight w:val="none"/>
        </w:rPr>
        <w:t>桂林市汇东果菜批发市场、桂林市五里店果蔬批发市场、桂林市七星农贸市场、桂林市西门市场</w:t>
      </w:r>
      <w:r>
        <w:rPr>
          <w:rFonts w:hint="eastAsia" w:ascii="宋体" w:hAnsi="宋体" w:eastAsia="宋体" w:cs="宋体"/>
          <w:b/>
          <w:color w:val="auto"/>
          <w:szCs w:val="21"/>
          <w:highlight w:val="none"/>
          <w:lang w:val="zh-TW"/>
        </w:rPr>
        <w:t>及七星区大型超市（除特价超市外）等地点的批发价（或零售价）均值为平均价。由双方每月确认后确定。</w:t>
      </w:r>
    </w:p>
    <w:p w14:paraId="3E2CB4BF">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2.合同期内，学校学生人数每个学期会有变动，学校根据月度及需求对产品进行调整，结</w:t>
      </w:r>
      <w:r>
        <w:rPr>
          <w:rFonts w:hint="eastAsia" w:ascii="宋体" w:hAnsi="宋体" w:eastAsia="宋体" w:cs="宋体"/>
          <w:color w:val="auto"/>
          <w:spacing w:val="-2"/>
          <w:szCs w:val="21"/>
          <w:highlight w:val="none"/>
        </w:rPr>
        <w:t>算金</w:t>
      </w:r>
      <w:r>
        <w:rPr>
          <w:rFonts w:hint="eastAsia" w:ascii="宋体" w:hAnsi="宋体" w:eastAsia="宋体" w:cs="宋体"/>
          <w:color w:val="auto"/>
          <w:spacing w:val="-1"/>
          <w:szCs w:val="21"/>
          <w:highlight w:val="none"/>
        </w:rPr>
        <w:t>额以实际采购产品数量、价格来结算。</w:t>
      </w:r>
    </w:p>
    <w:p w14:paraId="70DD307B">
      <w:pPr>
        <w:spacing w:line="400" w:lineRule="exact"/>
        <w:ind w:firstLine="424"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3.供货协议期内的每一个定价周期，除消费物价指数（</w:t>
      </w:r>
      <w:r>
        <w:rPr>
          <w:rFonts w:hint="eastAsia" w:ascii="宋体" w:hAnsi="宋体" w:eastAsia="宋体" w:cs="宋体"/>
          <w:color w:val="auto"/>
          <w:szCs w:val="21"/>
          <w:highlight w:val="none"/>
        </w:rPr>
        <w:t>CPI</w:t>
      </w:r>
      <w:r>
        <w:rPr>
          <w:rFonts w:hint="eastAsia" w:ascii="宋体" w:hAnsi="宋体" w:eastAsia="宋体" w:cs="宋体"/>
          <w:color w:val="auto"/>
          <w:spacing w:val="1"/>
          <w:szCs w:val="21"/>
          <w:highlight w:val="none"/>
        </w:rPr>
        <w:t>）发生大幅波动等特殊情况，不允许</w:t>
      </w:r>
      <w:r>
        <w:rPr>
          <w:rFonts w:hint="eastAsia" w:ascii="宋体" w:hAnsi="宋体" w:eastAsia="宋体" w:cs="宋体"/>
          <w:color w:val="auto"/>
          <w:spacing w:val="-1"/>
          <w:szCs w:val="21"/>
          <w:highlight w:val="none"/>
        </w:rPr>
        <w:t>上调本定价周期内的基准价。</w:t>
      </w:r>
    </w:p>
    <w:bookmarkEnd w:id="165"/>
    <w:bookmarkEnd w:id="166"/>
    <w:p w14:paraId="126668F9">
      <w:pPr>
        <w:spacing w:line="400" w:lineRule="exact"/>
        <w:rPr>
          <w:rFonts w:hint="eastAsia" w:ascii="宋体" w:hAnsi="宋体" w:eastAsia="宋体" w:cs="宋体"/>
          <w:color w:val="auto"/>
          <w:szCs w:val="21"/>
          <w:highlight w:val="none"/>
        </w:rPr>
      </w:pPr>
      <w:r>
        <w:rPr>
          <w:rFonts w:hint="eastAsia" w:ascii="宋体" w:hAnsi="宋体" w:eastAsia="宋体" w:cs="宋体"/>
          <w:b/>
          <w:bCs/>
          <w:color w:val="auto"/>
          <w:spacing w:val="5"/>
          <w:szCs w:val="21"/>
          <w:highlight w:val="none"/>
        </w:rPr>
        <w:t xml:space="preserve">  （七）违约责任</w:t>
      </w:r>
    </w:p>
    <w:p w14:paraId="1EC66D26">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1.成交供应商所供食材因质量问题发生食物中毒等事故，由成交供应商</w:t>
      </w:r>
      <w:r>
        <w:rPr>
          <w:rFonts w:hint="eastAsia" w:ascii="宋体" w:hAnsi="宋体" w:eastAsia="宋体" w:cs="宋体"/>
          <w:color w:val="auto"/>
          <w:spacing w:val="-2"/>
          <w:szCs w:val="21"/>
          <w:highlight w:val="none"/>
        </w:rPr>
        <w:t>承担经济赔偿责任以及其他</w:t>
      </w:r>
      <w:r>
        <w:rPr>
          <w:rFonts w:hint="eastAsia" w:ascii="宋体" w:hAnsi="宋体" w:eastAsia="宋体" w:cs="宋体"/>
          <w:color w:val="auto"/>
          <w:spacing w:val="-1"/>
          <w:szCs w:val="21"/>
          <w:highlight w:val="none"/>
        </w:rPr>
        <w:t>相关法律责任，采购人有权单方面解除合同。</w:t>
      </w:r>
    </w:p>
    <w:p w14:paraId="4973258F">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2.如发现成交供应商因自身原因不能按要求使用厢式运输车辆配</w:t>
      </w:r>
      <w:r>
        <w:rPr>
          <w:rFonts w:hint="eastAsia" w:ascii="宋体" w:hAnsi="宋体" w:eastAsia="宋体" w:cs="宋体"/>
          <w:color w:val="auto"/>
          <w:spacing w:val="-2"/>
          <w:szCs w:val="21"/>
          <w:highlight w:val="none"/>
        </w:rPr>
        <w:t>送的，每发现一次从结算款中扣除500元</w:t>
      </w:r>
      <w:r>
        <w:rPr>
          <w:rFonts w:hint="eastAsia" w:ascii="宋体" w:hAnsi="宋体" w:eastAsia="宋体" w:cs="宋体"/>
          <w:color w:val="auto"/>
          <w:szCs w:val="21"/>
          <w:highlight w:val="none"/>
        </w:rPr>
        <w:t>（车辆在运输中出现故障需要更换车辆或应急采购</w:t>
      </w:r>
      <w:r>
        <w:rPr>
          <w:rFonts w:hint="eastAsia" w:ascii="宋体" w:hAnsi="宋体" w:eastAsia="宋体" w:cs="宋体"/>
          <w:color w:val="auto"/>
          <w:spacing w:val="-1"/>
          <w:szCs w:val="21"/>
          <w:highlight w:val="none"/>
        </w:rPr>
        <w:t>的除外</w:t>
      </w:r>
      <w:r>
        <w:rPr>
          <w:rFonts w:hint="eastAsia" w:ascii="宋体" w:hAnsi="宋体" w:eastAsia="宋体" w:cs="宋体"/>
          <w:color w:val="auto"/>
          <w:spacing w:val="-10"/>
          <w:szCs w:val="21"/>
          <w:highlight w:val="none"/>
        </w:rPr>
        <w:t>），</w:t>
      </w:r>
      <w:r>
        <w:rPr>
          <w:rFonts w:hint="eastAsia" w:ascii="宋体" w:hAnsi="宋体" w:eastAsia="宋体" w:cs="宋体"/>
          <w:color w:val="auto"/>
          <w:spacing w:val="-1"/>
          <w:szCs w:val="21"/>
          <w:highlight w:val="none"/>
        </w:rPr>
        <w:t>食材品质或供货时间因此受到影响的，采购人保留追究成交供应商相关责任的权利。每月超过</w:t>
      </w:r>
      <w:r>
        <w:rPr>
          <w:rFonts w:hint="eastAsia" w:ascii="宋体" w:hAnsi="宋体" w:eastAsia="宋体" w:cs="宋体"/>
          <w:color w:val="auto"/>
          <w:spacing w:val="-2"/>
          <w:szCs w:val="21"/>
          <w:highlight w:val="none"/>
        </w:rPr>
        <w:t>2次未使用厢式运输车辆供货的，采购人有权单方面终止</w:t>
      </w:r>
      <w:r>
        <w:rPr>
          <w:rFonts w:hint="eastAsia" w:ascii="宋体" w:hAnsi="宋体" w:eastAsia="宋体" w:cs="宋体"/>
          <w:color w:val="auto"/>
          <w:szCs w:val="21"/>
          <w:highlight w:val="none"/>
        </w:rPr>
        <w:t>合同，成交供应商须承担由此给采购人带来的</w:t>
      </w:r>
      <w:r>
        <w:rPr>
          <w:rFonts w:hint="eastAsia" w:ascii="宋体" w:hAnsi="宋体" w:eastAsia="宋体" w:cs="宋体"/>
          <w:color w:val="auto"/>
          <w:spacing w:val="-1"/>
          <w:szCs w:val="21"/>
          <w:highlight w:val="none"/>
        </w:rPr>
        <w:t>损失。</w:t>
      </w:r>
    </w:p>
    <w:p w14:paraId="5240485C">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3.成交供应商拒绝履行合同义务的，采购人有权单方面终止合同。</w:t>
      </w:r>
    </w:p>
    <w:p w14:paraId="7A0F038E">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4.成交供应商连续2次或半年内累计超过3次所供食材达不到竞争性磋商文件中的品质要</w:t>
      </w:r>
      <w:r>
        <w:rPr>
          <w:rFonts w:hint="eastAsia" w:ascii="宋体" w:hAnsi="宋体" w:eastAsia="宋体" w:cs="宋体"/>
          <w:color w:val="auto"/>
          <w:spacing w:val="-2"/>
          <w:szCs w:val="21"/>
          <w:highlight w:val="none"/>
        </w:rPr>
        <w:t>求或响应文件中</w:t>
      </w:r>
      <w:r>
        <w:rPr>
          <w:rFonts w:hint="eastAsia" w:ascii="宋体" w:hAnsi="宋体" w:eastAsia="宋体" w:cs="宋体"/>
          <w:color w:val="auto"/>
          <w:szCs w:val="21"/>
          <w:highlight w:val="none"/>
        </w:rPr>
        <w:t>对品质要求的承诺时，采购人有权单方面终止</w:t>
      </w:r>
      <w:r>
        <w:rPr>
          <w:rFonts w:hint="eastAsia" w:ascii="宋体" w:hAnsi="宋体" w:eastAsia="宋体" w:cs="宋体"/>
          <w:color w:val="auto"/>
          <w:spacing w:val="-1"/>
          <w:szCs w:val="21"/>
          <w:highlight w:val="none"/>
        </w:rPr>
        <w:t>合同。</w:t>
      </w:r>
    </w:p>
    <w:p w14:paraId="40D925E0">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5.成交供应商所供应的食材必须与物品清单的品名、规格、数量、单价一致。随货出具应提供与实物一致的相关证明</w:t>
      </w:r>
      <w:r>
        <w:rPr>
          <w:rFonts w:hint="eastAsia" w:ascii="宋体" w:hAnsi="宋体" w:eastAsia="宋体" w:cs="宋体"/>
          <w:color w:val="auto"/>
          <w:spacing w:val="2"/>
          <w:szCs w:val="21"/>
          <w:highlight w:val="none"/>
        </w:rPr>
        <w:t>，</w:t>
      </w:r>
      <w:r>
        <w:rPr>
          <w:rFonts w:hint="eastAsia" w:ascii="宋体" w:hAnsi="宋体" w:eastAsia="宋体" w:cs="宋体"/>
          <w:color w:val="auto"/>
          <w:spacing w:val="-1"/>
          <w:szCs w:val="21"/>
          <w:highlight w:val="none"/>
        </w:rPr>
        <w:t>出现食材与物品清单</w:t>
      </w:r>
      <w:r>
        <w:rPr>
          <w:rFonts w:hint="eastAsia" w:ascii="宋体" w:hAnsi="宋体" w:eastAsia="宋体" w:cs="宋体"/>
          <w:color w:val="auto"/>
          <w:spacing w:val="-2"/>
          <w:szCs w:val="21"/>
          <w:highlight w:val="none"/>
        </w:rPr>
        <w:t>、相关证明</w:t>
      </w:r>
      <w:r>
        <w:rPr>
          <w:rFonts w:hint="eastAsia" w:ascii="宋体" w:hAnsi="宋体" w:eastAsia="宋体" w:cs="宋体"/>
          <w:color w:val="auto"/>
          <w:spacing w:val="-1"/>
          <w:szCs w:val="21"/>
          <w:highlight w:val="none"/>
        </w:rPr>
        <w:t>不一致的，学校伙房有权拒收，因此产生的费用和损失由成交供应商承担，造成学校伙房无法正常运转的，成交供应商须向采购人支付违约金每次人民币500元</w:t>
      </w:r>
      <w:r>
        <w:rPr>
          <w:rFonts w:hint="eastAsia" w:ascii="宋体" w:hAnsi="宋体" w:eastAsia="宋体" w:cs="宋体"/>
          <w:color w:val="auto"/>
          <w:spacing w:val="-2"/>
          <w:szCs w:val="21"/>
          <w:highlight w:val="none"/>
        </w:rPr>
        <w:t>，采购人同时提出整改意见。采购人提出整改</w:t>
      </w:r>
      <w:r>
        <w:rPr>
          <w:rFonts w:hint="eastAsia" w:ascii="宋体" w:hAnsi="宋体" w:eastAsia="宋体" w:cs="宋体"/>
          <w:color w:val="auto"/>
          <w:szCs w:val="21"/>
          <w:highlight w:val="none"/>
        </w:rPr>
        <w:t>意见后成交供应商仍不改正的，采购人有权终止其成交供应商供应</w:t>
      </w:r>
      <w:r>
        <w:rPr>
          <w:rFonts w:hint="eastAsia" w:ascii="宋体" w:hAnsi="宋体" w:eastAsia="宋体" w:cs="宋体"/>
          <w:color w:val="auto"/>
          <w:spacing w:val="-1"/>
          <w:szCs w:val="21"/>
          <w:highlight w:val="none"/>
        </w:rPr>
        <w:t>资格。</w:t>
      </w:r>
    </w:p>
    <w:p w14:paraId="09698F51">
      <w:pPr>
        <w:spacing w:line="400" w:lineRule="exact"/>
        <w:rPr>
          <w:rFonts w:hint="eastAsia" w:ascii="宋体" w:hAnsi="宋体" w:eastAsia="宋体" w:cs="宋体"/>
          <w:color w:val="auto"/>
          <w:szCs w:val="21"/>
          <w:highlight w:val="none"/>
        </w:rPr>
      </w:pPr>
      <w:r>
        <w:rPr>
          <w:rFonts w:hint="eastAsia" w:ascii="宋体" w:hAnsi="宋体" w:eastAsia="宋体" w:cs="宋体"/>
          <w:b/>
          <w:bCs/>
          <w:color w:val="auto"/>
          <w:spacing w:val="5"/>
          <w:szCs w:val="21"/>
          <w:highlight w:val="none"/>
        </w:rPr>
        <w:t xml:space="preserve">  （八）其它要求</w:t>
      </w:r>
    </w:p>
    <w:p w14:paraId="09502CD8">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1.成交供应商不得将合同转让他人，也不得将本项目分解后</w:t>
      </w:r>
      <w:r>
        <w:rPr>
          <w:rFonts w:hint="eastAsia" w:ascii="宋体" w:hAnsi="宋体" w:eastAsia="宋体" w:cs="宋体"/>
          <w:color w:val="auto"/>
          <w:spacing w:val="-2"/>
          <w:szCs w:val="21"/>
          <w:highlight w:val="none"/>
        </w:rPr>
        <w:t>转让他人，如有此类情况，采购人</w:t>
      </w:r>
      <w:r>
        <w:rPr>
          <w:rFonts w:hint="eastAsia" w:ascii="宋体" w:hAnsi="宋体" w:eastAsia="宋体" w:cs="宋体"/>
          <w:color w:val="auto"/>
          <w:spacing w:val="-1"/>
          <w:szCs w:val="21"/>
          <w:highlight w:val="none"/>
        </w:rPr>
        <w:t>有权单方面终止合同。</w:t>
      </w:r>
    </w:p>
    <w:p w14:paraId="0D2EEB3E">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2.结算价是指成交供应商送达食材到校园内学校伙房交货价，已包含食材费、运输费、装卸费、税</w:t>
      </w:r>
      <w:r>
        <w:rPr>
          <w:rFonts w:hint="eastAsia" w:ascii="宋体" w:hAnsi="宋体" w:eastAsia="宋体" w:cs="宋体"/>
          <w:color w:val="auto"/>
          <w:spacing w:val="-3"/>
          <w:szCs w:val="21"/>
          <w:highlight w:val="none"/>
        </w:rPr>
        <w:t>费等各种相关费用总和。</w:t>
      </w:r>
    </w:p>
    <w:p w14:paraId="7D761781">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3.成交供应商应能够配合采购人及时更新所提供的符合卫监部门的有效证明材料。如有效的营业执照、产品合格证或食品经营许可证等。</w:t>
      </w:r>
    </w:p>
    <w:p w14:paraId="46E5AB15">
      <w:pPr>
        <w:spacing w:line="400" w:lineRule="exact"/>
        <w:ind w:firstLine="412"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4.若成交供应商不能满足供货要求履行合同时，须提前不少于1个月书面通知采购人，采购人同意</w:t>
      </w:r>
      <w:r>
        <w:rPr>
          <w:rFonts w:hint="eastAsia" w:ascii="宋体" w:hAnsi="宋体" w:eastAsia="宋体" w:cs="宋体"/>
          <w:color w:val="auto"/>
          <w:spacing w:val="-1"/>
          <w:szCs w:val="21"/>
          <w:highlight w:val="none"/>
        </w:rPr>
        <w:t>后方可终止合同。</w:t>
      </w:r>
    </w:p>
    <w:p w14:paraId="4A6A8D80">
      <w:pPr>
        <w:widowControl/>
        <w:tabs>
          <w:tab w:val="left" w:pos="180"/>
          <w:tab w:val="left" w:pos="525"/>
          <w:tab w:val="left" w:pos="720"/>
        </w:tabs>
        <w:spacing w:line="380" w:lineRule="exact"/>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（九）考核机制</w:t>
      </w:r>
    </w:p>
    <w:p w14:paraId="2912576A">
      <w:pPr>
        <w:widowControl/>
        <w:tabs>
          <w:tab w:val="left" w:pos="180"/>
          <w:tab w:val="left" w:pos="525"/>
          <w:tab w:val="left" w:pos="720"/>
        </w:tabs>
        <w:spacing w:line="380" w:lineRule="exact"/>
        <w:ind w:firstLine="420" w:firstLineChars="200"/>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1.每学期由七星区教育局、学校、各校膳食委员会联合对成交供应商进行一次评议，对有违规行为，评议不合格，将启动供货商准入、退出机制，停止配送资格的企业（单位）并列入“黑名单 ”，禁止其再以任何形式参与七星区学校营养改善计划等相关工作。</w:t>
      </w:r>
    </w:p>
    <w:p w14:paraId="27995408">
      <w:pPr>
        <w:spacing w:line="40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2.成交供应商必须服从采购人的监督、管理。采购人将制定考核办法</w:t>
      </w:r>
      <w:r>
        <w:rPr>
          <w:rFonts w:hint="eastAsia" w:ascii="宋体" w:hAnsi="宋体" w:eastAsia="宋体" w:cs="宋体"/>
          <w:b/>
          <w:bCs/>
          <w:color w:val="auto"/>
          <w:spacing w:val="-1"/>
          <w:szCs w:val="21"/>
          <w:highlight w:val="none"/>
        </w:rPr>
        <w:t>（详见附</w:t>
      </w:r>
      <w:r>
        <w:rPr>
          <w:rFonts w:hint="eastAsia" w:ascii="宋体" w:hAnsi="宋体" w:eastAsia="宋体" w:cs="宋体"/>
          <w:b/>
          <w:bCs/>
          <w:color w:val="auto"/>
          <w:spacing w:val="-2"/>
          <w:szCs w:val="21"/>
          <w:highlight w:val="none"/>
        </w:rPr>
        <w:t>件</w:t>
      </w:r>
      <w:r>
        <w:rPr>
          <w:rFonts w:hint="eastAsia" w:ascii="宋体" w:hAnsi="宋体" w:eastAsia="宋体" w:cs="宋体"/>
          <w:b/>
          <w:bCs/>
          <w:color w:val="auto"/>
          <w:spacing w:val="2"/>
          <w:szCs w:val="21"/>
          <w:highlight w:val="none"/>
        </w:rPr>
        <w:t>）</w:t>
      </w:r>
      <w:r>
        <w:rPr>
          <w:rFonts w:hint="eastAsia" w:ascii="宋体" w:hAnsi="宋体" w:eastAsia="宋体" w:cs="宋体"/>
          <w:color w:val="auto"/>
          <w:spacing w:val="2"/>
          <w:szCs w:val="21"/>
          <w:highlight w:val="none"/>
        </w:rPr>
        <w:t>，</w:t>
      </w:r>
      <w:r>
        <w:rPr>
          <w:rFonts w:hint="eastAsia" w:ascii="宋体" w:hAnsi="宋体" w:eastAsia="宋体" w:cs="宋体"/>
          <w:color w:val="auto"/>
          <w:spacing w:val="-2"/>
          <w:szCs w:val="21"/>
          <w:highlight w:val="none"/>
        </w:rPr>
        <w:t>对成交供应商</w:t>
      </w:r>
      <w:r>
        <w:rPr>
          <w:rFonts w:hint="eastAsia" w:ascii="宋体" w:hAnsi="宋体" w:eastAsia="宋体" w:cs="宋体"/>
          <w:color w:val="auto"/>
          <w:spacing w:val="-1"/>
          <w:szCs w:val="21"/>
          <w:highlight w:val="none"/>
        </w:rPr>
        <w:t>实施量化考核，同时实施动态退出机制。</w:t>
      </w:r>
    </w:p>
    <w:p w14:paraId="585B26D5">
      <w:pPr>
        <w:spacing w:line="400" w:lineRule="exact"/>
        <w:ind w:firstLine="406" w:firstLineChars="200"/>
        <w:rPr>
          <w:rFonts w:hint="eastAsia" w:ascii="宋体" w:hAnsi="宋体" w:eastAsia="宋体" w:cs="宋体"/>
          <w:color w:val="auto"/>
          <w:szCs w:val="21"/>
          <w:highlight w:val="none"/>
        </w:rPr>
      </w:pPr>
      <w:r>
        <w:rPr>
          <w:rFonts w:hint="eastAsia" w:ascii="宋体" w:hAnsi="宋体" w:eastAsia="宋体" w:cs="宋体"/>
          <w:b/>
          <w:bCs/>
          <w:color w:val="auto"/>
          <w:spacing w:val="-4"/>
          <w:szCs w:val="21"/>
          <w:highlight w:val="none"/>
        </w:rPr>
        <w:t xml:space="preserve"> 三</w:t>
      </w:r>
      <w:r>
        <w:rPr>
          <w:rFonts w:hint="eastAsia" w:ascii="宋体" w:hAnsi="宋体" w:eastAsia="宋体" w:cs="宋体"/>
          <w:b/>
          <w:bCs/>
          <w:color w:val="auto"/>
          <w:spacing w:val="-4"/>
          <w:szCs w:val="21"/>
          <w:highlight w:val="none"/>
        </w:rPr>
        <w:t>、商务要求</w:t>
      </w:r>
    </w:p>
    <w:p w14:paraId="7626E194">
      <w:pPr>
        <w:spacing w:line="400" w:lineRule="exact"/>
        <w:ind w:firstLine="398" w:firstLineChars="200"/>
        <w:rPr>
          <w:rFonts w:hint="eastAsia" w:ascii="宋体" w:hAnsi="宋体" w:eastAsia="宋体" w:cs="宋体"/>
          <w:color w:val="auto"/>
          <w:szCs w:val="21"/>
          <w:highlight w:val="none"/>
        </w:rPr>
      </w:pPr>
      <w:r>
        <w:rPr>
          <w:rFonts w:hint="eastAsia" w:ascii="宋体" w:hAnsi="宋体" w:eastAsia="宋体" w:cs="宋体"/>
          <w:b/>
          <w:bCs/>
          <w:color w:val="auto"/>
          <w:spacing w:val="-6"/>
          <w:szCs w:val="21"/>
          <w:highlight w:val="none"/>
        </w:rPr>
        <w:t>（一）服务时间及服务地点：</w:t>
      </w:r>
    </w:p>
    <w:p w14:paraId="017339F8">
      <w:pPr>
        <w:spacing w:line="400" w:lineRule="exact"/>
        <w:ind w:firstLine="414" w:firstLineChars="200"/>
        <w:rPr>
          <w:rFonts w:hint="eastAsia" w:ascii="宋体" w:hAnsi="宋体" w:eastAsia="宋体" w:cs="宋体"/>
          <w:bCs/>
          <w:color w:val="auto"/>
          <w:spacing w:val="-13"/>
          <w:szCs w:val="21"/>
          <w:highlight w:val="none"/>
        </w:rPr>
      </w:pPr>
      <w:r>
        <w:rPr>
          <w:rFonts w:hint="eastAsia" w:ascii="宋体" w:hAnsi="宋体" w:eastAsia="宋体" w:cs="宋体"/>
          <w:b/>
          <w:bCs/>
          <w:color w:val="auto"/>
          <w:spacing w:val="-2"/>
          <w:szCs w:val="21"/>
          <w:highlight w:val="none"/>
        </w:rPr>
        <w:t>1.服务时间：</w:t>
      </w:r>
      <w:bookmarkStart w:id="167" w:name="OLE_LINK109"/>
      <w:bookmarkStart w:id="168" w:name="OLE_LINK110"/>
      <w:r>
        <w:rPr>
          <w:rFonts w:hint="eastAsia" w:ascii="宋体" w:hAnsi="宋体" w:eastAsia="宋体" w:cs="宋体"/>
          <w:color w:val="auto"/>
          <w:spacing w:val="-1"/>
          <w:szCs w:val="21"/>
          <w:highlight w:val="none"/>
        </w:rPr>
        <w:t>自合同签订之日起至2027年春季学期结束止。</w:t>
      </w:r>
    </w:p>
    <w:bookmarkEnd w:id="167"/>
    <w:bookmarkEnd w:id="168"/>
    <w:p w14:paraId="18300E9F">
      <w:pPr>
        <w:spacing w:line="400" w:lineRule="exact"/>
        <w:ind w:firstLine="410" w:firstLineChars="200"/>
        <w:rPr>
          <w:rFonts w:hint="eastAsia" w:ascii="宋体" w:hAnsi="宋体" w:eastAsia="宋体" w:cs="宋体"/>
          <w:bCs/>
          <w:color w:val="auto"/>
          <w:spacing w:val="-3"/>
          <w:szCs w:val="21"/>
          <w:highlight w:val="none"/>
        </w:rPr>
      </w:pPr>
      <w:r>
        <w:rPr>
          <w:rFonts w:hint="eastAsia" w:ascii="宋体" w:hAnsi="宋体" w:eastAsia="宋体" w:cs="宋体"/>
          <w:b/>
          <w:bCs/>
          <w:color w:val="auto"/>
          <w:spacing w:val="-3"/>
          <w:szCs w:val="21"/>
          <w:highlight w:val="none"/>
        </w:rPr>
        <w:t>2.服务地点：</w:t>
      </w:r>
      <w:r>
        <w:rPr>
          <w:rFonts w:hint="eastAsia" w:ascii="宋体" w:hAnsi="宋体" w:eastAsia="宋体" w:cs="宋体"/>
          <w:bCs/>
          <w:color w:val="auto"/>
          <w:spacing w:val="-3"/>
          <w:szCs w:val="21"/>
          <w:highlight w:val="none"/>
        </w:rPr>
        <w:t>广西桂林市采购人指定地点</w:t>
      </w:r>
      <w:r>
        <w:rPr>
          <w:rFonts w:hint="eastAsia" w:ascii="宋体" w:hAnsi="宋体" w:eastAsia="宋体" w:cs="宋体"/>
          <w:bCs/>
          <w:color w:val="auto"/>
          <w:spacing w:val="-3"/>
          <w:szCs w:val="21"/>
          <w:highlight w:val="none"/>
        </w:rPr>
        <w:t>(桂林市七星区西南中心校及新建分校、合心中心校、龙门中心校及分校伙房)。</w:t>
      </w:r>
    </w:p>
    <w:p w14:paraId="7E6E4BDE">
      <w:pPr>
        <w:spacing w:line="400" w:lineRule="exact"/>
        <w:ind w:firstLine="418" w:firstLineChars="200"/>
        <w:rPr>
          <w:rFonts w:hint="eastAsia" w:ascii="宋体" w:hAnsi="宋体" w:eastAsia="宋体" w:cs="宋体"/>
          <w:color w:val="auto"/>
          <w:szCs w:val="21"/>
          <w:highlight w:val="none"/>
        </w:rPr>
      </w:pPr>
      <w:r>
        <w:rPr>
          <w:rFonts w:hint="eastAsia" w:ascii="宋体" w:hAnsi="宋体" w:eastAsia="宋体" w:cs="宋体"/>
          <w:b/>
          <w:bCs/>
          <w:color w:val="auto"/>
          <w:spacing w:val="-1"/>
          <w:szCs w:val="21"/>
          <w:highlight w:val="none"/>
        </w:rPr>
        <w:t>（二）付款方式：</w:t>
      </w:r>
      <w:r>
        <w:rPr>
          <w:rFonts w:hint="eastAsia" w:ascii="宋体" w:hAnsi="宋体" w:eastAsia="宋体" w:cs="宋体"/>
          <w:color w:val="auto"/>
          <w:spacing w:val="-1"/>
          <w:szCs w:val="21"/>
          <w:highlight w:val="none"/>
        </w:rPr>
        <w:t>实行按月结算方式，即本月货款于次月结算。以双方（</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和学校伙房）签字确认后的送货单为依据，月末经双方汇总核对无误后，</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开具</w:t>
      </w:r>
      <w:r>
        <w:rPr>
          <w:rFonts w:hint="eastAsia" w:ascii="宋体" w:hAnsi="宋体" w:eastAsia="宋体" w:cs="宋体"/>
          <w:color w:val="auto"/>
          <w:szCs w:val="21"/>
          <w:highlight w:val="none"/>
        </w:rPr>
        <w:t>正规增值税普通发票</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rPr>
        <w:t>采购人</w:t>
      </w:r>
      <w:r>
        <w:rPr>
          <w:rFonts w:hint="eastAsia" w:ascii="宋体" w:hAnsi="宋体" w:eastAsia="宋体" w:cs="宋体"/>
          <w:color w:val="auto"/>
          <w:spacing w:val="-1"/>
          <w:szCs w:val="21"/>
          <w:highlight w:val="none"/>
        </w:rPr>
        <w:t>在收到</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开具正规增值税普通发票</w:t>
      </w:r>
      <w:r>
        <w:rPr>
          <w:rFonts w:hint="eastAsia" w:ascii="宋体" w:hAnsi="宋体" w:eastAsia="宋体" w:cs="宋体"/>
          <w:color w:val="auto"/>
          <w:spacing w:val="-1"/>
          <w:szCs w:val="21"/>
          <w:highlight w:val="none"/>
        </w:rPr>
        <w:t>后的</w:t>
      </w:r>
      <w:r>
        <w:rPr>
          <w:rFonts w:hint="eastAsia" w:ascii="宋体" w:hAnsi="宋体" w:eastAsia="宋体" w:cs="宋体"/>
          <w:color w:val="auto"/>
          <w:spacing w:val="-1"/>
          <w:szCs w:val="21"/>
          <w:highlight w:val="none"/>
        </w:rPr>
        <w:t>30个工作日内以银行转账方式支付(无息)（注：票据要求：</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必须按照采购</w:t>
      </w:r>
      <w:r>
        <w:rPr>
          <w:rFonts w:hint="eastAsia" w:ascii="宋体" w:hAnsi="宋体" w:eastAsia="宋体" w:cs="宋体"/>
          <w:color w:val="auto"/>
          <w:spacing w:val="-2"/>
          <w:szCs w:val="21"/>
          <w:highlight w:val="none"/>
        </w:rPr>
        <w:t>人要求提供真实、有效、</w:t>
      </w:r>
      <w:r>
        <w:rPr>
          <w:rFonts w:hint="eastAsia" w:ascii="宋体" w:hAnsi="宋体" w:eastAsia="宋体" w:cs="宋体"/>
          <w:color w:val="auto"/>
          <w:spacing w:val="-1"/>
          <w:szCs w:val="21"/>
          <w:highlight w:val="none"/>
        </w:rPr>
        <w:t>合法的正式发票及转账资料。如</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提供虚假发票的，除须向采购人补开合法发票外，并须赔偿采购人发票票面金额一倍的违约金，且采购人有权无条件终止合同，因终止合同而产生的一切损失均由</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承担。结算账户要求：货款结算账户要求必须为银行对公账户，账户名称须与发票专用章上的单位名称一致，不得使用个人银行账户结算货款）。</w:t>
      </w:r>
    </w:p>
    <w:p w14:paraId="15A28AB4">
      <w:pPr>
        <w:spacing w:line="400" w:lineRule="exact"/>
        <w:ind w:firstLine="410" w:firstLineChars="200"/>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（三）供应商于</w:t>
      </w:r>
      <w:r>
        <w:rPr>
          <w:rFonts w:hint="eastAsia" w:ascii="宋体" w:hAnsi="宋体" w:eastAsia="宋体" w:cs="宋体"/>
          <w:b/>
          <w:bCs/>
          <w:color w:val="auto"/>
          <w:spacing w:val="-3"/>
          <w:szCs w:val="21"/>
          <w:highlight w:val="none"/>
        </w:rPr>
        <w:t>响应文件</w:t>
      </w:r>
      <w:r>
        <w:rPr>
          <w:rFonts w:hint="eastAsia" w:ascii="宋体" w:hAnsi="宋体" w:eastAsia="宋体" w:cs="宋体"/>
          <w:b/>
          <w:bCs/>
          <w:color w:val="auto"/>
          <w:spacing w:val="-3"/>
          <w:szCs w:val="21"/>
          <w:highlight w:val="none"/>
        </w:rPr>
        <w:t>中提供以下方案：</w:t>
      </w:r>
    </w:p>
    <w:p w14:paraId="45D9116A">
      <w:pPr>
        <w:spacing w:line="400" w:lineRule="exact"/>
        <w:ind w:firstLine="432" w:firstLineChars="200"/>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1.供应商的项目实施方案（供应商可结合本项目的评标办法视自身情况自行编制</w:t>
      </w:r>
      <w:r>
        <w:rPr>
          <w:rFonts w:hint="eastAsia" w:ascii="宋体" w:hAnsi="宋体" w:eastAsia="宋体" w:cs="宋体"/>
          <w:color w:val="auto"/>
          <w:spacing w:val="2"/>
          <w:szCs w:val="21"/>
          <w:highlight w:val="none"/>
        </w:rPr>
        <w:t>）,若供应商</w:t>
      </w:r>
      <w:r>
        <w:rPr>
          <w:rFonts w:hint="eastAsia" w:ascii="宋体" w:hAnsi="宋体" w:eastAsia="宋体" w:cs="宋体"/>
          <w:color w:val="auto"/>
          <w:szCs w:val="21"/>
          <w:highlight w:val="none"/>
        </w:rPr>
        <w:t>未提供项目实施方案的，“项目实施方案分”中涉及的评分</w:t>
      </w:r>
      <w:r>
        <w:rPr>
          <w:rFonts w:hint="eastAsia" w:ascii="宋体" w:hAnsi="宋体" w:eastAsia="宋体" w:cs="宋体"/>
          <w:color w:val="auto"/>
          <w:spacing w:val="-1"/>
          <w:szCs w:val="21"/>
          <w:highlight w:val="none"/>
        </w:rPr>
        <w:t>相应不得分。</w:t>
      </w:r>
    </w:p>
    <w:p w14:paraId="2651C067">
      <w:pPr>
        <w:spacing w:line="400" w:lineRule="exact"/>
        <w:ind w:firstLine="404" w:firstLineChars="200"/>
        <w:rPr>
          <w:rFonts w:hint="eastAsia" w:ascii="宋体" w:hAnsi="宋体" w:eastAsia="宋体" w:cs="宋体"/>
          <w:b/>
          <w:bCs/>
          <w:color w:val="auto"/>
          <w:spacing w:val="-4"/>
          <w:szCs w:val="21"/>
          <w:highlight w:val="none"/>
        </w:rPr>
      </w:pPr>
      <w:r>
        <w:rPr>
          <w:rFonts w:hint="eastAsia" w:ascii="宋体" w:hAnsi="宋体" w:eastAsia="宋体" w:cs="宋体"/>
          <w:bCs/>
          <w:color w:val="auto"/>
          <w:spacing w:val="-4"/>
          <w:szCs w:val="21"/>
          <w:highlight w:val="none"/>
        </w:rPr>
        <w:t xml:space="preserve"> 2.</w:t>
      </w:r>
      <w:r>
        <w:rPr>
          <w:rFonts w:hint="eastAsia" w:ascii="宋体" w:hAnsi="宋体" w:eastAsia="宋体" w:cs="宋体"/>
          <w:bCs/>
          <w:color w:val="auto"/>
          <w:kern w:val="0"/>
          <w:highlight w:val="none"/>
        </w:rPr>
        <w:t>供应商的服务承诺书</w:t>
      </w:r>
      <w:r>
        <w:rPr>
          <w:rFonts w:hint="eastAsia" w:ascii="宋体" w:hAnsi="宋体" w:eastAsia="宋体" w:cs="宋体"/>
          <w:color w:val="auto"/>
          <w:spacing w:val="3"/>
          <w:szCs w:val="21"/>
          <w:highlight w:val="none"/>
        </w:rPr>
        <w:t>（供应商可结合本项目的评标办法视自身情况自行编制</w:t>
      </w:r>
      <w:r>
        <w:rPr>
          <w:rFonts w:hint="eastAsia" w:ascii="宋体" w:hAnsi="宋体" w:eastAsia="宋体" w:cs="宋体"/>
          <w:color w:val="auto"/>
          <w:spacing w:val="2"/>
          <w:szCs w:val="21"/>
          <w:highlight w:val="none"/>
        </w:rPr>
        <w:t>），若供应商</w:t>
      </w:r>
      <w:r>
        <w:rPr>
          <w:rFonts w:hint="eastAsia" w:ascii="宋体" w:hAnsi="宋体" w:eastAsia="宋体" w:cs="宋体"/>
          <w:color w:val="auto"/>
          <w:szCs w:val="21"/>
          <w:highlight w:val="none"/>
        </w:rPr>
        <w:t>未提供</w:t>
      </w:r>
      <w:r>
        <w:rPr>
          <w:rFonts w:hint="eastAsia" w:ascii="宋体" w:hAnsi="宋体" w:eastAsia="宋体" w:cs="宋体"/>
          <w:bCs/>
          <w:color w:val="auto"/>
          <w:kern w:val="0"/>
          <w:highlight w:val="none"/>
        </w:rPr>
        <w:t>服务承诺书</w:t>
      </w:r>
      <w:r>
        <w:rPr>
          <w:rFonts w:hint="eastAsia" w:ascii="宋体" w:hAnsi="宋体" w:eastAsia="宋体" w:cs="宋体"/>
          <w:color w:val="auto"/>
          <w:szCs w:val="21"/>
          <w:highlight w:val="none"/>
        </w:rPr>
        <w:t>的，“</w:t>
      </w:r>
      <w:r>
        <w:rPr>
          <w:rFonts w:hint="eastAsia" w:ascii="宋体" w:hAnsi="宋体" w:eastAsia="宋体" w:cs="宋体"/>
          <w:bCs/>
          <w:color w:val="auto"/>
          <w:kern w:val="0"/>
          <w:highlight w:val="none"/>
        </w:rPr>
        <w:t>服务承诺</w:t>
      </w:r>
      <w:r>
        <w:rPr>
          <w:rFonts w:hint="eastAsia" w:ascii="宋体" w:hAnsi="宋体" w:eastAsia="宋体" w:cs="宋体"/>
          <w:color w:val="auto"/>
          <w:szCs w:val="21"/>
          <w:highlight w:val="none"/>
        </w:rPr>
        <w:t>分”中涉及的评分</w:t>
      </w:r>
      <w:r>
        <w:rPr>
          <w:rFonts w:hint="eastAsia" w:ascii="宋体" w:hAnsi="宋体" w:eastAsia="宋体" w:cs="宋体"/>
          <w:color w:val="auto"/>
          <w:spacing w:val="-1"/>
          <w:szCs w:val="21"/>
          <w:highlight w:val="none"/>
        </w:rPr>
        <w:t>相应不得分</w:t>
      </w:r>
      <w:r>
        <w:rPr>
          <w:rFonts w:hint="eastAsia" w:ascii="宋体" w:hAnsi="宋体" w:eastAsia="宋体" w:cs="宋体"/>
          <w:bCs/>
          <w:color w:val="auto"/>
          <w:kern w:val="0"/>
          <w:highlight w:val="none"/>
        </w:rPr>
        <w:t>。</w:t>
      </w:r>
    </w:p>
    <w:p w14:paraId="439450A4">
      <w:pPr>
        <w:spacing w:line="400" w:lineRule="exact"/>
        <w:ind w:firstLine="406" w:firstLineChars="200"/>
        <w:rPr>
          <w:rFonts w:hint="eastAsia" w:ascii="宋体" w:hAnsi="宋体" w:eastAsia="宋体" w:cs="宋体"/>
          <w:color w:val="auto"/>
          <w:highlight w:val="none"/>
        </w:rPr>
      </w:pPr>
      <w:r>
        <w:rPr>
          <w:rFonts w:hint="eastAsia" w:ascii="宋体" w:hAnsi="宋体" w:eastAsia="宋体" w:cs="宋体"/>
          <w:b/>
          <w:bCs/>
          <w:color w:val="auto"/>
          <w:spacing w:val="-4"/>
          <w:szCs w:val="21"/>
          <w:highlight w:val="none"/>
        </w:rPr>
        <w:t>（四）本项目采购预算金额为（人民币</w:t>
      </w:r>
      <w:r>
        <w:rPr>
          <w:rFonts w:hint="eastAsia" w:ascii="宋体" w:hAnsi="宋体" w:eastAsia="宋体" w:cs="宋体"/>
          <w:b/>
          <w:bCs/>
          <w:color w:val="auto"/>
          <w:spacing w:val="8"/>
          <w:szCs w:val="21"/>
          <w:highlight w:val="none"/>
        </w:rPr>
        <w:t>）</w:t>
      </w:r>
      <w:r>
        <w:rPr>
          <w:rFonts w:hint="eastAsia" w:ascii="宋体" w:hAnsi="宋体" w:eastAsia="宋体" w:cs="宋体"/>
          <w:color w:val="auto"/>
          <w:spacing w:val="8"/>
          <w:szCs w:val="21"/>
          <w:highlight w:val="none"/>
        </w:rPr>
        <w:t>：</w:t>
      </w:r>
      <w:r>
        <w:rPr>
          <w:rFonts w:hint="eastAsia" w:ascii="宋体" w:hAnsi="宋体" w:eastAsia="宋体" w:cs="宋体"/>
          <w:b/>
          <w:bCs/>
          <w:color w:val="auto"/>
          <w:spacing w:val="-4"/>
          <w:szCs w:val="21"/>
          <w:highlight w:val="none"/>
        </w:rPr>
        <w:t>柒拾伍万元整（¥750000.00）。磋商报价按综合折扣率报价，本项目综合折扣率控制范围为≤95%，超出范围的磋商报价均为无效报价，其响应文件将被视为无效处理。</w:t>
      </w:r>
    </w:p>
    <w:p w14:paraId="3B01C984">
      <w:pPr>
        <w:spacing w:before="68" w:line="220" w:lineRule="auto"/>
        <w:ind w:left="24"/>
        <w:rPr>
          <w:rFonts w:hint="eastAsia" w:ascii="宋体" w:hAnsi="宋体" w:eastAsia="宋体" w:cs="宋体"/>
          <w:b/>
          <w:bCs/>
          <w:color w:val="auto"/>
          <w:spacing w:val="-7"/>
          <w:sz w:val="24"/>
          <w:highlight w:val="none"/>
        </w:rPr>
      </w:pPr>
    </w:p>
    <w:p w14:paraId="60B0B9B9">
      <w:pPr>
        <w:spacing w:before="68" w:line="220" w:lineRule="auto"/>
        <w:ind w:left="24"/>
        <w:rPr>
          <w:rFonts w:hint="eastAsia" w:ascii="宋体" w:hAnsi="宋体" w:eastAsia="宋体" w:cs="宋体"/>
          <w:b/>
          <w:bCs/>
          <w:color w:val="auto"/>
          <w:spacing w:val="-7"/>
          <w:sz w:val="24"/>
          <w:highlight w:val="none"/>
        </w:rPr>
      </w:pPr>
      <w:r>
        <w:rPr>
          <w:rFonts w:hint="eastAsia" w:ascii="宋体" w:hAnsi="宋体" w:eastAsia="宋体" w:cs="宋体"/>
          <w:b/>
          <w:bCs/>
          <w:color w:val="auto"/>
          <w:spacing w:val="-7"/>
          <w:sz w:val="24"/>
          <w:highlight w:val="none"/>
        </w:rPr>
        <w:t>附件：考核办法</w:t>
      </w:r>
    </w:p>
    <w:tbl>
      <w:tblPr>
        <w:tblStyle w:val="163"/>
        <w:tblW w:w="95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8"/>
        <w:gridCol w:w="1184"/>
        <w:gridCol w:w="2146"/>
        <w:gridCol w:w="695"/>
        <w:gridCol w:w="2931"/>
        <w:gridCol w:w="1170"/>
        <w:gridCol w:w="712"/>
      </w:tblGrid>
      <w:tr w14:paraId="6C409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9546" w:type="dxa"/>
            <w:gridSpan w:val="7"/>
            <w:vAlign w:val="center"/>
          </w:tcPr>
          <w:p w14:paraId="25338D3F">
            <w:pPr>
              <w:spacing w:line="360" w:lineRule="exact"/>
              <w:jc w:val="center"/>
              <w:rPr>
                <w:rFonts w:hint="eastAsia" w:ascii="宋体" w:hAnsi="宋体" w:eastAsia="宋体" w:cs="宋体"/>
                <w:snapToGrid w:val="0"/>
                <w:color w:val="auto"/>
                <w:sz w:val="24"/>
                <w:highlight w:val="none"/>
              </w:rPr>
            </w:pPr>
            <w:r>
              <w:rPr>
                <w:rFonts w:hint="eastAsia" w:ascii="宋体" w:hAnsi="宋体" w:eastAsia="宋体" w:cs="宋体"/>
                <w:b/>
                <w:bCs/>
                <w:snapToGrid w:val="0"/>
                <w:color w:val="auto"/>
                <w:spacing w:val="-6"/>
                <w:sz w:val="24"/>
                <w:highlight w:val="none"/>
              </w:rPr>
              <w:t>食材配送商(月度)配送服务考核评分表</w:t>
            </w:r>
          </w:p>
        </w:tc>
      </w:tr>
      <w:tr w14:paraId="358FF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708" w:type="dxa"/>
            <w:vAlign w:val="center"/>
          </w:tcPr>
          <w:p w14:paraId="0B6AED3E">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b/>
                <w:bCs/>
                <w:snapToGrid w:val="0"/>
                <w:color w:val="auto"/>
                <w:spacing w:val="1"/>
                <w:szCs w:val="21"/>
                <w:highlight w:val="none"/>
                <w:lang w:eastAsia="en-US"/>
              </w:rPr>
              <w:t>序号</w:t>
            </w:r>
          </w:p>
        </w:tc>
        <w:tc>
          <w:tcPr>
            <w:tcW w:w="1184" w:type="dxa"/>
            <w:vAlign w:val="center"/>
          </w:tcPr>
          <w:p w14:paraId="731D862E">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b/>
                <w:bCs/>
                <w:snapToGrid w:val="0"/>
                <w:color w:val="auto"/>
                <w:spacing w:val="-6"/>
                <w:szCs w:val="21"/>
                <w:highlight w:val="none"/>
                <w:lang w:eastAsia="en-US"/>
              </w:rPr>
              <w:t>考核内容</w:t>
            </w:r>
          </w:p>
        </w:tc>
        <w:tc>
          <w:tcPr>
            <w:tcW w:w="2146" w:type="dxa"/>
            <w:vAlign w:val="center"/>
          </w:tcPr>
          <w:p w14:paraId="4E339B12">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b/>
                <w:bCs/>
                <w:snapToGrid w:val="0"/>
                <w:color w:val="auto"/>
                <w:spacing w:val="2"/>
                <w:szCs w:val="21"/>
                <w:highlight w:val="none"/>
                <w:lang w:eastAsia="en-US"/>
              </w:rPr>
              <w:t>考核细则</w:t>
            </w:r>
          </w:p>
        </w:tc>
        <w:tc>
          <w:tcPr>
            <w:tcW w:w="695" w:type="dxa"/>
            <w:vAlign w:val="center"/>
          </w:tcPr>
          <w:p w14:paraId="2E64802D">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b/>
                <w:bCs/>
                <w:snapToGrid w:val="0"/>
                <w:color w:val="auto"/>
                <w:spacing w:val="-6"/>
                <w:szCs w:val="21"/>
                <w:highlight w:val="none"/>
                <w:lang w:eastAsia="en-US"/>
              </w:rPr>
              <w:t>分值</w:t>
            </w:r>
          </w:p>
        </w:tc>
        <w:tc>
          <w:tcPr>
            <w:tcW w:w="2931" w:type="dxa"/>
            <w:vAlign w:val="center"/>
          </w:tcPr>
          <w:p w14:paraId="410B369F">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b/>
                <w:bCs/>
                <w:snapToGrid w:val="0"/>
                <w:color w:val="auto"/>
                <w:spacing w:val="-5"/>
                <w:szCs w:val="21"/>
                <w:highlight w:val="none"/>
                <w:lang w:eastAsia="en-US"/>
              </w:rPr>
              <w:t>评分标准</w:t>
            </w:r>
          </w:p>
        </w:tc>
        <w:tc>
          <w:tcPr>
            <w:tcW w:w="1170" w:type="dxa"/>
            <w:vAlign w:val="center"/>
          </w:tcPr>
          <w:p w14:paraId="5ED02151">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b/>
                <w:bCs/>
                <w:snapToGrid w:val="0"/>
                <w:color w:val="auto"/>
                <w:spacing w:val="-6"/>
                <w:szCs w:val="21"/>
                <w:highlight w:val="none"/>
                <w:lang w:eastAsia="en-US"/>
              </w:rPr>
              <w:t>考核情况</w:t>
            </w:r>
          </w:p>
        </w:tc>
        <w:tc>
          <w:tcPr>
            <w:tcW w:w="712" w:type="dxa"/>
            <w:vAlign w:val="center"/>
          </w:tcPr>
          <w:p w14:paraId="7DC40ADF">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b/>
                <w:bCs/>
                <w:snapToGrid w:val="0"/>
                <w:color w:val="auto"/>
                <w:spacing w:val="-6"/>
                <w:szCs w:val="21"/>
                <w:highlight w:val="none"/>
                <w:lang w:eastAsia="en-US"/>
              </w:rPr>
              <w:t>得分</w:t>
            </w:r>
          </w:p>
        </w:tc>
      </w:tr>
      <w:tr w14:paraId="11FAF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2" w:hRule="atLeast"/>
        </w:trPr>
        <w:tc>
          <w:tcPr>
            <w:tcW w:w="708" w:type="dxa"/>
            <w:vAlign w:val="center"/>
          </w:tcPr>
          <w:p w14:paraId="53232DF2">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1</w:t>
            </w:r>
          </w:p>
        </w:tc>
        <w:tc>
          <w:tcPr>
            <w:tcW w:w="1184" w:type="dxa"/>
            <w:vMerge w:val="restart"/>
            <w:tcBorders>
              <w:bottom w:val="nil"/>
            </w:tcBorders>
            <w:vAlign w:val="center"/>
          </w:tcPr>
          <w:p w14:paraId="4AA0E122">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2"/>
                <w:szCs w:val="21"/>
                <w:highlight w:val="none"/>
                <w:lang w:eastAsia="en-US"/>
              </w:rPr>
              <w:t>服务态度</w:t>
            </w:r>
          </w:p>
        </w:tc>
        <w:tc>
          <w:tcPr>
            <w:tcW w:w="2146" w:type="dxa"/>
            <w:vAlign w:val="center"/>
          </w:tcPr>
          <w:p w14:paraId="635A98E6">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6"/>
                <w:szCs w:val="21"/>
                <w:highlight w:val="none"/>
              </w:rPr>
              <w:t>服务人员热情周到，工作认</w:t>
            </w:r>
            <w:r>
              <w:rPr>
                <w:rFonts w:hint="eastAsia" w:ascii="宋体" w:hAnsi="宋体" w:eastAsia="宋体" w:cs="宋体"/>
                <w:snapToGrid w:val="0"/>
                <w:color w:val="auto"/>
                <w:spacing w:val="-1"/>
                <w:szCs w:val="21"/>
                <w:highlight w:val="none"/>
              </w:rPr>
              <w:t>真、细致，运送搬卸文明。</w:t>
            </w:r>
          </w:p>
        </w:tc>
        <w:tc>
          <w:tcPr>
            <w:tcW w:w="695" w:type="dxa"/>
            <w:vAlign w:val="center"/>
          </w:tcPr>
          <w:p w14:paraId="42460F5C">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3</w:t>
            </w:r>
          </w:p>
        </w:tc>
        <w:tc>
          <w:tcPr>
            <w:tcW w:w="2931" w:type="dxa"/>
            <w:vAlign w:val="center"/>
          </w:tcPr>
          <w:p w14:paraId="4697734D">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6"/>
                <w:szCs w:val="21"/>
                <w:highlight w:val="none"/>
              </w:rPr>
              <w:t>出现配送工作不细致、运</w:t>
            </w:r>
            <w:r>
              <w:rPr>
                <w:rFonts w:hint="eastAsia" w:ascii="宋体" w:hAnsi="宋体" w:eastAsia="宋体" w:cs="宋体"/>
                <w:snapToGrid w:val="0"/>
                <w:color w:val="auto"/>
                <w:spacing w:val="-5"/>
                <w:szCs w:val="21"/>
                <w:highlight w:val="none"/>
              </w:rPr>
              <w:t>送搬卸不文明情况，每次</w:t>
            </w:r>
            <w:r>
              <w:rPr>
                <w:rFonts w:hint="eastAsia" w:ascii="宋体" w:hAnsi="宋体" w:eastAsia="宋体" w:cs="宋体"/>
                <w:snapToGrid w:val="0"/>
                <w:color w:val="auto"/>
                <w:spacing w:val="-11"/>
                <w:szCs w:val="21"/>
                <w:highlight w:val="none"/>
              </w:rPr>
              <w:t>扣1分。</w:t>
            </w:r>
          </w:p>
        </w:tc>
        <w:tc>
          <w:tcPr>
            <w:tcW w:w="1170" w:type="dxa"/>
            <w:vAlign w:val="center"/>
          </w:tcPr>
          <w:p w14:paraId="6BE9F3FD">
            <w:pPr>
              <w:spacing w:line="360" w:lineRule="exact"/>
              <w:jc w:val="center"/>
              <w:rPr>
                <w:rFonts w:hint="eastAsia" w:ascii="宋体" w:hAnsi="宋体" w:eastAsia="宋体" w:cs="宋体"/>
                <w:snapToGrid w:val="0"/>
                <w:color w:val="auto"/>
                <w:szCs w:val="21"/>
                <w:highlight w:val="none"/>
              </w:rPr>
            </w:pPr>
          </w:p>
        </w:tc>
        <w:tc>
          <w:tcPr>
            <w:tcW w:w="712" w:type="dxa"/>
            <w:vAlign w:val="center"/>
          </w:tcPr>
          <w:p w14:paraId="78EC25B2">
            <w:pPr>
              <w:spacing w:line="360" w:lineRule="exact"/>
              <w:jc w:val="center"/>
              <w:rPr>
                <w:rFonts w:hint="eastAsia" w:ascii="宋体" w:hAnsi="宋体" w:eastAsia="宋体" w:cs="宋体"/>
                <w:snapToGrid w:val="0"/>
                <w:color w:val="auto"/>
                <w:szCs w:val="21"/>
                <w:highlight w:val="none"/>
              </w:rPr>
            </w:pPr>
          </w:p>
        </w:tc>
      </w:tr>
      <w:tr w14:paraId="4CAF2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08" w:type="dxa"/>
            <w:vAlign w:val="center"/>
          </w:tcPr>
          <w:p w14:paraId="39BCAA6C">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2</w:t>
            </w:r>
          </w:p>
        </w:tc>
        <w:tc>
          <w:tcPr>
            <w:tcW w:w="1184" w:type="dxa"/>
            <w:vMerge w:val="continue"/>
            <w:tcBorders>
              <w:top w:val="nil"/>
            </w:tcBorders>
            <w:vAlign w:val="center"/>
          </w:tcPr>
          <w:p w14:paraId="28F813A9">
            <w:pPr>
              <w:spacing w:line="360" w:lineRule="exact"/>
              <w:jc w:val="center"/>
              <w:rPr>
                <w:rFonts w:hint="eastAsia" w:ascii="宋体" w:hAnsi="宋体" w:eastAsia="宋体" w:cs="宋体"/>
                <w:snapToGrid w:val="0"/>
                <w:color w:val="auto"/>
                <w:szCs w:val="21"/>
                <w:highlight w:val="none"/>
              </w:rPr>
            </w:pPr>
          </w:p>
        </w:tc>
        <w:tc>
          <w:tcPr>
            <w:tcW w:w="2146" w:type="dxa"/>
            <w:vAlign w:val="center"/>
          </w:tcPr>
          <w:p w14:paraId="1A238307">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对提出的意见和建议能虚心接受，及时主动沟通、协调，并</w:t>
            </w:r>
            <w:r>
              <w:rPr>
                <w:rFonts w:hint="eastAsia" w:ascii="宋体" w:hAnsi="宋体" w:eastAsia="宋体" w:cs="宋体"/>
                <w:snapToGrid w:val="0"/>
                <w:color w:val="auto"/>
                <w:spacing w:val="-3"/>
                <w:szCs w:val="21"/>
                <w:highlight w:val="none"/>
              </w:rPr>
              <w:t>整改见实效。</w:t>
            </w:r>
          </w:p>
        </w:tc>
        <w:tc>
          <w:tcPr>
            <w:tcW w:w="695" w:type="dxa"/>
            <w:vAlign w:val="center"/>
          </w:tcPr>
          <w:p w14:paraId="23DA1A25">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3</w:t>
            </w:r>
          </w:p>
        </w:tc>
        <w:tc>
          <w:tcPr>
            <w:tcW w:w="2931" w:type="dxa"/>
            <w:vAlign w:val="center"/>
          </w:tcPr>
          <w:p w14:paraId="1C7C47D6">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16"/>
                <w:szCs w:val="21"/>
                <w:highlight w:val="none"/>
              </w:rPr>
              <w:t>对甲方提出的合理意见</w:t>
            </w:r>
            <w:r>
              <w:rPr>
                <w:rFonts w:hint="eastAsia" w:ascii="宋体" w:hAnsi="宋体" w:eastAsia="宋体" w:cs="宋体"/>
                <w:snapToGrid w:val="0"/>
                <w:color w:val="auto"/>
                <w:spacing w:val="-4"/>
                <w:szCs w:val="21"/>
                <w:highlight w:val="none"/>
              </w:rPr>
              <w:t>建议，双方沟通确认后仍</w:t>
            </w:r>
            <w:r>
              <w:rPr>
                <w:rFonts w:hint="eastAsia" w:ascii="宋体" w:hAnsi="宋体" w:eastAsia="宋体" w:cs="宋体"/>
                <w:snapToGrid w:val="0"/>
                <w:color w:val="auto"/>
                <w:spacing w:val="-6"/>
                <w:szCs w:val="21"/>
                <w:highlight w:val="none"/>
              </w:rPr>
              <w:t>未改进，每次1 分。</w:t>
            </w:r>
          </w:p>
        </w:tc>
        <w:tc>
          <w:tcPr>
            <w:tcW w:w="1170" w:type="dxa"/>
            <w:vAlign w:val="center"/>
          </w:tcPr>
          <w:p w14:paraId="18E76DA5">
            <w:pPr>
              <w:spacing w:line="360" w:lineRule="exact"/>
              <w:jc w:val="center"/>
              <w:rPr>
                <w:rFonts w:hint="eastAsia" w:ascii="宋体" w:hAnsi="宋体" w:eastAsia="宋体" w:cs="宋体"/>
                <w:snapToGrid w:val="0"/>
                <w:color w:val="auto"/>
                <w:szCs w:val="21"/>
                <w:highlight w:val="none"/>
              </w:rPr>
            </w:pPr>
          </w:p>
        </w:tc>
        <w:tc>
          <w:tcPr>
            <w:tcW w:w="712" w:type="dxa"/>
            <w:vAlign w:val="center"/>
          </w:tcPr>
          <w:p w14:paraId="3188C438">
            <w:pPr>
              <w:spacing w:line="360" w:lineRule="exact"/>
              <w:jc w:val="center"/>
              <w:rPr>
                <w:rFonts w:hint="eastAsia" w:ascii="宋体" w:hAnsi="宋体" w:eastAsia="宋体" w:cs="宋体"/>
                <w:snapToGrid w:val="0"/>
                <w:color w:val="auto"/>
                <w:szCs w:val="21"/>
                <w:highlight w:val="none"/>
              </w:rPr>
            </w:pPr>
          </w:p>
        </w:tc>
      </w:tr>
      <w:tr w14:paraId="0DAA6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6" w:hRule="atLeast"/>
        </w:trPr>
        <w:tc>
          <w:tcPr>
            <w:tcW w:w="708" w:type="dxa"/>
            <w:vAlign w:val="center"/>
          </w:tcPr>
          <w:p w14:paraId="162F162F">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3</w:t>
            </w:r>
          </w:p>
        </w:tc>
        <w:tc>
          <w:tcPr>
            <w:tcW w:w="1184" w:type="dxa"/>
            <w:vMerge w:val="restart"/>
            <w:tcBorders>
              <w:bottom w:val="nil"/>
            </w:tcBorders>
            <w:vAlign w:val="center"/>
          </w:tcPr>
          <w:p w14:paraId="1B67BB2E">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6"/>
                <w:szCs w:val="21"/>
                <w:highlight w:val="none"/>
                <w:lang w:eastAsia="en-US"/>
              </w:rPr>
              <w:t>配送时间</w:t>
            </w:r>
          </w:p>
        </w:tc>
        <w:tc>
          <w:tcPr>
            <w:tcW w:w="2146" w:type="dxa"/>
            <w:vAlign w:val="center"/>
          </w:tcPr>
          <w:p w14:paraId="1C0FD9D1">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4"/>
                <w:szCs w:val="21"/>
                <w:highlight w:val="none"/>
              </w:rPr>
              <w:t>按约定的时间配送到位。</w:t>
            </w:r>
          </w:p>
        </w:tc>
        <w:tc>
          <w:tcPr>
            <w:tcW w:w="695" w:type="dxa"/>
            <w:vAlign w:val="center"/>
          </w:tcPr>
          <w:p w14:paraId="37634B69">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8"/>
                <w:szCs w:val="21"/>
                <w:highlight w:val="none"/>
                <w:lang w:eastAsia="en-US"/>
              </w:rPr>
              <w:t>12</w:t>
            </w:r>
          </w:p>
        </w:tc>
        <w:tc>
          <w:tcPr>
            <w:tcW w:w="2931" w:type="dxa"/>
            <w:vAlign w:val="center"/>
          </w:tcPr>
          <w:p w14:paraId="583D7A5D">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9"/>
                <w:szCs w:val="21"/>
                <w:highlight w:val="none"/>
              </w:rPr>
              <w:t>未按约定的时间配送到</w:t>
            </w:r>
            <w:r>
              <w:rPr>
                <w:rFonts w:hint="eastAsia" w:ascii="宋体" w:hAnsi="宋体" w:eastAsia="宋体" w:cs="宋体"/>
                <w:snapToGrid w:val="0"/>
                <w:color w:val="auto"/>
                <w:spacing w:val="-11"/>
                <w:szCs w:val="21"/>
                <w:highlight w:val="none"/>
              </w:rPr>
              <w:t>位，出现配送时间延迟现</w:t>
            </w:r>
            <w:r>
              <w:rPr>
                <w:rFonts w:hint="eastAsia" w:ascii="宋体" w:hAnsi="宋体" w:eastAsia="宋体" w:cs="宋体"/>
                <w:snapToGrid w:val="0"/>
                <w:color w:val="auto"/>
                <w:spacing w:val="-15"/>
                <w:szCs w:val="21"/>
                <w:highlight w:val="none"/>
              </w:rPr>
              <w:t>象，延迟半小时-1小时扣</w:t>
            </w:r>
            <w:r>
              <w:rPr>
                <w:rFonts w:hint="eastAsia" w:ascii="宋体" w:hAnsi="宋体" w:eastAsia="宋体" w:cs="宋体"/>
                <w:snapToGrid w:val="0"/>
                <w:color w:val="auto"/>
                <w:spacing w:val="-21"/>
                <w:szCs w:val="21"/>
                <w:highlight w:val="none"/>
              </w:rPr>
              <w:t>1分，超出1小时扣2分。</w:t>
            </w:r>
          </w:p>
        </w:tc>
        <w:tc>
          <w:tcPr>
            <w:tcW w:w="1170" w:type="dxa"/>
            <w:vAlign w:val="center"/>
          </w:tcPr>
          <w:p w14:paraId="7DC43432">
            <w:pPr>
              <w:spacing w:line="360" w:lineRule="exact"/>
              <w:jc w:val="center"/>
              <w:rPr>
                <w:rFonts w:hint="eastAsia" w:ascii="宋体" w:hAnsi="宋体" w:eastAsia="宋体" w:cs="宋体"/>
                <w:snapToGrid w:val="0"/>
                <w:color w:val="auto"/>
                <w:szCs w:val="21"/>
                <w:highlight w:val="none"/>
              </w:rPr>
            </w:pPr>
          </w:p>
        </w:tc>
        <w:tc>
          <w:tcPr>
            <w:tcW w:w="712" w:type="dxa"/>
            <w:vAlign w:val="center"/>
          </w:tcPr>
          <w:p w14:paraId="52C23EA8">
            <w:pPr>
              <w:spacing w:line="360" w:lineRule="exact"/>
              <w:jc w:val="center"/>
              <w:rPr>
                <w:rFonts w:hint="eastAsia" w:ascii="宋体" w:hAnsi="宋体" w:eastAsia="宋体" w:cs="宋体"/>
                <w:snapToGrid w:val="0"/>
                <w:color w:val="auto"/>
                <w:szCs w:val="21"/>
                <w:highlight w:val="none"/>
              </w:rPr>
            </w:pPr>
          </w:p>
        </w:tc>
      </w:tr>
      <w:tr w14:paraId="53E2A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08" w:type="dxa"/>
            <w:vAlign w:val="center"/>
          </w:tcPr>
          <w:p w14:paraId="47A62E67">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4</w:t>
            </w:r>
          </w:p>
        </w:tc>
        <w:tc>
          <w:tcPr>
            <w:tcW w:w="1184" w:type="dxa"/>
            <w:vMerge w:val="continue"/>
            <w:tcBorders>
              <w:top w:val="nil"/>
            </w:tcBorders>
            <w:vAlign w:val="center"/>
          </w:tcPr>
          <w:p w14:paraId="3B09ECCC">
            <w:pPr>
              <w:spacing w:line="360" w:lineRule="exact"/>
              <w:jc w:val="center"/>
              <w:rPr>
                <w:rFonts w:hint="eastAsia" w:ascii="宋体" w:hAnsi="宋体" w:eastAsia="宋体" w:cs="宋体"/>
                <w:snapToGrid w:val="0"/>
                <w:color w:val="auto"/>
                <w:szCs w:val="21"/>
                <w:highlight w:val="none"/>
              </w:rPr>
            </w:pPr>
          </w:p>
        </w:tc>
        <w:tc>
          <w:tcPr>
            <w:tcW w:w="2146" w:type="dxa"/>
            <w:vAlign w:val="center"/>
          </w:tcPr>
          <w:p w14:paraId="6CF6EAE9">
            <w:pPr>
              <w:spacing w:line="360" w:lineRule="exact"/>
              <w:ind w:left="113" w:right="113"/>
              <w:jc w:val="left"/>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退换货、补货及时。</w:t>
            </w:r>
          </w:p>
        </w:tc>
        <w:tc>
          <w:tcPr>
            <w:tcW w:w="695" w:type="dxa"/>
            <w:vAlign w:val="center"/>
          </w:tcPr>
          <w:p w14:paraId="645E9BBF">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8"/>
                <w:szCs w:val="21"/>
                <w:highlight w:val="none"/>
                <w:lang w:eastAsia="en-US"/>
              </w:rPr>
              <w:t>10</w:t>
            </w:r>
          </w:p>
        </w:tc>
        <w:tc>
          <w:tcPr>
            <w:tcW w:w="2931" w:type="dxa"/>
            <w:vAlign w:val="center"/>
          </w:tcPr>
          <w:p w14:paraId="2D68CA6C">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出现需要退换货、补货</w:t>
            </w:r>
            <w:r>
              <w:rPr>
                <w:rFonts w:hint="eastAsia" w:ascii="宋体" w:hAnsi="宋体" w:eastAsia="宋体" w:cs="宋体"/>
                <w:snapToGrid w:val="0"/>
                <w:color w:val="auto"/>
                <w:spacing w:val="11"/>
                <w:szCs w:val="21"/>
                <w:highlight w:val="none"/>
              </w:rPr>
              <w:t>情况，经双方协商确认</w:t>
            </w:r>
            <w:r>
              <w:rPr>
                <w:rFonts w:hint="eastAsia" w:ascii="宋体" w:hAnsi="宋体" w:eastAsia="宋体" w:cs="宋体"/>
                <w:snapToGrid w:val="0"/>
                <w:color w:val="auto"/>
                <w:spacing w:val="-4"/>
                <w:szCs w:val="21"/>
                <w:highlight w:val="none"/>
              </w:rPr>
              <w:t>后，配送商未按规定时间</w:t>
            </w:r>
            <w:r>
              <w:rPr>
                <w:rFonts w:hint="eastAsia" w:ascii="宋体" w:hAnsi="宋体" w:eastAsia="宋体" w:cs="宋体"/>
                <w:snapToGrid w:val="0"/>
                <w:color w:val="auto"/>
                <w:spacing w:val="-7"/>
                <w:szCs w:val="21"/>
                <w:highlight w:val="none"/>
              </w:rPr>
              <w:t>达成，每次扣 1分。</w:t>
            </w:r>
          </w:p>
        </w:tc>
        <w:tc>
          <w:tcPr>
            <w:tcW w:w="1170" w:type="dxa"/>
            <w:vAlign w:val="center"/>
          </w:tcPr>
          <w:p w14:paraId="6498D4FE">
            <w:pPr>
              <w:spacing w:line="360" w:lineRule="exact"/>
              <w:jc w:val="center"/>
              <w:rPr>
                <w:rFonts w:hint="eastAsia" w:ascii="宋体" w:hAnsi="宋体" w:eastAsia="宋体" w:cs="宋体"/>
                <w:snapToGrid w:val="0"/>
                <w:color w:val="auto"/>
                <w:szCs w:val="21"/>
                <w:highlight w:val="none"/>
              </w:rPr>
            </w:pPr>
          </w:p>
        </w:tc>
        <w:tc>
          <w:tcPr>
            <w:tcW w:w="712" w:type="dxa"/>
            <w:vAlign w:val="center"/>
          </w:tcPr>
          <w:p w14:paraId="5665B93A">
            <w:pPr>
              <w:spacing w:line="360" w:lineRule="exact"/>
              <w:jc w:val="center"/>
              <w:rPr>
                <w:rFonts w:hint="eastAsia" w:ascii="宋体" w:hAnsi="宋体" w:eastAsia="宋体" w:cs="宋体"/>
                <w:snapToGrid w:val="0"/>
                <w:color w:val="auto"/>
                <w:szCs w:val="21"/>
                <w:highlight w:val="none"/>
              </w:rPr>
            </w:pPr>
          </w:p>
        </w:tc>
      </w:tr>
      <w:tr w14:paraId="4C56D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08" w:type="dxa"/>
            <w:vAlign w:val="center"/>
          </w:tcPr>
          <w:p w14:paraId="178C8547">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5</w:t>
            </w:r>
          </w:p>
        </w:tc>
        <w:tc>
          <w:tcPr>
            <w:tcW w:w="1184" w:type="dxa"/>
            <w:vMerge w:val="restart"/>
            <w:tcBorders>
              <w:bottom w:val="nil"/>
            </w:tcBorders>
            <w:vAlign w:val="center"/>
          </w:tcPr>
          <w:p w14:paraId="4190FA9C">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4"/>
                <w:szCs w:val="21"/>
                <w:highlight w:val="none"/>
                <w:lang w:eastAsia="en-US"/>
              </w:rPr>
              <w:t>配送质量</w:t>
            </w:r>
          </w:p>
        </w:tc>
        <w:tc>
          <w:tcPr>
            <w:tcW w:w="2146" w:type="dxa"/>
            <w:vAlign w:val="center"/>
          </w:tcPr>
          <w:p w14:paraId="5076C78C">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15"/>
                <w:szCs w:val="21"/>
                <w:highlight w:val="none"/>
              </w:rPr>
              <w:t>送货单(结算凭证)项目齐</w:t>
            </w:r>
            <w:r>
              <w:rPr>
                <w:rFonts w:hint="eastAsia" w:ascii="宋体" w:hAnsi="宋体" w:eastAsia="宋体" w:cs="宋体"/>
                <w:snapToGrid w:val="0"/>
                <w:color w:val="auto"/>
                <w:spacing w:val="-8"/>
                <w:szCs w:val="21"/>
                <w:highlight w:val="none"/>
              </w:rPr>
              <w:t>全，清晰工整。</w:t>
            </w:r>
          </w:p>
        </w:tc>
        <w:tc>
          <w:tcPr>
            <w:tcW w:w="695" w:type="dxa"/>
            <w:vAlign w:val="center"/>
          </w:tcPr>
          <w:p w14:paraId="1AC633D4">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8</w:t>
            </w:r>
          </w:p>
        </w:tc>
        <w:tc>
          <w:tcPr>
            <w:tcW w:w="2931" w:type="dxa"/>
            <w:vAlign w:val="center"/>
          </w:tcPr>
          <w:p w14:paraId="3D575427">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7"/>
                <w:szCs w:val="21"/>
                <w:highlight w:val="none"/>
              </w:rPr>
              <w:t>送货单(结算凭证)项目</w:t>
            </w:r>
            <w:r>
              <w:rPr>
                <w:rFonts w:hint="eastAsia" w:ascii="宋体" w:hAnsi="宋体" w:eastAsia="宋体" w:cs="宋体"/>
                <w:snapToGrid w:val="0"/>
                <w:color w:val="auto"/>
                <w:spacing w:val="-4"/>
                <w:szCs w:val="21"/>
                <w:highlight w:val="none"/>
              </w:rPr>
              <w:t>不全，字迹潦草看不清，</w:t>
            </w:r>
            <w:r>
              <w:rPr>
                <w:rFonts w:hint="eastAsia" w:ascii="宋体" w:hAnsi="宋体" w:eastAsia="宋体" w:cs="宋体"/>
                <w:snapToGrid w:val="0"/>
                <w:color w:val="auto"/>
                <w:spacing w:val="-6"/>
                <w:szCs w:val="21"/>
                <w:highlight w:val="none"/>
              </w:rPr>
              <w:t>每次扣1分。</w:t>
            </w:r>
          </w:p>
        </w:tc>
        <w:tc>
          <w:tcPr>
            <w:tcW w:w="1170" w:type="dxa"/>
            <w:vAlign w:val="center"/>
          </w:tcPr>
          <w:p w14:paraId="6161E009">
            <w:pPr>
              <w:spacing w:line="360" w:lineRule="exact"/>
              <w:jc w:val="center"/>
              <w:rPr>
                <w:rFonts w:hint="eastAsia" w:ascii="宋体" w:hAnsi="宋体" w:eastAsia="宋体" w:cs="宋体"/>
                <w:snapToGrid w:val="0"/>
                <w:color w:val="auto"/>
                <w:szCs w:val="21"/>
                <w:highlight w:val="none"/>
              </w:rPr>
            </w:pPr>
          </w:p>
        </w:tc>
        <w:tc>
          <w:tcPr>
            <w:tcW w:w="712" w:type="dxa"/>
            <w:vAlign w:val="center"/>
          </w:tcPr>
          <w:p w14:paraId="14D1A79B">
            <w:pPr>
              <w:spacing w:line="360" w:lineRule="exact"/>
              <w:jc w:val="center"/>
              <w:rPr>
                <w:rFonts w:hint="eastAsia" w:ascii="宋体" w:hAnsi="宋体" w:eastAsia="宋体" w:cs="宋体"/>
                <w:snapToGrid w:val="0"/>
                <w:color w:val="auto"/>
                <w:szCs w:val="21"/>
                <w:highlight w:val="none"/>
              </w:rPr>
            </w:pPr>
          </w:p>
        </w:tc>
      </w:tr>
      <w:tr w14:paraId="07772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708" w:type="dxa"/>
            <w:vAlign w:val="center"/>
          </w:tcPr>
          <w:p w14:paraId="7091F486">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6</w:t>
            </w:r>
          </w:p>
        </w:tc>
        <w:tc>
          <w:tcPr>
            <w:tcW w:w="1184" w:type="dxa"/>
            <w:vMerge w:val="continue"/>
            <w:tcBorders>
              <w:top w:val="nil"/>
              <w:bottom w:val="nil"/>
            </w:tcBorders>
            <w:vAlign w:val="center"/>
          </w:tcPr>
          <w:p w14:paraId="1250A9A9">
            <w:pPr>
              <w:spacing w:line="360" w:lineRule="exact"/>
              <w:jc w:val="center"/>
              <w:rPr>
                <w:rFonts w:hint="eastAsia" w:ascii="宋体" w:hAnsi="宋体" w:eastAsia="宋体" w:cs="宋体"/>
                <w:snapToGrid w:val="0"/>
                <w:color w:val="auto"/>
                <w:szCs w:val="21"/>
                <w:highlight w:val="none"/>
              </w:rPr>
            </w:pPr>
          </w:p>
        </w:tc>
        <w:tc>
          <w:tcPr>
            <w:tcW w:w="2146" w:type="dxa"/>
            <w:vAlign w:val="center"/>
          </w:tcPr>
          <w:p w14:paraId="6BC84A6F">
            <w:pPr>
              <w:spacing w:line="360" w:lineRule="exact"/>
              <w:ind w:left="113" w:right="113"/>
              <w:jc w:val="left"/>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3"/>
                <w:szCs w:val="21"/>
                <w:highlight w:val="none"/>
                <w:lang w:eastAsia="en-US"/>
              </w:rPr>
              <w:t>配送食材足斤足两</w:t>
            </w:r>
          </w:p>
        </w:tc>
        <w:tc>
          <w:tcPr>
            <w:tcW w:w="695" w:type="dxa"/>
            <w:vAlign w:val="center"/>
          </w:tcPr>
          <w:p w14:paraId="5D63FEA3">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8"/>
                <w:szCs w:val="21"/>
                <w:highlight w:val="none"/>
                <w:lang w:eastAsia="en-US"/>
              </w:rPr>
              <w:t>12</w:t>
            </w:r>
          </w:p>
        </w:tc>
        <w:tc>
          <w:tcPr>
            <w:tcW w:w="2931" w:type="dxa"/>
            <w:vAlign w:val="center"/>
          </w:tcPr>
          <w:p w14:paraId="66C6AC77">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16"/>
                <w:szCs w:val="21"/>
                <w:highlight w:val="none"/>
              </w:rPr>
              <w:t>配送食材短缺达该类食</w:t>
            </w:r>
            <w:r>
              <w:rPr>
                <w:rFonts w:hint="eastAsia" w:ascii="宋体" w:hAnsi="宋体" w:eastAsia="宋体" w:cs="宋体"/>
                <w:snapToGrid w:val="0"/>
                <w:color w:val="auto"/>
                <w:spacing w:val="3"/>
                <w:szCs w:val="21"/>
                <w:highlight w:val="none"/>
              </w:rPr>
              <w:t>材配送总量5%以上，每</w:t>
            </w:r>
            <w:r>
              <w:rPr>
                <w:rFonts w:hint="eastAsia" w:ascii="宋体" w:hAnsi="宋体" w:eastAsia="宋体" w:cs="宋体"/>
                <w:snapToGrid w:val="0"/>
                <w:color w:val="auto"/>
                <w:spacing w:val="-10"/>
                <w:szCs w:val="21"/>
                <w:highlight w:val="none"/>
              </w:rPr>
              <w:t>次扣1分。</w:t>
            </w:r>
          </w:p>
        </w:tc>
        <w:tc>
          <w:tcPr>
            <w:tcW w:w="1170" w:type="dxa"/>
            <w:vAlign w:val="center"/>
          </w:tcPr>
          <w:p w14:paraId="598B4852">
            <w:pPr>
              <w:spacing w:line="360" w:lineRule="exact"/>
              <w:jc w:val="center"/>
              <w:rPr>
                <w:rFonts w:hint="eastAsia" w:ascii="宋体" w:hAnsi="宋体" w:eastAsia="宋体" w:cs="宋体"/>
                <w:snapToGrid w:val="0"/>
                <w:color w:val="auto"/>
                <w:szCs w:val="21"/>
                <w:highlight w:val="none"/>
              </w:rPr>
            </w:pPr>
          </w:p>
        </w:tc>
        <w:tc>
          <w:tcPr>
            <w:tcW w:w="712" w:type="dxa"/>
            <w:vAlign w:val="center"/>
          </w:tcPr>
          <w:p w14:paraId="6ADF6370">
            <w:pPr>
              <w:spacing w:line="360" w:lineRule="exact"/>
              <w:jc w:val="center"/>
              <w:rPr>
                <w:rFonts w:hint="eastAsia" w:ascii="宋体" w:hAnsi="宋体" w:eastAsia="宋体" w:cs="宋体"/>
                <w:snapToGrid w:val="0"/>
                <w:color w:val="auto"/>
                <w:szCs w:val="21"/>
                <w:highlight w:val="none"/>
              </w:rPr>
            </w:pPr>
          </w:p>
        </w:tc>
      </w:tr>
      <w:tr w14:paraId="79B13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08" w:type="dxa"/>
            <w:vAlign w:val="center"/>
          </w:tcPr>
          <w:p w14:paraId="5CDBDCC5">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7</w:t>
            </w:r>
          </w:p>
        </w:tc>
        <w:tc>
          <w:tcPr>
            <w:tcW w:w="1184" w:type="dxa"/>
            <w:vMerge w:val="continue"/>
            <w:tcBorders>
              <w:top w:val="nil"/>
              <w:bottom w:val="nil"/>
            </w:tcBorders>
            <w:vAlign w:val="center"/>
          </w:tcPr>
          <w:p w14:paraId="4259DEE0">
            <w:pPr>
              <w:spacing w:line="360" w:lineRule="exact"/>
              <w:jc w:val="center"/>
              <w:rPr>
                <w:rFonts w:hint="eastAsia" w:ascii="宋体" w:hAnsi="宋体" w:eastAsia="宋体" w:cs="宋体"/>
                <w:snapToGrid w:val="0"/>
                <w:color w:val="auto"/>
                <w:szCs w:val="21"/>
                <w:highlight w:val="none"/>
              </w:rPr>
            </w:pPr>
          </w:p>
        </w:tc>
        <w:tc>
          <w:tcPr>
            <w:tcW w:w="2146" w:type="dxa"/>
            <w:vAlign w:val="center"/>
          </w:tcPr>
          <w:p w14:paraId="2400088F">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3"/>
                <w:szCs w:val="21"/>
                <w:highlight w:val="none"/>
              </w:rPr>
              <w:t>配送食材新鲜，达标。</w:t>
            </w:r>
          </w:p>
        </w:tc>
        <w:tc>
          <w:tcPr>
            <w:tcW w:w="695" w:type="dxa"/>
            <w:vAlign w:val="center"/>
          </w:tcPr>
          <w:p w14:paraId="56FC18B8">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8"/>
                <w:szCs w:val="21"/>
                <w:highlight w:val="none"/>
                <w:lang w:eastAsia="en-US"/>
              </w:rPr>
              <w:t>10</w:t>
            </w:r>
          </w:p>
        </w:tc>
        <w:tc>
          <w:tcPr>
            <w:tcW w:w="2931" w:type="dxa"/>
            <w:vAlign w:val="center"/>
          </w:tcPr>
          <w:p w14:paraId="3DC88B44">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11"/>
                <w:szCs w:val="21"/>
                <w:highlight w:val="none"/>
              </w:rPr>
              <w:t>配送食材出现腐烂、发</w:t>
            </w:r>
            <w:r>
              <w:rPr>
                <w:rFonts w:hint="eastAsia" w:ascii="宋体" w:hAnsi="宋体" w:eastAsia="宋体" w:cs="宋体"/>
                <w:snapToGrid w:val="0"/>
                <w:color w:val="auto"/>
                <w:spacing w:val="17"/>
                <w:szCs w:val="21"/>
                <w:highlight w:val="none"/>
              </w:rPr>
              <w:t>臭，与约定食材相差过</w:t>
            </w:r>
            <w:r>
              <w:rPr>
                <w:rFonts w:hint="eastAsia" w:ascii="宋体" w:hAnsi="宋体" w:eastAsia="宋体" w:cs="宋体"/>
                <w:snapToGrid w:val="0"/>
                <w:color w:val="auto"/>
                <w:spacing w:val="-5"/>
                <w:szCs w:val="21"/>
                <w:highlight w:val="none"/>
              </w:rPr>
              <w:t>大，问题食材低于该类食</w:t>
            </w:r>
            <w:r>
              <w:rPr>
                <w:rFonts w:hint="eastAsia" w:ascii="宋体" w:hAnsi="宋体" w:eastAsia="宋体" w:cs="宋体"/>
                <w:snapToGrid w:val="0"/>
                <w:color w:val="auto"/>
                <w:szCs w:val="21"/>
                <w:highlight w:val="none"/>
              </w:rPr>
              <w:t>材配送总量5%,配送商能</w:t>
            </w:r>
            <w:r>
              <w:rPr>
                <w:rFonts w:hint="eastAsia" w:ascii="宋体" w:hAnsi="宋体" w:eastAsia="宋体" w:cs="宋体"/>
                <w:snapToGrid w:val="0"/>
                <w:color w:val="auto"/>
                <w:spacing w:val="-5"/>
                <w:szCs w:val="21"/>
                <w:highlight w:val="none"/>
              </w:rPr>
              <w:t>及时更换则不扣分，若问</w:t>
            </w:r>
            <w:r>
              <w:rPr>
                <w:rFonts w:hint="eastAsia" w:ascii="宋体" w:hAnsi="宋体" w:eastAsia="宋体" w:cs="宋体"/>
                <w:snapToGrid w:val="0"/>
                <w:color w:val="auto"/>
                <w:spacing w:val="17"/>
                <w:szCs w:val="21"/>
                <w:highlight w:val="none"/>
              </w:rPr>
              <w:t>题食材超出该类食材配</w:t>
            </w:r>
            <w:r>
              <w:rPr>
                <w:rFonts w:hint="eastAsia" w:ascii="宋体" w:hAnsi="宋体" w:eastAsia="宋体" w:cs="宋体"/>
                <w:snapToGrid w:val="0"/>
                <w:color w:val="auto"/>
                <w:spacing w:val="-6"/>
                <w:szCs w:val="21"/>
                <w:highlight w:val="none"/>
              </w:rPr>
              <w:t>送总量5%,每次扣1分。</w:t>
            </w:r>
          </w:p>
        </w:tc>
        <w:tc>
          <w:tcPr>
            <w:tcW w:w="1170" w:type="dxa"/>
            <w:vAlign w:val="center"/>
          </w:tcPr>
          <w:p w14:paraId="6FB1E179">
            <w:pPr>
              <w:spacing w:line="360" w:lineRule="exact"/>
              <w:jc w:val="center"/>
              <w:rPr>
                <w:rFonts w:hint="eastAsia" w:ascii="宋体" w:hAnsi="宋体" w:eastAsia="宋体" w:cs="宋体"/>
                <w:snapToGrid w:val="0"/>
                <w:color w:val="auto"/>
                <w:szCs w:val="21"/>
                <w:highlight w:val="none"/>
              </w:rPr>
            </w:pPr>
          </w:p>
        </w:tc>
        <w:tc>
          <w:tcPr>
            <w:tcW w:w="712" w:type="dxa"/>
            <w:vAlign w:val="center"/>
          </w:tcPr>
          <w:p w14:paraId="5FB84983">
            <w:pPr>
              <w:spacing w:line="360" w:lineRule="exact"/>
              <w:jc w:val="center"/>
              <w:rPr>
                <w:rFonts w:hint="eastAsia" w:ascii="宋体" w:hAnsi="宋体" w:eastAsia="宋体" w:cs="宋体"/>
                <w:snapToGrid w:val="0"/>
                <w:color w:val="auto"/>
                <w:szCs w:val="21"/>
                <w:highlight w:val="none"/>
              </w:rPr>
            </w:pPr>
          </w:p>
        </w:tc>
      </w:tr>
      <w:tr w14:paraId="0BC22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08" w:type="dxa"/>
            <w:vAlign w:val="center"/>
          </w:tcPr>
          <w:p w14:paraId="3F114E18">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8</w:t>
            </w:r>
          </w:p>
        </w:tc>
        <w:tc>
          <w:tcPr>
            <w:tcW w:w="1184" w:type="dxa"/>
            <w:vMerge w:val="continue"/>
            <w:tcBorders>
              <w:top w:val="nil"/>
              <w:bottom w:val="nil"/>
            </w:tcBorders>
            <w:vAlign w:val="center"/>
          </w:tcPr>
          <w:p w14:paraId="4518EF8C">
            <w:pPr>
              <w:spacing w:line="360" w:lineRule="exact"/>
              <w:jc w:val="center"/>
              <w:rPr>
                <w:rFonts w:hint="eastAsia" w:ascii="宋体" w:hAnsi="宋体" w:eastAsia="宋体" w:cs="宋体"/>
                <w:snapToGrid w:val="0"/>
                <w:color w:val="auto"/>
                <w:szCs w:val="21"/>
                <w:highlight w:val="none"/>
              </w:rPr>
            </w:pPr>
          </w:p>
        </w:tc>
        <w:tc>
          <w:tcPr>
            <w:tcW w:w="2146" w:type="dxa"/>
            <w:vAlign w:val="center"/>
          </w:tcPr>
          <w:p w14:paraId="09CE4891">
            <w:pPr>
              <w:spacing w:line="360" w:lineRule="exact"/>
              <w:ind w:left="113" w:right="113"/>
              <w:jc w:val="left"/>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4"/>
                <w:szCs w:val="21"/>
                <w:highlight w:val="none"/>
                <w:lang w:eastAsia="en-US"/>
              </w:rPr>
              <w:t>无少货漏货现象。</w:t>
            </w:r>
          </w:p>
        </w:tc>
        <w:tc>
          <w:tcPr>
            <w:tcW w:w="695" w:type="dxa"/>
            <w:vAlign w:val="center"/>
          </w:tcPr>
          <w:p w14:paraId="65950C1D">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8"/>
                <w:szCs w:val="21"/>
                <w:highlight w:val="none"/>
                <w:lang w:eastAsia="en-US"/>
              </w:rPr>
              <w:t>10</w:t>
            </w:r>
          </w:p>
        </w:tc>
        <w:tc>
          <w:tcPr>
            <w:tcW w:w="2931" w:type="dxa"/>
            <w:vAlign w:val="center"/>
          </w:tcPr>
          <w:p w14:paraId="5CAE889F">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17"/>
                <w:szCs w:val="21"/>
                <w:highlight w:val="none"/>
              </w:rPr>
              <w:t>配送时出现遗漏一种或</w:t>
            </w:r>
            <w:r>
              <w:rPr>
                <w:rFonts w:hint="eastAsia" w:ascii="宋体" w:hAnsi="宋体" w:eastAsia="宋体" w:cs="宋体"/>
                <w:snapToGrid w:val="0"/>
                <w:color w:val="auto"/>
                <w:spacing w:val="-4"/>
                <w:szCs w:val="21"/>
                <w:highlight w:val="none"/>
              </w:rPr>
              <w:t>几种食材未采买，又未提</w:t>
            </w:r>
            <w:r>
              <w:rPr>
                <w:rFonts w:hint="eastAsia" w:ascii="宋体" w:hAnsi="宋体" w:eastAsia="宋体" w:cs="宋体"/>
                <w:snapToGrid w:val="0"/>
                <w:color w:val="auto"/>
                <w:spacing w:val="5"/>
                <w:szCs w:val="21"/>
                <w:highlight w:val="none"/>
              </w:rPr>
              <w:t>前说明缘由，每次扣1</w:t>
            </w:r>
            <w:r>
              <w:rPr>
                <w:rFonts w:hint="eastAsia" w:ascii="宋体" w:hAnsi="宋体" w:eastAsia="宋体" w:cs="宋体"/>
                <w:snapToGrid w:val="0"/>
                <w:color w:val="auto"/>
                <w:spacing w:val="-10"/>
                <w:szCs w:val="21"/>
                <w:highlight w:val="none"/>
              </w:rPr>
              <w:t>分。</w:t>
            </w:r>
          </w:p>
        </w:tc>
        <w:tc>
          <w:tcPr>
            <w:tcW w:w="1170" w:type="dxa"/>
            <w:vAlign w:val="center"/>
          </w:tcPr>
          <w:p w14:paraId="40BFA615">
            <w:pPr>
              <w:spacing w:line="360" w:lineRule="exact"/>
              <w:jc w:val="center"/>
              <w:rPr>
                <w:rFonts w:hint="eastAsia" w:ascii="宋体" w:hAnsi="宋体" w:eastAsia="宋体" w:cs="宋体"/>
                <w:snapToGrid w:val="0"/>
                <w:color w:val="auto"/>
                <w:szCs w:val="21"/>
                <w:highlight w:val="none"/>
              </w:rPr>
            </w:pPr>
          </w:p>
        </w:tc>
        <w:tc>
          <w:tcPr>
            <w:tcW w:w="712" w:type="dxa"/>
            <w:vAlign w:val="center"/>
          </w:tcPr>
          <w:p w14:paraId="09EC3ABF">
            <w:pPr>
              <w:spacing w:line="360" w:lineRule="exact"/>
              <w:jc w:val="center"/>
              <w:rPr>
                <w:rFonts w:hint="eastAsia" w:ascii="宋体" w:hAnsi="宋体" w:eastAsia="宋体" w:cs="宋体"/>
                <w:snapToGrid w:val="0"/>
                <w:color w:val="auto"/>
                <w:szCs w:val="21"/>
                <w:highlight w:val="none"/>
              </w:rPr>
            </w:pPr>
          </w:p>
        </w:tc>
      </w:tr>
      <w:tr w14:paraId="304DC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08" w:type="dxa"/>
            <w:vAlign w:val="center"/>
          </w:tcPr>
          <w:p w14:paraId="72E4F3EB">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zCs w:val="21"/>
                <w:highlight w:val="none"/>
                <w:lang w:eastAsia="en-US"/>
              </w:rPr>
              <w:t>9</w:t>
            </w:r>
          </w:p>
        </w:tc>
        <w:tc>
          <w:tcPr>
            <w:tcW w:w="1184" w:type="dxa"/>
            <w:vMerge w:val="continue"/>
            <w:tcBorders>
              <w:top w:val="nil"/>
            </w:tcBorders>
            <w:vAlign w:val="center"/>
          </w:tcPr>
          <w:p w14:paraId="4569C245">
            <w:pPr>
              <w:spacing w:line="360" w:lineRule="exact"/>
              <w:jc w:val="center"/>
              <w:rPr>
                <w:rFonts w:hint="eastAsia" w:ascii="宋体" w:hAnsi="宋体" w:eastAsia="宋体" w:cs="宋体"/>
                <w:snapToGrid w:val="0"/>
                <w:color w:val="auto"/>
                <w:szCs w:val="21"/>
                <w:highlight w:val="none"/>
              </w:rPr>
            </w:pPr>
          </w:p>
        </w:tc>
        <w:tc>
          <w:tcPr>
            <w:tcW w:w="2146" w:type="dxa"/>
            <w:vAlign w:val="center"/>
          </w:tcPr>
          <w:p w14:paraId="00B91560">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3"/>
                <w:szCs w:val="21"/>
                <w:highlight w:val="none"/>
              </w:rPr>
              <w:t>每天配送食材的证件齐全。</w:t>
            </w:r>
          </w:p>
        </w:tc>
        <w:tc>
          <w:tcPr>
            <w:tcW w:w="695" w:type="dxa"/>
            <w:vAlign w:val="center"/>
          </w:tcPr>
          <w:p w14:paraId="1E36D3A4">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8"/>
                <w:szCs w:val="21"/>
                <w:highlight w:val="none"/>
                <w:lang w:eastAsia="en-US"/>
              </w:rPr>
              <w:t>10</w:t>
            </w:r>
          </w:p>
        </w:tc>
        <w:tc>
          <w:tcPr>
            <w:tcW w:w="2931" w:type="dxa"/>
            <w:vAlign w:val="center"/>
          </w:tcPr>
          <w:p w14:paraId="7F0C5F06">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16"/>
                <w:szCs w:val="21"/>
                <w:highlight w:val="none"/>
              </w:rPr>
              <w:t>未按要求提供相应食材</w:t>
            </w:r>
            <w:r>
              <w:rPr>
                <w:rFonts w:hint="eastAsia" w:ascii="宋体" w:hAnsi="宋体" w:eastAsia="宋体" w:cs="宋体"/>
                <w:snapToGrid w:val="0"/>
                <w:color w:val="auto"/>
                <w:spacing w:val="-4"/>
                <w:szCs w:val="21"/>
                <w:highlight w:val="none"/>
              </w:rPr>
              <w:t>检验检疫合格证，每次扣</w:t>
            </w:r>
            <w:r>
              <w:rPr>
                <w:rFonts w:hint="eastAsia" w:ascii="宋体" w:hAnsi="宋体" w:eastAsia="宋体" w:cs="宋体"/>
                <w:snapToGrid w:val="0"/>
                <w:color w:val="auto"/>
                <w:spacing w:val="-11"/>
                <w:szCs w:val="21"/>
                <w:highlight w:val="none"/>
              </w:rPr>
              <w:t>1分。</w:t>
            </w:r>
          </w:p>
        </w:tc>
        <w:tc>
          <w:tcPr>
            <w:tcW w:w="1170" w:type="dxa"/>
            <w:vAlign w:val="center"/>
          </w:tcPr>
          <w:p w14:paraId="0F5A5000">
            <w:pPr>
              <w:spacing w:line="360" w:lineRule="exact"/>
              <w:jc w:val="center"/>
              <w:rPr>
                <w:rFonts w:hint="eastAsia" w:ascii="宋体" w:hAnsi="宋体" w:eastAsia="宋体" w:cs="宋体"/>
                <w:snapToGrid w:val="0"/>
                <w:color w:val="auto"/>
                <w:szCs w:val="21"/>
                <w:highlight w:val="none"/>
              </w:rPr>
            </w:pPr>
          </w:p>
        </w:tc>
        <w:tc>
          <w:tcPr>
            <w:tcW w:w="712" w:type="dxa"/>
            <w:vAlign w:val="center"/>
          </w:tcPr>
          <w:p w14:paraId="24C8E363">
            <w:pPr>
              <w:spacing w:line="360" w:lineRule="exact"/>
              <w:jc w:val="center"/>
              <w:rPr>
                <w:rFonts w:hint="eastAsia" w:ascii="宋体" w:hAnsi="宋体" w:eastAsia="宋体" w:cs="宋体"/>
                <w:snapToGrid w:val="0"/>
                <w:color w:val="auto"/>
                <w:szCs w:val="21"/>
                <w:highlight w:val="none"/>
              </w:rPr>
            </w:pPr>
          </w:p>
        </w:tc>
      </w:tr>
      <w:tr w14:paraId="00F92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08" w:type="dxa"/>
            <w:vAlign w:val="center"/>
          </w:tcPr>
          <w:p w14:paraId="728B4ADB">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8"/>
                <w:szCs w:val="21"/>
                <w:highlight w:val="none"/>
                <w:lang w:eastAsia="en-US"/>
              </w:rPr>
              <w:t>10</w:t>
            </w:r>
          </w:p>
        </w:tc>
        <w:tc>
          <w:tcPr>
            <w:tcW w:w="1184" w:type="dxa"/>
            <w:vAlign w:val="center"/>
          </w:tcPr>
          <w:p w14:paraId="0E3C4EAC">
            <w:pPr>
              <w:spacing w:line="360" w:lineRule="exact"/>
              <w:rPr>
                <w:rFonts w:hint="eastAsia" w:ascii="宋体" w:hAnsi="宋体" w:eastAsia="宋体" w:cs="宋体"/>
                <w:snapToGrid w:val="0"/>
                <w:color w:val="auto"/>
                <w:szCs w:val="21"/>
                <w:highlight w:val="none"/>
              </w:rPr>
            </w:pPr>
          </w:p>
        </w:tc>
        <w:tc>
          <w:tcPr>
            <w:tcW w:w="2146" w:type="dxa"/>
            <w:vAlign w:val="center"/>
          </w:tcPr>
          <w:p w14:paraId="2A4F10CE">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1"/>
                <w:szCs w:val="21"/>
                <w:highlight w:val="none"/>
              </w:rPr>
              <w:t>对提出合理的退换货、补货要</w:t>
            </w:r>
            <w:r>
              <w:rPr>
                <w:rFonts w:hint="eastAsia" w:ascii="宋体" w:hAnsi="宋体" w:eastAsia="宋体" w:cs="宋体"/>
                <w:snapToGrid w:val="0"/>
                <w:color w:val="auto"/>
                <w:szCs w:val="21"/>
                <w:highlight w:val="none"/>
              </w:rPr>
              <w:t>求能及时有效的满足达成。</w:t>
            </w:r>
          </w:p>
        </w:tc>
        <w:tc>
          <w:tcPr>
            <w:tcW w:w="695" w:type="dxa"/>
            <w:vAlign w:val="center"/>
          </w:tcPr>
          <w:p w14:paraId="28657C42">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8"/>
                <w:szCs w:val="21"/>
                <w:highlight w:val="none"/>
                <w:lang w:eastAsia="en-US"/>
              </w:rPr>
              <w:t>10</w:t>
            </w:r>
          </w:p>
        </w:tc>
        <w:tc>
          <w:tcPr>
            <w:tcW w:w="2931" w:type="dxa"/>
            <w:vAlign w:val="center"/>
          </w:tcPr>
          <w:p w14:paraId="6D9B27FE">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17"/>
                <w:szCs w:val="21"/>
                <w:highlight w:val="none"/>
              </w:rPr>
              <w:t>对于甲方提出的合理的</w:t>
            </w:r>
            <w:r>
              <w:rPr>
                <w:rFonts w:hint="eastAsia" w:ascii="宋体" w:hAnsi="宋体" w:eastAsia="宋体" w:cs="宋体"/>
                <w:snapToGrid w:val="0"/>
                <w:color w:val="auto"/>
                <w:spacing w:val="-5"/>
                <w:szCs w:val="21"/>
                <w:highlight w:val="none"/>
              </w:rPr>
              <w:t>退换货、补货要求，配送</w:t>
            </w:r>
            <w:r>
              <w:rPr>
                <w:rFonts w:hint="eastAsia" w:ascii="宋体" w:hAnsi="宋体" w:eastAsia="宋体" w:cs="宋体"/>
                <w:snapToGrid w:val="0"/>
                <w:color w:val="auto"/>
                <w:spacing w:val="17"/>
                <w:szCs w:val="21"/>
                <w:highlight w:val="none"/>
              </w:rPr>
              <w:t>商不能及时有效满足达</w:t>
            </w:r>
            <w:r>
              <w:rPr>
                <w:rFonts w:hint="eastAsia" w:ascii="宋体" w:hAnsi="宋体" w:eastAsia="宋体" w:cs="宋体"/>
                <w:snapToGrid w:val="0"/>
                <w:color w:val="auto"/>
                <w:spacing w:val="-8"/>
                <w:szCs w:val="21"/>
                <w:highlight w:val="none"/>
              </w:rPr>
              <w:t>成，每次扣1分。</w:t>
            </w:r>
          </w:p>
        </w:tc>
        <w:tc>
          <w:tcPr>
            <w:tcW w:w="1170" w:type="dxa"/>
            <w:vAlign w:val="center"/>
          </w:tcPr>
          <w:p w14:paraId="3A29BED5">
            <w:pPr>
              <w:spacing w:line="360" w:lineRule="exact"/>
              <w:jc w:val="center"/>
              <w:rPr>
                <w:rFonts w:hint="eastAsia" w:ascii="宋体" w:hAnsi="宋体" w:eastAsia="宋体" w:cs="宋体"/>
                <w:snapToGrid w:val="0"/>
                <w:color w:val="auto"/>
                <w:szCs w:val="21"/>
                <w:highlight w:val="none"/>
              </w:rPr>
            </w:pPr>
          </w:p>
        </w:tc>
        <w:tc>
          <w:tcPr>
            <w:tcW w:w="712" w:type="dxa"/>
            <w:vAlign w:val="center"/>
          </w:tcPr>
          <w:p w14:paraId="5B9744F7">
            <w:pPr>
              <w:spacing w:line="360" w:lineRule="exact"/>
              <w:jc w:val="center"/>
              <w:rPr>
                <w:rFonts w:hint="eastAsia" w:ascii="宋体" w:hAnsi="宋体" w:eastAsia="宋体" w:cs="宋体"/>
                <w:snapToGrid w:val="0"/>
                <w:color w:val="auto"/>
                <w:szCs w:val="21"/>
                <w:highlight w:val="none"/>
              </w:rPr>
            </w:pPr>
          </w:p>
        </w:tc>
      </w:tr>
      <w:tr w14:paraId="2410C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08" w:type="dxa"/>
            <w:vAlign w:val="center"/>
          </w:tcPr>
          <w:p w14:paraId="2348EBA4">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8"/>
                <w:szCs w:val="21"/>
                <w:highlight w:val="none"/>
                <w:lang w:eastAsia="en-US"/>
              </w:rPr>
              <w:t>11</w:t>
            </w:r>
          </w:p>
        </w:tc>
        <w:tc>
          <w:tcPr>
            <w:tcW w:w="1184" w:type="dxa"/>
            <w:vAlign w:val="center"/>
          </w:tcPr>
          <w:p w14:paraId="116421EA">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4"/>
                <w:szCs w:val="21"/>
                <w:highlight w:val="none"/>
                <w:lang w:eastAsia="en-US"/>
              </w:rPr>
              <w:t>配送价格</w:t>
            </w:r>
          </w:p>
        </w:tc>
        <w:tc>
          <w:tcPr>
            <w:tcW w:w="2146" w:type="dxa"/>
            <w:vAlign w:val="center"/>
          </w:tcPr>
          <w:p w14:paraId="79749323">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18"/>
                <w:szCs w:val="21"/>
                <w:highlight w:val="none"/>
              </w:rPr>
              <w:t>按食材集采集配合同规定的</w:t>
            </w:r>
            <w:r>
              <w:rPr>
                <w:rFonts w:hint="eastAsia" w:ascii="宋体" w:hAnsi="宋体" w:eastAsia="宋体" w:cs="宋体"/>
                <w:snapToGrid w:val="0"/>
                <w:color w:val="auto"/>
                <w:spacing w:val="-4"/>
                <w:szCs w:val="21"/>
                <w:highlight w:val="none"/>
              </w:rPr>
              <w:t>价格标准执行。</w:t>
            </w:r>
          </w:p>
        </w:tc>
        <w:tc>
          <w:tcPr>
            <w:tcW w:w="695" w:type="dxa"/>
            <w:vAlign w:val="center"/>
          </w:tcPr>
          <w:p w14:paraId="6BF3EE5E">
            <w:pPr>
              <w:spacing w:line="360" w:lineRule="exact"/>
              <w:jc w:val="center"/>
              <w:rPr>
                <w:rFonts w:hint="eastAsia" w:ascii="宋体" w:hAnsi="宋体" w:eastAsia="宋体" w:cs="宋体"/>
                <w:snapToGrid w:val="0"/>
                <w:color w:val="auto"/>
                <w:szCs w:val="21"/>
                <w:highlight w:val="none"/>
                <w:lang w:eastAsia="en-US"/>
              </w:rPr>
            </w:pPr>
            <w:r>
              <w:rPr>
                <w:rFonts w:hint="eastAsia" w:ascii="宋体" w:hAnsi="宋体" w:eastAsia="宋体" w:cs="宋体"/>
                <w:snapToGrid w:val="0"/>
                <w:color w:val="auto"/>
                <w:spacing w:val="-8"/>
                <w:szCs w:val="21"/>
                <w:highlight w:val="none"/>
                <w:lang w:eastAsia="en-US"/>
              </w:rPr>
              <w:t>12</w:t>
            </w:r>
          </w:p>
        </w:tc>
        <w:tc>
          <w:tcPr>
            <w:tcW w:w="2931" w:type="dxa"/>
            <w:vAlign w:val="center"/>
          </w:tcPr>
          <w:p w14:paraId="38027663">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16"/>
                <w:szCs w:val="21"/>
                <w:highlight w:val="none"/>
              </w:rPr>
              <w:t>未按食材集采集配合同</w:t>
            </w:r>
            <w:r>
              <w:rPr>
                <w:rFonts w:hint="eastAsia" w:ascii="宋体" w:hAnsi="宋体" w:eastAsia="宋体" w:cs="宋体"/>
                <w:snapToGrid w:val="0"/>
                <w:color w:val="auto"/>
                <w:spacing w:val="-4"/>
                <w:szCs w:val="21"/>
                <w:highlight w:val="none"/>
              </w:rPr>
              <w:t>规定的价格标准执行，每</w:t>
            </w:r>
            <w:r>
              <w:rPr>
                <w:rFonts w:hint="eastAsia" w:ascii="宋体" w:hAnsi="宋体" w:eastAsia="宋体" w:cs="宋体"/>
                <w:snapToGrid w:val="0"/>
                <w:color w:val="auto"/>
                <w:spacing w:val="-12"/>
                <w:szCs w:val="21"/>
                <w:highlight w:val="none"/>
              </w:rPr>
              <w:t>次扣1分。</w:t>
            </w:r>
          </w:p>
        </w:tc>
        <w:tc>
          <w:tcPr>
            <w:tcW w:w="1170" w:type="dxa"/>
            <w:vAlign w:val="center"/>
          </w:tcPr>
          <w:p w14:paraId="37369F27">
            <w:pPr>
              <w:spacing w:line="360" w:lineRule="exact"/>
              <w:jc w:val="center"/>
              <w:rPr>
                <w:rFonts w:hint="eastAsia" w:ascii="宋体" w:hAnsi="宋体" w:eastAsia="宋体" w:cs="宋体"/>
                <w:snapToGrid w:val="0"/>
                <w:color w:val="auto"/>
                <w:szCs w:val="21"/>
                <w:highlight w:val="none"/>
              </w:rPr>
            </w:pPr>
          </w:p>
        </w:tc>
        <w:tc>
          <w:tcPr>
            <w:tcW w:w="712" w:type="dxa"/>
            <w:vAlign w:val="center"/>
          </w:tcPr>
          <w:p w14:paraId="10BE5AC8">
            <w:pPr>
              <w:spacing w:line="360" w:lineRule="exact"/>
              <w:jc w:val="center"/>
              <w:rPr>
                <w:rFonts w:hint="eastAsia" w:ascii="宋体" w:hAnsi="宋体" w:eastAsia="宋体" w:cs="宋体"/>
                <w:snapToGrid w:val="0"/>
                <w:color w:val="auto"/>
                <w:szCs w:val="21"/>
                <w:highlight w:val="none"/>
              </w:rPr>
            </w:pPr>
          </w:p>
        </w:tc>
      </w:tr>
      <w:tr w14:paraId="70F5E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08" w:type="dxa"/>
            <w:vAlign w:val="center"/>
          </w:tcPr>
          <w:p w14:paraId="73FD8A87">
            <w:pPr>
              <w:spacing w:line="360" w:lineRule="exact"/>
              <w:ind w:left="113" w:right="113"/>
              <w:jc w:val="left"/>
              <w:rPr>
                <w:rFonts w:hint="eastAsia" w:ascii="宋体" w:hAnsi="宋体" w:eastAsia="宋体" w:cs="宋体"/>
                <w:snapToGrid w:val="0"/>
                <w:color w:val="auto"/>
                <w:spacing w:val="16"/>
                <w:szCs w:val="21"/>
                <w:highlight w:val="none"/>
                <w:lang w:eastAsia="en-US"/>
              </w:rPr>
            </w:pPr>
            <w:r>
              <w:rPr>
                <w:rFonts w:hint="eastAsia" w:ascii="宋体" w:hAnsi="宋体" w:eastAsia="宋体" w:cs="宋体"/>
                <w:snapToGrid w:val="0"/>
                <w:color w:val="auto"/>
                <w:spacing w:val="16"/>
                <w:szCs w:val="21"/>
                <w:highlight w:val="none"/>
                <w:lang w:eastAsia="en-US"/>
              </w:rPr>
              <w:t>12</w:t>
            </w:r>
          </w:p>
        </w:tc>
        <w:tc>
          <w:tcPr>
            <w:tcW w:w="1184" w:type="dxa"/>
            <w:vAlign w:val="center"/>
          </w:tcPr>
          <w:p w14:paraId="09F83CED">
            <w:pPr>
              <w:spacing w:line="360" w:lineRule="exact"/>
              <w:ind w:left="113" w:right="113"/>
              <w:jc w:val="left"/>
              <w:rPr>
                <w:rFonts w:hint="eastAsia" w:ascii="宋体" w:hAnsi="宋体" w:eastAsia="宋体" w:cs="宋体"/>
                <w:snapToGrid w:val="0"/>
                <w:color w:val="auto"/>
                <w:spacing w:val="16"/>
                <w:szCs w:val="21"/>
                <w:highlight w:val="none"/>
                <w:lang w:eastAsia="en-US"/>
              </w:rPr>
            </w:pPr>
            <w:r>
              <w:rPr>
                <w:rFonts w:hint="eastAsia" w:ascii="宋体" w:hAnsi="宋体" w:eastAsia="宋体" w:cs="宋体"/>
                <w:snapToGrid w:val="0"/>
                <w:color w:val="auto"/>
                <w:spacing w:val="16"/>
                <w:szCs w:val="21"/>
                <w:highlight w:val="none"/>
                <w:lang w:eastAsia="en-US"/>
              </w:rPr>
              <w:t>总分</w:t>
            </w:r>
          </w:p>
        </w:tc>
        <w:tc>
          <w:tcPr>
            <w:tcW w:w="2146" w:type="dxa"/>
            <w:vAlign w:val="center"/>
          </w:tcPr>
          <w:p w14:paraId="4A36626D">
            <w:pPr>
              <w:spacing w:line="360" w:lineRule="exact"/>
              <w:ind w:left="113" w:right="113"/>
              <w:jc w:val="left"/>
              <w:rPr>
                <w:rFonts w:hint="eastAsia" w:ascii="宋体" w:hAnsi="宋体" w:eastAsia="宋体" w:cs="宋体"/>
                <w:snapToGrid w:val="0"/>
                <w:color w:val="auto"/>
                <w:spacing w:val="16"/>
                <w:szCs w:val="21"/>
                <w:highlight w:val="none"/>
              </w:rPr>
            </w:pPr>
          </w:p>
        </w:tc>
        <w:tc>
          <w:tcPr>
            <w:tcW w:w="695" w:type="dxa"/>
            <w:vAlign w:val="center"/>
          </w:tcPr>
          <w:p w14:paraId="18A2C9E5">
            <w:pPr>
              <w:spacing w:line="360" w:lineRule="exact"/>
              <w:ind w:left="113" w:right="113"/>
              <w:jc w:val="left"/>
              <w:rPr>
                <w:rFonts w:hint="eastAsia" w:ascii="宋体" w:hAnsi="宋体" w:eastAsia="宋体" w:cs="宋体"/>
                <w:snapToGrid w:val="0"/>
                <w:color w:val="auto"/>
                <w:spacing w:val="16"/>
                <w:szCs w:val="21"/>
                <w:highlight w:val="none"/>
                <w:lang w:eastAsia="en-US"/>
              </w:rPr>
            </w:pPr>
            <w:r>
              <w:rPr>
                <w:rFonts w:hint="eastAsia" w:ascii="宋体" w:hAnsi="宋体" w:eastAsia="宋体" w:cs="宋体"/>
                <w:snapToGrid w:val="0"/>
                <w:color w:val="auto"/>
                <w:spacing w:val="16"/>
                <w:szCs w:val="21"/>
                <w:highlight w:val="none"/>
                <w:lang w:eastAsia="en-US"/>
              </w:rPr>
              <w:t>100</w:t>
            </w:r>
          </w:p>
        </w:tc>
        <w:tc>
          <w:tcPr>
            <w:tcW w:w="4813" w:type="dxa"/>
            <w:gridSpan w:val="3"/>
            <w:vAlign w:val="center"/>
          </w:tcPr>
          <w:p w14:paraId="4D496120">
            <w:pPr>
              <w:spacing w:line="360" w:lineRule="exact"/>
              <w:ind w:left="113" w:right="113"/>
              <w:jc w:val="left"/>
              <w:rPr>
                <w:rFonts w:hint="eastAsia" w:ascii="宋体" w:hAnsi="宋体" w:eastAsia="宋体" w:cs="宋体"/>
                <w:snapToGrid w:val="0"/>
                <w:color w:val="auto"/>
                <w:spacing w:val="16"/>
                <w:szCs w:val="21"/>
                <w:highlight w:val="none"/>
                <w:lang w:eastAsia="en-US"/>
              </w:rPr>
            </w:pPr>
            <w:r>
              <w:rPr>
                <w:rFonts w:hint="eastAsia" w:ascii="宋体" w:hAnsi="宋体" w:eastAsia="宋体" w:cs="宋体"/>
                <w:snapToGrid w:val="0"/>
                <w:color w:val="auto"/>
                <w:spacing w:val="16"/>
                <w:szCs w:val="21"/>
                <w:highlight w:val="none"/>
                <w:lang w:eastAsia="en-US"/>
              </w:rPr>
              <w:t>考核得分：</w:t>
            </w:r>
          </w:p>
        </w:tc>
      </w:tr>
      <w:tr w14:paraId="5EF9E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892" w:type="dxa"/>
            <w:gridSpan w:val="2"/>
            <w:vAlign w:val="center"/>
          </w:tcPr>
          <w:p w14:paraId="756E5EAB">
            <w:pPr>
              <w:spacing w:line="360" w:lineRule="exact"/>
              <w:ind w:left="113" w:right="113"/>
              <w:jc w:val="left"/>
              <w:rPr>
                <w:rFonts w:hint="eastAsia" w:ascii="宋体" w:hAnsi="宋体" w:eastAsia="宋体" w:cs="宋体"/>
                <w:snapToGrid w:val="0"/>
                <w:color w:val="auto"/>
                <w:spacing w:val="16"/>
                <w:szCs w:val="21"/>
                <w:highlight w:val="none"/>
                <w:lang w:eastAsia="en-US"/>
              </w:rPr>
            </w:pPr>
            <w:r>
              <w:rPr>
                <w:rFonts w:hint="eastAsia" w:ascii="宋体" w:hAnsi="宋体" w:eastAsia="宋体" w:cs="宋体"/>
                <w:snapToGrid w:val="0"/>
                <w:color w:val="auto"/>
                <w:spacing w:val="16"/>
                <w:szCs w:val="21"/>
                <w:highlight w:val="none"/>
                <w:lang w:eastAsia="en-US"/>
              </w:rPr>
              <w:t>考核方意见/建议</w:t>
            </w:r>
          </w:p>
        </w:tc>
        <w:tc>
          <w:tcPr>
            <w:tcW w:w="7654" w:type="dxa"/>
            <w:gridSpan w:val="5"/>
            <w:vAlign w:val="center"/>
          </w:tcPr>
          <w:p w14:paraId="13244C32">
            <w:pPr>
              <w:spacing w:line="360" w:lineRule="exact"/>
              <w:ind w:left="113" w:right="113"/>
              <w:jc w:val="left"/>
              <w:rPr>
                <w:rFonts w:hint="eastAsia" w:ascii="宋体" w:hAnsi="宋体" w:eastAsia="宋体" w:cs="宋体"/>
                <w:snapToGrid w:val="0"/>
                <w:color w:val="auto"/>
                <w:spacing w:val="16"/>
                <w:szCs w:val="21"/>
                <w:highlight w:val="none"/>
              </w:rPr>
            </w:pPr>
          </w:p>
        </w:tc>
      </w:tr>
      <w:tr w14:paraId="0B4A0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546" w:type="dxa"/>
            <w:gridSpan w:val="7"/>
            <w:vAlign w:val="center"/>
          </w:tcPr>
          <w:p w14:paraId="3D500452">
            <w:pPr>
              <w:spacing w:line="360" w:lineRule="exact"/>
              <w:ind w:left="113" w:right="113"/>
              <w:jc w:val="left"/>
              <w:rPr>
                <w:rFonts w:hint="eastAsia" w:ascii="宋体" w:hAnsi="宋体" w:eastAsia="宋体" w:cs="宋体"/>
                <w:snapToGrid w:val="0"/>
                <w:color w:val="auto"/>
                <w:spacing w:val="16"/>
                <w:szCs w:val="21"/>
                <w:highlight w:val="none"/>
              </w:rPr>
            </w:pPr>
            <w:r>
              <w:rPr>
                <w:rFonts w:hint="eastAsia" w:ascii="宋体" w:hAnsi="宋体" w:eastAsia="宋体" w:cs="宋体"/>
                <w:snapToGrid w:val="0"/>
                <w:color w:val="auto"/>
                <w:spacing w:val="16"/>
                <w:szCs w:val="21"/>
                <w:highlight w:val="none"/>
              </w:rPr>
              <w:t>考核日期：     考核单位(公章):考核人：        被考核人：</w:t>
            </w:r>
          </w:p>
        </w:tc>
      </w:tr>
      <w:tr w14:paraId="38247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546" w:type="dxa"/>
            <w:gridSpan w:val="7"/>
            <w:vAlign w:val="center"/>
          </w:tcPr>
          <w:p w14:paraId="7BCE7628">
            <w:pPr>
              <w:spacing w:line="360" w:lineRule="exact"/>
              <w:ind w:left="113" w:right="113"/>
              <w:jc w:val="left"/>
              <w:rPr>
                <w:rFonts w:hint="eastAsia" w:ascii="宋体" w:hAnsi="宋体" w:eastAsia="宋体" w:cs="宋体"/>
                <w:snapToGrid w:val="0"/>
                <w:color w:val="auto"/>
                <w:spacing w:val="-4"/>
                <w:szCs w:val="21"/>
                <w:highlight w:val="none"/>
              </w:rPr>
            </w:pPr>
            <w:r>
              <w:rPr>
                <w:rFonts w:hint="eastAsia" w:ascii="宋体" w:hAnsi="宋体" w:eastAsia="宋体" w:cs="宋体"/>
                <w:snapToGrid w:val="0"/>
                <w:color w:val="auto"/>
                <w:spacing w:val="-4"/>
                <w:szCs w:val="21"/>
                <w:highlight w:val="none"/>
              </w:rPr>
              <w:t>备注：</w:t>
            </w:r>
          </w:p>
          <w:p w14:paraId="5A429DAC">
            <w:pPr>
              <w:spacing w:line="360" w:lineRule="exact"/>
              <w:ind w:left="113" w:right="113"/>
              <w:jc w:val="left"/>
              <w:rPr>
                <w:rFonts w:hint="eastAsia" w:ascii="宋体" w:hAnsi="宋体" w:eastAsia="宋体" w:cs="宋体"/>
                <w:snapToGrid w:val="0"/>
                <w:color w:val="auto"/>
                <w:spacing w:val="-4"/>
                <w:szCs w:val="21"/>
                <w:highlight w:val="none"/>
              </w:rPr>
            </w:pPr>
            <w:r>
              <w:rPr>
                <w:rFonts w:hint="eastAsia" w:ascii="宋体" w:hAnsi="宋体" w:eastAsia="宋体" w:cs="宋体"/>
                <w:snapToGrid w:val="0"/>
                <w:color w:val="auto"/>
                <w:spacing w:val="-4"/>
                <w:szCs w:val="21"/>
                <w:highlight w:val="none"/>
              </w:rPr>
              <w:t>1、每个单项分扣完为止；</w:t>
            </w:r>
          </w:p>
          <w:p w14:paraId="09BC40B1">
            <w:pPr>
              <w:spacing w:line="360" w:lineRule="exact"/>
              <w:ind w:left="113" w:right="113"/>
              <w:jc w:val="left"/>
              <w:rPr>
                <w:rFonts w:hint="eastAsia" w:ascii="宋体" w:hAnsi="宋体" w:eastAsia="宋体" w:cs="宋体"/>
                <w:snapToGrid w:val="0"/>
                <w:color w:val="auto"/>
                <w:spacing w:val="-4"/>
                <w:szCs w:val="21"/>
                <w:highlight w:val="none"/>
              </w:rPr>
            </w:pPr>
            <w:r>
              <w:rPr>
                <w:rFonts w:hint="eastAsia" w:ascii="宋体" w:hAnsi="宋体" w:eastAsia="宋体" w:cs="宋体"/>
                <w:snapToGrid w:val="0"/>
                <w:color w:val="auto"/>
                <w:spacing w:val="-4"/>
                <w:szCs w:val="21"/>
                <w:highlight w:val="none"/>
              </w:rPr>
              <w:t>2、若出现有配送服务问题，由考核方做好记录(若存在质量问题，做好拍照记录，由被考核方签字确认)；</w:t>
            </w:r>
          </w:p>
          <w:p w14:paraId="342A494E">
            <w:pPr>
              <w:spacing w:line="360" w:lineRule="exact"/>
              <w:ind w:left="113" w:right="113"/>
              <w:jc w:val="left"/>
              <w:rPr>
                <w:rFonts w:hint="eastAsia" w:ascii="宋体" w:hAnsi="宋体" w:eastAsia="宋体" w:cs="宋体"/>
                <w:snapToGrid w:val="0"/>
                <w:color w:val="auto"/>
                <w:spacing w:val="-4"/>
                <w:szCs w:val="21"/>
                <w:highlight w:val="none"/>
              </w:rPr>
            </w:pPr>
            <w:r>
              <w:rPr>
                <w:rFonts w:hint="eastAsia" w:ascii="宋体" w:hAnsi="宋体" w:eastAsia="宋体" w:cs="宋体"/>
                <w:snapToGrid w:val="0"/>
                <w:color w:val="auto"/>
                <w:spacing w:val="-4"/>
                <w:szCs w:val="21"/>
                <w:highlight w:val="none"/>
              </w:rPr>
              <w:t>3、配送商本次考核总分在 99-80 分，需对被扣分项按合同规定限期整改；</w:t>
            </w:r>
          </w:p>
          <w:p w14:paraId="194B3E70">
            <w:pPr>
              <w:spacing w:line="360" w:lineRule="exact"/>
              <w:ind w:left="113" w:right="113"/>
              <w:jc w:val="left"/>
              <w:rPr>
                <w:rFonts w:hint="eastAsia" w:ascii="宋体" w:hAnsi="宋体" w:eastAsia="宋体" w:cs="宋体"/>
                <w:snapToGrid w:val="0"/>
                <w:color w:val="auto"/>
                <w:spacing w:val="-4"/>
                <w:szCs w:val="21"/>
                <w:highlight w:val="none"/>
              </w:rPr>
            </w:pPr>
            <w:r>
              <w:rPr>
                <w:rFonts w:hint="eastAsia" w:ascii="宋体" w:hAnsi="宋体" w:eastAsia="宋体" w:cs="宋体"/>
                <w:snapToGrid w:val="0"/>
                <w:color w:val="auto"/>
                <w:spacing w:val="-4"/>
                <w:szCs w:val="21"/>
                <w:highlight w:val="none"/>
              </w:rPr>
              <w:t>4、配送商考核总分在 79-70 分，罚款 1000 元；</w:t>
            </w:r>
          </w:p>
          <w:p w14:paraId="4732E87F">
            <w:pPr>
              <w:spacing w:line="360" w:lineRule="exact"/>
              <w:ind w:left="113" w:right="113"/>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pacing w:val="-4"/>
                <w:szCs w:val="21"/>
                <w:highlight w:val="none"/>
              </w:rPr>
              <w:t>5、连续评议两个月、动态累计三次月度考核低于 80 分的配送商即加入黑名单，禁止任何形式参与</w:t>
            </w:r>
            <w:r>
              <w:rPr>
                <w:rFonts w:hint="eastAsia" w:ascii="宋体" w:hAnsi="宋体" w:eastAsia="宋体" w:cs="宋体"/>
                <w:snapToGrid w:val="0"/>
                <w:color w:val="auto"/>
                <w:spacing w:val="-4"/>
                <w:szCs w:val="21"/>
                <w:highlight w:val="none"/>
              </w:rPr>
              <w:t>七星区</w:t>
            </w:r>
            <w:r>
              <w:rPr>
                <w:rFonts w:hint="eastAsia" w:ascii="宋体" w:hAnsi="宋体" w:eastAsia="宋体" w:cs="宋体"/>
                <w:snapToGrid w:val="0"/>
                <w:color w:val="auto"/>
                <w:spacing w:val="-4"/>
                <w:szCs w:val="21"/>
                <w:highlight w:val="none"/>
              </w:rPr>
              <w:t>学校食材配送等相关工作。</w:t>
            </w:r>
          </w:p>
        </w:tc>
      </w:tr>
    </w:tbl>
    <w:p w14:paraId="63846612">
      <w:pPr>
        <w:rPr>
          <w:rFonts w:hint="eastAsia" w:ascii="宋体" w:hAnsi="宋体" w:eastAsia="宋体" w:cs="宋体"/>
          <w:b/>
          <w:color w:val="auto"/>
          <w:kern w:val="0"/>
          <w:sz w:val="32"/>
          <w:highlight w:val="none"/>
        </w:rPr>
      </w:pPr>
    </w:p>
    <w:p w14:paraId="6FBC19EB">
      <w:pPr>
        <w:rPr>
          <w:rFonts w:hint="eastAsia" w:ascii="宋体" w:hAnsi="宋体" w:eastAsia="宋体" w:cs="宋体"/>
          <w:b/>
          <w:color w:val="auto"/>
          <w:kern w:val="0"/>
          <w:sz w:val="32"/>
          <w:highlight w:val="none"/>
        </w:rPr>
      </w:pPr>
      <w:r>
        <w:rPr>
          <w:rFonts w:hint="eastAsia" w:ascii="宋体" w:hAnsi="宋体" w:eastAsia="宋体" w:cs="宋体"/>
          <w:b/>
          <w:color w:val="auto"/>
          <w:kern w:val="0"/>
          <w:sz w:val="32"/>
          <w:highlight w:val="none"/>
        </w:rPr>
        <w:br w:type="page"/>
      </w:r>
    </w:p>
    <w:p w14:paraId="5EA53565">
      <w:pPr>
        <w:wordWrap w:val="0"/>
        <w:spacing w:line="360" w:lineRule="exact"/>
        <w:jc w:val="center"/>
        <w:outlineLvl w:val="0"/>
        <w:rPr>
          <w:rFonts w:hint="eastAsia" w:ascii="宋体" w:hAnsi="宋体" w:eastAsia="宋体" w:cs="宋体"/>
          <w:b/>
          <w:color w:val="auto"/>
          <w:kern w:val="0"/>
          <w:sz w:val="32"/>
          <w:szCs w:val="32"/>
          <w:highlight w:val="none"/>
        </w:rPr>
      </w:pPr>
      <w:bookmarkStart w:id="169" w:name="_Toc12620"/>
      <w:r>
        <w:rPr>
          <w:rFonts w:hint="eastAsia" w:ascii="宋体" w:hAnsi="宋体" w:eastAsia="宋体" w:cs="宋体"/>
          <w:b/>
          <w:color w:val="auto"/>
          <w:kern w:val="0"/>
          <w:sz w:val="32"/>
          <w:highlight w:val="none"/>
        </w:rPr>
        <w:t xml:space="preserve">第四章  </w:t>
      </w:r>
      <w:r>
        <w:rPr>
          <w:rFonts w:hint="eastAsia" w:ascii="宋体" w:hAnsi="宋体" w:eastAsia="宋体" w:cs="宋体"/>
          <w:b/>
          <w:color w:val="auto"/>
          <w:kern w:val="0"/>
          <w:sz w:val="32"/>
          <w:szCs w:val="32"/>
          <w:highlight w:val="none"/>
        </w:rPr>
        <w:t>评审办法</w:t>
      </w:r>
      <w:bookmarkEnd w:id="169"/>
    </w:p>
    <w:p w14:paraId="1B20D8EB">
      <w:pPr>
        <w:tabs>
          <w:tab w:val="left" w:pos="1140"/>
        </w:tabs>
        <w:wordWrap w:val="0"/>
        <w:spacing w:line="460" w:lineRule="exact"/>
        <w:ind w:firstLine="422" w:firstLineChars="200"/>
        <w:rPr>
          <w:rFonts w:hint="eastAsia" w:ascii="宋体" w:hAnsi="宋体" w:eastAsia="宋体" w:cs="宋体"/>
          <w:b/>
          <w:bCs/>
          <w:color w:val="auto"/>
          <w:kern w:val="0"/>
          <w:szCs w:val="21"/>
          <w:highlight w:val="none"/>
        </w:rPr>
      </w:pPr>
      <w:bookmarkStart w:id="170" w:name="_Toc25527"/>
      <w:r>
        <w:rPr>
          <w:rFonts w:hint="eastAsia" w:ascii="宋体" w:hAnsi="宋体" w:eastAsia="宋体" w:cs="宋体"/>
          <w:b/>
          <w:bCs/>
          <w:color w:val="auto"/>
          <w:kern w:val="0"/>
          <w:szCs w:val="21"/>
          <w:highlight w:val="none"/>
        </w:rPr>
        <w:t>一、评标依据及方式</w:t>
      </w:r>
      <w:bookmarkEnd w:id="170"/>
    </w:p>
    <w:p w14:paraId="73C0E974">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1.评审依据：磋商小组以磋商文件和响应文件为评标依据，对供应商的响应文件进行评审。</w:t>
      </w:r>
    </w:p>
    <w:p w14:paraId="62562BD7">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2.评审方式：以封闭方式进行评标。</w:t>
      </w:r>
    </w:p>
    <w:p w14:paraId="1224CD4C">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3.根据财库〔2012〕69号文规定，采购人和采购代理机构、磋商小组成员要严格遵守政府采购相关法律制度，依法履行各自职责，公正、客观、审慎地组织和参与评审工作。</w:t>
      </w:r>
    </w:p>
    <w:p w14:paraId="750BAE89">
      <w:pPr>
        <w:tabs>
          <w:tab w:val="left" w:pos="1140"/>
        </w:tabs>
        <w:wordWrap w:val="0"/>
        <w:spacing w:line="460" w:lineRule="exact"/>
        <w:ind w:firstLine="422" w:firstLineChars="200"/>
        <w:rPr>
          <w:rFonts w:hint="eastAsia" w:ascii="宋体" w:hAnsi="宋体" w:eastAsia="宋体" w:cs="宋体"/>
          <w:b/>
          <w:bCs/>
          <w:color w:val="auto"/>
          <w:kern w:val="0"/>
          <w:szCs w:val="21"/>
          <w:highlight w:val="none"/>
        </w:rPr>
      </w:pPr>
    </w:p>
    <w:p w14:paraId="4AC5F169">
      <w:pPr>
        <w:tabs>
          <w:tab w:val="left" w:pos="1140"/>
        </w:tabs>
        <w:wordWrap w:val="0"/>
        <w:spacing w:line="46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 二、评审办法</w:t>
      </w:r>
    </w:p>
    <w:p w14:paraId="0706C162">
      <w:pPr>
        <w:tabs>
          <w:tab w:val="left" w:pos="1140"/>
        </w:tabs>
        <w:wordWrap w:val="0"/>
        <w:spacing w:line="40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（一）对进入详评的，采用综合评分法。</w:t>
      </w:r>
    </w:p>
    <w:p w14:paraId="4680B09F">
      <w:pPr>
        <w:tabs>
          <w:tab w:val="left" w:pos="1140"/>
        </w:tabs>
        <w:wordWrap w:val="0"/>
        <w:spacing w:line="40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（二）计分办法（按四舍五入取至小数点后二位）</w:t>
      </w:r>
    </w:p>
    <w:p w14:paraId="3E9806C7">
      <w:pPr>
        <w:tabs>
          <w:tab w:val="left" w:pos="1140"/>
        </w:tabs>
        <w:wordWrap w:val="0"/>
        <w:spacing w:line="46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分标1适用:</w:t>
      </w:r>
    </w:p>
    <w:p w14:paraId="1C28B772">
      <w:pPr>
        <w:wordWrap w:val="0"/>
        <w:spacing w:line="46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 1.价格分…………………</w:t>
      </w:r>
      <w:bookmarkStart w:id="171" w:name="OLE_LINK57"/>
      <w:bookmarkStart w:id="172" w:name="OLE_LINK58"/>
      <w:r>
        <w:rPr>
          <w:rFonts w:hint="eastAsia" w:ascii="宋体" w:hAnsi="宋体" w:eastAsia="宋体" w:cs="宋体"/>
          <w:b/>
          <w:bCs/>
          <w:color w:val="auto"/>
          <w:kern w:val="0"/>
          <w:szCs w:val="21"/>
          <w:highlight w:val="none"/>
        </w:rPr>
        <w:t>……………</w:t>
      </w:r>
      <w:bookmarkEnd w:id="171"/>
      <w:bookmarkEnd w:id="172"/>
      <w:r>
        <w:rPr>
          <w:rFonts w:hint="eastAsia" w:ascii="宋体" w:hAnsi="宋体" w:eastAsia="宋体" w:cs="宋体"/>
          <w:b/>
          <w:bCs/>
          <w:color w:val="auto"/>
          <w:kern w:val="0"/>
          <w:szCs w:val="21"/>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kern w:val="0"/>
          <w:szCs w:val="21"/>
          <w:highlight w:val="none"/>
        </w:rPr>
        <w:t>…20分</w:t>
      </w:r>
    </w:p>
    <w:p w14:paraId="098BB0EC">
      <w:pPr>
        <w:spacing w:line="400" w:lineRule="exact"/>
        <w:ind w:firstLine="359" w:firstLineChars="171"/>
        <w:rPr>
          <w:rFonts w:hint="eastAsia" w:ascii="宋体" w:hAnsi="宋体" w:eastAsia="宋体" w:cs="宋体"/>
          <w:color w:val="auto"/>
          <w:szCs w:val="20"/>
          <w:highlight w:val="none"/>
        </w:rPr>
      </w:pPr>
      <w:bookmarkStart w:id="173" w:name="OLE_LINK118"/>
      <w:bookmarkStart w:id="174" w:name="OLE_LINK127"/>
      <w:r>
        <w:rPr>
          <w:rFonts w:hint="eastAsia" w:ascii="宋体" w:hAnsi="宋体" w:eastAsia="宋体" w:cs="宋体"/>
          <w:color w:val="auto"/>
          <w:szCs w:val="20"/>
          <w:highlight w:val="none"/>
        </w:rPr>
        <w:t>（1）</w:t>
      </w:r>
      <w:r>
        <w:rPr>
          <w:rFonts w:hint="eastAsia" w:ascii="宋体" w:hAnsi="宋体" w:eastAsia="宋体" w:cs="宋体"/>
          <w:color w:val="auto"/>
          <w:kern w:val="0"/>
          <w:szCs w:val="20"/>
          <w:highlight w:val="none"/>
        </w:rPr>
        <w:t>本项目为专门面向中型、小型、微型企业项目，按照《政府采购促进中小企业发展管理办法》（财库〔2020〕46号）第九条规定，小微企业、监狱企业、残疾人福利性单位不执行价格评审优惠的扶持政策。</w:t>
      </w:r>
    </w:p>
    <w:p w14:paraId="7E746DBF">
      <w:pPr>
        <w:tabs>
          <w:tab w:val="left" w:pos="1140"/>
        </w:tabs>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（2）以进入综合评分环节的最低的评审报价（综合折扣率）为磋商基准价，磋商基准价报价得分为20分。</w:t>
      </w:r>
    </w:p>
    <w:p w14:paraId="7F68E082">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                                       磋商基准价</w:t>
      </w:r>
    </w:p>
    <w:p w14:paraId="358EBF6D">
      <w:pPr>
        <w:pStyle w:val="20"/>
        <w:rPr>
          <w:rFonts w:hint="eastAsia" w:ascii="宋体" w:hAnsi="宋体" w:eastAsia="宋体" w:cs="宋体"/>
          <w:color w:val="auto"/>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1995170</wp:posOffset>
                </wp:positionH>
                <wp:positionV relativeFrom="paragraph">
                  <wp:posOffset>113665</wp:posOffset>
                </wp:positionV>
                <wp:extent cx="2197100" cy="0"/>
                <wp:effectExtent l="0" t="4445" r="0" b="0"/>
                <wp:wrapNone/>
                <wp:docPr id="6" name="Line 105"/>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ln>
                        <a:effectLst/>
                      </wps:spPr>
                      <wps:bodyPr/>
                    </wps:wsp>
                  </a:graphicData>
                </a:graphic>
              </wp:anchor>
            </w:drawing>
          </mc:Choice>
          <mc:Fallback>
            <w:pict>
              <v:line id="Line 105" o:spid="_x0000_s1026" o:spt="20" style="position:absolute;left:0pt;margin-left:157.1pt;margin-top:8.95pt;height:0pt;width:173pt;z-index:251663360;mso-width-relative:page;mso-height-relative:page;" filled="f" stroked="t" coordsize="21600,21600" o:gfxdata="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&#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UuegDVAAAACQEAAA8AAAAAAAAAAQAgAAAAIgAAAGRy&#10;cy9kb3ducmV2LnhtbFBLAQIUABQAAAAIAIdO4kC5c3ZCzwEAAK8DAAAOAAAAAAAAAAEAIAAAACQB&#10;AABkcnMvZTJvRG9jLnhtbFBLBQYAAAAABgAGAFkBAABlBQAAAAA=&#10;">
                <v:fill on="f" focussize="0,0"/>
                <v:stroke color="#000000" joinstyle="round"/>
                <v:imagedata o:title=""/>
                <o:lock v:ext="edit" aspectratio="f"/>
              </v:line>
            </w:pict>
          </mc:Fallback>
        </mc:AlternateContent>
      </w:r>
      <w:r>
        <w:rPr>
          <w:rFonts w:hint="eastAsia" w:ascii="宋体" w:hAnsi="宋体" w:eastAsia="宋体" w:cs="宋体"/>
          <w:color w:val="auto"/>
          <w:highlight w:val="none"/>
        </w:rPr>
        <w:t xml:space="preserve">   （3）供应商磋商报价得分 =                                     ×20分</w:t>
      </w:r>
    </w:p>
    <w:p w14:paraId="08463A2A">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                                供应商的评审报价（综合折扣率）</w:t>
      </w:r>
    </w:p>
    <w:bookmarkEnd w:id="173"/>
    <w:bookmarkEnd w:id="174"/>
    <w:p w14:paraId="66AB6C16">
      <w:pPr>
        <w:spacing w:line="40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 2.项目实施方案分………………………………………………………………………………42分</w:t>
      </w:r>
    </w:p>
    <w:p w14:paraId="175C2EB6">
      <w:pPr>
        <w:tabs>
          <w:tab w:val="left" w:pos="4214"/>
        </w:tabs>
        <w:spacing w:line="400" w:lineRule="exact"/>
        <w:ind w:firstLine="422" w:firstLineChars="200"/>
        <w:rPr>
          <w:rFonts w:hint="eastAsia" w:ascii="宋体" w:hAnsi="宋体" w:eastAsia="宋体" w:cs="宋体"/>
          <w:b/>
          <w:bCs/>
          <w:color w:val="auto"/>
          <w:szCs w:val="20"/>
          <w:highlight w:val="none"/>
        </w:rPr>
      </w:pPr>
      <w:bookmarkStart w:id="175" w:name="OLE_LINK49"/>
      <w:bookmarkStart w:id="176" w:name="OLE_LINK89"/>
      <w:r>
        <w:rPr>
          <w:rFonts w:hint="eastAsia" w:ascii="宋体" w:hAnsi="宋体" w:eastAsia="宋体" w:cs="宋体"/>
          <w:b/>
          <w:bCs/>
          <w:color w:val="auto"/>
          <w:szCs w:val="20"/>
          <w:highlight w:val="none"/>
        </w:rPr>
        <w:t>（1）</w:t>
      </w:r>
      <w:r>
        <w:rPr>
          <w:rFonts w:hint="eastAsia" w:ascii="宋体" w:hAnsi="宋体" w:eastAsia="宋体" w:cs="宋体"/>
          <w:b/>
          <w:color w:val="auto"/>
          <w:kern w:val="0"/>
          <w:szCs w:val="21"/>
          <w:highlight w:val="none"/>
        </w:rPr>
        <w:t>内部</w:t>
      </w:r>
      <w:r>
        <w:rPr>
          <w:rFonts w:hint="eastAsia" w:ascii="宋体" w:hAnsi="宋体" w:eastAsia="宋体" w:cs="宋体"/>
          <w:b/>
          <w:bCs/>
          <w:color w:val="auto"/>
          <w:szCs w:val="20"/>
          <w:highlight w:val="none"/>
        </w:rPr>
        <w:t>管理制度分(满分6分)</w:t>
      </w:r>
    </w:p>
    <w:p w14:paraId="217238E2">
      <w:pPr>
        <w:tabs>
          <w:tab w:val="left" w:pos="4214"/>
        </w:tabs>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由评委根据供应商提供的项目实施方案中的“内部管理制度（</w:t>
      </w:r>
      <w:r>
        <w:rPr>
          <w:rFonts w:hint="eastAsia" w:ascii="宋体" w:hAnsi="宋体" w:eastAsia="宋体" w:cs="宋体"/>
          <w:color w:val="auto"/>
          <w:szCs w:val="20"/>
          <w:highlight w:val="none"/>
        </w:rPr>
        <w:t>包含以下评审因素</w:t>
      </w:r>
      <w:r>
        <w:rPr>
          <w:rFonts w:hint="eastAsia" w:ascii="宋体" w:hAnsi="宋体" w:eastAsia="宋体" w:cs="宋体"/>
          <w:color w:val="auto"/>
          <w:szCs w:val="21"/>
          <w:highlight w:val="none"/>
        </w:rPr>
        <w:t>：①岗位责任制度；②日常运营管理制度；</w:t>
      </w:r>
      <w:bookmarkStart w:id="177" w:name="OLE_LINK122"/>
      <w:bookmarkStart w:id="178" w:name="OLE_LINK121"/>
      <w:r>
        <w:rPr>
          <w:rFonts w:hint="eastAsia" w:ascii="宋体" w:hAnsi="宋体" w:eastAsia="宋体" w:cs="宋体"/>
          <w:color w:val="auto"/>
          <w:szCs w:val="21"/>
          <w:highlight w:val="none"/>
        </w:rPr>
        <w:t>③</w:t>
      </w:r>
      <w:bookmarkEnd w:id="177"/>
      <w:bookmarkEnd w:id="178"/>
      <w:r>
        <w:rPr>
          <w:rFonts w:hint="eastAsia" w:ascii="宋体" w:hAnsi="宋体" w:eastAsia="宋体" w:cs="宋体"/>
          <w:color w:val="auto"/>
          <w:szCs w:val="21"/>
          <w:highlight w:val="none"/>
        </w:rPr>
        <w:t>与校方对接服务制度；④服务质量考核制度；⑤档案资料管理制度）</w:t>
      </w:r>
      <w:r>
        <w:rPr>
          <w:rFonts w:hint="eastAsia" w:ascii="宋体" w:hAnsi="宋体" w:eastAsia="宋体" w:cs="宋体"/>
          <w:color w:val="auto"/>
          <w:szCs w:val="21"/>
          <w:highlight w:val="none"/>
        </w:rPr>
        <w:t>”内容的合理性、可行性、针对性进行独立评审并按以下规则独立打分</w:t>
      </w:r>
      <w:r>
        <w:rPr>
          <w:rFonts w:hint="eastAsia" w:ascii="宋体" w:hAnsi="宋体" w:eastAsia="宋体" w:cs="宋体"/>
          <w:color w:val="auto"/>
          <w:szCs w:val="21"/>
          <w:highlight w:val="none"/>
        </w:rPr>
        <w:t>：</w:t>
      </w:r>
    </w:p>
    <w:p w14:paraId="044589E5">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一档（1.5分）：在5</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54E6282D">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二档（3分）：在</w:t>
      </w:r>
      <w:r>
        <w:rPr>
          <w:rFonts w:hint="eastAsia" w:ascii="宋体" w:hAnsi="宋体" w:eastAsia="宋体" w:cs="宋体"/>
          <w:color w:val="auto"/>
          <w:szCs w:val="20"/>
          <w:highlight w:val="none"/>
        </w:rPr>
        <w:t>5项评审因素中经评审有2项合理、可行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3DBF105D">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三档（4.5分）：在</w:t>
      </w:r>
      <w:r>
        <w:rPr>
          <w:rFonts w:hint="eastAsia" w:ascii="宋体" w:hAnsi="宋体" w:eastAsia="宋体" w:cs="宋体"/>
          <w:color w:val="auto"/>
          <w:szCs w:val="20"/>
          <w:highlight w:val="none"/>
        </w:rPr>
        <w:t>5项评审因素中经评审有3-4项合理、可行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12E94500">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四档（6分）：在</w:t>
      </w:r>
      <w:r>
        <w:rPr>
          <w:rFonts w:hint="eastAsia" w:ascii="宋体" w:hAnsi="宋体" w:eastAsia="宋体" w:cs="宋体"/>
          <w:color w:val="auto"/>
          <w:szCs w:val="20"/>
          <w:highlight w:val="none"/>
        </w:rPr>
        <w:t>5项评审因素中经评审有5项合理、可行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197FC5DE">
      <w:pPr>
        <w:tabs>
          <w:tab w:val="left" w:pos="4214"/>
        </w:tabs>
        <w:spacing w:line="400" w:lineRule="exact"/>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（2）食材质量管控措施分（满分8分）</w:t>
      </w:r>
    </w:p>
    <w:p w14:paraId="0F56F560">
      <w:pPr>
        <w:tabs>
          <w:tab w:val="left" w:pos="4214"/>
        </w:tabs>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由评委根据供应商提供的项目实施方案中的“食材质量管控措施（</w:t>
      </w:r>
      <w:r>
        <w:rPr>
          <w:rFonts w:hint="eastAsia" w:ascii="宋体" w:hAnsi="宋体" w:eastAsia="宋体" w:cs="宋体"/>
          <w:color w:val="auto"/>
          <w:szCs w:val="20"/>
          <w:highlight w:val="none"/>
        </w:rPr>
        <w:t>包含以下评审因素：</w:t>
      </w:r>
      <w:r>
        <w:rPr>
          <w:rFonts w:hint="eastAsia" w:ascii="宋体" w:hAnsi="宋体" w:eastAsia="宋体" w:cs="宋体"/>
          <w:color w:val="auto"/>
          <w:szCs w:val="21"/>
          <w:highlight w:val="none"/>
        </w:rPr>
        <w:t>①</w:t>
      </w:r>
      <w:r>
        <w:rPr>
          <w:rFonts w:hint="eastAsia" w:ascii="宋体" w:hAnsi="宋体" w:eastAsia="宋体" w:cs="宋体"/>
          <w:color w:val="auto"/>
          <w:kern w:val="0"/>
          <w:szCs w:val="21"/>
          <w:highlight w:val="none"/>
        </w:rPr>
        <w:t>食材</w:t>
      </w:r>
      <w:r>
        <w:rPr>
          <w:rFonts w:hint="eastAsia" w:ascii="宋体" w:hAnsi="宋体" w:eastAsia="宋体" w:cs="宋体"/>
          <w:color w:val="auto"/>
          <w:szCs w:val="21"/>
          <w:highlight w:val="none"/>
        </w:rPr>
        <w:t>进货渠道与溯源</w:t>
      </w:r>
      <w:r>
        <w:rPr>
          <w:rFonts w:hint="eastAsia" w:ascii="宋体" w:hAnsi="宋体" w:eastAsia="宋体" w:cs="宋体"/>
          <w:color w:val="auto"/>
          <w:kern w:val="0"/>
          <w:szCs w:val="21"/>
          <w:highlight w:val="none"/>
        </w:rPr>
        <w:t>方式</w:t>
      </w:r>
      <w:r>
        <w:rPr>
          <w:rFonts w:hint="eastAsia" w:ascii="宋体" w:hAnsi="宋体" w:eastAsia="宋体" w:cs="宋体"/>
          <w:color w:val="auto"/>
          <w:szCs w:val="21"/>
          <w:highlight w:val="none"/>
        </w:rPr>
        <w:t>；②索证索票管理及查验、验收符合机制；③不合格品拒收机制与处置流程、④配送过程品质</w:t>
      </w:r>
      <w:r>
        <w:rPr>
          <w:rFonts w:hint="eastAsia" w:ascii="宋体" w:hAnsi="宋体" w:eastAsia="宋体" w:cs="宋体"/>
          <w:color w:val="auto"/>
          <w:kern w:val="0"/>
          <w:szCs w:val="21"/>
          <w:highlight w:val="none"/>
        </w:rPr>
        <w:t>控制管理措施</w:t>
      </w:r>
      <w:r>
        <w:rPr>
          <w:rFonts w:hint="eastAsia" w:ascii="宋体" w:hAnsi="宋体" w:eastAsia="宋体" w:cs="宋体"/>
          <w:color w:val="auto"/>
          <w:szCs w:val="21"/>
          <w:highlight w:val="none"/>
        </w:rPr>
        <w:t>；⑤质量问题召回措施</w:t>
      </w:r>
      <w:bookmarkStart w:id="179" w:name="OLE_LINK82"/>
      <w:bookmarkStart w:id="180" w:name="OLE_LINK81"/>
      <w:r>
        <w:rPr>
          <w:rFonts w:hint="eastAsia" w:ascii="宋体" w:hAnsi="宋体" w:eastAsia="宋体" w:cs="宋体"/>
          <w:color w:val="auto"/>
          <w:szCs w:val="21"/>
          <w:highlight w:val="none"/>
        </w:rPr>
        <w:t>；</w:t>
      </w:r>
      <w:bookmarkEnd w:id="179"/>
      <w:bookmarkEnd w:id="180"/>
      <w:bookmarkStart w:id="181" w:name="OLE_LINK137"/>
      <w:bookmarkStart w:id="182" w:name="OLE_LINK138"/>
      <w:r>
        <w:rPr>
          <w:rFonts w:hint="eastAsia" w:ascii="宋体" w:hAnsi="宋体" w:eastAsia="宋体" w:cs="宋体"/>
          <w:color w:val="auto"/>
          <w:szCs w:val="21"/>
          <w:highlight w:val="none"/>
        </w:rPr>
        <w:t>⑥</w:t>
      </w:r>
      <w:bookmarkEnd w:id="181"/>
      <w:bookmarkEnd w:id="182"/>
      <w:r>
        <w:rPr>
          <w:rFonts w:hint="eastAsia" w:ascii="宋体" w:hAnsi="宋体" w:eastAsia="宋体" w:cs="宋体"/>
          <w:color w:val="auto"/>
          <w:szCs w:val="21"/>
          <w:highlight w:val="none"/>
        </w:rPr>
        <w:t>采购档案管理）</w:t>
      </w:r>
      <w:r>
        <w:rPr>
          <w:rFonts w:hint="eastAsia" w:ascii="宋体" w:hAnsi="宋体" w:eastAsia="宋体" w:cs="宋体"/>
          <w:color w:val="auto"/>
          <w:szCs w:val="21"/>
          <w:highlight w:val="none"/>
        </w:rPr>
        <w:t>”内容的合理性、可行性、针对性进行独立评审并按以下规则独立打分</w:t>
      </w:r>
      <w:r>
        <w:rPr>
          <w:rFonts w:hint="eastAsia" w:ascii="宋体" w:hAnsi="宋体" w:eastAsia="宋体" w:cs="宋体"/>
          <w:color w:val="auto"/>
          <w:szCs w:val="21"/>
          <w:highlight w:val="none"/>
        </w:rPr>
        <w:t>：</w:t>
      </w:r>
    </w:p>
    <w:p w14:paraId="6119CE38">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一档（2分）：在6</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6D4DAE7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二档（4分）：在</w:t>
      </w:r>
      <w:r>
        <w:rPr>
          <w:rFonts w:hint="eastAsia" w:ascii="宋体" w:hAnsi="宋体" w:eastAsia="宋体" w:cs="宋体"/>
          <w:color w:val="auto"/>
          <w:szCs w:val="20"/>
          <w:highlight w:val="none"/>
        </w:rPr>
        <w:t>6项评审因素中经评审有2-3项合理、可行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551C197A">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三档（6分）：在</w:t>
      </w:r>
      <w:r>
        <w:rPr>
          <w:rFonts w:hint="eastAsia" w:ascii="宋体" w:hAnsi="宋体" w:eastAsia="宋体" w:cs="宋体"/>
          <w:color w:val="auto"/>
          <w:szCs w:val="20"/>
          <w:highlight w:val="none"/>
        </w:rPr>
        <w:t>6项评审因素中经评审有4-5项合理、可行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06E81BE9">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四档（8分）：在</w:t>
      </w:r>
      <w:r>
        <w:rPr>
          <w:rFonts w:hint="eastAsia" w:ascii="宋体" w:hAnsi="宋体" w:eastAsia="宋体" w:cs="宋体"/>
          <w:color w:val="auto"/>
          <w:szCs w:val="20"/>
          <w:highlight w:val="none"/>
        </w:rPr>
        <w:t>6项评审因素中经评审有6项合理、可行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4340A746">
      <w:pPr>
        <w:tabs>
          <w:tab w:val="left" w:pos="4214"/>
        </w:tabs>
        <w:spacing w:line="400" w:lineRule="exact"/>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（3）</w:t>
      </w:r>
      <w:bookmarkStart w:id="183" w:name="OLE_LINK79"/>
      <w:bookmarkStart w:id="184" w:name="OLE_LINK80"/>
      <w:bookmarkStart w:id="185" w:name="OLE_LINK245"/>
      <w:bookmarkStart w:id="186" w:name="OLE_LINK246"/>
      <w:r>
        <w:rPr>
          <w:rFonts w:hint="eastAsia" w:ascii="宋体" w:hAnsi="宋体" w:eastAsia="宋体" w:cs="宋体"/>
          <w:b/>
          <w:bCs/>
          <w:color w:val="auto"/>
          <w:szCs w:val="20"/>
          <w:highlight w:val="none"/>
        </w:rPr>
        <w:t>经营场所卫生管理</w:t>
      </w:r>
      <w:bookmarkEnd w:id="183"/>
      <w:bookmarkEnd w:id="184"/>
      <w:r>
        <w:rPr>
          <w:rFonts w:hint="eastAsia" w:ascii="宋体" w:hAnsi="宋体" w:eastAsia="宋体" w:cs="宋体"/>
          <w:b/>
          <w:bCs/>
          <w:color w:val="auto"/>
          <w:szCs w:val="20"/>
          <w:highlight w:val="none"/>
        </w:rPr>
        <w:t>及检验检疫措施</w:t>
      </w:r>
      <w:bookmarkEnd w:id="185"/>
      <w:bookmarkEnd w:id="186"/>
      <w:r>
        <w:rPr>
          <w:rFonts w:hint="eastAsia" w:ascii="宋体" w:hAnsi="宋体" w:eastAsia="宋体" w:cs="宋体"/>
          <w:b/>
          <w:bCs/>
          <w:color w:val="auto"/>
          <w:szCs w:val="20"/>
          <w:highlight w:val="none"/>
        </w:rPr>
        <w:t>分（满分 6分）</w:t>
      </w:r>
    </w:p>
    <w:p w14:paraId="64FA96B5">
      <w:pPr>
        <w:tabs>
          <w:tab w:val="left" w:pos="4214"/>
        </w:tabs>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由评委根据供应商提供的项目实施方案中的“</w:t>
      </w:r>
      <w:bookmarkStart w:id="187" w:name="OLE_LINK248"/>
      <w:bookmarkStart w:id="188" w:name="OLE_LINK247"/>
      <w:r>
        <w:rPr>
          <w:rFonts w:hint="eastAsia" w:ascii="宋体" w:hAnsi="宋体" w:eastAsia="宋体" w:cs="宋体"/>
          <w:color w:val="auto"/>
          <w:szCs w:val="21"/>
          <w:highlight w:val="none"/>
        </w:rPr>
        <w:t>经营场所卫生管理及检验检疫措施</w:t>
      </w:r>
      <w:bookmarkEnd w:id="187"/>
      <w:bookmarkEnd w:id="188"/>
      <w:r>
        <w:rPr>
          <w:rFonts w:hint="eastAsia" w:ascii="宋体" w:hAnsi="宋体" w:eastAsia="宋体" w:cs="宋体"/>
          <w:color w:val="auto"/>
          <w:szCs w:val="21"/>
          <w:highlight w:val="none"/>
        </w:rPr>
        <w:t>（</w:t>
      </w:r>
      <w:r>
        <w:rPr>
          <w:rFonts w:hint="eastAsia" w:ascii="宋体" w:hAnsi="宋体" w:eastAsia="宋体" w:cs="宋体"/>
          <w:color w:val="auto"/>
          <w:szCs w:val="20"/>
          <w:highlight w:val="none"/>
        </w:rPr>
        <w:t>包含以下评审因素：</w:t>
      </w:r>
      <w:r>
        <w:rPr>
          <w:rFonts w:hint="eastAsia" w:ascii="宋体" w:hAnsi="宋体" w:eastAsia="宋体" w:cs="宋体"/>
          <w:color w:val="auto"/>
          <w:szCs w:val="21"/>
          <w:highlight w:val="none"/>
        </w:rPr>
        <w:t>①经营</w:t>
      </w:r>
      <w:r>
        <w:rPr>
          <w:rFonts w:hint="eastAsia" w:ascii="宋体" w:hAnsi="宋体" w:eastAsia="宋体" w:cs="宋体"/>
          <w:bCs/>
          <w:color w:val="auto"/>
          <w:szCs w:val="20"/>
          <w:highlight w:val="none"/>
        </w:rPr>
        <w:t>场所卫生管理措施；</w:t>
      </w:r>
      <w:r>
        <w:rPr>
          <w:rFonts w:hint="eastAsia" w:ascii="宋体" w:hAnsi="宋体" w:eastAsia="宋体" w:cs="宋体"/>
          <w:color w:val="auto"/>
          <w:szCs w:val="21"/>
          <w:highlight w:val="none"/>
        </w:rPr>
        <w:t>②日常检测机制；</w:t>
      </w:r>
      <w:bookmarkStart w:id="189" w:name="OLE_LINK125"/>
      <w:bookmarkStart w:id="190" w:name="OLE_LINK126"/>
      <w:r>
        <w:rPr>
          <w:rFonts w:hint="eastAsia" w:ascii="宋体" w:hAnsi="宋体" w:eastAsia="宋体" w:cs="宋体"/>
          <w:color w:val="auto"/>
          <w:szCs w:val="21"/>
          <w:highlight w:val="none"/>
        </w:rPr>
        <w:t>③</w:t>
      </w:r>
      <w:bookmarkEnd w:id="189"/>
      <w:bookmarkEnd w:id="190"/>
      <w:r>
        <w:rPr>
          <w:rFonts w:hint="eastAsia" w:ascii="宋体" w:hAnsi="宋体" w:eastAsia="宋体" w:cs="宋体"/>
          <w:color w:val="auto"/>
          <w:szCs w:val="21"/>
          <w:highlight w:val="none"/>
        </w:rPr>
        <w:t>检测人员与操作规范；</w:t>
      </w:r>
      <w:bookmarkStart w:id="191" w:name="OLE_LINK123"/>
      <w:bookmarkStart w:id="192" w:name="OLE_LINK124"/>
      <w:r>
        <w:rPr>
          <w:rFonts w:hint="eastAsia" w:ascii="宋体" w:hAnsi="宋体" w:eastAsia="宋体" w:cs="宋体"/>
          <w:color w:val="auto"/>
          <w:szCs w:val="21"/>
          <w:highlight w:val="none"/>
        </w:rPr>
        <w:t>④样品留存与责任追溯</w:t>
      </w:r>
      <w:bookmarkEnd w:id="191"/>
      <w:bookmarkEnd w:id="192"/>
      <w:r>
        <w:rPr>
          <w:rFonts w:hint="eastAsia" w:ascii="宋体" w:hAnsi="宋体" w:eastAsia="宋体" w:cs="宋体"/>
          <w:color w:val="auto"/>
          <w:szCs w:val="21"/>
          <w:highlight w:val="none"/>
        </w:rPr>
        <w:t>；⑤分拣及检验检疫设备消杀）</w:t>
      </w:r>
      <w:r>
        <w:rPr>
          <w:rFonts w:hint="eastAsia" w:ascii="宋体" w:hAnsi="宋体" w:eastAsia="宋体" w:cs="宋体"/>
          <w:color w:val="auto"/>
          <w:szCs w:val="21"/>
          <w:highlight w:val="none"/>
        </w:rPr>
        <w:t>”内容的合理性、可行性、针对性进行独立评审并按以下规则独立打分</w:t>
      </w:r>
      <w:r>
        <w:rPr>
          <w:rFonts w:hint="eastAsia" w:ascii="宋体" w:hAnsi="宋体" w:eastAsia="宋体" w:cs="宋体"/>
          <w:color w:val="auto"/>
          <w:szCs w:val="21"/>
          <w:highlight w:val="none"/>
        </w:rPr>
        <w:t>：</w:t>
      </w:r>
    </w:p>
    <w:p w14:paraId="6CD005A9">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一档（1.5分）：在5</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27F38876">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二档（3分）：在</w:t>
      </w:r>
      <w:r>
        <w:rPr>
          <w:rFonts w:hint="eastAsia" w:ascii="宋体" w:hAnsi="宋体" w:eastAsia="宋体" w:cs="宋体"/>
          <w:color w:val="auto"/>
          <w:szCs w:val="20"/>
          <w:highlight w:val="none"/>
        </w:rPr>
        <w:t>5项评审因素中经评审有2项合理、可行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13A3C586">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三档（4.5分）：在</w:t>
      </w:r>
      <w:r>
        <w:rPr>
          <w:rFonts w:hint="eastAsia" w:ascii="宋体" w:hAnsi="宋体" w:eastAsia="宋体" w:cs="宋体"/>
          <w:color w:val="auto"/>
          <w:szCs w:val="20"/>
          <w:highlight w:val="none"/>
        </w:rPr>
        <w:t>5项评审因素中经评审有3-4项合理、可行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4331BED5">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四档（6分）：在</w:t>
      </w:r>
      <w:r>
        <w:rPr>
          <w:rFonts w:hint="eastAsia" w:ascii="宋体" w:hAnsi="宋体" w:eastAsia="宋体" w:cs="宋体"/>
          <w:color w:val="auto"/>
          <w:szCs w:val="20"/>
          <w:highlight w:val="none"/>
        </w:rPr>
        <w:t>5项评审因素中经评审有5项合理、可行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40FD8042">
      <w:pPr>
        <w:tabs>
          <w:tab w:val="left" w:pos="4214"/>
        </w:tabs>
        <w:spacing w:line="440" w:lineRule="exact"/>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 xml:space="preserve">   （4）配送方案分(满分 8 分)</w:t>
      </w:r>
    </w:p>
    <w:p w14:paraId="7C515A92">
      <w:pPr>
        <w:tabs>
          <w:tab w:val="left" w:pos="4214"/>
        </w:tabs>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由评委根据供应商提供的项目实施方案中的“配送方案（</w:t>
      </w:r>
      <w:r>
        <w:rPr>
          <w:rFonts w:hint="eastAsia" w:ascii="宋体" w:hAnsi="宋体" w:eastAsia="宋体" w:cs="宋体"/>
          <w:color w:val="auto"/>
          <w:szCs w:val="20"/>
          <w:highlight w:val="none"/>
        </w:rPr>
        <w:t>包含以下评审因素</w:t>
      </w:r>
      <w:r>
        <w:rPr>
          <w:rFonts w:hint="eastAsia" w:ascii="宋体" w:hAnsi="宋体" w:eastAsia="宋体" w:cs="宋体"/>
          <w:color w:val="auto"/>
          <w:szCs w:val="21"/>
          <w:highlight w:val="none"/>
        </w:rPr>
        <w:t>：①</w:t>
      </w:r>
      <w:r>
        <w:rPr>
          <w:rFonts w:hint="eastAsia" w:ascii="宋体" w:hAnsi="宋体" w:eastAsia="宋体" w:cs="宋体"/>
          <w:color w:val="auto"/>
          <w:kern w:val="0"/>
          <w:szCs w:val="21"/>
          <w:highlight w:val="none"/>
        </w:rPr>
        <w:t>配送的流程</w:t>
      </w:r>
      <w:r>
        <w:rPr>
          <w:rFonts w:hint="eastAsia" w:ascii="宋体" w:hAnsi="宋体" w:eastAsia="宋体" w:cs="宋体"/>
          <w:color w:val="auto"/>
          <w:szCs w:val="20"/>
          <w:highlight w:val="none"/>
        </w:rPr>
        <w:t>及路线规划</w:t>
      </w:r>
      <w:r>
        <w:rPr>
          <w:rFonts w:hint="eastAsia" w:ascii="宋体" w:hAnsi="宋体" w:eastAsia="宋体" w:cs="宋体"/>
          <w:color w:val="auto"/>
          <w:szCs w:val="21"/>
          <w:highlight w:val="none"/>
        </w:rPr>
        <w:t>；②配送实施方案；③配送运输方法；④食材加工、包</w:t>
      </w:r>
      <w:r>
        <w:rPr>
          <w:rFonts w:hint="eastAsia" w:ascii="宋体" w:hAnsi="宋体" w:eastAsia="宋体" w:cs="宋体"/>
          <w:color w:val="auto"/>
          <w:kern w:val="0"/>
          <w:szCs w:val="21"/>
          <w:highlight w:val="none"/>
        </w:rPr>
        <w:t>装、卫生、保鲜、损耗控制措施</w:t>
      </w:r>
      <w:r>
        <w:rPr>
          <w:rFonts w:hint="eastAsia" w:ascii="宋体" w:hAnsi="宋体" w:eastAsia="宋体" w:cs="宋体"/>
          <w:color w:val="auto"/>
          <w:szCs w:val="21"/>
          <w:highlight w:val="none"/>
        </w:rPr>
        <w:t>；⑤</w:t>
      </w:r>
      <w:r>
        <w:rPr>
          <w:rFonts w:hint="eastAsia" w:ascii="宋体" w:hAnsi="宋体" w:eastAsia="宋体" w:cs="宋体"/>
          <w:color w:val="auto"/>
          <w:szCs w:val="20"/>
          <w:highlight w:val="none"/>
        </w:rPr>
        <w:t>配送时效管控</w:t>
      </w:r>
      <w:r>
        <w:rPr>
          <w:rFonts w:hint="eastAsia" w:ascii="宋体" w:hAnsi="宋体" w:eastAsia="宋体" w:cs="宋体"/>
          <w:color w:val="auto"/>
          <w:szCs w:val="21"/>
          <w:highlight w:val="none"/>
        </w:rPr>
        <w:t>；⑥</w:t>
      </w:r>
      <w:r>
        <w:rPr>
          <w:rFonts w:hint="eastAsia" w:ascii="宋体" w:hAnsi="宋体" w:eastAsia="宋体" w:cs="宋体"/>
          <w:color w:val="auto"/>
          <w:szCs w:val="20"/>
          <w:highlight w:val="none"/>
        </w:rPr>
        <w:t>食材装卸污染防护措施</w:t>
      </w:r>
      <w:r>
        <w:rPr>
          <w:rFonts w:hint="eastAsia" w:ascii="宋体" w:hAnsi="宋体" w:eastAsia="宋体" w:cs="宋体"/>
          <w:color w:val="auto"/>
          <w:szCs w:val="21"/>
          <w:highlight w:val="none"/>
        </w:rPr>
        <w:t>）”内容的合理性、可行性、针对性三个方面进行独立评审并打分：</w:t>
      </w:r>
    </w:p>
    <w:p w14:paraId="66ED04FE">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一档（2分）：在6</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4A53360D">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二档（4分）：在</w:t>
      </w:r>
      <w:r>
        <w:rPr>
          <w:rFonts w:hint="eastAsia" w:ascii="宋体" w:hAnsi="宋体" w:eastAsia="宋体" w:cs="宋体"/>
          <w:color w:val="auto"/>
          <w:szCs w:val="20"/>
          <w:highlight w:val="none"/>
        </w:rPr>
        <w:t>6项评审因素中经评审有2-3项合理、可行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0285751D">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三档（6分）：在</w:t>
      </w:r>
      <w:r>
        <w:rPr>
          <w:rFonts w:hint="eastAsia" w:ascii="宋体" w:hAnsi="宋体" w:eastAsia="宋体" w:cs="宋体"/>
          <w:color w:val="auto"/>
          <w:szCs w:val="20"/>
          <w:highlight w:val="none"/>
        </w:rPr>
        <w:t>6项评审因素中经评审有4-5项合理、可行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10C78E9E">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四档（8分）：在</w:t>
      </w:r>
      <w:r>
        <w:rPr>
          <w:rFonts w:hint="eastAsia" w:ascii="宋体" w:hAnsi="宋体" w:eastAsia="宋体" w:cs="宋体"/>
          <w:color w:val="auto"/>
          <w:szCs w:val="20"/>
          <w:highlight w:val="none"/>
        </w:rPr>
        <w:t>6项评审因素中经评审有6项合理、可行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1ECE705A">
      <w:pPr>
        <w:tabs>
          <w:tab w:val="left" w:pos="4214"/>
        </w:tabs>
        <w:spacing w:line="440" w:lineRule="exact"/>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 xml:space="preserve">   （5）食品安全事故紧急处置预案分（满分6分）</w:t>
      </w:r>
    </w:p>
    <w:p w14:paraId="09868944">
      <w:pPr>
        <w:tabs>
          <w:tab w:val="left" w:pos="4214"/>
        </w:tabs>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由评委根据供应商提供的项目实施方案中的“</w:t>
      </w:r>
      <w:r>
        <w:rPr>
          <w:rFonts w:hint="eastAsia" w:ascii="宋体" w:hAnsi="宋体" w:eastAsia="宋体" w:cs="宋体"/>
          <w:bCs/>
          <w:color w:val="auto"/>
          <w:szCs w:val="20"/>
          <w:highlight w:val="none"/>
        </w:rPr>
        <w:t>食品安全事故紧急处置预案（包含</w:t>
      </w:r>
      <w:r>
        <w:rPr>
          <w:rFonts w:hint="eastAsia" w:ascii="宋体" w:hAnsi="宋体" w:eastAsia="宋体" w:cs="宋体"/>
          <w:color w:val="auto"/>
          <w:szCs w:val="20"/>
          <w:highlight w:val="none"/>
        </w:rPr>
        <w:t>以下评审因素</w:t>
      </w:r>
      <w:r>
        <w:rPr>
          <w:rFonts w:hint="eastAsia" w:ascii="宋体" w:hAnsi="宋体" w:eastAsia="宋体" w:cs="宋体"/>
          <w:color w:val="auto"/>
          <w:szCs w:val="21"/>
          <w:highlight w:val="none"/>
        </w:rPr>
        <w:t>：</w:t>
      </w:r>
      <w:r>
        <w:rPr>
          <w:rFonts w:hint="eastAsia" w:ascii="宋体" w:hAnsi="宋体" w:eastAsia="宋体" w:cs="宋体"/>
          <w:color w:val="auto"/>
          <w:szCs w:val="20"/>
          <w:highlight w:val="none"/>
        </w:rPr>
        <w:t>①安全事故处理组织机构的建立与职责；②</w:t>
      </w:r>
      <w:r>
        <w:rPr>
          <w:rFonts w:hint="eastAsia" w:ascii="宋体" w:hAnsi="宋体" w:eastAsia="宋体" w:cs="宋体"/>
          <w:color w:val="auto"/>
          <w:szCs w:val="21"/>
          <w:highlight w:val="none"/>
        </w:rPr>
        <w:t>事故预警与监测机制；③事故紧急处置流程；④信息上报与沟通机制；⑤后期处置与整改机制）”内容的合理性、可行性、针对性三个方面进行独立评审并打分：</w:t>
      </w:r>
    </w:p>
    <w:p w14:paraId="2E8B9909">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一档（1.5分）：在5</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3FF857FD">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二档（3分）：在</w:t>
      </w:r>
      <w:r>
        <w:rPr>
          <w:rFonts w:hint="eastAsia" w:ascii="宋体" w:hAnsi="宋体" w:eastAsia="宋体" w:cs="宋体"/>
          <w:color w:val="auto"/>
          <w:szCs w:val="20"/>
          <w:highlight w:val="none"/>
        </w:rPr>
        <w:t>5项评审因素中经评审有2项合理、可行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76CA5A88">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三档（4.5分）：在</w:t>
      </w:r>
      <w:r>
        <w:rPr>
          <w:rFonts w:hint="eastAsia" w:ascii="宋体" w:hAnsi="宋体" w:eastAsia="宋体" w:cs="宋体"/>
          <w:color w:val="auto"/>
          <w:szCs w:val="20"/>
          <w:highlight w:val="none"/>
        </w:rPr>
        <w:t>5项评审因素中经评审有3-4项合理、可行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610F9486">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四档（6分）：在</w:t>
      </w:r>
      <w:r>
        <w:rPr>
          <w:rFonts w:hint="eastAsia" w:ascii="宋体" w:hAnsi="宋体" w:eastAsia="宋体" w:cs="宋体"/>
          <w:color w:val="auto"/>
          <w:szCs w:val="20"/>
          <w:highlight w:val="none"/>
        </w:rPr>
        <w:t>5项评审因素中经评审有5项合理、可行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3E12F165">
      <w:pPr>
        <w:tabs>
          <w:tab w:val="left" w:pos="4214"/>
        </w:tabs>
        <w:spacing w:line="440" w:lineRule="exact"/>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 xml:space="preserve">   （6）配送过程应急处置方案分（满分 8分）</w:t>
      </w:r>
    </w:p>
    <w:p w14:paraId="6315BE1B">
      <w:pPr>
        <w:tabs>
          <w:tab w:val="left" w:pos="4214"/>
        </w:tabs>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由评委根据供应商提供的项目实施方案中的“</w:t>
      </w:r>
      <w:r>
        <w:rPr>
          <w:rFonts w:hint="eastAsia" w:ascii="宋体" w:hAnsi="宋体" w:eastAsia="宋体" w:cs="宋体"/>
          <w:bCs/>
          <w:color w:val="auto"/>
          <w:szCs w:val="20"/>
          <w:highlight w:val="none"/>
        </w:rPr>
        <w:t>配送过程应急处置方案</w:t>
      </w:r>
      <w:r>
        <w:rPr>
          <w:rFonts w:hint="eastAsia" w:ascii="宋体" w:hAnsi="宋体" w:eastAsia="宋体" w:cs="宋体"/>
          <w:b/>
          <w:color w:val="auto"/>
          <w:szCs w:val="21"/>
          <w:highlight w:val="none"/>
        </w:rPr>
        <w:t>（</w:t>
      </w:r>
      <w:r>
        <w:rPr>
          <w:rFonts w:hint="eastAsia" w:ascii="宋体" w:hAnsi="宋体" w:eastAsia="宋体" w:cs="宋体"/>
          <w:color w:val="auto"/>
          <w:szCs w:val="20"/>
          <w:highlight w:val="none"/>
        </w:rPr>
        <w:t>包含以下评审因素</w:t>
      </w:r>
      <w:r>
        <w:rPr>
          <w:rFonts w:hint="eastAsia" w:ascii="宋体" w:hAnsi="宋体" w:eastAsia="宋体" w:cs="宋体"/>
          <w:color w:val="auto"/>
          <w:szCs w:val="21"/>
          <w:highlight w:val="none"/>
        </w:rPr>
        <w:t>：①配送异常情况预判；②应急运力调配方案；③食材损耗</w:t>
      </w:r>
      <w:r>
        <w:rPr>
          <w:rFonts w:hint="eastAsia" w:ascii="宋体" w:hAnsi="宋体" w:eastAsia="宋体" w:cs="宋体"/>
          <w:color w:val="auto"/>
          <w:kern w:val="0"/>
          <w:szCs w:val="21"/>
          <w:highlight w:val="none"/>
        </w:rPr>
        <w:t>紧急事件处理和</w:t>
      </w:r>
      <w:r>
        <w:rPr>
          <w:rFonts w:hint="eastAsia" w:ascii="宋体" w:hAnsi="宋体" w:eastAsia="宋体" w:cs="宋体"/>
          <w:color w:val="auto"/>
          <w:szCs w:val="21"/>
          <w:highlight w:val="none"/>
        </w:rPr>
        <w:t>补救措施；④交接异常处置流程；⑤</w:t>
      </w:r>
      <w:r>
        <w:rPr>
          <w:rFonts w:hint="eastAsia" w:ascii="宋体" w:hAnsi="宋体" w:eastAsia="宋体" w:cs="宋体"/>
          <w:color w:val="auto"/>
          <w:kern w:val="0"/>
          <w:szCs w:val="21"/>
          <w:highlight w:val="none"/>
        </w:rPr>
        <w:t>临时</w:t>
      </w:r>
      <w:r>
        <w:rPr>
          <w:rFonts w:hint="eastAsia" w:ascii="宋体" w:hAnsi="宋体" w:eastAsia="宋体" w:cs="宋体"/>
          <w:bCs/>
          <w:color w:val="auto"/>
          <w:szCs w:val="20"/>
          <w:highlight w:val="none"/>
        </w:rPr>
        <w:t>增加或</w:t>
      </w:r>
      <w:r>
        <w:rPr>
          <w:rFonts w:hint="eastAsia" w:ascii="宋体" w:hAnsi="宋体" w:eastAsia="宋体" w:cs="宋体"/>
          <w:color w:val="auto"/>
          <w:kern w:val="0"/>
          <w:szCs w:val="21"/>
          <w:highlight w:val="none"/>
        </w:rPr>
        <w:t>紧急调整订单</w:t>
      </w:r>
      <w:r>
        <w:rPr>
          <w:rFonts w:hint="eastAsia" w:ascii="宋体" w:hAnsi="宋体" w:eastAsia="宋体" w:cs="宋体"/>
          <w:bCs/>
          <w:color w:val="auto"/>
          <w:szCs w:val="20"/>
          <w:highlight w:val="none"/>
        </w:rPr>
        <w:t>供应</w:t>
      </w:r>
      <w:r>
        <w:rPr>
          <w:rFonts w:hint="eastAsia" w:ascii="宋体" w:hAnsi="宋体" w:eastAsia="宋体" w:cs="宋体"/>
          <w:color w:val="auto"/>
          <w:szCs w:val="21"/>
          <w:highlight w:val="none"/>
        </w:rPr>
        <w:t>预案；⑥特殊天气等的供应保</w:t>
      </w:r>
      <w:r>
        <w:rPr>
          <w:rFonts w:hint="eastAsia" w:ascii="宋体" w:hAnsi="宋体" w:eastAsia="宋体" w:cs="宋体"/>
          <w:color w:val="auto"/>
          <w:kern w:val="0"/>
          <w:szCs w:val="21"/>
          <w:highlight w:val="none"/>
        </w:rPr>
        <w:t>障措施</w:t>
      </w:r>
      <w:r>
        <w:rPr>
          <w:rFonts w:hint="eastAsia" w:ascii="宋体" w:hAnsi="宋体" w:eastAsia="宋体" w:cs="宋体"/>
          <w:color w:val="auto"/>
          <w:szCs w:val="21"/>
          <w:highlight w:val="none"/>
        </w:rPr>
        <w:t>）”内容的合理性、可行性、针对性三个方面进行独立评审并打分：</w:t>
      </w:r>
    </w:p>
    <w:p w14:paraId="15ECB8D0">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一档（2分）：在6</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7C8AC17A">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二档（4分）：在</w:t>
      </w:r>
      <w:r>
        <w:rPr>
          <w:rFonts w:hint="eastAsia" w:ascii="宋体" w:hAnsi="宋体" w:eastAsia="宋体" w:cs="宋体"/>
          <w:color w:val="auto"/>
          <w:szCs w:val="20"/>
          <w:highlight w:val="none"/>
        </w:rPr>
        <w:t>6项评审因素中经评审有2-3项合理、可行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47276246">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三档（6分）：在</w:t>
      </w:r>
      <w:r>
        <w:rPr>
          <w:rFonts w:hint="eastAsia" w:ascii="宋体" w:hAnsi="宋体" w:eastAsia="宋体" w:cs="宋体"/>
          <w:color w:val="auto"/>
          <w:szCs w:val="20"/>
          <w:highlight w:val="none"/>
        </w:rPr>
        <w:t>6项评审因素中经评审有4-5项合理、可行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21D97CA3">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四档（8分）：在</w:t>
      </w:r>
      <w:r>
        <w:rPr>
          <w:rFonts w:hint="eastAsia" w:ascii="宋体" w:hAnsi="宋体" w:eastAsia="宋体" w:cs="宋体"/>
          <w:color w:val="auto"/>
          <w:szCs w:val="20"/>
          <w:highlight w:val="none"/>
        </w:rPr>
        <w:t>6项评审因素中经评审有6项合理、可行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42291334">
      <w:pPr>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w:t>
      </w:r>
      <w:r>
        <w:rPr>
          <w:rFonts w:hint="eastAsia" w:ascii="宋体" w:hAnsi="宋体" w:eastAsia="宋体" w:cs="宋体"/>
          <w:b/>
          <w:color w:val="auto"/>
          <w:szCs w:val="21"/>
          <w:highlight w:val="none"/>
        </w:rPr>
        <w:t>若供应商</w:t>
      </w:r>
      <w:r>
        <w:rPr>
          <w:rFonts w:hint="eastAsia" w:ascii="宋体" w:hAnsi="宋体" w:eastAsia="宋体" w:cs="宋体"/>
          <w:b/>
          <w:bCs/>
          <w:color w:val="auto"/>
          <w:szCs w:val="21"/>
          <w:highlight w:val="none"/>
        </w:rPr>
        <w:t>未提供“项目实施方案”或方案内容严重缺失的，“项目实施方案分”中相应涉及的评分计0分处理。</w:t>
      </w:r>
    </w:p>
    <w:bookmarkEnd w:id="175"/>
    <w:bookmarkEnd w:id="176"/>
    <w:p w14:paraId="5BAB46A5">
      <w:pPr>
        <w:spacing w:line="400" w:lineRule="exact"/>
        <w:ind w:firstLine="538" w:firstLineChars="255"/>
        <w:outlineLvl w:val="2"/>
        <w:rPr>
          <w:rFonts w:hint="eastAsia" w:ascii="宋体" w:hAnsi="宋体" w:eastAsia="宋体" w:cs="宋体"/>
          <w:b/>
          <w:color w:val="auto"/>
          <w:szCs w:val="21"/>
          <w:highlight w:val="none"/>
        </w:rPr>
      </w:pPr>
      <w:bookmarkStart w:id="193" w:name="OLE_LINK99"/>
      <w:bookmarkStart w:id="194" w:name="OLE_LINK98"/>
      <w:r>
        <w:rPr>
          <w:rFonts w:hint="eastAsia" w:ascii="宋体" w:hAnsi="宋体" w:eastAsia="宋体" w:cs="宋体"/>
          <w:b/>
          <w:color w:val="auto"/>
          <w:szCs w:val="21"/>
          <w:highlight w:val="none"/>
        </w:rPr>
        <w:t>3.服务承诺分…</w:t>
      </w:r>
      <w:bookmarkStart w:id="195" w:name="OLE_LINK149"/>
      <w:bookmarkStart w:id="196" w:name="OLE_LINK150"/>
      <w:r>
        <w:rPr>
          <w:rFonts w:hint="eastAsia" w:ascii="宋体" w:hAnsi="宋体" w:eastAsia="宋体" w:cs="宋体"/>
          <w:b/>
          <w:color w:val="auto"/>
          <w:szCs w:val="21"/>
          <w:highlight w:val="none"/>
        </w:rPr>
        <w:t>……………</w:t>
      </w:r>
      <w:bookmarkEnd w:id="195"/>
      <w:bookmarkEnd w:id="196"/>
      <w:r>
        <w:rPr>
          <w:rFonts w:hint="eastAsia" w:ascii="宋体" w:hAnsi="宋体" w:eastAsia="宋体" w:cs="宋体"/>
          <w:b/>
          <w:color w:val="auto"/>
          <w:szCs w:val="21"/>
          <w:highlight w:val="none"/>
        </w:rPr>
        <w:t>……………………………………………………………………6 分</w:t>
      </w:r>
    </w:p>
    <w:p w14:paraId="0C0EA575">
      <w:pPr>
        <w:spacing w:line="400" w:lineRule="exact"/>
        <w:ind w:firstLine="535" w:firstLineChars="255"/>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评委根据供应商所提供的“服务承诺【</w:t>
      </w:r>
      <w:r>
        <w:rPr>
          <w:rFonts w:hint="eastAsia" w:ascii="宋体" w:hAnsi="宋体" w:eastAsia="宋体" w:cs="宋体"/>
          <w:color w:val="auto"/>
          <w:szCs w:val="20"/>
          <w:highlight w:val="none"/>
        </w:rPr>
        <w:t>包含以下评审因素：</w:t>
      </w:r>
      <w:r>
        <w:rPr>
          <w:rFonts w:hint="eastAsia" w:ascii="宋体" w:hAnsi="宋体" w:eastAsia="宋体" w:cs="宋体"/>
          <w:color w:val="auto"/>
          <w:szCs w:val="21"/>
          <w:highlight w:val="none"/>
        </w:rPr>
        <w:t>①</w:t>
      </w:r>
      <w:r>
        <w:rPr>
          <w:rFonts w:hint="eastAsia" w:ascii="宋体" w:hAnsi="宋体" w:eastAsia="宋体" w:cs="宋体"/>
          <w:color w:val="auto"/>
          <w:kern w:val="0"/>
          <w:szCs w:val="21"/>
          <w:highlight w:val="none"/>
        </w:rPr>
        <w:t>确保按时、按质、按量供货</w:t>
      </w:r>
      <w:r>
        <w:rPr>
          <w:rFonts w:hint="eastAsia" w:ascii="宋体" w:hAnsi="宋体" w:eastAsia="宋体" w:cs="宋体"/>
          <w:color w:val="auto"/>
          <w:szCs w:val="21"/>
          <w:highlight w:val="none"/>
        </w:rPr>
        <w:t>的承诺；</w:t>
      </w:r>
    </w:p>
    <w:p w14:paraId="2AEDB307">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w:t>
      </w:r>
      <w:r>
        <w:rPr>
          <w:rFonts w:hint="eastAsia" w:ascii="宋体" w:hAnsi="宋体" w:eastAsia="宋体" w:cs="宋体"/>
          <w:color w:val="auto"/>
          <w:szCs w:val="21"/>
          <w:highlight w:val="none"/>
        </w:rPr>
        <w:t>对于</w:t>
      </w:r>
      <w:r>
        <w:rPr>
          <w:rFonts w:hint="eastAsia" w:ascii="宋体" w:hAnsi="宋体" w:eastAsia="宋体" w:cs="宋体"/>
          <w:color w:val="auto"/>
          <w:szCs w:val="20"/>
          <w:highlight w:val="none"/>
        </w:rPr>
        <w:t>服务监督措施和回访机制建立的承诺</w:t>
      </w:r>
      <w:r>
        <w:rPr>
          <w:rFonts w:hint="eastAsia" w:ascii="宋体" w:hAnsi="宋体" w:eastAsia="宋体" w:cs="宋体"/>
          <w:color w:val="auto"/>
          <w:szCs w:val="21"/>
          <w:highlight w:val="none"/>
        </w:rPr>
        <w:t xml:space="preserve">；③对于食材出现问题时的处理解决承诺（包括问题食材的退 </w:t>
      </w:r>
    </w:p>
    <w:p w14:paraId="0A34DB2C">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换范围、退换时间等）】”内容的合理性、可行性、针对性进行独立评审并按以下规则独立打分：</w:t>
      </w:r>
    </w:p>
    <w:p w14:paraId="506C1C81">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一档（2分）：在3</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3F24F2A3">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二档（4分）：在</w:t>
      </w:r>
      <w:r>
        <w:rPr>
          <w:rFonts w:hint="eastAsia" w:ascii="宋体" w:hAnsi="宋体" w:eastAsia="宋体" w:cs="宋体"/>
          <w:color w:val="auto"/>
          <w:szCs w:val="20"/>
          <w:highlight w:val="none"/>
        </w:rPr>
        <w:t>3项评审因素中经评审有2项合理、可行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2DF44966">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三档（6分）：在</w:t>
      </w:r>
      <w:r>
        <w:rPr>
          <w:rFonts w:hint="eastAsia" w:ascii="宋体" w:hAnsi="宋体" w:eastAsia="宋体" w:cs="宋体"/>
          <w:color w:val="auto"/>
          <w:szCs w:val="20"/>
          <w:highlight w:val="none"/>
        </w:rPr>
        <w:t>3项评审因素中经评审有3项合理、可行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0C2A573C">
      <w:pPr>
        <w:spacing w:line="400" w:lineRule="exact"/>
        <w:ind w:firstLine="538" w:firstLineChars="255"/>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bookmarkStart w:id="197" w:name="OLE_LINK143"/>
      <w:bookmarkStart w:id="198" w:name="OLE_LINK144"/>
      <w:r>
        <w:rPr>
          <w:rFonts w:hint="eastAsia" w:ascii="宋体" w:hAnsi="宋体" w:eastAsia="宋体" w:cs="宋体"/>
          <w:b/>
          <w:color w:val="auto"/>
          <w:szCs w:val="21"/>
          <w:highlight w:val="none"/>
        </w:rPr>
        <w:t>若供应商</w:t>
      </w:r>
      <w:bookmarkEnd w:id="197"/>
      <w:bookmarkEnd w:id="198"/>
      <w:r>
        <w:rPr>
          <w:rFonts w:hint="eastAsia" w:ascii="宋体" w:hAnsi="宋体" w:eastAsia="宋体" w:cs="宋体"/>
          <w:b/>
          <w:color w:val="auto"/>
          <w:szCs w:val="21"/>
          <w:highlight w:val="none"/>
        </w:rPr>
        <w:t>未提供“服务承诺”</w:t>
      </w:r>
      <w:r>
        <w:rPr>
          <w:rFonts w:hint="eastAsia" w:ascii="宋体" w:hAnsi="宋体" w:eastAsia="宋体" w:cs="宋体"/>
          <w:b/>
          <w:bCs/>
          <w:color w:val="auto"/>
          <w:szCs w:val="21"/>
          <w:highlight w:val="none"/>
        </w:rPr>
        <w:t>或内容严重缺失的</w:t>
      </w:r>
      <w:r>
        <w:rPr>
          <w:rFonts w:hint="eastAsia" w:ascii="宋体" w:hAnsi="宋体" w:eastAsia="宋体" w:cs="宋体"/>
          <w:b/>
          <w:color w:val="auto"/>
          <w:szCs w:val="21"/>
          <w:highlight w:val="none"/>
        </w:rPr>
        <w:t>，“服务承诺分”</w:t>
      </w:r>
      <w:r>
        <w:rPr>
          <w:rFonts w:hint="eastAsia" w:ascii="宋体" w:hAnsi="宋体" w:eastAsia="宋体" w:cs="宋体"/>
          <w:b/>
          <w:bCs/>
          <w:color w:val="auto"/>
          <w:szCs w:val="21"/>
          <w:highlight w:val="none"/>
        </w:rPr>
        <w:t>评分计0分处理</w:t>
      </w:r>
      <w:r>
        <w:rPr>
          <w:rFonts w:hint="eastAsia" w:ascii="宋体" w:hAnsi="宋体" w:eastAsia="宋体" w:cs="宋体"/>
          <w:b/>
          <w:color w:val="auto"/>
          <w:szCs w:val="21"/>
          <w:highlight w:val="none"/>
        </w:rPr>
        <w:t>。</w:t>
      </w:r>
    </w:p>
    <w:bookmarkEnd w:id="193"/>
    <w:bookmarkEnd w:id="194"/>
    <w:p w14:paraId="254F8DEE">
      <w:pPr>
        <w:spacing w:line="44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 4.服务保障分………………………………………………………………………………………27分</w:t>
      </w:r>
    </w:p>
    <w:p w14:paraId="5622EBCF">
      <w:pPr>
        <w:tabs>
          <w:tab w:val="left" w:pos="1140"/>
        </w:tabs>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（1）供应商的养殖（种植）基地：</w:t>
      </w:r>
      <w:bookmarkStart w:id="199" w:name="OLE_LINK51"/>
      <w:bookmarkStart w:id="200" w:name="OLE_LINK52"/>
      <w:r>
        <w:rPr>
          <w:rFonts w:hint="eastAsia" w:ascii="宋体" w:hAnsi="宋体" w:eastAsia="宋体" w:cs="宋体"/>
          <w:color w:val="auto"/>
          <w:kern w:val="0"/>
          <w:szCs w:val="21"/>
          <w:highlight w:val="none"/>
        </w:rPr>
        <w:t>面积在100亩以下（不含100亩）的得0.5分；</w:t>
      </w:r>
      <w:bookmarkEnd w:id="199"/>
      <w:bookmarkEnd w:id="200"/>
      <w:r>
        <w:rPr>
          <w:rFonts w:hint="eastAsia" w:ascii="宋体" w:hAnsi="宋体" w:eastAsia="宋体" w:cs="宋体"/>
          <w:color w:val="auto"/>
          <w:kern w:val="0"/>
          <w:szCs w:val="21"/>
          <w:highlight w:val="none"/>
        </w:rPr>
        <w:t>面积在100-300亩（不含300亩）的得1分；</w:t>
      </w:r>
      <w:bookmarkStart w:id="201" w:name="OLE_LINK53"/>
      <w:bookmarkStart w:id="202" w:name="OLE_LINK54"/>
      <w:r>
        <w:rPr>
          <w:rFonts w:hint="eastAsia" w:ascii="宋体" w:hAnsi="宋体" w:eastAsia="宋体" w:cs="宋体"/>
          <w:color w:val="auto"/>
          <w:kern w:val="0"/>
          <w:szCs w:val="21"/>
          <w:highlight w:val="none"/>
        </w:rPr>
        <w:t>面积在300-500亩（含500亩）的得2分；</w:t>
      </w:r>
      <w:bookmarkEnd w:id="201"/>
      <w:bookmarkEnd w:id="202"/>
      <w:r>
        <w:rPr>
          <w:rFonts w:hint="eastAsia" w:ascii="宋体" w:hAnsi="宋体" w:eastAsia="宋体" w:cs="宋体"/>
          <w:color w:val="auto"/>
          <w:kern w:val="0"/>
          <w:szCs w:val="21"/>
          <w:highlight w:val="none"/>
        </w:rPr>
        <w:t>面积在500亩以上（不含500亩）的得3分【基地为自有的提供基地产权证明；为租赁的提供租赁合同、租赁付款发票或转账凭证、彩色实景图片等相关证明材料（租赁期必须包含本项目服务期限）】；</w:t>
      </w:r>
      <w:bookmarkStart w:id="203" w:name="OLE_LINK7"/>
      <w:bookmarkStart w:id="204" w:name="OLE_LINK8"/>
      <w:r>
        <w:rPr>
          <w:rFonts w:hint="eastAsia" w:ascii="宋体" w:hAnsi="宋体" w:eastAsia="宋体" w:cs="宋体"/>
          <w:color w:val="auto"/>
          <w:kern w:val="0"/>
          <w:szCs w:val="21"/>
          <w:highlight w:val="none"/>
        </w:rPr>
        <w:t>最多得</w:t>
      </w:r>
      <w:bookmarkEnd w:id="203"/>
      <w:bookmarkEnd w:id="204"/>
      <w:r>
        <w:rPr>
          <w:rFonts w:hint="eastAsia" w:ascii="宋体" w:hAnsi="宋体" w:eastAsia="宋体" w:cs="宋体"/>
          <w:color w:val="auto"/>
          <w:kern w:val="0"/>
          <w:szCs w:val="21"/>
          <w:highlight w:val="none"/>
        </w:rPr>
        <w:t>3分。</w:t>
      </w:r>
    </w:p>
    <w:p w14:paraId="6A02E10E">
      <w:pPr>
        <w:tabs>
          <w:tab w:val="left" w:pos="1140"/>
        </w:tabs>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供应商的配送经营场所（包含仓储或生产车间）:面积≤500平方米的得0.5分，面积在500平方米基础上每增加100平方米的加0.5分【经营场所为自有的提供产权证明；为租赁的提供租赁合同、租赁付款发票或转账凭证、彩色实景图片等相关证明材料（租赁期必须包含本项目服务期限）】；最多得3分。</w:t>
      </w:r>
    </w:p>
    <w:p w14:paraId="14A2A8F7">
      <w:pPr>
        <w:tabs>
          <w:tab w:val="left" w:pos="1140"/>
        </w:tabs>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的冷藏库和冷冻库:两库面积分别≤50立方米的得0.5分，两库面积分别在50立方米基础上每均增加50立方米的加0.5分【冷藏库和冷冻库为自有的提供产权证明；为租赁的提供租赁合同、租赁付款发票或转账凭证、彩色实景图片等相关证明材料（租赁期必须包含本项目服务期限）】；最多得3分。</w:t>
      </w:r>
    </w:p>
    <w:p w14:paraId="75E99508">
      <w:pPr>
        <w:tabs>
          <w:tab w:val="left" w:pos="1140"/>
        </w:tabs>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（4）供应商提供了近半年以来所供应的禽畜肉类、水产类、蔬菜类产品由国家认可的第三方食品检测</w:t>
      </w:r>
      <w:bookmarkStart w:id="205" w:name="OLE_LINK1"/>
      <w:bookmarkStart w:id="206" w:name="OLE_LINK2"/>
      <w:r>
        <w:rPr>
          <w:rFonts w:hint="eastAsia" w:ascii="宋体" w:hAnsi="宋体" w:eastAsia="宋体" w:cs="宋体"/>
          <w:color w:val="auto"/>
          <w:kern w:val="0"/>
          <w:szCs w:val="21"/>
          <w:highlight w:val="none"/>
        </w:rPr>
        <w:t>（检验）</w:t>
      </w:r>
      <w:bookmarkEnd w:id="205"/>
      <w:bookmarkEnd w:id="206"/>
      <w:r>
        <w:rPr>
          <w:rFonts w:hint="eastAsia" w:ascii="宋体" w:hAnsi="宋体" w:eastAsia="宋体" w:cs="宋体"/>
          <w:color w:val="auto"/>
          <w:kern w:val="0"/>
          <w:szCs w:val="21"/>
          <w:highlight w:val="none"/>
        </w:rPr>
        <w:t>机构出具的</w:t>
      </w:r>
      <w:bookmarkStart w:id="207" w:name="OLE_LINK5"/>
      <w:bookmarkStart w:id="208" w:name="OLE_LINK6"/>
      <w:r>
        <w:rPr>
          <w:rFonts w:hint="eastAsia" w:ascii="宋体" w:hAnsi="宋体" w:eastAsia="宋体" w:cs="宋体"/>
          <w:color w:val="auto"/>
          <w:kern w:val="0"/>
          <w:szCs w:val="21"/>
          <w:highlight w:val="none"/>
        </w:rPr>
        <w:t>食品检测（检验）报告复印件</w:t>
      </w:r>
      <w:bookmarkEnd w:id="207"/>
      <w:bookmarkEnd w:id="208"/>
      <w:r>
        <w:rPr>
          <w:rFonts w:hint="eastAsia" w:ascii="宋体" w:hAnsi="宋体" w:eastAsia="宋体" w:cs="宋体"/>
          <w:color w:val="auto"/>
          <w:kern w:val="0"/>
          <w:szCs w:val="21"/>
          <w:highlight w:val="none"/>
        </w:rPr>
        <w:t>，每提供1类产品的食品检测（检验）报告复印件的得0.5分；最多得2分。</w:t>
      </w:r>
    </w:p>
    <w:p w14:paraId="3FD87A67">
      <w:pPr>
        <w:tabs>
          <w:tab w:val="left" w:pos="1140"/>
        </w:tabs>
        <w:spacing w:line="400" w:lineRule="exact"/>
        <w:ind w:firstLine="420" w:firstLineChars="200"/>
        <w:rPr>
          <w:rFonts w:hint="eastAsia" w:ascii="宋体" w:hAnsi="宋体" w:eastAsia="宋体" w:cs="宋体"/>
          <w:color w:val="auto"/>
          <w:kern w:val="0"/>
          <w:szCs w:val="21"/>
          <w:highlight w:val="none"/>
        </w:rPr>
      </w:pPr>
      <w:bookmarkStart w:id="209" w:name="OLE_LINK227"/>
      <w:bookmarkStart w:id="210" w:name="OLE_LINK228"/>
      <w:bookmarkStart w:id="211" w:name="OLE_LINK229"/>
      <w:r>
        <w:rPr>
          <w:rFonts w:hint="eastAsia" w:ascii="宋体" w:hAnsi="宋体" w:eastAsia="宋体" w:cs="宋体"/>
          <w:color w:val="auto"/>
          <w:kern w:val="0"/>
          <w:szCs w:val="21"/>
          <w:highlight w:val="none"/>
        </w:rPr>
        <w:t>（5）专业检测设备和专业检测或检验人员分（满分7分）</w:t>
      </w:r>
    </w:p>
    <w:p w14:paraId="0A4EBE0E">
      <w:pPr>
        <w:tabs>
          <w:tab w:val="left" w:pos="1140"/>
        </w:tabs>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①供应商具有相应的专业检测设备，包括但不限于农药残留检测仪、重金属检测仪、肉类安全检测仪、水产品安全检测仪，每提供1种仪器并提供其实物照片和购买发票复印件的得0.5分；最多得2分。</w:t>
      </w:r>
    </w:p>
    <w:p w14:paraId="4765A4DD">
      <w:pPr>
        <w:tabs>
          <w:tab w:val="left" w:pos="1140"/>
        </w:tabs>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②供应商拟投入人员中具有1名食品检测或检验员证的得1分（提供供应商为其交纳的2026年1月以来至少三个月的社保证明或与其签订的劳动聘用合同复印件、身份证复印件、食品检测或检验员证复印件）；最多得2分。</w:t>
      </w:r>
    </w:p>
    <w:p w14:paraId="0AF24027">
      <w:pPr>
        <w:tabs>
          <w:tab w:val="left" w:pos="1140"/>
        </w:tabs>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③供应商拟投入人员中具有1名食品安全管理员证的得1分（提供供应商为其交纳的2026年1月以来至少三个月的社保证明或与其签订的劳动聘用合同复印件、身份证复印件及食品安全管理员证复印件）；最多得3分。</w:t>
      </w:r>
    </w:p>
    <w:bookmarkEnd w:id="209"/>
    <w:bookmarkEnd w:id="210"/>
    <w:bookmarkEnd w:id="211"/>
    <w:p w14:paraId="6AC9A81C">
      <w:pPr>
        <w:tabs>
          <w:tab w:val="left" w:pos="1140"/>
        </w:tabs>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（6）供应商为本项目车辆配置情况分：</w:t>
      </w:r>
      <w:bookmarkStart w:id="212" w:name="OLE_LINK65"/>
      <w:bookmarkStart w:id="213" w:name="OLE_LINK64"/>
      <w:r>
        <w:rPr>
          <w:rFonts w:hint="eastAsia" w:ascii="宋体" w:hAnsi="宋体" w:eastAsia="宋体" w:cs="宋体"/>
          <w:color w:val="auto"/>
          <w:highlight w:val="none"/>
        </w:rPr>
        <w:t>供应商在满足至少配置1辆冷链（冷藏）运输车辆的基础上，</w:t>
      </w:r>
      <w:bookmarkEnd w:id="212"/>
      <w:bookmarkEnd w:id="213"/>
      <w:bookmarkStart w:id="214" w:name="OLE_LINK69"/>
      <w:bookmarkStart w:id="215" w:name="OLE_LINK55"/>
      <w:bookmarkStart w:id="216" w:name="OLE_LINK59"/>
      <w:bookmarkStart w:id="217" w:name="OLE_LINK68"/>
      <w:r>
        <w:rPr>
          <w:rFonts w:hint="eastAsia" w:ascii="宋体" w:hAnsi="宋体" w:eastAsia="宋体" w:cs="宋体"/>
          <w:color w:val="auto"/>
          <w:highlight w:val="none"/>
        </w:rPr>
        <w:t>每增加配置 1辆</w:t>
      </w:r>
      <w:bookmarkEnd w:id="214"/>
      <w:bookmarkEnd w:id="215"/>
      <w:bookmarkEnd w:id="216"/>
      <w:bookmarkEnd w:id="217"/>
      <w:r>
        <w:rPr>
          <w:rFonts w:hint="eastAsia" w:ascii="宋体" w:hAnsi="宋体" w:eastAsia="宋体" w:cs="宋体"/>
          <w:color w:val="auto"/>
          <w:kern w:val="0"/>
          <w:szCs w:val="21"/>
          <w:highlight w:val="none"/>
        </w:rPr>
        <w:t>冷链（冷藏）运输车辆的得2分；</w:t>
      </w:r>
      <w:r>
        <w:rPr>
          <w:rFonts w:hint="eastAsia" w:ascii="宋体" w:hAnsi="宋体" w:eastAsia="宋体" w:cs="宋体"/>
          <w:color w:val="auto"/>
          <w:highlight w:val="none"/>
        </w:rPr>
        <w:t>每增加配置1辆</w:t>
      </w:r>
      <w:r>
        <w:rPr>
          <w:rFonts w:hint="eastAsia" w:ascii="宋体" w:hAnsi="宋体" w:eastAsia="宋体" w:cs="宋体"/>
          <w:color w:val="auto"/>
          <w:spacing w:val="7"/>
          <w:sz w:val="20"/>
          <w:szCs w:val="20"/>
          <w:highlight w:val="none"/>
        </w:rPr>
        <w:t>厢式运输车辆的</w:t>
      </w:r>
      <w:r>
        <w:rPr>
          <w:rFonts w:hint="eastAsia" w:ascii="宋体" w:hAnsi="宋体" w:eastAsia="宋体" w:cs="宋体"/>
          <w:color w:val="auto"/>
          <w:kern w:val="0"/>
          <w:szCs w:val="21"/>
          <w:highlight w:val="none"/>
        </w:rPr>
        <w:t>得1分</w:t>
      </w:r>
      <w:bookmarkStart w:id="218" w:name="OLE_LINK48"/>
      <w:bookmarkStart w:id="219" w:name="OLE_LINK34"/>
      <w:r>
        <w:rPr>
          <w:rFonts w:hint="eastAsia" w:ascii="宋体" w:hAnsi="宋体" w:eastAsia="宋体" w:cs="宋体"/>
          <w:color w:val="auto"/>
          <w:kern w:val="0"/>
          <w:szCs w:val="21"/>
          <w:highlight w:val="none"/>
        </w:rPr>
        <w:t>【以上车辆属于</w:t>
      </w:r>
      <w:bookmarkStart w:id="220" w:name="OLE_LINK29"/>
      <w:bookmarkStart w:id="221" w:name="OLE_LINK28"/>
      <w:r>
        <w:rPr>
          <w:rFonts w:hint="eastAsia" w:ascii="宋体" w:hAnsi="宋体" w:eastAsia="宋体" w:cs="宋体"/>
          <w:color w:val="auto"/>
          <w:kern w:val="0"/>
          <w:szCs w:val="21"/>
          <w:highlight w:val="none"/>
        </w:rPr>
        <w:t>供应商</w:t>
      </w:r>
      <w:bookmarkEnd w:id="220"/>
      <w:bookmarkEnd w:id="221"/>
      <w:r>
        <w:rPr>
          <w:rFonts w:hint="eastAsia" w:ascii="宋体" w:hAnsi="宋体" w:eastAsia="宋体" w:cs="宋体"/>
          <w:color w:val="auto"/>
          <w:kern w:val="0"/>
          <w:szCs w:val="21"/>
          <w:highlight w:val="none"/>
        </w:rPr>
        <w:t>自有的，提供与供应商名称一致的有效的机动车登记证书或车辆行驶证复印件</w:t>
      </w:r>
      <w:bookmarkStart w:id="222" w:name="OLE_LINK16"/>
      <w:bookmarkStart w:id="223" w:name="OLE_LINK15"/>
      <w:r>
        <w:rPr>
          <w:rFonts w:hint="eastAsia" w:ascii="宋体" w:hAnsi="宋体" w:eastAsia="宋体" w:cs="宋体"/>
          <w:color w:val="auto"/>
          <w:kern w:val="0"/>
          <w:szCs w:val="21"/>
          <w:highlight w:val="none"/>
        </w:rPr>
        <w:t>，车辆正面、侧面、后面彩色照片（显示车辆号）</w:t>
      </w:r>
      <w:bookmarkEnd w:id="222"/>
      <w:bookmarkEnd w:id="223"/>
      <w:r>
        <w:rPr>
          <w:rFonts w:hint="eastAsia" w:ascii="宋体" w:hAnsi="宋体" w:eastAsia="宋体" w:cs="宋体"/>
          <w:color w:val="auto"/>
          <w:kern w:val="0"/>
          <w:szCs w:val="21"/>
          <w:highlight w:val="none"/>
        </w:rPr>
        <w:t>；属于供应商租赁的，提供有效车辆租赁合同，有效车辆行驶证复印件，车辆正面、侧面、后面彩色照片（显示车辆号），否则不予计分】</w:t>
      </w:r>
      <w:bookmarkEnd w:id="218"/>
      <w:bookmarkEnd w:id="219"/>
      <w:r>
        <w:rPr>
          <w:rFonts w:hint="eastAsia" w:ascii="宋体" w:hAnsi="宋体" w:eastAsia="宋体" w:cs="宋体"/>
          <w:color w:val="auto"/>
          <w:kern w:val="0"/>
          <w:szCs w:val="21"/>
          <w:highlight w:val="none"/>
        </w:rPr>
        <w:t>；最多得4分。</w:t>
      </w:r>
    </w:p>
    <w:p w14:paraId="27A8ACD8">
      <w:pPr>
        <w:tabs>
          <w:tab w:val="left" w:pos="1140"/>
        </w:tabs>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供应商购买食品安全责任险分：供应商购买有食品安全责任险且保险有效期截止时间在合同履约完毕之后（如保险有效期截止时间为合同履约期间，需提供续保承诺函），金额在2000万元以下（不含2000万元）的得1分，金额在2000-3000万元（含3000万元）的得2分，金额在3000万元以上</w:t>
      </w:r>
      <w:r>
        <w:rPr>
          <w:rFonts w:hint="eastAsia" w:ascii="宋体" w:hAnsi="宋体" w:eastAsia="宋体" w:cs="宋体"/>
          <w:bCs/>
          <w:color w:val="auto"/>
          <w:szCs w:val="21"/>
          <w:highlight w:val="none"/>
        </w:rPr>
        <w:t>且每次事故责任限额在500万元以上（含500万元）</w:t>
      </w:r>
      <w:r>
        <w:rPr>
          <w:rFonts w:hint="eastAsia" w:ascii="宋体" w:hAnsi="宋体" w:eastAsia="宋体" w:cs="宋体"/>
          <w:color w:val="auto"/>
          <w:kern w:val="0"/>
          <w:szCs w:val="21"/>
          <w:highlight w:val="none"/>
        </w:rPr>
        <w:t>的得3分（提供食品安全责任险投保保单及购买发票等相关证明材料复印件）；最多得3分。</w:t>
      </w:r>
    </w:p>
    <w:p w14:paraId="03D00235">
      <w:pPr>
        <w:tabs>
          <w:tab w:val="left" w:pos="1140"/>
        </w:tabs>
        <w:spacing w:line="400" w:lineRule="exact"/>
        <w:ind w:firstLine="420" w:firstLineChars="200"/>
        <w:rPr>
          <w:rFonts w:hint="eastAsia" w:ascii="宋体" w:hAnsi="宋体" w:eastAsia="宋体" w:cs="宋体"/>
          <w:color w:val="auto"/>
          <w:kern w:val="0"/>
          <w:szCs w:val="21"/>
          <w:highlight w:val="none"/>
        </w:rPr>
      </w:pPr>
      <w:bookmarkStart w:id="224" w:name="OLE_LINK250"/>
      <w:bookmarkStart w:id="225" w:name="OLE_LINK249"/>
      <w:r>
        <w:rPr>
          <w:rFonts w:hint="eastAsia" w:ascii="宋体" w:hAnsi="宋体" w:eastAsia="宋体" w:cs="宋体"/>
          <w:color w:val="auto"/>
          <w:kern w:val="0"/>
          <w:szCs w:val="21"/>
          <w:highlight w:val="none"/>
        </w:rPr>
        <w:t>（8）供应商已入驻国家农产品质量安全追溯管理信息平台或广西食品安全追溯和智慧监管平台的（提供相关证明材料）；得2分。</w:t>
      </w:r>
    </w:p>
    <w:bookmarkEnd w:id="224"/>
    <w:bookmarkEnd w:id="225"/>
    <w:p w14:paraId="4FE91964">
      <w:pPr>
        <w:wordWrap w:val="0"/>
        <w:spacing w:line="44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 5.履约能力分…………………………………………………………………………………………5分</w:t>
      </w:r>
    </w:p>
    <w:p w14:paraId="20FE6292">
      <w:pPr>
        <w:tabs>
          <w:tab w:val="left" w:pos="1140"/>
        </w:tabs>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（1）供应商通过有效的ISO9000系列质量管理体系认证、ISO14000系列环境管理体系认证、ISO45000系列职业健康安全管理体系认证、ISO22000 食品安全管理体系认证且有效的（响应文件中提供相关有效证明材料复印件），每有1项得0.5分，最多得2分。</w:t>
      </w:r>
    </w:p>
    <w:p w14:paraId="3EA23901">
      <w:pPr>
        <w:tabs>
          <w:tab w:val="left" w:pos="1140"/>
        </w:tabs>
        <w:wordWrap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供应商2023年以来具有的同类项目业绩[以无不良记录，以中标、成交通知书或签订的项目合同（协议）复印件为准，要求能清晰反映项目的项目名称、服务内容、签订时间，否则将不予评审，同一个编号的项目有两个或两个以上的分标中标的只算一次]，每提供1个得0.5分，最多得3分。</w:t>
      </w:r>
    </w:p>
    <w:p w14:paraId="6AEA0000">
      <w:pPr>
        <w:tabs>
          <w:tab w:val="left" w:pos="1140"/>
        </w:tabs>
        <w:wordWrap w:val="0"/>
        <w:spacing w:line="44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color w:val="auto"/>
          <w:kern w:val="0"/>
          <w:szCs w:val="21"/>
          <w:highlight w:val="none"/>
        </w:rPr>
        <w:t xml:space="preserve"> 6.综合得分＝1+2+3+4+5</w:t>
      </w:r>
    </w:p>
    <w:p w14:paraId="29DF60BF">
      <w:pPr>
        <w:tabs>
          <w:tab w:val="left" w:pos="1140"/>
        </w:tabs>
        <w:wordWrap w:val="0"/>
        <w:spacing w:line="460" w:lineRule="exact"/>
        <w:ind w:firstLine="482" w:firstLineChars="200"/>
        <w:rPr>
          <w:rFonts w:hint="eastAsia" w:ascii="宋体" w:hAnsi="宋体" w:eastAsia="宋体" w:cs="宋体"/>
          <w:b/>
          <w:bCs/>
          <w:color w:val="auto"/>
          <w:kern w:val="0"/>
          <w:sz w:val="24"/>
          <w:highlight w:val="none"/>
        </w:rPr>
      </w:pPr>
    </w:p>
    <w:p w14:paraId="59091182">
      <w:pPr>
        <w:tabs>
          <w:tab w:val="left" w:pos="1140"/>
        </w:tabs>
        <w:wordWrap w:val="0"/>
        <w:spacing w:line="460" w:lineRule="exact"/>
        <w:ind w:firstLine="482" w:firstLineChars="200"/>
        <w:rPr>
          <w:rFonts w:hint="eastAsia" w:ascii="宋体" w:hAnsi="宋体" w:eastAsia="宋体" w:cs="宋体"/>
          <w:b/>
          <w:bCs/>
          <w:color w:val="auto"/>
          <w:kern w:val="0"/>
          <w:sz w:val="24"/>
          <w:highlight w:val="none"/>
        </w:rPr>
      </w:pPr>
    </w:p>
    <w:p w14:paraId="39F661B9">
      <w:pPr>
        <w:tabs>
          <w:tab w:val="left" w:pos="1140"/>
        </w:tabs>
        <w:wordWrap w:val="0"/>
        <w:spacing w:line="460" w:lineRule="exact"/>
        <w:ind w:firstLine="482" w:firstLineChars="200"/>
        <w:rPr>
          <w:rFonts w:hint="eastAsia" w:ascii="宋体" w:hAnsi="宋体" w:eastAsia="宋体" w:cs="宋体"/>
          <w:b/>
          <w:bCs/>
          <w:color w:val="auto"/>
          <w:kern w:val="0"/>
          <w:sz w:val="24"/>
          <w:highlight w:val="none"/>
        </w:rPr>
      </w:pPr>
    </w:p>
    <w:p w14:paraId="41DC9A4D">
      <w:pPr>
        <w:tabs>
          <w:tab w:val="left" w:pos="1140"/>
        </w:tabs>
        <w:wordWrap w:val="0"/>
        <w:spacing w:line="460" w:lineRule="exact"/>
        <w:ind w:firstLine="482" w:firstLineChars="200"/>
        <w:rPr>
          <w:rFonts w:hint="eastAsia" w:ascii="宋体" w:hAnsi="宋体" w:eastAsia="宋体" w:cs="宋体"/>
          <w:b/>
          <w:bCs/>
          <w:color w:val="auto"/>
          <w:kern w:val="0"/>
          <w:sz w:val="24"/>
          <w:highlight w:val="none"/>
        </w:rPr>
      </w:pPr>
    </w:p>
    <w:p w14:paraId="4A3AEF47">
      <w:pPr>
        <w:tabs>
          <w:tab w:val="left" w:pos="1140"/>
        </w:tabs>
        <w:wordWrap w:val="0"/>
        <w:spacing w:line="460" w:lineRule="exact"/>
        <w:ind w:firstLine="482" w:firstLineChars="200"/>
        <w:rPr>
          <w:rFonts w:hint="eastAsia" w:ascii="宋体" w:hAnsi="宋体" w:eastAsia="宋体" w:cs="宋体"/>
          <w:b/>
          <w:bCs/>
          <w:color w:val="auto"/>
          <w:kern w:val="0"/>
          <w:sz w:val="24"/>
          <w:highlight w:val="none"/>
        </w:rPr>
      </w:pPr>
    </w:p>
    <w:p w14:paraId="4BD8501F">
      <w:pPr>
        <w:tabs>
          <w:tab w:val="left" w:pos="1140"/>
        </w:tabs>
        <w:wordWrap w:val="0"/>
        <w:spacing w:line="460" w:lineRule="exact"/>
        <w:ind w:firstLine="482" w:firstLineChars="200"/>
        <w:rPr>
          <w:rFonts w:hint="eastAsia" w:ascii="宋体" w:hAnsi="宋体" w:eastAsia="宋体" w:cs="宋体"/>
          <w:b/>
          <w:bCs/>
          <w:color w:val="auto"/>
          <w:kern w:val="0"/>
          <w:sz w:val="24"/>
          <w:highlight w:val="none"/>
        </w:rPr>
      </w:pPr>
    </w:p>
    <w:p w14:paraId="04985658">
      <w:pPr>
        <w:tabs>
          <w:tab w:val="left" w:pos="1140"/>
        </w:tabs>
        <w:wordWrap w:val="0"/>
        <w:spacing w:line="460" w:lineRule="exact"/>
        <w:ind w:firstLine="482" w:firstLineChars="200"/>
        <w:rPr>
          <w:rFonts w:hint="eastAsia" w:ascii="宋体" w:hAnsi="宋体" w:eastAsia="宋体" w:cs="宋体"/>
          <w:b/>
          <w:bCs/>
          <w:color w:val="auto"/>
          <w:kern w:val="0"/>
          <w:sz w:val="24"/>
          <w:highlight w:val="none"/>
        </w:rPr>
      </w:pPr>
    </w:p>
    <w:p w14:paraId="31A2C56C">
      <w:pPr>
        <w:tabs>
          <w:tab w:val="left" w:pos="1140"/>
        </w:tabs>
        <w:wordWrap w:val="0"/>
        <w:spacing w:line="460" w:lineRule="exact"/>
        <w:ind w:firstLine="482" w:firstLineChars="200"/>
        <w:rPr>
          <w:rFonts w:hint="eastAsia" w:ascii="宋体" w:hAnsi="宋体" w:eastAsia="宋体" w:cs="宋体"/>
          <w:b/>
          <w:bCs/>
          <w:color w:val="auto"/>
          <w:kern w:val="0"/>
          <w:sz w:val="24"/>
          <w:highlight w:val="none"/>
        </w:rPr>
      </w:pPr>
    </w:p>
    <w:p w14:paraId="75DE2193">
      <w:pPr>
        <w:tabs>
          <w:tab w:val="left" w:pos="1140"/>
        </w:tabs>
        <w:wordWrap w:val="0"/>
        <w:spacing w:line="460" w:lineRule="exact"/>
        <w:ind w:firstLine="482" w:firstLineChars="200"/>
        <w:rPr>
          <w:rFonts w:hint="eastAsia" w:ascii="宋体" w:hAnsi="宋体" w:eastAsia="宋体" w:cs="宋体"/>
          <w:b/>
          <w:bCs/>
          <w:color w:val="auto"/>
          <w:kern w:val="0"/>
          <w:sz w:val="24"/>
          <w:highlight w:val="none"/>
        </w:rPr>
      </w:pPr>
    </w:p>
    <w:p w14:paraId="329B72AC">
      <w:pPr>
        <w:tabs>
          <w:tab w:val="left" w:pos="1140"/>
        </w:tabs>
        <w:wordWrap w:val="0"/>
        <w:spacing w:line="460" w:lineRule="exact"/>
        <w:ind w:firstLine="482" w:firstLineChars="200"/>
        <w:rPr>
          <w:rFonts w:hint="eastAsia" w:ascii="宋体" w:hAnsi="宋体" w:eastAsia="宋体" w:cs="宋体"/>
          <w:b/>
          <w:bCs/>
          <w:color w:val="auto"/>
          <w:kern w:val="0"/>
          <w:sz w:val="24"/>
          <w:highlight w:val="none"/>
        </w:rPr>
      </w:pPr>
    </w:p>
    <w:p w14:paraId="012A4A35">
      <w:pPr>
        <w:tabs>
          <w:tab w:val="left" w:pos="1140"/>
        </w:tabs>
        <w:wordWrap w:val="0"/>
        <w:spacing w:line="460" w:lineRule="exact"/>
        <w:ind w:firstLine="48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 w:val="24"/>
          <w:highlight w:val="none"/>
        </w:rPr>
        <w:t>分标2适用:</w:t>
      </w:r>
    </w:p>
    <w:p w14:paraId="50AF44E1">
      <w:pPr>
        <w:wordWrap w:val="0"/>
        <w:spacing w:line="46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 1.价格分…………………………………………………………………………</w:t>
      </w:r>
      <w:r>
        <w:rPr>
          <w:rFonts w:hint="eastAsia" w:ascii="宋体" w:hAnsi="宋体" w:eastAsia="宋体" w:cs="宋体"/>
          <w:b/>
          <w:bCs/>
          <w:color w:val="auto"/>
          <w:szCs w:val="21"/>
          <w:highlight w:val="none"/>
        </w:rPr>
        <w:t>……………</w:t>
      </w:r>
      <w:r>
        <w:rPr>
          <w:rFonts w:hint="eastAsia" w:ascii="宋体" w:hAnsi="宋体" w:eastAsia="宋体" w:cs="宋体"/>
          <w:b/>
          <w:bCs/>
          <w:color w:val="auto"/>
          <w:kern w:val="0"/>
          <w:szCs w:val="21"/>
          <w:highlight w:val="none"/>
        </w:rPr>
        <w:t>…20分</w:t>
      </w:r>
    </w:p>
    <w:p w14:paraId="3B04F21C">
      <w:pPr>
        <w:spacing w:line="440" w:lineRule="exact"/>
        <w:ind w:firstLine="359" w:firstLineChars="171"/>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（1）</w:t>
      </w:r>
      <w:r>
        <w:rPr>
          <w:rFonts w:hint="eastAsia" w:ascii="宋体" w:hAnsi="宋体" w:eastAsia="宋体" w:cs="宋体"/>
          <w:color w:val="auto"/>
          <w:kern w:val="0"/>
          <w:szCs w:val="20"/>
          <w:highlight w:val="none"/>
        </w:rPr>
        <w:t>本项目为专门面向中型、小型、微型企业项目，按照《政府采购促进中小企业发展管理办法》（财库〔2020〕46号）第九条规定，小微企业、监狱企业、残疾人福利性单位不执行价格评审优惠的扶持政策。</w:t>
      </w:r>
    </w:p>
    <w:p w14:paraId="04E277E3">
      <w:pPr>
        <w:tabs>
          <w:tab w:val="left" w:pos="1140"/>
        </w:tabs>
        <w:spacing w:line="44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（2）以进入综合评分环节的最低的评审报价（综合折扣率）为磋商基准价，磋商基准价报价得分为20分。</w:t>
      </w:r>
    </w:p>
    <w:p w14:paraId="44D33FF8">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                                      磋商基准价</w:t>
      </w:r>
    </w:p>
    <w:p w14:paraId="12F73B24">
      <w:pPr>
        <w:pStyle w:val="20"/>
        <w:rPr>
          <w:rFonts w:hint="eastAsia" w:ascii="宋体" w:hAnsi="宋体" w:eastAsia="宋体" w:cs="宋体"/>
          <w:color w:val="auto"/>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1995170</wp:posOffset>
                </wp:positionH>
                <wp:positionV relativeFrom="paragraph">
                  <wp:posOffset>113665</wp:posOffset>
                </wp:positionV>
                <wp:extent cx="2197100" cy="0"/>
                <wp:effectExtent l="0" t="4445" r="0" b="0"/>
                <wp:wrapNone/>
                <wp:docPr id="4" name="Line 105"/>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ln>
                        <a:effectLst/>
                      </wps:spPr>
                      <wps:bodyPr/>
                    </wps:wsp>
                  </a:graphicData>
                </a:graphic>
              </wp:anchor>
            </w:drawing>
          </mc:Choice>
          <mc:Fallback>
            <w:pict>
              <v:line id="Line 105" o:spid="_x0000_s1026" o:spt="20" style="position:absolute;left:0pt;margin-left:157.1pt;margin-top:8.95pt;height:0pt;width:173pt;z-index:251664384;mso-width-relative:page;mso-height-relative:page;" filled="f" stroked="t" coordsize="21600,21600" o:gfxdata="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FLnoA1QAAAAkBAAAPAAAAAAAAAAEAIAAAACIAAABk&#10;cnMvZG93bnJldi54bWxQSwECFAAUAAAACACHTuJALP3Hv9ABAACvAwAADgAAAAAAAAABACAAAAAk&#10;AQAAZHJzL2Uyb0RvYy54bWxQSwUGAAAAAAYABgBZAQAAZgUAAAAA&#10;">
                <v:fill on="f" focussize="0,0"/>
                <v:stroke color="#000000" joinstyle="round"/>
                <v:imagedata o:title=""/>
                <o:lock v:ext="edit" aspectratio="f"/>
              </v:line>
            </w:pict>
          </mc:Fallback>
        </mc:AlternateContent>
      </w:r>
      <w:r>
        <w:rPr>
          <w:rFonts w:hint="eastAsia" w:ascii="宋体" w:hAnsi="宋体" w:eastAsia="宋体" w:cs="宋体"/>
          <w:color w:val="auto"/>
          <w:highlight w:val="none"/>
        </w:rPr>
        <w:t xml:space="preserve">    （3）供应商磋商报价得分 =                                     ×20分</w:t>
      </w:r>
    </w:p>
    <w:p w14:paraId="65B339FA">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                               供应商的评审报价（综合折扣率）</w:t>
      </w:r>
    </w:p>
    <w:p w14:paraId="69C5AB21">
      <w:pPr>
        <w:spacing w:line="44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 2.项目实施方案分………………………………………………………………………………44分</w:t>
      </w:r>
    </w:p>
    <w:p w14:paraId="7808B091">
      <w:pPr>
        <w:tabs>
          <w:tab w:val="left" w:pos="4214"/>
        </w:tabs>
        <w:spacing w:line="440" w:lineRule="exact"/>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（1）</w:t>
      </w:r>
      <w:r>
        <w:rPr>
          <w:rFonts w:hint="eastAsia" w:ascii="宋体" w:hAnsi="宋体" w:eastAsia="宋体" w:cs="宋体"/>
          <w:b/>
          <w:color w:val="auto"/>
          <w:kern w:val="0"/>
          <w:szCs w:val="21"/>
          <w:highlight w:val="none"/>
        </w:rPr>
        <w:t>内部</w:t>
      </w:r>
      <w:r>
        <w:rPr>
          <w:rFonts w:hint="eastAsia" w:ascii="宋体" w:hAnsi="宋体" w:eastAsia="宋体" w:cs="宋体"/>
          <w:b/>
          <w:bCs/>
          <w:color w:val="auto"/>
          <w:szCs w:val="20"/>
          <w:highlight w:val="none"/>
        </w:rPr>
        <w:t>管理制度分(满分6分)</w:t>
      </w:r>
    </w:p>
    <w:p w14:paraId="2C38881F">
      <w:pPr>
        <w:pStyle w:val="31"/>
        <w:spacing w:before="0" w:line="400" w:lineRule="exact"/>
        <w:ind w:firstLine="210"/>
        <w:rPr>
          <w:rFonts w:hint="eastAsia" w:ascii="宋体" w:hAnsi="宋体" w:eastAsia="宋体" w:cs="宋体"/>
          <w:b w:val="0"/>
          <w:color w:val="auto"/>
          <w:sz w:val="21"/>
          <w:szCs w:val="20"/>
          <w:highlight w:val="none"/>
        </w:rPr>
      </w:pPr>
      <w:r>
        <w:rPr>
          <w:rFonts w:hint="eastAsia" w:ascii="宋体" w:hAnsi="宋体" w:eastAsia="宋体" w:cs="宋体"/>
          <w:b w:val="0"/>
          <w:color w:val="auto"/>
          <w:sz w:val="21"/>
          <w:szCs w:val="20"/>
          <w:highlight w:val="none"/>
        </w:rPr>
        <w:t xml:space="preserve">   由评委根据供应商提供的项目实施方案中的“内部管理制度（</w:t>
      </w:r>
      <w:bookmarkStart w:id="226" w:name="OLE_LINK264"/>
      <w:bookmarkStart w:id="227" w:name="OLE_LINK263"/>
      <w:r>
        <w:rPr>
          <w:rFonts w:hint="eastAsia" w:ascii="宋体" w:hAnsi="宋体" w:eastAsia="宋体" w:cs="宋体"/>
          <w:b w:val="0"/>
          <w:color w:val="auto"/>
          <w:sz w:val="21"/>
          <w:szCs w:val="20"/>
          <w:highlight w:val="none"/>
        </w:rPr>
        <w:t>包含以下评审因素：</w:t>
      </w:r>
      <w:bookmarkEnd w:id="226"/>
      <w:bookmarkEnd w:id="227"/>
      <w:r>
        <w:rPr>
          <w:rFonts w:hint="eastAsia" w:ascii="宋体" w:hAnsi="宋体" w:eastAsia="宋体" w:cs="宋体"/>
          <w:b w:val="0"/>
          <w:color w:val="auto"/>
          <w:sz w:val="21"/>
          <w:szCs w:val="20"/>
          <w:highlight w:val="none"/>
        </w:rPr>
        <w:t>①岗位责任制度；②日常运营管理制度；③与校方对接服务制度；④服务质量考核制度；⑤档案资料管理制度）”</w:t>
      </w:r>
      <w:bookmarkStart w:id="228" w:name="OLE_LINK10"/>
      <w:bookmarkStart w:id="229" w:name="OLE_LINK9"/>
      <w:r>
        <w:rPr>
          <w:rFonts w:hint="eastAsia" w:ascii="宋体" w:hAnsi="宋体" w:eastAsia="宋体" w:cs="宋体"/>
          <w:b w:val="0"/>
          <w:color w:val="auto"/>
          <w:sz w:val="21"/>
          <w:szCs w:val="20"/>
          <w:highlight w:val="none"/>
        </w:rPr>
        <w:t>内容的合理性、可行性、针对性三个方面进行独立评审并打分：</w:t>
      </w:r>
    </w:p>
    <w:bookmarkEnd w:id="228"/>
    <w:bookmarkEnd w:id="229"/>
    <w:p w14:paraId="7CB8FA2F">
      <w:pPr>
        <w:tabs>
          <w:tab w:val="left" w:pos="4214"/>
        </w:tabs>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一档（1.5分）：</w:t>
      </w:r>
      <w:bookmarkStart w:id="230" w:name="OLE_LINK256"/>
      <w:bookmarkStart w:id="231" w:name="OLE_LINK255"/>
      <w:r>
        <w:rPr>
          <w:rFonts w:hint="eastAsia" w:ascii="宋体" w:hAnsi="宋体" w:eastAsia="宋体" w:cs="宋体"/>
          <w:color w:val="auto"/>
          <w:szCs w:val="21"/>
          <w:highlight w:val="none"/>
        </w:rPr>
        <w:t>在5</w:t>
      </w:r>
      <w:r>
        <w:rPr>
          <w:rFonts w:hint="eastAsia" w:ascii="宋体" w:hAnsi="宋体" w:eastAsia="宋体" w:cs="宋体"/>
          <w:color w:val="auto"/>
          <w:szCs w:val="20"/>
          <w:highlight w:val="none"/>
        </w:rPr>
        <w:t>项</w:t>
      </w:r>
      <w:bookmarkStart w:id="232" w:name="OLE_LINK260"/>
      <w:bookmarkStart w:id="233" w:name="OLE_LINK259"/>
      <w:r>
        <w:rPr>
          <w:rFonts w:hint="eastAsia" w:ascii="宋体" w:hAnsi="宋体" w:eastAsia="宋体" w:cs="宋体"/>
          <w:color w:val="auto"/>
          <w:szCs w:val="20"/>
          <w:highlight w:val="none"/>
        </w:rPr>
        <w:t>评审因素</w:t>
      </w:r>
      <w:bookmarkEnd w:id="232"/>
      <w:bookmarkEnd w:id="233"/>
      <w:r>
        <w:rPr>
          <w:rFonts w:hint="eastAsia" w:ascii="宋体" w:hAnsi="宋体" w:eastAsia="宋体" w:cs="宋体"/>
          <w:color w:val="auto"/>
          <w:szCs w:val="21"/>
          <w:highlight w:val="none"/>
        </w:rPr>
        <w:t>中</w:t>
      </w:r>
      <w:bookmarkStart w:id="234" w:name="OLE_LINK251"/>
      <w:bookmarkStart w:id="235" w:name="OLE_LINK252"/>
      <w:r>
        <w:rPr>
          <w:rFonts w:hint="eastAsia" w:ascii="宋体" w:hAnsi="宋体" w:eastAsia="宋体" w:cs="宋体"/>
          <w:color w:val="auto"/>
          <w:szCs w:val="21"/>
          <w:highlight w:val="none"/>
        </w:rPr>
        <w:t>经评审有1</w:t>
      </w:r>
      <w:bookmarkEnd w:id="234"/>
      <w:bookmarkEnd w:id="235"/>
      <w:r>
        <w:rPr>
          <w:rFonts w:hint="eastAsia" w:ascii="宋体" w:hAnsi="宋体" w:eastAsia="宋体" w:cs="宋体"/>
          <w:color w:val="auto"/>
          <w:szCs w:val="21"/>
          <w:highlight w:val="none"/>
        </w:rPr>
        <w:t>项合理、可行并具有针对性的</w:t>
      </w:r>
      <w:bookmarkEnd w:id="230"/>
      <w:bookmarkEnd w:id="231"/>
      <w:r>
        <w:rPr>
          <w:rFonts w:hint="eastAsia" w:ascii="宋体" w:hAnsi="宋体" w:eastAsia="宋体" w:cs="宋体"/>
          <w:color w:val="auto"/>
          <w:szCs w:val="21"/>
          <w:highlight w:val="none"/>
        </w:rPr>
        <w:t>；</w:t>
      </w:r>
    </w:p>
    <w:p w14:paraId="7D12089E">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二档（3分）：</w:t>
      </w:r>
      <w:bookmarkStart w:id="236" w:name="OLE_LINK258"/>
      <w:bookmarkStart w:id="237" w:name="OLE_LINK257"/>
      <w:r>
        <w:rPr>
          <w:rFonts w:hint="eastAsia" w:ascii="宋体" w:hAnsi="宋体" w:eastAsia="宋体" w:cs="宋体"/>
          <w:color w:val="auto"/>
          <w:szCs w:val="21"/>
          <w:highlight w:val="none"/>
        </w:rPr>
        <w:t>在5</w:t>
      </w:r>
      <w:r>
        <w:rPr>
          <w:rFonts w:hint="eastAsia" w:ascii="宋体" w:hAnsi="宋体" w:eastAsia="宋体" w:cs="宋体"/>
          <w:color w:val="auto"/>
          <w:szCs w:val="20"/>
          <w:highlight w:val="none"/>
        </w:rPr>
        <w:t>项评审因素</w:t>
      </w:r>
      <w:r>
        <w:rPr>
          <w:rFonts w:hint="eastAsia" w:ascii="宋体" w:hAnsi="宋体" w:eastAsia="宋体" w:cs="宋体"/>
          <w:color w:val="auto"/>
          <w:szCs w:val="21"/>
          <w:highlight w:val="none"/>
        </w:rPr>
        <w:t>中经评审有2项合理、可行并具有针对性的</w:t>
      </w:r>
      <w:bookmarkEnd w:id="236"/>
      <w:bookmarkEnd w:id="237"/>
      <w:r>
        <w:rPr>
          <w:rFonts w:hint="eastAsia" w:ascii="宋体" w:hAnsi="宋体" w:eastAsia="宋体" w:cs="宋体"/>
          <w:color w:val="auto"/>
          <w:szCs w:val="21"/>
          <w:highlight w:val="none"/>
        </w:rPr>
        <w:t>；</w:t>
      </w:r>
    </w:p>
    <w:p w14:paraId="0173A894">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三档（4.5分）：在5</w:t>
      </w:r>
      <w:r>
        <w:rPr>
          <w:rFonts w:hint="eastAsia" w:ascii="宋体" w:hAnsi="宋体" w:eastAsia="宋体" w:cs="宋体"/>
          <w:color w:val="auto"/>
          <w:szCs w:val="20"/>
          <w:highlight w:val="none"/>
        </w:rPr>
        <w:t>项评审因素</w:t>
      </w:r>
      <w:r>
        <w:rPr>
          <w:rFonts w:hint="eastAsia" w:ascii="宋体" w:hAnsi="宋体" w:eastAsia="宋体" w:cs="宋体"/>
          <w:color w:val="auto"/>
          <w:szCs w:val="21"/>
          <w:highlight w:val="none"/>
        </w:rPr>
        <w:t>中经评审有3-4项合理、可行并具有针对性的</w:t>
      </w:r>
      <w:r>
        <w:rPr>
          <w:rFonts w:hint="eastAsia" w:ascii="宋体" w:hAnsi="宋体" w:eastAsia="宋体" w:cs="宋体"/>
          <w:color w:val="auto"/>
          <w:szCs w:val="21"/>
          <w:highlight w:val="none"/>
        </w:rPr>
        <w:t>；</w:t>
      </w:r>
    </w:p>
    <w:p w14:paraId="6E925611">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四档（6分）：在5</w:t>
      </w:r>
      <w:r>
        <w:rPr>
          <w:rFonts w:hint="eastAsia" w:ascii="宋体" w:hAnsi="宋体" w:eastAsia="宋体" w:cs="宋体"/>
          <w:color w:val="auto"/>
          <w:szCs w:val="20"/>
          <w:highlight w:val="none"/>
        </w:rPr>
        <w:t>项评审因素</w:t>
      </w:r>
      <w:r>
        <w:rPr>
          <w:rFonts w:hint="eastAsia" w:ascii="宋体" w:hAnsi="宋体" w:eastAsia="宋体" w:cs="宋体"/>
          <w:color w:val="auto"/>
          <w:szCs w:val="21"/>
          <w:highlight w:val="none"/>
        </w:rPr>
        <w:t>中经评审有5项合理、可行并具有针对性的</w:t>
      </w:r>
      <w:r>
        <w:rPr>
          <w:rFonts w:hint="eastAsia" w:ascii="宋体" w:hAnsi="宋体" w:eastAsia="宋体" w:cs="宋体"/>
          <w:color w:val="auto"/>
          <w:szCs w:val="21"/>
          <w:highlight w:val="none"/>
        </w:rPr>
        <w:t>。</w:t>
      </w:r>
    </w:p>
    <w:p w14:paraId="235B4C66">
      <w:pPr>
        <w:tabs>
          <w:tab w:val="left" w:pos="4214"/>
        </w:tabs>
        <w:spacing w:line="440" w:lineRule="exact"/>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（2）食材质量管控措施分（满分8分）</w:t>
      </w:r>
    </w:p>
    <w:p w14:paraId="50EBC120">
      <w:pPr>
        <w:pStyle w:val="31"/>
        <w:spacing w:before="0" w:line="400" w:lineRule="exact"/>
        <w:ind w:firstLine="210"/>
        <w:rPr>
          <w:rFonts w:hint="eastAsia" w:ascii="宋体" w:hAnsi="宋体" w:eastAsia="宋体" w:cs="宋体"/>
          <w:b w:val="0"/>
          <w:color w:val="auto"/>
          <w:sz w:val="21"/>
          <w:szCs w:val="20"/>
          <w:highlight w:val="none"/>
        </w:rPr>
      </w:pPr>
      <w:r>
        <w:rPr>
          <w:rFonts w:hint="eastAsia" w:ascii="宋体" w:hAnsi="宋体" w:eastAsia="宋体" w:cs="宋体"/>
          <w:b w:val="0"/>
          <w:color w:val="auto"/>
          <w:sz w:val="21"/>
          <w:szCs w:val="20"/>
          <w:highlight w:val="none"/>
        </w:rPr>
        <w:t xml:space="preserve">  由评委根据供应商提供的项目实施方案中的“食材质量管控措施（包含以下评审因素：①食材进货渠道与溯源方式；②索证索票管理及查验、验收符合机制；③不合格品拒收机制与处置流程、④配送过程品质控制管理措施；⑤质量问题召回措施；⑥采购档案管理）” 内容的合理性、可行性、针对性三个方面进行独立评审并打分：</w:t>
      </w:r>
    </w:p>
    <w:p w14:paraId="52F56080">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一档（2分）：在6</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5DAABC8F">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二档（4分）：在</w:t>
      </w:r>
      <w:r>
        <w:rPr>
          <w:rFonts w:hint="eastAsia" w:ascii="宋体" w:hAnsi="宋体" w:eastAsia="宋体" w:cs="宋体"/>
          <w:color w:val="auto"/>
          <w:szCs w:val="20"/>
          <w:highlight w:val="none"/>
        </w:rPr>
        <w:t>6项评审因素中经评审有2-3项合理、可行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4D648C72">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三档（6分）：在</w:t>
      </w:r>
      <w:r>
        <w:rPr>
          <w:rFonts w:hint="eastAsia" w:ascii="宋体" w:hAnsi="宋体" w:eastAsia="宋体" w:cs="宋体"/>
          <w:color w:val="auto"/>
          <w:szCs w:val="20"/>
          <w:highlight w:val="none"/>
        </w:rPr>
        <w:t>6项评审因素中经评审有4-5项合理、可行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76240BB7">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四档（8分）：在</w:t>
      </w:r>
      <w:r>
        <w:rPr>
          <w:rFonts w:hint="eastAsia" w:ascii="宋体" w:hAnsi="宋体" w:eastAsia="宋体" w:cs="宋体"/>
          <w:color w:val="auto"/>
          <w:szCs w:val="20"/>
          <w:highlight w:val="none"/>
        </w:rPr>
        <w:t>6项评审因素中经评审有6项合理、可行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0A5413C7">
      <w:pPr>
        <w:tabs>
          <w:tab w:val="left" w:pos="4214"/>
        </w:tabs>
        <w:spacing w:line="440" w:lineRule="exact"/>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 xml:space="preserve">（3）食材的存储安全保障措施分（满分 8分）  </w:t>
      </w:r>
    </w:p>
    <w:p w14:paraId="63011D3E">
      <w:pPr>
        <w:tabs>
          <w:tab w:val="left" w:pos="4214"/>
        </w:tabs>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由评委根据供应商提供的项目实施方案中的“食材的存储安全保障措施（</w:t>
      </w:r>
      <w:r>
        <w:rPr>
          <w:rFonts w:hint="eastAsia" w:ascii="宋体" w:hAnsi="宋体" w:eastAsia="宋体" w:cs="宋体"/>
          <w:color w:val="auto"/>
          <w:szCs w:val="20"/>
          <w:highlight w:val="none"/>
        </w:rPr>
        <w:t>包含以下评审因素</w:t>
      </w:r>
      <w:r>
        <w:rPr>
          <w:rFonts w:hint="eastAsia" w:ascii="宋体" w:hAnsi="宋体" w:eastAsia="宋体" w:cs="宋体"/>
          <w:color w:val="auto"/>
          <w:szCs w:val="21"/>
          <w:highlight w:val="none"/>
        </w:rPr>
        <w:t>：①仓库环境；②温湿度控制；③分类分区存放；④定期盘点与清理；⑤有毒有害物防范）”内容的合理性、可行性、针对性三个方面进行独立评审并打分：</w:t>
      </w:r>
    </w:p>
    <w:p w14:paraId="481A7C1B">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一档（2分）：在5</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40EABCA5">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二档（4分）：在</w:t>
      </w:r>
      <w:r>
        <w:rPr>
          <w:rFonts w:hint="eastAsia" w:ascii="宋体" w:hAnsi="宋体" w:eastAsia="宋体" w:cs="宋体"/>
          <w:color w:val="auto"/>
          <w:szCs w:val="20"/>
          <w:highlight w:val="none"/>
        </w:rPr>
        <w:t>5项评审因素中经评审有2项合理、可行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3428B2BE">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三档（6分）：在</w:t>
      </w:r>
      <w:r>
        <w:rPr>
          <w:rFonts w:hint="eastAsia" w:ascii="宋体" w:hAnsi="宋体" w:eastAsia="宋体" w:cs="宋体"/>
          <w:color w:val="auto"/>
          <w:szCs w:val="20"/>
          <w:highlight w:val="none"/>
        </w:rPr>
        <w:t>5项评审因素中经评审有3-4项合理、可行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24A0CBA2">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四档（8分）：在</w:t>
      </w:r>
      <w:r>
        <w:rPr>
          <w:rFonts w:hint="eastAsia" w:ascii="宋体" w:hAnsi="宋体" w:eastAsia="宋体" w:cs="宋体"/>
          <w:color w:val="auto"/>
          <w:szCs w:val="20"/>
          <w:highlight w:val="none"/>
        </w:rPr>
        <w:t>5项评审因素中经评审有5项合理、可行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2DF2C60A">
      <w:pPr>
        <w:tabs>
          <w:tab w:val="left" w:pos="4214"/>
        </w:tabs>
        <w:spacing w:line="440" w:lineRule="exact"/>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 xml:space="preserve">   </w:t>
      </w:r>
      <w:bookmarkStart w:id="238" w:name="OLE_LINK243"/>
      <w:bookmarkStart w:id="239" w:name="OLE_LINK244"/>
      <w:r>
        <w:rPr>
          <w:rFonts w:hint="eastAsia" w:ascii="宋体" w:hAnsi="宋体" w:eastAsia="宋体" w:cs="宋体"/>
          <w:b/>
          <w:bCs/>
          <w:color w:val="auto"/>
          <w:szCs w:val="20"/>
          <w:highlight w:val="none"/>
        </w:rPr>
        <w:t>（4）配送方案分(满分 8 分)</w:t>
      </w:r>
    </w:p>
    <w:p w14:paraId="34FBE47F">
      <w:pPr>
        <w:tabs>
          <w:tab w:val="left" w:pos="4214"/>
        </w:tabs>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由评委根据供应商提供的项目实施方案中的“配送方案（</w:t>
      </w:r>
      <w:r>
        <w:rPr>
          <w:rFonts w:hint="eastAsia" w:ascii="宋体" w:hAnsi="宋体" w:eastAsia="宋体" w:cs="宋体"/>
          <w:color w:val="auto"/>
          <w:szCs w:val="20"/>
          <w:highlight w:val="none"/>
        </w:rPr>
        <w:t>包含以下评审因素</w:t>
      </w:r>
      <w:r>
        <w:rPr>
          <w:rFonts w:hint="eastAsia" w:ascii="宋体" w:hAnsi="宋体" w:eastAsia="宋体" w:cs="宋体"/>
          <w:color w:val="auto"/>
          <w:szCs w:val="21"/>
          <w:highlight w:val="none"/>
        </w:rPr>
        <w:t>：①</w:t>
      </w:r>
      <w:r>
        <w:rPr>
          <w:rFonts w:hint="eastAsia" w:ascii="宋体" w:hAnsi="宋体" w:eastAsia="宋体" w:cs="宋体"/>
          <w:color w:val="auto"/>
          <w:kern w:val="0"/>
          <w:szCs w:val="21"/>
          <w:highlight w:val="none"/>
        </w:rPr>
        <w:t>配送的流程</w:t>
      </w:r>
      <w:r>
        <w:rPr>
          <w:rFonts w:hint="eastAsia" w:ascii="宋体" w:hAnsi="宋体" w:eastAsia="宋体" w:cs="宋体"/>
          <w:color w:val="auto"/>
          <w:szCs w:val="20"/>
          <w:highlight w:val="none"/>
        </w:rPr>
        <w:t>及路线规划</w:t>
      </w:r>
      <w:r>
        <w:rPr>
          <w:rFonts w:hint="eastAsia" w:ascii="宋体" w:hAnsi="宋体" w:eastAsia="宋体" w:cs="宋体"/>
          <w:color w:val="auto"/>
          <w:szCs w:val="21"/>
          <w:highlight w:val="none"/>
        </w:rPr>
        <w:t>；②配送实施方案；③配送运输方法；④食材加工、包</w:t>
      </w:r>
      <w:r>
        <w:rPr>
          <w:rFonts w:hint="eastAsia" w:ascii="宋体" w:hAnsi="宋体" w:eastAsia="宋体" w:cs="宋体"/>
          <w:color w:val="auto"/>
          <w:kern w:val="0"/>
          <w:szCs w:val="21"/>
          <w:highlight w:val="none"/>
        </w:rPr>
        <w:t>装、卫生、保鲜、损耗控制措施</w:t>
      </w:r>
      <w:r>
        <w:rPr>
          <w:rFonts w:hint="eastAsia" w:ascii="宋体" w:hAnsi="宋体" w:eastAsia="宋体" w:cs="宋体"/>
          <w:color w:val="auto"/>
          <w:szCs w:val="21"/>
          <w:highlight w:val="none"/>
        </w:rPr>
        <w:t>；⑤</w:t>
      </w:r>
      <w:r>
        <w:rPr>
          <w:rFonts w:hint="eastAsia" w:ascii="宋体" w:hAnsi="宋体" w:eastAsia="宋体" w:cs="宋体"/>
          <w:color w:val="auto"/>
          <w:szCs w:val="20"/>
          <w:highlight w:val="none"/>
        </w:rPr>
        <w:t>配送时效管控</w:t>
      </w:r>
      <w:r>
        <w:rPr>
          <w:rFonts w:hint="eastAsia" w:ascii="宋体" w:hAnsi="宋体" w:eastAsia="宋体" w:cs="宋体"/>
          <w:color w:val="auto"/>
          <w:szCs w:val="21"/>
          <w:highlight w:val="none"/>
        </w:rPr>
        <w:t>；⑥</w:t>
      </w:r>
      <w:r>
        <w:rPr>
          <w:rFonts w:hint="eastAsia" w:ascii="宋体" w:hAnsi="宋体" w:eastAsia="宋体" w:cs="宋体"/>
          <w:color w:val="auto"/>
          <w:szCs w:val="20"/>
          <w:highlight w:val="none"/>
        </w:rPr>
        <w:t>食材装卸污染防护措施</w:t>
      </w:r>
      <w:r>
        <w:rPr>
          <w:rFonts w:hint="eastAsia" w:ascii="宋体" w:hAnsi="宋体" w:eastAsia="宋体" w:cs="宋体"/>
          <w:color w:val="auto"/>
          <w:szCs w:val="21"/>
          <w:highlight w:val="none"/>
        </w:rPr>
        <w:t>）”内容的合理性、可行性、针对性三个方面进行独立评审并打分：</w:t>
      </w:r>
    </w:p>
    <w:p w14:paraId="7C2BEB83">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一档（2分）：在6</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649CFCE7">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二档（4分）：在</w:t>
      </w:r>
      <w:r>
        <w:rPr>
          <w:rFonts w:hint="eastAsia" w:ascii="宋体" w:hAnsi="宋体" w:eastAsia="宋体" w:cs="宋体"/>
          <w:color w:val="auto"/>
          <w:szCs w:val="20"/>
          <w:highlight w:val="none"/>
        </w:rPr>
        <w:t>6项评审因素中经评审有2-3项合理、可行</w:t>
      </w:r>
      <w:r>
        <w:rPr>
          <w:rFonts w:hint="eastAsia" w:ascii="宋体" w:hAnsi="宋体" w:eastAsia="宋体" w:cs="宋体"/>
          <w:color w:val="auto"/>
          <w:szCs w:val="20"/>
          <w:highlight w:val="none"/>
          <w:lang w:eastAsia="zh-CN"/>
        </w:rPr>
        <w:t>并具</w:t>
      </w:r>
      <w:r>
        <w:rPr>
          <w:rFonts w:hint="eastAsia" w:ascii="宋体" w:hAnsi="宋体" w:eastAsia="宋体" w:cs="宋体"/>
          <w:color w:val="auto"/>
          <w:szCs w:val="20"/>
          <w:highlight w:val="none"/>
        </w:rPr>
        <w:t>有针对性的</w:t>
      </w:r>
      <w:r>
        <w:rPr>
          <w:rFonts w:hint="eastAsia" w:ascii="宋体" w:hAnsi="宋体" w:eastAsia="宋体" w:cs="宋体"/>
          <w:color w:val="auto"/>
          <w:szCs w:val="21"/>
          <w:highlight w:val="none"/>
        </w:rPr>
        <w:t>；</w:t>
      </w:r>
    </w:p>
    <w:p w14:paraId="5A73A101">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三档（6分）：在</w:t>
      </w:r>
      <w:r>
        <w:rPr>
          <w:rFonts w:hint="eastAsia" w:ascii="宋体" w:hAnsi="宋体" w:eastAsia="宋体" w:cs="宋体"/>
          <w:color w:val="auto"/>
          <w:szCs w:val="20"/>
          <w:highlight w:val="none"/>
        </w:rPr>
        <w:t>6项评审因素中经评审有4-5项合理、可行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592F2AA5">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四档（8分）：在</w:t>
      </w:r>
      <w:r>
        <w:rPr>
          <w:rFonts w:hint="eastAsia" w:ascii="宋体" w:hAnsi="宋体" w:eastAsia="宋体" w:cs="宋体"/>
          <w:color w:val="auto"/>
          <w:szCs w:val="20"/>
          <w:highlight w:val="none"/>
        </w:rPr>
        <w:t>6项评审因素中经评审有6项合理、可行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29B282C0">
      <w:pPr>
        <w:tabs>
          <w:tab w:val="left" w:pos="4214"/>
        </w:tabs>
        <w:spacing w:line="440" w:lineRule="exact"/>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 xml:space="preserve">   （5）</w:t>
      </w:r>
      <w:bookmarkStart w:id="240" w:name="OLE_LINK208"/>
      <w:bookmarkStart w:id="241" w:name="OLE_LINK209"/>
      <w:r>
        <w:rPr>
          <w:rFonts w:hint="eastAsia" w:ascii="宋体" w:hAnsi="宋体" w:eastAsia="宋体" w:cs="宋体"/>
          <w:b/>
          <w:bCs/>
          <w:color w:val="auto"/>
          <w:szCs w:val="20"/>
          <w:highlight w:val="none"/>
        </w:rPr>
        <w:t>食品</w:t>
      </w:r>
      <w:bookmarkStart w:id="242" w:name="OLE_LINK241"/>
      <w:bookmarkStart w:id="243" w:name="OLE_LINK242"/>
      <w:r>
        <w:rPr>
          <w:rFonts w:hint="eastAsia" w:ascii="宋体" w:hAnsi="宋体" w:eastAsia="宋体" w:cs="宋体"/>
          <w:b/>
          <w:bCs/>
          <w:color w:val="auto"/>
          <w:szCs w:val="20"/>
          <w:highlight w:val="none"/>
        </w:rPr>
        <w:t>安全事故</w:t>
      </w:r>
      <w:bookmarkEnd w:id="242"/>
      <w:bookmarkEnd w:id="243"/>
      <w:r>
        <w:rPr>
          <w:rFonts w:hint="eastAsia" w:ascii="宋体" w:hAnsi="宋体" w:eastAsia="宋体" w:cs="宋体"/>
          <w:b/>
          <w:bCs/>
          <w:color w:val="auto"/>
          <w:szCs w:val="20"/>
          <w:highlight w:val="none"/>
        </w:rPr>
        <w:t>紧急</w:t>
      </w:r>
      <w:bookmarkStart w:id="244" w:name="OLE_LINK231"/>
      <w:bookmarkStart w:id="245" w:name="OLE_LINK234"/>
      <w:r>
        <w:rPr>
          <w:rFonts w:hint="eastAsia" w:ascii="宋体" w:hAnsi="宋体" w:eastAsia="宋体" w:cs="宋体"/>
          <w:b/>
          <w:bCs/>
          <w:color w:val="auto"/>
          <w:szCs w:val="20"/>
          <w:highlight w:val="none"/>
        </w:rPr>
        <w:t>处置</w:t>
      </w:r>
      <w:bookmarkEnd w:id="240"/>
      <w:bookmarkEnd w:id="241"/>
      <w:bookmarkEnd w:id="244"/>
      <w:bookmarkEnd w:id="245"/>
      <w:bookmarkStart w:id="246" w:name="OLE_LINK239"/>
      <w:bookmarkStart w:id="247" w:name="OLE_LINK240"/>
      <w:r>
        <w:rPr>
          <w:rFonts w:hint="eastAsia" w:ascii="宋体" w:hAnsi="宋体" w:eastAsia="宋体" w:cs="宋体"/>
          <w:b/>
          <w:bCs/>
          <w:color w:val="auto"/>
          <w:szCs w:val="20"/>
          <w:highlight w:val="none"/>
        </w:rPr>
        <w:t>预案</w:t>
      </w:r>
      <w:bookmarkEnd w:id="246"/>
      <w:bookmarkEnd w:id="247"/>
      <w:r>
        <w:rPr>
          <w:rFonts w:hint="eastAsia" w:ascii="宋体" w:hAnsi="宋体" w:eastAsia="宋体" w:cs="宋体"/>
          <w:b/>
          <w:bCs/>
          <w:color w:val="auto"/>
          <w:szCs w:val="20"/>
          <w:highlight w:val="none"/>
        </w:rPr>
        <w:t>分（满分6分）</w:t>
      </w:r>
    </w:p>
    <w:p w14:paraId="6E5F0436">
      <w:pPr>
        <w:tabs>
          <w:tab w:val="left" w:pos="4214"/>
        </w:tabs>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由评委根据供应商提供的项目实施方案中的“</w:t>
      </w:r>
      <w:r>
        <w:rPr>
          <w:rFonts w:hint="eastAsia" w:ascii="宋体" w:hAnsi="宋体" w:eastAsia="宋体" w:cs="宋体"/>
          <w:bCs/>
          <w:color w:val="auto"/>
          <w:szCs w:val="20"/>
          <w:highlight w:val="none"/>
        </w:rPr>
        <w:t>食品安全事故紧急处置预案（包含</w:t>
      </w:r>
      <w:r>
        <w:rPr>
          <w:rFonts w:hint="eastAsia" w:ascii="宋体" w:hAnsi="宋体" w:eastAsia="宋体" w:cs="宋体"/>
          <w:color w:val="auto"/>
          <w:szCs w:val="20"/>
          <w:highlight w:val="none"/>
        </w:rPr>
        <w:t>以下评审因素</w:t>
      </w:r>
      <w:r>
        <w:rPr>
          <w:rFonts w:hint="eastAsia" w:ascii="宋体" w:hAnsi="宋体" w:eastAsia="宋体" w:cs="宋体"/>
          <w:color w:val="auto"/>
          <w:szCs w:val="21"/>
          <w:highlight w:val="none"/>
        </w:rPr>
        <w:t>：</w:t>
      </w:r>
      <w:r>
        <w:rPr>
          <w:rFonts w:hint="eastAsia" w:ascii="宋体" w:hAnsi="宋体" w:eastAsia="宋体" w:cs="宋体"/>
          <w:color w:val="auto"/>
          <w:szCs w:val="20"/>
          <w:highlight w:val="none"/>
        </w:rPr>
        <w:t>①安全事故处理组织机构的建立与职责；②</w:t>
      </w:r>
      <w:r>
        <w:rPr>
          <w:rFonts w:hint="eastAsia" w:ascii="宋体" w:hAnsi="宋体" w:eastAsia="宋体" w:cs="宋体"/>
          <w:color w:val="auto"/>
          <w:szCs w:val="21"/>
          <w:highlight w:val="none"/>
        </w:rPr>
        <w:t>事故预警与监测机制；③事故紧急处置流程；④信息上报与沟通机制；⑤后期处置与整改机制）”内容的合理性、可行性、针对性三个方面进行独立评审并打分：</w:t>
      </w:r>
    </w:p>
    <w:p w14:paraId="5AD1EC1E">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一档（1.5分）：在5</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49BF3301">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二档（3分）：在</w:t>
      </w:r>
      <w:r>
        <w:rPr>
          <w:rFonts w:hint="eastAsia" w:ascii="宋体" w:hAnsi="宋体" w:eastAsia="宋体" w:cs="宋体"/>
          <w:color w:val="auto"/>
          <w:szCs w:val="20"/>
          <w:highlight w:val="none"/>
        </w:rPr>
        <w:t>5项评审因素中经评审有2项合理、可行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0ABC39FB">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三档（4.5分）：在</w:t>
      </w:r>
      <w:r>
        <w:rPr>
          <w:rFonts w:hint="eastAsia" w:ascii="宋体" w:hAnsi="宋体" w:eastAsia="宋体" w:cs="宋体"/>
          <w:color w:val="auto"/>
          <w:szCs w:val="20"/>
          <w:highlight w:val="none"/>
        </w:rPr>
        <w:t>5项评审因素中经评审有3-4项合理、可行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16D94001">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四档（6分）：在</w:t>
      </w:r>
      <w:r>
        <w:rPr>
          <w:rFonts w:hint="eastAsia" w:ascii="宋体" w:hAnsi="宋体" w:eastAsia="宋体" w:cs="宋体"/>
          <w:color w:val="auto"/>
          <w:szCs w:val="20"/>
          <w:highlight w:val="none"/>
        </w:rPr>
        <w:t>5项评审因素中经评审有5项合理、可行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0575D6B0">
      <w:pPr>
        <w:tabs>
          <w:tab w:val="left" w:pos="4214"/>
        </w:tabs>
        <w:spacing w:line="440" w:lineRule="exact"/>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 xml:space="preserve">   （6）</w:t>
      </w:r>
      <w:bookmarkStart w:id="248" w:name="OLE_LINK238"/>
      <w:bookmarkStart w:id="249" w:name="OLE_LINK235"/>
      <w:r>
        <w:rPr>
          <w:rFonts w:hint="eastAsia" w:ascii="宋体" w:hAnsi="宋体" w:eastAsia="宋体" w:cs="宋体"/>
          <w:b/>
          <w:bCs/>
          <w:color w:val="auto"/>
          <w:szCs w:val="20"/>
          <w:highlight w:val="none"/>
        </w:rPr>
        <w:t>配送过程应急处置方案</w:t>
      </w:r>
      <w:bookmarkEnd w:id="248"/>
      <w:bookmarkEnd w:id="249"/>
      <w:r>
        <w:rPr>
          <w:rFonts w:hint="eastAsia" w:ascii="宋体" w:hAnsi="宋体" w:eastAsia="宋体" w:cs="宋体"/>
          <w:b/>
          <w:bCs/>
          <w:color w:val="auto"/>
          <w:szCs w:val="20"/>
          <w:highlight w:val="none"/>
        </w:rPr>
        <w:t>分（满分 8分）</w:t>
      </w:r>
    </w:p>
    <w:p w14:paraId="3C358697">
      <w:pPr>
        <w:tabs>
          <w:tab w:val="left" w:pos="4214"/>
        </w:tabs>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由评委根据供应商提供的项目实施方案中的“</w:t>
      </w:r>
      <w:r>
        <w:rPr>
          <w:rFonts w:hint="eastAsia" w:ascii="宋体" w:hAnsi="宋体" w:eastAsia="宋体" w:cs="宋体"/>
          <w:bCs/>
          <w:color w:val="auto"/>
          <w:szCs w:val="20"/>
          <w:highlight w:val="none"/>
        </w:rPr>
        <w:t>配送过程应急处置方案</w:t>
      </w:r>
      <w:r>
        <w:rPr>
          <w:rFonts w:hint="eastAsia" w:ascii="宋体" w:hAnsi="宋体" w:eastAsia="宋体" w:cs="宋体"/>
          <w:b/>
          <w:color w:val="auto"/>
          <w:szCs w:val="21"/>
          <w:highlight w:val="none"/>
        </w:rPr>
        <w:t>（</w:t>
      </w:r>
      <w:r>
        <w:rPr>
          <w:rFonts w:hint="eastAsia" w:ascii="宋体" w:hAnsi="宋体" w:eastAsia="宋体" w:cs="宋体"/>
          <w:color w:val="auto"/>
          <w:szCs w:val="20"/>
          <w:highlight w:val="none"/>
        </w:rPr>
        <w:t>包含以下评审因素</w:t>
      </w:r>
      <w:r>
        <w:rPr>
          <w:rFonts w:hint="eastAsia" w:ascii="宋体" w:hAnsi="宋体" w:eastAsia="宋体" w:cs="宋体"/>
          <w:color w:val="auto"/>
          <w:szCs w:val="21"/>
          <w:highlight w:val="none"/>
        </w:rPr>
        <w:t>：①配送异常情况预判；②应急运力调配方案；③食材损耗</w:t>
      </w:r>
      <w:r>
        <w:rPr>
          <w:rFonts w:hint="eastAsia" w:ascii="宋体" w:hAnsi="宋体" w:eastAsia="宋体" w:cs="宋体"/>
          <w:color w:val="auto"/>
          <w:kern w:val="0"/>
          <w:szCs w:val="21"/>
          <w:highlight w:val="none"/>
        </w:rPr>
        <w:t>紧急事件处理和</w:t>
      </w:r>
      <w:r>
        <w:rPr>
          <w:rFonts w:hint="eastAsia" w:ascii="宋体" w:hAnsi="宋体" w:eastAsia="宋体" w:cs="宋体"/>
          <w:color w:val="auto"/>
          <w:szCs w:val="21"/>
          <w:highlight w:val="none"/>
        </w:rPr>
        <w:t>补救措施；④交接异常处置流程；⑤</w:t>
      </w:r>
      <w:r>
        <w:rPr>
          <w:rFonts w:hint="eastAsia" w:ascii="宋体" w:hAnsi="宋体" w:eastAsia="宋体" w:cs="宋体"/>
          <w:color w:val="auto"/>
          <w:kern w:val="0"/>
          <w:szCs w:val="21"/>
          <w:highlight w:val="none"/>
        </w:rPr>
        <w:t>临时</w:t>
      </w:r>
      <w:r>
        <w:rPr>
          <w:rFonts w:hint="eastAsia" w:ascii="宋体" w:hAnsi="宋体" w:eastAsia="宋体" w:cs="宋体"/>
          <w:bCs/>
          <w:color w:val="auto"/>
          <w:szCs w:val="20"/>
          <w:highlight w:val="none"/>
        </w:rPr>
        <w:t>增加或</w:t>
      </w:r>
      <w:r>
        <w:rPr>
          <w:rFonts w:hint="eastAsia" w:ascii="宋体" w:hAnsi="宋体" w:eastAsia="宋体" w:cs="宋体"/>
          <w:color w:val="auto"/>
          <w:kern w:val="0"/>
          <w:szCs w:val="21"/>
          <w:highlight w:val="none"/>
        </w:rPr>
        <w:t>紧急调整订单</w:t>
      </w:r>
      <w:r>
        <w:rPr>
          <w:rFonts w:hint="eastAsia" w:ascii="宋体" w:hAnsi="宋体" w:eastAsia="宋体" w:cs="宋体"/>
          <w:bCs/>
          <w:color w:val="auto"/>
          <w:szCs w:val="20"/>
          <w:highlight w:val="none"/>
        </w:rPr>
        <w:t>供应</w:t>
      </w:r>
      <w:r>
        <w:rPr>
          <w:rFonts w:hint="eastAsia" w:ascii="宋体" w:hAnsi="宋体" w:eastAsia="宋体" w:cs="宋体"/>
          <w:color w:val="auto"/>
          <w:szCs w:val="21"/>
          <w:highlight w:val="none"/>
        </w:rPr>
        <w:t>预案；⑥特殊天气等的供应保</w:t>
      </w:r>
      <w:r>
        <w:rPr>
          <w:rFonts w:hint="eastAsia" w:ascii="宋体" w:hAnsi="宋体" w:eastAsia="宋体" w:cs="宋体"/>
          <w:color w:val="auto"/>
          <w:kern w:val="0"/>
          <w:szCs w:val="21"/>
          <w:highlight w:val="none"/>
        </w:rPr>
        <w:t>障措施</w:t>
      </w:r>
      <w:r>
        <w:rPr>
          <w:rFonts w:hint="eastAsia" w:ascii="宋体" w:hAnsi="宋体" w:eastAsia="宋体" w:cs="宋体"/>
          <w:color w:val="auto"/>
          <w:szCs w:val="21"/>
          <w:highlight w:val="none"/>
        </w:rPr>
        <w:t>）”内容的合理性、可行性、针对性三个方面进行独立评审并打分：</w:t>
      </w:r>
    </w:p>
    <w:bookmarkEnd w:id="238"/>
    <w:bookmarkEnd w:id="239"/>
    <w:p w14:paraId="793A9F66">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一档（2分）：在6</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49D5C3DC">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二档（4分）：在</w:t>
      </w:r>
      <w:r>
        <w:rPr>
          <w:rFonts w:hint="eastAsia" w:ascii="宋体" w:hAnsi="宋体" w:eastAsia="宋体" w:cs="宋体"/>
          <w:color w:val="auto"/>
          <w:szCs w:val="20"/>
          <w:highlight w:val="none"/>
        </w:rPr>
        <w:t>6项评审因素中经评审有2-3项合理、可行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080A91A1">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三档（6分）：在</w:t>
      </w:r>
      <w:r>
        <w:rPr>
          <w:rFonts w:hint="eastAsia" w:ascii="宋体" w:hAnsi="宋体" w:eastAsia="宋体" w:cs="宋体"/>
          <w:color w:val="auto"/>
          <w:szCs w:val="20"/>
          <w:highlight w:val="none"/>
        </w:rPr>
        <w:t>6项评审因素中经评审有4-5项合理、可行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796510B2">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四档（8分）：在</w:t>
      </w:r>
      <w:r>
        <w:rPr>
          <w:rFonts w:hint="eastAsia" w:ascii="宋体" w:hAnsi="宋体" w:eastAsia="宋体" w:cs="宋体"/>
          <w:color w:val="auto"/>
          <w:szCs w:val="20"/>
          <w:highlight w:val="none"/>
        </w:rPr>
        <w:t>6项评审因素中经评审有6项合理、可行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1D19640E">
      <w:pPr>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w:t>
      </w:r>
      <w:r>
        <w:rPr>
          <w:rFonts w:hint="eastAsia" w:ascii="宋体" w:hAnsi="宋体" w:eastAsia="宋体" w:cs="宋体"/>
          <w:b/>
          <w:color w:val="auto"/>
          <w:szCs w:val="21"/>
          <w:highlight w:val="none"/>
        </w:rPr>
        <w:t>若供应商</w:t>
      </w:r>
      <w:r>
        <w:rPr>
          <w:rFonts w:hint="eastAsia" w:ascii="宋体" w:hAnsi="宋体" w:eastAsia="宋体" w:cs="宋体"/>
          <w:b/>
          <w:bCs/>
          <w:color w:val="auto"/>
          <w:szCs w:val="21"/>
          <w:highlight w:val="none"/>
        </w:rPr>
        <w:t>未提供“项目实施方案”或方案内容严重缺失的，“项目实施方案分”中相应涉及的评分计0分处理。</w:t>
      </w:r>
    </w:p>
    <w:p w14:paraId="3171E40D">
      <w:pPr>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3.服务承诺分……………………………………………………………………………………6 分</w:t>
      </w:r>
    </w:p>
    <w:p w14:paraId="515D7A88">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评委根据供应商所提供的“服务承诺【</w:t>
      </w:r>
      <w:r>
        <w:rPr>
          <w:rFonts w:hint="eastAsia" w:ascii="宋体" w:hAnsi="宋体" w:eastAsia="宋体" w:cs="宋体"/>
          <w:color w:val="auto"/>
          <w:szCs w:val="20"/>
          <w:highlight w:val="none"/>
        </w:rPr>
        <w:t>包含以下评审因素：</w:t>
      </w:r>
      <w:r>
        <w:rPr>
          <w:rFonts w:hint="eastAsia" w:ascii="宋体" w:hAnsi="宋体" w:eastAsia="宋体" w:cs="宋体"/>
          <w:color w:val="auto"/>
          <w:szCs w:val="21"/>
          <w:highlight w:val="none"/>
        </w:rPr>
        <w:t>①</w:t>
      </w:r>
      <w:r>
        <w:rPr>
          <w:rFonts w:hint="eastAsia" w:ascii="宋体" w:hAnsi="宋体" w:eastAsia="宋体" w:cs="宋体"/>
          <w:color w:val="auto"/>
          <w:kern w:val="0"/>
          <w:szCs w:val="21"/>
          <w:highlight w:val="none"/>
        </w:rPr>
        <w:t>确保按时、按质、按量供货</w:t>
      </w:r>
      <w:r>
        <w:rPr>
          <w:rFonts w:hint="eastAsia" w:ascii="宋体" w:hAnsi="宋体" w:eastAsia="宋体" w:cs="宋体"/>
          <w:color w:val="auto"/>
          <w:szCs w:val="21"/>
          <w:highlight w:val="none"/>
        </w:rPr>
        <w:t>的承诺；</w:t>
      </w:r>
    </w:p>
    <w:p w14:paraId="1D506FC2">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w:t>
      </w:r>
      <w:r>
        <w:rPr>
          <w:rFonts w:hint="eastAsia" w:ascii="宋体" w:hAnsi="宋体" w:eastAsia="宋体" w:cs="宋体"/>
          <w:color w:val="auto"/>
          <w:szCs w:val="21"/>
          <w:highlight w:val="none"/>
        </w:rPr>
        <w:t>对于</w:t>
      </w:r>
      <w:r>
        <w:rPr>
          <w:rFonts w:hint="eastAsia" w:ascii="宋体" w:hAnsi="宋体" w:eastAsia="宋体" w:cs="宋体"/>
          <w:color w:val="auto"/>
          <w:szCs w:val="20"/>
          <w:highlight w:val="none"/>
        </w:rPr>
        <w:t>服务监督措施和回访机制建立的承诺</w:t>
      </w:r>
      <w:r>
        <w:rPr>
          <w:rFonts w:hint="eastAsia" w:ascii="宋体" w:hAnsi="宋体" w:eastAsia="宋体" w:cs="宋体"/>
          <w:color w:val="auto"/>
          <w:szCs w:val="21"/>
          <w:highlight w:val="none"/>
        </w:rPr>
        <w:t xml:space="preserve">；③对于食材出现问题时的处理解决承诺（包括问题食材的退 </w:t>
      </w:r>
    </w:p>
    <w:p w14:paraId="26B27434">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换范围、退换时间等）】”内容的合理性、可行性、针对性进行独立评审并按以下规则独立打分：</w:t>
      </w:r>
    </w:p>
    <w:p w14:paraId="2A640FC7">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一档（2分）：在3</w:t>
      </w:r>
      <w:r>
        <w:rPr>
          <w:rFonts w:hint="eastAsia" w:ascii="宋体" w:hAnsi="宋体" w:eastAsia="宋体" w:cs="宋体"/>
          <w:color w:val="auto"/>
          <w:szCs w:val="20"/>
          <w:highlight w:val="none"/>
        </w:rPr>
        <w:t>项评审因素中经评审有1项合理、可行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58857D39">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二档（4分）：在</w:t>
      </w:r>
      <w:r>
        <w:rPr>
          <w:rFonts w:hint="eastAsia" w:ascii="宋体" w:hAnsi="宋体" w:eastAsia="宋体" w:cs="宋体"/>
          <w:color w:val="auto"/>
          <w:szCs w:val="20"/>
          <w:highlight w:val="none"/>
        </w:rPr>
        <w:t>3项评审因素中经评审有2项合理、可行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3AF2CA5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三档（6分）：在</w:t>
      </w:r>
      <w:r>
        <w:rPr>
          <w:rFonts w:hint="eastAsia" w:ascii="宋体" w:hAnsi="宋体" w:eastAsia="宋体" w:cs="宋体"/>
          <w:color w:val="auto"/>
          <w:szCs w:val="20"/>
          <w:highlight w:val="none"/>
        </w:rPr>
        <w:t>3项评审因素中经评审有3项合理、可行</w:t>
      </w:r>
      <w:r>
        <w:rPr>
          <w:rFonts w:hint="eastAsia" w:ascii="宋体" w:hAnsi="宋体" w:eastAsia="宋体" w:cs="宋体"/>
          <w:color w:val="auto"/>
          <w:szCs w:val="21"/>
          <w:highlight w:val="none"/>
        </w:rPr>
        <w:t>并</w:t>
      </w:r>
      <w:r>
        <w:rPr>
          <w:rFonts w:hint="eastAsia" w:ascii="宋体" w:hAnsi="宋体" w:eastAsia="宋体" w:cs="宋体"/>
          <w:color w:val="auto"/>
          <w:szCs w:val="20"/>
          <w:highlight w:val="none"/>
        </w:rPr>
        <w:t>具有针对性的</w:t>
      </w:r>
      <w:r>
        <w:rPr>
          <w:rFonts w:hint="eastAsia" w:ascii="宋体" w:hAnsi="宋体" w:eastAsia="宋体" w:cs="宋体"/>
          <w:color w:val="auto"/>
          <w:szCs w:val="21"/>
          <w:highlight w:val="none"/>
        </w:rPr>
        <w:t>。</w:t>
      </w:r>
    </w:p>
    <w:p w14:paraId="6E626664">
      <w:pPr>
        <w:spacing w:line="440" w:lineRule="exact"/>
        <w:ind w:firstLine="538" w:firstLineChars="255"/>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注：若供应商未提供</w:t>
      </w:r>
      <w:r>
        <w:rPr>
          <w:rFonts w:hint="eastAsia" w:ascii="宋体" w:hAnsi="宋体" w:eastAsia="宋体" w:cs="宋体"/>
          <w:b/>
          <w:color w:val="auto"/>
          <w:szCs w:val="21"/>
          <w:highlight w:val="none"/>
        </w:rPr>
        <w:t>“服务承诺”</w:t>
      </w:r>
      <w:r>
        <w:rPr>
          <w:rFonts w:hint="eastAsia" w:ascii="宋体" w:hAnsi="宋体" w:eastAsia="宋体" w:cs="宋体"/>
          <w:b/>
          <w:bCs/>
          <w:color w:val="auto"/>
          <w:szCs w:val="21"/>
          <w:highlight w:val="none"/>
        </w:rPr>
        <w:t>或内容严重缺失</w:t>
      </w:r>
      <w:r>
        <w:rPr>
          <w:rFonts w:hint="eastAsia" w:ascii="宋体" w:hAnsi="宋体" w:eastAsia="宋体" w:cs="宋体"/>
          <w:b/>
          <w:bCs/>
          <w:color w:val="auto"/>
          <w:szCs w:val="21"/>
          <w:highlight w:val="none"/>
        </w:rPr>
        <w:t>的</w:t>
      </w:r>
      <w:r>
        <w:rPr>
          <w:rFonts w:hint="eastAsia" w:ascii="宋体" w:hAnsi="宋体" w:eastAsia="宋体" w:cs="宋体"/>
          <w:b/>
          <w:color w:val="auto"/>
          <w:szCs w:val="21"/>
          <w:highlight w:val="none"/>
        </w:rPr>
        <w:t>，“服务承诺分”</w:t>
      </w:r>
      <w:r>
        <w:rPr>
          <w:rFonts w:hint="eastAsia" w:ascii="宋体" w:hAnsi="宋体" w:eastAsia="宋体" w:cs="宋体"/>
          <w:b/>
          <w:bCs/>
          <w:color w:val="auto"/>
          <w:szCs w:val="21"/>
          <w:highlight w:val="none"/>
        </w:rPr>
        <w:t>评分计0分处理</w:t>
      </w:r>
      <w:r>
        <w:rPr>
          <w:rFonts w:hint="eastAsia" w:ascii="宋体" w:hAnsi="宋体" w:eastAsia="宋体" w:cs="宋体"/>
          <w:b/>
          <w:color w:val="auto"/>
          <w:szCs w:val="21"/>
          <w:highlight w:val="none"/>
        </w:rPr>
        <w:t>。</w:t>
      </w:r>
    </w:p>
    <w:p w14:paraId="727EF740">
      <w:pPr>
        <w:wordWrap w:val="0"/>
        <w:spacing w:line="46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 4.服务保障分………………………………………………………………………………………25分</w:t>
      </w:r>
    </w:p>
    <w:p w14:paraId="5451CE6B">
      <w:pPr>
        <w:tabs>
          <w:tab w:val="left" w:pos="1140"/>
        </w:tabs>
        <w:wordWrap w:val="0"/>
        <w:spacing w:line="46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供应商的配送经营场所（包含仓储或生产车间）:面积≤500平方米的得0.5分，面积在500平方米基础上每增加100平方米的加0.5分【经营场所为自有的提供产权证明；为租赁的提供租赁合同、租赁付款发票或转账凭证、彩色实景图片等相关证明材料（租赁期必须包含本项目服务期限）】；最多得7分。</w:t>
      </w:r>
    </w:p>
    <w:p w14:paraId="7F559E5E">
      <w:pPr>
        <w:tabs>
          <w:tab w:val="left" w:pos="1140"/>
        </w:tabs>
        <w:wordWrap w:val="0"/>
        <w:spacing w:line="46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供应商提供了近半年以来所供应的米类、食用油类、调味类、禽蛋类产品由国家认可的第三方食品检测（检验）机构出具的食品检测（检验）报告复印件，每提供1类产品的食品检测（检验）报告复印件的得0.5分；最多得3分。</w:t>
      </w:r>
    </w:p>
    <w:p w14:paraId="09ED83A2">
      <w:pPr>
        <w:tabs>
          <w:tab w:val="left" w:pos="1140"/>
        </w:tabs>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（3）专业检测设备和专业检测或检验人员分（满分7分）</w:t>
      </w:r>
    </w:p>
    <w:p w14:paraId="27C19C9E">
      <w:pPr>
        <w:tabs>
          <w:tab w:val="left" w:pos="1140"/>
        </w:tabs>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①供应商具有相应的专业检测设备，包括但不限于农药残留检测仪、重金属检测仪、肉类安全检测仪、水产品安全检测仪，每提供1种仪器并提供其实物照片和购买发票复印件的得0.5分；最多得2分。</w:t>
      </w:r>
    </w:p>
    <w:p w14:paraId="52D3E23E">
      <w:pPr>
        <w:tabs>
          <w:tab w:val="left" w:pos="1140"/>
        </w:tabs>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②供应商拟投入人员中具有1名食品检测或检验员证的得1分（提供供应商为其交纳的2026年1月以来至少三个月的社保证明或与其签订的劳动聘用合同复印件、身份证复印件、食品检测或检验员证复印件）；最多得2分。</w:t>
      </w:r>
    </w:p>
    <w:p w14:paraId="5394B294">
      <w:pPr>
        <w:tabs>
          <w:tab w:val="left" w:pos="1140"/>
        </w:tabs>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③供应商拟投入人员中具有1名食品安全管理员证的得1分（提供供应商为其交纳的2026年1月以来至少三个月的社保证明或与其签订的劳动聘用合同复印件、身份证复印件及食品安全管理员证复印件）；最多得3分。</w:t>
      </w:r>
    </w:p>
    <w:p w14:paraId="552973DA">
      <w:pPr>
        <w:tabs>
          <w:tab w:val="left" w:pos="1140"/>
        </w:tabs>
        <w:wordWrap w:val="0"/>
        <w:spacing w:line="46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（4）供应商为本项目车辆配置情况分：</w:t>
      </w:r>
      <w:r>
        <w:rPr>
          <w:rFonts w:hint="eastAsia" w:ascii="宋体" w:hAnsi="宋体" w:eastAsia="宋体" w:cs="宋体"/>
          <w:color w:val="auto"/>
          <w:highlight w:val="none"/>
        </w:rPr>
        <w:t>供应商在满足至少配置1辆</w:t>
      </w:r>
      <w:r>
        <w:rPr>
          <w:rFonts w:hint="eastAsia" w:ascii="宋体" w:hAnsi="宋体" w:eastAsia="宋体" w:cs="宋体"/>
          <w:color w:val="auto"/>
          <w:spacing w:val="7"/>
          <w:sz w:val="20"/>
          <w:szCs w:val="20"/>
          <w:highlight w:val="none"/>
        </w:rPr>
        <w:t>厢式运输车辆</w:t>
      </w:r>
      <w:r>
        <w:rPr>
          <w:rFonts w:hint="eastAsia" w:ascii="宋体" w:hAnsi="宋体" w:eastAsia="宋体" w:cs="宋体"/>
          <w:color w:val="auto"/>
          <w:highlight w:val="none"/>
        </w:rPr>
        <w:t>的基础上，每增加配置1辆</w:t>
      </w:r>
      <w:bookmarkStart w:id="250" w:name="OLE_LINK66"/>
      <w:bookmarkStart w:id="251" w:name="OLE_LINK67"/>
      <w:r>
        <w:rPr>
          <w:rFonts w:hint="eastAsia" w:ascii="宋体" w:hAnsi="宋体" w:eastAsia="宋体" w:cs="宋体"/>
          <w:color w:val="auto"/>
          <w:spacing w:val="7"/>
          <w:sz w:val="20"/>
          <w:szCs w:val="20"/>
          <w:highlight w:val="none"/>
        </w:rPr>
        <w:t>厢式运输车辆</w:t>
      </w:r>
      <w:bookmarkEnd w:id="250"/>
      <w:bookmarkEnd w:id="251"/>
      <w:r>
        <w:rPr>
          <w:rFonts w:hint="eastAsia" w:ascii="宋体" w:hAnsi="宋体" w:eastAsia="宋体" w:cs="宋体"/>
          <w:color w:val="auto"/>
          <w:kern w:val="0"/>
          <w:szCs w:val="21"/>
          <w:highlight w:val="none"/>
        </w:rPr>
        <w:t>的得1分【以上车辆属于供应商自有的，提供与供应商名称一致的有效的机动车登记证书或车辆行驶证复印件，车辆正面、侧面、后面彩色照片（显示车辆号）；属于供应商租赁的，提供有效车辆租赁合同，有效车辆行驶证复印件，车辆正面、侧面、后面彩色照片（显示车辆号），否则不予计分】；最多得3分。</w:t>
      </w:r>
    </w:p>
    <w:p w14:paraId="3A7BD374">
      <w:pPr>
        <w:tabs>
          <w:tab w:val="left" w:pos="1140"/>
        </w:tabs>
        <w:wordWrap w:val="0"/>
        <w:spacing w:line="460" w:lineRule="exact"/>
        <w:ind w:firstLine="420" w:firstLineChars="200"/>
        <w:rPr>
          <w:rFonts w:hint="eastAsia" w:ascii="宋体" w:hAnsi="宋体" w:eastAsia="宋体" w:cs="宋体"/>
          <w:color w:val="auto"/>
          <w:kern w:val="0"/>
          <w:szCs w:val="21"/>
          <w:highlight w:val="none"/>
        </w:rPr>
      </w:pPr>
      <w:bookmarkStart w:id="252" w:name="OLE_LINK90"/>
      <w:bookmarkStart w:id="253" w:name="OLE_LINK86"/>
      <w:r>
        <w:rPr>
          <w:rFonts w:hint="eastAsia" w:ascii="宋体" w:hAnsi="宋体" w:eastAsia="宋体" w:cs="宋体"/>
          <w:color w:val="auto"/>
          <w:kern w:val="0"/>
          <w:szCs w:val="21"/>
          <w:highlight w:val="none"/>
        </w:rPr>
        <w:t>（5）供应商购买食品安全责任险分：供应商购买有食品安全责任险且保险有效期截止时间在合同履约完毕之后（如保险有效期截止时间为合同履约期间，需提供续保承诺函），金额在</w:t>
      </w:r>
      <w:bookmarkStart w:id="254" w:name="OLE_LINK85"/>
      <w:bookmarkStart w:id="255" w:name="OLE_LINK47"/>
      <w:r>
        <w:rPr>
          <w:rFonts w:hint="eastAsia" w:ascii="宋体" w:hAnsi="宋体" w:eastAsia="宋体" w:cs="宋体"/>
          <w:color w:val="auto"/>
          <w:kern w:val="0"/>
          <w:szCs w:val="21"/>
          <w:highlight w:val="none"/>
        </w:rPr>
        <w:t>2000万元</w:t>
      </w:r>
      <w:bookmarkEnd w:id="254"/>
      <w:bookmarkEnd w:id="255"/>
      <w:r>
        <w:rPr>
          <w:rFonts w:hint="eastAsia" w:ascii="宋体" w:hAnsi="宋体" w:eastAsia="宋体" w:cs="宋体"/>
          <w:color w:val="auto"/>
          <w:kern w:val="0"/>
          <w:szCs w:val="21"/>
          <w:highlight w:val="none"/>
        </w:rPr>
        <w:t>以下（不含2000万元）的得1分，金额在2000-3000万元（含3000万元）的得2分，金额在3000万元以上</w:t>
      </w:r>
      <w:r>
        <w:rPr>
          <w:rFonts w:hint="eastAsia" w:ascii="宋体" w:hAnsi="宋体" w:eastAsia="宋体" w:cs="宋体"/>
          <w:bCs/>
          <w:color w:val="auto"/>
          <w:szCs w:val="21"/>
          <w:highlight w:val="none"/>
        </w:rPr>
        <w:t>且每次事故责任限额在500万元以上（含500万元）</w:t>
      </w:r>
      <w:r>
        <w:rPr>
          <w:rFonts w:hint="eastAsia" w:ascii="宋体" w:hAnsi="宋体" w:eastAsia="宋体" w:cs="宋体"/>
          <w:color w:val="auto"/>
          <w:kern w:val="0"/>
          <w:szCs w:val="21"/>
          <w:highlight w:val="none"/>
        </w:rPr>
        <w:t>的得3分（提供食品安全责任险投保保单及购买发票等相关证明材料复印件）；最多得3分。</w:t>
      </w:r>
    </w:p>
    <w:bookmarkEnd w:id="252"/>
    <w:bookmarkEnd w:id="253"/>
    <w:p w14:paraId="510B9643">
      <w:pPr>
        <w:tabs>
          <w:tab w:val="left" w:pos="1140"/>
        </w:tabs>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（6）供应商已入驻国家农产品质量安全追溯管理信息平台或广西食品安全追溯和智慧监管平台的（提供相关证明材料）；得2分。</w:t>
      </w:r>
    </w:p>
    <w:p w14:paraId="48AEC87B">
      <w:pPr>
        <w:wordWrap w:val="0"/>
        <w:spacing w:line="46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5.履约能力分…………………………………………………………………………………………5分</w:t>
      </w:r>
    </w:p>
    <w:p w14:paraId="3CDD7AE3">
      <w:pPr>
        <w:tabs>
          <w:tab w:val="left" w:pos="1140"/>
        </w:tabs>
        <w:wordWrap w:val="0"/>
        <w:spacing w:line="400" w:lineRule="exact"/>
        <w:rPr>
          <w:rFonts w:hint="eastAsia" w:ascii="宋体" w:hAnsi="宋体" w:eastAsia="宋体" w:cs="宋体"/>
          <w:color w:val="auto"/>
          <w:kern w:val="0"/>
          <w:szCs w:val="21"/>
          <w:highlight w:val="none"/>
        </w:rPr>
      </w:pPr>
      <w:bookmarkStart w:id="256" w:name="OLE_LINK233"/>
      <w:bookmarkStart w:id="257" w:name="OLE_LINK232"/>
      <w:r>
        <w:rPr>
          <w:rFonts w:hint="eastAsia" w:ascii="宋体" w:hAnsi="宋体" w:eastAsia="宋体" w:cs="宋体"/>
          <w:color w:val="auto"/>
          <w:kern w:val="0"/>
          <w:szCs w:val="21"/>
          <w:highlight w:val="none"/>
        </w:rPr>
        <w:t xml:space="preserve">   （1）供应商通过有效的ISO9000系列质量管理体系认证、ISO14000系列环境管理体系认证、ISO45000系列职业健康安全管理体系认证、</w:t>
      </w:r>
      <w:r>
        <w:rPr>
          <w:rFonts w:hint="eastAsia" w:ascii="宋体" w:hAnsi="宋体" w:eastAsia="宋体" w:cs="宋体"/>
          <w:color w:val="auto"/>
          <w:kern w:val="0"/>
          <w:szCs w:val="21"/>
          <w:highlight w:val="none"/>
        </w:rPr>
        <w:t>ISO22000 食品安全管理体系</w:t>
      </w:r>
      <w:r>
        <w:rPr>
          <w:rFonts w:hint="eastAsia" w:ascii="宋体" w:hAnsi="宋体" w:eastAsia="宋体" w:cs="宋体"/>
          <w:color w:val="auto"/>
          <w:kern w:val="0"/>
          <w:szCs w:val="21"/>
          <w:highlight w:val="none"/>
        </w:rPr>
        <w:t>认证且有效的（响应文件中提供相关有效证明材料复印件），每有1项得0.5分，最多得2分。</w:t>
      </w:r>
    </w:p>
    <w:bookmarkEnd w:id="256"/>
    <w:bookmarkEnd w:id="257"/>
    <w:p w14:paraId="346D95C5">
      <w:pPr>
        <w:tabs>
          <w:tab w:val="left" w:pos="1140"/>
        </w:tabs>
        <w:wordWrap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供应商2023年以来具有的同类项目业绩[以无不良记录，以中标、成交通知书或签订的项目合同（协议）复印件为准，要求能清晰反映项目的项目名称、服务内容、签订时间，否则将不予评审，同一个编号的项目有两个或两个以上的分标中标的只算一次]，每提供1个得0.5分，最多得3分。</w:t>
      </w:r>
    </w:p>
    <w:p w14:paraId="1A114D49">
      <w:pPr>
        <w:tabs>
          <w:tab w:val="left" w:pos="1140"/>
        </w:tabs>
        <w:wordWrap w:val="0"/>
        <w:spacing w:line="460" w:lineRule="exact"/>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 6.综合得分＝1+2+3+4+5</w:t>
      </w:r>
    </w:p>
    <w:p w14:paraId="16687A60">
      <w:pPr>
        <w:tabs>
          <w:tab w:val="left" w:pos="1140"/>
        </w:tabs>
        <w:spacing w:line="400" w:lineRule="exact"/>
        <w:ind w:firstLine="442" w:firstLineChars="200"/>
        <w:rPr>
          <w:rFonts w:hint="eastAsia" w:ascii="宋体" w:hAnsi="宋体" w:eastAsia="宋体" w:cs="宋体"/>
          <w:b/>
          <w:bCs/>
          <w:color w:val="auto"/>
          <w:kern w:val="0"/>
          <w:sz w:val="22"/>
          <w:szCs w:val="22"/>
          <w:highlight w:val="none"/>
        </w:rPr>
      </w:pPr>
    </w:p>
    <w:p w14:paraId="6D9684C2">
      <w:pPr>
        <w:tabs>
          <w:tab w:val="left" w:pos="1140"/>
        </w:tabs>
        <w:spacing w:line="400" w:lineRule="exact"/>
        <w:ind w:firstLine="442" w:firstLineChars="200"/>
        <w:rPr>
          <w:rFonts w:hint="eastAsia" w:ascii="宋体" w:hAnsi="宋体" w:eastAsia="宋体" w:cs="宋体"/>
          <w:b/>
          <w:bCs/>
          <w:color w:val="auto"/>
          <w:kern w:val="0"/>
          <w:sz w:val="22"/>
          <w:szCs w:val="22"/>
          <w:highlight w:val="none"/>
        </w:rPr>
      </w:pPr>
    </w:p>
    <w:p w14:paraId="0765C59E">
      <w:pPr>
        <w:tabs>
          <w:tab w:val="left" w:pos="1140"/>
        </w:tabs>
        <w:spacing w:line="400" w:lineRule="exact"/>
        <w:ind w:firstLine="442" w:firstLineChars="200"/>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三、推荐及确定成交候选供应商原则</w:t>
      </w:r>
    </w:p>
    <w:p w14:paraId="302019B1">
      <w:pPr>
        <w:tabs>
          <w:tab w:val="left" w:pos="1140"/>
        </w:tabs>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服务承诺分、服务保障分、履约能力分由高到低顺序排列并推荐成交候选供应商。</w:t>
      </w:r>
    </w:p>
    <w:p w14:paraId="48F9F371">
      <w:pPr>
        <w:tabs>
          <w:tab w:val="left" w:pos="1140"/>
        </w:tabs>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2.本项目确定一名成交供应商。采购单位应当确定磋商小组推荐排名第一的成交候选供应商为成交供应商。</w:t>
      </w:r>
    </w:p>
    <w:p w14:paraId="70779E26">
      <w:pPr>
        <w:tabs>
          <w:tab w:val="left" w:pos="1140"/>
        </w:tabs>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2BF800DD">
      <w:pPr>
        <w:tabs>
          <w:tab w:val="left" w:pos="1140"/>
        </w:tabs>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4.排名第二的成交候选供应商因前款规定的同样原因不能签订合同的，采购单位可以确定排名第三的成交候选人为成交供应商。以此类推。</w:t>
      </w:r>
    </w:p>
    <w:p w14:paraId="1D3253AC">
      <w:pPr>
        <w:spacing w:line="400" w:lineRule="exact"/>
        <w:ind w:firstLine="420" w:firstLineChars="200"/>
        <w:rPr>
          <w:rFonts w:hint="eastAsia" w:ascii="宋体" w:hAnsi="宋体" w:eastAsia="宋体" w:cs="宋体"/>
          <w:color w:val="auto"/>
          <w:szCs w:val="21"/>
          <w:highlight w:val="none"/>
        </w:rPr>
      </w:pPr>
    </w:p>
    <w:p w14:paraId="18F17BB3">
      <w:pPr>
        <w:spacing w:line="400" w:lineRule="exact"/>
        <w:ind w:firstLine="420" w:firstLineChars="200"/>
        <w:rPr>
          <w:rFonts w:hint="eastAsia" w:ascii="宋体" w:hAnsi="宋体" w:eastAsia="宋体" w:cs="宋体"/>
          <w:color w:val="auto"/>
          <w:szCs w:val="21"/>
          <w:highlight w:val="none"/>
        </w:rPr>
      </w:pPr>
    </w:p>
    <w:p w14:paraId="06055103">
      <w:pPr>
        <w:spacing w:line="400" w:lineRule="exact"/>
        <w:ind w:firstLine="420" w:firstLineChars="200"/>
        <w:rPr>
          <w:rFonts w:hint="eastAsia" w:ascii="宋体" w:hAnsi="宋体" w:eastAsia="宋体" w:cs="宋体"/>
          <w:color w:val="auto"/>
          <w:szCs w:val="21"/>
          <w:highlight w:val="none"/>
        </w:rPr>
      </w:pPr>
    </w:p>
    <w:p w14:paraId="3D127EA7">
      <w:pPr>
        <w:spacing w:line="400" w:lineRule="exact"/>
        <w:ind w:firstLine="420" w:firstLineChars="200"/>
        <w:rPr>
          <w:rFonts w:hint="eastAsia" w:ascii="宋体" w:hAnsi="宋体" w:eastAsia="宋体" w:cs="宋体"/>
          <w:color w:val="auto"/>
          <w:szCs w:val="21"/>
          <w:highlight w:val="none"/>
        </w:rPr>
      </w:pPr>
    </w:p>
    <w:p w14:paraId="2C9B82C9">
      <w:pPr>
        <w:spacing w:line="400" w:lineRule="exact"/>
        <w:ind w:firstLine="420" w:firstLineChars="200"/>
        <w:rPr>
          <w:rFonts w:hint="eastAsia" w:ascii="宋体" w:hAnsi="宋体" w:eastAsia="宋体" w:cs="宋体"/>
          <w:color w:val="auto"/>
          <w:szCs w:val="21"/>
          <w:highlight w:val="none"/>
        </w:rPr>
      </w:pPr>
    </w:p>
    <w:p w14:paraId="7FA6F787">
      <w:pPr>
        <w:spacing w:line="400" w:lineRule="exact"/>
        <w:ind w:firstLine="420" w:firstLineChars="200"/>
        <w:rPr>
          <w:rFonts w:hint="eastAsia" w:ascii="宋体" w:hAnsi="宋体" w:eastAsia="宋体" w:cs="宋体"/>
          <w:color w:val="auto"/>
          <w:szCs w:val="21"/>
          <w:highlight w:val="none"/>
        </w:rPr>
      </w:pPr>
    </w:p>
    <w:p w14:paraId="3673A383">
      <w:pPr>
        <w:spacing w:line="400" w:lineRule="exact"/>
        <w:ind w:firstLine="420" w:firstLineChars="200"/>
        <w:rPr>
          <w:rFonts w:hint="eastAsia" w:ascii="宋体" w:hAnsi="宋体" w:eastAsia="宋体" w:cs="宋体"/>
          <w:color w:val="auto"/>
          <w:szCs w:val="21"/>
          <w:highlight w:val="none"/>
        </w:rPr>
      </w:pPr>
    </w:p>
    <w:p w14:paraId="3E8715ED">
      <w:pPr>
        <w:spacing w:line="400" w:lineRule="exact"/>
        <w:ind w:firstLine="420" w:firstLineChars="200"/>
        <w:rPr>
          <w:rFonts w:hint="eastAsia" w:ascii="宋体" w:hAnsi="宋体" w:eastAsia="宋体" w:cs="宋体"/>
          <w:color w:val="auto"/>
          <w:szCs w:val="21"/>
          <w:highlight w:val="none"/>
        </w:rPr>
      </w:pPr>
    </w:p>
    <w:p w14:paraId="74B8B2CA">
      <w:pPr>
        <w:spacing w:line="400" w:lineRule="exact"/>
        <w:ind w:firstLine="420" w:firstLineChars="200"/>
        <w:rPr>
          <w:rFonts w:hint="eastAsia" w:ascii="宋体" w:hAnsi="宋体" w:eastAsia="宋体" w:cs="宋体"/>
          <w:color w:val="auto"/>
          <w:szCs w:val="21"/>
          <w:highlight w:val="none"/>
        </w:rPr>
      </w:pPr>
    </w:p>
    <w:p w14:paraId="3ECE34F2">
      <w:pPr>
        <w:widowControl/>
        <w:wordWrap w:val="0"/>
        <w:spacing w:line="600" w:lineRule="exact"/>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附表：</w:t>
      </w:r>
    </w:p>
    <w:p w14:paraId="29329AA5">
      <w:pPr>
        <w:widowControl/>
        <w:wordWrap w:val="0"/>
        <w:spacing w:line="330" w:lineRule="atLeast"/>
        <w:jc w:val="center"/>
        <w:rPr>
          <w:rFonts w:hint="eastAsia" w:ascii="宋体" w:hAnsi="宋体" w:eastAsia="宋体" w:cs="宋体"/>
          <w:color w:val="auto"/>
          <w:kern w:val="0"/>
          <w:sz w:val="36"/>
          <w:szCs w:val="32"/>
          <w:highlight w:val="none"/>
        </w:rPr>
      </w:pPr>
      <w:r>
        <w:rPr>
          <w:rFonts w:hint="eastAsia" w:ascii="宋体" w:hAnsi="宋体" w:eastAsia="宋体" w:cs="宋体"/>
          <w:color w:val="auto"/>
          <w:kern w:val="0"/>
          <w:sz w:val="36"/>
          <w:szCs w:val="32"/>
          <w:highlight w:val="none"/>
        </w:rPr>
        <w:t>统计上大中小微型企业划分标准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9"/>
        <w:gridCol w:w="1366"/>
        <w:gridCol w:w="707"/>
        <w:gridCol w:w="1123"/>
        <w:gridCol w:w="1698"/>
        <w:gridCol w:w="1423"/>
        <w:gridCol w:w="990"/>
      </w:tblGrid>
      <w:tr w14:paraId="76B8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09" w:type="dxa"/>
            <w:vAlign w:val="center"/>
          </w:tcPr>
          <w:p w14:paraId="12ED1298">
            <w:pPr>
              <w:widowControl/>
              <w:wordWrap w:val="0"/>
              <w:spacing w:line="240" w:lineRule="exact"/>
              <w:jc w:val="center"/>
              <w:rPr>
                <w:rFonts w:hint="eastAsia" w:ascii="宋体" w:hAnsi="宋体" w:eastAsia="宋体" w:cs="宋体"/>
                <w:b/>
                <w:bCs/>
                <w:color w:val="auto"/>
                <w:kern w:val="0"/>
                <w:sz w:val="18"/>
                <w:szCs w:val="21"/>
                <w:highlight w:val="none"/>
              </w:rPr>
            </w:pPr>
            <w:r>
              <w:rPr>
                <w:rFonts w:hint="eastAsia" w:ascii="宋体" w:hAnsi="宋体" w:eastAsia="宋体" w:cs="宋体"/>
                <w:b/>
                <w:bCs/>
                <w:color w:val="auto"/>
                <w:kern w:val="0"/>
                <w:sz w:val="18"/>
                <w:szCs w:val="21"/>
                <w:highlight w:val="none"/>
              </w:rPr>
              <w:t>行业名称</w:t>
            </w:r>
          </w:p>
        </w:tc>
        <w:tc>
          <w:tcPr>
            <w:tcW w:w="1366" w:type="dxa"/>
            <w:vAlign w:val="center"/>
          </w:tcPr>
          <w:p w14:paraId="777B91E9">
            <w:pPr>
              <w:widowControl/>
              <w:wordWrap w:val="0"/>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指标名称</w:t>
            </w:r>
          </w:p>
        </w:tc>
        <w:tc>
          <w:tcPr>
            <w:tcW w:w="707" w:type="dxa"/>
            <w:vAlign w:val="center"/>
          </w:tcPr>
          <w:p w14:paraId="40C32057">
            <w:pPr>
              <w:widowControl/>
              <w:wordWrap w:val="0"/>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计量</w:t>
            </w:r>
          </w:p>
          <w:p w14:paraId="1A2DF013">
            <w:pPr>
              <w:widowControl/>
              <w:wordWrap w:val="0"/>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单位</w:t>
            </w:r>
          </w:p>
        </w:tc>
        <w:tc>
          <w:tcPr>
            <w:tcW w:w="1123" w:type="dxa"/>
            <w:vAlign w:val="center"/>
          </w:tcPr>
          <w:p w14:paraId="6BE8EDE5">
            <w:pPr>
              <w:widowControl/>
              <w:wordWrap w:val="0"/>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大型</w:t>
            </w:r>
          </w:p>
        </w:tc>
        <w:tc>
          <w:tcPr>
            <w:tcW w:w="1698" w:type="dxa"/>
            <w:vAlign w:val="center"/>
          </w:tcPr>
          <w:p w14:paraId="0E8FBBAF">
            <w:pPr>
              <w:widowControl/>
              <w:wordWrap w:val="0"/>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中型</w:t>
            </w:r>
          </w:p>
        </w:tc>
        <w:tc>
          <w:tcPr>
            <w:tcW w:w="1423" w:type="dxa"/>
            <w:vAlign w:val="center"/>
          </w:tcPr>
          <w:p w14:paraId="0E4D39A4">
            <w:pPr>
              <w:widowControl/>
              <w:wordWrap w:val="0"/>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小型</w:t>
            </w:r>
          </w:p>
        </w:tc>
        <w:tc>
          <w:tcPr>
            <w:tcW w:w="990" w:type="dxa"/>
            <w:vAlign w:val="center"/>
          </w:tcPr>
          <w:p w14:paraId="343011D0">
            <w:pPr>
              <w:widowControl/>
              <w:wordWrap w:val="0"/>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微型</w:t>
            </w:r>
          </w:p>
        </w:tc>
      </w:tr>
      <w:tr w14:paraId="31D5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Align w:val="center"/>
          </w:tcPr>
          <w:p w14:paraId="411A931A">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366" w:type="dxa"/>
            <w:vAlign w:val="center"/>
          </w:tcPr>
          <w:p w14:paraId="10F63C5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1660F3D3">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13FC57F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698" w:type="dxa"/>
            <w:vAlign w:val="center"/>
          </w:tcPr>
          <w:p w14:paraId="15BCD08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500≤Y＜20000</w:t>
            </w:r>
          </w:p>
        </w:tc>
        <w:tc>
          <w:tcPr>
            <w:tcW w:w="1423" w:type="dxa"/>
            <w:vAlign w:val="center"/>
          </w:tcPr>
          <w:p w14:paraId="31B265E2">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50≤Y＜500</w:t>
            </w:r>
          </w:p>
        </w:tc>
        <w:tc>
          <w:tcPr>
            <w:tcW w:w="990" w:type="dxa"/>
            <w:vAlign w:val="center"/>
          </w:tcPr>
          <w:p w14:paraId="2D06DDCE">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3CCE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restart"/>
            <w:vAlign w:val="center"/>
          </w:tcPr>
          <w:p w14:paraId="6DA5A629">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366" w:type="dxa"/>
            <w:vAlign w:val="center"/>
          </w:tcPr>
          <w:p w14:paraId="768C83F4">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1CE34892">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4CD50FF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98" w:type="dxa"/>
            <w:vAlign w:val="center"/>
          </w:tcPr>
          <w:p w14:paraId="7DE59B5A">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3" w:type="dxa"/>
            <w:vAlign w:val="center"/>
          </w:tcPr>
          <w:p w14:paraId="2512482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20≤X＜300</w:t>
            </w:r>
          </w:p>
        </w:tc>
        <w:tc>
          <w:tcPr>
            <w:tcW w:w="990" w:type="dxa"/>
            <w:vAlign w:val="center"/>
          </w:tcPr>
          <w:p w14:paraId="05253FA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216C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continue"/>
            <w:vAlign w:val="center"/>
          </w:tcPr>
          <w:p w14:paraId="75B6A29E">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17E62F47">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02D9F47E">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599BD21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698" w:type="dxa"/>
            <w:vAlign w:val="center"/>
          </w:tcPr>
          <w:p w14:paraId="0013006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23" w:type="dxa"/>
            <w:vAlign w:val="center"/>
          </w:tcPr>
          <w:p w14:paraId="2EA0A3D7">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300≤Y＜2000</w:t>
            </w:r>
          </w:p>
        </w:tc>
        <w:tc>
          <w:tcPr>
            <w:tcW w:w="990" w:type="dxa"/>
            <w:vAlign w:val="center"/>
          </w:tcPr>
          <w:p w14:paraId="1181AFFA">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4BFC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restart"/>
            <w:vAlign w:val="center"/>
          </w:tcPr>
          <w:p w14:paraId="4F02038D">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366" w:type="dxa"/>
            <w:vAlign w:val="center"/>
          </w:tcPr>
          <w:p w14:paraId="02BD936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44048E16">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482774E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698" w:type="dxa"/>
            <w:vAlign w:val="center"/>
          </w:tcPr>
          <w:p w14:paraId="4F5A740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23" w:type="dxa"/>
            <w:vAlign w:val="center"/>
          </w:tcPr>
          <w:p w14:paraId="0512E59A">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300≤Y＜6000</w:t>
            </w:r>
          </w:p>
        </w:tc>
        <w:tc>
          <w:tcPr>
            <w:tcW w:w="990" w:type="dxa"/>
            <w:vAlign w:val="center"/>
          </w:tcPr>
          <w:p w14:paraId="0F5AE13F">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75BC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continue"/>
            <w:vAlign w:val="center"/>
          </w:tcPr>
          <w:p w14:paraId="4DB82136">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468016D8">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7" w:type="dxa"/>
            <w:vAlign w:val="center"/>
          </w:tcPr>
          <w:p w14:paraId="6F10CE5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14B0219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698" w:type="dxa"/>
            <w:vAlign w:val="center"/>
          </w:tcPr>
          <w:p w14:paraId="4E4F5A0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23" w:type="dxa"/>
            <w:vAlign w:val="center"/>
          </w:tcPr>
          <w:p w14:paraId="5B55097A">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300≤Z＜5000</w:t>
            </w:r>
          </w:p>
        </w:tc>
        <w:tc>
          <w:tcPr>
            <w:tcW w:w="990" w:type="dxa"/>
            <w:vAlign w:val="center"/>
          </w:tcPr>
          <w:p w14:paraId="5934B026">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2375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restart"/>
            <w:vAlign w:val="center"/>
          </w:tcPr>
          <w:p w14:paraId="36075BC3">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366" w:type="dxa"/>
            <w:vAlign w:val="center"/>
          </w:tcPr>
          <w:p w14:paraId="2E25CD13">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09BDA6E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4FEF72D2">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698" w:type="dxa"/>
            <w:vAlign w:val="center"/>
          </w:tcPr>
          <w:p w14:paraId="3E90D91A">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23" w:type="dxa"/>
            <w:vAlign w:val="center"/>
          </w:tcPr>
          <w:p w14:paraId="758DDF59">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5≤X＜20</w:t>
            </w:r>
          </w:p>
        </w:tc>
        <w:tc>
          <w:tcPr>
            <w:tcW w:w="990" w:type="dxa"/>
            <w:vAlign w:val="center"/>
          </w:tcPr>
          <w:p w14:paraId="4357806A">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3F9E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continue"/>
            <w:vAlign w:val="center"/>
          </w:tcPr>
          <w:p w14:paraId="65FCE2A5">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6326F295">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4EDF40B4">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14C3FDE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698" w:type="dxa"/>
            <w:vAlign w:val="center"/>
          </w:tcPr>
          <w:p w14:paraId="33D29DCE">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23" w:type="dxa"/>
            <w:vAlign w:val="center"/>
          </w:tcPr>
          <w:p w14:paraId="27959E2B">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0" w:type="dxa"/>
            <w:vAlign w:val="center"/>
          </w:tcPr>
          <w:p w14:paraId="4C0820BF">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3692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restart"/>
            <w:vAlign w:val="center"/>
          </w:tcPr>
          <w:p w14:paraId="6B4A18D2">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366" w:type="dxa"/>
            <w:vAlign w:val="center"/>
          </w:tcPr>
          <w:p w14:paraId="2F44EF3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09AC1EC3">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162815B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98" w:type="dxa"/>
            <w:vAlign w:val="center"/>
          </w:tcPr>
          <w:p w14:paraId="1BCA27B2">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23" w:type="dxa"/>
            <w:vAlign w:val="center"/>
          </w:tcPr>
          <w:p w14:paraId="03A6B8B9">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990" w:type="dxa"/>
            <w:vAlign w:val="center"/>
          </w:tcPr>
          <w:p w14:paraId="2CC747C7">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0DA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continue"/>
            <w:vAlign w:val="center"/>
          </w:tcPr>
          <w:p w14:paraId="6D314FA2">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5E4B3E22">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3706769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53437AE0">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698" w:type="dxa"/>
            <w:vAlign w:val="center"/>
          </w:tcPr>
          <w:p w14:paraId="3328C700">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500≤Y＜20000</w:t>
            </w:r>
          </w:p>
        </w:tc>
        <w:tc>
          <w:tcPr>
            <w:tcW w:w="1423" w:type="dxa"/>
            <w:vAlign w:val="center"/>
          </w:tcPr>
          <w:p w14:paraId="03DACE39">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100≤Y＜500 </w:t>
            </w:r>
          </w:p>
        </w:tc>
        <w:tc>
          <w:tcPr>
            <w:tcW w:w="990" w:type="dxa"/>
            <w:vAlign w:val="center"/>
          </w:tcPr>
          <w:p w14:paraId="7922513B">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4FE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restart"/>
            <w:vAlign w:val="center"/>
          </w:tcPr>
          <w:p w14:paraId="2723A40B">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366" w:type="dxa"/>
            <w:vAlign w:val="center"/>
          </w:tcPr>
          <w:p w14:paraId="6EBD96F3">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20CAB22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0C1A2B72">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98" w:type="dxa"/>
            <w:vAlign w:val="center"/>
          </w:tcPr>
          <w:p w14:paraId="5AF2DE2A">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3" w:type="dxa"/>
            <w:vAlign w:val="center"/>
          </w:tcPr>
          <w:p w14:paraId="2D9DA8FF">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20≤X＜300</w:t>
            </w:r>
          </w:p>
        </w:tc>
        <w:tc>
          <w:tcPr>
            <w:tcW w:w="990" w:type="dxa"/>
            <w:vAlign w:val="center"/>
          </w:tcPr>
          <w:p w14:paraId="6096F339">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4547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continue"/>
            <w:vAlign w:val="center"/>
          </w:tcPr>
          <w:p w14:paraId="12F56DBC">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13EA29D1">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0249A8A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447DB123">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698" w:type="dxa"/>
            <w:vAlign w:val="center"/>
          </w:tcPr>
          <w:p w14:paraId="7525E88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23" w:type="dxa"/>
            <w:vAlign w:val="center"/>
          </w:tcPr>
          <w:p w14:paraId="678D2D40">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200≤Y＜3000</w:t>
            </w:r>
          </w:p>
        </w:tc>
        <w:tc>
          <w:tcPr>
            <w:tcW w:w="990" w:type="dxa"/>
            <w:vAlign w:val="center"/>
          </w:tcPr>
          <w:p w14:paraId="22966ACE">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7536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restart"/>
            <w:vAlign w:val="center"/>
          </w:tcPr>
          <w:p w14:paraId="50E3FFE1">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366" w:type="dxa"/>
            <w:vAlign w:val="center"/>
          </w:tcPr>
          <w:p w14:paraId="6D68138F">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24A14B6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377D0155">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698" w:type="dxa"/>
            <w:vAlign w:val="center"/>
          </w:tcPr>
          <w:p w14:paraId="48DFAF8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23" w:type="dxa"/>
            <w:vAlign w:val="center"/>
          </w:tcPr>
          <w:p w14:paraId="25A2E71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20≤X＜100</w:t>
            </w:r>
          </w:p>
        </w:tc>
        <w:tc>
          <w:tcPr>
            <w:tcW w:w="990" w:type="dxa"/>
            <w:vAlign w:val="center"/>
          </w:tcPr>
          <w:p w14:paraId="60380539">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87A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continue"/>
            <w:vAlign w:val="center"/>
          </w:tcPr>
          <w:p w14:paraId="74ECFDA6">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2B947B08">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2FE543D0">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63F62A74">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698" w:type="dxa"/>
            <w:vAlign w:val="center"/>
          </w:tcPr>
          <w:p w14:paraId="5048AAA2">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23" w:type="dxa"/>
            <w:vAlign w:val="center"/>
          </w:tcPr>
          <w:p w14:paraId="5ED9C47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100≤Y＜1000</w:t>
            </w:r>
          </w:p>
        </w:tc>
        <w:tc>
          <w:tcPr>
            <w:tcW w:w="990" w:type="dxa"/>
            <w:vAlign w:val="center"/>
          </w:tcPr>
          <w:p w14:paraId="468AE55E">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FC6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restart"/>
            <w:vAlign w:val="center"/>
          </w:tcPr>
          <w:p w14:paraId="19FA1767">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366" w:type="dxa"/>
            <w:vAlign w:val="center"/>
          </w:tcPr>
          <w:p w14:paraId="45A8E07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543F8717">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12D8E180">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98" w:type="dxa"/>
            <w:vAlign w:val="center"/>
          </w:tcPr>
          <w:p w14:paraId="332B0BEE">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3" w:type="dxa"/>
            <w:vAlign w:val="center"/>
          </w:tcPr>
          <w:p w14:paraId="1682170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20≤X＜300</w:t>
            </w:r>
          </w:p>
        </w:tc>
        <w:tc>
          <w:tcPr>
            <w:tcW w:w="990" w:type="dxa"/>
            <w:vAlign w:val="center"/>
          </w:tcPr>
          <w:p w14:paraId="0DAD51B9">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C82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continue"/>
            <w:vAlign w:val="center"/>
          </w:tcPr>
          <w:p w14:paraId="645E0FF3">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5E2D6743">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10F8E73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0217769F">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698" w:type="dxa"/>
            <w:vAlign w:val="center"/>
          </w:tcPr>
          <w:p w14:paraId="7004CE8B">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23" w:type="dxa"/>
            <w:vAlign w:val="center"/>
          </w:tcPr>
          <w:p w14:paraId="2A53D1E0">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100≤Y＜2000</w:t>
            </w:r>
          </w:p>
        </w:tc>
        <w:tc>
          <w:tcPr>
            <w:tcW w:w="990" w:type="dxa"/>
            <w:vAlign w:val="center"/>
          </w:tcPr>
          <w:p w14:paraId="1F8F4234">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980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restart"/>
            <w:vAlign w:val="center"/>
          </w:tcPr>
          <w:p w14:paraId="237F6F1D">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366" w:type="dxa"/>
            <w:vAlign w:val="center"/>
          </w:tcPr>
          <w:p w14:paraId="4D86B1B3">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3B296D8E">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6B6447E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98" w:type="dxa"/>
            <w:vAlign w:val="center"/>
          </w:tcPr>
          <w:p w14:paraId="2DB3085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3" w:type="dxa"/>
            <w:vAlign w:val="center"/>
          </w:tcPr>
          <w:p w14:paraId="5AAEEF45">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0" w:type="dxa"/>
            <w:vAlign w:val="center"/>
          </w:tcPr>
          <w:p w14:paraId="47142959">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DB2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continue"/>
            <w:vAlign w:val="center"/>
          </w:tcPr>
          <w:p w14:paraId="54F9525C">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3F32F3A7">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3CAE710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718D2C82">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698" w:type="dxa"/>
            <w:vAlign w:val="center"/>
          </w:tcPr>
          <w:p w14:paraId="6C736A2B">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3" w:type="dxa"/>
            <w:vAlign w:val="center"/>
          </w:tcPr>
          <w:p w14:paraId="17837330">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100≤Y＜2000</w:t>
            </w:r>
          </w:p>
        </w:tc>
        <w:tc>
          <w:tcPr>
            <w:tcW w:w="990" w:type="dxa"/>
            <w:vAlign w:val="center"/>
          </w:tcPr>
          <w:p w14:paraId="2B087FC7">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56C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restart"/>
            <w:vAlign w:val="center"/>
          </w:tcPr>
          <w:p w14:paraId="7F0EF6C3">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366" w:type="dxa"/>
            <w:vAlign w:val="center"/>
          </w:tcPr>
          <w:p w14:paraId="52D8263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7855A787">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6B2CFE3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98" w:type="dxa"/>
            <w:vAlign w:val="center"/>
          </w:tcPr>
          <w:p w14:paraId="381B04F6">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3" w:type="dxa"/>
            <w:vAlign w:val="center"/>
          </w:tcPr>
          <w:p w14:paraId="13B0EEF7">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0" w:type="dxa"/>
            <w:vAlign w:val="center"/>
          </w:tcPr>
          <w:p w14:paraId="4796196F">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CE3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continue"/>
            <w:vAlign w:val="center"/>
          </w:tcPr>
          <w:p w14:paraId="3DF8BBF1">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2D89CB4D">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66D274A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69189556">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698" w:type="dxa"/>
            <w:vAlign w:val="center"/>
          </w:tcPr>
          <w:p w14:paraId="11502544">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3" w:type="dxa"/>
            <w:vAlign w:val="center"/>
          </w:tcPr>
          <w:p w14:paraId="433217D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100≤Y＜2000</w:t>
            </w:r>
          </w:p>
        </w:tc>
        <w:tc>
          <w:tcPr>
            <w:tcW w:w="990" w:type="dxa"/>
            <w:vAlign w:val="center"/>
          </w:tcPr>
          <w:p w14:paraId="0ABD0F4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3D6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restart"/>
            <w:vAlign w:val="center"/>
          </w:tcPr>
          <w:p w14:paraId="33F7CD54">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366" w:type="dxa"/>
            <w:vAlign w:val="center"/>
          </w:tcPr>
          <w:p w14:paraId="16AC566F">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32E384CE">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12BBE4EB">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698" w:type="dxa"/>
            <w:vAlign w:val="center"/>
          </w:tcPr>
          <w:p w14:paraId="234F370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23" w:type="dxa"/>
            <w:vAlign w:val="center"/>
          </w:tcPr>
          <w:p w14:paraId="69361CF6">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0" w:type="dxa"/>
            <w:vAlign w:val="center"/>
          </w:tcPr>
          <w:p w14:paraId="1FCC5E0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DD3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Merge w:val="continue"/>
            <w:vAlign w:val="center"/>
          </w:tcPr>
          <w:p w14:paraId="73065A42">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3B0933EF">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6F1B9453">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6BFAD42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698" w:type="dxa"/>
            <w:vAlign w:val="center"/>
          </w:tcPr>
          <w:p w14:paraId="2BB8B732">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1000≤Y＜100000</w:t>
            </w:r>
          </w:p>
        </w:tc>
        <w:tc>
          <w:tcPr>
            <w:tcW w:w="1423" w:type="dxa"/>
            <w:vAlign w:val="center"/>
          </w:tcPr>
          <w:p w14:paraId="6A43811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100≤Y＜1000</w:t>
            </w:r>
          </w:p>
        </w:tc>
        <w:tc>
          <w:tcPr>
            <w:tcW w:w="990" w:type="dxa"/>
            <w:vAlign w:val="center"/>
          </w:tcPr>
          <w:p w14:paraId="18DB1114">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57E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09" w:type="dxa"/>
            <w:vMerge w:val="restart"/>
            <w:vAlign w:val="center"/>
          </w:tcPr>
          <w:p w14:paraId="076B5B5F">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软件和信息技术服务业</w:t>
            </w:r>
          </w:p>
        </w:tc>
        <w:tc>
          <w:tcPr>
            <w:tcW w:w="1366" w:type="dxa"/>
            <w:vAlign w:val="center"/>
          </w:tcPr>
          <w:p w14:paraId="019D264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461AFC45">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45E43CC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98" w:type="dxa"/>
            <w:vAlign w:val="center"/>
          </w:tcPr>
          <w:p w14:paraId="0032F169">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3" w:type="dxa"/>
            <w:vAlign w:val="center"/>
          </w:tcPr>
          <w:p w14:paraId="22D8130A">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0" w:type="dxa"/>
            <w:vAlign w:val="center"/>
          </w:tcPr>
          <w:p w14:paraId="5D40422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C6A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09" w:type="dxa"/>
            <w:vMerge w:val="continue"/>
            <w:vAlign w:val="center"/>
          </w:tcPr>
          <w:p w14:paraId="31F659AD">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090C100B">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3830B3CA">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7DE2802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698" w:type="dxa"/>
            <w:vAlign w:val="center"/>
          </w:tcPr>
          <w:p w14:paraId="0FCDE88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23" w:type="dxa"/>
            <w:vAlign w:val="center"/>
          </w:tcPr>
          <w:p w14:paraId="72A7CE6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50≤Y＜1000</w:t>
            </w:r>
          </w:p>
        </w:tc>
        <w:tc>
          <w:tcPr>
            <w:tcW w:w="990" w:type="dxa"/>
            <w:vAlign w:val="center"/>
          </w:tcPr>
          <w:p w14:paraId="7D4BFB67">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7A75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09" w:type="dxa"/>
            <w:vMerge w:val="restart"/>
            <w:vAlign w:val="center"/>
          </w:tcPr>
          <w:p w14:paraId="35E6E19C">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366" w:type="dxa"/>
            <w:vAlign w:val="center"/>
          </w:tcPr>
          <w:p w14:paraId="6B24F60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2FA907B1">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337C8AF9">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698" w:type="dxa"/>
            <w:vAlign w:val="center"/>
          </w:tcPr>
          <w:p w14:paraId="337CB806">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1000≤Y＜200000</w:t>
            </w:r>
          </w:p>
        </w:tc>
        <w:tc>
          <w:tcPr>
            <w:tcW w:w="1423" w:type="dxa"/>
            <w:vAlign w:val="center"/>
          </w:tcPr>
          <w:p w14:paraId="5E13B31F">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100≤Y＜1000</w:t>
            </w:r>
          </w:p>
        </w:tc>
        <w:tc>
          <w:tcPr>
            <w:tcW w:w="990" w:type="dxa"/>
            <w:vAlign w:val="center"/>
          </w:tcPr>
          <w:p w14:paraId="22E9A00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B4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09" w:type="dxa"/>
            <w:vMerge w:val="continue"/>
            <w:vAlign w:val="center"/>
          </w:tcPr>
          <w:p w14:paraId="5817EEDC">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79EF827E">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7" w:type="dxa"/>
            <w:vAlign w:val="center"/>
          </w:tcPr>
          <w:p w14:paraId="490F37F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4B42DE27">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698" w:type="dxa"/>
            <w:vAlign w:val="center"/>
          </w:tcPr>
          <w:p w14:paraId="3AF241DB">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23" w:type="dxa"/>
            <w:vAlign w:val="center"/>
          </w:tcPr>
          <w:p w14:paraId="2AB0DF52">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2000≤Z＜5000   </w:t>
            </w:r>
          </w:p>
        </w:tc>
        <w:tc>
          <w:tcPr>
            <w:tcW w:w="990" w:type="dxa"/>
            <w:vAlign w:val="center"/>
          </w:tcPr>
          <w:p w14:paraId="59DAC74A">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4100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09" w:type="dxa"/>
            <w:vMerge w:val="restart"/>
            <w:vAlign w:val="center"/>
          </w:tcPr>
          <w:p w14:paraId="17D06B56">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366" w:type="dxa"/>
            <w:vAlign w:val="center"/>
          </w:tcPr>
          <w:p w14:paraId="54172956">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27B65689">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19D1B457">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98" w:type="dxa"/>
            <w:vAlign w:val="center"/>
          </w:tcPr>
          <w:p w14:paraId="73D153D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3" w:type="dxa"/>
            <w:vAlign w:val="center"/>
          </w:tcPr>
          <w:p w14:paraId="2A72126E">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990" w:type="dxa"/>
            <w:vAlign w:val="center"/>
          </w:tcPr>
          <w:p w14:paraId="108123A6">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4BDA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09" w:type="dxa"/>
            <w:vMerge w:val="continue"/>
            <w:vAlign w:val="center"/>
          </w:tcPr>
          <w:p w14:paraId="7637F578">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10A692C4">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7" w:type="dxa"/>
            <w:vAlign w:val="center"/>
          </w:tcPr>
          <w:p w14:paraId="39B36004">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36C25697">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698" w:type="dxa"/>
            <w:vAlign w:val="center"/>
          </w:tcPr>
          <w:p w14:paraId="361DD04E">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1000≤Y＜5000 </w:t>
            </w:r>
          </w:p>
        </w:tc>
        <w:tc>
          <w:tcPr>
            <w:tcW w:w="1423" w:type="dxa"/>
            <w:vAlign w:val="center"/>
          </w:tcPr>
          <w:p w14:paraId="280A3DF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500≤Y＜1000</w:t>
            </w:r>
          </w:p>
        </w:tc>
        <w:tc>
          <w:tcPr>
            <w:tcW w:w="990" w:type="dxa"/>
            <w:vAlign w:val="center"/>
          </w:tcPr>
          <w:p w14:paraId="697ECE9F">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2023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09" w:type="dxa"/>
            <w:vMerge w:val="restart"/>
            <w:vAlign w:val="center"/>
          </w:tcPr>
          <w:p w14:paraId="43704B0F">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366" w:type="dxa"/>
            <w:vAlign w:val="center"/>
          </w:tcPr>
          <w:p w14:paraId="10E5856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15A49244">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6DFEAA6A">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98" w:type="dxa"/>
            <w:vAlign w:val="center"/>
          </w:tcPr>
          <w:p w14:paraId="1A0DE046">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3" w:type="dxa"/>
            <w:vAlign w:val="center"/>
          </w:tcPr>
          <w:p w14:paraId="45B4F706">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0" w:type="dxa"/>
            <w:vAlign w:val="center"/>
          </w:tcPr>
          <w:p w14:paraId="12A889EF">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004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09" w:type="dxa"/>
            <w:vMerge w:val="continue"/>
            <w:vAlign w:val="center"/>
          </w:tcPr>
          <w:p w14:paraId="195D7925">
            <w:pPr>
              <w:widowControl/>
              <w:wordWrap w:val="0"/>
              <w:jc w:val="left"/>
              <w:rPr>
                <w:rFonts w:hint="eastAsia" w:ascii="宋体" w:hAnsi="宋体" w:eastAsia="宋体" w:cs="宋体"/>
                <w:color w:val="auto"/>
                <w:kern w:val="0"/>
                <w:sz w:val="18"/>
                <w:szCs w:val="18"/>
                <w:highlight w:val="none"/>
              </w:rPr>
            </w:pPr>
          </w:p>
        </w:tc>
        <w:tc>
          <w:tcPr>
            <w:tcW w:w="1366" w:type="dxa"/>
            <w:vAlign w:val="center"/>
          </w:tcPr>
          <w:p w14:paraId="6C0148CE">
            <w:pPr>
              <w:widowControl/>
              <w:wordWrap w:val="0"/>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7" w:type="dxa"/>
            <w:vAlign w:val="center"/>
          </w:tcPr>
          <w:p w14:paraId="2A1A4B46">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3" w:type="dxa"/>
            <w:vAlign w:val="center"/>
          </w:tcPr>
          <w:p w14:paraId="56AD3CBB">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698" w:type="dxa"/>
            <w:vAlign w:val="center"/>
          </w:tcPr>
          <w:p w14:paraId="32B71804">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8000≤Z＜120000</w:t>
            </w:r>
          </w:p>
        </w:tc>
        <w:tc>
          <w:tcPr>
            <w:tcW w:w="1423" w:type="dxa"/>
            <w:vAlign w:val="center"/>
          </w:tcPr>
          <w:p w14:paraId="0ADE0F23">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100≤Z＜8000</w:t>
            </w:r>
          </w:p>
        </w:tc>
        <w:tc>
          <w:tcPr>
            <w:tcW w:w="990" w:type="dxa"/>
            <w:vAlign w:val="center"/>
          </w:tcPr>
          <w:p w14:paraId="39C3C28C">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6D1F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09" w:type="dxa"/>
            <w:vAlign w:val="center"/>
          </w:tcPr>
          <w:p w14:paraId="48BCF2F4">
            <w:pPr>
              <w:widowControl/>
              <w:wordWrap w:val="0"/>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366" w:type="dxa"/>
            <w:vAlign w:val="center"/>
          </w:tcPr>
          <w:p w14:paraId="57D620B8">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7" w:type="dxa"/>
            <w:vAlign w:val="center"/>
          </w:tcPr>
          <w:p w14:paraId="087EB409">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3" w:type="dxa"/>
            <w:vAlign w:val="center"/>
          </w:tcPr>
          <w:p w14:paraId="59EBC27D">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98" w:type="dxa"/>
            <w:vAlign w:val="center"/>
          </w:tcPr>
          <w:p w14:paraId="1549E3FF">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3" w:type="dxa"/>
            <w:vAlign w:val="center"/>
          </w:tcPr>
          <w:p w14:paraId="2D787395">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0" w:type="dxa"/>
            <w:vAlign w:val="center"/>
          </w:tcPr>
          <w:p w14:paraId="63FBFEBF">
            <w:pPr>
              <w:widowControl/>
              <w:wordWrap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5FC9D7D2">
      <w:pPr>
        <w:widowControl/>
        <w:wordWrap w:val="0"/>
        <w:spacing w:line="540" w:lineRule="exact"/>
        <w:rPr>
          <w:rFonts w:hint="eastAsia" w:ascii="宋体" w:hAnsi="宋体" w:eastAsia="宋体" w:cs="宋体"/>
          <w:color w:val="auto"/>
          <w:kern w:val="0"/>
          <w:sz w:val="32"/>
          <w:szCs w:val="32"/>
          <w:highlight w:val="none"/>
        </w:rPr>
      </w:pPr>
    </w:p>
    <w:p w14:paraId="1C13EDFE">
      <w:pPr>
        <w:widowControl/>
        <w:wordWrap w:val="0"/>
        <w:spacing w:line="540" w:lineRule="exac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说明：</w:t>
      </w:r>
    </w:p>
    <w:p w14:paraId="5BA3C0A2">
      <w:pPr>
        <w:wordWrap w:val="0"/>
        <w:spacing w:line="44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1.大型、中型和小型企业须同时满足所列指标的下限，否则下划一档；微型企业只须满足所列指标中的一项即可。</w:t>
      </w:r>
    </w:p>
    <w:p w14:paraId="51C28D59">
      <w:pPr>
        <w:wordWrap w:val="0"/>
        <w:spacing w:line="44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r>
        <w:rPr>
          <w:rFonts w:hint="eastAsia" w:ascii="宋体" w:hAnsi="宋体" w:eastAsia="宋体" w:cs="宋体"/>
          <w:b/>
          <w:bCs/>
          <w:color w:val="auto"/>
          <w:kern w:val="0"/>
          <w:szCs w:val="21"/>
          <w:highlight w:val="none"/>
        </w:rPr>
        <w:t>2.附表中各行业的范围以《国民经济行业分类》（GB/T4754-2017）为准。</w:t>
      </w:r>
      <w:r>
        <w:rPr>
          <w:rFonts w:hint="eastAsia" w:ascii="宋体" w:hAnsi="宋体" w:eastAsia="宋体" w:cs="宋体"/>
          <w:color w:val="auto"/>
          <w:kern w:val="0"/>
          <w:szCs w:val="21"/>
          <w:highlight w:val="none"/>
        </w:rPr>
        <w:t>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w:t>
      </w:r>
      <w:r>
        <w:rPr>
          <w:rFonts w:hint="eastAsia" w:ascii="宋体" w:hAnsi="宋体" w:eastAsia="宋体" w:cs="宋体"/>
          <w:b/>
          <w:bCs/>
          <w:color w:val="auto"/>
          <w:kern w:val="0"/>
          <w:szCs w:val="21"/>
          <w:highlight w:val="none"/>
        </w:rPr>
        <w:t>其他未列明行业包括科学研究和技术服务业，水利、环境和公共设施管理业，居民服务、修理和其他服务业，社会工作，文化、体育和娱乐业，以及房地产中介服务，其他房地产业等，不包括自有房地产经营活动。</w:t>
      </w:r>
    </w:p>
    <w:p w14:paraId="50EF1A40">
      <w:pPr>
        <w:wordWrap w:val="0"/>
        <w:spacing w:line="440" w:lineRule="exac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E37CFA3">
      <w:pPr>
        <w:wordWrap w:val="0"/>
        <w:jc w:val="center"/>
        <w:outlineLvl w:val="0"/>
        <w:rPr>
          <w:rFonts w:hint="eastAsia" w:ascii="宋体" w:hAnsi="宋体" w:eastAsia="宋体" w:cs="宋体"/>
          <w:b/>
          <w:color w:val="auto"/>
          <w:kern w:val="0"/>
          <w:sz w:val="32"/>
          <w:szCs w:val="32"/>
          <w:highlight w:val="none"/>
        </w:rPr>
      </w:pPr>
    </w:p>
    <w:p w14:paraId="4E157D73">
      <w:pPr>
        <w:pStyle w:val="43"/>
        <w:wordWrap w:val="0"/>
        <w:spacing w:before="0" w:after="0"/>
        <w:rPr>
          <w:rFonts w:hint="eastAsia" w:ascii="宋体" w:hAnsi="宋体" w:eastAsia="宋体" w:cs="宋体"/>
          <w:color w:val="auto"/>
          <w:highlight w:val="none"/>
        </w:rPr>
      </w:pPr>
    </w:p>
    <w:p w14:paraId="5A4375A7">
      <w:pPr>
        <w:pStyle w:val="43"/>
        <w:wordWrap w:val="0"/>
        <w:spacing w:before="0" w:after="0"/>
        <w:rPr>
          <w:rFonts w:hint="eastAsia" w:ascii="宋体" w:hAnsi="宋体" w:eastAsia="宋体" w:cs="宋体"/>
          <w:color w:val="auto"/>
          <w:highlight w:val="none"/>
        </w:rPr>
      </w:pPr>
    </w:p>
    <w:p w14:paraId="68F09ACE">
      <w:pPr>
        <w:pStyle w:val="43"/>
        <w:wordWrap w:val="0"/>
        <w:spacing w:before="0" w:after="0"/>
        <w:rPr>
          <w:rFonts w:hint="eastAsia" w:ascii="宋体" w:hAnsi="宋体" w:eastAsia="宋体" w:cs="宋体"/>
          <w:color w:val="auto"/>
          <w:highlight w:val="none"/>
        </w:rPr>
      </w:pPr>
    </w:p>
    <w:p w14:paraId="220E5FA0">
      <w:pPr>
        <w:wordWrap w:val="0"/>
        <w:jc w:val="center"/>
        <w:outlineLvl w:val="0"/>
        <w:rPr>
          <w:rFonts w:hint="eastAsia" w:ascii="宋体" w:hAnsi="宋体" w:eastAsia="宋体" w:cs="宋体"/>
          <w:b/>
          <w:color w:val="auto"/>
          <w:kern w:val="0"/>
          <w:sz w:val="32"/>
          <w:szCs w:val="32"/>
          <w:highlight w:val="none"/>
        </w:rPr>
      </w:pPr>
    </w:p>
    <w:p w14:paraId="07420578">
      <w:pPr>
        <w:wordWrap w:val="0"/>
        <w:jc w:val="center"/>
        <w:outlineLvl w:val="0"/>
        <w:rPr>
          <w:rFonts w:hint="eastAsia" w:ascii="宋体" w:hAnsi="宋体" w:eastAsia="宋体" w:cs="宋体"/>
          <w:b/>
          <w:color w:val="auto"/>
          <w:kern w:val="0"/>
          <w:sz w:val="32"/>
          <w:szCs w:val="32"/>
          <w:highlight w:val="none"/>
        </w:rPr>
      </w:pPr>
    </w:p>
    <w:p w14:paraId="0966724F">
      <w:pPr>
        <w:wordWrap w:val="0"/>
        <w:jc w:val="center"/>
        <w:outlineLvl w:val="0"/>
        <w:rPr>
          <w:rFonts w:hint="eastAsia" w:ascii="宋体" w:hAnsi="宋体" w:eastAsia="宋体" w:cs="宋体"/>
          <w:b/>
          <w:color w:val="auto"/>
          <w:kern w:val="0"/>
          <w:sz w:val="32"/>
          <w:szCs w:val="32"/>
          <w:highlight w:val="none"/>
        </w:rPr>
      </w:pPr>
    </w:p>
    <w:p w14:paraId="62E0AA3E">
      <w:pPr>
        <w:wordWrap w:val="0"/>
        <w:jc w:val="center"/>
        <w:outlineLvl w:val="0"/>
        <w:rPr>
          <w:rFonts w:hint="eastAsia" w:ascii="宋体" w:hAnsi="宋体" w:eastAsia="宋体" w:cs="宋体"/>
          <w:b/>
          <w:color w:val="auto"/>
          <w:kern w:val="0"/>
          <w:sz w:val="32"/>
          <w:szCs w:val="32"/>
          <w:highlight w:val="none"/>
        </w:rPr>
      </w:pPr>
    </w:p>
    <w:p w14:paraId="7168F58E">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7DF34017">
      <w:pPr>
        <w:wordWrap w:val="0"/>
        <w:jc w:val="center"/>
        <w:outlineLvl w:val="0"/>
        <w:rPr>
          <w:rFonts w:hint="eastAsia" w:ascii="宋体" w:hAnsi="宋体" w:eastAsia="宋体" w:cs="宋体"/>
          <w:color w:val="auto"/>
          <w:kern w:val="0"/>
          <w:highlight w:val="none"/>
        </w:rPr>
      </w:pPr>
      <w:bookmarkStart w:id="258" w:name="_Toc14172"/>
      <w:r>
        <w:rPr>
          <w:rFonts w:hint="eastAsia" w:ascii="宋体" w:hAnsi="宋体" w:eastAsia="宋体" w:cs="宋体"/>
          <w:b/>
          <w:color w:val="auto"/>
          <w:kern w:val="0"/>
          <w:sz w:val="32"/>
          <w:szCs w:val="32"/>
          <w:highlight w:val="none"/>
        </w:rPr>
        <w:t>第五章  政府采购合同（合同主要条款及格式）</w:t>
      </w:r>
      <w:bookmarkEnd w:id="258"/>
    </w:p>
    <w:p w14:paraId="559FAAEB">
      <w:pPr>
        <w:spacing w:before="69" w:line="221" w:lineRule="auto"/>
        <w:ind w:left="6"/>
        <w:jc w:val="left"/>
        <w:rPr>
          <w:rFonts w:hint="eastAsia" w:ascii="宋体" w:hAnsi="宋体" w:eastAsia="宋体" w:cs="宋体"/>
          <w:b/>
          <w:bCs/>
          <w:color w:val="auto"/>
          <w:spacing w:val="-1"/>
          <w:sz w:val="24"/>
          <w:highlight w:val="none"/>
        </w:rPr>
      </w:pPr>
      <w:bookmarkStart w:id="259" w:name="_Toc5667"/>
      <w:bookmarkEnd w:id="259"/>
      <w:bookmarkStart w:id="260" w:name="_Toc14860"/>
      <w:bookmarkEnd w:id="260"/>
      <w:bookmarkStart w:id="261" w:name="OLE_LINK129"/>
      <w:bookmarkStart w:id="262" w:name="OLE_LINK128"/>
      <w:bookmarkStart w:id="263" w:name="OLE_LINK130"/>
    </w:p>
    <w:p w14:paraId="08B9D434">
      <w:pPr>
        <w:spacing w:before="69" w:line="221" w:lineRule="auto"/>
        <w:ind w:left="6"/>
        <w:jc w:val="left"/>
        <w:rPr>
          <w:rFonts w:hint="eastAsia" w:ascii="宋体" w:hAnsi="宋体" w:eastAsia="宋体" w:cs="宋体"/>
          <w:b/>
          <w:bCs/>
          <w:color w:val="auto"/>
          <w:sz w:val="24"/>
          <w:highlight w:val="none"/>
        </w:rPr>
      </w:pPr>
      <w:r>
        <w:rPr>
          <w:rFonts w:hint="eastAsia" w:ascii="宋体" w:hAnsi="宋体" w:eastAsia="宋体" w:cs="宋体"/>
          <w:b/>
          <w:bCs/>
          <w:color w:val="auto"/>
          <w:spacing w:val="-1"/>
          <w:sz w:val="24"/>
          <w:highlight w:val="none"/>
        </w:rPr>
        <w:t xml:space="preserve">    分标1适用：</w:t>
      </w:r>
    </w:p>
    <w:bookmarkEnd w:id="261"/>
    <w:bookmarkEnd w:id="262"/>
    <w:bookmarkEnd w:id="263"/>
    <w:p w14:paraId="7C38246C">
      <w:pPr>
        <w:spacing w:before="69" w:line="220" w:lineRule="auto"/>
        <w:ind w:left="4"/>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rPr>
        <w:t>七星区农村学校伙房食材配送服务项目</w:t>
      </w:r>
    </w:p>
    <w:p w14:paraId="7C3AEE76">
      <w:pPr>
        <w:wordWrap w:val="0"/>
        <w:spacing w:line="440" w:lineRule="exact"/>
        <w:rPr>
          <w:rFonts w:hint="eastAsia" w:ascii="宋体" w:hAnsi="宋体" w:eastAsia="宋体" w:cs="宋体"/>
          <w:color w:val="auto"/>
          <w:kern w:val="0"/>
          <w:szCs w:val="21"/>
          <w:highlight w:val="none"/>
        </w:rPr>
      </w:pPr>
      <w:r>
        <w:rPr>
          <w:rFonts w:hint="eastAsia" w:ascii="宋体" w:hAnsi="宋体" w:eastAsia="宋体" w:cs="宋体"/>
          <w:color w:val="auto"/>
          <w:spacing w:val="-1"/>
          <w:szCs w:val="21"/>
          <w:highlight w:val="none"/>
        </w:rPr>
        <w:t xml:space="preserve">    </w:t>
      </w:r>
      <w:r>
        <w:rPr>
          <w:rFonts w:hint="eastAsia" w:ascii="宋体" w:hAnsi="宋体" w:eastAsia="宋体" w:cs="宋体"/>
          <w:color w:val="auto"/>
          <w:spacing w:val="-1"/>
          <w:szCs w:val="21"/>
          <w:highlight w:val="none"/>
        </w:rPr>
        <w:t>项目编号：</w:t>
      </w:r>
      <w:r>
        <w:rPr>
          <w:rFonts w:hint="eastAsia" w:ascii="宋体" w:hAnsi="宋体" w:eastAsia="宋体" w:cs="宋体"/>
          <w:color w:val="auto"/>
          <w:szCs w:val="21"/>
          <w:highlight w:val="none"/>
        </w:rPr>
        <w:t>GLZC2026-C3-990416-GXHC</w:t>
      </w:r>
    </w:p>
    <w:p w14:paraId="6F584F50">
      <w:pPr>
        <w:spacing w:before="171" w:line="221" w:lineRule="auto"/>
        <w:ind w:left="3"/>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 xml:space="preserve">    分标号：分标1</w:t>
      </w:r>
    </w:p>
    <w:p w14:paraId="0C12E2F3">
      <w:pPr>
        <w:spacing w:before="168" w:line="220" w:lineRule="auto"/>
        <w:ind w:left="28"/>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 xml:space="preserve">    </w:t>
      </w:r>
      <w:r>
        <w:rPr>
          <w:rFonts w:hint="eastAsia" w:ascii="宋体" w:hAnsi="宋体" w:eastAsia="宋体" w:cs="宋体"/>
          <w:color w:val="auto"/>
          <w:spacing w:val="-2"/>
          <w:szCs w:val="21"/>
          <w:highlight w:val="none"/>
        </w:rPr>
        <w:t>甲方</w:t>
      </w:r>
      <w:r>
        <w:rPr>
          <w:rFonts w:hint="eastAsia" w:ascii="宋体" w:hAnsi="宋体" w:eastAsia="宋体" w:cs="宋体"/>
          <w:color w:val="auto"/>
          <w:spacing w:val="-7"/>
          <w:szCs w:val="21"/>
          <w:highlight w:val="none"/>
        </w:rPr>
        <w:t>：</w:t>
      </w:r>
      <w:r>
        <w:rPr>
          <w:rFonts w:hint="eastAsia" w:ascii="宋体" w:hAnsi="宋体" w:eastAsia="宋体" w:cs="宋体"/>
          <w:color w:val="auto"/>
          <w:spacing w:val="-7"/>
          <w:szCs w:val="21"/>
          <w:highlight w:val="none"/>
          <w:u w:val="single"/>
        </w:rPr>
        <w:t xml:space="preserve">                                </w:t>
      </w:r>
      <w:r>
        <w:rPr>
          <w:rFonts w:hint="eastAsia" w:ascii="宋体" w:hAnsi="宋体" w:eastAsia="宋体" w:cs="宋体"/>
          <w:color w:val="auto"/>
          <w:spacing w:val="-7"/>
          <w:szCs w:val="21"/>
          <w:highlight w:val="none"/>
        </w:rPr>
        <w:t>（</w:t>
      </w:r>
      <w:r>
        <w:rPr>
          <w:rFonts w:hint="eastAsia" w:ascii="宋体" w:hAnsi="宋体" w:eastAsia="宋体" w:cs="宋体"/>
          <w:color w:val="auto"/>
          <w:spacing w:val="-2"/>
          <w:szCs w:val="21"/>
          <w:highlight w:val="none"/>
        </w:rPr>
        <w:t>采购人，以下简称甲方）</w:t>
      </w:r>
    </w:p>
    <w:p w14:paraId="4715C855">
      <w:pPr>
        <w:spacing w:before="169" w:line="220" w:lineRule="auto"/>
        <w:ind w:left="21"/>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 xml:space="preserve">    </w:t>
      </w:r>
      <w:r>
        <w:rPr>
          <w:rFonts w:hint="eastAsia" w:ascii="宋体" w:hAnsi="宋体" w:eastAsia="宋体" w:cs="宋体"/>
          <w:color w:val="auto"/>
          <w:spacing w:val="-1"/>
          <w:szCs w:val="21"/>
          <w:highlight w:val="none"/>
        </w:rPr>
        <w:t>乙方</w:t>
      </w:r>
      <w:r>
        <w:rPr>
          <w:rFonts w:hint="eastAsia" w:ascii="宋体" w:hAnsi="宋体" w:eastAsia="宋体" w:cs="宋体"/>
          <w:color w:val="auto"/>
          <w:spacing w:val="-10"/>
          <w:szCs w:val="21"/>
          <w:highlight w:val="none"/>
        </w:rPr>
        <w:t>：</w:t>
      </w:r>
      <w:r>
        <w:rPr>
          <w:rFonts w:hint="eastAsia" w:ascii="宋体" w:hAnsi="宋体" w:eastAsia="宋体" w:cs="宋体"/>
          <w:color w:val="auto"/>
          <w:spacing w:val="-10"/>
          <w:szCs w:val="21"/>
          <w:highlight w:val="none"/>
          <w:u w:val="single"/>
        </w:rPr>
        <w:t xml:space="preserve">                                  </w:t>
      </w:r>
      <w:r>
        <w:rPr>
          <w:rFonts w:hint="eastAsia" w:ascii="宋体" w:hAnsi="宋体" w:eastAsia="宋体" w:cs="宋体"/>
          <w:color w:val="auto"/>
          <w:spacing w:val="-10"/>
          <w:szCs w:val="21"/>
          <w:highlight w:val="none"/>
          <w:u w:val="single"/>
        </w:rPr>
        <w:t>（</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，以下简称乙方）</w:t>
      </w:r>
    </w:p>
    <w:p w14:paraId="00E1797E">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根据《中华人民共和国政府采购法》、《中华人民共和国民法典》等法律、法规规定，按照</w:t>
      </w:r>
      <w:r>
        <w:rPr>
          <w:rFonts w:hint="eastAsia" w:ascii="宋体" w:hAnsi="宋体" w:eastAsia="宋体" w:cs="宋体"/>
          <w:color w:val="auto"/>
          <w:spacing w:val="-1"/>
          <w:szCs w:val="21"/>
          <w:highlight w:val="none"/>
        </w:rPr>
        <w:t>竞争性磋商文件</w:t>
      </w:r>
      <w:r>
        <w:rPr>
          <w:rFonts w:hint="eastAsia" w:ascii="宋体" w:hAnsi="宋体" w:eastAsia="宋体" w:cs="宋体"/>
          <w:color w:val="auto"/>
          <w:spacing w:val="-1"/>
          <w:szCs w:val="21"/>
          <w:highlight w:val="none"/>
        </w:rPr>
        <w:t>规定的条款和乙方的</w:t>
      </w:r>
      <w:r>
        <w:rPr>
          <w:rFonts w:hint="eastAsia" w:ascii="宋体" w:hAnsi="宋体" w:eastAsia="宋体" w:cs="宋体"/>
          <w:color w:val="auto"/>
          <w:spacing w:val="-1"/>
          <w:szCs w:val="21"/>
          <w:highlight w:val="none"/>
        </w:rPr>
        <w:t>响应文件</w:t>
      </w:r>
      <w:r>
        <w:rPr>
          <w:rFonts w:hint="eastAsia" w:ascii="宋体" w:hAnsi="宋体" w:eastAsia="宋体" w:cs="宋体"/>
          <w:color w:val="auto"/>
          <w:spacing w:val="-1"/>
          <w:szCs w:val="21"/>
          <w:highlight w:val="none"/>
        </w:rPr>
        <w:t>及其承诺，甲乙双方签订本合同。</w:t>
      </w:r>
    </w:p>
    <w:p w14:paraId="45409E44">
      <w:pPr>
        <w:keepNext w:val="0"/>
        <w:keepLines w:val="0"/>
        <w:pageBreakBefore w:val="0"/>
        <w:widowControl w:val="0"/>
        <w:kinsoku/>
        <w:overflowPunct/>
        <w:topLinePunct w:val="0"/>
        <w:autoSpaceDE/>
        <w:autoSpaceDN/>
        <w:bidi w:val="0"/>
        <w:adjustRightInd/>
        <w:snapToGrid/>
        <w:spacing w:line="440" w:lineRule="exact"/>
        <w:ind w:firstLine="418"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pacing w:val="-1"/>
          <w:szCs w:val="21"/>
          <w:highlight w:val="none"/>
        </w:rPr>
        <w:t>注：本合同仅为合同的参考文本，合同签订双方可根据项目的具体要求进行修订，但不得改变</w:t>
      </w:r>
      <w:r>
        <w:rPr>
          <w:rFonts w:hint="eastAsia" w:ascii="宋体" w:hAnsi="宋体" w:eastAsia="宋体" w:cs="宋体"/>
          <w:b/>
          <w:bCs/>
          <w:color w:val="auto"/>
          <w:spacing w:val="-1"/>
          <w:szCs w:val="21"/>
          <w:highlight w:val="none"/>
        </w:rPr>
        <w:t>竞争性磋商文件和响应文件</w:t>
      </w:r>
      <w:r>
        <w:rPr>
          <w:rFonts w:hint="eastAsia" w:ascii="宋体" w:hAnsi="宋体" w:eastAsia="宋体" w:cs="宋体"/>
          <w:b/>
          <w:bCs/>
          <w:color w:val="auto"/>
          <w:spacing w:val="-2"/>
          <w:szCs w:val="21"/>
          <w:highlight w:val="none"/>
        </w:rPr>
        <w:t>的实质性内容。</w:t>
      </w:r>
    </w:p>
    <w:p w14:paraId="2FF1F0FD">
      <w:pPr>
        <w:keepNext w:val="0"/>
        <w:keepLines w:val="0"/>
        <w:pageBreakBefore w:val="0"/>
        <w:widowControl w:val="0"/>
        <w:kinsoku/>
        <w:overflowPunct/>
        <w:topLinePunct w:val="0"/>
        <w:autoSpaceDE/>
        <w:autoSpaceDN/>
        <w:bidi w:val="0"/>
        <w:adjustRightInd/>
        <w:snapToGrid/>
        <w:spacing w:line="440" w:lineRule="exact"/>
        <w:ind w:firstLine="410"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一、合同期限、价格、结算方式等</w:t>
      </w:r>
    </w:p>
    <w:p w14:paraId="5197DA84">
      <w:pPr>
        <w:keepNext w:val="0"/>
        <w:keepLines w:val="0"/>
        <w:pageBreakBefore w:val="0"/>
        <w:widowControl w:val="0"/>
        <w:kinsoku/>
        <w:overflowPunct/>
        <w:topLinePunct w:val="0"/>
        <w:autoSpaceDE/>
        <w:autoSpaceDN/>
        <w:bidi w:val="0"/>
        <w:adjustRightInd/>
        <w:snapToGrid/>
        <w:spacing w:line="440" w:lineRule="exact"/>
        <w:ind w:firstLine="406"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4"/>
          <w:szCs w:val="21"/>
          <w:highlight w:val="none"/>
        </w:rPr>
        <w:t>（一）合同期限：</w:t>
      </w:r>
      <w:r>
        <w:rPr>
          <w:rFonts w:hint="eastAsia" w:ascii="宋体" w:hAnsi="宋体" w:eastAsia="宋体" w:cs="宋体"/>
          <w:color w:val="auto"/>
          <w:spacing w:val="-4"/>
          <w:szCs w:val="21"/>
          <w:highlight w:val="none"/>
        </w:rPr>
        <w:t>从</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rPr>
        <w:t>年</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rPr>
        <w:t>月</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rPr>
        <w:t>日起至</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5"/>
          <w:szCs w:val="21"/>
          <w:highlight w:val="none"/>
        </w:rPr>
        <w:t>年</w:t>
      </w:r>
      <w:r>
        <w:rPr>
          <w:rFonts w:hint="eastAsia" w:ascii="宋体" w:hAnsi="宋体" w:eastAsia="宋体" w:cs="宋体"/>
          <w:color w:val="auto"/>
          <w:spacing w:val="-5"/>
          <w:szCs w:val="21"/>
          <w:highlight w:val="none"/>
        </w:rPr>
        <w:t xml:space="preserve">  </w:t>
      </w:r>
      <w:r>
        <w:rPr>
          <w:rFonts w:hint="eastAsia" w:ascii="宋体" w:hAnsi="宋体" w:eastAsia="宋体" w:cs="宋体"/>
          <w:color w:val="auto"/>
          <w:spacing w:val="-5"/>
          <w:szCs w:val="21"/>
          <w:highlight w:val="none"/>
        </w:rPr>
        <w:t>月</w:t>
      </w:r>
      <w:r>
        <w:rPr>
          <w:rFonts w:hint="eastAsia" w:ascii="宋体" w:hAnsi="宋体" w:eastAsia="宋体" w:cs="宋体"/>
          <w:color w:val="auto"/>
          <w:spacing w:val="-5"/>
          <w:szCs w:val="21"/>
          <w:highlight w:val="none"/>
        </w:rPr>
        <w:t xml:space="preserve">  </w:t>
      </w:r>
      <w:r>
        <w:rPr>
          <w:rFonts w:hint="eastAsia" w:ascii="宋体" w:hAnsi="宋体" w:eastAsia="宋体" w:cs="宋体"/>
          <w:color w:val="auto"/>
          <w:spacing w:val="-5"/>
          <w:szCs w:val="21"/>
          <w:highlight w:val="none"/>
        </w:rPr>
        <w:t>日止。</w:t>
      </w:r>
    </w:p>
    <w:p w14:paraId="7EEB29CF">
      <w:pPr>
        <w:keepNext w:val="0"/>
        <w:keepLines w:val="0"/>
        <w:pageBreakBefore w:val="0"/>
        <w:widowControl w:val="0"/>
        <w:kinsoku/>
        <w:overflowPunct/>
        <w:topLinePunct w:val="0"/>
        <w:autoSpaceDE/>
        <w:autoSpaceDN/>
        <w:bidi w:val="0"/>
        <w:adjustRightInd/>
        <w:snapToGrid/>
        <w:spacing w:line="440" w:lineRule="exact"/>
        <w:ind w:firstLine="40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5"/>
          <w:szCs w:val="21"/>
          <w:highlight w:val="none"/>
        </w:rPr>
        <w:t>（二）合同标标的物：</w:t>
      </w:r>
      <w:r>
        <w:rPr>
          <w:rFonts w:hint="eastAsia" w:ascii="宋体" w:hAnsi="宋体" w:eastAsia="宋体" w:cs="宋体"/>
          <w:color w:val="auto"/>
          <w:spacing w:val="-5"/>
          <w:szCs w:val="21"/>
          <w:highlight w:val="none"/>
        </w:rPr>
        <w:t>乙方承担甲方</w:t>
      </w:r>
      <w:r>
        <w:rPr>
          <w:rFonts w:hint="eastAsia" w:ascii="宋体" w:hAnsi="宋体" w:eastAsia="宋体" w:cs="宋体"/>
          <w:color w:val="auto"/>
          <w:spacing w:val="-5"/>
          <w:szCs w:val="21"/>
          <w:highlight w:val="none"/>
        </w:rPr>
        <w:t>（包含但不限于）</w:t>
      </w:r>
      <w:r>
        <w:rPr>
          <w:rFonts w:hint="eastAsia" w:ascii="宋体" w:hAnsi="宋体" w:eastAsia="宋体" w:cs="宋体"/>
          <w:color w:val="auto"/>
          <w:spacing w:val="-5"/>
          <w:szCs w:val="21"/>
          <w:highlight w:val="none"/>
        </w:rPr>
        <w:t>：</w:t>
      </w:r>
      <w:r>
        <w:rPr>
          <w:rFonts w:hint="eastAsia" w:ascii="宋体" w:hAnsi="宋体" w:eastAsia="宋体" w:cs="宋体"/>
          <w:color w:val="auto"/>
          <w:spacing w:val="-5"/>
          <w:szCs w:val="21"/>
          <w:highlight w:val="none"/>
          <w:u w:val="single"/>
        </w:rPr>
        <w:t>禽畜肉类：猪肉、牛肉、羊肉、鸡肉、鸭肉等肉类；水产类：淡水鱼、海鱼、虾、蟹、海带、带壳类海鲜；豆制品类：鲜豆腐、豆腐干、腐竹；蔬菜类：各类蔬菜、芋头、红薯、黄瓜、鲜笋、萝卜、冬瓜、豆角、西红柿、黄豆、青豆、豌豆</w:t>
      </w:r>
      <w:r>
        <w:rPr>
          <w:rFonts w:hint="eastAsia" w:ascii="宋体" w:hAnsi="宋体" w:eastAsia="宋体" w:cs="宋体"/>
          <w:color w:val="auto"/>
          <w:spacing w:val="-5"/>
          <w:szCs w:val="21"/>
          <w:highlight w:val="none"/>
        </w:rPr>
        <w:t>等食材配送服务。由于某些食材具有地域性、时令性等特点，</w:t>
      </w:r>
      <w:r>
        <w:rPr>
          <w:rFonts w:hint="eastAsia" w:ascii="宋体" w:hAnsi="宋体" w:eastAsia="宋体" w:cs="宋体"/>
          <w:color w:val="auto"/>
          <w:spacing w:val="-5"/>
          <w:szCs w:val="21"/>
          <w:highlight w:val="none"/>
          <w:lang w:eastAsia="zh-CN"/>
        </w:rPr>
        <w:t>甲方</w:t>
      </w:r>
      <w:r>
        <w:rPr>
          <w:rFonts w:hint="eastAsia" w:ascii="宋体" w:hAnsi="宋体" w:eastAsia="宋体" w:cs="宋体"/>
          <w:color w:val="auto"/>
          <w:spacing w:val="-5"/>
          <w:szCs w:val="21"/>
          <w:highlight w:val="none"/>
        </w:rPr>
        <w:t>根据实际情况选定品种。</w:t>
      </w:r>
    </w:p>
    <w:p w14:paraId="1B865412">
      <w:pPr>
        <w:keepNext w:val="0"/>
        <w:keepLines w:val="0"/>
        <w:pageBreakBefore w:val="0"/>
        <w:widowControl w:val="0"/>
        <w:kinsoku/>
        <w:overflowPunct/>
        <w:topLinePunct w:val="0"/>
        <w:autoSpaceDE/>
        <w:autoSpaceDN/>
        <w:bidi w:val="0"/>
        <w:adjustRightInd/>
        <w:snapToGrid/>
        <w:spacing w:line="440" w:lineRule="exact"/>
        <w:ind w:firstLine="40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5"/>
          <w:szCs w:val="21"/>
          <w:highlight w:val="none"/>
        </w:rPr>
        <w:t>（三）</w:t>
      </w:r>
      <w:r>
        <w:rPr>
          <w:rFonts w:hint="eastAsia" w:ascii="宋体" w:hAnsi="宋体" w:eastAsia="宋体" w:cs="宋体"/>
          <w:b/>
          <w:bCs/>
          <w:color w:val="auto"/>
          <w:spacing w:val="-5"/>
          <w:szCs w:val="21"/>
          <w:highlight w:val="none"/>
        </w:rPr>
        <w:t>综合</w:t>
      </w:r>
      <w:r>
        <w:rPr>
          <w:rFonts w:hint="eastAsia" w:ascii="宋体" w:hAnsi="宋体" w:eastAsia="宋体" w:cs="宋体"/>
          <w:b/>
          <w:bCs/>
          <w:color w:val="auto"/>
          <w:spacing w:val="-5"/>
          <w:szCs w:val="21"/>
          <w:highlight w:val="none"/>
        </w:rPr>
        <w:t>折扣率</w:t>
      </w:r>
      <w:r>
        <w:rPr>
          <w:rFonts w:hint="eastAsia" w:ascii="宋体" w:hAnsi="宋体" w:eastAsia="宋体" w:cs="宋体"/>
          <w:b/>
          <w:bCs/>
          <w:color w:val="auto"/>
          <w:spacing w:val="-12"/>
          <w:szCs w:val="21"/>
          <w:highlight w:val="none"/>
        </w:rPr>
        <w:t>：</w:t>
      </w:r>
      <w:r>
        <w:rPr>
          <w:rFonts w:hint="eastAsia" w:ascii="宋体" w:hAnsi="宋体" w:eastAsia="宋体" w:cs="宋体"/>
          <w:b/>
          <w:bCs/>
          <w:color w:val="auto"/>
          <w:spacing w:val="-12"/>
          <w:szCs w:val="21"/>
          <w:highlight w:val="none"/>
          <w:u w:val="single"/>
        </w:rPr>
        <w:t xml:space="preserve">                  </w:t>
      </w:r>
      <w:r>
        <w:rPr>
          <w:rFonts w:hint="eastAsia" w:ascii="宋体" w:hAnsi="宋体" w:eastAsia="宋体" w:cs="宋体"/>
          <w:color w:val="auto"/>
          <w:sz w:val="24"/>
          <w:highlight w:val="none"/>
          <w:u w:val="single"/>
        </w:rPr>
        <w:t>%</w:t>
      </w:r>
      <w:r>
        <w:rPr>
          <w:rFonts w:hint="eastAsia" w:ascii="宋体" w:hAnsi="宋体" w:eastAsia="宋体" w:cs="宋体"/>
          <w:color w:val="auto"/>
          <w:spacing w:val="-6"/>
          <w:szCs w:val="21"/>
          <w:highlight w:val="none"/>
        </w:rPr>
        <w:t>。</w:t>
      </w:r>
    </w:p>
    <w:p w14:paraId="746A99B3">
      <w:pPr>
        <w:keepNext w:val="0"/>
        <w:keepLines w:val="0"/>
        <w:pageBreakBefore w:val="0"/>
        <w:widowControl w:val="0"/>
        <w:kinsoku/>
        <w:overflowPunct/>
        <w:topLinePunct w:val="0"/>
        <w:autoSpaceDE/>
        <w:autoSpaceDN/>
        <w:bidi w:val="0"/>
        <w:adjustRightInd/>
        <w:snapToGrid/>
        <w:spacing w:line="440" w:lineRule="exact"/>
        <w:ind w:firstLine="40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5"/>
          <w:szCs w:val="21"/>
          <w:highlight w:val="none"/>
        </w:rPr>
        <w:t>（四）价格制定</w:t>
      </w:r>
    </w:p>
    <w:p w14:paraId="3295060E">
      <w:pPr>
        <w:keepNext w:val="0"/>
        <w:keepLines w:val="0"/>
        <w:pageBreakBefore w:val="0"/>
        <w:widowControl w:val="0"/>
        <w:kinsoku/>
        <w:overflowPunct/>
        <w:topLinePunct w:val="0"/>
        <w:autoSpaceDE/>
        <w:autoSpaceDN/>
        <w:bidi w:val="0"/>
        <w:adjustRightInd/>
        <w:snapToGrid/>
        <w:spacing w:line="440" w:lineRule="exact"/>
        <w:ind w:firstLine="424"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1.服务期内按月度实际供货数量进行结算；</w:t>
      </w:r>
      <w:r>
        <w:rPr>
          <w:rFonts w:hint="eastAsia" w:ascii="宋体" w:hAnsi="宋体" w:eastAsia="宋体" w:cs="宋体"/>
          <w:color w:val="auto"/>
          <w:spacing w:val="-1"/>
          <w:szCs w:val="21"/>
          <w:highlight w:val="none"/>
        </w:rPr>
        <w:t>即：</w:t>
      </w:r>
      <w:r>
        <w:rPr>
          <w:rFonts w:hint="eastAsia" w:ascii="宋体" w:hAnsi="宋体" w:eastAsia="宋体" w:cs="宋体"/>
          <w:bCs/>
          <w:color w:val="auto"/>
          <w:spacing w:val="-4"/>
          <w:szCs w:val="21"/>
          <w:highlight w:val="none"/>
        </w:rPr>
        <w:t>结算金额=每次确定的基准价×供应商承诺的折扣率（综合折扣率&lt;%&gt;）×实际供应食材的数量。</w:t>
      </w:r>
    </w:p>
    <w:p w14:paraId="12679033">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lang w:val="zh-TW"/>
        </w:rPr>
      </w:pPr>
      <w:r>
        <w:rPr>
          <w:rFonts w:hint="eastAsia" w:ascii="宋体" w:hAnsi="宋体" w:eastAsia="宋体" w:cs="宋体"/>
          <w:color w:val="auto"/>
          <w:szCs w:val="21"/>
          <w:highlight w:val="none"/>
          <w:lang w:val="zh-TW"/>
        </w:rPr>
        <w:t>基准价釆用周期性市场调查询价（每月询价不少于一次）的平均价确定。调查询价采取两种方式，一是线上询价，食材询价定价工作小组集体开展线上询价，对照桂林市发改委(网址https://fgw.guilin.gov.cn/，首页“政策文件中心—价格监测”)同期公布的十二家市场农副产品市场均价进行比价议价。二是线下询价，食材询价定价工作小组前往桂林市汇东果菜批发市场、桂林市五里店果蔬批发市场、桂林市七星农贸市场、桂林市西门市场及七星区大型超市（除特价超市外）等地点的批发价（或零售价）均值为平均价。由双方每月确认后确定。</w:t>
      </w:r>
    </w:p>
    <w:p w14:paraId="7BB9C4B5">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 xml:space="preserve"> 2.合同期内，学校学生人数每个学期会有变动，学校根据月度及需求对产品进行调整，结算金额以实际采购产品数量、价格来结算。</w:t>
      </w:r>
    </w:p>
    <w:p w14:paraId="4C2987AF">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3.供货协议期内的每一个定价周期，除消费物价指数（CPI）发生大幅波动等特殊情况外，不允许上调本定价周期内的基准价。</w:t>
      </w:r>
    </w:p>
    <w:p w14:paraId="3F07BE95">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rPr>
        <w:t>．合同约定产品价格为到岸价，即乙方将甲方所需物资送达甲方指定地点的价格</w:t>
      </w:r>
      <w:r>
        <w:rPr>
          <w:rFonts w:hint="eastAsia" w:ascii="宋体" w:hAnsi="宋体" w:eastAsia="宋体" w:cs="宋体"/>
          <w:color w:val="auto"/>
          <w:spacing w:val="-1"/>
          <w:szCs w:val="21"/>
          <w:highlight w:val="none"/>
        </w:rPr>
        <w:t>，乙方所供货物（食材）在进入甲方仓库前所发生的全部费用、风险、责任和损失由乙方承担。</w:t>
      </w:r>
    </w:p>
    <w:p w14:paraId="3BBD6B5F">
      <w:pPr>
        <w:keepNext w:val="0"/>
        <w:keepLines w:val="0"/>
        <w:pageBreakBefore w:val="0"/>
        <w:widowControl w:val="0"/>
        <w:kinsoku/>
        <w:overflowPunct/>
        <w:topLinePunct w:val="0"/>
        <w:autoSpaceDE/>
        <w:autoSpaceDN/>
        <w:bidi w:val="0"/>
        <w:adjustRightInd/>
        <w:snapToGrid/>
        <w:spacing w:line="440" w:lineRule="exact"/>
        <w:ind w:firstLine="410"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（五）付款方式</w:t>
      </w:r>
    </w:p>
    <w:p w14:paraId="0F91FCF5">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实行按月结算方式，即本月货款于次月结算。以双方（乙方和甲方）签字确认后的送货单为依据，月末经双方汇总核对无误后，乙方开具正规增值税普通发票给甲方，甲方在收到乙方开具正规增值税普通发票后的30个工作日内以银行转账方式支付(无息)（注：票据要求：乙方必须按照甲方要求提供真实、有效、合法的正式发票及转账资料。如乙方提供虚假发票的，除须向甲方补开合法发票外，并须赔偿甲方发票票面金额一倍的违约金，且甲方有权无条件终止合同，因终止合同而产生的一切损失均由乙方承担。结算账户要求：货款结算账户要求必须为银行对公账户，账户名称须与发票专用章上的单位名称一致，不得使用个人银行账户结算货款）。</w:t>
      </w:r>
    </w:p>
    <w:p w14:paraId="27C13EFB">
      <w:pPr>
        <w:keepNext w:val="0"/>
        <w:keepLines w:val="0"/>
        <w:pageBreakBefore w:val="0"/>
        <w:widowControl w:val="0"/>
        <w:kinsoku/>
        <w:overflowPunct/>
        <w:topLinePunct w:val="0"/>
        <w:autoSpaceDE/>
        <w:autoSpaceDN/>
        <w:bidi w:val="0"/>
        <w:adjustRightInd/>
        <w:snapToGrid/>
        <w:spacing w:line="440" w:lineRule="exact"/>
        <w:ind w:firstLine="410"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 xml:space="preserve"> </w:t>
      </w:r>
      <w:r>
        <w:rPr>
          <w:rFonts w:hint="eastAsia" w:ascii="宋体" w:hAnsi="宋体" w:eastAsia="宋体" w:cs="宋体"/>
          <w:b/>
          <w:bCs/>
          <w:color w:val="auto"/>
          <w:spacing w:val="-3"/>
          <w:szCs w:val="21"/>
          <w:highlight w:val="none"/>
        </w:rPr>
        <w:t>二、甲、乙双方的权利和义务</w:t>
      </w:r>
    </w:p>
    <w:p w14:paraId="4EC69B2A">
      <w:pPr>
        <w:keepNext w:val="0"/>
        <w:keepLines w:val="0"/>
        <w:pageBreakBefore w:val="0"/>
        <w:widowControl w:val="0"/>
        <w:kinsoku/>
        <w:overflowPunct/>
        <w:topLinePunct w:val="0"/>
        <w:autoSpaceDE/>
        <w:autoSpaceDN/>
        <w:bidi w:val="0"/>
        <w:adjustRightInd/>
        <w:snapToGrid/>
        <w:spacing w:line="440" w:lineRule="exact"/>
        <w:ind w:firstLine="406"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4"/>
          <w:szCs w:val="21"/>
          <w:highlight w:val="none"/>
        </w:rPr>
        <w:t>（一）甲方的权利和义务</w:t>
      </w:r>
    </w:p>
    <w:p w14:paraId="347EAAC3">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1.在条件允许的情况下，尽可能地为乙方的供货提供应有的便利条</w:t>
      </w:r>
      <w:r>
        <w:rPr>
          <w:rFonts w:hint="eastAsia" w:ascii="宋体" w:hAnsi="宋体" w:eastAsia="宋体" w:cs="宋体"/>
          <w:color w:val="auto"/>
          <w:spacing w:val="-2"/>
          <w:szCs w:val="21"/>
          <w:highlight w:val="none"/>
        </w:rPr>
        <w:t>件。</w:t>
      </w:r>
    </w:p>
    <w:p w14:paraId="79A5F135">
      <w:pPr>
        <w:keepNext w:val="0"/>
        <w:keepLines w:val="0"/>
        <w:pageBreakBefore w:val="0"/>
        <w:widowControl w:val="0"/>
        <w:kinsoku/>
        <w:overflowPunct/>
        <w:topLinePunct w:val="0"/>
        <w:autoSpaceDE/>
        <w:autoSpaceDN/>
        <w:bidi w:val="0"/>
        <w:adjustRightInd/>
        <w:snapToGrid/>
        <w:spacing w:line="440" w:lineRule="exact"/>
        <w:ind w:firstLine="408"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2.有权对乙方供应的货物（食材）、加工场地、运输工具、供应资质等进行检查，乙方</w:t>
      </w:r>
      <w:r>
        <w:rPr>
          <w:rFonts w:hint="eastAsia" w:ascii="宋体" w:hAnsi="宋体" w:eastAsia="宋体" w:cs="宋体"/>
          <w:color w:val="auto"/>
          <w:spacing w:val="-4"/>
          <w:szCs w:val="21"/>
          <w:highlight w:val="none"/>
        </w:rPr>
        <w:t>必须配合，</w:t>
      </w:r>
      <w:r>
        <w:rPr>
          <w:rFonts w:hint="eastAsia" w:ascii="宋体" w:hAnsi="宋体" w:eastAsia="宋体" w:cs="宋体"/>
          <w:color w:val="auto"/>
          <w:spacing w:val="-1"/>
          <w:szCs w:val="21"/>
          <w:highlight w:val="none"/>
        </w:rPr>
        <w:t>不得以任何借口拒绝。</w:t>
      </w:r>
    </w:p>
    <w:p w14:paraId="1884B798">
      <w:pPr>
        <w:keepNext w:val="0"/>
        <w:keepLines w:val="0"/>
        <w:pageBreakBefore w:val="0"/>
        <w:widowControl w:val="0"/>
        <w:kinsoku/>
        <w:overflowPunct/>
        <w:topLinePunct w:val="0"/>
        <w:autoSpaceDE/>
        <w:autoSpaceDN/>
        <w:bidi w:val="0"/>
        <w:adjustRightInd/>
        <w:snapToGrid/>
        <w:spacing w:line="440" w:lineRule="exact"/>
        <w:ind w:firstLine="428"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3.</w:t>
      </w:r>
      <w:r>
        <w:rPr>
          <w:rFonts w:hint="eastAsia" w:ascii="宋体" w:hAnsi="宋体" w:eastAsia="宋体" w:cs="宋体"/>
          <w:color w:val="auto"/>
          <w:spacing w:val="2"/>
          <w:szCs w:val="21"/>
          <w:highlight w:val="none"/>
        </w:rPr>
        <w:t>至少提前四小时向乙方下达采购计划，保证乙方有合理的时间开展相应货物（食材）的供应配送工作</w:t>
      </w:r>
      <w:r>
        <w:rPr>
          <w:rFonts w:hint="eastAsia" w:ascii="宋体" w:hAnsi="宋体" w:eastAsia="宋体" w:cs="宋体"/>
          <w:color w:val="auto"/>
          <w:spacing w:val="-2"/>
          <w:szCs w:val="21"/>
          <w:highlight w:val="none"/>
        </w:rPr>
        <w:t>。</w:t>
      </w:r>
    </w:p>
    <w:p w14:paraId="017FABA4">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4.合同期间，合同标的货物（食材）原则上由乙方供应，但如果乙方明确表示或未能按照甲方要求按质按量按时供货的，甲方有权要求乙方限期整改或拒收，且甲方有权从其他供货商处进行采购，由此</w:t>
      </w:r>
      <w:r>
        <w:rPr>
          <w:rFonts w:hint="eastAsia" w:ascii="宋体" w:hAnsi="宋体" w:eastAsia="宋体" w:cs="宋体"/>
          <w:color w:val="auto"/>
          <w:spacing w:val="-2"/>
          <w:szCs w:val="21"/>
          <w:highlight w:val="none"/>
        </w:rPr>
        <w:t>造成的损失和责任由乙方承担。</w:t>
      </w:r>
    </w:p>
    <w:p w14:paraId="1E7BC8D2">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pacing w:val="-2"/>
          <w:szCs w:val="21"/>
          <w:highlight w:val="none"/>
        </w:rPr>
      </w:pPr>
      <w:r>
        <w:rPr>
          <w:rFonts w:hint="eastAsia" w:ascii="宋体" w:hAnsi="宋体" w:eastAsia="宋体" w:cs="宋体"/>
          <w:color w:val="auto"/>
          <w:spacing w:val="-1"/>
          <w:szCs w:val="21"/>
          <w:highlight w:val="none"/>
        </w:rPr>
        <w:t>5.合同期间，甲方有权根据乙方的违约情形，按照合同约定追究乙方违约责任，相应扣减乙</w:t>
      </w:r>
      <w:r>
        <w:rPr>
          <w:rFonts w:hint="eastAsia" w:ascii="宋体" w:hAnsi="宋体" w:eastAsia="宋体" w:cs="宋体"/>
          <w:color w:val="auto"/>
          <w:spacing w:val="-2"/>
          <w:szCs w:val="21"/>
          <w:highlight w:val="none"/>
        </w:rPr>
        <w:t>方的应付货款，并有权单方解除合同。</w:t>
      </w:r>
    </w:p>
    <w:p w14:paraId="0B5F80C5">
      <w:pPr>
        <w:keepNext w:val="0"/>
        <w:keepLines w:val="0"/>
        <w:pageBreakBefore w:val="0"/>
        <w:widowControl w:val="0"/>
        <w:kinsoku/>
        <w:overflowPunct/>
        <w:topLinePunct w:val="0"/>
        <w:autoSpaceDE/>
        <w:autoSpaceDN/>
        <w:bidi w:val="0"/>
        <w:adjustRightInd/>
        <w:snapToGrid/>
        <w:spacing w:line="440" w:lineRule="exact"/>
        <w:ind w:firstLine="412" w:firstLineChars="200"/>
        <w:textAlignment w:val="auto"/>
        <w:rPr>
          <w:rFonts w:hint="eastAsia" w:ascii="宋体" w:hAnsi="宋体" w:eastAsia="宋体" w:cs="宋体"/>
          <w:color w:val="auto"/>
          <w:spacing w:val="-1"/>
          <w:szCs w:val="21"/>
          <w:highlight w:val="none"/>
        </w:rPr>
      </w:pPr>
      <w:r>
        <w:rPr>
          <w:rFonts w:hint="eastAsia" w:ascii="宋体" w:hAnsi="宋体" w:eastAsia="宋体" w:cs="宋体"/>
          <w:color w:val="auto"/>
          <w:spacing w:val="-2"/>
          <w:szCs w:val="21"/>
          <w:highlight w:val="none"/>
          <w:lang w:val="en-US" w:eastAsia="zh-CN"/>
        </w:rPr>
        <w:t>6.</w:t>
      </w:r>
      <w:r>
        <w:rPr>
          <w:rFonts w:hint="eastAsia" w:ascii="宋体" w:hAnsi="宋体" w:eastAsia="宋体" w:cs="宋体"/>
          <w:color w:val="auto"/>
          <w:spacing w:val="-1"/>
          <w:szCs w:val="21"/>
          <w:highlight w:val="none"/>
        </w:rPr>
        <w:t>签订合同后</w:t>
      </w:r>
      <w:r>
        <w:rPr>
          <w:rFonts w:hint="eastAsia" w:ascii="宋体" w:hAnsi="宋体" w:eastAsia="宋体" w:cs="宋体"/>
          <w:color w:val="auto"/>
          <w:spacing w:val="-1"/>
          <w:szCs w:val="21"/>
          <w:highlight w:val="none"/>
          <w:lang w:eastAsia="zh-CN"/>
        </w:rPr>
        <w:t>甲方</w:t>
      </w:r>
      <w:r>
        <w:rPr>
          <w:rFonts w:hint="eastAsia" w:ascii="宋体" w:hAnsi="宋体" w:eastAsia="宋体" w:cs="宋体"/>
          <w:color w:val="auto"/>
          <w:spacing w:val="-1"/>
          <w:szCs w:val="21"/>
          <w:highlight w:val="none"/>
        </w:rPr>
        <w:t>将对</w:t>
      </w:r>
      <w:r>
        <w:rPr>
          <w:rFonts w:hint="eastAsia" w:ascii="宋体" w:hAnsi="宋体" w:eastAsia="宋体" w:cs="宋体"/>
          <w:color w:val="auto"/>
          <w:spacing w:val="-1"/>
          <w:szCs w:val="21"/>
          <w:highlight w:val="none"/>
          <w:lang w:eastAsia="zh-CN"/>
        </w:rPr>
        <w:t>乙方</w:t>
      </w:r>
      <w:r>
        <w:rPr>
          <w:rFonts w:hint="eastAsia" w:ascii="宋体" w:hAnsi="宋体" w:eastAsia="宋体" w:cs="宋体"/>
          <w:color w:val="auto"/>
          <w:spacing w:val="-1"/>
          <w:szCs w:val="21"/>
          <w:highlight w:val="none"/>
        </w:rPr>
        <w:t>自有场所条件进行现场核查及考核，如发现不满足项目要求或虚假应标的，将做供应商违约处理，</w:t>
      </w:r>
      <w:r>
        <w:rPr>
          <w:rFonts w:hint="eastAsia" w:ascii="宋体" w:hAnsi="宋体" w:eastAsia="宋体" w:cs="宋体"/>
          <w:color w:val="auto"/>
          <w:spacing w:val="-1"/>
          <w:szCs w:val="21"/>
          <w:highlight w:val="none"/>
          <w:lang w:eastAsia="zh-CN"/>
        </w:rPr>
        <w:t>甲方</w:t>
      </w:r>
      <w:r>
        <w:rPr>
          <w:rFonts w:hint="eastAsia" w:ascii="宋体" w:hAnsi="宋体" w:eastAsia="宋体" w:cs="宋体"/>
          <w:color w:val="auto"/>
          <w:spacing w:val="-1"/>
          <w:szCs w:val="21"/>
          <w:highlight w:val="none"/>
        </w:rPr>
        <w:t>将取消合同并上报财政部门进行处罚。</w:t>
      </w:r>
    </w:p>
    <w:p w14:paraId="353524DD">
      <w:pPr>
        <w:keepNext w:val="0"/>
        <w:keepLines w:val="0"/>
        <w:pageBreakBefore w:val="0"/>
        <w:widowControl w:val="0"/>
        <w:kinsoku/>
        <w:overflowPunct/>
        <w:topLinePunct w:val="0"/>
        <w:autoSpaceDE/>
        <w:autoSpaceDN/>
        <w:bidi w:val="0"/>
        <w:adjustRightInd/>
        <w:snapToGrid/>
        <w:spacing w:line="440" w:lineRule="exact"/>
        <w:ind w:firstLine="408"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（二）</w:t>
      </w:r>
      <w:r>
        <w:rPr>
          <w:rFonts w:hint="eastAsia" w:ascii="宋体" w:hAnsi="宋体" w:eastAsia="宋体" w:cs="宋体"/>
          <w:b/>
          <w:bCs/>
          <w:color w:val="auto"/>
          <w:spacing w:val="-3"/>
          <w:szCs w:val="21"/>
          <w:highlight w:val="none"/>
        </w:rPr>
        <w:t>乙方的权利和义务</w:t>
      </w:r>
    </w:p>
    <w:p w14:paraId="00ADB0E8">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1.乙方必须执有营业执照、</w:t>
      </w:r>
      <w:r>
        <w:rPr>
          <w:rFonts w:hint="eastAsia" w:ascii="宋体" w:hAnsi="宋体" w:eastAsia="宋体" w:cs="宋体"/>
          <w:color w:val="auto"/>
          <w:szCs w:val="21"/>
          <w:highlight w:val="none"/>
        </w:rPr>
        <w:t>食品经营许可证或</w:t>
      </w:r>
      <w:r>
        <w:rPr>
          <w:rFonts w:hint="eastAsia" w:ascii="宋体" w:hAnsi="宋体" w:eastAsia="宋体" w:cs="宋体"/>
          <w:color w:val="auto"/>
          <w:szCs w:val="21"/>
          <w:highlight w:val="none"/>
        </w:rPr>
        <w:t>生产许可证</w:t>
      </w:r>
      <w:r>
        <w:rPr>
          <w:rFonts w:hint="eastAsia" w:ascii="宋体" w:hAnsi="宋体" w:eastAsia="宋体" w:cs="宋体"/>
          <w:color w:val="auto"/>
          <w:spacing w:val="-1"/>
          <w:szCs w:val="21"/>
          <w:highlight w:val="none"/>
        </w:rPr>
        <w:t>等国家规定从业所需的有效证件，并提供原件和复印件交甲方查验及备案。营业执照必须提供网上</w:t>
      </w:r>
      <w:r>
        <w:rPr>
          <w:rFonts w:hint="eastAsia" w:ascii="宋体" w:hAnsi="宋体" w:eastAsia="宋体" w:cs="宋体"/>
          <w:color w:val="auto"/>
          <w:spacing w:val="-4"/>
          <w:szCs w:val="21"/>
          <w:highlight w:val="none"/>
        </w:rPr>
        <w:t>报验材料。</w:t>
      </w:r>
    </w:p>
    <w:p w14:paraId="6BC7CB16">
      <w:pPr>
        <w:keepNext w:val="0"/>
        <w:keepLines w:val="0"/>
        <w:pageBreakBefore w:val="0"/>
        <w:widowControl w:val="0"/>
        <w:kinsoku/>
        <w:overflowPunct/>
        <w:topLinePunct w:val="0"/>
        <w:autoSpaceDE/>
        <w:autoSpaceDN/>
        <w:bidi w:val="0"/>
        <w:adjustRightInd/>
        <w:snapToGrid/>
        <w:spacing w:line="440" w:lineRule="exact"/>
        <w:ind w:firstLine="424"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2.乙方供应的货物（食材）必须符合国家和地方政府相关法规的要求</w:t>
      </w:r>
      <w:r>
        <w:rPr>
          <w:rFonts w:hint="eastAsia" w:ascii="宋体" w:hAnsi="宋体" w:eastAsia="宋体" w:cs="宋体"/>
          <w:color w:val="auto"/>
          <w:szCs w:val="21"/>
          <w:highlight w:val="none"/>
        </w:rPr>
        <w:t>和标准，确保所供货物（食</w:t>
      </w:r>
      <w:r>
        <w:rPr>
          <w:rFonts w:hint="eastAsia" w:ascii="宋体" w:hAnsi="宋体" w:eastAsia="宋体" w:cs="宋体"/>
          <w:color w:val="auto"/>
          <w:spacing w:val="-1"/>
          <w:szCs w:val="21"/>
          <w:highlight w:val="none"/>
        </w:rPr>
        <w:t>材）安全、卫生，不得将有毒、有害、等不合格货物（食材）供给甲方。包装食品物资必须通过 SC 认</w:t>
      </w:r>
      <w:r>
        <w:rPr>
          <w:rFonts w:hint="eastAsia" w:ascii="宋体" w:hAnsi="宋体" w:eastAsia="宋体" w:cs="宋体"/>
          <w:color w:val="auto"/>
          <w:spacing w:val="-3"/>
          <w:szCs w:val="21"/>
          <w:highlight w:val="none"/>
        </w:rPr>
        <w:t>证，或印有相应的SC认证标志。</w:t>
      </w:r>
    </w:p>
    <w:p w14:paraId="7B855EA4">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lang w:val="en-US" w:eastAsia="zh-CN"/>
        </w:rPr>
        <w:t>3.</w:t>
      </w:r>
      <w:r>
        <w:rPr>
          <w:rFonts w:hint="eastAsia" w:ascii="宋体" w:hAnsi="宋体" w:eastAsia="宋体" w:cs="宋体"/>
          <w:color w:val="auto"/>
          <w:spacing w:val="-1"/>
          <w:szCs w:val="21"/>
          <w:highlight w:val="none"/>
        </w:rPr>
        <w:t>乙方必须保证供货的质量，符合竞争性磋商文件中的货物（食材）验收标准的要求。乙方每天的禽畜肉类供货必须提供齐全的“两证两章一报告”（《肉品品质检验合格证明》、《动物产品检疫合格证明》、《肉品品质检验合格验讫印章》、《动物产品检疫合格印章》、《非洲猪瘟病毒检测报告》），水产类供货必须提供《出县境动物产品检疫合格证》及《贮存地的出入库检疫证明》，检疫检测证明与货品一同送达学校，并且在食材包装上贴上出厂标签，标签上注明配送公司、出库时间、重量等内容。蔬菜类每天供货必须进行农药残留检测并提供农药残留检测合格报告单，配送食品必须从配送企业的分拣仓库出库，在食材包装上粘贴出库标签，注明配送公司名称、食材品名、出库时间、重量、检测信息、检测员等内容；如发现质量问题，乙方必须按甲方要求在限时内包退包换。</w:t>
      </w:r>
    </w:p>
    <w:p w14:paraId="1C44BD62">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lang w:val="en-US" w:eastAsia="zh-CN"/>
        </w:rPr>
        <w:t>4.</w:t>
      </w:r>
      <w:r>
        <w:rPr>
          <w:rFonts w:hint="eastAsia" w:ascii="宋体" w:hAnsi="宋体" w:eastAsia="宋体" w:cs="宋体"/>
          <w:color w:val="auto"/>
          <w:spacing w:val="-1"/>
          <w:szCs w:val="21"/>
          <w:highlight w:val="none"/>
        </w:rPr>
        <w:t>乙方必须遵守甲方各项规章制度，必须按国家相关法律法规和甲方的要求、按质、按量、按时向</w:t>
      </w:r>
      <w:r>
        <w:rPr>
          <w:rFonts w:hint="eastAsia" w:ascii="宋体" w:hAnsi="宋体" w:eastAsia="宋体" w:cs="宋体"/>
          <w:color w:val="auto"/>
          <w:spacing w:val="2"/>
          <w:szCs w:val="21"/>
          <w:highlight w:val="none"/>
        </w:rPr>
        <w:t>甲方供应合同所标的货物（食材）。由于乙</w:t>
      </w:r>
      <w:r>
        <w:rPr>
          <w:rFonts w:hint="eastAsia" w:ascii="宋体" w:hAnsi="宋体" w:eastAsia="宋体" w:cs="宋体"/>
          <w:color w:val="auto"/>
          <w:spacing w:val="1"/>
          <w:szCs w:val="21"/>
          <w:highlight w:val="none"/>
        </w:rPr>
        <w:t>方未按甲方要求或国家有关标准供货造成甲方或第三方</w:t>
      </w:r>
      <w:r>
        <w:rPr>
          <w:rFonts w:hint="eastAsia" w:ascii="宋体" w:hAnsi="宋体" w:eastAsia="宋体" w:cs="宋体"/>
          <w:color w:val="auto"/>
          <w:szCs w:val="21"/>
          <w:highlight w:val="none"/>
        </w:rPr>
        <w:t>损害的，乙方应承担由此产生的全部法律责任及经济</w:t>
      </w:r>
      <w:r>
        <w:rPr>
          <w:rFonts w:hint="eastAsia" w:ascii="宋体" w:hAnsi="宋体" w:eastAsia="宋体" w:cs="宋体"/>
          <w:color w:val="auto"/>
          <w:spacing w:val="-1"/>
          <w:szCs w:val="21"/>
          <w:highlight w:val="none"/>
        </w:rPr>
        <w:t>损失。</w:t>
      </w:r>
    </w:p>
    <w:p w14:paraId="4FE0B805">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lang w:val="en-US" w:eastAsia="zh-CN"/>
        </w:rPr>
        <w:t>5.</w:t>
      </w:r>
      <w:r>
        <w:rPr>
          <w:rFonts w:hint="eastAsia" w:ascii="宋体" w:hAnsi="宋体" w:eastAsia="宋体" w:cs="宋体"/>
          <w:color w:val="auto"/>
          <w:spacing w:val="-1"/>
          <w:szCs w:val="21"/>
          <w:highlight w:val="none"/>
        </w:rPr>
        <w:t>乙方在给甲方运输配送货物（食材）时，必须有必要的密封保护措施，避免货物（食材）直接暴</w:t>
      </w:r>
      <w:r>
        <w:rPr>
          <w:rFonts w:hint="eastAsia" w:ascii="宋体" w:hAnsi="宋体" w:eastAsia="宋体" w:cs="宋体"/>
          <w:color w:val="auto"/>
          <w:szCs w:val="21"/>
          <w:highlight w:val="none"/>
        </w:rPr>
        <w:t>露在外，同时要做好配送车辆的清洁工作，避免货物（食材</w:t>
      </w:r>
      <w:r>
        <w:rPr>
          <w:rFonts w:hint="eastAsia" w:ascii="宋体" w:hAnsi="宋体" w:eastAsia="宋体" w:cs="宋体"/>
          <w:color w:val="auto"/>
          <w:spacing w:val="-1"/>
          <w:szCs w:val="21"/>
          <w:highlight w:val="none"/>
        </w:rPr>
        <w:t>）遭受二次污染。</w:t>
      </w:r>
    </w:p>
    <w:p w14:paraId="4BA25CA4">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lang w:val="en-US" w:eastAsia="zh-CN"/>
        </w:rPr>
        <w:t>6</w:t>
      </w:r>
      <w:r>
        <w:rPr>
          <w:rFonts w:hint="eastAsia" w:ascii="宋体" w:hAnsi="宋体" w:eastAsia="宋体" w:cs="宋体"/>
          <w:color w:val="auto"/>
          <w:spacing w:val="-1"/>
          <w:szCs w:val="21"/>
          <w:highlight w:val="none"/>
        </w:rPr>
        <w:t>.乙方不得擅自将供货资格全部或部分转包给第三人，否则，甲方有权选择要求乙方及时整改，并按500元/次的标准支付违约金；或甲方有权选择解</w:t>
      </w:r>
      <w:r>
        <w:rPr>
          <w:rFonts w:hint="eastAsia" w:ascii="宋体" w:hAnsi="宋体" w:eastAsia="宋体" w:cs="宋体"/>
          <w:color w:val="auto"/>
          <w:spacing w:val="-2"/>
          <w:szCs w:val="21"/>
          <w:highlight w:val="none"/>
        </w:rPr>
        <w:t>除本合同，取消乙方及第三方的供货资格，</w:t>
      </w:r>
      <w:r>
        <w:rPr>
          <w:rFonts w:hint="eastAsia" w:ascii="宋体" w:hAnsi="宋体" w:eastAsia="宋体" w:cs="宋体"/>
          <w:color w:val="auto"/>
          <w:spacing w:val="-2"/>
          <w:szCs w:val="21"/>
          <w:highlight w:val="none"/>
        </w:rPr>
        <w:t>并要求乙方按约定的数额标准支付解约违约金</w:t>
      </w:r>
      <w:r>
        <w:rPr>
          <w:rFonts w:hint="eastAsia" w:ascii="宋体" w:hAnsi="宋体" w:eastAsia="宋体" w:cs="宋体"/>
          <w:color w:val="auto"/>
          <w:spacing w:val="-1"/>
          <w:szCs w:val="21"/>
          <w:highlight w:val="none"/>
        </w:rPr>
        <w:t>。如在转</w:t>
      </w:r>
      <w:r>
        <w:rPr>
          <w:rFonts w:hint="eastAsia" w:ascii="宋体" w:hAnsi="宋体" w:eastAsia="宋体" w:cs="宋体"/>
          <w:color w:val="auto"/>
          <w:spacing w:val="-2"/>
          <w:szCs w:val="21"/>
          <w:highlight w:val="none"/>
        </w:rPr>
        <w:t>包过程中造成饮食卫生安全事故等甲方或第</w:t>
      </w:r>
      <w:r>
        <w:rPr>
          <w:rFonts w:hint="eastAsia" w:ascii="宋体" w:hAnsi="宋体" w:eastAsia="宋体" w:cs="宋体"/>
          <w:color w:val="auto"/>
          <w:szCs w:val="21"/>
          <w:highlight w:val="none"/>
        </w:rPr>
        <w:t>三方损害的，乙方应承担由此产生的全部法律责任及经济</w:t>
      </w:r>
      <w:r>
        <w:rPr>
          <w:rFonts w:hint="eastAsia" w:ascii="宋体" w:hAnsi="宋体" w:eastAsia="宋体" w:cs="宋体"/>
          <w:color w:val="auto"/>
          <w:spacing w:val="-1"/>
          <w:szCs w:val="21"/>
          <w:highlight w:val="none"/>
        </w:rPr>
        <w:t>损失。</w:t>
      </w:r>
    </w:p>
    <w:p w14:paraId="58614FC3">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lang w:val="en-US" w:eastAsia="zh-CN"/>
        </w:rPr>
        <w:t>7</w:t>
      </w:r>
      <w:r>
        <w:rPr>
          <w:rFonts w:hint="eastAsia" w:ascii="宋体" w:hAnsi="宋体" w:eastAsia="宋体" w:cs="宋体"/>
          <w:color w:val="auto"/>
          <w:spacing w:val="-1"/>
          <w:szCs w:val="21"/>
          <w:highlight w:val="none"/>
        </w:rPr>
        <w:t>.乙方因自身原因无法给甲方继续供货的，必须提前一个月以书面形式通知甲方，经甲方同意</w:t>
      </w:r>
      <w:r>
        <w:rPr>
          <w:rFonts w:hint="eastAsia" w:ascii="宋体" w:hAnsi="宋体" w:eastAsia="宋体" w:cs="宋体"/>
          <w:color w:val="auto"/>
          <w:spacing w:val="-2"/>
          <w:szCs w:val="21"/>
          <w:highlight w:val="none"/>
        </w:rPr>
        <w:t>，另行确定供应商接替其供应工作后方能提前终止本合同。否则，视为乙方少送</w:t>
      </w:r>
      <w:r>
        <w:rPr>
          <w:rFonts w:hint="eastAsia" w:ascii="宋体" w:hAnsi="宋体" w:eastAsia="宋体" w:cs="宋体"/>
          <w:color w:val="auto"/>
          <w:spacing w:val="-3"/>
          <w:szCs w:val="21"/>
          <w:highlight w:val="none"/>
        </w:rPr>
        <w:t>、漏送货物（食材</w:t>
      </w:r>
      <w:r>
        <w:rPr>
          <w:rFonts w:hint="eastAsia" w:ascii="宋体" w:hAnsi="宋体" w:eastAsia="宋体" w:cs="宋体"/>
          <w:color w:val="auto"/>
          <w:spacing w:val="1"/>
          <w:szCs w:val="21"/>
          <w:highlight w:val="none"/>
        </w:rPr>
        <w:t>），</w:t>
      </w:r>
      <w:r>
        <w:rPr>
          <w:rFonts w:hint="eastAsia" w:ascii="宋体" w:hAnsi="宋体" w:eastAsia="宋体" w:cs="宋体"/>
          <w:color w:val="auto"/>
          <w:spacing w:val="-3"/>
          <w:szCs w:val="21"/>
          <w:highlight w:val="none"/>
        </w:rPr>
        <w:t>甲方</w:t>
      </w:r>
      <w:r>
        <w:rPr>
          <w:rFonts w:hint="eastAsia" w:ascii="宋体" w:hAnsi="宋体" w:eastAsia="宋体" w:cs="宋体"/>
          <w:color w:val="auto"/>
          <w:spacing w:val="-1"/>
          <w:szCs w:val="21"/>
          <w:highlight w:val="none"/>
        </w:rPr>
        <w:t>有权按第一条第（三）款约定追究乙方相应的违约责任。</w:t>
      </w:r>
    </w:p>
    <w:p w14:paraId="5E24D461">
      <w:pPr>
        <w:keepNext w:val="0"/>
        <w:keepLines w:val="0"/>
        <w:pageBreakBefore w:val="0"/>
        <w:widowControl w:val="0"/>
        <w:kinsoku/>
        <w:overflowPunct/>
        <w:topLinePunct w:val="0"/>
        <w:autoSpaceDE/>
        <w:autoSpaceDN/>
        <w:bidi w:val="0"/>
        <w:adjustRightInd/>
        <w:snapToGrid/>
        <w:spacing w:line="440" w:lineRule="exact"/>
        <w:ind w:firstLine="412"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lang w:val="en-US" w:eastAsia="zh-CN"/>
        </w:rPr>
        <w:t>8</w:t>
      </w:r>
      <w:r>
        <w:rPr>
          <w:rFonts w:hint="eastAsia" w:ascii="宋体" w:hAnsi="宋体" w:eastAsia="宋体" w:cs="宋体"/>
          <w:color w:val="auto"/>
          <w:spacing w:val="-2"/>
          <w:szCs w:val="21"/>
          <w:highlight w:val="none"/>
        </w:rPr>
        <w:t>.乙方不能擅自提高供货价格或变相提高价格（如降低供货质量</w:t>
      </w:r>
      <w:r>
        <w:rPr>
          <w:rFonts w:hint="eastAsia" w:ascii="宋体" w:hAnsi="宋体" w:eastAsia="宋体" w:cs="宋体"/>
          <w:color w:val="auto"/>
          <w:spacing w:val="-3"/>
          <w:szCs w:val="21"/>
          <w:highlight w:val="none"/>
        </w:rPr>
        <w:t>或标准等行为</w:t>
      </w:r>
      <w:r>
        <w:rPr>
          <w:rFonts w:hint="eastAsia" w:ascii="宋体" w:hAnsi="宋体" w:eastAsia="宋体" w:cs="宋体"/>
          <w:color w:val="auto"/>
          <w:spacing w:val="-39"/>
          <w:szCs w:val="21"/>
          <w:highlight w:val="none"/>
        </w:rPr>
        <w:t>），</w:t>
      </w:r>
      <w:r>
        <w:rPr>
          <w:rFonts w:hint="eastAsia" w:ascii="宋体" w:hAnsi="宋体" w:eastAsia="宋体" w:cs="宋体"/>
          <w:color w:val="auto"/>
          <w:spacing w:val="-3"/>
          <w:szCs w:val="21"/>
          <w:highlight w:val="none"/>
        </w:rPr>
        <w:t>严禁以更换包装、</w:t>
      </w:r>
      <w:r>
        <w:rPr>
          <w:rFonts w:hint="eastAsia" w:ascii="宋体" w:hAnsi="宋体" w:eastAsia="宋体" w:cs="宋体"/>
          <w:color w:val="auto"/>
          <w:spacing w:val="-1"/>
          <w:szCs w:val="21"/>
          <w:highlight w:val="none"/>
        </w:rPr>
        <w:t>规格、品牌等形式提高供货价格。</w:t>
      </w:r>
    </w:p>
    <w:p w14:paraId="16587B39">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lang w:val="en-US" w:eastAsia="zh-CN"/>
        </w:rPr>
        <w:t>9.</w:t>
      </w:r>
      <w:r>
        <w:rPr>
          <w:rFonts w:hint="eastAsia" w:ascii="宋体" w:hAnsi="宋体" w:eastAsia="宋体" w:cs="宋体"/>
          <w:color w:val="auto"/>
          <w:spacing w:val="-1"/>
          <w:szCs w:val="21"/>
          <w:highlight w:val="none"/>
        </w:rPr>
        <w:t>乙方在运输配送货物（食材）过程中或因乙方所供货物（食材）质量造成的所有经济赔偿责任、法律责任、劳动纠纷和经济损失等全部由乙方承担。</w:t>
      </w:r>
    </w:p>
    <w:p w14:paraId="5735BD04">
      <w:pPr>
        <w:keepNext w:val="0"/>
        <w:keepLines w:val="0"/>
        <w:pageBreakBefore w:val="0"/>
        <w:widowControl w:val="0"/>
        <w:kinsoku/>
        <w:overflowPunct/>
        <w:topLinePunct w:val="0"/>
        <w:autoSpaceDE/>
        <w:autoSpaceDN/>
        <w:bidi w:val="0"/>
        <w:adjustRightInd/>
        <w:snapToGrid/>
        <w:spacing w:line="440" w:lineRule="exact"/>
        <w:ind w:firstLine="410" w:firstLineChars="200"/>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三、违约责任</w:t>
      </w:r>
    </w:p>
    <w:p w14:paraId="50DA2EA3">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所供食材因质量问题发生食物中毒等事故，由</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承担经济赔偿责任以及其他相关法律责任，</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有权单方面解除合同。</w:t>
      </w:r>
    </w:p>
    <w:p w14:paraId="25AC2855">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2.如发现</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因自身原因不能按要求使用冷藏车配送的，每发现一次从结算款中扣除500元（车辆在运输中出现故障需要更换车辆或应急采购的除外），食材品质或供货时间因此受到影响的，</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保留追究</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相关责任的权利。每月超过2次未使用冷藏车供货的，</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有权单方面终止合同，</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须承担由此给</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带来的损失。</w:t>
      </w:r>
    </w:p>
    <w:p w14:paraId="06DF06F0">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拒绝履行合同义务的，</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有权单方面终止合同。</w:t>
      </w:r>
    </w:p>
    <w:p w14:paraId="42968E31">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连续2次或半年内累计超过3次所供食材达不到竞争性磋商文件中的品质要求或响应文件中对品质要求的承诺时，</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有权单方面终止合同。</w:t>
      </w:r>
    </w:p>
    <w:p w14:paraId="2011CAB7">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所供应的食材必须与物品清单的品名、规格、数量、单价一致。随货出具应提供与实物一致的相关证明（如畜禽肉及其副产品提供检验检疫合格证明等），出现食材与物品清单、相关证明不一致的，学校伙房有权拒收，因此产生的费用和损失由</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承担，造成学校伙房无法正常运转的，</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须向</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支付违约金每次人民币500元，</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同时提出整改意见。</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提出整改意见后</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仍不改正的，</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有权终止</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供应资格。</w:t>
      </w:r>
    </w:p>
    <w:p w14:paraId="012AA009">
      <w:pPr>
        <w:keepNext w:val="0"/>
        <w:keepLines w:val="0"/>
        <w:pageBreakBefore w:val="0"/>
        <w:widowControl w:val="0"/>
        <w:kinsoku/>
        <w:overflowPunct/>
        <w:topLinePunct w:val="0"/>
        <w:autoSpaceDE/>
        <w:autoSpaceDN/>
        <w:bidi w:val="0"/>
        <w:adjustRightInd/>
        <w:snapToGrid/>
        <w:spacing w:line="440" w:lineRule="exact"/>
        <w:ind w:firstLine="406"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4"/>
          <w:szCs w:val="21"/>
          <w:highlight w:val="none"/>
        </w:rPr>
        <w:t>四、合同变更、解除或终止</w:t>
      </w:r>
    </w:p>
    <w:p w14:paraId="26AC3B6B">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（一）合同期满自然终止。</w:t>
      </w:r>
    </w:p>
    <w:p w14:paraId="6C5AC3A9">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（二）由于国家政策等不可抗力造成双方无法继续履行合同的，合同自然终止。</w:t>
      </w:r>
    </w:p>
    <w:p w14:paraId="15CAD003">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（三）除本合同另有约定外，合同履行期间，乙方有下列情形之一的，甲方有权单方解除合同，并</w:t>
      </w:r>
      <w:r>
        <w:rPr>
          <w:rFonts w:hint="eastAsia" w:ascii="宋体" w:hAnsi="宋体" w:eastAsia="宋体" w:cs="宋体"/>
          <w:color w:val="auto"/>
          <w:spacing w:val="-2"/>
          <w:szCs w:val="21"/>
          <w:highlight w:val="none"/>
        </w:rPr>
        <w:t>要求乙方按约定的数额标准支付解约违约金：</w:t>
      </w:r>
    </w:p>
    <w:p w14:paraId="7144F312">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1.乙方供货证照、资质、质量、服务等未符合国家规定或甲方要求的，</w:t>
      </w:r>
      <w:r>
        <w:rPr>
          <w:rFonts w:hint="eastAsia" w:ascii="宋体" w:hAnsi="宋体" w:eastAsia="宋体" w:cs="宋体"/>
          <w:color w:val="auto"/>
          <w:spacing w:val="-2"/>
          <w:szCs w:val="21"/>
          <w:highlight w:val="none"/>
        </w:rPr>
        <w:t>在接到甲方书面通知后拒不</w:t>
      </w:r>
      <w:r>
        <w:rPr>
          <w:rFonts w:hint="eastAsia" w:ascii="宋体" w:hAnsi="宋体" w:eastAsia="宋体" w:cs="宋体"/>
          <w:color w:val="auto"/>
          <w:spacing w:val="-1"/>
          <w:szCs w:val="21"/>
          <w:highlight w:val="none"/>
        </w:rPr>
        <w:t>在规定时间内整改的。</w:t>
      </w:r>
    </w:p>
    <w:p w14:paraId="6DCC2BB5">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2.由于乙方供应的货物（食材）造成食物中毒或群体性事件等责任事故的。</w:t>
      </w:r>
    </w:p>
    <w:p w14:paraId="23C9F7BD">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3.无论何种原因，乙方未经甲方书面同意，擅自提高供货价格或通过降低质量、标准、更换包装等方式变相提高供货价格的。</w:t>
      </w:r>
    </w:p>
    <w:p w14:paraId="7C213242">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4.乙方违反甲方规章制度的，经甲方提出</w:t>
      </w:r>
      <w:r>
        <w:rPr>
          <w:rFonts w:hint="eastAsia" w:ascii="宋体" w:hAnsi="宋体" w:eastAsia="宋体" w:cs="宋体"/>
          <w:color w:val="auto"/>
          <w:spacing w:val="-1"/>
          <w:szCs w:val="21"/>
          <w:highlight w:val="none"/>
        </w:rPr>
        <w:t>后，未按规定整改或再次违反规定的。</w:t>
      </w:r>
    </w:p>
    <w:p w14:paraId="2EFFD90C">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5.乙方拒不配合或干扰学校对其供货质量、场地、设施、人员等进行检查的。</w:t>
      </w:r>
    </w:p>
    <w:p w14:paraId="52934908">
      <w:pPr>
        <w:keepNext w:val="0"/>
        <w:keepLines w:val="0"/>
        <w:pageBreakBefore w:val="0"/>
        <w:widowControl w:val="0"/>
        <w:kinsoku/>
        <w:overflowPunct/>
        <w:topLinePunct w:val="0"/>
        <w:autoSpaceDE/>
        <w:autoSpaceDN/>
        <w:bidi w:val="0"/>
        <w:adjustRightInd/>
        <w:snapToGrid/>
        <w:spacing w:line="440" w:lineRule="exact"/>
        <w:ind w:firstLine="412"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6.其它违犯法律法规的情形。</w:t>
      </w:r>
    </w:p>
    <w:p w14:paraId="368AC6EA">
      <w:pPr>
        <w:keepNext w:val="0"/>
        <w:keepLines w:val="0"/>
        <w:pageBreakBefore w:val="0"/>
        <w:widowControl w:val="0"/>
        <w:kinsoku/>
        <w:overflowPunct/>
        <w:topLinePunct w:val="0"/>
        <w:autoSpaceDE/>
        <w:autoSpaceDN/>
        <w:bidi w:val="0"/>
        <w:adjustRightInd/>
        <w:snapToGrid/>
        <w:spacing w:line="440" w:lineRule="exact"/>
        <w:ind w:firstLine="410"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五、不可抗力事件处理</w:t>
      </w:r>
    </w:p>
    <w:p w14:paraId="0DE5A739">
      <w:pPr>
        <w:keepNext w:val="0"/>
        <w:keepLines w:val="0"/>
        <w:pageBreakBefore w:val="0"/>
        <w:widowControl w:val="0"/>
        <w:kinsoku/>
        <w:overflowPunct/>
        <w:topLinePunct w:val="0"/>
        <w:autoSpaceDE/>
        <w:autoSpaceDN/>
        <w:bidi w:val="0"/>
        <w:adjustRightInd/>
        <w:snapToGrid/>
        <w:spacing w:line="440" w:lineRule="exact"/>
        <w:ind w:firstLine="424"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1．在合同有效期内，乙方因不可抗力事件导致不能履行合同，则合同履行期可延长，其延长期与</w:t>
      </w:r>
      <w:r>
        <w:rPr>
          <w:rFonts w:hint="eastAsia" w:ascii="宋体" w:hAnsi="宋体" w:eastAsia="宋体" w:cs="宋体"/>
          <w:color w:val="auto"/>
          <w:spacing w:val="-1"/>
          <w:szCs w:val="21"/>
          <w:highlight w:val="none"/>
        </w:rPr>
        <w:t>不可抗力影响期相同。</w:t>
      </w:r>
    </w:p>
    <w:p w14:paraId="02DB9C47">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pacing w:val="-1"/>
          <w:szCs w:val="21"/>
          <w:highlight w:val="none"/>
        </w:rPr>
      </w:pPr>
      <w:r>
        <w:rPr>
          <w:rFonts w:hint="eastAsia" w:ascii="宋体" w:hAnsi="宋体" w:eastAsia="宋体" w:cs="宋体"/>
          <w:color w:val="auto"/>
          <w:szCs w:val="21"/>
          <w:highlight w:val="none"/>
        </w:rPr>
        <w:t>2.不可抗力事件发生后，应立即通知对方，并寄送有关权威机构出</w:t>
      </w:r>
      <w:r>
        <w:rPr>
          <w:rFonts w:hint="eastAsia" w:ascii="宋体" w:hAnsi="宋体" w:eastAsia="宋体" w:cs="宋体"/>
          <w:color w:val="auto"/>
          <w:spacing w:val="-1"/>
          <w:szCs w:val="21"/>
          <w:highlight w:val="none"/>
        </w:rPr>
        <w:t>具的证明。</w:t>
      </w:r>
    </w:p>
    <w:p w14:paraId="4BA8DA8E">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w:t>
      </w:r>
      <w:r>
        <w:rPr>
          <w:rFonts w:hint="eastAsia" w:ascii="宋体" w:hAnsi="宋体" w:eastAsia="宋体" w:cs="宋体"/>
          <w:color w:val="auto"/>
          <w:spacing w:val="-1"/>
          <w:szCs w:val="21"/>
          <w:highlight w:val="none"/>
        </w:rPr>
        <w:t>，确定是否继续</w:t>
      </w:r>
      <w:r>
        <w:rPr>
          <w:rFonts w:hint="eastAsia" w:ascii="宋体" w:hAnsi="宋体" w:eastAsia="宋体" w:cs="宋体"/>
          <w:color w:val="auto"/>
          <w:spacing w:val="-5"/>
          <w:szCs w:val="21"/>
          <w:highlight w:val="none"/>
        </w:rPr>
        <w:t>履行合同。</w:t>
      </w:r>
    </w:p>
    <w:p w14:paraId="7C2B6083">
      <w:pPr>
        <w:keepNext w:val="0"/>
        <w:keepLines w:val="0"/>
        <w:pageBreakBefore w:val="0"/>
        <w:widowControl w:val="0"/>
        <w:kinsoku/>
        <w:overflowPunct/>
        <w:topLinePunct w:val="0"/>
        <w:autoSpaceDE/>
        <w:autoSpaceDN/>
        <w:bidi w:val="0"/>
        <w:adjustRightInd/>
        <w:snapToGrid/>
        <w:spacing w:line="440" w:lineRule="exact"/>
        <w:ind w:firstLine="414"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2"/>
          <w:szCs w:val="21"/>
          <w:highlight w:val="none"/>
        </w:rPr>
        <w:t>六、合同争议解决</w:t>
      </w:r>
    </w:p>
    <w:p w14:paraId="0089F416">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1.因服务问题发生争议的，应邀请国家认可的相关机构进行鉴定</w:t>
      </w:r>
      <w:r>
        <w:rPr>
          <w:rFonts w:hint="eastAsia" w:ascii="宋体" w:hAnsi="宋体" w:eastAsia="宋体" w:cs="宋体"/>
          <w:color w:val="auto"/>
          <w:spacing w:val="-2"/>
          <w:szCs w:val="21"/>
          <w:highlight w:val="none"/>
        </w:rPr>
        <w:t>。服务符合要求的，鉴定费由甲方</w:t>
      </w:r>
      <w:r>
        <w:rPr>
          <w:rFonts w:hint="eastAsia" w:ascii="宋体" w:hAnsi="宋体" w:eastAsia="宋体" w:cs="宋体"/>
          <w:color w:val="auto"/>
          <w:spacing w:val="-1"/>
          <w:szCs w:val="21"/>
          <w:highlight w:val="none"/>
        </w:rPr>
        <w:t>承担；服务不符合要求的，鉴定费由乙方承担。</w:t>
      </w:r>
    </w:p>
    <w:p w14:paraId="7DCD5EF9">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2.因履行本合同引起的或与本合同有关的争议，甲乙双方应首先通过友好协商解决，如果协商不能解决，可向</w:t>
      </w:r>
      <w:r>
        <w:rPr>
          <w:rFonts w:hint="eastAsia" w:ascii="宋体" w:hAnsi="宋体" w:eastAsia="宋体" w:cs="宋体"/>
          <w:color w:val="auto"/>
          <w:spacing w:val="-1"/>
          <w:szCs w:val="21"/>
          <w:highlight w:val="none"/>
        </w:rPr>
        <w:t>七星区</w:t>
      </w:r>
      <w:r>
        <w:rPr>
          <w:rFonts w:hint="eastAsia" w:ascii="宋体" w:hAnsi="宋体" w:eastAsia="宋体" w:cs="宋体"/>
          <w:color w:val="auto"/>
          <w:spacing w:val="-1"/>
          <w:szCs w:val="21"/>
          <w:highlight w:val="none"/>
        </w:rPr>
        <w:t>人民法院提起诉讼。</w:t>
      </w:r>
    </w:p>
    <w:p w14:paraId="01761BB0">
      <w:pPr>
        <w:keepNext w:val="0"/>
        <w:keepLines w:val="0"/>
        <w:pageBreakBefore w:val="0"/>
        <w:widowControl w:val="0"/>
        <w:kinsoku/>
        <w:overflowPunct/>
        <w:topLinePunct w:val="0"/>
        <w:autoSpaceDE/>
        <w:autoSpaceDN/>
        <w:bidi w:val="0"/>
        <w:adjustRightInd/>
        <w:snapToGrid/>
        <w:spacing w:line="440" w:lineRule="exact"/>
        <w:ind w:firstLine="412"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3.诉讼期间，本合同继续履行。</w:t>
      </w:r>
    </w:p>
    <w:p w14:paraId="24F6B67F">
      <w:pPr>
        <w:keepNext w:val="0"/>
        <w:keepLines w:val="0"/>
        <w:pageBreakBefore w:val="0"/>
        <w:widowControl w:val="0"/>
        <w:kinsoku/>
        <w:overflowPunct/>
        <w:topLinePunct w:val="0"/>
        <w:autoSpaceDE/>
        <w:autoSpaceDN/>
        <w:bidi w:val="0"/>
        <w:adjustRightInd/>
        <w:snapToGrid/>
        <w:spacing w:line="440" w:lineRule="exact"/>
        <w:ind w:firstLine="414"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2"/>
          <w:szCs w:val="21"/>
          <w:highlight w:val="none"/>
        </w:rPr>
        <w:t>七、合同生效及其它</w:t>
      </w:r>
    </w:p>
    <w:p w14:paraId="0144EC11">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1.合同经甲乙双方法定代表人、负责人、自然人或相应的授权代表签字并加盖单位公章后生效。</w:t>
      </w:r>
    </w:p>
    <w:p w14:paraId="13845F1B">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2.合同执行中涉及采购资金和采购内容修改或补充的，需经</w:t>
      </w:r>
      <w:r>
        <w:rPr>
          <w:rFonts w:hint="eastAsia" w:ascii="宋体" w:hAnsi="宋体" w:eastAsia="宋体" w:cs="宋体"/>
          <w:color w:val="auto"/>
          <w:spacing w:val="-1"/>
          <w:szCs w:val="21"/>
          <w:highlight w:val="none"/>
        </w:rPr>
        <w:t>桂林市七星区</w:t>
      </w:r>
      <w:r>
        <w:rPr>
          <w:rFonts w:hint="eastAsia" w:ascii="宋体" w:hAnsi="宋体" w:eastAsia="宋体" w:cs="宋体"/>
          <w:color w:val="auto"/>
          <w:spacing w:val="-1"/>
          <w:szCs w:val="21"/>
          <w:highlight w:val="none"/>
        </w:rPr>
        <w:t>财政部门审批，并签订书</w:t>
      </w:r>
      <w:r>
        <w:rPr>
          <w:rFonts w:hint="eastAsia" w:ascii="宋体" w:hAnsi="宋体" w:eastAsia="宋体" w:cs="宋体"/>
          <w:color w:val="auto"/>
          <w:szCs w:val="21"/>
          <w:highlight w:val="none"/>
        </w:rPr>
        <w:t>面补充协议报</w:t>
      </w:r>
      <w:r>
        <w:rPr>
          <w:rFonts w:hint="eastAsia" w:ascii="宋体" w:hAnsi="宋体" w:eastAsia="宋体" w:cs="宋体"/>
          <w:color w:val="auto"/>
          <w:szCs w:val="21"/>
          <w:highlight w:val="none"/>
        </w:rPr>
        <w:t>桂林市七星区</w:t>
      </w:r>
      <w:r>
        <w:rPr>
          <w:rFonts w:hint="eastAsia" w:ascii="宋体" w:hAnsi="宋体" w:eastAsia="宋体" w:cs="宋体"/>
          <w:color w:val="auto"/>
          <w:szCs w:val="21"/>
          <w:highlight w:val="none"/>
        </w:rPr>
        <w:t>政府采购管理办公室备</w:t>
      </w:r>
      <w:r>
        <w:rPr>
          <w:rFonts w:hint="eastAsia" w:ascii="宋体" w:hAnsi="宋体" w:eastAsia="宋体" w:cs="宋体"/>
          <w:color w:val="auto"/>
          <w:spacing w:val="-1"/>
          <w:szCs w:val="21"/>
          <w:highlight w:val="none"/>
        </w:rPr>
        <w:t>案，方可作为主合同不可分割的一部分。</w:t>
      </w:r>
    </w:p>
    <w:p w14:paraId="3EE4FBA4">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3.本合同未尽事宜，遵照《民法典》有关条文执行。</w:t>
      </w:r>
    </w:p>
    <w:p w14:paraId="4FF18F8B">
      <w:pPr>
        <w:keepNext w:val="0"/>
        <w:keepLines w:val="0"/>
        <w:pageBreakBefore w:val="0"/>
        <w:widowControl w:val="0"/>
        <w:kinsoku/>
        <w:overflowPunct/>
        <w:topLinePunct w:val="0"/>
        <w:autoSpaceDE/>
        <w:autoSpaceDN/>
        <w:bidi w:val="0"/>
        <w:adjustRightInd/>
        <w:snapToGrid/>
        <w:spacing w:line="440" w:lineRule="exact"/>
        <w:ind w:firstLine="410"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八、合同的变更、终止与转让</w:t>
      </w:r>
    </w:p>
    <w:p w14:paraId="15FD50B0">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1.除《中华人民共和国政府采购法》第五十条规定的情形外，本合同一</w:t>
      </w:r>
      <w:r>
        <w:rPr>
          <w:rFonts w:hint="eastAsia" w:ascii="宋体" w:hAnsi="宋体" w:eastAsia="宋体" w:cs="宋体"/>
          <w:color w:val="auto"/>
          <w:spacing w:val="-2"/>
          <w:szCs w:val="21"/>
          <w:highlight w:val="none"/>
        </w:rPr>
        <w:t>经签订，甲乙双方不得擅自</w:t>
      </w:r>
      <w:r>
        <w:rPr>
          <w:rFonts w:hint="eastAsia" w:ascii="宋体" w:hAnsi="宋体" w:eastAsia="宋体" w:cs="宋体"/>
          <w:color w:val="auto"/>
          <w:spacing w:val="-3"/>
          <w:szCs w:val="21"/>
          <w:highlight w:val="none"/>
        </w:rPr>
        <w:t>变更，中止或终止。</w:t>
      </w:r>
    </w:p>
    <w:p w14:paraId="3755089B">
      <w:pPr>
        <w:keepNext w:val="0"/>
        <w:keepLines w:val="0"/>
        <w:pageBreakBefore w:val="0"/>
        <w:widowControl w:val="0"/>
        <w:kinsoku/>
        <w:overflowPunct/>
        <w:topLinePunct w:val="0"/>
        <w:autoSpaceDE/>
        <w:autoSpaceDN/>
        <w:bidi w:val="0"/>
        <w:adjustRightInd/>
        <w:snapToGrid/>
        <w:spacing w:line="440" w:lineRule="exact"/>
        <w:ind w:firstLine="41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2.乙方不得擅自转让其应履行的合同义务。</w:t>
      </w:r>
    </w:p>
    <w:p w14:paraId="58DB4568">
      <w:pPr>
        <w:keepNext w:val="0"/>
        <w:keepLines w:val="0"/>
        <w:pageBreakBefore w:val="0"/>
        <w:widowControl w:val="0"/>
        <w:kinsoku/>
        <w:overflowPunct/>
        <w:topLinePunct w:val="0"/>
        <w:autoSpaceDE/>
        <w:autoSpaceDN/>
        <w:bidi w:val="0"/>
        <w:adjustRightInd/>
        <w:snapToGrid/>
        <w:spacing w:line="440" w:lineRule="exact"/>
        <w:ind w:firstLine="413" w:firstLineChars="196"/>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九、签订本合同依据</w:t>
      </w:r>
    </w:p>
    <w:p w14:paraId="534C3FF4">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1.竞争性磋商文件；</w:t>
      </w:r>
    </w:p>
    <w:p w14:paraId="5CADC091">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2.乙方提供的响应文件（应答文件）；</w:t>
      </w:r>
    </w:p>
    <w:p w14:paraId="446A363D">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3.服务承诺书（如有）；</w:t>
      </w:r>
    </w:p>
    <w:p w14:paraId="27C5BC38">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4.成交通知书。</w:t>
      </w:r>
    </w:p>
    <w:p w14:paraId="640B8371">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本合同甲乙双方签字盖章后生效，一式四份，具有同等法律效力，甲、乙双方各一份。政府采购合同双方自签订之日起1个工作日内将合同原件两份交采购代理机构。采购代理机构将政府采购合同在省级以上人民政府财政部门指定媒体上公告并存档。</w:t>
      </w:r>
    </w:p>
    <w:p w14:paraId="4ACD247A">
      <w:pPr>
        <w:wordWrap w:val="0"/>
        <w:spacing w:line="5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甲方（公章）：                              乙方（公章，自然人除外）：</w:t>
      </w:r>
    </w:p>
    <w:p w14:paraId="697686BA">
      <w:pPr>
        <w:wordWrap w:val="0"/>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法定代表人签字：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法定代表人（负责人、自然人）签字（属自然人的应</w:t>
      </w:r>
    </w:p>
    <w:p w14:paraId="4FB8AAD7">
      <w:pPr>
        <w:wordWrap w:val="0"/>
        <w:spacing w:line="5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在签名处加盖大拇指指印）：</w:t>
      </w:r>
    </w:p>
    <w:p w14:paraId="71F59635">
      <w:pPr>
        <w:tabs>
          <w:tab w:val="left" w:pos="4680"/>
        </w:tabs>
        <w:wordWrap w:val="0"/>
        <w:spacing w:line="5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委托代理人：                                委托代理人：</w:t>
      </w:r>
    </w:p>
    <w:p w14:paraId="4CB6CAE1">
      <w:pPr>
        <w:tabs>
          <w:tab w:val="left" w:pos="5040"/>
        </w:tabs>
        <w:wordWrap w:val="0"/>
        <w:spacing w:line="5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电  话：                                    电   话： </w:t>
      </w:r>
    </w:p>
    <w:p w14:paraId="7E9FE782">
      <w:pPr>
        <w:tabs>
          <w:tab w:val="left" w:pos="5040"/>
        </w:tabs>
        <w:wordWrap w:val="0"/>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开户名称：                                  开户名称：</w:t>
      </w:r>
    </w:p>
    <w:p w14:paraId="0E54BF5F">
      <w:pPr>
        <w:tabs>
          <w:tab w:val="left" w:pos="5040"/>
        </w:tabs>
        <w:wordWrap w:val="0"/>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开户银行：                                  开户银行：</w:t>
      </w:r>
    </w:p>
    <w:p w14:paraId="16959924">
      <w:pPr>
        <w:tabs>
          <w:tab w:val="left" w:pos="5040"/>
        </w:tabs>
        <w:wordWrap w:val="0"/>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银行账号：                                  银行账号：</w:t>
      </w:r>
    </w:p>
    <w:p w14:paraId="23E5088F">
      <w:pPr>
        <w:tabs>
          <w:tab w:val="left" w:pos="5040"/>
        </w:tabs>
        <w:wordWrap w:val="0"/>
        <w:spacing w:line="500" w:lineRule="exact"/>
        <w:rPr>
          <w:rFonts w:hint="eastAsia" w:ascii="宋体" w:hAnsi="宋体" w:eastAsia="宋体" w:cs="宋体"/>
          <w:color w:val="auto"/>
          <w:kern w:val="0"/>
          <w:szCs w:val="21"/>
          <w:highlight w:val="none"/>
          <w:u w:val="single"/>
        </w:rPr>
      </w:pPr>
      <w:r>
        <w:rPr>
          <w:rFonts w:hint="eastAsia" w:ascii="宋体" w:hAnsi="宋体" w:eastAsia="宋体" w:cs="宋体"/>
          <w:color w:val="auto"/>
          <w:szCs w:val="21"/>
          <w:highlight w:val="none"/>
        </w:rPr>
        <w:t xml:space="preserve">   日    期：                                  日    期：</w:t>
      </w:r>
    </w:p>
    <w:p w14:paraId="3769FA56">
      <w:pPr>
        <w:spacing w:before="69" w:line="220" w:lineRule="auto"/>
        <w:ind w:left="6"/>
        <w:jc w:val="left"/>
        <w:rPr>
          <w:rFonts w:hint="eastAsia" w:ascii="宋体" w:hAnsi="宋体" w:eastAsia="宋体" w:cs="宋体"/>
          <w:b/>
          <w:bCs/>
          <w:color w:val="auto"/>
          <w:spacing w:val="-1"/>
          <w:sz w:val="24"/>
          <w:highlight w:val="none"/>
        </w:rPr>
      </w:pPr>
      <w:r>
        <w:rPr>
          <w:rFonts w:hint="eastAsia" w:ascii="宋体" w:hAnsi="宋体" w:eastAsia="宋体" w:cs="宋体"/>
          <w:b/>
          <w:bCs/>
          <w:color w:val="auto"/>
          <w:spacing w:val="-1"/>
          <w:sz w:val="24"/>
          <w:highlight w:val="none"/>
        </w:rPr>
        <w:t xml:space="preserve">    </w:t>
      </w:r>
    </w:p>
    <w:p w14:paraId="62D7E873">
      <w:pPr>
        <w:rPr>
          <w:rFonts w:hint="eastAsia" w:ascii="宋体" w:hAnsi="宋体" w:eastAsia="宋体" w:cs="宋体"/>
          <w:b/>
          <w:bCs/>
          <w:color w:val="auto"/>
          <w:spacing w:val="-1"/>
          <w:sz w:val="24"/>
          <w:highlight w:val="none"/>
        </w:rPr>
      </w:pPr>
      <w:r>
        <w:rPr>
          <w:rFonts w:hint="eastAsia" w:ascii="宋体" w:hAnsi="宋体" w:eastAsia="宋体" w:cs="宋体"/>
          <w:b/>
          <w:bCs/>
          <w:color w:val="auto"/>
          <w:spacing w:val="-1"/>
          <w:sz w:val="24"/>
          <w:highlight w:val="none"/>
        </w:rPr>
        <w:br w:type="page"/>
      </w:r>
    </w:p>
    <w:p w14:paraId="6EAB3178">
      <w:pPr>
        <w:spacing w:before="69" w:line="220" w:lineRule="auto"/>
        <w:ind w:left="6"/>
        <w:jc w:val="left"/>
        <w:rPr>
          <w:rFonts w:hint="eastAsia" w:ascii="宋体" w:hAnsi="宋体" w:eastAsia="宋体" w:cs="宋体"/>
          <w:b/>
          <w:bCs/>
          <w:color w:val="auto"/>
          <w:sz w:val="24"/>
          <w:highlight w:val="none"/>
        </w:rPr>
      </w:pPr>
      <w:r>
        <w:rPr>
          <w:rFonts w:hint="eastAsia" w:ascii="宋体" w:hAnsi="宋体" w:eastAsia="宋体" w:cs="宋体"/>
          <w:b/>
          <w:bCs/>
          <w:color w:val="auto"/>
          <w:spacing w:val="-1"/>
          <w:sz w:val="24"/>
          <w:highlight w:val="none"/>
        </w:rPr>
        <w:t>分标2适用：</w:t>
      </w:r>
    </w:p>
    <w:p w14:paraId="597DD7A6">
      <w:pPr>
        <w:spacing w:before="69" w:line="220" w:lineRule="auto"/>
        <w:ind w:left="6"/>
        <w:jc w:val="left"/>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rPr>
        <w:t>七星区农村学校伙房食材配送服务项目</w:t>
      </w:r>
    </w:p>
    <w:p w14:paraId="6A8B8D37">
      <w:pPr>
        <w:wordWrap w:val="0"/>
        <w:spacing w:line="440" w:lineRule="exact"/>
        <w:rPr>
          <w:rFonts w:hint="eastAsia" w:ascii="宋体" w:hAnsi="宋体" w:eastAsia="宋体" w:cs="宋体"/>
          <w:color w:val="auto"/>
          <w:kern w:val="0"/>
          <w:szCs w:val="21"/>
          <w:highlight w:val="none"/>
        </w:rPr>
      </w:pPr>
      <w:r>
        <w:rPr>
          <w:rFonts w:hint="eastAsia" w:ascii="宋体" w:hAnsi="宋体" w:eastAsia="宋体" w:cs="宋体"/>
          <w:color w:val="auto"/>
          <w:spacing w:val="-1"/>
          <w:szCs w:val="21"/>
          <w:highlight w:val="none"/>
        </w:rPr>
        <w:t xml:space="preserve">    </w:t>
      </w:r>
      <w:r>
        <w:rPr>
          <w:rFonts w:hint="eastAsia" w:ascii="宋体" w:hAnsi="宋体" w:eastAsia="宋体" w:cs="宋体"/>
          <w:color w:val="auto"/>
          <w:spacing w:val="-1"/>
          <w:szCs w:val="21"/>
          <w:highlight w:val="none"/>
        </w:rPr>
        <w:t>项目编号：</w:t>
      </w:r>
      <w:r>
        <w:rPr>
          <w:rFonts w:hint="eastAsia" w:ascii="宋体" w:hAnsi="宋体" w:eastAsia="宋体" w:cs="宋体"/>
          <w:color w:val="auto"/>
          <w:szCs w:val="21"/>
          <w:highlight w:val="none"/>
        </w:rPr>
        <w:t>GLZC2026-C3-990416-GXHC</w:t>
      </w:r>
    </w:p>
    <w:p w14:paraId="141FDDA7">
      <w:pPr>
        <w:spacing w:before="171" w:line="221" w:lineRule="auto"/>
        <w:ind w:left="3"/>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 xml:space="preserve">    分标号：分标2</w:t>
      </w:r>
    </w:p>
    <w:p w14:paraId="6457923F">
      <w:pPr>
        <w:spacing w:before="168" w:line="220" w:lineRule="auto"/>
        <w:ind w:left="28"/>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 xml:space="preserve">    </w:t>
      </w:r>
      <w:r>
        <w:rPr>
          <w:rFonts w:hint="eastAsia" w:ascii="宋体" w:hAnsi="宋体" w:eastAsia="宋体" w:cs="宋体"/>
          <w:color w:val="auto"/>
          <w:spacing w:val="-2"/>
          <w:szCs w:val="21"/>
          <w:highlight w:val="none"/>
        </w:rPr>
        <w:t>甲方</w:t>
      </w:r>
      <w:r>
        <w:rPr>
          <w:rFonts w:hint="eastAsia" w:ascii="宋体" w:hAnsi="宋体" w:eastAsia="宋体" w:cs="宋体"/>
          <w:color w:val="auto"/>
          <w:spacing w:val="-7"/>
          <w:szCs w:val="21"/>
          <w:highlight w:val="none"/>
        </w:rPr>
        <w:t>：</w:t>
      </w:r>
      <w:r>
        <w:rPr>
          <w:rFonts w:hint="eastAsia" w:ascii="宋体" w:hAnsi="宋体" w:eastAsia="宋体" w:cs="宋体"/>
          <w:color w:val="auto"/>
          <w:spacing w:val="-7"/>
          <w:szCs w:val="21"/>
          <w:highlight w:val="none"/>
        </w:rPr>
        <w:t xml:space="preserve"> </w:t>
      </w:r>
      <w:r>
        <w:rPr>
          <w:rFonts w:hint="eastAsia" w:ascii="宋体" w:hAnsi="宋体" w:eastAsia="宋体" w:cs="宋体"/>
          <w:color w:val="auto"/>
          <w:spacing w:val="-7"/>
          <w:szCs w:val="21"/>
          <w:highlight w:val="none"/>
          <w:u w:val="single"/>
        </w:rPr>
        <w:t xml:space="preserve">                   </w:t>
      </w:r>
      <w:r>
        <w:rPr>
          <w:rFonts w:hint="eastAsia" w:ascii="宋体" w:hAnsi="宋体" w:eastAsia="宋体" w:cs="宋体"/>
          <w:color w:val="auto"/>
          <w:spacing w:val="-7"/>
          <w:szCs w:val="21"/>
          <w:highlight w:val="none"/>
        </w:rPr>
        <w:t>（</w:t>
      </w:r>
      <w:r>
        <w:rPr>
          <w:rFonts w:hint="eastAsia" w:ascii="宋体" w:hAnsi="宋体" w:eastAsia="宋体" w:cs="宋体"/>
          <w:color w:val="auto"/>
          <w:spacing w:val="-2"/>
          <w:szCs w:val="21"/>
          <w:highlight w:val="none"/>
        </w:rPr>
        <w:t>采购人，以下简称甲方）</w:t>
      </w:r>
    </w:p>
    <w:p w14:paraId="316D3861">
      <w:pPr>
        <w:spacing w:before="169" w:line="220" w:lineRule="auto"/>
        <w:ind w:left="21"/>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 xml:space="preserve">    </w:t>
      </w:r>
      <w:r>
        <w:rPr>
          <w:rFonts w:hint="eastAsia" w:ascii="宋体" w:hAnsi="宋体" w:eastAsia="宋体" w:cs="宋体"/>
          <w:color w:val="auto"/>
          <w:spacing w:val="-1"/>
          <w:szCs w:val="21"/>
          <w:highlight w:val="none"/>
        </w:rPr>
        <w:t>乙方</w:t>
      </w:r>
      <w:r>
        <w:rPr>
          <w:rFonts w:hint="eastAsia" w:ascii="宋体" w:hAnsi="宋体" w:eastAsia="宋体" w:cs="宋体"/>
          <w:color w:val="auto"/>
          <w:spacing w:val="-10"/>
          <w:szCs w:val="21"/>
          <w:highlight w:val="none"/>
        </w:rPr>
        <w:t>：</w:t>
      </w:r>
      <w:r>
        <w:rPr>
          <w:rFonts w:hint="eastAsia" w:ascii="宋体" w:hAnsi="宋体" w:eastAsia="宋体" w:cs="宋体"/>
          <w:color w:val="auto"/>
          <w:spacing w:val="-10"/>
          <w:szCs w:val="21"/>
          <w:highlight w:val="none"/>
          <w:u w:val="single"/>
        </w:rPr>
        <w:t xml:space="preserve">                      </w:t>
      </w:r>
      <w:r>
        <w:rPr>
          <w:rFonts w:hint="eastAsia" w:ascii="宋体" w:hAnsi="宋体" w:eastAsia="宋体" w:cs="宋体"/>
          <w:color w:val="auto"/>
          <w:spacing w:val="-10"/>
          <w:szCs w:val="21"/>
          <w:highlight w:val="none"/>
        </w:rPr>
        <w:t>（</w:t>
      </w:r>
      <w:r>
        <w:rPr>
          <w:rFonts w:hint="eastAsia" w:ascii="宋体" w:hAnsi="宋体" w:eastAsia="宋体" w:cs="宋体"/>
          <w:color w:val="auto"/>
          <w:spacing w:val="-1"/>
          <w:szCs w:val="21"/>
          <w:highlight w:val="none"/>
        </w:rPr>
        <w:t>成交供应商</w:t>
      </w:r>
      <w:r>
        <w:rPr>
          <w:rFonts w:hint="eastAsia" w:ascii="宋体" w:hAnsi="宋体" w:eastAsia="宋体" w:cs="宋体"/>
          <w:color w:val="auto"/>
          <w:spacing w:val="-1"/>
          <w:szCs w:val="21"/>
          <w:highlight w:val="none"/>
        </w:rPr>
        <w:t>，以下简称乙方）</w:t>
      </w:r>
    </w:p>
    <w:p w14:paraId="17FC96AE">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根据《中华人民共和国政府采购法》、《中华人民共和国民法典》等法律、法规规定，按照</w:t>
      </w:r>
      <w:r>
        <w:rPr>
          <w:rFonts w:hint="eastAsia" w:ascii="宋体" w:hAnsi="宋体" w:eastAsia="宋体" w:cs="宋体"/>
          <w:color w:val="auto"/>
          <w:spacing w:val="-1"/>
          <w:szCs w:val="21"/>
          <w:highlight w:val="none"/>
        </w:rPr>
        <w:t>竞争性磋商文件</w:t>
      </w:r>
      <w:r>
        <w:rPr>
          <w:rFonts w:hint="eastAsia" w:ascii="宋体" w:hAnsi="宋体" w:eastAsia="宋体" w:cs="宋体"/>
          <w:color w:val="auto"/>
          <w:spacing w:val="-1"/>
          <w:szCs w:val="21"/>
          <w:highlight w:val="none"/>
        </w:rPr>
        <w:t>规定的条款和乙方的</w:t>
      </w:r>
      <w:r>
        <w:rPr>
          <w:rFonts w:hint="eastAsia" w:ascii="宋体" w:hAnsi="宋体" w:eastAsia="宋体" w:cs="宋体"/>
          <w:color w:val="auto"/>
          <w:spacing w:val="-1"/>
          <w:szCs w:val="21"/>
          <w:highlight w:val="none"/>
        </w:rPr>
        <w:t>响应文件</w:t>
      </w:r>
      <w:r>
        <w:rPr>
          <w:rFonts w:hint="eastAsia" w:ascii="宋体" w:hAnsi="宋体" w:eastAsia="宋体" w:cs="宋体"/>
          <w:color w:val="auto"/>
          <w:spacing w:val="-1"/>
          <w:szCs w:val="21"/>
          <w:highlight w:val="none"/>
        </w:rPr>
        <w:t>及其承诺，甲乙双方签订本合同。</w:t>
      </w:r>
    </w:p>
    <w:p w14:paraId="756FF3D2">
      <w:pPr>
        <w:spacing w:line="460" w:lineRule="exact"/>
        <w:ind w:firstLine="418" w:firstLineChars="200"/>
        <w:rPr>
          <w:rFonts w:hint="eastAsia" w:ascii="宋体" w:hAnsi="宋体" w:eastAsia="宋体" w:cs="宋体"/>
          <w:b/>
          <w:bCs/>
          <w:color w:val="auto"/>
          <w:szCs w:val="21"/>
          <w:highlight w:val="none"/>
        </w:rPr>
      </w:pPr>
      <w:r>
        <w:rPr>
          <w:rFonts w:hint="eastAsia" w:ascii="宋体" w:hAnsi="宋体" w:eastAsia="宋体" w:cs="宋体"/>
          <w:b/>
          <w:bCs/>
          <w:color w:val="auto"/>
          <w:spacing w:val="-1"/>
          <w:szCs w:val="21"/>
          <w:highlight w:val="none"/>
        </w:rPr>
        <w:t>注：本合同仅为合同的参考文本，合同签订双方可根据项目的具体要求进行修订，但不得改变</w:t>
      </w:r>
      <w:r>
        <w:rPr>
          <w:rFonts w:hint="eastAsia" w:ascii="宋体" w:hAnsi="宋体" w:eastAsia="宋体" w:cs="宋体"/>
          <w:b/>
          <w:bCs/>
          <w:color w:val="auto"/>
          <w:spacing w:val="-1"/>
          <w:szCs w:val="21"/>
          <w:highlight w:val="none"/>
        </w:rPr>
        <w:t>竞争性磋商文件和响应文件</w:t>
      </w:r>
      <w:r>
        <w:rPr>
          <w:rFonts w:hint="eastAsia" w:ascii="宋体" w:hAnsi="宋体" w:eastAsia="宋体" w:cs="宋体"/>
          <w:b/>
          <w:bCs/>
          <w:color w:val="auto"/>
          <w:spacing w:val="-2"/>
          <w:szCs w:val="21"/>
          <w:highlight w:val="none"/>
        </w:rPr>
        <w:t>的实质性内容。</w:t>
      </w:r>
    </w:p>
    <w:p w14:paraId="0854B5B6">
      <w:pPr>
        <w:spacing w:line="460" w:lineRule="exact"/>
        <w:ind w:firstLine="410" w:firstLineChars="200"/>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一、合同期限、价格、结算方式等</w:t>
      </w:r>
    </w:p>
    <w:p w14:paraId="32DF909C">
      <w:pPr>
        <w:spacing w:line="460" w:lineRule="exact"/>
        <w:ind w:firstLine="406" w:firstLineChars="200"/>
        <w:rPr>
          <w:rFonts w:hint="eastAsia" w:ascii="宋体" w:hAnsi="宋体" w:eastAsia="宋体" w:cs="宋体"/>
          <w:color w:val="auto"/>
          <w:szCs w:val="21"/>
          <w:highlight w:val="none"/>
        </w:rPr>
      </w:pPr>
      <w:r>
        <w:rPr>
          <w:rFonts w:hint="eastAsia" w:ascii="宋体" w:hAnsi="宋体" w:eastAsia="宋体" w:cs="宋体"/>
          <w:b/>
          <w:bCs/>
          <w:color w:val="auto"/>
          <w:spacing w:val="-4"/>
          <w:szCs w:val="21"/>
          <w:highlight w:val="none"/>
        </w:rPr>
        <w:t>（一）合同期限：</w:t>
      </w:r>
      <w:r>
        <w:rPr>
          <w:rFonts w:hint="eastAsia" w:ascii="宋体" w:hAnsi="宋体" w:eastAsia="宋体" w:cs="宋体"/>
          <w:color w:val="auto"/>
          <w:spacing w:val="-4"/>
          <w:szCs w:val="21"/>
          <w:highlight w:val="none"/>
        </w:rPr>
        <w:t>从</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rPr>
        <w:t>年</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rPr>
        <w:t>月</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rPr>
        <w:t>日起至</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5"/>
          <w:szCs w:val="21"/>
          <w:highlight w:val="none"/>
        </w:rPr>
        <w:t>年</w:t>
      </w:r>
      <w:r>
        <w:rPr>
          <w:rFonts w:hint="eastAsia" w:ascii="宋体" w:hAnsi="宋体" w:eastAsia="宋体" w:cs="宋体"/>
          <w:color w:val="auto"/>
          <w:spacing w:val="-5"/>
          <w:szCs w:val="21"/>
          <w:highlight w:val="none"/>
        </w:rPr>
        <w:t xml:space="preserve"> </w:t>
      </w:r>
      <w:r>
        <w:rPr>
          <w:rFonts w:hint="eastAsia" w:ascii="宋体" w:hAnsi="宋体" w:eastAsia="宋体" w:cs="宋体"/>
          <w:color w:val="auto"/>
          <w:spacing w:val="-5"/>
          <w:szCs w:val="21"/>
          <w:highlight w:val="none"/>
        </w:rPr>
        <w:t>月</w:t>
      </w:r>
      <w:r>
        <w:rPr>
          <w:rFonts w:hint="eastAsia" w:ascii="宋体" w:hAnsi="宋体" w:eastAsia="宋体" w:cs="宋体"/>
          <w:color w:val="auto"/>
          <w:spacing w:val="-5"/>
          <w:szCs w:val="21"/>
          <w:highlight w:val="none"/>
        </w:rPr>
        <w:t xml:space="preserve">  </w:t>
      </w:r>
      <w:r>
        <w:rPr>
          <w:rFonts w:hint="eastAsia" w:ascii="宋体" w:hAnsi="宋体" w:eastAsia="宋体" w:cs="宋体"/>
          <w:color w:val="auto"/>
          <w:spacing w:val="-5"/>
          <w:szCs w:val="21"/>
          <w:highlight w:val="none"/>
        </w:rPr>
        <w:t>日止。</w:t>
      </w:r>
    </w:p>
    <w:p w14:paraId="62D08426">
      <w:pPr>
        <w:spacing w:line="460" w:lineRule="exact"/>
        <w:ind w:firstLine="402" w:firstLineChars="200"/>
        <w:rPr>
          <w:rFonts w:hint="eastAsia" w:ascii="宋体" w:hAnsi="宋体" w:eastAsia="宋体" w:cs="宋体"/>
          <w:color w:val="auto"/>
          <w:szCs w:val="21"/>
          <w:highlight w:val="none"/>
        </w:rPr>
      </w:pPr>
      <w:r>
        <w:rPr>
          <w:rFonts w:hint="eastAsia" w:ascii="宋体" w:hAnsi="宋体" w:eastAsia="宋体" w:cs="宋体"/>
          <w:b/>
          <w:bCs/>
          <w:color w:val="auto"/>
          <w:spacing w:val="-5"/>
          <w:szCs w:val="21"/>
          <w:highlight w:val="none"/>
        </w:rPr>
        <w:t>（二）合同标标的物：</w:t>
      </w:r>
      <w:r>
        <w:rPr>
          <w:rFonts w:hint="eastAsia" w:ascii="宋体" w:hAnsi="宋体" w:eastAsia="宋体" w:cs="宋体"/>
          <w:color w:val="auto"/>
          <w:spacing w:val="-5"/>
          <w:szCs w:val="21"/>
          <w:highlight w:val="none"/>
        </w:rPr>
        <w:t>乙方承担甲方</w:t>
      </w:r>
      <w:r>
        <w:rPr>
          <w:rFonts w:hint="eastAsia" w:ascii="宋体" w:hAnsi="宋体" w:eastAsia="宋体" w:cs="宋体"/>
          <w:color w:val="auto"/>
          <w:spacing w:val="-5"/>
          <w:szCs w:val="21"/>
          <w:highlight w:val="none"/>
        </w:rPr>
        <w:t>（包含但不限于）：</w:t>
      </w:r>
      <w:r>
        <w:rPr>
          <w:rFonts w:hint="eastAsia" w:ascii="宋体" w:hAnsi="宋体" w:eastAsia="宋体" w:cs="宋体"/>
          <w:color w:val="auto"/>
          <w:spacing w:val="-1"/>
          <w:szCs w:val="21"/>
          <w:highlight w:val="none"/>
          <w:u w:val="single"/>
        </w:rPr>
        <w:t>米；食用油；</w:t>
      </w:r>
      <w:r>
        <w:rPr>
          <w:rFonts w:hint="eastAsia" w:ascii="宋体" w:hAnsi="宋体" w:eastAsia="宋体" w:cs="宋体"/>
          <w:color w:val="auto"/>
          <w:highlight w:val="none"/>
          <w:u w:val="single"/>
        </w:rPr>
        <w:t>干货类：</w:t>
      </w:r>
      <w:r>
        <w:rPr>
          <w:rFonts w:hint="eastAsia" w:ascii="宋体" w:hAnsi="宋体" w:eastAsia="宋体" w:cs="宋体"/>
          <w:color w:val="auto"/>
          <w:spacing w:val="-1"/>
          <w:szCs w:val="21"/>
          <w:highlight w:val="none"/>
          <w:u w:val="single"/>
        </w:rPr>
        <w:t>粉</w:t>
      </w:r>
      <w:r>
        <w:rPr>
          <w:rFonts w:hint="eastAsia" w:ascii="宋体" w:hAnsi="宋体" w:eastAsia="宋体" w:cs="宋体"/>
          <w:color w:val="auto"/>
          <w:szCs w:val="21"/>
          <w:highlight w:val="none"/>
          <w:u w:val="single"/>
        </w:rPr>
        <w:t>丝、香菇、木耳、干笋；</w:t>
      </w:r>
      <w:r>
        <w:rPr>
          <w:rFonts w:hint="eastAsia" w:ascii="宋体" w:hAnsi="宋体" w:eastAsia="宋体" w:cs="宋体"/>
          <w:color w:val="auto"/>
          <w:highlight w:val="none"/>
          <w:u w:val="single"/>
        </w:rPr>
        <w:t>调味品类：</w:t>
      </w:r>
      <w:r>
        <w:rPr>
          <w:rFonts w:hint="eastAsia" w:ascii="宋体" w:hAnsi="宋体" w:eastAsia="宋体" w:cs="宋体"/>
          <w:color w:val="auto"/>
          <w:szCs w:val="21"/>
          <w:highlight w:val="none"/>
          <w:u w:val="single"/>
        </w:rPr>
        <w:t>盐、酱油、醋、蚝油；</w:t>
      </w:r>
      <w:r>
        <w:rPr>
          <w:rFonts w:hint="eastAsia" w:ascii="宋体" w:hAnsi="宋体" w:eastAsia="宋体" w:cs="宋体"/>
          <w:color w:val="auto"/>
          <w:highlight w:val="none"/>
          <w:u w:val="single"/>
        </w:rPr>
        <w:t>禽蛋</w:t>
      </w:r>
      <w:r>
        <w:rPr>
          <w:rFonts w:hint="eastAsia" w:ascii="宋体" w:hAnsi="宋体" w:eastAsia="宋体" w:cs="宋体"/>
          <w:color w:val="auto"/>
          <w:szCs w:val="21"/>
          <w:highlight w:val="none"/>
          <w:u w:val="single"/>
        </w:rPr>
        <w:t>类：</w:t>
      </w:r>
      <w:r>
        <w:rPr>
          <w:rFonts w:hint="eastAsia" w:ascii="宋体" w:hAnsi="宋体" w:eastAsia="宋体" w:cs="宋体"/>
          <w:color w:val="auto"/>
          <w:spacing w:val="-4"/>
          <w:szCs w:val="21"/>
          <w:highlight w:val="none"/>
          <w:u w:val="single"/>
        </w:rPr>
        <w:t>鸡蛋、鸭蛋</w:t>
      </w:r>
      <w:r>
        <w:rPr>
          <w:rFonts w:hint="eastAsia" w:ascii="宋体" w:hAnsi="宋体" w:eastAsia="宋体" w:cs="宋体"/>
          <w:color w:val="auto"/>
          <w:spacing w:val="-1"/>
          <w:szCs w:val="21"/>
          <w:highlight w:val="none"/>
          <w:u w:val="single"/>
        </w:rPr>
        <w:t>等</w:t>
      </w:r>
      <w:r>
        <w:rPr>
          <w:rFonts w:hint="eastAsia" w:ascii="宋体" w:hAnsi="宋体" w:eastAsia="宋体" w:cs="宋体"/>
          <w:color w:val="auto"/>
          <w:spacing w:val="-4"/>
          <w:szCs w:val="21"/>
          <w:highlight w:val="none"/>
          <w:u w:val="single"/>
        </w:rPr>
        <w:t>食材配送服务</w:t>
      </w:r>
      <w:r>
        <w:rPr>
          <w:rFonts w:hint="eastAsia" w:ascii="宋体" w:hAnsi="宋体" w:eastAsia="宋体" w:cs="宋体"/>
          <w:color w:val="auto"/>
          <w:spacing w:val="-5"/>
          <w:szCs w:val="21"/>
          <w:highlight w:val="none"/>
        </w:rPr>
        <w:t>。由于某些食材具有地域性、时令性等特点，</w:t>
      </w:r>
      <w:r>
        <w:rPr>
          <w:rFonts w:hint="eastAsia" w:ascii="宋体" w:hAnsi="宋体" w:eastAsia="宋体" w:cs="宋体"/>
          <w:color w:val="auto"/>
          <w:spacing w:val="-5"/>
          <w:szCs w:val="21"/>
          <w:highlight w:val="none"/>
          <w:lang w:eastAsia="zh-CN"/>
        </w:rPr>
        <w:t>甲方</w:t>
      </w:r>
      <w:r>
        <w:rPr>
          <w:rFonts w:hint="eastAsia" w:ascii="宋体" w:hAnsi="宋体" w:eastAsia="宋体" w:cs="宋体"/>
          <w:color w:val="auto"/>
          <w:spacing w:val="-5"/>
          <w:szCs w:val="21"/>
          <w:highlight w:val="none"/>
        </w:rPr>
        <w:t>根据实际情况选定品种。</w:t>
      </w:r>
    </w:p>
    <w:p w14:paraId="3347542B">
      <w:pPr>
        <w:spacing w:line="460" w:lineRule="exact"/>
        <w:ind w:firstLine="402" w:firstLineChars="200"/>
        <w:rPr>
          <w:rFonts w:hint="eastAsia" w:ascii="宋体" w:hAnsi="宋体" w:eastAsia="宋体" w:cs="宋体"/>
          <w:color w:val="auto"/>
          <w:szCs w:val="21"/>
          <w:highlight w:val="none"/>
        </w:rPr>
      </w:pPr>
      <w:r>
        <w:rPr>
          <w:rFonts w:hint="eastAsia" w:ascii="宋体" w:hAnsi="宋体" w:eastAsia="宋体" w:cs="宋体"/>
          <w:b/>
          <w:bCs/>
          <w:color w:val="auto"/>
          <w:spacing w:val="-5"/>
          <w:szCs w:val="21"/>
          <w:highlight w:val="none"/>
        </w:rPr>
        <w:t>（三）</w:t>
      </w:r>
      <w:r>
        <w:rPr>
          <w:rFonts w:hint="eastAsia" w:ascii="宋体" w:hAnsi="宋体" w:eastAsia="宋体" w:cs="宋体"/>
          <w:b/>
          <w:bCs/>
          <w:color w:val="auto"/>
          <w:spacing w:val="-5"/>
          <w:szCs w:val="21"/>
          <w:highlight w:val="none"/>
        </w:rPr>
        <w:t>综合</w:t>
      </w:r>
      <w:r>
        <w:rPr>
          <w:rFonts w:hint="eastAsia" w:ascii="宋体" w:hAnsi="宋体" w:eastAsia="宋体" w:cs="宋体"/>
          <w:b/>
          <w:bCs/>
          <w:color w:val="auto"/>
          <w:spacing w:val="-5"/>
          <w:szCs w:val="21"/>
          <w:highlight w:val="none"/>
        </w:rPr>
        <w:t>折扣率</w:t>
      </w:r>
      <w:r>
        <w:rPr>
          <w:rFonts w:hint="eastAsia" w:ascii="宋体" w:hAnsi="宋体" w:eastAsia="宋体" w:cs="宋体"/>
          <w:b/>
          <w:bCs/>
          <w:color w:val="auto"/>
          <w:spacing w:val="-12"/>
          <w:szCs w:val="21"/>
          <w:highlight w:val="none"/>
        </w:rPr>
        <w:t>：</w:t>
      </w:r>
      <w:r>
        <w:rPr>
          <w:rFonts w:hint="eastAsia" w:ascii="宋体" w:hAnsi="宋体" w:eastAsia="宋体" w:cs="宋体"/>
          <w:b/>
          <w:bCs/>
          <w:color w:val="auto"/>
          <w:spacing w:val="-12"/>
          <w:szCs w:val="21"/>
          <w:highlight w:val="none"/>
          <w:u w:val="single"/>
        </w:rPr>
        <w:t xml:space="preserve">          </w:t>
      </w:r>
      <w:r>
        <w:rPr>
          <w:rFonts w:hint="eastAsia" w:ascii="宋体" w:hAnsi="宋体" w:eastAsia="宋体" w:cs="宋体"/>
          <w:color w:val="auto"/>
          <w:szCs w:val="21"/>
          <w:highlight w:val="none"/>
          <w:u w:val="single"/>
        </w:rPr>
        <w:t>%</w:t>
      </w:r>
      <w:r>
        <w:rPr>
          <w:rFonts w:hint="eastAsia" w:ascii="宋体" w:hAnsi="宋体" w:eastAsia="宋体" w:cs="宋体"/>
          <w:color w:val="auto"/>
          <w:spacing w:val="-6"/>
          <w:szCs w:val="21"/>
          <w:highlight w:val="none"/>
        </w:rPr>
        <w:t>。</w:t>
      </w:r>
    </w:p>
    <w:p w14:paraId="48E397C2">
      <w:pPr>
        <w:spacing w:line="460" w:lineRule="exact"/>
        <w:ind w:firstLine="402" w:firstLineChars="200"/>
        <w:rPr>
          <w:rFonts w:hint="eastAsia" w:ascii="宋体" w:hAnsi="宋体" w:eastAsia="宋体" w:cs="宋体"/>
          <w:color w:val="auto"/>
          <w:szCs w:val="21"/>
          <w:highlight w:val="none"/>
        </w:rPr>
      </w:pPr>
      <w:r>
        <w:rPr>
          <w:rFonts w:hint="eastAsia" w:ascii="宋体" w:hAnsi="宋体" w:eastAsia="宋体" w:cs="宋体"/>
          <w:b/>
          <w:bCs/>
          <w:color w:val="auto"/>
          <w:spacing w:val="-5"/>
          <w:szCs w:val="21"/>
          <w:highlight w:val="none"/>
        </w:rPr>
        <w:t>（四）价格制定</w:t>
      </w:r>
    </w:p>
    <w:p w14:paraId="7E526D72">
      <w:pPr>
        <w:spacing w:line="400" w:lineRule="exact"/>
        <w:ind w:firstLine="424"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1.服务期内按月度实际供货数量进行结算；</w:t>
      </w:r>
      <w:r>
        <w:rPr>
          <w:rFonts w:hint="eastAsia" w:ascii="宋体" w:hAnsi="宋体" w:eastAsia="宋体" w:cs="宋体"/>
          <w:color w:val="auto"/>
          <w:spacing w:val="-1"/>
          <w:szCs w:val="21"/>
          <w:highlight w:val="none"/>
        </w:rPr>
        <w:t>即：</w:t>
      </w:r>
      <w:r>
        <w:rPr>
          <w:rFonts w:hint="eastAsia" w:ascii="宋体" w:hAnsi="宋体" w:eastAsia="宋体" w:cs="宋体"/>
          <w:bCs/>
          <w:color w:val="auto"/>
          <w:spacing w:val="-4"/>
          <w:szCs w:val="21"/>
          <w:highlight w:val="none"/>
        </w:rPr>
        <w:t>结算金额=每次确定的基准价×供应商承诺的折扣率（综合折扣率&lt;%&gt;）×实际供应食材的数量。</w:t>
      </w:r>
    </w:p>
    <w:p w14:paraId="67F08BBA">
      <w:pPr>
        <w:wordWrap w:val="0"/>
        <w:spacing w:line="400" w:lineRule="exact"/>
        <w:ind w:firstLine="420" w:firstLineChars="200"/>
        <w:rPr>
          <w:rFonts w:hint="eastAsia" w:ascii="宋体" w:hAnsi="宋体" w:eastAsia="宋体" w:cs="宋体"/>
          <w:color w:val="auto"/>
          <w:szCs w:val="21"/>
          <w:highlight w:val="none"/>
          <w:lang w:val="zh-TW"/>
        </w:rPr>
      </w:pPr>
      <w:r>
        <w:rPr>
          <w:rFonts w:hint="eastAsia" w:ascii="宋体" w:hAnsi="宋体" w:eastAsia="宋体" w:cs="宋体"/>
          <w:color w:val="auto"/>
          <w:szCs w:val="21"/>
          <w:highlight w:val="none"/>
          <w:lang w:val="zh-TW"/>
        </w:rPr>
        <w:t>基准价釆用周期性市场调查询价（每月询价不少于一次）的平均价确定。调查询价采取两种方式，一是线上询价，食材询价定价工作小组集体开展线上询价，对照桂林市发改委(网址https://fgw.guilin.gov.cn/，首页“政策文件中心—价格监测”)同期公布的十二家市场农副产品市场均价进行比价议价。二是线下询价，食材询价定价工作小组前往桂林市汇东果菜批发市场、桂林市五里店果蔬批发市场、桂林市七星农贸市场、桂林市西门市场及七星区大型超市（除特价超市外）等地点的批发价（或零售价）均值为平均价。由双方每月确认后确定。</w:t>
      </w:r>
    </w:p>
    <w:p w14:paraId="4763D252">
      <w:pPr>
        <w:spacing w:line="460" w:lineRule="exact"/>
        <w:ind w:firstLine="424" w:firstLineChars="20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 xml:space="preserve"> 2.合同期内，学校学生人数每个学期会有变动，学校根据月度及需求对产品进行调整，结算金额以实际采购产品数量、价格来结算。</w:t>
      </w:r>
    </w:p>
    <w:p w14:paraId="6D03F47C">
      <w:pPr>
        <w:spacing w:line="460" w:lineRule="exact"/>
        <w:ind w:firstLine="424" w:firstLineChars="20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3.供货协议期内的每一个定价周期，除消费物价指数（CPI）发生大幅波动等特殊情况外，不允许上调本定价周期内的基准价。</w:t>
      </w:r>
    </w:p>
    <w:p w14:paraId="680FF64C">
      <w:pPr>
        <w:spacing w:line="460" w:lineRule="exact"/>
        <w:ind w:firstLine="424" w:firstLineChars="20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4．合同约定产品价格为到岸价，即乙方将甲方所需物资送达甲方指定地点的价格，乙方所供货物（食材）在进入甲方仓库前所发生的全部费用、风险、责任和损失由乙方承担。</w:t>
      </w:r>
    </w:p>
    <w:p w14:paraId="462EFE4D">
      <w:pPr>
        <w:spacing w:line="460" w:lineRule="exact"/>
        <w:ind w:firstLine="410" w:firstLineChars="200"/>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（五）付款方式</w:t>
      </w:r>
    </w:p>
    <w:p w14:paraId="525814AF">
      <w:pPr>
        <w:spacing w:line="460" w:lineRule="exact"/>
        <w:ind w:firstLine="416" w:firstLineChars="20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实行按月结算方式，即本月货款于次月结算。以双方（乙方和甲方）签字确认后的送货单为依据，月末经双方汇总核对无误后，乙方开具正规增值税普通发票给甲方，甲方在收到乙方开具正规增值税普通发票后的30个工作日内以银行转账方式支付(无息)（注：票据要求：乙方必须按照甲方要求提供真实、有效、合法的正式发票及转账资料。如乙方提供虚假发票的，除须向甲方补开合法发票外，并须赔偿甲方发票票面金额一倍的违约金，且甲方有权无条件终止合同，因终止合同而产生的一切损失均由乙方承担。结算账户要求：货款结算账户要求必须为银行对公账户，账户名称须与发票专用章上的单位名称一致，不得使用个人银行账户结算货款）。</w:t>
      </w:r>
    </w:p>
    <w:p w14:paraId="14660651">
      <w:pPr>
        <w:spacing w:line="460" w:lineRule="exact"/>
        <w:ind w:firstLine="410" w:firstLineChars="200"/>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二、甲、乙双方的权利和义务</w:t>
      </w:r>
    </w:p>
    <w:p w14:paraId="510B7EA1">
      <w:pPr>
        <w:spacing w:line="460" w:lineRule="exact"/>
        <w:ind w:firstLine="406" w:firstLineChars="200"/>
        <w:rPr>
          <w:rFonts w:hint="eastAsia" w:ascii="宋体" w:hAnsi="宋体" w:eastAsia="宋体" w:cs="宋体"/>
          <w:color w:val="auto"/>
          <w:szCs w:val="21"/>
          <w:highlight w:val="none"/>
        </w:rPr>
      </w:pPr>
      <w:r>
        <w:rPr>
          <w:rFonts w:hint="eastAsia" w:ascii="宋体" w:hAnsi="宋体" w:eastAsia="宋体" w:cs="宋体"/>
          <w:b/>
          <w:bCs/>
          <w:color w:val="auto"/>
          <w:spacing w:val="-4"/>
          <w:szCs w:val="21"/>
          <w:highlight w:val="none"/>
        </w:rPr>
        <w:t>（一）甲方的权利和义务</w:t>
      </w:r>
    </w:p>
    <w:p w14:paraId="78EC66D9">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1.在条件允许的情况下，尽可能地为乙方的供货提供应有的便利条</w:t>
      </w:r>
      <w:r>
        <w:rPr>
          <w:rFonts w:hint="eastAsia" w:ascii="宋体" w:hAnsi="宋体" w:eastAsia="宋体" w:cs="宋体"/>
          <w:color w:val="auto"/>
          <w:spacing w:val="-2"/>
          <w:szCs w:val="21"/>
          <w:highlight w:val="none"/>
        </w:rPr>
        <w:t>件。</w:t>
      </w:r>
    </w:p>
    <w:p w14:paraId="236041BF">
      <w:pPr>
        <w:spacing w:line="460" w:lineRule="exact"/>
        <w:ind w:firstLine="408" w:firstLineChars="200"/>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2.有权对乙方供应的货物（食材）、加工场地、运输工具、供应资质等进行检查，乙方</w:t>
      </w:r>
      <w:r>
        <w:rPr>
          <w:rFonts w:hint="eastAsia" w:ascii="宋体" w:hAnsi="宋体" w:eastAsia="宋体" w:cs="宋体"/>
          <w:color w:val="auto"/>
          <w:spacing w:val="-4"/>
          <w:szCs w:val="21"/>
          <w:highlight w:val="none"/>
        </w:rPr>
        <w:t>必须配合，</w:t>
      </w:r>
      <w:r>
        <w:rPr>
          <w:rFonts w:hint="eastAsia" w:ascii="宋体" w:hAnsi="宋体" w:eastAsia="宋体" w:cs="宋体"/>
          <w:color w:val="auto"/>
          <w:spacing w:val="-1"/>
          <w:szCs w:val="21"/>
          <w:highlight w:val="none"/>
        </w:rPr>
        <w:t>不得以任何借口拒绝。</w:t>
      </w:r>
    </w:p>
    <w:p w14:paraId="0F30B9D2">
      <w:pPr>
        <w:spacing w:line="460" w:lineRule="exact"/>
        <w:ind w:firstLine="428"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3.</w:t>
      </w:r>
      <w:r>
        <w:rPr>
          <w:rFonts w:hint="eastAsia" w:ascii="宋体" w:hAnsi="宋体" w:eastAsia="宋体" w:cs="宋体"/>
          <w:color w:val="auto"/>
          <w:spacing w:val="2"/>
          <w:szCs w:val="21"/>
          <w:highlight w:val="none"/>
        </w:rPr>
        <w:t>至少提前四小时向乙方下达采购计划，保证乙方有合理的时间开展相应货物（食材）的供应配送工作</w:t>
      </w:r>
      <w:r>
        <w:rPr>
          <w:rFonts w:hint="eastAsia" w:ascii="宋体" w:hAnsi="宋体" w:eastAsia="宋体" w:cs="宋体"/>
          <w:color w:val="auto"/>
          <w:spacing w:val="-2"/>
          <w:szCs w:val="21"/>
          <w:highlight w:val="none"/>
        </w:rPr>
        <w:t>。</w:t>
      </w:r>
    </w:p>
    <w:p w14:paraId="2E707BFA">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4.合同期间，合同标的货物（食材）原则上由乙方供应，但如果乙方明确表示或未能按照甲方要求按质按量按时供货的，甲方有权要求乙方限期整改或拒收，且甲方有权从其他供货商处进行采购，由此</w:t>
      </w:r>
      <w:r>
        <w:rPr>
          <w:rFonts w:hint="eastAsia" w:ascii="宋体" w:hAnsi="宋体" w:eastAsia="宋体" w:cs="宋体"/>
          <w:color w:val="auto"/>
          <w:spacing w:val="-2"/>
          <w:szCs w:val="21"/>
          <w:highlight w:val="none"/>
        </w:rPr>
        <w:t>造成的损失和责任由乙方承担。</w:t>
      </w:r>
    </w:p>
    <w:p w14:paraId="3C323D52">
      <w:pPr>
        <w:spacing w:line="460" w:lineRule="exact"/>
        <w:ind w:firstLine="416" w:firstLineChars="200"/>
        <w:rPr>
          <w:rFonts w:hint="eastAsia" w:ascii="宋体" w:hAnsi="宋体" w:eastAsia="宋体" w:cs="宋体"/>
          <w:color w:val="auto"/>
          <w:spacing w:val="-2"/>
          <w:szCs w:val="21"/>
          <w:highlight w:val="none"/>
        </w:rPr>
      </w:pPr>
      <w:r>
        <w:rPr>
          <w:rFonts w:hint="eastAsia" w:ascii="宋体" w:hAnsi="宋体" w:eastAsia="宋体" w:cs="宋体"/>
          <w:color w:val="auto"/>
          <w:spacing w:val="-1"/>
          <w:szCs w:val="21"/>
          <w:highlight w:val="none"/>
        </w:rPr>
        <w:t>5.合同期间，甲方有权根据乙方的违约情形，按照合同约定追究乙方违约责任，相应扣减乙</w:t>
      </w:r>
      <w:r>
        <w:rPr>
          <w:rFonts w:hint="eastAsia" w:ascii="宋体" w:hAnsi="宋体" w:eastAsia="宋体" w:cs="宋体"/>
          <w:color w:val="auto"/>
          <w:spacing w:val="-2"/>
          <w:szCs w:val="21"/>
          <w:highlight w:val="none"/>
        </w:rPr>
        <w:t>方的应付货款，并有权单方解除合同。</w:t>
      </w:r>
    </w:p>
    <w:p w14:paraId="7003D181">
      <w:pPr>
        <w:spacing w:line="460" w:lineRule="exact"/>
        <w:ind w:firstLine="412" w:firstLineChars="200"/>
        <w:rPr>
          <w:rFonts w:hint="eastAsia" w:ascii="宋体" w:hAnsi="宋体" w:eastAsia="宋体" w:cs="宋体"/>
          <w:color w:val="auto"/>
          <w:spacing w:val="-1"/>
          <w:szCs w:val="21"/>
          <w:highlight w:val="none"/>
        </w:rPr>
      </w:pPr>
      <w:r>
        <w:rPr>
          <w:rFonts w:hint="eastAsia" w:ascii="宋体" w:hAnsi="宋体" w:eastAsia="宋体" w:cs="宋体"/>
          <w:color w:val="auto"/>
          <w:spacing w:val="-2"/>
          <w:szCs w:val="21"/>
          <w:highlight w:val="none"/>
          <w:lang w:val="en-US" w:eastAsia="zh-CN"/>
        </w:rPr>
        <w:t>6.</w:t>
      </w:r>
      <w:r>
        <w:rPr>
          <w:rFonts w:hint="eastAsia" w:ascii="宋体" w:hAnsi="宋体" w:eastAsia="宋体" w:cs="宋体"/>
          <w:color w:val="auto"/>
          <w:spacing w:val="-1"/>
          <w:szCs w:val="21"/>
          <w:highlight w:val="none"/>
        </w:rPr>
        <w:t>签订合同后</w:t>
      </w:r>
      <w:r>
        <w:rPr>
          <w:rFonts w:hint="eastAsia" w:ascii="宋体" w:hAnsi="宋体" w:eastAsia="宋体" w:cs="宋体"/>
          <w:color w:val="auto"/>
          <w:spacing w:val="-1"/>
          <w:szCs w:val="21"/>
          <w:highlight w:val="none"/>
          <w:lang w:eastAsia="zh-CN"/>
        </w:rPr>
        <w:t>甲方</w:t>
      </w:r>
      <w:r>
        <w:rPr>
          <w:rFonts w:hint="eastAsia" w:ascii="宋体" w:hAnsi="宋体" w:eastAsia="宋体" w:cs="宋体"/>
          <w:color w:val="auto"/>
          <w:spacing w:val="-1"/>
          <w:szCs w:val="21"/>
          <w:highlight w:val="none"/>
        </w:rPr>
        <w:t>将对</w:t>
      </w:r>
      <w:r>
        <w:rPr>
          <w:rFonts w:hint="eastAsia" w:ascii="宋体" w:hAnsi="宋体" w:eastAsia="宋体" w:cs="宋体"/>
          <w:color w:val="auto"/>
          <w:spacing w:val="-1"/>
          <w:szCs w:val="21"/>
          <w:highlight w:val="none"/>
          <w:lang w:eastAsia="zh-CN"/>
        </w:rPr>
        <w:t>乙方</w:t>
      </w:r>
      <w:r>
        <w:rPr>
          <w:rFonts w:hint="eastAsia" w:ascii="宋体" w:hAnsi="宋体" w:eastAsia="宋体" w:cs="宋体"/>
          <w:color w:val="auto"/>
          <w:spacing w:val="-1"/>
          <w:szCs w:val="21"/>
          <w:highlight w:val="none"/>
        </w:rPr>
        <w:t>自有场所条件进行现场核查及考核，如发现不满足项目要求或虚假应标的，将做供应商违约处理，</w:t>
      </w:r>
      <w:r>
        <w:rPr>
          <w:rFonts w:hint="eastAsia" w:ascii="宋体" w:hAnsi="宋体" w:eastAsia="宋体" w:cs="宋体"/>
          <w:color w:val="auto"/>
          <w:spacing w:val="-1"/>
          <w:szCs w:val="21"/>
          <w:highlight w:val="none"/>
          <w:lang w:eastAsia="zh-CN"/>
        </w:rPr>
        <w:t>甲方</w:t>
      </w:r>
      <w:r>
        <w:rPr>
          <w:rFonts w:hint="eastAsia" w:ascii="宋体" w:hAnsi="宋体" w:eastAsia="宋体" w:cs="宋体"/>
          <w:color w:val="auto"/>
          <w:spacing w:val="-1"/>
          <w:szCs w:val="21"/>
          <w:highlight w:val="none"/>
        </w:rPr>
        <w:t>将取消合同并上报财政部门进行处罚。</w:t>
      </w:r>
    </w:p>
    <w:p w14:paraId="35965C9A">
      <w:pPr>
        <w:spacing w:line="460" w:lineRule="exact"/>
        <w:ind w:firstLine="408" w:firstLineChars="200"/>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（二）</w:t>
      </w:r>
      <w:r>
        <w:rPr>
          <w:rFonts w:hint="eastAsia" w:ascii="宋体" w:hAnsi="宋体" w:eastAsia="宋体" w:cs="宋体"/>
          <w:b/>
          <w:bCs/>
          <w:color w:val="auto"/>
          <w:spacing w:val="-3"/>
          <w:szCs w:val="21"/>
          <w:highlight w:val="none"/>
        </w:rPr>
        <w:t>乙方的权利和义务</w:t>
      </w:r>
    </w:p>
    <w:p w14:paraId="7FF73D8A">
      <w:pPr>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1.乙方必须执有</w:t>
      </w:r>
      <w:r>
        <w:rPr>
          <w:rFonts w:hint="eastAsia" w:ascii="宋体" w:hAnsi="宋体" w:eastAsia="宋体" w:cs="宋体"/>
          <w:color w:val="auto"/>
          <w:szCs w:val="21"/>
          <w:highlight w:val="none"/>
        </w:rPr>
        <w:t>营业执照、食品经营许可证或生产许可证</w:t>
      </w:r>
      <w:r>
        <w:rPr>
          <w:rFonts w:hint="eastAsia" w:ascii="宋体" w:hAnsi="宋体" w:eastAsia="宋体" w:cs="宋体"/>
          <w:color w:val="auto"/>
          <w:spacing w:val="-1"/>
          <w:szCs w:val="21"/>
          <w:highlight w:val="none"/>
        </w:rPr>
        <w:t>等国家规定从业所需的有效证件，并提供原件和复印件交甲方查验及备案。营业执照必须提供网上</w:t>
      </w:r>
      <w:r>
        <w:rPr>
          <w:rFonts w:hint="eastAsia" w:ascii="宋体" w:hAnsi="宋体" w:eastAsia="宋体" w:cs="宋体"/>
          <w:color w:val="auto"/>
          <w:spacing w:val="-4"/>
          <w:szCs w:val="21"/>
          <w:highlight w:val="none"/>
        </w:rPr>
        <w:t>报验材料。</w:t>
      </w:r>
    </w:p>
    <w:p w14:paraId="4B6616F1">
      <w:pPr>
        <w:spacing w:line="460" w:lineRule="exact"/>
        <w:ind w:firstLine="424"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2.乙方供应的货物（食材）必须符合国家和地方政府相关法规的要求</w:t>
      </w:r>
      <w:r>
        <w:rPr>
          <w:rFonts w:hint="eastAsia" w:ascii="宋体" w:hAnsi="宋体" w:eastAsia="宋体" w:cs="宋体"/>
          <w:color w:val="auto"/>
          <w:szCs w:val="21"/>
          <w:highlight w:val="none"/>
        </w:rPr>
        <w:t>和标准，确保所供货物（食</w:t>
      </w:r>
      <w:r>
        <w:rPr>
          <w:rFonts w:hint="eastAsia" w:ascii="宋体" w:hAnsi="宋体" w:eastAsia="宋体" w:cs="宋体"/>
          <w:color w:val="auto"/>
          <w:spacing w:val="-1"/>
          <w:szCs w:val="21"/>
          <w:highlight w:val="none"/>
        </w:rPr>
        <w:t>材）安全、卫生，不得将有毒、有害、等不合格货物（食材）供给甲方。包装食品物资必须通过 SC 认</w:t>
      </w:r>
      <w:r>
        <w:rPr>
          <w:rFonts w:hint="eastAsia" w:ascii="宋体" w:hAnsi="宋体" w:eastAsia="宋体" w:cs="宋体"/>
          <w:color w:val="auto"/>
          <w:spacing w:val="-3"/>
          <w:szCs w:val="21"/>
          <w:highlight w:val="none"/>
        </w:rPr>
        <w:t>证，或印有相应的SC认证标志。</w:t>
      </w:r>
    </w:p>
    <w:p w14:paraId="471DB945">
      <w:pPr>
        <w:spacing w:line="460" w:lineRule="exact"/>
        <w:ind w:firstLine="416" w:firstLineChars="20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lang w:val="en-US" w:eastAsia="zh-CN"/>
        </w:rPr>
        <w:t>3.</w:t>
      </w:r>
      <w:r>
        <w:rPr>
          <w:rFonts w:hint="eastAsia" w:ascii="宋体" w:hAnsi="宋体" w:eastAsia="宋体" w:cs="宋体"/>
          <w:color w:val="auto"/>
          <w:spacing w:val="-1"/>
          <w:szCs w:val="21"/>
          <w:highlight w:val="none"/>
        </w:rPr>
        <w:t>乙方必须保证供货的质量，符合竞争性磋商文件中的货物（食材）验收标准的要求。乙方每次配送时须提供本批次出厂（库）检验合格证明、产品合格证及批次质检报告，证明文件与食材一同送达学校（随车同行），并且在食材包装上贴上出厂标签，标签上注明配送公司、出库时间、重量等内容。配送食材必须从配送企业的分拣仓库出库，在食材包装上粘贴出库标签，注明配送公司名称、食材品名、出库时间、重量等内容；如发现质量问题，乙方必须按甲方要求在限时内包退包换。</w:t>
      </w:r>
    </w:p>
    <w:p w14:paraId="5F1F2015">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lang w:val="en-US" w:eastAsia="zh-CN"/>
        </w:rPr>
        <w:t>4</w:t>
      </w:r>
      <w:r>
        <w:rPr>
          <w:rFonts w:hint="eastAsia" w:ascii="宋体" w:hAnsi="宋体" w:eastAsia="宋体" w:cs="宋体"/>
          <w:color w:val="auto"/>
          <w:spacing w:val="-1"/>
          <w:szCs w:val="21"/>
          <w:highlight w:val="none"/>
        </w:rPr>
        <w:t>.乙方必须遵守甲方各项规章制度，必须按国家相关法律法规和甲方的要求、按质、按量、按时向</w:t>
      </w:r>
      <w:r>
        <w:rPr>
          <w:rFonts w:hint="eastAsia" w:ascii="宋体" w:hAnsi="宋体" w:eastAsia="宋体" w:cs="宋体"/>
          <w:color w:val="auto"/>
          <w:spacing w:val="2"/>
          <w:szCs w:val="21"/>
          <w:highlight w:val="none"/>
        </w:rPr>
        <w:t>甲方供应合同所标的货物（食材）。由于乙</w:t>
      </w:r>
      <w:r>
        <w:rPr>
          <w:rFonts w:hint="eastAsia" w:ascii="宋体" w:hAnsi="宋体" w:eastAsia="宋体" w:cs="宋体"/>
          <w:color w:val="auto"/>
          <w:spacing w:val="1"/>
          <w:szCs w:val="21"/>
          <w:highlight w:val="none"/>
        </w:rPr>
        <w:t>方未按甲方要求或国家有关标准供货造成甲方或第三方</w:t>
      </w:r>
      <w:r>
        <w:rPr>
          <w:rFonts w:hint="eastAsia" w:ascii="宋体" w:hAnsi="宋体" w:eastAsia="宋体" w:cs="宋体"/>
          <w:color w:val="auto"/>
          <w:szCs w:val="21"/>
          <w:highlight w:val="none"/>
        </w:rPr>
        <w:t>损害的，乙方应承担由此产生的全部法律责任及经济</w:t>
      </w:r>
      <w:r>
        <w:rPr>
          <w:rFonts w:hint="eastAsia" w:ascii="宋体" w:hAnsi="宋体" w:eastAsia="宋体" w:cs="宋体"/>
          <w:color w:val="auto"/>
          <w:spacing w:val="-1"/>
          <w:szCs w:val="21"/>
          <w:highlight w:val="none"/>
        </w:rPr>
        <w:t>损失。</w:t>
      </w:r>
    </w:p>
    <w:p w14:paraId="5C2B801D">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lang w:val="en-US" w:eastAsia="zh-CN"/>
        </w:rPr>
        <w:t>5</w:t>
      </w:r>
      <w:r>
        <w:rPr>
          <w:rFonts w:hint="eastAsia" w:ascii="宋体" w:hAnsi="宋体" w:eastAsia="宋体" w:cs="宋体"/>
          <w:color w:val="auto"/>
          <w:spacing w:val="-1"/>
          <w:szCs w:val="21"/>
          <w:highlight w:val="none"/>
        </w:rPr>
        <w:t>.乙方在给甲方运输配送货物（食材）时，必须有必要的密封保护措施，避免货物（食材）直接暴</w:t>
      </w:r>
      <w:r>
        <w:rPr>
          <w:rFonts w:hint="eastAsia" w:ascii="宋体" w:hAnsi="宋体" w:eastAsia="宋体" w:cs="宋体"/>
          <w:color w:val="auto"/>
          <w:szCs w:val="21"/>
          <w:highlight w:val="none"/>
        </w:rPr>
        <w:t>露在外，同时要做好配送车辆的清洁工作，避免货物（食材</w:t>
      </w:r>
      <w:r>
        <w:rPr>
          <w:rFonts w:hint="eastAsia" w:ascii="宋体" w:hAnsi="宋体" w:eastAsia="宋体" w:cs="宋体"/>
          <w:color w:val="auto"/>
          <w:spacing w:val="-1"/>
          <w:szCs w:val="21"/>
          <w:highlight w:val="none"/>
        </w:rPr>
        <w:t>）遭受二次污染。</w:t>
      </w:r>
    </w:p>
    <w:p w14:paraId="16CBE800">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lang w:val="en-US" w:eastAsia="zh-CN"/>
        </w:rPr>
        <w:t>6</w:t>
      </w:r>
      <w:r>
        <w:rPr>
          <w:rFonts w:hint="eastAsia" w:ascii="宋体" w:hAnsi="宋体" w:eastAsia="宋体" w:cs="宋体"/>
          <w:color w:val="auto"/>
          <w:spacing w:val="-1"/>
          <w:szCs w:val="21"/>
          <w:highlight w:val="none"/>
        </w:rPr>
        <w:t>.乙方不得擅自将供货资格全部或部分转包给第三人，否则，甲方有权选择要求乙方及时整改，并按500元/次的标准支付违约金；或甲方有权选择解</w:t>
      </w:r>
      <w:r>
        <w:rPr>
          <w:rFonts w:hint="eastAsia" w:ascii="宋体" w:hAnsi="宋体" w:eastAsia="宋体" w:cs="宋体"/>
          <w:color w:val="auto"/>
          <w:spacing w:val="-2"/>
          <w:szCs w:val="21"/>
          <w:highlight w:val="none"/>
        </w:rPr>
        <w:t>除本合同，取消乙方及第三方的供货资格，并要求</w:t>
      </w:r>
      <w:r>
        <w:rPr>
          <w:rFonts w:hint="eastAsia" w:ascii="宋体" w:hAnsi="宋体" w:eastAsia="宋体" w:cs="宋体"/>
          <w:color w:val="auto"/>
          <w:spacing w:val="-1"/>
          <w:szCs w:val="21"/>
          <w:highlight w:val="none"/>
        </w:rPr>
        <w:t>乙方按约定的数额标准支付解约违约金。如在转</w:t>
      </w:r>
      <w:r>
        <w:rPr>
          <w:rFonts w:hint="eastAsia" w:ascii="宋体" w:hAnsi="宋体" w:eastAsia="宋体" w:cs="宋体"/>
          <w:color w:val="auto"/>
          <w:spacing w:val="-2"/>
          <w:szCs w:val="21"/>
          <w:highlight w:val="none"/>
        </w:rPr>
        <w:t>包过程中造成饮食卫生安全事故等甲方或第</w:t>
      </w:r>
      <w:r>
        <w:rPr>
          <w:rFonts w:hint="eastAsia" w:ascii="宋体" w:hAnsi="宋体" w:eastAsia="宋体" w:cs="宋体"/>
          <w:color w:val="auto"/>
          <w:szCs w:val="21"/>
          <w:highlight w:val="none"/>
        </w:rPr>
        <w:t>三方损害的，乙方应承担由此产生的全部法律责任及经济</w:t>
      </w:r>
      <w:r>
        <w:rPr>
          <w:rFonts w:hint="eastAsia" w:ascii="宋体" w:hAnsi="宋体" w:eastAsia="宋体" w:cs="宋体"/>
          <w:color w:val="auto"/>
          <w:spacing w:val="-1"/>
          <w:szCs w:val="21"/>
          <w:highlight w:val="none"/>
        </w:rPr>
        <w:t>损失。</w:t>
      </w:r>
    </w:p>
    <w:p w14:paraId="36E70771">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lang w:val="en-US" w:eastAsia="zh-CN"/>
        </w:rPr>
        <w:t>7</w:t>
      </w:r>
      <w:r>
        <w:rPr>
          <w:rFonts w:hint="eastAsia" w:ascii="宋体" w:hAnsi="宋体" w:eastAsia="宋体" w:cs="宋体"/>
          <w:color w:val="auto"/>
          <w:spacing w:val="-1"/>
          <w:szCs w:val="21"/>
          <w:highlight w:val="none"/>
        </w:rPr>
        <w:t>.乙方因自身原因无法给甲方继续供货的，必须提前一个月以书面形式通知甲方，经甲方同意</w:t>
      </w:r>
      <w:r>
        <w:rPr>
          <w:rFonts w:hint="eastAsia" w:ascii="宋体" w:hAnsi="宋体" w:eastAsia="宋体" w:cs="宋体"/>
          <w:color w:val="auto"/>
          <w:spacing w:val="-2"/>
          <w:szCs w:val="21"/>
          <w:highlight w:val="none"/>
        </w:rPr>
        <w:t>，另行确定供应商接替其供应工作后方能提前终止本合同。否则，视为乙方少送</w:t>
      </w:r>
      <w:r>
        <w:rPr>
          <w:rFonts w:hint="eastAsia" w:ascii="宋体" w:hAnsi="宋体" w:eastAsia="宋体" w:cs="宋体"/>
          <w:color w:val="auto"/>
          <w:spacing w:val="-3"/>
          <w:szCs w:val="21"/>
          <w:highlight w:val="none"/>
        </w:rPr>
        <w:t>、漏送货物（食材</w:t>
      </w:r>
      <w:r>
        <w:rPr>
          <w:rFonts w:hint="eastAsia" w:ascii="宋体" w:hAnsi="宋体" w:eastAsia="宋体" w:cs="宋体"/>
          <w:color w:val="auto"/>
          <w:spacing w:val="1"/>
          <w:szCs w:val="21"/>
          <w:highlight w:val="none"/>
        </w:rPr>
        <w:t>），</w:t>
      </w:r>
      <w:r>
        <w:rPr>
          <w:rFonts w:hint="eastAsia" w:ascii="宋体" w:hAnsi="宋体" w:eastAsia="宋体" w:cs="宋体"/>
          <w:color w:val="auto"/>
          <w:spacing w:val="-3"/>
          <w:szCs w:val="21"/>
          <w:highlight w:val="none"/>
        </w:rPr>
        <w:t>甲方</w:t>
      </w:r>
      <w:r>
        <w:rPr>
          <w:rFonts w:hint="eastAsia" w:ascii="宋体" w:hAnsi="宋体" w:eastAsia="宋体" w:cs="宋体"/>
          <w:color w:val="auto"/>
          <w:spacing w:val="-1"/>
          <w:szCs w:val="21"/>
          <w:highlight w:val="none"/>
        </w:rPr>
        <w:t>有权按第一条第（三）款约定追究乙方相应的违约责任。</w:t>
      </w:r>
    </w:p>
    <w:p w14:paraId="3CCA44D6">
      <w:pPr>
        <w:spacing w:line="460" w:lineRule="exact"/>
        <w:ind w:firstLine="412"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lang w:val="en-US" w:eastAsia="zh-CN"/>
        </w:rPr>
        <w:t>8</w:t>
      </w:r>
      <w:r>
        <w:rPr>
          <w:rFonts w:hint="eastAsia" w:ascii="宋体" w:hAnsi="宋体" w:eastAsia="宋体" w:cs="宋体"/>
          <w:color w:val="auto"/>
          <w:spacing w:val="-2"/>
          <w:szCs w:val="21"/>
          <w:highlight w:val="none"/>
        </w:rPr>
        <w:t>.乙方不能擅自提高供货价格或变相提高价格（如降低供货质量</w:t>
      </w:r>
      <w:r>
        <w:rPr>
          <w:rFonts w:hint="eastAsia" w:ascii="宋体" w:hAnsi="宋体" w:eastAsia="宋体" w:cs="宋体"/>
          <w:color w:val="auto"/>
          <w:spacing w:val="-3"/>
          <w:szCs w:val="21"/>
          <w:highlight w:val="none"/>
        </w:rPr>
        <w:t>或标准等行为</w:t>
      </w:r>
      <w:r>
        <w:rPr>
          <w:rFonts w:hint="eastAsia" w:ascii="宋体" w:hAnsi="宋体" w:eastAsia="宋体" w:cs="宋体"/>
          <w:color w:val="auto"/>
          <w:spacing w:val="-39"/>
          <w:szCs w:val="21"/>
          <w:highlight w:val="none"/>
        </w:rPr>
        <w:t>），</w:t>
      </w:r>
      <w:r>
        <w:rPr>
          <w:rFonts w:hint="eastAsia" w:ascii="宋体" w:hAnsi="宋体" w:eastAsia="宋体" w:cs="宋体"/>
          <w:color w:val="auto"/>
          <w:spacing w:val="-3"/>
          <w:szCs w:val="21"/>
          <w:highlight w:val="none"/>
        </w:rPr>
        <w:t>严禁以更换包装、</w:t>
      </w:r>
      <w:r>
        <w:rPr>
          <w:rFonts w:hint="eastAsia" w:ascii="宋体" w:hAnsi="宋体" w:eastAsia="宋体" w:cs="宋体"/>
          <w:color w:val="auto"/>
          <w:spacing w:val="-1"/>
          <w:szCs w:val="21"/>
          <w:highlight w:val="none"/>
        </w:rPr>
        <w:t>规格、品牌等形式提高供货价格。</w:t>
      </w:r>
    </w:p>
    <w:p w14:paraId="1C68FFAD">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lang w:val="en-US" w:eastAsia="zh-CN"/>
        </w:rPr>
        <w:t>9</w:t>
      </w:r>
      <w:r>
        <w:rPr>
          <w:rFonts w:hint="eastAsia" w:ascii="宋体" w:hAnsi="宋体" w:eastAsia="宋体" w:cs="宋体"/>
          <w:color w:val="auto"/>
          <w:spacing w:val="-1"/>
          <w:szCs w:val="21"/>
          <w:highlight w:val="none"/>
        </w:rPr>
        <w:t>.乙方在运输配送货物（食材）过程中或因乙方所供货物（食材）质量造成的所有经济赔偿责任、法律责任、劳动纠纷和经济损失等全部由乙方承担。</w:t>
      </w:r>
    </w:p>
    <w:p w14:paraId="168B562E">
      <w:pPr>
        <w:spacing w:line="460" w:lineRule="exact"/>
        <w:ind w:firstLine="410" w:firstLineChars="200"/>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三、违约责任</w:t>
      </w:r>
    </w:p>
    <w:p w14:paraId="33316DBB">
      <w:pPr>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所供食材因质量问题发生食物中毒等事故，由</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承担经济赔偿责任以及其他相关法律责任，</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有权单方面解除合同。</w:t>
      </w:r>
    </w:p>
    <w:p w14:paraId="2EDBB389">
      <w:pPr>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2.如发现</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因自身原因不能按要求使用厢式运输车辆配送的，每发现一次从结算款中扣除500元（车辆在运输中出现故障需要更换车辆或应急采购的除外），食材品质或供货时间因此受到影响的，</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保留追究</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相关责任的权利。每月超过2次未使用厢式运输车辆供货的，</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有权单方面终止合同，</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须承担由此给</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带来的损失。</w:t>
      </w:r>
    </w:p>
    <w:p w14:paraId="76464AF7">
      <w:pPr>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拒绝履行合同义务的，</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有权单方面终止合同。</w:t>
      </w:r>
    </w:p>
    <w:p w14:paraId="74687195">
      <w:pPr>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连续2次或半年内累计超过3次所供食材达不到竞争性磋商文件中的品质要求或响应文件中对品质要求的承诺时，</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有权单方面终止合同。</w:t>
      </w:r>
    </w:p>
    <w:p w14:paraId="3836A033">
      <w:pPr>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所供应的食材必须与物品清单的品名、规格、数量、单价一致。随货出具应提供与实物一致的相关证明，出现食材与物品清单、相关证明不一致的，学校伙房有权拒收，因此产生的费用和损失由</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承担，造成学校伙房无法正常运转的，</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须向</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支付违约金每次人民币500元，</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同时提出整改意见。</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提出整改意见后</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仍不改正的，</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有权终止</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供应资格。</w:t>
      </w:r>
    </w:p>
    <w:p w14:paraId="69DB3407">
      <w:pPr>
        <w:spacing w:line="460" w:lineRule="exact"/>
        <w:ind w:firstLine="406" w:firstLineChars="200"/>
        <w:rPr>
          <w:rFonts w:hint="eastAsia" w:ascii="宋体" w:hAnsi="宋体" w:eastAsia="宋体" w:cs="宋体"/>
          <w:color w:val="auto"/>
          <w:szCs w:val="21"/>
          <w:highlight w:val="none"/>
        </w:rPr>
      </w:pPr>
      <w:r>
        <w:rPr>
          <w:rFonts w:hint="eastAsia" w:ascii="宋体" w:hAnsi="宋体" w:eastAsia="宋体" w:cs="宋体"/>
          <w:b/>
          <w:bCs/>
          <w:color w:val="auto"/>
          <w:spacing w:val="-4"/>
          <w:szCs w:val="21"/>
          <w:highlight w:val="none"/>
        </w:rPr>
        <w:t>四、合同变更、解除或终止</w:t>
      </w:r>
    </w:p>
    <w:p w14:paraId="6B31E3F9">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（一）合同期满自然终止。</w:t>
      </w:r>
    </w:p>
    <w:p w14:paraId="5EF175A3">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（二）由于国家政策等不可抗力造成双方无法继续履行合同的，合同自然终止。</w:t>
      </w:r>
    </w:p>
    <w:p w14:paraId="350845A8">
      <w:pPr>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（三）除本合同另有约定外，合同履行期间，乙方有下列情形之一的，甲方有权单方解除合同，并</w:t>
      </w:r>
      <w:r>
        <w:rPr>
          <w:rFonts w:hint="eastAsia" w:ascii="宋体" w:hAnsi="宋体" w:eastAsia="宋体" w:cs="宋体"/>
          <w:color w:val="auto"/>
          <w:spacing w:val="-2"/>
          <w:szCs w:val="21"/>
          <w:highlight w:val="none"/>
        </w:rPr>
        <w:t>要求乙方按约定的数额标准支付解约违约金：</w:t>
      </w:r>
    </w:p>
    <w:p w14:paraId="6AE18E08">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1.乙方供货证照、资质、质量、服务等未符合国家规定或甲方要求的，</w:t>
      </w:r>
      <w:r>
        <w:rPr>
          <w:rFonts w:hint="eastAsia" w:ascii="宋体" w:hAnsi="宋体" w:eastAsia="宋体" w:cs="宋体"/>
          <w:color w:val="auto"/>
          <w:spacing w:val="-2"/>
          <w:szCs w:val="21"/>
          <w:highlight w:val="none"/>
        </w:rPr>
        <w:t>在接到甲方书面通知后拒不</w:t>
      </w:r>
      <w:r>
        <w:rPr>
          <w:rFonts w:hint="eastAsia" w:ascii="宋体" w:hAnsi="宋体" w:eastAsia="宋体" w:cs="宋体"/>
          <w:color w:val="auto"/>
          <w:spacing w:val="-1"/>
          <w:szCs w:val="21"/>
          <w:highlight w:val="none"/>
        </w:rPr>
        <w:t>在规定时间内整改的。</w:t>
      </w:r>
    </w:p>
    <w:p w14:paraId="1544C78A">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2.由于乙方供应的货物（食材）造成食物中毒或群体性事件等责任事故的。</w:t>
      </w:r>
    </w:p>
    <w:p w14:paraId="0815D713">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3.无论何种原因，乙方未经甲方书面同意，擅自提高供货价格或通过降低质量、标准、更换包装等方式变相提高供货价格的。</w:t>
      </w:r>
    </w:p>
    <w:p w14:paraId="3B4C8570">
      <w:pPr>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4.乙方违反甲方规章制度的，经甲方提出</w:t>
      </w:r>
      <w:r>
        <w:rPr>
          <w:rFonts w:hint="eastAsia" w:ascii="宋体" w:hAnsi="宋体" w:eastAsia="宋体" w:cs="宋体"/>
          <w:color w:val="auto"/>
          <w:spacing w:val="-1"/>
          <w:szCs w:val="21"/>
          <w:highlight w:val="none"/>
        </w:rPr>
        <w:t>后，未按规定整改或再次违反规定的。</w:t>
      </w:r>
    </w:p>
    <w:p w14:paraId="4934D2FF">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5.乙方拒不配合或干扰学校对其供货质量、场地、设施、人员等进行检查的。</w:t>
      </w:r>
    </w:p>
    <w:p w14:paraId="6CE573D1">
      <w:pPr>
        <w:spacing w:line="460" w:lineRule="exact"/>
        <w:ind w:firstLine="412"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6.其它违犯法律法规的情形。</w:t>
      </w:r>
    </w:p>
    <w:p w14:paraId="3C9EA6DE">
      <w:pPr>
        <w:spacing w:line="460" w:lineRule="exact"/>
        <w:ind w:firstLine="410" w:firstLineChars="200"/>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五、不可抗力事件处理</w:t>
      </w:r>
    </w:p>
    <w:p w14:paraId="774834A2">
      <w:pPr>
        <w:spacing w:line="460" w:lineRule="exact"/>
        <w:ind w:firstLine="424"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1．在合同有效期内，乙方因不可抗力事件导致不能履行合同，则合同履行期可延长，其延长期与</w:t>
      </w:r>
      <w:r>
        <w:rPr>
          <w:rFonts w:hint="eastAsia" w:ascii="宋体" w:hAnsi="宋体" w:eastAsia="宋体" w:cs="宋体"/>
          <w:color w:val="auto"/>
          <w:spacing w:val="-1"/>
          <w:szCs w:val="21"/>
          <w:highlight w:val="none"/>
        </w:rPr>
        <w:t>不可抗力影响期相同。</w:t>
      </w:r>
    </w:p>
    <w:p w14:paraId="4CB7AC24">
      <w:pPr>
        <w:spacing w:line="460" w:lineRule="exact"/>
        <w:ind w:firstLine="420" w:firstLineChars="200"/>
        <w:rPr>
          <w:rFonts w:hint="eastAsia" w:ascii="宋体" w:hAnsi="宋体" w:eastAsia="宋体" w:cs="宋体"/>
          <w:color w:val="auto"/>
          <w:spacing w:val="-1"/>
          <w:szCs w:val="21"/>
          <w:highlight w:val="none"/>
        </w:rPr>
      </w:pPr>
      <w:r>
        <w:rPr>
          <w:rFonts w:hint="eastAsia" w:ascii="宋体" w:hAnsi="宋体" w:eastAsia="宋体" w:cs="宋体"/>
          <w:color w:val="auto"/>
          <w:szCs w:val="21"/>
          <w:highlight w:val="none"/>
        </w:rPr>
        <w:t>2.不可抗力事件发生后，应立即通知对方，并寄送有关权威机构出</w:t>
      </w:r>
      <w:r>
        <w:rPr>
          <w:rFonts w:hint="eastAsia" w:ascii="宋体" w:hAnsi="宋体" w:eastAsia="宋体" w:cs="宋体"/>
          <w:color w:val="auto"/>
          <w:spacing w:val="-1"/>
          <w:szCs w:val="21"/>
          <w:highlight w:val="none"/>
        </w:rPr>
        <w:t>具的证明。</w:t>
      </w:r>
    </w:p>
    <w:p w14:paraId="453E711C">
      <w:pPr>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w:t>
      </w:r>
      <w:r>
        <w:rPr>
          <w:rFonts w:hint="eastAsia" w:ascii="宋体" w:hAnsi="宋体" w:eastAsia="宋体" w:cs="宋体"/>
          <w:color w:val="auto"/>
          <w:spacing w:val="-1"/>
          <w:szCs w:val="21"/>
          <w:highlight w:val="none"/>
        </w:rPr>
        <w:t>，确定是否继续</w:t>
      </w:r>
      <w:r>
        <w:rPr>
          <w:rFonts w:hint="eastAsia" w:ascii="宋体" w:hAnsi="宋体" w:eastAsia="宋体" w:cs="宋体"/>
          <w:color w:val="auto"/>
          <w:spacing w:val="-5"/>
          <w:szCs w:val="21"/>
          <w:highlight w:val="none"/>
        </w:rPr>
        <w:t>履行合同。</w:t>
      </w:r>
    </w:p>
    <w:p w14:paraId="261E499B">
      <w:pPr>
        <w:spacing w:line="460" w:lineRule="exact"/>
        <w:ind w:firstLine="414" w:firstLineChars="200"/>
        <w:rPr>
          <w:rFonts w:hint="eastAsia" w:ascii="宋体" w:hAnsi="宋体" w:eastAsia="宋体" w:cs="宋体"/>
          <w:color w:val="auto"/>
          <w:szCs w:val="21"/>
          <w:highlight w:val="none"/>
        </w:rPr>
      </w:pPr>
      <w:r>
        <w:rPr>
          <w:rFonts w:hint="eastAsia" w:ascii="宋体" w:hAnsi="宋体" w:eastAsia="宋体" w:cs="宋体"/>
          <w:b/>
          <w:bCs/>
          <w:color w:val="auto"/>
          <w:spacing w:val="-2"/>
          <w:szCs w:val="21"/>
          <w:highlight w:val="none"/>
        </w:rPr>
        <w:t>六、合同争议解决</w:t>
      </w:r>
    </w:p>
    <w:p w14:paraId="44D9F750">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1.因服务问题发生争议的，应邀请国家认可的相关机构进行鉴定</w:t>
      </w:r>
      <w:r>
        <w:rPr>
          <w:rFonts w:hint="eastAsia" w:ascii="宋体" w:hAnsi="宋体" w:eastAsia="宋体" w:cs="宋体"/>
          <w:color w:val="auto"/>
          <w:spacing w:val="-2"/>
          <w:szCs w:val="21"/>
          <w:highlight w:val="none"/>
        </w:rPr>
        <w:t>。服务符合要求的，鉴定费由甲方</w:t>
      </w:r>
      <w:r>
        <w:rPr>
          <w:rFonts w:hint="eastAsia" w:ascii="宋体" w:hAnsi="宋体" w:eastAsia="宋体" w:cs="宋体"/>
          <w:color w:val="auto"/>
          <w:spacing w:val="-1"/>
          <w:szCs w:val="21"/>
          <w:highlight w:val="none"/>
        </w:rPr>
        <w:t>承担；服务不符合要求的，鉴定费由乙方承担。</w:t>
      </w:r>
    </w:p>
    <w:p w14:paraId="5D08C9EB">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2.因履行本合同引起的或与本合同有关的争议，甲乙双方应首先通过友好协商解决，如果协商不能解决，可向</w:t>
      </w:r>
      <w:r>
        <w:rPr>
          <w:rFonts w:hint="eastAsia" w:ascii="宋体" w:hAnsi="宋体" w:eastAsia="宋体" w:cs="宋体"/>
          <w:color w:val="auto"/>
          <w:spacing w:val="-1"/>
          <w:szCs w:val="21"/>
          <w:highlight w:val="none"/>
        </w:rPr>
        <w:t>七星区</w:t>
      </w:r>
      <w:r>
        <w:rPr>
          <w:rFonts w:hint="eastAsia" w:ascii="宋体" w:hAnsi="宋体" w:eastAsia="宋体" w:cs="宋体"/>
          <w:color w:val="auto"/>
          <w:spacing w:val="-1"/>
          <w:szCs w:val="21"/>
          <w:highlight w:val="none"/>
        </w:rPr>
        <w:t>人民法院提起诉讼。</w:t>
      </w:r>
    </w:p>
    <w:p w14:paraId="014D6182">
      <w:pPr>
        <w:spacing w:line="460" w:lineRule="exact"/>
        <w:ind w:firstLine="412"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3.诉讼期间，本合同继续履行。</w:t>
      </w:r>
    </w:p>
    <w:p w14:paraId="740BFD7E">
      <w:pPr>
        <w:spacing w:line="460" w:lineRule="exact"/>
        <w:ind w:firstLine="414" w:firstLineChars="200"/>
        <w:rPr>
          <w:rFonts w:hint="eastAsia" w:ascii="宋体" w:hAnsi="宋体" w:eastAsia="宋体" w:cs="宋体"/>
          <w:color w:val="auto"/>
          <w:szCs w:val="21"/>
          <w:highlight w:val="none"/>
        </w:rPr>
      </w:pPr>
      <w:r>
        <w:rPr>
          <w:rFonts w:hint="eastAsia" w:ascii="宋体" w:hAnsi="宋体" w:eastAsia="宋体" w:cs="宋体"/>
          <w:b/>
          <w:bCs/>
          <w:color w:val="auto"/>
          <w:spacing w:val="-2"/>
          <w:szCs w:val="21"/>
          <w:highlight w:val="none"/>
        </w:rPr>
        <w:t>七、合同生效及其它</w:t>
      </w:r>
    </w:p>
    <w:p w14:paraId="6A265021">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1.合同经甲乙双方法定代表人、负责人、自然人或相应的授权代表签字并加盖单位公章后生效。</w:t>
      </w:r>
    </w:p>
    <w:p w14:paraId="5547C821">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2.合同执行中涉及采购资金和采购内容修改或补充的，需经</w:t>
      </w:r>
      <w:r>
        <w:rPr>
          <w:rFonts w:hint="eastAsia" w:ascii="宋体" w:hAnsi="宋体" w:eastAsia="宋体" w:cs="宋体"/>
          <w:color w:val="auto"/>
          <w:spacing w:val="-1"/>
          <w:szCs w:val="21"/>
          <w:highlight w:val="none"/>
        </w:rPr>
        <w:t>桂林市七星区</w:t>
      </w:r>
      <w:r>
        <w:rPr>
          <w:rFonts w:hint="eastAsia" w:ascii="宋体" w:hAnsi="宋体" w:eastAsia="宋体" w:cs="宋体"/>
          <w:color w:val="auto"/>
          <w:spacing w:val="-1"/>
          <w:szCs w:val="21"/>
          <w:highlight w:val="none"/>
        </w:rPr>
        <w:t>财政部门审批，并签订书</w:t>
      </w:r>
      <w:r>
        <w:rPr>
          <w:rFonts w:hint="eastAsia" w:ascii="宋体" w:hAnsi="宋体" w:eastAsia="宋体" w:cs="宋体"/>
          <w:color w:val="auto"/>
          <w:szCs w:val="21"/>
          <w:highlight w:val="none"/>
        </w:rPr>
        <w:t>面补充协议报</w:t>
      </w:r>
      <w:r>
        <w:rPr>
          <w:rFonts w:hint="eastAsia" w:ascii="宋体" w:hAnsi="宋体" w:eastAsia="宋体" w:cs="宋体"/>
          <w:color w:val="auto"/>
          <w:szCs w:val="21"/>
          <w:highlight w:val="none"/>
        </w:rPr>
        <w:t>桂林市七星区</w:t>
      </w:r>
      <w:r>
        <w:rPr>
          <w:rFonts w:hint="eastAsia" w:ascii="宋体" w:hAnsi="宋体" w:eastAsia="宋体" w:cs="宋体"/>
          <w:color w:val="auto"/>
          <w:szCs w:val="21"/>
          <w:highlight w:val="none"/>
        </w:rPr>
        <w:t>政府采购管理办公室备</w:t>
      </w:r>
      <w:r>
        <w:rPr>
          <w:rFonts w:hint="eastAsia" w:ascii="宋体" w:hAnsi="宋体" w:eastAsia="宋体" w:cs="宋体"/>
          <w:color w:val="auto"/>
          <w:spacing w:val="-1"/>
          <w:szCs w:val="21"/>
          <w:highlight w:val="none"/>
        </w:rPr>
        <w:t>案，方可作为主合同不可分割的一部分。</w:t>
      </w:r>
    </w:p>
    <w:p w14:paraId="47919531">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3.本合同未尽事宜，遵照《民法典》有关条文执行。</w:t>
      </w:r>
    </w:p>
    <w:p w14:paraId="73D770B9">
      <w:pPr>
        <w:spacing w:line="460" w:lineRule="exact"/>
        <w:ind w:firstLine="410" w:firstLineChars="200"/>
        <w:rPr>
          <w:rFonts w:hint="eastAsia" w:ascii="宋体" w:hAnsi="宋体" w:eastAsia="宋体" w:cs="宋体"/>
          <w:color w:val="auto"/>
          <w:szCs w:val="21"/>
          <w:highlight w:val="none"/>
        </w:rPr>
      </w:pPr>
      <w:r>
        <w:rPr>
          <w:rFonts w:hint="eastAsia" w:ascii="宋体" w:hAnsi="宋体" w:eastAsia="宋体" w:cs="宋体"/>
          <w:b/>
          <w:bCs/>
          <w:color w:val="auto"/>
          <w:spacing w:val="-3"/>
          <w:szCs w:val="21"/>
          <w:highlight w:val="none"/>
        </w:rPr>
        <w:t>八、合同的变更、终止与转让</w:t>
      </w:r>
    </w:p>
    <w:p w14:paraId="27945728">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1.除《中华人民共和国政府采购法》第五十条规定的情形外，本合同一</w:t>
      </w:r>
      <w:r>
        <w:rPr>
          <w:rFonts w:hint="eastAsia" w:ascii="宋体" w:hAnsi="宋体" w:eastAsia="宋体" w:cs="宋体"/>
          <w:color w:val="auto"/>
          <w:spacing w:val="-2"/>
          <w:szCs w:val="21"/>
          <w:highlight w:val="none"/>
        </w:rPr>
        <w:t>经签订，甲乙双方不得擅自</w:t>
      </w:r>
      <w:r>
        <w:rPr>
          <w:rFonts w:hint="eastAsia" w:ascii="宋体" w:hAnsi="宋体" w:eastAsia="宋体" w:cs="宋体"/>
          <w:color w:val="auto"/>
          <w:spacing w:val="-3"/>
          <w:szCs w:val="21"/>
          <w:highlight w:val="none"/>
        </w:rPr>
        <w:t>变更，中止或终止。</w:t>
      </w:r>
    </w:p>
    <w:p w14:paraId="5A4F51AD">
      <w:pPr>
        <w:spacing w:line="460" w:lineRule="exact"/>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2.乙方不得擅自转让其应履行的合同义务。</w:t>
      </w:r>
    </w:p>
    <w:p w14:paraId="7A7B4BCC">
      <w:pPr>
        <w:spacing w:line="460" w:lineRule="exact"/>
        <w:ind w:firstLine="413" w:firstLineChars="196"/>
        <w:rPr>
          <w:rFonts w:hint="eastAsia" w:ascii="宋体" w:hAnsi="宋体" w:eastAsia="宋体" w:cs="宋体"/>
          <w:b/>
          <w:color w:val="auto"/>
          <w:highlight w:val="none"/>
        </w:rPr>
      </w:pPr>
      <w:r>
        <w:rPr>
          <w:rFonts w:hint="eastAsia" w:ascii="宋体" w:hAnsi="宋体" w:eastAsia="宋体" w:cs="宋体"/>
          <w:b/>
          <w:color w:val="auto"/>
          <w:highlight w:val="none"/>
        </w:rPr>
        <w:t>九、签订本合同依据</w:t>
      </w:r>
    </w:p>
    <w:p w14:paraId="4DB18F43">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1.竞争性磋商文件；</w:t>
      </w:r>
    </w:p>
    <w:p w14:paraId="289CBF6B">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2.乙方提供的响应文件（应答文件）；</w:t>
      </w:r>
    </w:p>
    <w:p w14:paraId="6804F619">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3.服务承诺书（如有）；</w:t>
      </w:r>
    </w:p>
    <w:p w14:paraId="2350B205">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4.成交通知书。</w:t>
      </w:r>
    </w:p>
    <w:p w14:paraId="7AD8D825">
      <w:pPr>
        <w:wordWrap w:val="0"/>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甲乙双方签字盖章后生效，一式四份，具有同等法律效力，甲、乙双方各一份。政府采购合同双方自签订之日起1个工作日内将合同原件两份交采购代理机构。采购代理机构将政府采购合同在省级以上人民政府财政部门指定媒体上公告并存档。</w:t>
      </w:r>
    </w:p>
    <w:p w14:paraId="593CE9C2">
      <w:pPr>
        <w:wordWrap w:val="0"/>
        <w:spacing w:line="500" w:lineRule="exact"/>
        <w:rPr>
          <w:rFonts w:hint="eastAsia" w:ascii="宋体" w:hAnsi="宋体" w:eastAsia="宋体" w:cs="宋体"/>
          <w:color w:val="auto"/>
          <w:szCs w:val="21"/>
          <w:highlight w:val="none"/>
        </w:rPr>
      </w:pPr>
    </w:p>
    <w:p w14:paraId="0ED51F29">
      <w:pPr>
        <w:wordWrap w:val="0"/>
        <w:spacing w:line="5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甲方（公章）：                            乙方（公章，自然人除外）：</w:t>
      </w:r>
    </w:p>
    <w:p w14:paraId="1A88B0E9">
      <w:pPr>
        <w:wordWrap w:val="0"/>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法定代表人签字：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法定代表人（负责人、自然人）签字（属自然人的应</w:t>
      </w:r>
    </w:p>
    <w:p w14:paraId="3746508F">
      <w:pPr>
        <w:wordWrap w:val="0"/>
        <w:spacing w:line="5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在签名处加盖大拇指指印）：</w:t>
      </w:r>
    </w:p>
    <w:p w14:paraId="268C1931">
      <w:pPr>
        <w:tabs>
          <w:tab w:val="left" w:pos="4680"/>
        </w:tabs>
        <w:wordWrap w:val="0"/>
        <w:spacing w:line="5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委托代理人：                               委托代理人：</w:t>
      </w:r>
    </w:p>
    <w:p w14:paraId="6F5A0B85">
      <w:pPr>
        <w:tabs>
          <w:tab w:val="left" w:pos="5040"/>
        </w:tabs>
        <w:wordWrap w:val="0"/>
        <w:spacing w:line="5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电  话：                                   电   话： </w:t>
      </w:r>
    </w:p>
    <w:p w14:paraId="0AE61C27">
      <w:pPr>
        <w:tabs>
          <w:tab w:val="left" w:pos="5040"/>
        </w:tabs>
        <w:wordWrap w:val="0"/>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开户名称：                                 开户名称：</w:t>
      </w:r>
    </w:p>
    <w:p w14:paraId="2455FCA5">
      <w:pPr>
        <w:tabs>
          <w:tab w:val="left" w:pos="5040"/>
        </w:tabs>
        <w:wordWrap w:val="0"/>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开户银行：                                 开户银行：</w:t>
      </w:r>
    </w:p>
    <w:p w14:paraId="77A86FED">
      <w:pPr>
        <w:tabs>
          <w:tab w:val="left" w:pos="5040"/>
        </w:tabs>
        <w:wordWrap w:val="0"/>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银行账号：                                 银行账号：</w:t>
      </w:r>
    </w:p>
    <w:p w14:paraId="457533B4">
      <w:pPr>
        <w:tabs>
          <w:tab w:val="left" w:pos="5040"/>
        </w:tabs>
        <w:wordWrap w:val="0"/>
        <w:spacing w:line="500" w:lineRule="exact"/>
        <w:rPr>
          <w:rFonts w:hint="eastAsia" w:ascii="宋体" w:hAnsi="宋体" w:eastAsia="宋体" w:cs="宋体"/>
          <w:color w:val="auto"/>
          <w:kern w:val="0"/>
          <w:szCs w:val="21"/>
          <w:highlight w:val="none"/>
          <w:u w:val="single"/>
        </w:rPr>
      </w:pPr>
      <w:r>
        <w:rPr>
          <w:rFonts w:hint="eastAsia" w:ascii="宋体" w:hAnsi="宋体" w:eastAsia="宋体" w:cs="宋体"/>
          <w:color w:val="auto"/>
          <w:szCs w:val="21"/>
          <w:highlight w:val="none"/>
        </w:rPr>
        <w:t xml:space="preserve">    日    期：                                 日    期：</w:t>
      </w:r>
    </w:p>
    <w:p w14:paraId="4502C189">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26A6A714">
      <w:pPr>
        <w:rPr>
          <w:rFonts w:hint="eastAsia" w:ascii="宋体" w:hAnsi="宋体" w:eastAsia="宋体" w:cs="宋体"/>
          <w:b/>
          <w:color w:val="auto"/>
          <w:kern w:val="0"/>
          <w:sz w:val="32"/>
          <w:szCs w:val="32"/>
          <w:highlight w:val="none"/>
        </w:rPr>
      </w:pPr>
    </w:p>
    <w:p w14:paraId="4760A2A5">
      <w:pPr>
        <w:wordWrap w:val="0"/>
        <w:spacing w:line="440" w:lineRule="atLeast"/>
        <w:outlineLvl w:val="0"/>
        <w:rPr>
          <w:rFonts w:hint="eastAsia" w:ascii="宋体" w:hAnsi="宋体" w:eastAsia="宋体" w:cs="宋体"/>
          <w:b/>
          <w:color w:val="auto"/>
          <w:kern w:val="0"/>
          <w:sz w:val="32"/>
          <w:szCs w:val="32"/>
          <w:highlight w:val="none"/>
        </w:rPr>
      </w:pPr>
    </w:p>
    <w:p w14:paraId="1762AFEE">
      <w:pPr>
        <w:wordWrap w:val="0"/>
        <w:spacing w:line="440" w:lineRule="atLeast"/>
        <w:jc w:val="center"/>
        <w:outlineLvl w:val="0"/>
        <w:rPr>
          <w:rFonts w:hint="eastAsia" w:ascii="宋体" w:hAnsi="宋体" w:eastAsia="宋体" w:cs="宋体"/>
          <w:b/>
          <w:color w:val="auto"/>
          <w:kern w:val="0"/>
          <w:sz w:val="32"/>
          <w:szCs w:val="32"/>
          <w:highlight w:val="none"/>
        </w:rPr>
      </w:pPr>
    </w:p>
    <w:p w14:paraId="3892188D">
      <w:pPr>
        <w:wordWrap w:val="0"/>
        <w:spacing w:line="440" w:lineRule="atLeast"/>
        <w:jc w:val="center"/>
        <w:outlineLvl w:val="0"/>
        <w:rPr>
          <w:rFonts w:hint="eastAsia" w:ascii="宋体" w:hAnsi="宋体" w:eastAsia="宋体" w:cs="宋体"/>
          <w:b/>
          <w:color w:val="auto"/>
          <w:kern w:val="0"/>
          <w:sz w:val="32"/>
          <w:szCs w:val="32"/>
          <w:highlight w:val="none"/>
        </w:rPr>
      </w:pPr>
    </w:p>
    <w:p w14:paraId="6B632E51">
      <w:pPr>
        <w:wordWrap w:val="0"/>
        <w:spacing w:line="440" w:lineRule="atLeast"/>
        <w:jc w:val="center"/>
        <w:outlineLvl w:val="0"/>
        <w:rPr>
          <w:rFonts w:hint="eastAsia" w:ascii="宋体" w:hAnsi="宋体" w:eastAsia="宋体" w:cs="宋体"/>
          <w:b/>
          <w:color w:val="auto"/>
          <w:kern w:val="0"/>
          <w:sz w:val="32"/>
          <w:szCs w:val="32"/>
          <w:highlight w:val="none"/>
        </w:rPr>
      </w:pPr>
    </w:p>
    <w:p w14:paraId="53E48839">
      <w:pPr>
        <w:wordWrap w:val="0"/>
        <w:spacing w:line="440" w:lineRule="atLeast"/>
        <w:jc w:val="center"/>
        <w:outlineLvl w:val="0"/>
        <w:rPr>
          <w:rFonts w:hint="eastAsia" w:ascii="宋体" w:hAnsi="宋体" w:eastAsia="宋体" w:cs="宋体"/>
          <w:b/>
          <w:color w:val="auto"/>
          <w:kern w:val="0"/>
          <w:sz w:val="32"/>
          <w:szCs w:val="32"/>
          <w:highlight w:val="none"/>
        </w:rPr>
      </w:pPr>
    </w:p>
    <w:p w14:paraId="5BB651A2">
      <w:pPr>
        <w:pStyle w:val="17"/>
        <w:rPr>
          <w:rFonts w:hint="eastAsia" w:ascii="宋体" w:hAnsi="宋体" w:eastAsia="宋体" w:cs="宋体"/>
          <w:color w:val="auto"/>
          <w:highlight w:val="none"/>
        </w:rPr>
      </w:pPr>
    </w:p>
    <w:p w14:paraId="16A80367">
      <w:pPr>
        <w:wordWrap w:val="0"/>
        <w:rPr>
          <w:rFonts w:hint="eastAsia" w:ascii="宋体" w:hAnsi="宋体" w:eastAsia="宋体" w:cs="宋体"/>
          <w:color w:val="auto"/>
          <w:highlight w:val="none"/>
        </w:rPr>
      </w:pPr>
    </w:p>
    <w:p w14:paraId="66104A43">
      <w:pPr>
        <w:pStyle w:val="17"/>
        <w:rPr>
          <w:rFonts w:hint="eastAsia" w:ascii="宋体" w:hAnsi="宋体" w:eastAsia="宋体" w:cs="宋体"/>
          <w:color w:val="auto"/>
          <w:highlight w:val="none"/>
        </w:rPr>
      </w:pPr>
    </w:p>
    <w:p w14:paraId="34372B00">
      <w:pPr>
        <w:wordWrap w:val="0"/>
        <w:rPr>
          <w:rFonts w:hint="eastAsia" w:ascii="宋体" w:hAnsi="宋体" w:eastAsia="宋体" w:cs="宋体"/>
          <w:color w:val="auto"/>
          <w:highlight w:val="none"/>
        </w:rPr>
      </w:pPr>
    </w:p>
    <w:p w14:paraId="1995BD51">
      <w:pPr>
        <w:wordWrap w:val="0"/>
        <w:spacing w:line="440" w:lineRule="atLeast"/>
        <w:jc w:val="center"/>
        <w:outlineLvl w:val="0"/>
        <w:rPr>
          <w:rFonts w:hint="eastAsia" w:ascii="宋体" w:hAnsi="宋体" w:eastAsia="宋体" w:cs="宋体"/>
          <w:b/>
          <w:color w:val="auto"/>
          <w:kern w:val="0"/>
          <w:sz w:val="32"/>
          <w:szCs w:val="32"/>
          <w:highlight w:val="none"/>
        </w:rPr>
      </w:pPr>
      <w:bookmarkStart w:id="264" w:name="_Toc25892"/>
      <w:r>
        <w:rPr>
          <w:rFonts w:hint="eastAsia" w:ascii="宋体" w:hAnsi="宋体" w:eastAsia="宋体" w:cs="宋体"/>
          <w:b/>
          <w:color w:val="auto"/>
          <w:kern w:val="0"/>
          <w:sz w:val="32"/>
          <w:szCs w:val="32"/>
          <w:highlight w:val="none"/>
        </w:rPr>
        <w:t>第六章 响应文件（格式）</w:t>
      </w:r>
      <w:bookmarkEnd w:id="264"/>
    </w:p>
    <w:p w14:paraId="46B093E3">
      <w:pPr>
        <w:wordWrap w:val="0"/>
        <w:rPr>
          <w:rFonts w:hint="eastAsia" w:ascii="宋体" w:hAnsi="宋体" w:eastAsia="宋体" w:cs="宋体"/>
          <w:b/>
          <w:color w:val="auto"/>
          <w:kern w:val="0"/>
          <w:sz w:val="32"/>
          <w:szCs w:val="32"/>
          <w:highlight w:val="none"/>
        </w:rPr>
      </w:pPr>
    </w:p>
    <w:p w14:paraId="66D3B471">
      <w:pPr>
        <w:wordWrap w:val="0"/>
        <w:spacing w:line="400" w:lineRule="exact"/>
        <w:rPr>
          <w:rFonts w:hint="eastAsia" w:ascii="宋体" w:hAnsi="宋体" w:eastAsia="宋体" w:cs="宋体"/>
          <w:b/>
          <w:color w:val="auto"/>
          <w:kern w:val="0"/>
          <w:sz w:val="32"/>
          <w:szCs w:val="32"/>
          <w:highlight w:val="none"/>
        </w:rPr>
      </w:pPr>
      <w:bookmarkStart w:id="265" w:name="_Toc82016594"/>
      <w:bookmarkStart w:id="266" w:name="_Toc28692"/>
    </w:p>
    <w:p w14:paraId="01DE8F18">
      <w:pPr>
        <w:wordWrap w:val="0"/>
        <w:spacing w:line="400" w:lineRule="exact"/>
        <w:rPr>
          <w:rFonts w:hint="eastAsia" w:ascii="宋体" w:hAnsi="宋体" w:eastAsia="宋体" w:cs="宋体"/>
          <w:b/>
          <w:color w:val="auto"/>
          <w:kern w:val="0"/>
          <w:sz w:val="32"/>
          <w:szCs w:val="32"/>
          <w:highlight w:val="none"/>
        </w:rPr>
      </w:pPr>
    </w:p>
    <w:p w14:paraId="00429034">
      <w:pPr>
        <w:wordWrap w:val="0"/>
        <w:spacing w:line="400" w:lineRule="exact"/>
        <w:rPr>
          <w:rFonts w:hint="eastAsia" w:ascii="宋体" w:hAnsi="宋体" w:eastAsia="宋体" w:cs="宋体"/>
          <w:b/>
          <w:color w:val="auto"/>
          <w:kern w:val="0"/>
          <w:sz w:val="32"/>
          <w:szCs w:val="32"/>
          <w:highlight w:val="none"/>
        </w:rPr>
      </w:pPr>
    </w:p>
    <w:p w14:paraId="16498B76">
      <w:pPr>
        <w:wordWrap w:val="0"/>
        <w:spacing w:line="400" w:lineRule="exact"/>
        <w:rPr>
          <w:rFonts w:hint="eastAsia" w:ascii="宋体" w:hAnsi="宋体" w:eastAsia="宋体" w:cs="宋体"/>
          <w:b/>
          <w:color w:val="auto"/>
          <w:kern w:val="0"/>
          <w:sz w:val="32"/>
          <w:szCs w:val="32"/>
          <w:highlight w:val="none"/>
        </w:rPr>
      </w:pPr>
    </w:p>
    <w:p w14:paraId="47637A59">
      <w:pPr>
        <w:wordWrap w:val="0"/>
        <w:spacing w:line="400" w:lineRule="exact"/>
        <w:rPr>
          <w:rFonts w:hint="eastAsia" w:ascii="宋体" w:hAnsi="宋体" w:eastAsia="宋体" w:cs="宋体"/>
          <w:b/>
          <w:color w:val="auto"/>
          <w:kern w:val="0"/>
          <w:sz w:val="32"/>
          <w:szCs w:val="32"/>
          <w:highlight w:val="none"/>
        </w:rPr>
      </w:pPr>
    </w:p>
    <w:p w14:paraId="0EF043B3">
      <w:pPr>
        <w:wordWrap w:val="0"/>
        <w:spacing w:line="400" w:lineRule="exact"/>
        <w:rPr>
          <w:rFonts w:hint="eastAsia" w:ascii="宋体" w:hAnsi="宋体" w:eastAsia="宋体" w:cs="宋体"/>
          <w:b/>
          <w:color w:val="auto"/>
          <w:kern w:val="0"/>
          <w:sz w:val="32"/>
          <w:szCs w:val="32"/>
          <w:highlight w:val="none"/>
        </w:rPr>
      </w:pPr>
    </w:p>
    <w:p w14:paraId="2A983FA7">
      <w:pPr>
        <w:wordWrap w:val="0"/>
        <w:spacing w:line="400" w:lineRule="exact"/>
        <w:rPr>
          <w:rFonts w:hint="eastAsia" w:ascii="宋体" w:hAnsi="宋体" w:eastAsia="宋体" w:cs="宋体"/>
          <w:b/>
          <w:color w:val="auto"/>
          <w:kern w:val="0"/>
          <w:sz w:val="32"/>
          <w:szCs w:val="32"/>
          <w:highlight w:val="none"/>
        </w:rPr>
      </w:pPr>
    </w:p>
    <w:p w14:paraId="227DB6C2">
      <w:pPr>
        <w:wordWrap w:val="0"/>
        <w:spacing w:line="400" w:lineRule="exact"/>
        <w:rPr>
          <w:rFonts w:hint="eastAsia" w:ascii="宋体" w:hAnsi="宋体" w:eastAsia="宋体" w:cs="宋体"/>
          <w:b/>
          <w:color w:val="auto"/>
          <w:kern w:val="0"/>
          <w:sz w:val="32"/>
          <w:szCs w:val="32"/>
          <w:highlight w:val="none"/>
        </w:rPr>
      </w:pPr>
    </w:p>
    <w:p w14:paraId="5451C23E">
      <w:pPr>
        <w:wordWrap w:val="0"/>
        <w:spacing w:line="400" w:lineRule="exact"/>
        <w:rPr>
          <w:rFonts w:hint="eastAsia" w:ascii="宋体" w:hAnsi="宋体" w:eastAsia="宋体" w:cs="宋体"/>
          <w:b/>
          <w:color w:val="auto"/>
          <w:kern w:val="0"/>
          <w:sz w:val="32"/>
          <w:szCs w:val="32"/>
          <w:highlight w:val="none"/>
        </w:rPr>
      </w:pPr>
    </w:p>
    <w:p w14:paraId="76FAFF86">
      <w:pPr>
        <w:wordWrap w:val="0"/>
        <w:spacing w:line="400" w:lineRule="exact"/>
        <w:rPr>
          <w:rFonts w:hint="eastAsia" w:ascii="宋体" w:hAnsi="宋体" w:eastAsia="宋体" w:cs="宋体"/>
          <w:b/>
          <w:color w:val="auto"/>
          <w:kern w:val="0"/>
          <w:sz w:val="32"/>
          <w:szCs w:val="32"/>
          <w:highlight w:val="none"/>
        </w:rPr>
      </w:pPr>
    </w:p>
    <w:p w14:paraId="1F0D4644">
      <w:pPr>
        <w:wordWrap w:val="0"/>
        <w:spacing w:line="400" w:lineRule="exact"/>
        <w:rPr>
          <w:rFonts w:hint="eastAsia" w:ascii="宋体" w:hAnsi="宋体" w:eastAsia="宋体" w:cs="宋体"/>
          <w:b/>
          <w:color w:val="auto"/>
          <w:kern w:val="0"/>
          <w:sz w:val="32"/>
          <w:szCs w:val="32"/>
          <w:highlight w:val="none"/>
        </w:rPr>
      </w:pPr>
    </w:p>
    <w:p w14:paraId="08E67CDF">
      <w:pPr>
        <w:wordWrap w:val="0"/>
        <w:spacing w:line="400" w:lineRule="exact"/>
        <w:rPr>
          <w:rFonts w:hint="eastAsia" w:ascii="宋体" w:hAnsi="宋体" w:eastAsia="宋体" w:cs="宋体"/>
          <w:b/>
          <w:color w:val="auto"/>
          <w:kern w:val="0"/>
          <w:sz w:val="32"/>
          <w:szCs w:val="32"/>
          <w:highlight w:val="none"/>
        </w:rPr>
      </w:pPr>
    </w:p>
    <w:p w14:paraId="77DD0E63">
      <w:pPr>
        <w:wordWrap w:val="0"/>
        <w:spacing w:line="400" w:lineRule="exact"/>
        <w:rPr>
          <w:rFonts w:hint="eastAsia" w:ascii="宋体" w:hAnsi="宋体" w:eastAsia="宋体" w:cs="宋体"/>
          <w:b/>
          <w:color w:val="auto"/>
          <w:kern w:val="0"/>
          <w:sz w:val="32"/>
          <w:szCs w:val="32"/>
          <w:highlight w:val="none"/>
        </w:rPr>
      </w:pPr>
    </w:p>
    <w:p w14:paraId="1B1F5E24">
      <w:pPr>
        <w:wordWrap w:val="0"/>
        <w:spacing w:line="400" w:lineRule="exact"/>
        <w:rPr>
          <w:rFonts w:hint="eastAsia" w:ascii="宋体" w:hAnsi="宋体" w:eastAsia="宋体" w:cs="宋体"/>
          <w:b/>
          <w:color w:val="auto"/>
          <w:kern w:val="0"/>
          <w:sz w:val="32"/>
          <w:szCs w:val="32"/>
          <w:highlight w:val="none"/>
        </w:rPr>
      </w:pPr>
    </w:p>
    <w:p w14:paraId="0FC92489">
      <w:pPr>
        <w:wordWrap w:val="0"/>
        <w:spacing w:line="400" w:lineRule="exact"/>
        <w:rPr>
          <w:rFonts w:hint="eastAsia" w:ascii="宋体" w:hAnsi="宋体" w:eastAsia="宋体" w:cs="宋体"/>
          <w:b/>
          <w:color w:val="auto"/>
          <w:kern w:val="0"/>
          <w:sz w:val="32"/>
          <w:szCs w:val="32"/>
          <w:highlight w:val="none"/>
        </w:rPr>
      </w:pPr>
    </w:p>
    <w:p w14:paraId="31C116D6">
      <w:pPr>
        <w:wordWrap w:val="0"/>
        <w:spacing w:line="400" w:lineRule="exact"/>
        <w:rPr>
          <w:rFonts w:hint="eastAsia" w:ascii="宋体" w:hAnsi="宋体" w:eastAsia="宋体" w:cs="宋体"/>
          <w:b/>
          <w:color w:val="auto"/>
          <w:kern w:val="0"/>
          <w:sz w:val="32"/>
          <w:szCs w:val="32"/>
          <w:highlight w:val="none"/>
        </w:rPr>
      </w:pPr>
    </w:p>
    <w:p w14:paraId="361FCC95">
      <w:pPr>
        <w:wordWrap w:val="0"/>
        <w:spacing w:line="400" w:lineRule="exac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一、响应文件封面标记</w:t>
      </w:r>
      <w:bookmarkEnd w:id="265"/>
      <w:bookmarkEnd w:id="266"/>
    </w:p>
    <w:p w14:paraId="52E6C413">
      <w:pPr>
        <w:wordWrap w:val="0"/>
        <w:snapToGrid w:val="0"/>
        <w:jc w:val="center"/>
        <w:rPr>
          <w:rFonts w:hint="eastAsia" w:ascii="宋体" w:hAnsi="宋体" w:eastAsia="宋体" w:cs="宋体"/>
          <w:bCs/>
          <w:color w:val="auto"/>
          <w:kern w:val="0"/>
          <w:sz w:val="32"/>
          <w:szCs w:val="32"/>
          <w:highlight w:val="none"/>
        </w:rPr>
      </w:pPr>
    </w:p>
    <w:p w14:paraId="0A82E8D5">
      <w:pPr>
        <w:wordWrap w:val="0"/>
        <w:snapToGrid w:val="0"/>
        <w:jc w:val="center"/>
        <w:rPr>
          <w:rFonts w:hint="eastAsia" w:ascii="宋体" w:hAnsi="宋体" w:eastAsia="宋体" w:cs="宋体"/>
          <w:b/>
          <w:bCs/>
          <w:color w:val="auto"/>
          <w:kern w:val="0"/>
          <w:sz w:val="72"/>
          <w:szCs w:val="72"/>
          <w:highlight w:val="none"/>
        </w:rPr>
      </w:pPr>
    </w:p>
    <w:p w14:paraId="5976024D">
      <w:pPr>
        <w:wordWrap w:val="0"/>
        <w:snapToGrid w:val="0"/>
        <w:jc w:val="center"/>
        <w:rPr>
          <w:rFonts w:hint="eastAsia" w:ascii="宋体" w:hAnsi="宋体" w:eastAsia="宋体" w:cs="宋体"/>
          <w:b/>
          <w:bCs/>
          <w:color w:val="auto"/>
          <w:kern w:val="0"/>
          <w:sz w:val="72"/>
          <w:szCs w:val="72"/>
          <w:highlight w:val="none"/>
        </w:rPr>
      </w:pPr>
    </w:p>
    <w:p w14:paraId="7E969002">
      <w:pPr>
        <w:wordWrap w:val="0"/>
        <w:snapToGrid w:val="0"/>
        <w:jc w:val="center"/>
        <w:rPr>
          <w:rFonts w:hint="eastAsia" w:ascii="宋体" w:hAnsi="宋体" w:eastAsia="宋体" w:cs="宋体"/>
          <w:b/>
          <w:bCs/>
          <w:color w:val="auto"/>
          <w:kern w:val="0"/>
          <w:sz w:val="72"/>
          <w:szCs w:val="72"/>
          <w:highlight w:val="none"/>
        </w:rPr>
      </w:pPr>
    </w:p>
    <w:p w14:paraId="7D94833B">
      <w:pPr>
        <w:wordWrap w:val="0"/>
        <w:snapToGrid w:val="0"/>
        <w:jc w:val="center"/>
        <w:rPr>
          <w:rFonts w:hint="eastAsia" w:ascii="宋体" w:hAnsi="宋体" w:eastAsia="宋体" w:cs="宋体"/>
          <w:b/>
          <w:bCs/>
          <w:color w:val="auto"/>
          <w:kern w:val="0"/>
          <w:sz w:val="72"/>
          <w:szCs w:val="72"/>
          <w:highlight w:val="none"/>
        </w:rPr>
      </w:pPr>
      <w:r>
        <w:rPr>
          <w:rFonts w:hint="eastAsia" w:ascii="宋体" w:hAnsi="宋体" w:eastAsia="宋体" w:cs="宋体"/>
          <w:b/>
          <w:bCs/>
          <w:color w:val="auto"/>
          <w:kern w:val="0"/>
          <w:sz w:val="72"/>
          <w:szCs w:val="72"/>
          <w:highlight w:val="none"/>
        </w:rPr>
        <w:t>响 应 文 件</w:t>
      </w:r>
    </w:p>
    <w:p w14:paraId="20D91B98">
      <w:pPr>
        <w:wordWrap w:val="0"/>
        <w:snapToGrid w:val="0"/>
        <w:rPr>
          <w:rFonts w:hint="eastAsia" w:ascii="宋体" w:hAnsi="宋体" w:eastAsia="宋体" w:cs="宋体"/>
          <w:bCs/>
          <w:color w:val="auto"/>
          <w:kern w:val="0"/>
          <w:sz w:val="24"/>
          <w:szCs w:val="20"/>
          <w:highlight w:val="none"/>
        </w:rPr>
      </w:pPr>
    </w:p>
    <w:p w14:paraId="4498A7D2">
      <w:pPr>
        <w:wordWrap w:val="0"/>
        <w:snapToGrid w:val="0"/>
        <w:spacing w:line="700" w:lineRule="exac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 xml:space="preserve">           项目编号：</w:t>
      </w:r>
    </w:p>
    <w:p w14:paraId="588DA06E">
      <w:pPr>
        <w:wordWrap w:val="0"/>
        <w:snapToGrid w:val="0"/>
        <w:spacing w:line="700" w:lineRule="exac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 xml:space="preserve">           项目名称：</w:t>
      </w:r>
    </w:p>
    <w:p w14:paraId="296B93A6">
      <w:pPr>
        <w:wordWrap w:val="0"/>
        <w:snapToGrid w:val="0"/>
        <w:spacing w:line="700" w:lineRule="exact"/>
        <w:ind w:firstLine="1320" w:firstLineChars="55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所竞分标：</w:t>
      </w:r>
    </w:p>
    <w:p w14:paraId="76A2F869">
      <w:pPr>
        <w:wordWrap w:val="0"/>
        <w:snapToGrid w:val="0"/>
        <w:spacing w:line="700" w:lineRule="exac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 xml:space="preserve">           采购代理机构：广西华诚达建设项目管理有限公司</w:t>
      </w:r>
    </w:p>
    <w:p w14:paraId="3E037509">
      <w:pPr>
        <w:wordWrap w:val="0"/>
        <w:snapToGrid w:val="0"/>
        <w:spacing w:line="700" w:lineRule="exac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 xml:space="preserve">           供应商名称：</w:t>
      </w:r>
    </w:p>
    <w:p w14:paraId="7A22BAFA">
      <w:pPr>
        <w:wordWrap w:val="0"/>
        <w:snapToGrid w:val="0"/>
        <w:spacing w:line="500" w:lineRule="exact"/>
        <w:rPr>
          <w:rFonts w:hint="eastAsia" w:ascii="宋体" w:hAnsi="宋体" w:eastAsia="宋体" w:cs="宋体"/>
          <w:bCs/>
          <w:color w:val="auto"/>
          <w:kern w:val="0"/>
          <w:sz w:val="24"/>
          <w:highlight w:val="none"/>
        </w:rPr>
      </w:pPr>
    </w:p>
    <w:p w14:paraId="32B25A55">
      <w:pPr>
        <w:wordWrap w:val="0"/>
        <w:snapToGrid w:val="0"/>
        <w:spacing w:line="500" w:lineRule="exact"/>
        <w:rPr>
          <w:rFonts w:hint="eastAsia" w:ascii="宋体" w:hAnsi="宋体" w:eastAsia="宋体" w:cs="宋体"/>
          <w:bCs/>
          <w:color w:val="auto"/>
          <w:kern w:val="0"/>
          <w:sz w:val="24"/>
          <w:highlight w:val="none"/>
        </w:rPr>
      </w:pPr>
    </w:p>
    <w:p w14:paraId="424F38AD">
      <w:pPr>
        <w:wordWrap w:val="0"/>
        <w:spacing w:line="440" w:lineRule="atLeast"/>
        <w:rPr>
          <w:rFonts w:hint="eastAsia" w:ascii="宋体" w:hAnsi="宋体" w:eastAsia="宋体" w:cs="宋体"/>
          <w:b/>
          <w:color w:val="auto"/>
          <w:kern w:val="0"/>
          <w:sz w:val="32"/>
          <w:szCs w:val="32"/>
          <w:highlight w:val="none"/>
        </w:rPr>
      </w:pPr>
    </w:p>
    <w:p w14:paraId="387533C7">
      <w:pPr>
        <w:wordWrap w:val="0"/>
        <w:spacing w:line="440" w:lineRule="atLeast"/>
        <w:rPr>
          <w:rFonts w:hint="eastAsia" w:ascii="宋体" w:hAnsi="宋体" w:eastAsia="宋体" w:cs="宋体"/>
          <w:b/>
          <w:color w:val="auto"/>
          <w:kern w:val="0"/>
          <w:sz w:val="32"/>
          <w:szCs w:val="32"/>
          <w:highlight w:val="none"/>
        </w:rPr>
      </w:pPr>
    </w:p>
    <w:p w14:paraId="62F5BB1D">
      <w:pPr>
        <w:wordWrap w:val="0"/>
        <w:spacing w:line="440" w:lineRule="atLeast"/>
        <w:rPr>
          <w:rFonts w:hint="eastAsia" w:ascii="宋体" w:hAnsi="宋体" w:eastAsia="宋体" w:cs="宋体"/>
          <w:b/>
          <w:color w:val="auto"/>
          <w:kern w:val="0"/>
          <w:sz w:val="32"/>
          <w:szCs w:val="32"/>
          <w:highlight w:val="none"/>
        </w:rPr>
      </w:pPr>
    </w:p>
    <w:p w14:paraId="2D561E1B">
      <w:pPr>
        <w:wordWrap w:val="0"/>
        <w:spacing w:line="440" w:lineRule="atLeast"/>
        <w:rPr>
          <w:rFonts w:hint="eastAsia" w:ascii="宋体" w:hAnsi="宋体" w:eastAsia="宋体" w:cs="宋体"/>
          <w:b/>
          <w:color w:val="auto"/>
          <w:kern w:val="0"/>
          <w:sz w:val="32"/>
          <w:szCs w:val="32"/>
          <w:highlight w:val="none"/>
        </w:rPr>
      </w:pPr>
    </w:p>
    <w:p w14:paraId="5BDF3CDB">
      <w:pPr>
        <w:wordWrap w:val="0"/>
        <w:spacing w:line="440" w:lineRule="atLeast"/>
        <w:rPr>
          <w:rFonts w:hint="eastAsia" w:ascii="宋体" w:hAnsi="宋体" w:eastAsia="宋体" w:cs="宋体"/>
          <w:b/>
          <w:color w:val="auto"/>
          <w:kern w:val="0"/>
          <w:sz w:val="32"/>
          <w:szCs w:val="32"/>
          <w:highlight w:val="none"/>
        </w:rPr>
      </w:pPr>
    </w:p>
    <w:p w14:paraId="065B8C32">
      <w:pPr>
        <w:wordWrap w:val="0"/>
        <w:spacing w:line="440" w:lineRule="atLeast"/>
        <w:rPr>
          <w:rFonts w:hint="eastAsia" w:ascii="宋体" w:hAnsi="宋体" w:eastAsia="宋体" w:cs="宋体"/>
          <w:b/>
          <w:color w:val="auto"/>
          <w:kern w:val="0"/>
          <w:sz w:val="32"/>
          <w:szCs w:val="32"/>
          <w:highlight w:val="none"/>
        </w:rPr>
      </w:pPr>
    </w:p>
    <w:p w14:paraId="6E975AE7">
      <w:pPr>
        <w:wordWrap w:val="0"/>
        <w:spacing w:line="440" w:lineRule="atLeast"/>
        <w:rPr>
          <w:rFonts w:hint="eastAsia" w:ascii="宋体" w:hAnsi="宋体" w:eastAsia="宋体" w:cs="宋体"/>
          <w:b/>
          <w:color w:val="auto"/>
          <w:kern w:val="0"/>
          <w:sz w:val="32"/>
          <w:szCs w:val="32"/>
          <w:highlight w:val="none"/>
        </w:rPr>
      </w:pPr>
    </w:p>
    <w:p w14:paraId="09FF772D">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二、响应文件组成</w:t>
      </w:r>
    </w:p>
    <w:p w14:paraId="68E13C60">
      <w:pPr>
        <w:wordWrap w:val="0"/>
        <w:spacing w:line="400" w:lineRule="exact"/>
        <w:rPr>
          <w:rFonts w:hint="eastAsia" w:ascii="宋体" w:hAnsi="宋体" w:eastAsia="宋体" w:cs="宋体"/>
          <w:b/>
          <w:bCs/>
          <w:color w:val="auto"/>
          <w:kern w:val="0"/>
          <w:sz w:val="24"/>
          <w:highlight w:val="none"/>
        </w:rPr>
      </w:pPr>
    </w:p>
    <w:p w14:paraId="136905ED">
      <w:pPr>
        <w:wordWrap w:val="0"/>
        <w:spacing w:line="400" w:lineRule="exact"/>
        <w:rPr>
          <w:rFonts w:hint="eastAsia" w:ascii="宋体" w:hAnsi="宋体" w:eastAsia="宋体" w:cs="宋体"/>
          <w:b/>
          <w:bCs/>
          <w:color w:val="auto"/>
          <w:kern w:val="0"/>
          <w:sz w:val="24"/>
          <w:highlight w:val="none"/>
        </w:rPr>
      </w:pPr>
    </w:p>
    <w:p w14:paraId="5429FF3F">
      <w:pPr>
        <w:wordWrap w:val="0"/>
        <w:spacing w:line="400" w:lineRule="exac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（一）资格性响应证明材料</w:t>
      </w:r>
    </w:p>
    <w:p w14:paraId="21789231">
      <w:pPr>
        <w:wordWrap w:val="0"/>
        <w:spacing w:line="400" w:lineRule="exact"/>
        <w:rPr>
          <w:rFonts w:hint="eastAsia" w:ascii="宋体" w:hAnsi="宋体" w:eastAsia="宋体" w:cs="宋体"/>
          <w:b/>
          <w:color w:val="auto"/>
          <w:kern w:val="0"/>
          <w:sz w:val="32"/>
          <w:szCs w:val="32"/>
          <w:highlight w:val="none"/>
        </w:rPr>
      </w:pPr>
    </w:p>
    <w:p w14:paraId="3418B894">
      <w:pPr>
        <w:wordWrap w:val="0"/>
        <w:spacing w:line="400" w:lineRule="exact"/>
        <w:rPr>
          <w:rFonts w:hint="eastAsia" w:ascii="宋体" w:hAnsi="宋体" w:eastAsia="宋体" w:cs="宋体"/>
          <w:b/>
          <w:color w:val="auto"/>
          <w:kern w:val="0"/>
          <w:sz w:val="32"/>
          <w:szCs w:val="32"/>
          <w:highlight w:val="none"/>
        </w:rPr>
      </w:pPr>
    </w:p>
    <w:p w14:paraId="43C80649">
      <w:pPr>
        <w:wordWrap w:val="0"/>
        <w:spacing w:line="400" w:lineRule="exact"/>
        <w:rPr>
          <w:rFonts w:hint="eastAsia" w:ascii="宋体" w:hAnsi="宋体" w:eastAsia="宋体" w:cs="宋体"/>
          <w:b/>
          <w:color w:val="auto"/>
          <w:kern w:val="0"/>
          <w:sz w:val="32"/>
          <w:szCs w:val="32"/>
          <w:highlight w:val="none"/>
        </w:rPr>
      </w:pPr>
    </w:p>
    <w:p w14:paraId="0F74AB08">
      <w:pPr>
        <w:wordWrap w:val="0"/>
        <w:spacing w:line="400" w:lineRule="exac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（二）符合性响应证明材料</w:t>
      </w:r>
    </w:p>
    <w:p w14:paraId="25A3CEEE">
      <w:pPr>
        <w:wordWrap w:val="0"/>
        <w:spacing w:line="400" w:lineRule="exact"/>
        <w:rPr>
          <w:rFonts w:hint="eastAsia" w:ascii="宋体" w:hAnsi="宋体" w:eastAsia="宋体" w:cs="宋体"/>
          <w:b/>
          <w:color w:val="auto"/>
          <w:kern w:val="0"/>
          <w:sz w:val="32"/>
          <w:szCs w:val="32"/>
          <w:highlight w:val="none"/>
        </w:rPr>
      </w:pPr>
    </w:p>
    <w:p w14:paraId="44415E24">
      <w:pPr>
        <w:wordWrap w:val="0"/>
        <w:spacing w:line="400" w:lineRule="exact"/>
        <w:rPr>
          <w:rFonts w:hint="eastAsia" w:ascii="宋体" w:hAnsi="宋体" w:eastAsia="宋体" w:cs="宋体"/>
          <w:b/>
          <w:color w:val="auto"/>
          <w:kern w:val="0"/>
          <w:sz w:val="32"/>
          <w:szCs w:val="32"/>
          <w:highlight w:val="none"/>
        </w:rPr>
      </w:pPr>
    </w:p>
    <w:p w14:paraId="6F3A3FD7">
      <w:pPr>
        <w:wordWrap w:val="0"/>
        <w:spacing w:line="400" w:lineRule="exact"/>
        <w:rPr>
          <w:rFonts w:hint="eastAsia" w:ascii="宋体" w:hAnsi="宋体" w:eastAsia="宋体" w:cs="宋体"/>
          <w:b/>
          <w:color w:val="auto"/>
          <w:kern w:val="0"/>
          <w:sz w:val="32"/>
          <w:szCs w:val="32"/>
          <w:highlight w:val="none"/>
        </w:rPr>
      </w:pPr>
    </w:p>
    <w:p w14:paraId="2C6675CC">
      <w:pPr>
        <w:wordWrap w:val="0"/>
        <w:spacing w:line="400" w:lineRule="exact"/>
        <w:rPr>
          <w:rFonts w:hint="eastAsia" w:ascii="宋体" w:hAnsi="宋体" w:eastAsia="宋体" w:cs="宋体"/>
          <w:b/>
          <w:bCs/>
          <w:color w:val="auto"/>
          <w:kern w:val="0"/>
          <w:sz w:val="24"/>
          <w:highlight w:val="none"/>
        </w:rPr>
      </w:pPr>
      <w:r>
        <w:rPr>
          <w:rFonts w:hint="eastAsia" w:ascii="宋体" w:hAnsi="宋体" w:eastAsia="宋体" w:cs="宋体"/>
          <w:b/>
          <w:color w:val="auto"/>
          <w:kern w:val="0"/>
          <w:sz w:val="32"/>
          <w:szCs w:val="32"/>
          <w:highlight w:val="none"/>
        </w:rPr>
        <w:t>（三）其它有效证明材料</w:t>
      </w:r>
    </w:p>
    <w:p w14:paraId="4D56F14E">
      <w:pPr>
        <w:wordWrap w:val="0"/>
        <w:spacing w:line="400" w:lineRule="exact"/>
        <w:jc w:val="center"/>
        <w:rPr>
          <w:rFonts w:hint="eastAsia" w:ascii="宋体" w:hAnsi="宋体" w:eastAsia="宋体" w:cs="宋体"/>
          <w:b/>
          <w:color w:val="auto"/>
          <w:sz w:val="32"/>
          <w:szCs w:val="32"/>
          <w:highlight w:val="none"/>
        </w:rPr>
      </w:pPr>
    </w:p>
    <w:p w14:paraId="11303120">
      <w:pPr>
        <w:tabs>
          <w:tab w:val="left" w:pos="1305"/>
        </w:tabs>
        <w:wordWrap w:val="0"/>
        <w:spacing w:line="520" w:lineRule="exact"/>
        <w:rPr>
          <w:rFonts w:hint="eastAsia" w:ascii="宋体" w:hAnsi="宋体" w:eastAsia="宋体" w:cs="宋体"/>
          <w:b/>
          <w:color w:val="auto"/>
          <w:sz w:val="32"/>
          <w:szCs w:val="32"/>
          <w:highlight w:val="none"/>
        </w:rPr>
      </w:pPr>
    </w:p>
    <w:p w14:paraId="797AC21E">
      <w:pPr>
        <w:tabs>
          <w:tab w:val="left" w:pos="1305"/>
        </w:tabs>
        <w:wordWrap w:val="0"/>
        <w:spacing w:line="520" w:lineRule="exact"/>
        <w:rPr>
          <w:rFonts w:hint="eastAsia" w:ascii="宋体" w:hAnsi="宋体" w:eastAsia="宋体" w:cs="宋体"/>
          <w:b/>
          <w:color w:val="auto"/>
          <w:sz w:val="32"/>
          <w:szCs w:val="32"/>
          <w:highlight w:val="none"/>
        </w:rPr>
      </w:pPr>
    </w:p>
    <w:p w14:paraId="7356BDDD">
      <w:pPr>
        <w:tabs>
          <w:tab w:val="left" w:pos="1305"/>
        </w:tabs>
        <w:wordWrap w:val="0"/>
        <w:spacing w:line="520" w:lineRule="exact"/>
        <w:rPr>
          <w:rFonts w:hint="eastAsia" w:ascii="宋体" w:hAnsi="宋体" w:eastAsia="宋体" w:cs="宋体"/>
          <w:b/>
          <w:color w:val="auto"/>
          <w:sz w:val="32"/>
          <w:szCs w:val="32"/>
          <w:highlight w:val="none"/>
        </w:rPr>
      </w:pPr>
    </w:p>
    <w:p w14:paraId="7BBFDC41">
      <w:pPr>
        <w:tabs>
          <w:tab w:val="left" w:pos="1305"/>
        </w:tabs>
        <w:wordWrap w:val="0"/>
        <w:spacing w:line="520" w:lineRule="exact"/>
        <w:rPr>
          <w:rFonts w:hint="eastAsia" w:ascii="宋体" w:hAnsi="宋体" w:eastAsia="宋体" w:cs="宋体"/>
          <w:b/>
          <w:color w:val="auto"/>
          <w:sz w:val="32"/>
          <w:szCs w:val="32"/>
          <w:highlight w:val="none"/>
        </w:rPr>
      </w:pPr>
    </w:p>
    <w:p w14:paraId="49A495C4">
      <w:pPr>
        <w:tabs>
          <w:tab w:val="left" w:pos="1305"/>
        </w:tabs>
        <w:wordWrap w:val="0"/>
        <w:spacing w:line="520" w:lineRule="exact"/>
        <w:rPr>
          <w:rFonts w:hint="eastAsia" w:ascii="宋体" w:hAnsi="宋体" w:eastAsia="宋体" w:cs="宋体"/>
          <w:b/>
          <w:color w:val="auto"/>
          <w:sz w:val="32"/>
          <w:szCs w:val="32"/>
          <w:highlight w:val="none"/>
        </w:rPr>
      </w:pPr>
    </w:p>
    <w:p w14:paraId="0E1853AB">
      <w:pPr>
        <w:tabs>
          <w:tab w:val="left" w:pos="1305"/>
        </w:tabs>
        <w:wordWrap w:val="0"/>
        <w:spacing w:line="520" w:lineRule="exact"/>
        <w:rPr>
          <w:rFonts w:hint="eastAsia" w:ascii="宋体" w:hAnsi="宋体" w:eastAsia="宋体" w:cs="宋体"/>
          <w:b/>
          <w:color w:val="auto"/>
          <w:sz w:val="32"/>
          <w:szCs w:val="32"/>
          <w:highlight w:val="none"/>
        </w:rPr>
      </w:pPr>
    </w:p>
    <w:p w14:paraId="4F0CEA96">
      <w:pPr>
        <w:tabs>
          <w:tab w:val="left" w:pos="1305"/>
        </w:tabs>
        <w:wordWrap w:val="0"/>
        <w:spacing w:line="520" w:lineRule="exact"/>
        <w:rPr>
          <w:rFonts w:hint="eastAsia" w:ascii="宋体" w:hAnsi="宋体" w:eastAsia="宋体" w:cs="宋体"/>
          <w:b/>
          <w:color w:val="auto"/>
          <w:sz w:val="32"/>
          <w:szCs w:val="32"/>
          <w:highlight w:val="none"/>
        </w:rPr>
      </w:pPr>
    </w:p>
    <w:p w14:paraId="2B43A211">
      <w:pPr>
        <w:tabs>
          <w:tab w:val="left" w:pos="1305"/>
        </w:tabs>
        <w:wordWrap w:val="0"/>
        <w:spacing w:line="520" w:lineRule="exact"/>
        <w:rPr>
          <w:rFonts w:hint="eastAsia" w:ascii="宋体" w:hAnsi="宋体" w:eastAsia="宋体" w:cs="宋体"/>
          <w:b/>
          <w:color w:val="auto"/>
          <w:sz w:val="32"/>
          <w:szCs w:val="32"/>
          <w:highlight w:val="none"/>
        </w:rPr>
      </w:pPr>
    </w:p>
    <w:p w14:paraId="5FAE4F6F">
      <w:pPr>
        <w:tabs>
          <w:tab w:val="left" w:pos="1305"/>
        </w:tabs>
        <w:wordWrap w:val="0"/>
        <w:spacing w:line="520" w:lineRule="exact"/>
        <w:rPr>
          <w:rFonts w:hint="eastAsia" w:ascii="宋体" w:hAnsi="宋体" w:eastAsia="宋体" w:cs="宋体"/>
          <w:b/>
          <w:color w:val="auto"/>
          <w:sz w:val="32"/>
          <w:szCs w:val="32"/>
          <w:highlight w:val="none"/>
        </w:rPr>
      </w:pPr>
    </w:p>
    <w:p w14:paraId="575E26B2">
      <w:pPr>
        <w:tabs>
          <w:tab w:val="left" w:pos="1305"/>
        </w:tabs>
        <w:wordWrap w:val="0"/>
        <w:spacing w:line="520" w:lineRule="exact"/>
        <w:rPr>
          <w:rFonts w:hint="eastAsia" w:ascii="宋体" w:hAnsi="宋体" w:eastAsia="宋体" w:cs="宋体"/>
          <w:b/>
          <w:color w:val="auto"/>
          <w:sz w:val="32"/>
          <w:szCs w:val="32"/>
          <w:highlight w:val="none"/>
        </w:rPr>
      </w:pPr>
    </w:p>
    <w:p w14:paraId="44907BF1">
      <w:pPr>
        <w:tabs>
          <w:tab w:val="left" w:pos="1305"/>
        </w:tabs>
        <w:wordWrap w:val="0"/>
        <w:spacing w:line="520" w:lineRule="exact"/>
        <w:rPr>
          <w:rFonts w:hint="eastAsia" w:ascii="宋体" w:hAnsi="宋体" w:eastAsia="宋体" w:cs="宋体"/>
          <w:b/>
          <w:color w:val="auto"/>
          <w:sz w:val="32"/>
          <w:szCs w:val="32"/>
          <w:highlight w:val="none"/>
        </w:rPr>
      </w:pPr>
    </w:p>
    <w:p w14:paraId="192D2776">
      <w:pPr>
        <w:tabs>
          <w:tab w:val="left" w:pos="1305"/>
        </w:tabs>
        <w:wordWrap w:val="0"/>
        <w:spacing w:line="520" w:lineRule="exact"/>
        <w:rPr>
          <w:rFonts w:hint="eastAsia" w:ascii="宋体" w:hAnsi="宋体" w:eastAsia="宋体" w:cs="宋体"/>
          <w:b/>
          <w:color w:val="auto"/>
          <w:sz w:val="32"/>
          <w:szCs w:val="32"/>
          <w:highlight w:val="none"/>
        </w:rPr>
      </w:pPr>
    </w:p>
    <w:p w14:paraId="4CC31CCF">
      <w:pPr>
        <w:tabs>
          <w:tab w:val="left" w:pos="1305"/>
        </w:tabs>
        <w:wordWrap w:val="0"/>
        <w:spacing w:line="520" w:lineRule="exact"/>
        <w:rPr>
          <w:rFonts w:hint="eastAsia" w:ascii="宋体" w:hAnsi="宋体" w:eastAsia="宋体" w:cs="宋体"/>
          <w:b/>
          <w:color w:val="auto"/>
          <w:sz w:val="32"/>
          <w:szCs w:val="32"/>
          <w:highlight w:val="none"/>
        </w:rPr>
      </w:pPr>
    </w:p>
    <w:p w14:paraId="3772FF65">
      <w:pPr>
        <w:tabs>
          <w:tab w:val="left" w:pos="1305"/>
        </w:tabs>
        <w:wordWrap w:val="0"/>
        <w:spacing w:line="520" w:lineRule="exact"/>
        <w:rPr>
          <w:rFonts w:hint="eastAsia" w:ascii="宋体" w:hAnsi="宋体" w:eastAsia="宋体" w:cs="宋体"/>
          <w:b/>
          <w:color w:val="auto"/>
          <w:sz w:val="32"/>
          <w:szCs w:val="32"/>
          <w:highlight w:val="none"/>
        </w:rPr>
      </w:pPr>
    </w:p>
    <w:p w14:paraId="619E442A">
      <w:pPr>
        <w:tabs>
          <w:tab w:val="left" w:pos="1305"/>
        </w:tabs>
        <w:wordWrap w:val="0"/>
        <w:spacing w:line="520" w:lineRule="exact"/>
        <w:rPr>
          <w:rFonts w:hint="eastAsia" w:ascii="宋体" w:hAnsi="宋体" w:eastAsia="宋体" w:cs="宋体"/>
          <w:b/>
          <w:color w:val="auto"/>
          <w:sz w:val="32"/>
          <w:szCs w:val="32"/>
          <w:highlight w:val="none"/>
        </w:rPr>
      </w:pPr>
    </w:p>
    <w:p w14:paraId="2F669FF4">
      <w:pPr>
        <w:tabs>
          <w:tab w:val="left" w:pos="1305"/>
        </w:tabs>
        <w:wordWrap w:val="0"/>
        <w:spacing w:line="520" w:lineRule="exact"/>
        <w:rPr>
          <w:rFonts w:hint="eastAsia" w:ascii="宋体" w:hAnsi="宋体" w:eastAsia="宋体" w:cs="宋体"/>
          <w:b/>
          <w:color w:val="auto"/>
          <w:sz w:val="32"/>
          <w:szCs w:val="32"/>
          <w:highlight w:val="none"/>
        </w:rPr>
      </w:pPr>
    </w:p>
    <w:p w14:paraId="0F3633B8">
      <w:pPr>
        <w:tabs>
          <w:tab w:val="left" w:pos="1305"/>
        </w:tabs>
        <w:wordWrap w:val="0"/>
        <w:spacing w:line="520" w:lineRule="exact"/>
        <w:rPr>
          <w:rFonts w:hint="eastAsia" w:ascii="宋体" w:hAnsi="宋体" w:eastAsia="宋体" w:cs="宋体"/>
          <w:b/>
          <w:bCs/>
          <w:color w:val="auto"/>
          <w:sz w:val="32"/>
          <w:szCs w:val="32"/>
          <w:highlight w:val="none"/>
        </w:rPr>
      </w:pP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 w:val="32"/>
          <w:szCs w:val="32"/>
          <w:highlight w:val="none"/>
        </w:rPr>
        <w:t>（一）资格性响应证明材料</w:t>
      </w:r>
    </w:p>
    <w:p w14:paraId="4E725A7A">
      <w:pPr>
        <w:tabs>
          <w:tab w:val="left" w:pos="1305"/>
        </w:tabs>
        <w:wordWrap w:val="0"/>
        <w:spacing w:line="440" w:lineRule="exac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（1）响应函</w:t>
      </w:r>
      <w:r>
        <w:rPr>
          <w:rFonts w:hint="eastAsia" w:ascii="宋体" w:hAnsi="宋体" w:eastAsia="宋体" w:cs="宋体"/>
          <w:b/>
          <w:bCs/>
          <w:color w:val="auto"/>
          <w:szCs w:val="21"/>
          <w:highlight w:val="none"/>
        </w:rPr>
        <w:t>（必须提供）</w:t>
      </w:r>
    </w:p>
    <w:p w14:paraId="622421BD">
      <w:pPr>
        <w:tabs>
          <w:tab w:val="left" w:pos="1305"/>
        </w:tabs>
        <w:wordWrap w:val="0"/>
        <w:spacing w:line="440" w:lineRule="exac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（2）供应商相应的法定代表人或负责人或自然人身份证正反两面复印件</w:t>
      </w:r>
      <w:r>
        <w:rPr>
          <w:rFonts w:hint="eastAsia" w:ascii="宋体" w:hAnsi="宋体" w:eastAsia="宋体" w:cs="宋体"/>
          <w:b/>
          <w:bCs/>
          <w:color w:val="auto"/>
          <w:szCs w:val="21"/>
          <w:highlight w:val="none"/>
        </w:rPr>
        <w:t>（必须提供）</w:t>
      </w:r>
    </w:p>
    <w:p w14:paraId="715E395E">
      <w:pPr>
        <w:tabs>
          <w:tab w:val="left" w:pos="1305"/>
        </w:tabs>
        <w:wordWrap w:val="0"/>
        <w:spacing w:line="440" w:lineRule="exac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 xml:space="preserve">   （3）</w:t>
      </w:r>
      <w:r>
        <w:rPr>
          <w:rFonts w:hint="eastAsia" w:ascii="宋体" w:hAnsi="宋体" w:eastAsia="宋体" w:cs="宋体"/>
          <w:color w:val="auto"/>
          <w:szCs w:val="21"/>
          <w:highlight w:val="none"/>
        </w:rPr>
        <w:t>供</w:t>
      </w:r>
      <w:r>
        <w:rPr>
          <w:rFonts w:hint="eastAsia" w:ascii="宋体" w:hAnsi="宋体" w:eastAsia="宋体" w:cs="宋体"/>
          <w:bCs/>
          <w:color w:val="auto"/>
          <w:szCs w:val="21"/>
          <w:highlight w:val="none"/>
        </w:rPr>
        <w:t>应商的授权委托书原件、委托代理人</w:t>
      </w:r>
      <w:r>
        <w:rPr>
          <w:rFonts w:hint="eastAsia" w:ascii="宋体" w:hAnsi="宋体" w:eastAsia="宋体" w:cs="宋体"/>
          <w:bCs/>
          <w:color w:val="auto"/>
          <w:highlight w:val="none"/>
        </w:rPr>
        <w:t>身份证正反面</w:t>
      </w:r>
      <w:r>
        <w:rPr>
          <w:rFonts w:hint="eastAsia" w:ascii="宋体" w:hAnsi="宋体" w:eastAsia="宋体" w:cs="宋体"/>
          <w:bCs/>
          <w:color w:val="auto"/>
          <w:szCs w:val="21"/>
          <w:highlight w:val="none"/>
        </w:rPr>
        <w:t>复印件以及由社保经办机构出具的供应商为委托代理人缴纳的社保证明复印件</w:t>
      </w:r>
      <w:r>
        <w:rPr>
          <w:rFonts w:hint="eastAsia" w:ascii="宋体" w:hAnsi="宋体" w:eastAsia="宋体" w:cs="宋体"/>
          <w:b/>
          <w:color w:val="auto"/>
          <w:szCs w:val="21"/>
          <w:highlight w:val="none"/>
        </w:rPr>
        <w:t>（委托代理时必须提供）</w:t>
      </w:r>
    </w:p>
    <w:p w14:paraId="7B0AA49A">
      <w:pPr>
        <w:tabs>
          <w:tab w:val="left" w:pos="1305"/>
        </w:tabs>
        <w:wordWrap w:val="0"/>
        <w:spacing w:line="440" w:lineRule="exact"/>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 xml:space="preserve">    注：①如供应商为截标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社保证明复印件。④属自然人的应提供由社保经办机构出具的自然人本人及委托代理人所缴纳的社保证明复印件。</w:t>
      </w:r>
    </w:p>
    <w:p w14:paraId="222DF1C5">
      <w:pPr>
        <w:tabs>
          <w:tab w:val="left" w:pos="1305"/>
        </w:tabs>
        <w:wordWrap w:val="0"/>
        <w:spacing w:line="440" w:lineRule="exac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（4）供应商的法人或者其他组织营业执照等证明文件复印件</w:t>
      </w:r>
      <w:r>
        <w:rPr>
          <w:rFonts w:hint="eastAsia" w:ascii="宋体" w:hAnsi="宋体" w:eastAsia="宋体" w:cs="宋体"/>
          <w:b/>
          <w:bCs/>
          <w:color w:val="auto"/>
          <w:szCs w:val="21"/>
          <w:highlight w:val="none"/>
        </w:rPr>
        <w:t>（必须提供，自然人除外）</w:t>
      </w:r>
    </w:p>
    <w:p w14:paraId="31568709">
      <w:pPr>
        <w:tabs>
          <w:tab w:val="left" w:pos="1305"/>
        </w:tabs>
        <w:wordWrap w:val="0"/>
        <w:spacing w:line="44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47174DB5">
      <w:pPr>
        <w:widowControl/>
        <w:wordWrap w:val="0"/>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（5）总公司授权分公司参与磋商的授权书原件扫描件</w:t>
      </w:r>
      <w:r>
        <w:rPr>
          <w:rFonts w:hint="eastAsia" w:ascii="宋体" w:hAnsi="宋体" w:eastAsia="宋体" w:cs="宋体"/>
          <w:b/>
          <w:bCs/>
          <w:color w:val="auto"/>
          <w:szCs w:val="21"/>
          <w:highlight w:val="none"/>
        </w:rPr>
        <w:t>（分公司参与磋商时必须提供）</w:t>
      </w:r>
    </w:p>
    <w:p w14:paraId="1DC09143">
      <w:pPr>
        <w:widowControl/>
        <w:wordWrap w:val="0"/>
        <w:spacing w:line="400" w:lineRule="exact"/>
        <w:jc w:val="left"/>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 xml:space="preserve">    </w:t>
      </w:r>
      <w:bookmarkStart w:id="267" w:name="OLE_LINK200"/>
      <w:r>
        <w:rPr>
          <w:rFonts w:hint="eastAsia" w:ascii="宋体" w:hAnsi="宋体" w:eastAsia="宋体" w:cs="宋体"/>
          <w:bCs/>
          <w:color w:val="auto"/>
          <w:szCs w:val="21"/>
          <w:highlight w:val="none"/>
        </w:rPr>
        <w:t>（6）</w:t>
      </w:r>
      <w:r>
        <w:rPr>
          <w:rFonts w:hint="eastAsia" w:ascii="宋体" w:hAnsi="宋体" w:eastAsia="宋体" w:cs="宋体"/>
          <w:color w:val="auto"/>
          <w:szCs w:val="21"/>
          <w:highlight w:val="none"/>
        </w:rPr>
        <w:t>供应商有效的《食品经营许可证》复印件（若供应商所配送食材为自主生产的，还须提供有效的《食品生产许可证》复印件）</w:t>
      </w:r>
      <w:r>
        <w:rPr>
          <w:rFonts w:hint="eastAsia" w:ascii="宋体" w:hAnsi="宋体" w:eastAsia="宋体" w:cs="宋体"/>
          <w:b/>
          <w:color w:val="auto"/>
          <w:szCs w:val="21"/>
          <w:highlight w:val="none"/>
        </w:rPr>
        <w:t>（必须提供）</w:t>
      </w:r>
    </w:p>
    <w:p w14:paraId="7DC966F7">
      <w:pPr>
        <w:widowControl/>
        <w:wordWrap w:val="0"/>
        <w:spacing w:line="400" w:lineRule="exact"/>
        <w:ind w:firstLine="420" w:firstLineChars="200"/>
        <w:jc w:val="left"/>
        <w:rPr>
          <w:rFonts w:hint="eastAsia" w:ascii="宋体" w:hAnsi="宋体" w:eastAsia="宋体" w:cs="宋体"/>
          <w:b/>
          <w:color w:val="auto"/>
          <w:kern w:val="0"/>
          <w:szCs w:val="21"/>
          <w:highlight w:val="none"/>
        </w:rPr>
      </w:pPr>
      <w:r>
        <w:rPr>
          <w:rFonts w:hint="eastAsia" w:ascii="宋体" w:hAnsi="宋体" w:eastAsia="宋体" w:cs="宋体"/>
          <w:bCs/>
          <w:color w:val="auto"/>
          <w:szCs w:val="21"/>
          <w:highlight w:val="none"/>
        </w:rPr>
        <w:t>（7）</w:t>
      </w:r>
      <w:r>
        <w:rPr>
          <w:rFonts w:hint="eastAsia" w:ascii="宋体" w:hAnsi="宋体" w:eastAsia="宋体" w:cs="宋体"/>
          <w:color w:val="auto"/>
          <w:kern w:val="0"/>
          <w:szCs w:val="21"/>
          <w:highlight w:val="none"/>
        </w:rPr>
        <w:t>供应商2024年以来任意年度内的财务状况报告复印件或2025年以来银行出具的资信证</w:t>
      </w:r>
      <w:r>
        <w:rPr>
          <w:rFonts w:hint="eastAsia" w:ascii="宋体" w:hAnsi="宋体" w:eastAsia="宋体" w:cs="宋体"/>
          <w:color w:val="auto"/>
          <w:szCs w:val="21"/>
          <w:highlight w:val="none"/>
        </w:rPr>
        <w:t>明复印件</w:t>
      </w:r>
      <w:r>
        <w:rPr>
          <w:rFonts w:hint="eastAsia" w:ascii="宋体" w:hAnsi="宋体" w:eastAsia="宋体" w:cs="宋体"/>
          <w:color w:val="auto"/>
          <w:kern w:val="0"/>
          <w:szCs w:val="21"/>
          <w:highlight w:val="none"/>
        </w:rPr>
        <w:t>（若为新成立的企业，请根据实际情况提供）</w:t>
      </w:r>
      <w:r>
        <w:rPr>
          <w:rFonts w:hint="eastAsia" w:ascii="宋体" w:hAnsi="宋体" w:eastAsia="宋体" w:cs="宋体"/>
          <w:b/>
          <w:color w:val="auto"/>
          <w:kern w:val="0"/>
          <w:szCs w:val="21"/>
          <w:highlight w:val="none"/>
        </w:rPr>
        <w:t>（必须提供）</w:t>
      </w:r>
    </w:p>
    <w:p w14:paraId="6DF9CA06">
      <w:pPr>
        <w:tabs>
          <w:tab w:val="left" w:pos="1305"/>
        </w:tabs>
        <w:wordWrap w:val="0"/>
        <w:spacing w:line="40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（8）</w:t>
      </w:r>
      <w:r>
        <w:rPr>
          <w:rFonts w:hint="eastAsia" w:ascii="宋体" w:hAnsi="宋体" w:eastAsia="宋体" w:cs="宋体"/>
          <w:color w:val="auto"/>
          <w:kern w:val="0"/>
          <w:szCs w:val="21"/>
          <w:highlight w:val="none"/>
        </w:rPr>
        <w:t>供应商2026年以来任意一个月依法缴纳税收的相关材料 (可以是银行已缴纳税费凭证复印件或第三方有效的相关业务托缴凭证复印件或供应商所在地税务部门出具的有效证明复印件；无纳税记录的，应提供由供应商所在地的税务部门出具的依法免税或准予延期缴税的证明复印件；</w:t>
      </w:r>
      <w:r>
        <w:rPr>
          <w:rFonts w:hint="eastAsia" w:ascii="宋体" w:hAnsi="宋体" w:eastAsia="宋体" w:cs="宋体"/>
          <w:color w:val="auto"/>
          <w:szCs w:val="21"/>
          <w:highlight w:val="none"/>
        </w:rPr>
        <w:t>若为新成立的企业，请根据实际情况提供）</w:t>
      </w:r>
      <w:r>
        <w:rPr>
          <w:rFonts w:hint="eastAsia" w:ascii="宋体" w:hAnsi="宋体" w:eastAsia="宋体" w:cs="宋体"/>
          <w:b/>
          <w:bCs/>
          <w:color w:val="auto"/>
          <w:szCs w:val="21"/>
          <w:highlight w:val="none"/>
        </w:rPr>
        <w:t>(必须提供)</w:t>
      </w:r>
    </w:p>
    <w:p w14:paraId="0DD5A924">
      <w:pPr>
        <w:wordWrap w:val="0"/>
        <w:spacing w:line="400" w:lineRule="exact"/>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 xml:space="preserve">    （9）供应商2026年以来任意一个月的依法缴纳社会保障资金的相关材料（可以是专用收据、社会保险缴纳清单或者社保部门的证明复印件；无缴费记录的，应提供由供应商所在地的行政主管部门出具的依法免缴社保费或准予延期缴纳社保费的证明复印件；</w:t>
      </w:r>
      <w:r>
        <w:rPr>
          <w:rFonts w:hint="eastAsia" w:ascii="宋体" w:hAnsi="宋体" w:eastAsia="宋体" w:cs="宋体"/>
          <w:color w:val="auto"/>
          <w:szCs w:val="21"/>
          <w:highlight w:val="none"/>
        </w:rPr>
        <w:t>若为新成立的企业，请根据实际情况提供）</w:t>
      </w:r>
      <w:r>
        <w:rPr>
          <w:rFonts w:hint="eastAsia" w:ascii="宋体" w:hAnsi="宋体" w:eastAsia="宋体" w:cs="宋体"/>
          <w:b/>
          <w:color w:val="auto"/>
          <w:kern w:val="0"/>
          <w:szCs w:val="21"/>
          <w:highlight w:val="none"/>
        </w:rPr>
        <w:t>（必须提供）</w:t>
      </w:r>
    </w:p>
    <w:bookmarkEnd w:id="267"/>
    <w:p w14:paraId="28974695">
      <w:pPr>
        <w:widowControl/>
        <w:wordWrap w:val="0"/>
        <w:spacing w:line="440" w:lineRule="exact"/>
        <w:jc w:val="left"/>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 xml:space="preserve">   （10）供应商的《中小企业声明函》(供应商提供的服务全部由符合政策要求的中小企业提供的)</w:t>
      </w:r>
      <w:r>
        <w:rPr>
          <w:rFonts w:hint="eastAsia" w:ascii="宋体" w:hAnsi="宋体" w:eastAsia="宋体" w:cs="宋体"/>
          <w:b/>
          <w:color w:val="auto"/>
          <w:kern w:val="0"/>
          <w:szCs w:val="21"/>
          <w:highlight w:val="none"/>
        </w:rPr>
        <w:t>（除监狱企业及残疾人福利性单位外，必须提供）</w:t>
      </w:r>
    </w:p>
    <w:p w14:paraId="2F3ED8A0">
      <w:pPr>
        <w:tabs>
          <w:tab w:val="left" w:pos="1305"/>
        </w:tabs>
        <w:wordWrap w:val="0"/>
        <w:spacing w:line="44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（11）如提供服务的供应商属于监狱企业的，应当提供由省级以上监狱管理局、戒毒管理局等（含新疆</w:t>
      </w:r>
      <w:r>
        <w:rPr>
          <w:rFonts w:hint="eastAsia" w:ascii="宋体" w:hAnsi="宋体" w:eastAsia="宋体" w:cs="宋体"/>
          <w:color w:val="auto"/>
          <w:kern w:val="0"/>
          <w:szCs w:val="21"/>
          <w:highlight w:val="none"/>
        </w:rPr>
        <w:t>生产建设兵团）出具的属于监狱企业的证明文件（如供应商属于监狱企业的，则必须提供）</w:t>
      </w:r>
    </w:p>
    <w:p w14:paraId="0039FB5B">
      <w:pPr>
        <w:tabs>
          <w:tab w:val="left" w:pos="1305"/>
        </w:tabs>
        <w:wordWrap w:val="0"/>
        <w:spacing w:line="44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（12）符合条件的残疾人福利性单位在参加政府采购活动时，应当提供《残疾人福利性单位声明函》（见附件），并对声明的真实性负责；（如供应商属于残疾人福利性单位的，则必须提供）</w:t>
      </w:r>
    </w:p>
    <w:p w14:paraId="1C4B7C5E">
      <w:pPr>
        <w:tabs>
          <w:tab w:val="left" w:pos="1305"/>
        </w:tabs>
        <w:wordWrap w:val="0"/>
        <w:spacing w:line="440" w:lineRule="exact"/>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 xml:space="preserve">   （13）供应商参加本项目无围标串标行为的承诺函</w:t>
      </w:r>
      <w:r>
        <w:rPr>
          <w:rFonts w:hint="eastAsia" w:ascii="宋体" w:hAnsi="宋体" w:eastAsia="宋体" w:cs="宋体"/>
          <w:b/>
          <w:color w:val="auto"/>
          <w:kern w:val="0"/>
          <w:szCs w:val="21"/>
          <w:highlight w:val="none"/>
        </w:rPr>
        <w:t>（必须提供）</w:t>
      </w:r>
    </w:p>
    <w:p w14:paraId="023D219A">
      <w:pPr>
        <w:tabs>
          <w:tab w:val="left" w:pos="1305"/>
        </w:tabs>
        <w:wordWrap w:val="0"/>
        <w:spacing w:line="440" w:lineRule="exact"/>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 xml:space="preserve">   （14）供应商参加政府采购活动前3年内在经营活动中没有重大违法记录及有关信用信息的书面声明</w:t>
      </w:r>
      <w:r>
        <w:rPr>
          <w:rFonts w:hint="eastAsia" w:ascii="宋体" w:hAnsi="宋体" w:eastAsia="宋体" w:cs="宋体"/>
          <w:b/>
          <w:color w:val="auto"/>
          <w:kern w:val="0"/>
          <w:szCs w:val="21"/>
          <w:highlight w:val="none"/>
        </w:rPr>
        <w:t>（必须提供）</w:t>
      </w:r>
    </w:p>
    <w:p w14:paraId="2FC1F17C">
      <w:pPr>
        <w:tabs>
          <w:tab w:val="left" w:pos="1305"/>
        </w:tabs>
        <w:wordWrap w:val="0"/>
        <w:spacing w:line="440" w:lineRule="exact"/>
        <w:rPr>
          <w:rFonts w:hint="eastAsia" w:ascii="宋体" w:hAnsi="宋体" w:eastAsia="宋体" w:cs="宋体"/>
          <w:color w:val="auto"/>
          <w:kern w:val="0"/>
          <w:szCs w:val="21"/>
          <w:highlight w:val="none"/>
        </w:rPr>
      </w:pPr>
    </w:p>
    <w:p w14:paraId="0D8F3B46">
      <w:pPr>
        <w:tabs>
          <w:tab w:val="left" w:pos="1305"/>
        </w:tabs>
        <w:wordWrap w:val="0"/>
        <w:spacing w:line="440" w:lineRule="exact"/>
        <w:rPr>
          <w:rFonts w:hint="eastAsia" w:ascii="宋体" w:hAnsi="宋体" w:eastAsia="宋体" w:cs="宋体"/>
          <w:color w:val="auto"/>
          <w:kern w:val="0"/>
          <w:szCs w:val="21"/>
          <w:highlight w:val="none"/>
        </w:rPr>
      </w:pPr>
    </w:p>
    <w:p w14:paraId="3A009C7A">
      <w:pPr>
        <w:tabs>
          <w:tab w:val="left" w:pos="1305"/>
        </w:tabs>
        <w:wordWrap w:val="0"/>
        <w:spacing w:line="440" w:lineRule="exact"/>
        <w:rPr>
          <w:rFonts w:hint="eastAsia" w:ascii="宋体" w:hAnsi="宋体" w:eastAsia="宋体" w:cs="宋体"/>
          <w:color w:val="auto"/>
          <w:kern w:val="0"/>
          <w:szCs w:val="21"/>
          <w:highlight w:val="none"/>
        </w:rPr>
      </w:pPr>
    </w:p>
    <w:p w14:paraId="168D9F51">
      <w:pPr>
        <w:tabs>
          <w:tab w:val="left" w:pos="1305"/>
        </w:tabs>
        <w:wordWrap w:val="0"/>
        <w:spacing w:line="440" w:lineRule="exact"/>
        <w:rPr>
          <w:rFonts w:hint="eastAsia" w:ascii="宋体" w:hAnsi="宋体" w:eastAsia="宋体" w:cs="宋体"/>
          <w:color w:val="auto"/>
          <w:kern w:val="0"/>
          <w:szCs w:val="21"/>
          <w:highlight w:val="none"/>
        </w:rPr>
      </w:pPr>
    </w:p>
    <w:p w14:paraId="5AA328EB">
      <w:pPr>
        <w:tabs>
          <w:tab w:val="left" w:pos="1305"/>
        </w:tabs>
        <w:wordWrap w:val="0"/>
        <w:spacing w:line="440" w:lineRule="exact"/>
        <w:rPr>
          <w:rFonts w:hint="eastAsia" w:ascii="宋体" w:hAnsi="宋体" w:eastAsia="宋体" w:cs="宋体"/>
          <w:color w:val="auto"/>
          <w:kern w:val="0"/>
          <w:szCs w:val="21"/>
          <w:highlight w:val="none"/>
        </w:rPr>
      </w:pPr>
    </w:p>
    <w:p w14:paraId="4EFE516D">
      <w:pPr>
        <w:tabs>
          <w:tab w:val="left" w:pos="1305"/>
        </w:tabs>
        <w:wordWrap w:val="0"/>
        <w:spacing w:line="440" w:lineRule="exact"/>
        <w:rPr>
          <w:rFonts w:hint="eastAsia" w:ascii="宋体" w:hAnsi="宋体" w:eastAsia="宋体" w:cs="宋体"/>
          <w:color w:val="auto"/>
          <w:kern w:val="0"/>
          <w:szCs w:val="21"/>
          <w:highlight w:val="none"/>
        </w:rPr>
      </w:pPr>
    </w:p>
    <w:p w14:paraId="67FB9997">
      <w:pPr>
        <w:tabs>
          <w:tab w:val="left" w:pos="1305"/>
        </w:tabs>
        <w:wordWrap w:val="0"/>
        <w:spacing w:line="440" w:lineRule="exact"/>
        <w:rPr>
          <w:rFonts w:hint="eastAsia" w:ascii="宋体" w:hAnsi="宋体" w:eastAsia="宋体" w:cs="宋体"/>
          <w:color w:val="auto"/>
          <w:kern w:val="0"/>
          <w:szCs w:val="21"/>
          <w:highlight w:val="none"/>
        </w:rPr>
      </w:pPr>
    </w:p>
    <w:p w14:paraId="17559932">
      <w:pPr>
        <w:tabs>
          <w:tab w:val="left" w:pos="1305"/>
        </w:tabs>
        <w:wordWrap w:val="0"/>
        <w:spacing w:line="440" w:lineRule="exact"/>
        <w:rPr>
          <w:rFonts w:hint="eastAsia" w:ascii="宋体" w:hAnsi="宋体" w:eastAsia="宋体" w:cs="宋体"/>
          <w:color w:val="auto"/>
          <w:kern w:val="0"/>
          <w:szCs w:val="21"/>
          <w:highlight w:val="none"/>
        </w:rPr>
      </w:pPr>
    </w:p>
    <w:p w14:paraId="2ECABCDC">
      <w:pPr>
        <w:tabs>
          <w:tab w:val="left" w:pos="1305"/>
        </w:tabs>
        <w:wordWrap w:val="0"/>
        <w:spacing w:line="440" w:lineRule="exact"/>
        <w:rPr>
          <w:rFonts w:hint="eastAsia" w:ascii="宋体" w:hAnsi="宋体" w:eastAsia="宋体" w:cs="宋体"/>
          <w:color w:val="auto"/>
          <w:kern w:val="0"/>
          <w:szCs w:val="21"/>
          <w:highlight w:val="none"/>
        </w:rPr>
      </w:pPr>
    </w:p>
    <w:p w14:paraId="6FB62B69">
      <w:pPr>
        <w:tabs>
          <w:tab w:val="left" w:pos="1305"/>
        </w:tabs>
        <w:wordWrap w:val="0"/>
        <w:spacing w:line="440" w:lineRule="exact"/>
        <w:rPr>
          <w:rFonts w:hint="eastAsia" w:ascii="宋体" w:hAnsi="宋体" w:eastAsia="宋体" w:cs="宋体"/>
          <w:color w:val="auto"/>
          <w:kern w:val="0"/>
          <w:szCs w:val="21"/>
          <w:highlight w:val="none"/>
        </w:rPr>
      </w:pPr>
    </w:p>
    <w:p w14:paraId="2E8DA234">
      <w:pPr>
        <w:tabs>
          <w:tab w:val="left" w:pos="1305"/>
        </w:tabs>
        <w:wordWrap w:val="0"/>
        <w:spacing w:line="440" w:lineRule="exact"/>
        <w:rPr>
          <w:rFonts w:hint="eastAsia" w:ascii="宋体" w:hAnsi="宋体" w:eastAsia="宋体" w:cs="宋体"/>
          <w:color w:val="auto"/>
          <w:kern w:val="0"/>
          <w:szCs w:val="21"/>
          <w:highlight w:val="none"/>
        </w:rPr>
      </w:pPr>
    </w:p>
    <w:p w14:paraId="5D2FFD01">
      <w:pPr>
        <w:tabs>
          <w:tab w:val="left" w:pos="1305"/>
        </w:tabs>
        <w:wordWrap w:val="0"/>
        <w:spacing w:line="440" w:lineRule="exact"/>
        <w:rPr>
          <w:rFonts w:hint="eastAsia" w:ascii="宋体" w:hAnsi="宋体" w:eastAsia="宋体" w:cs="宋体"/>
          <w:color w:val="auto"/>
          <w:kern w:val="0"/>
          <w:szCs w:val="21"/>
          <w:highlight w:val="none"/>
        </w:rPr>
      </w:pPr>
    </w:p>
    <w:p w14:paraId="5798ED1B">
      <w:pPr>
        <w:tabs>
          <w:tab w:val="left" w:pos="1305"/>
        </w:tabs>
        <w:wordWrap w:val="0"/>
        <w:spacing w:line="440" w:lineRule="exact"/>
        <w:rPr>
          <w:rFonts w:hint="eastAsia" w:ascii="宋体" w:hAnsi="宋体" w:eastAsia="宋体" w:cs="宋体"/>
          <w:color w:val="auto"/>
          <w:kern w:val="0"/>
          <w:szCs w:val="21"/>
          <w:highlight w:val="none"/>
        </w:rPr>
      </w:pPr>
    </w:p>
    <w:p w14:paraId="45A7B7C1">
      <w:pPr>
        <w:tabs>
          <w:tab w:val="left" w:pos="1305"/>
        </w:tabs>
        <w:wordWrap w:val="0"/>
        <w:spacing w:line="440" w:lineRule="exact"/>
        <w:rPr>
          <w:rFonts w:hint="eastAsia" w:ascii="宋体" w:hAnsi="宋体" w:eastAsia="宋体" w:cs="宋体"/>
          <w:color w:val="auto"/>
          <w:kern w:val="0"/>
          <w:szCs w:val="21"/>
          <w:highlight w:val="none"/>
        </w:rPr>
      </w:pPr>
    </w:p>
    <w:p w14:paraId="719315EE">
      <w:pPr>
        <w:tabs>
          <w:tab w:val="left" w:pos="1305"/>
        </w:tabs>
        <w:wordWrap w:val="0"/>
        <w:spacing w:line="440" w:lineRule="exact"/>
        <w:rPr>
          <w:rFonts w:hint="eastAsia" w:ascii="宋体" w:hAnsi="宋体" w:eastAsia="宋体" w:cs="宋体"/>
          <w:color w:val="auto"/>
          <w:kern w:val="0"/>
          <w:szCs w:val="21"/>
          <w:highlight w:val="none"/>
        </w:rPr>
      </w:pPr>
    </w:p>
    <w:p w14:paraId="00C60AE7">
      <w:pPr>
        <w:tabs>
          <w:tab w:val="left" w:pos="1305"/>
        </w:tabs>
        <w:wordWrap w:val="0"/>
        <w:spacing w:line="440" w:lineRule="exact"/>
        <w:rPr>
          <w:rFonts w:hint="eastAsia" w:ascii="宋体" w:hAnsi="宋体" w:eastAsia="宋体" w:cs="宋体"/>
          <w:color w:val="auto"/>
          <w:kern w:val="0"/>
          <w:szCs w:val="21"/>
          <w:highlight w:val="none"/>
        </w:rPr>
      </w:pPr>
    </w:p>
    <w:p w14:paraId="7E775250">
      <w:pPr>
        <w:tabs>
          <w:tab w:val="left" w:pos="1305"/>
        </w:tabs>
        <w:wordWrap w:val="0"/>
        <w:spacing w:line="440" w:lineRule="exact"/>
        <w:rPr>
          <w:rFonts w:hint="eastAsia" w:ascii="宋体" w:hAnsi="宋体" w:eastAsia="宋体" w:cs="宋体"/>
          <w:color w:val="auto"/>
          <w:kern w:val="0"/>
          <w:szCs w:val="21"/>
          <w:highlight w:val="none"/>
        </w:rPr>
      </w:pPr>
    </w:p>
    <w:p w14:paraId="22DA502D">
      <w:pPr>
        <w:tabs>
          <w:tab w:val="left" w:pos="1305"/>
        </w:tabs>
        <w:wordWrap w:val="0"/>
        <w:spacing w:line="440" w:lineRule="exact"/>
        <w:rPr>
          <w:rFonts w:hint="eastAsia" w:ascii="宋体" w:hAnsi="宋体" w:eastAsia="宋体" w:cs="宋体"/>
          <w:color w:val="auto"/>
          <w:kern w:val="0"/>
          <w:szCs w:val="21"/>
          <w:highlight w:val="none"/>
        </w:rPr>
      </w:pPr>
    </w:p>
    <w:p w14:paraId="56A4ACB1">
      <w:pPr>
        <w:tabs>
          <w:tab w:val="left" w:pos="1305"/>
        </w:tabs>
        <w:wordWrap w:val="0"/>
        <w:spacing w:line="440" w:lineRule="exact"/>
        <w:rPr>
          <w:rFonts w:hint="eastAsia" w:ascii="宋体" w:hAnsi="宋体" w:eastAsia="宋体" w:cs="宋体"/>
          <w:color w:val="auto"/>
          <w:kern w:val="0"/>
          <w:szCs w:val="21"/>
          <w:highlight w:val="none"/>
        </w:rPr>
      </w:pPr>
    </w:p>
    <w:p w14:paraId="3BD82937">
      <w:pPr>
        <w:tabs>
          <w:tab w:val="left" w:pos="1305"/>
        </w:tabs>
        <w:wordWrap w:val="0"/>
        <w:spacing w:line="440" w:lineRule="exact"/>
        <w:rPr>
          <w:rFonts w:hint="eastAsia" w:ascii="宋体" w:hAnsi="宋体" w:eastAsia="宋体" w:cs="宋体"/>
          <w:color w:val="auto"/>
          <w:kern w:val="0"/>
          <w:szCs w:val="21"/>
          <w:highlight w:val="none"/>
        </w:rPr>
      </w:pPr>
    </w:p>
    <w:p w14:paraId="39C017EB">
      <w:pPr>
        <w:tabs>
          <w:tab w:val="left" w:pos="1305"/>
        </w:tabs>
        <w:wordWrap w:val="0"/>
        <w:spacing w:line="440" w:lineRule="exact"/>
        <w:rPr>
          <w:rFonts w:hint="eastAsia" w:ascii="宋体" w:hAnsi="宋体" w:eastAsia="宋体" w:cs="宋体"/>
          <w:color w:val="auto"/>
          <w:kern w:val="0"/>
          <w:szCs w:val="21"/>
          <w:highlight w:val="none"/>
        </w:rPr>
      </w:pPr>
    </w:p>
    <w:p w14:paraId="5EF6F107">
      <w:pPr>
        <w:tabs>
          <w:tab w:val="left" w:pos="1305"/>
        </w:tabs>
        <w:wordWrap w:val="0"/>
        <w:spacing w:line="440" w:lineRule="exact"/>
        <w:rPr>
          <w:rFonts w:hint="eastAsia" w:ascii="宋体" w:hAnsi="宋体" w:eastAsia="宋体" w:cs="宋体"/>
          <w:color w:val="auto"/>
          <w:kern w:val="0"/>
          <w:szCs w:val="21"/>
          <w:highlight w:val="none"/>
        </w:rPr>
      </w:pPr>
    </w:p>
    <w:p w14:paraId="5A35FB09">
      <w:pPr>
        <w:tabs>
          <w:tab w:val="left" w:pos="1305"/>
        </w:tabs>
        <w:wordWrap w:val="0"/>
        <w:spacing w:line="440" w:lineRule="exact"/>
        <w:rPr>
          <w:rFonts w:hint="eastAsia" w:ascii="宋体" w:hAnsi="宋体" w:eastAsia="宋体" w:cs="宋体"/>
          <w:b/>
          <w:color w:val="auto"/>
          <w:sz w:val="28"/>
          <w:szCs w:val="28"/>
          <w:highlight w:val="none"/>
        </w:rPr>
      </w:pPr>
    </w:p>
    <w:p w14:paraId="38B18F7B">
      <w:pPr>
        <w:tabs>
          <w:tab w:val="left" w:pos="1305"/>
        </w:tabs>
        <w:wordWrap w:val="0"/>
        <w:spacing w:line="440" w:lineRule="exact"/>
        <w:rPr>
          <w:rFonts w:hint="eastAsia" w:ascii="宋体" w:hAnsi="宋体" w:eastAsia="宋体" w:cs="宋体"/>
          <w:b/>
          <w:color w:val="auto"/>
          <w:sz w:val="28"/>
          <w:szCs w:val="28"/>
          <w:highlight w:val="none"/>
        </w:rPr>
      </w:pPr>
    </w:p>
    <w:p w14:paraId="0CF1770D">
      <w:pPr>
        <w:tabs>
          <w:tab w:val="left" w:pos="1305"/>
        </w:tabs>
        <w:wordWrap w:val="0"/>
        <w:spacing w:line="440" w:lineRule="exact"/>
        <w:rPr>
          <w:rFonts w:hint="eastAsia" w:ascii="宋体" w:hAnsi="宋体" w:eastAsia="宋体" w:cs="宋体"/>
          <w:b/>
          <w:color w:val="auto"/>
          <w:sz w:val="28"/>
          <w:szCs w:val="28"/>
          <w:highlight w:val="none"/>
        </w:rPr>
      </w:pPr>
    </w:p>
    <w:p w14:paraId="2E7277D6">
      <w:pPr>
        <w:wordWrap w:val="0"/>
        <w:spacing w:line="400" w:lineRule="exac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  1.响应函（必须提供）</w:t>
      </w:r>
    </w:p>
    <w:p w14:paraId="5DE2C534">
      <w:pPr>
        <w:wordWrap w:val="0"/>
        <w:spacing w:line="400" w:lineRule="exac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附件：</w:t>
      </w:r>
    </w:p>
    <w:p w14:paraId="3CF423AA">
      <w:pPr>
        <w:pStyle w:val="20"/>
        <w:rPr>
          <w:rFonts w:hint="eastAsia" w:ascii="宋体" w:hAnsi="宋体" w:eastAsia="宋体" w:cs="宋体"/>
          <w:b/>
          <w:color w:val="auto"/>
          <w:kern w:val="2"/>
          <w:sz w:val="32"/>
          <w:szCs w:val="32"/>
          <w:highlight w:val="none"/>
        </w:rPr>
      </w:pPr>
      <w:r>
        <w:rPr>
          <w:rFonts w:hint="eastAsia" w:ascii="宋体" w:hAnsi="宋体" w:eastAsia="宋体" w:cs="宋体"/>
          <w:b/>
          <w:color w:val="auto"/>
          <w:kern w:val="2"/>
          <w:sz w:val="32"/>
          <w:szCs w:val="32"/>
          <w:highlight w:val="none"/>
        </w:rPr>
        <w:t xml:space="preserve">                      响 应 函 （格 式）</w:t>
      </w:r>
    </w:p>
    <w:p w14:paraId="3EAA69CF">
      <w:pPr>
        <w:wordWrap w:val="0"/>
        <w:spacing w:line="400" w:lineRule="exact"/>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致</w:t>
      </w:r>
      <w:r>
        <w:rPr>
          <w:rFonts w:hint="eastAsia" w:ascii="宋体" w:hAnsi="宋体" w:eastAsia="宋体" w:cs="宋体"/>
          <w:color w:val="auto"/>
          <w:szCs w:val="21"/>
          <w:highlight w:val="none"/>
          <w:u w:val="single"/>
        </w:rPr>
        <w:t>：广西华诚达建设项目管理有限公司</w:t>
      </w:r>
    </w:p>
    <w:p w14:paraId="3F15DA15">
      <w:pPr>
        <w:wordWrap w:val="0"/>
        <w:spacing w:line="400" w:lineRule="exact"/>
        <w:rPr>
          <w:rFonts w:hint="eastAsia" w:ascii="宋体" w:hAnsi="宋体" w:eastAsia="宋体" w:cs="宋体"/>
          <w:color w:val="auto"/>
          <w:szCs w:val="21"/>
          <w:highlight w:val="none"/>
        </w:rPr>
      </w:pPr>
    </w:p>
    <w:p w14:paraId="4A7C0B47">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根据贵方</w:t>
      </w:r>
      <w:r>
        <w:rPr>
          <w:rFonts w:hint="eastAsia" w:ascii="宋体" w:hAnsi="宋体" w:eastAsia="宋体" w:cs="宋体"/>
          <w:color w:val="auto"/>
          <w:kern w:val="0"/>
          <w:szCs w:val="20"/>
          <w:highlight w:val="none"/>
          <w:u w:val="single"/>
        </w:rPr>
        <w:t xml:space="preserve">                        </w:t>
      </w:r>
      <w:r>
        <w:rPr>
          <w:rFonts w:hint="eastAsia" w:ascii="宋体" w:hAnsi="宋体" w:eastAsia="宋体" w:cs="宋体"/>
          <w:color w:val="auto"/>
          <w:kern w:val="0"/>
          <w:szCs w:val="20"/>
          <w:highlight w:val="none"/>
        </w:rPr>
        <w:t>项目磋商文件，项目编号</w:t>
      </w:r>
      <w:r>
        <w:rPr>
          <w:rFonts w:hint="eastAsia" w:ascii="宋体" w:hAnsi="宋体" w:eastAsia="宋体" w:cs="宋体"/>
          <w:color w:val="auto"/>
          <w:kern w:val="0"/>
          <w:szCs w:val="20"/>
          <w:highlight w:val="none"/>
          <w:u w:val="single"/>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，签字代表</w:t>
      </w:r>
      <w:r>
        <w:rPr>
          <w:rFonts w:hint="eastAsia" w:ascii="宋体" w:hAnsi="宋体" w:eastAsia="宋体" w:cs="宋体"/>
          <w:color w:val="auto"/>
          <w:kern w:val="0"/>
          <w:szCs w:val="20"/>
          <w:highlight w:val="none"/>
        </w:rPr>
        <w:t>（姓名</w:t>
      </w:r>
      <w:r>
        <w:rPr>
          <w:rFonts w:hint="eastAsia" w:ascii="宋体" w:hAnsi="宋体" w:eastAsia="宋体" w:cs="宋体"/>
          <w:color w:val="auto"/>
          <w:kern w:val="0"/>
          <w:szCs w:val="20"/>
          <w:highlight w:val="none"/>
          <w:u w:val="single"/>
        </w:rPr>
        <w:t xml:space="preserve">）       </w:t>
      </w:r>
      <w:r>
        <w:rPr>
          <w:rFonts w:hint="eastAsia" w:ascii="宋体" w:hAnsi="宋体" w:eastAsia="宋体" w:cs="宋体"/>
          <w:color w:val="auto"/>
          <w:kern w:val="0"/>
          <w:szCs w:val="20"/>
          <w:highlight w:val="none"/>
        </w:rPr>
        <w:t>经正式授权并代表供应商</w:t>
      </w:r>
      <w:r>
        <w:rPr>
          <w:rFonts w:hint="eastAsia" w:ascii="宋体" w:hAnsi="宋体" w:eastAsia="宋体" w:cs="宋体"/>
          <w:color w:val="auto"/>
          <w:kern w:val="0"/>
          <w:szCs w:val="20"/>
          <w:highlight w:val="none"/>
          <w:u w:val="single"/>
        </w:rPr>
        <w:t xml:space="preserve">                      （</w:t>
      </w:r>
      <w:r>
        <w:rPr>
          <w:rFonts w:hint="eastAsia" w:ascii="宋体" w:hAnsi="宋体" w:eastAsia="宋体" w:cs="宋体"/>
          <w:color w:val="auto"/>
          <w:kern w:val="0"/>
          <w:szCs w:val="21"/>
          <w:highlight w:val="none"/>
        </w:rPr>
        <w:t>供应商单位名称</w:t>
      </w:r>
      <w:r>
        <w:rPr>
          <w:rFonts w:hint="eastAsia" w:ascii="宋体" w:hAnsi="宋体" w:eastAsia="宋体" w:cs="宋体"/>
          <w:color w:val="auto"/>
          <w:kern w:val="0"/>
          <w:szCs w:val="20"/>
          <w:highlight w:val="none"/>
        </w:rPr>
        <w:t>）</w:t>
      </w:r>
      <w:r>
        <w:rPr>
          <w:rFonts w:hint="eastAsia" w:ascii="宋体" w:hAnsi="宋体" w:eastAsia="宋体" w:cs="宋体"/>
          <w:color w:val="auto"/>
          <w:highlight w:val="none"/>
        </w:rPr>
        <w:t>，提交电子响应文件。</w:t>
      </w:r>
    </w:p>
    <w:p w14:paraId="5D072B59">
      <w:pPr>
        <w:pStyle w:val="2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据此函，签字代表宣布同意如下：</w:t>
      </w:r>
    </w:p>
    <w:p w14:paraId="166F774B">
      <w:pPr>
        <w:pStyle w:val="2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1.按磋商文件项目需求和磋商报价表：</w:t>
      </w:r>
    </w:p>
    <w:p w14:paraId="562DCB52">
      <w:pPr>
        <w:pStyle w:val="20"/>
        <w:spacing w:line="400" w:lineRule="exact"/>
        <w:rPr>
          <w:rFonts w:hint="eastAsia" w:ascii="宋体" w:hAnsi="宋体" w:eastAsia="宋体" w:cs="宋体"/>
          <w:b/>
          <w:color w:val="auto"/>
          <w:highlight w:val="none"/>
        </w:rPr>
      </w:pPr>
      <w:r>
        <w:rPr>
          <w:rFonts w:hint="eastAsia" w:ascii="宋体" w:hAnsi="宋体" w:eastAsia="宋体" w:cs="宋体"/>
          <w:b/>
          <w:color w:val="auto"/>
          <w:highlight w:val="none"/>
        </w:rPr>
        <w:t xml:space="preserve">    分标1：磋商报价（综合折扣率）</w:t>
      </w:r>
      <w:r>
        <w:rPr>
          <w:rFonts w:hint="eastAsia" w:ascii="宋体" w:hAnsi="宋体" w:eastAsia="宋体" w:cs="宋体"/>
          <w:b/>
          <w:color w:val="auto"/>
          <w:highlight w:val="none"/>
          <w:u w:val="single"/>
        </w:rPr>
        <w:t xml:space="preserve">            </w:t>
      </w:r>
      <w:r>
        <w:rPr>
          <w:rFonts w:hint="eastAsia" w:ascii="宋体" w:hAnsi="宋体" w:eastAsia="宋体" w:cs="宋体"/>
          <w:b/>
          <w:color w:val="auto"/>
          <w:highlight w:val="none"/>
        </w:rPr>
        <w:t>%；</w:t>
      </w:r>
    </w:p>
    <w:p w14:paraId="0096D633">
      <w:pPr>
        <w:pStyle w:val="20"/>
        <w:spacing w:line="400" w:lineRule="exact"/>
        <w:rPr>
          <w:rFonts w:hint="eastAsia" w:ascii="宋体" w:hAnsi="宋体" w:eastAsia="宋体" w:cs="宋体"/>
          <w:b/>
          <w:color w:val="auto"/>
          <w:highlight w:val="none"/>
        </w:rPr>
      </w:pPr>
      <w:r>
        <w:rPr>
          <w:rFonts w:hint="eastAsia" w:ascii="宋体" w:hAnsi="宋体" w:eastAsia="宋体" w:cs="宋体"/>
          <w:b/>
          <w:color w:val="auto"/>
          <w:highlight w:val="none"/>
        </w:rPr>
        <w:t xml:space="preserve">    分标2：磋商报价（综合折扣率）</w:t>
      </w:r>
      <w:r>
        <w:rPr>
          <w:rFonts w:hint="eastAsia" w:ascii="宋体" w:hAnsi="宋体" w:eastAsia="宋体" w:cs="宋体"/>
          <w:b/>
          <w:color w:val="auto"/>
          <w:highlight w:val="none"/>
          <w:u w:val="single"/>
        </w:rPr>
        <w:t xml:space="preserve">            </w:t>
      </w:r>
      <w:r>
        <w:rPr>
          <w:rFonts w:hint="eastAsia" w:ascii="宋体" w:hAnsi="宋体" w:eastAsia="宋体" w:cs="宋体"/>
          <w:b/>
          <w:color w:val="auto"/>
          <w:highlight w:val="none"/>
        </w:rPr>
        <w:t>%。</w:t>
      </w:r>
    </w:p>
    <w:p w14:paraId="468D6029">
      <w:pPr>
        <w:pStyle w:val="2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2.我方承诺已具备磋商文件规定的供应商资格条件。</w:t>
      </w:r>
    </w:p>
    <w:p w14:paraId="53150929">
      <w:pPr>
        <w:pStyle w:val="2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3.我方已详细审核磋商文件，包括修改文件（如有的话）和有关附件，将自行承担因对全部磋商文件理解不正确或误解而产生的相应后果。</w:t>
      </w:r>
    </w:p>
    <w:p w14:paraId="0417E846">
      <w:pPr>
        <w:pStyle w:val="2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4.响应文件有效期为响应文件递交截止时间之日起90天。</w:t>
      </w:r>
    </w:p>
    <w:p w14:paraId="389AC584">
      <w:pPr>
        <w:pStyle w:val="2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5.如我方成交：</w:t>
      </w:r>
    </w:p>
    <w:p w14:paraId="5EA74BAC">
      <w:pPr>
        <w:pStyle w:val="2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（1）我方承诺在收到成交通知书后，在成交通知书规定的期限内与采购人签订合同。</w:t>
      </w:r>
    </w:p>
    <w:p w14:paraId="19F2B577">
      <w:pPr>
        <w:pStyle w:val="2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（2）我方承诺本响应文件至本项目合同履行完毕止均保持有效，按磋商文件及政府采购法律、法规的规定履行合同责任和义务。</w:t>
      </w:r>
    </w:p>
    <w:p w14:paraId="26D8F618">
      <w:pPr>
        <w:pStyle w:val="20"/>
        <w:rPr>
          <w:rFonts w:hint="eastAsia" w:ascii="宋体" w:hAnsi="宋体" w:eastAsia="宋体" w:cs="宋体"/>
          <w:color w:val="auto"/>
          <w:highlight w:val="none"/>
        </w:rPr>
      </w:pPr>
    </w:p>
    <w:p w14:paraId="55D33BD8">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    与本项目有关的正式通讯地址为：</w:t>
      </w:r>
    </w:p>
    <w:p w14:paraId="36136F59">
      <w:pPr>
        <w:wordWrap w:val="0"/>
        <w:spacing w:line="400" w:lineRule="exact"/>
        <w:ind w:firstLine="315" w:firstLineChars="150"/>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地址：</w:t>
      </w:r>
      <w:r>
        <w:rPr>
          <w:rFonts w:hint="eastAsia" w:ascii="宋体" w:hAnsi="宋体" w:eastAsia="宋体" w:cs="宋体"/>
          <w:color w:val="auto"/>
          <w:kern w:val="0"/>
          <w:szCs w:val="20"/>
          <w:highlight w:val="none"/>
          <w:u w:val="single"/>
        </w:rPr>
        <w:t xml:space="preserve">　                   </w:t>
      </w:r>
    </w:p>
    <w:p w14:paraId="5C820339">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邮编：</w:t>
      </w:r>
      <w:r>
        <w:rPr>
          <w:rFonts w:hint="eastAsia" w:ascii="宋体" w:hAnsi="宋体" w:eastAsia="宋体" w:cs="宋体"/>
          <w:color w:val="auto"/>
          <w:kern w:val="0"/>
          <w:szCs w:val="20"/>
          <w:highlight w:val="none"/>
          <w:u w:val="single"/>
        </w:rPr>
        <w:t xml:space="preserve">    　                </w:t>
      </w:r>
    </w:p>
    <w:p w14:paraId="03CA08DE">
      <w:pPr>
        <w:wordWrap w:val="0"/>
        <w:spacing w:line="400" w:lineRule="exact"/>
        <w:rPr>
          <w:rFonts w:hint="eastAsia" w:ascii="宋体" w:hAnsi="宋体" w:eastAsia="宋体" w:cs="宋体"/>
          <w:color w:val="auto"/>
          <w:kern w:val="0"/>
          <w:szCs w:val="20"/>
          <w:highlight w:val="none"/>
          <w:u w:val="single"/>
        </w:rPr>
      </w:pPr>
      <w:r>
        <w:rPr>
          <w:rFonts w:hint="eastAsia" w:ascii="宋体" w:hAnsi="宋体" w:eastAsia="宋体" w:cs="宋体"/>
          <w:color w:val="auto"/>
          <w:kern w:val="0"/>
          <w:szCs w:val="20"/>
          <w:highlight w:val="none"/>
        </w:rPr>
        <w:t xml:space="preserve">   邮箱：</w:t>
      </w:r>
      <w:r>
        <w:rPr>
          <w:rFonts w:hint="eastAsia" w:ascii="宋体" w:hAnsi="宋体" w:eastAsia="宋体" w:cs="宋体"/>
          <w:color w:val="auto"/>
          <w:kern w:val="0"/>
          <w:szCs w:val="20"/>
          <w:highlight w:val="none"/>
          <w:u w:val="single"/>
        </w:rPr>
        <w:t xml:space="preserve">   　                 </w:t>
      </w:r>
    </w:p>
    <w:p w14:paraId="3D1B59CD">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办公电话：</w:t>
      </w:r>
      <w:r>
        <w:rPr>
          <w:rFonts w:hint="eastAsia" w:ascii="宋体" w:hAnsi="宋体" w:eastAsia="宋体" w:cs="宋体"/>
          <w:color w:val="auto"/>
          <w:kern w:val="0"/>
          <w:szCs w:val="20"/>
          <w:highlight w:val="none"/>
          <w:u w:val="single"/>
        </w:rPr>
        <w:t xml:space="preserve">　                   </w:t>
      </w:r>
    </w:p>
    <w:p w14:paraId="1445340F">
      <w:pPr>
        <w:wordWrap w:val="0"/>
        <w:spacing w:line="400" w:lineRule="exact"/>
        <w:rPr>
          <w:rFonts w:hint="eastAsia" w:ascii="宋体" w:hAnsi="宋体" w:eastAsia="宋体" w:cs="宋体"/>
          <w:color w:val="auto"/>
          <w:kern w:val="0"/>
          <w:szCs w:val="20"/>
          <w:highlight w:val="none"/>
          <w:u w:val="single"/>
        </w:rPr>
      </w:pPr>
      <w:r>
        <w:rPr>
          <w:rFonts w:hint="eastAsia" w:ascii="宋体" w:hAnsi="宋体" w:eastAsia="宋体" w:cs="宋体"/>
          <w:color w:val="auto"/>
          <w:kern w:val="0"/>
          <w:szCs w:val="20"/>
          <w:highlight w:val="none"/>
        </w:rPr>
        <w:t xml:space="preserve">   传真：</w:t>
      </w:r>
      <w:r>
        <w:rPr>
          <w:rFonts w:hint="eastAsia" w:ascii="宋体" w:hAnsi="宋体" w:eastAsia="宋体" w:cs="宋体"/>
          <w:color w:val="auto"/>
          <w:kern w:val="0"/>
          <w:szCs w:val="20"/>
          <w:highlight w:val="none"/>
          <w:u w:val="single"/>
        </w:rPr>
        <w:t xml:space="preserve">                              　   </w:t>
      </w:r>
    </w:p>
    <w:p w14:paraId="20DEAF33">
      <w:pPr>
        <w:wordWrap w:val="0"/>
        <w:spacing w:line="400" w:lineRule="exact"/>
        <w:rPr>
          <w:rFonts w:hint="eastAsia" w:ascii="宋体" w:hAnsi="宋体" w:eastAsia="宋体" w:cs="宋体"/>
          <w:color w:val="auto"/>
          <w:kern w:val="0"/>
          <w:szCs w:val="20"/>
          <w:highlight w:val="none"/>
          <w:u w:val="single"/>
        </w:rPr>
      </w:pPr>
      <w:r>
        <w:rPr>
          <w:rFonts w:hint="eastAsia" w:ascii="宋体" w:hAnsi="宋体" w:eastAsia="宋体" w:cs="宋体"/>
          <w:color w:val="auto"/>
          <w:kern w:val="0"/>
          <w:szCs w:val="20"/>
          <w:highlight w:val="none"/>
        </w:rPr>
        <w:t xml:space="preserve">   委托代理人联系电话：</w:t>
      </w:r>
      <w:r>
        <w:rPr>
          <w:rFonts w:hint="eastAsia" w:ascii="宋体" w:hAnsi="宋体" w:eastAsia="宋体" w:cs="宋体"/>
          <w:color w:val="auto"/>
          <w:kern w:val="0"/>
          <w:szCs w:val="20"/>
          <w:highlight w:val="none"/>
          <w:u w:val="single"/>
        </w:rPr>
        <w:t xml:space="preserve">　                        </w:t>
      </w:r>
    </w:p>
    <w:p w14:paraId="23C2D629">
      <w:pPr>
        <w:wordWrap w:val="0"/>
        <w:spacing w:line="400" w:lineRule="exact"/>
        <w:rPr>
          <w:rFonts w:hint="eastAsia" w:ascii="宋体" w:hAnsi="宋体" w:eastAsia="宋体" w:cs="宋体"/>
          <w:color w:val="auto"/>
          <w:kern w:val="0"/>
          <w:szCs w:val="20"/>
          <w:highlight w:val="none"/>
          <w:u w:val="single"/>
        </w:rPr>
      </w:pPr>
      <w:r>
        <w:rPr>
          <w:rFonts w:hint="eastAsia" w:ascii="宋体" w:hAnsi="宋体" w:eastAsia="宋体" w:cs="宋体"/>
          <w:color w:val="auto"/>
          <w:kern w:val="0"/>
          <w:szCs w:val="20"/>
          <w:highlight w:val="none"/>
        </w:rPr>
        <w:t xml:space="preserve">   开户名称：</w:t>
      </w:r>
      <w:r>
        <w:rPr>
          <w:rFonts w:hint="eastAsia" w:ascii="宋体" w:hAnsi="宋体" w:eastAsia="宋体" w:cs="宋体"/>
          <w:color w:val="auto"/>
          <w:kern w:val="0"/>
          <w:szCs w:val="20"/>
          <w:highlight w:val="none"/>
          <w:u w:val="single"/>
        </w:rPr>
        <w:t xml:space="preserve">                                   </w:t>
      </w:r>
    </w:p>
    <w:p w14:paraId="007B2628">
      <w:pPr>
        <w:wordWrap w:val="0"/>
        <w:spacing w:line="400" w:lineRule="exact"/>
        <w:rPr>
          <w:rFonts w:hint="eastAsia" w:ascii="宋体" w:hAnsi="宋体" w:eastAsia="宋体" w:cs="宋体"/>
          <w:color w:val="auto"/>
          <w:kern w:val="0"/>
          <w:szCs w:val="20"/>
          <w:highlight w:val="none"/>
          <w:u w:val="single"/>
        </w:rPr>
      </w:pPr>
      <w:r>
        <w:rPr>
          <w:rFonts w:hint="eastAsia" w:ascii="宋体" w:hAnsi="宋体" w:eastAsia="宋体" w:cs="宋体"/>
          <w:color w:val="auto"/>
          <w:kern w:val="0"/>
          <w:szCs w:val="20"/>
          <w:highlight w:val="none"/>
        </w:rPr>
        <w:t xml:space="preserve">   开户银行：</w:t>
      </w:r>
      <w:r>
        <w:rPr>
          <w:rFonts w:hint="eastAsia" w:ascii="宋体" w:hAnsi="宋体" w:eastAsia="宋体" w:cs="宋体"/>
          <w:color w:val="auto"/>
          <w:kern w:val="0"/>
          <w:szCs w:val="20"/>
          <w:highlight w:val="none"/>
          <w:u w:val="single"/>
        </w:rPr>
        <w:t xml:space="preserve">                                    </w:t>
      </w:r>
    </w:p>
    <w:p w14:paraId="6581FA85">
      <w:pPr>
        <w:wordWrap w:val="0"/>
        <w:spacing w:line="400" w:lineRule="exact"/>
        <w:rPr>
          <w:rFonts w:hint="eastAsia" w:ascii="宋体" w:hAnsi="宋体" w:eastAsia="宋体" w:cs="宋体"/>
          <w:color w:val="auto"/>
          <w:kern w:val="0"/>
          <w:szCs w:val="20"/>
          <w:highlight w:val="none"/>
          <w:u w:val="single"/>
        </w:rPr>
      </w:pPr>
      <w:r>
        <w:rPr>
          <w:rFonts w:hint="eastAsia" w:ascii="宋体" w:hAnsi="宋体" w:eastAsia="宋体" w:cs="宋体"/>
          <w:color w:val="auto"/>
          <w:kern w:val="0"/>
          <w:szCs w:val="20"/>
          <w:highlight w:val="none"/>
        </w:rPr>
        <w:t xml:space="preserve">   账号：</w:t>
      </w:r>
      <w:r>
        <w:rPr>
          <w:rFonts w:hint="eastAsia" w:ascii="宋体" w:hAnsi="宋体" w:eastAsia="宋体" w:cs="宋体"/>
          <w:color w:val="auto"/>
          <w:kern w:val="0"/>
          <w:szCs w:val="20"/>
          <w:highlight w:val="none"/>
          <w:u w:val="single"/>
        </w:rPr>
        <w:t xml:space="preserve">                                      </w:t>
      </w:r>
    </w:p>
    <w:p w14:paraId="18A3EADA">
      <w:pPr>
        <w:wordWrap w:val="0"/>
        <w:spacing w:line="340" w:lineRule="exact"/>
        <w:rPr>
          <w:rFonts w:hint="eastAsia" w:ascii="宋体" w:hAnsi="宋体" w:eastAsia="宋体" w:cs="宋体"/>
          <w:color w:val="auto"/>
          <w:kern w:val="0"/>
          <w:szCs w:val="20"/>
          <w:highlight w:val="none"/>
        </w:rPr>
      </w:pPr>
    </w:p>
    <w:p w14:paraId="59E0EF3A">
      <w:pPr>
        <w:wordWrap w:val="0"/>
        <w:spacing w:line="400" w:lineRule="exact"/>
        <w:rPr>
          <w:rFonts w:hint="eastAsia" w:ascii="宋体" w:hAnsi="宋体" w:eastAsia="宋体" w:cs="宋体"/>
          <w:color w:val="auto"/>
          <w:szCs w:val="20"/>
          <w:highlight w:val="none"/>
          <w:u w:val="single"/>
        </w:rPr>
      </w:pPr>
      <w:r>
        <w:rPr>
          <w:rFonts w:hint="eastAsia" w:ascii="宋体" w:hAnsi="宋体" w:eastAsia="宋体" w:cs="宋体"/>
          <w:color w:val="auto"/>
          <w:szCs w:val="20"/>
          <w:highlight w:val="none"/>
        </w:rPr>
        <w:t xml:space="preserve">    供应商单位名称</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rPr>
        <w:t>CA</w:t>
      </w:r>
      <w:r>
        <w:rPr>
          <w:rFonts w:hint="eastAsia" w:ascii="宋体" w:hAnsi="宋体" w:eastAsia="宋体" w:cs="宋体"/>
          <w:bCs/>
          <w:color w:val="auto"/>
          <w:szCs w:val="21"/>
          <w:highlight w:val="none"/>
        </w:rPr>
        <w:t>证书签章）</w:t>
      </w:r>
      <w:r>
        <w:rPr>
          <w:rFonts w:hint="eastAsia" w:ascii="宋体" w:hAnsi="宋体" w:eastAsia="宋体" w:cs="宋体"/>
          <w:color w:val="auto"/>
          <w:szCs w:val="20"/>
          <w:highlight w:val="none"/>
        </w:rPr>
        <w:t>：</w:t>
      </w:r>
    </w:p>
    <w:p w14:paraId="505383B7">
      <w:pPr>
        <w:wordWrap w:val="0"/>
        <w:spacing w:line="400" w:lineRule="exact"/>
        <w:rPr>
          <w:rFonts w:hint="eastAsia" w:ascii="宋体" w:hAnsi="宋体" w:eastAsia="宋体" w:cs="宋体"/>
          <w:color w:val="auto"/>
          <w:szCs w:val="20"/>
          <w:highlight w:val="none"/>
          <w:u w:val="single"/>
        </w:rPr>
      </w:pPr>
      <w:r>
        <w:rPr>
          <w:rFonts w:hint="eastAsia" w:ascii="宋体" w:hAnsi="宋体" w:eastAsia="宋体" w:cs="宋体"/>
          <w:color w:val="auto"/>
          <w:szCs w:val="20"/>
          <w:highlight w:val="none"/>
        </w:rPr>
        <w:t xml:space="preserve">    法定代表人(负责人、自然人)或相应的委托代理人签字</w:t>
      </w:r>
      <w:r>
        <w:rPr>
          <w:rFonts w:hint="eastAsia" w:ascii="宋体" w:hAnsi="宋体" w:eastAsia="宋体" w:cs="宋体"/>
          <w:bCs/>
          <w:color w:val="auto"/>
          <w:szCs w:val="21"/>
          <w:highlight w:val="none"/>
        </w:rPr>
        <w:t>（或个人</w:t>
      </w:r>
      <w:r>
        <w:rPr>
          <w:rFonts w:hint="eastAsia" w:ascii="宋体" w:hAnsi="宋体" w:eastAsia="宋体" w:cs="宋体"/>
          <w:bCs/>
          <w:color w:val="auto"/>
          <w:szCs w:val="21"/>
          <w:highlight w:val="none"/>
        </w:rPr>
        <w:t>CA</w:t>
      </w:r>
      <w:r>
        <w:rPr>
          <w:rFonts w:hint="eastAsia" w:ascii="宋体" w:hAnsi="宋体" w:eastAsia="宋体" w:cs="宋体"/>
          <w:bCs/>
          <w:color w:val="auto"/>
          <w:szCs w:val="21"/>
          <w:highlight w:val="none"/>
        </w:rPr>
        <w:t>证书签章）</w:t>
      </w:r>
      <w:r>
        <w:rPr>
          <w:rFonts w:hint="eastAsia" w:ascii="宋体" w:hAnsi="宋体" w:eastAsia="宋体" w:cs="宋体"/>
          <w:color w:val="auto"/>
          <w:szCs w:val="20"/>
          <w:highlight w:val="none"/>
        </w:rPr>
        <w:t>：</w:t>
      </w:r>
    </w:p>
    <w:p w14:paraId="01491597">
      <w:pPr>
        <w:wordWrap w:val="0"/>
        <w:spacing w:line="400" w:lineRule="exact"/>
        <w:rPr>
          <w:rFonts w:hint="eastAsia" w:ascii="宋体" w:hAnsi="宋体" w:eastAsia="宋体" w:cs="宋体"/>
          <w:color w:val="auto"/>
          <w:szCs w:val="20"/>
          <w:highlight w:val="none"/>
          <w:u w:val="single"/>
        </w:rPr>
      </w:pPr>
      <w:r>
        <w:rPr>
          <w:rFonts w:hint="eastAsia" w:ascii="宋体" w:hAnsi="宋体" w:eastAsia="宋体" w:cs="宋体"/>
          <w:color w:val="auto"/>
          <w:szCs w:val="20"/>
          <w:highlight w:val="none"/>
        </w:rPr>
        <w:t xml:space="preserve">    日    期：</w:t>
      </w:r>
    </w:p>
    <w:p w14:paraId="31587F0E">
      <w:pPr>
        <w:tabs>
          <w:tab w:val="left" w:pos="1305"/>
        </w:tabs>
        <w:wordWrap w:val="0"/>
        <w:spacing w:line="380" w:lineRule="exact"/>
        <w:rPr>
          <w:rFonts w:hint="eastAsia" w:ascii="宋体" w:hAnsi="宋体" w:eastAsia="宋体" w:cs="宋体"/>
          <w:b/>
          <w:color w:val="auto"/>
          <w:sz w:val="28"/>
          <w:szCs w:val="28"/>
          <w:highlight w:val="none"/>
        </w:rPr>
      </w:pPr>
    </w:p>
    <w:p w14:paraId="7385CD90">
      <w:pPr>
        <w:spacing w:line="400" w:lineRule="exact"/>
        <w:rPr>
          <w:rFonts w:hint="eastAsia" w:ascii="宋体" w:hAnsi="宋体" w:eastAsia="宋体" w:cs="宋体"/>
          <w:color w:val="auto"/>
          <w:sz w:val="30"/>
          <w:szCs w:val="30"/>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sz w:val="30"/>
          <w:szCs w:val="30"/>
          <w:highlight w:val="none"/>
        </w:rPr>
        <w:t>2.供应商相应的法定代表人或负责人或自然人身份证正反两面复印件（必须提供）</w:t>
      </w:r>
    </w:p>
    <w:p w14:paraId="34D1F853">
      <w:pPr>
        <w:tabs>
          <w:tab w:val="left" w:pos="1305"/>
        </w:tabs>
        <w:wordWrap w:val="0"/>
        <w:spacing w:line="390" w:lineRule="exact"/>
        <w:jc w:val="left"/>
        <w:rPr>
          <w:rFonts w:hint="eastAsia" w:ascii="宋体" w:hAnsi="宋体" w:eastAsia="宋体" w:cs="宋体"/>
          <w:b/>
          <w:color w:val="auto"/>
          <w:sz w:val="28"/>
          <w:szCs w:val="28"/>
          <w:highlight w:val="none"/>
        </w:rPr>
      </w:pPr>
    </w:p>
    <w:p w14:paraId="54041007">
      <w:pPr>
        <w:tabs>
          <w:tab w:val="left" w:pos="1305"/>
        </w:tabs>
        <w:wordWrap w:val="0"/>
        <w:spacing w:line="390" w:lineRule="exact"/>
        <w:jc w:val="left"/>
        <w:rPr>
          <w:rFonts w:hint="eastAsia" w:ascii="宋体" w:hAnsi="宋体" w:eastAsia="宋体" w:cs="宋体"/>
          <w:b/>
          <w:color w:val="auto"/>
          <w:sz w:val="28"/>
          <w:szCs w:val="28"/>
          <w:highlight w:val="none"/>
        </w:rPr>
      </w:pPr>
    </w:p>
    <w:p w14:paraId="5CC4CA5F">
      <w:pPr>
        <w:tabs>
          <w:tab w:val="left" w:pos="1305"/>
        </w:tabs>
        <w:wordWrap w:val="0"/>
        <w:spacing w:line="390" w:lineRule="exact"/>
        <w:jc w:val="left"/>
        <w:rPr>
          <w:rFonts w:hint="eastAsia" w:ascii="宋体" w:hAnsi="宋体" w:eastAsia="宋体" w:cs="宋体"/>
          <w:b/>
          <w:color w:val="auto"/>
          <w:sz w:val="28"/>
          <w:szCs w:val="28"/>
          <w:highlight w:val="none"/>
        </w:rPr>
      </w:pPr>
    </w:p>
    <w:p w14:paraId="118515A5">
      <w:pPr>
        <w:tabs>
          <w:tab w:val="left" w:pos="1305"/>
        </w:tabs>
        <w:wordWrap w:val="0"/>
        <w:spacing w:line="400" w:lineRule="exact"/>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3.供应商的授权委托书原件、委托代理人身份证正反面复印件以及由社保经办机构出具的供应商为委托代理人缴纳的社保证明复印件（委托代理时必须提供）</w:t>
      </w:r>
    </w:p>
    <w:p w14:paraId="36B9C635">
      <w:pPr>
        <w:tabs>
          <w:tab w:val="left" w:pos="1305"/>
        </w:tabs>
        <w:wordWrap w:val="0"/>
        <w:spacing w:line="40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①如供应商为截标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社保证明复印件。④属自然人的应提供由社保经办机构出具的自然人本人及委托代理人所缴纳的社保证明复印件。</w:t>
      </w:r>
    </w:p>
    <w:p w14:paraId="7019F714">
      <w:pPr>
        <w:pStyle w:val="20"/>
        <w:rPr>
          <w:rFonts w:hint="eastAsia" w:ascii="宋体" w:hAnsi="宋体" w:eastAsia="宋体" w:cs="宋体"/>
          <w:color w:val="auto"/>
          <w:highlight w:val="none"/>
        </w:rPr>
      </w:pPr>
    </w:p>
    <w:p w14:paraId="3F405943">
      <w:pPr>
        <w:pStyle w:val="20"/>
        <w:spacing w:line="40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  附件：</w:t>
      </w:r>
    </w:p>
    <w:p w14:paraId="034EBF14">
      <w:pPr>
        <w:pStyle w:val="20"/>
        <w:spacing w:line="40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                      授权委托书（格式一）</w:t>
      </w:r>
    </w:p>
    <w:p w14:paraId="70FED23B">
      <w:pPr>
        <w:wordWrap w:val="0"/>
        <w:spacing w:line="400" w:lineRule="exact"/>
        <w:rPr>
          <w:rFonts w:hint="eastAsia" w:ascii="宋体" w:hAnsi="宋体" w:eastAsia="宋体" w:cs="宋体"/>
          <w:b/>
          <w:color w:val="auto"/>
          <w:sz w:val="32"/>
          <w:szCs w:val="32"/>
          <w:highlight w:val="none"/>
        </w:rPr>
      </w:pPr>
    </w:p>
    <w:p w14:paraId="7AC330B5">
      <w:pPr>
        <w:wordWrap w:val="0"/>
        <w:spacing w:line="500" w:lineRule="exact"/>
        <w:rPr>
          <w:rFonts w:hint="eastAsia" w:ascii="宋体" w:hAnsi="宋体" w:eastAsia="宋体" w:cs="宋体"/>
          <w:color w:val="auto"/>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广西华诚达建设项目管理有限公司</w:t>
      </w:r>
    </w:p>
    <w:p w14:paraId="41DACC60">
      <w:pPr>
        <w:wordWrap w:val="0"/>
        <w:spacing w:line="500" w:lineRule="exact"/>
        <w:rPr>
          <w:rFonts w:hint="eastAsia" w:ascii="宋体" w:hAnsi="宋体" w:eastAsia="宋体" w:cs="宋体"/>
          <w:color w:val="auto"/>
          <w:szCs w:val="20"/>
          <w:highlight w:val="none"/>
        </w:rPr>
      </w:pPr>
      <w:r>
        <w:rPr>
          <w:rFonts w:hint="eastAsia" w:ascii="宋体" w:hAnsi="宋体" w:eastAsia="宋体" w:cs="宋体"/>
          <w:color w:val="auto"/>
          <w:kern w:val="0"/>
          <w:szCs w:val="20"/>
          <w:highlight w:val="none"/>
        </w:rPr>
        <w:t xml:space="preserve">      我（姓名）系（供应商名称）</w:t>
      </w:r>
      <w:bookmarkStart w:id="268" w:name="OLE_LINK32"/>
      <w:bookmarkEnd w:id="268"/>
      <w:r>
        <w:rPr>
          <w:rFonts w:hint="eastAsia" w:ascii="宋体" w:hAnsi="宋体" w:eastAsia="宋体" w:cs="宋体"/>
          <w:color w:val="auto"/>
          <w:kern w:val="0"/>
          <w:szCs w:val="20"/>
          <w:highlight w:val="none"/>
        </w:rPr>
        <w:t>的法定代表（负责人），现授权委托本单位在职职工（姓名）以我公司名义参加</w:t>
      </w:r>
      <w:r>
        <w:rPr>
          <w:rFonts w:hint="eastAsia" w:ascii="宋体" w:hAnsi="宋体" w:eastAsia="宋体" w:cs="宋体"/>
          <w:color w:val="auto"/>
          <w:szCs w:val="20"/>
          <w:highlight w:val="none"/>
          <w:u w:val="single"/>
        </w:rPr>
        <w:t>（项目名称及项目编号）</w:t>
      </w:r>
      <w:bookmarkStart w:id="269" w:name="OLE_LINK18"/>
      <w:bookmarkEnd w:id="269"/>
      <w:r>
        <w:rPr>
          <w:rFonts w:hint="eastAsia" w:ascii="宋体" w:hAnsi="宋体" w:eastAsia="宋体" w:cs="宋体"/>
          <w:color w:val="auto"/>
          <w:szCs w:val="20"/>
          <w:highlight w:val="none"/>
        </w:rPr>
        <w:t>项目的磋商活动，并代表我方全权办理针对上述项目的磋商、签约等具体事务和签署相关文件。</w:t>
      </w:r>
    </w:p>
    <w:p w14:paraId="38D6164D">
      <w:pPr>
        <w:wordWrap w:val="0"/>
        <w:spacing w:line="400" w:lineRule="exact"/>
        <w:rPr>
          <w:rFonts w:hint="eastAsia" w:ascii="宋体" w:hAnsi="宋体" w:eastAsia="宋体" w:cs="宋体"/>
          <w:color w:val="auto"/>
          <w:szCs w:val="20"/>
          <w:highlight w:val="none"/>
        </w:rPr>
      </w:pPr>
      <w:r>
        <w:rPr>
          <w:rFonts w:hint="eastAsia" w:ascii="宋体" w:hAnsi="宋体" w:eastAsia="宋体" w:cs="宋体"/>
          <w:color w:val="auto"/>
          <w:szCs w:val="20"/>
          <w:highlight w:val="none"/>
        </w:rPr>
        <w:t>我方对被授权人的签字事项负全部责任。</w:t>
      </w:r>
    </w:p>
    <w:p w14:paraId="1F812AA3">
      <w:pPr>
        <w:wordWrap w:val="0"/>
        <w:spacing w:line="400" w:lineRule="exact"/>
        <w:rPr>
          <w:rFonts w:hint="eastAsia" w:ascii="宋体" w:hAnsi="宋体" w:eastAsia="宋体" w:cs="宋体"/>
          <w:color w:val="auto"/>
          <w:szCs w:val="20"/>
          <w:highlight w:val="none"/>
          <w:u w:val="single"/>
        </w:rPr>
      </w:pPr>
      <w:r>
        <w:rPr>
          <w:rFonts w:hint="eastAsia" w:ascii="宋体" w:hAnsi="宋体" w:eastAsia="宋体" w:cs="宋体"/>
          <w:color w:val="auto"/>
          <w:szCs w:val="20"/>
          <w:highlight w:val="none"/>
        </w:rPr>
        <w:t>授权委托代理期限：从    年  月  日起至  年   月    日止。</w:t>
      </w:r>
    </w:p>
    <w:p w14:paraId="11DDA3AE">
      <w:pPr>
        <w:pStyle w:val="20"/>
        <w:rPr>
          <w:rFonts w:hint="eastAsia" w:ascii="宋体" w:hAnsi="宋体" w:eastAsia="宋体" w:cs="宋体"/>
          <w:color w:val="auto"/>
          <w:highlight w:val="none"/>
        </w:rPr>
      </w:pPr>
    </w:p>
    <w:p w14:paraId="1A10EC4F">
      <w:pPr>
        <w:wordWrap w:val="0"/>
        <w:spacing w:line="400" w:lineRule="exac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45E457F3">
      <w:pPr>
        <w:wordWrap w:val="0"/>
        <w:spacing w:line="400" w:lineRule="exact"/>
        <w:rPr>
          <w:rFonts w:hint="eastAsia" w:ascii="宋体" w:hAnsi="宋体" w:eastAsia="宋体" w:cs="宋体"/>
          <w:color w:val="auto"/>
          <w:kern w:val="0"/>
          <w:highlight w:val="none"/>
        </w:rPr>
      </w:pPr>
    </w:p>
    <w:p w14:paraId="2596FA8B">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764D239D">
      <w:pPr>
        <w:widowControl/>
        <w:wordWrap w:val="0"/>
        <w:jc w:val="left"/>
        <w:rPr>
          <w:rFonts w:hint="eastAsia" w:ascii="宋体" w:hAnsi="宋体" w:eastAsia="宋体" w:cs="宋体"/>
          <w:color w:val="auto"/>
          <w:kern w:val="0"/>
          <w:highlight w:val="none"/>
        </w:rPr>
      </w:pPr>
    </w:p>
    <w:p w14:paraId="281D1A8E">
      <w:pPr>
        <w:widowControl/>
        <w:wordWrap w:val="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供应商单位名称（CA证书签章）：                                   </w:t>
      </w:r>
    </w:p>
    <w:p w14:paraId="7EF4EA03">
      <w:pPr>
        <w:widowControl/>
        <w:wordWrap w:val="0"/>
        <w:jc w:val="left"/>
        <w:rPr>
          <w:rFonts w:hint="eastAsia" w:ascii="宋体" w:hAnsi="宋体" w:eastAsia="宋体" w:cs="宋体"/>
          <w:color w:val="auto"/>
          <w:kern w:val="0"/>
          <w:highlight w:val="none"/>
        </w:rPr>
      </w:pPr>
    </w:p>
    <w:p w14:paraId="0DFCB15D">
      <w:pPr>
        <w:wordWrap w:val="0"/>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kern w:val="0"/>
          <w:highlight w:val="none"/>
        </w:rPr>
        <w:t>法定代表人（负责人）签字（或个人CA证书签章）：</w:t>
      </w:r>
      <w:r>
        <w:rPr>
          <w:rFonts w:hint="eastAsia" w:ascii="宋体" w:hAnsi="宋体" w:eastAsia="宋体" w:cs="宋体"/>
          <w:color w:val="auto"/>
          <w:szCs w:val="21"/>
          <w:highlight w:val="none"/>
        </w:rPr>
        <w:t xml:space="preserve">            　</w:t>
      </w:r>
    </w:p>
    <w:p w14:paraId="098BDBF3">
      <w:pPr>
        <w:wordWrap w:val="0"/>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p w14:paraId="26C54196">
      <w:pPr>
        <w:wordWrap w:val="0"/>
        <w:spacing w:line="400" w:lineRule="exact"/>
        <w:rPr>
          <w:rFonts w:hint="eastAsia" w:ascii="宋体" w:hAnsi="宋体" w:eastAsia="宋体" w:cs="宋体"/>
          <w:color w:val="auto"/>
          <w:highlight w:val="none"/>
        </w:rPr>
      </w:pPr>
      <w:r>
        <w:rPr>
          <w:rFonts w:hint="eastAsia" w:ascii="宋体" w:hAnsi="宋体" w:eastAsia="宋体" w:cs="宋体"/>
          <w:b/>
          <w:color w:val="auto"/>
          <w:szCs w:val="21"/>
          <w:highlight w:val="none"/>
        </w:rPr>
        <w:t>附：委托代理人身份证正反面复印件以及由社保经办机构出具的供应商为委托代理人缴纳社保证明复印件（委托代理时必须提供）。</w:t>
      </w:r>
    </w:p>
    <w:p w14:paraId="01B4C2F8">
      <w:pPr>
        <w:pStyle w:val="2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                      授权委托书（格式二）</w:t>
      </w:r>
    </w:p>
    <w:p w14:paraId="5B28BB61">
      <w:pPr>
        <w:wordWrap w:val="0"/>
        <w:snapToGrid w:val="0"/>
        <w:spacing w:line="400" w:lineRule="exact"/>
        <w:rPr>
          <w:rFonts w:hint="eastAsia" w:ascii="宋体" w:hAnsi="宋体" w:eastAsia="宋体" w:cs="宋体"/>
          <w:b/>
          <w:color w:val="auto"/>
          <w:szCs w:val="21"/>
          <w:highlight w:val="none"/>
        </w:rPr>
      </w:pPr>
    </w:p>
    <w:p w14:paraId="65AE40D8">
      <w:pPr>
        <w:wordWrap w:val="0"/>
        <w:snapToGrid w:val="0"/>
        <w:spacing w:line="400" w:lineRule="exact"/>
        <w:rPr>
          <w:rFonts w:hint="eastAsia" w:ascii="宋体" w:hAnsi="宋体" w:eastAsia="宋体" w:cs="宋体"/>
          <w:color w:val="auto"/>
          <w:highlight w:val="none"/>
        </w:rPr>
      </w:pPr>
      <w:r>
        <w:rPr>
          <w:rFonts w:hint="eastAsia" w:ascii="宋体" w:hAnsi="宋体" w:eastAsia="宋体" w:cs="宋体"/>
          <w:b/>
          <w:color w:val="auto"/>
          <w:szCs w:val="21"/>
          <w:highlight w:val="none"/>
        </w:rPr>
        <w:t xml:space="preserve"> 致</w:t>
      </w:r>
      <w:r>
        <w:rPr>
          <w:rFonts w:hint="eastAsia" w:ascii="宋体" w:hAnsi="宋体" w:eastAsia="宋体" w:cs="宋体"/>
          <w:color w:val="auto"/>
          <w:szCs w:val="21"/>
          <w:highlight w:val="none"/>
        </w:rPr>
        <w:t>：</w:t>
      </w:r>
      <w:r>
        <w:rPr>
          <w:rFonts w:hint="eastAsia" w:ascii="宋体" w:hAnsi="宋体" w:eastAsia="宋体" w:cs="宋体"/>
          <w:color w:val="auto"/>
          <w:highlight w:val="none"/>
          <w:u w:val="single"/>
        </w:rPr>
        <w:t>广西华诚达建设项目管理有限公司</w:t>
      </w:r>
    </w:p>
    <w:p w14:paraId="79A777BF">
      <w:pPr>
        <w:wordWrap w:val="0"/>
        <w:rPr>
          <w:rFonts w:hint="eastAsia" w:ascii="宋体" w:hAnsi="宋体" w:eastAsia="宋体" w:cs="宋体"/>
          <w:color w:val="auto"/>
          <w:highlight w:val="none"/>
        </w:rPr>
      </w:pPr>
    </w:p>
    <w:p w14:paraId="73CD5551">
      <w:pPr>
        <w:wordWrap w:val="0"/>
        <w:spacing w:line="600" w:lineRule="exact"/>
        <w:rPr>
          <w:rFonts w:hint="eastAsia" w:ascii="宋体" w:hAnsi="宋体" w:eastAsia="宋体" w:cs="宋体"/>
          <w:color w:val="auto"/>
          <w:szCs w:val="20"/>
          <w:highlight w:val="none"/>
        </w:rPr>
      </w:pPr>
      <w:r>
        <w:rPr>
          <w:rFonts w:hint="eastAsia" w:ascii="宋体" w:hAnsi="宋体" w:eastAsia="宋体" w:cs="宋体"/>
          <w:color w:val="auto"/>
          <w:kern w:val="0"/>
          <w:szCs w:val="20"/>
          <w:highlight w:val="none"/>
        </w:rPr>
        <w:t xml:space="preserve">    我（姓名</w:t>
      </w:r>
      <w:r>
        <w:rPr>
          <w:rFonts w:hint="eastAsia" w:ascii="宋体" w:hAnsi="宋体" w:eastAsia="宋体" w:cs="宋体"/>
          <w:color w:val="auto"/>
          <w:kern w:val="0"/>
          <w:szCs w:val="20"/>
          <w:highlight w:val="none"/>
          <w:u w:val="single"/>
        </w:rPr>
        <w:t xml:space="preserve">）        </w:t>
      </w:r>
      <w:r>
        <w:rPr>
          <w:rFonts w:hint="eastAsia" w:ascii="宋体" w:hAnsi="宋体" w:eastAsia="宋体" w:cs="宋体"/>
          <w:color w:val="auto"/>
          <w:kern w:val="0"/>
          <w:szCs w:val="20"/>
          <w:highlight w:val="none"/>
        </w:rPr>
        <w:t>系自然人，现授权委托（姓 名）以本人名义参加</w:t>
      </w:r>
      <w:r>
        <w:rPr>
          <w:rFonts w:hint="eastAsia" w:ascii="宋体" w:hAnsi="宋体" w:eastAsia="宋体" w:cs="宋体"/>
          <w:color w:val="auto"/>
          <w:szCs w:val="20"/>
          <w:highlight w:val="none"/>
          <w:u w:val="single"/>
        </w:rPr>
        <w:t xml:space="preserve">（项目名称及项目编号）                   </w:t>
      </w:r>
      <w:r>
        <w:rPr>
          <w:rFonts w:hint="eastAsia" w:ascii="宋体" w:hAnsi="宋体" w:eastAsia="宋体" w:cs="宋体"/>
          <w:color w:val="auto"/>
          <w:szCs w:val="20"/>
          <w:highlight w:val="none"/>
        </w:rPr>
        <w:t>项目的磋商活动，并代表本人全权办理针对上述项目的磋商、签约等具体事务和签署相关文件。</w:t>
      </w:r>
    </w:p>
    <w:p w14:paraId="156783FE">
      <w:pPr>
        <w:wordWrap w:val="0"/>
        <w:spacing w:line="600" w:lineRule="exact"/>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本人对被授权人的签字事项负全部责任。</w:t>
      </w:r>
    </w:p>
    <w:p w14:paraId="2AD920CB">
      <w:pPr>
        <w:wordWrap w:val="0"/>
        <w:spacing w:line="600" w:lineRule="exact"/>
        <w:rPr>
          <w:rFonts w:hint="eastAsia" w:ascii="宋体" w:hAnsi="宋体" w:eastAsia="宋体" w:cs="宋体"/>
          <w:color w:val="auto"/>
          <w:szCs w:val="20"/>
          <w:highlight w:val="none"/>
          <w:u w:val="single"/>
        </w:rPr>
      </w:pPr>
      <w:r>
        <w:rPr>
          <w:rFonts w:hint="eastAsia" w:ascii="宋体" w:hAnsi="宋体" w:eastAsia="宋体" w:cs="宋体"/>
          <w:color w:val="auto"/>
          <w:szCs w:val="20"/>
          <w:highlight w:val="none"/>
        </w:rPr>
        <w:t xml:space="preserve">   授权委托代理期限：从 年 月  日起至 年 月 日止。</w:t>
      </w:r>
    </w:p>
    <w:p w14:paraId="2ACF64BF">
      <w:pPr>
        <w:wordWrap w:val="0"/>
        <w:spacing w:line="600" w:lineRule="exac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代理人无转委托权,特此委托。 </w:t>
      </w:r>
    </w:p>
    <w:p w14:paraId="2A581852">
      <w:pPr>
        <w:wordWrap w:val="0"/>
        <w:snapToGrid w:val="0"/>
        <w:spacing w:line="6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我已在下面签字，以资证明。</w:t>
      </w:r>
    </w:p>
    <w:p w14:paraId="5687D70A">
      <w:pPr>
        <w:wordWrap w:val="0"/>
        <w:rPr>
          <w:rFonts w:hint="eastAsia" w:ascii="宋体" w:hAnsi="宋体" w:eastAsia="宋体" w:cs="宋体"/>
          <w:color w:val="auto"/>
          <w:highlight w:val="none"/>
        </w:rPr>
      </w:pPr>
    </w:p>
    <w:p w14:paraId="6E155830">
      <w:pPr>
        <w:wordWrap w:val="0"/>
        <w:snapToGrid w:val="0"/>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自然人签字</w:t>
      </w:r>
      <w:r>
        <w:rPr>
          <w:rFonts w:hint="eastAsia" w:ascii="宋体" w:hAnsi="宋体" w:eastAsia="宋体" w:cs="宋体"/>
          <w:bCs/>
          <w:color w:val="auto"/>
          <w:szCs w:val="21"/>
          <w:highlight w:val="none"/>
        </w:rPr>
        <w:t>（或个人</w:t>
      </w:r>
      <w:r>
        <w:rPr>
          <w:rFonts w:hint="eastAsia" w:ascii="宋体" w:hAnsi="宋体" w:eastAsia="宋体" w:cs="宋体"/>
          <w:bCs/>
          <w:color w:val="auto"/>
          <w:szCs w:val="21"/>
          <w:highlight w:val="none"/>
        </w:rPr>
        <w:t>CA</w:t>
      </w:r>
      <w:r>
        <w:rPr>
          <w:rFonts w:hint="eastAsia" w:ascii="宋体" w:hAnsi="宋体" w:eastAsia="宋体" w:cs="宋体"/>
          <w:bCs/>
          <w:color w:val="auto"/>
          <w:szCs w:val="21"/>
          <w:highlight w:val="none"/>
        </w:rPr>
        <w:t>证书签章）</w:t>
      </w:r>
      <w:r>
        <w:rPr>
          <w:rFonts w:hint="eastAsia" w:ascii="宋体" w:hAnsi="宋体" w:eastAsia="宋体" w:cs="宋体"/>
          <w:color w:val="auto"/>
          <w:szCs w:val="21"/>
          <w:highlight w:val="none"/>
        </w:rPr>
        <w:t>：     　　</w:t>
      </w:r>
    </w:p>
    <w:p w14:paraId="788465C1">
      <w:pPr>
        <w:wordWrap w:val="0"/>
        <w:snapToGrid w:val="0"/>
        <w:spacing w:line="340" w:lineRule="exact"/>
        <w:rPr>
          <w:rFonts w:hint="eastAsia" w:ascii="宋体" w:hAnsi="宋体" w:eastAsia="宋体" w:cs="宋体"/>
          <w:color w:val="auto"/>
          <w:szCs w:val="21"/>
          <w:highlight w:val="none"/>
        </w:rPr>
      </w:pPr>
    </w:p>
    <w:p w14:paraId="7844461B">
      <w:pPr>
        <w:wordWrap w:val="0"/>
        <w:snapToGrid w:val="0"/>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2E59489B">
      <w:pPr>
        <w:wordWrap w:val="0"/>
        <w:spacing w:line="400" w:lineRule="exact"/>
        <w:rPr>
          <w:rFonts w:hint="eastAsia" w:ascii="宋体" w:hAnsi="宋体" w:eastAsia="宋体" w:cs="宋体"/>
          <w:b/>
          <w:color w:val="auto"/>
          <w:szCs w:val="21"/>
          <w:highlight w:val="none"/>
        </w:rPr>
      </w:pPr>
    </w:p>
    <w:p w14:paraId="43790963">
      <w:pPr>
        <w:wordWrap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附：委托代理人身份证正反面复印件以及由社保经办机构出具的自然人本人及委托代理人所缴纳的社保证明复印件（委托代理时必须提供）。</w:t>
      </w:r>
    </w:p>
    <w:p w14:paraId="2883FB25">
      <w:pPr>
        <w:wordWrap w:val="0"/>
        <w:snapToGrid w:val="0"/>
        <w:spacing w:line="340" w:lineRule="exact"/>
        <w:rPr>
          <w:rFonts w:hint="eastAsia" w:ascii="宋体" w:hAnsi="宋体" w:eastAsia="宋体" w:cs="宋体"/>
          <w:color w:val="auto"/>
          <w:szCs w:val="21"/>
          <w:highlight w:val="none"/>
        </w:rPr>
      </w:pPr>
    </w:p>
    <w:p w14:paraId="7154B07D">
      <w:pPr>
        <w:pStyle w:val="20"/>
        <w:rPr>
          <w:rFonts w:hint="eastAsia" w:ascii="宋体" w:hAnsi="宋体" w:eastAsia="宋体" w:cs="宋体"/>
          <w:color w:val="auto"/>
          <w:highlight w:val="none"/>
        </w:rPr>
      </w:pPr>
    </w:p>
    <w:p w14:paraId="1A4440BA">
      <w:pPr>
        <w:pStyle w:val="20"/>
        <w:rPr>
          <w:rFonts w:hint="eastAsia" w:ascii="宋体" w:hAnsi="宋体" w:eastAsia="宋体" w:cs="宋体"/>
          <w:color w:val="auto"/>
          <w:highlight w:val="none"/>
        </w:rPr>
      </w:pPr>
    </w:p>
    <w:p w14:paraId="5617DCA3">
      <w:pPr>
        <w:pStyle w:val="20"/>
        <w:rPr>
          <w:rFonts w:hint="eastAsia" w:ascii="宋体" w:hAnsi="宋体" w:eastAsia="宋体" w:cs="宋体"/>
          <w:color w:val="auto"/>
          <w:highlight w:val="none"/>
        </w:rPr>
      </w:pPr>
    </w:p>
    <w:p w14:paraId="7280442E">
      <w:pPr>
        <w:pStyle w:val="20"/>
        <w:rPr>
          <w:rFonts w:hint="eastAsia" w:ascii="宋体" w:hAnsi="宋体" w:eastAsia="宋体" w:cs="宋体"/>
          <w:color w:val="auto"/>
          <w:highlight w:val="none"/>
        </w:rPr>
      </w:pPr>
    </w:p>
    <w:p w14:paraId="47A9C8BB">
      <w:pPr>
        <w:pStyle w:val="20"/>
        <w:rPr>
          <w:rFonts w:hint="eastAsia" w:ascii="宋体" w:hAnsi="宋体" w:eastAsia="宋体" w:cs="宋体"/>
          <w:color w:val="auto"/>
          <w:highlight w:val="none"/>
        </w:rPr>
      </w:pPr>
    </w:p>
    <w:p w14:paraId="4085EC53">
      <w:pPr>
        <w:pStyle w:val="20"/>
        <w:rPr>
          <w:rFonts w:hint="eastAsia" w:ascii="宋体" w:hAnsi="宋体" w:eastAsia="宋体" w:cs="宋体"/>
          <w:color w:val="auto"/>
          <w:highlight w:val="none"/>
        </w:rPr>
      </w:pPr>
      <w:r>
        <w:rPr>
          <w:rFonts w:hint="eastAsia" w:ascii="宋体" w:hAnsi="宋体" w:eastAsia="宋体" w:cs="宋体"/>
          <w:color w:val="auto"/>
          <w:highlight w:val="none"/>
        </w:rPr>
        <w:t>4.供应商的法人或者其他组织营业执照等证明文件复印件（必须提供，自然人除外）</w:t>
      </w:r>
    </w:p>
    <w:p w14:paraId="4F370BDD">
      <w:pPr>
        <w:tabs>
          <w:tab w:val="left" w:pos="1305"/>
        </w:tabs>
        <w:wordWrap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415E54CC">
      <w:pPr>
        <w:wordWrap w:val="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p>
    <w:p w14:paraId="047BFE18">
      <w:pPr>
        <w:tabs>
          <w:tab w:val="left" w:pos="1305"/>
        </w:tabs>
        <w:wordWrap w:val="0"/>
        <w:spacing w:line="380" w:lineRule="exac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5.</w:t>
      </w:r>
      <w:r>
        <w:rPr>
          <w:rFonts w:hint="eastAsia" w:ascii="宋体" w:hAnsi="宋体" w:eastAsia="宋体" w:cs="宋体"/>
          <w:b/>
          <w:color w:val="auto"/>
          <w:sz w:val="30"/>
          <w:szCs w:val="30"/>
          <w:highlight w:val="none"/>
        </w:rPr>
        <w:t>总公司授权</w:t>
      </w:r>
      <w:r>
        <w:rPr>
          <w:rFonts w:hint="eastAsia" w:ascii="宋体" w:hAnsi="宋体" w:eastAsia="宋体" w:cs="宋体"/>
          <w:b/>
          <w:color w:val="auto"/>
          <w:sz w:val="30"/>
          <w:szCs w:val="30"/>
          <w:highlight w:val="none"/>
        </w:rPr>
        <w:t>分公司参与磋商的</w:t>
      </w:r>
      <w:r>
        <w:rPr>
          <w:rFonts w:hint="eastAsia" w:ascii="宋体" w:hAnsi="宋体" w:eastAsia="宋体" w:cs="宋体"/>
          <w:b/>
          <w:color w:val="auto"/>
          <w:sz w:val="30"/>
          <w:szCs w:val="30"/>
          <w:highlight w:val="none"/>
        </w:rPr>
        <w:t>授权书</w:t>
      </w:r>
      <w:r>
        <w:rPr>
          <w:rFonts w:hint="eastAsia" w:ascii="宋体" w:hAnsi="宋体" w:eastAsia="宋体" w:cs="宋体"/>
          <w:b/>
          <w:color w:val="auto"/>
          <w:sz w:val="30"/>
          <w:szCs w:val="30"/>
          <w:highlight w:val="none"/>
        </w:rPr>
        <w:t>原件扫描件（分公司参与磋商时必须提供）</w:t>
      </w:r>
    </w:p>
    <w:p w14:paraId="73B2BF7A">
      <w:pPr>
        <w:wordWrap w:val="0"/>
        <w:jc w:val="center"/>
        <w:rPr>
          <w:rFonts w:hint="eastAsia" w:ascii="宋体" w:hAnsi="宋体" w:eastAsia="宋体" w:cs="宋体"/>
          <w:b/>
          <w:color w:val="auto"/>
          <w:sz w:val="32"/>
          <w:szCs w:val="20"/>
          <w:highlight w:val="none"/>
        </w:rPr>
      </w:pPr>
    </w:p>
    <w:p w14:paraId="52E6128C">
      <w:pPr>
        <w:wordWrap w:val="0"/>
        <w:jc w:val="center"/>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授权书（格式）</w:t>
      </w:r>
    </w:p>
    <w:p w14:paraId="39920F9E">
      <w:pPr>
        <w:wordWrap w:val="0"/>
        <w:spacing w:line="400" w:lineRule="exact"/>
        <w:rPr>
          <w:rFonts w:hint="eastAsia" w:ascii="宋体" w:hAnsi="宋体" w:eastAsia="宋体" w:cs="宋体"/>
          <w:color w:val="auto"/>
          <w:highlight w:val="none"/>
        </w:rPr>
      </w:pPr>
      <w:r>
        <w:rPr>
          <w:rFonts w:hint="eastAsia" w:ascii="宋体" w:hAnsi="宋体" w:eastAsia="宋体" w:cs="宋体"/>
          <w:color w:val="auto"/>
          <w:szCs w:val="21"/>
          <w:highlight w:val="none"/>
        </w:rPr>
        <w:t>致：</w:t>
      </w:r>
      <w:r>
        <w:rPr>
          <w:rFonts w:hint="eastAsia" w:ascii="宋体" w:hAnsi="宋体" w:eastAsia="宋体" w:cs="宋体"/>
          <w:color w:val="auto"/>
          <w:highlight w:val="none"/>
          <w:u w:val="single"/>
        </w:rPr>
        <w:t>广西华诚达建设项目管理有限公司</w:t>
      </w:r>
    </w:p>
    <w:p w14:paraId="5719AF71">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我公司授权</w:t>
      </w:r>
      <w:r>
        <w:rPr>
          <w:rFonts w:hint="eastAsia" w:ascii="宋体" w:hAnsi="宋体" w:eastAsia="宋体" w:cs="宋体"/>
          <w:color w:val="auto"/>
          <w:szCs w:val="21"/>
          <w:highlight w:val="none"/>
          <w:u w:val="single"/>
        </w:rPr>
        <w:t xml:space="preserve">              （供应商名称，即分公司名称）</w:t>
      </w:r>
      <w:r>
        <w:rPr>
          <w:rFonts w:hint="eastAsia" w:ascii="宋体" w:hAnsi="宋体" w:eastAsia="宋体" w:cs="宋体"/>
          <w:color w:val="auto"/>
          <w:szCs w:val="21"/>
          <w:highlight w:val="none"/>
        </w:rPr>
        <w:t>参加</w:t>
      </w:r>
      <w:r>
        <w:rPr>
          <w:rFonts w:hint="eastAsia" w:ascii="宋体" w:hAnsi="宋体" w:eastAsia="宋体" w:cs="宋体"/>
          <w:color w:val="auto"/>
          <w:szCs w:val="21"/>
          <w:highlight w:val="none"/>
          <w:u w:val="single"/>
        </w:rPr>
        <w:t xml:space="preserve">                            项目（项目编号：                     ）</w:t>
      </w:r>
      <w:r>
        <w:rPr>
          <w:rFonts w:hint="eastAsia" w:ascii="宋体" w:hAnsi="宋体" w:eastAsia="宋体" w:cs="宋体"/>
          <w:color w:val="auto"/>
          <w:szCs w:val="21"/>
          <w:highlight w:val="none"/>
        </w:rPr>
        <w:t>的磋商活动，其权限如下:</w:t>
      </w:r>
    </w:p>
    <w:p w14:paraId="39E7C99F">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一、提交保证金，接收退回的保证金（如有）。</w:t>
      </w:r>
    </w:p>
    <w:p w14:paraId="07C65B7D">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二、提交响应文件（含补充、修改文件)，或者撤回已提交的响应文件（含补充、修改文件)，或者接收退回的响应文件。</w:t>
      </w:r>
    </w:p>
    <w:p w14:paraId="339406A1">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三、依法参加磋商等活动，答复磋商小组提出的澄清等。</w:t>
      </w:r>
    </w:p>
    <w:p w14:paraId="4AB8601D">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四、提出事先由委托人确认的异议、投诉，并接收异议、投诉答复。</w:t>
      </w:r>
    </w:p>
    <w:p w14:paraId="6C1A096D">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五、接收采购人或采购代理机构发出的有关本项目相关的公告、文书等。</w:t>
      </w:r>
    </w:p>
    <w:p w14:paraId="7A4FB02E">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六、缴纳代理服务费，办理成交手续，参加采购合同谈判和签约。</w:t>
      </w:r>
    </w:p>
    <w:p w14:paraId="3670C7FF">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七、进行合同履约、参加验收、提供服务等。</w:t>
      </w:r>
    </w:p>
    <w:p w14:paraId="26D285F4">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被授权单位无转委托权。</w:t>
      </w:r>
    </w:p>
    <w:p w14:paraId="76E68EA0">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本授权书自签发之日起生效，有效期180天。如被授权方成交，则本授权书的有效期自签发之日起生效至项目合同履行完毕结束。</w:t>
      </w:r>
      <w:r>
        <w:rPr>
          <w:rFonts w:hint="eastAsia" w:ascii="宋体" w:hAnsi="宋体" w:eastAsia="宋体" w:cs="宋体"/>
          <w:color w:val="auto"/>
          <w:szCs w:val="20"/>
          <w:highlight w:val="none"/>
        </w:rPr>
        <w:t>项目执行过程中所发生的一切后果，由我公司承担相应的法律责任。</w:t>
      </w:r>
    </w:p>
    <w:p w14:paraId="63657A2C">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特此授权。</w:t>
      </w:r>
    </w:p>
    <w:p w14:paraId="14125F66">
      <w:pPr>
        <w:wordWrap w:val="0"/>
        <w:spacing w:line="400" w:lineRule="exact"/>
        <w:rPr>
          <w:rFonts w:hint="eastAsia" w:ascii="宋体" w:hAnsi="宋体" w:eastAsia="宋体" w:cs="宋体"/>
          <w:color w:val="auto"/>
          <w:szCs w:val="20"/>
          <w:highlight w:val="none"/>
        </w:rPr>
      </w:pPr>
    </w:p>
    <w:p w14:paraId="15ACF7A7">
      <w:pPr>
        <w:widowControl/>
        <w:wordWrap w:val="0"/>
        <w:snapToGrid w:val="0"/>
        <w:spacing w:line="360" w:lineRule="exact"/>
        <w:textAlignment w:val="baseline"/>
        <w:rPr>
          <w:rFonts w:hint="eastAsia" w:ascii="宋体" w:hAnsi="宋体" w:eastAsia="宋体" w:cs="宋体"/>
          <w:color w:val="auto"/>
          <w:kern w:val="0"/>
          <w:sz w:val="20"/>
          <w:szCs w:val="20"/>
          <w:highlight w:val="none"/>
        </w:rPr>
      </w:pPr>
      <w:r>
        <w:rPr>
          <w:rFonts w:hint="eastAsia" w:ascii="宋体" w:hAnsi="宋体" w:eastAsia="宋体" w:cs="宋体"/>
          <w:color w:val="auto"/>
          <w:kern w:val="0"/>
          <w:szCs w:val="20"/>
          <w:highlight w:val="none"/>
        </w:rPr>
        <w:t xml:space="preserve">        授权人</w:t>
      </w:r>
      <w:r>
        <w:rPr>
          <w:rFonts w:hint="eastAsia" w:ascii="宋体" w:hAnsi="宋体" w:eastAsia="宋体" w:cs="宋体"/>
          <w:color w:val="auto"/>
          <w:kern w:val="0"/>
          <w:sz w:val="20"/>
          <w:highlight w:val="none"/>
        </w:rPr>
        <w:t>（公章）：</w:t>
      </w:r>
      <w:r>
        <w:rPr>
          <w:rFonts w:hint="eastAsia" w:ascii="宋体" w:hAnsi="宋体" w:eastAsia="宋体" w:cs="宋体"/>
          <w:color w:val="auto"/>
          <w:kern w:val="0"/>
          <w:sz w:val="20"/>
          <w:szCs w:val="20"/>
          <w:highlight w:val="none"/>
        </w:rPr>
        <w:t>____________</w:t>
      </w:r>
    </w:p>
    <w:p w14:paraId="608096C8">
      <w:pPr>
        <w:widowControl/>
        <w:wordWrap w:val="0"/>
        <w:snapToGrid w:val="0"/>
        <w:spacing w:line="360" w:lineRule="exact"/>
        <w:textAlignment w:val="baseline"/>
        <w:rPr>
          <w:rFonts w:hint="eastAsia" w:ascii="宋体" w:hAnsi="宋体" w:eastAsia="宋体" w:cs="宋体"/>
          <w:color w:val="auto"/>
          <w:kern w:val="0"/>
          <w:sz w:val="20"/>
          <w:szCs w:val="20"/>
          <w:highlight w:val="none"/>
        </w:rPr>
      </w:pPr>
    </w:p>
    <w:p w14:paraId="3655A539">
      <w:pPr>
        <w:tabs>
          <w:tab w:val="left" w:pos="1305"/>
        </w:tabs>
        <w:wordWrap w:val="0"/>
        <w:spacing w:line="400" w:lineRule="exact"/>
        <w:rPr>
          <w:rFonts w:hint="eastAsia" w:ascii="宋体" w:hAnsi="宋体" w:eastAsia="宋体" w:cs="宋体"/>
          <w:b/>
          <w:color w:val="auto"/>
          <w:szCs w:val="21"/>
          <w:highlight w:val="none"/>
        </w:rPr>
      </w:pPr>
      <w:r>
        <w:rPr>
          <w:rFonts w:hint="eastAsia" w:ascii="宋体" w:hAnsi="宋体" w:eastAsia="宋体" w:cs="宋体"/>
          <w:color w:val="auto"/>
          <w:kern w:val="0"/>
          <w:sz w:val="20"/>
          <w:szCs w:val="20"/>
          <w:highlight w:val="none"/>
        </w:rPr>
        <w:t xml:space="preserve">                                              日期：______年____月____日</w:t>
      </w:r>
    </w:p>
    <w:p w14:paraId="065EB563">
      <w:pPr>
        <w:pStyle w:val="20"/>
        <w:rPr>
          <w:rFonts w:hint="eastAsia" w:ascii="宋体" w:hAnsi="宋体" w:eastAsia="宋体" w:cs="宋体"/>
          <w:color w:val="auto"/>
          <w:highlight w:val="none"/>
        </w:rPr>
      </w:pPr>
    </w:p>
    <w:p w14:paraId="449C5E87">
      <w:pPr>
        <w:wordWrap w:val="0"/>
        <w:spacing w:line="400" w:lineRule="exact"/>
        <w:rPr>
          <w:rFonts w:hint="eastAsia" w:ascii="宋体" w:hAnsi="宋体" w:eastAsia="宋体" w:cs="宋体"/>
          <w:b/>
          <w:color w:val="auto"/>
          <w:sz w:val="28"/>
          <w:szCs w:val="28"/>
          <w:highlight w:val="none"/>
        </w:rPr>
      </w:pPr>
    </w:p>
    <w:p w14:paraId="45D1697F">
      <w:pPr>
        <w:widowControl/>
        <w:wordWrap w:val="0"/>
        <w:spacing w:line="400" w:lineRule="exact"/>
        <w:jc w:val="left"/>
        <w:rPr>
          <w:rFonts w:hint="eastAsia" w:ascii="宋体" w:hAnsi="宋体" w:eastAsia="宋体" w:cs="宋体"/>
          <w:b/>
          <w:color w:val="auto"/>
          <w:sz w:val="30"/>
          <w:szCs w:val="30"/>
          <w:highlight w:val="none"/>
        </w:rPr>
      </w:pPr>
    </w:p>
    <w:p w14:paraId="497E25E7">
      <w:pPr>
        <w:widowControl/>
        <w:wordWrap w:val="0"/>
        <w:spacing w:line="400" w:lineRule="exact"/>
        <w:jc w:val="left"/>
        <w:rPr>
          <w:rFonts w:hint="eastAsia" w:ascii="宋体" w:hAnsi="宋体" w:eastAsia="宋体" w:cs="宋体"/>
          <w:b/>
          <w:color w:val="auto"/>
          <w:sz w:val="30"/>
          <w:szCs w:val="30"/>
          <w:highlight w:val="none"/>
        </w:rPr>
      </w:pPr>
    </w:p>
    <w:p w14:paraId="1666C418">
      <w:pPr>
        <w:widowControl/>
        <w:wordWrap w:val="0"/>
        <w:spacing w:line="400" w:lineRule="exact"/>
        <w:jc w:val="left"/>
        <w:rPr>
          <w:rFonts w:hint="eastAsia" w:ascii="宋体" w:hAnsi="宋体" w:eastAsia="宋体" w:cs="宋体"/>
          <w:b/>
          <w:color w:val="auto"/>
          <w:sz w:val="30"/>
          <w:szCs w:val="30"/>
          <w:highlight w:val="none"/>
        </w:rPr>
      </w:pPr>
    </w:p>
    <w:p w14:paraId="1882F9B7">
      <w:pPr>
        <w:widowControl/>
        <w:wordWrap w:val="0"/>
        <w:spacing w:line="400" w:lineRule="exact"/>
        <w:jc w:val="left"/>
        <w:rPr>
          <w:rFonts w:hint="eastAsia" w:ascii="宋体" w:hAnsi="宋体" w:eastAsia="宋体" w:cs="宋体"/>
          <w:b/>
          <w:color w:val="auto"/>
          <w:sz w:val="30"/>
          <w:szCs w:val="30"/>
          <w:highlight w:val="none"/>
        </w:rPr>
      </w:pPr>
    </w:p>
    <w:p w14:paraId="6CACDECC">
      <w:pPr>
        <w:widowControl/>
        <w:wordWrap w:val="0"/>
        <w:spacing w:line="400" w:lineRule="exact"/>
        <w:jc w:val="left"/>
        <w:rPr>
          <w:rFonts w:hint="eastAsia" w:ascii="宋体" w:hAnsi="宋体" w:eastAsia="宋体" w:cs="宋体"/>
          <w:b/>
          <w:color w:val="auto"/>
          <w:sz w:val="30"/>
          <w:szCs w:val="30"/>
          <w:highlight w:val="none"/>
        </w:rPr>
      </w:pPr>
    </w:p>
    <w:p w14:paraId="0DDABCF9">
      <w:pPr>
        <w:widowControl/>
        <w:wordWrap w:val="0"/>
        <w:spacing w:line="400" w:lineRule="exact"/>
        <w:jc w:val="left"/>
        <w:rPr>
          <w:rFonts w:hint="eastAsia" w:ascii="宋体" w:hAnsi="宋体" w:eastAsia="宋体" w:cs="宋体"/>
          <w:b/>
          <w:color w:val="auto"/>
          <w:sz w:val="30"/>
          <w:szCs w:val="30"/>
          <w:highlight w:val="none"/>
        </w:rPr>
      </w:pPr>
    </w:p>
    <w:p w14:paraId="6D233449">
      <w:pPr>
        <w:widowControl/>
        <w:wordWrap w:val="0"/>
        <w:spacing w:line="400" w:lineRule="exact"/>
        <w:jc w:val="left"/>
        <w:rPr>
          <w:rFonts w:hint="eastAsia" w:ascii="宋体" w:hAnsi="宋体" w:eastAsia="宋体" w:cs="宋体"/>
          <w:b/>
          <w:color w:val="auto"/>
          <w:sz w:val="30"/>
          <w:szCs w:val="30"/>
          <w:highlight w:val="none"/>
        </w:rPr>
      </w:pPr>
    </w:p>
    <w:p w14:paraId="4BFFBE7F">
      <w:pPr>
        <w:widowControl/>
        <w:wordWrap w:val="0"/>
        <w:spacing w:line="400" w:lineRule="exact"/>
        <w:jc w:val="left"/>
        <w:rPr>
          <w:rFonts w:hint="eastAsia" w:ascii="宋体" w:hAnsi="宋体" w:eastAsia="宋体" w:cs="宋体"/>
          <w:b/>
          <w:color w:val="auto"/>
          <w:sz w:val="30"/>
          <w:szCs w:val="30"/>
          <w:highlight w:val="none"/>
        </w:rPr>
      </w:pPr>
    </w:p>
    <w:p w14:paraId="089FB48C">
      <w:pPr>
        <w:widowControl/>
        <w:wordWrap w:val="0"/>
        <w:spacing w:line="400" w:lineRule="exact"/>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6.供应商有效的《食品经营许可证》复印件（若供应商所配送食材为自主生产的，还须提供有效的《食品生产许可证》复印件）（必须提供）</w:t>
      </w:r>
    </w:p>
    <w:p w14:paraId="22D58DCA">
      <w:pPr>
        <w:widowControl/>
        <w:wordWrap w:val="0"/>
        <w:spacing w:line="400" w:lineRule="exact"/>
        <w:ind w:firstLine="602" w:firstLineChars="200"/>
        <w:jc w:val="left"/>
        <w:rPr>
          <w:rFonts w:hint="eastAsia" w:ascii="宋体" w:hAnsi="宋体" w:eastAsia="宋体" w:cs="宋体"/>
          <w:b/>
          <w:color w:val="auto"/>
          <w:sz w:val="30"/>
          <w:szCs w:val="30"/>
          <w:highlight w:val="none"/>
        </w:rPr>
      </w:pPr>
    </w:p>
    <w:p w14:paraId="364FE0AB">
      <w:pPr>
        <w:widowControl/>
        <w:wordWrap w:val="0"/>
        <w:spacing w:line="400" w:lineRule="exact"/>
        <w:ind w:firstLine="602" w:firstLineChars="200"/>
        <w:jc w:val="left"/>
        <w:rPr>
          <w:rFonts w:hint="eastAsia" w:ascii="宋体" w:hAnsi="宋体" w:eastAsia="宋体" w:cs="宋体"/>
          <w:b/>
          <w:color w:val="auto"/>
          <w:sz w:val="30"/>
          <w:szCs w:val="30"/>
          <w:highlight w:val="none"/>
        </w:rPr>
      </w:pPr>
    </w:p>
    <w:p w14:paraId="1BC87D48">
      <w:pPr>
        <w:widowControl/>
        <w:wordWrap w:val="0"/>
        <w:spacing w:line="400" w:lineRule="exact"/>
        <w:ind w:firstLine="602" w:firstLineChars="200"/>
        <w:jc w:val="left"/>
        <w:rPr>
          <w:rFonts w:hint="eastAsia" w:ascii="宋体" w:hAnsi="宋体" w:eastAsia="宋体" w:cs="宋体"/>
          <w:b/>
          <w:color w:val="auto"/>
          <w:sz w:val="30"/>
          <w:szCs w:val="30"/>
          <w:highlight w:val="none"/>
        </w:rPr>
      </w:pPr>
    </w:p>
    <w:p w14:paraId="08001E1E">
      <w:pPr>
        <w:widowControl/>
        <w:wordWrap w:val="0"/>
        <w:spacing w:line="400" w:lineRule="exact"/>
        <w:jc w:val="left"/>
        <w:rPr>
          <w:rFonts w:hint="eastAsia" w:ascii="宋体" w:hAnsi="宋体" w:eastAsia="宋体" w:cs="宋体"/>
          <w:b/>
          <w:color w:val="auto"/>
          <w:sz w:val="30"/>
          <w:szCs w:val="30"/>
          <w:highlight w:val="none"/>
        </w:rPr>
      </w:pPr>
    </w:p>
    <w:p w14:paraId="4BF7EE02">
      <w:pPr>
        <w:widowControl/>
        <w:wordWrap w:val="0"/>
        <w:spacing w:line="400" w:lineRule="exact"/>
        <w:jc w:val="left"/>
        <w:rPr>
          <w:rFonts w:hint="eastAsia" w:ascii="宋体" w:hAnsi="宋体" w:eastAsia="宋体" w:cs="宋体"/>
          <w:b/>
          <w:color w:val="auto"/>
          <w:sz w:val="30"/>
          <w:szCs w:val="30"/>
          <w:highlight w:val="none"/>
        </w:rPr>
      </w:pPr>
    </w:p>
    <w:p w14:paraId="417A8280">
      <w:pPr>
        <w:widowControl/>
        <w:wordWrap w:val="0"/>
        <w:spacing w:line="400" w:lineRule="exact"/>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7.供应商2024年以来任意年度内的财务状况报告复印件或2025年以来银行出具的资信证明复印件（若为新成立的企业，请根据实际情况提供）（必须提供）</w:t>
      </w:r>
    </w:p>
    <w:p w14:paraId="74223C8B">
      <w:pPr>
        <w:tabs>
          <w:tab w:val="left" w:pos="1305"/>
        </w:tabs>
        <w:wordWrap w:val="0"/>
        <w:spacing w:line="400" w:lineRule="exact"/>
        <w:rPr>
          <w:rFonts w:hint="eastAsia" w:ascii="宋体" w:hAnsi="宋体" w:eastAsia="宋体" w:cs="宋体"/>
          <w:b/>
          <w:color w:val="auto"/>
          <w:sz w:val="30"/>
          <w:szCs w:val="30"/>
          <w:highlight w:val="none"/>
        </w:rPr>
      </w:pPr>
    </w:p>
    <w:p w14:paraId="0BD841FB">
      <w:pPr>
        <w:tabs>
          <w:tab w:val="left" w:pos="1305"/>
        </w:tabs>
        <w:wordWrap w:val="0"/>
        <w:spacing w:line="400" w:lineRule="exact"/>
        <w:rPr>
          <w:rFonts w:hint="eastAsia" w:ascii="宋体" w:hAnsi="宋体" w:eastAsia="宋体" w:cs="宋体"/>
          <w:b/>
          <w:color w:val="auto"/>
          <w:sz w:val="30"/>
          <w:szCs w:val="30"/>
          <w:highlight w:val="none"/>
        </w:rPr>
      </w:pPr>
    </w:p>
    <w:p w14:paraId="7331A2E2">
      <w:pPr>
        <w:tabs>
          <w:tab w:val="left" w:pos="1305"/>
        </w:tabs>
        <w:wordWrap w:val="0"/>
        <w:spacing w:line="400" w:lineRule="exact"/>
        <w:rPr>
          <w:rFonts w:hint="eastAsia" w:ascii="宋体" w:hAnsi="宋体" w:eastAsia="宋体" w:cs="宋体"/>
          <w:b/>
          <w:color w:val="auto"/>
          <w:sz w:val="30"/>
          <w:szCs w:val="30"/>
          <w:highlight w:val="none"/>
        </w:rPr>
      </w:pPr>
    </w:p>
    <w:p w14:paraId="7125B76F">
      <w:pPr>
        <w:tabs>
          <w:tab w:val="left" w:pos="1305"/>
        </w:tabs>
        <w:wordWrap w:val="0"/>
        <w:spacing w:line="400" w:lineRule="exact"/>
        <w:rPr>
          <w:rFonts w:hint="eastAsia" w:ascii="宋体" w:hAnsi="宋体" w:eastAsia="宋体" w:cs="宋体"/>
          <w:b/>
          <w:color w:val="auto"/>
          <w:sz w:val="30"/>
          <w:szCs w:val="30"/>
          <w:highlight w:val="none"/>
        </w:rPr>
      </w:pPr>
    </w:p>
    <w:p w14:paraId="66103D72">
      <w:pPr>
        <w:tabs>
          <w:tab w:val="left" w:pos="1305"/>
        </w:tabs>
        <w:wordWrap w:val="0"/>
        <w:spacing w:line="400" w:lineRule="exact"/>
        <w:rPr>
          <w:rFonts w:hint="eastAsia" w:ascii="宋体" w:hAnsi="宋体" w:eastAsia="宋体" w:cs="宋体"/>
          <w:b/>
          <w:color w:val="auto"/>
          <w:sz w:val="30"/>
          <w:szCs w:val="30"/>
          <w:highlight w:val="none"/>
        </w:rPr>
      </w:pPr>
    </w:p>
    <w:p w14:paraId="3C497A11">
      <w:pPr>
        <w:tabs>
          <w:tab w:val="left" w:pos="1305"/>
        </w:tabs>
        <w:wordWrap w:val="0"/>
        <w:spacing w:line="400" w:lineRule="exac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8.供应商2026年以来任意一个月依法缴纳税收的相关材料 (可以是银行已缴纳税费凭证复印件或第三方有效的相关业务托缴凭证复印件或供应商所在地税务部门出具的有效证明复印件；无纳税记录的，应提供由供应商所在地的税务部门出具的依法免税或准予延期缴税的证明复印件；若为新成立的企业，请根据实际情况提供）(必须提供)</w:t>
      </w:r>
    </w:p>
    <w:p w14:paraId="45FC4E03">
      <w:pPr>
        <w:wordWrap w:val="0"/>
        <w:spacing w:line="400" w:lineRule="exact"/>
        <w:jc w:val="left"/>
        <w:rPr>
          <w:rFonts w:hint="eastAsia" w:ascii="宋体" w:hAnsi="宋体" w:eastAsia="宋体" w:cs="宋体"/>
          <w:b/>
          <w:color w:val="auto"/>
          <w:sz w:val="30"/>
          <w:szCs w:val="30"/>
          <w:highlight w:val="none"/>
        </w:rPr>
      </w:pPr>
    </w:p>
    <w:p w14:paraId="4EC015BB">
      <w:pPr>
        <w:wordWrap w:val="0"/>
        <w:spacing w:line="400" w:lineRule="exact"/>
        <w:jc w:val="left"/>
        <w:rPr>
          <w:rFonts w:hint="eastAsia" w:ascii="宋体" w:hAnsi="宋体" w:eastAsia="宋体" w:cs="宋体"/>
          <w:b/>
          <w:color w:val="auto"/>
          <w:sz w:val="30"/>
          <w:szCs w:val="30"/>
          <w:highlight w:val="none"/>
        </w:rPr>
      </w:pPr>
    </w:p>
    <w:p w14:paraId="517F5C33">
      <w:pPr>
        <w:wordWrap w:val="0"/>
        <w:spacing w:line="400" w:lineRule="exact"/>
        <w:jc w:val="left"/>
        <w:rPr>
          <w:rFonts w:hint="eastAsia" w:ascii="宋体" w:hAnsi="宋体" w:eastAsia="宋体" w:cs="宋体"/>
          <w:b/>
          <w:color w:val="auto"/>
          <w:sz w:val="30"/>
          <w:szCs w:val="30"/>
          <w:highlight w:val="none"/>
        </w:rPr>
      </w:pPr>
    </w:p>
    <w:p w14:paraId="203D199C">
      <w:pPr>
        <w:wordWrap w:val="0"/>
        <w:spacing w:line="400" w:lineRule="exact"/>
        <w:jc w:val="left"/>
        <w:rPr>
          <w:rFonts w:hint="eastAsia" w:ascii="宋体" w:hAnsi="宋体" w:eastAsia="宋体" w:cs="宋体"/>
          <w:b/>
          <w:color w:val="auto"/>
          <w:sz w:val="30"/>
          <w:szCs w:val="30"/>
          <w:highlight w:val="none"/>
        </w:rPr>
      </w:pPr>
    </w:p>
    <w:p w14:paraId="0BBAC389">
      <w:pPr>
        <w:wordWrap w:val="0"/>
        <w:spacing w:line="400" w:lineRule="exact"/>
        <w:jc w:val="left"/>
        <w:rPr>
          <w:rFonts w:hint="eastAsia" w:ascii="宋体" w:hAnsi="宋体" w:eastAsia="宋体" w:cs="宋体"/>
          <w:b/>
          <w:color w:val="auto"/>
          <w:sz w:val="30"/>
          <w:szCs w:val="30"/>
          <w:highlight w:val="none"/>
        </w:rPr>
      </w:pPr>
    </w:p>
    <w:p w14:paraId="2AA2D7EE">
      <w:pPr>
        <w:wordWrap w:val="0"/>
        <w:spacing w:line="400" w:lineRule="exact"/>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9.供应商2026年以来任意一个月的依法缴纳社会保障资金的相关材料（可以是专用收据、社会保险缴纳清单或者社保部门的证明复印件；无缴费记录的，应提供由供应商所在地的行政主管部门出具的依法免缴社保费或准予延期缴纳社保费的证明复印件；若为新成立的企业，请根据实际情况提供）（必须提供）</w:t>
      </w:r>
    </w:p>
    <w:p w14:paraId="5E207468">
      <w:pPr>
        <w:wordWrap w:val="0"/>
        <w:spacing w:line="400" w:lineRule="exact"/>
        <w:rPr>
          <w:rFonts w:hint="eastAsia" w:ascii="宋体" w:hAnsi="宋体" w:eastAsia="宋体" w:cs="宋体"/>
          <w:b/>
          <w:color w:val="auto"/>
          <w:sz w:val="28"/>
          <w:szCs w:val="28"/>
          <w:highlight w:val="none"/>
        </w:rPr>
      </w:pPr>
    </w:p>
    <w:p w14:paraId="479DAD7A">
      <w:pPr>
        <w:wordWrap w:val="0"/>
        <w:spacing w:line="400" w:lineRule="exact"/>
        <w:rPr>
          <w:rFonts w:hint="eastAsia" w:ascii="宋体" w:hAnsi="宋体" w:eastAsia="宋体" w:cs="宋体"/>
          <w:b/>
          <w:color w:val="auto"/>
          <w:sz w:val="28"/>
          <w:szCs w:val="28"/>
          <w:highlight w:val="none"/>
        </w:rPr>
      </w:pPr>
    </w:p>
    <w:p w14:paraId="65EBA958">
      <w:pPr>
        <w:wordWrap w:val="0"/>
        <w:spacing w:line="400" w:lineRule="exact"/>
        <w:rPr>
          <w:rFonts w:hint="eastAsia" w:ascii="宋体" w:hAnsi="宋体" w:eastAsia="宋体" w:cs="宋体"/>
          <w:b/>
          <w:color w:val="auto"/>
          <w:sz w:val="28"/>
          <w:szCs w:val="28"/>
          <w:highlight w:val="none"/>
        </w:rPr>
      </w:pPr>
    </w:p>
    <w:p w14:paraId="00352F96">
      <w:pPr>
        <w:wordWrap w:val="0"/>
        <w:spacing w:line="400" w:lineRule="exact"/>
        <w:rPr>
          <w:rFonts w:hint="eastAsia" w:ascii="宋体" w:hAnsi="宋体" w:eastAsia="宋体" w:cs="宋体"/>
          <w:b/>
          <w:color w:val="auto"/>
          <w:sz w:val="28"/>
          <w:szCs w:val="28"/>
          <w:highlight w:val="none"/>
        </w:rPr>
      </w:pPr>
    </w:p>
    <w:p w14:paraId="7AD5CC8F">
      <w:pPr>
        <w:wordWrap w:val="0"/>
        <w:spacing w:line="400" w:lineRule="exact"/>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10.供应商的《中小企业声明函》(供应商提供的服务全部由符合政策要求的中小企业提供的)（除监狱企业及残疾人福利性单位外，必须提供）</w:t>
      </w:r>
    </w:p>
    <w:p w14:paraId="49FCA963">
      <w:pPr>
        <w:wordWrap w:val="0"/>
        <w:spacing w:line="460" w:lineRule="exact"/>
        <w:rPr>
          <w:rFonts w:hint="eastAsia" w:ascii="宋体" w:hAnsi="宋体" w:eastAsia="宋体" w:cs="宋体"/>
          <w:b/>
          <w:color w:val="auto"/>
          <w:kern w:val="0"/>
          <w:sz w:val="28"/>
          <w:szCs w:val="28"/>
          <w:highlight w:val="none"/>
          <w:lang w:val="en-GB"/>
        </w:rPr>
      </w:pPr>
      <w:r>
        <w:rPr>
          <w:rFonts w:hint="eastAsia" w:ascii="宋体" w:hAnsi="宋体" w:eastAsia="宋体" w:cs="宋体"/>
          <w:b/>
          <w:color w:val="auto"/>
          <w:kern w:val="0"/>
          <w:sz w:val="28"/>
          <w:szCs w:val="28"/>
          <w:highlight w:val="none"/>
          <w:lang w:val="en-GB"/>
        </w:rPr>
        <w:t xml:space="preserve">  附件：</w:t>
      </w:r>
    </w:p>
    <w:p w14:paraId="1D98C483">
      <w:pPr>
        <w:wordWrap w:val="0"/>
        <w:spacing w:line="500" w:lineRule="exact"/>
        <w:jc w:val="center"/>
        <w:rPr>
          <w:rFonts w:hint="eastAsia" w:ascii="宋体" w:hAnsi="宋体" w:eastAsia="宋体" w:cs="宋体"/>
          <w:color w:val="auto"/>
          <w:kern w:val="0"/>
          <w:sz w:val="32"/>
          <w:szCs w:val="32"/>
          <w:highlight w:val="none"/>
        </w:rPr>
      </w:pPr>
      <w:bookmarkStart w:id="270" w:name="_Toc1553"/>
      <w:bookmarkStart w:id="271" w:name="_Toc10693"/>
      <w:bookmarkStart w:id="272" w:name="_Toc21630"/>
      <w:r>
        <w:rPr>
          <w:rFonts w:hint="eastAsia" w:ascii="宋体" w:hAnsi="宋体" w:eastAsia="宋体" w:cs="宋体"/>
          <w:b/>
          <w:bCs/>
          <w:color w:val="auto"/>
          <w:kern w:val="0"/>
          <w:sz w:val="32"/>
          <w:szCs w:val="32"/>
          <w:highlight w:val="none"/>
        </w:rPr>
        <w:t>中小企业声明函（</w:t>
      </w:r>
      <w:r>
        <w:rPr>
          <w:rFonts w:hint="eastAsia" w:ascii="宋体" w:hAnsi="宋体" w:eastAsia="宋体" w:cs="宋体"/>
          <w:b/>
          <w:bCs/>
          <w:color w:val="auto"/>
          <w:kern w:val="0"/>
          <w:sz w:val="32"/>
          <w:szCs w:val="32"/>
          <w:highlight w:val="none"/>
        </w:rPr>
        <w:t>格式</w:t>
      </w:r>
      <w:r>
        <w:rPr>
          <w:rFonts w:hint="eastAsia" w:ascii="宋体" w:hAnsi="宋体" w:eastAsia="宋体" w:cs="宋体"/>
          <w:b/>
          <w:bCs/>
          <w:color w:val="auto"/>
          <w:kern w:val="0"/>
          <w:sz w:val="32"/>
          <w:szCs w:val="32"/>
          <w:highlight w:val="none"/>
        </w:rPr>
        <w:t>）</w:t>
      </w:r>
      <w:bookmarkEnd w:id="270"/>
      <w:bookmarkEnd w:id="271"/>
      <w:bookmarkEnd w:id="272"/>
    </w:p>
    <w:p w14:paraId="3204E108">
      <w:pPr>
        <w:wordWrap w:val="0"/>
        <w:spacing w:line="50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本公司郑重声明，根据《政府采购促进中小企业发展管理办法》（财库﹝2020﹞46号）的规定，本公司参加</w:t>
      </w:r>
      <w:r>
        <w:rPr>
          <w:rFonts w:hint="eastAsia" w:ascii="宋体" w:hAnsi="宋体" w:eastAsia="宋体" w:cs="宋体"/>
          <w:color w:val="auto"/>
          <w:kern w:val="0"/>
          <w:sz w:val="24"/>
          <w:highlight w:val="none"/>
          <w:u w:val="single"/>
        </w:rPr>
        <w:t>（单位名称）</w:t>
      </w:r>
      <w:r>
        <w:rPr>
          <w:rFonts w:hint="eastAsia" w:ascii="宋体" w:hAnsi="宋体" w:eastAsia="宋体" w:cs="宋体"/>
          <w:color w:val="auto"/>
          <w:kern w:val="0"/>
          <w:sz w:val="24"/>
          <w:highlight w:val="none"/>
        </w:rPr>
        <w:t>的</w:t>
      </w:r>
      <w:r>
        <w:rPr>
          <w:rFonts w:hint="eastAsia" w:ascii="宋体" w:hAnsi="宋体" w:eastAsia="宋体" w:cs="宋体"/>
          <w:color w:val="auto"/>
          <w:kern w:val="0"/>
          <w:sz w:val="24"/>
          <w:highlight w:val="none"/>
          <w:u w:val="single"/>
        </w:rPr>
        <w:t>（项目名称）</w:t>
      </w:r>
      <w:r>
        <w:rPr>
          <w:rFonts w:hint="eastAsia" w:ascii="宋体" w:hAnsi="宋体" w:eastAsia="宋体" w:cs="宋体"/>
          <w:color w:val="auto"/>
          <w:kern w:val="0"/>
          <w:sz w:val="24"/>
          <w:highlight w:val="none"/>
        </w:rPr>
        <w:t>采购活动，</w:t>
      </w:r>
      <w:r>
        <w:rPr>
          <w:rFonts w:hint="eastAsia" w:ascii="宋体" w:hAnsi="宋体" w:eastAsia="宋体" w:cs="宋体"/>
          <w:color w:val="auto"/>
          <w:kern w:val="0"/>
          <w:sz w:val="24"/>
          <w:highlight w:val="none"/>
        </w:rPr>
        <w:t>服务全部由符合政策要求的中小企业承接。相关企业（含联合体中的中小企业、签订分包意向协议的中小企业）的具体情况如下：</w:t>
      </w:r>
    </w:p>
    <w:p w14:paraId="7706C078">
      <w:pPr>
        <w:tabs>
          <w:tab w:val="left" w:pos="1384"/>
          <w:tab w:val="left" w:pos="4562"/>
          <w:tab w:val="left" w:pos="6803"/>
        </w:tabs>
        <w:wordWrap w:val="0"/>
        <w:spacing w:line="50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u w:val="single"/>
        </w:rPr>
        <w:t>（标的名称）</w:t>
      </w:r>
      <w:r>
        <w:rPr>
          <w:rFonts w:hint="eastAsia" w:ascii="宋体" w:hAnsi="宋体" w:eastAsia="宋体" w:cs="宋体"/>
          <w:color w:val="auto"/>
          <w:kern w:val="0"/>
          <w:sz w:val="24"/>
          <w:highlight w:val="none"/>
        </w:rPr>
        <w:t>，属于</w:t>
      </w:r>
      <w:r>
        <w:rPr>
          <w:rFonts w:hint="eastAsia" w:ascii="宋体" w:hAnsi="宋体" w:eastAsia="宋体" w:cs="宋体"/>
          <w:color w:val="auto"/>
          <w:kern w:val="0"/>
          <w:sz w:val="24"/>
          <w:highlight w:val="none"/>
          <w:u w:val="single"/>
        </w:rPr>
        <w:t>（</w:t>
      </w:r>
      <w:r>
        <w:rPr>
          <w:rFonts w:hint="eastAsia" w:ascii="宋体" w:hAnsi="宋体" w:eastAsia="宋体" w:cs="宋体"/>
          <w:color w:val="auto"/>
          <w:kern w:val="0"/>
          <w:sz w:val="24"/>
          <w:highlight w:val="none"/>
          <w:u w:val="single"/>
        </w:rPr>
        <w:t>竞争性磋商文件</w:t>
      </w:r>
      <w:r>
        <w:rPr>
          <w:rFonts w:hint="eastAsia" w:ascii="宋体" w:hAnsi="宋体" w:eastAsia="宋体" w:cs="宋体"/>
          <w:color w:val="auto"/>
          <w:kern w:val="0"/>
          <w:sz w:val="24"/>
          <w:highlight w:val="none"/>
          <w:u w:val="single"/>
        </w:rPr>
        <w:t>中明确的所属</w:t>
      </w:r>
      <w:r>
        <w:rPr>
          <w:rFonts w:hint="eastAsia" w:ascii="宋体" w:hAnsi="宋体" w:eastAsia="宋体" w:cs="宋体"/>
          <w:color w:val="auto"/>
          <w:kern w:val="0"/>
          <w:sz w:val="24"/>
          <w:highlight w:val="none"/>
          <w:u w:val="single"/>
        </w:rPr>
        <w:t>行</w:t>
      </w:r>
      <w:r>
        <w:rPr>
          <w:rFonts w:hint="eastAsia" w:ascii="宋体" w:hAnsi="宋体" w:eastAsia="宋体" w:cs="宋体"/>
          <w:color w:val="auto"/>
          <w:kern w:val="0"/>
          <w:sz w:val="24"/>
          <w:highlight w:val="none"/>
          <w:u w:val="single"/>
        </w:rPr>
        <w:t>业）</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rPr>
        <w:t>承接企业为</w:t>
      </w:r>
      <w:r>
        <w:rPr>
          <w:rFonts w:hint="eastAsia" w:ascii="宋体" w:hAnsi="宋体" w:eastAsia="宋体" w:cs="宋体"/>
          <w:color w:val="auto"/>
          <w:kern w:val="0"/>
          <w:sz w:val="24"/>
          <w:highlight w:val="none"/>
          <w:u w:val="single"/>
        </w:rPr>
        <w:t>（企业名称）</w:t>
      </w:r>
      <w:r>
        <w:rPr>
          <w:rFonts w:hint="eastAsia" w:ascii="宋体" w:hAnsi="宋体" w:eastAsia="宋体" w:cs="宋体"/>
          <w:color w:val="auto"/>
          <w:kern w:val="0"/>
          <w:sz w:val="24"/>
          <w:highlight w:val="none"/>
        </w:rPr>
        <w:t>，从业人员人，营业收入为万元，资产总额为万元</w:t>
      </w:r>
      <w:r>
        <w:rPr>
          <w:rFonts w:hint="eastAsia" w:ascii="宋体" w:hAnsi="宋体" w:eastAsia="宋体" w:cs="宋体"/>
          <w:color w:val="auto"/>
          <w:kern w:val="0"/>
          <w:sz w:val="24"/>
          <w:highlight w:val="none"/>
        </w:rPr>
        <w:t>，属于</w:t>
      </w:r>
      <w:r>
        <w:rPr>
          <w:rFonts w:hint="eastAsia" w:ascii="宋体" w:hAnsi="宋体" w:eastAsia="宋体" w:cs="宋体"/>
          <w:color w:val="auto"/>
          <w:kern w:val="0"/>
          <w:sz w:val="24"/>
          <w:highlight w:val="none"/>
          <w:u w:val="single"/>
        </w:rPr>
        <w:t>（中型企业、</w:t>
      </w:r>
      <w:r>
        <w:rPr>
          <w:rFonts w:hint="eastAsia" w:ascii="宋体" w:hAnsi="宋体" w:eastAsia="宋体" w:cs="宋体"/>
          <w:color w:val="auto"/>
          <w:kern w:val="0"/>
          <w:sz w:val="24"/>
          <w:highlight w:val="none"/>
          <w:u w:val="single"/>
        </w:rPr>
        <w:t>小型企业、微型企业）</w:t>
      </w:r>
      <w:r>
        <w:rPr>
          <w:rFonts w:hint="eastAsia" w:ascii="宋体" w:hAnsi="宋体" w:eastAsia="宋体" w:cs="宋体"/>
          <w:color w:val="auto"/>
          <w:kern w:val="0"/>
          <w:sz w:val="24"/>
          <w:highlight w:val="none"/>
        </w:rPr>
        <w:t>；</w:t>
      </w:r>
    </w:p>
    <w:p w14:paraId="30772421">
      <w:pPr>
        <w:tabs>
          <w:tab w:val="left" w:pos="1065"/>
          <w:tab w:val="left" w:pos="4262"/>
          <w:tab w:val="left" w:pos="6477"/>
        </w:tabs>
        <w:wordWrap w:val="0"/>
        <w:spacing w:line="50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u w:val="single"/>
        </w:rPr>
        <w:t>（标的名称）</w:t>
      </w:r>
      <w:r>
        <w:rPr>
          <w:rFonts w:hint="eastAsia" w:ascii="宋体" w:hAnsi="宋体" w:eastAsia="宋体" w:cs="宋体"/>
          <w:color w:val="auto"/>
          <w:kern w:val="0"/>
          <w:sz w:val="24"/>
          <w:highlight w:val="none"/>
        </w:rPr>
        <w:t>，属于</w:t>
      </w:r>
      <w:r>
        <w:rPr>
          <w:rFonts w:hint="eastAsia" w:ascii="宋体" w:hAnsi="宋体" w:eastAsia="宋体" w:cs="宋体"/>
          <w:color w:val="auto"/>
          <w:kern w:val="0"/>
          <w:sz w:val="24"/>
          <w:highlight w:val="none"/>
          <w:u w:val="single"/>
        </w:rPr>
        <w:t>（</w:t>
      </w:r>
      <w:r>
        <w:rPr>
          <w:rFonts w:hint="eastAsia" w:ascii="宋体" w:hAnsi="宋体" w:eastAsia="宋体" w:cs="宋体"/>
          <w:color w:val="auto"/>
          <w:kern w:val="0"/>
          <w:sz w:val="24"/>
          <w:highlight w:val="none"/>
          <w:u w:val="single"/>
        </w:rPr>
        <w:t>竞争性磋商文件</w:t>
      </w:r>
      <w:r>
        <w:rPr>
          <w:rFonts w:hint="eastAsia" w:ascii="宋体" w:hAnsi="宋体" w:eastAsia="宋体" w:cs="宋体"/>
          <w:color w:val="auto"/>
          <w:kern w:val="0"/>
          <w:sz w:val="24"/>
          <w:highlight w:val="none"/>
          <w:u w:val="single"/>
        </w:rPr>
        <w:t>中明确的所属</w:t>
      </w:r>
      <w:r>
        <w:rPr>
          <w:rFonts w:hint="eastAsia" w:ascii="宋体" w:hAnsi="宋体" w:eastAsia="宋体" w:cs="宋体"/>
          <w:color w:val="auto"/>
          <w:kern w:val="0"/>
          <w:sz w:val="24"/>
          <w:highlight w:val="none"/>
          <w:u w:val="single"/>
        </w:rPr>
        <w:t>行业</w:t>
      </w:r>
      <w:r>
        <w:rPr>
          <w:rFonts w:hint="eastAsia" w:ascii="宋体" w:hAnsi="宋体" w:eastAsia="宋体" w:cs="宋体"/>
          <w:color w:val="auto"/>
          <w:kern w:val="0"/>
          <w:sz w:val="24"/>
          <w:highlight w:val="none"/>
          <w:u w:val="single"/>
        </w:rPr>
        <w:t>）</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rPr>
        <w:t>承接企业为</w:t>
      </w:r>
      <w:r>
        <w:rPr>
          <w:rFonts w:hint="eastAsia" w:ascii="宋体" w:hAnsi="宋体" w:eastAsia="宋体" w:cs="宋体"/>
          <w:color w:val="auto"/>
          <w:kern w:val="0"/>
          <w:sz w:val="24"/>
          <w:highlight w:val="none"/>
          <w:u w:val="single"/>
        </w:rPr>
        <w:t>（企业名称）</w:t>
      </w:r>
      <w:r>
        <w:rPr>
          <w:rFonts w:hint="eastAsia" w:ascii="宋体" w:hAnsi="宋体" w:eastAsia="宋体" w:cs="宋体"/>
          <w:color w:val="auto"/>
          <w:kern w:val="0"/>
          <w:sz w:val="24"/>
          <w:highlight w:val="none"/>
        </w:rPr>
        <w:t>，从业人员人，营业收入为万元，资产总额为万元</w:t>
      </w:r>
      <w:r>
        <w:rPr>
          <w:rFonts w:hint="eastAsia" w:ascii="宋体" w:hAnsi="宋体" w:eastAsia="宋体" w:cs="宋体"/>
          <w:color w:val="auto"/>
          <w:kern w:val="0"/>
          <w:sz w:val="24"/>
          <w:highlight w:val="none"/>
        </w:rPr>
        <w:t>，属于</w:t>
      </w:r>
      <w:r>
        <w:rPr>
          <w:rFonts w:hint="eastAsia" w:ascii="宋体" w:hAnsi="宋体" w:eastAsia="宋体" w:cs="宋体"/>
          <w:color w:val="auto"/>
          <w:kern w:val="0"/>
          <w:sz w:val="24"/>
          <w:highlight w:val="none"/>
          <w:u w:val="single"/>
        </w:rPr>
        <w:t>（中型企业、</w:t>
      </w:r>
      <w:r>
        <w:rPr>
          <w:rFonts w:hint="eastAsia" w:ascii="宋体" w:hAnsi="宋体" w:eastAsia="宋体" w:cs="宋体"/>
          <w:color w:val="auto"/>
          <w:kern w:val="0"/>
          <w:sz w:val="24"/>
          <w:highlight w:val="none"/>
          <w:u w:val="single"/>
        </w:rPr>
        <w:t>小型企业、微型企业）</w:t>
      </w:r>
      <w:r>
        <w:rPr>
          <w:rFonts w:hint="eastAsia" w:ascii="宋体" w:hAnsi="宋体" w:eastAsia="宋体" w:cs="宋体"/>
          <w:color w:val="auto"/>
          <w:kern w:val="0"/>
          <w:sz w:val="24"/>
          <w:highlight w:val="none"/>
        </w:rPr>
        <w:t>；</w:t>
      </w:r>
    </w:p>
    <w:p w14:paraId="58DF5380">
      <w:pPr>
        <w:wordWrap w:val="0"/>
        <w:spacing w:line="50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p w14:paraId="41237061">
      <w:pPr>
        <w:wordWrap w:val="0"/>
        <w:spacing w:line="42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以上企业，不属于大企业的分支机构，不存在控股股东为大企业的情形，也不存在与大企业的负责人为同一人的情形。</w:t>
      </w:r>
    </w:p>
    <w:p w14:paraId="0E33E3FB">
      <w:pPr>
        <w:wordWrap w:val="0"/>
        <w:spacing w:line="42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本企业对上述声明内容的真实性负责。如有虚假，将依法承担相应责任。</w:t>
      </w:r>
    </w:p>
    <w:p w14:paraId="7A623820">
      <w:pPr>
        <w:wordWrap w:val="0"/>
        <w:spacing w:line="500" w:lineRule="exact"/>
        <w:jc w:val="left"/>
        <w:rPr>
          <w:rFonts w:hint="eastAsia" w:ascii="宋体" w:hAnsi="宋体" w:eastAsia="宋体" w:cs="宋体"/>
          <w:color w:val="auto"/>
          <w:kern w:val="0"/>
          <w:sz w:val="24"/>
          <w:highlight w:val="none"/>
        </w:rPr>
      </w:pPr>
    </w:p>
    <w:p w14:paraId="4DC5BF57">
      <w:pPr>
        <w:wordWrap w:val="0"/>
        <w:spacing w:line="400" w:lineRule="exact"/>
        <w:jc w:val="center"/>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 xml:space="preserve">供应商单位名称（CA证书签章）：          </w:t>
      </w:r>
    </w:p>
    <w:p w14:paraId="5ABFCB1B">
      <w:pPr>
        <w:wordWrap w:val="0"/>
        <w:spacing w:line="500" w:lineRule="exact"/>
        <w:jc w:val="left"/>
        <w:rPr>
          <w:rFonts w:hint="eastAsia" w:ascii="宋体" w:hAnsi="宋体" w:eastAsia="宋体" w:cs="宋体"/>
          <w:color w:val="auto"/>
          <w:kern w:val="0"/>
          <w:sz w:val="22"/>
          <w:szCs w:val="22"/>
          <w:highlight w:val="none"/>
        </w:rPr>
      </w:pPr>
      <w:r>
        <w:rPr>
          <w:rFonts w:hint="eastAsia" w:ascii="宋体" w:hAnsi="宋体" w:eastAsia="宋体" w:cs="宋体"/>
          <w:color w:val="auto"/>
          <w:sz w:val="24"/>
          <w:szCs w:val="22"/>
          <w:highlight w:val="none"/>
        </w:rPr>
        <w:t xml:space="preserve">                                             日期：  </w:t>
      </w:r>
    </w:p>
    <w:p w14:paraId="467FF154">
      <w:pPr>
        <w:wordWrap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0FAE335F">
      <w:pPr>
        <w:wordWrap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1.从业人员、营业收入、资产总额填报上一年度数据，无上一年度数据的新成立企业可不填报。</w:t>
      </w:r>
    </w:p>
    <w:p w14:paraId="0E2B3FAD">
      <w:pPr>
        <w:wordWrap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2.中小企业在政府采购活动过程中，请根据自己的真实情况出具本声明函。依法享受中小企业优惠政策的，采购人或采购代理机构在公告成交结果时，同时公告其《中小企业声明函》，接受社会监督。</w:t>
      </w:r>
    </w:p>
    <w:p w14:paraId="74659B86">
      <w:pPr>
        <w:wordWrap w:val="0"/>
        <w:spacing w:line="340" w:lineRule="exact"/>
        <w:rPr>
          <w:rFonts w:hint="eastAsia" w:ascii="宋体" w:hAnsi="宋体" w:eastAsia="宋体" w:cs="宋体"/>
          <w:b/>
          <w:color w:val="auto"/>
          <w:kern w:val="0"/>
          <w:sz w:val="28"/>
          <w:szCs w:val="28"/>
          <w:highlight w:val="none"/>
        </w:rPr>
      </w:pPr>
    </w:p>
    <w:p w14:paraId="23216C08">
      <w:pPr>
        <w:wordWrap w:val="0"/>
        <w:spacing w:line="340" w:lineRule="exact"/>
        <w:rPr>
          <w:rFonts w:hint="eastAsia" w:ascii="宋体" w:hAnsi="宋体" w:eastAsia="宋体" w:cs="宋体"/>
          <w:b/>
          <w:color w:val="auto"/>
          <w:kern w:val="0"/>
          <w:sz w:val="28"/>
          <w:szCs w:val="28"/>
          <w:highlight w:val="none"/>
        </w:rPr>
      </w:pPr>
    </w:p>
    <w:p w14:paraId="5047AF76">
      <w:pP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br w:type="page"/>
      </w:r>
    </w:p>
    <w:p w14:paraId="41E5845D">
      <w:pPr>
        <w:wordWrap w:val="0"/>
        <w:spacing w:line="400" w:lineRule="exact"/>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11.如提供服务的供应商属于</w:t>
      </w:r>
      <w:r>
        <w:rPr>
          <w:rFonts w:hint="eastAsia" w:ascii="宋体" w:hAnsi="宋体" w:eastAsia="宋体" w:cs="宋体"/>
          <w:b/>
          <w:color w:val="auto"/>
          <w:kern w:val="0"/>
          <w:sz w:val="30"/>
          <w:szCs w:val="30"/>
          <w:highlight w:val="none"/>
        </w:rPr>
        <w:t>监狱企业的，应当提供由省级以上监狱管理局、戒毒管理局等（含新疆生产建设兵团）出具的属于监狱企业的证明文件（如供应商属于监狱企业的，则必须提供）</w:t>
      </w:r>
    </w:p>
    <w:p w14:paraId="7D6CB01C">
      <w:pPr>
        <w:wordWrap w:val="0"/>
        <w:spacing w:line="340" w:lineRule="exact"/>
        <w:rPr>
          <w:rFonts w:hint="eastAsia" w:ascii="宋体" w:hAnsi="宋体" w:eastAsia="宋体" w:cs="宋体"/>
          <w:b/>
          <w:color w:val="auto"/>
          <w:kern w:val="0"/>
          <w:sz w:val="28"/>
          <w:szCs w:val="28"/>
          <w:highlight w:val="none"/>
        </w:rPr>
      </w:pPr>
    </w:p>
    <w:p w14:paraId="460ABA9F">
      <w:pPr>
        <w:wordWrap w:val="0"/>
        <w:spacing w:line="340" w:lineRule="exact"/>
        <w:rPr>
          <w:rFonts w:hint="eastAsia" w:ascii="宋体" w:hAnsi="宋体" w:eastAsia="宋体" w:cs="宋体"/>
          <w:b/>
          <w:color w:val="auto"/>
          <w:kern w:val="0"/>
          <w:sz w:val="28"/>
          <w:szCs w:val="28"/>
          <w:highlight w:val="none"/>
        </w:rPr>
      </w:pPr>
    </w:p>
    <w:p w14:paraId="4035B569">
      <w:pPr>
        <w:wordWrap w:val="0"/>
        <w:spacing w:line="340" w:lineRule="exact"/>
        <w:rPr>
          <w:rFonts w:hint="eastAsia" w:ascii="宋体" w:hAnsi="宋体" w:eastAsia="宋体" w:cs="宋体"/>
          <w:b/>
          <w:color w:val="auto"/>
          <w:kern w:val="0"/>
          <w:sz w:val="28"/>
          <w:szCs w:val="28"/>
          <w:highlight w:val="none"/>
        </w:rPr>
      </w:pPr>
    </w:p>
    <w:p w14:paraId="54FD6558">
      <w:pPr>
        <w:wordWrap w:val="0"/>
        <w:spacing w:line="340" w:lineRule="exact"/>
        <w:rPr>
          <w:rFonts w:hint="eastAsia" w:ascii="宋体" w:hAnsi="宋体" w:eastAsia="宋体" w:cs="宋体"/>
          <w:b/>
          <w:color w:val="auto"/>
          <w:kern w:val="0"/>
          <w:sz w:val="28"/>
          <w:szCs w:val="28"/>
          <w:highlight w:val="none"/>
        </w:rPr>
      </w:pPr>
    </w:p>
    <w:p w14:paraId="53C9BC31">
      <w:pPr>
        <w:wordWrap w:val="0"/>
        <w:spacing w:line="340" w:lineRule="exact"/>
        <w:rPr>
          <w:rFonts w:hint="eastAsia" w:ascii="宋体" w:hAnsi="宋体" w:eastAsia="宋体" w:cs="宋体"/>
          <w:b/>
          <w:color w:val="auto"/>
          <w:kern w:val="0"/>
          <w:sz w:val="28"/>
          <w:szCs w:val="28"/>
          <w:highlight w:val="none"/>
        </w:rPr>
      </w:pPr>
    </w:p>
    <w:p w14:paraId="4950116D">
      <w:pPr>
        <w:wordWrap w:val="0"/>
        <w:spacing w:line="400" w:lineRule="exact"/>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12.符合条件的残疾人福利性单位在参加政府采购活动时，应当提供《残疾人福利性单位声明函》（见附件），并对声明的真实性负责；（如供应商属于残疾人福利性单位的，则必须提供）</w:t>
      </w:r>
    </w:p>
    <w:p w14:paraId="2189A8B1">
      <w:pPr>
        <w:wordWrap w:val="0"/>
        <w:spacing w:line="588" w:lineRule="exact"/>
        <w:jc w:val="center"/>
        <w:rPr>
          <w:rFonts w:hint="eastAsia" w:ascii="宋体" w:hAnsi="宋体" w:eastAsia="宋体" w:cs="宋体"/>
          <w:b/>
          <w:color w:val="auto"/>
          <w:kern w:val="0"/>
          <w:sz w:val="32"/>
          <w:szCs w:val="32"/>
          <w:highlight w:val="none"/>
        </w:rPr>
      </w:pPr>
      <w:bookmarkStart w:id="273" w:name="OLE_LINK14"/>
      <w:bookmarkStart w:id="274" w:name="OLE_LINK13"/>
      <w:r>
        <w:rPr>
          <w:rFonts w:hint="eastAsia" w:ascii="宋体" w:hAnsi="宋体" w:eastAsia="宋体" w:cs="宋体"/>
          <w:b/>
          <w:color w:val="auto"/>
          <w:kern w:val="0"/>
          <w:sz w:val="32"/>
          <w:szCs w:val="32"/>
          <w:highlight w:val="none"/>
        </w:rPr>
        <w:t>残疾人福利性单位声明函（格式）</w:t>
      </w:r>
    </w:p>
    <w:bookmarkEnd w:id="273"/>
    <w:bookmarkEnd w:id="274"/>
    <w:p w14:paraId="03E8D74B">
      <w:pPr>
        <w:wordWrap w:val="0"/>
        <w:spacing w:line="50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本单位郑重声明，根据《财政部 民政部 中国残疾人联合会关于促进残疾人就业政府采购政策的通知》（财库〔2017〕 141号）的规定，本单位为符合条件的残疾人福利性单位，且本单位参加____</w:t>
      </w:r>
      <w:r>
        <w:rPr>
          <w:rFonts w:hint="eastAsia" w:ascii="宋体" w:hAnsi="宋体" w:eastAsia="宋体" w:cs="宋体"/>
          <w:color w:val="auto"/>
          <w:kern w:val="0"/>
          <w:sz w:val="24"/>
          <w:highlight w:val="none"/>
          <w:u w:val="single"/>
        </w:rPr>
        <w:t xml:space="preserve">__    </w:t>
      </w:r>
      <w:r>
        <w:rPr>
          <w:rFonts w:hint="eastAsia" w:ascii="宋体" w:hAnsi="宋体" w:eastAsia="宋体" w:cs="宋体"/>
          <w:color w:val="auto"/>
          <w:kern w:val="0"/>
          <w:sz w:val="24"/>
          <w:highlight w:val="none"/>
        </w:rPr>
        <w:t>单位的__</w:t>
      </w:r>
      <w:r>
        <w:rPr>
          <w:rFonts w:hint="eastAsia" w:ascii="宋体" w:hAnsi="宋体" w:eastAsia="宋体" w:cs="宋体"/>
          <w:color w:val="auto"/>
          <w:kern w:val="0"/>
          <w:sz w:val="24"/>
          <w:highlight w:val="none"/>
          <w:u w:val="single"/>
        </w:rPr>
        <w:t xml:space="preserve">____           </w:t>
      </w:r>
      <w:r>
        <w:rPr>
          <w:rFonts w:hint="eastAsia" w:ascii="宋体" w:hAnsi="宋体" w:eastAsia="宋体" w:cs="宋体"/>
          <w:color w:val="auto"/>
          <w:kern w:val="0"/>
          <w:sz w:val="24"/>
          <w:highlight w:val="none"/>
        </w:rPr>
        <w:t>项目采购活动提供本单位制造的货物（由本单位承担工程/提供服务），或者提供其他残疾人福利性单位制造的货物（不包括使用非残疾人福利性单位注册商标的货物）。</w:t>
      </w:r>
    </w:p>
    <w:p w14:paraId="1DD15EFE">
      <w:pPr>
        <w:wordWrap w:val="0"/>
        <w:spacing w:line="588"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本单位对上述声明的真实性负责。如有虚假，将依法承担相应责任。</w:t>
      </w:r>
    </w:p>
    <w:p w14:paraId="420FB287">
      <w:pPr>
        <w:wordWrap w:val="0"/>
        <w:spacing w:line="400" w:lineRule="exact"/>
        <w:jc w:val="center"/>
        <w:rPr>
          <w:rFonts w:hint="eastAsia" w:ascii="宋体" w:hAnsi="宋体" w:eastAsia="宋体" w:cs="宋体"/>
          <w:color w:val="auto"/>
          <w:sz w:val="24"/>
          <w:szCs w:val="22"/>
          <w:highlight w:val="none"/>
        </w:rPr>
      </w:pPr>
    </w:p>
    <w:p w14:paraId="777BA2BD">
      <w:pPr>
        <w:wordWrap w:val="0"/>
        <w:spacing w:line="400" w:lineRule="exact"/>
        <w:jc w:val="center"/>
        <w:rPr>
          <w:rFonts w:hint="eastAsia" w:ascii="宋体" w:hAnsi="宋体" w:eastAsia="宋体" w:cs="宋体"/>
          <w:color w:val="auto"/>
          <w:sz w:val="24"/>
          <w:szCs w:val="22"/>
          <w:highlight w:val="none"/>
        </w:rPr>
      </w:pPr>
    </w:p>
    <w:p w14:paraId="339CFDE5">
      <w:pPr>
        <w:wordWrap w:val="0"/>
        <w:spacing w:line="400" w:lineRule="exact"/>
        <w:jc w:val="center"/>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 xml:space="preserve">                          供应商单位名称（CA证书签章）：          </w:t>
      </w:r>
    </w:p>
    <w:p w14:paraId="7FC8E5F2">
      <w:pPr>
        <w:tabs>
          <w:tab w:val="left" w:pos="4860"/>
        </w:tabs>
        <w:wordWrap w:val="0"/>
        <w:spacing w:line="588" w:lineRule="exact"/>
        <w:jc w:val="center"/>
        <w:rPr>
          <w:rFonts w:hint="eastAsia" w:ascii="宋体" w:hAnsi="宋体" w:eastAsia="宋体" w:cs="宋体"/>
          <w:color w:val="auto"/>
          <w:kern w:val="0"/>
          <w:sz w:val="24"/>
          <w:highlight w:val="none"/>
        </w:rPr>
      </w:pPr>
      <w:r>
        <w:rPr>
          <w:rFonts w:hint="eastAsia" w:ascii="宋体" w:hAnsi="宋体" w:eastAsia="宋体" w:cs="宋体"/>
          <w:color w:val="auto"/>
          <w:sz w:val="24"/>
          <w:szCs w:val="22"/>
          <w:highlight w:val="none"/>
        </w:rPr>
        <w:t xml:space="preserve">                                       日期：</w:t>
      </w:r>
    </w:p>
    <w:p w14:paraId="57C28DBE">
      <w:pPr>
        <w:wordWrap w:val="0"/>
        <w:spacing w:line="400" w:lineRule="exact"/>
        <w:rPr>
          <w:rFonts w:hint="eastAsia" w:ascii="宋体" w:hAnsi="宋体" w:eastAsia="宋体" w:cs="宋体"/>
          <w:b/>
          <w:color w:val="auto"/>
          <w:kern w:val="0"/>
          <w:sz w:val="30"/>
          <w:szCs w:val="30"/>
          <w:highlight w:val="none"/>
        </w:rPr>
      </w:pPr>
    </w:p>
    <w:p w14:paraId="036D245B">
      <w:pPr>
        <w:wordWrap w:val="0"/>
        <w:spacing w:line="400" w:lineRule="exact"/>
        <w:rPr>
          <w:rFonts w:hint="eastAsia" w:ascii="宋体" w:hAnsi="宋体" w:eastAsia="宋体" w:cs="宋体"/>
          <w:b/>
          <w:color w:val="auto"/>
          <w:kern w:val="0"/>
          <w:sz w:val="30"/>
          <w:szCs w:val="30"/>
          <w:highlight w:val="none"/>
        </w:rPr>
      </w:pPr>
    </w:p>
    <w:p w14:paraId="7AC97196">
      <w:pPr>
        <w:wordWrap w:val="0"/>
        <w:spacing w:line="400" w:lineRule="exact"/>
        <w:rPr>
          <w:rFonts w:hint="eastAsia" w:ascii="宋体" w:hAnsi="宋体" w:eastAsia="宋体" w:cs="宋体"/>
          <w:b/>
          <w:color w:val="auto"/>
          <w:kern w:val="0"/>
          <w:sz w:val="30"/>
          <w:szCs w:val="30"/>
          <w:highlight w:val="none"/>
        </w:rPr>
      </w:pPr>
    </w:p>
    <w:p w14:paraId="25919A2C">
      <w:pPr>
        <w:wordWrap w:val="0"/>
        <w:spacing w:line="400" w:lineRule="exact"/>
        <w:rPr>
          <w:rFonts w:hint="eastAsia" w:ascii="宋体" w:hAnsi="宋体" w:eastAsia="宋体" w:cs="宋体"/>
          <w:b/>
          <w:color w:val="auto"/>
          <w:kern w:val="0"/>
          <w:sz w:val="30"/>
          <w:szCs w:val="30"/>
          <w:highlight w:val="none"/>
        </w:rPr>
      </w:pPr>
    </w:p>
    <w:p w14:paraId="6DD745F2">
      <w:pPr>
        <w:wordWrap w:val="0"/>
        <w:spacing w:line="400" w:lineRule="exact"/>
        <w:rPr>
          <w:rFonts w:hint="eastAsia" w:ascii="宋体" w:hAnsi="宋体" w:eastAsia="宋体" w:cs="宋体"/>
          <w:b/>
          <w:color w:val="auto"/>
          <w:kern w:val="0"/>
          <w:sz w:val="30"/>
          <w:szCs w:val="30"/>
          <w:highlight w:val="none"/>
        </w:rPr>
      </w:pPr>
    </w:p>
    <w:p w14:paraId="16B250A4">
      <w:pPr>
        <w:wordWrap w:val="0"/>
        <w:spacing w:line="400" w:lineRule="exact"/>
        <w:rPr>
          <w:rFonts w:hint="eastAsia" w:ascii="宋体" w:hAnsi="宋体" w:eastAsia="宋体" w:cs="宋体"/>
          <w:b/>
          <w:color w:val="auto"/>
          <w:kern w:val="0"/>
          <w:sz w:val="30"/>
          <w:szCs w:val="30"/>
          <w:highlight w:val="none"/>
        </w:rPr>
      </w:pPr>
    </w:p>
    <w:p w14:paraId="20A8EB0A">
      <w:pPr>
        <w:wordWrap w:val="0"/>
        <w:spacing w:line="400" w:lineRule="exact"/>
        <w:rPr>
          <w:rFonts w:hint="eastAsia" w:ascii="宋体" w:hAnsi="宋体" w:eastAsia="宋体" w:cs="宋体"/>
          <w:b/>
          <w:color w:val="auto"/>
          <w:kern w:val="0"/>
          <w:sz w:val="30"/>
          <w:szCs w:val="30"/>
          <w:highlight w:val="none"/>
        </w:rPr>
      </w:pPr>
    </w:p>
    <w:p w14:paraId="022D4DDE">
      <w:pPr>
        <w:wordWrap w:val="0"/>
        <w:spacing w:line="400" w:lineRule="exact"/>
        <w:rPr>
          <w:rFonts w:hint="eastAsia" w:ascii="宋体" w:hAnsi="宋体" w:eastAsia="宋体" w:cs="宋体"/>
          <w:b/>
          <w:color w:val="auto"/>
          <w:kern w:val="0"/>
          <w:sz w:val="30"/>
          <w:szCs w:val="30"/>
          <w:highlight w:val="none"/>
        </w:rPr>
      </w:pPr>
    </w:p>
    <w:p w14:paraId="71F31C20">
      <w:pPr>
        <w:wordWrap w:val="0"/>
        <w:spacing w:line="400" w:lineRule="exact"/>
        <w:rPr>
          <w:rFonts w:hint="eastAsia" w:ascii="宋体" w:hAnsi="宋体" w:eastAsia="宋体" w:cs="宋体"/>
          <w:b/>
          <w:color w:val="auto"/>
          <w:kern w:val="0"/>
          <w:sz w:val="30"/>
          <w:szCs w:val="30"/>
          <w:highlight w:val="none"/>
        </w:rPr>
      </w:pPr>
    </w:p>
    <w:p w14:paraId="4CB65660">
      <w:pPr>
        <w:wordWrap w:val="0"/>
        <w:spacing w:line="400" w:lineRule="exact"/>
        <w:rPr>
          <w:rFonts w:hint="eastAsia" w:ascii="宋体" w:hAnsi="宋体" w:eastAsia="宋体" w:cs="宋体"/>
          <w:b/>
          <w:color w:val="auto"/>
          <w:kern w:val="0"/>
          <w:sz w:val="30"/>
          <w:szCs w:val="30"/>
          <w:highlight w:val="none"/>
        </w:rPr>
      </w:pPr>
    </w:p>
    <w:p w14:paraId="4B825E51">
      <w:pPr>
        <w:wordWrap w:val="0"/>
        <w:spacing w:line="340" w:lineRule="exact"/>
        <w:rPr>
          <w:rFonts w:hint="eastAsia" w:ascii="宋体" w:hAnsi="宋体" w:eastAsia="宋体" w:cs="宋体"/>
          <w:b/>
          <w:color w:val="auto"/>
          <w:kern w:val="0"/>
          <w:sz w:val="30"/>
          <w:szCs w:val="30"/>
          <w:highlight w:val="none"/>
        </w:rPr>
      </w:pPr>
    </w:p>
    <w:p w14:paraId="3318CC29">
      <w:pPr>
        <w:wordWrap w:val="0"/>
        <w:spacing w:line="340" w:lineRule="exact"/>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13.供应商参加本项目无围标串标行为的承诺函（必须提供）</w:t>
      </w:r>
    </w:p>
    <w:p w14:paraId="2FD3F1A7">
      <w:pPr>
        <w:wordWrap w:val="0"/>
        <w:spacing w:line="400" w:lineRule="exact"/>
        <w:rPr>
          <w:rFonts w:hint="eastAsia" w:ascii="宋体" w:hAnsi="宋体" w:eastAsia="宋体" w:cs="宋体"/>
          <w:b/>
          <w:color w:val="auto"/>
          <w:kern w:val="0"/>
          <w:sz w:val="32"/>
          <w:szCs w:val="32"/>
          <w:highlight w:val="none"/>
        </w:rPr>
      </w:pPr>
    </w:p>
    <w:p w14:paraId="01EA21A3">
      <w:pPr>
        <w:wordWrap w:val="0"/>
        <w:spacing w:line="400" w:lineRule="exact"/>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附件：</w:t>
      </w:r>
    </w:p>
    <w:p w14:paraId="1894C025">
      <w:pPr>
        <w:wordWrap w:val="0"/>
        <w:spacing w:line="400" w:lineRule="exact"/>
        <w:jc w:val="center"/>
        <w:rPr>
          <w:rFonts w:hint="eastAsia" w:ascii="宋体" w:hAnsi="宋体" w:eastAsia="宋体" w:cs="宋体"/>
          <w:b/>
          <w:color w:val="auto"/>
          <w:kern w:val="0"/>
          <w:sz w:val="30"/>
          <w:szCs w:val="30"/>
          <w:highlight w:val="none"/>
        </w:rPr>
      </w:pPr>
    </w:p>
    <w:p w14:paraId="1F1CAC3B">
      <w:pPr>
        <w:wordWrap w:val="0"/>
        <w:spacing w:line="400" w:lineRule="exact"/>
        <w:jc w:val="center"/>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 xml:space="preserve"> 供应商参加本项目无围标串标行为的承诺函（格式）</w:t>
      </w:r>
    </w:p>
    <w:p w14:paraId="18BBBEDA">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一、我（公司）承诺无下列相互串通的情形：</w:t>
      </w:r>
    </w:p>
    <w:p w14:paraId="3894B49E">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1.不同供应商的响应文件由同一单位或者个人编制；</w:t>
      </w:r>
    </w:p>
    <w:p w14:paraId="43EC7D9C">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2.不同供应商委托同一单位或者个人办理磋商事宜；</w:t>
      </w:r>
    </w:p>
    <w:p w14:paraId="1973C697">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3.不同的供应商的响应文件载明的项目管理员为同一个人；</w:t>
      </w:r>
    </w:p>
    <w:p w14:paraId="28C82FE0">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4.不同供应商的响应文件异常一致或磋商报价呈规律性差异；</w:t>
      </w:r>
    </w:p>
    <w:p w14:paraId="49A3FCB8">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5.不同供应商的响应文件相互混装；</w:t>
      </w:r>
    </w:p>
    <w:p w14:paraId="0A1BE5DD">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二、我（公司）承诺无下列恶意串通的情形：</w:t>
      </w:r>
    </w:p>
    <w:p w14:paraId="6E4356A5">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1.供应商直接或者间接从采购人或者采购代理机构处获得其他供应商的相关信息并修改其响应文件或者响应文件；</w:t>
      </w:r>
    </w:p>
    <w:p w14:paraId="1400B7D4">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2.供应商按照采购人或者采购代理机构的授意撤换、修改响应文件或者响应文件；</w:t>
      </w:r>
    </w:p>
    <w:p w14:paraId="0DFF8DE5">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3.供应商之间协商报价、技术方案等响应文件或者响应文件的实质性内容；</w:t>
      </w:r>
    </w:p>
    <w:p w14:paraId="61241325">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4.属于同一集团、协会、商会等组织成员的供应商按照该组织要求协同参加政府采购活动；</w:t>
      </w:r>
    </w:p>
    <w:p w14:paraId="6CAF133A">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5.供应商之间事先约定一致抬高或者压低磋商报价,或者在采购项目中事先约定轮流以高价位或者低价位成交，或者事先约定由某一特定供应商成交，然后再参加采购；</w:t>
      </w:r>
    </w:p>
    <w:p w14:paraId="6788A12B">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6.供应商之间商定部分供应商放弃参加政府采购活动或者放弃成交；</w:t>
      </w:r>
    </w:p>
    <w:p w14:paraId="04CF7063">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7.供应商与采购人或者采购代理机构之间、供应商相互之间，为谋求特定供应商成交或者排斥其他供应商的其他串通行为。</w:t>
      </w:r>
    </w:p>
    <w:p w14:paraId="1A5FAFAD">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以上情形一经核查属实，我方愿意承担一切后果，并不再寻求任何旨在减轻或免除法律责任的辩解。</w:t>
      </w:r>
    </w:p>
    <w:p w14:paraId="2AB681F3">
      <w:pPr>
        <w:wordWrap w:val="0"/>
        <w:rPr>
          <w:rFonts w:hint="eastAsia" w:ascii="宋体" w:hAnsi="宋体" w:eastAsia="宋体" w:cs="宋体"/>
          <w:color w:val="auto"/>
          <w:highlight w:val="none"/>
        </w:rPr>
      </w:pPr>
    </w:p>
    <w:p w14:paraId="5D1813B9">
      <w:pPr>
        <w:wordWrap w:val="0"/>
        <w:rPr>
          <w:rFonts w:hint="eastAsia" w:ascii="宋体" w:hAnsi="宋体" w:eastAsia="宋体" w:cs="宋体"/>
          <w:color w:val="auto"/>
          <w:highlight w:val="none"/>
        </w:rPr>
      </w:pPr>
    </w:p>
    <w:p w14:paraId="70083EA2">
      <w:pPr>
        <w:wordWrap w:val="0"/>
        <w:spacing w:line="40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供应商</w:t>
      </w:r>
      <w:r>
        <w:rPr>
          <w:rFonts w:hint="eastAsia" w:ascii="宋体" w:hAnsi="宋体" w:eastAsia="宋体" w:cs="宋体"/>
          <w:bCs/>
          <w:color w:val="auto"/>
          <w:szCs w:val="21"/>
          <w:highlight w:val="none"/>
        </w:rPr>
        <w:t>单位名称</w:t>
      </w:r>
      <w:r>
        <w:rPr>
          <w:rFonts w:hint="eastAsia" w:ascii="宋体" w:hAnsi="宋体" w:eastAsia="宋体" w:cs="宋体"/>
          <w:b/>
          <w:color w:val="auto"/>
          <w:szCs w:val="21"/>
          <w:highlight w:val="none"/>
        </w:rPr>
        <w:t>（CA证书签章）：</w:t>
      </w:r>
    </w:p>
    <w:p w14:paraId="1B35A880">
      <w:pPr>
        <w:wordWrap w:val="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法定代表人(负责人、自然人)或相应的委托代理人签字</w:t>
      </w:r>
      <w:r>
        <w:rPr>
          <w:rFonts w:hint="eastAsia" w:ascii="宋体" w:hAnsi="宋体" w:eastAsia="宋体" w:cs="宋体"/>
          <w:b/>
          <w:color w:val="auto"/>
          <w:szCs w:val="21"/>
          <w:highlight w:val="none"/>
        </w:rPr>
        <w:t>（或个人CA证书签章）</w:t>
      </w:r>
      <w:r>
        <w:rPr>
          <w:rFonts w:hint="eastAsia" w:ascii="宋体" w:hAnsi="宋体" w:eastAsia="宋体" w:cs="宋体"/>
          <w:color w:val="auto"/>
          <w:highlight w:val="none"/>
        </w:rPr>
        <w:t>：</w:t>
      </w:r>
    </w:p>
    <w:p w14:paraId="64BAAA03">
      <w:pPr>
        <w:wordWrap w:val="0"/>
        <w:snapToGrid w:val="0"/>
        <w:spacing w:line="400" w:lineRule="exact"/>
        <w:jc w:val="left"/>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                                                                日    期：</w:t>
      </w:r>
    </w:p>
    <w:p w14:paraId="15C358A3">
      <w:pPr>
        <w:wordWrap w:val="0"/>
        <w:jc w:val="left"/>
        <w:rPr>
          <w:rFonts w:hint="eastAsia" w:ascii="宋体" w:hAnsi="宋体" w:eastAsia="宋体" w:cs="宋体"/>
          <w:b/>
          <w:color w:val="auto"/>
          <w:szCs w:val="21"/>
          <w:highlight w:val="none"/>
        </w:rPr>
      </w:pPr>
    </w:p>
    <w:p w14:paraId="20DDD519">
      <w:pPr>
        <w:wordWrap w:val="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注：供应商参加本项目无围标串标行为的承诺函须由法定代表人(负责人、自然人)或相应的委托代理人签字（或个人CA证书签章）并加盖供应商公章（CA证书签章）。</w:t>
      </w:r>
    </w:p>
    <w:p w14:paraId="19730C1A">
      <w:pPr>
        <w:wordWrap w:val="0"/>
        <w:spacing w:line="340" w:lineRule="exact"/>
        <w:rPr>
          <w:rFonts w:hint="eastAsia" w:ascii="宋体" w:hAnsi="宋体" w:eastAsia="宋体" w:cs="宋体"/>
          <w:b/>
          <w:color w:val="auto"/>
          <w:szCs w:val="21"/>
          <w:highlight w:val="none"/>
        </w:rPr>
      </w:pPr>
    </w:p>
    <w:p w14:paraId="76F2A02A">
      <w:pPr>
        <w:wordWrap w:val="0"/>
        <w:spacing w:line="400" w:lineRule="exact"/>
        <w:rPr>
          <w:rFonts w:hint="eastAsia" w:ascii="宋体" w:hAnsi="宋体" w:eastAsia="宋体" w:cs="宋体"/>
          <w:color w:val="auto"/>
          <w:kern w:val="0"/>
          <w:szCs w:val="21"/>
          <w:highlight w:val="none"/>
        </w:rPr>
      </w:pPr>
    </w:p>
    <w:p w14:paraId="0FA443DC">
      <w:pPr>
        <w:wordWrap w:val="0"/>
        <w:spacing w:line="400" w:lineRule="exact"/>
        <w:rPr>
          <w:rFonts w:hint="eastAsia" w:ascii="宋体" w:hAnsi="宋体" w:eastAsia="宋体" w:cs="宋体"/>
          <w:b/>
          <w:color w:val="auto"/>
          <w:kern w:val="0"/>
          <w:sz w:val="30"/>
          <w:szCs w:val="30"/>
          <w:highlight w:val="none"/>
        </w:rPr>
      </w:pPr>
    </w:p>
    <w:p w14:paraId="776D6A22">
      <w:pPr>
        <w:wordWrap w:val="0"/>
        <w:spacing w:line="400" w:lineRule="exact"/>
        <w:rPr>
          <w:rFonts w:hint="eastAsia" w:ascii="宋体" w:hAnsi="宋体" w:eastAsia="宋体" w:cs="宋体"/>
          <w:b/>
          <w:color w:val="auto"/>
          <w:kern w:val="0"/>
          <w:sz w:val="30"/>
          <w:szCs w:val="30"/>
          <w:highlight w:val="none"/>
        </w:rPr>
      </w:pPr>
    </w:p>
    <w:p w14:paraId="232523F4">
      <w:pPr>
        <w:wordWrap w:val="0"/>
        <w:spacing w:line="400" w:lineRule="exact"/>
        <w:rPr>
          <w:rFonts w:hint="eastAsia" w:ascii="宋体" w:hAnsi="宋体" w:eastAsia="宋体" w:cs="宋体"/>
          <w:b/>
          <w:color w:val="auto"/>
          <w:kern w:val="0"/>
          <w:sz w:val="30"/>
          <w:szCs w:val="30"/>
          <w:highlight w:val="none"/>
        </w:rPr>
      </w:pPr>
    </w:p>
    <w:p w14:paraId="7C163D33">
      <w:pPr>
        <w:wordWrap w:val="0"/>
        <w:spacing w:line="400" w:lineRule="exact"/>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14.供应商参加政府采购活动前3年内在经营活动中没有重大违法记录及有关信用信息的书面声明（必须提供）</w:t>
      </w:r>
    </w:p>
    <w:p w14:paraId="1A1B5F87">
      <w:pPr>
        <w:wordWrap w:val="0"/>
        <w:spacing w:line="400" w:lineRule="exac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附件：</w:t>
      </w:r>
    </w:p>
    <w:p w14:paraId="4671F2B1">
      <w:pPr>
        <w:wordWrap w:val="0"/>
        <w:spacing w:line="400" w:lineRule="exact"/>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声   明（格式）</w:t>
      </w:r>
    </w:p>
    <w:p w14:paraId="3C8D2421">
      <w:pPr>
        <w:wordWrap w:val="0"/>
        <w:snapToGrid w:val="0"/>
        <w:spacing w:line="400" w:lineRule="exact"/>
        <w:rPr>
          <w:rFonts w:hint="eastAsia" w:ascii="宋体" w:hAnsi="宋体" w:eastAsia="宋体" w:cs="宋体"/>
          <w:color w:val="auto"/>
          <w:kern w:val="0"/>
          <w:highlight w:val="none"/>
        </w:rPr>
      </w:pPr>
      <w:r>
        <w:rPr>
          <w:rFonts w:hint="eastAsia" w:ascii="宋体" w:hAnsi="宋体" w:eastAsia="宋体" w:cs="宋体"/>
          <w:b/>
          <w:color w:val="auto"/>
          <w:kern w:val="0"/>
          <w:szCs w:val="21"/>
          <w:highlight w:val="none"/>
        </w:rPr>
        <w:t>致</w:t>
      </w:r>
      <w:r>
        <w:rPr>
          <w:rFonts w:hint="eastAsia" w:ascii="宋体" w:hAnsi="宋体" w:eastAsia="宋体" w:cs="宋体"/>
          <w:color w:val="auto"/>
          <w:kern w:val="0"/>
          <w:szCs w:val="21"/>
          <w:highlight w:val="none"/>
        </w:rPr>
        <w:t>：</w:t>
      </w:r>
      <w:r>
        <w:rPr>
          <w:rFonts w:hint="eastAsia" w:ascii="宋体" w:hAnsi="宋体" w:eastAsia="宋体" w:cs="宋体"/>
          <w:color w:val="auto"/>
          <w:kern w:val="0"/>
          <w:highlight w:val="none"/>
          <w:u w:val="single"/>
        </w:rPr>
        <w:t>广西华诚达建设项目管理有限公司</w:t>
      </w:r>
    </w:p>
    <w:p w14:paraId="3FE478CD">
      <w:pPr>
        <w:wordWrap w:val="0"/>
        <w:rPr>
          <w:rFonts w:hint="eastAsia" w:ascii="宋体" w:hAnsi="宋体" w:eastAsia="宋体" w:cs="宋体"/>
          <w:color w:val="auto"/>
          <w:kern w:val="0"/>
          <w:highlight w:val="none"/>
        </w:rPr>
      </w:pPr>
    </w:p>
    <w:p w14:paraId="0B3C03C9">
      <w:pPr>
        <w:wordWrap w:val="0"/>
        <w:spacing w:line="40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0C84095">
      <w:pPr>
        <w:wordWrap w:val="0"/>
        <w:spacing w:line="400" w:lineRule="exact"/>
        <w:rPr>
          <w:rFonts w:hint="eastAsia" w:ascii="宋体" w:hAnsi="宋体" w:eastAsia="宋体" w:cs="宋体"/>
          <w:color w:val="auto"/>
          <w:kern w:val="0"/>
          <w:szCs w:val="20"/>
          <w:highlight w:val="none"/>
        </w:rPr>
      </w:pPr>
    </w:p>
    <w:p w14:paraId="4B63A3CA">
      <w:pPr>
        <w:wordWrap w:val="0"/>
        <w:snapToGrid w:val="0"/>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供应商单位名称（</w:t>
      </w:r>
      <w:r>
        <w:rPr>
          <w:rFonts w:hint="eastAsia" w:ascii="宋体" w:hAnsi="宋体" w:eastAsia="宋体" w:cs="宋体"/>
          <w:b/>
          <w:color w:val="auto"/>
          <w:szCs w:val="21"/>
          <w:highlight w:val="none"/>
        </w:rPr>
        <w:t>CA证书签章</w:t>
      </w:r>
      <w:r>
        <w:rPr>
          <w:rFonts w:hint="eastAsia" w:ascii="宋体" w:hAnsi="宋体" w:eastAsia="宋体" w:cs="宋体"/>
          <w:color w:val="auto"/>
          <w:szCs w:val="21"/>
          <w:highlight w:val="none"/>
        </w:rPr>
        <w:t>）：</w:t>
      </w:r>
    </w:p>
    <w:p w14:paraId="460912D3">
      <w:pPr>
        <w:wordWrap w:val="0"/>
        <w:spacing w:line="340" w:lineRule="exact"/>
        <w:rPr>
          <w:rFonts w:hint="eastAsia" w:ascii="宋体" w:hAnsi="宋体" w:eastAsia="宋体" w:cs="宋体"/>
          <w:color w:val="auto"/>
          <w:highlight w:val="none"/>
        </w:rPr>
      </w:pPr>
      <w:r>
        <w:rPr>
          <w:rFonts w:hint="eastAsia" w:ascii="宋体" w:hAnsi="宋体" w:eastAsia="宋体" w:cs="宋体"/>
          <w:color w:val="auto"/>
          <w:highlight w:val="none"/>
        </w:rPr>
        <w:t>法定代表人(负责人、自然人)或委托代理人签字</w:t>
      </w:r>
      <w:r>
        <w:rPr>
          <w:rFonts w:hint="eastAsia" w:ascii="宋体" w:hAnsi="宋体" w:eastAsia="宋体" w:cs="宋体"/>
          <w:color w:val="auto"/>
          <w:szCs w:val="21"/>
          <w:highlight w:val="none"/>
        </w:rPr>
        <w:t>（或个人</w:t>
      </w:r>
      <w:r>
        <w:rPr>
          <w:rFonts w:hint="eastAsia" w:ascii="宋体" w:hAnsi="宋体" w:eastAsia="宋体" w:cs="宋体"/>
          <w:b/>
          <w:color w:val="auto"/>
          <w:szCs w:val="21"/>
          <w:highlight w:val="none"/>
        </w:rPr>
        <w:t>CA证书签章</w:t>
      </w:r>
      <w:r>
        <w:rPr>
          <w:rFonts w:hint="eastAsia" w:ascii="宋体" w:hAnsi="宋体" w:eastAsia="宋体" w:cs="宋体"/>
          <w:color w:val="auto"/>
          <w:szCs w:val="21"/>
          <w:highlight w:val="none"/>
        </w:rPr>
        <w:t>）</w:t>
      </w:r>
      <w:r>
        <w:rPr>
          <w:rFonts w:hint="eastAsia" w:ascii="宋体" w:hAnsi="宋体" w:eastAsia="宋体" w:cs="宋体"/>
          <w:color w:val="auto"/>
          <w:highlight w:val="none"/>
        </w:rPr>
        <w:t>：</w:t>
      </w:r>
    </w:p>
    <w:p w14:paraId="3A77B7C0">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0"/>
          <w:highlight w:val="none"/>
        </w:rPr>
        <w:t xml:space="preserve">   日         期：</w:t>
      </w:r>
    </w:p>
    <w:p w14:paraId="62E828B8">
      <w:pPr>
        <w:wordWrap w:val="0"/>
        <w:spacing w:line="440" w:lineRule="exact"/>
        <w:rPr>
          <w:rFonts w:hint="eastAsia" w:ascii="宋体" w:hAnsi="宋体" w:eastAsia="宋体" w:cs="宋体"/>
          <w:color w:val="auto"/>
          <w:kern w:val="0"/>
          <w:szCs w:val="21"/>
          <w:highlight w:val="none"/>
        </w:rPr>
      </w:pPr>
    </w:p>
    <w:p w14:paraId="1BFF5289">
      <w:pPr>
        <w:wordWrap w:val="0"/>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szCs w:val="21"/>
          <w:highlight w:val="none"/>
        </w:rPr>
        <w:t>注：供应商参加政府采购活动前3年内在经营活动中没有重大违法记录及有关信用信息的书面声明须由法定代表人(负责人、自然人)或相应的委托代理人签字（或个人CA证书签章）并加盖供应商公章（CA证书签章）。</w:t>
      </w:r>
    </w:p>
    <w:p w14:paraId="44ED01EF">
      <w:pPr>
        <w:wordWrap w:val="0"/>
        <w:spacing w:line="460" w:lineRule="exact"/>
        <w:rPr>
          <w:rFonts w:hint="eastAsia" w:ascii="宋体" w:hAnsi="宋体" w:eastAsia="宋体" w:cs="宋体"/>
          <w:b/>
          <w:color w:val="auto"/>
          <w:kern w:val="0"/>
          <w:sz w:val="28"/>
          <w:szCs w:val="28"/>
          <w:highlight w:val="none"/>
        </w:rPr>
      </w:pPr>
    </w:p>
    <w:p w14:paraId="5C2F7EB9">
      <w:pPr>
        <w:wordWrap w:val="0"/>
        <w:spacing w:line="460" w:lineRule="exact"/>
        <w:rPr>
          <w:rFonts w:hint="eastAsia" w:ascii="宋体" w:hAnsi="宋体" w:eastAsia="宋体" w:cs="宋体"/>
          <w:b/>
          <w:color w:val="auto"/>
          <w:kern w:val="0"/>
          <w:sz w:val="28"/>
          <w:szCs w:val="28"/>
          <w:highlight w:val="none"/>
        </w:rPr>
      </w:pPr>
    </w:p>
    <w:p w14:paraId="1367BFCA">
      <w:pPr>
        <w:wordWrap w:val="0"/>
        <w:spacing w:line="340" w:lineRule="exact"/>
        <w:rPr>
          <w:rFonts w:hint="eastAsia" w:ascii="宋体" w:hAnsi="宋体" w:eastAsia="宋体" w:cs="宋体"/>
          <w:b/>
          <w:color w:val="auto"/>
          <w:kern w:val="0"/>
          <w:sz w:val="28"/>
          <w:szCs w:val="28"/>
          <w:highlight w:val="none"/>
        </w:rPr>
      </w:pPr>
    </w:p>
    <w:p w14:paraId="67CEB839">
      <w:pPr>
        <w:wordWrap w:val="0"/>
        <w:spacing w:line="340" w:lineRule="exact"/>
        <w:rPr>
          <w:rFonts w:hint="eastAsia" w:ascii="宋体" w:hAnsi="宋体" w:eastAsia="宋体" w:cs="宋体"/>
          <w:b/>
          <w:color w:val="auto"/>
          <w:kern w:val="0"/>
          <w:sz w:val="28"/>
          <w:szCs w:val="28"/>
          <w:highlight w:val="none"/>
        </w:rPr>
      </w:pPr>
    </w:p>
    <w:p w14:paraId="293A7AEE">
      <w:pPr>
        <w:wordWrap w:val="0"/>
        <w:spacing w:line="340" w:lineRule="exact"/>
        <w:rPr>
          <w:rFonts w:hint="eastAsia" w:ascii="宋体" w:hAnsi="宋体" w:eastAsia="宋体" w:cs="宋体"/>
          <w:b/>
          <w:color w:val="auto"/>
          <w:kern w:val="0"/>
          <w:sz w:val="28"/>
          <w:szCs w:val="28"/>
          <w:highlight w:val="none"/>
        </w:rPr>
      </w:pPr>
    </w:p>
    <w:p w14:paraId="27AE6455">
      <w:pPr>
        <w:wordWrap w:val="0"/>
        <w:spacing w:line="340" w:lineRule="exact"/>
        <w:rPr>
          <w:rFonts w:hint="eastAsia" w:ascii="宋体" w:hAnsi="宋体" w:eastAsia="宋体" w:cs="宋体"/>
          <w:b/>
          <w:color w:val="auto"/>
          <w:kern w:val="0"/>
          <w:sz w:val="28"/>
          <w:szCs w:val="28"/>
          <w:highlight w:val="none"/>
        </w:rPr>
      </w:pPr>
    </w:p>
    <w:p w14:paraId="09D0AB9B">
      <w:pPr>
        <w:wordWrap w:val="0"/>
        <w:spacing w:line="340" w:lineRule="exact"/>
        <w:rPr>
          <w:rFonts w:hint="eastAsia" w:ascii="宋体" w:hAnsi="宋体" w:eastAsia="宋体" w:cs="宋体"/>
          <w:b/>
          <w:color w:val="auto"/>
          <w:kern w:val="0"/>
          <w:sz w:val="28"/>
          <w:szCs w:val="28"/>
          <w:highlight w:val="none"/>
        </w:rPr>
      </w:pPr>
    </w:p>
    <w:p w14:paraId="4B091410">
      <w:pPr>
        <w:wordWrap w:val="0"/>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br w:type="page"/>
      </w:r>
    </w:p>
    <w:p w14:paraId="12B40F10">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            （二）符合性响应证明材料目录</w:t>
      </w:r>
    </w:p>
    <w:p w14:paraId="7B3C2FA8">
      <w:pPr>
        <w:tabs>
          <w:tab w:val="left" w:pos="1305"/>
        </w:tabs>
        <w:wordWrap w:val="0"/>
        <w:spacing w:line="400" w:lineRule="exac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   （1）磋商报价表（必须提供）</w:t>
      </w:r>
    </w:p>
    <w:p w14:paraId="5256234D">
      <w:pPr>
        <w:tabs>
          <w:tab w:val="left" w:pos="1305"/>
        </w:tabs>
        <w:wordWrap w:val="0"/>
        <w:spacing w:line="400" w:lineRule="exac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   （2）服务内容及商务要求响应表（必须提供）</w:t>
      </w:r>
    </w:p>
    <w:p w14:paraId="3AE1D3D2">
      <w:pPr>
        <w:pStyle w:val="20"/>
        <w:rPr>
          <w:rFonts w:hint="eastAsia" w:ascii="宋体" w:hAnsi="宋体" w:eastAsia="宋体" w:cs="宋体"/>
          <w:color w:val="auto"/>
          <w:highlight w:val="none"/>
        </w:rPr>
      </w:pPr>
    </w:p>
    <w:p w14:paraId="2AC04AF0">
      <w:pPr>
        <w:pStyle w:val="20"/>
        <w:rPr>
          <w:rFonts w:hint="eastAsia" w:ascii="宋体" w:hAnsi="宋体" w:eastAsia="宋体" w:cs="宋体"/>
          <w:color w:val="auto"/>
          <w:highlight w:val="none"/>
        </w:rPr>
      </w:pPr>
    </w:p>
    <w:p w14:paraId="5BB89538">
      <w:pPr>
        <w:pStyle w:val="20"/>
        <w:rPr>
          <w:rFonts w:hint="eastAsia" w:ascii="宋体" w:hAnsi="宋体" w:eastAsia="宋体" w:cs="宋体"/>
          <w:color w:val="auto"/>
          <w:highlight w:val="none"/>
        </w:rPr>
      </w:pPr>
    </w:p>
    <w:p w14:paraId="1A85C4D9">
      <w:pPr>
        <w:pStyle w:val="20"/>
        <w:rPr>
          <w:rFonts w:hint="eastAsia" w:ascii="宋体" w:hAnsi="宋体" w:eastAsia="宋体" w:cs="宋体"/>
          <w:color w:val="auto"/>
          <w:highlight w:val="none"/>
        </w:rPr>
      </w:pPr>
    </w:p>
    <w:p w14:paraId="4169BA59">
      <w:pPr>
        <w:wordWrap w:val="0"/>
        <w:rPr>
          <w:rFonts w:hint="eastAsia" w:ascii="宋体" w:hAnsi="宋体" w:eastAsia="宋体" w:cs="宋体"/>
          <w:color w:val="auto"/>
          <w:highlight w:val="none"/>
        </w:rPr>
      </w:pPr>
    </w:p>
    <w:p w14:paraId="32ECE821">
      <w:pPr>
        <w:pStyle w:val="43"/>
        <w:wordWrap w:val="0"/>
        <w:spacing w:before="0" w:after="0"/>
        <w:rPr>
          <w:rFonts w:hint="eastAsia" w:ascii="宋体" w:hAnsi="宋体" w:eastAsia="宋体" w:cs="宋体"/>
          <w:color w:val="auto"/>
          <w:highlight w:val="none"/>
        </w:rPr>
      </w:pPr>
    </w:p>
    <w:p w14:paraId="1434954A">
      <w:pPr>
        <w:pStyle w:val="43"/>
        <w:wordWrap w:val="0"/>
        <w:spacing w:before="0" w:after="0"/>
        <w:rPr>
          <w:rFonts w:hint="eastAsia" w:ascii="宋体" w:hAnsi="宋体" w:eastAsia="宋体" w:cs="宋体"/>
          <w:color w:val="auto"/>
          <w:highlight w:val="none"/>
        </w:rPr>
      </w:pPr>
    </w:p>
    <w:p w14:paraId="613C0773">
      <w:pPr>
        <w:pStyle w:val="5"/>
        <w:wordWrap w:val="0"/>
        <w:spacing w:before="0" w:after="0"/>
        <w:rPr>
          <w:rFonts w:hint="eastAsia" w:ascii="宋体" w:hAnsi="宋体" w:eastAsia="宋体" w:cs="宋体"/>
          <w:color w:val="auto"/>
          <w:highlight w:val="none"/>
        </w:rPr>
      </w:pPr>
    </w:p>
    <w:p w14:paraId="53BDD96D">
      <w:pPr>
        <w:wordWrap w:val="0"/>
        <w:rPr>
          <w:rFonts w:hint="eastAsia" w:ascii="宋体" w:hAnsi="宋体" w:eastAsia="宋体" w:cs="宋体"/>
          <w:color w:val="auto"/>
          <w:highlight w:val="none"/>
        </w:rPr>
      </w:pPr>
    </w:p>
    <w:p w14:paraId="365D1280">
      <w:pPr>
        <w:wordWrap w:val="0"/>
        <w:rPr>
          <w:rFonts w:hint="eastAsia" w:ascii="宋体" w:hAnsi="宋体" w:eastAsia="宋体" w:cs="宋体"/>
          <w:color w:val="auto"/>
          <w:highlight w:val="none"/>
        </w:rPr>
      </w:pPr>
    </w:p>
    <w:p w14:paraId="28124A48">
      <w:pPr>
        <w:pStyle w:val="20"/>
        <w:rPr>
          <w:rFonts w:hint="eastAsia" w:ascii="宋体" w:hAnsi="宋体" w:eastAsia="宋体" w:cs="宋体"/>
          <w:color w:val="auto"/>
          <w:highlight w:val="none"/>
        </w:rPr>
      </w:pPr>
    </w:p>
    <w:p w14:paraId="52928DFB">
      <w:pPr>
        <w:pStyle w:val="20"/>
        <w:rPr>
          <w:rFonts w:hint="eastAsia" w:ascii="宋体" w:hAnsi="宋体" w:eastAsia="宋体" w:cs="宋体"/>
          <w:color w:val="auto"/>
          <w:highlight w:val="none"/>
        </w:rPr>
      </w:pPr>
    </w:p>
    <w:p w14:paraId="10BE0689">
      <w:pPr>
        <w:pStyle w:val="20"/>
        <w:rPr>
          <w:rFonts w:hint="eastAsia" w:ascii="宋体" w:hAnsi="宋体" w:eastAsia="宋体" w:cs="宋体"/>
          <w:color w:val="auto"/>
          <w:highlight w:val="none"/>
        </w:rPr>
      </w:pPr>
    </w:p>
    <w:p w14:paraId="74E1A50E">
      <w:pPr>
        <w:pStyle w:val="20"/>
        <w:rPr>
          <w:rFonts w:hint="eastAsia" w:ascii="宋体" w:hAnsi="宋体" w:eastAsia="宋体" w:cs="宋体"/>
          <w:color w:val="auto"/>
          <w:highlight w:val="none"/>
        </w:rPr>
      </w:pPr>
    </w:p>
    <w:p w14:paraId="5A1D0BBD">
      <w:pPr>
        <w:pStyle w:val="20"/>
        <w:rPr>
          <w:rFonts w:hint="eastAsia" w:ascii="宋体" w:hAnsi="宋体" w:eastAsia="宋体" w:cs="宋体"/>
          <w:color w:val="auto"/>
          <w:highlight w:val="none"/>
        </w:rPr>
      </w:pPr>
    </w:p>
    <w:p w14:paraId="1D7A08AB">
      <w:pPr>
        <w:pStyle w:val="20"/>
        <w:rPr>
          <w:rFonts w:hint="eastAsia" w:ascii="宋体" w:hAnsi="宋体" w:eastAsia="宋体" w:cs="宋体"/>
          <w:color w:val="auto"/>
          <w:highlight w:val="none"/>
        </w:rPr>
      </w:pPr>
    </w:p>
    <w:p w14:paraId="4F51C59B">
      <w:pPr>
        <w:pStyle w:val="5"/>
        <w:wordWrap w:val="0"/>
        <w:spacing w:before="0" w:after="0"/>
        <w:rPr>
          <w:rFonts w:hint="eastAsia" w:ascii="宋体" w:hAnsi="宋体" w:eastAsia="宋体" w:cs="宋体"/>
          <w:color w:val="auto"/>
          <w:highlight w:val="none"/>
        </w:rPr>
      </w:pPr>
    </w:p>
    <w:p w14:paraId="031907DC">
      <w:pPr>
        <w:wordWrap w:val="0"/>
        <w:rPr>
          <w:rFonts w:hint="eastAsia" w:ascii="宋体" w:hAnsi="宋体" w:eastAsia="宋体" w:cs="宋体"/>
          <w:color w:val="auto"/>
          <w:highlight w:val="none"/>
        </w:rPr>
      </w:pPr>
    </w:p>
    <w:p w14:paraId="40A8DAB3">
      <w:pPr>
        <w:wordWrap w:val="0"/>
        <w:rPr>
          <w:rFonts w:hint="eastAsia" w:ascii="宋体" w:hAnsi="宋体" w:eastAsia="宋体" w:cs="宋体"/>
          <w:color w:val="auto"/>
          <w:highlight w:val="none"/>
        </w:rPr>
      </w:pPr>
    </w:p>
    <w:p w14:paraId="0032ECDE">
      <w:pPr>
        <w:wordWrap w:val="0"/>
        <w:rPr>
          <w:rFonts w:hint="eastAsia" w:ascii="宋体" w:hAnsi="宋体" w:eastAsia="宋体" w:cs="宋体"/>
          <w:color w:val="auto"/>
          <w:highlight w:val="none"/>
        </w:rPr>
      </w:pPr>
    </w:p>
    <w:p w14:paraId="7B9CFCB9">
      <w:pPr>
        <w:wordWrap w:val="0"/>
        <w:rPr>
          <w:rFonts w:hint="eastAsia" w:ascii="宋体" w:hAnsi="宋体" w:eastAsia="宋体" w:cs="宋体"/>
          <w:color w:val="auto"/>
          <w:highlight w:val="none"/>
        </w:rPr>
      </w:pPr>
    </w:p>
    <w:p w14:paraId="0A644C8E">
      <w:pPr>
        <w:wordWrap w:val="0"/>
        <w:rPr>
          <w:rFonts w:hint="eastAsia" w:ascii="宋体" w:hAnsi="宋体" w:eastAsia="宋体" w:cs="宋体"/>
          <w:color w:val="auto"/>
          <w:highlight w:val="none"/>
        </w:rPr>
      </w:pPr>
    </w:p>
    <w:p w14:paraId="4E3E9E2A">
      <w:pPr>
        <w:wordWrap w:val="0"/>
        <w:rPr>
          <w:rFonts w:hint="eastAsia" w:ascii="宋体" w:hAnsi="宋体" w:eastAsia="宋体" w:cs="宋体"/>
          <w:color w:val="auto"/>
          <w:highlight w:val="none"/>
        </w:rPr>
      </w:pPr>
    </w:p>
    <w:p w14:paraId="144FCEAF">
      <w:pPr>
        <w:wordWrap w:val="0"/>
        <w:rPr>
          <w:rFonts w:hint="eastAsia" w:ascii="宋体" w:hAnsi="宋体" w:eastAsia="宋体" w:cs="宋体"/>
          <w:color w:val="auto"/>
          <w:highlight w:val="none"/>
        </w:rPr>
      </w:pPr>
    </w:p>
    <w:p w14:paraId="0819395D">
      <w:pPr>
        <w:pStyle w:val="17"/>
        <w:rPr>
          <w:rFonts w:hint="eastAsia" w:ascii="宋体" w:hAnsi="宋体" w:eastAsia="宋体" w:cs="宋体"/>
          <w:color w:val="auto"/>
          <w:highlight w:val="none"/>
        </w:rPr>
      </w:pPr>
    </w:p>
    <w:p w14:paraId="5658E28D">
      <w:pPr>
        <w:wordWrap w:val="0"/>
        <w:rPr>
          <w:rFonts w:hint="eastAsia" w:ascii="宋体" w:hAnsi="宋体" w:eastAsia="宋体" w:cs="宋体"/>
          <w:color w:val="auto"/>
          <w:highlight w:val="none"/>
        </w:rPr>
      </w:pPr>
    </w:p>
    <w:p w14:paraId="624B77C8">
      <w:pPr>
        <w:pStyle w:val="17"/>
        <w:rPr>
          <w:rFonts w:hint="eastAsia" w:ascii="宋体" w:hAnsi="宋体" w:eastAsia="宋体" w:cs="宋体"/>
          <w:color w:val="auto"/>
          <w:highlight w:val="none"/>
        </w:rPr>
      </w:pPr>
    </w:p>
    <w:p w14:paraId="38FE192E">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66EAD5F1">
      <w:pPr>
        <w:wordWrap w:val="0"/>
        <w:spacing w:line="320" w:lineRule="exact"/>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1.磋商报价表（必须提供）</w:t>
      </w:r>
    </w:p>
    <w:p w14:paraId="06806A9D">
      <w:pPr>
        <w:wordWrap w:val="0"/>
        <w:spacing w:line="320" w:lineRule="exact"/>
        <w:jc w:val="left"/>
        <w:rPr>
          <w:rFonts w:hint="eastAsia" w:ascii="宋体" w:hAnsi="宋体" w:eastAsia="宋体" w:cs="宋体"/>
          <w:b/>
          <w:color w:val="auto"/>
          <w:sz w:val="28"/>
          <w:szCs w:val="28"/>
          <w:highlight w:val="none"/>
        </w:rPr>
      </w:pPr>
    </w:p>
    <w:p w14:paraId="2FF2F00B">
      <w:pPr>
        <w:wordWrap w:val="0"/>
        <w:spacing w:line="320" w:lineRule="exact"/>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附件：     </w:t>
      </w:r>
    </w:p>
    <w:p w14:paraId="719941F7">
      <w:pPr>
        <w:wordWrap w:val="0"/>
        <w:spacing w:afterLines="50" w:line="38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磋商报价表（格式）</w:t>
      </w:r>
    </w:p>
    <w:p w14:paraId="375104DA">
      <w:pPr>
        <w:wordWrap w:val="0"/>
        <w:spacing w:afterLines="50" w:line="380" w:lineRule="exact"/>
        <w:jc w:val="left"/>
        <w:rPr>
          <w:rFonts w:hint="eastAsia" w:ascii="宋体" w:hAnsi="宋体" w:eastAsia="宋体" w:cs="宋体"/>
          <w:b/>
          <w:color w:val="auto"/>
          <w:sz w:val="28"/>
          <w:szCs w:val="28"/>
          <w:highlight w:val="none"/>
        </w:rPr>
      </w:pPr>
      <w:bookmarkStart w:id="275" w:name="OLE_LINK113"/>
      <w:bookmarkStart w:id="276" w:name="OLE_LINK106"/>
      <w:bookmarkStart w:id="277" w:name="OLE_LINK105"/>
      <w:r>
        <w:rPr>
          <w:rFonts w:hint="eastAsia" w:ascii="宋体" w:hAnsi="宋体" w:eastAsia="宋体" w:cs="宋体"/>
          <w:b/>
          <w:color w:val="auto"/>
          <w:sz w:val="28"/>
          <w:szCs w:val="28"/>
          <w:highlight w:val="none"/>
        </w:rPr>
        <w:t xml:space="preserve"> 分标</w:t>
      </w:r>
      <w:r>
        <w:rPr>
          <w:rFonts w:hint="eastAsia" w:ascii="宋体" w:hAnsi="宋体" w:eastAsia="宋体" w:cs="宋体"/>
          <w:b/>
          <w:color w:val="auto"/>
          <w:sz w:val="28"/>
          <w:szCs w:val="28"/>
          <w:highlight w:val="none"/>
          <w:u w:val="single"/>
        </w:rPr>
        <w:t xml:space="preserve">      :</w:t>
      </w:r>
    </w:p>
    <w:bookmarkEnd w:id="275"/>
    <w:bookmarkEnd w:id="276"/>
    <w:bookmarkEnd w:id="277"/>
    <w:tbl>
      <w:tblPr>
        <w:tblStyle w:val="33"/>
        <w:tblW w:w="964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11"/>
        <w:gridCol w:w="2750"/>
        <w:gridCol w:w="2784"/>
      </w:tblGrid>
      <w:tr w14:paraId="7AFDD2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9" w:hRule="atLeast"/>
          <w:jc w:val="center"/>
        </w:trPr>
        <w:tc>
          <w:tcPr>
            <w:tcW w:w="4111" w:type="dxa"/>
            <w:tcBorders>
              <w:top w:val="single" w:color="auto" w:sz="4" w:space="0"/>
              <w:left w:val="single" w:color="auto" w:sz="4" w:space="0"/>
              <w:bottom w:val="single" w:color="auto" w:sz="4" w:space="0"/>
              <w:right w:val="single" w:color="auto" w:sz="4" w:space="0"/>
            </w:tcBorders>
            <w:vAlign w:val="center"/>
          </w:tcPr>
          <w:p w14:paraId="01FEC7C2">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2750" w:type="dxa"/>
            <w:tcBorders>
              <w:top w:val="single" w:color="auto" w:sz="4" w:space="0"/>
              <w:left w:val="nil"/>
              <w:bottom w:val="single" w:color="auto" w:sz="4" w:space="0"/>
              <w:right w:val="single" w:color="auto" w:sz="4" w:space="0"/>
            </w:tcBorders>
            <w:vAlign w:val="center"/>
          </w:tcPr>
          <w:p w14:paraId="5EF06E58">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磋商报价（综合折扣率）</w:t>
            </w:r>
          </w:p>
        </w:tc>
        <w:tc>
          <w:tcPr>
            <w:tcW w:w="2784" w:type="dxa"/>
            <w:tcBorders>
              <w:top w:val="single" w:color="auto" w:sz="4" w:space="0"/>
              <w:left w:val="nil"/>
              <w:bottom w:val="single" w:color="auto" w:sz="4" w:space="0"/>
              <w:right w:val="single" w:color="auto" w:sz="4" w:space="0"/>
            </w:tcBorders>
            <w:vAlign w:val="center"/>
          </w:tcPr>
          <w:p w14:paraId="15C869ED">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24037B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60" w:hRule="atLeast"/>
          <w:jc w:val="center"/>
        </w:trPr>
        <w:tc>
          <w:tcPr>
            <w:tcW w:w="4111" w:type="dxa"/>
            <w:tcBorders>
              <w:top w:val="single" w:color="auto" w:sz="4" w:space="0"/>
              <w:left w:val="single" w:color="auto" w:sz="4" w:space="0"/>
              <w:right w:val="single" w:color="auto" w:sz="4" w:space="0"/>
            </w:tcBorders>
            <w:vAlign w:val="center"/>
          </w:tcPr>
          <w:p w14:paraId="1AE38368">
            <w:pPr>
              <w:spacing w:line="380" w:lineRule="exact"/>
              <w:jc w:val="center"/>
              <w:rPr>
                <w:rFonts w:hint="eastAsia" w:ascii="宋体" w:hAnsi="宋体" w:eastAsia="宋体" w:cs="宋体"/>
                <w:color w:val="auto"/>
                <w:highlight w:val="none"/>
              </w:rPr>
            </w:pPr>
            <w:bookmarkStart w:id="278" w:name="_Hlk239724923"/>
            <w:r>
              <w:rPr>
                <w:rFonts w:hint="eastAsia" w:ascii="宋体" w:hAnsi="宋体" w:eastAsia="宋体" w:cs="宋体"/>
                <w:color w:val="auto"/>
                <w:highlight w:val="none"/>
              </w:rPr>
              <w:t>七星区农村学校伙房食材配送服务项目</w:t>
            </w:r>
          </w:p>
        </w:tc>
        <w:tc>
          <w:tcPr>
            <w:tcW w:w="2750" w:type="dxa"/>
            <w:tcBorders>
              <w:top w:val="single" w:color="auto" w:sz="4" w:space="0"/>
              <w:left w:val="nil"/>
              <w:bottom w:val="single" w:color="auto" w:sz="4" w:space="0"/>
              <w:right w:val="single" w:color="auto" w:sz="4" w:space="0"/>
            </w:tcBorders>
            <w:vAlign w:val="center"/>
          </w:tcPr>
          <w:p w14:paraId="60744161">
            <w:pPr>
              <w:spacing w:line="380" w:lineRule="exact"/>
              <w:jc w:val="center"/>
              <w:rPr>
                <w:rFonts w:hint="eastAsia" w:ascii="宋体" w:hAnsi="宋体" w:eastAsia="宋体" w:cs="宋体"/>
                <w:color w:val="auto"/>
                <w:highlight w:val="none"/>
              </w:rPr>
            </w:pPr>
            <w:r>
              <w:rPr>
                <w:rFonts w:hint="eastAsia" w:ascii="宋体" w:hAnsi="宋体" w:eastAsia="宋体" w:cs="宋体"/>
                <w:color w:val="auto"/>
                <w:sz w:val="24"/>
                <w:highlight w:val="none"/>
                <w:u w:val="single"/>
                <w:lang w:val="en-GB"/>
              </w:rPr>
              <w:t xml:space="preserve">       </w:t>
            </w:r>
            <w:r>
              <w:rPr>
                <w:rFonts w:hint="eastAsia" w:ascii="宋体" w:hAnsi="宋体" w:eastAsia="宋体" w:cs="宋体"/>
                <w:color w:val="auto"/>
                <w:sz w:val="24"/>
                <w:highlight w:val="none"/>
                <w:lang w:val="en-GB"/>
              </w:rPr>
              <w:t>%</w:t>
            </w:r>
          </w:p>
        </w:tc>
        <w:tc>
          <w:tcPr>
            <w:tcW w:w="2784" w:type="dxa"/>
            <w:tcBorders>
              <w:top w:val="single" w:color="auto" w:sz="4" w:space="0"/>
              <w:left w:val="nil"/>
              <w:bottom w:val="single" w:color="auto" w:sz="4" w:space="0"/>
              <w:right w:val="single" w:color="auto" w:sz="4" w:space="0"/>
            </w:tcBorders>
            <w:vAlign w:val="center"/>
          </w:tcPr>
          <w:p w14:paraId="30A9B6A9">
            <w:pPr>
              <w:spacing w:line="380" w:lineRule="exact"/>
              <w:jc w:val="center"/>
              <w:rPr>
                <w:rFonts w:hint="eastAsia" w:ascii="宋体" w:hAnsi="宋体" w:eastAsia="宋体" w:cs="宋体"/>
                <w:color w:val="auto"/>
                <w:highlight w:val="none"/>
              </w:rPr>
            </w:pPr>
          </w:p>
        </w:tc>
      </w:tr>
      <w:bookmarkEnd w:id="278"/>
      <w:tr w14:paraId="4D922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jc w:val="center"/>
        </w:trPr>
        <w:tc>
          <w:tcPr>
            <w:tcW w:w="9645" w:type="dxa"/>
            <w:gridSpan w:val="3"/>
            <w:tcBorders>
              <w:top w:val="single" w:color="auto" w:sz="4" w:space="0"/>
              <w:left w:val="single" w:color="auto" w:sz="4" w:space="0"/>
              <w:bottom w:val="single" w:color="auto" w:sz="4" w:space="0"/>
              <w:right w:val="single" w:color="auto" w:sz="4" w:space="0"/>
            </w:tcBorders>
            <w:vAlign w:val="center"/>
          </w:tcPr>
          <w:p w14:paraId="2C665D95">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服务时间：</w:t>
            </w:r>
            <w:r>
              <w:rPr>
                <w:rFonts w:hint="eastAsia" w:ascii="宋体" w:hAnsi="宋体" w:eastAsia="宋体" w:cs="宋体"/>
                <w:color w:val="auto"/>
                <w:highlight w:val="none"/>
              </w:rPr>
              <w:t>自合同签订之日起至2027年春季学期结束止。</w:t>
            </w:r>
          </w:p>
        </w:tc>
      </w:tr>
      <w:tr w14:paraId="52AACD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2" w:hRule="atLeast"/>
          <w:jc w:val="center"/>
        </w:trPr>
        <w:tc>
          <w:tcPr>
            <w:tcW w:w="9645" w:type="dxa"/>
            <w:gridSpan w:val="3"/>
            <w:tcBorders>
              <w:top w:val="single" w:color="auto" w:sz="4" w:space="0"/>
              <w:left w:val="single" w:color="auto" w:sz="4" w:space="0"/>
              <w:bottom w:val="single" w:color="auto" w:sz="4" w:space="0"/>
              <w:right w:val="single" w:color="auto" w:sz="4" w:space="0"/>
            </w:tcBorders>
            <w:vAlign w:val="center"/>
          </w:tcPr>
          <w:p w14:paraId="36B914B8">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服务地点</w:t>
            </w:r>
            <w:r>
              <w:rPr>
                <w:rFonts w:hint="eastAsia" w:ascii="宋体" w:hAnsi="宋体" w:eastAsia="宋体" w:cs="宋体"/>
                <w:color w:val="auto"/>
                <w:highlight w:val="none"/>
              </w:rPr>
              <w:t>：</w:t>
            </w:r>
            <w:r>
              <w:rPr>
                <w:rFonts w:hint="eastAsia" w:ascii="宋体" w:hAnsi="宋体" w:eastAsia="宋体" w:cs="宋体"/>
                <w:color w:val="auto"/>
                <w:highlight w:val="none"/>
              </w:rPr>
              <w:t>广西桂林市采购人指定地点。</w:t>
            </w:r>
          </w:p>
        </w:tc>
      </w:tr>
      <w:tr w14:paraId="692D09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37" w:hRule="atLeast"/>
          <w:jc w:val="center"/>
        </w:trPr>
        <w:tc>
          <w:tcPr>
            <w:tcW w:w="9645" w:type="dxa"/>
            <w:gridSpan w:val="3"/>
            <w:tcBorders>
              <w:top w:val="single" w:color="auto" w:sz="4" w:space="0"/>
              <w:left w:val="single" w:color="auto" w:sz="4" w:space="0"/>
              <w:bottom w:val="single" w:color="auto" w:sz="4" w:space="0"/>
              <w:right w:val="single" w:color="auto" w:sz="4" w:space="0"/>
            </w:tcBorders>
            <w:vAlign w:val="center"/>
          </w:tcPr>
          <w:p w14:paraId="4E9C5A01">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说明：</w:t>
            </w:r>
          </w:p>
          <w:p w14:paraId="65B1A57A">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bCs/>
                <w:color w:val="auto"/>
                <w:szCs w:val="21"/>
                <w:highlight w:val="none"/>
              </w:rPr>
              <w:t>磋商报价按综合折扣率报价，本项目综合折扣率控制范围为≤95%，超出范围的磋商报价均为无效报价，其响应文件将被视为无效处理。</w:t>
            </w:r>
          </w:p>
          <w:p w14:paraId="5DAB6C62">
            <w:pPr>
              <w:spacing w:line="400" w:lineRule="exact"/>
              <w:rPr>
                <w:rFonts w:hint="eastAsia" w:ascii="宋体" w:hAnsi="宋体" w:eastAsia="宋体" w:cs="宋体"/>
                <w:color w:val="auto"/>
                <w:szCs w:val="21"/>
                <w:highlight w:val="none"/>
                <w:lang w:val="zh-TW"/>
              </w:rPr>
            </w:pPr>
            <w:r>
              <w:rPr>
                <w:rFonts w:hint="eastAsia" w:ascii="宋体" w:hAnsi="宋体" w:eastAsia="宋体" w:cs="宋体"/>
                <w:bCs/>
                <w:color w:val="auto"/>
                <w:szCs w:val="21"/>
                <w:highlight w:val="none"/>
              </w:rPr>
              <w:t>注：</w:t>
            </w:r>
            <w:r>
              <w:rPr>
                <w:rFonts w:hint="eastAsia" w:ascii="宋体" w:hAnsi="宋体" w:eastAsia="宋体" w:cs="宋体"/>
                <w:bCs/>
                <w:color w:val="auto"/>
                <w:spacing w:val="-4"/>
                <w:szCs w:val="21"/>
                <w:highlight w:val="none"/>
              </w:rPr>
              <w:t>结算金额=每次确定的基准价×供应商承诺的折扣率（综合折扣率&lt;%&gt;）×实际供应食材的数量【</w:t>
            </w:r>
            <w:r>
              <w:rPr>
                <w:rFonts w:hint="eastAsia" w:ascii="宋体" w:hAnsi="宋体" w:eastAsia="宋体" w:cs="宋体"/>
                <w:color w:val="auto"/>
                <w:szCs w:val="21"/>
                <w:highlight w:val="none"/>
                <w:lang w:val="zh-TW"/>
              </w:rPr>
              <w:t>基准价釆用周期性市场调查询价（每月询价不少于一次）的平均价确定。调查询价采取两种方式，一是线上询价，食材询价定价工作小组集体开展线上询价，对照桂林市发改委</w:t>
            </w:r>
            <w:r>
              <w:rPr>
                <w:rFonts w:hint="eastAsia" w:ascii="宋体" w:hAnsi="宋体" w:eastAsia="宋体" w:cs="宋体"/>
                <w:color w:val="auto"/>
                <w:szCs w:val="21"/>
                <w:highlight w:val="none"/>
                <w:lang w:val="zh-TW" w:eastAsia="zh-TW"/>
              </w:rPr>
              <w:t>(</w:t>
            </w:r>
            <w:r>
              <w:rPr>
                <w:rFonts w:hint="eastAsia" w:ascii="宋体" w:hAnsi="宋体" w:eastAsia="宋体" w:cs="宋体"/>
                <w:color w:val="auto"/>
                <w:szCs w:val="21"/>
                <w:highlight w:val="none"/>
                <w:lang w:val="zh-TW"/>
              </w:rPr>
              <w:t>网址</w:t>
            </w:r>
            <w:r>
              <w:rPr>
                <w:rFonts w:hint="eastAsia" w:ascii="宋体" w:hAnsi="宋体" w:eastAsia="宋体" w:cs="宋体"/>
                <w:color w:val="auto"/>
                <w:szCs w:val="21"/>
                <w:highlight w:val="none"/>
                <w:lang w:val="zh-TW" w:eastAsia="zh-TW"/>
              </w:rPr>
              <w:t>https://fgw.guilin.gov.cn/，首页“政策文件中心—价格监测”)同期公布的十二家市场农副产品市场均价进行比价议价。</w:t>
            </w:r>
            <w:r>
              <w:rPr>
                <w:rFonts w:hint="eastAsia" w:ascii="宋体" w:hAnsi="宋体" w:eastAsia="宋体" w:cs="宋体"/>
                <w:color w:val="auto"/>
                <w:szCs w:val="21"/>
                <w:highlight w:val="none"/>
                <w:lang w:val="zh-TW"/>
              </w:rPr>
              <w:t>二是线下询价，食材询价定价工作小组前往</w:t>
            </w:r>
            <w:r>
              <w:rPr>
                <w:rFonts w:hint="eastAsia" w:ascii="宋体" w:hAnsi="宋体" w:eastAsia="宋体" w:cs="宋体"/>
                <w:bCs/>
                <w:color w:val="auto"/>
                <w:spacing w:val="-4"/>
                <w:szCs w:val="21"/>
                <w:highlight w:val="none"/>
              </w:rPr>
              <w:t>桂林市汇东果菜批发市场、桂林市五里店果蔬批发市场、桂林市七星农贸市场、桂林市西门市场</w:t>
            </w:r>
            <w:r>
              <w:rPr>
                <w:rFonts w:hint="eastAsia" w:ascii="宋体" w:hAnsi="宋体" w:eastAsia="宋体" w:cs="宋体"/>
                <w:color w:val="auto"/>
                <w:szCs w:val="21"/>
                <w:highlight w:val="none"/>
                <w:lang w:val="zh-TW"/>
              </w:rPr>
              <w:t>及七星区大型超市（除特价超市外）等地点的批发价（或零售价）均值为平均价。由双方每月确认后确定</w:t>
            </w:r>
            <w:r>
              <w:rPr>
                <w:rFonts w:hint="eastAsia" w:ascii="宋体" w:hAnsi="宋体" w:eastAsia="宋体" w:cs="宋体"/>
                <w:bCs/>
                <w:color w:val="auto"/>
                <w:spacing w:val="-4"/>
                <w:szCs w:val="21"/>
                <w:highlight w:val="none"/>
              </w:rPr>
              <w:t>】</w:t>
            </w:r>
            <w:r>
              <w:rPr>
                <w:rFonts w:hint="eastAsia" w:ascii="宋体" w:hAnsi="宋体" w:eastAsia="宋体" w:cs="宋体"/>
                <w:color w:val="auto"/>
                <w:szCs w:val="21"/>
                <w:highlight w:val="none"/>
                <w:lang w:val="zh-TW"/>
              </w:rPr>
              <w:t>。</w:t>
            </w:r>
          </w:p>
          <w:p w14:paraId="3E4598E1">
            <w:pPr>
              <w:spacing w:line="400" w:lineRule="exact"/>
              <w:rPr>
                <w:rFonts w:hint="eastAsia" w:ascii="宋体" w:hAnsi="宋体" w:eastAsia="宋体" w:cs="宋体"/>
                <w:color w:val="auto"/>
                <w:szCs w:val="21"/>
                <w:highlight w:val="none"/>
                <w:lang w:val="zh-TW"/>
              </w:rPr>
            </w:pPr>
            <w:r>
              <w:rPr>
                <w:rFonts w:hint="eastAsia" w:ascii="宋体" w:hAnsi="宋体" w:eastAsia="宋体" w:cs="宋体"/>
                <w:color w:val="auto"/>
                <w:highlight w:val="none"/>
              </w:rPr>
              <w:t>2.</w:t>
            </w:r>
            <w:r>
              <w:rPr>
                <w:rFonts w:hint="eastAsia" w:ascii="宋体" w:hAnsi="宋体" w:eastAsia="宋体" w:cs="宋体"/>
                <w:color w:val="auto"/>
                <w:szCs w:val="21"/>
                <w:highlight w:val="none"/>
              </w:rPr>
              <w:t xml:space="preserve"> 磋商报价应包括完成本项目“项目需求”中所列所有服务内容产生的采购成本、人工、包装、运输（装卸）、食品安全防护产生的费用、相关质量检测费、验收、配合调换服务费、售后服务、税金、利润、保险等所涉及到的一切服务费用的总和。供应商应综合考虑在报价中。</w:t>
            </w:r>
          </w:p>
        </w:tc>
      </w:tr>
    </w:tbl>
    <w:p w14:paraId="2BD5A475">
      <w:pPr>
        <w:pStyle w:val="20"/>
        <w:rPr>
          <w:rFonts w:hint="eastAsia" w:ascii="宋体" w:hAnsi="宋体" w:eastAsia="宋体" w:cs="宋体"/>
          <w:color w:val="auto"/>
          <w:highlight w:val="none"/>
        </w:rPr>
      </w:pPr>
      <w:r>
        <w:rPr>
          <w:rFonts w:hint="eastAsia" w:ascii="宋体" w:hAnsi="宋体" w:eastAsia="宋体" w:cs="宋体"/>
          <w:color w:val="auto"/>
          <w:highlight w:val="none"/>
        </w:rPr>
        <w:t xml:space="preserve">    注：根据参与标项进行填写报价。</w:t>
      </w:r>
    </w:p>
    <w:p w14:paraId="12193B21">
      <w:pPr>
        <w:wordWrap w:val="0"/>
        <w:spacing w:line="380" w:lineRule="exact"/>
        <w:ind w:firstLine="2730" w:firstLineChars="1300"/>
        <w:jc w:val="left"/>
        <w:rPr>
          <w:rFonts w:hint="eastAsia" w:ascii="宋体" w:hAnsi="宋体" w:eastAsia="宋体" w:cs="宋体"/>
          <w:color w:val="auto"/>
          <w:szCs w:val="21"/>
          <w:highlight w:val="none"/>
        </w:rPr>
      </w:pPr>
    </w:p>
    <w:p w14:paraId="462A091E">
      <w:pPr>
        <w:wordWrap w:val="0"/>
        <w:spacing w:line="380" w:lineRule="exact"/>
        <w:ind w:firstLine="2730" w:firstLineChars="1300"/>
        <w:jc w:val="left"/>
        <w:rPr>
          <w:rFonts w:hint="eastAsia" w:ascii="宋体" w:hAnsi="宋体" w:eastAsia="宋体" w:cs="宋体"/>
          <w:color w:val="auto"/>
          <w:szCs w:val="21"/>
          <w:highlight w:val="none"/>
        </w:rPr>
      </w:pPr>
    </w:p>
    <w:p w14:paraId="3A87DBCA">
      <w:pPr>
        <w:wordWrap w:val="0"/>
        <w:spacing w:line="400" w:lineRule="exact"/>
        <w:ind w:firstLine="3120" w:firstLineChars="1300"/>
        <w:jc w:val="lef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供应商</w:t>
      </w:r>
      <w:r>
        <w:rPr>
          <w:rFonts w:hint="eastAsia" w:ascii="宋体" w:hAnsi="宋体" w:eastAsia="宋体" w:cs="宋体"/>
          <w:bCs/>
          <w:color w:val="auto"/>
          <w:sz w:val="24"/>
          <w:highlight w:val="none"/>
        </w:rPr>
        <w:t>单位名称</w:t>
      </w:r>
      <w:r>
        <w:rPr>
          <w:rFonts w:hint="eastAsia" w:ascii="宋体" w:hAnsi="宋体" w:eastAsia="宋体" w:cs="宋体"/>
          <w:b/>
          <w:color w:val="auto"/>
          <w:sz w:val="24"/>
          <w:highlight w:val="none"/>
        </w:rPr>
        <w:t>（CA证书签章）：</w:t>
      </w:r>
    </w:p>
    <w:p w14:paraId="3163EB65">
      <w:pPr>
        <w:wordWrap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法定代表人(负责人、自然人)或相应的委托代理人签字</w:t>
      </w:r>
      <w:r>
        <w:rPr>
          <w:rFonts w:hint="eastAsia" w:ascii="宋体" w:hAnsi="宋体" w:eastAsia="宋体" w:cs="宋体"/>
          <w:b/>
          <w:color w:val="auto"/>
          <w:sz w:val="24"/>
          <w:highlight w:val="none"/>
        </w:rPr>
        <w:t>（或个人CA证书签章）</w:t>
      </w:r>
      <w:r>
        <w:rPr>
          <w:rFonts w:hint="eastAsia" w:ascii="宋体" w:hAnsi="宋体" w:eastAsia="宋体" w:cs="宋体"/>
          <w:color w:val="auto"/>
          <w:sz w:val="24"/>
          <w:highlight w:val="none"/>
        </w:rPr>
        <w:t>：</w:t>
      </w:r>
    </w:p>
    <w:p w14:paraId="09B98279">
      <w:pPr>
        <w:wordWrap w:val="0"/>
        <w:snapToGrid w:val="0"/>
        <w:spacing w:line="4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    期：</w:t>
      </w:r>
    </w:p>
    <w:p w14:paraId="79214B94">
      <w:pPr>
        <w:wordWrap w:val="0"/>
        <w:rPr>
          <w:rFonts w:hint="eastAsia" w:ascii="宋体" w:hAnsi="宋体" w:eastAsia="宋体" w:cs="宋体"/>
          <w:color w:val="auto"/>
          <w:sz w:val="24"/>
          <w:highlight w:val="none"/>
        </w:rPr>
      </w:pPr>
    </w:p>
    <w:p w14:paraId="4A9E82DB">
      <w:pPr>
        <w:wordWrap w:val="0"/>
        <w:spacing w:line="320" w:lineRule="exact"/>
        <w:jc w:val="left"/>
        <w:rPr>
          <w:rFonts w:hint="eastAsia" w:ascii="宋体" w:hAnsi="宋体" w:eastAsia="宋体" w:cs="宋体"/>
          <w:b/>
          <w:color w:val="auto"/>
          <w:sz w:val="28"/>
          <w:szCs w:val="28"/>
          <w:highlight w:val="none"/>
        </w:rPr>
      </w:pPr>
    </w:p>
    <w:p w14:paraId="133BDB4A">
      <w:pPr>
        <w:wordWrap w:val="0"/>
        <w:spacing w:line="320" w:lineRule="exact"/>
        <w:jc w:val="left"/>
        <w:rPr>
          <w:rFonts w:hint="eastAsia" w:ascii="宋体" w:hAnsi="宋体" w:eastAsia="宋体" w:cs="宋体"/>
          <w:b/>
          <w:color w:val="auto"/>
          <w:sz w:val="28"/>
          <w:szCs w:val="28"/>
          <w:highlight w:val="none"/>
        </w:rPr>
      </w:pPr>
    </w:p>
    <w:p w14:paraId="265D9C82">
      <w:pPr>
        <w:wordWrap w:val="0"/>
        <w:spacing w:line="320" w:lineRule="exact"/>
        <w:jc w:val="left"/>
        <w:rPr>
          <w:rFonts w:hint="eastAsia" w:ascii="宋体" w:hAnsi="宋体" w:eastAsia="宋体" w:cs="宋体"/>
          <w:b/>
          <w:color w:val="auto"/>
          <w:sz w:val="28"/>
          <w:szCs w:val="28"/>
          <w:highlight w:val="none"/>
        </w:rPr>
      </w:pPr>
    </w:p>
    <w:p w14:paraId="75DF47C7">
      <w:pPr>
        <w:wordWrap w:val="0"/>
        <w:spacing w:line="320" w:lineRule="exact"/>
        <w:jc w:val="left"/>
        <w:rPr>
          <w:rFonts w:hint="eastAsia" w:ascii="宋体" w:hAnsi="宋体" w:eastAsia="宋体" w:cs="宋体"/>
          <w:b/>
          <w:color w:val="auto"/>
          <w:sz w:val="28"/>
          <w:szCs w:val="28"/>
          <w:highlight w:val="none"/>
        </w:rPr>
      </w:pPr>
    </w:p>
    <w:p w14:paraId="4AE3B38D">
      <w:pPr>
        <w:wordWrap w:val="0"/>
        <w:spacing w:line="320" w:lineRule="exact"/>
        <w:jc w:val="left"/>
        <w:rPr>
          <w:rFonts w:hint="eastAsia" w:ascii="宋体" w:hAnsi="宋体" w:eastAsia="宋体" w:cs="宋体"/>
          <w:b/>
          <w:color w:val="auto"/>
          <w:sz w:val="28"/>
          <w:szCs w:val="28"/>
          <w:highlight w:val="none"/>
        </w:rPr>
      </w:pPr>
    </w:p>
    <w:p w14:paraId="7CF7FED3">
      <w:pPr>
        <w:wordWrap w:val="0"/>
        <w:spacing w:line="320" w:lineRule="exact"/>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2.服务内容及商务要求响应表（必须提供）</w:t>
      </w:r>
    </w:p>
    <w:p w14:paraId="2FAFC2E9">
      <w:pPr>
        <w:wordWrap w:val="0"/>
        <w:spacing w:line="320" w:lineRule="exact"/>
        <w:jc w:val="left"/>
        <w:rPr>
          <w:rFonts w:hint="eastAsia" w:ascii="宋体" w:hAnsi="宋体" w:eastAsia="宋体" w:cs="宋体"/>
          <w:b/>
          <w:color w:val="auto"/>
          <w:sz w:val="28"/>
          <w:szCs w:val="28"/>
          <w:highlight w:val="none"/>
        </w:rPr>
      </w:pPr>
    </w:p>
    <w:p w14:paraId="7A370D43">
      <w:pPr>
        <w:wordWrap w:val="0"/>
        <w:spacing w:line="320" w:lineRule="exact"/>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附件：</w:t>
      </w:r>
    </w:p>
    <w:p w14:paraId="0FD7DAE8">
      <w:pPr>
        <w:wordWrap w:val="0"/>
        <w:spacing w:line="320" w:lineRule="exact"/>
        <w:jc w:val="center"/>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服务内容及商务要求响应表（格式）</w:t>
      </w:r>
    </w:p>
    <w:p w14:paraId="5708EDFC">
      <w:pPr>
        <w:wordWrap w:val="0"/>
        <w:spacing w:afterLines="50" w:line="380" w:lineRule="exact"/>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分标</w:t>
      </w:r>
      <w:r>
        <w:rPr>
          <w:rFonts w:hint="eastAsia" w:ascii="宋体" w:hAnsi="宋体" w:eastAsia="宋体" w:cs="宋体"/>
          <w:b/>
          <w:color w:val="auto"/>
          <w:sz w:val="28"/>
          <w:szCs w:val="28"/>
          <w:highlight w:val="none"/>
          <w:u w:val="single"/>
        </w:rPr>
        <w:t xml:space="preserve">      :</w:t>
      </w:r>
    </w:p>
    <w:tbl>
      <w:tblPr>
        <w:tblStyle w:val="158"/>
        <w:tblW w:w="9619"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1"/>
        <w:gridCol w:w="3395"/>
        <w:gridCol w:w="3395"/>
        <w:gridCol w:w="1838"/>
      </w:tblGrid>
      <w:tr w14:paraId="44D35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991" w:type="dxa"/>
            <w:vAlign w:val="center"/>
          </w:tcPr>
          <w:p w14:paraId="06BFD4BF">
            <w:pPr>
              <w:pStyle w:val="161"/>
              <w:spacing w:line="228" w:lineRule="auto"/>
              <w:jc w:val="center"/>
              <w:rPr>
                <w:rFonts w:hint="eastAsia" w:ascii="宋体" w:hAnsi="宋体" w:eastAsia="宋体" w:cs="宋体"/>
                <w:snapToGrid w:val="0"/>
                <w:color w:val="auto"/>
                <w:spacing w:val="9"/>
                <w:highlight w:val="none"/>
                <w:lang w:eastAsia="zh-CN"/>
              </w:rPr>
            </w:pPr>
            <w:r>
              <w:rPr>
                <w:rFonts w:hint="eastAsia" w:ascii="宋体" w:hAnsi="宋体" w:eastAsia="宋体" w:cs="宋体"/>
                <w:snapToGrid w:val="0"/>
                <w:color w:val="auto"/>
                <w:spacing w:val="9"/>
                <w:highlight w:val="none"/>
                <w:lang w:eastAsia="zh-CN"/>
              </w:rPr>
              <w:t>项号</w:t>
            </w:r>
          </w:p>
        </w:tc>
        <w:tc>
          <w:tcPr>
            <w:tcW w:w="3395" w:type="dxa"/>
            <w:vAlign w:val="center"/>
          </w:tcPr>
          <w:p w14:paraId="518C6764">
            <w:pPr>
              <w:pStyle w:val="161"/>
              <w:spacing w:line="227" w:lineRule="auto"/>
              <w:jc w:val="center"/>
              <w:rPr>
                <w:rFonts w:hint="eastAsia" w:ascii="宋体" w:hAnsi="宋体" w:eastAsia="宋体" w:cs="宋体"/>
                <w:snapToGrid w:val="0"/>
                <w:color w:val="auto"/>
                <w:highlight w:val="none"/>
                <w:lang w:eastAsia="zh-CN"/>
              </w:rPr>
            </w:pPr>
            <w:r>
              <w:rPr>
                <w:rFonts w:hint="eastAsia" w:ascii="宋体" w:hAnsi="宋体" w:eastAsia="宋体" w:cs="宋体"/>
                <w:snapToGrid w:val="0"/>
                <w:color w:val="auto"/>
                <w:spacing w:val="9"/>
                <w:highlight w:val="none"/>
                <w:lang w:eastAsia="zh-CN"/>
              </w:rPr>
              <w:t>项目服务内容及商务要求</w:t>
            </w:r>
          </w:p>
        </w:tc>
        <w:tc>
          <w:tcPr>
            <w:tcW w:w="3395" w:type="dxa"/>
            <w:vAlign w:val="center"/>
          </w:tcPr>
          <w:p w14:paraId="5EDDB576">
            <w:pPr>
              <w:pStyle w:val="161"/>
              <w:spacing w:line="229" w:lineRule="auto"/>
              <w:jc w:val="center"/>
              <w:rPr>
                <w:rFonts w:hint="eastAsia" w:ascii="宋体" w:hAnsi="宋体" w:eastAsia="宋体" w:cs="宋体"/>
                <w:snapToGrid w:val="0"/>
                <w:color w:val="auto"/>
                <w:highlight w:val="none"/>
              </w:rPr>
            </w:pPr>
            <w:r>
              <w:rPr>
                <w:rFonts w:hint="eastAsia" w:ascii="宋体" w:hAnsi="宋体" w:eastAsia="宋体" w:cs="宋体"/>
                <w:snapToGrid w:val="0"/>
                <w:color w:val="auto"/>
                <w:spacing w:val="9"/>
                <w:highlight w:val="none"/>
                <w:lang w:eastAsia="zh-CN"/>
              </w:rPr>
              <w:t>响应文件</w:t>
            </w:r>
            <w:r>
              <w:rPr>
                <w:rFonts w:hint="eastAsia" w:ascii="宋体" w:hAnsi="宋体" w:eastAsia="宋体" w:cs="宋体"/>
                <w:snapToGrid w:val="0"/>
                <w:color w:val="auto"/>
                <w:spacing w:val="9"/>
                <w:highlight w:val="none"/>
              </w:rPr>
              <w:t>的响应情况</w:t>
            </w:r>
          </w:p>
        </w:tc>
        <w:tc>
          <w:tcPr>
            <w:tcW w:w="1838" w:type="dxa"/>
            <w:vAlign w:val="center"/>
          </w:tcPr>
          <w:p w14:paraId="2F6AE392">
            <w:pPr>
              <w:pStyle w:val="161"/>
              <w:spacing w:line="229" w:lineRule="auto"/>
              <w:jc w:val="center"/>
              <w:rPr>
                <w:rFonts w:hint="eastAsia" w:ascii="宋体" w:hAnsi="宋体" w:eastAsia="宋体" w:cs="宋体"/>
                <w:snapToGrid w:val="0"/>
                <w:color w:val="auto"/>
                <w:highlight w:val="none"/>
              </w:rPr>
            </w:pPr>
            <w:r>
              <w:rPr>
                <w:rFonts w:hint="eastAsia" w:ascii="宋体" w:hAnsi="宋体" w:eastAsia="宋体" w:cs="宋体"/>
                <w:snapToGrid w:val="0"/>
                <w:color w:val="auto"/>
                <w:spacing w:val="8"/>
                <w:highlight w:val="none"/>
              </w:rPr>
              <w:t>偏离情况说明</w:t>
            </w:r>
          </w:p>
        </w:tc>
      </w:tr>
      <w:tr w14:paraId="32A2F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991" w:type="dxa"/>
          </w:tcPr>
          <w:p w14:paraId="6C9C7CF2">
            <w:pPr>
              <w:rPr>
                <w:rFonts w:hint="eastAsia" w:ascii="宋体" w:hAnsi="宋体" w:eastAsia="宋体" w:cs="宋体"/>
                <w:snapToGrid w:val="0"/>
                <w:color w:val="auto"/>
                <w:highlight w:val="none"/>
              </w:rPr>
            </w:pPr>
          </w:p>
        </w:tc>
        <w:tc>
          <w:tcPr>
            <w:tcW w:w="3395" w:type="dxa"/>
          </w:tcPr>
          <w:p w14:paraId="58409977">
            <w:pPr>
              <w:rPr>
                <w:rFonts w:hint="eastAsia" w:ascii="宋体" w:hAnsi="宋体" w:eastAsia="宋体" w:cs="宋体"/>
                <w:snapToGrid w:val="0"/>
                <w:color w:val="auto"/>
                <w:highlight w:val="none"/>
              </w:rPr>
            </w:pPr>
          </w:p>
        </w:tc>
        <w:tc>
          <w:tcPr>
            <w:tcW w:w="3395" w:type="dxa"/>
          </w:tcPr>
          <w:p w14:paraId="0F8D707E">
            <w:pPr>
              <w:rPr>
                <w:rFonts w:hint="eastAsia" w:ascii="宋体" w:hAnsi="宋体" w:eastAsia="宋体" w:cs="宋体"/>
                <w:snapToGrid w:val="0"/>
                <w:color w:val="auto"/>
                <w:highlight w:val="none"/>
              </w:rPr>
            </w:pPr>
          </w:p>
        </w:tc>
        <w:tc>
          <w:tcPr>
            <w:tcW w:w="1838" w:type="dxa"/>
          </w:tcPr>
          <w:p w14:paraId="58D2B5ED">
            <w:pPr>
              <w:rPr>
                <w:rFonts w:hint="eastAsia" w:ascii="宋体" w:hAnsi="宋体" w:eastAsia="宋体" w:cs="宋体"/>
                <w:snapToGrid w:val="0"/>
                <w:color w:val="auto"/>
                <w:highlight w:val="none"/>
              </w:rPr>
            </w:pPr>
          </w:p>
        </w:tc>
      </w:tr>
      <w:tr w14:paraId="3BAD7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991" w:type="dxa"/>
          </w:tcPr>
          <w:p w14:paraId="04D3B872">
            <w:pPr>
              <w:rPr>
                <w:rFonts w:hint="eastAsia" w:ascii="宋体" w:hAnsi="宋体" w:eastAsia="宋体" w:cs="宋体"/>
                <w:snapToGrid w:val="0"/>
                <w:color w:val="auto"/>
                <w:highlight w:val="none"/>
              </w:rPr>
            </w:pPr>
          </w:p>
        </w:tc>
        <w:tc>
          <w:tcPr>
            <w:tcW w:w="3395" w:type="dxa"/>
          </w:tcPr>
          <w:p w14:paraId="5F8890E5">
            <w:pPr>
              <w:rPr>
                <w:rFonts w:hint="eastAsia" w:ascii="宋体" w:hAnsi="宋体" w:eastAsia="宋体" w:cs="宋体"/>
                <w:snapToGrid w:val="0"/>
                <w:color w:val="auto"/>
                <w:highlight w:val="none"/>
              </w:rPr>
            </w:pPr>
          </w:p>
        </w:tc>
        <w:tc>
          <w:tcPr>
            <w:tcW w:w="3395" w:type="dxa"/>
          </w:tcPr>
          <w:p w14:paraId="7A7C56C2">
            <w:pPr>
              <w:rPr>
                <w:rFonts w:hint="eastAsia" w:ascii="宋体" w:hAnsi="宋体" w:eastAsia="宋体" w:cs="宋体"/>
                <w:snapToGrid w:val="0"/>
                <w:color w:val="auto"/>
                <w:highlight w:val="none"/>
              </w:rPr>
            </w:pPr>
          </w:p>
        </w:tc>
        <w:tc>
          <w:tcPr>
            <w:tcW w:w="1838" w:type="dxa"/>
          </w:tcPr>
          <w:p w14:paraId="074E3803">
            <w:pPr>
              <w:rPr>
                <w:rFonts w:hint="eastAsia" w:ascii="宋体" w:hAnsi="宋体" w:eastAsia="宋体" w:cs="宋体"/>
                <w:snapToGrid w:val="0"/>
                <w:color w:val="auto"/>
                <w:highlight w:val="none"/>
              </w:rPr>
            </w:pPr>
          </w:p>
        </w:tc>
      </w:tr>
      <w:tr w14:paraId="31431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991" w:type="dxa"/>
          </w:tcPr>
          <w:p w14:paraId="6EC324EB">
            <w:pPr>
              <w:rPr>
                <w:rFonts w:hint="eastAsia" w:ascii="宋体" w:hAnsi="宋体" w:eastAsia="宋体" w:cs="宋体"/>
                <w:snapToGrid w:val="0"/>
                <w:color w:val="auto"/>
                <w:highlight w:val="none"/>
              </w:rPr>
            </w:pPr>
          </w:p>
        </w:tc>
        <w:tc>
          <w:tcPr>
            <w:tcW w:w="3395" w:type="dxa"/>
          </w:tcPr>
          <w:p w14:paraId="3B59D300">
            <w:pPr>
              <w:rPr>
                <w:rFonts w:hint="eastAsia" w:ascii="宋体" w:hAnsi="宋体" w:eastAsia="宋体" w:cs="宋体"/>
                <w:snapToGrid w:val="0"/>
                <w:color w:val="auto"/>
                <w:highlight w:val="none"/>
              </w:rPr>
            </w:pPr>
          </w:p>
        </w:tc>
        <w:tc>
          <w:tcPr>
            <w:tcW w:w="3395" w:type="dxa"/>
          </w:tcPr>
          <w:p w14:paraId="4969B1AC">
            <w:pPr>
              <w:rPr>
                <w:rFonts w:hint="eastAsia" w:ascii="宋体" w:hAnsi="宋体" w:eastAsia="宋体" w:cs="宋体"/>
                <w:snapToGrid w:val="0"/>
                <w:color w:val="auto"/>
                <w:highlight w:val="none"/>
              </w:rPr>
            </w:pPr>
          </w:p>
        </w:tc>
        <w:tc>
          <w:tcPr>
            <w:tcW w:w="1838" w:type="dxa"/>
          </w:tcPr>
          <w:p w14:paraId="4C9097F0">
            <w:pPr>
              <w:rPr>
                <w:rFonts w:hint="eastAsia" w:ascii="宋体" w:hAnsi="宋体" w:eastAsia="宋体" w:cs="宋体"/>
                <w:snapToGrid w:val="0"/>
                <w:color w:val="auto"/>
                <w:highlight w:val="none"/>
              </w:rPr>
            </w:pPr>
          </w:p>
        </w:tc>
      </w:tr>
      <w:tr w14:paraId="76289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991" w:type="dxa"/>
          </w:tcPr>
          <w:p w14:paraId="49B06514">
            <w:pPr>
              <w:rPr>
                <w:rFonts w:hint="eastAsia" w:ascii="宋体" w:hAnsi="宋体" w:eastAsia="宋体" w:cs="宋体"/>
                <w:snapToGrid w:val="0"/>
                <w:color w:val="auto"/>
                <w:highlight w:val="none"/>
              </w:rPr>
            </w:pPr>
          </w:p>
        </w:tc>
        <w:tc>
          <w:tcPr>
            <w:tcW w:w="3395" w:type="dxa"/>
          </w:tcPr>
          <w:p w14:paraId="79B46726">
            <w:pPr>
              <w:rPr>
                <w:rFonts w:hint="eastAsia" w:ascii="宋体" w:hAnsi="宋体" w:eastAsia="宋体" w:cs="宋体"/>
                <w:snapToGrid w:val="0"/>
                <w:color w:val="auto"/>
                <w:highlight w:val="none"/>
              </w:rPr>
            </w:pPr>
          </w:p>
        </w:tc>
        <w:tc>
          <w:tcPr>
            <w:tcW w:w="3395" w:type="dxa"/>
          </w:tcPr>
          <w:p w14:paraId="15AF9807">
            <w:pPr>
              <w:rPr>
                <w:rFonts w:hint="eastAsia" w:ascii="宋体" w:hAnsi="宋体" w:eastAsia="宋体" w:cs="宋体"/>
                <w:snapToGrid w:val="0"/>
                <w:color w:val="auto"/>
                <w:highlight w:val="none"/>
              </w:rPr>
            </w:pPr>
          </w:p>
        </w:tc>
        <w:tc>
          <w:tcPr>
            <w:tcW w:w="1838" w:type="dxa"/>
          </w:tcPr>
          <w:p w14:paraId="5E70B8D5">
            <w:pPr>
              <w:rPr>
                <w:rFonts w:hint="eastAsia" w:ascii="宋体" w:hAnsi="宋体" w:eastAsia="宋体" w:cs="宋体"/>
                <w:snapToGrid w:val="0"/>
                <w:color w:val="auto"/>
                <w:highlight w:val="none"/>
              </w:rPr>
            </w:pPr>
          </w:p>
        </w:tc>
      </w:tr>
      <w:tr w14:paraId="6B407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991" w:type="dxa"/>
          </w:tcPr>
          <w:p w14:paraId="61709808">
            <w:pPr>
              <w:rPr>
                <w:rFonts w:hint="eastAsia" w:ascii="宋体" w:hAnsi="宋体" w:eastAsia="宋体" w:cs="宋体"/>
                <w:snapToGrid w:val="0"/>
                <w:color w:val="auto"/>
                <w:highlight w:val="none"/>
              </w:rPr>
            </w:pPr>
          </w:p>
        </w:tc>
        <w:tc>
          <w:tcPr>
            <w:tcW w:w="3395" w:type="dxa"/>
          </w:tcPr>
          <w:p w14:paraId="38919A9A">
            <w:pPr>
              <w:rPr>
                <w:rFonts w:hint="eastAsia" w:ascii="宋体" w:hAnsi="宋体" w:eastAsia="宋体" w:cs="宋体"/>
                <w:snapToGrid w:val="0"/>
                <w:color w:val="auto"/>
                <w:highlight w:val="none"/>
              </w:rPr>
            </w:pPr>
          </w:p>
        </w:tc>
        <w:tc>
          <w:tcPr>
            <w:tcW w:w="3395" w:type="dxa"/>
          </w:tcPr>
          <w:p w14:paraId="622CB720">
            <w:pPr>
              <w:rPr>
                <w:rFonts w:hint="eastAsia" w:ascii="宋体" w:hAnsi="宋体" w:eastAsia="宋体" w:cs="宋体"/>
                <w:snapToGrid w:val="0"/>
                <w:color w:val="auto"/>
                <w:highlight w:val="none"/>
              </w:rPr>
            </w:pPr>
          </w:p>
        </w:tc>
        <w:tc>
          <w:tcPr>
            <w:tcW w:w="1838" w:type="dxa"/>
          </w:tcPr>
          <w:p w14:paraId="5A3FF2F1">
            <w:pPr>
              <w:rPr>
                <w:rFonts w:hint="eastAsia" w:ascii="宋体" w:hAnsi="宋体" w:eastAsia="宋体" w:cs="宋体"/>
                <w:snapToGrid w:val="0"/>
                <w:color w:val="auto"/>
                <w:highlight w:val="none"/>
              </w:rPr>
            </w:pPr>
          </w:p>
        </w:tc>
      </w:tr>
    </w:tbl>
    <w:p w14:paraId="5FE840B6">
      <w:pPr>
        <w:wordWrap w:val="0"/>
        <w:spacing w:line="320" w:lineRule="exact"/>
        <w:jc w:val="center"/>
        <w:rPr>
          <w:rFonts w:hint="eastAsia" w:ascii="宋体" w:hAnsi="宋体" w:eastAsia="宋体" w:cs="宋体"/>
          <w:b/>
          <w:bCs/>
          <w:color w:val="auto"/>
          <w:kern w:val="0"/>
          <w:sz w:val="28"/>
          <w:szCs w:val="28"/>
          <w:highlight w:val="none"/>
        </w:rPr>
      </w:pPr>
    </w:p>
    <w:p w14:paraId="25803767">
      <w:pPr>
        <w:wordWrap w:val="0"/>
        <w:spacing w:line="320" w:lineRule="exact"/>
        <w:jc w:val="center"/>
        <w:rPr>
          <w:rFonts w:hint="eastAsia" w:ascii="宋体" w:hAnsi="宋体" w:eastAsia="宋体" w:cs="宋体"/>
          <w:b/>
          <w:bCs/>
          <w:color w:val="auto"/>
          <w:kern w:val="0"/>
          <w:sz w:val="28"/>
          <w:szCs w:val="28"/>
          <w:highlight w:val="none"/>
        </w:rPr>
      </w:pPr>
    </w:p>
    <w:p w14:paraId="5267CA46">
      <w:pPr>
        <w:wordWrap w:val="0"/>
        <w:spacing w:line="400" w:lineRule="exact"/>
        <w:jc w:val="lef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供应商</w:t>
      </w:r>
      <w:r>
        <w:rPr>
          <w:rFonts w:hint="eastAsia" w:ascii="宋体" w:hAnsi="宋体" w:eastAsia="宋体" w:cs="宋体"/>
          <w:bCs/>
          <w:color w:val="auto"/>
          <w:sz w:val="24"/>
          <w:highlight w:val="none"/>
        </w:rPr>
        <w:t>单位名称</w:t>
      </w:r>
      <w:r>
        <w:rPr>
          <w:rFonts w:hint="eastAsia" w:ascii="宋体" w:hAnsi="宋体" w:eastAsia="宋体" w:cs="宋体"/>
          <w:b/>
          <w:color w:val="auto"/>
          <w:sz w:val="24"/>
          <w:highlight w:val="none"/>
        </w:rPr>
        <w:t>（CA证书签章）：</w:t>
      </w:r>
    </w:p>
    <w:p w14:paraId="1CAF9B08">
      <w:pPr>
        <w:wordWrap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法定代表人(负责人、自然人)或相应的委托代理人签字</w:t>
      </w:r>
      <w:r>
        <w:rPr>
          <w:rFonts w:hint="eastAsia" w:ascii="宋体" w:hAnsi="宋体" w:eastAsia="宋体" w:cs="宋体"/>
          <w:b/>
          <w:color w:val="auto"/>
          <w:sz w:val="24"/>
          <w:highlight w:val="none"/>
        </w:rPr>
        <w:t>（或个人CA证书签章）</w:t>
      </w:r>
      <w:r>
        <w:rPr>
          <w:rFonts w:hint="eastAsia" w:ascii="宋体" w:hAnsi="宋体" w:eastAsia="宋体" w:cs="宋体"/>
          <w:color w:val="auto"/>
          <w:sz w:val="24"/>
          <w:highlight w:val="none"/>
        </w:rPr>
        <w:t>：</w:t>
      </w:r>
    </w:p>
    <w:p w14:paraId="685736D6">
      <w:pPr>
        <w:wordWrap w:val="0"/>
        <w:snapToGrid w:val="0"/>
        <w:spacing w:line="4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    期：</w:t>
      </w:r>
    </w:p>
    <w:p w14:paraId="15A758D2">
      <w:pPr>
        <w:rPr>
          <w:rFonts w:hint="eastAsia" w:ascii="宋体" w:hAnsi="宋体" w:eastAsia="宋体" w:cs="宋体"/>
          <w:b/>
          <w:bCs/>
          <w:color w:val="auto"/>
          <w:szCs w:val="20"/>
          <w:highlight w:val="none"/>
        </w:rPr>
      </w:pPr>
    </w:p>
    <w:p w14:paraId="752D7080">
      <w:pP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注：1.供应商应对照“项目需求”详细注明响应情况，并按格式填写此表，当所提供的项目服务内容及商务要求指标等承诺出现“正偏离”情况时，应详细填写偏离情况说明及提供相应有效的证明材料；经评标委员会审核确定“正偏离”情况。</w:t>
      </w:r>
    </w:p>
    <w:p w14:paraId="173253EA">
      <w:pP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2.服务内容及商务要求响应表须由法定代表人、负责人、自然人或相应的委托代理人签字并加盖供应商公章。当本表由多页构成时，需逐页加盖供应商公章。</w:t>
      </w:r>
    </w:p>
    <w:p w14:paraId="3F904B90">
      <w:pP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3.根据参与标项进行填写。</w:t>
      </w:r>
    </w:p>
    <w:p w14:paraId="35EA5F40">
      <w:pPr>
        <w:rPr>
          <w:rFonts w:hint="eastAsia" w:ascii="宋体" w:hAnsi="宋体" w:eastAsia="宋体" w:cs="宋体"/>
          <w:b/>
          <w:bCs/>
          <w:color w:val="auto"/>
          <w:szCs w:val="20"/>
          <w:highlight w:val="none"/>
        </w:rPr>
      </w:pPr>
    </w:p>
    <w:p w14:paraId="42B5CC3E">
      <w:pPr>
        <w:pStyle w:val="17"/>
        <w:rPr>
          <w:rFonts w:hint="eastAsia" w:ascii="宋体" w:hAnsi="宋体" w:eastAsia="宋体" w:cs="宋体"/>
          <w:color w:val="auto"/>
          <w:highlight w:val="none"/>
        </w:rPr>
      </w:pPr>
    </w:p>
    <w:p w14:paraId="14882CBA">
      <w:pPr>
        <w:wordWrap w:val="0"/>
        <w:spacing w:line="400" w:lineRule="exact"/>
        <w:jc w:val="center"/>
        <w:rPr>
          <w:rFonts w:hint="eastAsia" w:ascii="宋体" w:hAnsi="宋体" w:eastAsia="宋体" w:cs="宋体"/>
          <w:b/>
          <w:color w:val="auto"/>
          <w:kern w:val="0"/>
          <w:sz w:val="32"/>
          <w:szCs w:val="32"/>
          <w:highlight w:val="none"/>
        </w:rPr>
      </w:pPr>
    </w:p>
    <w:p w14:paraId="162C1866">
      <w:pPr>
        <w:wordWrap w:val="0"/>
        <w:spacing w:line="400" w:lineRule="exact"/>
        <w:jc w:val="center"/>
        <w:rPr>
          <w:rFonts w:hint="eastAsia" w:ascii="宋体" w:hAnsi="宋体" w:eastAsia="宋体" w:cs="宋体"/>
          <w:b/>
          <w:color w:val="auto"/>
          <w:kern w:val="0"/>
          <w:sz w:val="32"/>
          <w:szCs w:val="32"/>
          <w:highlight w:val="none"/>
        </w:rPr>
      </w:pPr>
    </w:p>
    <w:p w14:paraId="06A32D4C">
      <w:pPr>
        <w:wordWrap w:val="0"/>
        <w:spacing w:line="400" w:lineRule="exact"/>
        <w:jc w:val="center"/>
        <w:rPr>
          <w:rFonts w:hint="eastAsia" w:ascii="宋体" w:hAnsi="宋体" w:eastAsia="宋体" w:cs="宋体"/>
          <w:b/>
          <w:color w:val="auto"/>
          <w:kern w:val="0"/>
          <w:sz w:val="32"/>
          <w:szCs w:val="32"/>
          <w:highlight w:val="none"/>
        </w:rPr>
      </w:pPr>
    </w:p>
    <w:p w14:paraId="1C5F1A42">
      <w:pPr>
        <w:wordWrap w:val="0"/>
        <w:spacing w:line="400" w:lineRule="exact"/>
        <w:jc w:val="center"/>
        <w:rPr>
          <w:rFonts w:hint="eastAsia" w:ascii="宋体" w:hAnsi="宋体" w:eastAsia="宋体" w:cs="宋体"/>
          <w:b/>
          <w:color w:val="auto"/>
          <w:kern w:val="0"/>
          <w:sz w:val="32"/>
          <w:szCs w:val="32"/>
          <w:highlight w:val="none"/>
        </w:rPr>
      </w:pPr>
    </w:p>
    <w:p w14:paraId="257804B1">
      <w:pPr>
        <w:wordWrap w:val="0"/>
        <w:spacing w:line="400" w:lineRule="exact"/>
        <w:jc w:val="center"/>
        <w:rPr>
          <w:rFonts w:hint="eastAsia" w:ascii="宋体" w:hAnsi="宋体" w:eastAsia="宋体" w:cs="宋体"/>
          <w:b/>
          <w:color w:val="auto"/>
          <w:kern w:val="0"/>
          <w:sz w:val="32"/>
          <w:szCs w:val="32"/>
          <w:highlight w:val="none"/>
        </w:rPr>
      </w:pPr>
    </w:p>
    <w:p w14:paraId="52A4DF0F">
      <w:pPr>
        <w:wordWrap w:val="0"/>
        <w:spacing w:line="400" w:lineRule="exact"/>
        <w:jc w:val="center"/>
        <w:rPr>
          <w:rFonts w:hint="eastAsia" w:ascii="宋体" w:hAnsi="宋体" w:eastAsia="宋体" w:cs="宋体"/>
          <w:b/>
          <w:color w:val="auto"/>
          <w:kern w:val="0"/>
          <w:sz w:val="32"/>
          <w:szCs w:val="32"/>
          <w:highlight w:val="none"/>
        </w:rPr>
      </w:pPr>
    </w:p>
    <w:p w14:paraId="6AA0A93E">
      <w:pPr>
        <w:wordWrap w:val="0"/>
        <w:spacing w:line="400" w:lineRule="exact"/>
        <w:jc w:val="center"/>
        <w:rPr>
          <w:rFonts w:hint="eastAsia" w:ascii="宋体" w:hAnsi="宋体" w:eastAsia="宋体" w:cs="宋体"/>
          <w:b/>
          <w:color w:val="auto"/>
          <w:kern w:val="0"/>
          <w:sz w:val="32"/>
          <w:szCs w:val="32"/>
          <w:highlight w:val="none"/>
        </w:rPr>
      </w:pPr>
    </w:p>
    <w:p w14:paraId="1CEC5C57">
      <w:pPr>
        <w:wordWrap w:val="0"/>
        <w:spacing w:line="400" w:lineRule="exact"/>
        <w:jc w:val="center"/>
        <w:rPr>
          <w:rFonts w:hint="eastAsia" w:ascii="宋体" w:hAnsi="宋体" w:eastAsia="宋体" w:cs="宋体"/>
          <w:b/>
          <w:color w:val="auto"/>
          <w:kern w:val="0"/>
          <w:sz w:val="32"/>
          <w:szCs w:val="32"/>
          <w:highlight w:val="none"/>
        </w:rPr>
      </w:pPr>
    </w:p>
    <w:p w14:paraId="6D60C44C">
      <w:pPr>
        <w:wordWrap w:val="0"/>
        <w:spacing w:line="400" w:lineRule="exact"/>
        <w:jc w:val="center"/>
        <w:rPr>
          <w:rFonts w:hint="eastAsia" w:ascii="宋体" w:hAnsi="宋体" w:eastAsia="宋体" w:cs="宋体"/>
          <w:b/>
          <w:color w:val="auto"/>
          <w:kern w:val="0"/>
          <w:sz w:val="32"/>
          <w:szCs w:val="32"/>
          <w:highlight w:val="none"/>
        </w:rPr>
      </w:pPr>
    </w:p>
    <w:p w14:paraId="34471080">
      <w:pPr>
        <w:wordWrap w:val="0"/>
        <w:spacing w:line="400" w:lineRule="exact"/>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（三）其它有效证明材料目录</w:t>
      </w:r>
    </w:p>
    <w:p w14:paraId="1039638B">
      <w:pPr>
        <w:tabs>
          <w:tab w:val="left" w:pos="1305"/>
        </w:tabs>
        <w:wordWrap w:val="0"/>
        <w:spacing w:line="400" w:lineRule="exact"/>
        <w:ind w:firstLine="220" w:firstLineChars="100"/>
        <w:rPr>
          <w:rFonts w:hint="eastAsia" w:ascii="宋体" w:hAnsi="宋体" w:eastAsia="宋体" w:cs="宋体"/>
          <w:color w:val="auto"/>
          <w:sz w:val="22"/>
          <w:szCs w:val="28"/>
          <w:highlight w:val="none"/>
        </w:rPr>
      </w:pPr>
    </w:p>
    <w:p w14:paraId="483B79B7">
      <w:pPr>
        <w:tabs>
          <w:tab w:val="left" w:pos="1305"/>
        </w:tabs>
        <w:wordWrap w:val="0"/>
        <w:spacing w:line="400" w:lineRule="exact"/>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（1）项目实施方案</w:t>
      </w:r>
      <w:r>
        <w:rPr>
          <w:rFonts w:hint="eastAsia" w:ascii="宋体" w:hAnsi="宋体" w:eastAsia="宋体" w:cs="宋体"/>
          <w:color w:val="auto"/>
          <w:sz w:val="22"/>
          <w:szCs w:val="28"/>
          <w:highlight w:val="none"/>
        </w:rPr>
        <w:t>（如有，请提供）</w:t>
      </w:r>
    </w:p>
    <w:p w14:paraId="0FC8B71D">
      <w:pPr>
        <w:tabs>
          <w:tab w:val="left" w:pos="1305"/>
        </w:tabs>
        <w:wordWrap w:val="0"/>
        <w:spacing w:line="400" w:lineRule="exact"/>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（2）拟投入本项目人员配备表</w:t>
      </w:r>
      <w:r>
        <w:rPr>
          <w:rFonts w:hint="eastAsia" w:ascii="宋体" w:hAnsi="宋体" w:eastAsia="宋体" w:cs="宋体"/>
          <w:color w:val="auto"/>
          <w:sz w:val="22"/>
          <w:szCs w:val="28"/>
          <w:highlight w:val="none"/>
        </w:rPr>
        <w:t>（如有，请提供）</w:t>
      </w:r>
    </w:p>
    <w:p w14:paraId="192FE112">
      <w:pPr>
        <w:tabs>
          <w:tab w:val="left" w:pos="1305"/>
        </w:tabs>
        <w:wordWrap w:val="0"/>
        <w:spacing w:line="400" w:lineRule="exact"/>
        <w:ind w:firstLine="220" w:firstLineChars="100"/>
        <w:rPr>
          <w:rFonts w:hint="eastAsia" w:ascii="宋体" w:hAnsi="宋体" w:eastAsia="宋体" w:cs="宋体"/>
          <w:color w:val="auto"/>
          <w:sz w:val="22"/>
          <w:szCs w:val="28"/>
          <w:highlight w:val="none"/>
        </w:rPr>
      </w:pPr>
      <w:r>
        <w:rPr>
          <w:rFonts w:hint="eastAsia" w:ascii="宋体" w:hAnsi="宋体" w:eastAsia="宋体" w:cs="宋体"/>
          <w:color w:val="auto"/>
          <w:sz w:val="22"/>
          <w:szCs w:val="22"/>
          <w:highlight w:val="none"/>
        </w:rPr>
        <w:t xml:space="preserve">   （3）服务承诺书</w:t>
      </w:r>
      <w:r>
        <w:rPr>
          <w:rFonts w:hint="eastAsia" w:ascii="宋体" w:hAnsi="宋体" w:eastAsia="宋体" w:cs="宋体"/>
          <w:color w:val="auto"/>
          <w:sz w:val="22"/>
          <w:szCs w:val="28"/>
          <w:highlight w:val="none"/>
        </w:rPr>
        <w:t>（如有，请提供）</w:t>
      </w:r>
    </w:p>
    <w:p w14:paraId="2B9794DF">
      <w:pPr>
        <w:tabs>
          <w:tab w:val="left" w:pos="1305"/>
        </w:tabs>
        <w:wordWrap w:val="0"/>
        <w:spacing w:line="400" w:lineRule="exact"/>
        <w:ind w:firstLine="220" w:firstLineChars="10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 xml:space="preserve">   （4）</w:t>
      </w:r>
      <w:r>
        <w:rPr>
          <w:rFonts w:hint="eastAsia" w:ascii="宋体" w:hAnsi="宋体" w:eastAsia="宋体" w:cs="宋体"/>
          <w:color w:val="auto"/>
          <w:sz w:val="22"/>
          <w:szCs w:val="22"/>
          <w:highlight w:val="none"/>
        </w:rPr>
        <w:t>供应商2023年以来具有同类项目的业绩相关证明材料（无不良记录，以中标、成交通知书或签订的合同为准，并能清晰反映项目的名称、采购内容、采购时间）</w:t>
      </w:r>
      <w:bookmarkStart w:id="279" w:name="OLE_LINK191"/>
      <w:bookmarkStart w:id="280" w:name="OLE_LINK192"/>
      <w:r>
        <w:rPr>
          <w:rFonts w:hint="eastAsia" w:ascii="宋体" w:hAnsi="宋体" w:eastAsia="宋体" w:cs="宋体"/>
          <w:color w:val="auto"/>
          <w:sz w:val="22"/>
          <w:szCs w:val="28"/>
          <w:highlight w:val="none"/>
        </w:rPr>
        <w:t>（如有，请提供）</w:t>
      </w:r>
      <w:bookmarkEnd w:id="279"/>
      <w:bookmarkEnd w:id="280"/>
    </w:p>
    <w:p w14:paraId="79BB7127">
      <w:pPr>
        <w:tabs>
          <w:tab w:val="left" w:pos="1305"/>
        </w:tabs>
        <w:wordWrap w:val="0"/>
        <w:spacing w:line="400" w:lineRule="exact"/>
        <w:rPr>
          <w:rFonts w:hint="eastAsia" w:ascii="宋体" w:hAnsi="宋体" w:eastAsia="宋体" w:cs="宋体"/>
          <w:color w:val="auto"/>
          <w:sz w:val="22"/>
          <w:szCs w:val="21"/>
          <w:highlight w:val="none"/>
        </w:rPr>
      </w:pPr>
      <w:r>
        <w:rPr>
          <w:rFonts w:hint="eastAsia" w:ascii="宋体" w:hAnsi="宋体" w:eastAsia="宋体" w:cs="宋体"/>
          <w:color w:val="auto"/>
          <w:sz w:val="22"/>
          <w:szCs w:val="22"/>
          <w:highlight w:val="none"/>
        </w:rPr>
        <w:t xml:space="preserve">     （5）“项目需求”需提供的有效证明文件</w:t>
      </w:r>
      <w:r>
        <w:rPr>
          <w:rFonts w:hint="eastAsia" w:ascii="宋体" w:hAnsi="宋体" w:eastAsia="宋体" w:cs="宋体"/>
          <w:color w:val="auto"/>
          <w:sz w:val="22"/>
          <w:szCs w:val="28"/>
          <w:highlight w:val="none"/>
        </w:rPr>
        <w:t>（如有，请提供）</w:t>
      </w:r>
    </w:p>
    <w:p w14:paraId="06F03E16">
      <w:pPr>
        <w:tabs>
          <w:tab w:val="left" w:pos="1305"/>
        </w:tabs>
        <w:wordWrap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 xml:space="preserve">     （6）</w:t>
      </w:r>
      <w:r>
        <w:rPr>
          <w:rFonts w:hint="eastAsia" w:ascii="宋体" w:hAnsi="宋体" w:eastAsia="宋体" w:cs="宋体"/>
          <w:color w:val="auto"/>
          <w:sz w:val="22"/>
          <w:szCs w:val="28"/>
          <w:highlight w:val="none"/>
        </w:rPr>
        <w:t>供应商可结合本项目的评审办法视自身情况自行提交相关证明材料</w:t>
      </w:r>
      <w:r>
        <w:rPr>
          <w:rFonts w:hint="eastAsia" w:ascii="宋体" w:hAnsi="宋体" w:eastAsia="宋体" w:cs="宋体"/>
          <w:color w:val="auto"/>
          <w:sz w:val="22"/>
          <w:szCs w:val="28"/>
          <w:highlight w:val="none"/>
        </w:rPr>
        <w:t>（如有，请提供）</w:t>
      </w:r>
    </w:p>
    <w:p w14:paraId="289326F9">
      <w:pPr>
        <w:pStyle w:val="20"/>
        <w:rPr>
          <w:rFonts w:hint="eastAsia" w:ascii="宋体" w:hAnsi="宋体" w:eastAsia="宋体" w:cs="宋体"/>
          <w:color w:val="auto"/>
          <w:highlight w:val="none"/>
        </w:rPr>
      </w:pPr>
    </w:p>
    <w:p w14:paraId="6C893056">
      <w:pPr>
        <w:wordWrap w:val="0"/>
        <w:rPr>
          <w:rFonts w:hint="eastAsia" w:ascii="宋体" w:hAnsi="宋体" w:eastAsia="宋体" w:cs="宋体"/>
          <w:color w:val="auto"/>
          <w:highlight w:val="none"/>
        </w:rPr>
      </w:pPr>
    </w:p>
    <w:p w14:paraId="047F221F">
      <w:pPr>
        <w:pStyle w:val="43"/>
        <w:wordWrap w:val="0"/>
        <w:spacing w:before="0" w:after="0"/>
        <w:rPr>
          <w:rFonts w:hint="eastAsia" w:ascii="宋体" w:hAnsi="宋体" w:eastAsia="宋体" w:cs="宋体"/>
          <w:color w:val="auto"/>
          <w:highlight w:val="none"/>
        </w:rPr>
      </w:pPr>
    </w:p>
    <w:p w14:paraId="1AC065C7">
      <w:pPr>
        <w:pStyle w:val="43"/>
        <w:wordWrap w:val="0"/>
        <w:spacing w:before="0" w:after="0"/>
        <w:rPr>
          <w:rFonts w:hint="eastAsia" w:ascii="宋体" w:hAnsi="宋体" w:eastAsia="宋体" w:cs="宋体"/>
          <w:color w:val="auto"/>
          <w:highlight w:val="none"/>
        </w:rPr>
      </w:pPr>
    </w:p>
    <w:p w14:paraId="1C4D0361">
      <w:pPr>
        <w:pStyle w:val="20"/>
        <w:rPr>
          <w:rFonts w:hint="eastAsia" w:ascii="宋体" w:hAnsi="宋体" w:eastAsia="宋体" w:cs="宋体"/>
          <w:color w:val="auto"/>
          <w:highlight w:val="none"/>
        </w:rPr>
      </w:pPr>
    </w:p>
    <w:p w14:paraId="79541C78">
      <w:pPr>
        <w:wordWrap w:val="0"/>
        <w:rPr>
          <w:rFonts w:hint="eastAsia" w:ascii="宋体" w:hAnsi="宋体" w:eastAsia="宋体" w:cs="宋体"/>
          <w:color w:val="auto"/>
          <w:highlight w:val="none"/>
        </w:rPr>
      </w:pPr>
    </w:p>
    <w:p w14:paraId="660A1CAE">
      <w:pPr>
        <w:kinsoku w:val="0"/>
        <w:wordWrap w:val="0"/>
        <w:overflowPunct w:val="0"/>
        <w:spacing w:line="400" w:lineRule="exact"/>
        <w:rPr>
          <w:rFonts w:hint="eastAsia" w:ascii="宋体" w:hAnsi="宋体" w:eastAsia="宋体" w:cs="宋体"/>
          <w:b/>
          <w:color w:val="auto"/>
          <w:sz w:val="28"/>
          <w:szCs w:val="28"/>
          <w:highlight w:val="none"/>
        </w:rPr>
      </w:pPr>
    </w:p>
    <w:p w14:paraId="45DFA67E">
      <w:pPr>
        <w:pStyle w:val="20"/>
        <w:rPr>
          <w:rFonts w:hint="eastAsia" w:ascii="宋体" w:hAnsi="宋体" w:eastAsia="宋体" w:cs="宋体"/>
          <w:color w:val="auto"/>
          <w:highlight w:val="none"/>
        </w:rPr>
      </w:pPr>
    </w:p>
    <w:p w14:paraId="52DED576">
      <w:pPr>
        <w:wordWrap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7B424F40">
      <w:pPr>
        <w:pStyle w:val="17"/>
        <w:rPr>
          <w:rFonts w:hint="eastAsia" w:ascii="宋体" w:hAnsi="宋体" w:eastAsia="宋体" w:cs="宋体"/>
          <w:color w:val="auto"/>
          <w:highlight w:val="none"/>
        </w:rPr>
      </w:pPr>
      <w:r>
        <w:rPr>
          <w:rFonts w:hint="eastAsia" w:ascii="宋体" w:hAnsi="宋体" w:eastAsia="宋体" w:cs="宋体"/>
          <w:color w:val="auto"/>
          <w:highlight w:val="none"/>
        </w:rPr>
        <w:t>1.项目实施方案（如有，请提供）</w:t>
      </w:r>
    </w:p>
    <w:p w14:paraId="16852126">
      <w:pPr>
        <w:pStyle w:val="17"/>
        <w:rPr>
          <w:rFonts w:hint="eastAsia" w:ascii="宋体" w:hAnsi="宋体" w:eastAsia="宋体" w:cs="宋体"/>
          <w:color w:val="auto"/>
          <w:highlight w:val="none"/>
        </w:rPr>
      </w:pPr>
      <w:r>
        <w:rPr>
          <w:rFonts w:hint="eastAsia" w:ascii="宋体" w:hAnsi="宋体" w:eastAsia="宋体" w:cs="宋体"/>
          <w:color w:val="auto"/>
          <w:highlight w:val="none"/>
        </w:rPr>
        <w:t>项</w:t>
      </w:r>
      <w:r>
        <w:rPr>
          <w:rFonts w:hint="eastAsia" w:ascii="宋体" w:hAnsi="宋体" w:eastAsia="宋体" w:cs="宋体"/>
          <w:color w:val="auto"/>
          <w:highlight w:val="none"/>
        </w:rPr>
        <w:t>目实施方案</w:t>
      </w:r>
      <w:r>
        <w:rPr>
          <w:rFonts w:hint="eastAsia" w:ascii="宋体" w:hAnsi="宋体" w:eastAsia="宋体" w:cs="宋体"/>
          <w:color w:val="auto"/>
          <w:highlight w:val="none"/>
        </w:rPr>
        <w:t>（</w:t>
      </w:r>
      <w:r>
        <w:rPr>
          <w:rFonts w:hint="eastAsia" w:ascii="宋体" w:hAnsi="宋体" w:eastAsia="宋体" w:cs="宋体"/>
          <w:color w:val="auto"/>
          <w:highlight w:val="none"/>
        </w:rPr>
        <w:t>格式自拟</w:t>
      </w:r>
      <w:r>
        <w:rPr>
          <w:rFonts w:hint="eastAsia" w:ascii="宋体" w:hAnsi="宋体" w:eastAsia="宋体" w:cs="宋体"/>
          <w:color w:val="auto"/>
          <w:highlight w:val="none"/>
        </w:rPr>
        <w:t>）</w:t>
      </w:r>
    </w:p>
    <w:p w14:paraId="47E59FEB">
      <w:pPr>
        <w:pStyle w:val="17"/>
        <w:rPr>
          <w:rFonts w:hint="eastAsia" w:ascii="宋体" w:hAnsi="宋体" w:eastAsia="宋体" w:cs="宋体"/>
          <w:color w:val="auto"/>
          <w:highlight w:val="none"/>
        </w:rPr>
      </w:pPr>
    </w:p>
    <w:p w14:paraId="30586734">
      <w:pPr>
        <w:pStyle w:val="17"/>
        <w:rPr>
          <w:rFonts w:hint="eastAsia" w:ascii="宋体" w:hAnsi="宋体" w:eastAsia="宋体" w:cs="宋体"/>
          <w:color w:val="auto"/>
          <w:highlight w:val="none"/>
        </w:rPr>
      </w:pPr>
    </w:p>
    <w:p w14:paraId="421B634B">
      <w:pPr>
        <w:wordWrap w:val="0"/>
        <w:spacing w:line="380" w:lineRule="exact"/>
        <w:ind w:firstLine="2730" w:firstLineChars="1300"/>
        <w:jc w:val="left"/>
        <w:rPr>
          <w:rFonts w:hint="eastAsia" w:ascii="宋体" w:hAnsi="宋体" w:eastAsia="宋体" w:cs="宋体"/>
          <w:color w:val="auto"/>
          <w:szCs w:val="21"/>
          <w:highlight w:val="none"/>
        </w:rPr>
      </w:pPr>
    </w:p>
    <w:p w14:paraId="490D8362">
      <w:pPr>
        <w:wordWrap w:val="0"/>
        <w:spacing w:line="380" w:lineRule="exact"/>
        <w:ind w:firstLine="3120" w:firstLineChars="1300"/>
        <w:jc w:val="lef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供应商</w:t>
      </w:r>
      <w:r>
        <w:rPr>
          <w:rFonts w:hint="eastAsia" w:ascii="宋体" w:hAnsi="宋体" w:eastAsia="宋体" w:cs="宋体"/>
          <w:bCs/>
          <w:color w:val="auto"/>
          <w:sz w:val="24"/>
          <w:highlight w:val="none"/>
        </w:rPr>
        <w:t>单位名称</w:t>
      </w:r>
      <w:r>
        <w:rPr>
          <w:rFonts w:hint="eastAsia" w:ascii="宋体" w:hAnsi="宋体" w:eastAsia="宋体" w:cs="宋体"/>
          <w:b/>
          <w:color w:val="auto"/>
          <w:sz w:val="24"/>
          <w:highlight w:val="none"/>
        </w:rPr>
        <w:t>（CA证书签章）：</w:t>
      </w:r>
    </w:p>
    <w:p w14:paraId="27BAF0D6">
      <w:pPr>
        <w:wordWrap w:val="0"/>
        <w:spacing w:line="3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法定代表人(负责人、自然人)或相应的委托代理人签字</w:t>
      </w:r>
      <w:r>
        <w:rPr>
          <w:rFonts w:hint="eastAsia" w:ascii="宋体" w:hAnsi="宋体" w:eastAsia="宋体" w:cs="宋体"/>
          <w:b/>
          <w:color w:val="auto"/>
          <w:sz w:val="24"/>
          <w:highlight w:val="none"/>
        </w:rPr>
        <w:t>（或个人CA证书签章）</w:t>
      </w:r>
      <w:r>
        <w:rPr>
          <w:rFonts w:hint="eastAsia" w:ascii="宋体" w:hAnsi="宋体" w:eastAsia="宋体" w:cs="宋体"/>
          <w:color w:val="auto"/>
          <w:sz w:val="24"/>
          <w:highlight w:val="none"/>
        </w:rPr>
        <w:t>：</w:t>
      </w:r>
    </w:p>
    <w:p w14:paraId="68BBD4EB">
      <w:pPr>
        <w:wordWrap w:val="0"/>
        <w:snapToGrid w:val="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    期：</w:t>
      </w:r>
    </w:p>
    <w:p w14:paraId="685AB302">
      <w:pPr>
        <w:pStyle w:val="17"/>
        <w:rPr>
          <w:rFonts w:hint="eastAsia" w:ascii="宋体" w:hAnsi="宋体" w:eastAsia="宋体" w:cs="宋体"/>
          <w:color w:val="auto"/>
          <w:highlight w:val="none"/>
        </w:rPr>
      </w:pPr>
    </w:p>
    <w:p w14:paraId="484BD02A">
      <w:pPr>
        <w:pStyle w:val="17"/>
        <w:rPr>
          <w:rFonts w:hint="eastAsia" w:ascii="宋体" w:hAnsi="宋体" w:eastAsia="宋体" w:cs="宋体"/>
          <w:color w:val="auto"/>
          <w:highlight w:val="none"/>
        </w:rPr>
      </w:pPr>
    </w:p>
    <w:p w14:paraId="245A0A3D">
      <w:pPr>
        <w:pStyle w:val="17"/>
        <w:rPr>
          <w:rFonts w:hint="eastAsia" w:ascii="宋体" w:hAnsi="宋体" w:eastAsia="宋体" w:cs="宋体"/>
          <w:color w:val="auto"/>
          <w:highlight w:val="none"/>
        </w:rPr>
      </w:pPr>
      <w:r>
        <w:rPr>
          <w:rFonts w:hint="eastAsia" w:ascii="宋体" w:hAnsi="宋体" w:eastAsia="宋体" w:cs="宋体"/>
          <w:color w:val="auto"/>
          <w:highlight w:val="none"/>
        </w:rPr>
        <w:t xml:space="preserve"> 2.拟投入本项目人员配备表（如有，请提供）</w:t>
      </w:r>
    </w:p>
    <w:p w14:paraId="157D37B4">
      <w:pPr>
        <w:pStyle w:val="17"/>
        <w:rPr>
          <w:rFonts w:hint="eastAsia" w:ascii="宋体" w:hAnsi="宋体" w:eastAsia="宋体" w:cs="宋体"/>
          <w:color w:val="auto"/>
          <w:highlight w:val="none"/>
        </w:rPr>
      </w:pPr>
      <w:r>
        <w:rPr>
          <w:rFonts w:hint="eastAsia" w:ascii="宋体" w:hAnsi="宋体" w:eastAsia="宋体" w:cs="宋体"/>
          <w:color w:val="auto"/>
          <w:highlight w:val="none"/>
        </w:rPr>
        <w:t>拟投入本项目人员配备表（</w:t>
      </w:r>
      <w:r>
        <w:rPr>
          <w:rFonts w:hint="eastAsia" w:ascii="宋体" w:hAnsi="宋体" w:eastAsia="宋体" w:cs="宋体"/>
          <w:color w:val="auto"/>
          <w:highlight w:val="none"/>
        </w:rPr>
        <w:t>格式</w:t>
      </w:r>
      <w:r>
        <w:rPr>
          <w:rFonts w:hint="eastAsia" w:ascii="宋体" w:hAnsi="宋体" w:eastAsia="宋体" w:cs="宋体"/>
          <w:color w:val="auto"/>
          <w:highlight w:val="none"/>
        </w:rPr>
        <w:t>）</w:t>
      </w:r>
    </w:p>
    <w:tbl>
      <w:tblPr>
        <w:tblStyle w:val="158"/>
        <w:tblW w:w="9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3"/>
        <w:gridCol w:w="1830"/>
        <w:gridCol w:w="1417"/>
        <w:gridCol w:w="2835"/>
        <w:gridCol w:w="2552"/>
      </w:tblGrid>
      <w:tr w14:paraId="1E303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723" w:type="dxa"/>
            <w:vAlign w:val="center"/>
          </w:tcPr>
          <w:p w14:paraId="0F93F32D">
            <w:pPr>
              <w:pStyle w:val="161"/>
              <w:spacing w:before="78" w:line="222" w:lineRule="auto"/>
              <w:ind w:left="115"/>
              <w:jc w:val="center"/>
              <w:rPr>
                <w:rFonts w:hint="eastAsia" w:ascii="宋体" w:hAnsi="宋体" w:eastAsia="宋体" w:cs="宋体"/>
                <w:snapToGrid w:val="0"/>
                <w:color w:val="auto"/>
                <w:highlight w:val="none"/>
              </w:rPr>
            </w:pPr>
            <w:r>
              <w:rPr>
                <w:rFonts w:hint="eastAsia" w:ascii="宋体" w:hAnsi="宋体" w:eastAsia="宋体" w:cs="宋体"/>
                <w:snapToGrid w:val="0"/>
                <w:color w:val="auto"/>
                <w:spacing w:val="-5"/>
                <w:highlight w:val="none"/>
              </w:rPr>
              <w:t>序号</w:t>
            </w:r>
          </w:p>
        </w:tc>
        <w:tc>
          <w:tcPr>
            <w:tcW w:w="1830" w:type="dxa"/>
            <w:vAlign w:val="center"/>
          </w:tcPr>
          <w:p w14:paraId="143A5C79">
            <w:pPr>
              <w:pStyle w:val="161"/>
              <w:spacing w:before="78" w:line="220" w:lineRule="auto"/>
              <w:ind w:left="111"/>
              <w:jc w:val="center"/>
              <w:rPr>
                <w:rFonts w:hint="eastAsia" w:ascii="宋体" w:hAnsi="宋体" w:eastAsia="宋体" w:cs="宋体"/>
                <w:snapToGrid w:val="0"/>
                <w:color w:val="auto"/>
                <w:highlight w:val="none"/>
              </w:rPr>
            </w:pPr>
            <w:r>
              <w:rPr>
                <w:rFonts w:hint="eastAsia" w:ascii="宋体" w:hAnsi="宋体" w:eastAsia="宋体" w:cs="宋体"/>
                <w:snapToGrid w:val="0"/>
                <w:color w:val="auto"/>
                <w:spacing w:val="-5"/>
                <w:highlight w:val="none"/>
              </w:rPr>
              <w:t>姓名</w:t>
            </w:r>
          </w:p>
        </w:tc>
        <w:tc>
          <w:tcPr>
            <w:tcW w:w="1417" w:type="dxa"/>
            <w:vAlign w:val="center"/>
          </w:tcPr>
          <w:p w14:paraId="4771B995">
            <w:pPr>
              <w:pStyle w:val="161"/>
              <w:spacing w:before="78" w:line="221" w:lineRule="auto"/>
              <w:ind w:left="112"/>
              <w:jc w:val="center"/>
              <w:rPr>
                <w:rFonts w:hint="eastAsia" w:ascii="宋体" w:hAnsi="宋体" w:eastAsia="宋体" w:cs="宋体"/>
                <w:snapToGrid w:val="0"/>
                <w:color w:val="auto"/>
                <w:highlight w:val="none"/>
              </w:rPr>
            </w:pPr>
            <w:r>
              <w:rPr>
                <w:rFonts w:hint="eastAsia" w:ascii="宋体" w:hAnsi="宋体" w:eastAsia="宋体" w:cs="宋体"/>
                <w:snapToGrid w:val="0"/>
                <w:color w:val="auto"/>
                <w:spacing w:val="-5"/>
                <w:highlight w:val="none"/>
              </w:rPr>
              <w:t>性别</w:t>
            </w:r>
          </w:p>
        </w:tc>
        <w:tc>
          <w:tcPr>
            <w:tcW w:w="2835" w:type="dxa"/>
            <w:vAlign w:val="center"/>
          </w:tcPr>
          <w:p w14:paraId="74EEA6CF">
            <w:pPr>
              <w:pStyle w:val="161"/>
              <w:spacing w:before="78" w:line="220" w:lineRule="auto"/>
              <w:ind w:left="120"/>
              <w:jc w:val="center"/>
              <w:rPr>
                <w:rFonts w:hint="eastAsia" w:ascii="宋体" w:hAnsi="宋体" w:eastAsia="宋体" w:cs="宋体"/>
                <w:snapToGrid w:val="0"/>
                <w:color w:val="auto"/>
                <w:highlight w:val="none"/>
              </w:rPr>
            </w:pPr>
            <w:r>
              <w:rPr>
                <w:rFonts w:hint="eastAsia" w:ascii="宋体" w:hAnsi="宋体" w:eastAsia="宋体" w:cs="宋体"/>
                <w:snapToGrid w:val="0"/>
                <w:color w:val="auto"/>
                <w:spacing w:val="-4"/>
                <w:highlight w:val="none"/>
                <w:lang w:eastAsia="zh-CN"/>
              </w:rPr>
              <w:t>学历、专业</w:t>
            </w:r>
          </w:p>
        </w:tc>
        <w:tc>
          <w:tcPr>
            <w:tcW w:w="2552" w:type="dxa"/>
            <w:vAlign w:val="center"/>
          </w:tcPr>
          <w:p w14:paraId="716B2036">
            <w:pPr>
              <w:pStyle w:val="161"/>
              <w:spacing w:before="78" w:line="220" w:lineRule="auto"/>
              <w:ind w:left="120"/>
              <w:jc w:val="center"/>
              <w:rPr>
                <w:rFonts w:hint="eastAsia" w:ascii="宋体" w:hAnsi="宋体" w:eastAsia="宋体" w:cs="宋体"/>
                <w:snapToGrid w:val="0"/>
                <w:color w:val="auto"/>
                <w:highlight w:val="none"/>
              </w:rPr>
            </w:pPr>
            <w:r>
              <w:rPr>
                <w:rFonts w:hint="eastAsia" w:ascii="宋体" w:hAnsi="宋体" w:eastAsia="宋体" w:cs="宋体"/>
                <w:snapToGrid w:val="0"/>
                <w:color w:val="auto"/>
                <w:spacing w:val="-4"/>
                <w:highlight w:val="none"/>
                <w:lang w:eastAsia="zh-CN"/>
              </w:rPr>
              <w:t>在本项目拟派职务</w:t>
            </w:r>
          </w:p>
        </w:tc>
      </w:tr>
      <w:tr w14:paraId="51801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723" w:type="dxa"/>
          </w:tcPr>
          <w:p w14:paraId="4E8080F1">
            <w:pPr>
              <w:rPr>
                <w:rFonts w:hint="eastAsia" w:ascii="宋体" w:hAnsi="宋体" w:eastAsia="宋体" w:cs="宋体"/>
                <w:snapToGrid w:val="0"/>
                <w:color w:val="auto"/>
                <w:highlight w:val="none"/>
              </w:rPr>
            </w:pPr>
          </w:p>
        </w:tc>
        <w:tc>
          <w:tcPr>
            <w:tcW w:w="1830" w:type="dxa"/>
          </w:tcPr>
          <w:p w14:paraId="3A5E8B4A">
            <w:pPr>
              <w:rPr>
                <w:rFonts w:hint="eastAsia" w:ascii="宋体" w:hAnsi="宋体" w:eastAsia="宋体" w:cs="宋体"/>
                <w:snapToGrid w:val="0"/>
                <w:color w:val="auto"/>
                <w:highlight w:val="none"/>
              </w:rPr>
            </w:pPr>
          </w:p>
        </w:tc>
        <w:tc>
          <w:tcPr>
            <w:tcW w:w="1417" w:type="dxa"/>
          </w:tcPr>
          <w:p w14:paraId="60E628A1">
            <w:pPr>
              <w:rPr>
                <w:rFonts w:hint="eastAsia" w:ascii="宋体" w:hAnsi="宋体" w:eastAsia="宋体" w:cs="宋体"/>
                <w:snapToGrid w:val="0"/>
                <w:color w:val="auto"/>
                <w:highlight w:val="none"/>
              </w:rPr>
            </w:pPr>
          </w:p>
        </w:tc>
        <w:tc>
          <w:tcPr>
            <w:tcW w:w="2835" w:type="dxa"/>
          </w:tcPr>
          <w:p w14:paraId="508F9E89">
            <w:pPr>
              <w:rPr>
                <w:rFonts w:hint="eastAsia" w:ascii="宋体" w:hAnsi="宋体" w:eastAsia="宋体" w:cs="宋体"/>
                <w:snapToGrid w:val="0"/>
                <w:color w:val="auto"/>
                <w:highlight w:val="none"/>
              </w:rPr>
            </w:pPr>
          </w:p>
        </w:tc>
        <w:tc>
          <w:tcPr>
            <w:tcW w:w="2552" w:type="dxa"/>
          </w:tcPr>
          <w:p w14:paraId="0F774633">
            <w:pPr>
              <w:rPr>
                <w:rFonts w:hint="eastAsia" w:ascii="宋体" w:hAnsi="宋体" w:eastAsia="宋体" w:cs="宋体"/>
                <w:snapToGrid w:val="0"/>
                <w:color w:val="auto"/>
                <w:highlight w:val="none"/>
              </w:rPr>
            </w:pPr>
          </w:p>
        </w:tc>
      </w:tr>
      <w:tr w14:paraId="6B379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723" w:type="dxa"/>
          </w:tcPr>
          <w:p w14:paraId="74A0849E">
            <w:pPr>
              <w:rPr>
                <w:rFonts w:hint="eastAsia" w:ascii="宋体" w:hAnsi="宋体" w:eastAsia="宋体" w:cs="宋体"/>
                <w:snapToGrid w:val="0"/>
                <w:color w:val="auto"/>
                <w:highlight w:val="none"/>
              </w:rPr>
            </w:pPr>
          </w:p>
        </w:tc>
        <w:tc>
          <w:tcPr>
            <w:tcW w:w="1830" w:type="dxa"/>
          </w:tcPr>
          <w:p w14:paraId="3F7317C7">
            <w:pPr>
              <w:rPr>
                <w:rFonts w:hint="eastAsia" w:ascii="宋体" w:hAnsi="宋体" w:eastAsia="宋体" w:cs="宋体"/>
                <w:snapToGrid w:val="0"/>
                <w:color w:val="auto"/>
                <w:highlight w:val="none"/>
              </w:rPr>
            </w:pPr>
          </w:p>
        </w:tc>
        <w:tc>
          <w:tcPr>
            <w:tcW w:w="1417" w:type="dxa"/>
          </w:tcPr>
          <w:p w14:paraId="26FCDAB8">
            <w:pPr>
              <w:rPr>
                <w:rFonts w:hint="eastAsia" w:ascii="宋体" w:hAnsi="宋体" w:eastAsia="宋体" w:cs="宋体"/>
                <w:snapToGrid w:val="0"/>
                <w:color w:val="auto"/>
                <w:highlight w:val="none"/>
              </w:rPr>
            </w:pPr>
          </w:p>
        </w:tc>
        <w:tc>
          <w:tcPr>
            <w:tcW w:w="2835" w:type="dxa"/>
          </w:tcPr>
          <w:p w14:paraId="5332B56A">
            <w:pPr>
              <w:rPr>
                <w:rFonts w:hint="eastAsia" w:ascii="宋体" w:hAnsi="宋体" w:eastAsia="宋体" w:cs="宋体"/>
                <w:snapToGrid w:val="0"/>
                <w:color w:val="auto"/>
                <w:highlight w:val="none"/>
              </w:rPr>
            </w:pPr>
          </w:p>
        </w:tc>
        <w:tc>
          <w:tcPr>
            <w:tcW w:w="2552" w:type="dxa"/>
          </w:tcPr>
          <w:p w14:paraId="432E9EBE">
            <w:pPr>
              <w:rPr>
                <w:rFonts w:hint="eastAsia" w:ascii="宋体" w:hAnsi="宋体" w:eastAsia="宋体" w:cs="宋体"/>
                <w:snapToGrid w:val="0"/>
                <w:color w:val="auto"/>
                <w:highlight w:val="none"/>
              </w:rPr>
            </w:pPr>
          </w:p>
        </w:tc>
      </w:tr>
      <w:tr w14:paraId="48EC1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23" w:type="dxa"/>
          </w:tcPr>
          <w:p w14:paraId="2A4AD406">
            <w:pPr>
              <w:rPr>
                <w:rFonts w:hint="eastAsia" w:ascii="宋体" w:hAnsi="宋体" w:eastAsia="宋体" w:cs="宋体"/>
                <w:snapToGrid w:val="0"/>
                <w:color w:val="auto"/>
                <w:highlight w:val="none"/>
              </w:rPr>
            </w:pPr>
          </w:p>
        </w:tc>
        <w:tc>
          <w:tcPr>
            <w:tcW w:w="1830" w:type="dxa"/>
          </w:tcPr>
          <w:p w14:paraId="063F5493">
            <w:pPr>
              <w:rPr>
                <w:rFonts w:hint="eastAsia" w:ascii="宋体" w:hAnsi="宋体" w:eastAsia="宋体" w:cs="宋体"/>
                <w:snapToGrid w:val="0"/>
                <w:color w:val="auto"/>
                <w:highlight w:val="none"/>
              </w:rPr>
            </w:pPr>
          </w:p>
        </w:tc>
        <w:tc>
          <w:tcPr>
            <w:tcW w:w="1417" w:type="dxa"/>
          </w:tcPr>
          <w:p w14:paraId="2F3BD2C4">
            <w:pPr>
              <w:rPr>
                <w:rFonts w:hint="eastAsia" w:ascii="宋体" w:hAnsi="宋体" w:eastAsia="宋体" w:cs="宋体"/>
                <w:snapToGrid w:val="0"/>
                <w:color w:val="auto"/>
                <w:highlight w:val="none"/>
              </w:rPr>
            </w:pPr>
          </w:p>
        </w:tc>
        <w:tc>
          <w:tcPr>
            <w:tcW w:w="2835" w:type="dxa"/>
          </w:tcPr>
          <w:p w14:paraId="53C2BB74">
            <w:pPr>
              <w:rPr>
                <w:rFonts w:hint="eastAsia" w:ascii="宋体" w:hAnsi="宋体" w:eastAsia="宋体" w:cs="宋体"/>
                <w:snapToGrid w:val="0"/>
                <w:color w:val="auto"/>
                <w:highlight w:val="none"/>
              </w:rPr>
            </w:pPr>
          </w:p>
        </w:tc>
        <w:tc>
          <w:tcPr>
            <w:tcW w:w="2552" w:type="dxa"/>
          </w:tcPr>
          <w:p w14:paraId="5FC83743">
            <w:pPr>
              <w:rPr>
                <w:rFonts w:hint="eastAsia" w:ascii="宋体" w:hAnsi="宋体" w:eastAsia="宋体" w:cs="宋体"/>
                <w:snapToGrid w:val="0"/>
                <w:color w:val="auto"/>
                <w:highlight w:val="none"/>
              </w:rPr>
            </w:pPr>
          </w:p>
        </w:tc>
      </w:tr>
      <w:tr w14:paraId="3CCC3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23" w:type="dxa"/>
          </w:tcPr>
          <w:p w14:paraId="6762A524">
            <w:pPr>
              <w:rPr>
                <w:rFonts w:hint="eastAsia" w:ascii="宋体" w:hAnsi="宋体" w:eastAsia="宋体" w:cs="宋体"/>
                <w:snapToGrid w:val="0"/>
                <w:color w:val="auto"/>
                <w:highlight w:val="none"/>
              </w:rPr>
            </w:pPr>
          </w:p>
        </w:tc>
        <w:tc>
          <w:tcPr>
            <w:tcW w:w="1830" w:type="dxa"/>
          </w:tcPr>
          <w:p w14:paraId="297F348C">
            <w:pPr>
              <w:rPr>
                <w:rFonts w:hint="eastAsia" w:ascii="宋体" w:hAnsi="宋体" w:eastAsia="宋体" w:cs="宋体"/>
                <w:snapToGrid w:val="0"/>
                <w:color w:val="auto"/>
                <w:highlight w:val="none"/>
              </w:rPr>
            </w:pPr>
          </w:p>
        </w:tc>
        <w:tc>
          <w:tcPr>
            <w:tcW w:w="1417" w:type="dxa"/>
          </w:tcPr>
          <w:p w14:paraId="113CB962">
            <w:pPr>
              <w:rPr>
                <w:rFonts w:hint="eastAsia" w:ascii="宋体" w:hAnsi="宋体" w:eastAsia="宋体" w:cs="宋体"/>
                <w:snapToGrid w:val="0"/>
                <w:color w:val="auto"/>
                <w:highlight w:val="none"/>
              </w:rPr>
            </w:pPr>
          </w:p>
        </w:tc>
        <w:tc>
          <w:tcPr>
            <w:tcW w:w="2835" w:type="dxa"/>
          </w:tcPr>
          <w:p w14:paraId="0D34CE9F">
            <w:pPr>
              <w:rPr>
                <w:rFonts w:hint="eastAsia" w:ascii="宋体" w:hAnsi="宋体" w:eastAsia="宋体" w:cs="宋体"/>
                <w:snapToGrid w:val="0"/>
                <w:color w:val="auto"/>
                <w:highlight w:val="none"/>
              </w:rPr>
            </w:pPr>
          </w:p>
        </w:tc>
        <w:tc>
          <w:tcPr>
            <w:tcW w:w="2552" w:type="dxa"/>
          </w:tcPr>
          <w:p w14:paraId="0D0D34AE">
            <w:pPr>
              <w:rPr>
                <w:rFonts w:hint="eastAsia" w:ascii="宋体" w:hAnsi="宋体" w:eastAsia="宋体" w:cs="宋体"/>
                <w:snapToGrid w:val="0"/>
                <w:color w:val="auto"/>
                <w:highlight w:val="none"/>
              </w:rPr>
            </w:pPr>
          </w:p>
        </w:tc>
      </w:tr>
      <w:tr w14:paraId="30F0F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723" w:type="dxa"/>
          </w:tcPr>
          <w:p w14:paraId="3C6A4A5D">
            <w:pPr>
              <w:rPr>
                <w:rFonts w:hint="eastAsia" w:ascii="宋体" w:hAnsi="宋体" w:eastAsia="宋体" w:cs="宋体"/>
                <w:snapToGrid w:val="0"/>
                <w:color w:val="auto"/>
                <w:highlight w:val="none"/>
              </w:rPr>
            </w:pPr>
          </w:p>
        </w:tc>
        <w:tc>
          <w:tcPr>
            <w:tcW w:w="1830" w:type="dxa"/>
          </w:tcPr>
          <w:p w14:paraId="2F9152A4">
            <w:pPr>
              <w:rPr>
                <w:rFonts w:hint="eastAsia" w:ascii="宋体" w:hAnsi="宋体" w:eastAsia="宋体" w:cs="宋体"/>
                <w:snapToGrid w:val="0"/>
                <w:color w:val="auto"/>
                <w:highlight w:val="none"/>
              </w:rPr>
            </w:pPr>
          </w:p>
        </w:tc>
        <w:tc>
          <w:tcPr>
            <w:tcW w:w="1417" w:type="dxa"/>
          </w:tcPr>
          <w:p w14:paraId="571678C5">
            <w:pPr>
              <w:rPr>
                <w:rFonts w:hint="eastAsia" w:ascii="宋体" w:hAnsi="宋体" w:eastAsia="宋体" w:cs="宋体"/>
                <w:snapToGrid w:val="0"/>
                <w:color w:val="auto"/>
                <w:highlight w:val="none"/>
              </w:rPr>
            </w:pPr>
          </w:p>
        </w:tc>
        <w:tc>
          <w:tcPr>
            <w:tcW w:w="2835" w:type="dxa"/>
          </w:tcPr>
          <w:p w14:paraId="2E606C52">
            <w:pPr>
              <w:rPr>
                <w:rFonts w:hint="eastAsia" w:ascii="宋体" w:hAnsi="宋体" w:eastAsia="宋体" w:cs="宋体"/>
                <w:snapToGrid w:val="0"/>
                <w:color w:val="auto"/>
                <w:highlight w:val="none"/>
              </w:rPr>
            </w:pPr>
          </w:p>
        </w:tc>
        <w:tc>
          <w:tcPr>
            <w:tcW w:w="2552" w:type="dxa"/>
          </w:tcPr>
          <w:p w14:paraId="49F363FE">
            <w:pPr>
              <w:rPr>
                <w:rFonts w:hint="eastAsia" w:ascii="宋体" w:hAnsi="宋体" w:eastAsia="宋体" w:cs="宋体"/>
                <w:snapToGrid w:val="0"/>
                <w:color w:val="auto"/>
                <w:highlight w:val="none"/>
              </w:rPr>
            </w:pPr>
          </w:p>
        </w:tc>
      </w:tr>
      <w:tr w14:paraId="78579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3" w:type="dxa"/>
          </w:tcPr>
          <w:p w14:paraId="47DBE18F">
            <w:pPr>
              <w:rPr>
                <w:rFonts w:hint="eastAsia" w:ascii="宋体" w:hAnsi="宋体" w:eastAsia="宋体" w:cs="宋体"/>
                <w:snapToGrid w:val="0"/>
                <w:color w:val="auto"/>
                <w:highlight w:val="none"/>
              </w:rPr>
            </w:pPr>
          </w:p>
        </w:tc>
        <w:tc>
          <w:tcPr>
            <w:tcW w:w="1830" w:type="dxa"/>
          </w:tcPr>
          <w:p w14:paraId="3988998A">
            <w:pPr>
              <w:rPr>
                <w:rFonts w:hint="eastAsia" w:ascii="宋体" w:hAnsi="宋体" w:eastAsia="宋体" w:cs="宋体"/>
                <w:snapToGrid w:val="0"/>
                <w:color w:val="auto"/>
                <w:highlight w:val="none"/>
              </w:rPr>
            </w:pPr>
          </w:p>
        </w:tc>
        <w:tc>
          <w:tcPr>
            <w:tcW w:w="1417" w:type="dxa"/>
          </w:tcPr>
          <w:p w14:paraId="663EDC2E">
            <w:pPr>
              <w:rPr>
                <w:rFonts w:hint="eastAsia" w:ascii="宋体" w:hAnsi="宋体" w:eastAsia="宋体" w:cs="宋体"/>
                <w:snapToGrid w:val="0"/>
                <w:color w:val="auto"/>
                <w:highlight w:val="none"/>
              </w:rPr>
            </w:pPr>
          </w:p>
        </w:tc>
        <w:tc>
          <w:tcPr>
            <w:tcW w:w="2835" w:type="dxa"/>
          </w:tcPr>
          <w:p w14:paraId="47B06AA3">
            <w:pPr>
              <w:rPr>
                <w:rFonts w:hint="eastAsia" w:ascii="宋体" w:hAnsi="宋体" w:eastAsia="宋体" w:cs="宋体"/>
                <w:snapToGrid w:val="0"/>
                <w:color w:val="auto"/>
                <w:highlight w:val="none"/>
              </w:rPr>
            </w:pPr>
          </w:p>
        </w:tc>
        <w:tc>
          <w:tcPr>
            <w:tcW w:w="2552" w:type="dxa"/>
          </w:tcPr>
          <w:p w14:paraId="59DE6493">
            <w:pPr>
              <w:rPr>
                <w:rFonts w:hint="eastAsia" w:ascii="宋体" w:hAnsi="宋体" w:eastAsia="宋体" w:cs="宋体"/>
                <w:snapToGrid w:val="0"/>
                <w:color w:val="auto"/>
                <w:highlight w:val="none"/>
              </w:rPr>
            </w:pPr>
          </w:p>
        </w:tc>
      </w:tr>
    </w:tbl>
    <w:p w14:paraId="47E7D6A1">
      <w:pPr>
        <w:spacing w:line="253" w:lineRule="auto"/>
        <w:rPr>
          <w:rFonts w:hint="eastAsia" w:ascii="宋体" w:hAnsi="宋体" w:eastAsia="宋体" w:cs="宋体"/>
          <w:color w:val="auto"/>
          <w:highlight w:val="none"/>
        </w:rPr>
      </w:pPr>
    </w:p>
    <w:p w14:paraId="1B870F2A">
      <w:pPr>
        <w:wordWrap w:val="0"/>
        <w:spacing w:line="380" w:lineRule="exact"/>
        <w:ind w:firstLine="3120" w:firstLineChars="1300"/>
        <w:jc w:val="lef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供应商</w:t>
      </w:r>
      <w:r>
        <w:rPr>
          <w:rFonts w:hint="eastAsia" w:ascii="宋体" w:hAnsi="宋体" w:eastAsia="宋体" w:cs="宋体"/>
          <w:bCs/>
          <w:color w:val="auto"/>
          <w:sz w:val="24"/>
          <w:highlight w:val="none"/>
        </w:rPr>
        <w:t>单位名称</w:t>
      </w:r>
      <w:r>
        <w:rPr>
          <w:rFonts w:hint="eastAsia" w:ascii="宋体" w:hAnsi="宋体" w:eastAsia="宋体" w:cs="宋体"/>
          <w:b/>
          <w:color w:val="auto"/>
          <w:sz w:val="24"/>
          <w:highlight w:val="none"/>
        </w:rPr>
        <w:t>（CA证书签章）：</w:t>
      </w:r>
    </w:p>
    <w:p w14:paraId="5A0D3447">
      <w:pPr>
        <w:wordWrap w:val="0"/>
        <w:spacing w:line="3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法定代表人(负责人、自然人)或相应的委托代理人签字</w:t>
      </w:r>
      <w:r>
        <w:rPr>
          <w:rFonts w:hint="eastAsia" w:ascii="宋体" w:hAnsi="宋体" w:eastAsia="宋体" w:cs="宋体"/>
          <w:b/>
          <w:color w:val="auto"/>
          <w:sz w:val="24"/>
          <w:highlight w:val="none"/>
        </w:rPr>
        <w:t>（或个人CA证书签章）</w:t>
      </w:r>
      <w:r>
        <w:rPr>
          <w:rFonts w:hint="eastAsia" w:ascii="宋体" w:hAnsi="宋体" w:eastAsia="宋体" w:cs="宋体"/>
          <w:color w:val="auto"/>
          <w:sz w:val="24"/>
          <w:highlight w:val="none"/>
        </w:rPr>
        <w:t>：</w:t>
      </w:r>
    </w:p>
    <w:p w14:paraId="30D9C124">
      <w:pPr>
        <w:wordWrap w:val="0"/>
        <w:snapToGrid w:val="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    期：</w:t>
      </w:r>
    </w:p>
    <w:p w14:paraId="7096B712">
      <w:pPr>
        <w:spacing w:line="253" w:lineRule="auto"/>
        <w:rPr>
          <w:rFonts w:hint="eastAsia" w:ascii="宋体" w:hAnsi="宋体" w:eastAsia="宋体" w:cs="宋体"/>
          <w:color w:val="auto"/>
          <w:highlight w:val="none"/>
        </w:rPr>
      </w:pPr>
    </w:p>
    <w:p w14:paraId="14B89CDC">
      <w:pPr>
        <w:spacing w:line="254" w:lineRule="auto"/>
        <w:rPr>
          <w:rFonts w:hint="eastAsia" w:ascii="宋体" w:hAnsi="宋体" w:eastAsia="宋体" w:cs="宋体"/>
          <w:color w:val="auto"/>
          <w:highlight w:val="none"/>
        </w:rPr>
      </w:pPr>
    </w:p>
    <w:p w14:paraId="68718929">
      <w:pPr>
        <w:spacing w:line="254" w:lineRule="auto"/>
        <w:rPr>
          <w:rFonts w:hint="eastAsia" w:ascii="宋体" w:hAnsi="宋体" w:eastAsia="宋体" w:cs="宋体"/>
          <w:color w:val="auto"/>
          <w:highlight w:val="none"/>
        </w:rPr>
      </w:pPr>
    </w:p>
    <w:p w14:paraId="61D5EB4B">
      <w:pP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3.服务承诺书</w:t>
      </w:r>
      <w:r>
        <w:rPr>
          <w:rFonts w:hint="eastAsia" w:ascii="宋体" w:hAnsi="宋体" w:eastAsia="宋体" w:cs="宋体"/>
          <w:b/>
          <w:color w:val="auto"/>
          <w:sz w:val="30"/>
          <w:szCs w:val="30"/>
          <w:highlight w:val="none"/>
        </w:rPr>
        <w:t>（如有，请提供）</w:t>
      </w:r>
    </w:p>
    <w:p w14:paraId="76DACA15">
      <w:pPr>
        <w:pStyle w:val="17"/>
        <w:jc w:val="center"/>
        <w:rPr>
          <w:rFonts w:hint="eastAsia" w:ascii="宋体" w:hAnsi="宋体" w:eastAsia="宋体" w:cs="宋体"/>
          <w:color w:val="auto"/>
          <w:highlight w:val="none"/>
        </w:rPr>
      </w:pPr>
      <w:r>
        <w:rPr>
          <w:rFonts w:hint="eastAsia" w:ascii="宋体" w:hAnsi="宋体" w:eastAsia="宋体" w:cs="宋体"/>
          <w:color w:val="auto"/>
          <w:highlight w:val="none"/>
        </w:rPr>
        <w:t>服务承诺书（格式自拟）</w:t>
      </w:r>
    </w:p>
    <w:p w14:paraId="5D1E172F">
      <w:pPr>
        <w:rPr>
          <w:rFonts w:hint="eastAsia" w:ascii="宋体" w:hAnsi="宋体" w:eastAsia="宋体" w:cs="宋体"/>
          <w:b/>
          <w:bCs/>
          <w:color w:val="auto"/>
          <w:szCs w:val="20"/>
          <w:highlight w:val="none"/>
        </w:rPr>
      </w:pPr>
    </w:p>
    <w:p w14:paraId="00676EB9">
      <w:pPr>
        <w:rPr>
          <w:rFonts w:hint="eastAsia" w:ascii="宋体" w:hAnsi="宋体" w:eastAsia="宋体" w:cs="宋体"/>
          <w:b/>
          <w:bCs/>
          <w:color w:val="auto"/>
          <w:szCs w:val="20"/>
          <w:highlight w:val="none"/>
        </w:rPr>
      </w:pPr>
    </w:p>
    <w:p w14:paraId="7390FC1E">
      <w:pPr>
        <w:rPr>
          <w:rFonts w:hint="eastAsia" w:ascii="宋体" w:hAnsi="宋体" w:eastAsia="宋体" w:cs="宋体"/>
          <w:b/>
          <w:bCs/>
          <w:color w:val="auto"/>
          <w:szCs w:val="20"/>
          <w:highlight w:val="none"/>
        </w:rPr>
      </w:pPr>
    </w:p>
    <w:p w14:paraId="60FF2D9B">
      <w:pPr>
        <w:rPr>
          <w:rFonts w:hint="eastAsia" w:ascii="宋体" w:hAnsi="宋体" w:eastAsia="宋体" w:cs="宋体"/>
          <w:b/>
          <w:bCs/>
          <w:color w:val="auto"/>
          <w:szCs w:val="20"/>
          <w:highlight w:val="none"/>
        </w:rPr>
      </w:pPr>
    </w:p>
    <w:p w14:paraId="6D199C81">
      <w:pPr>
        <w:wordWrap w:val="0"/>
        <w:spacing w:line="380" w:lineRule="exact"/>
        <w:ind w:firstLine="3120" w:firstLineChars="1300"/>
        <w:jc w:val="lef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供应商</w:t>
      </w:r>
      <w:r>
        <w:rPr>
          <w:rFonts w:hint="eastAsia" w:ascii="宋体" w:hAnsi="宋体" w:eastAsia="宋体" w:cs="宋体"/>
          <w:bCs/>
          <w:color w:val="auto"/>
          <w:sz w:val="24"/>
          <w:highlight w:val="none"/>
        </w:rPr>
        <w:t>单位名称</w:t>
      </w:r>
      <w:r>
        <w:rPr>
          <w:rFonts w:hint="eastAsia" w:ascii="宋体" w:hAnsi="宋体" w:eastAsia="宋体" w:cs="宋体"/>
          <w:b/>
          <w:color w:val="auto"/>
          <w:sz w:val="24"/>
          <w:highlight w:val="none"/>
        </w:rPr>
        <w:t>（CA证书签章）：</w:t>
      </w:r>
    </w:p>
    <w:p w14:paraId="1712A88A">
      <w:pPr>
        <w:wordWrap w:val="0"/>
        <w:spacing w:line="3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法定代表人(负责人、自然人)或相应的委托代理人签字</w:t>
      </w:r>
      <w:r>
        <w:rPr>
          <w:rFonts w:hint="eastAsia" w:ascii="宋体" w:hAnsi="宋体" w:eastAsia="宋体" w:cs="宋体"/>
          <w:b/>
          <w:color w:val="auto"/>
          <w:sz w:val="24"/>
          <w:highlight w:val="none"/>
        </w:rPr>
        <w:t>（或个人CA证书签章）</w:t>
      </w:r>
      <w:r>
        <w:rPr>
          <w:rFonts w:hint="eastAsia" w:ascii="宋体" w:hAnsi="宋体" w:eastAsia="宋体" w:cs="宋体"/>
          <w:color w:val="auto"/>
          <w:sz w:val="24"/>
          <w:highlight w:val="none"/>
        </w:rPr>
        <w:t>：</w:t>
      </w:r>
    </w:p>
    <w:p w14:paraId="558056BA">
      <w:pPr>
        <w:wordWrap w:val="0"/>
        <w:snapToGrid w:val="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    期：</w:t>
      </w:r>
    </w:p>
    <w:p w14:paraId="19A35C35">
      <w:pPr>
        <w:rPr>
          <w:rFonts w:hint="eastAsia" w:ascii="宋体" w:hAnsi="宋体" w:eastAsia="宋体" w:cs="宋体"/>
          <w:color w:val="auto"/>
          <w:szCs w:val="20"/>
          <w:highlight w:val="none"/>
        </w:rPr>
      </w:pPr>
    </w:p>
    <w:p w14:paraId="5773E7DD">
      <w:pPr>
        <w:wordWrap w:val="0"/>
        <w:spacing w:line="400" w:lineRule="exact"/>
        <w:rPr>
          <w:rFonts w:hint="eastAsia" w:ascii="宋体" w:hAnsi="宋体" w:eastAsia="宋体" w:cs="宋体"/>
          <w:b/>
          <w:color w:val="auto"/>
          <w:sz w:val="30"/>
          <w:szCs w:val="30"/>
          <w:highlight w:val="none"/>
        </w:rPr>
      </w:pPr>
    </w:p>
    <w:p w14:paraId="091C703C">
      <w:pPr>
        <w:wordWrap w:val="0"/>
        <w:spacing w:line="400" w:lineRule="exact"/>
        <w:rPr>
          <w:rFonts w:hint="eastAsia" w:ascii="宋体" w:hAnsi="宋体" w:eastAsia="宋体" w:cs="宋体"/>
          <w:b/>
          <w:color w:val="auto"/>
          <w:sz w:val="30"/>
          <w:szCs w:val="30"/>
          <w:highlight w:val="none"/>
        </w:rPr>
      </w:pPr>
    </w:p>
    <w:p w14:paraId="0545A901">
      <w:pPr>
        <w:wordWrap w:val="0"/>
        <w:spacing w:line="400" w:lineRule="exact"/>
        <w:rPr>
          <w:rFonts w:hint="eastAsia" w:ascii="宋体" w:hAnsi="宋体" w:eastAsia="宋体" w:cs="宋体"/>
          <w:b/>
          <w:color w:val="auto"/>
          <w:sz w:val="30"/>
          <w:szCs w:val="30"/>
          <w:highlight w:val="none"/>
        </w:rPr>
      </w:pPr>
    </w:p>
    <w:p w14:paraId="345035C8">
      <w:pPr>
        <w:wordWrap w:val="0"/>
        <w:spacing w:line="400" w:lineRule="exact"/>
        <w:rPr>
          <w:rFonts w:hint="eastAsia" w:ascii="宋体" w:hAnsi="宋体" w:eastAsia="宋体" w:cs="宋体"/>
          <w:b/>
          <w:color w:val="auto"/>
          <w:sz w:val="30"/>
          <w:szCs w:val="30"/>
          <w:highlight w:val="none"/>
        </w:rPr>
      </w:pPr>
    </w:p>
    <w:p w14:paraId="3B9FBEB7">
      <w:pPr>
        <w:wordWrap w:val="0"/>
        <w:spacing w:line="400" w:lineRule="exac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4.供应商2023年以来具有同类项目的业绩相关证明材料（无不良记录，以中标、成交通知书或签订的合同为准，并能清晰反映项目的名称、采购内容、采购时间）（如有，请提供）；</w:t>
      </w:r>
    </w:p>
    <w:p w14:paraId="228D734D">
      <w:pPr>
        <w:wordWrap w:val="0"/>
        <w:spacing w:line="400" w:lineRule="exact"/>
        <w:rPr>
          <w:rFonts w:hint="eastAsia" w:ascii="宋体" w:hAnsi="宋体" w:eastAsia="宋体" w:cs="宋体"/>
          <w:b/>
          <w:color w:val="auto"/>
          <w:sz w:val="30"/>
          <w:szCs w:val="30"/>
          <w:highlight w:val="none"/>
        </w:rPr>
      </w:pPr>
    </w:p>
    <w:p w14:paraId="5A9938E4">
      <w:pPr>
        <w:wordWrap w:val="0"/>
        <w:spacing w:line="400" w:lineRule="exact"/>
        <w:rPr>
          <w:rFonts w:hint="eastAsia" w:ascii="宋体" w:hAnsi="宋体" w:eastAsia="宋体" w:cs="宋体"/>
          <w:b/>
          <w:color w:val="auto"/>
          <w:sz w:val="30"/>
          <w:szCs w:val="30"/>
          <w:highlight w:val="none"/>
        </w:rPr>
      </w:pPr>
    </w:p>
    <w:p w14:paraId="6FEB3DDB">
      <w:pPr>
        <w:wordWrap w:val="0"/>
        <w:spacing w:line="400" w:lineRule="exact"/>
        <w:rPr>
          <w:rFonts w:hint="eastAsia" w:ascii="宋体" w:hAnsi="宋体" w:eastAsia="宋体" w:cs="宋体"/>
          <w:b/>
          <w:color w:val="auto"/>
          <w:sz w:val="30"/>
          <w:szCs w:val="30"/>
          <w:highlight w:val="none"/>
        </w:rPr>
      </w:pPr>
    </w:p>
    <w:p w14:paraId="53D9B7FC">
      <w:pPr>
        <w:wordWrap w:val="0"/>
        <w:spacing w:line="400" w:lineRule="exact"/>
        <w:rPr>
          <w:rFonts w:hint="eastAsia" w:ascii="宋体" w:hAnsi="宋体" w:eastAsia="宋体" w:cs="宋体"/>
          <w:b/>
          <w:color w:val="auto"/>
          <w:sz w:val="30"/>
          <w:szCs w:val="30"/>
          <w:highlight w:val="none"/>
        </w:rPr>
      </w:pPr>
    </w:p>
    <w:p w14:paraId="30483D49">
      <w:pPr>
        <w:wordWrap w:val="0"/>
        <w:spacing w:line="400" w:lineRule="exact"/>
        <w:rPr>
          <w:rFonts w:hint="eastAsia" w:ascii="宋体" w:hAnsi="宋体" w:eastAsia="宋体" w:cs="宋体"/>
          <w:b/>
          <w:color w:val="auto"/>
          <w:sz w:val="30"/>
          <w:szCs w:val="30"/>
          <w:highlight w:val="none"/>
        </w:rPr>
      </w:pPr>
    </w:p>
    <w:p w14:paraId="498238FE">
      <w:pPr>
        <w:wordWrap w:val="0"/>
        <w:spacing w:line="400" w:lineRule="exac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5.“项目需求”需提供的有效证明文件（</w:t>
      </w:r>
      <w:bookmarkStart w:id="281" w:name="OLE_LINK189"/>
      <w:bookmarkStart w:id="282" w:name="OLE_LINK190"/>
      <w:r>
        <w:rPr>
          <w:rFonts w:hint="eastAsia" w:ascii="宋体" w:hAnsi="宋体" w:eastAsia="宋体" w:cs="宋体"/>
          <w:b/>
          <w:color w:val="auto"/>
          <w:sz w:val="30"/>
          <w:szCs w:val="30"/>
          <w:highlight w:val="none"/>
        </w:rPr>
        <w:t>如有，请提供</w:t>
      </w:r>
      <w:bookmarkEnd w:id="281"/>
      <w:bookmarkEnd w:id="282"/>
      <w:r>
        <w:rPr>
          <w:rFonts w:hint="eastAsia" w:ascii="宋体" w:hAnsi="宋体" w:eastAsia="宋体" w:cs="宋体"/>
          <w:b/>
          <w:color w:val="auto"/>
          <w:sz w:val="30"/>
          <w:szCs w:val="30"/>
          <w:highlight w:val="none"/>
        </w:rPr>
        <w:t>）</w:t>
      </w:r>
    </w:p>
    <w:p w14:paraId="5A0507FE">
      <w:pPr>
        <w:wordWrap w:val="0"/>
        <w:spacing w:line="400" w:lineRule="exact"/>
        <w:rPr>
          <w:rFonts w:hint="eastAsia" w:ascii="宋体" w:hAnsi="宋体" w:eastAsia="宋体" w:cs="宋体"/>
          <w:b/>
          <w:color w:val="auto"/>
          <w:sz w:val="30"/>
          <w:szCs w:val="30"/>
          <w:highlight w:val="none"/>
        </w:rPr>
      </w:pPr>
    </w:p>
    <w:p w14:paraId="3CF85880">
      <w:pPr>
        <w:wordWrap w:val="0"/>
        <w:spacing w:line="400" w:lineRule="exact"/>
        <w:rPr>
          <w:rFonts w:hint="eastAsia" w:ascii="宋体" w:hAnsi="宋体" w:eastAsia="宋体" w:cs="宋体"/>
          <w:b/>
          <w:color w:val="auto"/>
          <w:sz w:val="30"/>
          <w:szCs w:val="30"/>
          <w:highlight w:val="none"/>
        </w:rPr>
      </w:pPr>
    </w:p>
    <w:p w14:paraId="3B2114CB">
      <w:pPr>
        <w:wordWrap w:val="0"/>
        <w:spacing w:line="400" w:lineRule="exact"/>
        <w:rPr>
          <w:rFonts w:hint="eastAsia" w:ascii="宋体" w:hAnsi="宋体" w:eastAsia="宋体" w:cs="宋体"/>
          <w:b/>
          <w:color w:val="auto"/>
          <w:sz w:val="30"/>
          <w:szCs w:val="30"/>
          <w:highlight w:val="none"/>
        </w:rPr>
      </w:pPr>
    </w:p>
    <w:p w14:paraId="3B38706A">
      <w:pPr>
        <w:wordWrap w:val="0"/>
        <w:spacing w:line="400" w:lineRule="exact"/>
        <w:rPr>
          <w:rFonts w:hint="eastAsia" w:ascii="宋体" w:hAnsi="宋体" w:eastAsia="宋体" w:cs="宋体"/>
          <w:b/>
          <w:color w:val="auto"/>
          <w:sz w:val="30"/>
          <w:szCs w:val="30"/>
          <w:highlight w:val="none"/>
        </w:rPr>
      </w:pPr>
    </w:p>
    <w:p w14:paraId="47EBD801">
      <w:pPr>
        <w:wordWrap w:val="0"/>
        <w:spacing w:line="400" w:lineRule="exact"/>
        <w:rPr>
          <w:rFonts w:hint="eastAsia" w:ascii="宋体" w:hAnsi="宋体" w:eastAsia="宋体" w:cs="宋体"/>
          <w:b/>
          <w:color w:val="auto"/>
          <w:sz w:val="30"/>
          <w:szCs w:val="30"/>
          <w:highlight w:val="none"/>
        </w:rPr>
      </w:pPr>
    </w:p>
    <w:p w14:paraId="528E5CB0">
      <w:pPr>
        <w:wordWrap w:val="0"/>
        <w:spacing w:line="400" w:lineRule="exact"/>
        <w:rPr>
          <w:rFonts w:hint="eastAsia" w:ascii="宋体" w:hAnsi="宋体" w:eastAsia="宋体" w:cs="宋体"/>
          <w:b/>
          <w:color w:val="auto"/>
          <w:sz w:val="30"/>
          <w:szCs w:val="30"/>
          <w:highlight w:val="none"/>
        </w:rPr>
      </w:pPr>
    </w:p>
    <w:p w14:paraId="165CCF5F">
      <w:pPr>
        <w:wordWrap w:val="0"/>
        <w:spacing w:line="400" w:lineRule="exact"/>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6.供应商可结合本项目的评审办法视自身情况自行提交相关证明材料（如有，请提供）</w:t>
      </w:r>
    </w:p>
    <w:p w14:paraId="649E4D06">
      <w:pPr>
        <w:tabs>
          <w:tab w:val="left" w:pos="1305"/>
        </w:tabs>
        <w:wordWrap w:val="0"/>
        <w:spacing w:line="390" w:lineRule="exact"/>
        <w:rPr>
          <w:rFonts w:hint="eastAsia" w:ascii="宋体" w:hAnsi="宋体" w:eastAsia="宋体" w:cs="宋体"/>
          <w:color w:val="auto"/>
          <w:kern w:val="0"/>
          <w:sz w:val="30"/>
          <w:szCs w:val="30"/>
          <w:highlight w:val="none"/>
        </w:rPr>
      </w:pPr>
    </w:p>
    <w:sectPr>
      <w:footerReference r:id="rId10" w:type="default"/>
      <w:pgSz w:w="11906" w:h="16838"/>
      <w:pgMar w:top="1440" w:right="1080" w:bottom="1440" w:left="1080" w:header="851" w:footer="992" w:gutter="0"/>
      <w:pgNumType w:start="1"/>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等线 Light">
    <w:altName w:val="宋体"/>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MingLiU">
    <w:panose1 w:val="02020509000000000000"/>
    <w:charset w:val="88"/>
    <w:family w:val="modern"/>
    <w:pitch w:val="default"/>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等线">
    <w:altName w:val="微软雅黑"/>
    <w:panose1 w:val="00000000000000000000"/>
    <w:charset w:val="86"/>
    <w:family w:val="auto"/>
    <w:pitch w:val="default"/>
    <w:sig w:usb0="00000000" w:usb1="00000000" w:usb2="00000016" w:usb3="00000000" w:csb0="0004000F" w:csb1="00000000"/>
  </w:font>
  <w:font w:name="仿宋_GB2312">
    <w:altName w:val="仿宋"/>
    <w:panose1 w:val="00000000000000000000"/>
    <w:charset w:val="86"/>
    <w:family w:val="roman"/>
    <w:pitch w:val="default"/>
    <w:sig w:usb0="00000000" w:usb1="00000000" w:usb2="00000010" w:usb3="00000000" w:csb0="00040000" w:csb1="00000000"/>
  </w:font>
  <w:font w:name="文鼎中隶简">
    <w:altName w:val="宋体"/>
    <w:panose1 w:val="00000000000000000000"/>
    <w:charset w:val="86"/>
    <w:family w:val="modern"/>
    <w:pitch w:val="default"/>
    <w:sig w:usb0="00000000" w:usb1="00000000" w:usb2="00000000" w:usb3="00000000" w:csb0="00040001" w:csb1="00000000"/>
  </w:font>
  <w:font w:name="华文楷体">
    <w:panose1 w:val="02010600040101010101"/>
    <w:charset w:val="86"/>
    <w:family w:val="auto"/>
    <w:pitch w:val="default"/>
    <w:sig w:usb0="A00002BF" w:usb1="78CF7CFB" w:usb2="00000016" w:usb3="00000000" w:csb0="6006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05AF3">
    <w:pPr>
      <w:pStyle w:val="24"/>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6C413">
    <w:pPr>
      <w:pStyle w:val="24"/>
      <w:framePr w:wrap="around" w:vAnchor="text" w:hAnchor="margin" w:xAlign="center" w:y="1"/>
      <w:rPr>
        <w:rStyle w:val="37"/>
      </w:rPr>
    </w:pPr>
    <w:r>
      <w:fldChar w:fldCharType="begin"/>
    </w:r>
    <w:r>
      <w:rPr>
        <w:rStyle w:val="37"/>
      </w:rPr>
      <w:instrText xml:space="preserve">PAGE  </w:instrText>
    </w:r>
    <w:r>
      <w:fldChar w:fldCharType="separate"/>
    </w:r>
    <w:r>
      <w:rPr>
        <w:rStyle w:val="37"/>
      </w:rPr>
      <w:t>1</w:t>
    </w:r>
    <w:r>
      <w:fldChar w:fldCharType="end"/>
    </w:r>
  </w:p>
  <w:p w14:paraId="30D5E855">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660B1">
    <w:pPr>
      <w:pStyle w:val="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400F63">
                          <w:pPr>
                            <w:pStyle w:val="24"/>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O13TyNABAACqAwAADgAAAAAAAAABACAAAAAeAQAAZHJz&#10;L2Uyb0RvYy54bWxQSwUGAAAAAAYABgBZAQAAYAUAAAAA&#10;">
              <v:fill on="f" focussize="0,0"/>
              <v:stroke on="f"/>
              <v:imagedata o:title=""/>
              <o:lock v:ext="edit" aspectratio="f"/>
              <v:textbox inset="0mm,0mm,0mm,0mm" style="mso-fit-shape-to-text:t;">
                <w:txbxContent>
                  <w:p w14:paraId="16400F63">
                    <w:pPr>
                      <w:pStyle w:val="24"/>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052DD">
    <w:pPr>
      <w:pStyle w:val="2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AD7FD">
    <w:pPr>
      <w:pStyle w:val="2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BE6AB50">
                          <w:pPr>
                            <w:pStyle w:val="24"/>
                          </w:pPr>
                          <w:r>
                            <w:fldChar w:fldCharType="begin"/>
                          </w:r>
                          <w:r>
                            <w:instrText xml:space="preserve"> PAGE  \* MERGEFORMAT </w:instrText>
                          </w:r>
                          <w:r>
                            <w:fldChar w:fldCharType="separate"/>
                          </w:r>
                          <w:r>
                            <w:t>45</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TDhFzc0BAACnAwAADgAAAAAAAAABACAAAAAeAQAAZHJzL2Uy&#10;b0RvYy54bWxQSwUGAAAAAAYABgBZAQAAXQUAAAAA&#10;">
              <v:fill on="f" focussize="0,0"/>
              <v:stroke on="f"/>
              <v:imagedata o:title=""/>
              <o:lock v:ext="edit" aspectratio="f"/>
              <v:textbox inset="0mm,0mm,0mm,0mm" style="mso-fit-shape-to-text:t;">
                <w:txbxContent>
                  <w:p w14:paraId="1BE6AB50">
                    <w:pPr>
                      <w:pStyle w:val="24"/>
                    </w:pPr>
                    <w:r>
                      <w:fldChar w:fldCharType="begin"/>
                    </w:r>
                    <w:r>
                      <w:instrText xml:space="preserve"> PAGE  \* MERGEFORMAT </w:instrText>
                    </w:r>
                    <w:r>
                      <w:fldChar w:fldCharType="separate"/>
                    </w:r>
                    <w:r>
                      <w:t>45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CF5AD">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4D8DD">
    <w:pPr>
      <w:pStyle w:val="2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8A031">
    <w:pPr>
      <w:pStyle w:val="2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DA267C"/>
    <w:multiLevelType w:val="multilevel"/>
    <w:tmpl w:val="05DA267C"/>
    <w:lvl w:ilvl="0" w:tentative="0">
      <w:start w:val="1"/>
      <w:numFmt w:val="japaneseCounting"/>
      <w:lvlText w:val="第%1章"/>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7F5586D"/>
    <w:multiLevelType w:val="multilevel"/>
    <w:tmpl w:val="47F5586D"/>
    <w:lvl w:ilvl="0" w:tentative="0">
      <w:start w:val="2"/>
      <w:numFmt w:val="japaneseCounting"/>
      <w:lvlText w:val="第%1章"/>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TrueTypeFonts/>
  <w:saveSubsetFonts/>
  <w:bordersDoNotSurroundHeader w:val="0"/>
  <w:bordersDoNotSurroundFooter w:val="0"/>
  <w:hideSpellingErrors/>
  <w:documentProtection w:enforcement="0"/>
  <w:defaultTabStop w:val="420"/>
  <w:drawingGridHorizontalSpacing w:val="105"/>
  <w:drawingGridVerticalSpacing w:val="33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kOTE2NzBhMzRhMDQxM2UyMWRjZDhlYWNiNzdiZWEifQ=="/>
  </w:docVars>
  <w:rsids>
    <w:rsidRoot w:val="00172A27"/>
    <w:rsid w:val="00000170"/>
    <w:rsid w:val="000001B5"/>
    <w:rsid w:val="0000029B"/>
    <w:rsid w:val="00000C05"/>
    <w:rsid w:val="000011ED"/>
    <w:rsid w:val="00001908"/>
    <w:rsid w:val="00001ADB"/>
    <w:rsid w:val="00001B69"/>
    <w:rsid w:val="00002E5D"/>
    <w:rsid w:val="000033A8"/>
    <w:rsid w:val="000034A6"/>
    <w:rsid w:val="00003B4B"/>
    <w:rsid w:val="00003B4C"/>
    <w:rsid w:val="00003B7C"/>
    <w:rsid w:val="00003D90"/>
    <w:rsid w:val="00003F55"/>
    <w:rsid w:val="00004077"/>
    <w:rsid w:val="000040FD"/>
    <w:rsid w:val="000044E5"/>
    <w:rsid w:val="0000477B"/>
    <w:rsid w:val="0000497A"/>
    <w:rsid w:val="00004CC8"/>
    <w:rsid w:val="00004F67"/>
    <w:rsid w:val="00004F9B"/>
    <w:rsid w:val="00004FF4"/>
    <w:rsid w:val="00005143"/>
    <w:rsid w:val="000057EC"/>
    <w:rsid w:val="00005950"/>
    <w:rsid w:val="00006352"/>
    <w:rsid w:val="00006440"/>
    <w:rsid w:val="0000667B"/>
    <w:rsid w:val="00006D8B"/>
    <w:rsid w:val="0000722A"/>
    <w:rsid w:val="00007562"/>
    <w:rsid w:val="0000757F"/>
    <w:rsid w:val="0000775B"/>
    <w:rsid w:val="00007A06"/>
    <w:rsid w:val="00007F96"/>
    <w:rsid w:val="0001073E"/>
    <w:rsid w:val="000108BB"/>
    <w:rsid w:val="00010FC4"/>
    <w:rsid w:val="00010FCB"/>
    <w:rsid w:val="00011006"/>
    <w:rsid w:val="0001157E"/>
    <w:rsid w:val="0001185B"/>
    <w:rsid w:val="00011968"/>
    <w:rsid w:val="00011E9C"/>
    <w:rsid w:val="00011F22"/>
    <w:rsid w:val="00012352"/>
    <w:rsid w:val="00012511"/>
    <w:rsid w:val="000125A9"/>
    <w:rsid w:val="000127AC"/>
    <w:rsid w:val="0001284A"/>
    <w:rsid w:val="00012C2B"/>
    <w:rsid w:val="000134A1"/>
    <w:rsid w:val="0001373E"/>
    <w:rsid w:val="000139A0"/>
    <w:rsid w:val="000139C8"/>
    <w:rsid w:val="000139E0"/>
    <w:rsid w:val="00013C2B"/>
    <w:rsid w:val="00013F2B"/>
    <w:rsid w:val="00014797"/>
    <w:rsid w:val="000149AC"/>
    <w:rsid w:val="000149ED"/>
    <w:rsid w:val="00014B3F"/>
    <w:rsid w:val="0001519D"/>
    <w:rsid w:val="000158F6"/>
    <w:rsid w:val="00015DB6"/>
    <w:rsid w:val="00015F3A"/>
    <w:rsid w:val="0001605E"/>
    <w:rsid w:val="000162C9"/>
    <w:rsid w:val="00016611"/>
    <w:rsid w:val="00016778"/>
    <w:rsid w:val="00016AB2"/>
    <w:rsid w:val="000173A6"/>
    <w:rsid w:val="0001748C"/>
    <w:rsid w:val="00017B25"/>
    <w:rsid w:val="00017BC7"/>
    <w:rsid w:val="00017DA1"/>
    <w:rsid w:val="0002021E"/>
    <w:rsid w:val="000207AB"/>
    <w:rsid w:val="00020B0D"/>
    <w:rsid w:val="00021050"/>
    <w:rsid w:val="00021536"/>
    <w:rsid w:val="00021928"/>
    <w:rsid w:val="00021B15"/>
    <w:rsid w:val="00021F89"/>
    <w:rsid w:val="00021FDF"/>
    <w:rsid w:val="00022A04"/>
    <w:rsid w:val="00022F6B"/>
    <w:rsid w:val="00023404"/>
    <w:rsid w:val="00023930"/>
    <w:rsid w:val="00023CCC"/>
    <w:rsid w:val="0002440E"/>
    <w:rsid w:val="000245CE"/>
    <w:rsid w:val="000246AD"/>
    <w:rsid w:val="000247AF"/>
    <w:rsid w:val="00024C2B"/>
    <w:rsid w:val="00024F8B"/>
    <w:rsid w:val="000253B5"/>
    <w:rsid w:val="0002561B"/>
    <w:rsid w:val="000257E8"/>
    <w:rsid w:val="00025822"/>
    <w:rsid w:val="00025E89"/>
    <w:rsid w:val="00025EE8"/>
    <w:rsid w:val="00026056"/>
    <w:rsid w:val="0002648C"/>
    <w:rsid w:val="0002714F"/>
    <w:rsid w:val="0002726C"/>
    <w:rsid w:val="00027537"/>
    <w:rsid w:val="000276A8"/>
    <w:rsid w:val="00030603"/>
    <w:rsid w:val="00030708"/>
    <w:rsid w:val="00030828"/>
    <w:rsid w:val="00030C53"/>
    <w:rsid w:val="00030CE0"/>
    <w:rsid w:val="0003101F"/>
    <w:rsid w:val="00031027"/>
    <w:rsid w:val="000313EB"/>
    <w:rsid w:val="00031EB5"/>
    <w:rsid w:val="000320EE"/>
    <w:rsid w:val="000322ED"/>
    <w:rsid w:val="000324A8"/>
    <w:rsid w:val="000325F4"/>
    <w:rsid w:val="00032678"/>
    <w:rsid w:val="00032913"/>
    <w:rsid w:val="0003298B"/>
    <w:rsid w:val="00032BBE"/>
    <w:rsid w:val="00033479"/>
    <w:rsid w:val="000338CC"/>
    <w:rsid w:val="00033C76"/>
    <w:rsid w:val="00033DAF"/>
    <w:rsid w:val="000342C4"/>
    <w:rsid w:val="0003439C"/>
    <w:rsid w:val="000343BC"/>
    <w:rsid w:val="000345D5"/>
    <w:rsid w:val="0003474E"/>
    <w:rsid w:val="000351B3"/>
    <w:rsid w:val="000356A1"/>
    <w:rsid w:val="00035820"/>
    <w:rsid w:val="000358E3"/>
    <w:rsid w:val="00035910"/>
    <w:rsid w:val="00035DF7"/>
    <w:rsid w:val="000361B9"/>
    <w:rsid w:val="0003676C"/>
    <w:rsid w:val="0003692E"/>
    <w:rsid w:val="00036C90"/>
    <w:rsid w:val="00036CA9"/>
    <w:rsid w:val="00036E81"/>
    <w:rsid w:val="000372D8"/>
    <w:rsid w:val="0003758D"/>
    <w:rsid w:val="000407F1"/>
    <w:rsid w:val="00040940"/>
    <w:rsid w:val="00040B23"/>
    <w:rsid w:val="00041076"/>
    <w:rsid w:val="000414C6"/>
    <w:rsid w:val="0004167F"/>
    <w:rsid w:val="00041BEF"/>
    <w:rsid w:val="00041D93"/>
    <w:rsid w:val="0004215F"/>
    <w:rsid w:val="00042370"/>
    <w:rsid w:val="000426E2"/>
    <w:rsid w:val="000427AB"/>
    <w:rsid w:val="00042988"/>
    <w:rsid w:val="00043099"/>
    <w:rsid w:val="0004314D"/>
    <w:rsid w:val="00043242"/>
    <w:rsid w:val="00043500"/>
    <w:rsid w:val="000438AE"/>
    <w:rsid w:val="00043AAC"/>
    <w:rsid w:val="00043BC9"/>
    <w:rsid w:val="00043D74"/>
    <w:rsid w:val="00043D80"/>
    <w:rsid w:val="0004430D"/>
    <w:rsid w:val="00044414"/>
    <w:rsid w:val="00044449"/>
    <w:rsid w:val="00044975"/>
    <w:rsid w:val="00044A89"/>
    <w:rsid w:val="00044E5F"/>
    <w:rsid w:val="0004528E"/>
    <w:rsid w:val="00045375"/>
    <w:rsid w:val="000453AA"/>
    <w:rsid w:val="000455C0"/>
    <w:rsid w:val="0004582F"/>
    <w:rsid w:val="00045A41"/>
    <w:rsid w:val="00045B84"/>
    <w:rsid w:val="00045FD4"/>
    <w:rsid w:val="00046AD4"/>
    <w:rsid w:val="00046EAB"/>
    <w:rsid w:val="00047432"/>
    <w:rsid w:val="000474D9"/>
    <w:rsid w:val="00047B81"/>
    <w:rsid w:val="00047EB0"/>
    <w:rsid w:val="00047F2B"/>
    <w:rsid w:val="00050027"/>
    <w:rsid w:val="000506B3"/>
    <w:rsid w:val="000507A6"/>
    <w:rsid w:val="00050D3D"/>
    <w:rsid w:val="00050E1C"/>
    <w:rsid w:val="00050EC4"/>
    <w:rsid w:val="000512BE"/>
    <w:rsid w:val="000513EF"/>
    <w:rsid w:val="00052011"/>
    <w:rsid w:val="00052495"/>
    <w:rsid w:val="00052A33"/>
    <w:rsid w:val="00052C1A"/>
    <w:rsid w:val="00052D91"/>
    <w:rsid w:val="00052DAE"/>
    <w:rsid w:val="00052DC5"/>
    <w:rsid w:val="00053080"/>
    <w:rsid w:val="00053C74"/>
    <w:rsid w:val="00053FD6"/>
    <w:rsid w:val="0005440E"/>
    <w:rsid w:val="000548A3"/>
    <w:rsid w:val="00054966"/>
    <w:rsid w:val="00054AB0"/>
    <w:rsid w:val="000551B6"/>
    <w:rsid w:val="00055378"/>
    <w:rsid w:val="000553CA"/>
    <w:rsid w:val="00055684"/>
    <w:rsid w:val="00055BF1"/>
    <w:rsid w:val="00055E73"/>
    <w:rsid w:val="00056190"/>
    <w:rsid w:val="0005652A"/>
    <w:rsid w:val="00056AB7"/>
    <w:rsid w:val="0005731B"/>
    <w:rsid w:val="000576DC"/>
    <w:rsid w:val="0005788B"/>
    <w:rsid w:val="000579B3"/>
    <w:rsid w:val="00057B1A"/>
    <w:rsid w:val="000605B7"/>
    <w:rsid w:val="000606D6"/>
    <w:rsid w:val="00060B78"/>
    <w:rsid w:val="00061151"/>
    <w:rsid w:val="0006142B"/>
    <w:rsid w:val="0006188A"/>
    <w:rsid w:val="000618E6"/>
    <w:rsid w:val="000618EE"/>
    <w:rsid w:val="00061B31"/>
    <w:rsid w:val="000624CB"/>
    <w:rsid w:val="0006269C"/>
    <w:rsid w:val="00062869"/>
    <w:rsid w:val="00062F7C"/>
    <w:rsid w:val="00062F9E"/>
    <w:rsid w:val="0006300B"/>
    <w:rsid w:val="00063389"/>
    <w:rsid w:val="00063399"/>
    <w:rsid w:val="00063ACF"/>
    <w:rsid w:val="00063D8A"/>
    <w:rsid w:val="00064C7E"/>
    <w:rsid w:val="00065258"/>
    <w:rsid w:val="000652A9"/>
    <w:rsid w:val="00065639"/>
    <w:rsid w:val="00065A4D"/>
    <w:rsid w:val="000665E4"/>
    <w:rsid w:val="00066A4C"/>
    <w:rsid w:val="00066F5D"/>
    <w:rsid w:val="00066F9A"/>
    <w:rsid w:val="00067082"/>
    <w:rsid w:val="00067292"/>
    <w:rsid w:val="000672B1"/>
    <w:rsid w:val="000675B5"/>
    <w:rsid w:val="000678B3"/>
    <w:rsid w:val="00067B60"/>
    <w:rsid w:val="00070101"/>
    <w:rsid w:val="00070507"/>
    <w:rsid w:val="00070666"/>
    <w:rsid w:val="00070A9F"/>
    <w:rsid w:val="00070C8C"/>
    <w:rsid w:val="00070CA1"/>
    <w:rsid w:val="00071B5D"/>
    <w:rsid w:val="00071DAC"/>
    <w:rsid w:val="00071E72"/>
    <w:rsid w:val="000723E2"/>
    <w:rsid w:val="0007276E"/>
    <w:rsid w:val="00072820"/>
    <w:rsid w:val="00072883"/>
    <w:rsid w:val="00072F52"/>
    <w:rsid w:val="0007316E"/>
    <w:rsid w:val="00073241"/>
    <w:rsid w:val="0007352C"/>
    <w:rsid w:val="000736D9"/>
    <w:rsid w:val="000738B6"/>
    <w:rsid w:val="00073A28"/>
    <w:rsid w:val="00073AAB"/>
    <w:rsid w:val="00073BC5"/>
    <w:rsid w:val="00074161"/>
    <w:rsid w:val="00074600"/>
    <w:rsid w:val="000747E1"/>
    <w:rsid w:val="000748A6"/>
    <w:rsid w:val="00074AB7"/>
    <w:rsid w:val="00074C4F"/>
    <w:rsid w:val="00074D5D"/>
    <w:rsid w:val="00074DD4"/>
    <w:rsid w:val="00075138"/>
    <w:rsid w:val="0007565A"/>
    <w:rsid w:val="000757CB"/>
    <w:rsid w:val="000763A1"/>
    <w:rsid w:val="00076BE0"/>
    <w:rsid w:val="00076CD3"/>
    <w:rsid w:val="000775E8"/>
    <w:rsid w:val="0007788B"/>
    <w:rsid w:val="00080183"/>
    <w:rsid w:val="00080266"/>
    <w:rsid w:val="0008063A"/>
    <w:rsid w:val="00080A3D"/>
    <w:rsid w:val="0008112A"/>
    <w:rsid w:val="00081346"/>
    <w:rsid w:val="000815D9"/>
    <w:rsid w:val="00081BC9"/>
    <w:rsid w:val="000820F8"/>
    <w:rsid w:val="00082451"/>
    <w:rsid w:val="000834F3"/>
    <w:rsid w:val="00083772"/>
    <w:rsid w:val="000838BD"/>
    <w:rsid w:val="000839BF"/>
    <w:rsid w:val="00083A32"/>
    <w:rsid w:val="00083A69"/>
    <w:rsid w:val="00083B78"/>
    <w:rsid w:val="00084205"/>
    <w:rsid w:val="00085C7F"/>
    <w:rsid w:val="00085F15"/>
    <w:rsid w:val="00086226"/>
    <w:rsid w:val="00086257"/>
    <w:rsid w:val="0008634A"/>
    <w:rsid w:val="00086D6A"/>
    <w:rsid w:val="00087017"/>
    <w:rsid w:val="00087255"/>
    <w:rsid w:val="000872C9"/>
    <w:rsid w:val="00087395"/>
    <w:rsid w:val="000875CD"/>
    <w:rsid w:val="00087A27"/>
    <w:rsid w:val="00090212"/>
    <w:rsid w:val="000903F4"/>
    <w:rsid w:val="000905FB"/>
    <w:rsid w:val="0009068E"/>
    <w:rsid w:val="00090A14"/>
    <w:rsid w:val="00090E62"/>
    <w:rsid w:val="00091181"/>
    <w:rsid w:val="00091791"/>
    <w:rsid w:val="0009280B"/>
    <w:rsid w:val="0009290A"/>
    <w:rsid w:val="00093102"/>
    <w:rsid w:val="00093943"/>
    <w:rsid w:val="00093CFF"/>
    <w:rsid w:val="000945EF"/>
    <w:rsid w:val="000946E7"/>
    <w:rsid w:val="00094D4B"/>
    <w:rsid w:val="00094F84"/>
    <w:rsid w:val="00094FA0"/>
    <w:rsid w:val="000950C8"/>
    <w:rsid w:val="00095B9B"/>
    <w:rsid w:val="000960EA"/>
    <w:rsid w:val="000965CD"/>
    <w:rsid w:val="00096861"/>
    <w:rsid w:val="00096AD2"/>
    <w:rsid w:val="00096B27"/>
    <w:rsid w:val="00096CEF"/>
    <w:rsid w:val="00097F93"/>
    <w:rsid w:val="000A0092"/>
    <w:rsid w:val="000A00EB"/>
    <w:rsid w:val="000A05F2"/>
    <w:rsid w:val="000A0861"/>
    <w:rsid w:val="000A0967"/>
    <w:rsid w:val="000A0FD6"/>
    <w:rsid w:val="000A1C45"/>
    <w:rsid w:val="000A20EF"/>
    <w:rsid w:val="000A23D9"/>
    <w:rsid w:val="000A2975"/>
    <w:rsid w:val="000A29B8"/>
    <w:rsid w:val="000A2DCD"/>
    <w:rsid w:val="000A32B2"/>
    <w:rsid w:val="000A36CA"/>
    <w:rsid w:val="000A36CD"/>
    <w:rsid w:val="000A3917"/>
    <w:rsid w:val="000A3CF6"/>
    <w:rsid w:val="000A3D8D"/>
    <w:rsid w:val="000A40B8"/>
    <w:rsid w:val="000A4439"/>
    <w:rsid w:val="000A45F1"/>
    <w:rsid w:val="000A4606"/>
    <w:rsid w:val="000A47D7"/>
    <w:rsid w:val="000A4BE3"/>
    <w:rsid w:val="000A4F3B"/>
    <w:rsid w:val="000A5169"/>
    <w:rsid w:val="000A5421"/>
    <w:rsid w:val="000A57D4"/>
    <w:rsid w:val="000A5901"/>
    <w:rsid w:val="000A5C45"/>
    <w:rsid w:val="000A5C66"/>
    <w:rsid w:val="000A5CFA"/>
    <w:rsid w:val="000A5D8A"/>
    <w:rsid w:val="000A5E5D"/>
    <w:rsid w:val="000A60A3"/>
    <w:rsid w:val="000A6CD2"/>
    <w:rsid w:val="000A7436"/>
    <w:rsid w:val="000A7625"/>
    <w:rsid w:val="000B010C"/>
    <w:rsid w:val="000B08BC"/>
    <w:rsid w:val="000B0B71"/>
    <w:rsid w:val="000B0C4F"/>
    <w:rsid w:val="000B0C77"/>
    <w:rsid w:val="000B12A5"/>
    <w:rsid w:val="000B1865"/>
    <w:rsid w:val="000B237E"/>
    <w:rsid w:val="000B2456"/>
    <w:rsid w:val="000B2BB2"/>
    <w:rsid w:val="000B3103"/>
    <w:rsid w:val="000B34D4"/>
    <w:rsid w:val="000B36E7"/>
    <w:rsid w:val="000B3CFF"/>
    <w:rsid w:val="000B3F36"/>
    <w:rsid w:val="000B414E"/>
    <w:rsid w:val="000B4180"/>
    <w:rsid w:val="000B446F"/>
    <w:rsid w:val="000B4942"/>
    <w:rsid w:val="000B4969"/>
    <w:rsid w:val="000B5ACB"/>
    <w:rsid w:val="000B5ACF"/>
    <w:rsid w:val="000B62C2"/>
    <w:rsid w:val="000B647B"/>
    <w:rsid w:val="000B6631"/>
    <w:rsid w:val="000B6CA8"/>
    <w:rsid w:val="000B7473"/>
    <w:rsid w:val="000B7939"/>
    <w:rsid w:val="000B7B41"/>
    <w:rsid w:val="000B7D9B"/>
    <w:rsid w:val="000C00C5"/>
    <w:rsid w:val="000C018F"/>
    <w:rsid w:val="000C02ED"/>
    <w:rsid w:val="000C0373"/>
    <w:rsid w:val="000C0406"/>
    <w:rsid w:val="000C099D"/>
    <w:rsid w:val="000C0DD9"/>
    <w:rsid w:val="000C0E93"/>
    <w:rsid w:val="000C1278"/>
    <w:rsid w:val="000C1576"/>
    <w:rsid w:val="000C16C7"/>
    <w:rsid w:val="000C1743"/>
    <w:rsid w:val="000C18B9"/>
    <w:rsid w:val="000C1C13"/>
    <w:rsid w:val="000C20A8"/>
    <w:rsid w:val="000C224C"/>
    <w:rsid w:val="000C228E"/>
    <w:rsid w:val="000C2478"/>
    <w:rsid w:val="000C28FC"/>
    <w:rsid w:val="000C2A34"/>
    <w:rsid w:val="000C2C4E"/>
    <w:rsid w:val="000C2D63"/>
    <w:rsid w:val="000C31E4"/>
    <w:rsid w:val="000C3664"/>
    <w:rsid w:val="000C3789"/>
    <w:rsid w:val="000C3CBE"/>
    <w:rsid w:val="000C3F19"/>
    <w:rsid w:val="000C4055"/>
    <w:rsid w:val="000C46ED"/>
    <w:rsid w:val="000C4959"/>
    <w:rsid w:val="000C496A"/>
    <w:rsid w:val="000C4A11"/>
    <w:rsid w:val="000C4B5A"/>
    <w:rsid w:val="000C566C"/>
    <w:rsid w:val="000C59FD"/>
    <w:rsid w:val="000C6144"/>
    <w:rsid w:val="000C64F3"/>
    <w:rsid w:val="000C684D"/>
    <w:rsid w:val="000C6905"/>
    <w:rsid w:val="000C6981"/>
    <w:rsid w:val="000C699F"/>
    <w:rsid w:val="000C7204"/>
    <w:rsid w:val="000C76E2"/>
    <w:rsid w:val="000C796F"/>
    <w:rsid w:val="000C7DC0"/>
    <w:rsid w:val="000C7F1E"/>
    <w:rsid w:val="000D0374"/>
    <w:rsid w:val="000D049C"/>
    <w:rsid w:val="000D06C8"/>
    <w:rsid w:val="000D0844"/>
    <w:rsid w:val="000D093D"/>
    <w:rsid w:val="000D0B80"/>
    <w:rsid w:val="000D11A7"/>
    <w:rsid w:val="000D14EB"/>
    <w:rsid w:val="000D180B"/>
    <w:rsid w:val="000D1A16"/>
    <w:rsid w:val="000D1B37"/>
    <w:rsid w:val="000D1BCF"/>
    <w:rsid w:val="000D2551"/>
    <w:rsid w:val="000D2B49"/>
    <w:rsid w:val="000D2FFF"/>
    <w:rsid w:val="000D302C"/>
    <w:rsid w:val="000D3997"/>
    <w:rsid w:val="000D3A93"/>
    <w:rsid w:val="000D44D2"/>
    <w:rsid w:val="000D45DA"/>
    <w:rsid w:val="000D4C47"/>
    <w:rsid w:val="000D519C"/>
    <w:rsid w:val="000D55B6"/>
    <w:rsid w:val="000D561B"/>
    <w:rsid w:val="000D5703"/>
    <w:rsid w:val="000D5AE0"/>
    <w:rsid w:val="000D5BC2"/>
    <w:rsid w:val="000D6062"/>
    <w:rsid w:val="000D62E4"/>
    <w:rsid w:val="000D6D5C"/>
    <w:rsid w:val="000D6F1A"/>
    <w:rsid w:val="000D7090"/>
    <w:rsid w:val="000D7B25"/>
    <w:rsid w:val="000E00A8"/>
    <w:rsid w:val="000E00BE"/>
    <w:rsid w:val="000E08D0"/>
    <w:rsid w:val="000E0A07"/>
    <w:rsid w:val="000E0AE7"/>
    <w:rsid w:val="000E1051"/>
    <w:rsid w:val="000E12EE"/>
    <w:rsid w:val="000E1661"/>
    <w:rsid w:val="000E1B98"/>
    <w:rsid w:val="000E1EA9"/>
    <w:rsid w:val="000E1ECA"/>
    <w:rsid w:val="000E1ECD"/>
    <w:rsid w:val="000E21B8"/>
    <w:rsid w:val="000E2A5C"/>
    <w:rsid w:val="000E2FEB"/>
    <w:rsid w:val="000E3012"/>
    <w:rsid w:val="000E31D3"/>
    <w:rsid w:val="000E3274"/>
    <w:rsid w:val="000E3298"/>
    <w:rsid w:val="000E3594"/>
    <w:rsid w:val="000E3A19"/>
    <w:rsid w:val="000E3DA4"/>
    <w:rsid w:val="000E3FAF"/>
    <w:rsid w:val="000E4732"/>
    <w:rsid w:val="000E49A1"/>
    <w:rsid w:val="000E4BFB"/>
    <w:rsid w:val="000E4DDC"/>
    <w:rsid w:val="000E4EE2"/>
    <w:rsid w:val="000E4F78"/>
    <w:rsid w:val="000E5029"/>
    <w:rsid w:val="000E5069"/>
    <w:rsid w:val="000E5BEB"/>
    <w:rsid w:val="000E5C9D"/>
    <w:rsid w:val="000E5E0F"/>
    <w:rsid w:val="000E5F2A"/>
    <w:rsid w:val="000E66A0"/>
    <w:rsid w:val="000E66CC"/>
    <w:rsid w:val="000E6A4D"/>
    <w:rsid w:val="000E7700"/>
    <w:rsid w:val="000E7D40"/>
    <w:rsid w:val="000F0191"/>
    <w:rsid w:val="000F093B"/>
    <w:rsid w:val="000F0BDA"/>
    <w:rsid w:val="000F10E1"/>
    <w:rsid w:val="000F1327"/>
    <w:rsid w:val="000F1971"/>
    <w:rsid w:val="000F1BC9"/>
    <w:rsid w:val="000F1CDA"/>
    <w:rsid w:val="000F24F6"/>
    <w:rsid w:val="000F2686"/>
    <w:rsid w:val="000F27B6"/>
    <w:rsid w:val="000F3CFD"/>
    <w:rsid w:val="000F3D0D"/>
    <w:rsid w:val="000F4311"/>
    <w:rsid w:val="000F4377"/>
    <w:rsid w:val="000F4ACA"/>
    <w:rsid w:val="000F54B2"/>
    <w:rsid w:val="000F61C1"/>
    <w:rsid w:val="000F6817"/>
    <w:rsid w:val="000F7F8A"/>
    <w:rsid w:val="001000C5"/>
    <w:rsid w:val="0010011B"/>
    <w:rsid w:val="00100532"/>
    <w:rsid w:val="001008CE"/>
    <w:rsid w:val="00100D7E"/>
    <w:rsid w:val="00101851"/>
    <w:rsid w:val="0010195A"/>
    <w:rsid w:val="00101C88"/>
    <w:rsid w:val="00101D57"/>
    <w:rsid w:val="001023EA"/>
    <w:rsid w:val="001026A6"/>
    <w:rsid w:val="00102826"/>
    <w:rsid w:val="00102A52"/>
    <w:rsid w:val="0010326D"/>
    <w:rsid w:val="001032FF"/>
    <w:rsid w:val="0010335F"/>
    <w:rsid w:val="00103848"/>
    <w:rsid w:val="0010384F"/>
    <w:rsid w:val="00103CC9"/>
    <w:rsid w:val="00104408"/>
    <w:rsid w:val="00104668"/>
    <w:rsid w:val="001047E7"/>
    <w:rsid w:val="00104F1E"/>
    <w:rsid w:val="0010529E"/>
    <w:rsid w:val="00105409"/>
    <w:rsid w:val="001058BC"/>
    <w:rsid w:val="001058F4"/>
    <w:rsid w:val="00105C30"/>
    <w:rsid w:val="00105F33"/>
    <w:rsid w:val="001060B5"/>
    <w:rsid w:val="001073F4"/>
    <w:rsid w:val="001077ED"/>
    <w:rsid w:val="001079AB"/>
    <w:rsid w:val="00107A41"/>
    <w:rsid w:val="00107B4A"/>
    <w:rsid w:val="00107CBD"/>
    <w:rsid w:val="00107DBE"/>
    <w:rsid w:val="00110280"/>
    <w:rsid w:val="001111EA"/>
    <w:rsid w:val="0011141A"/>
    <w:rsid w:val="001114AD"/>
    <w:rsid w:val="00111546"/>
    <w:rsid w:val="00111A2D"/>
    <w:rsid w:val="00111B42"/>
    <w:rsid w:val="00112099"/>
    <w:rsid w:val="0011230C"/>
    <w:rsid w:val="00112316"/>
    <w:rsid w:val="00112451"/>
    <w:rsid w:val="0011265E"/>
    <w:rsid w:val="00112CC7"/>
    <w:rsid w:val="00112F5B"/>
    <w:rsid w:val="00113733"/>
    <w:rsid w:val="00113956"/>
    <w:rsid w:val="001142B3"/>
    <w:rsid w:val="0011489D"/>
    <w:rsid w:val="001148BA"/>
    <w:rsid w:val="00114B3E"/>
    <w:rsid w:val="00114B86"/>
    <w:rsid w:val="00114BAC"/>
    <w:rsid w:val="0011520D"/>
    <w:rsid w:val="00115365"/>
    <w:rsid w:val="0011594D"/>
    <w:rsid w:val="00116607"/>
    <w:rsid w:val="001170EA"/>
    <w:rsid w:val="0011710E"/>
    <w:rsid w:val="00117824"/>
    <w:rsid w:val="0012019E"/>
    <w:rsid w:val="00120802"/>
    <w:rsid w:val="00122665"/>
    <w:rsid w:val="001226D5"/>
    <w:rsid w:val="00122F85"/>
    <w:rsid w:val="001237F5"/>
    <w:rsid w:val="0012387D"/>
    <w:rsid w:val="00123CBA"/>
    <w:rsid w:val="00123DB4"/>
    <w:rsid w:val="00124431"/>
    <w:rsid w:val="00124457"/>
    <w:rsid w:val="00124548"/>
    <w:rsid w:val="0012459B"/>
    <w:rsid w:val="0012578E"/>
    <w:rsid w:val="00125B41"/>
    <w:rsid w:val="0012647A"/>
    <w:rsid w:val="001266C7"/>
    <w:rsid w:val="00126CCF"/>
    <w:rsid w:val="00127290"/>
    <w:rsid w:val="00127500"/>
    <w:rsid w:val="00127CB8"/>
    <w:rsid w:val="00127EF1"/>
    <w:rsid w:val="00130436"/>
    <w:rsid w:val="0013069A"/>
    <w:rsid w:val="001307E0"/>
    <w:rsid w:val="00130AD4"/>
    <w:rsid w:val="00130C8C"/>
    <w:rsid w:val="00130D21"/>
    <w:rsid w:val="00130EFA"/>
    <w:rsid w:val="00130FE3"/>
    <w:rsid w:val="00131596"/>
    <w:rsid w:val="001315EF"/>
    <w:rsid w:val="001315FD"/>
    <w:rsid w:val="00131B68"/>
    <w:rsid w:val="0013205C"/>
    <w:rsid w:val="001322EB"/>
    <w:rsid w:val="001325C2"/>
    <w:rsid w:val="001328C0"/>
    <w:rsid w:val="00133247"/>
    <w:rsid w:val="00133C9D"/>
    <w:rsid w:val="001346C2"/>
    <w:rsid w:val="001347AD"/>
    <w:rsid w:val="00134B45"/>
    <w:rsid w:val="00136334"/>
    <w:rsid w:val="0013633F"/>
    <w:rsid w:val="001367DA"/>
    <w:rsid w:val="00136C95"/>
    <w:rsid w:val="0013713E"/>
    <w:rsid w:val="00137254"/>
    <w:rsid w:val="001373DE"/>
    <w:rsid w:val="00137BD4"/>
    <w:rsid w:val="00137BF8"/>
    <w:rsid w:val="001400B6"/>
    <w:rsid w:val="0014062A"/>
    <w:rsid w:val="0014066B"/>
    <w:rsid w:val="00140A37"/>
    <w:rsid w:val="00140E37"/>
    <w:rsid w:val="00140E6D"/>
    <w:rsid w:val="00140FCC"/>
    <w:rsid w:val="0014131B"/>
    <w:rsid w:val="00141646"/>
    <w:rsid w:val="00141905"/>
    <w:rsid w:val="0014191A"/>
    <w:rsid w:val="00141B28"/>
    <w:rsid w:val="00141DFB"/>
    <w:rsid w:val="00141F78"/>
    <w:rsid w:val="00141F7E"/>
    <w:rsid w:val="001421F7"/>
    <w:rsid w:val="001433F0"/>
    <w:rsid w:val="00143473"/>
    <w:rsid w:val="001435BC"/>
    <w:rsid w:val="00143961"/>
    <w:rsid w:val="00143B2B"/>
    <w:rsid w:val="00143EDE"/>
    <w:rsid w:val="00144551"/>
    <w:rsid w:val="0014460C"/>
    <w:rsid w:val="001449D8"/>
    <w:rsid w:val="00144E85"/>
    <w:rsid w:val="00145C6E"/>
    <w:rsid w:val="00145DD7"/>
    <w:rsid w:val="0014603B"/>
    <w:rsid w:val="00146DB8"/>
    <w:rsid w:val="00147259"/>
    <w:rsid w:val="001475F5"/>
    <w:rsid w:val="00147E0E"/>
    <w:rsid w:val="001500A3"/>
    <w:rsid w:val="00150583"/>
    <w:rsid w:val="00150737"/>
    <w:rsid w:val="00150E00"/>
    <w:rsid w:val="00150E78"/>
    <w:rsid w:val="00151315"/>
    <w:rsid w:val="001518A6"/>
    <w:rsid w:val="001519CA"/>
    <w:rsid w:val="00151C92"/>
    <w:rsid w:val="00151CE3"/>
    <w:rsid w:val="00151D76"/>
    <w:rsid w:val="00152580"/>
    <w:rsid w:val="00152A01"/>
    <w:rsid w:val="001534B3"/>
    <w:rsid w:val="00153690"/>
    <w:rsid w:val="00153775"/>
    <w:rsid w:val="001537B5"/>
    <w:rsid w:val="00153B71"/>
    <w:rsid w:val="001540D2"/>
    <w:rsid w:val="001541BB"/>
    <w:rsid w:val="001544CE"/>
    <w:rsid w:val="00154679"/>
    <w:rsid w:val="001552FB"/>
    <w:rsid w:val="00155441"/>
    <w:rsid w:val="001554F0"/>
    <w:rsid w:val="00155668"/>
    <w:rsid w:val="0015587D"/>
    <w:rsid w:val="00155E4D"/>
    <w:rsid w:val="00156208"/>
    <w:rsid w:val="001563CA"/>
    <w:rsid w:val="0015650E"/>
    <w:rsid w:val="00156819"/>
    <w:rsid w:val="00156AAF"/>
    <w:rsid w:val="00156D1E"/>
    <w:rsid w:val="00157B2C"/>
    <w:rsid w:val="00157CF4"/>
    <w:rsid w:val="00157F03"/>
    <w:rsid w:val="001605DF"/>
    <w:rsid w:val="00160861"/>
    <w:rsid w:val="001608B9"/>
    <w:rsid w:val="00160A01"/>
    <w:rsid w:val="00160B58"/>
    <w:rsid w:val="00160CAD"/>
    <w:rsid w:val="001615FE"/>
    <w:rsid w:val="001617EC"/>
    <w:rsid w:val="00161B31"/>
    <w:rsid w:val="001620C7"/>
    <w:rsid w:val="001621AA"/>
    <w:rsid w:val="001621B2"/>
    <w:rsid w:val="00162359"/>
    <w:rsid w:val="00162859"/>
    <w:rsid w:val="00162E18"/>
    <w:rsid w:val="00162E9A"/>
    <w:rsid w:val="001635EC"/>
    <w:rsid w:val="00163A34"/>
    <w:rsid w:val="00163AF5"/>
    <w:rsid w:val="00163C4C"/>
    <w:rsid w:val="00164A32"/>
    <w:rsid w:val="001651F3"/>
    <w:rsid w:val="00165770"/>
    <w:rsid w:val="00165832"/>
    <w:rsid w:val="00166155"/>
    <w:rsid w:val="001662B6"/>
    <w:rsid w:val="001663B5"/>
    <w:rsid w:val="00166459"/>
    <w:rsid w:val="001666A4"/>
    <w:rsid w:val="00167839"/>
    <w:rsid w:val="0017007D"/>
    <w:rsid w:val="00170181"/>
    <w:rsid w:val="001705E5"/>
    <w:rsid w:val="0017063F"/>
    <w:rsid w:val="001707FA"/>
    <w:rsid w:val="0017098F"/>
    <w:rsid w:val="00170B3B"/>
    <w:rsid w:val="00170CA0"/>
    <w:rsid w:val="00170E6F"/>
    <w:rsid w:val="0017117A"/>
    <w:rsid w:val="00171E9E"/>
    <w:rsid w:val="001721E7"/>
    <w:rsid w:val="0017230F"/>
    <w:rsid w:val="00172742"/>
    <w:rsid w:val="00172959"/>
    <w:rsid w:val="00172A27"/>
    <w:rsid w:val="0017330B"/>
    <w:rsid w:val="001736FA"/>
    <w:rsid w:val="00173739"/>
    <w:rsid w:val="001737D9"/>
    <w:rsid w:val="00173EA0"/>
    <w:rsid w:val="0017446B"/>
    <w:rsid w:val="001747F3"/>
    <w:rsid w:val="00174921"/>
    <w:rsid w:val="00174971"/>
    <w:rsid w:val="00174FF0"/>
    <w:rsid w:val="00175118"/>
    <w:rsid w:val="00175FAB"/>
    <w:rsid w:val="00176D7D"/>
    <w:rsid w:val="00176EAE"/>
    <w:rsid w:val="00177137"/>
    <w:rsid w:val="0017718C"/>
    <w:rsid w:val="001771D9"/>
    <w:rsid w:val="00177C81"/>
    <w:rsid w:val="00177F39"/>
    <w:rsid w:val="001808F5"/>
    <w:rsid w:val="0018097B"/>
    <w:rsid w:val="00180BEC"/>
    <w:rsid w:val="00181492"/>
    <w:rsid w:val="00181686"/>
    <w:rsid w:val="001817C6"/>
    <w:rsid w:val="00181CCB"/>
    <w:rsid w:val="00182C8C"/>
    <w:rsid w:val="001833A4"/>
    <w:rsid w:val="00183684"/>
    <w:rsid w:val="00184A2A"/>
    <w:rsid w:val="00184BEB"/>
    <w:rsid w:val="00185032"/>
    <w:rsid w:val="00185033"/>
    <w:rsid w:val="00185386"/>
    <w:rsid w:val="00186411"/>
    <w:rsid w:val="001866AD"/>
    <w:rsid w:val="00186811"/>
    <w:rsid w:val="001868B5"/>
    <w:rsid w:val="00186E74"/>
    <w:rsid w:val="0018702C"/>
    <w:rsid w:val="00187480"/>
    <w:rsid w:val="001875C3"/>
    <w:rsid w:val="001902E5"/>
    <w:rsid w:val="00190512"/>
    <w:rsid w:val="0019071A"/>
    <w:rsid w:val="00190CE4"/>
    <w:rsid w:val="00190DDB"/>
    <w:rsid w:val="001910FC"/>
    <w:rsid w:val="0019110D"/>
    <w:rsid w:val="00191864"/>
    <w:rsid w:val="001919DB"/>
    <w:rsid w:val="00191F00"/>
    <w:rsid w:val="00192ADD"/>
    <w:rsid w:val="00192B48"/>
    <w:rsid w:val="00192B99"/>
    <w:rsid w:val="00193132"/>
    <w:rsid w:val="00193515"/>
    <w:rsid w:val="00193724"/>
    <w:rsid w:val="0019382E"/>
    <w:rsid w:val="00193CFA"/>
    <w:rsid w:val="00194E64"/>
    <w:rsid w:val="00194E66"/>
    <w:rsid w:val="00195BEF"/>
    <w:rsid w:val="00195C72"/>
    <w:rsid w:val="0019621C"/>
    <w:rsid w:val="00196285"/>
    <w:rsid w:val="001963CF"/>
    <w:rsid w:val="00196416"/>
    <w:rsid w:val="00196CD1"/>
    <w:rsid w:val="00197043"/>
    <w:rsid w:val="001974B2"/>
    <w:rsid w:val="00197505"/>
    <w:rsid w:val="00197A36"/>
    <w:rsid w:val="00197E77"/>
    <w:rsid w:val="001A0A68"/>
    <w:rsid w:val="001A0E4C"/>
    <w:rsid w:val="001A1013"/>
    <w:rsid w:val="001A119D"/>
    <w:rsid w:val="001A162C"/>
    <w:rsid w:val="001A1766"/>
    <w:rsid w:val="001A1F39"/>
    <w:rsid w:val="001A2098"/>
    <w:rsid w:val="001A23E1"/>
    <w:rsid w:val="001A26C8"/>
    <w:rsid w:val="001A2962"/>
    <w:rsid w:val="001A2CC7"/>
    <w:rsid w:val="001A3A53"/>
    <w:rsid w:val="001A3A93"/>
    <w:rsid w:val="001A3AEF"/>
    <w:rsid w:val="001A3FAA"/>
    <w:rsid w:val="001A493C"/>
    <w:rsid w:val="001A50C7"/>
    <w:rsid w:val="001A55F6"/>
    <w:rsid w:val="001A5CE4"/>
    <w:rsid w:val="001A61BB"/>
    <w:rsid w:val="001A6604"/>
    <w:rsid w:val="001A69BB"/>
    <w:rsid w:val="001A6B69"/>
    <w:rsid w:val="001A6C13"/>
    <w:rsid w:val="001A72AD"/>
    <w:rsid w:val="001A750D"/>
    <w:rsid w:val="001A7E59"/>
    <w:rsid w:val="001B02A1"/>
    <w:rsid w:val="001B036E"/>
    <w:rsid w:val="001B046F"/>
    <w:rsid w:val="001B0531"/>
    <w:rsid w:val="001B073E"/>
    <w:rsid w:val="001B0764"/>
    <w:rsid w:val="001B07BA"/>
    <w:rsid w:val="001B0E49"/>
    <w:rsid w:val="001B0E82"/>
    <w:rsid w:val="001B1199"/>
    <w:rsid w:val="001B134E"/>
    <w:rsid w:val="001B1AA9"/>
    <w:rsid w:val="001B2010"/>
    <w:rsid w:val="001B2025"/>
    <w:rsid w:val="001B204A"/>
    <w:rsid w:val="001B2132"/>
    <w:rsid w:val="001B22C7"/>
    <w:rsid w:val="001B2424"/>
    <w:rsid w:val="001B2986"/>
    <w:rsid w:val="001B29D5"/>
    <w:rsid w:val="001B2B27"/>
    <w:rsid w:val="001B2F2C"/>
    <w:rsid w:val="001B321D"/>
    <w:rsid w:val="001B32C6"/>
    <w:rsid w:val="001B34EE"/>
    <w:rsid w:val="001B3510"/>
    <w:rsid w:val="001B37F5"/>
    <w:rsid w:val="001B4326"/>
    <w:rsid w:val="001B49CB"/>
    <w:rsid w:val="001B4D10"/>
    <w:rsid w:val="001B5194"/>
    <w:rsid w:val="001B52E2"/>
    <w:rsid w:val="001B53A9"/>
    <w:rsid w:val="001B5745"/>
    <w:rsid w:val="001B57AC"/>
    <w:rsid w:val="001B674A"/>
    <w:rsid w:val="001B6E39"/>
    <w:rsid w:val="001B6E60"/>
    <w:rsid w:val="001B6E90"/>
    <w:rsid w:val="001B71D5"/>
    <w:rsid w:val="001B7FBB"/>
    <w:rsid w:val="001C00B8"/>
    <w:rsid w:val="001C0F8C"/>
    <w:rsid w:val="001C12D0"/>
    <w:rsid w:val="001C150B"/>
    <w:rsid w:val="001C1756"/>
    <w:rsid w:val="001C19DB"/>
    <w:rsid w:val="001C1D64"/>
    <w:rsid w:val="001C1DD5"/>
    <w:rsid w:val="001C2B4A"/>
    <w:rsid w:val="001C2BB8"/>
    <w:rsid w:val="001C2D59"/>
    <w:rsid w:val="001C34F1"/>
    <w:rsid w:val="001C36F0"/>
    <w:rsid w:val="001C3892"/>
    <w:rsid w:val="001C3D12"/>
    <w:rsid w:val="001C3E62"/>
    <w:rsid w:val="001C40ED"/>
    <w:rsid w:val="001C447E"/>
    <w:rsid w:val="001C4D56"/>
    <w:rsid w:val="001C50D7"/>
    <w:rsid w:val="001C5554"/>
    <w:rsid w:val="001C5609"/>
    <w:rsid w:val="001C572D"/>
    <w:rsid w:val="001C5851"/>
    <w:rsid w:val="001C5A35"/>
    <w:rsid w:val="001C5B1E"/>
    <w:rsid w:val="001C5CB6"/>
    <w:rsid w:val="001C620F"/>
    <w:rsid w:val="001C62B2"/>
    <w:rsid w:val="001C632C"/>
    <w:rsid w:val="001C6FEE"/>
    <w:rsid w:val="001C701F"/>
    <w:rsid w:val="001C7150"/>
    <w:rsid w:val="001C72B6"/>
    <w:rsid w:val="001C72C5"/>
    <w:rsid w:val="001C745C"/>
    <w:rsid w:val="001C750F"/>
    <w:rsid w:val="001C77CF"/>
    <w:rsid w:val="001C77E0"/>
    <w:rsid w:val="001C7893"/>
    <w:rsid w:val="001C78AD"/>
    <w:rsid w:val="001C79B7"/>
    <w:rsid w:val="001C7D11"/>
    <w:rsid w:val="001D027B"/>
    <w:rsid w:val="001D0660"/>
    <w:rsid w:val="001D0774"/>
    <w:rsid w:val="001D0FDA"/>
    <w:rsid w:val="001D1074"/>
    <w:rsid w:val="001D1442"/>
    <w:rsid w:val="001D17FB"/>
    <w:rsid w:val="001D1A40"/>
    <w:rsid w:val="001D1BD9"/>
    <w:rsid w:val="001D1D24"/>
    <w:rsid w:val="001D28E2"/>
    <w:rsid w:val="001D3407"/>
    <w:rsid w:val="001D3E53"/>
    <w:rsid w:val="001D4CDA"/>
    <w:rsid w:val="001D5BCB"/>
    <w:rsid w:val="001D5EEB"/>
    <w:rsid w:val="001D62D2"/>
    <w:rsid w:val="001D6933"/>
    <w:rsid w:val="001D6B58"/>
    <w:rsid w:val="001D6F26"/>
    <w:rsid w:val="001D6FBD"/>
    <w:rsid w:val="001D7302"/>
    <w:rsid w:val="001D74BE"/>
    <w:rsid w:val="001D7AFD"/>
    <w:rsid w:val="001D7C35"/>
    <w:rsid w:val="001D7D22"/>
    <w:rsid w:val="001E0862"/>
    <w:rsid w:val="001E0CAB"/>
    <w:rsid w:val="001E0E2E"/>
    <w:rsid w:val="001E148F"/>
    <w:rsid w:val="001E17F6"/>
    <w:rsid w:val="001E1905"/>
    <w:rsid w:val="001E1A98"/>
    <w:rsid w:val="001E1AC8"/>
    <w:rsid w:val="001E1B96"/>
    <w:rsid w:val="001E23BF"/>
    <w:rsid w:val="001E275B"/>
    <w:rsid w:val="001E2DE6"/>
    <w:rsid w:val="001E3609"/>
    <w:rsid w:val="001E3693"/>
    <w:rsid w:val="001E3A6C"/>
    <w:rsid w:val="001E43AB"/>
    <w:rsid w:val="001E5AC5"/>
    <w:rsid w:val="001E61B6"/>
    <w:rsid w:val="001E6542"/>
    <w:rsid w:val="001E696A"/>
    <w:rsid w:val="001E6BF5"/>
    <w:rsid w:val="001E6C0B"/>
    <w:rsid w:val="001E6C44"/>
    <w:rsid w:val="001E6CD7"/>
    <w:rsid w:val="001E6D2F"/>
    <w:rsid w:val="001E7074"/>
    <w:rsid w:val="001E781B"/>
    <w:rsid w:val="001E7AD7"/>
    <w:rsid w:val="001E7E7A"/>
    <w:rsid w:val="001F07EB"/>
    <w:rsid w:val="001F0889"/>
    <w:rsid w:val="001F1412"/>
    <w:rsid w:val="001F1440"/>
    <w:rsid w:val="001F1572"/>
    <w:rsid w:val="001F15E1"/>
    <w:rsid w:val="001F1853"/>
    <w:rsid w:val="001F1C8F"/>
    <w:rsid w:val="001F206D"/>
    <w:rsid w:val="001F23D2"/>
    <w:rsid w:val="001F268D"/>
    <w:rsid w:val="001F2DD3"/>
    <w:rsid w:val="001F3A64"/>
    <w:rsid w:val="001F3AAC"/>
    <w:rsid w:val="001F3AD9"/>
    <w:rsid w:val="001F3B7F"/>
    <w:rsid w:val="001F4126"/>
    <w:rsid w:val="001F42FF"/>
    <w:rsid w:val="001F46E0"/>
    <w:rsid w:val="001F4851"/>
    <w:rsid w:val="001F487D"/>
    <w:rsid w:val="001F5603"/>
    <w:rsid w:val="001F5617"/>
    <w:rsid w:val="001F5898"/>
    <w:rsid w:val="001F5AA1"/>
    <w:rsid w:val="001F5C11"/>
    <w:rsid w:val="001F632C"/>
    <w:rsid w:val="001F662E"/>
    <w:rsid w:val="001F688B"/>
    <w:rsid w:val="001F6895"/>
    <w:rsid w:val="001F70CB"/>
    <w:rsid w:val="001F732F"/>
    <w:rsid w:val="001F7340"/>
    <w:rsid w:val="001F7A4D"/>
    <w:rsid w:val="001F7B42"/>
    <w:rsid w:val="001F7F8D"/>
    <w:rsid w:val="002000E2"/>
    <w:rsid w:val="00200316"/>
    <w:rsid w:val="0020050E"/>
    <w:rsid w:val="002007BA"/>
    <w:rsid w:val="00200FD9"/>
    <w:rsid w:val="0020106B"/>
    <w:rsid w:val="0020133D"/>
    <w:rsid w:val="0020161D"/>
    <w:rsid w:val="0020195A"/>
    <w:rsid w:val="00201CBD"/>
    <w:rsid w:val="00202094"/>
    <w:rsid w:val="002023AB"/>
    <w:rsid w:val="00202413"/>
    <w:rsid w:val="00202834"/>
    <w:rsid w:val="00202B3D"/>
    <w:rsid w:val="0020321A"/>
    <w:rsid w:val="00203436"/>
    <w:rsid w:val="002034CB"/>
    <w:rsid w:val="00203DD7"/>
    <w:rsid w:val="00204A14"/>
    <w:rsid w:val="00204C89"/>
    <w:rsid w:val="002052B7"/>
    <w:rsid w:val="002058D2"/>
    <w:rsid w:val="00206225"/>
    <w:rsid w:val="00206AFB"/>
    <w:rsid w:val="00206FE8"/>
    <w:rsid w:val="00207194"/>
    <w:rsid w:val="002071B0"/>
    <w:rsid w:val="002071C3"/>
    <w:rsid w:val="00207579"/>
    <w:rsid w:val="00207630"/>
    <w:rsid w:val="00207A1E"/>
    <w:rsid w:val="00207A7B"/>
    <w:rsid w:val="00207C8F"/>
    <w:rsid w:val="0021125C"/>
    <w:rsid w:val="002114BA"/>
    <w:rsid w:val="002115B3"/>
    <w:rsid w:val="002119D2"/>
    <w:rsid w:val="00211C13"/>
    <w:rsid w:val="00211E61"/>
    <w:rsid w:val="00212068"/>
    <w:rsid w:val="00212274"/>
    <w:rsid w:val="00212626"/>
    <w:rsid w:val="00212BB8"/>
    <w:rsid w:val="00212C91"/>
    <w:rsid w:val="00212D38"/>
    <w:rsid w:val="002134BE"/>
    <w:rsid w:val="002138FE"/>
    <w:rsid w:val="00214147"/>
    <w:rsid w:val="00214560"/>
    <w:rsid w:val="002146EB"/>
    <w:rsid w:val="00214721"/>
    <w:rsid w:val="00214CC2"/>
    <w:rsid w:val="00214CEE"/>
    <w:rsid w:val="00214EDE"/>
    <w:rsid w:val="002151A5"/>
    <w:rsid w:val="00215408"/>
    <w:rsid w:val="0021623D"/>
    <w:rsid w:val="002162EB"/>
    <w:rsid w:val="0021654C"/>
    <w:rsid w:val="00216AEA"/>
    <w:rsid w:val="00216DFB"/>
    <w:rsid w:val="002175D2"/>
    <w:rsid w:val="00217AE5"/>
    <w:rsid w:val="00217CA7"/>
    <w:rsid w:val="00217EAE"/>
    <w:rsid w:val="00220C40"/>
    <w:rsid w:val="00220E32"/>
    <w:rsid w:val="00221495"/>
    <w:rsid w:val="00221888"/>
    <w:rsid w:val="00221C7B"/>
    <w:rsid w:val="00221D34"/>
    <w:rsid w:val="002222A5"/>
    <w:rsid w:val="002226B7"/>
    <w:rsid w:val="00222708"/>
    <w:rsid w:val="0022271B"/>
    <w:rsid w:val="00222ACA"/>
    <w:rsid w:val="00224120"/>
    <w:rsid w:val="00224EA0"/>
    <w:rsid w:val="0022544C"/>
    <w:rsid w:val="00225967"/>
    <w:rsid w:val="00225B4E"/>
    <w:rsid w:val="00225F7A"/>
    <w:rsid w:val="00226017"/>
    <w:rsid w:val="002261F8"/>
    <w:rsid w:val="0022637B"/>
    <w:rsid w:val="00226478"/>
    <w:rsid w:val="00226740"/>
    <w:rsid w:val="00226C2F"/>
    <w:rsid w:val="002278CE"/>
    <w:rsid w:val="00227D59"/>
    <w:rsid w:val="00227D80"/>
    <w:rsid w:val="00230663"/>
    <w:rsid w:val="002310A1"/>
    <w:rsid w:val="002314C2"/>
    <w:rsid w:val="0023172F"/>
    <w:rsid w:val="002319D5"/>
    <w:rsid w:val="00231A56"/>
    <w:rsid w:val="002323E8"/>
    <w:rsid w:val="00232531"/>
    <w:rsid w:val="002325AE"/>
    <w:rsid w:val="002326BF"/>
    <w:rsid w:val="002326F2"/>
    <w:rsid w:val="00232E5D"/>
    <w:rsid w:val="00232EBF"/>
    <w:rsid w:val="0023402E"/>
    <w:rsid w:val="00234641"/>
    <w:rsid w:val="00234B01"/>
    <w:rsid w:val="00235471"/>
    <w:rsid w:val="002359C3"/>
    <w:rsid w:val="00235F89"/>
    <w:rsid w:val="00236F91"/>
    <w:rsid w:val="002370A9"/>
    <w:rsid w:val="002370CB"/>
    <w:rsid w:val="0023757B"/>
    <w:rsid w:val="002378E0"/>
    <w:rsid w:val="00237E72"/>
    <w:rsid w:val="00237EDA"/>
    <w:rsid w:val="0024074A"/>
    <w:rsid w:val="0024096E"/>
    <w:rsid w:val="00240C16"/>
    <w:rsid w:val="00240C2D"/>
    <w:rsid w:val="00241233"/>
    <w:rsid w:val="00241A5C"/>
    <w:rsid w:val="0024232F"/>
    <w:rsid w:val="00242CF6"/>
    <w:rsid w:val="00242D39"/>
    <w:rsid w:val="002438D4"/>
    <w:rsid w:val="00243931"/>
    <w:rsid w:val="002439A1"/>
    <w:rsid w:val="00243A78"/>
    <w:rsid w:val="00243BBE"/>
    <w:rsid w:val="00243F0E"/>
    <w:rsid w:val="00244156"/>
    <w:rsid w:val="002441BE"/>
    <w:rsid w:val="0024486A"/>
    <w:rsid w:val="00244919"/>
    <w:rsid w:val="00244FF6"/>
    <w:rsid w:val="00246B1C"/>
    <w:rsid w:val="00246DD9"/>
    <w:rsid w:val="002473EC"/>
    <w:rsid w:val="00247D80"/>
    <w:rsid w:val="002505D8"/>
    <w:rsid w:val="002507F2"/>
    <w:rsid w:val="00250C5F"/>
    <w:rsid w:val="00250C9E"/>
    <w:rsid w:val="002516AD"/>
    <w:rsid w:val="00251784"/>
    <w:rsid w:val="002517A2"/>
    <w:rsid w:val="00251BA7"/>
    <w:rsid w:val="00251E7B"/>
    <w:rsid w:val="00252844"/>
    <w:rsid w:val="00252860"/>
    <w:rsid w:val="002528CC"/>
    <w:rsid w:val="00252B9F"/>
    <w:rsid w:val="00252F05"/>
    <w:rsid w:val="00253CD8"/>
    <w:rsid w:val="0025401D"/>
    <w:rsid w:val="00254046"/>
    <w:rsid w:val="002540FA"/>
    <w:rsid w:val="002544BE"/>
    <w:rsid w:val="0025461F"/>
    <w:rsid w:val="0025467E"/>
    <w:rsid w:val="002549A9"/>
    <w:rsid w:val="00255C8E"/>
    <w:rsid w:val="002567EF"/>
    <w:rsid w:val="0025697C"/>
    <w:rsid w:val="00260586"/>
    <w:rsid w:val="0026067E"/>
    <w:rsid w:val="00260905"/>
    <w:rsid w:val="00260CB0"/>
    <w:rsid w:val="00260F57"/>
    <w:rsid w:val="00261358"/>
    <w:rsid w:val="00261387"/>
    <w:rsid w:val="002613B3"/>
    <w:rsid w:val="00261729"/>
    <w:rsid w:val="00261D25"/>
    <w:rsid w:val="0026253E"/>
    <w:rsid w:val="002628DB"/>
    <w:rsid w:val="00262942"/>
    <w:rsid w:val="002630EF"/>
    <w:rsid w:val="0026326B"/>
    <w:rsid w:val="002634AF"/>
    <w:rsid w:val="00263FD7"/>
    <w:rsid w:val="002644C8"/>
    <w:rsid w:val="00264C23"/>
    <w:rsid w:val="00264D09"/>
    <w:rsid w:val="00264E80"/>
    <w:rsid w:val="00264EBD"/>
    <w:rsid w:val="0026510C"/>
    <w:rsid w:val="002652D5"/>
    <w:rsid w:val="00265323"/>
    <w:rsid w:val="00265494"/>
    <w:rsid w:val="00265884"/>
    <w:rsid w:val="002664C0"/>
    <w:rsid w:val="00266A44"/>
    <w:rsid w:val="00266B2C"/>
    <w:rsid w:val="00267180"/>
    <w:rsid w:val="0027183F"/>
    <w:rsid w:val="002719D6"/>
    <w:rsid w:val="00271EE0"/>
    <w:rsid w:val="00273044"/>
    <w:rsid w:val="0027333E"/>
    <w:rsid w:val="0027351A"/>
    <w:rsid w:val="002735AA"/>
    <w:rsid w:val="0027381A"/>
    <w:rsid w:val="00274402"/>
    <w:rsid w:val="002748B6"/>
    <w:rsid w:val="002752EB"/>
    <w:rsid w:val="002753F4"/>
    <w:rsid w:val="00275602"/>
    <w:rsid w:val="00275CD6"/>
    <w:rsid w:val="00275DBE"/>
    <w:rsid w:val="0027615F"/>
    <w:rsid w:val="00276424"/>
    <w:rsid w:val="0027652D"/>
    <w:rsid w:val="002767D7"/>
    <w:rsid w:val="002768D8"/>
    <w:rsid w:val="00276997"/>
    <w:rsid w:val="00276DA0"/>
    <w:rsid w:val="00277B93"/>
    <w:rsid w:val="00277C7D"/>
    <w:rsid w:val="00277F33"/>
    <w:rsid w:val="0028077D"/>
    <w:rsid w:val="0028097E"/>
    <w:rsid w:val="00280EB0"/>
    <w:rsid w:val="002814A0"/>
    <w:rsid w:val="002816E1"/>
    <w:rsid w:val="00281DD3"/>
    <w:rsid w:val="00281F76"/>
    <w:rsid w:val="00282E30"/>
    <w:rsid w:val="00283710"/>
    <w:rsid w:val="00284215"/>
    <w:rsid w:val="0028443A"/>
    <w:rsid w:val="002846FC"/>
    <w:rsid w:val="0028473D"/>
    <w:rsid w:val="0028488D"/>
    <w:rsid w:val="00284AEE"/>
    <w:rsid w:val="00284C41"/>
    <w:rsid w:val="00285367"/>
    <w:rsid w:val="00285402"/>
    <w:rsid w:val="0028552C"/>
    <w:rsid w:val="002858A4"/>
    <w:rsid w:val="00285C28"/>
    <w:rsid w:val="00285FD5"/>
    <w:rsid w:val="002866FC"/>
    <w:rsid w:val="00286E15"/>
    <w:rsid w:val="002870F8"/>
    <w:rsid w:val="0028781E"/>
    <w:rsid w:val="0028783C"/>
    <w:rsid w:val="00287C4D"/>
    <w:rsid w:val="00287E84"/>
    <w:rsid w:val="00287EAE"/>
    <w:rsid w:val="0029038F"/>
    <w:rsid w:val="002903F9"/>
    <w:rsid w:val="00290E68"/>
    <w:rsid w:val="00290FAB"/>
    <w:rsid w:val="00291373"/>
    <w:rsid w:val="00291377"/>
    <w:rsid w:val="002914F9"/>
    <w:rsid w:val="00291921"/>
    <w:rsid w:val="00291B3C"/>
    <w:rsid w:val="00291DB8"/>
    <w:rsid w:val="00292008"/>
    <w:rsid w:val="002920EB"/>
    <w:rsid w:val="002922EE"/>
    <w:rsid w:val="00292306"/>
    <w:rsid w:val="002925B2"/>
    <w:rsid w:val="00293396"/>
    <w:rsid w:val="0029345E"/>
    <w:rsid w:val="00293BF7"/>
    <w:rsid w:val="00293D04"/>
    <w:rsid w:val="00293F3A"/>
    <w:rsid w:val="002941BC"/>
    <w:rsid w:val="002946F6"/>
    <w:rsid w:val="002948FA"/>
    <w:rsid w:val="00294A58"/>
    <w:rsid w:val="00294D40"/>
    <w:rsid w:val="00294D8B"/>
    <w:rsid w:val="00294DA6"/>
    <w:rsid w:val="00295178"/>
    <w:rsid w:val="00295649"/>
    <w:rsid w:val="00295A96"/>
    <w:rsid w:val="00295B3B"/>
    <w:rsid w:val="00295C59"/>
    <w:rsid w:val="00295DBE"/>
    <w:rsid w:val="0029656E"/>
    <w:rsid w:val="00296C8E"/>
    <w:rsid w:val="00297341"/>
    <w:rsid w:val="002A056E"/>
    <w:rsid w:val="002A0A25"/>
    <w:rsid w:val="002A0B6A"/>
    <w:rsid w:val="002A101D"/>
    <w:rsid w:val="002A1103"/>
    <w:rsid w:val="002A1427"/>
    <w:rsid w:val="002A16D5"/>
    <w:rsid w:val="002A196E"/>
    <w:rsid w:val="002A19C5"/>
    <w:rsid w:val="002A1D3B"/>
    <w:rsid w:val="002A2251"/>
    <w:rsid w:val="002A2310"/>
    <w:rsid w:val="002A23C3"/>
    <w:rsid w:val="002A25A4"/>
    <w:rsid w:val="002A2A0E"/>
    <w:rsid w:val="002A3B29"/>
    <w:rsid w:val="002A3BA2"/>
    <w:rsid w:val="002A3C91"/>
    <w:rsid w:val="002A4403"/>
    <w:rsid w:val="002A5524"/>
    <w:rsid w:val="002A610A"/>
    <w:rsid w:val="002A642D"/>
    <w:rsid w:val="002A677F"/>
    <w:rsid w:val="002A685E"/>
    <w:rsid w:val="002A6992"/>
    <w:rsid w:val="002A6A6B"/>
    <w:rsid w:val="002A6AD3"/>
    <w:rsid w:val="002A6B66"/>
    <w:rsid w:val="002A6CE9"/>
    <w:rsid w:val="002A725F"/>
    <w:rsid w:val="002A7DF1"/>
    <w:rsid w:val="002B00FA"/>
    <w:rsid w:val="002B0238"/>
    <w:rsid w:val="002B04A2"/>
    <w:rsid w:val="002B055D"/>
    <w:rsid w:val="002B08D1"/>
    <w:rsid w:val="002B0D00"/>
    <w:rsid w:val="002B10E6"/>
    <w:rsid w:val="002B11EA"/>
    <w:rsid w:val="002B1331"/>
    <w:rsid w:val="002B15CE"/>
    <w:rsid w:val="002B1778"/>
    <w:rsid w:val="002B1797"/>
    <w:rsid w:val="002B1B61"/>
    <w:rsid w:val="002B1BFE"/>
    <w:rsid w:val="002B1C74"/>
    <w:rsid w:val="002B252B"/>
    <w:rsid w:val="002B2551"/>
    <w:rsid w:val="002B2940"/>
    <w:rsid w:val="002B2CAE"/>
    <w:rsid w:val="002B2D94"/>
    <w:rsid w:val="002B300C"/>
    <w:rsid w:val="002B347B"/>
    <w:rsid w:val="002B36A1"/>
    <w:rsid w:val="002B3DC0"/>
    <w:rsid w:val="002B3DC9"/>
    <w:rsid w:val="002B4429"/>
    <w:rsid w:val="002B4887"/>
    <w:rsid w:val="002B4889"/>
    <w:rsid w:val="002B4E58"/>
    <w:rsid w:val="002B52D5"/>
    <w:rsid w:val="002B5450"/>
    <w:rsid w:val="002B54B1"/>
    <w:rsid w:val="002B587F"/>
    <w:rsid w:val="002B594C"/>
    <w:rsid w:val="002B5A3E"/>
    <w:rsid w:val="002B5D0A"/>
    <w:rsid w:val="002B5EDB"/>
    <w:rsid w:val="002B601F"/>
    <w:rsid w:val="002B6695"/>
    <w:rsid w:val="002B689A"/>
    <w:rsid w:val="002B6C1E"/>
    <w:rsid w:val="002B6D48"/>
    <w:rsid w:val="002B6F57"/>
    <w:rsid w:val="002B711D"/>
    <w:rsid w:val="002B71DB"/>
    <w:rsid w:val="002B7851"/>
    <w:rsid w:val="002B7A9E"/>
    <w:rsid w:val="002C00D6"/>
    <w:rsid w:val="002C050A"/>
    <w:rsid w:val="002C1042"/>
    <w:rsid w:val="002C13B0"/>
    <w:rsid w:val="002C18AF"/>
    <w:rsid w:val="002C279E"/>
    <w:rsid w:val="002C37F6"/>
    <w:rsid w:val="002C432F"/>
    <w:rsid w:val="002C438F"/>
    <w:rsid w:val="002C4581"/>
    <w:rsid w:val="002C464E"/>
    <w:rsid w:val="002C477C"/>
    <w:rsid w:val="002C49A1"/>
    <w:rsid w:val="002C4A63"/>
    <w:rsid w:val="002C500B"/>
    <w:rsid w:val="002C520F"/>
    <w:rsid w:val="002C5E6D"/>
    <w:rsid w:val="002C605A"/>
    <w:rsid w:val="002C6330"/>
    <w:rsid w:val="002C657F"/>
    <w:rsid w:val="002C6E6B"/>
    <w:rsid w:val="002C701B"/>
    <w:rsid w:val="002C70DC"/>
    <w:rsid w:val="002C7247"/>
    <w:rsid w:val="002C7464"/>
    <w:rsid w:val="002C7E9F"/>
    <w:rsid w:val="002D012C"/>
    <w:rsid w:val="002D03D5"/>
    <w:rsid w:val="002D0694"/>
    <w:rsid w:val="002D076C"/>
    <w:rsid w:val="002D097F"/>
    <w:rsid w:val="002D0E6F"/>
    <w:rsid w:val="002D126D"/>
    <w:rsid w:val="002D1B49"/>
    <w:rsid w:val="002D21F9"/>
    <w:rsid w:val="002D2CB8"/>
    <w:rsid w:val="002D2E7E"/>
    <w:rsid w:val="002D2EC2"/>
    <w:rsid w:val="002D308D"/>
    <w:rsid w:val="002D33A6"/>
    <w:rsid w:val="002D3472"/>
    <w:rsid w:val="002D349F"/>
    <w:rsid w:val="002D3C82"/>
    <w:rsid w:val="002D408A"/>
    <w:rsid w:val="002D40E3"/>
    <w:rsid w:val="002D467A"/>
    <w:rsid w:val="002D4801"/>
    <w:rsid w:val="002D492C"/>
    <w:rsid w:val="002D4965"/>
    <w:rsid w:val="002D4A59"/>
    <w:rsid w:val="002D4BD0"/>
    <w:rsid w:val="002D4DDC"/>
    <w:rsid w:val="002D4ECA"/>
    <w:rsid w:val="002D4F40"/>
    <w:rsid w:val="002D51D8"/>
    <w:rsid w:val="002D55C2"/>
    <w:rsid w:val="002D5987"/>
    <w:rsid w:val="002D64ED"/>
    <w:rsid w:val="002D66CF"/>
    <w:rsid w:val="002D6847"/>
    <w:rsid w:val="002D6CAE"/>
    <w:rsid w:val="002D752F"/>
    <w:rsid w:val="002D7D7C"/>
    <w:rsid w:val="002E003A"/>
    <w:rsid w:val="002E00C5"/>
    <w:rsid w:val="002E022B"/>
    <w:rsid w:val="002E0292"/>
    <w:rsid w:val="002E04C9"/>
    <w:rsid w:val="002E0C86"/>
    <w:rsid w:val="002E0DA4"/>
    <w:rsid w:val="002E120D"/>
    <w:rsid w:val="002E161B"/>
    <w:rsid w:val="002E16F8"/>
    <w:rsid w:val="002E18D9"/>
    <w:rsid w:val="002E1BA9"/>
    <w:rsid w:val="002E1BB9"/>
    <w:rsid w:val="002E1D6A"/>
    <w:rsid w:val="002E30DE"/>
    <w:rsid w:val="002E396E"/>
    <w:rsid w:val="002E4CE4"/>
    <w:rsid w:val="002E54DC"/>
    <w:rsid w:val="002E584D"/>
    <w:rsid w:val="002E594A"/>
    <w:rsid w:val="002E5BE6"/>
    <w:rsid w:val="002E5E7C"/>
    <w:rsid w:val="002E5FF5"/>
    <w:rsid w:val="002E626C"/>
    <w:rsid w:val="002E6298"/>
    <w:rsid w:val="002E6519"/>
    <w:rsid w:val="002E6C8D"/>
    <w:rsid w:val="002E73E8"/>
    <w:rsid w:val="002E7BF3"/>
    <w:rsid w:val="002E7CAA"/>
    <w:rsid w:val="002E7D12"/>
    <w:rsid w:val="002F03F7"/>
    <w:rsid w:val="002F040E"/>
    <w:rsid w:val="002F04FE"/>
    <w:rsid w:val="002F0582"/>
    <w:rsid w:val="002F094F"/>
    <w:rsid w:val="002F0C33"/>
    <w:rsid w:val="002F0D77"/>
    <w:rsid w:val="002F103F"/>
    <w:rsid w:val="002F106F"/>
    <w:rsid w:val="002F10FF"/>
    <w:rsid w:val="002F13FB"/>
    <w:rsid w:val="002F148C"/>
    <w:rsid w:val="002F1583"/>
    <w:rsid w:val="002F17B5"/>
    <w:rsid w:val="002F1B52"/>
    <w:rsid w:val="002F1E33"/>
    <w:rsid w:val="002F2007"/>
    <w:rsid w:val="002F22FC"/>
    <w:rsid w:val="002F2B90"/>
    <w:rsid w:val="002F2C73"/>
    <w:rsid w:val="002F338D"/>
    <w:rsid w:val="002F3892"/>
    <w:rsid w:val="002F3AF4"/>
    <w:rsid w:val="002F4122"/>
    <w:rsid w:val="002F45D3"/>
    <w:rsid w:val="002F49EF"/>
    <w:rsid w:val="002F4B84"/>
    <w:rsid w:val="002F4EF1"/>
    <w:rsid w:val="002F558C"/>
    <w:rsid w:val="002F5A67"/>
    <w:rsid w:val="002F6D01"/>
    <w:rsid w:val="002F6F79"/>
    <w:rsid w:val="002F700F"/>
    <w:rsid w:val="002F7096"/>
    <w:rsid w:val="002F72BD"/>
    <w:rsid w:val="002F7800"/>
    <w:rsid w:val="002F7D0F"/>
    <w:rsid w:val="002F7D3C"/>
    <w:rsid w:val="002F7EAD"/>
    <w:rsid w:val="0030007E"/>
    <w:rsid w:val="0030022E"/>
    <w:rsid w:val="003002E1"/>
    <w:rsid w:val="00300ABB"/>
    <w:rsid w:val="0030119A"/>
    <w:rsid w:val="0030121A"/>
    <w:rsid w:val="003014F9"/>
    <w:rsid w:val="00301A92"/>
    <w:rsid w:val="00301A96"/>
    <w:rsid w:val="00301B84"/>
    <w:rsid w:val="00301EF9"/>
    <w:rsid w:val="00301F57"/>
    <w:rsid w:val="0030227A"/>
    <w:rsid w:val="00302447"/>
    <w:rsid w:val="00302DA9"/>
    <w:rsid w:val="00302F2F"/>
    <w:rsid w:val="003035B9"/>
    <w:rsid w:val="003037DF"/>
    <w:rsid w:val="003038BA"/>
    <w:rsid w:val="003039E6"/>
    <w:rsid w:val="00303BD8"/>
    <w:rsid w:val="00303DE0"/>
    <w:rsid w:val="003040F9"/>
    <w:rsid w:val="003049A7"/>
    <w:rsid w:val="00304E68"/>
    <w:rsid w:val="00304EDB"/>
    <w:rsid w:val="0030560A"/>
    <w:rsid w:val="003056FA"/>
    <w:rsid w:val="0030577F"/>
    <w:rsid w:val="00305A47"/>
    <w:rsid w:val="00305DAC"/>
    <w:rsid w:val="0030601F"/>
    <w:rsid w:val="0030613D"/>
    <w:rsid w:val="00306168"/>
    <w:rsid w:val="003061C1"/>
    <w:rsid w:val="0030621D"/>
    <w:rsid w:val="003067E7"/>
    <w:rsid w:val="00306CC1"/>
    <w:rsid w:val="003071E5"/>
    <w:rsid w:val="003071FC"/>
    <w:rsid w:val="003074E3"/>
    <w:rsid w:val="00307877"/>
    <w:rsid w:val="00307D49"/>
    <w:rsid w:val="00307E0A"/>
    <w:rsid w:val="0031002F"/>
    <w:rsid w:val="003100A4"/>
    <w:rsid w:val="00310284"/>
    <w:rsid w:val="0031062E"/>
    <w:rsid w:val="00310AB1"/>
    <w:rsid w:val="00310C8D"/>
    <w:rsid w:val="00310E46"/>
    <w:rsid w:val="00310FB8"/>
    <w:rsid w:val="00310FBC"/>
    <w:rsid w:val="0031189A"/>
    <w:rsid w:val="00311AFB"/>
    <w:rsid w:val="003134C1"/>
    <w:rsid w:val="00313707"/>
    <w:rsid w:val="00313776"/>
    <w:rsid w:val="00313827"/>
    <w:rsid w:val="00313B55"/>
    <w:rsid w:val="00313C0D"/>
    <w:rsid w:val="0031417D"/>
    <w:rsid w:val="003146F7"/>
    <w:rsid w:val="00314C94"/>
    <w:rsid w:val="00314CCE"/>
    <w:rsid w:val="00314CE8"/>
    <w:rsid w:val="003152C8"/>
    <w:rsid w:val="00315648"/>
    <w:rsid w:val="00315F77"/>
    <w:rsid w:val="003167C7"/>
    <w:rsid w:val="00317092"/>
    <w:rsid w:val="00317590"/>
    <w:rsid w:val="003178B6"/>
    <w:rsid w:val="00317A07"/>
    <w:rsid w:val="00317EDF"/>
    <w:rsid w:val="00317EE0"/>
    <w:rsid w:val="00317FCA"/>
    <w:rsid w:val="0032058C"/>
    <w:rsid w:val="00320851"/>
    <w:rsid w:val="00320AEC"/>
    <w:rsid w:val="00321001"/>
    <w:rsid w:val="003212AD"/>
    <w:rsid w:val="00321555"/>
    <w:rsid w:val="00321FBC"/>
    <w:rsid w:val="003220E3"/>
    <w:rsid w:val="00322283"/>
    <w:rsid w:val="003223DB"/>
    <w:rsid w:val="00322680"/>
    <w:rsid w:val="00322D33"/>
    <w:rsid w:val="003235D1"/>
    <w:rsid w:val="00323622"/>
    <w:rsid w:val="00323F4D"/>
    <w:rsid w:val="003248ED"/>
    <w:rsid w:val="0032515A"/>
    <w:rsid w:val="0032528B"/>
    <w:rsid w:val="003254B9"/>
    <w:rsid w:val="003259DB"/>
    <w:rsid w:val="00326543"/>
    <w:rsid w:val="003276EA"/>
    <w:rsid w:val="00327C3B"/>
    <w:rsid w:val="0033068B"/>
    <w:rsid w:val="0033093E"/>
    <w:rsid w:val="00330A21"/>
    <w:rsid w:val="00330C36"/>
    <w:rsid w:val="00331176"/>
    <w:rsid w:val="0033118F"/>
    <w:rsid w:val="00331B2B"/>
    <w:rsid w:val="00331C13"/>
    <w:rsid w:val="00331FD8"/>
    <w:rsid w:val="0033292A"/>
    <w:rsid w:val="0033297B"/>
    <w:rsid w:val="00332D9F"/>
    <w:rsid w:val="0033332B"/>
    <w:rsid w:val="00333BFB"/>
    <w:rsid w:val="003347F7"/>
    <w:rsid w:val="003348A3"/>
    <w:rsid w:val="003348BA"/>
    <w:rsid w:val="00334902"/>
    <w:rsid w:val="00334C18"/>
    <w:rsid w:val="00334DB9"/>
    <w:rsid w:val="00334DC0"/>
    <w:rsid w:val="0033539C"/>
    <w:rsid w:val="003355C1"/>
    <w:rsid w:val="00335631"/>
    <w:rsid w:val="003360B0"/>
    <w:rsid w:val="0033626D"/>
    <w:rsid w:val="00336938"/>
    <w:rsid w:val="00336F1E"/>
    <w:rsid w:val="00337790"/>
    <w:rsid w:val="003377CD"/>
    <w:rsid w:val="00337D4D"/>
    <w:rsid w:val="00337E31"/>
    <w:rsid w:val="00340506"/>
    <w:rsid w:val="00340543"/>
    <w:rsid w:val="00340622"/>
    <w:rsid w:val="00340659"/>
    <w:rsid w:val="003416C5"/>
    <w:rsid w:val="003419AF"/>
    <w:rsid w:val="00342087"/>
    <w:rsid w:val="00342899"/>
    <w:rsid w:val="0034321E"/>
    <w:rsid w:val="003437F7"/>
    <w:rsid w:val="0034382F"/>
    <w:rsid w:val="003438CA"/>
    <w:rsid w:val="00343A60"/>
    <w:rsid w:val="00343F67"/>
    <w:rsid w:val="00344FAF"/>
    <w:rsid w:val="003458D6"/>
    <w:rsid w:val="00345AB4"/>
    <w:rsid w:val="00345B3B"/>
    <w:rsid w:val="00345EBE"/>
    <w:rsid w:val="0034643B"/>
    <w:rsid w:val="00346B13"/>
    <w:rsid w:val="00347266"/>
    <w:rsid w:val="00347614"/>
    <w:rsid w:val="00350C33"/>
    <w:rsid w:val="00351383"/>
    <w:rsid w:val="00352144"/>
    <w:rsid w:val="00352165"/>
    <w:rsid w:val="0035226F"/>
    <w:rsid w:val="0035251A"/>
    <w:rsid w:val="003526FB"/>
    <w:rsid w:val="003529F2"/>
    <w:rsid w:val="00352B55"/>
    <w:rsid w:val="00352F87"/>
    <w:rsid w:val="0035352F"/>
    <w:rsid w:val="00354041"/>
    <w:rsid w:val="00354133"/>
    <w:rsid w:val="003541B7"/>
    <w:rsid w:val="003545AD"/>
    <w:rsid w:val="00354663"/>
    <w:rsid w:val="00354760"/>
    <w:rsid w:val="00354A81"/>
    <w:rsid w:val="00354DE4"/>
    <w:rsid w:val="00354F5A"/>
    <w:rsid w:val="003550B0"/>
    <w:rsid w:val="00355466"/>
    <w:rsid w:val="003556AC"/>
    <w:rsid w:val="00355773"/>
    <w:rsid w:val="00355A76"/>
    <w:rsid w:val="00356082"/>
    <w:rsid w:val="003563B3"/>
    <w:rsid w:val="003564D1"/>
    <w:rsid w:val="00356693"/>
    <w:rsid w:val="00356F60"/>
    <w:rsid w:val="00357AC6"/>
    <w:rsid w:val="00357C89"/>
    <w:rsid w:val="00357E4E"/>
    <w:rsid w:val="00357E73"/>
    <w:rsid w:val="00360282"/>
    <w:rsid w:val="00360766"/>
    <w:rsid w:val="003607AB"/>
    <w:rsid w:val="00360AC2"/>
    <w:rsid w:val="00360E0F"/>
    <w:rsid w:val="00361C8E"/>
    <w:rsid w:val="00362092"/>
    <w:rsid w:val="00362188"/>
    <w:rsid w:val="003621AD"/>
    <w:rsid w:val="00362211"/>
    <w:rsid w:val="0036230D"/>
    <w:rsid w:val="0036262E"/>
    <w:rsid w:val="00362993"/>
    <w:rsid w:val="00362C30"/>
    <w:rsid w:val="00362DE1"/>
    <w:rsid w:val="00362EDB"/>
    <w:rsid w:val="0036300A"/>
    <w:rsid w:val="0036353C"/>
    <w:rsid w:val="00363C13"/>
    <w:rsid w:val="00363DD5"/>
    <w:rsid w:val="0036421E"/>
    <w:rsid w:val="0036434B"/>
    <w:rsid w:val="00364668"/>
    <w:rsid w:val="00364E04"/>
    <w:rsid w:val="00365196"/>
    <w:rsid w:val="003656D1"/>
    <w:rsid w:val="003659E9"/>
    <w:rsid w:val="00365CE6"/>
    <w:rsid w:val="00366433"/>
    <w:rsid w:val="0036670C"/>
    <w:rsid w:val="00366C27"/>
    <w:rsid w:val="00366C3B"/>
    <w:rsid w:val="00367081"/>
    <w:rsid w:val="00367209"/>
    <w:rsid w:val="00367AAE"/>
    <w:rsid w:val="0037016B"/>
    <w:rsid w:val="0037038A"/>
    <w:rsid w:val="00370510"/>
    <w:rsid w:val="00370823"/>
    <w:rsid w:val="00370C6E"/>
    <w:rsid w:val="00370D01"/>
    <w:rsid w:val="00370D0A"/>
    <w:rsid w:val="00370FC8"/>
    <w:rsid w:val="00371063"/>
    <w:rsid w:val="00371124"/>
    <w:rsid w:val="00371BBA"/>
    <w:rsid w:val="003721E4"/>
    <w:rsid w:val="003725C9"/>
    <w:rsid w:val="00372C2C"/>
    <w:rsid w:val="00372E67"/>
    <w:rsid w:val="00373063"/>
    <w:rsid w:val="003730A4"/>
    <w:rsid w:val="00373290"/>
    <w:rsid w:val="003734D1"/>
    <w:rsid w:val="003736CA"/>
    <w:rsid w:val="003738CD"/>
    <w:rsid w:val="00373911"/>
    <w:rsid w:val="00373A31"/>
    <w:rsid w:val="00373C38"/>
    <w:rsid w:val="00373FCA"/>
    <w:rsid w:val="00374260"/>
    <w:rsid w:val="0037466D"/>
    <w:rsid w:val="00374ABB"/>
    <w:rsid w:val="00374DEF"/>
    <w:rsid w:val="00374E71"/>
    <w:rsid w:val="003758B4"/>
    <w:rsid w:val="00375C03"/>
    <w:rsid w:val="00375CC6"/>
    <w:rsid w:val="00375D34"/>
    <w:rsid w:val="00376046"/>
    <w:rsid w:val="003764A5"/>
    <w:rsid w:val="00376E69"/>
    <w:rsid w:val="003770B5"/>
    <w:rsid w:val="0037780B"/>
    <w:rsid w:val="0037785F"/>
    <w:rsid w:val="00377B22"/>
    <w:rsid w:val="00377CB4"/>
    <w:rsid w:val="00380052"/>
    <w:rsid w:val="00380537"/>
    <w:rsid w:val="00380A81"/>
    <w:rsid w:val="00380AC4"/>
    <w:rsid w:val="00380B11"/>
    <w:rsid w:val="00380B28"/>
    <w:rsid w:val="00380F81"/>
    <w:rsid w:val="00380FB0"/>
    <w:rsid w:val="003817C0"/>
    <w:rsid w:val="00381A20"/>
    <w:rsid w:val="00381B9B"/>
    <w:rsid w:val="003825B9"/>
    <w:rsid w:val="0038296C"/>
    <w:rsid w:val="00382B5F"/>
    <w:rsid w:val="00382FD3"/>
    <w:rsid w:val="00383485"/>
    <w:rsid w:val="0038350B"/>
    <w:rsid w:val="00383CC3"/>
    <w:rsid w:val="00384272"/>
    <w:rsid w:val="00384A76"/>
    <w:rsid w:val="00384BE9"/>
    <w:rsid w:val="00384C4B"/>
    <w:rsid w:val="00384D75"/>
    <w:rsid w:val="00384D97"/>
    <w:rsid w:val="00385410"/>
    <w:rsid w:val="00385542"/>
    <w:rsid w:val="0038567A"/>
    <w:rsid w:val="00385913"/>
    <w:rsid w:val="003859FB"/>
    <w:rsid w:val="003860B0"/>
    <w:rsid w:val="003862F4"/>
    <w:rsid w:val="0038691F"/>
    <w:rsid w:val="00386C4D"/>
    <w:rsid w:val="00386C79"/>
    <w:rsid w:val="00387503"/>
    <w:rsid w:val="00387520"/>
    <w:rsid w:val="00387719"/>
    <w:rsid w:val="0038793E"/>
    <w:rsid w:val="00390E6C"/>
    <w:rsid w:val="00390F30"/>
    <w:rsid w:val="0039124D"/>
    <w:rsid w:val="0039172E"/>
    <w:rsid w:val="00391DB7"/>
    <w:rsid w:val="00391DF8"/>
    <w:rsid w:val="00392AA1"/>
    <w:rsid w:val="00392E2B"/>
    <w:rsid w:val="0039309E"/>
    <w:rsid w:val="00393C62"/>
    <w:rsid w:val="00393E58"/>
    <w:rsid w:val="00393FFE"/>
    <w:rsid w:val="0039413E"/>
    <w:rsid w:val="003941C9"/>
    <w:rsid w:val="0039427C"/>
    <w:rsid w:val="003944C7"/>
    <w:rsid w:val="00394574"/>
    <w:rsid w:val="003947CF"/>
    <w:rsid w:val="00394B65"/>
    <w:rsid w:val="00395239"/>
    <w:rsid w:val="00395754"/>
    <w:rsid w:val="003957F2"/>
    <w:rsid w:val="00395820"/>
    <w:rsid w:val="00395A7A"/>
    <w:rsid w:val="00395AFE"/>
    <w:rsid w:val="00395EBB"/>
    <w:rsid w:val="00396315"/>
    <w:rsid w:val="003965FE"/>
    <w:rsid w:val="0039683E"/>
    <w:rsid w:val="00396D1A"/>
    <w:rsid w:val="0039712E"/>
    <w:rsid w:val="00397909"/>
    <w:rsid w:val="003979EB"/>
    <w:rsid w:val="003A0B8D"/>
    <w:rsid w:val="003A0C74"/>
    <w:rsid w:val="003A12FD"/>
    <w:rsid w:val="003A13BB"/>
    <w:rsid w:val="003A184C"/>
    <w:rsid w:val="003A24E2"/>
    <w:rsid w:val="003A27B2"/>
    <w:rsid w:val="003A2EF8"/>
    <w:rsid w:val="003A30E9"/>
    <w:rsid w:val="003A31A3"/>
    <w:rsid w:val="003A31C5"/>
    <w:rsid w:val="003A326F"/>
    <w:rsid w:val="003A342A"/>
    <w:rsid w:val="003A3728"/>
    <w:rsid w:val="003A3F6C"/>
    <w:rsid w:val="003A3FB3"/>
    <w:rsid w:val="003A456E"/>
    <w:rsid w:val="003A4B51"/>
    <w:rsid w:val="003A51EC"/>
    <w:rsid w:val="003A5C34"/>
    <w:rsid w:val="003A62DB"/>
    <w:rsid w:val="003A7263"/>
    <w:rsid w:val="003B0075"/>
    <w:rsid w:val="003B0921"/>
    <w:rsid w:val="003B10E5"/>
    <w:rsid w:val="003B1332"/>
    <w:rsid w:val="003B1A25"/>
    <w:rsid w:val="003B1B8A"/>
    <w:rsid w:val="003B1FA4"/>
    <w:rsid w:val="003B212E"/>
    <w:rsid w:val="003B22E9"/>
    <w:rsid w:val="003B23A3"/>
    <w:rsid w:val="003B2550"/>
    <w:rsid w:val="003B2BD3"/>
    <w:rsid w:val="003B2F84"/>
    <w:rsid w:val="003B3297"/>
    <w:rsid w:val="003B3482"/>
    <w:rsid w:val="003B3A2A"/>
    <w:rsid w:val="003B3F76"/>
    <w:rsid w:val="003B3FCC"/>
    <w:rsid w:val="003B43E0"/>
    <w:rsid w:val="003B4932"/>
    <w:rsid w:val="003B4F2D"/>
    <w:rsid w:val="003B50AB"/>
    <w:rsid w:val="003B5D16"/>
    <w:rsid w:val="003B6B33"/>
    <w:rsid w:val="003B714B"/>
    <w:rsid w:val="003B73F6"/>
    <w:rsid w:val="003B7429"/>
    <w:rsid w:val="003B7549"/>
    <w:rsid w:val="003B7A10"/>
    <w:rsid w:val="003B7E40"/>
    <w:rsid w:val="003C0947"/>
    <w:rsid w:val="003C1D54"/>
    <w:rsid w:val="003C1E1E"/>
    <w:rsid w:val="003C1FC2"/>
    <w:rsid w:val="003C2144"/>
    <w:rsid w:val="003C23EC"/>
    <w:rsid w:val="003C2538"/>
    <w:rsid w:val="003C25D0"/>
    <w:rsid w:val="003C2C07"/>
    <w:rsid w:val="003C35D2"/>
    <w:rsid w:val="003C3B30"/>
    <w:rsid w:val="003C3E6A"/>
    <w:rsid w:val="003C4444"/>
    <w:rsid w:val="003C45E4"/>
    <w:rsid w:val="003C4C77"/>
    <w:rsid w:val="003C4F4F"/>
    <w:rsid w:val="003C500C"/>
    <w:rsid w:val="003C56F2"/>
    <w:rsid w:val="003C59D7"/>
    <w:rsid w:val="003C6704"/>
    <w:rsid w:val="003C6B44"/>
    <w:rsid w:val="003C6FDC"/>
    <w:rsid w:val="003C7C0F"/>
    <w:rsid w:val="003D0421"/>
    <w:rsid w:val="003D06F5"/>
    <w:rsid w:val="003D07A8"/>
    <w:rsid w:val="003D0B98"/>
    <w:rsid w:val="003D0D3F"/>
    <w:rsid w:val="003D0E59"/>
    <w:rsid w:val="003D1188"/>
    <w:rsid w:val="003D1AAE"/>
    <w:rsid w:val="003D1D46"/>
    <w:rsid w:val="003D2239"/>
    <w:rsid w:val="003D29D8"/>
    <w:rsid w:val="003D2AE9"/>
    <w:rsid w:val="003D2CED"/>
    <w:rsid w:val="003D30CE"/>
    <w:rsid w:val="003D3941"/>
    <w:rsid w:val="003D3C2D"/>
    <w:rsid w:val="003D3DAA"/>
    <w:rsid w:val="003D40B1"/>
    <w:rsid w:val="003D40D5"/>
    <w:rsid w:val="003D413E"/>
    <w:rsid w:val="003D469A"/>
    <w:rsid w:val="003D4A62"/>
    <w:rsid w:val="003D4D6B"/>
    <w:rsid w:val="003D4E98"/>
    <w:rsid w:val="003D53F7"/>
    <w:rsid w:val="003D5552"/>
    <w:rsid w:val="003D5638"/>
    <w:rsid w:val="003D5BA4"/>
    <w:rsid w:val="003D5EA6"/>
    <w:rsid w:val="003D5F06"/>
    <w:rsid w:val="003D5F60"/>
    <w:rsid w:val="003D63A3"/>
    <w:rsid w:val="003D65F0"/>
    <w:rsid w:val="003D6CBE"/>
    <w:rsid w:val="003D7129"/>
    <w:rsid w:val="003D7200"/>
    <w:rsid w:val="003D72D7"/>
    <w:rsid w:val="003D737F"/>
    <w:rsid w:val="003D747F"/>
    <w:rsid w:val="003D76C9"/>
    <w:rsid w:val="003D7856"/>
    <w:rsid w:val="003D7C0E"/>
    <w:rsid w:val="003D7E78"/>
    <w:rsid w:val="003E0168"/>
    <w:rsid w:val="003E0336"/>
    <w:rsid w:val="003E11EA"/>
    <w:rsid w:val="003E1425"/>
    <w:rsid w:val="003E1557"/>
    <w:rsid w:val="003E1FF9"/>
    <w:rsid w:val="003E214A"/>
    <w:rsid w:val="003E2231"/>
    <w:rsid w:val="003E2273"/>
    <w:rsid w:val="003E255E"/>
    <w:rsid w:val="003E28DA"/>
    <w:rsid w:val="003E2978"/>
    <w:rsid w:val="003E2DFC"/>
    <w:rsid w:val="003E315A"/>
    <w:rsid w:val="003E4093"/>
    <w:rsid w:val="003E4483"/>
    <w:rsid w:val="003E47C2"/>
    <w:rsid w:val="003E48A3"/>
    <w:rsid w:val="003E48D5"/>
    <w:rsid w:val="003E4DB8"/>
    <w:rsid w:val="003E4E94"/>
    <w:rsid w:val="003E4FFB"/>
    <w:rsid w:val="003E5000"/>
    <w:rsid w:val="003E55E6"/>
    <w:rsid w:val="003E570D"/>
    <w:rsid w:val="003E5A21"/>
    <w:rsid w:val="003E5E53"/>
    <w:rsid w:val="003E610E"/>
    <w:rsid w:val="003E69FC"/>
    <w:rsid w:val="003E6AD5"/>
    <w:rsid w:val="003E6E0C"/>
    <w:rsid w:val="003E6FA9"/>
    <w:rsid w:val="003E6FE4"/>
    <w:rsid w:val="003E702C"/>
    <w:rsid w:val="003E7FE0"/>
    <w:rsid w:val="003F0205"/>
    <w:rsid w:val="003F0370"/>
    <w:rsid w:val="003F08E7"/>
    <w:rsid w:val="003F09AB"/>
    <w:rsid w:val="003F0FF8"/>
    <w:rsid w:val="003F127C"/>
    <w:rsid w:val="003F1327"/>
    <w:rsid w:val="003F1634"/>
    <w:rsid w:val="003F230A"/>
    <w:rsid w:val="003F2490"/>
    <w:rsid w:val="003F2B42"/>
    <w:rsid w:val="003F2FD6"/>
    <w:rsid w:val="003F32C7"/>
    <w:rsid w:val="003F336C"/>
    <w:rsid w:val="003F3900"/>
    <w:rsid w:val="003F396E"/>
    <w:rsid w:val="003F39AE"/>
    <w:rsid w:val="003F3AB1"/>
    <w:rsid w:val="003F3C44"/>
    <w:rsid w:val="003F42EA"/>
    <w:rsid w:val="003F4532"/>
    <w:rsid w:val="003F45D9"/>
    <w:rsid w:val="003F4873"/>
    <w:rsid w:val="003F4A5C"/>
    <w:rsid w:val="003F4A92"/>
    <w:rsid w:val="003F4DC2"/>
    <w:rsid w:val="003F5F8C"/>
    <w:rsid w:val="003F60F6"/>
    <w:rsid w:val="003F6395"/>
    <w:rsid w:val="003F6472"/>
    <w:rsid w:val="003F67C1"/>
    <w:rsid w:val="003F6802"/>
    <w:rsid w:val="003F6ADD"/>
    <w:rsid w:val="003F6D9D"/>
    <w:rsid w:val="003F71C5"/>
    <w:rsid w:val="003F7916"/>
    <w:rsid w:val="003F7A52"/>
    <w:rsid w:val="00400AA9"/>
    <w:rsid w:val="00400EE6"/>
    <w:rsid w:val="0040101F"/>
    <w:rsid w:val="004010C2"/>
    <w:rsid w:val="00401857"/>
    <w:rsid w:val="0040192D"/>
    <w:rsid w:val="004026D7"/>
    <w:rsid w:val="00402AC1"/>
    <w:rsid w:val="00403081"/>
    <w:rsid w:val="0040332A"/>
    <w:rsid w:val="00403474"/>
    <w:rsid w:val="00403F22"/>
    <w:rsid w:val="00403FB7"/>
    <w:rsid w:val="00404092"/>
    <w:rsid w:val="004043BA"/>
    <w:rsid w:val="0040446F"/>
    <w:rsid w:val="00404623"/>
    <w:rsid w:val="00404959"/>
    <w:rsid w:val="00404969"/>
    <w:rsid w:val="00405292"/>
    <w:rsid w:val="00405339"/>
    <w:rsid w:val="004055B8"/>
    <w:rsid w:val="00405671"/>
    <w:rsid w:val="00405E06"/>
    <w:rsid w:val="00405E62"/>
    <w:rsid w:val="004062E5"/>
    <w:rsid w:val="004063BA"/>
    <w:rsid w:val="00406722"/>
    <w:rsid w:val="004068FF"/>
    <w:rsid w:val="004070C1"/>
    <w:rsid w:val="0040785C"/>
    <w:rsid w:val="00410202"/>
    <w:rsid w:val="0041110A"/>
    <w:rsid w:val="0041119C"/>
    <w:rsid w:val="004111C5"/>
    <w:rsid w:val="00411502"/>
    <w:rsid w:val="00411D8E"/>
    <w:rsid w:val="00412E0D"/>
    <w:rsid w:val="004130E1"/>
    <w:rsid w:val="00413655"/>
    <w:rsid w:val="00413B24"/>
    <w:rsid w:val="00413D6D"/>
    <w:rsid w:val="00414446"/>
    <w:rsid w:val="00414566"/>
    <w:rsid w:val="0041523B"/>
    <w:rsid w:val="004156F9"/>
    <w:rsid w:val="0041589E"/>
    <w:rsid w:val="00415B54"/>
    <w:rsid w:val="00415CEA"/>
    <w:rsid w:val="00415DA6"/>
    <w:rsid w:val="0041624B"/>
    <w:rsid w:val="004165C0"/>
    <w:rsid w:val="004173DA"/>
    <w:rsid w:val="00417E18"/>
    <w:rsid w:val="00420DCF"/>
    <w:rsid w:val="00420DFF"/>
    <w:rsid w:val="00420FA3"/>
    <w:rsid w:val="00420FD3"/>
    <w:rsid w:val="004211EF"/>
    <w:rsid w:val="00421243"/>
    <w:rsid w:val="00421DF1"/>
    <w:rsid w:val="00421E43"/>
    <w:rsid w:val="00421E47"/>
    <w:rsid w:val="00422712"/>
    <w:rsid w:val="004228CC"/>
    <w:rsid w:val="004229E7"/>
    <w:rsid w:val="004230DA"/>
    <w:rsid w:val="004231AA"/>
    <w:rsid w:val="004231F1"/>
    <w:rsid w:val="004232C9"/>
    <w:rsid w:val="00423BEE"/>
    <w:rsid w:val="00423DBB"/>
    <w:rsid w:val="004240AD"/>
    <w:rsid w:val="0042472C"/>
    <w:rsid w:val="00424CB4"/>
    <w:rsid w:val="00424D9D"/>
    <w:rsid w:val="00425895"/>
    <w:rsid w:val="0042599E"/>
    <w:rsid w:val="00425C3E"/>
    <w:rsid w:val="00425D44"/>
    <w:rsid w:val="00425F9E"/>
    <w:rsid w:val="00426968"/>
    <w:rsid w:val="00426C96"/>
    <w:rsid w:val="0042708E"/>
    <w:rsid w:val="004273AE"/>
    <w:rsid w:val="004277D4"/>
    <w:rsid w:val="0043071F"/>
    <w:rsid w:val="00430A3C"/>
    <w:rsid w:val="004310EF"/>
    <w:rsid w:val="00431139"/>
    <w:rsid w:val="00431498"/>
    <w:rsid w:val="00431579"/>
    <w:rsid w:val="00431795"/>
    <w:rsid w:val="00431E9B"/>
    <w:rsid w:val="00431F3B"/>
    <w:rsid w:val="0043215A"/>
    <w:rsid w:val="004324F3"/>
    <w:rsid w:val="004326D6"/>
    <w:rsid w:val="0043288A"/>
    <w:rsid w:val="00432E0C"/>
    <w:rsid w:val="00432E4D"/>
    <w:rsid w:val="00433281"/>
    <w:rsid w:val="0043389B"/>
    <w:rsid w:val="00433A05"/>
    <w:rsid w:val="00433A0A"/>
    <w:rsid w:val="00433A4E"/>
    <w:rsid w:val="00433D24"/>
    <w:rsid w:val="00433ECD"/>
    <w:rsid w:val="004340BA"/>
    <w:rsid w:val="00434127"/>
    <w:rsid w:val="0043415B"/>
    <w:rsid w:val="00434615"/>
    <w:rsid w:val="00434719"/>
    <w:rsid w:val="00434DA2"/>
    <w:rsid w:val="004353B4"/>
    <w:rsid w:val="0043563E"/>
    <w:rsid w:val="00435B52"/>
    <w:rsid w:val="00435C20"/>
    <w:rsid w:val="00436F8D"/>
    <w:rsid w:val="00437B33"/>
    <w:rsid w:val="00437DF8"/>
    <w:rsid w:val="00440057"/>
    <w:rsid w:val="00440062"/>
    <w:rsid w:val="004400CF"/>
    <w:rsid w:val="00440220"/>
    <w:rsid w:val="0044053D"/>
    <w:rsid w:val="00441316"/>
    <w:rsid w:val="0044146C"/>
    <w:rsid w:val="004419A6"/>
    <w:rsid w:val="00441B95"/>
    <w:rsid w:val="00441C6F"/>
    <w:rsid w:val="00442192"/>
    <w:rsid w:val="004421BE"/>
    <w:rsid w:val="00442289"/>
    <w:rsid w:val="004427F9"/>
    <w:rsid w:val="00442AC3"/>
    <w:rsid w:val="00442EF9"/>
    <w:rsid w:val="00442FB5"/>
    <w:rsid w:val="00442FC0"/>
    <w:rsid w:val="00443A3F"/>
    <w:rsid w:val="0044479E"/>
    <w:rsid w:val="00444B25"/>
    <w:rsid w:val="00444B3E"/>
    <w:rsid w:val="00444C62"/>
    <w:rsid w:val="00444FD7"/>
    <w:rsid w:val="00444FEB"/>
    <w:rsid w:val="0044515D"/>
    <w:rsid w:val="00445A5D"/>
    <w:rsid w:val="00445B14"/>
    <w:rsid w:val="00446546"/>
    <w:rsid w:val="00446632"/>
    <w:rsid w:val="004466E0"/>
    <w:rsid w:val="0044747B"/>
    <w:rsid w:val="004479A6"/>
    <w:rsid w:val="00447C22"/>
    <w:rsid w:val="00447E5D"/>
    <w:rsid w:val="00447F91"/>
    <w:rsid w:val="004500B2"/>
    <w:rsid w:val="00450111"/>
    <w:rsid w:val="0045021B"/>
    <w:rsid w:val="004504FB"/>
    <w:rsid w:val="00450651"/>
    <w:rsid w:val="00450EC3"/>
    <w:rsid w:val="0045100F"/>
    <w:rsid w:val="00451326"/>
    <w:rsid w:val="00451666"/>
    <w:rsid w:val="00451A21"/>
    <w:rsid w:val="00451D2F"/>
    <w:rsid w:val="00451E9F"/>
    <w:rsid w:val="00452523"/>
    <w:rsid w:val="00452889"/>
    <w:rsid w:val="004528CD"/>
    <w:rsid w:val="004529BC"/>
    <w:rsid w:val="00453A6E"/>
    <w:rsid w:val="00453FC9"/>
    <w:rsid w:val="004543CD"/>
    <w:rsid w:val="004543D7"/>
    <w:rsid w:val="00454507"/>
    <w:rsid w:val="00454520"/>
    <w:rsid w:val="00454B5C"/>
    <w:rsid w:val="00455109"/>
    <w:rsid w:val="0045532C"/>
    <w:rsid w:val="00455378"/>
    <w:rsid w:val="004554E5"/>
    <w:rsid w:val="00455545"/>
    <w:rsid w:val="0045554E"/>
    <w:rsid w:val="00455D02"/>
    <w:rsid w:val="0045611F"/>
    <w:rsid w:val="004566E6"/>
    <w:rsid w:val="00456A93"/>
    <w:rsid w:val="00456C90"/>
    <w:rsid w:val="00457095"/>
    <w:rsid w:val="0045742A"/>
    <w:rsid w:val="004574CA"/>
    <w:rsid w:val="004575A1"/>
    <w:rsid w:val="004578AC"/>
    <w:rsid w:val="00460005"/>
    <w:rsid w:val="00460321"/>
    <w:rsid w:val="004604A0"/>
    <w:rsid w:val="0046058B"/>
    <w:rsid w:val="00460F88"/>
    <w:rsid w:val="00461197"/>
    <w:rsid w:val="004611C2"/>
    <w:rsid w:val="0046122A"/>
    <w:rsid w:val="00461305"/>
    <w:rsid w:val="004614B7"/>
    <w:rsid w:val="00462924"/>
    <w:rsid w:val="0046298E"/>
    <w:rsid w:val="0046301F"/>
    <w:rsid w:val="004636DA"/>
    <w:rsid w:val="0046379A"/>
    <w:rsid w:val="00463DD3"/>
    <w:rsid w:val="00463F67"/>
    <w:rsid w:val="0046402B"/>
    <w:rsid w:val="004641A2"/>
    <w:rsid w:val="004644C3"/>
    <w:rsid w:val="00464531"/>
    <w:rsid w:val="00464764"/>
    <w:rsid w:val="0046486B"/>
    <w:rsid w:val="00464BC4"/>
    <w:rsid w:val="00464D1A"/>
    <w:rsid w:val="004650F9"/>
    <w:rsid w:val="00465194"/>
    <w:rsid w:val="004653AF"/>
    <w:rsid w:val="0046577A"/>
    <w:rsid w:val="004659A0"/>
    <w:rsid w:val="004659BB"/>
    <w:rsid w:val="00465DFC"/>
    <w:rsid w:val="004662BE"/>
    <w:rsid w:val="004667A4"/>
    <w:rsid w:val="00466A4C"/>
    <w:rsid w:val="00466F16"/>
    <w:rsid w:val="00467468"/>
    <w:rsid w:val="004675AB"/>
    <w:rsid w:val="00467919"/>
    <w:rsid w:val="0046797C"/>
    <w:rsid w:val="00467A5D"/>
    <w:rsid w:val="00467C02"/>
    <w:rsid w:val="00467CCB"/>
    <w:rsid w:val="00467EFA"/>
    <w:rsid w:val="0047027C"/>
    <w:rsid w:val="004707EA"/>
    <w:rsid w:val="00470AB7"/>
    <w:rsid w:val="00470CA5"/>
    <w:rsid w:val="004712B1"/>
    <w:rsid w:val="00471A93"/>
    <w:rsid w:val="00471D1E"/>
    <w:rsid w:val="00471DDC"/>
    <w:rsid w:val="00472105"/>
    <w:rsid w:val="00472B30"/>
    <w:rsid w:val="00472C77"/>
    <w:rsid w:val="00472F6A"/>
    <w:rsid w:val="004734FC"/>
    <w:rsid w:val="004735CA"/>
    <w:rsid w:val="00473C6A"/>
    <w:rsid w:val="0047402B"/>
    <w:rsid w:val="00474110"/>
    <w:rsid w:val="004748CF"/>
    <w:rsid w:val="004748DA"/>
    <w:rsid w:val="0047494F"/>
    <w:rsid w:val="004749D3"/>
    <w:rsid w:val="00474B4C"/>
    <w:rsid w:val="00474D71"/>
    <w:rsid w:val="004750D4"/>
    <w:rsid w:val="00475495"/>
    <w:rsid w:val="004754F6"/>
    <w:rsid w:val="00475994"/>
    <w:rsid w:val="00475A73"/>
    <w:rsid w:val="00475D13"/>
    <w:rsid w:val="0047621E"/>
    <w:rsid w:val="00476469"/>
    <w:rsid w:val="00476A0C"/>
    <w:rsid w:val="00476F22"/>
    <w:rsid w:val="00477688"/>
    <w:rsid w:val="00477872"/>
    <w:rsid w:val="004779CA"/>
    <w:rsid w:val="00477A6B"/>
    <w:rsid w:val="00477EAA"/>
    <w:rsid w:val="00477F44"/>
    <w:rsid w:val="0048009F"/>
    <w:rsid w:val="0048054C"/>
    <w:rsid w:val="0048060A"/>
    <w:rsid w:val="0048065E"/>
    <w:rsid w:val="00480692"/>
    <w:rsid w:val="00480EA3"/>
    <w:rsid w:val="00481440"/>
    <w:rsid w:val="00481660"/>
    <w:rsid w:val="00481836"/>
    <w:rsid w:val="00481BA2"/>
    <w:rsid w:val="004822F6"/>
    <w:rsid w:val="00482D78"/>
    <w:rsid w:val="004830AD"/>
    <w:rsid w:val="00483A26"/>
    <w:rsid w:val="004845B2"/>
    <w:rsid w:val="004847DC"/>
    <w:rsid w:val="0048499B"/>
    <w:rsid w:val="004849E6"/>
    <w:rsid w:val="00484AE4"/>
    <w:rsid w:val="00484DB7"/>
    <w:rsid w:val="004850CB"/>
    <w:rsid w:val="004853B5"/>
    <w:rsid w:val="00485530"/>
    <w:rsid w:val="00485923"/>
    <w:rsid w:val="00485D15"/>
    <w:rsid w:val="00485DB1"/>
    <w:rsid w:val="00485E6C"/>
    <w:rsid w:val="004860BF"/>
    <w:rsid w:val="00486213"/>
    <w:rsid w:val="00486272"/>
    <w:rsid w:val="00487425"/>
    <w:rsid w:val="004876B0"/>
    <w:rsid w:val="004876B2"/>
    <w:rsid w:val="00487CA4"/>
    <w:rsid w:val="00487FCB"/>
    <w:rsid w:val="00490349"/>
    <w:rsid w:val="0049044A"/>
    <w:rsid w:val="0049089D"/>
    <w:rsid w:val="0049090D"/>
    <w:rsid w:val="00490BC9"/>
    <w:rsid w:val="00490CD9"/>
    <w:rsid w:val="00490E4E"/>
    <w:rsid w:val="004917B4"/>
    <w:rsid w:val="00491986"/>
    <w:rsid w:val="004924F5"/>
    <w:rsid w:val="00492580"/>
    <w:rsid w:val="0049317F"/>
    <w:rsid w:val="004936AB"/>
    <w:rsid w:val="004938E3"/>
    <w:rsid w:val="00493AFD"/>
    <w:rsid w:val="004948A6"/>
    <w:rsid w:val="00494E0E"/>
    <w:rsid w:val="00494E98"/>
    <w:rsid w:val="0049512F"/>
    <w:rsid w:val="00495306"/>
    <w:rsid w:val="00495870"/>
    <w:rsid w:val="00495DBE"/>
    <w:rsid w:val="004960C5"/>
    <w:rsid w:val="004962ED"/>
    <w:rsid w:val="0049709A"/>
    <w:rsid w:val="0049735A"/>
    <w:rsid w:val="004973DB"/>
    <w:rsid w:val="004973DF"/>
    <w:rsid w:val="00497584"/>
    <w:rsid w:val="00497B2F"/>
    <w:rsid w:val="004A0015"/>
    <w:rsid w:val="004A0140"/>
    <w:rsid w:val="004A0703"/>
    <w:rsid w:val="004A0890"/>
    <w:rsid w:val="004A099B"/>
    <w:rsid w:val="004A0E06"/>
    <w:rsid w:val="004A0F6D"/>
    <w:rsid w:val="004A0FEC"/>
    <w:rsid w:val="004A1259"/>
    <w:rsid w:val="004A1569"/>
    <w:rsid w:val="004A1775"/>
    <w:rsid w:val="004A1A82"/>
    <w:rsid w:val="004A1C3C"/>
    <w:rsid w:val="004A1CBC"/>
    <w:rsid w:val="004A1F5F"/>
    <w:rsid w:val="004A2338"/>
    <w:rsid w:val="004A2483"/>
    <w:rsid w:val="004A2A24"/>
    <w:rsid w:val="004A30F5"/>
    <w:rsid w:val="004A32FE"/>
    <w:rsid w:val="004A33EF"/>
    <w:rsid w:val="004A344C"/>
    <w:rsid w:val="004A3C30"/>
    <w:rsid w:val="004A3CB9"/>
    <w:rsid w:val="004A405A"/>
    <w:rsid w:val="004A42BF"/>
    <w:rsid w:val="004A4C27"/>
    <w:rsid w:val="004A4D21"/>
    <w:rsid w:val="004A5404"/>
    <w:rsid w:val="004A5452"/>
    <w:rsid w:val="004A557B"/>
    <w:rsid w:val="004A5656"/>
    <w:rsid w:val="004A626F"/>
    <w:rsid w:val="004A639C"/>
    <w:rsid w:val="004A6626"/>
    <w:rsid w:val="004A6D62"/>
    <w:rsid w:val="004A6EEE"/>
    <w:rsid w:val="004A7053"/>
    <w:rsid w:val="004A7415"/>
    <w:rsid w:val="004A7659"/>
    <w:rsid w:val="004A787B"/>
    <w:rsid w:val="004A7929"/>
    <w:rsid w:val="004A7A67"/>
    <w:rsid w:val="004A7C2C"/>
    <w:rsid w:val="004B0609"/>
    <w:rsid w:val="004B092E"/>
    <w:rsid w:val="004B0F7D"/>
    <w:rsid w:val="004B111D"/>
    <w:rsid w:val="004B1D11"/>
    <w:rsid w:val="004B20D1"/>
    <w:rsid w:val="004B25E2"/>
    <w:rsid w:val="004B25E8"/>
    <w:rsid w:val="004B2783"/>
    <w:rsid w:val="004B2A56"/>
    <w:rsid w:val="004B2D5F"/>
    <w:rsid w:val="004B2D79"/>
    <w:rsid w:val="004B2E4D"/>
    <w:rsid w:val="004B2F19"/>
    <w:rsid w:val="004B36E7"/>
    <w:rsid w:val="004B3B29"/>
    <w:rsid w:val="004B438B"/>
    <w:rsid w:val="004B4A8C"/>
    <w:rsid w:val="004B525E"/>
    <w:rsid w:val="004B5623"/>
    <w:rsid w:val="004B585D"/>
    <w:rsid w:val="004B5B1C"/>
    <w:rsid w:val="004B5B5E"/>
    <w:rsid w:val="004B5C60"/>
    <w:rsid w:val="004B606A"/>
    <w:rsid w:val="004B67EA"/>
    <w:rsid w:val="004B6BEE"/>
    <w:rsid w:val="004B6E1F"/>
    <w:rsid w:val="004B7BF4"/>
    <w:rsid w:val="004C0041"/>
    <w:rsid w:val="004C1121"/>
    <w:rsid w:val="004C1619"/>
    <w:rsid w:val="004C182C"/>
    <w:rsid w:val="004C1AF2"/>
    <w:rsid w:val="004C1B3A"/>
    <w:rsid w:val="004C220A"/>
    <w:rsid w:val="004C287D"/>
    <w:rsid w:val="004C2A44"/>
    <w:rsid w:val="004C2B86"/>
    <w:rsid w:val="004C2D59"/>
    <w:rsid w:val="004C3039"/>
    <w:rsid w:val="004C3147"/>
    <w:rsid w:val="004C315F"/>
    <w:rsid w:val="004C376D"/>
    <w:rsid w:val="004C3DC1"/>
    <w:rsid w:val="004C412D"/>
    <w:rsid w:val="004C41AE"/>
    <w:rsid w:val="004C4576"/>
    <w:rsid w:val="004C4FD1"/>
    <w:rsid w:val="004C657B"/>
    <w:rsid w:val="004C6DF5"/>
    <w:rsid w:val="004C728C"/>
    <w:rsid w:val="004C7B06"/>
    <w:rsid w:val="004D00E2"/>
    <w:rsid w:val="004D0433"/>
    <w:rsid w:val="004D0873"/>
    <w:rsid w:val="004D0C39"/>
    <w:rsid w:val="004D0D46"/>
    <w:rsid w:val="004D14E7"/>
    <w:rsid w:val="004D1B79"/>
    <w:rsid w:val="004D25B8"/>
    <w:rsid w:val="004D26B2"/>
    <w:rsid w:val="004D282A"/>
    <w:rsid w:val="004D28BD"/>
    <w:rsid w:val="004D28EA"/>
    <w:rsid w:val="004D2B1D"/>
    <w:rsid w:val="004D2E45"/>
    <w:rsid w:val="004D38EF"/>
    <w:rsid w:val="004D3C03"/>
    <w:rsid w:val="004D3D41"/>
    <w:rsid w:val="004D446B"/>
    <w:rsid w:val="004D4E62"/>
    <w:rsid w:val="004D577D"/>
    <w:rsid w:val="004D5E87"/>
    <w:rsid w:val="004D5F44"/>
    <w:rsid w:val="004D68CC"/>
    <w:rsid w:val="004D747E"/>
    <w:rsid w:val="004D7822"/>
    <w:rsid w:val="004D796E"/>
    <w:rsid w:val="004D7F6E"/>
    <w:rsid w:val="004E0452"/>
    <w:rsid w:val="004E0623"/>
    <w:rsid w:val="004E0B36"/>
    <w:rsid w:val="004E0EB0"/>
    <w:rsid w:val="004E0F65"/>
    <w:rsid w:val="004E101C"/>
    <w:rsid w:val="004E11E3"/>
    <w:rsid w:val="004E1274"/>
    <w:rsid w:val="004E13C6"/>
    <w:rsid w:val="004E14DF"/>
    <w:rsid w:val="004E1533"/>
    <w:rsid w:val="004E1590"/>
    <w:rsid w:val="004E1738"/>
    <w:rsid w:val="004E17EB"/>
    <w:rsid w:val="004E1865"/>
    <w:rsid w:val="004E1B06"/>
    <w:rsid w:val="004E21B6"/>
    <w:rsid w:val="004E266D"/>
    <w:rsid w:val="004E28E3"/>
    <w:rsid w:val="004E2919"/>
    <w:rsid w:val="004E2D83"/>
    <w:rsid w:val="004E330D"/>
    <w:rsid w:val="004E3A1A"/>
    <w:rsid w:val="004E3F25"/>
    <w:rsid w:val="004E4D66"/>
    <w:rsid w:val="004E4F3B"/>
    <w:rsid w:val="004E4FE3"/>
    <w:rsid w:val="004E54D1"/>
    <w:rsid w:val="004E5605"/>
    <w:rsid w:val="004E5A08"/>
    <w:rsid w:val="004E678D"/>
    <w:rsid w:val="004E6B39"/>
    <w:rsid w:val="004E6BFC"/>
    <w:rsid w:val="004E755D"/>
    <w:rsid w:val="004E7588"/>
    <w:rsid w:val="004E7985"/>
    <w:rsid w:val="004E7D2A"/>
    <w:rsid w:val="004F04CF"/>
    <w:rsid w:val="004F094A"/>
    <w:rsid w:val="004F11F0"/>
    <w:rsid w:val="004F16C6"/>
    <w:rsid w:val="004F1988"/>
    <w:rsid w:val="004F1F2E"/>
    <w:rsid w:val="004F204D"/>
    <w:rsid w:val="004F2BDA"/>
    <w:rsid w:val="004F2C21"/>
    <w:rsid w:val="004F2D08"/>
    <w:rsid w:val="004F2DAA"/>
    <w:rsid w:val="004F3470"/>
    <w:rsid w:val="004F37AD"/>
    <w:rsid w:val="004F38B0"/>
    <w:rsid w:val="004F38D0"/>
    <w:rsid w:val="004F392B"/>
    <w:rsid w:val="004F3C0D"/>
    <w:rsid w:val="004F4518"/>
    <w:rsid w:val="004F5BEB"/>
    <w:rsid w:val="004F684D"/>
    <w:rsid w:val="004F6A44"/>
    <w:rsid w:val="004F6A46"/>
    <w:rsid w:val="004F77F0"/>
    <w:rsid w:val="004F7832"/>
    <w:rsid w:val="004F7D70"/>
    <w:rsid w:val="004F7EAA"/>
    <w:rsid w:val="005002DF"/>
    <w:rsid w:val="00500CB1"/>
    <w:rsid w:val="00500F41"/>
    <w:rsid w:val="00501300"/>
    <w:rsid w:val="0050195C"/>
    <w:rsid w:val="00501B87"/>
    <w:rsid w:val="0050244C"/>
    <w:rsid w:val="00502852"/>
    <w:rsid w:val="00502B2D"/>
    <w:rsid w:val="0050354F"/>
    <w:rsid w:val="00503E99"/>
    <w:rsid w:val="005040B1"/>
    <w:rsid w:val="005047B9"/>
    <w:rsid w:val="0050492C"/>
    <w:rsid w:val="00504A64"/>
    <w:rsid w:val="00504B0B"/>
    <w:rsid w:val="00506232"/>
    <w:rsid w:val="00506642"/>
    <w:rsid w:val="00506A8E"/>
    <w:rsid w:val="00506B50"/>
    <w:rsid w:val="00506B82"/>
    <w:rsid w:val="00506BA1"/>
    <w:rsid w:val="00506D83"/>
    <w:rsid w:val="00506DC0"/>
    <w:rsid w:val="00506F15"/>
    <w:rsid w:val="00507309"/>
    <w:rsid w:val="00507BAD"/>
    <w:rsid w:val="00507C30"/>
    <w:rsid w:val="00507C59"/>
    <w:rsid w:val="005102F7"/>
    <w:rsid w:val="005104AC"/>
    <w:rsid w:val="005105AF"/>
    <w:rsid w:val="00510707"/>
    <w:rsid w:val="00510815"/>
    <w:rsid w:val="00510B5F"/>
    <w:rsid w:val="00510FD7"/>
    <w:rsid w:val="005114A1"/>
    <w:rsid w:val="00511569"/>
    <w:rsid w:val="005119A2"/>
    <w:rsid w:val="00511AA3"/>
    <w:rsid w:val="00511D06"/>
    <w:rsid w:val="0051250D"/>
    <w:rsid w:val="0051256B"/>
    <w:rsid w:val="00512642"/>
    <w:rsid w:val="00512BDE"/>
    <w:rsid w:val="00512E75"/>
    <w:rsid w:val="005131CD"/>
    <w:rsid w:val="005134DE"/>
    <w:rsid w:val="00514230"/>
    <w:rsid w:val="00515068"/>
    <w:rsid w:val="00515D79"/>
    <w:rsid w:val="0051626C"/>
    <w:rsid w:val="0051653A"/>
    <w:rsid w:val="00516928"/>
    <w:rsid w:val="00517654"/>
    <w:rsid w:val="00517A01"/>
    <w:rsid w:val="00517E11"/>
    <w:rsid w:val="00520ACC"/>
    <w:rsid w:val="00520CE9"/>
    <w:rsid w:val="00520EC4"/>
    <w:rsid w:val="005212B9"/>
    <w:rsid w:val="00521340"/>
    <w:rsid w:val="00521419"/>
    <w:rsid w:val="00521A27"/>
    <w:rsid w:val="00521CF9"/>
    <w:rsid w:val="00521FE2"/>
    <w:rsid w:val="00522138"/>
    <w:rsid w:val="005221A0"/>
    <w:rsid w:val="0052256F"/>
    <w:rsid w:val="0052295B"/>
    <w:rsid w:val="0052314A"/>
    <w:rsid w:val="005235AE"/>
    <w:rsid w:val="0052369D"/>
    <w:rsid w:val="00523AF4"/>
    <w:rsid w:val="00524561"/>
    <w:rsid w:val="0052457A"/>
    <w:rsid w:val="0052480C"/>
    <w:rsid w:val="005250F7"/>
    <w:rsid w:val="00525283"/>
    <w:rsid w:val="005252C5"/>
    <w:rsid w:val="00527715"/>
    <w:rsid w:val="00527E88"/>
    <w:rsid w:val="0053000B"/>
    <w:rsid w:val="005300EC"/>
    <w:rsid w:val="00530203"/>
    <w:rsid w:val="00530671"/>
    <w:rsid w:val="005311D1"/>
    <w:rsid w:val="00531A8C"/>
    <w:rsid w:val="00531BB7"/>
    <w:rsid w:val="00531D84"/>
    <w:rsid w:val="00532D26"/>
    <w:rsid w:val="00532EEA"/>
    <w:rsid w:val="005331A5"/>
    <w:rsid w:val="00533267"/>
    <w:rsid w:val="00533911"/>
    <w:rsid w:val="00533DA2"/>
    <w:rsid w:val="0053477E"/>
    <w:rsid w:val="005347A0"/>
    <w:rsid w:val="005347DC"/>
    <w:rsid w:val="00534CFB"/>
    <w:rsid w:val="00534F80"/>
    <w:rsid w:val="00535170"/>
    <w:rsid w:val="005352BB"/>
    <w:rsid w:val="00535A11"/>
    <w:rsid w:val="00535E97"/>
    <w:rsid w:val="0053618D"/>
    <w:rsid w:val="005366E2"/>
    <w:rsid w:val="00536954"/>
    <w:rsid w:val="005369A1"/>
    <w:rsid w:val="005369F5"/>
    <w:rsid w:val="00536B47"/>
    <w:rsid w:val="00536BCE"/>
    <w:rsid w:val="00536BD3"/>
    <w:rsid w:val="00536DE9"/>
    <w:rsid w:val="00536FB6"/>
    <w:rsid w:val="005372EC"/>
    <w:rsid w:val="0053771F"/>
    <w:rsid w:val="0054070B"/>
    <w:rsid w:val="00540A7A"/>
    <w:rsid w:val="00540F3C"/>
    <w:rsid w:val="00541128"/>
    <w:rsid w:val="00541387"/>
    <w:rsid w:val="00541816"/>
    <w:rsid w:val="005418CF"/>
    <w:rsid w:val="00541ABD"/>
    <w:rsid w:val="00541ADF"/>
    <w:rsid w:val="00541C0C"/>
    <w:rsid w:val="00541C7B"/>
    <w:rsid w:val="0054221B"/>
    <w:rsid w:val="00542433"/>
    <w:rsid w:val="00542561"/>
    <w:rsid w:val="00542ECA"/>
    <w:rsid w:val="00543227"/>
    <w:rsid w:val="00543632"/>
    <w:rsid w:val="00543696"/>
    <w:rsid w:val="00543B38"/>
    <w:rsid w:val="00543C6E"/>
    <w:rsid w:val="00544AC1"/>
    <w:rsid w:val="00544DB6"/>
    <w:rsid w:val="00544ED8"/>
    <w:rsid w:val="00545A48"/>
    <w:rsid w:val="00545C05"/>
    <w:rsid w:val="0054608A"/>
    <w:rsid w:val="005461C9"/>
    <w:rsid w:val="005462E9"/>
    <w:rsid w:val="0054631C"/>
    <w:rsid w:val="00546F9D"/>
    <w:rsid w:val="00546FB8"/>
    <w:rsid w:val="005470D0"/>
    <w:rsid w:val="00547267"/>
    <w:rsid w:val="005477D2"/>
    <w:rsid w:val="005478FC"/>
    <w:rsid w:val="00550804"/>
    <w:rsid w:val="00550CB8"/>
    <w:rsid w:val="00550E61"/>
    <w:rsid w:val="00551789"/>
    <w:rsid w:val="00551A1F"/>
    <w:rsid w:val="00551B64"/>
    <w:rsid w:val="00551F89"/>
    <w:rsid w:val="00552340"/>
    <w:rsid w:val="005524FA"/>
    <w:rsid w:val="005527DB"/>
    <w:rsid w:val="00552B8C"/>
    <w:rsid w:val="00552E3C"/>
    <w:rsid w:val="00553502"/>
    <w:rsid w:val="005536DB"/>
    <w:rsid w:val="00554091"/>
    <w:rsid w:val="0055482A"/>
    <w:rsid w:val="0055501B"/>
    <w:rsid w:val="00555043"/>
    <w:rsid w:val="00555097"/>
    <w:rsid w:val="0055516F"/>
    <w:rsid w:val="00555308"/>
    <w:rsid w:val="005557BA"/>
    <w:rsid w:val="00555BD4"/>
    <w:rsid w:val="00555C94"/>
    <w:rsid w:val="00555FCD"/>
    <w:rsid w:val="00556507"/>
    <w:rsid w:val="00556B24"/>
    <w:rsid w:val="005571DC"/>
    <w:rsid w:val="0055730A"/>
    <w:rsid w:val="005573C1"/>
    <w:rsid w:val="0055748E"/>
    <w:rsid w:val="005574F9"/>
    <w:rsid w:val="00557DDB"/>
    <w:rsid w:val="00560195"/>
    <w:rsid w:val="00560873"/>
    <w:rsid w:val="00560B28"/>
    <w:rsid w:val="00560CD1"/>
    <w:rsid w:val="0056115F"/>
    <w:rsid w:val="0056124E"/>
    <w:rsid w:val="00561352"/>
    <w:rsid w:val="0056153D"/>
    <w:rsid w:val="00561724"/>
    <w:rsid w:val="00561B3B"/>
    <w:rsid w:val="00561FD9"/>
    <w:rsid w:val="00562045"/>
    <w:rsid w:val="0056209B"/>
    <w:rsid w:val="0056267C"/>
    <w:rsid w:val="005626BD"/>
    <w:rsid w:val="005630A2"/>
    <w:rsid w:val="00563ADF"/>
    <w:rsid w:val="00563D3C"/>
    <w:rsid w:val="00563D56"/>
    <w:rsid w:val="00563D76"/>
    <w:rsid w:val="0056413B"/>
    <w:rsid w:val="00564A34"/>
    <w:rsid w:val="00564E0B"/>
    <w:rsid w:val="00565246"/>
    <w:rsid w:val="00565A10"/>
    <w:rsid w:val="00565C80"/>
    <w:rsid w:val="00565F7A"/>
    <w:rsid w:val="00566820"/>
    <w:rsid w:val="0056685A"/>
    <w:rsid w:val="00566F00"/>
    <w:rsid w:val="00566F48"/>
    <w:rsid w:val="005670C8"/>
    <w:rsid w:val="00567885"/>
    <w:rsid w:val="00567C68"/>
    <w:rsid w:val="00567C8C"/>
    <w:rsid w:val="00567E91"/>
    <w:rsid w:val="0057021E"/>
    <w:rsid w:val="005704CA"/>
    <w:rsid w:val="0057147F"/>
    <w:rsid w:val="00571815"/>
    <w:rsid w:val="005718DE"/>
    <w:rsid w:val="00571A7C"/>
    <w:rsid w:val="00571ACC"/>
    <w:rsid w:val="0057249C"/>
    <w:rsid w:val="00572672"/>
    <w:rsid w:val="005726E0"/>
    <w:rsid w:val="00572794"/>
    <w:rsid w:val="0057295E"/>
    <w:rsid w:val="005734AA"/>
    <w:rsid w:val="005738F6"/>
    <w:rsid w:val="00573912"/>
    <w:rsid w:val="00574333"/>
    <w:rsid w:val="005743BB"/>
    <w:rsid w:val="005744A1"/>
    <w:rsid w:val="00574C6C"/>
    <w:rsid w:val="005755EF"/>
    <w:rsid w:val="00575765"/>
    <w:rsid w:val="00575931"/>
    <w:rsid w:val="00575A6E"/>
    <w:rsid w:val="00575C0D"/>
    <w:rsid w:val="00576449"/>
    <w:rsid w:val="00576853"/>
    <w:rsid w:val="00576B85"/>
    <w:rsid w:val="00576FCD"/>
    <w:rsid w:val="00577003"/>
    <w:rsid w:val="0057752D"/>
    <w:rsid w:val="005775F5"/>
    <w:rsid w:val="005802E8"/>
    <w:rsid w:val="0058037F"/>
    <w:rsid w:val="005804E7"/>
    <w:rsid w:val="00581D29"/>
    <w:rsid w:val="00581E67"/>
    <w:rsid w:val="00581FC6"/>
    <w:rsid w:val="0058202B"/>
    <w:rsid w:val="0058263F"/>
    <w:rsid w:val="005827E5"/>
    <w:rsid w:val="005828EE"/>
    <w:rsid w:val="00582ABB"/>
    <w:rsid w:val="00582CAE"/>
    <w:rsid w:val="00582E7C"/>
    <w:rsid w:val="0058342B"/>
    <w:rsid w:val="0058360C"/>
    <w:rsid w:val="00583A51"/>
    <w:rsid w:val="00583AC5"/>
    <w:rsid w:val="00584684"/>
    <w:rsid w:val="00584955"/>
    <w:rsid w:val="00584C27"/>
    <w:rsid w:val="0058515C"/>
    <w:rsid w:val="00585675"/>
    <w:rsid w:val="00585871"/>
    <w:rsid w:val="005858CB"/>
    <w:rsid w:val="005859F3"/>
    <w:rsid w:val="0058627E"/>
    <w:rsid w:val="00586389"/>
    <w:rsid w:val="005865E2"/>
    <w:rsid w:val="00586DC2"/>
    <w:rsid w:val="00586DE5"/>
    <w:rsid w:val="00586EAB"/>
    <w:rsid w:val="005870DD"/>
    <w:rsid w:val="00587844"/>
    <w:rsid w:val="005878C3"/>
    <w:rsid w:val="00587D4C"/>
    <w:rsid w:val="005904D5"/>
    <w:rsid w:val="00590775"/>
    <w:rsid w:val="00590B18"/>
    <w:rsid w:val="00590BDB"/>
    <w:rsid w:val="005913DF"/>
    <w:rsid w:val="005915D2"/>
    <w:rsid w:val="00591631"/>
    <w:rsid w:val="00591806"/>
    <w:rsid w:val="00591B01"/>
    <w:rsid w:val="00591E32"/>
    <w:rsid w:val="00591F68"/>
    <w:rsid w:val="00592858"/>
    <w:rsid w:val="005930C2"/>
    <w:rsid w:val="0059337D"/>
    <w:rsid w:val="005935FF"/>
    <w:rsid w:val="00593FED"/>
    <w:rsid w:val="005940CB"/>
    <w:rsid w:val="005947DB"/>
    <w:rsid w:val="00594D30"/>
    <w:rsid w:val="00594DA6"/>
    <w:rsid w:val="00595057"/>
    <w:rsid w:val="0059511E"/>
    <w:rsid w:val="00595225"/>
    <w:rsid w:val="005954A7"/>
    <w:rsid w:val="0059564A"/>
    <w:rsid w:val="00595912"/>
    <w:rsid w:val="005963B8"/>
    <w:rsid w:val="00596B02"/>
    <w:rsid w:val="00597363"/>
    <w:rsid w:val="0059798D"/>
    <w:rsid w:val="00597C2B"/>
    <w:rsid w:val="005A0291"/>
    <w:rsid w:val="005A0479"/>
    <w:rsid w:val="005A056D"/>
    <w:rsid w:val="005A096E"/>
    <w:rsid w:val="005A09D5"/>
    <w:rsid w:val="005A0C6B"/>
    <w:rsid w:val="005A15B8"/>
    <w:rsid w:val="005A1644"/>
    <w:rsid w:val="005A182F"/>
    <w:rsid w:val="005A1A5B"/>
    <w:rsid w:val="005A1F8C"/>
    <w:rsid w:val="005A25FD"/>
    <w:rsid w:val="005A2738"/>
    <w:rsid w:val="005A2ACB"/>
    <w:rsid w:val="005A2F53"/>
    <w:rsid w:val="005A314D"/>
    <w:rsid w:val="005A32DD"/>
    <w:rsid w:val="005A3A3C"/>
    <w:rsid w:val="005A3D63"/>
    <w:rsid w:val="005A3E1E"/>
    <w:rsid w:val="005A3E46"/>
    <w:rsid w:val="005A3FF5"/>
    <w:rsid w:val="005A42AB"/>
    <w:rsid w:val="005A4926"/>
    <w:rsid w:val="005A4957"/>
    <w:rsid w:val="005A56E3"/>
    <w:rsid w:val="005A597C"/>
    <w:rsid w:val="005A5F5E"/>
    <w:rsid w:val="005A611F"/>
    <w:rsid w:val="005A6607"/>
    <w:rsid w:val="005A66F2"/>
    <w:rsid w:val="005A6982"/>
    <w:rsid w:val="005A6A54"/>
    <w:rsid w:val="005A7AB1"/>
    <w:rsid w:val="005A7BDA"/>
    <w:rsid w:val="005A7E75"/>
    <w:rsid w:val="005B04AD"/>
    <w:rsid w:val="005B0573"/>
    <w:rsid w:val="005B0833"/>
    <w:rsid w:val="005B0CAC"/>
    <w:rsid w:val="005B1117"/>
    <w:rsid w:val="005B1267"/>
    <w:rsid w:val="005B17A7"/>
    <w:rsid w:val="005B1D61"/>
    <w:rsid w:val="005B2238"/>
    <w:rsid w:val="005B2487"/>
    <w:rsid w:val="005B25A8"/>
    <w:rsid w:val="005B2780"/>
    <w:rsid w:val="005B2956"/>
    <w:rsid w:val="005B29F5"/>
    <w:rsid w:val="005B2AB9"/>
    <w:rsid w:val="005B3011"/>
    <w:rsid w:val="005B339F"/>
    <w:rsid w:val="005B3C27"/>
    <w:rsid w:val="005B4A7D"/>
    <w:rsid w:val="005B4DCC"/>
    <w:rsid w:val="005B5063"/>
    <w:rsid w:val="005B5158"/>
    <w:rsid w:val="005B5520"/>
    <w:rsid w:val="005B5F00"/>
    <w:rsid w:val="005B61A7"/>
    <w:rsid w:val="005B6222"/>
    <w:rsid w:val="005B626B"/>
    <w:rsid w:val="005B668C"/>
    <w:rsid w:val="005B68B6"/>
    <w:rsid w:val="005B69ED"/>
    <w:rsid w:val="005B6BA3"/>
    <w:rsid w:val="005B6BF3"/>
    <w:rsid w:val="005B718A"/>
    <w:rsid w:val="005B73D6"/>
    <w:rsid w:val="005B7B44"/>
    <w:rsid w:val="005B7F59"/>
    <w:rsid w:val="005C0047"/>
    <w:rsid w:val="005C0495"/>
    <w:rsid w:val="005C07BB"/>
    <w:rsid w:val="005C08AA"/>
    <w:rsid w:val="005C0A9C"/>
    <w:rsid w:val="005C1C5B"/>
    <w:rsid w:val="005C22C5"/>
    <w:rsid w:val="005C2619"/>
    <w:rsid w:val="005C2EC8"/>
    <w:rsid w:val="005C3AC8"/>
    <w:rsid w:val="005C43BC"/>
    <w:rsid w:val="005C478E"/>
    <w:rsid w:val="005C494D"/>
    <w:rsid w:val="005C4C84"/>
    <w:rsid w:val="005C5350"/>
    <w:rsid w:val="005C53BC"/>
    <w:rsid w:val="005C53CF"/>
    <w:rsid w:val="005C5738"/>
    <w:rsid w:val="005C5A1B"/>
    <w:rsid w:val="005C6276"/>
    <w:rsid w:val="005C66C7"/>
    <w:rsid w:val="005C6EF6"/>
    <w:rsid w:val="005C70DB"/>
    <w:rsid w:val="005C72B8"/>
    <w:rsid w:val="005C76CA"/>
    <w:rsid w:val="005C76DF"/>
    <w:rsid w:val="005C78B9"/>
    <w:rsid w:val="005C7959"/>
    <w:rsid w:val="005C7A73"/>
    <w:rsid w:val="005C7CB6"/>
    <w:rsid w:val="005D05C0"/>
    <w:rsid w:val="005D0780"/>
    <w:rsid w:val="005D07F2"/>
    <w:rsid w:val="005D0C6A"/>
    <w:rsid w:val="005D123B"/>
    <w:rsid w:val="005D1458"/>
    <w:rsid w:val="005D1672"/>
    <w:rsid w:val="005D1703"/>
    <w:rsid w:val="005D18C4"/>
    <w:rsid w:val="005D1971"/>
    <w:rsid w:val="005D1CD8"/>
    <w:rsid w:val="005D20BE"/>
    <w:rsid w:val="005D2347"/>
    <w:rsid w:val="005D26F8"/>
    <w:rsid w:val="005D2A02"/>
    <w:rsid w:val="005D2B24"/>
    <w:rsid w:val="005D332D"/>
    <w:rsid w:val="005D350D"/>
    <w:rsid w:val="005D3766"/>
    <w:rsid w:val="005D3E04"/>
    <w:rsid w:val="005D3E3C"/>
    <w:rsid w:val="005D3FDC"/>
    <w:rsid w:val="005D47E7"/>
    <w:rsid w:val="005D4DA3"/>
    <w:rsid w:val="005D5855"/>
    <w:rsid w:val="005D5DD2"/>
    <w:rsid w:val="005D68AB"/>
    <w:rsid w:val="005D697C"/>
    <w:rsid w:val="005D6DF3"/>
    <w:rsid w:val="005D7036"/>
    <w:rsid w:val="005D7041"/>
    <w:rsid w:val="005E00B8"/>
    <w:rsid w:val="005E02FD"/>
    <w:rsid w:val="005E05D7"/>
    <w:rsid w:val="005E07FC"/>
    <w:rsid w:val="005E0AC8"/>
    <w:rsid w:val="005E121F"/>
    <w:rsid w:val="005E12BE"/>
    <w:rsid w:val="005E16F3"/>
    <w:rsid w:val="005E221A"/>
    <w:rsid w:val="005E2225"/>
    <w:rsid w:val="005E245A"/>
    <w:rsid w:val="005E2960"/>
    <w:rsid w:val="005E2B22"/>
    <w:rsid w:val="005E2CDE"/>
    <w:rsid w:val="005E2E41"/>
    <w:rsid w:val="005E2FFC"/>
    <w:rsid w:val="005E394F"/>
    <w:rsid w:val="005E3B02"/>
    <w:rsid w:val="005E3B94"/>
    <w:rsid w:val="005E3C27"/>
    <w:rsid w:val="005E3C8B"/>
    <w:rsid w:val="005E428D"/>
    <w:rsid w:val="005E4E67"/>
    <w:rsid w:val="005E5749"/>
    <w:rsid w:val="005E584D"/>
    <w:rsid w:val="005E5981"/>
    <w:rsid w:val="005E5E33"/>
    <w:rsid w:val="005E6267"/>
    <w:rsid w:val="005E62B7"/>
    <w:rsid w:val="005E6326"/>
    <w:rsid w:val="005E688F"/>
    <w:rsid w:val="005E71C3"/>
    <w:rsid w:val="005E73D4"/>
    <w:rsid w:val="005E761C"/>
    <w:rsid w:val="005E7A73"/>
    <w:rsid w:val="005E7A76"/>
    <w:rsid w:val="005F0307"/>
    <w:rsid w:val="005F0665"/>
    <w:rsid w:val="005F08F7"/>
    <w:rsid w:val="005F0AF6"/>
    <w:rsid w:val="005F0BC8"/>
    <w:rsid w:val="005F0C38"/>
    <w:rsid w:val="005F0FD6"/>
    <w:rsid w:val="005F1992"/>
    <w:rsid w:val="005F1B71"/>
    <w:rsid w:val="005F2148"/>
    <w:rsid w:val="005F2164"/>
    <w:rsid w:val="005F273A"/>
    <w:rsid w:val="005F2910"/>
    <w:rsid w:val="005F2B71"/>
    <w:rsid w:val="005F2EA6"/>
    <w:rsid w:val="005F3531"/>
    <w:rsid w:val="005F391B"/>
    <w:rsid w:val="005F41A3"/>
    <w:rsid w:val="005F56F5"/>
    <w:rsid w:val="005F58A2"/>
    <w:rsid w:val="005F5C89"/>
    <w:rsid w:val="005F628D"/>
    <w:rsid w:val="005F6301"/>
    <w:rsid w:val="005F7035"/>
    <w:rsid w:val="005F71CC"/>
    <w:rsid w:val="005F72C7"/>
    <w:rsid w:val="005F7966"/>
    <w:rsid w:val="005F7CDF"/>
    <w:rsid w:val="0060020D"/>
    <w:rsid w:val="006006CE"/>
    <w:rsid w:val="00600816"/>
    <w:rsid w:val="00600EF8"/>
    <w:rsid w:val="00601089"/>
    <w:rsid w:val="006010ED"/>
    <w:rsid w:val="006012A1"/>
    <w:rsid w:val="0060136A"/>
    <w:rsid w:val="00601B45"/>
    <w:rsid w:val="00601D9C"/>
    <w:rsid w:val="006025B1"/>
    <w:rsid w:val="00602AEB"/>
    <w:rsid w:val="00602DBD"/>
    <w:rsid w:val="00603115"/>
    <w:rsid w:val="00603300"/>
    <w:rsid w:val="00603446"/>
    <w:rsid w:val="006035CB"/>
    <w:rsid w:val="00603D1C"/>
    <w:rsid w:val="00603D87"/>
    <w:rsid w:val="006048CD"/>
    <w:rsid w:val="006049FC"/>
    <w:rsid w:val="00604AD2"/>
    <w:rsid w:val="00604AFC"/>
    <w:rsid w:val="0060553F"/>
    <w:rsid w:val="006056F2"/>
    <w:rsid w:val="006057F5"/>
    <w:rsid w:val="00605AA1"/>
    <w:rsid w:val="00605D4B"/>
    <w:rsid w:val="00606B19"/>
    <w:rsid w:val="00606DE4"/>
    <w:rsid w:val="0060712E"/>
    <w:rsid w:val="0060788C"/>
    <w:rsid w:val="00607C59"/>
    <w:rsid w:val="00607E31"/>
    <w:rsid w:val="0061005E"/>
    <w:rsid w:val="006105A1"/>
    <w:rsid w:val="006107F8"/>
    <w:rsid w:val="00610B42"/>
    <w:rsid w:val="00611068"/>
    <w:rsid w:val="0061109D"/>
    <w:rsid w:val="006117B7"/>
    <w:rsid w:val="00611C26"/>
    <w:rsid w:val="00611F4F"/>
    <w:rsid w:val="006121BB"/>
    <w:rsid w:val="006122A8"/>
    <w:rsid w:val="006127B0"/>
    <w:rsid w:val="006127DC"/>
    <w:rsid w:val="006128AF"/>
    <w:rsid w:val="00612AF9"/>
    <w:rsid w:val="00612C36"/>
    <w:rsid w:val="00612EA4"/>
    <w:rsid w:val="00612F6D"/>
    <w:rsid w:val="00612F83"/>
    <w:rsid w:val="00613551"/>
    <w:rsid w:val="0061397D"/>
    <w:rsid w:val="00613B45"/>
    <w:rsid w:val="006143EF"/>
    <w:rsid w:val="00614501"/>
    <w:rsid w:val="00614781"/>
    <w:rsid w:val="00614F5E"/>
    <w:rsid w:val="0061534C"/>
    <w:rsid w:val="00615ACC"/>
    <w:rsid w:val="00615E2D"/>
    <w:rsid w:val="006160CB"/>
    <w:rsid w:val="0061663C"/>
    <w:rsid w:val="00616B0B"/>
    <w:rsid w:val="00617108"/>
    <w:rsid w:val="006178A1"/>
    <w:rsid w:val="00617A4E"/>
    <w:rsid w:val="00617C96"/>
    <w:rsid w:val="00617D5C"/>
    <w:rsid w:val="006203C0"/>
    <w:rsid w:val="0062053C"/>
    <w:rsid w:val="0062078F"/>
    <w:rsid w:val="00620EFF"/>
    <w:rsid w:val="00620F31"/>
    <w:rsid w:val="006216E1"/>
    <w:rsid w:val="006216EB"/>
    <w:rsid w:val="00621831"/>
    <w:rsid w:val="0062186A"/>
    <w:rsid w:val="00621AB5"/>
    <w:rsid w:val="00621B17"/>
    <w:rsid w:val="00622984"/>
    <w:rsid w:val="00622F56"/>
    <w:rsid w:val="00622FE6"/>
    <w:rsid w:val="00623035"/>
    <w:rsid w:val="006235AB"/>
    <w:rsid w:val="00623774"/>
    <w:rsid w:val="00623933"/>
    <w:rsid w:val="00623CE6"/>
    <w:rsid w:val="00624304"/>
    <w:rsid w:val="006243FD"/>
    <w:rsid w:val="0062469F"/>
    <w:rsid w:val="00624A0A"/>
    <w:rsid w:val="0062587D"/>
    <w:rsid w:val="00625BDE"/>
    <w:rsid w:val="00625CA8"/>
    <w:rsid w:val="00626D1D"/>
    <w:rsid w:val="00626D20"/>
    <w:rsid w:val="00626D3D"/>
    <w:rsid w:val="006270D8"/>
    <w:rsid w:val="006276D7"/>
    <w:rsid w:val="00627868"/>
    <w:rsid w:val="00627AFB"/>
    <w:rsid w:val="00627FDB"/>
    <w:rsid w:val="00630463"/>
    <w:rsid w:val="006307CC"/>
    <w:rsid w:val="00630A27"/>
    <w:rsid w:val="00630B27"/>
    <w:rsid w:val="00632450"/>
    <w:rsid w:val="00632639"/>
    <w:rsid w:val="00632753"/>
    <w:rsid w:val="00632BD0"/>
    <w:rsid w:val="00632C04"/>
    <w:rsid w:val="00632C93"/>
    <w:rsid w:val="00632D60"/>
    <w:rsid w:val="00632EF2"/>
    <w:rsid w:val="0063329F"/>
    <w:rsid w:val="00633655"/>
    <w:rsid w:val="0063441C"/>
    <w:rsid w:val="00634583"/>
    <w:rsid w:val="00634E7E"/>
    <w:rsid w:val="00634E9E"/>
    <w:rsid w:val="0063547C"/>
    <w:rsid w:val="00635F92"/>
    <w:rsid w:val="006364AE"/>
    <w:rsid w:val="00636784"/>
    <w:rsid w:val="00636BEB"/>
    <w:rsid w:val="00636CDB"/>
    <w:rsid w:val="00636DBA"/>
    <w:rsid w:val="006373AC"/>
    <w:rsid w:val="006373E0"/>
    <w:rsid w:val="00637504"/>
    <w:rsid w:val="00640610"/>
    <w:rsid w:val="006409A5"/>
    <w:rsid w:val="00641B5A"/>
    <w:rsid w:val="00641D3C"/>
    <w:rsid w:val="0064242E"/>
    <w:rsid w:val="006427E0"/>
    <w:rsid w:val="00642A4B"/>
    <w:rsid w:val="00642ACE"/>
    <w:rsid w:val="00643213"/>
    <w:rsid w:val="006435A3"/>
    <w:rsid w:val="00643680"/>
    <w:rsid w:val="00643D52"/>
    <w:rsid w:val="0064419F"/>
    <w:rsid w:val="006443D5"/>
    <w:rsid w:val="00644675"/>
    <w:rsid w:val="00645069"/>
    <w:rsid w:val="006455C0"/>
    <w:rsid w:val="00645978"/>
    <w:rsid w:val="0064618F"/>
    <w:rsid w:val="00646E62"/>
    <w:rsid w:val="00647184"/>
    <w:rsid w:val="00647833"/>
    <w:rsid w:val="006504D9"/>
    <w:rsid w:val="00650AD1"/>
    <w:rsid w:val="00650E64"/>
    <w:rsid w:val="00650F01"/>
    <w:rsid w:val="00651104"/>
    <w:rsid w:val="00651771"/>
    <w:rsid w:val="00651816"/>
    <w:rsid w:val="0065192B"/>
    <w:rsid w:val="00651997"/>
    <w:rsid w:val="00651A7F"/>
    <w:rsid w:val="00651F5F"/>
    <w:rsid w:val="00652454"/>
    <w:rsid w:val="00652CFB"/>
    <w:rsid w:val="006530BA"/>
    <w:rsid w:val="0065334D"/>
    <w:rsid w:val="0065377E"/>
    <w:rsid w:val="00653BAA"/>
    <w:rsid w:val="00653CD8"/>
    <w:rsid w:val="00653E60"/>
    <w:rsid w:val="00654B7B"/>
    <w:rsid w:val="00654DA5"/>
    <w:rsid w:val="00655B5F"/>
    <w:rsid w:val="00655DE1"/>
    <w:rsid w:val="00655E2E"/>
    <w:rsid w:val="006561FA"/>
    <w:rsid w:val="00656348"/>
    <w:rsid w:val="006570EC"/>
    <w:rsid w:val="00657610"/>
    <w:rsid w:val="006576D8"/>
    <w:rsid w:val="00657C57"/>
    <w:rsid w:val="00657D56"/>
    <w:rsid w:val="00660077"/>
    <w:rsid w:val="00660512"/>
    <w:rsid w:val="00660BE5"/>
    <w:rsid w:val="00661024"/>
    <w:rsid w:val="006611F3"/>
    <w:rsid w:val="00661894"/>
    <w:rsid w:val="0066198E"/>
    <w:rsid w:val="00661E92"/>
    <w:rsid w:val="0066203F"/>
    <w:rsid w:val="0066214F"/>
    <w:rsid w:val="0066223B"/>
    <w:rsid w:val="00662549"/>
    <w:rsid w:val="00662715"/>
    <w:rsid w:val="006629A9"/>
    <w:rsid w:val="00662D25"/>
    <w:rsid w:val="006631D4"/>
    <w:rsid w:val="006635F1"/>
    <w:rsid w:val="006636F9"/>
    <w:rsid w:val="006637CA"/>
    <w:rsid w:val="00663B6A"/>
    <w:rsid w:val="00663CD4"/>
    <w:rsid w:val="00663F81"/>
    <w:rsid w:val="0066414A"/>
    <w:rsid w:val="006641B2"/>
    <w:rsid w:val="006643FD"/>
    <w:rsid w:val="00664C7F"/>
    <w:rsid w:val="00664D53"/>
    <w:rsid w:val="00664D87"/>
    <w:rsid w:val="0066509C"/>
    <w:rsid w:val="006650FD"/>
    <w:rsid w:val="00665403"/>
    <w:rsid w:val="0066576E"/>
    <w:rsid w:val="00665B5B"/>
    <w:rsid w:val="0066620E"/>
    <w:rsid w:val="006662D7"/>
    <w:rsid w:val="006662ED"/>
    <w:rsid w:val="006663F8"/>
    <w:rsid w:val="0066667A"/>
    <w:rsid w:val="00666F62"/>
    <w:rsid w:val="00667223"/>
    <w:rsid w:val="006674C9"/>
    <w:rsid w:val="0066764B"/>
    <w:rsid w:val="00667B73"/>
    <w:rsid w:val="00667BA1"/>
    <w:rsid w:val="00667D65"/>
    <w:rsid w:val="00667EEF"/>
    <w:rsid w:val="0067005E"/>
    <w:rsid w:val="006706EF"/>
    <w:rsid w:val="00670C58"/>
    <w:rsid w:val="006712F1"/>
    <w:rsid w:val="00671FB0"/>
    <w:rsid w:val="006720F0"/>
    <w:rsid w:val="006724B9"/>
    <w:rsid w:val="00672A65"/>
    <w:rsid w:val="00673025"/>
    <w:rsid w:val="0067339A"/>
    <w:rsid w:val="00673536"/>
    <w:rsid w:val="006737EA"/>
    <w:rsid w:val="0067394F"/>
    <w:rsid w:val="00673C18"/>
    <w:rsid w:val="00673D7D"/>
    <w:rsid w:val="006742F1"/>
    <w:rsid w:val="00674630"/>
    <w:rsid w:val="0067493A"/>
    <w:rsid w:val="006749DF"/>
    <w:rsid w:val="006751F7"/>
    <w:rsid w:val="0067565D"/>
    <w:rsid w:val="00675696"/>
    <w:rsid w:val="006756A9"/>
    <w:rsid w:val="00675867"/>
    <w:rsid w:val="00675D09"/>
    <w:rsid w:val="0067609B"/>
    <w:rsid w:val="006764CC"/>
    <w:rsid w:val="006767CD"/>
    <w:rsid w:val="00676900"/>
    <w:rsid w:val="006770D9"/>
    <w:rsid w:val="0067728D"/>
    <w:rsid w:val="006775E4"/>
    <w:rsid w:val="0067764C"/>
    <w:rsid w:val="006776DA"/>
    <w:rsid w:val="006778A8"/>
    <w:rsid w:val="00680194"/>
    <w:rsid w:val="0068062D"/>
    <w:rsid w:val="00680B2A"/>
    <w:rsid w:val="00680C63"/>
    <w:rsid w:val="00680CC9"/>
    <w:rsid w:val="00680F75"/>
    <w:rsid w:val="006810DF"/>
    <w:rsid w:val="00681174"/>
    <w:rsid w:val="006817D9"/>
    <w:rsid w:val="006819EC"/>
    <w:rsid w:val="006820EA"/>
    <w:rsid w:val="0068246A"/>
    <w:rsid w:val="00682620"/>
    <w:rsid w:val="00682914"/>
    <w:rsid w:val="00682C61"/>
    <w:rsid w:val="006831A6"/>
    <w:rsid w:val="006833B2"/>
    <w:rsid w:val="006837A6"/>
    <w:rsid w:val="0068386E"/>
    <w:rsid w:val="006838FE"/>
    <w:rsid w:val="00683B65"/>
    <w:rsid w:val="00684591"/>
    <w:rsid w:val="006845F7"/>
    <w:rsid w:val="00684747"/>
    <w:rsid w:val="00684FDF"/>
    <w:rsid w:val="00685457"/>
    <w:rsid w:val="006855D7"/>
    <w:rsid w:val="006857D5"/>
    <w:rsid w:val="00685900"/>
    <w:rsid w:val="006863AC"/>
    <w:rsid w:val="00686797"/>
    <w:rsid w:val="0068689C"/>
    <w:rsid w:val="00686AA4"/>
    <w:rsid w:val="00686FC9"/>
    <w:rsid w:val="006872CE"/>
    <w:rsid w:val="00687482"/>
    <w:rsid w:val="0068774F"/>
    <w:rsid w:val="00687849"/>
    <w:rsid w:val="00687A9A"/>
    <w:rsid w:val="00687F04"/>
    <w:rsid w:val="00690771"/>
    <w:rsid w:val="0069096E"/>
    <w:rsid w:val="0069131A"/>
    <w:rsid w:val="0069159E"/>
    <w:rsid w:val="006916F5"/>
    <w:rsid w:val="006918B4"/>
    <w:rsid w:val="00691A7C"/>
    <w:rsid w:val="00691EDA"/>
    <w:rsid w:val="00692367"/>
    <w:rsid w:val="0069254F"/>
    <w:rsid w:val="00692843"/>
    <w:rsid w:val="00692A61"/>
    <w:rsid w:val="00692C51"/>
    <w:rsid w:val="00692F2B"/>
    <w:rsid w:val="006933AA"/>
    <w:rsid w:val="0069366A"/>
    <w:rsid w:val="00693B5B"/>
    <w:rsid w:val="00694090"/>
    <w:rsid w:val="00694F6D"/>
    <w:rsid w:val="00694FB3"/>
    <w:rsid w:val="00695FF7"/>
    <w:rsid w:val="00696196"/>
    <w:rsid w:val="006965AF"/>
    <w:rsid w:val="00696831"/>
    <w:rsid w:val="006968CB"/>
    <w:rsid w:val="00696F70"/>
    <w:rsid w:val="00697052"/>
    <w:rsid w:val="00697132"/>
    <w:rsid w:val="00697516"/>
    <w:rsid w:val="006978B7"/>
    <w:rsid w:val="006A0B48"/>
    <w:rsid w:val="006A0C74"/>
    <w:rsid w:val="006A127D"/>
    <w:rsid w:val="006A147A"/>
    <w:rsid w:val="006A1D8D"/>
    <w:rsid w:val="006A1E90"/>
    <w:rsid w:val="006A20A8"/>
    <w:rsid w:val="006A21F0"/>
    <w:rsid w:val="006A260F"/>
    <w:rsid w:val="006A27C0"/>
    <w:rsid w:val="006A2C22"/>
    <w:rsid w:val="006A2C8E"/>
    <w:rsid w:val="006A2F54"/>
    <w:rsid w:val="006A36C8"/>
    <w:rsid w:val="006A3836"/>
    <w:rsid w:val="006A3DAE"/>
    <w:rsid w:val="006A41E8"/>
    <w:rsid w:val="006A4716"/>
    <w:rsid w:val="006A4A56"/>
    <w:rsid w:val="006A4C1E"/>
    <w:rsid w:val="006A4CF1"/>
    <w:rsid w:val="006A4FAF"/>
    <w:rsid w:val="006A51A1"/>
    <w:rsid w:val="006A55A9"/>
    <w:rsid w:val="006A5CD8"/>
    <w:rsid w:val="006A5F06"/>
    <w:rsid w:val="006A6010"/>
    <w:rsid w:val="006A613E"/>
    <w:rsid w:val="006A61EE"/>
    <w:rsid w:val="006A6417"/>
    <w:rsid w:val="006A6BB0"/>
    <w:rsid w:val="006A73A7"/>
    <w:rsid w:val="006A7C47"/>
    <w:rsid w:val="006A7DE1"/>
    <w:rsid w:val="006B03F3"/>
    <w:rsid w:val="006B0475"/>
    <w:rsid w:val="006B0976"/>
    <w:rsid w:val="006B1255"/>
    <w:rsid w:val="006B18BD"/>
    <w:rsid w:val="006B196B"/>
    <w:rsid w:val="006B22FD"/>
    <w:rsid w:val="006B2927"/>
    <w:rsid w:val="006B2B60"/>
    <w:rsid w:val="006B2D8B"/>
    <w:rsid w:val="006B3744"/>
    <w:rsid w:val="006B399F"/>
    <w:rsid w:val="006B39BA"/>
    <w:rsid w:val="006B40B5"/>
    <w:rsid w:val="006B41A6"/>
    <w:rsid w:val="006B42DE"/>
    <w:rsid w:val="006B4335"/>
    <w:rsid w:val="006B4711"/>
    <w:rsid w:val="006B4898"/>
    <w:rsid w:val="006B48FE"/>
    <w:rsid w:val="006B4BCF"/>
    <w:rsid w:val="006B5073"/>
    <w:rsid w:val="006B50D8"/>
    <w:rsid w:val="006B5DD5"/>
    <w:rsid w:val="006B6027"/>
    <w:rsid w:val="006B6071"/>
    <w:rsid w:val="006B6836"/>
    <w:rsid w:val="006B6D06"/>
    <w:rsid w:val="006B75FF"/>
    <w:rsid w:val="006B762B"/>
    <w:rsid w:val="006B76ED"/>
    <w:rsid w:val="006B7BE4"/>
    <w:rsid w:val="006C01CE"/>
    <w:rsid w:val="006C0277"/>
    <w:rsid w:val="006C046E"/>
    <w:rsid w:val="006C080E"/>
    <w:rsid w:val="006C1202"/>
    <w:rsid w:val="006C1434"/>
    <w:rsid w:val="006C1839"/>
    <w:rsid w:val="006C1B4A"/>
    <w:rsid w:val="006C1FAA"/>
    <w:rsid w:val="006C2173"/>
    <w:rsid w:val="006C2765"/>
    <w:rsid w:val="006C29F1"/>
    <w:rsid w:val="006C2A55"/>
    <w:rsid w:val="006C2CB1"/>
    <w:rsid w:val="006C3559"/>
    <w:rsid w:val="006C3921"/>
    <w:rsid w:val="006C3B1D"/>
    <w:rsid w:val="006C4067"/>
    <w:rsid w:val="006C4112"/>
    <w:rsid w:val="006C4528"/>
    <w:rsid w:val="006C48F0"/>
    <w:rsid w:val="006C49A2"/>
    <w:rsid w:val="006C49F0"/>
    <w:rsid w:val="006C4A92"/>
    <w:rsid w:val="006C5494"/>
    <w:rsid w:val="006C5687"/>
    <w:rsid w:val="006C56DD"/>
    <w:rsid w:val="006C5869"/>
    <w:rsid w:val="006C5CC1"/>
    <w:rsid w:val="006C5D48"/>
    <w:rsid w:val="006C60F1"/>
    <w:rsid w:val="006C61CF"/>
    <w:rsid w:val="006C68D9"/>
    <w:rsid w:val="006C7198"/>
    <w:rsid w:val="006C74C0"/>
    <w:rsid w:val="006C74C2"/>
    <w:rsid w:val="006C7D46"/>
    <w:rsid w:val="006D00B7"/>
    <w:rsid w:val="006D0401"/>
    <w:rsid w:val="006D0453"/>
    <w:rsid w:val="006D06FD"/>
    <w:rsid w:val="006D07B4"/>
    <w:rsid w:val="006D0C27"/>
    <w:rsid w:val="006D0C32"/>
    <w:rsid w:val="006D0EF3"/>
    <w:rsid w:val="006D0FB7"/>
    <w:rsid w:val="006D111A"/>
    <w:rsid w:val="006D16B6"/>
    <w:rsid w:val="006D1708"/>
    <w:rsid w:val="006D178D"/>
    <w:rsid w:val="006D1A43"/>
    <w:rsid w:val="006D1CC6"/>
    <w:rsid w:val="006D1EDB"/>
    <w:rsid w:val="006D292A"/>
    <w:rsid w:val="006D29BA"/>
    <w:rsid w:val="006D2A2A"/>
    <w:rsid w:val="006D2B62"/>
    <w:rsid w:val="006D2C49"/>
    <w:rsid w:val="006D2EBA"/>
    <w:rsid w:val="006D2FEB"/>
    <w:rsid w:val="006D30FB"/>
    <w:rsid w:val="006D313B"/>
    <w:rsid w:val="006D3338"/>
    <w:rsid w:val="006D337A"/>
    <w:rsid w:val="006D34D0"/>
    <w:rsid w:val="006D3877"/>
    <w:rsid w:val="006D3A0E"/>
    <w:rsid w:val="006D48BF"/>
    <w:rsid w:val="006D4995"/>
    <w:rsid w:val="006D4CB2"/>
    <w:rsid w:val="006D4F52"/>
    <w:rsid w:val="006D584D"/>
    <w:rsid w:val="006D5C79"/>
    <w:rsid w:val="006D5EE0"/>
    <w:rsid w:val="006D5EFE"/>
    <w:rsid w:val="006D5FE7"/>
    <w:rsid w:val="006D6181"/>
    <w:rsid w:val="006D6622"/>
    <w:rsid w:val="006D68FF"/>
    <w:rsid w:val="006D7148"/>
    <w:rsid w:val="006D78E5"/>
    <w:rsid w:val="006D7F93"/>
    <w:rsid w:val="006E009B"/>
    <w:rsid w:val="006E02FA"/>
    <w:rsid w:val="006E04F7"/>
    <w:rsid w:val="006E05B0"/>
    <w:rsid w:val="006E0742"/>
    <w:rsid w:val="006E089C"/>
    <w:rsid w:val="006E0952"/>
    <w:rsid w:val="006E0BF1"/>
    <w:rsid w:val="006E0C45"/>
    <w:rsid w:val="006E0CB1"/>
    <w:rsid w:val="006E0D97"/>
    <w:rsid w:val="006E0E02"/>
    <w:rsid w:val="006E11DE"/>
    <w:rsid w:val="006E1601"/>
    <w:rsid w:val="006E17B7"/>
    <w:rsid w:val="006E1DE1"/>
    <w:rsid w:val="006E1FE7"/>
    <w:rsid w:val="006E2228"/>
    <w:rsid w:val="006E28C9"/>
    <w:rsid w:val="006E2A3E"/>
    <w:rsid w:val="006E2F7C"/>
    <w:rsid w:val="006E33D2"/>
    <w:rsid w:val="006E3403"/>
    <w:rsid w:val="006E3B4A"/>
    <w:rsid w:val="006E410A"/>
    <w:rsid w:val="006E4EBF"/>
    <w:rsid w:val="006E518E"/>
    <w:rsid w:val="006E5957"/>
    <w:rsid w:val="006E5C2D"/>
    <w:rsid w:val="006E5D9A"/>
    <w:rsid w:val="006E6423"/>
    <w:rsid w:val="006E65C3"/>
    <w:rsid w:val="006E660D"/>
    <w:rsid w:val="006E75DD"/>
    <w:rsid w:val="006F0592"/>
    <w:rsid w:val="006F0612"/>
    <w:rsid w:val="006F06DA"/>
    <w:rsid w:val="006F06E9"/>
    <w:rsid w:val="006F0751"/>
    <w:rsid w:val="006F0A7A"/>
    <w:rsid w:val="006F0EE2"/>
    <w:rsid w:val="006F103A"/>
    <w:rsid w:val="006F10FD"/>
    <w:rsid w:val="006F162C"/>
    <w:rsid w:val="006F19C1"/>
    <w:rsid w:val="006F1C20"/>
    <w:rsid w:val="006F1D57"/>
    <w:rsid w:val="006F296F"/>
    <w:rsid w:val="006F2A7F"/>
    <w:rsid w:val="006F2BE5"/>
    <w:rsid w:val="006F2E46"/>
    <w:rsid w:val="006F2E8D"/>
    <w:rsid w:val="006F2F8C"/>
    <w:rsid w:val="006F3067"/>
    <w:rsid w:val="006F30DB"/>
    <w:rsid w:val="006F330A"/>
    <w:rsid w:val="006F342A"/>
    <w:rsid w:val="006F3755"/>
    <w:rsid w:val="006F46DE"/>
    <w:rsid w:val="006F4ED1"/>
    <w:rsid w:val="006F53C0"/>
    <w:rsid w:val="006F5892"/>
    <w:rsid w:val="006F5B97"/>
    <w:rsid w:val="006F5E90"/>
    <w:rsid w:val="006F5FBC"/>
    <w:rsid w:val="006F6289"/>
    <w:rsid w:val="006F6410"/>
    <w:rsid w:val="006F646B"/>
    <w:rsid w:val="006F6590"/>
    <w:rsid w:val="006F6A71"/>
    <w:rsid w:val="006F7236"/>
    <w:rsid w:val="006F784A"/>
    <w:rsid w:val="006F7B02"/>
    <w:rsid w:val="0070051C"/>
    <w:rsid w:val="00700693"/>
    <w:rsid w:val="00701198"/>
    <w:rsid w:val="0070139F"/>
    <w:rsid w:val="00701AFE"/>
    <w:rsid w:val="007020F2"/>
    <w:rsid w:val="00702A3B"/>
    <w:rsid w:val="00702AB7"/>
    <w:rsid w:val="00702C02"/>
    <w:rsid w:val="007030CE"/>
    <w:rsid w:val="00703146"/>
    <w:rsid w:val="0070387F"/>
    <w:rsid w:val="00704300"/>
    <w:rsid w:val="00704356"/>
    <w:rsid w:val="007044D3"/>
    <w:rsid w:val="00704CAE"/>
    <w:rsid w:val="00704E0A"/>
    <w:rsid w:val="00704F33"/>
    <w:rsid w:val="007052CA"/>
    <w:rsid w:val="0070533B"/>
    <w:rsid w:val="0070599F"/>
    <w:rsid w:val="00705A26"/>
    <w:rsid w:val="00705B67"/>
    <w:rsid w:val="00705D69"/>
    <w:rsid w:val="00705E36"/>
    <w:rsid w:val="00706EF5"/>
    <w:rsid w:val="00707055"/>
    <w:rsid w:val="00707082"/>
    <w:rsid w:val="0070724D"/>
    <w:rsid w:val="007072ED"/>
    <w:rsid w:val="00707ADB"/>
    <w:rsid w:val="00707BA3"/>
    <w:rsid w:val="00710297"/>
    <w:rsid w:val="00710437"/>
    <w:rsid w:val="00710566"/>
    <w:rsid w:val="00710C9D"/>
    <w:rsid w:val="00710F26"/>
    <w:rsid w:val="00710F7F"/>
    <w:rsid w:val="007112A0"/>
    <w:rsid w:val="00711AED"/>
    <w:rsid w:val="00711CEB"/>
    <w:rsid w:val="007120BB"/>
    <w:rsid w:val="007122AE"/>
    <w:rsid w:val="00712818"/>
    <w:rsid w:val="00712D7E"/>
    <w:rsid w:val="007136C8"/>
    <w:rsid w:val="00713CF8"/>
    <w:rsid w:val="0071433A"/>
    <w:rsid w:val="00714650"/>
    <w:rsid w:val="00714664"/>
    <w:rsid w:val="00714930"/>
    <w:rsid w:val="00714E82"/>
    <w:rsid w:val="007150C2"/>
    <w:rsid w:val="00715230"/>
    <w:rsid w:val="00715B5E"/>
    <w:rsid w:val="00715EA3"/>
    <w:rsid w:val="00715F01"/>
    <w:rsid w:val="0071642B"/>
    <w:rsid w:val="00716494"/>
    <w:rsid w:val="007167D1"/>
    <w:rsid w:val="00716D92"/>
    <w:rsid w:val="00717427"/>
    <w:rsid w:val="00717937"/>
    <w:rsid w:val="00717F73"/>
    <w:rsid w:val="007208AC"/>
    <w:rsid w:val="00720A27"/>
    <w:rsid w:val="00720A49"/>
    <w:rsid w:val="00720CD5"/>
    <w:rsid w:val="00721192"/>
    <w:rsid w:val="00721359"/>
    <w:rsid w:val="00721489"/>
    <w:rsid w:val="00721564"/>
    <w:rsid w:val="00721649"/>
    <w:rsid w:val="007219A3"/>
    <w:rsid w:val="00721A8F"/>
    <w:rsid w:val="00721EF8"/>
    <w:rsid w:val="00722336"/>
    <w:rsid w:val="0072240D"/>
    <w:rsid w:val="0072298D"/>
    <w:rsid w:val="00722A3A"/>
    <w:rsid w:val="00722C6B"/>
    <w:rsid w:val="007232FE"/>
    <w:rsid w:val="0072369E"/>
    <w:rsid w:val="007236BD"/>
    <w:rsid w:val="00724C58"/>
    <w:rsid w:val="007251AF"/>
    <w:rsid w:val="00725328"/>
    <w:rsid w:val="00725842"/>
    <w:rsid w:val="00725CA7"/>
    <w:rsid w:val="00726BC0"/>
    <w:rsid w:val="00726E23"/>
    <w:rsid w:val="007272EF"/>
    <w:rsid w:val="007276E6"/>
    <w:rsid w:val="00727756"/>
    <w:rsid w:val="00727942"/>
    <w:rsid w:val="00730060"/>
    <w:rsid w:val="007303D9"/>
    <w:rsid w:val="00730BA6"/>
    <w:rsid w:val="00731BA7"/>
    <w:rsid w:val="007321BA"/>
    <w:rsid w:val="00732236"/>
    <w:rsid w:val="00732299"/>
    <w:rsid w:val="00732394"/>
    <w:rsid w:val="007326E4"/>
    <w:rsid w:val="00732F3C"/>
    <w:rsid w:val="0073321A"/>
    <w:rsid w:val="007332CA"/>
    <w:rsid w:val="007336CD"/>
    <w:rsid w:val="0073371A"/>
    <w:rsid w:val="00733839"/>
    <w:rsid w:val="007341A4"/>
    <w:rsid w:val="0073473B"/>
    <w:rsid w:val="00734A1E"/>
    <w:rsid w:val="00734ACE"/>
    <w:rsid w:val="0073518C"/>
    <w:rsid w:val="007351D8"/>
    <w:rsid w:val="00735483"/>
    <w:rsid w:val="00735853"/>
    <w:rsid w:val="00735889"/>
    <w:rsid w:val="007360ED"/>
    <w:rsid w:val="007364FE"/>
    <w:rsid w:val="00737162"/>
    <w:rsid w:val="00737766"/>
    <w:rsid w:val="0073797E"/>
    <w:rsid w:val="00737CF2"/>
    <w:rsid w:val="00737FEF"/>
    <w:rsid w:val="00740169"/>
    <w:rsid w:val="00740AD7"/>
    <w:rsid w:val="0074117C"/>
    <w:rsid w:val="007417A3"/>
    <w:rsid w:val="007417EE"/>
    <w:rsid w:val="00741A33"/>
    <w:rsid w:val="00741A45"/>
    <w:rsid w:val="00741B0D"/>
    <w:rsid w:val="00741DB0"/>
    <w:rsid w:val="007420F4"/>
    <w:rsid w:val="00742115"/>
    <w:rsid w:val="007421E8"/>
    <w:rsid w:val="0074261E"/>
    <w:rsid w:val="00742D78"/>
    <w:rsid w:val="00742FAF"/>
    <w:rsid w:val="007430E3"/>
    <w:rsid w:val="007437F8"/>
    <w:rsid w:val="00743BBB"/>
    <w:rsid w:val="00743C56"/>
    <w:rsid w:val="00743D7A"/>
    <w:rsid w:val="00743DE5"/>
    <w:rsid w:val="00744269"/>
    <w:rsid w:val="0074439B"/>
    <w:rsid w:val="00744537"/>
    <w:rsid w:val="007447B4"/>
    <w:rsid w:val="00744F98"/>
    <w:rsid w:val="00745AF6"/>
    <w:rsid w:val="00745D89"/>
    <w:rsid w:val="00745F57"/>
    <w:rsid w:val="007465DE"/>
    <w:rsid w:val="0074660B"/>
    <w:rsid w:val="00746FAC"/>
    <w:rsid w:val="0074732A"/>
    <w:rsid w:val="0074737B"/>
    <w:rsid w:val="007474BA"/>
    <w:rsid w:val="007474E9"/>
    <w:rsid w:val="0074792A"/>
    <w:rsid w:val="0074799E"/>
    <w:rsid w:val="00747B19"/>
    <w:rsid w:val="00747C66"/>
    <w:rsid w:val="0075040F"/>
    <w:rsid w:val="00750882"/>
    <w:rsid w:val="007517F8"/>
    <w:rsid w:val="00751BFF"/>
    <w:rsid w:val="00751CCD"/>
    <w:rsid w:val="007520D4"/>
    <w:rsid w:val="007523C4"/>
    <w:rsid w:val="007525B3"/>
    <w:rsid w:val="0075283C"/>
    <w:rsid w:val="007529A3"/>
    <w:rsid w:val="007529BE"/>
    <w:rsid w:val="0075328F"/>
    <w:rsid w:val="00753A74"/>
    <w:rsid w:val="00753AC3"/>
    <w:rsid w:val="00753B2F"/>
    <w:rsid w:val="00753D6B"/>
    <w:rsid w:val="00753F7C"/>
    <w:rsid w:val="00753FA2"/>
    <w:rsid w:val="00754416"/>
    <w:rsid w:val="00754BCE"/>
    <w:rsid w:val="00754D20"/>
    <w:rsid w:val="00754D59"/>
    <w:rsid w:val="0075512F"/>
    <w:rsid w:val="007552C5"/>
    <w:rsid w:val="0075593F"/>
    <w:rsid w:val="00755CDE"/>
    <w:rsid w:val="007560A0"/>
    <w:rsid w:val="00756253"/>
    <w:rsid w:val="007564CD"/>
    <w:rsid w:val="0075674D"/>
    <w:rsid w:val="00756F3B"/>
    <w:rsid w:val="00756FC0"/>
    <w:rsid w:val="00756FDD"/>
    <w:rsid w:val="00757AD2"/>
    <w:rsid w:val="00757BAB"/>
    <w:rsid w:val="007609CC"/>
    <w:rsid w:val="00760E8F"/>
    <w:rsid w:val="00761040"/>
    <w:rsid w:val="00761AD5"/>
    <w:rsid w:val="00761C2D"/>
    <w:rsid w:val="00761CF1"/>
    <w:rsid w:val="00761F1E"/>
    <w:rsid w:val="00762842"/>
    <w:rsid w:val="00762B60"/>
    <w:rsid w:val="00763469"/>
    <w:rsid w:val="00763577"/>
    <w:rsid w:val="00763914"/>
    <w:rsid w:val="0076399B"/>
    <w:rsid w:val="00763DCB"/>
    <w:rsid w:val="00764371"/>
    <w:rsid w:val="007648F4"/>
    <w:rsid w:val="00764B15"/>
    <w:rsid w:val="00764C63"/>
    <w:rsid w:val="00764F25"/>
    <w:rsid w:val="00765893"/>
    <w:rsid w:val="00765EC9"/>
    <w:rsid w:val="007660A2"/>
    <w:rsid w:val="00766320"/>
    <w:rsid w:val="0076641E"/>
    <w:rsid w:val="00766FC2"/>
    <w:rsid w:val="00767BB0"/>
    <w:rsid w:val="00767BF9"/>
    <w:rsid w:val="00767E1E"/>
    <w:rsid w:val="00767EC8"/>
    <w:rsid w:val="00770311"/>
    <w:rsid w:val="007707FC"/>
    <w:rsid w:val="00770AF8"/>
    <w:rsid w:val="00770B2E"/>
    <w:rsid w:val="00770C3B"/>
    <w:rsid w:val="00770E74"/>
    <w:rsid w:val="007711E9"/>
    <w:rsid w:val="007714CD"/>
    <w:rsid w:val="00771710"/>
    <w:rsid w:val="00771B64"/>
    <w:rsid w:val="00771F3A"/>
    <w:rsid w:val="007720A9"/>
    <w:rsid w:val="00772141"/>
    <w:rsid w:val="007721AB"/>
    <w:rsid w:val="00772335"/>
    <w:rsid w:val="007726C4"/>
    <w:rsid w:val="00772B72"/>
    <w:rsid w:val="00772CF4"/>
    <w:rsid w:val="00772D10"/>
    <w:rsid w:val="00772E0A"/>
    <w:rsid w:val="0077335E"/>
    <w:rsid w:val="007733FB"/>
    <w:rsid w:val="0077368E"/>
    <w:rsid w:val="00774734"/>
    <w:rsid w:val="00774E30"/>
    <w:rsid w:val="007750F7"/>
    <w:rsid w:val="00775492"/>
    <w:rsid w:val="00775BE2"/>
    <w:rsid w:val="00775D46"/>
    <w:rsid w:val="007761E9"/>
    <w:rsid w:val="007764DE"/>
    <w:rsid w:val="00776547"/>
    <w:rsid w:val="00776695"/>
    <w:rsid w:val="00777114"/>
    <w:rsid w:val="00777755"/>
    <w:rsid w:val="00777BAC"/>
    <w:rsid w:val="00780230"/>
    <w:rsid w:val="007802BE"/>
    <w:rsid w:val="00780883"/>
    <w:rsid w:val="00780CB9"/>
    <w:rsid w:val="00780D78"/>
    <w:rsid w:val="00781220"/>
    <w:rsid w:val="00781662"/>
    <w:rsid w:val="007818DD"/>
    <w:rsid w:val="00782310"/>
    <w:rsid w:val="007828DB"/>
    <w:rsid w:val="00782942"/>
    <w:rsid w:val="00782A85"/>
    <w:rsid w:val="00782AA3"/>
    <w:rsid w:val="0078320E"/>
    <w:rsid w:val="00783392"/>
    <w:rsid w:val="00783B2A"/>
    <w:rsid w:val="00784288"/>
    <w:rsid w:val="00784BAA"/>
    <w:rsid w:val="00784E5E"/>
    <w:rsid w:val="007851BF"/>
    <w:rsid w:val="0078551B"/>
    <w:rsid w:val="00785A71"/>
    <w:rsid w:val="00785D9A"/>
    <w:rsid w:val="00786711"/>
    <w:rsid w:val="00786E75"/>
    <w:rsid w:val="0078743C"/>
    <w:rsid w:val="00787A4B"/>
    <w:rsid w:val="00787D58"/>
    <w:rsid w:val="0079012B"/>
    <w:rsid w:val="007902DC"/>
    <w:rsid w:val="00790786"/>
    <w:rsid w:val="00790B79"/>
    <w:rsid w:val="00790CA3"/>
    <w:rsid w:val="00790D37"/>
    <w:rsid w:val="00790E31"/>
    <w:rsid w:val="00791960"/>
    <w:rsid w:val="00791B7D"/>
    <w:rsid w:val="00791FC0"/>
    <w:rsid w:val="00792185"/>
    <w:rsid w:val="00792361"/>
    <w:rsid w:val="00792DC5"/>
    <w:rsid w:val="00792FDA"/>
    <w:rsid w:val="007933E6"/>
    <w:rsid w:val="0079343F"/>
    <w:rsid w:val="007941C7"/>
    <w:rsid w:val="00794827"/>
    <w:rsid w:val="00794F0D"/>
    <w:rsid w:val="00794FD7"/>
    <w:rsid w:val="007954CD"/>
    <w:rsid w:val="00795662"/>
    <w:rsid w:val="00795899"/>
    <w:rsid w:val="00795C08"/>
    <w:rsid w:val="00795C1E"/>
    <w:rsid w:val="007961D2"/>
    <w:rsid w:val="00796760"/>
    <w:rsid w:val="00797087"/>
    <w:rsid w:val="0079708F"/>
    <w:rsid w:val="007970DA"/>
    <w:rsid w:val="007977A3"/>
    <w:rsid w:val="00797C32"/>
    <w:rsid w:val="007A014B"/>
    <w:rsid w:val="007A05EE"/>
    <w:rsid w:val="007A0841"/>
    <w:rsid w:val="007A0843"/>
    <w:rsid w:val="007A0BD1"/>
    <w:rsid w:val="007A1294"/>
    <w:rsid w:val="007A1469"/>
    <w:rsid w:val="007A16A2"/>
    <w:rsid w:val="007A16ED"/>
    <w:rsid w:val="007A2020"/>
    <w:rsid w:val="007A25C8"/>
    <w:rsid w:val="007A29FC"/>
    <w:rsid w:val="007A2A4C"/>
    <w:rsid w:val="007A2ADF"/>
    <w:rsid w:val="007A2C62"/>
    <w:rsid w:val="007A2E5B"/>
    <w:rsid w:val="007A30FB"/>
    <w:rsid w:val="007A3573"/>
    <w:rsid w:val="007A360D"/>
    <w:rsid w:val="007A36D0"/>
    <w:rsid w:val="007A38EE"/>
    <w:rsid w:val="007A3CE6"/>
    <w:rsid w:val="007A469B"/>
    <w:rsid w:val="007A492C"/>
    <w:rsid w:val="007A4A91"/>
    <w:rsid w:val="007A4B2F"/>
    <w:rsid w:val="007A4C0C"/>
    <w:rsid w:val="007A5820"/>
    <w:rsid w:val="007A5906"/>
    <w:rsid w:val="007A5BF8"/>
    <w:rsid w:val="007A5E97"/>
    <w:rsid w:val="007A63A8"/>
    <w:rsid w:val="007A6704"/>
    <w:rsid w:val="007A6EDD"/>
    <w:rsid w:val="007A6FB1"/>
    <w:rsid w:val="007A708C"/>
    <w:rsid w:val="007A70F7"/>
    <w:rsid w:val="007A721F"/>
    <w:rsid w:val="007A7262"/>
    <w:rsid w:val="007A73AB"/>
    <w:rsid w:val="007B0349"/>
    <w:rsid w:val="007B04C4"/>
    <w:rsid w:val="007B0697"/>
    <w:rsid w:val="007B073A"/>
    <w:rsid w:val="007B0998"/>
    <w:rsid w:val="007B0CB5"/>
    <w:rsid w:val="007B0D32"/>
    <w:rsid w:val="007B0D9C"/>
    <w:rsid w:val="007B17A4"/>
    <w:rsid w:val="007B23B6"/>
    <w:rsid w:val="007B2D0A"/>
    <w:rsid w:val="007B382A"/>
    <w:rsid w:val="007B387A"/>
    <w:rsid w:val="007B3B2F"/>
    <w:rsid w:val="007B3CF1"/>
    <w:rsid w:val="007B48F6"/>
    <w:rsid w:val="007B4C55"/>
    <w:rsid w:val="007B4CFB"/>
    <w:rsid w:val="007B4F42"/>
    <w:rsid w:val="007B5023"/>
    <w:rsid w:val="007B54B7"/>
    <w:rsid w:val="007B574A"/>
    <w:rsid w:val="007B5D8A"/>
    <w:rsid w:val="007B5E07"/>
    <w:rsid w:val="007B6036"/>
    <w:rsid w:val="007B60AC"/>
    <w:rsid w:val="007B647A"/>
    <w:rsid w:val="007B65D9"/>
    <w:rsid w:val="007B69FC"/>
    <w:rsid w:val="007B6ADD"/>
    <w:rsid w:val="007B6B3B"/>
    <w:rsid w:val="007B6BDB"/>
    <w:rsid w:val="007B6D5C"/>
    <w:rsid w:val="007B7227"/>
    <w:rsid w:val="007B730A"/>
    <w:rsid w:val="007B74D5"/>
    <w:rsid w:val="007B75B6"/>
    <w:rsid w:val="007B76F3"/>
    <w:rsid w:val="007B78B6"/>
    <w:rsid w:val="007B7CE2"/>
    <w:rsid w:val="007C0A02"/>
    <w:rsid w:val="007C0B0A"/>
    <w:rsid w:val="007C0C17"/>
    <w:rsid w:val="007C0F45"/>
    <w:rsid w:val="007C177A"/>
    <w:rsid w:val="007C1E34"/>
    <w:rsid w:val="007C23FB"/>
    <w:rsid w:val="007C2678"/>
    <w:rsid w:val="007C27F1"/>
    <w:rsid w:val="007C28AE"/>
    <w:rsid w:val="007C2E1E"/>
    <w:rsid w:val="007C2E58"/>
    <w:rsid w:val="007C3277"/>
    <w:rsid w:val="007C349B"/>
    <w:rsid w:val="007C3612"/>
    <w:rsid w:val="007C36D2"/>
    <w:rsid w:val="007C42B4"/>
    <w:rsid w:val="007C4493"/>
    <w:rsid w:val="007C45B3"/>
    <w:rsid w:val="007C4957"/>
    <w:rsid w:val="007C4ED7"/>
    <w:rsid w:val="007C53E0"/>
    <w:rsid w:val="007C5A55"/>
    <w:rsid w:val="007C5C0E"/>
    <w:rsid w:val="007C5DC2"/>
    <w:rsid w:val="007C5E59"/>
    <w:rsid w:val="007C5EE1"/>
    <w:rsid w:val="007C5F1F"/>
    <w:rsid w:val="007C612B"/>
    <w:rsid w:val="007C719E"/>
    <w:rsid w:val="007C740D"/>
    <w:rsid w:val="007C7412"/>
    <w:rsid w:val="007C755C"/>
    <w:rsid w:val="007C757C"/>
    <w:rsid w:val="007D09AE"/>
    <w:rsid w:val="007D0E05"/>
    <w:rsid w:val="007D118D"/>
    <w:rsid w:val="007D136F"/>
    <w:rsid w:val="007D1403"/>
    <w:rsid w:val="007D2712"/>
    <w:rsid w:val="007D2784"/>
    <w:rsid w:val="007D2B19"/>
    <w:rsid w:val="007D2E64"/>
    <w:rsid w:val="007D3150"/>
    <w:rsid w:val="007D3515"/>
    <w:rsid w:val="007D42BB"/>
    <w:rsid w:val="007D42D4"/>
    <w:rsid w:val="007D46D7"/>
    <w:rsid w:val="007D54F4"/>
    <w:rsid w:val="007D586B"/>
    <w:rsid w:val="007D58D4"/>
    <w:rsid w:val="007D5A6E"/>
    <w:rsid w:val="007D5F8E"/>
    <w:rsid w:val="007D6067"/>
    <w:rsid w:val="007D60E9"/>
    <w:rsid w:val="007D6159"/>
    <w:rsid w:val="007D6832"/>
    <w:rsid w:val="007D6B4C"/>
    <w:rsid w:val="007D6C87"/>
    <w:rsid w:val="007D701D"/>
    <w:rsid w:val="007D7063"/>
    <w:rsid w:val="007D756D"/>
    <w:rsid w:val="007D7A11"/>
    <w:rsid w:val="007E02F3"/>
    <w:rsid w:val="007E0CBD"/>
    <w:rsid w:val="007E1076"/>
    <w:rsid w:val="007E1103"/>
    <w:rsid w:val="007E1298"/>
    <w:rsid w:val="007E18B9"/>
    <w:rsid w:val="007E1ECF"/>
    <w:rsid w:val="007E2007"/>
    <w:rsid w:val="007E2097"/>
    <w:rsid w:val="007E2517"/>
    <w:rsid w:val="007E263D"/>
    <w:rsid w:val="007E2984"/>
    <w:rsid w:val="007E2A7A"/>
    <w:rsid w:val="007E2C0E"/>
    <w:rsid w:val="007E351E"/>
    <w:rsid w:val="007E3A09"/>
    <w:rsid w:val="007E4118"/>
    <w:rsid w:val="007E4136"/>
    <w:rsid w:val="007E41B7"/>
    <w:rsid w:val="007E487B"/>
    <w:rsid w:val="007E4CC2"/>
    <w:rsid w:val="007E4FD5"/>
    <w:rsid w:val="007E54B6"/>
    <w:rsid w:val="007E5AD9"/>
    <w:rsid w:val="007E603A"/>
    <w:rsid w:val="007E60B9"/>
    <w:rsid w:val="007E6405"/>
    <w:rsid w:val="007E6444"/>
    <w:rsid w:val="007E6491"/>
    <w:rsid w:val="007E64D8"/>
    <w:rsid w:val="007E65B9"/>
    <w:rsid w:val="007E6949"/>
    <w:rsid w:val="007E6AB5"/>
    <w:rsid w:val="007E6C82"/>
    <w:rsid w:val="007E6C8A"/>
    <w:rsid w:val="007E7365"/>
    <w:rsid w:val="007E74C1"/>
    <w:rsid w:val="007E7962"/>
    <w:rsid w:val="007E7C24"/>
    <w:rsid w:val="007E7F12"/>
    <w:rsid w:val="007F0C0C"/>
    <w:rsid w:val="007F101A"/>
    <w:rsid w:val="007F10ED"/>
    <w:rsid w:val="007F12E3"/>
    <w:rsid w:val="007F15F4"/>
    <w:rsid w:val="007F17B9"/>
    <w:rsid w:val="007F1B0A"/>
    <w:rsid w:val="007F1EA3"/>
    <w:rsid w:val="007F21B8"/>
    <w:rsid w:val="007F2337"/>
    <w:rsid w:val="007F275D"/>
    <w:rsid w:val="007F2975"/>
    <w:rsid w:val="007F2F0E"/>
    <w:rsid w:val="007F3519"/>
    <w:rsid w:val="007F36DC"/>
    <w:rsid w:val="007F373D"/>
    <w:rsid w:val="007F39B8"/>
    <w:rsid w:val="007F3F7E"/>
    <w:rsid w:val="007F4E39"/>
    <w:rsid w:val="007F58E2"/>
    <w:rsid w:val="007F6024"/>
    <w:rsid w:val="007F6329"/>
    <w:rsid w:val="007F655F"/>
    <w:rsid w:val="007F6A23"/>
    <w:rsid w:val="007F6A7D"/>
    <w:rsid w:val="007F6B52"/>
    <w:rsid w:val="007F6BB2"/>
    <w:rsid w:val="007F6D41"/>
    <w:rsid w:val="007F6E6A"/>
    <w:rsid w:val="007F70E5"/>
    <w:rsid w:val="007F7191"/>
    <w:rsid w:val="007F719C"/>
    <w:rsid w:val="007F7565"/>
    <w:rsid w:val="007F7B58"/>
    <w:rsid w:val="007F7C5A"/>
    <w:rsid w:val="007F7C64"/>
    <w:rsid w:val="007F7CFB"/>
    <w:rsid w:val="007F7E87"/>
    <w:rsid w:val="008002BA"/>
    <w:rsid w:val="00800397"/>
    <w:rsid w:val="0080039D"/>
    <w:rsid w:val="0080047D"/>
    <w:rsid w:val="008004E2"/>
    <w:rsid w:val="00801351"/>
    <w:rsid w:val="008016A8"/>
    <w:rsid w:val="00801C90"/>
    <w:rsid w:val="008022E5"/>
    <w:rsid w:val="008023B7"/>
    <w:rsid w:val="008027C0"/>
    <w:rsid w:val="00802B20"/>
    <w:rsid w:val="00802D29"/>
    <w:rsid w:val="00802E52"/>
    <w:rsid w:val="00803099"/>
    <w:rsid w:val="008033C9"/>
    <w:rsid w:val="00803445"/>
    <w:rsid w:val="00803889"/>
    <w:rsid w:val="0080494E"/>
    <w:rsid w:val="008049CB"/>
    <w:rsid w:val="008049D5"/>
    <w:rsid w:val="00804BC7"/>
    <w:rsid w:val="0080505D"/>
    <w:rsid w:val="00805288"/>
    <w:rsid w:val="00805710"/>
    <w:rsid w:val="0080576C"/>
    <w:rsid w:val="00805A5D"/>
    <w:rsid w:val="00805A7C"/>
    <w:rsid w:val="00805C14"/>
    <w:rsid w:val="00806534"/>
    <w:rsid w:val="008073BA"/>
    <w:rsid w:val="008074BD"/>
    <w:rsid w:val="00807765"/>
    <w:rsid w:val="00807873"/>
    <w:rsid w:val="008079CD"/>
    <w:rsid w:val="00807BAE"/>
    <w:rsid w:val="00807BEF"/>
    <w:rsid w:val="00807E04"/>
    <w:rsid w:val="008103D9"/>
    <w:rsid w:val="0081086F"/>
    <w:rsid w:val="00811093"/>
    <w:rsid w:val="008119D4"/>
    <w:rsid w:val="00811EAE"/>
    <w:rsid w:val="00811EE3"/>
    <w:rsid w:val="00812386"/>
    <w:rsid w:val="00812416"/>
    <w:rsid w:val="00812601"/>
    <w:rsid w:val="00812942"/>
    <w:rsid w:val="00813770"/>
    <w:rsid w:val="00813E14"/>
    <w:rsid w:val="008140EB"/>
    <w:rsid w:val="0081415A"/>
    <w:rsid w:val="00814A58"/>
    <w:rsid w:val="00814DDE"/>
    <w:rsid w:val="0081585A"/>
    <w:rsid w:val="00815C64"/>
    <w:rsid w:val="0081627B"/>
    <w:rsid w:val="00816319"/>
    <w:rsid w:val="0081679A"/>
    <w:rsid w:val="008167EB"/>
    <w:rsid w:val="00816A4E"/>
    <w:rsid w:val="008171E6"/>
    <w:rsid w:val="0081720F"/>
    <w:rsid w:val="00817445"/>
    <w:rsid w:val="00817847"/>
    <w:rsid w:val="00817DC5"/>
    <w:rsid w:val="00820246"/>
    <w:rsid w:val="008203CA"/>
    <w:rsid w:val="00820489"/>
    <w:rsid w:val="0082086A"/>
    <w:rsid w:val="008218F7"/>
    <w:rsid w:val="00821D10"/>
    <w:rsid w:val="00821E57"/>
    <w:rsid w:val="00822627"/>
    <w:rsid w:val="00822A4A"/>
    <w:rsid w:val="00822FA2"/>
    <w:rsid w:val="00823100"/>
    <w:rsid w:val="00823102"/>
    <w:rsid w:val="00823138"/>
    <w:rsid w:val="0082313E"/>
    <w:rsid w:val="00823630"/>
    <w:rsid w:val="00823735"/>
    <w:rsid w:val="00823BC2"/>
    <w:rsid w:val="008242A2"/>
    <w:rsid w:val="00824340"/>
    <w:rsid w:val="008243E5"/>
    <w:rsid w:val="00824428"/>
    <w:rsid w:val="00824482"/>
    <w:rsid w:val="0082461B"/>
    <w:rsid w:val="00824826"/>
    <w:rsid w:val="0082493A"/>
    <w:rsid w:val="0082496E"/>
    <w:rsid w:val="00824F6F"/>
    <w:rsid w:val="00824FF2"/>
    <w:rsid w:val="00825238"/>
    <w:rsid w:val="008255B3"/>
    <w:rsid w:val="00825849"/>
    <w:rsid w:val="008258B5"/>
    <w:rsid w:val="008259B3"/>
    <w:rsid w:val="00825D53"/>
    <w:rsid w:val="0082611D"/>
    <w:rsid w:val="008261EF"/>
    <w:rsid w:val="00826B22"/>
    <w:rsid w:val="00827107"/>
    <w:rsid w:val="008274EE"/>
    <w:rsid w:val="00827766"/>
    <w:rsid w:val="008307A1"/>
    <w:rsid w:val="0083090E"/>
    <w:rsid w:val="00830949"/>
    <w:rsid w:val="008309FD"/>
    <w:rsid w:val="00830AA6"/>
    <w:rsid w:val="008312D5"/>
    <w:rsid w:val="0083134A"/>
    <w:rsid w:val="00831386"/>
    <w:rsid w:val="00831487"/>
    <w:rsid w:val="008316C0"/>
    <w:rsid w:val="00832546"/>
    <w:rsid w:val="00832C2B"/>
    <w:rsid w:val="0083386C"/>
    <w:rsid w:val="00833E61"/>
    <w:rsid w:val="00834579"/>
    <w:rsid w:val="0083470A"/>
    <w:rsid w:val="00834E20"/>
    <w:rsid w:val="00836505"/>
    <w:rsid w:val="00836E92"/>
    <w:rsid w:val="00836FD7"/>
    <w:rsid w:val="008374B7"/>
    <w:rsid w:val="008374EB"/>
    <w:rsid w:val="00837777"/>
    <w:rsid w:val="00837802"/>
    <w:rsid w:val="00837923"/>
    <w:rsid w:val="00840677"/>
    <w:rsid w:val="00840A4B"/>
    <w:rsid w:val="008418D2"/>
    <w:rsid w:val="00841FDC"/>
    <w:rsid w:val="0084202E"/>
    <w:rsid w:val="0084234F"/>
    <w:rsid w:val="00842B04"/>
    <w:rsid w:val="00843529"/>
    <w:rsid w:val="00843DEA"/>
    <w:rsid w:val="00843EB2"/>
    <w:rsid w:val="00843FF1"/>
    <w:rsid w:val="008445DF"/>
    <w:rsid w:val="00844682"/>
    <w:rsid w:val="00844AF2"/>
    <w:rsid w:val="0084582F"/>
    <w:rsid w:val="00845889"/>
    <w:rsid w:val="00845EC4"/>
    <w:rsid w:val="0084618E"/>
    <w:rsid w:val="00846CD2"/>
    <w:rsid w:val="008470ED"/>
    <w:rsid w:val="0084722D"/>
    <w:rsid w:val="0084740C"/>
    <w:rsid w:val="0084766D"/>
    <w:rsid w:val="008477D8"/>
    <w:rsid w:val="008477FB"/>
    <w:rsid w:val="00847919"/>
    <w:rsid w:val="00847A60"/>
    <w:rsid w:val="00847AB5"/>
    <w:rsid w:val="00847D95"/>
    <w:rsid w:val="00850140"/>
    <w:rsid w:val="008509AC"/>
    <w:rsid w:val="00850DEC"/>
    <w:rsid w:val="00850FB8"/>
    <w:rsid w:val="00851559"/>
    <w:rsid w:val="00851588"/>
    <w:rsid w:val="00851C2C"/>
    <w:rsid w:val="00852180"/>
    <w:rsid w:val="008523AA"/>
    <w:rsid w:val="008525ED"/>
    <w:rsid w:val="00852671"/>
    <w:rsid w:val="00852F80"/>
    <w:rsid w:val="008537E4"/>
    <w:rsid w:val="00853890"/>
    <w:rsid w:val="00853CED"/>
    <w:rsid w:val="0085449D"/>
    <w:rsid w:val="008546E3"/>
    <w:rsid w:val="00854D5E"/>
    <w:rsid w:val="00854E06"/>
    <w:rsid w:val="00855AD2"/>
    <w:rsid w:val="00856597"/>
    <w:rsid w:val="0085667B"/>
    <w:rsid w:val="00856BE9"/>
    <w:rsid w:val="008575B7"/>
    <w:rsid w:val="008577EA"/>
    <w:rsid w:val="00857E14"/>
    <w:rsid w:val="00860375"/>
    <w:rsid w:val="008603E8"/>
    <w:rsid w:val="008608AF"/>
    <w:rsid w:val="00860CBE"/>
    <w:rsid w:val="00860E99"/>
    <w:rsid w:val="0086134F"/>
    <w:rsid w:val="008619EC"/>
    <w:rsid w:val="00861A22"/>
    <w:rsid w:val="00861A5B"/>
    <w:rsid w:val="00862432"/>
    <w:rsid w:val="008624C9"/>
    <w:rsid w:val="00862F5F"/>
    <w:rsid w:val="008632C6"/>
    <w:rsid w:val="00863ADD"/>
    <w:rsid w:val="00863D09"/>
    <w:rsid w:val="00863DB9"/>
    <w:rsid w:val="008641A0"/>
    <w:rsid w:val="008658FA"/>
    <w:rsid w:val="00865967"/>
    <w:rsid w:val="00865FCF"/>
    <w:rsid w:val="00865FE8"/>
    <w:rsid w:val="008663D3"/>
    <w:rsid w:val="008667EB"/>
    <w:rsid w:val="00866953"/>
    <w:rsid w:val="00866A32"/>
    <w:rsid w:val="00866A8D"/>
    <w:rsid w:val="00867119"/>
    <w:rsid w:val="008677A0"/>
    <w:rsid w:val="00867B53"/>
    <w:rsid w:val="00867CFE"/>
    <w:rsid w:val="00870123"/>
    <w:rsid w:val="00870466"/>
    <w:rsid w:val="00870542"/>
    <w:rsid w:val="00870F4B"/>
    <w:rsid w:val="00871031"/>
    <w:rsid w:val="0087134E"/>
    <w:rsid w:val="008714AA"/>
    <w:rsid w:val="00871879"/>
    <w:rsid w:val="00871BE5"/>
    <w:rsid w:val="008721DD"/>
    <w:rsid w:val="008724C3"/>
    <w:rsid w:val="00872E47"/>
    <w:rsid w:val="00872ED3"/>
    <w:rsid w:val="00872EE3"/>
    <w:rsid w:val="008730B2"/>
    <w:rsid w:val="008732AD"/>
    <w:rsid w:val="00873904"/>
    <w:rsid w:val="00873A8B"/>
    <w:rsid w:val="00873CFC"/>
    <w:rsid w:val="008743EC"/>
    <w:rsid w:val="00874918"/>
    <w:rsid w:val="00874B16"/>
    <w:rsid w:val="00874D7A"/>
    <w:rsid w:val="00874FC8"/>
    <w:rsid w:val="008754F3"/>
    <w:rsid w:val="008759AE"/>
    <w:rsid w:val="00875A5A"/>
    <w:rsid w:val="0087646D"/>
    <w:rsid w:val="00876E61"/>
    <w:rsid w:val="00876F45"/>
    <w:rsid w:val="0087722F"/>
    <w:rsid w:val="008775C6"/>
    <w:rsid w:val="00877A15"/>
    <w:rsid w:val="00877AF4"/>
    <w:rsid w:val="0088025C"/>
    <w:rsid w:val="008803FD"/>
    <w:rsid w:val="008807A7"/>
    <w:rsid w:val="00880961"/>
    <w:rsid w:val="00880CD5"/>
    <w:rsid w:val="008813A2"/>
    <w:rsid w:val="008818CD"/>
    <w:rsid w:val="00881BF9"/>
    <w:rsid w:val="00881C8F"/>
    <w:rsid w:val="0088263C"/>
    <w:rsid w:val="00882811"/>
    <w:rsid w:val="00883149"/>
    <w:rsid w:val="0088365F"/>
    <w:rsid w:val="0088367B"/>
    <w:rsid w:val="0088372C"/>
    <w:rsid w:val="00883D8F"/>
    <w:rsid w:val="0088407A"/>
    <w:rsid w:val="00884859"/>
    <w:rsid w:val="00884913"/>
    <w:rsid w:val="00885953"/>
    <w:rsid w:val="00885967"/>
    <w:rsid w:val="00885B49"/>
    <w:rsid w:val="00885BA3"/>
    <w:rsid w:val="00885C25"/>
    <w:rsid w:val="00885F63"/>
    <w:rsid w:val="0088631B"/>
    <w:rsid w:val="008866B2"/>
    <w:rsid w:val="008869AA"/>
    <w:rsid w:val="00886A51"/>
    <w:rsid w:val="0088701A"/>
    <w:rsid w:val="008873C8"/>
    <w:rsid w:val="008877A4"/>
    <w:rsid w:val="00890074"/>
    <w:rsid w:val="008906FF"/>
    <w:rsid w:val="0089077E"/>
    <w:rsid w:val="00890944"/>
    <w:rsid w:val="00890AC1"/>
    <w:rsid w:val="00890E3C"/>
    <w:rsid w:val="00891444"/>
    <w:rsid w:val="0089153A"/>
    <w:rsid w:val="0089190B"/>
    <w:rsid w:val="00892569"/>
    <w:rsid w:val="00892F00"/>
    <w:rsid w:val="008931EE"/>
    <w:rsid w:val="008932B2"/>
    <w:rsid w:val="00893759"/>
    <w:rsid w:val="008941FD"/>
    <w:rsid w:val="00894482"/>
    <w:rsid w:val="00894A23"/>
    <w:rsid w:val="00894C1D"/>
    <w:rsid w:val="00894CA9"/>
    <w:rsid w:val="008950BD"/>
    <w:rsid w:val="0089570A"/>
    <w:rsid w:val="00895733"/>
    <w:rsid w:val="00895A0A"/>
    <w:rsid w:val="00895B2D"/>
    <w:rsid w:val="00895E8B"/>
    <w:rsid w:val="008963EB"/>
    <w:rsid w:val="00896B90"/>
    <w:rsid w:val="00896E27"/>
    <w:rsid w:val="00896E39"/>
    <w:rsid w:val="00896E96"/>
    <w:rsid w:val="00896EDB"/>
    <w:rsid w:val="00897054"/>
    <w:rsid w:val="008970EE"/>
    <w:rsid w:val="008977C6"/>
    <w:rsid w:val="00897ADB"/>
    <w:rsid w:val="00897D14"/>
    <w:rsid w:val="00897D74"/>
    <w:rsid w:val="008A07DF"/>
    <w:rsid w:val="008A0AE6"/>
    <w:rsid w:val="008A0CF9"/>
    <w:rsid w:val="008A0F74"/>
    <w:rsid w:val="008A0FC1"/>
    <w:rsid w:val="008A103A"/>
    <w:rsid w:val="008A1084"/>
    <w:rsid w:val="008A121B"/>
    <w:rsid w:val="008A184F"/>
    <w:rsid w:val="008A19BE"/>
    <w:rsid w:val="008A1FF6"/>
    <w:rsid w:val="008A27B7"/>
    <w:rsid w:val="008A29EF"/>
    <w:rsid w:val="008A347B"/>
    <w:rsid w:val="008A3BB8"/>
    <w:rsid w:val="008A3CC7"/>
    <w:rsid w:val="008A4668"/>
    <w:rsid w:val="008A4AB6"/>
    <w:rsid w:val="008A4D64"/>
    <w:rsid w:val="008A4E42"/>
    <w:rsid w:val="008A4EF8"/>
    <w:rsid w:val="008A4F09"/>
    <w:rsid w:val="008A5927"/>
    <w:rsid w:val="008A5A39"/>
    <w:rsid w:val="008A5BB1"/>
    <w:rsid w:val="008A5BE5"/>
    <w:rsid w:val="008A5D08"/>
    <w:rsid w:val="008A61DF"/>
    <w:rsid w:val="008A630A"/>
    <w:rsid w:val="008A6B8A"/>
    <w:rsid w:val="008A6DE1"/>
    <w:rsid w:val="008A6FAD"/>
    <w:rsid w:val="008A70A1"/>
    <w:rsid w:val="008A7427"/>
    <w:rsid w:val="008A7E23"/>
    <w:rsid w:val="008B049A"/>
    <w:rsid w:val="008B04E7"/>
    <w:rsid w:val="008B0B8E"/>
    <w:rsid w:val="008B1479"/>
    <w:rsid w:val="008B1545"/>
    <w:rsid w:val="008B1825"/>
    <w:rsid w:val="008B1924"/>
    <w:rsid w:val="008B1A45"/>
    <w:rsid w:val="008B1CB2"/>
    <w:rsid w:val="008B21A2"/>
    <w:rsid w:val="008B21BE"/>
    <w:rsid w:val="008B30FE"/>
    <w:rsid w:val="008B347E"/>
    <w:rsid w:val="008B34C4"/>
    <w:rsid w:val="008B3CBF"/>
    <w:rsid w:val="008B479C"/>
    <w:rsid w:val="008B48E3"/>
    <w:rsid w:val="008B4E82"/>
    <w:rsid w:val="008B4F3A"/>
    <w:rsid w:val="008B55F6"/>
    <w:rsid w:val="008B6BF0"/>
    <w:rsid w:val="008B6F9B"/>
    <w:rsid w:val="008B734B"/>
    <w:rsid w:val="008B746A"/>
    <w:rsid w:val="008B789C"/>
    <w:rsid w:val="008B797A"/>
    <w:rsid w:val="008C06B8"/>
    <w:rsid w:val="008C0869"/>
    <w:rsid w:val="008C0BD4"/>
    <w:rsid w:val="008C0D77"/>
    <w:rsid w:val="008C0E3B"/>
    <w:rsid w:val="008C12D3"/>
    <w:rsid w:val="008C144C"/>
    <w:rsid w:val="008C16DE"/>
    <w:rsid w:val="008C1E61"/>
    <w:rsid w:val="008C2177"/>
    <w:rsid w:val="008C2273"/>
    <w:rsid w:val="008C2547"/>
    <w:rsid w:val="008C2678"/>
    <w:rsid w:val="008C2827"/>
    <w:rsid w:val="008C2B99"/>
    <w:rsid w:val="008C3098"/>
    <w:rsid w:val="008C31B1"/>
    <w:rsid w:val="008C34C1"/>
    <w:rsid w:val="008C37BB"/>
    <w:rsid w:val="008C37F4"/>
    <w:rsid w:val="008C4690"/>
    <w:rsid w:val="008C5107"/>
    <w:rsid w:val="008C528B"/>
    <w:rsid w:val="008C5502"/>
    <w:rsid w:val="008C578F"/>
    <w:rsid w:val="008C5897"/>
    <w:rsid w:val="008C5C4B"/>
    <w:rsid w:val="008C69BC"/>
    <w:rsid w:val="008C73D4"/>
    <w:rsid w:val="008C747E"/>
    <w:rsid w:val="008C74BE"/>
    <w:rsid w:val="008C752D"/>
    <w:rsid w:val="008C76BB"/>
    <w:rsid w:val="008C7C77"/>
    <w:rsid w:val="008D0675"/>
    <w:rsid w:val="008D0725"/>
    <w:rsid w:val="008D0765"/>
    <w:rsid w:val="008D0849"/>
    <w:rsid w:val="008D086F"/>
    <w:rsid w:val="008D0A83"/>
    <w:rsid w:val="008D0D70"/>
    <w:rsid w:val="008D15B5"/>
    <w:rsid w:val="008D1B0C"/>
    <w:rsid w:val="008D1CC4"/>
    <w:rsid w:val="008D2149"/>
    <w:rsid w:val="008D26C7"/>
    <w:rsid w:val="008D274A"/>
    <w:rsid w:val="008D2A61"/>
    <w:rsid w:val="008D2E19"/>
    <w:rsid w:val="008D2F56"/>
    <w:rsid w:val="008D313A"/>
    <w:rsid w:val="008D42F5"/>
    <w:rsid w:val="008D44DC"/>
    <w:rsid w:val="008D4A75"/>
    <w:rsid w:val="008D4AB4"/>
    <w:rsid w:val="008D54F4"/>
    <w:rsid w:val="008D58E3"/>
    <w:rsid w:val="008D59EC"/>
    <w:rsid w:val="008D6298"/>
    <w:rsid w:val="008D62C7"/>
    <w:rsid w:val="008D6BEA"/>
    <w:rsid w:val="008D6C30"/>
    <w:rsid w:val="008D71A2"/>
    <w:rsid w:val="008D78B7"/>
    <w:rsid w:val="008D7F10"/>
    <w:rsid w:val="008D7F97"/>
    <w:rsid w:val="008E021F"/>
    <w:rsid w:val="008E0457"/>
    <w:rsid w:val="008E06CB"/>
    <w:rsid w:val="008E0D1D"/>
    <w:rsid w:val="008E0E49"/>
    <w:rsid w:val="008E0FD7"/>
    <w:rsid w:val="008E109E"/>
    <w:rsid w:val="008E1C97"/>
    <w:rsid w:val="008E1F41"/>
    <w:rsid w:val="008E236F"/>
    <w:rsid w:val="008E2D72"/>
    <w:rsid w:val="008E3226"/>
    <w:rsid w:val="008E32A5"/>
    <w:rsid w:val="008E35F5"/>
    <w:rsid w:val="008E39F4"/>
    <w:rsid w:val="008E3AD8"/>
    <w:rsid w:val="008E4196"/>
    <w:rsid w:val="008E4223"/>
    <w:rsid w:val="008E42E2"/>
    <w:rsid w:val="008E4588"/>
    <w:rsid w:val="008E4694"/>
    <w:rsid w:val="008E4837"/>
    <w:rsid w:val="008E48D7"/>
    <w:rsid w:val="008E49C1"/>
    <w:rsid w:val="008E4B83"/>
    <w:rsid w:val="008E4F9D"/>
    <w:rsid w:val="008E5297"/>
    <w:rsid w:val="008E52FD"/>
    <w:rsid w:val="008E594B"/>
    <w:rsid w:val="008E624C"/>
    <w:rsid w:val="008E6789"/>
    <w:rsid w:val="008E7AB6"/>
    <w:rsid w:val="008E7B43"/>
    <w:rsid w:val="008E7CF9"/>
    <w:rsid w:val="008E7ED2"/>
    <w:rsid w:val="008F039C"/>
    <w:rsid w:val="008F0700"/>
    <w:rsid w:val="008F0FD5"/>
    <w:rsid w:val="008F1258"/>
    <w:rsid w:val="008F134B"/>
    <w:rsid w:val="008F15DE"/>
    <w:rsid w:val="008F197F"/>
    <w:rsid w:val="008F19B5"/>
    <w:rsid w:val="008F1C39"/>
    <w:rsid w:val="008F1D11"/>
    <w:rsid w:val="008F218B"/>
    <w:rsid w:val="008F3390"/>
    <w:rsid w:val="008F3C3C"/>
    <w:rsid w:val="008F4869"/>
    <w:rsid w:val="008F4BC0"/>
    <w:rsid w:val="008F50FC"/>
    <w:rsid w:val="008F589B"/>
    <w:rsid w:val="008F589C"/>
    <w:rsid w:val="008F5AC0"/>
    <w:rsid w:val="008F5F43"/>
    <w:rsid w:val="008F61E2"/>
    <w:rsid w:val="008F64BB"/>
    <w:rsid w:val="008F6C90"/>
    <w:rsid w:val="008F750E"/>
    <w:rsid w:val="008F7678"/>
    <w:rsid w:val="008F7A05"/>
    <w:rsid w:val="008F7A1C"/>
    <w:rsid w:val="008F7C33"/>
    <w:rsid w:val="008F7F01"/>
    <w:rsid w:val="008F7F3E"/>
    <w:rsid w:val="00900163"/>
    <w:rsid w:val="00900D82"/>
    <w:rsid w:val="00900E00"/>
    <w:rsid w:val="00901770"/>
    <w:rsid w:val="0090186C"/>
    <w:rsid w:val="0090195B"/>
    <w:rsid w:val="0090224A"/>
    <w:rsid w:val="0090237D"/>
    <w:rsid w:val="00902FF8"/>
    <w:rsid w:val="009032B3"/>
    <w:rsid w:val="00903798"/>
    <w:rsid w:val="00904233"/>
    <w:rsid w:val="009046C3"/>
    <w:rsid w:val="009046C7"/>
    <w:rsid w:val="0090491E"/>
    <w:rsid w:val="00904EE6"/>
    <w:rsid w:val="00905082"/>
    <w:rsid w:val="00905E7F"/>
    <w:rsid w:val="00905F39"/>
    <w:rsid w:val="00906023"/>
    <w:rsid w:val="009060A0"/>
    <w:rsid w:val="009065E7"/>
    <w:rsid w:val="009067DC"/>
    <w:rsid w:val="00906C63"/>
    <w:rsid w:val="00906EC4"/>
    <w:rsid w:val="00906ED9"/>
    <w:rsid w:val="00906FB7"/>
    <w:rsid w:val="009074C8"/>
    <w:rsid w:val="009078BC"/>
    <w:rsid w:val="00907D68"/>
    <w:rsid w:val="00907FBC"/>
    <w:rsid w:val="0091048C"/>
    <w:rsid w:val="00910498"/>
    <w:rsid w:val="00910BE7"/>
    <w:rsid w:val="00910D73"/>
    <w:rsid w:val="009114FA"/>
    <w:rsid w:val="0091150B"/>
    <w:rsid w:val="00911C12"/>
    <w:rsid w:val="00912677"/>
    <w:rsid w:val="00912A98"/>
    <w:rsid w:val="00912BC5"/>
    <w:rsid w:val="00913084"/>
    <w:rsid w:val="009138D8"/>
    <w:rsid w:val="00913B8F"/>
    <w:rsid w:val="00914A02"/>
    <w:rsid w:val="00914F85"/>
    <w:rsid w:val="009150CD"/>
    <w:rsid w:val="00915235"/>
    <w:rsid w:val="00915237"/>
    <w:rsid w:val="00915268"/>
    <w:rsid w:val="009153E5"/>
    <w:rsid w:val="0091560E"/>
    <w:rsid w:val="00915663"/>
    <w:rsid w:val="0091566C"/>
    <w:rsid w:val="00916337"/>
    <w:rsid w:val="00916792"/>
    <w:rsid w:val="00916BA7"/>
    <w:rsid w:val="00916E9F"/>
    <w:rsid w:val="009171F5"/>
    <w:rsid w:val="00917865"/>
    <w:rsid w:val="009179D8"/>
    <w:rsid w:val="00917B10"/>
    <w:rsid w:val="00917DA7"/>
    <w:rsid w:val="00917FFE"/>
    <w:rsid w:val="0092006B"/>
    <w:rsid w:val="00920342"/>
    <w:rsid w:val="009206BA"/>
    <w:rsid w:val="00921250"/>
    <w:rsid w:val="00921626"/>
    <w:rsid w:val="00921CCD"/>
    <w:rsid w:val="00921F84"/>
    <w:rsid w:val="009221BD"/>
    <w:rsid w:val="00923055"/>
    <w:rsid w:val="00923079"/>
    <w:rsid w:val="009232AB"/>
    <w:rsid w:val="00923388"/>
    <w:rsid w:val="0092342C"/>
    <w:rsid w:val="00923ACF"/>
    <w:rsid w:val="00923C76"/>
    <w:rsid w:val="00923CBB"/>
    <w:rsid w:val="0092403A"/>
    <w:rsid w:val="00924341"/>
    <w:rsid w:val="009246CE"/>
    <w:rsid w:val="009246DE"/>
    <w:rsid w:val="00924970"/>
    <w:rsid w:val="00924B82"/>
    <w:rsid w:val="00924D68"/>
    <w:rsid w:val="00924F16"/>
    <w:rsid w:val="009254AD"/>
    <w:rsid w:val="009257C1"/>
    <w:rsid w:val="00925E7A"/>
    <w:rsid w:val="009266F3"/>
    <w:rsid w:val="00926BB8"/>
    <w:rsid w:val="00926E9E"/>
    <w:rsid w:val="009275D4"/>
    <w:rsid w:val="009277F7"/>
    <w:rsid w:val="00927CC4"/>
    <w:rsid w:val="00927F0E"/>
    <w:rsid w:val="0093095C"/>
    <w:rsid w:val="00930DA0"/>
    <w:rsid w:val="00930DA7"/>
    <w:rsid w:val="00930ECB"/>
    <w:rsid w:val="00930F95"/>
    <w:rsid w:val="0093115F"/>
    <w:rsid w:val="00931CA4"/>
    <w:rsid w:val="00931D3F"/>
    <w:rsid w:val="00931E0D"/>
    <w:rsid w:val="00931F56"/>
    <w:rsid w:val="0093240C"/>
    <w:rsid w:val="00932D79"/>
    <w:rsid w:val="00932EB6"/>
    <w:rsid w:val="00933440"/>
    <w:rsid w:val="00933A45"/>
    <w:rsid w:val="00933E75"/>
    <w:rsid w:val="009347ED"/>
    <w:rsid w:val="00934B6B"/>
    <w:rsid w:val="00934C39"/>
    <w:rsid w:val="00935836"/>
    <w:rsid w:val="009362EA"/>
    <w:rsid w:val="009366BF"/>
    <w:rsid w:val="00936DB5"/>
    <w:rsid w:val="00936EDD"/>
    <w:rsid w:val="00937597"/>
    <w:rsid w:val="00937A1A"/>
    <w:rsid w:val="009400B8"/>
    <w:rsid w:val="009405AF"/>
    <w:rsid w:val="009405F8"/>
    <w:rsid w:val="00940AA1"/>
    <w:rsid w:val="00940DD7"/>
    <w:rsid w:val="00941196"/>
    <w:rsid w:val="0094129C"/>
    <w:rsid w:val="0094161D"/>
    <w:rsid w:val="00941838"/>
    <w:rsid w:val="00941950"/>
    <w:rsid w:val="0094207A"/>
    <w:rsid w:val="009423A5"/>
    <w:rsid w:val="009426C6"/>
    <w:rsid w:val="009427E5"/>
    <w:rsid w:val="00942A20"/>
    <w:rsid w:val="00942D25"/>
    <w:rsid w:val="009431A6"/>
    <w:rsid w:val="00943603"/>
    <w:rsid w:val="00943684"/>
    <w:rsid w:val="00943CCC"/>
    <w:rsid w:val="00943ED7"/>
    <w:rsid w:val="00944632"/>
    <w:rsid w:val="00944A24"/>
    <w:rsid w:val="00944CA8"/>
    <w:rsid w:val="00944DE9"/>
    <w:rsid w:val="0094537C"/>
    <w:rsid w:val="009456D4"/>
    <w:rsid w:val="00945737"/>
    <w:rsid w:val="00945D26"/>
    <w:rsid w:val="00946318"/>
    <w:rsid w:val="00946A69"/>
    <w:rsid w:val="00947077"/>
    <w:rsid w:val="00947212"/>
    <w:rsid w:val="00947999"/>
    <w:rsid w:val="00947C17"/>
    <w:rsid w:val="00947DAC"/>
    <w:rsid w:val="00947E35"/>
    <w:rsid w:val="009502C6"/>
    <w:rsid w:val="00950551"/>
    <w:rsid w:val="009508F5"/>
    <w:rsid w:val="00951113"/>
    <w:rsid w:val="0095188C"/>
    <w:rsid w:val="0095216D"/>
    <w:rsid w:val="00952C80"/>
    <w:rsid w:val="00953137"/>
    <w:rsid w:val="00953D9C"/>
    <w:rsid w:val="00953F18"/>
    <w:rsid w:val="0095447A"/>
    <w:rsid w:val="009544BE"/>
    <w:rsid w:val="009549E3"/>
    <w:rsid w:val="00954D52"/>
    <w:rsid w:val="009551C9"/>
    <w:rsid w:val="009551F6"/>
    <w:rsid w:val="009552B3"/>
    <w:rsid w:val="00955F48"/>
    <w:rsid w:val="0095612B"/>
    <w:rsid w:val="0095657B"/>
    <w:rsid w:val="00956C9D"/>
    <w:rsid w:val="00957DA2"/>
    <w:rsid w:val="00957E9B"/>
    <w:rsid w:val="00960259"/>
    <w:rsid w:val="0096066E"/>
    <w:rsid w:val="00960A44"/>
    <w:rsid w:val="00960D5B"/>
    <w:rsid w:val="00960F91"/>
    <w:rsid w:val="00960FA3"/>
    <w:rsid w:val="009613B3"/>
    <w:rsid w:val="00961667"/>
    <w:rsid w:val="009616BF"/>
    <w:rsid w:val="00961DB7"/>
    <w:rsid w:val="00961E59"/>
    <w:rsid w:val="00961FCA"/>
    <w:rsid w:val="009627E1"/>
    <w:rsid w:val="009629C8"/>
    <w:rsid w:val="0096346A"/>
    <w:rsid w:val="009647F1"/>
    <w:rsid w:val="00964CB2"/>
    <w:rsid w:val="00965ED6"/>
    <w:rsid w:val="00965F24"/>
    <w:rsid w:val="00965F8F"/>
    <w:rsid w:val="00966645"/>
    <w:rsid w:val="00966B32"/>
    <w:rsid w:val="00966FE8"/>
    <w:rsid w:val="0096751C"/>
    <w:rsid w:val="009675E9"/>
    <w:rsid w:val="00967A99"/>
    <w:rsid w:val="00967B96"/>
    <w:rsid w:val="009702C2"/>
    <w:rsid w:val="009704DB"/>
    <w:rsid w:val="009705DD"/>
    <w:rsid w:val="009705F6"/>
    <w:rsid w:val="00970A2A"/>
    <w:rsid w:val="00970F73"/>
    <w:rsid w:val="00971698"/>
    <w:rsid w:val="00971A53"/>
    <w:rsid w:val="009725E8"/>
    <w:rsid w:val="00972F52"/>
    <w:rsid w:val="0097306A"/>
    <w:rsid w:val="009735ED"/>
    <w:rsid w:val="0097392A"/>
    <w:rsid w:val="00973C83"/>
    <w:rsid w:val="00973C8B"/>
    <w:rsid w:val="00973E00"/>
    <w:rsid w:val="00975454"/>
    <w:rsid w:val="0097598B"/>
    <w:rsid w:val="00975A82"/>
    <w:rsid w:val="00975B3B"/>
    <w:rsid w:val="00975C8B"/>
    <w:rsid w:val="00976188"/>
    <w:rsid w:val="00976333"/>
    <w:rsid w:val="00976345"/>
    <w:rsid w:val="00976468"/>
    <w:rsid w:val="00976555"/>
    <w:rsid w:val="00976842"/>
    <w:rsid w:val="0097701E"/>
    <w:rsid w:val="009774BF"/>
    <w:rsid w:val="009776B7"/>
    <w:rsid w:val="009779F2"/>
    <w:rsid w:val="00977D21"/>
    <w:rsid w:val="009804B7"/>
    <w:rsid w:val="009806D2"/>
    <w:rsid w:val="00980BC7"/>
    <w:rsid w:val="00980E09"/>
    <w:rsid w:val="00981245"/>
    <w:rsid w:val="00981739"/>
    <w:rsid w:val="00981823"/>
    <w:rsid w:val="00981829"/>
    <w:rsid w:val="00981E97"/>
    <w:rsid w:val="00981EDA"/>
    <w:rsid w:val="00982635"/>
    <w:rsid w:val="00982743"/>
    <w:rsid w:val="00983314"/>
    <w:rsid w:val="0098394E"/>
    <w:rsid w:val="00983A02"/>
    <w:rsid w:val="00983A15"/>
    <w:rsid w:val="00983A7A"/>
    <w:rsid w:val="00983C16"/>
    <w:rsid w:val="00983CBD"/>
    <w:rsid w:val="00984A61"/>
    <w:rsid w:val="00985249"/>
    <w:rsid w:val="00985607"/>
    <w:rsid w:val="00985CE7"/>
    <w:rsid w:val="00985FCE"/>
    <w:rsid w:val="00986355"/>
    <w:rsid w:val="009868B3"/>
    <w:rsid w:val="0098698F"/>
    <w:rsid w:val="00986C34"/>
    <w:rsid w:val="00987D5D"/>
    <w:rsid w:val="00987F75"/>
    <w:rsid w:val="00987FBC"/>
    <w:rsid w:val="0099050F"/>
    <w:rsid w:val="00990577"/>
    <w:rsid w:val="00990DDA"/>
    <w:rsid w:val="00990EEE"/>
    <w:rsid w:val="00991A81"/>
    <w:rsid w:val="0099223A"/>
    <w:rsid w:val="00992596"/>
    <w:rsid w:val="00992892"/>
    <w:rsid w:val="009928DB"/>
    <w:rsid w:val="00992CBA"/>
    <w:rsid w:val="00992E8D"/>
    <w:rsid w:val="00992FD2"/>
    <w:rsid w:val="009937B4"/>
    <w:rsid w:val="00993858"/>
    <w:rsid w:val="00993955"/>
    <w:rsid w:val="00993E01"/>
    <w:rsid w:val="009940D6"/>
    <w:rsid w:val="00994EA3"/>
    <w:rsid w:val="009952EE"/>
    <w:rsid w:val="009957E8"/>
    <w:rsid w:val="00995940"/>
    <w:rsid w:val="00995C73"/>
    <w:rsid w:val="00995FFE"/>
    <w:rsid w:val="009961D2"/>
    <w:rsid w:val="009961EC"/>
    <w:rsid w:val="00996245"/>
    <w:rsid w:val="009962A7"/>
    <w:rsid w:val="009963A8"/>
    <w:rsid w:val="00996499"/>
    <w:rsid w:val="0099653E"/>
    <w:rsid w:val="0099687B"/>
    <w:rsid w:val="009968E9"/>
    <w:rsid w:val="00996B49"/>
    <w:rsid w:val="00996C83"/>
    <w:rsid w:val="00996CEA"/>
    <w:rsid w:val="00996F88"/>
    <w:rsid w:val="00997124"/>
    <w:rsid w:val="009976AB"/>
    <w:rsid w:val="0099792D"/>
    <w:rsid w:val="00997A60"/>
    <w:rsid w:val="009A008F"/>
    <w:rsid w:val="009A00E5"/>
    <w:rsid w:val="009A0CFF"/>
    <w:rsid w:val="009A0DFF"/>
    <w:rsid w:val="009A1138"/>
    <w:rsid w:val="009A146E"/>
    <w:rsid w:val="009A191E"/>
    <w:rsid w:val="009A19C5"/>
    <w:rsid w:val="009A23AA"/>
    <w:rsid w:val="009A2871"/>
    <w:rsid w:val="009A2CCA"/>
    <w:rsid w:val="009A2E47"/>
    <w:rsid w:val="009A30B5"/>
    <w:rsid w:val="009A3122"/>
    <w:rsid w:val="009A368D"/>
    <w:rsid w:val="009A3762"/>
    <w:rsid w:val="009A48C7"/>
    <w:rsid w:val="009A4B0A"/>
    <w:rsid w:val="009A4EC6"/>
    <w:rsid w:val="009A5218"/>
    <w:rsid w:val="009A538E"/>
    <w:rsid w:val="009A623F"/>
    <w:rsid w:val="009A6490"/>
    <w:rsid w:val="009A6492"/>
    <w:rsid w:val="009A64C8"/>
    <w:rsid w:val="009A6B46"/>
    <w:rsid w:val="009A7569"/>
    <w:rsid w:val="009A79E6"/>
    <w:rsid w:val="009A7C65"/>
    <w:rsid w:val="009A7C7C"/>
    <w:rsid w:val="009A7D48"/>
    <w:rsid w:val="009B0709"/>
    <w:rsid w:val="009B0A00"/>
    <w:rsid w:val="009B0A5A"/>
    <w:rsid w:val="009B1243"/>
    <w:rsid w:val="009B1464"/>
    <w:rsid w:val="009B1619"/>
    <w:rsid w:val="009B1820"/>
    <w:rsid w:val="009B1839"/>
    <w:rsid w:val="009B189E"/>
    <w:rsid w:val="009B1D04"/>
    <w:rsid w:val="009B242C"/>
    <w:rsid w:val="009B25E8"/>
    <w:rsid w:val="009B2D66"/>
    <w:rsid w:val="009B2EBF"/>
    <w:rsid w:val="009B3255"/>
    <w:rsid w:val="009B325F"/>
    <w:rsid w:val="009B32C0"/>
    <w:rsid w:val="009B4249"/>
    <w:rsid w:val="009B4442"/>
    <w:rsid w:val="009B48F6"/>
    <w:rsid w:val="009B4D5E"/>
    <w:rsid w:val="009B4FCF"/>
    <w:rsid w:val="009B5165"/>
    <w:rsid w:val="009B6333"/>
    <w:rsid w:val="009B697D"/>
    <w:rsid w:val="009B6A67"/>
    <w:rsid w:val="009B6A7F"/>
    <w:rsid w:val="009B737A"/>
    <w:rsid w:val="009C07D5"/>
    <w:rsid w:val="009C0C8C"/>
    <w:rsid w:val="009C10DE"/>
    <w:rsid w:val="009C18AC"/>
    <w:rsid w:val="009C1E2E"/>
    <w:rsid w:val="009C1EA1"/>
    <w:rsid w:val="009C2154"/>
    <w:rsid w:val="009C21BE"/>
    <w:rsid w:val="009C22E7"/>
    <w:rsid w:val="009C299D"/>
    <w:rsid w:val="009C3146"/>
    <w:rsid w:val="009C35BB"/>
    <w:rsid w:val="009C3B18"/>
    <w:rsid w:val="009C3B60"/>
    <w:rsid w:val="009C3BC1"/>
    <w:rsid w:val="009C4015"/>
    <w:rsid w:val="009C40DD"/>
    <w:rsid w:val="009C459E"/>
    <w:rsid w:val="009C4A93"/>
    <w:rsid w:val="009C4AD0"/>
    <w:rsid w:val="009C4C7A"/>
    <w:rsid w:val="009C4E3F"/>
    <w:rsid w:val="009C51B3"/>
    <w:rsid w:val="009C5545"/>
    <w:rsid w:val="009C562D"/>
    <w:rsid w:val="009C5FA6"/>
    <w:rsid w:val="009C6044"/>
    <w:rsid w:val="009C6F00"/>
    <w:rsid w:val="009C6FC1"/>
    <w:rsid w:val="009C7437"/>
    <w:rsid w:val="009C7859"/>
    <w:rsid w:val="009C7BF2"/>
    <w:rsid w:val="009D0695"/>
    <w:rsid w:val="009D079B"/>
    <w:rsid w:val="009D0DFF"/>
    <w:rsid w:val="009D0F60"/>
    <w:rsid w:val="009D161A"/>
    <w:rsid w:val="009D18F0"/>
    <w:rsid w:val="009D1F7B"/>
    <w:rsid w:val="009D2490"/>
    <w:rsid w:val="009D2BF7"/>
    <w:rsid w:val="009D318A"/>
    <w:rsid w:val="009D31A8"/>
    <w:rsid w:val="009D3210"/>
    <w:rsid w:val="009D3234"/>
    <w:rsid w:val="009D353B"/>
    <w:rsid w:val="009D36E2"/>
    <w:rsid w:val="009D3DD5"/>
    <w:rsid w:val="009D43B7"/>
    <w:rsid w:val="009D487B"/>
    <w:rsid w:val="009D4A5E"/>
    <w:rsid w:val="009D4DD5"/>
    <w:rsid w:val="009D57C7"/>
    <w:rsid w:val="009D5802"/>
    <w:rsid w:val="009D5B42"/>
    <w:rsid w:val="009D5E5D"/>
    <w:rsid w:val="009D63A0"/>
    <w:rsid w:val="009D644C"/>
    <w:rsid w:val="009D6720"/>
    <w:rsid w:val="009D6AF2"/>
    <w:rsid w:val="009D7498"/>
    <w:rsid w:val="009D74D8"/>
    <w:rsid w:val="009D76B2"/>
    <w:rsid w:val="009D76B8"/>
    <w:rsid w:val="009D7810"/>
    <w:rsid w:val="009D79DF"/>
    <w:rsid w:val="009D7C15"/>
    <w:rsid w:val="009D7DEC"/>
    <w:rsid w:val="009D7F5D"/>
    <w:rsid w:val="009E037D"/>
    <w:rsid w:val="009E07A1"/>
    <w:rsid w:val="009E08D1"/>
    <w:rsid w:val="009E136A"/>
    <w:rsid w:val="009E13BD"/>
    <w:rsid w:val="009E1851"/>
    <w:rsid w:val="009E1CC1"/>
    <w:rsid w:val="009E1F5C"/>
    <w:rsid w:val="009E20B6"/>
    <w:rsid w:val="009E2A08"/>
    <w:rsid w:val="009E2DFC"/>
    <w:rsid w:val="009E3164"/>
    <w:rsid w:val="009E344E"/>
    <w:rsid w:val="009E3895"/>
    <w:rsid w:val="009E3982"/>
    <w:rsid w:val="009E3CC3"/>
    <w:rsid w:val="009E4248"/>
    <w:rsid w:val="009E4343"/>
    <w:rsid w:val="009E4544"/>
    <w:rsid w:val="009E479C"/>
    <w:rsid w:val="009E4849"/>
    <w:rsid w:val="009E52F0"/>
    <w:rsid w:val="009E5432"/>
    <w:rsid w:val="009E5621"/>
    <w:rsid w:val="009E5A1E"/>
    <w:rsid w:val="009E5CDB"/>
    <w:rsid w:val="009E6D44"/>
    <w:rsid w:val="009E6D93"/>
    <w:rsid w:val="009E75C6"/>
    <w:rsid w:val="009E76AC"/>
    <w:rsid w:val="009E7FE9"/>
    <w:rsid w:val="009F01F6"/>
    <w:rsid w:val="009F0548"/>
    <w:rsid w:val="009F0DB8"/>
    <w:rsid w:val="009F1413"/>
    <w:rsid w:val="009F14F8"/>
    <w:rsid w:val="009F18E8"/>
    <w:rsid w:val="009F1F1B"/>
    <w:rsid w:val="009F2217"/>
    <w:rsid w:val="009F233D"/>
    <w:rsid w:val="009F2870"/>
    <w:rsid w:val="009F2E79"/>
    <w:rsid w:val="009F2EB8"/>
    <w:rsid w:val="009F39E8"/>
    <w:rsid w:val="009F3D05"/>
    <w:rsid w:val="009F3DF8"/>
    <w:rsid w:val="009F3FEB"/>
    <w:rsid w:val="009F4211"/>
    <w:rsid w:val="009F4227"/>
    <w:rsid w:val="009F4837"/>
    <w:rsid w:val="009F54B7"/>
    <w:rsid w:val="009F5CB0"/>
    <w:rsid w:val="009F60CB"/>
    <w:rsid w:val="009F6242"/>
    <w:rsid w:val="009F6852"/>
    <w:rsid w:val="009F6CF8"/>
    <w:rsid w:val="009F7637"/>
    <w:rsid w:val="009F767E"/>
    <w:rsid w:val="009F7B19"/>
    <w:rsid w:val="009F7CD7"/>
    <w:rsid w:val="00A0026E"/>
    <w:rsid w:val="00A00352"/>
    <w:rsid w:val="00A006D9"/>
    <w:rsid w:val="00A00B76"/>
    <w:rsid w:val="00A00CCF"/>
    <w:rsid w:val="00A01682"/>
    <w:rsid w:val="00A01B79"/>
    <w:rsid w:val="00A01B82"/>
    <w:rsid w:val="00A0289C"/>
    <w:rsid w:val="00A02CE4"/>
    <w:rsid w:val="00A02F67"/>
    <w:rsid w:val="00A02F93"/>
    <w:rsid w:val="00A03879"/>
    <w:rsid w:val="00A038B3"/>
    <w:rsid w:val="00A03D6F"/>
    <w:rsid w:val="00A04105"/>
    <w:rsid w:val="00A04310"/>
    <w:rsid w:val="00A04B52"/>
    <w:rsid w:val="00A04B5D"/>
    <w:rsid w:val="00A04BE6"/>
    <w:rsid w:val="00A05210"/>
    <w:rsid w:val="00A053C4"/>
    <w:rsid w:val="00A05E84"/>
    <w:rsid w:val="00A05F40"/>
    <w:rsid w:val="00A06535"/>
    <w:rsid w:val="00A073E7"/>
    <w:rsid w:val="00A0780A"/>
    <w:rsid w:val="00A10869"/>
    <w:rsid w:val="00A11111"/>
    <w:rsid w:val="00A1162C"/>
    <w:rsid w:val="00A11BC0"/>
    <w:rsid w:val="00A1224C"/>
    <w:rsid w:val="00A12694"/>
    <w:rsid w:val="00A12C4F"/>
    <w:rsid w:val="00A12C70"/>
    <w:rsid w:val="00A139E9"/>
    <w:rsid w:val="00A13C69"/>
    <w:rsid w:val="00A1416E"/>
    <w:rsid w:val="00A14A35"/>
    <w:rsid w:val="00A1602B"/>
    <w:rsid w:val="00A162D8"/>
    <w:rsid w:val="00A16EA3"/>
    <w:rsid w:val="00A1725F"/>
    <w:rsid w:val="00A1728E"/>
    <w:rsid w:val="00A17693"/>
    <w:rsid w:val="00A177CE"/>
    <w:rsid w:val="00A17CCA"/>
    <w:rsid w:val="00A202F3"/>
    <w:rsid w:val="00A20A62"/>
    <w:rsid w:val="00A20DDE"/>
    <w:rsid w:val="00A21019"/>
    <w:rsid w:val="00A211DD"/>
    <w:rsid w:val="00A219DB"/>
    <w:rsid w:val="00A21A94"/>
    <w:rsid w:val="00A21E5A"/>
    <w:rsid w:val="00A21E8A"/>
    <w:rsid w:val="00A22266"/>
    <w:rsid w:val="00A2257B"/>
    <w:rsid w:val="00A22720"/>
    <w:rsid w:val="00A22CAB"/>
    <w:rsid w:val="00A22D85"/>
    <w:rsid w:val="00A231CC"/>
    <w:rsid w:val="00A238D4"/>
    <w:rsid w:val="00A238FE"/>
    <w:rsid w:val="00A23924"/>
    <w:rsid w:val="00A23A8A"/>
    <w:rsid w:val="00A23D6F"/>
    <w:rsid w:val="00A24159"/>
    <w:rsid w:val="00A242C1"/>
    <w:rsid w:val="00A25136"/>
    <w:rsid w:val="00A25954"/>
    <w:rsid w:val="00A25C70"/>
    <w:rsid w:val="00A26028"/>
    <w:rsid w:val="00A26097"/>
    <w:rsid w:val="00A2680B"/>
    <w:rsid w:val="00A26961"/>
    <w:rsid w:val="00A26AEA"/>
    <w:rsid w:val="00A27320"/>
    <w:rsid w:val="00A2749D"/>
    <w:rsid w:val="00A27A65"/>
    <w:rsid w:val="00A30139"/>
    <w:rsid w:val="00A303E3"/>
    <w:rsid w:val="00A30CD4"/>
    <w:rsid w:val="00A30D6A"/>
    <w:rsid w:val="00A31974"/>
    <w:rsid w:val="00A31F34"/>
    <w:rsid w:val="00A3211D"/>
    <w:rsid w:val="00A32422"/>
    <w:rsid w:val="00A32533"/>
    <w:rsid w:val="00A3273F"/>
    <w:rsid w:val="00A32B8E"/>
    <w:rsid w:val="00A33B15"/>
    <w:rsid w:val="00A33C06"/>
    <w:rsid w:val="00A33CA8"/>
    <w:rsid w:val="00A33F34"/>
    <w:rsid w:val="00A3422B"/>
    <w:rsid w:val="00A3438B"/>
    <w:rsid w:val="00A348F1"/>
    <w:rsid w:val="00A34F6C"/>
    <w:rsid w:val="00A3542C"/>
    <w:rsid w:val="00A35999"/>
    <w:rsid w:val="00A35DFC"/>
    <w:rsid w:val="00A36152"/>
    <w:rsid w:val="00A36693"/>
    <w:rsid w:val="00A368A6"/>
    <w:rsid w:val="00A36A6D"/>
    <w:rsid w:val="00A36F9F"/>
    <w:rsid w:val="00A36FB9"/>
    <w:rsid w:val="00A373E0"/>
    <w:rsid w:val="00A3755E"/>
    <w:rsid w:val="00A37970"/>
    <w:rsid w:val="00A37D43"/>
    <w:rsid w:val="00A37FB4"/>
    <w:rsid w:val="00A4007D"/>
    <w:rsid w:val="00A40146"/>
    <w:rsid w:val="00A40B60"/>
    <w:rsid w:val="00A40BC0"/>
    <w:rsid w:val="00A41A1F"/>
    <w:rsid w:val="00A41AE5"/>
    <w:rsid w:val="00A41D83"/>
    <w:rsid w:val="00A42449"/>
    <w:rsid w:val="00A4267B"/>
    <w:rsid w:val="00A42808"/>
    <w:rsid w:val="00A42CAE"/>
    <w:rsid w:val="00A42CB6"/>
    <w:rsid w:val="00A42CEC"/>
    <w:rsid w:val="00A430AD"/>
    <w:rsid w:val="00A43187"/>
    <w:rsid w:val="00A43660"/>
    <w:rsid w:val="00A438C2"/>
    <w:rsid w:val="00A43D0B"/>
    <w:rsid w:val="00A4420D"/>
    <w:rsid w:val="00A443AB"/>
    <w:rsid w:val="00A4440D"/>
    <w:rsid w:val="00A44812"/>
    <w:rsid w:val="00A44970"/>
    <w:rsid w:val="00A44D50"/>
    <w:rsid w:val="00A45312"/>
    <w:rsid w:val="00A45367"/>
    <w:rsid w:val="00A454A2"/>
    <w:rsid w:val="00A455C9"/>
    <w:rsid w:val="00A45AA7"/>
    <w:rsid w:val="00A45F95"/>
    <w:rsid w:val="00A4643F"/>
    <w:rsid w:val="00A467DF"/>
    <w:rsid w:val="00A46909"/>
    <w:rsid w:val="00A46E1E"/>
    <w:rsid w:val="00A47781"/>
    <w:rsid w:val="00A477CB"/>
    <w:rsid w:val="00A477CC"/>
    <w:rsid w:val="00A478F0"/>
    <w:rsid w:val="00A47A52"/>
    <w:rsid w:val="00A47E13"/>
    <w:rsid w:val="00A500CA"/>
    <w:rsid w:val="00A50785"/>
    <w:rsid w:val="00A51669"/>
    <w:rsid w:val="00A5173F"/>
    <w:rsid w:val="00A51AC2"/>
    <w:rsid w:val="00A51E28"/>
    <w:rsid w:val="00A51E4B"/>
    <w:rsid w:val="00A52335"/>
    <w:rsid w:val="00A5298F"/>
    <w:rsid w:val="00A52ABC"/>
    <w:rsid w:val="00A530BE"/>
    <w:rsid w:val="00A530EB"/>
    <w:rsid w:val="00A53C02"/>
    <w:rsid w:val="00A54148"/>
    <w:rsid w:val="00A54230"/>
    <w:rsid w:val="00A5427C"/>
    <w:rsid w:val="00A54829"/>
    <w:rsid w:val="00A54CB3"/>
    <w:rsid w:val="00A54F9D"/>
    <w:rsid w:val="00A55082"/>
    <w:rsid w:val="00A556D1"/>
    <w:rsid w:val="00A5579D"/>
    <w:rsid w:val="00A5678D"/>
    <w:rsid w:val="00A56E10"/>
    <w:rsid w:val="00A56F96"/>
    <w:rsid w:val="00A5780E"/>
    <w:rsid w:val="00A57BD0"/>
    <w:rsid w:val="00A57ED3"/>
    <w:rsid w:val="00A6018C"/>
    <w:rsid w:val="00A601E0"/>
    <w:rsid w:val="00A607EE"/>
    <w:rsid w:val="00A60897"/>
    <w:rsid w:val="00A60DE4"/>
    <w:rsid w:val="00A60E72"/>
    <w:rsid w:val="00A60F02"/>
    <w:rsid w:val="00A610C5"/>
    <w:rsid w:val="00A6170A"/>
    <w:rsid w:val="00A620E1"/>
    <w:rsid w:val="00A622C0"/>
    <w:rsid w:val="00A62359"/>
    <w:rsid w:val="00A62512"/>
    <w:rsid w:val="00A6274B"/>
    <w:rsid w:val="00A6277B"/>
    <w:rsid w:val="00A62B54"/>
    <w:rsid w:val="00A62CAF"/>
    <w:rsid w:val="00A62CEB"/>
    <w:rsid w:val="00A6323F"/>
    <w:rsid w:val="00A638D7"/>
    <w:rsid w:val="00A6390B"/>
    <w:rsid w:val="00A63FF6"/>
    <w:rsid w:val="00A649AF"/>
    <w:rsid w:val="00A65DB0"/>
    <w:rsid w:val="00A65E87"/>
    <w:rsid w:val="00A6615A"/>
    <w:rsid w:val="00A667D6"/>
    <w:rsid w:val="00A676C3"/>
    <w:rsid w:val="00A6787C"/>
    <w:rsid w:val="00A678B2"/>
    <w:rsid w:val="00A70254"/>
    <w:rsid w:val="00A71C01"/>
    <w:rsid w:val="00A71EEA"/>
    <w:rsid w:val="00A7266C"/>
    <w:rsid w:val="00A727C4"/>
    <w:rsid w:val="00A72B21"/>
    <w:rsid w:val="00A72CCA"/>
    <w:rsid w:val="00A72DAB"/>
    <w:rsid w:val="00A732C5"/>
    <w:rsid w:val="00A7336E"/>
    <w:rsid w:val="00A73A7B"/>
    <w:rsid w:val="00A73E5B"/>
    <w:rsid w:val="00A73FCA"/>
    <w:rsid w:val="00A7439B"/>
    <w:rsid w:val="00A74B73"/>
    <w:rsid w:val="00A752A4"/>
    <w:rsid w:val="00A75FBB"/>
    <w:rsid w:val="00A7612F"/>
    <w:rsid w:val="00A764AA"/>
    <w:rsid w:val="00A76510"/>
    <w:rsid w:val="00A76A18"/>
    <w:rsid w:val="00A76FF4"/>
    <w:rsid w:val="00A77437"/>
    <w:rsid w:val="00A7788C"/>
    <w:rsid w:val="00A778D7"/>
    <w:rsid w:val="00A77EAF"/>
    <w:rsid w:val="00A8029D"/>
    <w:rsid w:val="00A807EE"/>
    <w:rsid w:val="00A80A7C"/>
    <w:rsid w:val="00A81759"/>
    <w:rsid w:val="00A81C9D"/>
    <w:rsid w:val="00A82308"/>
    <w:rsid w:val="00A82ACF"/>
    <w:rsid w:val="00A82BAC"/>
    <w:rsid w:val="00A830B5"/>
    <w:rsid w:val="00A83218"/>
    <w:rsid w:val="00A8382F"/>
    <w:rsid w:val="00A8422D"/>
    <w:rsid w:val="00A84509"/>
    <w:rsid w:val="00A85233"/>
    <w:rsid w:val="00A854BF"/>
    <w:rsid w:val="00A858A4"/>
    <w:rsid w:val="00A85AE8"/>
    <w:rsid w:val="00A85CD2"/>
    <w:rsid w:val="00A85E81"/>
    <w:rsid w:val="00A85F78"/>
    <w:rsid w:val="00A85FAE"/>
    <w:rsid w:val="00A86007"/>
    <w:rsid w:val="00A862CB"/>
    <w:rsid w:val="00A86F7C"/>
    <w:rsid w:val="00A8768F"/>
    <w:rsid w:val="00A87737"/>
    <w:rsid w:val="00A878C5"/>
    <w:rsid w:val="00A87AB4"/>
    <w:rsid w:val="00A87CD0"/>
    <w:rsid w:val="00A87E7E"/>
    <w:rsid w:val="00A87EC0"/>
    <w:rsid w:val="00A9001B"/>
    <w:rsid w:val="00A9045D"/>
    <w:rsid w:val="00A9057A"/>
    <w:rsid w:val="00A90984"/>
    <w:rsid w:val="00A90ABF"/>
    <w:rsid w:val="00A90E87"/>
    <w:rsid w:val="00A91233"/>
    <w:rsid w:val="00A9123E"/>
    <w:rsid w:val="00A91CBB"/>
    <w:rsid w:val="00A9290F"/>
    <w:rsid w:val="00A92972"/>
    <w:rsid w:val="00A92B62"/>
    <w:rsid w:val="00A92E49"/>
    <w:rsid w:val="00A931DE"/>
    <w:rsid w:val="00A93471"/>
    <w:rsid w:val="00A93616"/>
    <w:rsid w:val="00A936AC"/>
    <w:rsid w:val="00A937D8"/>
    <w:rsid w:val="00A93C87"/>
    <w:rsid w:val="00A94117"/>
    <w:rsid w:val="00A942D2"/>
    <w:rsid w:val="00A943A7"/>
    <w:rsid w:val="00A944FA"/>
    <w:rsid w:val="00A94FDF"/>
    <w:rsid w:val="00A9576C"/>
    <w:rsid w:val="00A95B8D"/>
    <w:rsid w:val="00A95E4B"/>
    <w:rsid w:val="00A96A73"/>
    <w:rsid w:val="00A96CF0"/>
    <w:rsid w:val="00A96ED4"/>
    <w:rsid w:val="00A97001"/>
    <w:rsid w:val="00A971CC"/>
    <w:rsid w:val="00A97864"/>
    <w:rsid w:val="00AA03E3"/>
    <w:rsid w:val="00AA0670"/>
    <w:rsid w:val="00AA0FBC"/>
    <w:rsid w:val="00AA187A"/>
    <w:rsid w:val="00AA1894"/>
    <w:rsid w:val="00AA1953"/>
    <w:rsid w:val="00AA1B49"/>
    <w:rsid w:val="00AA1BB1"/>
    <w:rsid w:val="00AA21EF"/>
    <w:rsid w:val="00AA23BB"/>
    <w:rsid w:val="00AA2411"/>
    <w:rsid w:val="00AA2653"/>
    <w:rsid w:val="00AA28F4"/>
    <w:rsid w:val="00AA2D5A"/>
    <w:rsid w:val="00AA2F1B"/>
    <w:rsid w:val="00AA3277"/>
    <w:rsid w:val="00AA3300"/>
    <w:rsid w:val="00AA36D5"/>
    <w:rsid w:val="00AA4646"/>
    <w:rsid w:val="00AA47CF"/>
    <w:rsid w:val="00AA498E"/>
    <w:rsid w:val="00AA4E2D"/>
    <w:rsid w:val="00AA5083"/>
    <w:rsid w:val="00AA51BC"/>
    <w:rsid w:val="00AA536E"/>
    <w:rsid w:val="00AA5B7E"/>
    <w:rsid w:val="00AA5BE6"/>
    <w:rsid w:val="00AA5FE7"/>
    <w:rsid w:val="00AA62ED"/>
    <w:rsid w:val="00AA63D2"/>
    <w:rsid w:val="00AA6DBC"/>
    <w:rsid w:val="00AA6F19"/>
    <w:rsid w:val="00AA72D6"/>
    <w:rsid w:val="00AA7490"/>
    <w:rsid w:val="00AB00BD"/>
    <w:rsid w:val="00AB0413"/>
    <w:rsid w:val="00AB0982"/>
    <w:rsid w:val="00AB0B38"/>
    <w:rsid w:val="00AB0BD8"/>
    <w:rsid w:val="00AB0D9F"/>
    <w:rsid w:val="00AB0EEE"/>
    <w:rsid w:val="00AB114A"/>
    <w:rsid w:val="00AB11F7"/>
    <w:rsid w:val="00AB18E5"/>
    <w:rsid w:val="00AB1B05"/>
    <w:rsid w:val="00AB1B3E"/>
    <w:rsid w:val="00AB1DC6"/>
    <w:rsid w:val="00AB2A1F"/>
    <w:rsid w:val="00AB3013"/>
    <w:rsid w:val="00AB3014"/>
    <w:rsid w:val="00AB32AC"/>
    <w:rsid w:val="00AB3CD1"/>
    <w:rsid w:val="00AB3E61"/>
    <w:rsid w:val="00AB43B8"/>
    <w:rsid w:val="00AB462D"/>
    <w:rsid w:val="00AB49BE"/>
    <w:rsid w:val="00AB4D8F"/>
    <w:rsid w:val="00AB5648"/>
    <w:rsid w:val="00AB5783"/>
    <w:rsid w:val="00AB58F2"/>
    <w:rsid w:val="00AB6510"/>
    <w:rsid w:val="00AB6855"/>
    <w:rsid w:val="00AB6856"/>
    <w:rsid w:val="00AB70C9"/>
    <w:rsid w:val="00AB7244"/>
    <w:rsid w:val="00AB73A8"/>
    <w:rsid w:val="00AC082F"/>
    <w:rsid w:val="00AC0E2F"/>
    <w:rsid w:val="00AC0F9D"/>
    <w:rsid w:val="00AC1135"/>
    <w:rsid w:val="00AC16C6"/>
    <w:rsid w:val="00AC176D"/>
    <w:rsid w:val="00AC18B1"/>
    <w:rsid w:val="00AC2440"/>
    <w:rsid w:val="00AC26ED"/>
    <w:rsid w:val="00AC2759"/>
    <w:rsid w:val="00AC2850"/>
    <w:rsid w:val="00AC28B2"/>
    <w:rsid w:val="00AC2A64"/>
    <w:rsid w:val="00AC2E98"/>
    <w:rsid w:val="00AC2FB2"/>
    <w:rsid w:val="00AC3100"/>
    <w:rsid w:val="00AC3D0E"/>
    <w:rsid w:val="00AC3DB2"/>
    <w:rsid w:val="00AC3E1E"/>
    <w:rsid w:val="00AC40B5"/>
    <w:rsid w:val="00AC4493"/>
    <w:rsid w:val="00AC4773"/>
    <w:rsid w:val="00AC4E54"/>
    <w:rsid w:val="00AC52A3"/>
    <w:rsid w:val="00AC544E"/>
    <w:rsid w:val="00AC5643"/>
    <w:rsid w:val="00AC5A17"/>
    <w:rsid w:val="00AC7446"/>
    <w:rsid w:val="00AC79F2"/>
    <w:rsid w:val="00AC7A69"/>
    <w:rsid w:val="00AC7B86"/>
    <w:rsid w:val="00AD03B9"/>
    <w:rsid w:val="00AD049E"/>
    <w:rsid w:val="00AD04D8"/>
    <w:rsid w:val="00AD0512"/>
    <w:rsid w:val="00AD05C6"/>
    <w:rsid w:val="00AD0928"/>
    <w:rsid w:val="00AD13CB"/>
    <w:rsid w:val="00AD16F9"/>
    <w:rsid w:val="00AD1F73"/>
    <w:rsid w:val="00AD2AC7"/>
    <w:rsid w:val="00AD2C60"/>
    <w:rsid w:val="00AD2CA8"/>
    <w:rsid w:val="00AD3444"/>
    <w:rsid w:val="00AD385F"/>
    <w:rsid w:val="00AD3C94"/>
    <w:rsid w:val="00AD3DEA"/>
    <w:rsid w:val="00AD3FF8"/>
    <w:rsid w:val="00AD42BA"/>
    <w:rsid w:val="00AD44C9"/>
    <w:rsid w:val="00AD45DD"/>
    <w:rsid w:val="00AD4793"/>
    <w:rsid w:val="00AD4EE9"/>
    <w:rsid w:val="00AD5329"/>
    <w:rsid w:val="00AD55CA"/>
    <w:rsid w:val="00AD5901"/>
    <w:rsid w:val="00AD61BB"/>
    <w:rsid w:val="00AD6522"/>
    <w:rsid w:val="00AD6B26"/>
    <w:rsid w:val="00AD6B2F"/>
    <w:rsid w:val="00AD6D99"/>
    <w:rsid w:val="00AD6E7E"/>
    <w:rsid w:val="00AD6F66"/>
    <w:rsid w:val="00AD7210"/>
    <w:rsid w:val="00AD721D"/>
    <w:rsid w:val="00AD75D1"/>
    <w:rsid w:val="00AD7C1E"/>
    <w:rsid w:val="00AE056C"/>
    <w:rsid w:val="00AE08F1"/>
    <w:rsid w:val="00AE0C69"/>
    <w:rsid w:val="00AE0C7A"/>
    <w:rsid w:val="00AE0DCA"/>
    <w:rsid w:val="00AE13A6"/>
    <w:rsid w:val="00AE197C"/>
    <w:rsid w:val="00AE19C5"/>
    <w:rsid w:val="00AE1C59"/>
    <w:rsid w:val="00AE2075"/>
    <w:rsid w:val="00AE267B"/>
    <w:rsid w:val="00AE28AA"/>
    <w:rsid w:val="00AE2A39"/>
    <w:rsid w:val="00AE2BB4"/>
    <w:rsid w:val="00AE2D2E"/>
    <w:rsid w:val="00AE30D8"/>
    <w:rsid w:val="00AE36DE"/>
    <w:rsid w:val="00AE3CF4"/>
    <w:rsid w:val="00AE3CF7"/>
    <w:rsid w:val="00AE41C7"/>
    <w:rsid w:val="00AE46B2"/>
    <w:rsid w:val="00AE526F"/>
    <w:rsid w:val="00AE537B"/>
    <w:rsid w:val="00AE5638"/>
    <w:rsid w:val="00AE576F"/>
    <w:rsid w:val="00AE5EF4"/>
    <w:rsid w:val="00AE75E2"/>
    <w:rsid w:val="00AE76F5"/>
    <w:rsid w:val="00AE7703"/>
    <w:rsid w:val="00AE7C6B"/>
    <w:rsid w:val="00AF02AE"/>
    <w:rsid w:val="00AF0548"/>
    <w:rsid w:val="00AF0832"/>
    <w:rsid w:val="00AF13A2"/>
    <w:rsid w:val="00AF14E5"/>
    <w:rsid w:val="00AF1517"/>
    <w:rsid w:val="00AF157A"/>
    <w:rsid w:val="00AF16EE"/>
    <w:rsid w:val="00AF1DB1"/>
    <w:rsid w:val="00AF2A0F"/>
    <w:rsid w:val="00AF30E1"/>
    <w:rsid w:val="00AF41DA"/>
    <w:rsid w:val="00AF4B40"/>
    <w:rsid w:val="00AF4E62"/>
    <w:rsid w:val="00AF50D5"/>
    <w:rsid w:val="00AF5A10"/>
    <w:rsid w:val="00AF5DD8"/>
    <w:rsid w:val="00AF5E33"/>
    <w:rsid w:val="00AF5EA6"/>
    <w:rsid w:val="00AF5EDD"/>
    <w:rsid w:val="00AF6149"/>
    <w:rsid w:val="00AF61F4"/>
    <w:rsid w:val="00AF624C"/>
    <w:rsid w:val="00AF625A"/>
    <w:rsid w:val="00AF6D0C"/>
    <w:rsid w:val="00AF7003"/>
    <w:rsid w:val="00AF75D5"/>
    <w:rsid w:val="00AF75F7"/>
    <w:rsid w:val="00AF7667"/>
    <w:rsid w:val="00AF7BD3"/>
    <w:rsid w:val="00B000FA"/>
    <w:rsid w:val="00B00E23"/>
    <w:rsid w:val="00B00E80"/>
    <w:rsid w:val="00B0105F"/>
    <w:rsid w:val="00B010FC"/>
    <w:rsid w:val="00B01255"/>
    <w:rsid w:val="00B0147C"/>
    <w:rsid w:val="00B015D1"/>
    <w:rsid w:val="00B016E7"/>
    <w:rsid w:val="00B018BC"/>
    <w:rsid w:val="00B019F6"/>
    <w:rsid w:val="00B01EFB"/>
    <w:rsid w:val="00B025D3"/>
    <w:rsid w:val="00B02C4A"/>
    <w:rsid w:val="00B02DDB"/>
    <w:rsid w:val="00B030F5"/>
    <w:rsid w:val="00B03F8F"/>
    <w:rsid w:val="00B04548"/>
    <w:rsid w:val="00B04A0A"/>
    <w:rsid w:val="00B04A25"/>
    <w:rsid w:val="00B04C58"/>
    <w:rsid w:val="00B04E6C"/>
    <w:rsid w:val="00B04EF5"/>
    <w:rsid w:val="00B04FBD"/>
    <w:rsid w:val="00B056A1"/>
    <w:rsid w:val="00B0593A"/>
    <w:rsid w:val="00B05CEF"/>
    <w:rsid w:val="00B062BC"/>
    <w:rsid w:val="00B066F1"/>
    <w:rsid w:val="00B067F5"/>
    <w:rsid w:val="00B06A5F"/>
    <w:rsid w:val="00B06C0F"/>
    <w:rsid w:val="00B07556"/>
    <w:rsid w:val="00B076BD"/>
    <w:rsid w:val="00B07BA1"/>
    <w:rsid w:val="00B07D99"/>
    <w:rsid w:val="00B07E4D"/>
    <w:rsid w:val="00B07F1C"/>
    <w:rsid w:val="00B10D8E"/>
    <w:rsid w:val="00B111B6"/>
    <w:rsid w:val="00B113CA"/>
    <w:rsid w:val="00B11708"/>
    <w:rsid w:val="00B11BDD"/>
    <w:rsid w:val="00B11DB6"/>
    <w:rsid w:val="00B1207F"/>
    <w:rsid w:val="00B122FA"/>
    <w:rsid w:val="00B125D1"/>
    <w:rsid w:val="00B12B5A"/>
    <w:rsid w:val="00B12C69"/>
    <w:rsid w:val="00B1301E"/>
    <w:rsid w:val="00B13041"/>
    <w:rsid w:val="00B136A8"/>
    <w:rsid w:val="00B13811"/>
    <w:rsid w:val="00B1399D"/>
    <w:rsid w:val="00B13B64"/>
    <w:rsid w:val="00B13D5D"/>
    <w:rsid w:val="00B13E95"/>
    <w:rsid w:val="00B14361"/>
    <w:rsid w:val="00B145D8"/>
    <w:rsid w:val="00B1499F"/>
    <w:rsid w:val="00B15204"/>
    <w:rsid w:val="00B1548A"/>
    <w:rsid w:val="00B15B06"/>
    <w:rsid w:val="00B15EDA"/>
    <w:rsid w:val="00B161CE"/>
    <w:rsid w:val="00B16215"/>
    <w:rsid w:val="00B16265"/>
    <w:rsid w:val="00B162B4"/>
    <w:rsid w:val="00B164F3"/>
    <w:rsid w:val="00B1694E"/>
    <w:rsid w:val="00B16E9A"/>
    <w:rsid w:val="00B17249"/>
    <w:rsid w:val="00B17577"/>
    <w:rsid w:val="00B17627"/>
    <w:rsid w:val="00B20331"/>
    <w:rsid w:val="00B20536"/>
    <w:rsid w:val="00B2094B"/>
    <w:rsid w:val="00B20B44"/>
    <w:rsid w:val="00B20BDE"/>
    <w:rsid w:val="00B21B2E"/>
    <w:rsid w:val="00B21B50"/>
    <w:rsid w:val="00B21D5B"/>
    <w:rsid w:val="00B21F6E"/>
    <w:rsid w:val="00B21F72"/>
    <w:rsid w:val="00B21FBE"/>
    <w:rsid w:val="00B22399"/>
    <w:rsid w:val="00B226AB"/>
    <w:rsid w:val="00B226B8"/>
    <w:rsid w:val="00B229FD"/>
    <w:rsid w:val="00B22B33"/>
    <w:rsid w:val="00B22CAF"/>
    <w:rsid w:val="00B22EBE"/>
    <w:rsid w:val="00B23334"/>
    <w:rsid w:val="00B23380"/>
    <w:rsid w:val="00B2340D"/>
    <w:rsid w:val="00B2361B"/>
    <w:rsid w:val="00B23979"/>
    <w:rsid w:val="00B23A0F"/>
    <w:rsid w:val="00B23E3A"/>
    <w:rsid w:val="00B23F6B"/>
    <w:rsid w:val="00B2426B"/>
    <w:rsid w:val="00B2578A"/>
    <w:rsid w:val="00B25858"/>
    <w:rsid w:val="00B25969"/>
    <w:rsid w:val="00B25FEF"/>
    <w:rsid w:val="00B26B3B"/>
    <w:rsid w:val="00B26BB0"/>
    <w:rsid w:val="00B27094"/>
    <w:rsid w:val="00B2713F"/>
    <w:rsid w:val="00B275EB"/>
    <w:rsid w:val="00B279FA"/>
    <w:rsid w:val="00B27B2D"/>
    <w:rsid w:val="00B27D63"/>
    <w:rsid w:val="00B301EE"/>
    <w:rsid w:val="00B303F8"/>
    <w:rsid w:val="00B3073F"/>
    <w:rsid w:val="00B30C75"/>
    <w:rsid w:val="00B311E0"/>
    <w:rsid w:val="00B3152E"/>
    <w:rsid w:val="00B3153B"/>
    <w:rsid w:val="00B31CEF"/>
    <w:rsid w:val="00B31D8E"/>
    <w:rsid w:val="00B321C1"/>
    <w:rsid w:val="00B3250B"/>
    <w:rsid w:val="00B32586"/>
    <w:rsid w:val="00B3303E"/>
    <w:rsid w:val="00B333FF"/>
    <w:rsid w:val="00B334E8"/>
    <w:rsid w:val="00B33769"/>
    <w:rsid w:val="00B33996"/>
    <w:rsid w:val="00B34411"/>
    <w:rsid w:val="00B34A76"/>
    <w:rsid w:val="00B35117"/>
    <w:rsid w:val="00B35145"/>
    <w:rsid w:val="00B3543E"/>
    <w:rsid w:val="00B35518"/>
    <w:rsid w:val="00B35CBB"/>
    <w:rsid w:val="00B35DDA"/>
    <w:rsid w:val="00B35E3C"/>
    <w:rsid w:val="00B36177"/>
    <w:rsid w:val="00B36468"/>
    <w:rsid w:val="00B36807"/>
    <w:rsid w:val="00B374B8"/>
    <w:rsid w:val="00B379CB"/>
    <w:rsid w:val="00B37FDC"/>
    <w:rsid w:val="00B4002F"/>
    <w:rsid w:val="00B40089"/>
    <w:rsid w:val="00B401B0"/>
    <w:rsid w:val="00B4020E"/>
    <w:rsid w:val="00B408FC"/>
    <w:rsid w:val="00B40D16"/>
    <w:rsid w:val="00B40FAF"/>
    <w:rsid w:val="00B410DD"/>
    <w:rsid w:val="00B41267"/>
    <w:rsid w:val="00B413BB"/>
    <w:rsid w:val="00B41A6B"/>
    <w:rsid w:val="00B42449"/>
    <w:rsid w:val="00B4262B"/>
    <w:rsid w:val="00B4289D"/>
    <w:rsid w:val="00B430B9"/>
    <w:rsid w:val="00B435DF"/>
    <w:rsid w:val="00B43768"/>
    <w:rsid w:val="00B4390C"/>
    <w:rsid w:val="00B44109"/>
    <w:rsid w:val="00B441AE"/>
    <w:rsid w:val="00B4420A"/>
    <w:rsid w:val="00B44223"/>
    <w:rsid w:val="00B44323"/>
    <w:rsid w:val="00B44759"/>
    <w:rsid w:val="00B448BD"/>
    <w:rsid w:val="00B44B29"/>
    <w:rsid w:val="00B44C05"/>
    <w:rsid w:val="00B45017"/>
    <w:rsid w:val="00B456C6"/>
    <w:rsid w:val="00B45A20"/>
    <w:rsid w:val="00B45EC9"/>
    <w:rsid w:val="00B45EF7"/>
    <w:rsid w:val="00B45F6B"/>
    <w:rsid w:val="00B461F3"/>
    <w:rsid w:val="00B4671F"/>
    <w:rsid w:val="00B46C8B"/>
    <w:rsid w:val="00B46FBD"/>
    <w:rsid w:val="00B4795C"/>
    <w:rsid w:val="00B50648"/>
    <w:rsid w:val="00B509C2"/>
    <w:rsid w:val="00B51127"/>
    <w:rsid w:val="00B514CC"/>
    <w:rsid w:val="00B51847"/>
    <w:rsid w:val="00B51BBB"/>
    <w:rsid w:val="00B5225E"/>
    <w:rsid w:val="00B52993"/>
    <w:rsid w:val="00B529E3"/>
    <w:rsid w:val="00B52D89"/>
    <w:rsid w:val="00B53F32"/>
    <w:rsid w:val="00B541BF"/>
    <w:rsid w:val="00B544D9"/>
    <w:rsid w:val="00B544DD"/>
    <w:rsid w:val="00B547FB"/>
    <w:rsid w:val="00B54822"/>
    <w:rsid w:val="00B54A33"/>
    <w:rsid w:val="00B55928"/>
    <w:rsid w:val="00B55AA0"/>
    <w:rsid w:val="00B567B9"/>
    <w:rsid w:val="00B56B09"/>
    <w:rsid w:val="00B570C5"/>
    <w:rsid w:val="00B570ED"/>
    <w:rsid w:val="00B5789D"/>
    <w:rsid w:val="00B57D09"/>
    <w:rsid w:val="00B60220"/>
    <w:rsid w:val="00B606E1"/>
    <w:rsid w:val="00B607F1"/>
    <w:rsid w:val="00B609E5"/>
    <w:rsid w:val="00B60AD0"/>
    <w:rsid w:val="00B60B95"/>
    <w:rsid w:val="00B61437"/>
    <w:rsid w:val="00B61934"/>
    <w:rsid w:val="00B61EE5"/>
    <w:rsid w:val="00B62000"/>
    <w:rsid w:val="00B62294"/>
    <w:rsid w:val="00B62623"/>
    <w:rsid w:val="00B62695"/>
    <w:rsid w:val="00B63E6E"/>
    <w:rsid w:val="00B641DC"/>
    <w:rsid w:val="00B645D3"/>
    <w:rsid w:val="00B649F9"/>
    <w:rsid w:val="00B64B29"/>
    <w:rsid w:val="00B64B99"/>
    <w:rsid w:val="00B64F34"/>
    <w:rsid w:val="00B6538E"/>
    <w:rsid w:val="00B65771"/>
    <w:rsid w:val="00B657B4"/>
    <w:rsid w:val="00B65D1C"/>
    <w:rsid w:val="00B65F9D"/>
    <w:rsid w:val="00B66064"/>
    <w:rsid w:val="00B6614C"/>
    <w:rsid w:val="00B6621E"/>
    <w:rsid w:val="00B66287"/>
    <w:rsid w:val="00B66519"/>
    <w:rsid w:val="00B67162"/>
    <w:rsid w:val="00B678B1"/>
    <w:rsid w:val="00B67A39"/>
    <w:rsid w:val="00B67F1E"/>
    <w:rsid w:val="00B7048A"/>
    <w:rsid w:val="00B70A0A"/>
    <w:rsid w:val="00B70A14"/>
    <w:rsid w:val="00B71308"/>
    <w:rsid w:val="00B713C5"/>
    <w:rsid w:val="00B7186F"/>
    <w:rsid w:val="00B71892"/>
    <w:rsid w:val="00B724E6"/>
    <w:rsid w:val="00B72686"/>
    <w:rsid w:val="00B73149"/>
    <w:rsid w:val="00B73662"/>
    <w:rsid w:val="00B73B03"/>
    <w:rsid w:val="00B73B25"/>
    <w:rsid w:val="00B73C72"/>
    <w:rsid w:val="00B74645"/>
    <w:rsid w:val="00B747F4"/>
    <w:rsid w:val="00B74991"/>
    <w:rsid w:val="00B74BE8"/>
    <w:rsid w:val="00B74C8E"/>
    <w:rsid w:val="00B7506F"/>
    <w:rsid w:val="00B750F3"/>
    <w:rsid w:val="00B75483"/>
    <w:rsid w:val="00B7573C"/>
    <w:rsid w:val="00B75986"/>
    <w:rsid w:val="00B75BA4"/>
    <w:rsid w:val="00B75C93"/>
    <w:rsid w:val="00B75CC0"/>
    <w:rsid w:val="00B75F97"/>
    <w:rsid w:val="00B76700"/>
    <w:rsid w:val="00B775EC"/>
    <w:rsid w:val="00B7765A"/>
    <w:rsid w:val="00B778EC"/>
    <w:rsid w:val="00B80014"/>
    <w:rsid w:val="00B80344"/>
    <w:rsid w:val="00B804B1"/>
    <w:rsid w:val="00B80705"/>
    <w:rsid w:val="00B80C8E"/>
    <w:rsid w:val="00B81C3E"/>
    <w:rsid w:val="00B82380"/>
    <w:rsid w:val="00B825B7"/>
    <w:rsid w:val="00B82C89"/>
    <w:rsid w:val="00B833C5"/>
    <w:rsid w:val="00B840DE"/>
    <w:rsid w:val="00B84371"/>
    <w:rsid w:val="00B844CD"/>
    <w:rsid w:val="00B8463C"/>
    <w:rsid w:val="00B84947"/>
    <w:rsid w:val="00B84F1E"/>
    <w:rsid w:val="00B85590"/>
    <w:rsid w:val="00B858AF"/>
    <w:rsid w:val="00B8631F"/>
    <w:rsid w:val="00B8646D"/>
    <w:rsid w:val="00B8686A"/>
    <w:rsid w:val="00B86AD8"/>
    <w:rsid w:val="00B86CAA"/>
    <w:rsid w:val="00B87B2B"/>
    <w:rsid w:val="00B87DF2"/>
    <w:rsid w:val="00B900EF"/>
    <w:rsid w:val="00B9086D"/>
    <w:rsid w:val="00B908B1"/>
    <w:rsid w:val="00B91485"/>
    <w:rsid w:val="00B9173F"/>
    <w:rsid w:val="00B91D78"/>
    <w:rsid w:val="00B923B5"/>
    <w:rsid w:val="00B92423"/>
    <w:rsid w:val="00B928F6"/>
    <w:rsid w:val="00B92CDC"/>
    <w:rsid w:val="00B92DB7"/>
    <w:rsid w:val="00B933FE"/>
    <w:rsid w:val="00B9345D"/>
    <w:rsid w:val="00B9367F"/>
    <w:rsid w:val="00B93872"/>
    <w:rsid w:val="00B9388C"/>
    <w:rsid w:val="00B93ADB"/>
    <w:rsid w:val="00B93F2A"/>
    <w:rsid w:val="00B93FD6"/>
    <w:rsid w:val="00B9409B"/>
    <w:rsid w:val="00B948EB"/>
    <w:rsid w:val="00B94907"/>
    <w:rsid w:val="00B954F7"/>
    <w:rsid w:val="00B956AC"/>
    <w:rsid w:val="00B9598F"/>
    <w:rsid w:val="00B95D81"/>
    <w:rsid w:val="00B95F65"/>
    <w:rsid w:val="00B95F95"/>
    <w:rsid w:val="00B95FCD"/>
    <w:rsid w:val="00B96135"/>
    <w:rsid w:val="00B962D0"/>
    <w:rsid w:val="00B97597"/>
    <w:rsid w:val="00B97FBB"/>
    <w:rsid w:val="00BA00D8"/>
    <w:rsid w:val="00BA0657"/>
    <w:rsid w:val="00BA0A9E"/>
    <w:rsid w:val="00BA0C8C"/>
    <w:rsid w:val="00BA0D4B"/>
    <w:rsid w:val="00BA128B"/>
    <w:rsid w:val="00BA1B42"/>
    <w:rsid w:val="00BA1CD2"/>
    <w:rsid w:val="00BA2214"/>
    <w:rsid w:val="00BA2279"/>
    <w:rsid w:val="00BA2A01"/>
    <w:rsid w:val="00BA3295"/>
    <w:rsid w:val="00BA32D4"/>
    <w:rsid w:val="00BA3825"/>
    <w:rsid w:val="00BA3C13"/>
    <w:rsid w:val="00BA3D2F"/>
    <w:rsid w:val="00BA3E06"/>
    <w:rsid w:val="00BA40D0"/>
    <w:rsid w:val="00BA41E4"/>
    <w:rsid w:val="00BA4706"/>
    <w:rsid w:val="00BA4730"/>
    <w:rsid w:val="00BA4795"/>
    <w:rsid w:val="00BA4C01"/>
    <w:rsid w:val="00BA5897"/>
    <w:rsid w:val="00BA58AD"/>
    <w:rsid w:val="00BA5EFF"/>
    <w:rsid w:val="00BA688F"/>
    <w:rsid w:val="00BA7092"/>
    <w:rsid w:val="00BB02A6"/>
    <w:rsid w:val="00BB08B1"/>
    <w:rsid w:val="00BB0AB1"/>
    <w:rsid w:val="00BB182B"/>
    <w:rsid w:val="00BB1C54"/>
    <w:rsid w:val="00BB1CA6"/>
    <w:rsid w:val="00BB1CF3"/>
    <w:rsid w:val="00BB223E"/>
    <w:rsid w:val="00BB229A"/>
    <w:rsid w:val="00BB280F"/>
    <w:rsid w:val="00BB28B0"/>
    <w:rsid w:val="00BB28BA"/>
    <w:rsid w:val="00BB2AA2"/>
    <w:rsid w:val="00BB2C66"/>
    <w:rsid w:val="00BB2E70"/>
    <w:rsid w:val="00BB3506"/>
    <w:rsid w:val="00BB38FF"/>
    <w:rsid w:val="00BB3A8A"/>
    <w:rsid w:val="00BB3B1B"/>
    <w:rsid w:val="00BB3B83"/>
    <w:rsid w:val="00BB3DD4"/>
    <w:rsid w:val="00BB3F7E"/>
    <w:rsid w:val="00BB416E"/>
    <w:rsid w:val="00BB4178"/>
    <w:rsid w:val="00BB4368"/>
    <w:rsid w:val="00BB437D"/>
    <w:rsid w:val="00BB453C"/>
    <w:rsid w:val="00BB4685"/>
    <w:rsid w:val="00BB4E60"/>
    <w:rsid w:val="00BB52A3"/>
    <w:rsid w:val="00BB53D0"/>
    <w:rsid w:val="00BB5792"/>
    <w:rsid w:val="00BB5B67"/>
    <w:rsid w:val="00BB6175"/>
    <w:rsid w:val="00BB61ED"/>
    <w:rsid w:val="00BB6693"/>
    <w:rsid w:val="00BB6E9F"/>
    <w:rsid w:val="00BB6F2F"/>
    <w:rsid w:val="00BB6FC8"/>
    <w:rsid w:val="00BB71E0"/>
    <w:rsid w:val="00BB76A8"/>
    <w:rsid w:val="00BB7B0E"/>
    <w:rsid w:val="00BC03D1"/>
    <w:rsid w:val="00BC0D80"/>
    <w:rsid w:val="00BC1193"/>
    <w:rsid w:val="00BC15CF"/>
    <w:rsid w:val="00BC1E63"/>
    <w:rsid w:val="00BC1EFD"/>
    <w:rsid w:val="00BC28E7"/>
    <w:rsid w:val="00BC2BD4"/>
    <w:rsid w:val="00BC305C"/>
    <w:rsid w:val="00BC33F6"/>
    <w:rsid w:val="00BC35AD"/>
    <w:rsid w:val="00BC4546"/>
    <w:rsid w:val="00BC45FB"/>
    <w:rsid w:val="00BC4744"/>
    <w:rsid w:val="00BC483F"/>
    <w:rsid w:val="00BC4BA9"/>
    <w:rsid w:val="00BC4C6B"/>
    <w:rsid w:val="00BC4D97"/>
    <w:rsid w:val="00BC54A2"/>
    <w:rsid w:val="00BC577E"/>
    <w:rsid w:val="00BC5848"/>
    <w:rsid w:val="00BC5A85"/>
    <w:rsid w:val="00BC6516"/>
    <w:rsid w:val="00BC6C92"/>
    <w:rsid w:val="00BC7153"/>
    <w:rsid w:val="00BC728F"/>
    <w:rsid w:val="00BC775B"/>
    <w:rsid w:val="00BD047E"/>
    <w:rsid w:val="00BD061B"/>
    <w:rsid w:val="00BD097D"/>
    <w:rsid w:val="00BD0EC7"/>
    <w:rsid w:val="00BD0F61"/>
    <w:rsid w:val="00BD133B"/>
    <w:rsid w:val="00BD174E"/>
    <w:rsid w:val="00BD1774"/>
    <w:rsid w:val="00BD1CA7"/>
    <w:rsid w:val="00BD1CBB"/>
    <w:rsid w:val="00BD2075"/>
    <w:rsid w:val="00BD221B"/>
    <w:rsid w:val="00BD2720"/>
    <w:rsid w:val="00BD2CD8"/>
    <w:rsid w:val="00BD2D00"/>
    <w:rsid w:val="00BD2E34"/>
    <w:rsid w:val="00BD2F82"/>
    <w:rsid w:val="00BD3568"/>
    <w:rsid w:val="00BD3581"/>
    <w:rsid w:val="00BD36DB"/>
    <w:rsid w:val="00BD3A28"/>
    <w:rsid w:val="00BD3C6F"/>
    <w:rsid w:val="00BD42AF"/>
    <w:rsid w:val="00BD47E1"/>
    <w:rsid w:val="00BD4871"/>
    <w:rsid w:val="00BD4CCA"/>
    <w:rsid w:val="00BD4DB8"/>
    <w:rsid w:val="00BD4FC2"/>
    <w:rsid w:val="00BD52BA"/>
    <w:rsid w:val="00BD59BF"/>
    <w:rsid w:val="00BD5B36"/>
    <w:rsid w:val="00BD615D"/>
    <w:rsid w:val="00BD6D17"/>
    <w:rsid w:val="00BD6D35"/>
    <w:rsid w:val="00BD6F70"/>
    <w:rsid w:val="00BD7538"/>
    <w:rsid w:val="00BD7AD0"/>
    <w:rsid w:val="00BD7B13"/>
    <w:rsid w:val="00BD7BDA"/>
    <w:rsid w:val="00BD7E55"/>
    <w:rsid w:val="00BD7E98"/>
    <w:rsid w:val="00BD7F32"/>
    <w:rsid w:val="00BE0227"/>
    <w:rsid w:val="00BE092F"/>
    <w:rsid w:val="00BE0AF4"/>
    <w:rsid w:val="00BE0DBC"/>
    <w:rsid w:val="00BE176C"/>
    <w:rsid w:val="00BE195E"/>
    <w:rsid w:val="00BE2008"/>
    <w:rsid w:val="00BE21E4"/>
    <w:rsid w:val="00BE2664"/>
    <w:rsid w:val="00BE288A"/>
    <w:rsid w:val="00BE298D"/>
    <w:rsid w:val="00BE2BB1"/>
    <w:rsid w:val="00BE2D44"/>
    <w:rsid w:val="00BE2FDB"/>
    <w:rsid w:val="00BE3141"/>
    <w:rsid w:val="00BE33F9"/>
    <w:rsid w:val="00BE346F"/>
    <w:rsid w:val="00BE34EF"/>
    <w:rsid w:val="00BE35B7"/>
    <w:rsid w:val="00BE36D3"/>
    <w:rsid w:val="00BE37BA"/>
    <w:rsid w:val="00BE39E5"/>
    <w:rsid w:val="00BE3F8B"/>
    <w:rsid w:val="00BE4281"/>
    <w:rsid w:val="00BE47E6"/>
    <w:rsid w:val="00BE4996"/>
    <w:rsid w:val="00BE4B3F"/>
    <w:rsid w:val="00BE5348"/>
    <w:rsid w:val="00BE54A5"/>
    <w:rsid w:val="00BE5706"/>
    <w:rsid w:val="00BE58D2"/>
    <w:rsid w:val="00BE5A16"/>
    <w:rsid w:val="00BE5AF8"/>
    <w:rsid w:val="00BE5C40"/>
    <w:rsid w:val="00BE5DFF"/>
    <w:rsid w:val="00BE61FA"/>
    <w:rsid w:val="00BE6410"/>
    <w:rsid w:val="00BE64B0"/>
    <w:rsid w:val="00BE6D76"/>
    <w:rsid w:val="00BE6E4B"/>
    <w:rsid w:val="00BE6F97"/>
    <w:rsid w:val="00BE6FF9"/>
    <w:rsid w:val="00BE750B"/>
    <w:rsid w:val="00BE7A70"/>
    <w:rsid w:val="00BF011D"/>
    <w:rsid w:val="00BF0247"/>
    <w:rsid w:val="00BF0A6E"/>
    <w:rsid w:val="00BF156B"/>
    <w:rsid w:val="00BF227C"/>
    <w:rsid w:val="00BF27E1"/>
    <w:rsid w:val="00BF282A"/>
    <w:rsid w:val="00BF2B7A"/>
    <w:rsid w:val="00BF3110"/>
    <w:rsid w:val="00BF3A64"/>
    <w:rsid w:val="00BF3D2F"/>
    <w:rsid w:val="00BF41AF"/>
    <w:rsid w:val="00BF42CA"/>
    <w:rsid w:val="00BF4639"/>
    <w:rsid w:val="00BF48DA"/>
    <w:rsid w:val="00BF4AC9"/>
    <w:rsid w:val="00BF4DB6"/>
    <w:rsid w:val="00BF4F04"/>
    <w:rsid w:val="00BF4F41"/>
    <w:rsid w:val="00BF50C0"/>
    <w:rsid w:val="00BF51DC"/>
    <w:rsid w:val="00BF5277"/>
    <w:rsid w:val="00BF59F5"/>
    <w:rsid w:val="00BF60F9"/>
    <w:rsid w:val="00BF667C"/>
    <w:rsid w:val="00BF6793"/>
    <w:rsid w:val="00BF7A65"/>
    <w:rsid w:val="00BF7C99"/>
    <w:rsid w:val="00C0061B"/>
    <w:rsid w:val="00C0095F"/>
    <w:rsid w:val="00C00C41"/>
    <w:rsid w:val="00C00DD1"/>
    <w:rsid w:val="00C011CA"/>
    <w:rsid w:val="00C0121C"/>
    <w:rsid w:val="00C018BA"/>
    <w:rsid w:val="00C02253"/>
    <w:rsid w:val="00C03027"/>
    <w:rsid w:val="00C03BC5"/>
    <w:rsid w:val="00C03DF6"/>
    <w:rsid w:val="00C040A5"/>
    <w:rsid w:val="00C040DF"/>
    <w:rsid w:val="00C04111"/>
    <w:rsid w:val="00C0418F"/>
    <w:rsid w:val="00C041DB"/>
    <w:rsid w:val="00C045C0"/>
    <w:rsid w:val="00C045CD"/>
    <w:rsid w:val="00C05032"/>
    <w:rsid w:val="00C0515E"/>
    <w:rsid w:val="00C05662"/>
    <w:rsid w:val="00C05673"/>
    <w:rsid w:val="00C0572A"/>
    <w:rsid w:val="00C05D8A"/>
    <w:rsid w:val="00C05ED7"/>
    <w:rsid w:val="00C0617A"/>
    <w:rsid w:val="00C06664"/>
    <w:rsid w:val="00C06CD5"/>
    <w:rsid w:val="00C07280"/>
    <w:rsid w:val="00C07B5A"/>
    <w:rsid w:val="00C07BA7"/>
    <w:rsid w:val="00C10143"/>
    <w:rsid w:val="00C101D8"/>
    <w:rsid w:val="00C10418"/>
    <w:rsid w:val="00C1054F"/>
    <w:rsid w:val="00C10634"/>
    <w:rsid w:val="00C10977"/>
    <w:rsid w:val="00C1153C"/>
    <w:rsid w:val="00C12018"/>
    <w:rsid w:val="00C13F09"/>
    <w:rsid w:val="00C15004"/>
    <w:rsid w:val="00C15CF2"/>
    <w:rsid w:val="00C15D7A"/>
    <w:rsid w:val="00C15E2D"/>
    <w:rsid w:val="00C1636B"/>
    <w:rsid w:val="00C16EEB"/>
    <w:rsid w:val="00C16FFC"/>
    <w:rsid w:val="00C17024"/>
    <w:rsid w:val="00C171AF"/>
    <w:rsid w:val="00C172EE"/>
    <w:rsid w:val="00C1734F"/>
    <w:rsid w:val="00C174D3"/>
    <w:rsid w:val="00C1761A"/>
    <w:rsid w:val="00C1793B"/>
    <w:rsid w:val="00C17C0F"/>
    <w:rsid w:val="00C17C7E"/>
    <w:rsid w:val="00C17EE2"/>
    <w:rsid w:val="00C205F2"/>
    <w:rsid w:val="00C20E42"/>
    <w:rsid w:val="00C20ED9"/>
    <w:rsid w:val="00C217A5"/>
    <w:rsid w:val="00C21873"/>
    <w:rsid w:val="00C21C31"/>
    <w:rsid w:val="00C21CCE"/>
    <w:rsid w:val="00C21E29"/>
    <w:rsid w:val="00C220F2"/>
    <w:rsid w:val="00C223B7"/>
    <w:rsid w:val="00C2244A"/>
    <w:rsid w:val="00C22635"/>
    <w:rsid w:val="00C22D04"/>
    <w:rsid w:val="00C2322B"/>
    <w:rsid w:val="00C23336"/>
    <w:rsid w:val="00C23416"/>
    <w:rsid w:val="00C23630"/>
    <w:rsid w:val="00C23913"/>
    <w:rsid w:val="00C23F61"/>
    <w:rsid w:val="00C247D6"/>
    <w:rsid w:val="00C24835"/>
    <w:rsid w:val="00C24903"/>
    <w:rsid w:val="00C24B0C"/>
    <w:rsid w:val="00C24C5E"/>
    <w:rsid w:val="00C2514C"/>
    <w:rsid w:val="00C25580"/>
    <w:rsid w:val="00C258B1"/>
    <w:rsid w:val="00C25B50"/>
    <w:rsid w:val="00C261B0"/>
    <w:rsid w:val="00C26299"/>
    <w:rsid w:val="00C262A2"/>
    <w:rsid w:val="00C269B6"/>
    <w:rsid w:val="00C27413"/>
    <w:rsid w:val="00C27873"/>
    <w:rsid w:val="00C27F59"/>
    <w:rsid w:val="00C31231"/>
    <w:rsid w:val="00C318B0"/>
    <w:rsid w:val="00C31AC5"/>
    <w:rsid w:val="00C326D0"/>
    <w:rsid w:val="00C3297F"/>
    <w:rsid w:val="00C33673"/>
    <w:rsid w:val="00C33B3A"/>
    <w:rsid w:val="00C34820"/>
    <w:rsid w:val="00C34A16"/>
    <w:rsid w:val="00C350FC"/>
    <w:rsid w:val="00C35248"/>
    <w:rsid w:val="00C35520"/>
    <w:rsid w:val="00C35633"/>
    <w:rsid w:val="00C35A6F"/>
    <w:rsid w:val="00C35DDE"/>
    <w:rsid w:val="00C361A3"/>
    <w:rsid w:val="00C3639B"/>
    <w:rsid w:val="00C36439"/>
    <w:rsid w:val="00C3718A"/>
    <w:rsid w:val="00C37442"/>
    <w:rsid w:val="00C3751C"/>
    <w:rsid w:val="00C379E8"/>
    <w:rsid w:val="00C37C65"/>
    <w:rsid w:val="00C37E0F"/>
    <w:rsid w:val="00C41901"/>
    <w:rsid w:val="00C42188"/>
    <w:rsid w:val="00C4250C"/>
    <w:rsid w:val="00C428B3"/>
    <w:rsid w:val="00C43738"/>
    <w:rsid w:val="00C437C2"/>
    <w:rsid w:val="00C44027"/>
    <w:rsid w:val="00C443D6"/>
    <w:rsid w:val="00C4450B"/>
    <w:rsid w:val="00C44DBE"/>
    <w:rsid w:val="00C451D5"/>
    <w:rsid w:val="00C451F9"/>
    <w:rsid w:val="00C453DA"/>
    <w:rsid w:val="00C455AD"/>
    <w:rsid w:val="00C457B0"/>
    <w:rsid w:val="00C45E61"/>
    <w:rsid w:val="00C45F6A"/>
    <w:rsid w:val="00C46260"/>
    <w:rsid w:val="00C4695B"/>
    <w:rsid w:val="00C472A8"/>
    <w:rsid w:val="00C472D1"/>
    <w:rsid w:val="00C47444"/>
    <w:rsid w:val="00C47455"/>
    <w:rsid w:val="00C47725"/>
    <w:rsid w:val="00C47C39"/>
    <w:rsid w:val="00C47C7C"/>
    <w:rsid w:val="00C47F22"/>
    <w:rsid w:val="00C508AE"/>
    <w:rsid w:val="00C508FC"/>
    <w:rsid w:val="00C51326"/>
    <w:rsid w:val="00C51399"/>
    <w:rsid w:val="00C51CF3"/>
    <w:rsid w:val="00C51FEA"/>
    <w:rsid w:val="00C52748"/>
    <w:rsid w:val="00C52788"/>
    <w:rsid w:val="00C52E49"/>
    <w:rsid w:val="00C5361E"/>
    <w:rsid w:val="00C5438F"/>
    <w:rsid w:val="00C54535"/>
    <w:rsid w:val="00C54EC4"/>
    <w:rsid w:val="00C54F67"/>
    <w:rsid w:val="00C5587F"/>
    <w:rsid w:val="00C55B93"/>
    <w:rsid w:val="00C55DAE"/>
    <w:rsid w:val="00C55DD1"/>
    <w:rsid w:val="00C562D3"/>
    <w:rsid w:val="00C564F6"/>
    <w:rsid w:val="00C56613"/>
    <w:rsid w:val="00C56D84"/>
    <w:rsid w:val="00C5710E"/>
    <w:rsid w:val="00C574A4"/>
    <w:rsid w:val="00C5797C"/>
    <w:rsid w:val="00C57BCD"/>
    <w:rsid w:val="00C60DAC"/>
    <w:rsid w:val="00C61223"/>
    <w:rsid w:val="00C614DE"/>
    <w:rsid w:val="00C61607"/>
    <w:rsid w:val="00C61AD4"/>
    <w:rsid w:val="00C62070"/>
    <w:rsid w:val="00C62508"/>
    <w:rsid w:val="00C62A42"/>
    <w:rsid w:val="00C630D0"/>
    <w:rsid w:val="00C63443"/>
    <w:rsid w:val="00C6360E"/>
    <w:rsid w:val="00C63642"/>
    <w:rsid w:val="00C637D8"/>
    <w:rsid w:val="00C64240"/>
    <w:rsid w:val="00C6437C"/>
    <w:rsid w:val="00C646EF"/>
    <w:rsid w:val="00C64CB2"/>
    <w:rsid w:val="00C64F11"/>
    <w:rsid w:val="00C65574"/>
    <w:rsid w:val="00C65961"/>
    <w:rsid w:val="00C65D7B"/>
    <w:rsid w:val="00C65D82"/>
    <w:rsid w:val="00C65DBA"/>
    <w:rsid w:val="00C66332"/>
    <w:rsid w:val="00C66625"/>
    <w:rsid w:val="00C66763"/>
    <w:rsid w:val="00C66822"/>
    <w:rsid w:val="00C66A05"/>
    <w:rsid w:val="00C66D02"/>
    <w:rsid w:val="00C67671"/>
    <w:rsid w:val="00C67CFC"/>
    <w:rsid w:val="00C67EF4"/>
    <w:rsid w:val="00C704E4"/>
    <w:rsid w:val="00C705AD"/>
    <w:rsid w:val="00C7076C"/>
    <w:rsid w:val="00C70E2A"/>
    <w:rsid w:val="00C71120"/>
    <w:rsid w:val="00C71207"/>
    <w:rsid w:val="00C71281"/>
    <w:rsid w:val="00C714C2"/>
    <w:rsid w:val="00C71782"/>
    <w:rsid w:val="00C71A0E"/>
    <w:rsid w:val="00C720C2"/>
    <w:rsid w:val="00C72156"/>
    <w:rsid w:val="00C72FD2"/>
    <w:rsid w:val="00C732BB"/>
    <w:rsid w:val="00C7357C"/>
    <w:rsid w:val="00C7359F"/>
    <w:rsid w:val="00C736E8"/>
    <w:rsid w:val="00C737D6"/>
    <w:rsid w:val="00C7422E"/>
    <w:rsid w:val="00C752EF"/>
    <w:rsid w:val="00C753EF"/>
    <w:rsid w:val="00C756F3"/>
    <w:rsid w:val="00C75F7D"/>
    <w:rsid w:val="00C7632C"/>
    <w:rsid w:val="00C76497"/>
    <w:rsid w:val="00C7655D"/>
    <w:rsid w:val="00C76B14"/>
    <w:rsid w:val="00C76E8D"/>
    <w:rsid w:val="00C76FCA"/>
    <w:rsid w:val="00C772AE"/>
    <w:rsid w:val="00C774EA"/>
    <w:rsid w:val="00C777C5"/>
    <w:rsid w:val="00C77927"/>
    <w:rsid w:val="00C77B4C"/>
    <w:rsid w:val="00C80165"/>
    <w:rsid w:val="00C801E5"/>
    <w:rsid w:val="00C802D6"/>
    <w:rsid w:val="00C808CE"/>
    <w:rsid w:val="00C80B53"/>
    <w:rsid w:val="00C80DBA"/>
    <w:rsid w:val="00C816C2"/>
    <w:rsid w:val="00C820AA"/>
    <w:rsid w:val="00C82A93"/>
    <w:rsid w:val="00C82B31"/>
    <w:rsid w:val="00C82D49"/>
    <w:rsid w:val="00C8329C"/>
    <w:rsid w:val="00C83357"/>
    <w:rsid w:val="00C83D76"/>
    <w:rsid w:val="00C83EAB"/>
    <w:rsid w:val="00C84056"/>
    <w:rsid w:val="00C84732"/>
    <w:rsid w:val="00C84815"/>
    <w:rsid w:val="00C85181"/>
    <w:rsid w:val="00C85269"/>
    <w:rsid w:val="00C8540A"/>
    <w:rsid w:val="00C85E07"/>
    <w:rsid w:val="00C86342"/>
    <w:rsid w:val="00C866D4"/>
    <w:rsid w:val="00C86936"/>
    <w:rsid w:val="00C869FA"/>
    <w:rsid w:val="00C86A43"/>
    <w:rsid w:val="00C86B0D"/>
    <w:rsid w:val="00C86B0F"/>
    <w:rsid w:val="00C86CE8"/>
    <w:rsid w:val="00C87294"/>
    <w:rsid w:val="00C87310"/>
    <w:rsid w:val="00C8731D"/>
    <w:rsid w:val="00C87AA2"/>
    <w:rsid w:val="00C90ADE"/>
    <w:rsid w:val="00C90AE7"/>
    <w:rsid w:val="00C90C68"/>
    <w:rsid w:val="00C91138"/>
    <w:rsid w:val="00C912BD"/>
    <w:rsid w:val="00C91449"/>
    <w:rsid w:val="00C91C0D"/>
    <w:rsid w:val="00C91E43"/>
    <w:rsid w:val="00C9221A"/>
    <w:rsid w:val="00C92543"/>
    <w:rsid w:val="00C92603"/>
    <w:rsid w:val="00C92F22"/>
    <w:rsid w:val="00C9314B"/>
    <w:rsid w:val="00C9319C"/>
    <w:rsid w:val="00C933BC"/>
    <w:rsid w:val="00C935EA"/>
    <w:rsid w:val="00C936D4"/>
    <w:rsid w:val="00C93BF6"/>
    <w:rsid w:val="00C93D32"/>
    <w:rsid w:val="00C93DB4"/>
    <w:rsid w:val="00C93F62"/>
    <w:rsid w:val="00C94146"/>
    <w:rsid w:val="00C9417F"/>
    <w:rsid w:val="00C941FF"/>
    <w:rsid w:val="00C94C2B"/>
    <w:rsid w:val="00C94E15"/>
    <w:rsid w:val="00C95107"/>
    <w:rsid w:val="00C9518A"/>
    <w:rsid w:val="00C95439"/>
    <w:rsid w:val="00C95ACC"/>
    <w:rsid w:val="00C95E23"/>
    <w:rsid w:val="00C96802"/>
    <w:rsid w:val="00C96C13"/>
    <w:rsid w:val="00C96CEA"/>
    <w:rsid w:val="00C97119"/>
    <w:rsid w:val="00C974C0"/>
    <w:rsid w:val="00C9789F"/>
    <w:rsid w:val="00C978C2"/>
    <w:rsid w:val="00CA076B"/>
    <w:rsid w:val="00CA0A74"/>
    <w:rsid w:val="00CA0BDC"/>
    <w:rsid w:val="00CA0FE8"/>
    <w:rsid w:val="00CA189A"/>
    <w:rsid w:val="00CA1DEC"/>
    <w:rsid w:val="00CA239D"/>
    <w:rsid w:val="00CA2A49"/>
    <w:rsid w:val="00CA2D98"/>
    <w:rsid w:val="00CA2E4F"/>
    <w:rsid w:val="00CA3056"/>
    <w:rsid w:val="00CA35CE"/>
    <w:rsid w:val="00CA3679"/>
    <w:rsid w:val="00CA3B34"/>
    <w:rsid w:val="00CA3E48"/>
    <w:rsid w:val="00CA3E92"/>
    <w:rsid w:val="00CA493D"/>
    <w:rsid w:val="00CA4CDC"/>
    <w:rsid w:val="00CA5120"/>
    <w:rsid w:val="00CA581E"/>
    <w:rsid w:val="00CA6115"/>
    <w:rsid w:val="00CA6570"/>
    <w:rsid w:val="00CA6920"/>
    <w:rsid w:val="00CA6BCE"/>
    <w:rsid w:val="00CA7A39"/>
    <w:rsid w:val="00CA7B52"/>
    <w:rsid w:val="00CA7BD4"/>
    <w:rsid w:val="00CB0270"/>
    <w:rsid w:val="00CB076F"/>
    <w:rsid w:val="00CB0924"/>
    <w:rsid w:val="00CB0C00"/>
    <w:rsid w:val="00CB0E3A"/>
    <w:rsid w:val="00CB1685"/>
    <w:rsid w:val="00CB1BB7"/>
    <w:rsid w:val="00CB1DF6"/>
    <w:rsid w:val="00CB1F59"/>
    <w:rsid w:val="00CB2023"/>
    <w:rsid w:val="00CB27C6"/>
    <w:rsid w:val="00CB2F9A"/>
    <w:rsid w:val="00CB31C8"/>
    <w:rsid w:val="00CB321B"/>
    <w:rsid w:val="00CB3352"/>
    <w:rsid w:val="00CB341B"/>
    <w:rsid w:val="00CB37D7"/>
    <w:rsid w:val="00CB3B3F"/>
    <w:rsid w:val="00CB433E"/>
    <w:rsid w:val="00CB4392"/>
    <w:rsid w:val="00CB4B70"/>
    <w:rsid w:val="00CB4EBB"/>
    <w:rsid w:val="00CB5020"/>
    <w:rsid w:val="00CB53CC"/>
    <w:rsid w:val="00CB5579"/>
    <w:rsid w:val="00CB561F"/>
    <w:rsid w:val="00CB5C05"/>
    <w:rsid w:val="00CB66BA"/>
    <w:rsid w:val="00CB6977"/>
    <w:rsid w:val="00CB6B33"/>
    <w:rsid w:val="00CB6E22"/>
    <w:rsid w:val="00CB6E8C"/>
    <w:rsid w:val="00CB72E3"/>
    <w:rsid w:val="00CB7848"/>
    <w:rsid w:val="00CB7A6D"/>
    <w:rsid w:val="00CB7BF4"/>
    <w:rsid w:val="00CB7C33"/>
    <w:rsid w:val="00CC0399"/>
    <w:rsid w:val="00CC0671"/>
    <w:rsid w:val="00CC0A90"/>
    <w:rsid w:val="00CC18E3"/>
    <w:rsid w:val="00CC1B59"/>
    <w:rsid w:val="00CC1E65"/>
    <w:rsid w:val="00CC232C"/>
    <w:rsid w:val="00CC236F"/>
    <w:rsid w:val="00CC2401"/>
    <w:rsid w:val="00CC258C"/>
    <w:rsid w:val="00CC259A"/>
    <w:rsid w:val="00CC25DD"/>
    <w:rsid w:val="00CC2D5D"/>
    <w:rsid w:val="00CC2E08"/>
    <w:rsid w:val="00CC3001"/>
    <w:rsid w:val="00CC3105"/>
    <w:rsid w:val="00CC334A"/>
    <w:rsid w:val="00CC3363"/>
    <w:rsid w:val="00CC341D"/>
    <w:rsid w:val="00CC35E2"/>
    <w:rsid w:val="00CC37FC"/>
    <w:rsid w:val="00CC38FC"/>
    <w:rsid w:val="00CC3DA3"/>
    <w:rsid w:val="00CC45B0"/>
    <w:rsid w:val="00CC4D38"/>
    <w:rsid w:val="00CC4E12"/>
    <w:rsid w:val="00CC5109"/>
    <w:rsid w:val="00CC5364"/>
    <w:rsid w:val="00CC544C"/>
    <w:rsid w:val="00CC5497"/>
    <w:rsid w:val="00CC59AE"/>
    <w:rsid w:val="00CC5EA3"/>
    <w:rsid w:val="00CC6361"/>
    <w:rsid w:val="00CC63FB"/>
    <w:rsid w:val="00CC670A"/>
    <w:rsid w:val="00CC6AD3"/>
    <w:rsid w:val="00CC7D4F"/>
    <w:rsid w:val="00CD058F"/>
    <w:rsid w:val="00CD0836"/>
    <w:rsid w:val="00CD0A1C"/>
    <w:rsid w:val="00CD0CF1"/>
    <w:rsid w:val="00CD0D9F"/>
    <w:rsid w:val="00CD0ED2"/>
    <w:rsid w:val="00CD108D"/>
    <w:rsid w:val="00CD1318"/>
    <w:rsid w:val="00CD193B"/>
    <w:rsid w:val="00CD1B16"/>
    <w:rsid w:val="00CD2182"/>
    <w:rsid w:val="00CD2698"/>
    <w:rsid w:val="00CD2771"/>
    <w:rsid w:val="00CD2C8F"/>
    <w:rsid w:val="00CD2D30"/>
    <w:rsid w:val="00CD2FED"/>
    <w:rsid w:val="00CD3001"/>
    <w:rsid w:val="00CD325C"/>
    <w:rsid w:val="00CD33A7"/>
    <w:rsid w:val="00CD34EA"/>
    <w:rsid w:val="00CD39A7"/>
    <w:rsid w:val="00CD3EF7"/>
    <w:rsid w:val="00CD4896"/>
    <w:rsid w:val="00CD5136"/>
    <w:rsid w:val="00CD51C9"/>
    <w:rsid w:val="00CD5585"/>
    <w:rsid w:val="00CD56B7"/>
    <w:rsid w:val="00CD5945"/>
    <w:rsid w:val="00CD5BE1"/>
    <w:rsid w:val="00CD5D30"/>
    <w:rsid w:val="00CD5D7A"/>
    <w:rsid w:val="00CD5D97"/>
    <w:rsid w:val="00CD654B"/>
    <w:rsid w:val="00CD6611"/>
    <w:rsid w:val="00CD6666"/>
    <w:rsid w:val="00CD6E63"/>
    <w:rsid w:val="00CD6EFC"/>
    <w:rsid w:val="00CD7042"/>
    <w:rsid w:val="00CD72C6"/>
    <w:rsid w:val="00CD74B1"/>
    <w:rsid w:val="00CD773B"/>
    <w:rsid w:val="00CE0074"/>
    <w:rsid w:val="00CE04C5"/>
    <w:rsid w:val="00CE0955"/>
    <w:rsid w:val="00CE0FC2"/>
    <w:rsid w:val="00CE101E"/>
    <w:rsid w:val="00CE1251"/>
    <w:rsid w:val="00CE13D0"/>
    <w:rsid w:val="00CE1533"/>
    <w:rsid w:val="00CE17E3"/>
    <w:rsid w:val="00CE1F19"/>
    <w:rsid w:val="00CE321B"/>
    <w:rsid w:val="00CE34AB"/>
    <w:rsid w:val="00CE35B0"/>
    <w:rsid w:val="00CE361F"/>
    <w:rsid w:val="00CE3F46"/>
    <w:rsid w:val="00CE432D"/>
    <w:rsid w:val="00CE461C"/>
    <w:rsid w:val="00CE47DC"/>
    <w:rsid w:val="00CE5641"/>
    <w:rsid w:val="00CE596E"/>
    <w:rsid w:val="00CE5E48"/>
    <w:rsid w:val="00CE6024"/>
    <w:rsid w:val="00CE697F"/>
    <w:rsid w:val="00CE6A4F"/>
    <w:rsid w:val="00CE6AAA"/>
    <w:rsid w:val="00CE6B0B"/>
    <w:rsid w:val="00CE6C43"/>
    <w:rsid w:val="00CE6CAA"/>
    <w:rsid w:val="00CE6F67"/>
    <w:rsid w:val="00CE71B7"/>
    <w:rsid w:val="00CE783E"/>
    <w:rsid w:val="00CE7AA5"/>
    <w:rsid w:val="00CE7E5A"/>
    <w:rsid w:val="00CE7E5B"/>
    <w:rsid w:val="00CF065B"/>
    <w:rsid w:val="00CF0837"/>
    <w:rsid w:val="00CF08DE"/>
    <w:rsid w:val="00CF0B9F"/>
    <w:rsid w:val="00CF0CDD"/>
    <w:rsid w:val="00CF0CF7"/>
    <w:rsid w:val="00CF0E5C"/>
    <w:rsid w:val="00CF0EF0"/>
    <w:rsid w:val="00CF14F2"/>
    <w:rsid w:val="00CF16D3"/>
    <w:rsid w:val="00CF22A7"/>
    <w:rsid w:val="00CF2BAD"/>
    <w:rsid w:val="00CF2CBA"/>
    <w:rsid w:val="00CF2D43"/>
    <w:rsid w:val="00CF2FD6"/>
    <w:rsid w:val="00CF343A"/>
    <w:rsid w:val="00CF3909"/>
    <w:rsid w:val="00CF3D92"/>
    <w:rsid w:val="00CF43F4"/>
    <w:rsid w:val="00CF4412"/>
    <w:rsid w:val="00CF459F"/>
    <w:rsid w:val="00CF50F4"/>
    <w:rsid w:val="00CF5166"/>
    <w:rsid w:val="00CF5257"/>
    <w:rsid w:val="00CF54DC"/>
    <w:rsid w:val="00CF55BE"/>
    <w:rsid w:val="00CF59CF"/>
    <w:rsid w:val="00CF5C32"/>
    <w:rsid w:val="00CF5D1A"/>
    <w:rsid w:val="00CF5E56"/>
    <w:rsid w:val="00CF5F6E"/>
    <w:rsid w:val="00CF60ED"/>
    <w:rsid w:val="00CF64D1"/>
    <w:rsid w:val="00CF65EC"/>
    <w:rsid w:val="00CF66C2"/>
    <w:rsid w:val="00CF6887"/>
    <w:rsid w:val="00CF690C"/>
    <w:rsid w:val="00CF75A1"/>
    <w:rsid w:val="00CF76D8"/>
    <w:rsid w:val="00CF770E"/>
    <w:rsid w:val="00CF782E"/>
    <w:rsid w:val="00CF7F40"/>
    <w:rsid w:val="00D0026D"/>
    <w:rsid w:val="00D003A8"/>
    <w:rsid w:val="00D003BA"/>
    <w:rsid w:val="00D00983"/>
    <w:rsid w:val="00D00FB1"/>
    <w:rsid w:val="00D00FB3"/>
    <w:rsid w:val="00D01029"/>
    <w:rsid w:val="00D0149D"/>
    <w:rsid w:val="00D025CC"/>
    <w:rsid w:val="00D02659"/>
    <w:rsid w:val="00D02716"/>
    <w:rsid w:val="00D02834"/>
    <w:rsid w:val="00D02C42"/>
    <w:rsid w:val="00D03A64"/>
    <w:rsid w:val="00D03D6C"/>
    <w:rsid w:val="00D03E56"/>
    <w:rsid w:val="00D03FC9"/>
    <w:rsid w:val="00D04AE8"/>
    <w:rsid w:val="00D04AF6"/>
    <w:rsid w:val="00D04BCF"/>
    <w:rsid w:val="00D04C06"/>
    <w:rsid w:val="00D04CC5"/>
    <w:rsid w:val="00D04D4E"/>
    <w:rsid w:val="00D05257"/>
    <w:rsid w:val="00D05AC6"/>
    <w:rsid w:val="00D06093"/>
    <w:rsid w:val="00D06355"/>
    <w:rsid w:val="00D06955"/>
    <w:rsid w:val="00D06CBC"/>
    <w:rsid w:val="00D0721D"/>
    <w:rsid w:val="00D073E6"/>
    <w:rsid w:val="00D0771E"/>
    <w:rsid w:val="00D07A38"/>
    <w:rsid w:val="00D07D3F"/>
    <w:rsid w:val="00D07FBB"/>
    <w:rsid w:val="00D1054C"/>
    <w:rsid w:val="00D1060D"/>
    <w:rsid w:val="00D106B3"/>
    <w:rsid w:val="00D1087A"/>
    <w:rsid w:val="00D10A6F"/>
    <w:rsid w:val="00D10FDD"/>
    <w:rsid w:val="00D110F9"/>
    <w:rsid w:val="00D1155C"/>
    <w:rsid w:val="00D116E9"/>
    <w:rsid w:val="00D11827"/>
    <w:rsid w:val="00D11B3D"/>
    <w:rsid w:val="00D120FB"/>
    <w:rsid w:val="00D12A92"/>
    <w:rsid w:val="00D12AA5"/>
    <w:rsid w:val="00D12E84"/>
    <w:rsid w:val="00D13201"/>
    <w:rsid w:val="00D13271"/>
    <w:rsid w:val="00D132D2"/>
    <w:rsid w:val="00D1339B"/>
    <w:rsid w:val="00D1457F"/>
    <w:rsid w:val="00D146F3"/>
    <w:rsid w:val="00D14762"/>
    <w:rsid w:val="00D1501C"/>
    <w:rsid w:val="00D1552A"/>
    <w:rsid w:val="00D1591E"/>
    <w:rsid w:val="00D15A4E"/>
    <w:rsid w:val="00D15E74"/>
    <w:rsid w:val="00D162BB"/>
    <w:rsid w:val="00D16D7B"/>
    <w:rsid w:val="00D16EBF"/>
    <w:rsid w:val="00D172B0"/>
    <w:rsid w:val="00D177BB"/>
    <w:rsid w:val="00D20243"/>
    <w:rsid w:val="00D2058B"/>
    <w:rsid w:val="00D2063F"/>
    <w:rsid w:val="00D20AB7"/>
    <w:rsid w:val="00D20BE4"/>
    <w:rsid w:val="00D20CB9"/>
    <w:rsid w:val="00D21272"/>
    <w:rsid w:val="00D215D0"/>
    <w:rsid w:val="00D216DD"/>
    <w:rsid w:val="00D21C04"/>
    <w:rsid w:val="00D222BF"/>
    <w:rsid w:val="00D22347"/>
    <w:rsid w:val="00D229FC"/>
    <w:rsid w:val="00D22FBD"/>
    <w:rsid w:val="00D23D75"/>
    <w:rsid w:val="00D24203"/>
    <w:rsid w:val="00D2421A"/>
    <w:rsid w:val="00D244E6"/>
    <w:rsid w:val="00D24530"/>
    <w:rsid w:val="00D24571"/>
    <w:rsid w:val="00D24688"/>
    <w:rsid w:val="00D248E4"/>
    <w:rsid w:val="00D2497E"/>
    <w:rsid w:val="00D24C61"/>
    <w:rsid w:val="00D24FFA"/>
    <w:rsid w:val="00D2576F"/>
    <w:rsid w:val="00D261C0"/>
    <w:rsid w:val="00D2628A"/>
    <w:rsid w:val="00D26313"/>
    <w:rsid w:val="00D266C6"/>
    <w:rsid w:val="00D26897"/>
    <w:rsid w:val="00D268F6"/>
    <w:rsid w:val="00D275FD"/>
    <w:rsid w:val="00D27F5B"/>
    <w:rsid w:val="00D27FFA"/>
    <w:rsid w:val="00D30536"/>
    <w:rsid w:val="00D30FEB"/>
    <w:rsid w:val="00D31572"/>
    <w:rsid w:val="00D31DC6"/>
    <w:rsid w:val="00D31FD4"/>
    <w:rsid w:val="00D320C6"/>
    <w:rsid w:val="00D3280B"/>
    <w:rsid w:val="00D32B7E"/>
    <w:rsid w:val="00D33524"/>
    <w:rsid w:val="00D33875"/>
    <w:rsid w:val="00D33916"/>
    <w:rsid w:val="00D33A23"/>
    <w:rsid w:val="00D33A7B"/>
    <w:rsid w:val="00D34056"/>
    <w:rsid w:val="00D3448D"/>
    <w:rsid w:val="00D34550"/>
    <w:rsid w:val="00D349C3"/>
    <w:rsid w:val="00D35915"/>
    <w:rsid w:val="00D35A73"/>
    <w:rsid w:val="00D35C0F"/>
    <w:rsid w:val="00D35D02"/>
    <w:rsid w:val="00D3621D"/>
    <w:rsid w:val="00D36873"/>
    <w:rsid w:val="00D36ADA"/>
    <w:rsid w:val="00D36F69"/>
    <w:rsid w:val="00D374CA"/>
    <w:rsid w:val="00D376A9"/>
    <w:rsid w:val="00D402AD"/>
    <w:rsid w:val="00D407F3"/>
    <w:rsid w:val="00D4080E"/>
    <w:rsid w:val="00D40894"/>
    <w:rsid w:val="00D411A7"/>
    <w:rsid w:val="00D41609"/>
    <w:rsid w:val="00D41781"/>
    <w:rsid w:val="00D417B4"/>
    <w:rsid w:val="00D4231C"/>
    <w:rsid w:val="00D4240E"/>
    <w:rsid w:val="00D42C41"/>
    <w:rsid w:val="00D433BF"/>
    <w:rsid w:val="00D43547"/>
    <w:rsid w:val="00D44163"/>
    <w:rsid w:val="00D444E3"/>
    <w:rsid w:val="00D44661"/>
    <w:rsid w:val="00D446B2"/>
    <w:rsid w:val="00D4471F"/>
    <w:rsid w:val="00D44F27"/>
    <w:rsid w:val="00D45534"/>
    <w:rsid w:val="00D4583B"/>
    <w:rsid w:val="00D45F12"/>
    <w:rsid w:val="00D4622E"/>
    <w:rsid w:val="00D46264"/>
    <w:rsid w:val="00D46DB4"/>
    <w:rsid w:val="00D46F04"/>
    <w:rsid w:val="00D47D2A"/>
    <w:rsid w:val="00D50611"/>
    <w:rsid w:val="00D508DB"/>
    <w:rsid w:val="00D50DFA"/>
    <w:rsid w:val="00D50EBA"/>
    <w:rsid w:val="00D51049"/>
    <w:rsid w:val="00D5104D"/>
    <w:rsid w:val="00D51665"/>
    <w:rsid w:val="00D51A2D"/>
    <w:rsid w:val="00D51C70"/>
    <w:rsid w:val="00D51E1B"/>
    <w:rsid w:val="00D5224A"/>
    <w:rsid w:val="00D524E6"/>
    <w:rsid w:val="00D52536"/>
    <w:rsid w:val="00D52974"/>
    <w:rsid w:val="00D52A6F"/>
    <w:rsid w:val="00D52BD5"/>
    <w:rsid w:val="00D52CC7"/>
    <w:rsid w:val="00D52D40"/>
    <w:rsid w:val="00D53C19"/>
    <w:rsid w:val="00D53D3C"/>
    <w:rsid w:val="00D53E5D"/>
    <w:rsid w:val="00D53EE0"/>
    <w:rsid w:val="00D54179"/>
    <w:rsid w:val="00D5462A"/>
    <w:rsid w:val="00D54BDE"/>
    <w:rsid w:val="00D54F2A"/>
    <w:rsid w:val="00D55283"/>
    <w:rsid w:val="00D552CE"/>
    <w:rsid w:val="00D558C8"/>
    <w:rsid w:val="00D55D09"/>
    <w:rsid w:val="00D55D5D"/>
    <w:rsid w:val="00D55FB0"/>
    <w:rsid w:val="00D5690C"/>
    <w:rsid w:val="00D569F5"/>
    <w:rsid w:val="00D56F70"/>
    <w:rsid w:val="00D571DB"/>
    <w:rsid w:val="00D5739F"/>
    <w:rsid w:val="00D57A1C"/>
    <w:rsid w:val="00D57B19"/>
    <w:rsid w:val="00D57C77"/>
    <w:rsid w:val="00D57D47"/>
    <w:rsid w:val="00D57F88"/>
    <w:rsid w:val="00D6009C"/>
    <w:rsid w:val="00D60BFF"/>
    <w:rsid w:val="00D60F64"/>
    <w:rsid w:val="00D61A35"/>
    <w:rsid w:val="00D61B0B"/>
    <w:rsid w:val="00D61B89"/>
    <w:rsid w:val="00D61C53"/>
    <w:rsid w:val="00D61F8B"/>
    <w:rsid w:val="00D6244F"/>
    <w:rsid w:val="00D629CE"/>
    <w:rsid w:val="00D62ACF"/>
    <w:rsid w:val="00D62B91"/>
    <w:rsid w:val="00D62B92"/>
    <w:rsid w:val="00D62F84"/>
    <w:rsid w:val="00D62FA1"/>
    <w:rsid w:val="00D630CF"/>
    <w:rsid w:val="00D63181"/>
    <w:rsid w:val="00D632D4"/>
    <w:rsid w:val="00D6334E"/>
    <w:rsid w:val="00D63642"/>
    <w:rsid w:val="00D63D52"/>
    <w:rsid w:val="00D63DFD"/>
    <w:rsid w:val="00D63F7B"/>
    <w:rsid w:val="00D6400E"/>
    <w:rsid w:val="00D64C43"/>
    <w:rsid w:val="00D66DDF"/>
    <w:rsid w:val="00D6720F"/>
    <w:rsid w:val="00D67294"/>
    <w:rsid w:val="00D676F4"/>
    <w:rsid w:val="00D67833"/>
    <w:rsid w:val="00D67C2D"/>
    <w:rsid w:val="00D706F6"/>
    <w:rsid w:val="00D710B7"/>
    <w:rsid w:val="00D715BE"/>
    <w:rsid w:val="00D71622"/>
    <w:rsid w:val="00D71A0E"/>
    <w:rsid w:val="00D71CF1"/>
    <w:rsid w:val="00D71F67"/>
    <w:rsid w:val="00D7203D"/>
    <w:rsid w:val="00D721AA"/>
    <w:rsid w:val="00D72232"/>
    <w:rsid w:val="00D722C2"/>
    <w:rsid w:val="00D72303"/>
    <w:rsid w:val="00D72433"/>
    <w:rsid w:val="00D72508"/>
    <w:rsid w:val="00D726CD"/>
    <w:rsid w:val="00D72AC4"/>
    <w:rsid w:val="00D732AA"/>
    <w:rsid w:val="00D7342A"/>
    <w:rsid w:val="00D735A2"/>
    <w:rsid w:val="00D7379C"/>
    <w:rsid w:val="00D737C3"/>
    <w:rsid w:val="00D73896"/>
    <w:rsid w:val="00D739A3"/>
    <w:rsid w:val="00D73EA0"/>
    <w:rsid w:val="00D74424"/>
    <w:rsid w:val="00D744FD"/>
    <w:rsid w:val="00D74ED8"/>
    <w:rsid w:val="00D753ED"/>
    <w:rsid w:val="00D75440"/>
    <w:rsid w:val="00D755C0"/>
    <w:rsid w:val="00D759CC"/>
    <w:rsid w:val="00D75BA1"/>
    <w:rsid w:val="00D7663F"/>
    <w:rsid w:val="00D76B98"/>
    <w:rsid w:val="00D76C9A"/>
    <w:rsid w:val="00D76F54"/>
    <w:rsid w:val="00D773D0"/>
    <w:rsid w:val="00D775C2"/>
    <w:rsid w:val="00D77898"/>
    <w:rsid w:val="00D77D94"/>
    <w:rsid w:val="00D77E2B"/>
    <w:rsid w:val="00D77F26"/>
    <w:rsid w:val="00D80157"/>
    <w:rsid w:val="00D80912"/>
    <w:rsid w:val="00D8093F"/>
    <w:rsid w:val="00D80EDA"/>
    <w:rsid w:val="00D810CE"/>
    <w:rsid w:val="00D81144"/>
    <w:rsid w:val="00D81521"/>
    <w:rsid w:val="00D816F6"/>
    <w:rsid w:val="00D818D3"/>
    <w:rsid w:val="00D8202A"/>
    <w:rsid w:val="00D821FD"/>
    <w:rsid w:val="00D828DC"/>
    <w:rsid w:val="00D82AF6"/>
    <w:rsid w:val="00D82C1D"/>
    <w:rsid w:val="00D83260"/>
    <w:rsid w:val="00D8345A"/>
    <w:rsid w:val="00D834F9"/>
    <w:rsid w:val="00D83721"/>
    <w:rsid w:val="00D83D18"/>
    <w:rsid w:val="00D83FFC"/>
    <w:rsid w:val="00D84054"/>
    <w:rsid w:val="00D843C9"/>
    <w:rsid w:val="00D84548"/>
    <w:rsid w:val="00D84AA2"/>
    <w:rsid w:val="00D84FD5"/>
    <w:rsid w:val="00D85040"/>
    <w:rsid w:val="00D85528"/>
    <w:rsid w:val="00D8584B"/>
    <w:rsid w:val="00D85AAD"/>
    <w:rsid w:val="00D85AF7"/>
    <w:rsid w:val="00D85E01"/>
    <w:rsid w:val="00D85F3A"/>
    <w:rsid w:val="00D862E8"/>
    <w:rsid w:val="00D866CD"/>
    <w:rsid w:val="00D86A64"/>
    <w:rsid w:val="00D86D07"/>
    <w:rsid w:val="00D8742F"/>
    <w:rsid w:val="00D874D3"/>
    <w:rsid w:val="00D87583"/>
    <w:rsid w:val="00D875B3"/>
    <w:rsid w:val="00D9004C"/>
    <w:rsid w:val="00D90C23"/>
    <w:rsid w:val="00D90F0C"/>
    <w:rsid w:val="00D910F3"/>
    <w:rsid w:val="00D9118C"/>
    <w:rsid w:val="00D914E0"/>
    <w:rsid w:val="00D9153A"/>
    <w:rsid w:val="00D9259C"/>
    <w:rsid w:val="00D92992"/>
    <w:rsid w:val="00D92A33"/>
    <w:rsid w:val="00D9322B"/>
    <w:rsid w:val="00D93495"/>
    <w:rsid w:val="00D93641"/>
    <w:rsid w:val="00D9365D"/>
    <w:rsid w:val="00D938A4"/>
    <w:rsid w:val="00D939F5"/>
    <w:rsid w:val="00D93B6E"/>
    <w:rsid w:val="00D93BF5"/>
    <w:rsid w:val="00D9440E"/>
    <w:rsid w:val="00D94C7A"/>
    <w:rsid w:val="00D94EE3"/>
    <w:rsid w:val="00D95246"/>
    <w:rsid w:val="00D95328"/>
    <w:rsid w:val="00D9539F"/>
    <w:rsid w:val="00D957A5"/>
    <w:rsid w:val="00D95A7A"/>
    <w:rsid w:val="00D95F00"/>
    <w:rsid w:val="00D96106"/>
    <w:rsid w:val="00D96FA9"/>
    <w:rsid w:val="00D97126"/>
    <w:rsid w:val="00D97335"/>
    <w:rsid w:val="00D973EA"/>
    <w:rsid w:val="00D977CF"/>
    <w:rsid w:val="00D9794F"/>
    <w:rsid w:val="00D97D5C"/>
    <w:rsid w:val="00D97F77"/>
    <w:rsid w:val="00DA0382"/>
    <w:rsid w:val="00DA0390"/>
    <w:rsid w:val="00DA0457"/>
    <w:rsid w:val="00DA08AB"/>
    <w:rsid w:val="00DA0A28"/>
    <w:rsid w:val="00DA0CB0"/>
    <w:rsid w:val="00DA0F22"/>
    <w:rsid w:val="00DA12BA"/>
    <w:rsid w:val="00DA13AA"/>
    <w:rsid w:val="00DA16C7"/>
    <w:rsid w:val="00DA1884"/>
    <w:rsid w:val="00DA214B"/>
    <w:rsid w:val="00DA2E0F"/>
    <w:rsid w:val="00DA3941"/>
    <w:rsid w:val="00DA3C56"/>
    <w:rsid w:val="00DA3ED7"/>
    <w:rsid w:val="00DA3F53"/>
    <w:rsid w:val="00DA3FD3"/>
    <w:rsid w:val="00DA4072"/>
    <w:rsid w:val="00DA448E"/>
    <w:rsid w:val="00DA46FB"/>
    <w:rsid w:val="00DA4A2B"/>
    <w:rsid w:val="00DA4BA6"/>
    <w:rsid w:val="00DA5A62"/>
    <w:rsid w:val="00DA5C32"/>
    <w:rsid w:val="00DA6304"/>
    <w:rsid w:val="00DA6EDC"/>
    <w:rsid w:val="00DA70E9"/>
    <w:rsid w:val="00DA758A"/>
    <w:rsid w:val="00DA78EC"/>
    <w:rsid w:val="00DA7A12"/>
    <w:rsid w:val="00DA7C93"/>
    <w:rsid w:val="00DA7EF8"/>
    <w:rsid w:val="00DA7FB8"/>
    <w:rsid w:val="00DB0378"/>
    <w:rsid w:val="00DB1569"/>
    <w:rsid w:val="00DB19F2"/>
    <w:rsid w:val="00DB2058"/>
    <w:rsid w:val="00DB2074"/>
    <w:rsid w:val="00DB22D0"/>
    <w:rsid w:val="00DB2944"/>
    <w:rsid w:val="00DB2954"/>
    <w:rsid w:val="00DB32E1"/>
    <w:rsid w:val="00DB3B07"/>
    <w:rsid w:val="00DB3C2D"/>
    <w:rsid w:val="00DB42AC"/>
    <w:rsid w:val="00DB49CF"/>
    <w:rsid w:val="00DB4D7A"/>
    <w:rsid w:val="00DB579E"/>
    <w:rsid w:val="00DB5CEA"/>
    <w:rsid w:val="00DB64CB"/>
    <w:rsid w:val="00DB65FB"/>
    <w:rsid w:val="00DB6612"/>
    <w:rsid w:val="00DB6729"/>
    <w:rsid w:val="00DB68EA"/>
    <w:rsid w:val="00DB697E"/>
    <w:rsid w:val="00DB6C8D"/>
    <w:rsid w:val="00DB6FEF"/>
    <w:rsid w:val="00DB78A2"/>
    <w:rsid w:val="00DB7960"/>
    <w:rsid w:val="00DB7C4B"/>
    <w:rsid w:val="00DC017C"/>
    <w:rsid w:val="00DC04B1"/>
    <w:rsid w:val="00DC0823"/>
    <w:rsid w:val="00DC0AF8"/>
    <w:rsid w:val="00DC130C"/>
    <w:rsid w:val="00DC16F4"/>
    <w:rsid w:val="00DC19D0"/>
    <w:rsid w:val="00DC1C69"/>
    <w:rsid w:val="00DC2B34"/>
    <w:rsid w:val="00DC2DC4"/>
    <w:rsid w:val="00DC309A"/>
    <w:rsid w:val="00DC3972"/>
    <w:rsid w:val="00DC3D1B"/>
    <w:rsid w:val="00DC4405"/>
    <w:rsid w:val="00DC4448"/>
    <w:rsid w:val="00DC44A1"/>
    <w:rsid w:val="00DC450B"/>
    <w:rsid w:val="00DC4764"/>
    <w:rsid w:val="00DC49F4"/>
    <w:rsid w:val="00DC4A47"/>
    <w:rsid w:val="00DC4AC0"/>
    <w:rsid w:val="00DC5416"/>
    <w:rsid w:val="00DC5B4D"/>
    <w:rsid w:val="00DC5B5F"/>
    <w:rsid w:val="00DC64DD"/>
    <w:rsid w:val="00DC64FA"/>
    <w:rsid w:val="00DC7123"/>
    <w:rsid w:val="00DC7860"/>
    <w:rsid w:val="00DC7993"/>
    <w:rsid w:val="00DD008C"/>
    <w:rsid w:val="00DD0292"/>
    <w:rsid w:val="00DD0914"/>
    <w:rsid w:val="00DD103C"/>
    <w:rsid w:val="00DD1150"/>
    <w:rsid w:val="00DD1866"/>
    <w:rsid w:val="00DD190D"/>
    <w:rsid w:val="00DD19F2"/>
    <w:rsid w:val="00DD1B46"/>
    <w:rsid w:val="00DD215D"/>
    <w:rsid w:val="00DD240E"/>
    <w:rsid w:val="00DD2DEE"/>
    <w:rsid w:val="00DD2F52"/>
    <w:rsid w:val="00DD31EF"/>
    <w:rsid w:val="00DD32F3"/>
    <w:rsid w:val="00DD33AC"/>
    <w:rsid w:val="00DD3471"/>
    <w:rsid w:val="00DD3919"/>
    <w:rsid w:val="00DD39B0"/>
    <w:rsid w:val="00DD3D0C"/>
    <w:rsid w:val="00DD48DD"/>
    <w:rsid w:val="00DD50D1"/>
    <w:rsid w:val="00DD54AD"/>
    <w:rsid w:val="00DD60E4"/>
    <w:rsid w:val="00DD6210"/>
    <w:rsid w:val="00DD6782"/>
    <w:rsid w:val="00DD68C2"/>
    <w:rsid w:val="00DD6B9F"/>
    <w:rsid w:val="00DD7146"/>
    <w:rsid w:val="00DD73DB"/>
    <w:rsid w:val="00DD7673"/>
    <w:rsid w:val="00DD76E5"/>
    <w:rsid w:val="00DD7B92"/>
    <w:rsid w:val="00DD7FC7"/>
    <w:rsid w:val="00DE05AF"/>
    <w:rsid w:val="00DE0660"/>
    <w:rsid w:val="00DE0F5E"/>
    <w:rsid w:val="00DE1239"/>
    <w:rsid w:val="00DE14F0"/>
    <w:rsid w:val="00DE187F"/>
    <w:rsid w:val="00DE1891"/>
    <w:rsid w:val="00DE18A8"/>
    <w:rsid w:val="00DE1B2B"/>
    <w:rsid w:val="00DE1B40"/>
    <w:rsid w:val="00DE2974"/>
    <w:rsid w:val="00DE2F71"/>
    <w:rsid w:val="00DE3031"/>
    <w:rsid w:val="00DE32B2"/>
    <w:rsid w:val="00DE3626"/>
    <w:rsid w:val="00DE36C5"/>
    <w:rsid w:val="00DE3DF5"/>
    <w:rsid w:val="00DE3F90"/>
    <w:rsid w:val="00DE3FC5"/>
    <w:rsid w:val="00DE4FE7"/>
    <w:rsid w:val="00DE50F8"/>
    <w:rsid w:val="00DE5262"/>
    <w:rsid w:val="00DE587E"/>
    <w:rsid w:val="00DE5B74"/>
    <w:rsid w:val="00DE6079"/>
    <w:rsid w:val="00DE66D1"/>
    <w:rsid w:val="00DE66F3"/>
    <w:rsid w:val="00DE68A8"/>
    <w:rsid w:val="00DE72FA"/>
    <w:rsid w:val="00DE775E"/>
    <w:rsid w:val="00DF0015"/>
    <w:rsid w:val="00DF08F3"/>
    <w:rsid w:val="00DF0982"/>
    <w:rsid w:val="00DF0CB9"/>
    <w:rsid w:val="00DF115F"/>
    <w:rsid w:val="00DF1167"/>
    <w:rsid w:val="00DF1348"/>
    <w:rsid w:val="00DF1413"/>
    <w:rsid w:val="00DF14D3"/>
    <w:rsid w:val="00DF1856"/>
    <w:rsid w:val="00DF1B56"/>
    <w:rsid w:val="00DF1C82"/>
    <w:rsid w:val="00DF2041"/>
    <w:rsid w:val="00DF248A"/>
    <w:rsid w:val="00DF29E9"/>
    <w:rsid w:val="00DF2F6E"/>
    <w:rsid w:val="00DF30B9"/>
    <w:rsid w:val="00DF33D9"/>
    <w:rsid w:val="00DF3D67"/>
    <w:rsid w:val="00DF3E04"/>
    <w:rsid w:val="00DF4094"/>
    <w:rsid w:val="00DF412D"/>
    <w:rsid w:val="00DF443B"/>
    <w:rsid w:val="00DF4490"/>
    <w:rsid w:val="00DF4651"/>
    <w:rsid w:val="00DF4FA3"/>
    <w:rsid w:val="00DF5193"/>
    <w:rsid w:val="00DF519F"/>
    <w:rsid w:val="00DF5A95"/>
    <w:rsid w:val="00DF5B2F"/>
    <w:rsid w:val="00DF6194"/>
    <w:rsid w:val="00DF6BFD"/>
    <w:rsid w:val="00DF6E04"/>
    <w:rsid w:val="00DF7185"/>
    <w:rsid w:val="00DF71F6"/>
    <w:rsid w:val="00DF797A"/>
    <w:rsid w:val="00E0048A"/>
    <w:rsid w:val="00E004A7"/>
    <w:rsid w:val="00E004DA"/>
    <w:rsid w:val="00E009A1"/>
    <w:rsid w:val="00E01332"/>
    <w:rsid w:val="00E01700"/>
    <w:rsid w:val="00E017E0"/>
    <w:rsid w:val="00E01897"/>
    <w:rsid w:val="00E020CB"/>
    <w:rsid w:val="00E021C0"/>
    <w:rsid w:val="00E02BC7"/>
    <w:rsid w:val="00E02E56"/>
    <w:rsid w:val="00E033B0"/>
    <w:rsid w:val="00E03B77"/>
    <w:rsid w:val="00E03DD8"/>
    <w:rsid w:val="00E0441A"/>
    <w:rsid w:val="00E0515E"/>
    <w:rsid w:val="00E0520E"/>
    <w:rsid w:val="00E055CB"/>
    <w:rsid w:val="00E05C2B"/>
    <w:rsid w:val="00E05CE9"/>
    <w:rsid w:val="00E0601A"/>
    <w:rsid w:val="00E06838"/>
    <w:rsid w:val="00E06A1E"/>
    <w:rsid w:val="00E06B77"/>
    <w:rsid w:val="00E06BDD"/>
    <w:rsid w:val="00E06CB3"/>
    <w:rsid w:val="00E0706B"/>
    <w:rsid w:val="00E070E7"/>
    <w:rsid w:val="00E0712D"/>
    <w:rsid w:val="00E07224"/>
    <w:rsid w:val="00E07C5E"/>
    <w:rsid w:val="00E07E96"/>
    <w:rsid w:val="00E07FCE"/>
    <w:rsid w:val="00E105C6"/>
    <w:rsid w:val="00E108F2"/>
    <w:rsid w:val="00E10A05"/>
    <w:rsid w:val="00E12048"/>
    <w:rsid w:val="00E123BE"/>
    <w:rsid w:val="00E129D9"/>
    <w:rsid w:val="00E12A48"/>
    <w:rsid w:val="00E12BF5"/>
    <w:rsid w:val="00E12EFD"/>
    <w:rsid w:val="00E13351"/>
    <w:rsid w:val="00E13425"/>
    <w:rsid w:val="00E13BDF"/>
    <w:rsid w:val="00E140BF"/>
    <w:rsid w:val="00E14244"/>
    <w:rsid w:val="00E14339"/>
    <w:rsid w:val="00E146C6"/>
    <w:rsid w:val="00E1472B"/>
    <w:rsid w:val="00E14CDF"/>
    <w:rsid w:val="00E1531F"/>
    <w:rsid w:val="00E158D0"/>
    <w:rsid w:val="00E15BA8"/>
    <w:rsid w:val="00E16366"/>
    <w:rsid w:val="00E1640A"/>
    <w:rsid w:val="00E16660"/>
    <w:rsid w:val="00E16ABF"/>
    <w:rsid w:val="00E16C23"/>
    <w:rsid w:val="00E17335"/>
    <w:rsid w:val="00E173C6"/>
    <w:rsid w:val="00E176C8"/>
    <w:rsid w:val="00E17A9E"/>
    <w:rsid w:val="00E17D05"/>
    <w:rsid w:val="00E201EC"/>
    <w:rsid w:val="00E2090F"/>
    <w:rsid w:val="00E20A32"/>
    <w:rsid w:val="00E20C6A"/>
    <w:rsid w:val="00E20E74"/>
    <w:rsid w:val="00E211EE"/>
    <w:rsid w:val="00E214F0"/>
    <w:rsid w:val="00E21561"/>
    <w:rsid w:val="00E21609"/>
    <w:rsid w:val="00E220CC"/>
    <w:rsid w:val="00E2278F"/>
    <w:rsid w:val="00E23072"/>
    <w:rsid w:val="00E230DB"/>
    <w:rsid w:val="00E232B1"/>
    <w:rsid w:val="00E24112"/>
    <w:rsid w:val="00E24547"/>
    <w:rsid w:val="00E24BC4"/>
    <w:rsid w:val="00E24C3B"/>
    <w:rsid w:val="00E24D40"/>
    <w:rsid w:val="00E25484"/>
    <w:rsid w:val="00E2549B"/>
    <w:rsid w:val="00E25C3C"/>
    <w:rsid w:val="00E25E59"/>
    <w:rsid w:val="00E25EFD"/>
    <w:rsid w:val="00E26148"/>
    <w:rsid w:val="00E26766"/>
    <w:rsid w:val="00E26C83"/>
    <w:rsid w:val="00E26EB8"/>
    <w:rsid w:val="00E271A3"/>
    <w:rsid w:val="00E2751E"/>
    <w:rsid w:val="00E276CB"/>
    <w:rsid w:val="00E27A09"/>
    <w:rsid w:val="00E27C5C"/>
    <w:rsid w:val="00E27CBB"/>
    <w:rsid w:val="00E27F5F"/>
    <w:rsid w:val="00E30138"/>
    <w:rsid w:val="00E302A3"/>
    <w:rsid w:val="00E304C8"/>
    <w:rsid w:val="00E30CA2"/>
    <w:rsid w:val="00E311B8"/>
    <w:rsid w:val="00E317FE"/>
    <w:rsid w:val="00E32C83"/>
    <w:rsid w:val="00E32DA7"/>
    <w:rsid w:val="00E33435"/>
    <w:rsid w:val="00E33895"/>
    <w:rsid w:val="00E33E5D"/>
    <w:rsid w:val="00E34613"/>
    <w:rsid w:val="00E3505B"/>
    <w:rsid w:val="00E3510B"/>
    <w:rsid w:val="00E3529C"/>
    <w:rsid w:val="00E35729"/>
    <w:rsid w:val="00E35A3F"/>
    <w:rsid w:val="00E35ABC"/>
    <w:rsid w:val="00E35ADD"/>
    <w:rsid w:val="00E365D0"/>
    <w:rsid w:val="00E3660E"/>
    <w:rsid w:val="00E369A0"/>
    <w:rsid w:val="00E36C9E"/>
    <w:rsid w:val="00E36D5B"/>
    <w:rsid w:val="00E373C0"/>
    <w:rsid w:val="00E37632"/>
    <w:rsid w:val="00E37C5A"/>
    <w:rsid w:val="00E37D97"/>
    <w:rsid w:val="00E4009D"/>
    <w:rsid w:val="00E402A0"/>
    <w:rsid w:val="00E40635"/>
    <w:rsid w:val="00E40893"/>
    <w:rsid w:val="00E40E90"/>
    <w:rsid w:val="00E418A4"/>
    <w:rsid w:val="00E41CA2"/>
    <w:rsid w:val="00E41E34"/>
    <w:rsid w:val="00E41E69"/>
    <w:rsid w:val="00E41ED3"/>
    <w:rsid w:val="00E428A9"/>
    <w:rsid w:val="00E42AE0"/>
    <w:rsid w:val="00E4316D"/>
    <w:rsid w:val="00E431E2"/>
    <w:rsid w:val="00E4335D"/>
    <w:rsid w:val="00E43676"/>
    <w:rsid w:val="00E436D2"/>
    <w:rsid w:val="00E439C2"/>
    <w:rsid w:val="00E44509"/>
    <w:rsid w:val="00E44834"/>
    <w:rsid w:val="00E449B2"/>
    <w:rsid w:val="00E44BF6"/>
    <w:rsid w:val="00E45091"/>
    <w:rsid w:val="00E456E5"/>
    <w:rsid w:val="00E45D1E"/>
    <w:rsid w:val="00E4611A"/>
    <w:rsid w:val="00E46137"/>
    <w:rsid w:val="00E4634B"/>
    <w:rsid w:val="00E466CB"/>
    <w:rsid w:val="00E47385"/>
    <w:rsid w:val="00E473EE"/>
    <w:rsid w:val="00E47D0A"/>
    <w:rsid w:val="00E47DD2"/>
    <w:rsid w:val="00E5027B"/>
    <w:rsid w:val="00E5113C"/>
    <w:rsid w:val="00E512A8"/>
    <w:rsid w:val="00E512CA"/>
    <w:rsid w:val="00E51473"/>
    <w:rsid w:val="00E51F16"/>
    <w:rsid w:val="00E52547"/>
    <w:rsid w:val="00E526B8"/>
    <w:rsid w:val="00E52BEF"/>
    <w:rsid w:val="00E53747"/>
    <w:rsid w:val="00E53D84"/>
    <w:rsid w:val="00E53FC2"/>
    <w:rsid w:val="00E5410E"/>
    <w:rsid w:val="00E54629"/>
    <w:rsid w:val="00E54C0E"/>
    <w:rsid w:val="00E54C17"/>
    <w:rsid w:val="00E54C7E"/>
    <w:rsid w:val="00E553E8"/>
    <w:rsid w:val="00E5541D"/>
    <w:rsid w:val="00E5546E"/>
    <w:rsid w:val="00E557BB"/>
    <w:rsid w:val="00E562B6"/>
    <w:rsid w:val="00E56C88"/>
    <w:rsid w:val="00E5719F"/>
    <w:rsid w:val="00E575D9"/>
    <w:rsid w:val="00E576DE"/>
    <w:rsid w:val="00E57832"/>
    <w:rsid w:val="00E578DD"/>
    <w:rsid w:val="00E57902"/>
    <w:rsid w:val="00E60763"/>
    <w:rsid w:val="00E608A7"/>
    <w:rsid w:val="00E60BB5"/>
    <w:rsid w:val="00E610CE"/>
    <w:rsid w:val="00E611D2"/>
    <w:rsid w:val="00E61265"/>
    <w:rsid w:val="00E61D0D"/>
    <w:rsid w:val="00E6261A"/>
    <w:rsid w:val="00E627AF"/>
    <w:rsid w:val="00E62EC8"/>
    <w:rsid w:val="00E645D9"/>
    <w:rsid w:val="00E64A03"/>
    <w:rsid w:val="00E64A59"/>
    <w:rsid w:val="00E64B74"/>
    <w:rsid w:val="00E64C37"/>
    <w:rsid w:val="00E64D57"/>
    <w:rsid w:val="00E6523D"/>
    <w:rsid w:val="00E6558F"/>
    <w:rsid w:val="00E6573F"/>
    <w:rsid w:val="00E65B53"/>
    <w:rsid w:val="00E65D53"/>
    <w:rsid w:val="00E65F60"/>
    <w:rsid w:val="00E665B6"/>
    <w:rsid w:val="00E667D6"/>
    <w:rsid w:val="00E672AC"/>
    <w:rsid w:val="00E67382"/>
    <w:rsid w:val="00E67565"/>
    <w:rsid w:val="00E6762B"/>
    <w:rsid w:val="00E6776D"/>
    <w:rsid w:val="00E678B6"/>
    <w:rsid w:val="00E6799E"/>
    <w:rsid w:val="00E67B25"/>
    <w:rsid w:val="00E67DD6"/>
    <w:rsid w:val="00E67EBE"/>
    <w:rsid w:val="00E70056"/>
    <w:rsid w:val="00E70112"/>
    <w:rsid w:val="00E70154"/>
    <w:rsid w:val="00E70719"/>
    <w:rsid w:val="00E70F2C"/>
    <w:rsid w:val="00E70FF8"/>
    <w:rsid w:val="00E711E3"/>
    <w:rsid w:val="00E7171F"/>
    <w:rsid w:val="00E718F7"/>
    <w:rsid w:val="00E71949"/>
    <w:rsid w:val="00E71A82"/>
    <w:rsid w:val="00E71AD1"/>
    <w:rsid w:val="00E72665"/>
    <w:rsid w:val="00E72860"/>
    <w:rsid w:val="00E72CA5"/>
    <w:rsid w:val="00E730AD"/>
    <w:rsid w:val="00E7347D"/>
    <w:rsid w:val="00E734D5"/>
    <w:rsid w:val="00E73D61"/>
    <w:rsid w:val="00E73FFF"/>
    <w:rsid w:val="00E7412D"/>
    <w:rsid w:val="00E74541"/>
    <w:rsid w:val="00E74BCB"/>
    <w:rsid w:val="00E74E45"/>
    <w:rsid w:val="00E75259"/>
    <w:rsid w:val="00E75268"/>
    <w:rsid w:val="00E753E2"/>
    <w:rsid w:val="00E75A92"/>
    <w:rsid w:val="00E75BF8"/>
    <w:rsid w:val="00E75E4F"/>
    <w:rsid w:val="00E76156"/>
    <w:rsid w:val="00E7664D"/>
    <w:rsid w:val="00E76F01"/>
    <w:rsid w:val="00E77B3C"/>
    <w:rsid w:val="00E77CB0"/>
    <w:rsid w:val="00E77D55"/>
    <w:rsid w:val="00E77DD7"/>
    <w:rsid w:val="00E77E82"/>
    <w:rsid w:val="00E77F18"/>
    <w:rsid w:val="00E77FF6"/>
    <w:rsid w:val="00E800ED"/>
    <w:rsid w:val="00E80A26"/>
    <w:rsid w:val="00E80FAA"/>
    <w:rsid w:val="00E815D8"/>
    <w:rsid w:val="00E81BE8"/>
    <w:rsid w:val="00E81C55"/>
    <w:rsid w:val="00E81C90"/>
    <w:rsid w:val="00E81FC9"/>
    <w:rsid w:val="00E82376"/>
    <w:rsid w:val="00E82BE1"/>
    <w:rsid w:val="00E836DD"/>
    <w:rsid w:val="00E839AF"/>
    <w:rsid w:val="00E83BEA"/>
    <w:rsid w:val="00E83E0F"/>
    <w:rsid w:val="00E8448C"/>
    <w:rsid w:val="00E84498"/>
    <w:rsid w:val="00E8490E"/>
    <w:rsid w:val="00E84A3C"/>
    <w:rsid w:val="00E84F6A"/>
    <w:rsid w:val="00E855E1"/>
    <w:rsid w:val="00E861C6"/>
    <w:rsid w:val="00E862D3"/>
    <w:rsid w:val="00E86E2B"/>
    <w:rsid w:val="00E87160"/>
    <w:rsid w:val="00E875E0"/>
    <w:rsid w:val="00E877DF"/>
    <w:rsid w:val="00E901AC"/>
    <w:rsid w:val="00E90756"/>
    <w:rsid w:val="00E908AE"/>
    <w:rsid w:val="00E90C1A"/>
    <w:rsid w:val="00E90E81"/>
    <w:rsid w:val="00E91365"/>
    <w:rsid w:val="00E9182C"/>
    <w:rsid w:val="00E91863"/>
    <w:rsid w:val="00E9199C"/>
    <w:rsid w:val="00E92004"/>
    <w:rsid w:val="00E922D3"/>
    <w:rsid w:val="00E92741"/>
    <w:rsid w:val="00E928AC"/>
    <w:rsid w:val="00E92B62"/>
    <w:rsid w:val="00E93090"/>
    <w:rsid w:val="00E930B4"/>
    <w:rsid w:val="00E93608"/>
    <w:rsid w:val="00E936BA"/>
    <w:rsid w:val="00E94A9B"/>
    <w:rsid w:val="00E953D1"/>
    <w:rsid w:val="00E95A24"/>
    <w:rsid w:val="00E95DD8"/>
    <w:rsid w:val="00E95EDA"/>
    <w:rsid w:val="00E96EA3"/>
    <w:rsid w:val="00E977BC"/>
    <w:rsid w:val="00E97802"/>
    <w:rsid w:val="00E97B30"/>
    <w:rsid w:val="00E97F98"/>
    <w:rsid w:val="00EA01F5"/>
    <w:rsid w:val="00EA070F"/>
    <w:rsid w:val="00EA07BE"/>
    <w:rsid w:val="00EA09DC"/>
    <w:rsid w:val="00EA0E17"/>
    <w:rsid w:val="00EA0FCD"/>
    <w:rsid w:val="00EA1173"/>
    <w:rsid w:val="00EA130E"/>
    <w:rsid w:val="00EA1391"/>
    <w:rsid w:val="00EA1EF4"/>
    <w:rsid w:val="00EA2B9D"/>
    <w:rsid w:val="00EA2D88"/>
    <w:rsid w:val="00EA2DD7"/>
    <w:rsid w:val="00EA3359"/>
    <w:rsid w:val="00EA3360"/>
    <w:rsid w:val="00EA340D"/>
    <w:rsid w:val="00EA348C"/>
    <w:rsid w:val="00EA38ED"/>
    <w:rsid w:val="00EA3916"/>
    <w:rsid w:val="00EA3966"/>
    <w:rsid w:val="00EA3C14"/>
    <w:rsid w:val="00EA4041"/>
    <w:rsid w:val="00EA589D"/>
    <w:rsid w:val="00EA66BD"/>
    <w:rsid w:val="00EA66E9"/>
    <w:rsid w:val="00EA7A4D"/>
    <w:rsid w:val="00EB08B8"/>
    <w:rsid w:val="00EB0D0E"/>
    <w:rsid w:val="00EB0E4B"/>
    <w:rsid w:val="00EB0E65"/>
    <w:rsid w:val="00EB14F4"/>
    <w:rsid w:val="00EB2053"/>
    <w:rsid w:val="00EB27E4"/>
    <w:rsid w:val="00EB2A80"/>
    <w:rsid w:val="00EB2BEF"/>
    <w:rsid w:val="00EB3021"/>
    <w:rsid w:val="00EB314E"/>
    <w:rsid w:val="00EB319F"/>
    <w:rsid w:val="00EB32C1"/>
    <w:rsid w:val="00EB39DD"/>
    <w:rsid w:val="00EB3A37"/>
    <w:rsid w:val="00EB4391"/>
    <w:rsid w:val="00EB4587"/>
    <w:rsid w:val="00EB4B12"/>
    <w:rsid w:val="00EB4D18"/>
    <w:rsid w:val="00EB5127"/>
    <w:rsid w:val="00EB5380"/>
    <w:rsid w:val="00EB5388"/>
    <w:rsid w:val="00EB53CF"/>
    <w:rsid w:val="00EB576F"/>
    <w:rsid w:val="00EB5C0A"/>
    <w:rsid w:val="00EB5DF7"/>
    <w:rsid w:val="00EB603D"/>
    <w:rsid w:val="00EB628E"/>
    <w:rsid w:val="00EB64CB"/>
    <w:rsid w:val="00EB72F4"/>
    <w:rsid w:val="00EB7604"/>
    <w:rsid w:val="00EB7A84"/>
    <w:rsid w:val="00EB7DCF"/>
    <w:rsid w:val="00EC002A"/>
    <w:rsid w:val="00EC0043"/>
    <w:rsid w:val="00EC04D2"/>
    <w:rsid w:val="00EC093D"/>
    <w:rsid w:val="00EC0DD2"/>
    <w:rsid w:val="00EC141A"/>
    <w:rsid w:val="00EC1A51"/>
    <w:rsid w:val="00EC2295"/>
    <w:rsid w:val="00EC270E"/>
    <w:rsid w:val="00EC2B56"/>
    <w:rsid w:val="00EC3274"/>
    <w:rsid w:val="00EC3D0D"/>
    <w:rsid w:val="00EC4104"/>
    <w:rsid w:val="00EC428C"/>
    <w:rsid w:val="00EC42F8"/>
    <w:rsid w:val="00EC4840"/>
    <w:rsid w:val="00EC4B06"/>
    <w:rsid w:val="00EC4CB8"/>
    <w:rsid w:val="00EC4F93"/>
    <w:rsid w:val="00EC5090"/>
    <w:rsid w:val="00EC5243"/>
    <w:rsid w:val="00EC52A6"/>
    <w:rsid w:val="00EC53C8"/>
    <w:rsid w:val="00EC54CF"/>
    <w:rsid w:val="00EC56B1"/>
    <w:rsid w:val="00EC571D"/>
    <w:rsid w:val="00EC579E"/>
    <w:rsid w:val="00EC5C00"/>
    <w:rsid w:val="00EC5DF7"/>
    <w:rsid w:val="00EC5EB9"/>
    <w:rsid w:val="00EC6209"/>
    <w:rsid w:val="00EC62C2"/>
    <w:rsid w:val="00EC6529"/>
    <w:rsid w:val="00EC663D"/>
    <w:rsid w:val="00EC6B19"/>
    <w:rsid w:val="00EC6BED"/>
    <w:rsid w:val="00EC6E71"/>
    <w:rsid w:val="00EC7231"/>
    <w:rsid w:val="00ED0625"/>
    <w:rsid w:val="00ED0D07"/>
    <w:rsid w:val="00ED0E67"/>
    <w:rsid w:val="00ED1250"/>
    <w:rsid w:val="00ED1761"/>
    <w:rsid w:val="00ED1A91"/>
    <w:rsid w:val="00ED222D"/>
    <w:rsid w:val="00ED2874"/>
    <w:rsid w:val="00ED2AC6"/>
    <w:rsid w:val="00ED2B4D"/>
    <w:rsid w:val="00ED2BF1"/>
    <w:rsid w:val="00ED2DF5"/>
    <w:rsid w:val="00ED36B8"/>
    <w:rsid w:val="00ED3D04"/>
    <w:rsid w:val="00ED4782"/>
    <w:rsid w:val="00ED4BBE"/>
    <w:rsid w:val="00ED57BA"/>
    <w:rsid w:val="00ED5BAB"/>
    <w:rsid w:val="00ED6094"/>
    <w:rsid w:val="00ED631C"/>
    <w:rsid w:val="00ED6459"/>
    <w:rsid w:val="00ED65C5"/>
    <w:rsid w:val="00ED6736"/>
    <w:rsid w:val="00ED73DE"/>
    <w:rsid w:val="00ED742E"/>
    <w:rsid w:val="00ED7C57"/>
    <w:rsid w:val="00ED7FD4"/>
    <w:rsid w:val="00EE0051"/>
    <w:rsid w:val="00EE0266"/>
    <w:rsid w:val="00EE0320"/>
    <w:rsid w:val="00EE03AF"/>
    <w:rsid w:val="00EE09B0"/>
    <w:rsid w:val="00EE0D44"/>
    <w:rsid w:val="00EE0F88"/>
    <w:rsid w:val="00EE1066"/>
    <w:rsid w:val="00EE1289"/>
    <w:rsid w:val="00EE1551"/>
    <w:rsid w:val="00EE1A3C"/>
    <w:rsid w:val="00EE1B84"/>
    <w:rsid w:val="00EE1F3A"/>
    <w:rsid w:val="00EE20F2"/>
    <w:rsid w:val="00EE2296"/>
    <w:rsid w:val="00EE22A1"/>
    <w:rsid w:val="00EE276F"/>
    <w:rsid w:val="00EE2CCA"/>
    <w:rsid w:val="00EE3726"/>
    <w:rsid w:val="00EE3952"/>
    <w:rsid w:val="00EE406D"/>
    <w:rsid w:val="00EE4171"/>
    <w:rsid w:val="00EE437A"/>
    <w:rsid w:val="00EE4568"/>
    <w:rsid w:val="00EE4661"/>
    <w:rsid w:val="00EE4F2A"/>
    <w:rsid w:val="00EE5204"/>
    <w:rsid w:val="00EE53FD"/>
    <w:rsid w:val="00EE5B01"/>
    <w:rsid w:val="00EE6A80"/>
    <w:rsid w:val="00EE6E65"/>
    <w:rsid w:val="00EE7157"/>
    <w:rsid w:val="00EE743F"/>
    <w:rsid w:val="00EE7B8E"/>
    <w:rsid w:val="00EE7C8C"/>
    <w:rsid w:val="00EF04EA"/>
    <w:rsid w:val="00EF099E"/>
    <w:rsid w:val="00EF0AA9"/>
    <w:rsid w:val="00EF0D91"/>
    <w:rsid w:val="00EF109C"/>
    <w:rsid w:val="00EF12E9"/>
    <w:rsid w:val="00EF1356"/>
    <w:rsid w:val="00EF1720"/>
    <w:rsid w:val="00EF1B0D"/>
    <w:rsid w:val="00EF1C4F"/>
    <w:rsid w:val="00EF2003"/>
    <w:rsid w:val="00EF238B"/>
    <w:rsid w:val="00EF30AA"/>
    <w:rsid w:val="00EF364A"/>
    <w:rsid w:val="00EF4035"/>
    <w:rsid w:val="00EF413E"/>
    <w:rsid w:val="00EF4649"/>
    <w:rsid w:val="00EF4BC0"/>
    <w:rsid w:val="00EF4C14"/>
    <w:rsid w:val="00EF4C69"/>
    <w:rsid w:val="00EF4F4D"/>
    <w:rsid w:val="00EF52C3"/>
    <w:rsid w:val="00EF5303"/>
    <w:rsid w:val="00EF54D7"/>
    <w:rsid w:val="00EF5A64"/>
    <w:rsid w:val="00EF5E8B"/>
    <w:rsid w:val="00EF61E3"/>
    <w:rsid w:val="00EF6552"/>
    <w:rsid w:val="00EF68C0"/>
    <w:rsid w:val="00EF6E6E"/>
    <w:rsid w:val="00EF6EE0"/>
    <w:rsid w:val="00EF7177"/>
    <w:rsid w:val="00EF758B"/>
    <w:rsid w:val="00EF7A30"/>
    <w:rsid w:val="00EF7ED6"/>
    <w:rsid w:val="00EF7FD6"/>
    <w:rsid w:val="00F00232"/>
    <w:rsid w:val="00F00419"/>
    <w:rsid w:val="00F009DE"/>
    <w:rsid w:val="00F00DD1"/>
    <w:rsid w:val="00F00F0E"/>
    <w:rsid w:val="00F01522"/>
    <w:rsid w:val="00F0189F"/>
    <w:rsid w:val="00F01BAB"/>
    <w:rsid w:val="00F01D30"/>
    <w:rsid w:val="00F0215D"/>
    <w:rsid w:val="00F02653"/>
    <w:rsid w:val="00F02689"/>
    <w:rsid w:val="00F02E55"/>
    <w:rsid w:val="00F03368"/>
    <w:rsid w:val="00F0393C"/>
    <w:rsid w:val="00F0463E"/>
    <w:rsid w:val="00F0473F"/>
    <w:rsid w:val="00F047E9"/>
    <w:rsid w:val="00F0494C"/>
    <w:rsid w:val="00F04D1F"/>
    <w:rsid w:val="00F04FEB"/>
    <w:rsid w:val="00F052C0"/>
    <w:rsid w:val="00F052DE"/>
    <w:rsid w:val="00F054BC"/>
    <w:rsid w:val="00F054C0"/>
    <w:rsid w:val="00F05513"/>
    <w:rsid w:val="00F057EC"/>
    <w:rsid w:val="00F0617A"/>
    <w:rsid w:val="00F06590"/>
    <w:rsid w:val="00F065BF"/>
    <w:rsid w:val="00F0678B"/>
    <w:rsid w:val="00F0681F"/>
    <w:rsid w:val="00F068E1"/>
    <w:rsid w:val="00F06D8C"/>
    <w:rsid w:val="00F073B8"/>
    <w:rsid w:val="00F074B6"/>
    <w:rsid w:val="00F0753F"/>
    <w:rsid w:val="00F075B9"/>
    <w:rsid w:val="00F07ABE"/>
    <w:rsid w:val="00F07F47"/>
    <w:rsid w:val="00F07FC6"/>
    <w:rsid w:val="00F10120"/>
    <w:rsid w:val="00F10543"/>
    <w:rsid w:val="00F105E3"/>
    <w:rsid w:val="00F10941"/>
    <w:rsid w:val="00F10C90"/>
    <w:rsid w:val="00F10E9D"/>
    <w:rsid w:val="00F1118F"/>
    <w:rsid w:val="00F1179B"/>
    <w:rsid w:val="00F1199D"/>
    <w:rsid w:val="00F11A3F"/>
    <w:rsid w:val="00F122AE"/>
    <w:rsid w:val="00F12435"/>
    <w:rsid w:val="00F12509"/>
    <w:rsid w:val="00F12555"/>
    <w:rsid w:val="00F12DDB"/>
    <w:rsid w:val="00F12DF9"/>
    <w:rsid w:val="00F13679"/>
    <w:rsid w:val="00F13736"/>
    <w:rsid w:val="00F13A82"/>
    <w:rsid w:val="00F13A9E"/>
    <w:rsid w:val="00F14284"/>
    <w:rsid w:val="00F144B8"/>
    <w:rsid w:val="00F1487F"/>
    <w:rsid w:val="00F1490F"/>
    <w:rsid w:val="00F14BDC"/>
    <w:rsid w:val="00F1508A"/>
    <w:rsid w:val="00F15301"/>
    <w:rsid w:val="00F155CE"/>
    <w:rsid w:val="00F15970"/>
    <w:rsid w:val="00F16141"/>
    <w:rsid w:val="00F16441"/>
    <w:rsid w:val="00F16C17"/>
    <w:rsid w:val="00F16D3F"/>
    <w:rsid w:val="00F1741E"/>
    <w:rsid w:val="00F174ED"/>
    <w:rsid w:val="00F1754A"/>
    <w:rsid w:val="00F175E9"/>
    <w:rsid w:val="00F17AB3"/>
    <w:rsid w:val="00F17E39"/>
    <w:rsid w:val="00F20170"/>
    <w:rsid w:val="00F201B7"/>
    <w:rsid w:val="00F20306"/>
    <w:rsid w:val="00F203E2"/>
    <w:rsid w:val="00F20C02"/>
    <w:rsid w:val="00F20E18"/>
    <w:rsid w:val="00F212DF"/>
    <w:rsid w:val="00F21345"/>
    <w:rsid w:val="00F21350"/>
    <w:rsid w:val="00F2147C"/>
    <w:rsid w:val="00F2163C"/>
    <w:rsid w:val="00F21956"/>
    <w:rsid w:val="00F21DA5"/>
    <w:rsid w:val="00F223C3"/>
    <w:rsid w:val="00F22669"/>
    <w:rsid w:val="00F22AC8"/>
    <w:rsid w:val="00F22BD8"/>
    <w:rsid w:val="00F232BB"/>
    <w:rsid w:val="00F23316"/>
    <w:rsid w:val="00F23763"/>
    <w:rsid w:val="00F2398C"/>
    <w:rsid w:val="00F24C76"/>
    <w:rsid w:val="00F24F41"/>
    <w:rsid w:val="00F24FBA"/>
    <w:rsid w:val="00F25A71"/>
    <w:rsid w:val="00F26188"/>
    <w:rsid w:val="00F2641D"/>
    <w:rsid w:val="00F26B7B"/>
    <w:rsid w:val="00F26BA1"/>
    <w:rsid w:val="00F26CD9"/>
    <w:rsid w:val="00F26DD7"/>
    <w:rsid w:val="00F270DD"/>
    <w:rsid w:val="00F274FA"/>
    <w:rsid w:val="00F2776B"/>
    <w:rsid w:val="00F27C1E"/>
    <w:rsid w:val="00F305E3"/>
    <w:rsid w:val="00F30A94"/>
    <w:rsid w:val="00F30FCD"/>
    <w:rsid w:val="00F30FF0"/>
    <w:rsid w:val="00F3121D"/>
    <w:rsid w:val="00F31585"/>
    <w:rsid w:val="00F316F6"/>
    <w:rsid w:val="00F319AC"/>
    <w:rsid w:val="00F31E15"/>
    <w:rsid w:val="00F32129"/>
    <w:rsid w:val="00F32245"/>
    <w:rsid w:val="00F323BF"/>
    <w:rsid w:val="00F32F95"/>
    <w:rsid w:val="00F337B3"/>
    <w:rsid w:val="00F33BC6"/>
    <w:rsid w:val="00F33D7C"/>
    <w:rsid w:val="00F3410F"/>
    <w:rsid w:val="00F3440B"/>
    <w:rsid w:val="00F34A4C"/>
    <w:rsid w:val="00F34EED"/>
    <w:rsid w:val="00F350A9"/>
    <w:rsid w:val="00F3539B"/>
    <w:rsid w:val="00F355A8"/>
    <w:rsid w:val="00F355DE"/>
    <w:rsid w:val="00F355ED"/>
    <w:rsid w:val="00F35701"/>
    <w:rsid w:val="00F35705"/>
    <w:rsid w:val="00F36324"/>
    <w:rsid w:val="00F363BC"/>
    <w:rsid w:val="00F364DF"/>
    <w:rsid w:val="00F36521"/>
    <w:rsid w:val="00F36531"/>
    <w:rsid w:val="00F36659"/>
    <w:rsid w:val="00F36B86"/>
    <w:rsid w:val="00F372C9"/>
    <w:rsid w:val="00F37B96"/>
    <w:rsid w:val="00F37BA4"/>
    <w:rsid w:val="00F37F01"/>
    <w:rsid w:val="00F4005E"/>
    <w:rsid w:val="00F4042F"/>
    <w:rsid w:val="00F404BF"/>
    <w:rsid w:val="00F40A36"/>
    <w:rsid w:val="00F40A40"/>
    <w:rsid w:val="00F410FB"/>
    <w:rsid w:val="00F4111B"/>
    <w:rsid w:val="00F4166C"/>
    <w:rsid w:val="00F4187B"/>
    <w:rsid w:val="00F42447"/>
    <w:rsid w:val="00F42560"/>
    <w:rsid w:val="00F42831"/>
    <w:rsid w:val="00F42BA3"/>
    <w:rsid w:val="00F42BDA"/>
    <w:rsid w:val="00F42C23"/>
    <w:rsid w:val="00F42DFA"/>
    <w:rsid w:val="00F431D1"/>
    <w:rsid w:val="00F43471"/>
    <w:rsid w:val="00F438CC"/>
    <w:rsid w:val="00F43AD0"/>
    <w:rsid w:val="00F43B4A"/>
    <w:rsid w:val="00F43BC0"/>
    <w:rsid w:val="00F43F38"/>
    <w:rsid w:val="00F443B5"/>
    <w:rsid w:val="00F44452"/>
    <w:rsid w:val="00F44ABB"/>
    <w:rsid w:val="00F44CB8"/>
    <w:rsid w:val="00F44EE9"/>
    <w:rsid w:val="00F44FE7"/>
    <w:rsid w:val="00F45025"/>
    <w:rsid w:val="00F45B59"/>
    <w:rsid w:val="00F45CE7"/>
    <w:rsid w:val="00F45D1A"/>
    <w:rsid w:val="00F46136"/>
    <w:rsid w:val="00F466C6"/>
    <w:rsid w:val="00F4699F"/>
    <w:rsid w:val="00F46F35"/>
    <w:rsid w:val="00F46FDB"/>
    <w:rsid w:val="00F46FE3"/>
    <w:rsid w:val="00F47175"/>
    <w:rsid w:val="00F47419"/>
    <w:rsid w:val="00F47482"/>
    <w:rsid w:val="00F474B6"/>
    <w:rsid w:val="00F4762C"/>
    <w:rsid w:val="00F47B66"/>
    <w:rsid w:val="00F47C33"/>
    <w:rsid w:val="00F5008F"/>
    <w:rsid w:val="00F50306"/>
    <w:rsid w:val="00F506A1"/>
    <w:rsid w:val="00F50B16"/>
    <w:rsid w:val="00F5111A"/>
    <w:rsid w:val="00F5146F"/>
    <w:rsid w:val="00F514C4"/>
    <w:rsid w:val="00F51E44"/>
    <w:rsid w:val="00F523DA"/>
    <w:rsid w:val="00F52574"/>
    <w:rsid w:val="00F52A17"/>
    <w:rsid w:val="00F52DA7"/>
    <w:rsid w:val="00F52FF1"/>
    <w:rsid w:val="00F531CC"/>
    <w:rsid w:val="00F53232"/>
    <w:rsid w:val="00F5330D"/>
    <w:rsid w:val="00F5362B"/>
    <w:rsid w:val="00F536DA"/>
    <w:rsid w:val="00F53E1A"/>
    <w:rsid w:val="00F542CE"/>
    <w:rsid w:val="00F54369"/>
    <w:rsid w:val="00F5463D"/>
    <w:rsid w:val="00F56387"/>
    <w:rsid w:val="00F5641D"/>
    <w:rsid w:val="00F565FD"/>
    <w:rsid w:val="00F56665"/>
    <w:rsid w:val="00F56B3A"/>
    <w:rsid w:val="00F56D15"/>
    <w:rsid w:val="00F572B6"/>
    <w:rsid w:val="00F57A16"/>
    <w:rsid w:val="00F600C4"/>
    <w:rsid w:val="00F6022E"/>
    <w:rsid w:val="00F60318"/>
    <w:rsid w:val="00F6073E"/>
    <w:rsid w:val="00F60E80"/>
    <w:rsid w:val="00F6124A"/>
    <w:rsid w:val="00F61272"/>
    <w:rsid w:val="00F612DA"/>
    <w:rsid w:val="00F616A5"/>
    <w:rsid w:val="00F61ACD"/>
    <w:rsid w:val="00F61B48"/>
    <w:rsid w:val="00F61C76"/>
    <w:rsid w:val="00F6251E"/>
    <w:rsid w:val="00F62880"/>
    <w:rsid w:val="00F62953"/>
    <w:rsid w:val="00F62B2E"/>
    <w:rsid w:val="00F62C75"/>
    <w:rsid w:val="00F62CEE"/>
    <w:rsid w:val="00F62F33"/>
    <w:rsid w:val="00F62F69"/>
    <w:rsid w:val="00F63614"/>
    <w:rsid w:val="00F63F93"/>
    <w:rsid w:val="00F643F0"/>
    <w:rsid w:val="00F647D8"/>
    <w:rsid w:val="00F649FA"/>
    <w:rsid w:val="00F64D9F"/>
    <w:rsid w:val="00F64E62"/>
    <w:rsid w:val="00F64EE4"/>
    <w:rsid w:val="00F65363"/>
    <w:rsid w:val="00F65C45"/>
    <w:rsid w:val="00F660D4"/>
    <w:rsid w:val="00F6748F"/>
    <w:rsid w:val="00F67B05"/>
    <w:rsid w:val="00F67DF9"/>
    <w:rsid w:val="00F7064C"/>
    <w:rsid w:val="00F707CF"/>
    <w:rsid w:val="00F70917"/>
    <w:rsid w:val="00F70C08"/>
    <w:rsid w:val="00F70F01"/>
    <w:rsid w:val="00F71100"/>
    <w:rsid w:val="00F7115E"/>
    <w:rsid w:val="00F7178D"/>
    <w:rsid w:val="00F717BD"/>
    <w:rsid w:val="00F71845"/>
    <w:rsid w:val="00F719F9"/>
    <w:rsid w:val="00F71A79"/>
    <w:rsid w:val="00F71B86"/>
    <w:rsid w:val="00F71D8B"/>
    <w:rsid w:val="00F71E3B"/>
    <w:rsid w:val="00F722A3"/>
    <w:rsid w:val="00F72A8E"/>
    <w:rsid w:val="00F72E79"/>
    <w:rsid w:val="00F732B1"/>
    <w:rsid w:val="00F732B3"/>
    <w:rsid w:val="00F7336D"/>
    <w:rsid w:val="00F7349B"/>
    <w:rsid w:val="00F73F7F"/>
    <w:rsid w:val="00F749D2"/>
    <w:rsid w:val="00F74ABE"/>
    <w:rsid w:val="00F74D3C"/>
    <w:rsid w:val="00F75055"/>
    <w:rsid w:val="00F75405"/>
    <w:rsid w:val="00F7548A"/>
    <w:rsid w:val="00F75F40"/>
    <w:rsid w:val="00F7637C"/>
    <w:rsid w:val="00F763F9"/>
    <w:rsid w:val="00F76B79"/>
    <w:rsid w:val="00F776A4"/>
    <w:rsid w:val="00F77797"/>
    <w:rsid w:val="00F77DAF"/>
    <w:rsid w:val="00F77F38"/>
    <w:rsid w:val="00F80329"/>
    <w:rsid w:val="00F8097E"/>
    <w:rsid w:val="00F80B00"/>
    <w:rsid w:val="00F812F0"/>
    <w:rsid w:val="00F8130A"/>
    <w:rsid w:val="00F8138E"/>
    <w:rsid w:val="00F81987"/>
    <w:rsid w:val="00F81A97"/>
    <w:rsid w:val="00F81DAF"/>
    <w:rsid w:val="00F81DD7"/>
    <w:rsid w:val="00F81E65"/>
    <w:rsid w:val="00F8208C"/>
    <w:rsid w:val="00F821A0"/>
    <w:rsid w:val="00F823B5"/>
    <w:rsid w:val="00F824FF"/>
    <w:rsid w:val="00F8280B"/>
    <w:rsid w:val="00F835D2"/>
    <w:rsid w:val="00F83618"/>
    <w:rsid w:val="00F83B59"/>
    <w:rsid w:val="00F83FCA"/>
    <w:rsid w:val="00F8419D"/>
    <w:rsid w:val="00F84959"/>
    <w:rsid w:val="00F84A5C"/>
    <w:rsid w:val="00F84FA2"/>
    <w:rsid w:val="00F85BB6"/>
    <w:rsid w:val="00F85C20"/>
    <w:rsid w:val="00F85C73"/>
    <w:rsid w:val="00F8614F"/>
    <w:rsid w:val="00F86686"/>
    <w:rsid w:val="00F86840"/>
    <w:rsid w:val="00F86C86"/>
    <w:rsid w:val="00F86F4F"/>
    <w:rsid w:val="00F870F9"/>
    <w:rsid w:val="00F870FF"/>
    <w:rsid w:val="00F87134"/>
    <w:rsid w:val="00F872D5"/>
    <w:rsid w:val="00F873D4"/>
    <w:rsid w:val="00F8741A"/>
    <w:rsid w:val="00F8742B"/>
    <w:rsid w:val="00F8775F"/>
    <w:rsid w:val="00F87BBF"/>
    <w:rsid w:val="00F87CFC"/>
    <w:rsid w:val="00F90164"/>
    <w:rsid w:val="00F9030C"/>
    <w:rsid w:val="00F90796"/>
    <w:rsid w:val="00F90838"/>
    <w:rsid w:val="00F90ACC"/>
    <w:rsid w:val="00F90CC4"/>
    <w:rsid w:val="00F91376"/>
    <w:rsid w:val="00F91BA5"/>
    <w:rsid w:val="00F92031"/>
    <w:rsid w:val="00F92138"/>
    <w:rsid w:val="00F92251"/>
    <w:rsid w:val="00F923BE"/>
    <w:rsid w:val="00F925FE"/>
    <w:rsid w:val="00F92848"/>
    <w:rsid w:val="00F92DB2"/>
    <w:rsid w:val="00F92E19"/>
    <w:rsid w:val="00F93420"/>
    <w:rsid w:val="00F935DA"/>
    <w:rsid w:val="00F937C4"/>
    <w:rsid w:val="00F93EA3"/>
    <w:rsid w:val="00F93EA7"/>
    <w:rsid w:val="00F941D5"/>
    <w:rsid w:val="00F954A0"/>
    <w:rsid w:val="00F9553E"/>
    <w:rsid w:val="00F957A2"/>
    <w:rsid w:val="00F957CD"/>
    <w:rsid w:val="00F9584C"/>
    <w:rsid w:val="00F95D43"/>
    <w:rsid w:val="00F96291"/>
    <w:rsid w:val="00F96484"/>
    <w:rsid w:val="00F965D5"/>
    <w:rsid w:val="00F96994"/>
    <w:rsid w:val="00F96D5F"/>
    <w:rsid w:val="00F972EC"/>
    <w:rsid w:val="00F974FA"/>
    <w:rsid w:val="00F9767D"/>
    <w:rsid w:val="00F97A07"/>
    <w:rsid w:val="00F97B7B"/>
    <w:rsid w:val="00F97CC0"/>
    <w:rsid w:val="00F97E71"/>
    <w:rsid w:val="00FA000C"/>
    <w:rsid w:val="00FA1466"/>
    <w:rsid w:val="00FA1692"/>
    <w:rsid w:val="00FA1B87"/>
    <w:rsid w:val="00FA1BBC"/>
    <w:rsid w:val="00FA1BE7"/>
    <w:rsid w:val="00FA1BEA"/>
    <w:rsid w:val="00FA20D0"/>
    <w:rsid w:val="00FA21D2"/>
    <w:rsid w:val="00FA22CE"/>
    <w:rsid w:val="00FA2A20"/>
    <w:rsid w:val="00FA2DDB"/>
    <w:rsid w:val="00FA3019"/>
    <w:rsid w:val="00FA32FD"/>
    <w:rsid w:val="00FA35C9"/>
    <w:rsid w:val="00FA3669"/>
    <w:rsid w:val="00FA3746"/>
    <w:rsid w:val="00FA37DC"/>
    <w:rsid w:val="00FA3C6C"/>
    <w:rsid w:val="00FA3FBC"/>
    <w:rsid w:val="00FA4259"/>
    <w:rsid w:val="00FA550D"/>
    <w:rsid w:val="00FA5B14"/>
    <w:rsid w:val="00FA5DDC"/>
    <w:rsid w:val="00FA613E"/>
    <w:rsid w:val="00FA616E"/>
    <w:rsid w:val="00FA676F"/>
    <w:rsid w:val="00FA6A57"/>
    <w:rsid w:val="00FA6B57"/>
    <w:rsid w:val="00FA6E44"/>
    <w:rsid w:val="00FA76AB"/>
    <w:rsid w:val="00FA77BE"/>
    <w:rsid w:val="00FA7884"/>
    <w:rsid w:val="00FA7C16"/>
    <w:rsid w:val="00FB00F8"/>
    <w:rsid w:val="00FB0934"/>
    <w:rsid w:val="00FB0B25"/>
    <w:rsid w:val="00FB18BE"/>
    <w:rsid w:val="00FB1FEF"/>
    <w:rsid w:val="00FB2462"/>
    <w:rsid w:val="00FB2897"/>
    <w:rsid w:val="00FB2D86"/>
    <w:rsid w:val="00FB2DB4"/>
    <w:rsid w:val="00FB2FBE"/>
    <w:rsid w:val="00FB2FD3"/>
    <w:rsid w:val="00FB34FC"/>
    <w:rsid w:val="00FB3A22"/>
    <w:rsid w:val="00FB3B24"/>
    <w:rsid w:val="00FB3DF0"/>
    <w:rsid w:val="00FB41DC"/>
    <w:rsid w:val="00FB44FB"/>
    <w:rsid w:val="00FB4601"/>
    <w:rsid w:val="00FB46AB"/>
    <w:rsid w:val="00FB4A0C"/>
    <w:rsid w:val="00FB4ABF"/>
    <w:rsid w:val="00FB4B26"/>
    <w:rsid w:val="00FB5050"/>
    <w:rsid w:val="00FB5465"/>
    <w:rsid w:val="00FB5569"/>
    <w:rsid w:val="00FB57D9"/>
    <w:rsid w:val="00FB5B32"/>
    <w:rsid w:val="00FB61FC"/>
    <w:rsid w:val="00FB6507"/>
    <w:rsid w:val="00FB668A"/>
    <w:rsid w:val="00FB6D25"/>
    <w:rsid w:val="00FB70F9"/>
    <w:rsid w:val="00FB731C"/>
    <w:rsid w:val="00FB7332"/>
    <w:rsid w:val="00FB73D2"/>
    <w:rsid w:val="00FB73FB"/>
    <w:rsid w:val="00FB7674"/>
    <w:rsid w:val="00FB7917"/>
    <w:rsid w:val="00FB7DC9"/>
    <w:rsid w:val="00FB7FB6"/>
    <w:rsid w:val="00FC022D"/>
    <w:rsid w:val="00FC0491"/>
    <w:rsid w:val="00FC0589"/>
    <w:rsid w:val="00FC0C8A"/>
    <w:rsid w:val="00FC0DB7"/>
    <w:rsid w:val="00FC10E5"/>
    <w:rsid w:val="00FC114F"/>
    <w:rsid w:val="00FC16F1"/>
    <w:rsid w:val="00FC1778"/>
    <w:rsid w:val="00FC17B1"/>
    <w:rsid w:val="00FC1AF2"/>
    <w:rsid w:val="00FC1D2B"/>
    <w:rsid w:val="00FC2140"/>
    <w:rsid w:val="00FC21BC"/>
    <w:rsid w:val="00FC2469"/>
    <w:rsid w:val="00FC2812"/>
    <w:rsid w:val="00FC2944"/>
    <w:rsid w:val="00FC343C"/>
    <w:rsid w:val="00FC3490"/>
    <w:rsid w:val="00FC3722"/>
    <w:rsid w:val="00FC3A6F"/>
    <w:rsid w:val="00FC485A"/>
    <w:rsid w:val="00FC4950"/>
    <w:rsid w:val="00FC4A3C"/>
    <w:rsid w:val="00FC4E5D"/>
    <w:rsid w:val="00FC5B3E"/>
    <w:rsid w:val="00FC5CD3"/>
    <w:rsid w:val="00FC5F49"/>
    <w:rsid w:val="00FC622A"/>
    <w:rsid w:val="00FC6B7E"/>
    <w:rsid w:val="00FC6CCB"/>
    <w:rsid w:val="00FC6D24"/>
    <w:rsid w:val="00FC6F49"/>
    <w:rsid w:val="00FC6FD8"/>
    <w:rsid w:val="00FC71B3"/>
    <w:rsid w:val="00FC7727"/>
    <w:rsid w:val="00FD0546"/>
    <w:rsid w:val="00FD06FF"/>
    <w:rsid w:val="00FD0B16"/>
    <w:rsid w:val="00FD0E22"/>
    <w:rsid w:val="00FD1350"/>
    <w:rsid w:val="00FD19CE"/>
    <w:rsid w:val="00FD1A5F"/>
    <w:rsid w:val="00FD1AE2"/>
    <w:rsid w:val="00FD1E0D"/>
    <w:rsid w:val="00FD1EDA"/>
    <w:rsid w:val="00FD2519"/>
    <w:rsid w:val="00FD2C72"/>
    <w:rsid w:val="00FD2D65"/>
    <w:rsid w:val="00FD35AB"/>
    <w:rsid w:val="00FD3CB0"/>
    <w:rsid w:val="00FD3F69"/>
    <w:rsid w:val="00FD49C1"/>
    <w:rsid w:val="00FD4B71"/>
    <w:rsid w:val="00FD5298"/>
    <w:rsid w:val="00FD5660"/>
    <w:rsid w:val="00FD58CD"/>
    <w:rsid w:val="00FD5AF5"/>
    <w:rsid w:val="00FD5D05"/>
    <w:rsid w:val="00FD62EE"/>
    <w:rsid w:val="00FD63F3"/>
    <w:rsid w:val="00FD6463"/>
    <w:rsid w:val="00FD646C"/>
    <w:rsid w:val="00FD668D"/>
    <w:rsid w:val="00FD66CD"/>
    <w:rsid w:val="00FD6707"/>
    <w:rsid w:val="00FD67EC"/>
    <w:rsid w:val="00FD6A1B"/>
    <w:rsid w:val="00FD731B"/>
    <w:rsid w:val="00FD7C35"/>
    <w:rsid w:val="00FD7D71"/>
    <w:rsid w:val="00FE0343"/>
    <w:rsid w:val="00FE073F"/>
    <w:rsid w:val="00FE0E43"/>
    <w:rsid w:val="00FE1073"/>
    <w:rsid w:val="00FE120E"/>
    <w:rsid w:val="00FE197F"/>
    <w:rsid w:val="00FE19FB"/>
    <w:rsid w:val="00FE1EBF"/>
    <w:rsid w:val="00FE211B"/>
    <w:rsid w:val="00FE25A6"/>
    <w:rsid w:val="00FE2B0B"/>
    <w:rsid w:val="00FE2D2E"/>
    <w:rsid w:val="00FE32D6"/>
    <w:rsid w:val="00FE3BD1"/>
    <w:rsid w:val="00FE3CBB"/>
    <w:rsid w:val="00FE40AE"/>
    <w:rsid w:val="00FE4B23"/>
    <w:rsid w:val="00FE5039"/>
    <w:rsid w:val="00FE55DA"/>
    <w:rsid w:val="00FE56AC"/>
    <w:rsid w:val="00FE5746"/>
    <w:rsid w:val="00FE5FD6"/>
    <w:rsid w:val="00FE625F"/>
    <w:rsid w:val="00FE6DE7"/>
    <w:rsid w:val="00FE75DE"/>
    <w:rsid w:val="00FE7A03"/>
    <w:rsid w:val="00FE7E93"/>
    <w:rsid w:val="00FF0C10"/>
    <w:rsid w:val="00FF1006"/>
    <w:rsid w:val="00FF1100"/>
    <w:rsid w:val="00FF1B34"/>
    <w:rsid w:val="00FF1D41"/>
    <w:rsid w:val="00FF2039"/>
    <w:rsid w:val="00FF20B8"/>
    <w:rsid w:val="00FF2133"/>
    <w:rsid w:val="00FF22E7"/>
    <w:rsid w:val="00FF2652"/>
    <w:rsid w:val="00FF2B1C"/>
    <w:rsid w:val="00FF2D27"/>
    <w:rsid w:val="00FF3027"/>
    <w:rsid w:val="00FF31B2"/>
    <w:rsid w:val="00FF350E"/>
    <w:rsid w:val="00FF366F"/>
    <w:rsid w:val="00FF367E"/>
    <w:rsid w:val="00FF3B16"/>
    <w:rsid w:val="00FF3B73"/>
    <w:rsid w:val="00FF481A"/>
    <w:rsid w:val="00FF4833"/>
    <w:rsid w:val="00FF493A"/>
    <w:rsid w:val="00FF51FF"/>
    <w:rsid w:val="00FF5508"/>
    <w:rsid w:val="00FF6107"/>
    <w:rsid w:val="00FF621B"/>
    <w:rsid w:val="00FF6950"/>
    <w:rsid w:val="00FF6D9D"/>
    <w:rsid w:val="00FF7159"/>
    <w:rsid w:val="00FF7232"/>
    <w:rsid w:val="00FF7739"/>
    <w:rsid w:val="01051048"/>
    <w:rsid w:val="01167D18"/>
    <w:rsid w:val="014E4A6F"/>
    <w:rsid w:val="015B0612"/>
    <w:rsid w:val="01656B8A"/>
    <w:rsid w:val="01BB0635"/>
    <w:rsid w:val="01D16FB2"/>
    <w:rsid w:val="01DD24AF"/>
    <w:rsid w:val="01FC6A45"/>
    <w:rsid w:val="0204137D"/>
    <w:rsid w:val="020B7CEC"/>
    <w:rsid w:val="025760E2"/>
    <w:rsid w:val="027C6BB5"/>
    <w:rsid w:val="02975C8C"/>
    <w:rsid w:val="02B005DE"/>
    <w:rsid w:val="02CC602C"/>
    <w:rsid w:val="02EF23F0"/>
    <w:rsid w:val="030A008A"/>
    <w:rsid w:val="031D74A6"/>
    <w:rsid w:val="032151DA"/>
    <w:rsid w:val="03232B36"/>
    <w:rsid w:val="033F63CD"/>
    <w:rsid w:val="03536801"/>
    <w:rsid w:val="035B5D1E"/>
    <w:rsid w:val="036C1B36"/>
    <w:rsid w:val="037E346F"/>
    <w:rsid w:val="039607E6"/>
    <w:rsid w:val="03A14E05"/>
    <w:rsid w:val="03B14C69"/>
    <w:rsid w:val="045D652B"/>
    <w:rsid w:val="045E13E2"/>
    <w:rsid w:val="046E116D"/>
    <w:rsid w:val="046F69EC"/>
    <w:rsid w:val="04720CDE"/>
    <w:rsid w:val="049F35FF"/>
    <w:rsid w:val="04BA7D51"/>
    <w:rsid w:val="04C01B9E"/>
    <w:rsid w:val="04C73545"/>
    <w:rsid w:val="04E853C8"/>
    <w:rsid w:val="04F86D76"/>
    <w:rsid w:val="050551FA"/>
    <w:rsid w:val="053E3F25"/>
    <w:rsid w:val="05656F6E"/>
    <w:rsid w:val="05A652FE"/>
    <w:rsid w:val="05B31341"/>
    <w:rsid w:val="05E13292"/>
    <w:rsid w:val="05F478E3"/>
    <w:rsid w:val="05F637B2"/>
    <w:rsid w:val="062137D7"/>
    <w:rsid w:val="063C0B95"/>
    <w:rsid w:val="067D4C23"/>
    <w:rsid w:val="06B87960"/>
    <w:rsid w:val="06DE0100"/>
    <w:rsid w:val="06FF5387"/>
    <w:rsid w:val="07167C0D"/>
    <w:rsid w:val="071867DD"/>
    <w:rsid w:val="071A0FD0"/>
    <w:rsid w:val="07343362"/>
    <w:rsid w:val="073E7A70"/>
    <w:rsid w:val="07666C4A"/>
    <w:rsid w:val="07713742"/>
    <w:rsid w:val="07806B9E"/>
    <w:rsid w:val="07895465"/>
    <w:rsid w:val="07BB3B7A"/>
    <w:rsid w:val="08233EE5"/>
    <w:rsid w:val="082A76EF"/>
    <w:rsid w:val="08387C8F"/>
    <w:rsid w:val="08482FE9"/>
    <w:rsid w:val="086230FE"/>
    <w:rsid w:val="086C2211"/>
    <w:rsid w:val="08776490"/>
    <w:rsid w:val="0878278D"/>
    <w:rsid w:val="087E1E3E"/>
    <w:rsid w:val="08886890"/>
    <w:rsid w:val="08923FC0"/>
    <w:rsid w:val="08941631"/>
    <w:rsid w:val="08C26816"/>
    <w:rsid w:val="08E1004E"/>
    <w:rsid w:val="08FE285F"/>
    <w:rsid w:val="0906705B"/>
    <w:rsid w:val="090A42CE"/>
    <w:rsid w:val="09295E4F"/>
    <w:rsid w:val="093C56FD"/>
    <w:rsid w:val="097834A1"/>
    <w:rsid w:val="09A248E6"/>
    <w:rsid w:val="09B11F73"/>
    <w:rsid w:val="09BD4F56"/>
    <w:rsid w:val="09C4022B"/>
    <w:rsid w:val="09D53A15"/>
    <w:rsid w:val="09D56EA3"/>
    <w:rsid w:val="09E32417"/>
    <w:rsid w:val="09EE5DD1"/>
    <w:rsid w:val="09FA1858"/>
    <w:rsid w:val="0A0176CC"/>
    <w:rsid w:val="0A5B6574"/>
    <w:rsid w:val="0A7A73AE"/>
    <w:rsid w:val="0A7B2642"/>
    <w:rsid w:val="0A8C1512"/>
    <w:rsid w:val="0A8C6210"/>
    <w:rsid w:val="0A964D16"/>
    <w:rsid w:val="0AA06499"/>
    <w:rsid w:val="0AB23986"/>
    <w:rsid w:val="0AD04A36"/>
    <w:rsid w:val="0AD17E63"/>
    <w:rsid w:val="0AD4667D"/>
    <w:rsid w:val="0AE07127"/>
    <w:rsid w:val="0AF22F94"/>
    <w:rsid w:val="0B093F8E"/>
    <w:rsid w:val="0B16363E"/>
    <w:rsid w:val="0B7078E0"/>
    <w:rsid w:val="0BB3318C"/>
    <w:rsid w:val="0BBD45E3"/>
    <w:rsid w:val="0BBE6ECA"/>
    <w:rsid w:val="0BC976EC"/>
    <w:rsid w:val="0BE747E2"/>
    <w:rsid w:val="0C203576"/>
    <w:rsid w:val="0C3569ED"/>
    <w:rsid w:val="0C3B5A33"/>
    <w:rsid w:val="0C593F7E"/>
    <w:rsid w:val="0C595C07"/>
    <w:rsid w:val="0C613368"/>
    <w:rsid w:val="0C620EE1"/>
    <w:rsid w:val="0C754885"/>
    <w:rsid w:val="0C7C359A"/>
    <w:rsid w:val="0CAC6484"/>
    <w:rsid w:val="0CBD3CB0"/>
    <w:rsid w:val="0CD25AD5"/>
    <w:rsid w:val="0CFD6C54"/>
    <w:rsid w:val="0D2E4254"/>
    <w:rsid w:val="0D2F17FD"/>
    <w:rsid w:val="0D366EA4"/>
    <w:rsid w:val="0D4D0E8E"/>
    <w:rsid w:val="0DD3018A"/>
    <w:rsid w:val="0E19600D"/>
    <w:rsid w:val="0E3A5B31"/>
    <w:rsid w:val="0E5176A4"/>
    <w:rsid w:val="0E84253D"/>
    <w:rsid w:val="0ECB4993"/>
    <w:rsid w:val="0ED209A3"/>
    <w:rsid w:val="0EF865C7"/>
    <w:rsid w:val="0F1602E1"/>
    <w:rsid w:val="0F297C45"/>
    <w:rsid w:val="0F3F19F8"/>
    <w:rsid w:val="0F551852"/>
    <w:rsid w:val="0F555CFC"/>
    <w:rsid w:val="0FB80E97"/>
    <w:rsid w:val="0FFA5AE7"/>
    <w:rsid w:val="0FFD5D57"/>
    <w:rsid w:val="1003061A"/>
    <w:rsid w:val="10107E16"/>
    <w:rsid w:val="1035751F"/>
    <w:rsid w:val="107D0E4F"/>
    <w:rsid w:val="1096789B"/>
    <w:rsid w:val="10A10A71"/>
    <w:rsid w:val="10A40425"/>
    <w:rsid w:val="10D63A62"/>
    <w:rsid w:val="10DE5BB5"/>
    <w:rsid w:val="10FE5D29"/>
    <w:rsid w:val="11045F3F"/>
    <w:rsid w:val="11092093"/>
    <w:rsid w:val="114A3999"/>
    <w:rsid w:val="11730202"/>
    <w:rsid w:val="118F277F"/>
    <w:rsid w:val="11B61A2A"/>
    <w:rsid w:val="11BB4795"/>
    <w:rsid w:val="11CE1138"/>
    <w:rsid w:val="11D633FB"/>
    <w:rsid w:val="11E164E5"/>
    <w:rsid w:val="11FD5578"/>
    <w:rsid w:val="120018AA"/>
    <w:rsid w:val="121D4F2B"/>
    <w:rsid w:val="12737698"/>
    <w:rsid w:val="12927EE6"/>
    <w:rsid w:val="12CE5B7E"/>
    <w:rsid w:val="12DD2130"/>
    <w:rsid w:val="12E357E5"/>
    <w:rsid w:val="12F24EEC"/>
    <w:rsid w:val="132F7AE4"/>
    <w:rsid w:val="133C41F3"/>
    <w:rsid w:val="13A40DDF"/>
    <w:rsid w:val="13CE44E0"/>
    <w:rsid w:val="140765F1"/>
    <w:rsid w:val="142F48AE"/>
    <w:rsid w:val="1432178A"/>
    <w:rsid w:val="143853BD"/>
    <w:rsid w:val="143B090A"/>
    <w:rsid w:val="147A043C"/>
    <w:rsid w:val="14D42F2F"/>
    <w:rsid w:val="14FB5F5E"/>
    <w:rsid w:val="153E4263"/>
    <w:rsid w:val="156B0D3B"/>
    <w:rsid w:val="156C2EC6"/>
    <w:rsid w:val="1582420E"/>
    <w:rsid w:val="15CB4F5E"/>
    <w:rsid w:val="15ED5A15"/>
    <w:rsid w:val="15F90E49"/>
    <w:rsid w:val="16204307"/>
    <w:rsid w:val="16265D51"/>
    <w:rsid w:val="163B0388"/>
    <w:rsid w:val="16426169"/>
    <w:rsid w:val="165339FD"/>
    <w:rsid w:val="16703511"/>
    <w:rsid w:val="16821A4F"/>
    <w:rsid w:val="16821CF2"/>
    <w:rsid w:val="16A65840"/>
    <w:rsid w:val="16B958C4"/>
    <w:rsid w:val="16ED3B2F"/>
    <w:rsid w:val="16F275ED"/>
    <w:rsid w:val="172F6406"/>
    <w:rsid w:val="173D257E"/>
    <w:rsid w:val="17481711"/>
    <w:rsid w:val="175F47E9"/>
    <w:rsid w:val="176E2494"/>
    <w:rsid w:val="177E7416"/>
    <w:rsid w:val="17CF0794"/>
    <w:rsid w:val="17D631C0"/>
    <w:rsid w:val="17DC7B78"/>
    <w:rsid w:val="17F01C69"/>
    <w:rsid w:val="17FB5B3D"/>
    <w:rsid w:val="18171B7E"/>
    <w:rsid w:val="183E4630"/>
    <w:rsid w:val="186067C6"/>
    <w:rsid w:val="187B238E"/>
    <w:rsid w:val="18907DFF"/>
    <w:rsid w:val="18BB3564"/>
    <w:rsid w:val="18BD3B3E"/>
    <w:rsid w:val="18DA23B2"/>
    <w:rsid w:val="18FB2C86"/>
    <w:rsid w:val="190E2EEB"/>
    <w:rsid w:val="19115D0F"/>
    <w:rsid w:val="1925188B"/>
    <w:rsid w:val="193F71D6"/>
    <w:rsid w:val="195733CD"/>
    <w:rsid w:val="19613133"/>
    <w:rsid w:val="19742C91"/>
    <w:rsid w:val="197D2182"/>
    <w:rsid w:val="19836EAA"/>
    <w:rsid w:val="198F1420"/>
    <w:rsid w:val="19966051"/>
    <w:rsid w:val="19A46A73"/>
    <w:rsid w:val="19BC7C18"/>
    <w:rsid w:val="19C743AB"/>
    <w:rsid w:val="19D40C42"/>
    <w:rsid w:val="19E04474"/>
    <w:rsid w:val="1A0B7CB4"/>
    <w:rsid w:val="1A424583"/>
    <w:rsid w:val="1A67765F"/>
    <w:rsid w:val="1A875F97"/>
    <w:rsid w:val="1AB43686"/>
    <w:rsid w:val="1AD66893"/>
    <w:rsid w:val="1AE3591B"/>
    <w:rsid w:val="1B07258A"/>
    <w:rsid w:val="1B311265"/>
    <w:rsid w:val="1B501363"/>
    <w:rsid w:val="1B5119F6"/>
    <w:rsid w:val="1B6C00C4"/>
    <w:rsid w:val="1B6F4BD8"/>
    <w:rsid w:val="1B8A0875"/>
    <w:rsid w:val="1B9D7AC9"/>
    <w:rsid w:val="1BC06163"/>
    <w:rsid w:val="1BC24A57"/>
    <w:rsid w:val="1BEA5D34"/>
    <w:rsid w:val="1C0C72F2"/>
    <w:rsid w:val="1C1A7AA9"/>
    <w:rsid w:val="1C1B0370"/>
    <w:rsid w:val="1C346F34"/>
    <w:rsid w:val="1C3851BA"/>
    <w:rsid w:val="1C3D70D4"/>
    <w:rsid w:val="1C5724DE"/>
    <w:rsid w:val="1C643F63"/>
    <w:rsid w:val="1C6641AE"/>
    <w:rsid w:val="1C84410D"/>
    <w:rsid w:val="1C92426F"/>
    <w:rsid w:val="1CA36B34"/>
    <w:rsid w:val="1CDE7453"/>
    <w:rsid w:val="1CF76582"/>
    <w:rsid w:val="1CF91038"/>
    <w:rsid w:val="1CFB49CC"/>
    <w:rsid w:val="1D273CCB"/>
    <w:rsid w:val="1D415A02"/>
    <w:rsid w:val="1D71363B"/>
    <w:rsid w:val="1D815E59"/>
    <w:rsid w:val="1D8275F7"/>
    <w:rsid w:val="1D8732D1"/>
    <w:rsid w:val="1D990A00"/>
    <w:rsid w:val="1DBD2E17"/>
    <w:rsid w:val="1E1C1C94"/>
    <w:rsid w:val="1E225CFD"/>
    <w:rsid w:val="1E250126"/>
    <w:rsid w:val="1E277236"/>
    <w:rsid w:val="1E32630D"/>
    <w:rsid w:val="1E3850FA"/>
    <w:rsid w:val="1E7531FB"/>
    <w:rsid w:val="1E8B31F0"/>
    <w:rsid w:val="1E8D1C7D"/>
    <w:rsid w:val="1EA93B68"/>
    <w:rsid w:val="1ED20516"/>
    <w:rsid w:val="1ED61EF3"/>
    <w:rsid w:val="1EEA1027"/>
    <w:rsid w:val="1EF44803"/>
    <w:rsid w:val="1EFA2842"/>
    <w:rsid w:val="1F0926FA"/>
    <w:rsid w:val="1F1714A4"/>
    <w:rsid w:val="1F9305C6"/>
    <w:rsid w:val="1FE431DB"/>
    <w:rsid w:val="1FE5413D"/>
    <w:rsid w:val="1FF52DF1"/>
    <w:rsid w:val="200827DE"/>
    <w:rsid w:val="202261B2"/>
    <w:rsid w:val="20235782"/>
    <w:rsid w:val="202B5D6E"/>
    <w:rsid w:val="204A0B9A"/>
    <w:rsid w:val="206D2D05"/>
    <w:rsid w:val="209303AD"/>
    <w:rsid w:val="210B76C7"/>
    <w:rsid w:val="210E7BBF"/>
    <w:rsid w:val="21514E5B"/>
    <w:rsid w:val="215A5FAC"/>
    <w:rsid w:val="21C15436"/>
    <w:rsid w:val="21DA609C"/>
    <w:rsid w:val="21E84CB9"/>
    <w:rsid w:val="21EF6054"/>
    <w:rsid w:val="21F45F83"/>
    <w:rsid w:val="2217059E"/>
    <w:rsid w:val="22265B2E"/>
    <w:rsid w:val="223454BE"/>
    <w:rsid w:val="22401C9C"/>
    <w:rsid w:val="224308C2"/>
    <w:rsid w:val="224468B7"/>
    <w:rsid w:val="224F60B2"/>
    <w:rsid w:val="227C1F6A"/>
    <w:rsid w:val="228E28E4"/>
    <w:rsid w:val="22A929A7"/>
    <w:rsid w:val="22AC4FBF"/>
    <w:rsid w:val="22BA74DC"/>
    <w:rsid w:val="22C424D8"/>
    <w:rsid w:val="23000557"/>
    <w:rsid w:val="231371A6"/>
    <w:rsid w:val="23352628"/>
    <w:rsid w:val="23401967"/>
    <w:rsid w:val="23714224"/>
    <w:rsid w:val="237371C7"/>
    <w:rsid w:val="237913B1"/>
    <w:rsid w:val="23867865"/>
    <w:rsid w:val="23CA1759"/>
    <w:rsid w:val="23CB6A89"/>
    <w:rsid w:val="23E000F1"/>
    <w:rsid w:val="23EB5E33"/>
    <w:rsid w:val="23F41CCE"/>
    <w:rsid w:val="23FA0464"/>
    <w:rsid w:val="240050BA"/>
    <w:rsid w:val="24120716"/>
    <w:rsid w:val="24315AC1"/>
    <w:rsid w:val="243D64B5"/>
    <w:rsid w:val="2477272B"/>
    <w:rsid w:val="25031920"/>
    <w:rsid w:val="25147FB7"/>
    <w:rsid w:val="251E5933"/>
    <w:rsid w:val="25207829"/>
    <w:rsid w:val="2532491F"/>
    <w:rsid w:val="25357778"/>
    <w:rsid w:val="256E113B"/>
    <w:rsid w:val="25D85F35"/>
    <w:rsid w:val="25F806CE"/>
    <w:rsid w:val="25FD4071"/>
    <w:rsid w:val="262B3CA2"/>
    <w:rsid w:val="262D5963"/>
    <w:rsid w:val="26321EA3"/>
    <w:rsid w:val="26677EA4"/>
    <w:rsid w:val="26A4243C"/>
    <w:rsid w:val="26B6748B"/>
    <w:rsid w:val="26BC3993"/>
    <w:rsid w:val="26BF12B5"/>
    <w:rsid w:val="26E81A8D"/>
    <w:rsid w:val="26F56942"/>
    <w:rsid w:val="270348F4"/>
    <w:rsid w:val="271A3B8A"/>
    <w:rsid w:val="27397CB2"/>
    <w:rsid w:val="273D27FC"/>
    <w:rsid w:val="273E56BD"/>
    <w:rsid w:val="27755A85"/>
    <w:rsid w:val="277A594A"/>
    <w:rsid w:val="27816EF2"/>
    <w:rsid w:val="27A262C1"/>
    <w:rsid w:val="27B73958"/>
    <w:rsid w:val="27EC2BFC"/>
    <w:rsid w:val="27F9116C"/>
    <w:rsid w:val="2807596F"/>
    <w:rsid w:val="280A0880"/>
    <w:rsid w:val="28294A31"/>
    <w:rsid w:val="28333EE8"/>
    <w:rsid w:val="28565166"/>
    <w:rsid w:val="28670377"/>
    <w:rsid w:val="286B0C3D"/>
    <w:rsid w:val="2884316C"/>
    <w:rsid w:val="2885124A"/>
    <w:rsid w:val="28A24195"/>
    <w:rsid w:val="28BB094A"/>
    <w:rsid w:val="28DE48DD"/>
    <w:rsid w:val="290B17C1"/>
    <w:rsid w:val="291B1BE8"/>
    <w:rsid w:val="29360FBB"/>
    <w:rsid w:val="296F7C11"/>
    <w:rsid w:val="29767079"/>
    <w:rsid w:val="29767B10"/>
    <w:rsid w:val="29812EDE"/>
    <w:rsid w:val="29A3317F"/>
    <w:rsid w:val="29A61B69"/>
    <w:rsid w:val="29D46E34"/>
    <w:rsid w:val="29DA1562"/>
    <w:rsid w:val="2A072B68"/>
    <w:rsid w:val="2A0825C9"/>
    <w:rsid w:val="2A13484E"/>
    <w:rsid w:val="2A147883"/>
    <w:rsid w:val="2A274D26"/>
    <w:rsid w:val="2A4C76FB"/>
    <w:rsid w:val="2A661886"/>
    <w:rsid w:val="2A703829"/>
    <w:rsid w:val="2A755335"/>
    <w:rsid w:val="2A982037"/>
    <w:rsid w:val="2AA340F2"/>
    <w:rsid w:val="2AA70339"/>
    <w:rsid w:val="2AAB0DA9"/>
    <w:rsid w:val="2AB31059"/>
    <w:rsid w:val="2AB530A2"/>
    <w:rsid w:val="2AC7413D"/>
    <w:rsid w:val="2AD43194"/>
    <w:rsid w:val="2ADD2ABF"/>
    <w:rsid w:val="2B177067"/>
    <w:rsid w:val="2B201E1F"/>
    <w:rsid w:val="2B224273"/>
    <w:rsid w:val="2B273FAB"/>
    <w:rsid w:val="2B283DE2"/>
    <w:rsid w:val="2B2E6112"/>
    <w:rsid w:val="2B3913CB"/>
    <w:rsid w:val="2B570D51"/>
    <w:rsid w:val="2B5A6EC6"/>
    <w:rsid w:val="2B6506DB"/>
    <w:rsid w:val="2B9454D0"/>
    <w:rsid w:val="2BB747D7"/>
    <w:rsid w:val="2BC566FF"/>
    <w:rsid w:val="2BE8751E"/>
    <w:rsid w:val="2C3A5ACE"/>
    <w:rsid w:val="2C5414CC"/>
    <w:rsid w:val="2C591A94"/>
    <w:rsid w:val="2C8B07D4"/>
    <w:rsid w:val="2CBC65DB"/>
    <w:rsid w:val="2CCF3D47"/>
    <w:rsid w:val="2CD13A85"/>
    <w:rsid w:val="2CDE6E35"/>
    <w:rsid w:val="2D0B021A"/>
    <w:rsid w:val="2D145EC5"/>
    <w:rsid w:val="2D1A0AA6"/>
    <w:rsid w:val="2D2A4B70"/>
    <w:rsid w:val="2D345F26"/>
    <w:rsid w:val="2D4A43AF"/>
    <w:rsid w:val="2D837976"/>
    <w:rsid w:val="2D8815B3"/>
    <w:rsid w:val="2D965575"/>
    <w:rsid w:val="2D9B5E6F"/>
    <w:rsid w:val="2DC165C5"/>
    <w:rsid w:val="2DCB29E6"/>
    <w:rsid w:val="2DE02D7C"/>
    <w:rsid w:val="2E0120C7"/>
    <w:rsid w:val="2E1C7AC3"/>
    <w:rsid w:val="2E235122"/>
    <w:rsid w:val="2E3B031A"/>
    <w:rsid w:val="2E502638"/>
    <w:rsid w:val="2E525284"/>
    <w:rsid w:val="2E711A24"/>
    <w:rsid w:val="2E7B72CE"/>
    <w:rsid w:val="2E7C4194"/>
    <w:rsid w:val="2E817E2A"/>
    <w:rsid w:val="2E963F7E"/>
    <w:rsid w:val="2EA81B4D"/>
    <w:rsid w:val="2EE34C46"/>
    <w:rsid w:val="2EE74C48"/>
    <w:rsid w:val="2EF81CDE"/>
    <w:rsid w:val="2F030299"/>
    <w:rsid w:val="2F1B3090"/>
    <w:rsid w:val="2F1F3C5E"/>
    <w:rsid w:val="2F5418CF"/>
    <w:rsid w:val="2F6354CD"/>
    <w:rsid w:val="2FAB6BA1"/>
    <w:rsid w:val="2FC70F82"/>
    <w:rsid w:val="2FE54A41"/>
    <w:rsid w:val="30087795"/>
    <w:rsid w:val="300C255C"/>
    <w:rsid w:val="30181C88"/>
    <w:rsid w:val="30244B65"/>
    <w:rsid w:val="302760A3"/>
    <w:rsid w:val="303536F2"/>
    <w:rsid w:val="30437A4D"/>
    <w:rsid w:val="306B6F5C"/>
    <w:rsid w:val="30D90930"/>
    <w:rsid w:val="310B4AE2"/>
    <w:rsid w:val="3121700C"/>
    <w:rsid w:val="3134103F"/>
    <w:rsid w:val="3146756C"/>
    <w:rsid w:val="31727AE1"/>
    <w:rsid w:val="317B5CBE"/>
    <w:rsid w:val="317E4FE4"/>
    <w:rsid w:val="318D71BB"/>
    <w:rsid w:val="31A62F48"/>
    <w:rsid w:val="31D46E8A"/>
    <w:rsid w:val="31E70959"/>
    <w:rsid w:val="31F0140F"/>
    <w:rsid w:val="31FA2830"/>
    <w:rsid w:val="31FE76C1"/>
    <w:rsid w:val="32343CA2"/>
    <w:rsid w:val="32727915"/>
    <w:rsid w:val="32854D96"/>
    <w:rsid w:val="328D422D"/>
    <w:rsid w:val="329816E1"/>
    <w:rsid w:val="32AF5E5D"/>
    <w:rsid w:val="32E270AF"/>
    <w:rsid w:val="32ED405F"/>
    <w:rsid w:val="330B57AC"/>
    <w:rsid w:val="330E4798"/>
    <w:rsid w:val="33146925"/>
    <w:rsid w:val="333D600A"/>
    <w:rsid w:val="334F3224"/>
    <w:rsid w:val="335A2EB3"/>
    <w:rsid w:val="335C1C05"/>
    <w:rsid w:val="335F0235"/>
    <w:rsid w:val="33655BA2"/>
    <w:rsid w:val="339C51CF"/>
    <w:rsid w:val="339F1141"/>
    <w:rsid w:val="33B65523"/>
    <w:rsid w:val="33BF66C3"/>
    <w:rsid w:val="33D302EE"/>
    <w:rsid w:val="33E651FD"/>
    <w:rsid w:val="33F33F6C"/>
    <w:rsid w:val="341E122B"/>
    <w:rsid w:val="342C3B10"/>
    <w:rsid w:val="343069C2"/>
    <w:rsid w:val="343601E1"/>
    <w:rsid w:val="347553BB"/>
    <w:rsid w:val="34846C97"/>
    <w:rsid w:val="34875478"/>
    <w:rsid w:val="34BA2C9E"/>
    <w:rsid w:val="34C21967"/>
    <w:rsid w:val="34D7194F"/>
    <w:rsid w:val="34FE4890"/>
    <w:rsid w:val="350B6F65"/>
    <w:rsid w:val="351B32E8"/>
    <w:rsid w:val="35634B73"/>
    <w:rsid w:val="35685C73"/>
    <w:rsid w:val="35A84C76"/>
    <w:rsid w:val="35DF52E3"/>
    <w:rsid w:val="35ED4080"/>
    <w:rsid w:val="35FD39EB"/>
    <w:rsid w:val="360679B8"/>
    <w:rsid w:val="36174C78"/>
    <w:rsid w:val="362657FD"/>
    <w:rsid w:val="362D42A4"/>
    <w:rsid w:val="36380DE4"/>
    <w:rsid w:val="36526874"/>
    <w:rsid w:val="3662662A"/>
    <w:rsid w:val="36642124"/>
    <w:rsid w:val="366A63F2"/>
    <w:rsid w:val="36790268"/>
    <w:rsid w:val="368B0EDA"/>
    <w:rsid w:val="368E3B80"/>
    <w:rsid w:val="36D6267C"/>
    <w:rsid w:val="36DC33F8"/>
    <w:rsid w:val="370040B3"/>
    <w:rsid w:val="371A4D67"/>
    <w:rsid w:val="37275153"/>
    <w:rsid w:val="372D7C61"/>
    <w:rsid w:val="373410F1"/>
    <w:rsid w:val="374C1ED7"/>
    <w:rsid w:val="37746359"/>
    <w:rsid w:val="37823CD5"/>
    <w:rsid w:val="37AC4521"/>
    <w:rsid w:val="37BF719F"/>
    <w:rsid w:val="37DC0EE0"/>
    <w:rsid w:val="38013C00"/>
    <w:rsid w:val="38157F0F"/>
    <w:rsid w:val="38604672"/>
    <w:rsid w:val="386433D3"/>
    <w:rsid w:val="38671FE2"/>
    <w:rsid w:val="388621A9"/>
    <w:rsid w:val="38B70DB9"/>
    <w:rsid w:val="38B73812"/>
    <w:rsid w:val="38BF4799"/>
    <w:rsid w:val="38DA3502"/>
    <w:rsid w:val="38E93799"/>
    <w:rsid w:val="390E2B03"/>
    <w:rsid w:val="39102285"/>
    <w:rsid w:val="391A3310"/>
    <w:rsid w:val="39243950"/>
    <w:rsid w:val="3955113C"/>
    <w:rsid w:val="395D2975"/>
    <w:rsid w:val="395E6161"/>
    <w:rsid w:val="398017B7"/>
    <w:rsid w:val="39836E6C"/>
    <w:rsid w:val="398F7C67"/>
    <w:rsid w:val="39A16B7F"/>
    <w:rsid w:val="39D27A18"/>
    <w:rsid w:val="39DE41B4"/>
    <w:rsid w:val="39EF10CF"/>
    <w:rsid w:val="39F92181"/>
    <w:rsid w:val="3A0162F7"/>
    <w:rsid w:val="3A1074FE"/>
    <w:rsid w:val="3A3A5487"/>
    <w:rsid w:val="3A3E409C"/>
    <w:rsid w:val="3A7D7DDE"/>
    <w:rsid w:val="3A9152F6"/>
    <w:rsid w:val="3A9D748A"/>
    <w:rsid w:val="3AB1688F"/>
    <w:rsid w:val="3B0B2F80"/>
    <w:rsid w:val="3B134E14"/>
    <w:rsid w:val="3B3A3350"/>
    <w:rsid w:val="3B452D48"/>
    <w:rsid w:val="3B4E70B8"/>
    <w:rsid w:val="3B791A5A"/>
    <w:rsid w:val="3BA21B35"/>
    <w:rsid w:val="3BA92D83"/>
    <w:rsid w:val="3BAE6891"/>
    <w:rsid w:val="3BC20AFB"/>
    <w:rsid w:val="3BEA6FB9"/>
    <w:rsid w:val="3BF11F82"/>
    <w:rsid w:val="3C11165A"/>
    <w:rsid w:val="3C237C50"/>
    <w:rsid w:val="3C2E4FD2"/>
    <w:rsid w:val="3C614D88"/>
    <w:rsid w:val="3C6E6B0D"/>
    <w:rsid w:val="3C96446A"/>
    <w:rsid w:val="3CA327EF"/>
    <w:rsid w:val="3CD75784"/>
    <w:rsid w:val="3CE87DDE"/>
    <w:rsid w:val="3CEF56D9"/>
    <w:rsid w:val="3D052D63"/>
    <w:rsid w:val="3D3803F2"/>
    <w:rsid w:val="3D38727D"/>
    <w:rsid w:val="3D490972"/>
    <w:rsid w:val="3D555059"/>
    <w:rsid w:val="3D5E0772"/>
    <w:rsid w:val="3D650A31"/>
    <w:rsid w:val="3D721322"/>
    <w:rsid w:val="3D7E689D"/>
    <w:rsid w:val="3D843FD9"/>
    <w:rsid w:val="3DA54542"/>
    <w:rsid w:val="3DD81B20"/>
    <w:rsid w:val="3E092D1D"/>
    <w:rsid w:val="3E4464B5"/>
    <w:rsid w:val="3E584FA2"/>
    <w:rsid w:val="3E7E42BF"/>
    <w:rsid w:val="3E9951F8"/>
    <w:rsid w:val="3EA221E2"/>
    <w:rsid w:val="3EB90199"/>
    <w:rsid w:val="3EE66E98"/>
    <w:rsid w:val="3EEF51FC"/>
    <w:rsid w:val="3F04597F"/>
    <w:rsid w:val="3F1B1204"/>
    <w:rsid w:val="3F283755"/>
    <w:rsid w:val="3F2A5BCA"/>
    <w:rsid w:val="3F48462F"/>
    <w:rsid w:val="3F810EBB"/>
    <w:rsid w:val="3F855321"/>
    <w:rsid w:val="3FAF6E07"/>
    <w:rsid w:val="3FDF6CE7"/>
    <w:rsid w:val="3FF61EE2"/>
    <w:rsid w:val="403C292B"/>
    <w:rsid w:val="404A11CA"/>
    <w:rsid w:val="405D56E8"/>
    <w:rsid w:val="406F3D88"/>
    <w:rsid w:val="40774B00"/>
    <w:rsid w:val="40911D97"/>
    <w:rsid w:val="40D77B15"/>
    <w:rsid w:val="40E87E78"/>
    <w:rsid w:val="40ED41B5"/>
    <w:rsid w:val="410B1F8E"/>
    <w:rsid w:val="410C4F2A"/>
    <w:rsid w:val="413411AD"/>
    <w:rsid w:val="414753FF"/>
    <w:rsid w:val="41490312"/>
    <w:rsid w:val="41597CC1"/>
    <w:rsid w:val="41820A20"/>
    <w:rsid w:val="41AB24EC"/>
    <w:rsid w:val="41B03ED5"/>
    <w:rsid w:val="41C2593A"/>
    <w:rsid w:val="41F51F86"/>
    <w:rsid w:val="42120961"/>
    <w:rsid w:val="4233534D"/>
    <w:rsid w:val="42564B20"/>
    <w:rsid w:val="42786758"/>
    <w:rsid w:val="42891016"/>
    <w:rsid w:val="42B67002"/>
    <w:rsid w:val="42EB4549"/>
    <w:rsid w:val="42EC04A3"/>
    <w:rsid w:val="42F81DB0"/>
    <w:rsid w:val="43120EE0"/>
    <w:rsid w:val="432C158C"/>
    <w:rsid w:val="432E574A"/>
    <w:rsid w:val="433F6648"/>
    <w:rsid w:val="437028A5"/>
    <w:rsid w:val="4379369A"/>
    <w:rsid w:val="43AA4B76"/>
    <w:rsid w:val="43C94FEC"/>
    <w:rsid w:val="43F7492E"/>
    <w:rsid w:val="44000A4F"/>
    <w:rsid w:val="44043E2E"/>
    <w:rsid w:val="4466664D"/>
    <w:rsid w:val="4473302F"/>
    <w:rsid w:val="447A51DB"/>
    <w:rsid w:val="449444C9"/>
    <w:rsid w:val="44963CBE"/>
    <w:rsid w:val="44C52C9E"/>
    <w:rsid w:val="44D14984"/>
    <w:rsid w:val="44DC1C5E"/>
    <w:rsid w:val="44E33A45"/>
    <w:rsid w:val="44EC5E6E"/>
    <w:rsid w:val="44FD3C66"/>
    <w:rsid w:val="4520182B"/>
    <w:rsid w:val="454B3DA1"/>
    <w:rsid w:val="45513471"/>
    <w:rsid w:val="455535E4"/>
    <w:rsid w:val="456A2E1D"/>
    <w:rsid w:val="45792566"/>
    <w:rsid w:val="45794429"/>
    <w:rsid w:val="458F4E94"/>
    <w:rsid w:val="45910961"/>
    <w:rsid w:val="45A6073F"/>
    <w:rsid w:val="45BF4622"/>
    <w:rsid w:val="45D564C4"/>
    <w:rsid w:val="45E21012"/>
    <w:rsid w:val="464F2CE8"/>
    <w:rsid w:val="466C71EB"/>
    <w:rsid w:val="467F3837"/>
    <w:rsid w:val="46B93CB4"/>
    <w:rsid w:val="46F054BF"/>
    <w:rsid w:val="46FB5923"/>
    <w:rsid w:val="471A4B2F"/>
    <w:rsid w:val="47275897"/>
    <w:rsid w:val="472D6E53"/>
    <w:rsid w:val="475C3ADB"/>
    <w:rsid w:val="47816CF6"/>
    <w:rsid w:val="47A053D3"/>
    <w:rsid w:val="47B14B48"/>
    <w:rsid w:val="47B3463A"/>
    <w:rsid w:val="47C54ED4"/>
    <w:rsid w:val="47F56020"/>
    <w:rsid w:val="48077637"/>
    <w:rsid w:val="481F6DC6"/>
    <w:rsid w:val="48640106"/>
    <w:rsid w:val="48843C4A"/>
    <w:rsid w:val="48A44BBF"/>
    <w:rsid w:val="48BD16AF"/>
    <w:rsid w:val="48D22491"/>
    <w:rsid w:val="48D62E7E"/>
    <w:rsid w:val="491E56D0"/>
    <w:rsid w:val="492B27E6"/>
    <w:rsid w:val="496B4C67"/>
    <w:rsid w:val="49AB59AC"/>
    <w:rsid w:val="49EC6333"/>
    <w:rsid w:val="49F56D5E"/>
    <w:rsid w:val="49F60A52"/>
    <w:rsid w:val="4A084BAC"/>
    <w:rsid w:val="4A1939F0"/>
    <w:rsid w:val="4A2A5616"/>
    <w:rsid w:val="4A3B13DE"/>
    <w:rsid w:val="4A3D1D4E"/>
    <w:rsid w:val="4A3F7E37"/>
    <w:rsid w:val="4A400299"/>
    <w:rsid w:val="4A4D41E6"/>
    <w:rsid w:val="4A6618F7"/>
    <w:rsid w:val="4A733C32"/>
    <w:rsid w:val="4A736915"/>
    <w:rsid w:val="4A7F372F"/>
    <w:rsid w:val="4A8A6C4F"/>
    <w:rsid w:val="4AA916E6"/>
    <w:rsid w:val="4AC46B47"/>
    <w:rsid w:val="4AF70097"/>
    <w:rsid w:val="4B335C59"/>
    <w:rsid w:val="4B367FBC"/>
    <w:rsid w:val="4B4D739D"/>
    <w:rsid w:val="4B9E10B2"/>
    <w:rsid w:val="4BA76B2F"/>
    <w:rsid w:val="4BB34FB9"/>
    <w:rsid w:val="4BBF39AB"/>
    <w:rsid w:val="4BF83323"/>
    <w:rsid w:val="4C331C02"/>
    <w:rsid w:val="4C465159"/>
    <w:rsid w:val="4C4E5D89"/>
    <w:rsid w:val="4C6A17F2"/>
    <w:rsid w:val="4C775B88"/>
    <w:rsid w:val="4C9F36E9"/>
    <w:rsid w:val="4CC94D2C"/>
    <w:rsid w:val="4CFF05B5"/>
    <w:rsid w:val="4D2361C8"/>
    <w:rsid w:val="4D2404A9"/>
    <w:rsid w:val="4D4909B0"/>
    <w:rsid w:val="4D5A3320"/>
    <w:rsid w:val="4D9C2486"/>
    <w:rsid w:val="4DF2028E"/>
    <w:rsid w:val="4DF43BC5"/>
    <w:rsid w:val="4E025BE1"/>
    <w:rsid w:val="4E3269C2"/>
    <w:rsid w:val="4E386F08"/>
    <w:rsid w:val="4E407BBB"/>
    <w:rsid w:val="4E814DB8"/>
    <w:rsid w:val="4E97027A"/>
    <w:rsid w:val="4EA239CD"/>
    <w:rsid w:val="4EBE7F2F"/>
    <w:rsid w:val="4EDA17BC"/>
    <w:rsid w:val="4EDE332F"/>
    <w:rsid w:val="4F0E755C"/>
    <w:rsid w:val="4F2B119C"/>
    <w:rsid w:val="4F3A160B"/>
    <w:rsid w:val="4F5D14BA"/>
    <w:rsid w:val="4F743065"/>
    <w:rsid w:val="4F750263"/>
    <w:rsid w:val="4F8F35C8"/>
    <w:rsid w:val="4FA46B62"/>
    <w:rsid w:val="4FB9059A"/>
    <w:rsid w:val="4FC71BCD"/>
    <w:rsid w:val="4FEE492D"/>
    <w:rsid w:val="4FF30BB7"/>
    <w:rsid w:val="501778F7"/>
    <w:rsid w:val="50365585"/>
    <w:rsid w:val="505161CB"/>
    <w:rsid w:val="505444EC"/>
    <w:rsid w:val="50763168"/>
    <w:rsid w:val="507E1724"/>
    <w:rsid w:val="50A30487"/>
    <w:rsid w:val="50F13220"/>
    <w:rsid w:val="50F34655"/>
    <w:rsid w:val="50FC6972"/>
    <w:rsid w:val="510319F7"/>
    <w:rsid w:val="51273C67"/>
    <w:rsid w:val="512F5C35"/>
    <w:rsid w:val="514857C4"/>
    <w:rsid w:val="515362BC"/>
    <w:rsid w:val="516B1FAB"/>
    <w:rsid w:val="51732756"/>
    <w:rsid w:val="51763165"/>
    <w:rsid w:val="517A542A"/>
    <w:rsid w:val="51BC1BF1"/>
    <w:rsid w:val="51E06169"/>
    <w:rsid w:val="521D63D2"/>
    <w:rsid w:val="52343F27"/>
    <w:rsid w:val="5235361D"/>
    <w:rsid w:val="523F4EE3"/>
    <w:rsid w:val="52441260"/>
    <w:rsid w:val="5245461E"/>
    <w:rsid w:val="52552610"/>
    <w:rsid w:val="525F3C3C"/>
    <w:rsid w:val="527B07EE"/>
    <w:rsid w:val="52834D6E"/>
    <w:rsid w:val="529102CD"/>
    <w:rsid w:val="52941517"/>
    <w:rsid w:val="52B92EE7"/>
    <w:rsid w:val="52EA5500"/>
    <w:rsid w:val="52F04C27"/>
    <w:rsid w:val="53353571"/>
    <w:rsid w:val="536330C3"/>
    <w:rsid w:val="53746E0E"/>
    <w:rsid w:val="537A6945"/>
    <w:rsid w:val="537E5151"/>
    <w:rsid w:val="53C66EA9"/>
    <w:rsid w:val="53F01D6C"/>
    <w:rsid w:val="54905BEB"/>
    <w:rsid w:val="5494095F"/>
    <w:rsid w:val="54A01DC6"/>
    <w:rsid w:val="54BB1DAF"/>
    <w:rsid w:val="54D67B68"/>
    <w:rsid w:val="54D8755D"/>
    <w:rsid w:val="54FC5C97"/>
    <w:rsid w:val="550B044A"/>
    <w:rsid w:val="551E434B"/>
    <w:rsid w:val="554C1A29"/>
    <w:rsid w:val="557B023C"/>
    <w:rsid w:val="557B4B6A"/>
    <w:rsid w:val="557D789B"/>
    <w:rsid w:val="558E575A"/>
    <w:rsid w:val="558F25E8"/>
    <w:rsid w:val="559363EF"/>
    <w:rsid w:val="55AA58EC"/>
    <w:rsid w:val="55BF2F42"/>
    <w:rsid w:val="55D63885"/>
    <w:rsid w:val="55FE4467"/>
    <w:rsid w:val="560B47A6"/>
    <w:rsid w:val="5621545D"/>
    <w:rsid w:val="562D17B1"/>
    <w:rsid w:val="563040DA"/>
    <w:rsid w:val="563041D1"/>
    <w:rsid w:val="56361D6A"/>
    <w:rsid w:val="563A5B23"/>
    <w:rsid w:val="56454562"/>
    <w:rsid w:val="565B3092"/>
    <w:rsid w:val="56910414"/>
    <w:rsid w:val="56DE2AED"/>
    <w:rsid w:val="56F4629D"/>
    <w:rsid w:val="570268F4"/>
    <w:rsid w:val="57202635"/>
    <w:rsid w:val="572976C7"/>
    <w:rsid w:val="5748104C"/>
    <w:rsid w:val="57506DC2"/>
    <w:rsid w:val="57522EC6"/>
    <w:rsid w:val="57675FEE"/>
    <w:rsid w:val="57684EDC"/>
    <w:rsid w:val="57763727"/>
    <w:rsid w:val="57946605"/>
    <w:rsid w:val="57B039F8"/>
    <w:rsid w:val="57C30E97"/>
    <w:rsid w:val="57C7591B"/>
    <w:rsid w:val="57D50A77"/>
    <w:rsid w:val="57DD7F26"/>
    <w:rsid w:val="580352F5"/>
    <w:rsid w:val="58103832"/>
    <w:rsid w:val="58151FC0"/>
    <w:rsid w:val="58193B47"/>
    <w:rsid w:val="581E17AB"/>
    <w:rsid w:val="582A4461"/>
    <w:rsid w:val="58301ECE"/>
    <w:rsid w:val="58315BF8"/>
    <w:rsid w:val="584E3300"/>
    <w:rsid w:val="585F4AFB"/>
    <w:rsid w:val="58E36899"/>
    <w:rsid w:val="59033633"/>
    <w:rsid w:val="5912065B"/>
    <w:rsid w:val="591D0BDB"/>
    <w:rsid w:val="592B7916"/>
    <w:rsid w:val="59311DC7"/>
    <w:rsid w:val="59371D29"/>
    <w:rsid w:val="5954010A"/>
    <w:rsid w:val="59773309"/>
    <w:rsid w:val="598509D5"/>
    <w:rsid w:val="59862F59"/>
    <w:rsid w:val="599B10DE"/>
    <w:rsid w:val="59AC4433"/>
    <w:rsid w:val="59AE65E6"/>
    <w:rsid w:val="59B03A0B"/>
    <w:rsid w:val="59B1127C"/>
    <w:rsid w:val="59D3726C"/>
    <w:rsid w:val="59D7629F"/>
    <w:rsid w:val="59DB17F3"/>
    <w:rsid w:val="59F05268"/>
    <w:rsid w:val="5A216968"/>
    <w:rsid w:val="5A4B40E8"/>
    <w:rsid w:val="5A792885"/>
    <w:rsid w:val="5A933B1B"/>
    <w:rsid w:val="5AB003EE"/>
    <w:rsid w:val="5AB82FFB"/>
    <w:rsid w:val="5AC775FB"/>
    <w:rsid w:val="5AF010C6"/>
    <w:rsid w:val="5AF13A85"/>
    <w:rsid w:val="5AF57C63"/>
    <w:rsid w:val="5B027052"/>
    <w:rsid w:val="5B2757C0"/>
    <w:rsid w:val="5B392D8D"/>
    <w:rsid w:val="5B3D4308"/>
    <w:rsid w:val="5B5A5C96"/>
    <w:rsid w:val="5B856984"/>
    <w:rsid w:val="5BBD040D"/>
    <w:rsid w:val="5BC709A1"/>
    <w:rsid w:val="5BD136DC"/>
    <w:rsid w:val="5BE949B4"/>
    <w:rsid w:val="5C4E1B93"/>
    <w:rsid w:val="5C6B6CB0"/>
    <w:rsid w:val="5C7A6FC8"/>
    <w:rsid w:val="5C8578BA"/>
    <w:rsid w:val="5CA2121D"/>
    <w:rsid w:val="5CB10A3F"/>
    <w:rsid w:val="5CB5471F"/>
    <w:rsid w:val="5CD01834"/>
    <w:rsid w:val="5D0E78A5"/>
    <w:rsid w:val="5D223954"/>
    <w:rsid w:val="5D3124B3"/>
    <w:rsid w:val="5D3C0DF5"/>
    <w:rsid w:val="5D650D97"/>
    <w:rsid w:val="5D742D84"/>
    <w:rsid w:val="5DC96AC0"/>
    <w:rsid w:val="5E036880"/>
    <w:rsid w:val="5E11208A"/>
    <w:rsid w:val="5E440D82"/>
    <w:rsid w:val="5E4F7901"/>
    <w:rsid w:val="5E6128F2"/>
    <w:rsid w:val="5EAE4AF7"/>
    <w:rsid w:val="5EB464EF"/>
    <w:rsid w:val="5EE77164"/>
    <w:rsid w:val="5EF00751"/>
    <w:rsid w:val="5F023BC7"/>
    <w:rsid w:val="5F595353"/>
    <w:rsid w:val="5F6F54CB"/>
    <w:rsid w:val="5F8A5434"/>
    <w:rsid w:val="5F972989"/>
    <w:rsid w:val="5FDD4E29"/>
    <w:rsid w:val="5FDF19CF"/>
    <w:rsid w:val="5FE3417D"/>
    <w:rsid w:val="60286F46"/>
    <w:rsid w:val="602E6CA6"/>
    <w:rsid w:val="603A1F69"/>
    <w:rsid w:val="604C5CC0"/>
    <w:rsid w:val="60852AB5"/>
    <w:rsid w:val="60A725D1"/>
    <w:rsid w:val="60DE361C"/>
    <w:rsid w:val="612E7B55"/>
    <w:rsid w:val="61653E95"/>
    <w:rsid w:val="616E5D6A"/>
    <w:rsid w:val="617E5CD0"/>
    <w:rsid w:val="618B2BBF"/>
    <w:rsid w:val="619B11F0"/>
    <w:rsid w:val="619D10D3"/>
    <w:rsid w:val="619E0434"/>
    <w:rsid w:val="61B12CFF"/>
    <w:rsid w:val="61DE601D"/>
    <w:rsid w:val="61E272C2"/>
    <w:rsid w:val="61E50FEF"/>
    <w:rsid w:val="62120ECC"/>
    <w:rsid w:val="62156259"/>
    <w:rsid w:val="623947D9"/>
    <w:rsid w:val="624A3E21"/>
    <w:rsid w:val="6272294D"/>
    <w:rsid w:val="627610D1"/>
    <w:rsid w:val="627F6AE0"/>
    <w:rsid w:val="62AB5771"/>
    <w:rsid w:val="62C16379"/>
    <w:rsid w:val="62C52E48"/>
    <w:rsid w:val="62C657BB"/>
    <w:rsid w:val="62D17454"/>
    <w:rsid w:val="62D30C67"/>
    <w:rsid w:val="62DF68B1"/>
    <w:rsid w:val="630D5BE1"/>
    <w:rsid w:val="631320BB"/>
    <w:rsid w:val="631E01EC"/>
    <w:rsid w:val="6334608B"/>
    <w:rsid w:val="6341139C"/>
    <w:rsid w:val="63413B99"/>
    <w:rsid w:val="635B5287"/>
    <w:rsid w:val="636D19AE"/>
    <w:rsid w:val="636D597B"/>
    <w:rsid w:val="63846BFA"/>
    <w:rsid w:val="63885853"/>
    <w:rsid w:val="63AC725B"/>
    <w:rsid w:val="63C20E00"/>
    <w:rsid w:val="63C57D4D"/>
    <w:rsid w:val="63F14095"/>
    <w:rsid w:val="63F86169"/>
    <w:rsid w:val="641A4139"/>
    <w:rsid w:val="64547A05"/>
    <w:rsid w:val="64691712"/>
    <w:rsid w:val="647E347C"/>
    <w:rsid w:val="648E3DEA"/>
    <w:rsid w:val="64B17250"/>
    <w:rsid w:val="64CF2AF1"/>
    <w:rsid w:val="64D4595F"/>
    <w:rsid w:val="64D841A3"/>
    <w:rsid w:val="64DC68DC"/>
    <w:rsid w:val="64E70858"/>
    <w:rsid w:val="650520CD"/>
    <w:rsid w:val="650C7E23"/>
    <w:rsid w:val="65180E75"/>
    <w:rsid w:val="65525B43"/>
    <w:rsid w:val="657E761C"/>
    <w:rsid w:val="657F1EFE"/>
    <w:rsid w:val="659D498D"/>
    <w:rsid w:val="65A70771"/>
    <w:rsid w:val="65AA6DBC"/>
    <w:rsid w:val="65B41B63"/>
    <w:rsid w:val="65BD2897"/>
    <w:rsid w:val="65C07AC0"/>
    <w:rsid w:val="65C32BC4"/>
    <w:rsid w:val="65C7198A"/>
    <w:rsid w:val="65E73974"/>
    <w:rsid w:val="660C5EEE"/>
    <w:rsid w:val="667C776C"/>
    <w:rsid w:val="66C657AE"/>
    <w:rsid w:val="66E56C0D"/>
    <w:rsid w:val="66FB0F72"/>
    <w:rsid w:val="671442E0"/>
    <w:rsid w:val="671E7C1A"/>
    <w:rsid w:val="672F2C9D"/>
    <w:rsid w:val="6734632A"/>
    <w:rsid w:val="67533B33"/>
    <w:rsid w:val="67545AB1"/>
    <w:rsid w:val="67883420"/>
    <w:rsid w:val="67931B01"/>
    <w:rsid w:val="67934ABC"/>
    <w:rsid w:val="67A82531"/>
    <w:rsid w:val="67BF6452"/>
    <w:rsid w:val="680F7AC7"/>
    <w:rsid w:val="68734799"/>
    <w:rsid w:val="68BD5CA5"/>
    <w:rsid w:val="68C10DDD"/>
    <w:rsid w:val="68D32C3B"/>
    <w:rsid w:val="68E016C6"/>
    <w:rsid w:val="690C0F9B"/>
    <w:rsid w:val="690F663C"/>
    <w:rsid w:val="691913E8"/>
    <w:rsid w:val="69254412"/>
    <w:rsid w:val="692D3861"/>
    <w:rsid w:val="69575AB3"/>
    <w:rsid w:val="695B664F"/>
    <w:rsid w:val="69A5752C"/>
    <w:rsid w:val="69B83D77"/>
    <w:rsid w:val="69C11688"/>
    <w:rsid w:val="69D8521A"/>
    <w:rsid w:val="69E702D3"/>
    <w:rsid w:val="69EB7B43"/>
    <w:rsid w:val="6A0B335F"/>
    <w:rsid w:val="6A17740F"/>
    <w:rsid w:val="6A2F365B"/>
    <w:rsid w:val="6A330F3F"/>
    <w:rsid w:val="6A352BC4"/>
    <w:rsid w:val="6A3C4F1A"/>
    <w:rsid w:val="6A53632C"/>
    <w:rsid w:val="6A6D39FC"/>
    <w:rsid w:val="6A855036"/>
    <w:rsid w:val="6A9A4CCC"/>
    <w:rsid w:val="6AAD1C5C"/>
    <w:rsid w:val="6AB71895"/>
    <w:rsid w:val="6AB962DF"/>
    <w:rsid w:val="6ACF46C7"/>
    <w:rsid w:val="6AF477F5"/>
    <w:rsid w:val="6B007ED5"/>
    <w:rsid w:val="6B2C2FFD"/>
    <w:rsid w:val="6B3105EC"/>
    <w:rsid w:val="6B3253BE"/>
    <w:rsid w:val="6B393120"/>
    <w:rsid w:val="6B476E8A"/>
    <w:rsid w:val="6B5C443B"/>
    <w:rsid w:val="6B5F6E4F"/>
    <w:rsid w:val="6B814692"/>
    <w:rsid w:val="6B831566"/>
    <w:rsid w:val="6BA71C5F"/>
    <w:rsid w:val="6BBD4020"/>
    <w:rsid w:val="6BC37A0F"/>
    <w:rsid w:val="6BC745E0"/>
    <w:rsid w:val="6BD81E95"/>
    <w:rsid w:val="6BDF2258"/>
    <w:rsid w:val="6BEF79EE"/>
    <w:rsid w:val="6C1E73FE"/>
    <w:rsid w:val="6C2300E5"/>
    <w:rsid w:val="6C616BB1"/>
    <w:rsid w:val="6C646418"/>
    <w:rsid w:val="6CAF492E"/>
    <w:rsid w:val="6CC12EDD"/>
    <w:rsid w:val="6CD37719"/>
    <w:rsid w:val="6CDA367C"/>
    <w:rsid w:val="6CE35160"/>
    <w:rsid w:val="6D03070B"/>
    <w:rsid w:val="6D162FB8"/>
    <w:rsid w:val="6D1D5AE1"/>
    <w:rsid w:val="6D3B5B01"/>
    <w:rsid w:val="6D42384C"/>
    <w:rsid w:val="6D4F40E1"/>
    <w:rsid w:val="6D511882"/>
    <w:rsid w:val="6D9745DB"/>
    <w:rsid w:val="6D9B163C"/>
    <w:rsid w:val="6D9D602B"/>
    <w:rsid w:val="6DB37C6E"/>
    <w:rsid w:val="6DB72732"/>
    <w:rsid w:val="6DBB409C"/>
    <w:rsid w:val="6DC470A7"/>
    <w:rsid w:val="6DD21B2D"/>
    <w:rsid w:val="6DE14B02"/>
    <w:rsid w:val="6DF56B1E"/>
    <w:rsid w:val="6E042338"/>
    <w:rsid w:val="6E455AA4"/>
    <w:rsid w:val="6E563242"/>
    <w:rsid w:val="6E97515A"/>
    <w:rsid w:val="6EA54EB5"/>
    <w:rsid w:val="6EBB0121"/>
    <w:rsid w:val="6EC54E23"/>
    <w:rsid w:val="6F38459B"/>
    <w:rsid w:val="6F47486E"/>
    <w:rsid w:val="6F687C25"/>
    <w:rsid w:val="6F7454D9"/>
    <w:rsid w:val="6F8326FE"/>
    <w:rsid w:val="6F8A196D"/>
    <w:rsid w:val="6FB76097"/>
    <w:rsid w:val="6FD7261A"/>
    <w:rsid w:val="6FD9651F"/>
    <w:rsid w:val="6FF94C73"/>
    <w:rsid w:val="70191254"/>
    <w:rsid w:val="703122D1"/>
    <w:rsid w:val="703B4D04"/>
    <w:rsid w:val="70450347"/>
    <w:rsid w:val="70561D94"/>
    <w:rsid w:val="7065123E"/>
    <w:rsid w:val="707B3880"/>
    <w:rsid w:val="7084752C"/>
    <w:rsid w:val="708C7398"/>
    <w:rsid w:val="70A03321"/>
    <w:rsid w:val="70AA0B25"/>
    <w:rsid w:val="70AD0B12"/>
    <w:rsid w:val="70C732CD"/>
    <w:rsid w:val="70C772FB"/>
    <w:rsid w:val="710275B4"/>
    <w:rsid w:val="711274A3"/>
    <w:rsid w:val="712C0CEC"/>
    <w:rsid w:val="712D7D3E"/>
    <w:rsid w:val="71385667"/>
    <w:rsid w:val="71447CFF"/>
    <w:rsid w:val="71467730"/>
    <w:rsid w:val="71483A5B"/>
    <w:rsid w:val="716B0B50"/>
    <w:rsid w:val="719C6631"/>
    <w:rsid w:val="71A14E1B"/>
    <w:rsid w:val="71DD6C46"/>
    <w:rsid w:val="72014E8D"/>
    <w:rsid w:val="72177312"/>
    <w:rsid w:val="721A6BB0"/>
    <w:rsid w:val="72581DD4"/>
    <w:rsid w:val="7280612D"/>
    <w:rsid w:val="72816B61"/>
    <w:rsid w:val="728615BB"/>
    <w:rsid w:val="72A849D0"/>
    <w:rsid w:val="72B227C1"/>
    <w:rsid w:val="72CA7569"/>
    <w:rsid w:val="730B6BCA"/>
    <w:rsid w:val="730F4C44"/>
    <w:rsid w:val="73217F71"/>
    <w:rsid w:val="735533E9"/>
    <w:rsid w:val="73596C50"/>
    <w:rsid w:val="73610D05"/>
    <w:rsid w:val="737A71A2"/>
    <w:rsid w:val="738E1BE2"/>
    <w:rsid w:val="73CA2BF1"/>
    <w:rsid w:val="741B1720"/>
    <w:rsid w:val="742D7D56"/>
    <w:rsid w:val="7434628D"/>
    <w:rsid w:val="745F3497"/>
    <w:rsid w:val="746174DA"/>
    <w:rsid w:val="747B6672"/>
    <w:rsid w:val="74A7185E"/>
    <w:rsid w:val="74CE4F2E"/>
    <w:rsid w:val="74CF6774"/>
    <w:rsid w:val="74F136FE"/>
    <w:rsid w:val="75073BF9"/>
    <w:rsid w:val="753529D7"/>
    <w:rsid w:val="75364553"/>
    <w:rsid w:val="753761EA"/>
    <w:rsid w:val="754B20A7"/>
    <w:rsid w:val="757C6909"/>
    <w:rsid w:val="7582490D"/>
    <w:rsid w:val="75AD0856"/>
    <w:rsid w:val="75B52ADE"/>
    <w:rsid w:val="75DD6624"/>
    <w:rsid w:val="75FA354A"/>
    <w:rsid w:val="760D236C"/>
    <w:rsid w:val="7648667B"/>
    <w:rsid w:val="764A64FB"/>
    <w:rsid w:val="7664271F"/>
    <w:rsid w:val="766E4D13"/>
    <w:rsid w:val="768D66E8"/>
    <w:rsid w:val="76D43B15"/>
    <w:rsid w:val="76E41B57"/>
    <w:rsid w:val="76F0487A"/>
    <w:rsid w:val="770F51F3"/>
    <w:rsid w:val="771539C0"/>
    <w:rsid w:val="77790868"/>
    <w:rsid w:val="77C00261"/>
    <w:rsid w:val="77C85C7F"/>
    <w:rsid w:val="77CE77BD"/>
    <w:rsid w:val="77ED1656"/>
    <w:rsid w:val="77FC25D8"/>
    <w:rsid w:val="780F7309"/>
    <w:rsid w:val="781033A7"/>
    <w:rsid w:val="78166B76"/>
    <w:rsid w:val="78293A00"/>
    <w:rsid w:val="78326FD3"/>
    <w:rsid w:val="78397BEF"/>
    <w:rsid w:val="784A45E0"/>
    <w:rsid w:val="78500CC2"/>
    <w:rsid w:val="78673521"/>
    <w:rsid w:val="787603B5"/>
    <w:rsid w:val="78886B2F"/>
    <w:rsid w:val="789769DB"/>
    <w:rsid w:val="78AA248B"/>
    <w:rsid w:val="78BD4049"/>
    <w:rsid w:val="78F664DB"/>
    <w:rsid w:val="790F535A"/>
    <w:rsid w:val="79227DDB"/>
    <w:rsid w:val="79565CFD"/>
    <w:rsid w:val="797C6E69"/>
    <w:rsid w:val="79836D89"/>
    <w:rsid w:val="798E5438"/>
    <w:rsid w:val="79A5313F"/>
    <w:rsid w:val="79DD12F9"/>
    <w:rsid w:val="79FA0114"/>
    <w:rsid w:val="7A1452FC"/>
    <w:rsid w:val="7A2142E8"/>
    <w:rsid w:val="7A434353"/>
    <w:rsid w:val="7A447DB7"/>
    <w:rsid w:val="7A4F11DF"/>
    <w:rsid w:val="7A555E1E"/>
    <w:rsid w:val="7AB05FC8"/>
    <w:rsid w:val="7AB32281"/>
    <w:rsid w:val="7AE75F94"/>
    <w:rsid w:val="7AFD606E"/>
    <w:rsid w:val="7AFE34CB"/>
    <w:rsid w:val="7AFF743D"/>
    <w:rsid w:val="7B016CCB"/>
    <w:rsid w:val="7B386E00"/>
    <w:rsid w:val="7B3E0106"/>
    <w:rsid w:val="7B614C1B"/>
    <w:rsid w:val="7B9F79D0"/>
    <w:rsid w:val="7BB53781"/>
    <w:rsid w:val="7BE0375F"/>
    <w:rsid w:val="7BE36CB4"/>
    <w:rsid w:val="7C297DA2"/>
    <w:rsid w:val="7C3134D5"/>
    <w:rsid w:val="7C411690"/>
    <w:rsid w:val="7C766E7B"/>
    <w:rsid w:val="7C8B67E2"/>
    <w:rsid w:val="7CA3413D"/>
    <w:rsid w:val="7CCE7610"/>
    <w:rsid w:val="7CFD5D6D"/>
    <w:rsid w:val="7D1E1FDC"/>
    <w:rsid w:val="7D202BC0"/>
    <w:rsid w:val="7D407678"/>
    <w:rsid w:val="7D4E2421"/>
    <w:rsid w:val="7D7D613E"/>
    <w:rsid w:val="7DB65E18"/>
    <w:rsid w:val="7DFD3DC9"/>
    <w:rsid w:val="7E1A7039"/>
    <w:rsid w:val="7E306193"/>
    <w:rsid w:val="7E3D243F"/>
    <w:rsid w:val="7E40170B"/>
    <w:rsid w:val="7E5B0E87"/>
    <w:rsid w:val="7E6426E8"/>
    <w:rsid w:val="7E8276E8"/>
    <w:rsid w:val="7E880CF6"/>
    <w:rsid w:val="7E9C626E"/>
    <w:rsid w:val="7EAF6D3A"/>
    <w:rsid w:val="7EC56BB8"/>
    <w:rsid w:val="7ED951AA"/>
    <w:rsid w:val="7EDE44AC"/>
    <w:rsid w:val="7F4335C7"/>
    <w:rsid w:val="7F6F28A7"/>
    <w:rsid w:val="7F6F6F70"/>
    <w:rsid w:val="7F812067"/>
    <w:rsid w:val="7FA762C3"/>
    <w:rsid w:val="7FBA7711"/>
    <w:rsid w:val="7FBF465E"/>
    <w:rsid w:val="7FBF7D6C"/>
    <w:rsid w:val="7FD719DE"/>
    <w:rsid w:val="7FDD5F76"/>
    <w:rsid w:val="7FDE0A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iPriority="0" w:semiHidden="0" w:name="Body Text Indent 2"/>
    <w:lsdException w:qFormat="1" w:uiPriority="0" w:semiHidden="0" w:name="Body Text Indent 3"/>
    <w:lsdException w:qFormat="1" w:unhideWhenUsed="0" w:uiPriority="99"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rFonts w:ascii="微软雅黑" w:hAnsi="微软雅黑" w:eastAsia="微软雅黑"/>
      <w:b/>
      <w:color w:val="000000"/>
      <w:sz w:val="32"/>
      <w:szCs w:val="32"/>
    </w:rPr>
  </w:style>
  <w:style w:type="paragraph" w:styleId="3">
    <w:name w:val="heading 2"/>
    <w:basedOn w:val="1"/>
    <w:next w:val="1"/>
    <w:link w:val="44"/>
    <w:autoRedefine/>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46"/>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7"/>
    <w:autoRedefine/>
    <w:qFormat/>
    <w:uiPriority w:val="0"/>
    <w:pPr>
      <w:keepNext/>
      <w:keepLines/>
      <w:spacing w:before="280" w:after="290" w:line="376" w:lineRule="auto"/>
      <w:outlineLvl w:val="3"/>
    </w:pPr>
    <w:rPr>
      <w:rFonts w:ascii="宋体" w:hAnsi="宋体"/>
      <w:b/>
      <w:bCs/>
      <w:sz w:val="28"/>
      <w:szCs w:val="28"/>
    </w:rPr>
  </w:style>
  <w:style w:type="paragraph" w:styleId="6">
    <w:name w:val="heading 5"/>
    <w:basedOn w:val="1"/>
    <w:next w:val="1"/>
    <w:link w:val="48"/>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49"/>
    <w:autoRedefine/>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link w:val="50"/>
    <w:autoRedefine/>
    <w:qFormat/>
    <w:uiPriority w:val="0"/>
    <w:pPr>
      <w:keepNext/>
      <w:keepLines/>
      <w:spacing w:before="240" w:after="64" w:line="320" w:lineRule="auto"/>
      <w:ind w:left="1296" w:hanging="1296"/>
      <w:outlineLvl w:val="6"/>
    </w:pPr>
    <w:rPr>
      <w:b/>
      <w:bCs/>
      <w:sz w:val="24"/>
    </w:rPr>
  </w:style>
  <w:style w:type="paragraph" w:styleId="9">
    <w:name w:val="heading 8"/>
    <w:basedOn w:val="1"/>
    <w:next w:val="1"/>
    <w:link w:val="51"/>
    <w:qFormat/>
    <w:uiPriority w:val="0"/>
    <w:pPr>
      <w:keepNext/>
      <w:keepLines/>
      <w:spacing w:before="240" w:after="64" w:line="320" w:lineRule="auto"/>
      <w:outlineLvl w:val="7"/>
    </w:pPr>
    <w:rPr>
      <w:rFonts w:ascii="等线 Light" w:hAnsi="等线 Light" w:eastAsia="等线 Light"/>
      <w:sz w:val="24"/>
    </w:rPr>
  </w:style>
  <w:style w:type="paragraph" w:styleId="10">
    <w:name w:val="heading 9"/>
    <w:basedOn w:val="1"/>
    <w:next w:val="1"/>
    <w:link w:val="52"/>
    <w:autoRedefine/>
    <w:qFormat/>
    <w:uiPriority w:val="0"/>
    <w:pPr>
      <w:keepNext/>
      <w:keepLines/>
      <w:spacing w:before="240" w:after="64" w:line="320" w:lineRule="auto"/>
      <w:outlineLvl w:val="8"/>
    </w:pPr>
    <w:rPr>
      <w:rFonts w:ascii="等线 Light" w:hAnsi="等线 Light" w:eastAsia="等线 Light"/>
      <w:szCs w:val="21"/>
    </w:rPr>
  </w:style>
  <w:style w:type="character" w:default="1" w:styleId="35">
    <w:name w:val="Default Paragraph Font"/>
    <w:semiHidden/>
    <w:unhideWhenUsed/>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11">
    <w:name w:val="table of authorities"/>
    <w:basedOn w:val="1"/>
    <w:next w:val="1"/>
    <w:autoRedefine/>
    <w:qFormat/>
    <w:uiPriority w:val="0"/>
    <w:pPr>
      <w:ind w:left="420" w:leftChars="200"/>
    </w:pPr>
  </w:style>
  <w:style w:type="paragraph" w:styleId="12">
    <w:name w:val="index 8"/>
    <w:basedOn w:val="1"/>
    <w:next w:val="1"/>
    <w:qFormat/>
    <w:uiPriority w:val="0"/>
    <w:pPr>
      <w:ind w:left="2940"/>
    </w:pPr>
  </w:style>
  <w:style w:type="paragraph" w:styleId="13">
    <w:name w:val="Normal Indent"/>
    <w:basedOn w:val="1"/>
    <w:link w:val="53"/>
    <w:qFormat/>
    <w:uiPriority w:val="0"/>
    <w:pPr>
      <w:ind w:firstLine="420"/>
    </w:pPr>
    <w:rPr>
      <w:szCs w:val="20"/>
    </w:rPr>
  </w:style>
  <w:style w:type="paragraph" w:styleId="14">
    <w:name w:val="Document Map"/>
    <w:basedOn w:val="1"/>
    <w:link w:val="54"/>
    <w:autoRedefine/>
    <w:unhideWhenUsed/>
    <w:qFormat/>
    <w:uiPriority w:val="0"/>
    <w:rPr>
      <w:rFonts w:ascii="宋体"/>
      <w:sz w:val="18"/>
      <w:szCs w:val="18"/>
    </w:rPr>
  </w:style>
  <w:style w:type="paragraph" w:styleId="15">
    <w:name w:val="annotation text"/>
    <w:basedOn w:val="1"/>
    <w:link w:val="55"/>
    <w:autoRedefine/>
    <w:qFormat/>
    <w:uiPriority w:val="0"/>
    <w:pPr>
      <w:jc w:val="left"/>
    </w:pPr>
  </w:style>
  <w:style w:type="paragraph" w:styleId="16">
    <w:name w:val="Body Text 3"/>
    <w:basedOn w:val="1"/>
    <w:link w:val="56"/>
    <w:qFormat/>
    <w:uiPriority w:val="0"/>
    <w:pPr>
      <w:spacing w:line="240" w:lineRule="exact"/>
    </w:pPr>
    <w:rPr>
      <w:rFonts w:ascii="宋体" w:hAnsi="宋体"/>
      <w:color w:val="000000"/>
      <w:szCs w:val="21"/>
    </w:rPr>
  </w:style>
  <w:style w:type="paragraph" w:styleId="17">
    <w:name w:val="Body Text"/>
    <w:basedOn w:val="1"/>
    <w:link w:val="57"/>
    <w:autoRedefine/>
    <w:qFormat/>
    <w:uiPriority w:val="0"/>
    <w:pPr>
      <w:spacing w:before="115" w:line="228" w:lineRule="auto"/>
      <w:jc w:val="left"/>
    </w:pPr>
    <w:rPr>
      <w:rFonts w:ascii="宋体" w:hAnsi="宋体" w:cs="宋体"/>
      <w:b/>
      <w:color w:val="000000" w:themeColor="text1"/>
      <w:sz w:val="30"/>
      <w:szCs w:val="30"/>
    </w:rPr>
  </w:style>
  <w:style w:type="paragraph" w:styleId="18">
    <w:name w:val="Body Text Indent"/>
    <w:basedOn w:val="1"/>
    <w:link w:val="58"/>
    <w:autoRedefine/>
    <w:unhideWhenUsed/>
    <w:qFormat/>
    <w:uiPriority w:val="0"/>
    <w:pPr>
      <w:spacing w:after="120"/>
      <w:ind w:left="420" w:leftChars="200"/>
    </w:pPr>
  </w:style>
  <w:style w:type="paragraph" w:styleId="19">
    <w:name w:val="Block Text"/>
    <w:basedOn w:val="1"/>
    <w:autoRedefine/>
    <w:qFormat/>
    <w:uiPriority w:val="99"/>
    <w:pPr>
      <w:adjustRightInd w:val="0"/>
      <w:ind w:left="420" w:right="33"/>
      <w:jc w:val="left"/>
      <w:textAlignment w:val="baseline"/>
    </w:pPr>
    <w:rPr>
      <w:kern w:val="0"/>
      <w:szCs w:val="20"/>
    </w:rPr>
  </w:style>
  <w:style w:type="paragraph" w:styleId="20">
    <w:name w:val="Plain Text"/>
    <w:basedOn w:val="1"/>
    <w:link w:val="59"/>
    <w:autoRedefine/>
    <w:qFormat/>
    <w:uiPriority w:val="99"/>
    <w:pPr>
      <w:wordWrap w:val="0"/>
      <w:spacing w:line="320" w:lineRule="exact"/>
    </w:pPr>
    <w:rPr>
      <w:rFonts w:ascii="宋体" w:hAnsi="宋体" w:cs="宋体"/>
      <w:kern w:val="0"/>
      <w:szCs w:val="21"/>
    </w:rPr>
  </w:style>
  <w:style w:type="paragraph" w:styleId="21">
    <w:name w:val="Date"/>
    <w:basedOn w:val="1"/>
    <w:next w:val="1"/>
    <w:link w:val="60"/>
    <w:autoRedefine/>
    <w:qFormat/>
    <w:uiPriority w:val="0"/>
    <w:pPr>
      <w:ind w:left="100" w:leftChars="2500"/>
    </w:pPr>
  </w:style>
  <w:style w:type="paragraph" w:styleId="22">
    <w:name w:val="Body Text Indent 2"/>
    <w:basedOn w:val="1"/>
    <w:link w:val="61"/>
    <w:autoRedefine/>
    <w:unhideWhenUsed/>
    <w:qFormat/>
    <w:uiPriority w:val="0"/>
    <w:pPr>
      <w:spacing w:after="120" w:line="480" w:lineRule="auto"/>
      <w:ind w:left="420" w:leftChars="200"/>
    </w:pPr>
    <w:rPr>
      <w:szCs w:val="20"/>
    </w:rPr>
  </w:style>
  <w:style w:type="paragraph" w:styleId="23">
    <w:name w:val="Balloon Text"/>
    <w:basedOn w:val="1"/>
    <w:link w:val="62"/>
    <w:qFormat/>
    <w:uiPriority w:val="0"/>
    <w:rPr>
      <w:sz w:val="18"/>
      <w:szCs w:val="18"/>
    </w:rPr>
  </w:style>
  <w:style w:type="paragraph" w:styleId="24">
    <w:name w:val="footer"/>
    <w:basedOn w:val="1"/>
    <w:next w:val="1"/>
    <w:link w:val="63"/>
    <w:autoRedefine/>
    <w:qFormat/>
    <w:uiPriority w:val="99"/>
    <w:pPr>
      <w:tabs>
        <w:tab w:val="center" w:pos="4153"/>
        <w:tab w:val="right" w:pos="8306"/>
      </w:tabs>
      <w:snapToGrid w:val="0"/>
      <w:jc w:val="left"/>
    </w:pPr>
    <w:rPr>
      <w:sz w:val="18"/>
      <w:szCs w:val="18"/>
    </w:rPr>
  </w:style>
  <w:style w:type="paragraph" w:styleId="25">
    <w:name w:val="header"/>
    <w:basedOn w:val="1"/>
    <w:link w:val="64"/>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Body Text Indent 3"/>
    <w:basedOn w:val="1"/>
    <w:link w:val="65"/>
    <w:unhideWhenUsed/>
    <w:qFormat/>
    <w:uiPriority w:val="0"/>
    <w:pPr>
      <w:spacing w:after="120"/>
      <w:ind w:left="420" w:leftChars="200"/>
    </w:pPr>
    <w:rPr>
      <w:sz w:val="16"/>
      <w:szCs w:val="16"/>
    </w:rPr>
  </w:style>
  <w:style w:type="paragraph" w:styleId="28">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next w:val="1"/>
    <w:link w:val="66"/>
    <w:autoRedefine/>
    <w:qFormat/>
    <w:uiPriority w:val="0"/>
    <w:pPr>
      <w:spacing w:before="240" w:after="60"/>
      <w:jc w:val="center"/>
      <w:outlineLvl w:val="0"/>
    </w:pPr>
    <w:rPr>
      <w:rFonts w:ascii="Cambria" w:hAnsi="Cambria"/>
      <w:b/>
      <w:bCs/>
      <w:sz w:val="32"/>
      <w:szCs w:val="32"/>
    </w:rPr>
  </w:style>
  <w:style w:type="paragraph" w:styleId="30">
    <w:name w:val="annotation subject"/>
    <w:basedOn w:val="15"/>
    <w:next w:val="15"/>
    <w:link w:val="67"/>
    <w:autoRedefine/>
    <w:semiHidden/>
    <w:qFormat/>
    <w:uiPriority w:val="99"/>
    <w:rPr>
      <w:b/>
      <w:bCs/>
    </w:rPr>
  </w:style>
  <w:style w:type="paragraph" w:styleId="31">
    <w:name w:val="Body Text First Indent"/>
    <w:basedOn w:val="17"/>
    <w:link w:val="160"/>
    <w:semiHidden/>
    <w:unhideWhenUsed/>
    <w:qFormat/>
    <w:uiPriority w:val="0"/>
    <w:pPr>
      <w:ind w:firstLine="420" w:firstLineChars="100"/>
    </w:pPr>
  </w:style>
  <w:style w:type="paragraph" w:styleId="32">
    <w:name w:val="Body Text First Indent 2"/>
    <w:basedOn w:val="18"/>
    <w:link w:val="68"/>
    <w:autoRedefine/>
    <w:qFormat/>
    <w:uiPriority w:val="0"/>
    <w:pPr>
      <w:ind w:firstLine="420" w:firstLineChars="200"/>
    </w:pPr>
  </w:style>
  <w:style w:type="table" w:styleId="34">
    <w:name w:val="Table Grid"/>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autoRedefine/>
    <w:qFormat/>
    <w:uiPriority w:val="22"/>
    <w:rPr>
      <w:b/>
      <w:bCs/>
    </w:rPr>
  </w:style>
  <w:style w:type="character" w:styleId="37">
    <w:name w:val="page number"/>
    <w:qFormat/>
    <w:uiPriority w:val="0"/>
  </w:style>
  <w:style w:type="character" w:styleId="38">
    <w:name w:val="FollowedHyperlink"/>
    <w:autoRedefine/>
    <w:unhideWhenUsed/>
    <w:qFormat/>
    <w:uiPriority w:val="99"/>
    <w:rPr>
      <w:color w:val="800080"/>
      <w:u w:val="single"/>
    </w:rPr>
  </w:style>
  <w:style w:type="character" w:styleId="39">
    <w:name w:val="Hyperlink"/>
    <w:autoRedefine/>
    <w:qFormat/>
    <w:uiPriority w:val="99"/>
    <w:rPr>
      <w:color w:val="0000FF"/>
      <w:u w:val="single"/>
    </w:rPr>
  </w:style>
  <w:style w:type="character" w:styleId="40">
    <w:name w:val="annotation reference"/>
    <w:autoRedefine/>
    <w:qFormat/>
    <w:uiPriority w:val="0"/>
    <w:rPr>
      <w:sz w:val="21"/>
      <w:szCs w:val="21"/>
    </w:rPr>
  </w:style>
  <w:style w:type="paragraph" w:customStyle="1" w:styleId="41">
    <w:name w:val="TOC 标题1"/>
    <w:basedOn w:val="2"/>
    <w:next w:val="1"/>
    <w:autoRedefine/>
    <w:unhideWhenUsed/>
    <w:qFormat/>
    <w:uiPriority w:val="39"/>
  </w:style>
  <w:style w:type="paragraph" w:customStyle="1" w:styleId="42">
    <w:name w:val="Default"/>
    <w:basedOn w:val="1"/>
    <w:autoRedefine/>
    <w:qFormat/>
    <w:uiPriority w:val="99"/>
    <w:pPr>
      <w:spacing w:line="400" w:lineRule="exact"/>
      <w:jc w:val="left"/>
    </w:pPr>
  </w:style>
  <w:style w:type="paragraph" w:customStyle="1" w:styleId="43">
    <w:name w:val="样式 标题 2 + 宋体"/>
    <w:basedOn w:val="3"/>
    <w:autoRedefine/>
    <w:qFormat/>
    <w:uiPriority w:val="99"/>
    <w:pPr>
      <w:tabs>
        <w:tab w:val="left" w:pos="567"/>
      </w:tabs>
    </w:pPr>
    <w:rPr>
      <w:rFonts w:ascii="宋体" w:hAnsi="宋体"/>
      <w:sz w:val="30"/>
    </w:rPr>
  </w:style>
  <w:style w:type="character" w:customStyle="1" w:styleId="44">
    <w:name w:val="标题 2 Char"/>
    <w:link w:val="3"/>
    <w:qFormat/>
    <w:uiPriority w:val="0"/>
    <w:rPr>
      <w:rFonts w:ascii="Cambria" w:hAnsi="Cambria" w:eastAsia="宋体" w:cs="Times New Roman"/>
      <w:b/>
      <w:bCs/>
      <w:kern w:val="2"/>
      <w:sz w:val="32"/>
      <w:szCs w:val="32"/>
    </w:rPr>
  </w:style>
  <w:style w:type="character" w:customStyle="1" w:styleId="45">
    <w:name w:val="标题 1 Char"/>
    <w:link w:val="2"/>
    <w:autoRedefine/>
    <w:qFormat/>
    <w:uiPriority w:val="0"/>
    <w:rPr>
      <w:rFonts w:ascii="微软雅黑" w:hAnsi="微软雅黑" w:eastAsia="微软雅黑" w:cs="仿宋"/>
      <w:b/>
      <w:color w:val="000000"/>
      <w:kern w:val="2"/>
      <w:sz w:val="32"/>
      <w:szCs w:val="32"/>
    </w:rPr>
  </w:style>
  <w:style w:type="character" w:customStyle="1" w:styleId="46">
    <w:name w:val="标题 3 Char"/>
    <w:link w:val="4"/>
    <w:autoRedefine/>
    <w:qFormat/>
    <w:uiPriority w:val="0"/>
    <w:rPr>
      <w:b/>
      <w:bCs/>
      <w:kern w:val="2"/>
      <w:sz w:val="32"/>
      <w:szCs w:val="32"/>
    </w:rPr>
  </w:style>
  <w:style w:type="character" w:customStyle="1" w:styleId="47">
    <w:name w:val="标题 4 Char"/>
    <w:link w:val="5"/>
    <w:autoRedefine/>
    <w:qFormat/>
    <w:uiPriority w:val="0"/>
    <w:rPr>
      <w:rFonts w:ascii="宋体" w:hAnsi="宋体" w:eastAsia="宋体" w:cs="Times New Roman"/>
      <w:b/>
      <w:bCs/>
      <w:kern w:val="2"/>
      <w:sz w:val="28"/>
      <w:szCs w:val="28"/>
    </w:rPr>
  </w:style>
  <w:style w:type="character" w:customStyle="1" w:styleId="48">
    <w:name w:val="标题 5 Char"/>
    <w:link w:val="6"/>
    <w:autoRedefine/>
    <w:qFormat/>
    <w:uiPriority w:val="0"/>
    <w:rPr>
      <w:b/>
      <w:bCs/>
      <w:kern w:val="2"/>
      <w:sz w:val="28"/>
      <w:szCs w:val="28"/>
    </w:rPr>
  </w:style>
  <w:style w:type="character" w:customStyle="1" w:styleId="49">
    <w:name w:val="标题 6 Char"/>
    <w:link w:val="7"/>
    <w:autoRedefine/>
    <w:qFormat/>
    <w:uiPriority w:val="0"/>
    <w:rPr>
      <w:rFonts w:ascii="Arial" w:hAnsi="Arial" w:eastAsia="黑体"/>
      <w:b/>
      <w:bCs/>
      <w:kern w:val="2"/>
      <w:sz w:val="24"/>
      <w:szCs w:val="24"/>
    </w:rPr>
  </w:style>
  <w:style w:type="character" w:customStyle="1" w:styleId="50">
    <w:name w:val="标题 7 Char"/>
    <w:link w:val="8"/>
    <w:semiHidden/>
    <w:qFormat/>
    <w:uiPriority w:val="0"/>
    <w:rPr>
      <w:b/>
      <w:bCs/>
      <w:kern w:val="2"/>
      <w:sz w:val="24"/>
      <w:szCs w:val="24"/>
    </w:rPr>
  </w:style>
  <w:style w:type="character" w:customStyle="1" w:styleId="51">
    <w:name w:val="标题 8 Char"/>
    <w:link w:val="9"/>
    <w:autoRedefine/>
    <w:semiHidden/>
    <w:qFormat/>
    <w:uiPriority w:val="0"/>
    <w:rPr>
      <w:rFonts w:ascii="等线 Light" w:hAnsi="等线 Light" w:eastAsia="等线 Light" w:cs="Times New Roman"/>
      <w:kern w:val="2"/>
      <w:sz w:val="24"/>
      <w:szCs w:val="24"/>
    </w:rPr>
  </w:style>
  <w:style w:type="character" w:customStyle="1" w:styleId="52">
    <w:name w:val="标题 9 Char"/>
    <w:link w:val="10"/>
    <w:autoRedefine/>
    <w:semiHidden/>
    <w:qFormat/>
    <w:uiPriority w:val="0"/>
    <w:rPr>
      <w:rFonts w:ascii="等线 Light" w:hAnsi="等线 Light" w:eastAsia="等线 Light" w:cs="Times New Roman"/>
      <w:kern w:val="2"/>
      <w:sz w:val="21"/>
      <w:szCs w:val="21"/>
    </w:rPr>
  </w:style>
  <w:style w:type="character" w:customStyle="1" w:styleId="53">
    <w:name w:val="正文缩进 Char"/>
    <w:link w:val="13"/>
    <w:autoRedefine/>
    <w:qFormat/>
    <w:locked/>
    <w:uiPriority w:val="0"/>
    <w:rPr>
      <w:rFonts w:eastAsia="宋体"/>
      <w:kern w:val="2"/>
      <w:sz w:val="21"/>
      <w:lang w:val="en-US" w:eastAsia="zh-CN" w:bidi="ar-SA"/>
    </w:rPr>
  </w:style>
  <w:style w:type="character" w:customStyle="1" w:styleId="54">
    <w:name w:val="文档结构图 Char1"/>
    <w:link w:val="14"/>
    <w:autoRedefine/>
    <w:semiHidden/>
    <w:qFormat/>
    <w:uiPriority w:val="0"/>
    <w:rPr>
      <w:rFonts w:ascii="宋体"/>
      <w:kern w:val="2"/>
      <w:sz w:val="18"/>
      <w:szCs w:val="18"/>
    </w:rPr>
  </w:style>
  <w:style w:type="character" w:customStyle="1" w:styleId="55">
    <w:name w:val="批注文字 Char"/>
    <w:link w:val="15"/>
    <w:qFormat/>
    <w:uiPriority w:val="0"/>
    <w:rPr>
      <w:kern w:val="2"/>
      <w:sz w:val="21"/>
      <w:szCs w:val="24"/>
    </w:rPr>
  </w:style>
  <w:style w:type="character" w:customStyle="1" w:styleId="56">
    <w:name w:val="正文文本 3 Char"/>
    <w:link w:val="16"/>
    <w:autoRedefine/>
    <w:qFormat/>
    <w:uiPriority w:val="0"/>
    <w:rPr>
      <w:rFonts w:ascii="宋体" w:hAnsi="宋体"/>
      <w:color w:val="000000"/>
      <w:kern w:val="2"/>
      <w:sz w:val="21"/>
      <w:szCs w:val="21"/>
    </w:rPr>
  </w:style>
  <w:style w:type="character" w:customStyle="1" w:styleId="57">
    <w:name w:val="正文文本 Char"/>
    <w:link w:val="17"/>
    <w:autoRedefine/>
    <w:qFormat/>
    <w:uiPriority w:val="0"/>
    <w:rPr>
      <w:rFonts w:ascii="宋体" w:hAnsi="宋体" w:cs="宋体"/>
      <w:b/>
      <w:color w:val="000000" w:themeColor="text1"/>
      <w:kern w:val="2"/>
      <w:sz w:val="30"/>
      <w:szCs w:val="30"/>
    </w:rPr>
  </w:style>
  <w:style w:type="character" w:customStyle="1" w:styleId="58">
    <w:name w:val="正文文本缩进 Char1"/>
    <w:link w:val="18"/>
    <w:autoRedefine/>
    <w:semiHidden/>
    <w:qFormat/>
    <w:uiPriority w:val="0"/>
    <w:rPr>
      <w:kern w:val="2"/>
      <w:sz w:val="21"/>
      <w:szCs w:val="24"/>
    </w:rPr>
  </w:style>
  <w:style w:type="character" w:customStyle="1" w:styleId="59">
    <w:name w:val="纯文本 Char"/>
    <w:link w:val="20"/>
    <w:autoRedefine/>
    <w:qFormat/>
    <w:uiPriority w:val="99"/>
    <w:rPr>
      <w:rFonts w:ascii="宋体" w:hAnsi="宋体" w:cs="宋体"/>
      <w:sz w:val="21"/>
      <w:szCs w:val="21"/>
    </w:rPr>
  </w:style>
  <w:style w:type="character" w:customStyle="1" w:styleId="60">
    <w:name w:val="日期 Char"/>
    <w:link w:val="21"/>
    <w:autoRedefine/>
    <w:qFormat/>
    <w:uiPriority w:val="0"/>
    <w:rPr>
      <w:kern w:val="2"/>
      <w:sz w:val="21"/>
      <w:szCs w:val="24"/>
    </w:rPr>
  </w:style>
  <w:style w:type="character" w:customStyle="1" w:styleId="61">
    <w:name w:val="正文文本缩进 2 Char"/>
    <w:link w:val="22"/>
    <w:autoRedefine/>
    <w:qFormat/>
    <w:uiPriority w:val="0"/>
    <w:rPr>
      <w:kern w:val="2"/>
      <w:sz w:val="21"/>
    </w:rPr>
  </w:style>
  <w:style w:type="character" w:customStyle="1" w:styleId="62">
    <w:name w:val="批注框文本 Char"/>
    <w:link w:val="23"/>
    <w:autoRedefine/>
    <w:qFormat/>
    <w:uiPriority w:val="0"/>
    <w:rPr>
      <w:kern w:val="2"/>
      <w:sz w:val="18"/>
      <w:szCs w:val="18"/>
    </w:rPr>
  </w:style>
  <w:style w:type="character" w:customStyle="1" w:styleId="63">
    <w:name w:val="页脚 Char"/>
    <w:link w:val="24"/>
    <w:autoRedefine/>
    <w:qFormat/>
    <w:uiPriority w:val="99"/>
    <w:rPr>
      <w:kern w:val="2"/>
      <w:sz w:val="18"/>
      <w:szCs w:val="18"/>
    </w:rPr>
  </w:style>
  <w:style w:type="character" w:customStyle="1" w:styleId="64">
    <w:name w:val="页眉 Char"/>
    <w:link w:val="25"/>
    <w:autoRedefine/>
    <w:qFormat/>
    <w:uiPriority w:val="0"/>
    <w:rPr>
      <w:kern w:val="2"/>
      <w:sz w:val="18"/>
      <w:szCs w:val="18"/>
    </w:rPr>
  </w:style>
  <w:style w:type="character" w:customStyle="1" w:styleId="65">
    <w:name w:val="正文文本缩进 3 Char"/>
    <w:link w:val="27"/>
    <w:autoRedefine/>
    <w:qFormat/>
    <w:uiPriority w:val="0"/>
    <w:rPr>
      <w:kern w:val="2"/>
      <w:sz w:val="16"/>
      <w:szCs w:val="16"/>
    </w:rPr>
  </w:style>
  <w:style w:type="character" w:customStyle="1" w:styleId="66">
    <w:name w:val="标题 Char"/>
    <w:link w:val="29"/>
    <w:autoRedefine/>
    <w:qFormat/>
    <w:uiPriority w:val="0"/>
    <w:rPr>
      <w:rFonts w:ascii="Cambria" w:hAnsi="Cambria" w:cs="Times New Roman"/>
      <w:b/>
      <w:bCs/>
      <w:kern w:val="2"/>
      <w:sz w:val="32"/>
      <w:szCs w:val="32"/>
    </w:rPr>
  </w:style>
  <w:style w:type="character" w:customStyle="1" w:styleId="67">
    <w:name w:val="批注主题 Char"/>
    <w:link w:val="30"/>
    <w:autoRedefine/>
    <w:semiHidden/>
    <w:qFormat/>
    <w:uiPriority w:val="99"/>
    <w:rPr>
      <w:b/>
      <w:bCs/>
      <w:kern w:val="2"/>
      <w:sz w:val="21"/>
      <w:szCs w:val="24"/>
    </w:rPr>
  </w:style>
  <w:style w:type="character" w:customStyle="1" w:styleId="68">
    <w:name w:val="正文首行缩进 2 Char"/>
    <w:basedOn w:val="58"/>
    <w:link w:val="32"/>
    <w:autoRedefine/>
    <w:qFormat/>
    <w:uiPriority w:val="0"/>
    <w:rPr>
      <w:kern w:val="2"/>
      <w:sz w:val="21"/>
      <w:szCs w:val="24"/>
    </w:rPr>
  </w:style>
  <w:style w:type="character" w:customStyle="1" w:styleId="69">
    <w:name w:val="font21"/>
    <w:autoRedefine/>
    <w:qFormat/>
    <w:uiPriority w:val="0"/>
    <w:rPr>
      <w:rFonts w:hint="default" w:ascii="Times New Roman" w:hAnsi="Times New Roman" w:cs="Times New Roman"/>
      <w:color w:val="000000"/>
      <w:sz w:val="18"/>
      <w:szCs w:val="18"/>
      <w:u w:val="none"/>
    </w:rPr>
  </w:style>
  <w:style w:type="character" w:customStyle="1" w:styleId="70">
    <w:name w:val="列出段落 Char"/>
    <w:link w:val="71"/>
    <w:autoRedefine/>
    <w:qFormat/>
    <w:locked/>
    <w:uiPriority w:val="34"/>
    <w:rPr>
      <w:kern w:val="2"/>
      <w:sz w:val="21"/>
      <w:szCs w:val="24"/>
    </w:rPr>
  </w:style>
  <w:style w:type="paragraph" w:customStyle="1" w:styleId="71">
    <w:name w:val="列出段落2"/>
    <w:basedOn w:val="1"/>
    <w:link w:val="70"/>
    <w:autoRedefine/>
    <w:unhideWhenUsed/>
    <w:qFormat/>
    <w:uiPriority w:val="34"/>
    <w:pPr>
      <w:ind w:firstLine="420" w:firstLineChars="200"/>
    </w:pPr>
  </w:style>
  <w:style w:type="character" w:customStyle="1" w:styleId="72">
    <w:name w:val="fontstyle11"/>
    <w:autoRedefine/>
    <w:qFormat/>
    <w:uiPriority w:val="0"/>
    <w:rPr>
      <w:rFonts w:hint="eastAsia" w:ascii="宋体" w:hAnsi="宋体" w:eastAsia="宋体"/>
      <w:color w:val="000000"/>
      <w:sz w:val="22"/>
      <w:szCs w:val="22"/>
    </w:rPr>
  </w:style>
  <w:style w:type="character" w:customStyle="1" w:styleId="73">
    <w:name w:val="纯文本 Char2"/>
    <w:autoRedefine/>
    <w:qFormat/>
    <w:uiPriority w:val="0"/>
    <w:rPr>
      <w:rFonts w:ascii="宋体" w:hAnsi="Courier New" w:cs="Courier New"/>
      <w:kern w:val="2"/>
      <w:sz w:val="21"/>
      <w:szCs w:val="21"/>
    </w:rPr>
  </w:style>
  <w:style w:type="character" w:customStyle="1" w:styleId="74">
    <w:name w:val="正文缩进 Char1"/>
    <w:autoRedefine/>
    <w:qFormat/>
    <w:locked/>
    <w:uiPriority w:val="0"/>
    <w:rPr>
      <w:rFonts w:eastAsia="宋体"/>
      <w:kern w:val="2"/>
      <w:sz w:val="21"/>
      <w:lang w:val="en-US" w:eastAsia="zh-CN" w:bidi="ar-SA"/>
    </w:rPr>
  </w:style>
  <w:style w:type="character" w:customStyle="1" w:styleId="75">
    <w:name w:val="标题 1 Char1"/>
    <w:autoRedefine/>
    <w:qFormat/>
    <w:uiPriority w:val="0"/>
    <w:rPr>
      <w:b/>
      <w:bCs/>
      <w:kern w:val="44"/>
      <w:sz w:val="44"/>
      <w:szCs w:val="44"/>
    </w:rPr>
  </w:style>
  <w:style w:type="character" w:customStyle="1" w:styleId="76">
    <w:name w:val="批注文字 Char1"/>
    <w:autoRedefine/>
    <w:qFormat/>
    <w:uiPriority w:val="0"/>
    <w:rPr>
      <w:rFonts w:ascii="Times New Roman" w:hAnsi="Times New Roman"/>
      <w:kern w:val="2"/>
      <w:sz w:val="21"/>
      <w:szCs w:val="24"/>
    </w:rPr>
  </w:style>
  <w:style w:type="character" w:customStyle="1" w:styleId="77">
    <w:name w:val="Char Char1"/>
    <w:autoRedefine/>
    <w:qFormat/>
    <w:uiPriority w:val="0"/>
    <w:rPr>
      <w:rFonts w:eastAsia="宋体"/>
      <w:kern w:val="2"/>
      <w:sz w:val="21"/>
      <w:szCs w:val="24"/>
      <w:lang w:val="en-US" w:eastAsia="zh-CN" w:bidi="ar-SA"/>
    </w:rPr>
  </w:style>
  <w:style w:type="character" w:customStyle="1" w:styleId="78">
    <w:name w:val="标准正文 Char"/>
    <w:link w:val="79"/>
    <w:autoRedefine/>
    <w:qFormat/>
    <w:locked/>
    <w:uiPriority w:val="0"/>
    <w:rPr>
      <w:rFonts w:ascii="宋体" w:hAnsi="宋体"/>
      <w:kern w:val="2"/>
      <w:sz w:val="24"/>
      <w:szCs w:val="22"/>
    </w:rPr>
  </w:style>
  <w:style w:type="paragraph" w:customStyle="1" w:styleId="79">
    <w:name w:val="标准正文"/>
    <w:basedOn w:val="1"/>
    <w:link w:val="78"/>
    <w:autoRedefine/>
    <w:qFormat/>
    <w:uiPriority w:val="0"/>
    <w:pPr>
      <w:spacing w:line="360" w:lineRule="auto"/>
      <w:ind w:firstLine="420" w:firstLineChars="200"/>
    </w:pPr>
    <w:rPr>
      <w:rFonts w:ascii="宋体" w:hAnsi="宋体"/>
      <w:sz w:val="24"/>
      <w:szCs w:val="22"/>
    </w:rPr>
  </w:style>
  <w:style w:type="character" w:customStyle="1" w:styleId="80">
    <w:name w:val="font71"/>
    <w:autoRedefine/>
    <w:qFormat/>
    <w:uiPriority w:val="0"/>
    <w:rPr>
      <w:rFonts w:hint="eastAsia" w:ascii="宋体" w:hAnsi="宋体" w:eastAsia="宋体" w:cs="宋体"/>
      <w:color w:val="000000"/>
      <w:sz w:val="21"/>
      <w:szCs w:val="21"/>
      <w:u w:val="none"/>
    </w:rPr>
  </w:style>
  <w:style w:type="character" w:customStyle="1" w:styleId="81">
    <w:name w:val="正文文本缩进 Char"/>
    <w:link w:val="82"/>
    <w:autoRedefine/>
    <w:qFormat/>
    <w:uiPriority w:val="0"/>
    <w:rPr>
      <w:kern w:val="2"/>
      <w:sz w:val="21"/>
      <w:szCs w:val="24"/>
    </w:rPr>
  </w:style>
  <w:style w:type="paragraph" w:customStyle="1" w:styleId="82">
    <w:name w:val="正文文本缩进1"/>
    <w:basedOn w:val="1"/>
    <w:next w:val="18"/>
    <w:link w:val="81"/>
    <w:autoRedefine/>
    <w:qFormat/>
    <w:uiPriority w:val="0"/>
    <w:pPr>
      <w:spacing w:after="120"/>
      <w:ind w:left="420" w:leftChars="200"/>
    </w:pPr>
  </w:style>
  <w:style w:type="character" w:customStyle="1" w:styleId="83">
    <w:name w:val="bookmark-item"/>
    <w:basedOn w:val="35"/>
    <w:autoRedefine/>
    <w:qFormat/>
    <w:uiPriority w:val="0"/>
  </w:style>
  <w:style w:type="character" w:customStyle="1" w:styleId="84">
    <w:name w:val="标题 9 Char1"/>
    <w:autoRedefine/>
    <w:semiHidden/>
    <w:qFormat/>
    <w:uiPriority w:val="0"/>
    <w:rPr>
      <w:rFonts w:ascii="Cambria" w:hAnsi="Cambria" w:eastAsia="宋体" w:cs="Times New Roman"/>
      <w:kern w:val="2"/>
      <w:sz w:val="21"/>
      <w:szCs w:val="21"/>
    </w:rPr>
  </w:style>
  <w:style w:type="character" w:customStyle="1" w:styleId="85">
    <w:name w:val="正文文本 Char1"/>
    <w:autoRedefine/>
    <w:semiHidden/>
    <w:qFormat/>
    <w:locked/>
    <w:uiPriority w:val="0"/>
    <w:rPr>
      <w:kern w:val="2"/>
      <w:sz w:val="21"/>
      <w:szCs w:val="24"/>
    </w:rPr>
  </w:style>
  <w:style w:type="character" w:customStyle="1" w:styleId="86">
    <w:name w:val="Char Char5"/>
    <w:autoRedefine/>
    <w:qFormat/>
    <w:locked/>
    <w:uiPriority w:val="0"/>
    <w:rPr>
      <w:rFonts w:cs="Times New Roman"/>
      <w:sz w:val="21"/>
      <w:szCs w:val="21"/>
    </w:rPr>
  </w:style>
  <w:style w:type="character" w:customStyle="1" w:styleId="87">
    <w:name w:val="文档结构图 Char"/>
    <w:link w:val="88"/>
    <w:autoRedefine/>
    <w:semiHidden/>
    <w:qFormat/>
    <w:uiPriority w:val="99"/>
    <w:rPr>
      <w:rFonts w:ascii="宋体" w:eastAsia="宋体"/>
      <w:kern w:val="2"/>
      <w:sz w:val="18"/>
      <w:szCs w:val="18"/>
    </w:rPr>
  </w:style>
  <w:style w:type="paragraph" w:customStyle="1" w:styleId="88">
    <w:name w:val="文档结构图1"/>
    <w:basedOn w:val="1"/>
    <w:next w:val="14"/>
    <w:link w:val="87"/>
    <w:autoRedefine/>
    <w:unhideWhenUsed/>
    <w:qFormat/>
    <w:uiPriority w:val="99"/>
    <w:rPr>
      <w:rFonts w:ascii="宋体"/>
      <w:sz w:val="18"/>
      <w:szCs w:val="18"/>
    </w:rPr>
  </w:style>
  <w:style w:type="character" w:customStyle="1" w:styleId="89">
    <w:name w:val="正文文本缩进 字符1"/>
    <w:autoRedefine/>
    <w:semiHidden/>
    <w:qFormat/>
    <w:uiPriority w:val="99"/>
  </w:style>
  <w:style w:type="character" w:customStyle="1" w:styleId="90">
    <w:name w:val="纯文本 Char1"/>
    <w:autoRedefine/>
    <w:qFormat/>
    <w:uiPriority w:val="0"/>
    <w:rPr>
      <w:rFonts w:ascii="宋体" w:hAnsi="Courier New"/>
      <w:kern w:val="2"/>
      <w:sz w:val="21"/>
    </w:rPr>
  </w:style>
  <w:style w:type="character" w:customStyle="1" w:styleId="91">
    <w:name w:val="正文文本缩进 3 字符"/>
    <w:autoRedefine/>
    <w:semiHidden/>
    <w:qFormat/>
    <w:uiPriority w:val="99"/>
    <w:rPr>
      <w:sz w:val="16"/>
      <w:szCs w:val="16"/>
    </w:rPr>
  </w:style>
  <w:style w:type="character" w:customStyle="1" w:styleId="92">
    <w:name w:val="普通文字 Char Char2"/>
    <w:autoRedefine/>
    <w:qFormat/>
    <w:uiPriority w:val="0"/>
    <w:rPr>
      <w:rFonts w:ascii="宋体" w:hAnsi="Courier New" w:eastAsia="宋体" w:cs="Courier New"/>
      <w:szCs w:val="21"/>
    </w:rPr>
  </w:style>
  <w:style w:type="character" w:customStyle="1" w:styleId="93">
    <w:name w:val="Char Char"/>
    <w:autoRedefine/>
    <w:qFormat/>
    <w:locked/>
    <w:uiPriority w:val="0"/>
    <w:rPr>
      <w:rFonts w:ascii="宋体" w:hAnsi="宋体" w:eastAsia="宋体"/>
      <w:kern w:val="2"/>
      <w:sz w:val="21"/>
      <w:szCs w:val="24"/>
      <w:lang w:val="en-US" w:eastAsia="zh-CN" w:bidi="ar-SA"/>
    </w:rPr>
  </w:style>
  <w:style w:type="character" w:customStyle="1" w:styleId="94">
    <w:name w:val="标题 8 Char1"/>
    <w:autoRedefine/>
    <w:semiHidden/>
    <w:qFormat/>
    <w:uiPriority w:val="0"/>
    <w:rPr>
      <w:rFonts w:ascii="Cambria" w:hAnsi="Cambria" w:eastAsia="宋体" w:cs="Times New Roman"/>
      <w:kern w:val="2"/>
      <w:sz w:val="24"/>
      <w:szCs w:val="24"/>
    </w:rPr>
  </w:style>
  <w:style w:type="character" w:customStyle="1" w:styleId="95">
    <w:name w:val="正文缩进2字符 Char"/>
    <w:link w:val="96"/>
    <w:autoRedefine/>
    <w:qFormat/>
    <w:locked/>
    <w:uiPriority w:val="0"/>
    <w:rPr>
      <w:rFonts w:ascii="Calibri" w:hAnsi="Calibri" w:eastAsia="宋体" w:cs="Times New Roman"/>
      <w:kern w:val="2"/>
      <w:sz w:val="24"/>
      <w:szCs w:val="24"/>
    </w:rPr>
  </w:style>
  <w:style w:type="paragraph" w:customStyle="1" w:styleId="96">
    <w:name w:val="正文缩进2字符"/>
    <w:basedOn w:val="1"/>
    <w:next w:val="1"/>
    <w:link w:val="95"/>
    <w:autoRedefine/>
    <w:qFormat/>
    <w:uiPriority w:val="0"/>
    <w:pPr>
      <w:spacing w:line="360" w:lineRule="auto"/>
      <w:ind w:firstLine="480" w:firstLineChars="200"/>
    </w:pPr>
    <w:rPr>
      <w:rFonts w:ascii="Calibri" w:hAnsi="Calibri"/>
      <w:sz w:val="24"/>
    </w:rPr>
  </w:style>
  <w:style w:type="character" w:customStyle="1" w:styleId="97">
    <w:name w:val="标题 4 Char1"/>
    <w:autoRedefine/>
    <w:semiHidden/>
    <w:qFormat/>
    <w:uiPriority w:val="0"/>
    <w:rPr>
      <w:rFonts w:ascii="Cambria" w:hAnsi="Cambria" w:eastAsia="宋体" w:cs="Times New Roman"/>
      <w:b/>
      <w:bCs/>
      <w:kern w:val="2"/>
      <w:sz w:val="28"/>
      <w:szCs w:val="28"/>
    </w:rPr>
  </w:style>
  <w:style w:type="character" w:customStyle="1" w:styleId="98">
    <w:name w:val="font51"/>
    <w:autoRedefine/>
    <w:qFormat/>
    <w:uiPriority w:val="0"/>
    <w:rPr>
      <w:rFonts w:hint="eastAsia" w:ascii="宋体" w:hAnsi="宋体" w:eastAsia="宋体" w:cs="宋体"/>
      <w:color w:val="000000"/>
      <w:sz w:val="18"/>
      <w:szCs w:val="18"/>
      <w:u w:val="none"/>
    </w:rPr>
  </w:style>
  <w:style w:type="character" w:customStyle="1" w:styleId="99">
    <w:name w:val="普通文字 Char Char1 Char"/>
    <w:autoRedefine/>
    <w:qFormat/>
    <w:locked/>
    <w:uiPriority w:val="0"/>
    <w:rPr>
      <w:rFonts w:ascii="宋体" w:hAnsi="Courier New" w:eastAsia="宋体" w:cs="宋体"/>
      <w:kern w:val="2"/>
      <w:sz w:val="21"/>
      <w:szCs w:val="21"/>
      <w:lang w:val="en-US" w:eastAsia="zh-CN"/>
    </w:rPr>
  </w:style>
  <w:style w:type="character" w:customStyle="1" w:styleId="100">
    <w:name w:val="标书4级 Char"/>
    <w:link w:val="101"/>
    <w:autoRedefine/>
    <w:qFormat/>
    <w:uiPriority w:val="0"/>
    <w:rPr>
      <w:rFonts w:ascii="宋体" w:hAnsi="宋体"/>
      <w:b/>
      <w:bCs/>
      <w:kern w:val="2"/>
      <w:sz w:val="28"/>
      <w:szCs w:val="28"/>
    </w:rPr>
  </w:style>
  <w:style w:type="paragraph" w:customStyle="1" w:styleId="101">
    <w:name w:val="标书4级"/>
    <w:basedOn w:val="5"/>
    <w:link w:val="100"/>
    <w:autoRedefine/>
    <w:qFormat/>
    <w:uiPriority w:val="0"/>
  </w:style>
  <w:style w:type="character" w:customStyle="1" w:styleId="102">
    <w:name w:val="font41"/>
    <w:autoRedefine/>
    <w:qFormat/>
    <w:uiPriority w:val="0"/>
    <w:rPr>
      <w:rFonts w:hint="eastAsia" w:ascii="宋体" w:hAnsi="宋体" w:eastAsia="宋体" w:cs="宋体"/>
      <w:color w:val="FF0000"/>
      <w:sz w:val="18"/>
      <w:szCs w:val="18"/>
      <w:u w:val="none"/>
    </w:rPr>
  </w:style>
  <w:style w:type="character" w:customStyle="1" w:styleId="103">
    <w:name w:val="纯文本 Char3"/>
    <w:autoRedefine/>
    <w:qFormat/>
    <w:uiPriority w:val="99"/>
    <w:rPr>
      <w:rFonts w:ascii="宋体" w:hAnsi="Courier New" w:eastAsia="宋体"/>
      <w:kern w:val="2"/>
      <w:sz w:val="21"/>
      <w:lang w:val="en-US" w:eastAsia="zh-CN" w:bidi="ar-SA"/>
    </w:rPr>
  </w:style>
  <w:style w:type="character" w:customStyle="1" w:styleId="104">
    <w:name w:val="普通文字 Char Char3"/>
    <w:autoRedefine/>
    <w:qFormat/>
    <w:uiPriority w:val="0"/>
    <w:rPr>
      <w:rFonts w:ascii="宋体" w:hAnsi="Courier New"/>
      <w:kern w:val="2"/>
      <w:sz w:val="21"/>
    </w:rPr>
  </w:style>
  <w:style w:type="character" w:customStyle="1" w:styleId="105">
    <w:name w:val="Char Char10"/>
    <w:autoRedefine/>
    <w:qFormat/>
    <w:uiPriority w:val="0"/>
    <w:rPr>
      <w:rFonts w:eastAsia="宋体"/>
      <w:kern w:val="2"/>
      <w:sz w:val="21"/>
      <w:szCs w:val="24"/>
      <w:lang w:val="en-US" w:eastAsia="zh-CN" w:bidi="ar-SA"/>
    </w:rPr>
  </w:style>
  <w:style w:type="character" w:customStyle="1" w:styleId="106">
    <w:name w:val="无间隔 Char"/>
    <w:link w:val="107"/>
    <w:autoRedefine/>
    <w:qFormat/>
    <w:uiPriority w:val="1"/>
    <w:rPr>
      <w:rFonts w:ascii="Calibri" w:hAnsi="Calibri"/>
      <w:kern w:val="2"/>
      <w:sz w:val="21"/>
      <w:szCs w:val="22"/>
      <w:lang w:val="en-US" w:eastAsia="zh-CN" w:bidi="ar-SA"/>
    </w:rPr>
  </w:style>
  <w:style w:type="paragraph" w:customStyle="1" w:styleId="107">
    <w:name w:val="无间隔1"/>
    <w:link w:val="106"/>
    <w:autoRedefine/>
    <w:qFormat/>
    <w:uiPriority w:val="1"/>
    <w:pPr>
      <w:widowControl w:val="0"/>
      <w:jc w:val="both"/>
    </w:pPr>
    <w:rPr>
      <w:rFonts w:ascii="Calibri" w:hAnsi="Calibri" w:eastAsia="宋体" w:cs="Times New Roman"/>
      <w:kern w:val="2"/>
      <w:sz w:val="21"/>
      <w:szCs w:val="22"/>
      <w:lang w:val="en-US" w:eastAsia="zh-CN" w:bidi="ar-SA"/>
    </w:rPr>
  </w:style>
  <w:style w:type="character" w:customStyle="1" w:styleId="108">
    <w:name w:val="正文文本 (2)_"/>
    <w:link w:val="109"/>
    <w:autoRedefine/>
    <w:qFormat/>
    <w:locked/>
    <w:uiPriority w:val="0"/>
    <w:rPr>
      <w:rFonts w:ascii="MingLiU" w:hAnsi="MingLiU" w:eastAsia="MingLiU" w:cs="MingLiU"/>
      <w:sz w:val="22"/>
      <w:shd w:val="clear" w:color="auto" w:fill="FFFFFF"/>
    </w:rPr>
  </w:style>
  <w:style w:type="paragraph" w:customStyle="1" w:styleId="109">
    <w:name w:val="正文文本 (2)5"/>
    <w:basedOn w:val="1"/>
    <w:link w:val="108"/>
    <w:autoRedefine/>
    <w:qFormat/>
    <w:uiPriority w:val="0"/>
    <w:pPr>
      <w:shd w:val="clear" w:color="auto" w:fill="FFFFFF"/>
      <w:spacing w:before="540" w:line="466" w:lineRule="exact"/>
      <w:ind w:hanging="440"/>
      <w:jc w:val="distribute"/>
    </w:pPr>
    <w:rPr>
      <w:rFonts w:ascii="MingLiU" w:hAnsi="MingLiU" w:eastAsia="MingLiU"/>
      <w:kern w:val="0"/>
      <w:sz w:val="22"/>
      <w:szCs w:val="20"/>
    </w:rPr>
  </w:style>
  <w:style w:type="character" w:customStyle="1" w:styleId="110">
    <w:name w:val="mh-con"/>
    <w:basedOn w:val="35"/>
    <w:autoRedefine/>
    <w:qFormat/>
    <w:uiPriority w:val="0"/>
  </w:style>
  <w:style w:type="character" w:customStyle="1" w:styleId="111">
    <w:name w:val="A15"/>
    <w:autoRedefine/>
    <w:qFormat/>
    <w:uiPriority w:val="0"/>
    <w:rPr>
      <w:rFonts w:ascii="Times New Roman" w:hAnsi="Times New Roman"/>
      <w:color w:val="000000"/>
      <w:sz w:val="14"/>
      <w:szCs w:val="14"/>
    </w:rPr>
  </w:style>
  <w:style w:type="character" w:customStyle="1" w:styleId="112">
    <w:name w:val="apple-converted-space"/>
    <w:autoRedefine/>
    <w:qFormat/>
    <w:uiPriority w:val="0"/>
  </w:style>
  <w:style w:type="character" w:customStyle="1" w:styleId="113">
    <w:name w:val="副章标题 Char"/>
    <w:link w:val="114"/>
    <w:autoRedefine/>
    <w:qFormat/>
    <w:uiPriority w:val="0"/>
    <w:rPr>
      <w:rFonts w:hAnsi="微软雅黑"/>
      <w:b/>
      <w:color w:val="000000"/>
      <w:sz w:val="36"/>
      <w:szCs w:val="36"/>
    </w:rPr>
  </w:style>
  <w:style w:type="paragraph" w:customStyle="1" w:styleId="114">
    <w:name w:val="副章标题"/>
    <w:basedOn w:val="1"/>
    <w:link w:val="113"/>
    <w:autoRedefine/>
    <w:qFormat/>
    <w:uiPriority w:val="0"/>
    <w:pPr>
      <w:outlineLvl w:val="1"/>
    </w:pPr>
    <w:rPr>
      <w:rFonts w:hAnsi="微软雅黑"/>
      <w:b/>
      <w:color w:val="000000"/>
      <w:kern w:val="0"/>
      <w:sz w:val="36"/>
      <w:szCs w:val="36"/>
    </w:rPr>
  </w:style>
  <w:style w:type="character" w:customStyle="1" w:styleId="115">
    <w:name w:val="Char Char3"/>
    <w:autoRedefine/>
    <w:qFormat/>
    <w:uiPriority w:val="0"/>
    <w:rPr>
      <w:rFonts w:ascii="宋体" w:hAnsi="Courier New" w:eastAsia="宋体"/>
      <w:kern w:val="2"/>
      <w:sz w:val="21"/>
      <w:lang w:val="en-US" w:eastAsia="zh-CN" w:bidi="ar-SA"/>
    </w:rPr>
  </w:style>
  <w:style w:type="character" w:customStyle="1" w:styleId="116">
    <w:name w:val="普通文字 Char Char5"/>
    <w:autoRedefine/>
    <w:qFormat/>
    <w:uiPriority w:val="0"/>
    <w:rPr>
      <w:rFonts w:ascii="宋体" w:hAnsi="Courier New" w:eastAsia="宋体"/>
      <w:szCs w:val="21"/>
      <w:lang w:bidi="ar-SA"/>
    </w:rPr>
  </w:style>
  <w:style w:type="paragraph" w:customStyle="1" w:styleId="117">
    <w:name w:val="标题 41"/>
    <w:basedOn w:val="1"/>
    <w:next w:val="1"/>
    <w:autoRedefine/>
    <w:unhideWhenUsed/>
    <w:qFormat/>
    <w:uiPriority w:val="0"/>
    <w:pPr>
      <w:keepNext/>
      <w:keepLines/>
      <w:tabs>
        <w:tab w:val="left" w:pos="1680"/>
      </w:tabs>
      <w:spacing w:before="280" w:after="290" w:line="376" w:lineRule="auto"/>
      <w:ind w:left="1680" w:hanging="420"/>
      <w:outlineLvl w:val="3"/>
    </w:pPr>
    <w:rPr>
      <w:rFonts w:ascii="宋体" w:hAnsi="宋体"/>
      <w:b/>
      <w:bCs/>
      <w:sz w:val="28"/>
      <w:szCs w:val="28"/>
    </w:rPr>
  </w:style>
  <w:style w:type="paragraph" w:customStyle="1" w:styleId="118">
    <w:name w:val="_Style 52"/>
    <w:autoRedefine/>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_Style 29"/>
    <w:basedOn w:val="1"/>
    <w:autoRedefine/>
    <w:qFormat/>
    <w:uiPriority w:val="0"/>
    <w:rPr>
      <w:rFonts w:ascii="Tahoma" w:hAnsi="Tahoma"/>
      <w:sz w:val="24"/>
      <w:szCs w:val="20"/>
    </w:rPr>
  </w:style>
  <w:style w:type="paragraph" w:customStyle="1" w:styleId="120">
    <w:name w:val="mh-name"/>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1">
    <w:name w:val="WPSOffice手动目录 1"/>
    <w:autoRedefine/>
    <w:qFormat/>
    <w:uiPriority w:val="0"/>
    <w:rPr>
      <w:rFonts w:ascii="Times New Roman" w:hAnsi="Times New Roman" w:eastAsia="宋体" w:cs="Times New Roman"/>
      <w:lang w:val="en-US" w:eastAsia="zh-CN" w:bidi="ar-SA"/>
    </w:rPr>
  </w:style>
  <w:style w:type="paragraph" w:customStyle="1" w:styleId="122">
    <w:name w:val="目录 41"/>
    <w:basedOn w:val="1"/>
    <w:next w:val="1"/>
    <w:autoRedefine/>
    <w:unhideWhenUsed/>
    <w:qFormat/>
    <w:uiPriority w:val="39"/>
    <w:pPr>
      <w:ind w:left="630"/>
      <w:jc w:val="left"/>
    </w:pPr>
    <w:rPr>
      <w:rFonts w:ascii="等线" w:hAnsi="等线" w:eastAsia="等线"/>
      <w:sz w:val="18"/>
      <w:szCs w:val="18"/>
    </w:rPr>
  </w:style>
  <w:style w:type="paragraph" w:customStyle="1" w:styleId="123">
    <w:name w:val="Numbered List"/>
    <w:autoRedefine/>
    <w:unhideWhenUsed/>
    <w:qFormat/>
    <w:uiPriority w:val="99"/>
    <w:pPr>
      <w:widowControl w:val="0"/>
      <w:autoSpaceDE w:val="0"/>
      <w:autoSpaceDN w:val="0"/>
      <w:ind w:left="720" w:hanging="430"/>
    </w:pPr>
    <w:rPr>
      <w:rFonts w:ascii="Times New Roman" w:hAnsi="Times New Roman" w:eastAsia="宋体" w:cs="Times New Roman"/>
      <w:sz w:val="21"/>
      <w:szCs w:val="22"/>
      <w:lang w:val="en-US" w:eastAsia="zh-CN" w:bidi="ar-SA"/>
    </w:rPr>
  </w:style>
  <w:style w:type="paragraph" w:customStyle="1" w:styleId="124">
    <w:name w:val="目录 91"/>
    <w:basedOn w:val="1"/>
    <w:next w:val="1"/>
    <w:autoRedefine/>
    <w:unhideWhenUsed/>
    <w:qFormat/>
    <w:uiPriority w:val="39"/>
    <w:pPr>
      <w:ind w:left="1680"/>
      <w:jc w:val="left"/>
    </w:pPr>
    <w:rPr>
      <w:rFonts w:ascii="等线" w:hAnsi="等线" w:eastAsia="等线"/>
      <w:sz w:val="18"/>
      <w:szCs w:val="18"/>
    </w:rPr>
  </w:style>
  <w:style w:type="paragraph" w:customStyle="1" w:styleId="125">
    <w:name w:val="_Style 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无间隔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样式 小四正文 + 首行缩进:  2 字符 段前: 0.5 行"/>
    <w:basedOn w:val="1"/>
    <w:autoRedefine/>
    <w:qFormat/>
    <w:uiPriority w:val="0"/>
    <w:pPr>
      <w:spacing w:beforeLines="50" w:line="360" w:lineRule="auto"/>
      <w:ind w:firstLine="200" w:firstLineChars="200"/>
    </w:pPr>
    <w:rPr>
      <w:rFonts w:ascii="宋体" w:hAnsi="宋体"/>
      <w:sz w:val="24"/>
      <w:szCs w:val="20"/>
    </w:rPr>
  </w:style>
  <w:style w:type="paragraph" w:customStyle="1" w:styleId="128">
    <w:name w:val="*正文"/>
    <w:basedOn w:val="1"/>
    <w:autoRedefine/>
    <w:qFormat/>
    <w:uiPriority w:val="0"/>
    <w:pPr>
      <w:widowControl/>
      <w:ind w:firstLine="200" w:firstLineChars="200"/>
      <w:jc w:val="left"/>
    </w:pPr>
    <w:rPr>
      <w:rFonts w:ascii="仿宋_GB2312" w:hAnsi="Calibri" w:eastAsia="仿宋_GB2312"/>
      <w:kern w:val="0"/>
      <w:sz w:val="24"/>
      <w:szCs w:val="28"/>
    </w:rPr>
  </w:style>
  <w:style w:type="paragraph" w:customStyle="1" w:styleId="129">
    <w:name w:val="目录 81"/>
    <w:basedOn w:val="1"/>
    <w:next w:val="1"/>
    <w:autoRedefine/>
    <w:unhideWhenUsed/>
    <w:qFormat/>
    <w:uiPriority w:val="39"/>
    <w:pPr>
      <w:ind w:left="1470"/>
      <w:jc w:val="left"/>
    </w:pPr>
    <w:rPr>
      <w:rFonts w:ascii="等线" w:hAnsi="等线" w:eastAsia="等线"/>
      <w:sz w:val="18"/>
      <w:szCs w:val="18"/>
    </w:rPr>
  </w:style>
  <w:style w:type="paragraph" w:customStyle="1" w:styleId="130">
    <w:name w:val="_Style 36"/>
    <w:basedOn w:val="1"/>
    <w:autoRedefine/>
    <w:qFormat/>
    <w:uiPriority w:val="0"/>
    <w:rPr>
      <w:rFonts w:ascii="Tahoma" w:hAnsi="Tahoma"/>
      <w:sz w:val="24"/>
      <w:szCs w:val="20"/>
    </w:rPr>
  </w:style>
  <w:style w:type="paragraph" w:customStyle="1" w:styleId="131">
    <w:name w:val="标题 91"/>
    <w:basedOn w:val="1"/>
    <w:next w:val="1"/>
    <w:autoRedefine/>
    <w:unhideWhenUsed/>
    <w:qFormat/>
    <w:uiPriority w:val="0"/>
    <w:pPr>
      <w:keepNext/>
      <w:keepLines/>
      <w:tabs>
        <w:tab w:val="left" w:pos="3780"/>
      </w:tabs>
      <w:spacing w:before="240" w:after="64" w:line="320" w:lineRule="auto"/>
      <w:ind w:left="3780" w:hanging="420"/>
      <w:outlineLvl w:val="8"/>
    </w:pPr>
    <w:rPr>
      <w:rFonts w:ascii="等线 Light" w:hAnsi="等线 Light" w:eastAsia="等线 Light"/>
      <w:szCs w:val="21"/>
    </w:rPr>
  </w:style>
  <w:style w:type="paragraph" w:customStyle="1" w:styleId="132">
    <w:name w:val="Char Char8"/>
    <w:basedOn w:val="1"/>
    <w:autoRedefine/>
    <w:qFormat/>
    <w:uiPriority w:val="0"/>
    <w:rPr>
      <w:rFonts w:ascii="Tahoma" w:hAnsi="Tahoma" w:eastAsia="Times New Roman"/>
      <w:kern w:val="0"/>
      <w:sz w:val="24"/>
      <w:szCs w:val="20"/>
    </w:rPr>
  </w:style>
  <w:style w:type="paragraph" w:customStyle="1" w:styleId="133">
    <w:name w:val="1"/>
    <w:basedOn w:val="1"/>
    <w:next w:val="20"/>
    <w:autoRedefine/>
    <w:qFormat/>
    <w:uiPriority w:val="0"/>
    <w:rPr>
      <w:rFonts w:ascii="宋体" w:hAnsi="Courier New"/>
      <w:szCs w:val="20"/>
    </w:rPr>
  </w:style>
  <w:style w:type="paragraph" w:customStyle="1" w:styleId="134">
    <w:name w:val="表格文本"/>
    <w:basedOn w:val="1"/>
    <w:autoRedefine/>
    <w:qFormat/>
    <w:uiPriority w:val="0"/>
    <w:pPr>
      <w:jc w:val="center"/>
    </w:pPr>
    <w:rPr>
      <w:rFonts w:ascii="Calibri" w:hAnsi="Calibri"/>
      <w:sz w:val="24"/>
      <w:szCs w:val="22"/>
    </w:rPr>
  </w:style>
  <w:style w:type="paragraph" w:customStyle="1" w:styleId="135">
    <w:name w:val="p0"/>
    <w:basedOn w:val="1"/>
    <w:autoRedefine/>
    <w:qFormat/>
    <w:uiPriority w:val="0"/>
    <w:pPr>
      <w:widowControl/>
    </w:pPr>
    <w:rPr>
      <w:kern w:val="0"/>
      <w:szCs w:val="21"/>
    </w:rPr>
  </w:style>
  <w:style w:type="paragraph" w:customStyle="1" w:styleId="136">
    <w:name w:val="列表段落1"/>
    <w:basedOn w:val="1"/>
    <w:autoRedefine/>
    <w:qFormat/>
    <w:uiPriority w:val="34"/>
    <w:pPr>
      <w:spacing w:beforeLines="50" w:afterLines="50"/>
      <w:ind w:firstLine="420" w:firstLineChars="200"/>
    </w:pPr>
    <w:rPr>
      <w:rFonts w:ascii="Calibri" w:hAnsi="Calibri"/>
      <w:sz w:val="24"/>
      <w:szCs w:val="22"/>
    </w:rPr>
  </w:style>
  <w:style w:type="paragraph" w:styleId="137">
    <w:name w:val="List Paragraph"/>
    <w:basedOn w:val="1"/>
    <w:autoRedefine/>
    <w:qFormat/>
    <w:uiPriority w:val="34"/>
    <w:pPr>
      <w:autoSpaceDE w:val="0"/>
      <w:autoSpaceDN w:val="0"/>
      <w:ind w:left="569" w:firstLine="419"/>
      <w:jc w:val="left"/>
    </w:pPr>
    <w:rPr>
      <w:rFonts w:ascii="宋体" w:hAnsi="宋体" w:cs="宋体"/>
      <w:kern w:val="0"/>
      <w:sz w:val="22"/>
      <w:szCs w:val="22"/>
      <w:lang w:val="zh-CN" w:bidi="zh-CN"/>
    </w:rPr>
  </w:style>
  <w:style w:type="paragraph" w:customStyle="1" w:styleId="138">
    <w:name w:val="目录 61"/>
    <w:basedOn w:val="1"/>
    <w:next w:val="1"/>
    <w:autoRedefine/>
    <w:unhideWhenUsed/>
    <w:qFormat/>
    <w:uiPriority w:val="39"/>
    <w:pPr>
      <w:ind w:left="1050"/>
      <w:jc w:val="left"/>
    </w:pPr>
    <w:rPr>
      <w:rFonts w:ascii="等线" w:hAnsi="等线" w:eastAsia="等线"/>
      <w:sz w:val="18"/>
      <w:szCs w:val="18"/>
    </w:rPr>
  </w:style>
  <w:style w:type="paragraph" w:customStyle="1" w:styleId="139">
    <w:name w:val="mh-promp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40">
    <w:name w:val="标题 81"/>
    <w:basedOn w:val="1"/>
    <w:next w:val="1"/>
    <w:autoRedefine/>
    <w:unhideWhenUsed/>
    <w:qFormat/>
    <w:uiPriority w:val="0"/>
    <w:pPr>
      <w:keepNext/>
      <w:keepLines/>
      <w:tabs>
        <w:tab w:val="left" w:pos="3360"/>
      </w:tabs>
      <w:spacing w:before="240" w:after="64" w:line="320" w:lineRule="auto"/>
      <w:ind w:left="3360" w:hanging="420"/>
      <w:outlineLvl w:val="7"/>
    </w:pPr>
    <w:rPr>
      <w:rFonts w:ascii="等线 Light" w:hAnsi="等线 Light" w:eastAsia="等线 Light"/>
      <w:sz w:val="24"/>
    </w:rPr>
  </w:style>
  <w:style w:type="paragraph" w:customStyle="1" w:styleId="141">
    <w:name w:val="无间隔1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142">
    <w:name w:val="Char"/>
    <w:basedOn w:val="1"/>
    <w:autoRedefine/>
    <w:qFormat/>
    <w:uiPriority w:val="0"/>
  </w:style>
  <w:style w:type="paragraph" w:customStyle="1" w:styleId="143">
    <w:name w:val="目录 11"/>
    <w:basedOn w:val="1"/>
    <w:next w:val="1"/>
    <w:autoRedefine/>
    <w:unhideWhenUsed/>
    <w:qFormat/>
    <w:uiPriority w:val="39"/>
    <w:pPr>
      <w:spacing w:before="120" w:after="120"/>
      <w:jc w:val="left"/>
    </w:pPr>
    <w:rPr>
      <w:rFonts w:ascii="等线" w:hAnsi="等线" w:eastAsia="等线"/>
      <w:b/>
      <w:bCs/>
      <w:caps/>
      <w:sz w:val="20"/>
      <w:szCs w:val="20"/>
    </w:rPr>
  </w:style>
  <w:style w:type="paragraph" w:customStyle="1" w:styleId="144">
    <w:name w:val="列出段落1"/>
    <w:basedOn w:val="1"/>
    <w:autoRedefine/>
    <w:qFormat/>
    <w:uiPriority w:val="34"/>
    <w:pPr>
      <w:ind w:firstLine="420" w:firstLineChars="200"/>
    </w:pPr>
  </w:style>
  <w:style w:type="paragraph" w:customStyle="1" w:styleId="145">
    <w:name w:val="标题 11"/>
    <w:basedOn w:val="1"/>
    <w:next w:val="1"/>
    <w:autoRedefine/>
    <w:qFormat/>
    <w:uiPriority w:val="0"/>
    <w:pPr>
      <w:keepNext/>
      <w:keepLines/>
      <w:pageBreakBefore/>
      <w:tabs>
        <w:tab w:val="left" w:pos="1080"/>
      </w:tabs>
      <w:spacing w:line="578" w:lineRule="auto"/>
      <w:ind w:left="1080" w:hanging="1080"/>
      <w:jc w:val="left"/>
      <w:outlineLvl w:val="0"/>
    </w:pPr>
    <w:rPr>
      <w:rFonts w:ascii="微软雅黑" w:hAnsi="微软雅黑" w:eastAsia="微软雅黑" w:cs="仿宋"/>
      <w:b/>
      <w:color w:val="000000"/>
      <w:sz w:val="32"/>
      <w:szCs w:val="32"/>
    </w:rPr>
  </w:style>
  <w:style w:type="paragraph" w:customStyle="1" w:styleId="146">
    <w:name w:val="目录 71"/>
    <w:basedOn w:val="1"/>
    <w:next w:val="1"/>
    <w:autoRedefine/>
    <w:unhideWhenUsed/>
    <w:qFormat/>
    <w:uiPriority w:val="39"/>
    <w:pPr>
      <w:ind w:left="1260"/>
      <w:jc w:val="left"/>
    </w:pPr>
    <w:rPr>
      <w:rFonts w:ascii="等线" w:hAnsi="等线" w:eastAsia="等线"/>
      <w:sz w:val="18"/>
      <w:szCs w:val="18"/>
    </w:rPr>
  </w:style>
  <w:style w:type="paragraph" w:customStyle="1" w:styleId="147">
    <w:name w:val="修订1"/>
    <w:autoRedefine/>
    <w:semiHidden/>
    <w:qFormat/>
    <w:uiPriority w:val="99"/>
    <w:rPr>
      <w:rFonts w:ascii="Times New Roman" w:hAnsi="Times New Roman" w:eastAsia="宋体" w:cs="Times New Roman"/>
      <w:kern w:val="2"/>
      <w:sz w:val="21"/>
      <w:lang w:val="en-US" w:eastAsia="zh-CN" w:bidi="ar-SA"/>
    </w:rPr>
  </w:style>
  <w:style w:type="paragraph" w:customStyle="1" w:styleId="148">
    <w:name w:val="表格标题"/>
    <w:basedOn w:val="134"/>
    <w:autoRedefine/>
    <w:qFormat/>
    <w:uiPriority w:val="0"/>
    <w:pPr>
      <w:spacing w:line="360" w:lineRule="auto"/>
    </w:pPr>
    <w:rPr>
      <w:b/>
    </w:rPr>
  </w:style>
  <w:style w:type="paragraph" w:customStyle="1" w:styleId="149">
    <w:name w:val="标准正文 S"/>
    <w:basedOn w:val="1"/>
    <w:autoRedefine/>
    <w:qFormat/>
    <w:uiPriority w:val="0"/>
    <w:pPr>
      <w:spacing w:beforeLines="50" w:afterLines="50" w:line="360" w:lineRule="auto"/>
      <w:ind w:firstLine="480"/>
      <w:jc w:val="left"/>
    </w:pPr>
    <w:rPr>
      <w:rFonts w:ascii="Calibri" w:hAnsi="Calibri"/>
      <w:sz w:val="24"/>
    </w:rPr>
  </w:style>
  <w:style w:type="paragraph" w:customStyle="1" w:styleId="150">
    <w:name w:val="题注1"/>
    <w:basedOn w:val="1"/>
    <w:next w:val="1"/>
    <w:autoRedefine/>
    <w:unhideWhenUsed/>
    <w:qFormat/>
    <w:uiPriority w:val="0"/>
    <w:pPr>
      <w:keepNext/>
      <w:spacing w:line="360" w:lineRule="auto"/>
      <w:jc w:val="center"/>
    </w:pPr>
    <w:rPr>
      <w:rFonts w:ascii="Cambria" w:hAnsi="Cambria"/>
      <w:b/>
      <w:color w:val="000000"/>
      <w:szCs w:val="20"/>
    </w:rPr>
  </w:style>
  <w:style w:type="paragraph" w:customStyle="1" w:styleId="151">
    <w:name w:val="目录 31"/>
    <w:basedOn w:val="1"/>
    <w:next w:val="1"/>
    <w:autoRedefine/>
    <w:unhideWhenUsed/>
    <w:qFormat/>
    <w:uiPriority w:val="39"/>
    <w:pPr>
      <w:ind w:left="420"/>
      <w:jc w:val="left"/>
    </w:pPr>
    <w:rPr>
      <w:rFonts w:ascii="等线" w:hAnsi="等线" w:eastAsia="等线"/>
      <w:i/>
      <w:iCs/>
      <w:sz w:val="20"/>
      <w:szCs w:val="20"/>
    </w:rPr>
  </w:style>
  <w:style w:type="paragraph" w:customStyle="1" w:styleId="152">
    <w:name w:val="目录 21"/>
    <w:basedOn w:val="1"/>
    <w:next w:val="1"/>
    <w:autoRedefine/>
    <w:unhideWhenUsed/>
    <w:qFormat/>
    <w:uiPriority w:val="39"/>
    <w:pPr>
      <w:tabs>
        <w:tab w:val="right" w:leader="dot" w:pos="9742"/>
      </w:tabs>
      <w:spacing w:line="240" w:lineRule="exact"/>
      <w:ind w:left="210"/>
      <w:jc w:val="left"/>
    </w:pPr>
    <w:rPr>
      <w:rFonts w:ascii="等线" w:hAnsi="等线" w:eastAsia="等线"/>
      <w:smallCaps/>
      <w:sz w:val="20"/>
      <w:szCs w:val="20"/>
    </w:rPr>
  </w:style>
  <w:style w:type="paragraph" w:customStyle="1" w:styleId="153">
    <w:name w:val="目录 51"/>
    <w:basedOn w:val="1"/>
    <w:next w:val="1"/>
    <w:autoRedefine/>
    <w:unhideWhenUsed/>
    <w:qFormat/>
    <w:uiPriority w:val="39"/>
    <w:pPr>
      <w:ind w:left="840"/>
      <w:jc w:val="left"/>
    </w:pPr>
    <w:rPr>
      <w:rFonts w:ascii="等线" w:hAnsi="等线" w:eastAsia="等线"/>
      <w:sz w:val="18"/>
      <w:szCs w:val="18"/>
    </w:rPr>
  </w:style>
  <w:style w:type="paragraph" w:customStyle="1" w:styleId="154">
    <w:name w:val="3 级标题"/>
    <w:basedOn w:val="4"/>
    <w:autoRedefine/>
    <w:qFormat/>
    <w:uiPriority w:val="0"/>
    <w:pPr>
      <w:spacing w:before="120" w:after="120" w:line="360" w:lineRule="auto"/>
      <w:ind w:left="567" w:right="27" w:rightChars="13" w:hanging="567"/>
      <w:jc w:val="left"/>
    </w:pPr>
    <w:rPr>
      <w:sz w:val="28"/>
    </w:rPr>
  </w:style>
  <w:style w:type="paragraph" w:customStyle="1" w:styleId="155">
    <w:name w:val="Table Paragraph"/>
    <w:basedOn w:val="1"/>
    <w:autoRedefine/>
    <w:qFormat/>
    <w:uiPriority w:val="1"/>
    <w:pPr>
      <w:autoSpaceDE w:val="0"/>
      <w:autoSpaceDN w:val="0"/>
      <w:jc w:val="left"/>
    </w:pPr>
    <w:rPr>
      <w:rFonts w:ascii="宋体" w:hAnsi="宋体" w:cs="宋体"/>
      <w:kern w:val="0"/>
      <w:sz w:val="22"/>
      <w:szCs w:val="22"/>
      <w:lang w:val="zh-CN" w:bidi="zh-CN"/>
    </w:rPr>
  </w:style>
  <w:style w:type="table" w:customStyle="1" w:styleId="156">
    <w:name w:val="网格型1"/>
    <w:basedOn w:val="3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7">
    <w:name w:val="网格型2"/>
    <w:basedOn w:val="33"/>
    <w:autoRedefine/>
    <w:qFormat/>
    <w:uiPriority w:val="39"/>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8">
    <w:name w:val="Table Normal"/>
    <w:autoRedefine/>
    <w:unhideWhenUsed/>
    <w:qFormat/>
    <w:uiPriority w:val="0"/>
    <w:rPr>
      <w:rFonts w:ascii="Arial" w:hAnsi="Arial" w:cs="Arial"/>
      <w:snapToGrid w:val="0"/>
      <w:color w:val="000000"/>
      <w:sz w:val="21"/>
      <w:szCs w:val="21"/>
    </w:rPr>
    <w:tblPr>
      <w:tblCellMar>
        <w:top w:w="0" w:type="dxa"/>
        <w:left w:w="0" w:type="dxa"/>
        <w:bottom w:w="0" w:type="dxa"/>
        <w:right w:w="0" w:type="dxa"/>
      </w:tblCellMar>
    </w:tblPr>
  </w:style>
  <w:style w:type="paragraph" w:customStyle="1" w:styleId="159">
    <w:name w:val="0luhp正文"/>
    <w:autoRedefine/>
    <w:qFormat/>
    <w:uiPriority w:val="0"/>
    <w:pPr>
      <w:widowControl w:val="0"/>
      <w:spacing w:line="440" w:lineRule="exact"/>
      <w:ind w:firstLine="560" w:firstLineChars="200"/>
      <w:jc w:val="both"/>
    </w:pPr>
    <w:rPr>
      <w:rFonts w:ascii="Times New Roman" w:hAnsi="Times New Roman" w:eastAsia="仿宋_GB2312" w:cs="Times New Roman"/>
      <w:sz w:val="28"/>
      <w:szCs w:val="21"/>
      <w:lang w:val="en-US" w:eastAsia="zh-CN" w:bidi="ar-SA"/>
    </w:rPr>
  </w:style>
  <w:style w:type="character" w:customStyle="1" w:styleId="160">
    <w:name w:val="正文首行缩进 Char"/>
    <w:basedOn w:val="57"/>
    <w:link w:val="31"/>
    <w:semiHidden/>
    <w:qFormat/>
    <w:uiPriority w:val="0"/>
  </w:style>
  <w:style w:type="paragraph" w:customStyle="1" w:styleId="161">
    <w:name w:val="Table Text"/>
    <w:basedOn w:val="1"/>
    <w:semiHidden/>
    <w:qFormat/>
    <w:uiPriority w:val="0"/>
    <w:rPr>
      <w:rFonts w:ascii="仿宋" w:hAnsi="仿宋" w:eastAsia="仿宋" w:cs="仿宋"/>
      <w:sz w:val="24"/>
      <w:lang w:eastAsia="en-US"/>
    </w:rPr>
  </w:style>
  <w:style w:type="paragraph" w:customStyle="1" w:styleId="162">
    <w:name w:val="Other|1"/>
    <w:basedOn w:val="1"/>
    <w:qFormat/>
    <w:uiPriority w:val="0"/>
    <w:pPr>
      <w:spacing w:line="480" w:lineRule="auto"/>
      <w:ind w:firstLine="230"/>
    </w:pPr>
    <w:rPr>
      <w:rFonts w:ascii="宋体" w:hAnsi="宋体" w:cs="宋体"/>
      <w:sz w:val="26"/>
      <w:szCs w:val="26"/>
      <w:lang w:val="zh-TW" w:eastAsia="zh-TW" w:bidi="zh-TW"/>
    </w:rPr>
  </w:style>
  <w:style w:type="table" w:customStyle="1" w:styleId="163">
    <w:name w:val="Table Normal1"/>
    <w:autoRedefine/>
    <w:unhideWhenUsed/>
    <w:qFormat/>
    <w:uiPriority w:val="0"/>
    <w:rPr>
      <w:rFonts w:ascii="Arial" w:hAnsi="Arial" w:cs="Arial"/>
      <w:snapToGrid w:val="0"/>
      <w:color w:val="000000"/>
      <w:sz w:val="21"/>
      <w:szCs w:val="21"/>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49545C-CA34-4A0F-8CE7-F9118CD619C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84</Pages>
  <Words>14388</Words>
  <Characters>15639</Characters>
  <Lines>531</Lines>
  <Paragraphs>149</Paragraphs>
  <TotalTime>49</TotalTime>
  <ScaleCrop>false</ScaleCrop>
  <LinksUpToDate>false</LinksUpToDate>
  <CharactersWithSpaces>15775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2026-08-21T05:08:00Z</dcterms:created>
  <dc:creator>微软用户</dc:creator>
  <cp:lastModifiedBy>O_O优雅君！</cp:lastModifiedBy>
  <cp:lastPrinted>2026-09-10T15:07:10Z</cp:lastPrinted>
  <dcterms:modified xsi:type="dcterms:W3CDTF">2026-09-10T15:19:53Z</dcterms:modified>
  <dc:title>医疗设备采购</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9E046CC5A08445CA8EA0FF8891F3DF1F_13</vt:lpwstr>
  </property>
  <property fmtid="{D5CDD505-2E9C-101B-9397-08002B2CF9AE}" pid="4" name="KSOTemplateDocerSaveRecord">
    <vt:lpwstr>eyJoZGlkIjoiMTZhNmJhMDc2NWU2NGZkYzMyNjAzMzVhODAwZmMxOTIiLCJ1c2VySWQiOiIxOTIyMDk4MzIifQ==</vt:lpwstr>
  </property>
</Properties>
</file>