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4F31EF3">
      <w:pPr>
        <w:tabs>
          <w:tab w:val="left" w:pos="1710"/>
        </w:tabs>
        <w:rPr>
          <w:color w:val="auto"/>
          <w:highlight w:val="none"/>
        </w:rPr>
      </w:pPr>
      <w:bookmarkStart w:id="0" w:name="_Toc183682338"/>
      <w:bookmarkStart w:id="1" w:name="_Toc217446030"/>
      <w:r>
        <w:rPr>
          <w:rFonts w:hint="eastAsia"/>
          <w:color w:val="auto"/>
          <w:highlight w:val="none"/>
          <w:lang w:eastAsia="zh-CN"/>
        </w:rPr>
        <w:drawing>
          <wp:anchor distT="0" distB="0" distL="114300" distR="114300" simplePos="0" relativeHeight="251660288" behindDoc="1" locked="0" layoutInCell="1" allowOverlap="1">
            <wp:simplePos x="0" y="0"/>
            <wp:positionH relativeFrom="column">
              <wp:posOffset>-1005840</wp:posOffset>
            </wp:positionH>
            <wp:positionV relativeFrom="paragraph">
              <wp:posOffset>-945515</wp:posOffset>
            </wp:positionV>
            <wp:extent cx="7190740" cy="10781030"/>
            <wp:effectExtent l="0" t="0" r="10160" b="127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25"/>
                    <a:stretch>
                      <a:fillRect/>
                    </a:stretch>
                  </pic:blipFill>
                  <pic:spPr>
                    <a:xfrm>
                      <a:off x="0" y="0"/>
                      <a:ext cx="7190740" cy="10781030"/>
                    </a:xfrm>
                    <a:prstGeom prst="rect">
                      <a:avLst/>
                    </a:prstGeom>
                  </pic:spPr>
                </pic:pic>
              </a:graphicData>
            </a:graphic>
          </wp:anchor>
        </w:drawing>
      </w:r>
    </w:p>
    <w:p w14:paraId="027B4C71">
      <w:pPr>
        <w:tabs>
          <w:tab w:val="left" w:pos="1710"/>
        </w:tabs>
        <w:rPr>
          <w:color w:val="auto"/>
          <w:highlight w:val="none"/>
        </w:rPr>
      </w:pPr>
    </w:p>
    <w:p w14:paraId="10A51048">
      <w:pPr>
        <w:tabs>
          <w:tab w:val="left" w:pos="1710"/>
        </w:tabs>
        <w:rPr>
          <w:color w:val="auto"/>
          <w:highlight w:val="none"/>
        </w:rPr>
      </w:pPr>
    </w:p>
    <w:p w14:paraId="3BEDA09B">
      <w:pPr>
        <w:tabs>
          <w:tab w:val="left" w:pos="1710"/>
        </w:tabs>
        <w:rPr>
          <w:color w:val="auto"/>
          <w:highlight w:val="none"/>
        </w:rPr>
      </w:pPr>
    </w:p>
    <w:p w14:paraId="0D2A4DDC">
      <w:pPr>
        <w:tabs>
          <w:tab w:val="left" w:pos="1710"/>
        </w:tabs>
        <w:rPr>
          <w:color w:val="auto"/>
          <w:highlight w:val="none"/>
        </w:rPr>
      </w:pPr>
    </w:p>
    <w:p w14:paraId="432BA5A0">
      <w:pPr>
        <w:tabs>
          <w:tab w:val="left" w:pos="1710"/>
        </w:tabs>
        <w:rPr>
          <w:color w:val="auto"/>
          <w:highlight w:val="none"/>
        </w:rPr>
      </w:pPr>
      <w:r>
        <w:rPr>
          <w:rFonts w:hint="eastAsia"/>
          <w:color w:val="auto"/>
          <w:highlight w:val="none"/>
          <w:lang w:eastAsia="zh-CN"/>
        </w:rPr>
        <w:drawing>
          <wp:anchor distT="0" distB="0" distL="114300" distR="114300" simplePos="0" relativeHeight="251661312" behindDoc="0" locked="0" layoutInCell="1" allowOverlap="1">
            <wp:simplePos x="0" y="0"/>
            <wp:positionH relativeFrom="column">
              <wp:posOffset>534035</wp:posOffset>
            </wp:positionH>
            <wp:positionV relativeFrom="paragraph">
              <wp:posOffset>-163195</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26"/>
                    <a:stretch>
                      <a:fillRect/>
                    </a:stretch>
                  </pic:blipFill>
                  <pic:spPr>
                    <a:xfrm>
                      <a:off x="0" y="0"/>
                      <a:ext cx="4654550" cy="584200"/>
                    </a:xfrm>
                    <a:prstGeom prst="rect">
                      <a:avLst/>
                    </a:prstGeom>
                  </pic:spPr>
                </pic:pic>
              </a:graphicData>
            </a:graphic>
          </wp:anchor>
        </w:drawing>
      </w:r>
    </w:p>
    <w:p w14:paraId="66E8ABAB">
      <w:pPr>
        <w:tabs>
          <w:tab w:val="left" w:pos="1710"/>
        </w:tabs>
        <w:rPr>
          <w:color w:val="auto"/>
          <w:highlight w:val="none"/>
        </w:rPr>
      </w:pPr>
    </w:p>
    <w:p w14:paraId="394B6CA5">
      <w:pPr>
        <w:tabs>
          <w:tab w:val="left" w:pos="1710"/>
        </w:tabs>
        <w:rPr>
          <w:color w:val="auto"/>
          <w:highlight w:val="none"/>
        </w:rPr>
      </w:pPr>
    </w:p>
    <w:p w14:paraId="7E91C115">
      <w:pPr>
        <w:tabs>
          <w:tab w:val="left" w:pos="1710"/>
        </w:tabs>
        <w:rPr>
          <w:color w:val="auto"/>
          <w:highlight w:val="none"/>
        </w:rPr>
      </w:pPr>
    </w:p>
    <w:p w14:paraId="2A6A134A">
      <w:pPr>
        <w:tabs>
          <w:tab w:val="left" w:pos="1710"/>
        </w:tabs>
        <w:rPr>
          <w:color w:val="auto"/>
          <w:highlight w:val="none"/>
        </w:rPr>
      </w:pPr>
    </w:p>
    <w:p w14:paraId="476A6909">
      <w:pPr>
        <w:tabs>
          <w:tab w:val="left" w:pos="1710"/>
        </w:tabs>
        <w:rPr>
          <w:color w:val="auto"/>
          <w:highlight w:val="none"/>
        </w:rPr>
      </w:pPr>
    </w:p>
    <w:p w14:paraId="22EA6476">
      <w:pPr>
        <w:tabs>
          <w:tab w:val="left" w:pos="1710"/>
        </w:tabs>
        <w:rPr>
          <w:color w:val="auto"/>
          <w:highlight w:val="none"/>
        </w:rPr>
      </w:pPr>
    </w:p>
    <w:p w14:paraId="4EA71B26">
      <w:pPr>
        <w:tabs>
          <w:tab w:val="left" w:pos="1710"/>
        </w:tabs>
        <w:rPr>
          <w:color w:val="auto"/>
          <w:highlight w:val="none"/>
        </w:rPr>
      </w:pPr>
    </w:p>
    <w:tbl>
      <w:tblPr>
        <w:tblStyle w:val="51"/>
        <w:tblW w:w="7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433"/>
      </w:tblGrid>
      <w:tr w14:paraId="19ED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197" w:type="dxa"/>
            <w:gridSpan w:val="2"/>
            <w:tcBorders>
              <w:top w:val="nil"/>
              <w:left w:val="nil"/>
              <w:right w:val="nil"/>
            </w:tcBorders>
            <w:vAlign w:val="top"/>
          </w:tcPr>
          <w:p w14:paraId="51F67458">
            <w:pPr>
              <w:snapToGrid w:val="0"/>
              <w:spacing w:line="240" w:lineRule="atLeast"/>
              <w:jc w:val="center"/>
              <w:rPr>
                <w:rFonts w:hint="eastAsia"/>
                <w:b/>
                <w:color w:val="auto"/>
                <w:sz w:val="60"/>
                <w:szCs w:val="60"/>
                <w:highlight w:val="none"/>
              </w:rPr>
            </w:pPr>
            <w:r>
              <w:rPr>
                <w:rFonts w:hint="eastAsia"/>
                <w:b/>
                <w:color w:val="auto"/>
                <w:sz w:val="60"/>
                <w:szCs w:val="60"/>
                <w:highlight w:val="none"/>
              </w:rPr>
              <w:t xml:space="preserve"> 采购文件</w:t>
            </w:r>
          </w:p>
        </w:tc>
      </w:tr>
      <w:tr w14:paraId="33A4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490808CD">
            <w:pPr>
              <w:rPr>
                <w:b/>
                <w:color w:val="auto"/>
                <w:sz w:val="32"/>
                <w:szCs w:val="32"/>
                <w:highlight w:val="none"/>
              </w:rPr>
            </w:pPr>
            <w:r>
              <w:rPr>
                <w:b/>
                <w:color w:val="auto"/>
                <w:sz w:val="32"/>
                <w:szCs w:val="32"/>
                <w:highlight w:val="none"/>
              </w:rPr>
              <w:t>项目名称：</w:t>
            </w:r>
          </w:p>
        </w:tc>
        <w:tc>
          <w:tcPr>
            <w:tcW w:w="5433" w:type="dxa"/>
            <w:vAlign w:val="center"/>
          </w:tcPr>
          <w:p w14:paraId="2BBF6C80">
            <w:pPr>
              <w:rPr>
                <w:rFonts w:hint="eastAsia" w:eastAsia="宋体"/>
                <w:b/>
                <w:color w:val="auto"/>
                <w:sz w:val="32"/>
                <w:szCs w:val="32"/>
                <w:highlight w:val="none"/>
                <w:lang w:eastAsia="zh-CN"/>
              </w:rPr>
            </w:pPr>
            <w:r>
              <w:rPr>
                <w:rFonts w:hint="eastAsia"/>
                <w:b/>
                <w:color w:val="auto"/>
                <w:sz w:val="32"/>
                <w:szCs w:val="32"/>
                <w:highlight w:val="none"/>
                <w:lang w:eastAsia="zh-CN"/>
              </w:rPr>
              <w:t>铸牢中华民族共同体意识宣传项目</w:t>
            </w:r>
          </w:p>
        </w:tc>
      </w:tr>
      <w:tr w14:paraId="3F05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44CA90A5">
            <w:pPr>
              <w:rPr>
                <w:b/>
                <w:color w:val="auto"/>
                <w:sz w:val="32"/>
                <w:szCs w:val="32"/>
                <w:highlight w:val="none"/>
              </w:rPr>
            </w:pPr>
            <w:r>
              <w:rPr>
                <w:b/>
                <w:color w:val="auto"/>
                <w:sz w:val="32"/>
                <w:szCs w:val="32"/>
                <w:highlight w:val="none"/>
              </w:rPr>
              <w:t>项目编号：</w:t>
            </w:r>
          </w:p>
        </w:tc>
        <w:tc>
          <w:tcPr>
            <w:tcW w:w="5433" w:type="dxa"/>
            <w:vAlign w:val="center"/>
          </w:tcPr>
          <w:p w14:paraId="0D8E92A2">
            <w:pPr>
              <w:rPr>
                <w:rFonts w:hint="eastAsia" w:eastAsia="宋体"/>
                <w:b/>
                <w:color w:val="auto"/>
                <w:sz w:val="32"/>
                <w:szCs w:val="32"/>
                <w:highlight w:val="none"/>
                <w:lang w:eastAsia="zh-CN"/>
              </w:rPr>
            </w:pPr>
            <w:r>
              <w:rPr>
                <w:rFonts w:hint="eastAsia"/>
                <w:b/>
                <w:color w:val="auto"/>
                <w:sz w:val="32"/>
                <w:szCs w:val="32"/>
                <w:highlight w:val="none"/>
                <w:lang w:eastAsia="zh-CN"/>
              </w:rPr>
              <w:t>GXZC2026-C3-002886-JDZB</w:t>
            </w:r>
          </w:p>
        </w:tc>
      </w:tr>
      <w:tr w14:paraId="7295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35560D20">
            <w:pPr>
              <w:rPr>
                <w:b/>
                <w:color w:val="auto"/>
                <w:sz w:val="32"/>
                <w:szCs w:val="32"/>
                <w:highlight w:val="none"/>
              </w:rPr>
            </w:pPr>
            <w:r>
              <w:rPr>
                <w:b/>
                <w:color w:val="auto"/>
                <w:sz w:val="32"/>
                <w:szCs w:val="32"/>
                <w:highlight w:val="none"/>
              </w:rPr>
              <w:t>联系电话：</w:t>
            </w:r>
          </w:p>
        </w:tc>
        <w:tc>
          <w:tcPr>
            <w:tcW w:w="5433" w:type="dxa"/>
            <w:vAlign w:val="center"/>
          </w:tcPr>
          <w:p w14:paraId="6B8FD295">
            <w:pPr>
              <w:rPr>
                <w:rFonts w:hint="eastAsia" w:eastAsia="宋体"/>
                <w:b/>
                <w:color w:val="auto"/>
                <w:sz w:val="32"/>
                <w:szCs w:val="32"/>
                <w:highlight w:val="none"/>
                <w:lang w:eastAsia="zh-CN"/>
              </w:rPr>
            </w:pPr>
            <w:r>
              <w:rPr>
                <w:rFonts w:hint="eastAsia"/>
                <w:b/>
                <w:color w:val="auto"/>
                <w:sz w:val="32"/>
                <w:szCs w:val="32"/>
                <w:highlight w:val="none"/>
                <w:lang w:eastAsia="zh-CN"/>
              </w:rPr>
              <w:t>0771-5782003</w:t>
            </w:r>
          </w:p>
        </w:tc>
      </w:tr>
      <w:tr w14:paraId="3C07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301A4BD7">
            <w:pPr>
              <w:rPr>
                <w:b/>
                <w:color w:val="auto"/>
                <w:sz w:val="32"/>
                <w:szCs w:val="32"/>
                <w:highlight w:val="none"/>
              </w:rPr>
            </w:pPr>
            <w:r>
              <w:rPr>
                <w:rFonts w:hint="eastAsia"/>
                <w:b/>
                <w:color w:val="auto"/>
                <w:sz w:val="32"/>
                <w:szCs w:val="32"/>
                <w:highlight w:val="none"/>
              </w:rPr>
              <w:t>采购方式：</w:t>
            </w:r>
          </w:p>
        </w:tc>
        <w:tc>
          <w:tcPr>
            <w:tcW w:w="5433" w:type="dxa"/>
            <w:vAlign w:val="center"/>
          </w:tcPr>
          <w:p w14:paraId="151C5EE1">
            <w:pPr>
              <w:rPr>
                <w:b/>
                <w:color w:val="auto"/>
                <w:sz w:val="32"/>
                <w:szCs w:val="32"/>
                <w:highlight w:val="none"/>
              </w:rPr>
            </w:pPr>
            <w:r>
              <w:rPr>
                <w:rFonts w:hint="eastAsia"/>
                <w:b/>
                <w:color w:val="auto"/>
                <w:sz w:val="32"/>
                <w:szCs w:val="32"/>
                <w:highlight w:val="none"/>
              </w:rPr>
              <w:t>竞争性磋商</w:t>
            </w:r>
          </w:p>
        </w:tc>
      </w:tr>
    </w:tbl>
    <w:p w14:paraId="0A5F8434">
      <w:pPr>
        <w:tabs>
          <w:tab w:val="left" w:pos="1710"/>
        </w:tabs>
        <w:rPr>
          <w:color w:val="auto"/>
          <w:highlight w:val="none"/>
        </w:rPr>
      </w:pPr>
    </w:p>
    <w:p w14:paraId="3A9286A2">
      <w:pPr>
        <w:rPr>
          <w:color w:val="auto"/>
          <w:highlight w:val="none"/>
        </w:rPr>
      </w:pPr>
    </w:p>
    <w:p w14:paraId="0B92D90C">
      <w:pPr>
        <w:rPr>
          <w:color w:val="auto"/>
          <w:highlight w:val="none"/>
        </w:rPr>
      </w:pPr>
    </w:p>
    <w:p w14:paraId="1E71DC19">
      <w:pPr>
        <w:rPr>
          <w:color w:val="auto"/>
          <w:highlight w:val="none"/>
        </w:rPr>
      </w:pPr>
    </w:p>
    <w:p w14:paraId="37C1740D">
      <w:pPr>
        <w:rPr>
          <w:color w:val="auto"/>
          <w:highlight w:val="none"/>
        </w:rPr>
      </w:pPr>
    </w:p>
    <w:p w14:paraId="23F6D955">
      <w:pPr>
        <w:rPr>
          <w:color w:val="auto"/>
          <w:highlight w:val="none"/>
        </w:rPr>
      </w:pPr>
    </w:p>
    <w:p w14:paraId="34776B52">
      <w:pPr>
        <w:rPr>
          <w:color w:val="auto"/>
          <w:highlight w:val="none"/>
        </w:rPr>
      </w:pPr>
    </w:p>
    <w:p w14:paraId="19A68A9A">
      <w:pPr>
        <w:rPr>
          <w:color w:val="auto"/>
          <w:highlight w:val="none"/>
        </w:rPr>
      </w:pPr>
    </w:p>
    <w:p w14:paraId="4EA3CA01">
      <w:pPr>
        <w:rPr>
          <w:color w:val="auto"/>
          <w:highlight w:val="none"/>
        </w:rPr>
      </w:pPr>
    </w:p>
    <w:p w14:paraId="5CBD49F4">
      <w:pPr>
        <w:rPr>
          <w:color w:val="auto"/>
          <w:highlight w:val="none"/>
        </w:rPr>
      </w:pPr>
    </w:p>
    <w:p w14:paraId="4AC1AA97">
      <w:pPr>
        <w:rPr>
          <w:color w:val="auto"/>
          <w:highlight w:val="none"/>
        </w:rPr>
      </w:pPr>
    </w:p>
    <w:p w14:paraId="74BEE99E">
      <w:pPr>
        <w:rPr>
          <w:color w:val="auto"/>
          <w:highlight w:val="none"/>
        </w:rPr>
      </w:pPr>
    </w:p>
    <w:p w14:paraId="701F9DAE">
      <w:pPr>
        <w:rPr>
          <w:color w:val="auto"/>
          <w:highlight w:val="none"/>
        </w:rPr>
      </w:pPr>
    </w:p>
    <w:p w14:paraId="5A659DF9">
      <w:pPr>
        <w:rPr>
          <w:color w:val="auto"/>
          <w:highlight w:val="none"/>
        </w:rPr>
      </w:pPr>
    </w:p>
    <w:p w14:paraId="328B9F35">
      <w:pPr>
        <w:rPr>
          <w:color w:val="auto"/>
          <w:highlight w:val="none"/>
        </w:rPr>
      </w:pPr>
    </w:p>
    <w:tbl>
      <w:tblPr>
        <w:tblStyle w:val="51"/>
        <w:tblW w:w="8284" w:type="dxa"/>
        <w:jc w:val="center"/>
        <w:tblLayout w:type="fixed"/>
        <w:tblCellMar>
          <w:top w:w="0" w:type="dxa"/>
          <w:left w:w="108" w:type="dxa"/>
          <w:bottom w:w="0" w:type="dxa"/>
          <w:right w:w="108" w:type="dxa"/>
        </w:tblCellMar>
      </w:tblPr>
      <w:tblGrid>
        <w:gridCol w:w="2707"/>
        <w:gridCol w:w="6"/>
        <w:gridCol w:w="5571"/>
      </w:tblGrid>
      <w:tr w14:paraId="2329AB8C">
        <w:tblPrEx>
          <w:tblCellMar>
            <w:top w:w="0" w:type="dxa"/>
            <w:left w:w="108" w:type="dxa"/>
            <w:bottom w:w="0" w:type="dxa"/>
            <w:right w:w="108" w:type="dxa"/>
          </w:tblCellMar>
        </w:tblPrEx>
        <w:trPr>
          <w:trHeight w:val="703" w:hRule="atLeast"/>
          <w:jc w:val="center"/>
        </w:trPr>
        <w:tc>
          <w:tcPr>
            <w:tcW w:w="2707" w:type="dxa"/>
            <w:vAlign w:val="center"/>
          </w:tcPr>
          <w:p w14:paraId="7D1F7BAD">
            <w:pPr>
              <w:autoSpaceDE w:val="0"/>
              <w:autoSpaceDN w:val="0"/>
              <w:adjustRightInd w:val="0"/>
              <w:jc w:val="right"/>
              <w:rPr>
                <w:b/>
                <w:color w:val="auto"/>
                <w:sz w:val="32"/>
                <w:szCs w:val="32"/>
                <w:highlight w:val="none"/>
              </w:rPr>
            </w:pPr>
            <w:r>
              <w:rPr>
                <w:b/>
                <w:color w:val="auto"/>
                <w:sz w:val="32"/>
                <w:szCs w:val="32"/>
                <w:highlight w:val="none"/>
              </w:rPr>
              <w:t xml:space="preserve">  采购人：</w:t>
            </w:r>
          </w:p>
        </w:tc>
        <w:tc>
          <w:tcPr>
            <w:tcW w:w="5577" w:type="dxa"/>
            <w:gridSpan w:val="2"/>
            <w:vAlign w:val="center"/>
          </w:tcPr>
          <w:p w14:paraId="4A781EF7">
            <w:pPr>
              <w:autoSpaceDE w:val="0"/>
              <w:autoSpaceDN w:val="0"/>
              <w:adjustRightInd w:val="0"/>
              <w:jc w:val="left"/>
              <w:rPr>
                <w:rFonts w:hint="eastAsia" w:eastAsia="宋体"/>
                <w:b/>
                <w:color w:val="auto"/>
                <w:sz w:val="32"/>
                <w:szCs w:val="32"/>
                <w:highlight w:val="none"/>
                <w:lang w:eastAsia="zh-CN"/>
              </w:rPr>
            </w:pPr>
            <w:r>
              <w:rPr>
                <w:rFonts w:hint="eastAsia"/>
                <w:b/>
                <w:color w:val="auto"/>
                <w:sz w:val="32"/>
                <w:szCs w:val="32"/>
                <w:highlight w:val="none"/>
                <w:lang w:eastAsia="zh-CN"/>
              </w:rPr>
              <w:t>广西壮族自治区民族宗教事务委员会</w:t>
            </w:r>
          </w:p>
        </w:tc>
      </w:tr>
      <w:tr w14:paraId="315BCB72">
        <w:tblPrEx>
          <w:tblCellMar>
            <w:top w:w="0" w:type="dxa"/>
            <w:left w:w="108" w:type="dxa"/>
            <w:bottom w:w="0" w:type="dxa"/>
            <w:right w:w="108" w:type="dxa"/>
          </w:tblCellMar>
        </w:tblPrEx>
        <w:trPr>
          <w:trHeight w:val="703" w:hRule="atLeast"/>
          <w:jc w:val="center"/>
        </w:trPr>
        <w:tc>
          <w:tcPr>
            <w:tcW w:w="2713" w:type="dxa"/>
            <w:gridSpan w:val="2"/>
            <w:vAlign w:val="top"/>
          </w:tcPr>
          <w:p w14:paraId="6F1AA12A">
            <w:pPr>
              <w:autoSpaceDE w:val="0"/>
              <w:autoSpaceDN w:val="0"/>
              <w:adjustRightInd w:val="0"/>
              <w:jc w:val="right"/>
              <w:rPr>
                <w:b/>
                <w:color w:val="auto"/>
                <w:sz w:val="32"/>
                <w:szCs w:val="32"/>
                <w:highlight w:val="none"/>
              </w:rPr>
            </w:pPr>
            <w:r>
              <w:rPr>
                <w:b/>
                <w:color w:val="auto"/>
                <w:sz w:val="32"/>
                <w:szCs w:val="32"/>
                <w:highlight w:val="none"/>
              </w:rPr>
              <w:t>采购代理机构：</w:t>
            </w:r>
          </w:p>
        </w:tc>
        <w:tc>
          <w:tcPr>
            <w:tcW w:w="5571" w:type="dxa"/>
            <w:vAlign w:val="top"/>
          </w:tcPr>
          <w:p w14:paraId="70051596">
            <w:pPr>
              <w:autoSpaceDE w:val="0"/>
              <w:autoSpaceDN w:val="0"/>
              <w:adjustRightInd w:val="0"/>
              <w:rPr>
                <w:b/>
                <w:color w:val="auto"/>
                <w:sz w:val="32"/>
                <w:szCs w:val="32"/>
                <w:highlight w:val="none"/>
                <w:u w:val="single"/>
              </w:rPr>
            </w:pPr>
            <w:r>
              <w:rPr>
                <w:b/>
                <w:color w:val="auto"/>
                <w:sz w:val="32"/>
                <w:szCs w:val="32"/>
                <w:highlight w:val="none"/>
              </w:rPr>
              <w:t>广西机电设备招标有限公司</w:t>
            </w:r>
          </w:p>
        </w:tc>
      </w:tr>
    </w:tbl>
    <w:p w14:paraId="0F9099B9">
      <w:pPr>
        <w:rPr>
          <w:color w:val="auto"/>
          <w:highlight w:val="none"/>
        </w:rPr>
      </w:pPr>
    </w:p>
    <w:p w14:paraId="2FFCC24A">
      <w:pPr>
        <w:ind w:firstLine="321" w:firstLineChars="100"/>
        <w:jc w:val="center"/>
        <w:rPr>
          <w:b/>
          <w:color w:val="auto"/>
          <w:sz w:val="32"/>
          <w:szCs w:val="32"/>
          <w:highlight w:val="none"/>
        </w:rPr>
        <w:sectPr>
          <w:headerReference r:id="rId3" w:type="first"/>
          <w:footerReference r:id="rId6" w:type="first"/>
          <w:footerReference r:id="rId4" w:type="default"/>
          <w:footerReference r:id="rId5" w:type="even"/>
          <w:type w:val="nextColumn"/>
          <w:pgSz w:w="11906" w:h="16838"/>
          <w:pgMar w:top="1418" w:right="1418" w:bottom="1246" w:left="1418" w:header="851" w:footer="992" w:gutter="0"/>
          <w:pgNumType w:start="0"/>
          <w:cols w:space="720" w:num="1"/>
          <w:titlePg/>
          <w:docGrid w:linePitch="312" w:charSpace="0"/>
        </w:sectPr>
      </w:pPr>
      <w:r>
        <w:rPr>
          <w:b/>
          <w:color w:val="auto"/>
          <w:sz w:val="32"/>
          <w:szCs w:val="32"/>
          <w:highlight w:val="none"/>
        </w:rPr>
        <w:t>202</w:t>
      </w:r>
      <w:r>
        <w:rPr>
          <w:rFonts w:hint="eastAsia"/>
          <w:b/>
          <w:color w:val="auto"/>
          <w:sz w:val="32"/>
          <w:szCs w:val="32"/>
          <w:highlight w:val="none"/>
          <w:lang w:val="en-US" w:eastAsia="zh-CN"/>
        </w:rPr>
        <w:t>6</w:t>
      </w:r>
      <w:r>
        <w:rPr>
          <w:b/>
          <w:color w:val="auto"/>
          <w:sz w:val="32"/>
          <w:szCs w:val="32"/>
          <w:highlight w:val="none"/>
        </w:rPr>
        <w:t>年</w:t>
      </w:r>
      <w:r>
        <w:rPr>
          <w:rFonts w:hint="eastAsia"/>
          <w:b/>
          <w:color w:val="auto"/>
          <w:sz w:val="32"/>
          <w:szCs w:val="32"/>
          <w:highlight w:val="none"/>
          <w:lang w:val="en-US" w:eastAsia="zh-CN"/>
        </w:rPr>
        <w:t>8</w:t>
      </w:r>
      <w:r>
        <w:rPr>
          <w:b/>
          <w:color w:val="auto"/>
          <w:sz w:val="32"/>
          <w:szCs w:val="32"/>
          <w:highlight w:val="none"/>
        </w:rPr>
        <w:t>月</w:t>
      </w:r>
    </w:p>
    <w:p w14:paraId="21FE89ED">
      <w:pPr>
        <w:rPr>
          <w:color w:val="auto"/>
          <w:sz w:val="32"/>
          <w:szCs w:val="32"/>
          <w:highlight w:val="none"/>
        </w:rPr>
      </w:pPr>
    </w:p>
    <w:p w14:paraId="0AF650C0">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2" w:name="_Toc17133"/>
      <w:bookmarkStart w:id="3" w:name="_Toc21930"/>
      <w:r>
        <w:rPr>
          <w:rFonts w:ascii="Times New Roman" w:hAnsi="Times New Roman" w:cs="Times New Roman"/>
          <w:color w:val="auto"/>
          <w:sz w:val="32"/>
          <w:szCs w:val="32"/>
          <w:highlight w:val="none"/>
        </w:rPr>
        <w:t>目    录</w:t>
      </w:r>
      <w:bookmarkEnd w:id="2"/>
      <w:bookmarkEnd w:id="3"/>
    </w:p>
    <w:p w14:paraId="419A5D6C">
      <w:pPr>
        <w:pStyle w:val="33"/>
        <w:tabs>
          <w:tab w:val="right" w:leader="dot" w:pos="9070"/>
          <w:tab w:val="clear" w:pos="8398"/>
        </w:tabs>
        <w:rPr>
          <w:color w:val="auto"/>
          <w:highlight w:val="none"/>
        </w:rPr>
      </w:pPr>
      <w:r>
        <w:rPr>
          <w:rFonts w:ascii="Times New Roman" w:hAnsi="Times New Roman"/>
          <w:color w:val="auto"/>
          <w:highlight w:val="none"/>
        </w:rPr>
        <w:fldChar w:fldCharType="begin"/>
      </w:r>
      <w:r>
        <w:rPr>
          <w:rStyle w:val="57"/>
          <w:rFonts w:ascii="Times New Roman" w:hAnsi="Times New Roman"/>
          <w:color w:val="auto"/>
          <w:highlight w:val="none"/>
        </w:rPr>
        <w:instrText xml:space="preserve"> TOC \o "1-1" \h \z \u </w:instrText>
      </w:r>
      <w:r>
        <w:rPr>
          <w:rFonts w:ascii="Times New Roman" w:hAnsi="Times New Roman"/>
          <w:color w:val="auto"/>
          <w:highlight w:val="none"/>
        </w:rPr>
        <w:fldChar w:fldCharType="separate"/>
      </w: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_Toc19533 </w:instrText>
      </w:r>
      <w:r>
        <w:rPr>
          <w:rFonts w:ascii="Times New Roman" w:hAnsi="Times New Roman"/>
          <w:color w:val="auto"/>
          <w:szCs w:val="28"/>
          <w:highlight w:val="none"/>
        </w:rPr>
        <w:fldChar w:fldCharType="separate"/>
      </w:r>
      <w:r>
        <w:rPr>
          <w:rFonts w:ascii="Times New Roman" w:hAnsi="Times New Roman" w:cs="Times New Roman"/>
          <w:color w:val="auto"/>
          <w:szCs w:val="32"/>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_Toc19533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color w:val="auto"/>
          <w:szCs w:val="28"/>
          <w:highlight w:val="none"/>
        </w:rPr>
        <w:fldChar w:fldCharType="end"/>
      </w:r>
    </w:p>
    <w:p w14:paraId="21CB0954">
      <w:pPr>
        <w:pStyle w:val="33"/>
        <w:tabs>
          <w:tab w:val="right" w:leader="dot" w:pos="9070"/>
          <w:tab w:val="clear" w:pos="8398"/>
        </w:tabs>
        <w:rPr>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_Toc26542 </w:instrText>
      </w:r>
      <w:r>
        <w:rPr>
          <w:rFonts w:ascii="Times New Roman" w:hAnsi="Times New Roman"/>
          <w:color w:val="auto"/>
          <w:szCs w:val="28"/>
          <w:highlight w:val="none"/>
        </w:rPr>
        <w:fldChar w:fldCharType="separate"/>
      </w:r>
      <w:r>
        <w:rPr>
          <w:rFonts w:ascii="Times New Roman" w:hAnsi="Times New Roman" w:cs="Times New Roman"/>
          <w:color w:val="auto"/>
          <w:szCs w:val="32"/>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_Toc26542 \h </w:instrText>
      </w:r>
      <w:r>
        <w:rPr>
          <w:color w:val="auto"/>
          <w:highlight w:val="none"/>
        </w:rPr>
        <w:fldChar w:fldCharType="separate"/>
      </w:r>
      <w:r>
        <w:rPr>
          <w:color w:val="auto"/>
          <w:highlight w:val="none"/>
        </w:rPr>
        <w:t>6</w:t>
      </w:r>
      <w:r>
        <w:rPr>
          <w:color w:val="auto"/>
          <w:highlight w:val="none"/>
        </w:rPr>
        <w:fldChar w:fldCharType="end"/>
      </w:r>
      <w:r>
        <w:rPr>
          <w:rFonts w:ascii="Times New Roman" w:hAnsi="Times New Roman"/>
          <w:color w:val="auto"/>
          <w:szCs w:val="28"/>
          <w:highlight w:val="none"/>
        </w:rPr>
        <w:fldChar w:fldCharType="end"/>
      </w:r>
    </w:p>
    <w:p w14:paraId="05CFBB65">
      <w:pPr>
        <w:pStyle w:val="33"/>
        <w:tabs>
          <w:tab w:val="right" w:leader="dot" w:pos="9070"/>
          <w:tab w:val="clear" w:pos="8398"/>
        </w:tabs>
        <w:rPr>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_Toc27677 </w:instrText>
      </w:r>
      <w:r>
        <w:rPr>
          <w:rFonts w:ascii="Times New Roman" w:hAnsi="Times New Roman"/>
          <w:color w:val="auto"/>
          <w:szCs w:val="28"/>
          <w:highlight w:val="none"/>
        </w:rPr>
        <w:fldChar w:fldCharType="separate"/>
      </w:r>
      <w:r>
        <w:rPr>
          <w:rFonts w:ascii="Times New Roman" w:hAnsi="Times New Roman" w:cs="Times New Roman"/>
          <w:color w:val="auto"/>
          <w:szCs w:val="32"/>
          <w:highlight w:val="none"/>
        </w:rPr>
        <w:t>第三章  供应商须知</w:t>
      </w:r>
      <w:r>
        <w:rPr>
          <w:color w:val="auto"/>
          <w:highlight w:val="none"/>
        </w:rPr>
        <w:tab/>
      </w:r>
      <w:r>
        <w:rPr>
          <w:color w:val="auto"/>
          <w:highlight w:val="none"/>
        </w:rPr>
        <w:fldChar w:fldCharType="begin"/>
      </w:r>
      <w:r>
        <w:rPr>
          <w:color w:val="auto"/>
          <w:highlight w:val="none"/>
        </w:rPr>
        <w:instrText xml:space="preserve"> PAGEREF _Toc27677 \h </w:instrText>
      </w:r>
      <w:r>
        <w:rPr>
          <w:color w:val="auto"/>
          <w:highlight w:val="none"/>
        </w:rPr>
        <w:fldChar w:fldCharType="separate"/>
      </w:r>
      <w:r>
        <w:rPr>
          <w:color w:val="auto"/>
          <w:highlight w:val="none"/>
        </w:rPr>
        <w:t>45</w:t>
      </w:r>
      <w:r>
        <w:rPr>
          <w:color w:val="auto"/>
          <w:highlight w:val="none"/>
        </w:rPr>
        <w:fldChar w:fldCharType="end"/>
      </w:r>
      <w:r>
        <w:rPr>
          <w:rFonts w:ascii="Times New Roman" w:hAnsi="Times New Roman"/>
          <w:color w:val="auto"/>
          <w:szCs w:val="28"/>
          <w:highlight w:val="none"/>
        </w:rPr>
        <w:fldChar w:fldCharType="end"/>
      </w:r>
    </w:p>
    <w:p w14:paraId="385A0700">
      <w:pPr>
        <w:pStyle w:val="33"/>
        <w:tabs>
          <w:tab w:val="right" w:leader="dot" w:pos="9070"/>
          <w:tab w:val="clear" w:pos="8398"/>
        </w:tabs>
        <w:rPr>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_Toc7630 </w:instrText>
      </w:r>
      <w:r>
        <w:rPr>
          <w:rFonts w:ascii="Times New Roman" w:hAnsi="Times New Roman"/>
          <w:color w:val="auto"/>
          <w:szCs w:val="28"/>
          <w:highlight w:val="none"/>
        </w:rPr>
        <w:fldChar w:fldCharType="separate"/>
      </w:r>
      <w:r>
        <w:rPr>
          <w:rFonts w:ascii="Times New Roman" w:hAnsi="Times New Roman" w:cs="Times New Roman"/>
          <w:color w:val="auto"/>
          <w:szCs w:val="32"/>
          <w:highlight w:val="none"/>
        </w:rPr>
        <w:t>第四章  评审方法及标准</w:t>
      </w:r>
      <w:r>
        <w:rPr>
          <w:color w:val="auto"/>
          <w:highlight w:val="none"/>
        </w:rPr>
        <w:tab/>
      </w:r>
      <w:r>
        <w:rPr>
          <w:color w:val="auto"/>
          <w:highlight w:val="none"/>
        </w:rPr>
        <w:fldChar w:fldCharType="begin"/>
      </w:r>
      <w:r>
        <w:rPr>
          <w:color w:val="auto"/>
          <w:highlight w:val="none"/>
        </w:rPr>
        <w:instrText xml:space="preserve"> PAGEREF _Toc7630 \h </w:instrText>
      </w:r>
      <w:r>
        <w:rPr>
          <w:color w:val="auto"/>
          <w:highlight w:val="none"/>
        </w:rPr>
        <w:fldChar w:fldCharType="separate"/>
      </w:r>
      <w:r>
        <w:rPr>
          <w:color w:val="auto"/>
          <w:highlight w:val="none"/>
        </w:rPr>
        <w:t>66</w:t>
      </w:r>
      <w:r>
        <w:rPr>
          <w:color w:val="auto"/>
          <w:highlight w:val="none"/>
        </w:rPr>
        <w:fldChar w:fldCharType="end"/>
      </w:r>
      <w:r>
        <w:rPr>
          <w:rFonts w:ascii="Times New Roman" w:hAnsi="Times New Roman"/>
          <w:color w:val="auto"/>
          <w:szCs w:val="28"/>
          <w:highlight w:val="none"/>
        </w:rPr>
        <w:fldChar w:fldCharType="end"/>
      </w:r>
    </w:p>
    <w:p w14:paraId="27EB6F46">
      <w:pPr>
        <w:pStyle w:val="33"/>
        <w:tabs>
          <w:tab w:val="right" w:leader="dot" w:pos="9070"/>
          <w:tab w:val="clear" w:pos="8398"/>
        </w:tabs>
        <w:rPr>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_Toc17331 </w:instrText>
      </w:r>
      <w:r>
        <w:rPr>
          <w:rFonts w:ascii="Times New Roman" w:hAnsi="Times New Roman"/>
          <w:color w:val="auto"/>
          <w:szCs w:val="28"/>
          <w:highlight w:val="none"/>
        </w:rPr>
        <w:fldChar w:fldCharType="separate"/>
      </w:r>
      <w:r>
        <w:rPr>
          <w:rFonts w:ascii="Times New Roman" w:hAnsi="Times New Roman" w:cs="Times New Roman"/>
          <w:color w:val="auto"/>
          <w:szCs w:val="32"/>
          <w:highlight w:val="none"/>
        </w:rPr>
        <w:t>第五章  合同主要条款格式</w:t>
      </w:r>
      <w:r>
        <w:rPr>
          <w:color w:val="auto"/>
          <w:highlight w:val="none"/>
        </w:rPr>
        <w:tab/>
      </w:r>
      <w:r>
        <w:rPr>
          <w:color w:val="auto"/>
          <w:highlight w:val="none"/>
        </w:rPr>
        <w:fldChar w:fldCharType="begin"/>
      </w:r>
      <w:r>
        <w:rPr>
          <w:color w:val="auto"/>
          <w:highlight w:val="none"/>
        </w:rPr>
        <w:instrText xml:space="preserve"> PAGEREF _Toc17331 \h </w:instrText>
      </w:r>
      <w:r>
        <w:rPr>
          <w:color w:val="auto"/>
          <w:highlight w:val="none"/>
        </w:rPr>
        <w:fldChar w:fldCharType="separate"/>
      </w:r>
      <w:r>
        <w:rPr>
          <w:color w:val="auto"/>
          <w:highlight w:val="none"/>
        </w:rPr>
        <w:t>78</w:t>
      </w:r>
      <w:r>
        <w:rPr>
          <w:color w:val="auto"/>
          <w:highlight w:val="none"/>
        </w:rPr>
        <w:fldChar w:fldCharType="end"/>
      </w:r>
      <w:r>
        <w:rPr>
          <w:rFonts w:ascii="Times New Roman" w:hAnsi="Times New Roman"/>
          <w:color w:val="auto"/>
          <w:szCs w:val="28"/>
          <w:highlight w:val="none"/>
        </w:rPr>
        <w:fldChar w:fldCharType="end"/>
      </w:r>
    </w:p>
    <w:p w14:paraId="73240C1E">
      <w:pPr>
        <w:pStyle w:val="33"/>
        <w:tabs>
          <w:tab w:val="right" w:leader="dot" w:pos="9070"/>
          <w:tab w:val="clear" w:pos="8398"/>
        </w:tabs>
        <w:rPr>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_Toc31050 </w:instrText>
      </w:r>
      <w:r>
        <w:rPr>
          <w:rFonts w:ascii="Times New Roman" w:hAnsi="Times New Roman"/>
          <w:color w:val="auto"/>
          <w:szCs w:val="28"/>
          <w:highlight w:val="none"/>
        </w:rPr>
        <w:fldChar w:fldCharType="separate"/>
      </w:r>
      <w:r>
        <w:rPr>
          <w:color w:val="auto"/>
          <w:szCs w:val="32"/>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_Toc31050 \h </w:instrText>
      </w:r>
      <w:r>
        <w:rPr>
          <w:color w:val="auto"/>
          <w:highlight w:val="none"/>
        </w:rPr>
        <w:fldChar w:fldCharType="separate"/>
      </w:r>
      <w:r>
        <w:rPr>
          <w:color w:val="auto"/>
          <w:highlight w:val="none"/>
        </w:rPr>
        <w:t>88</w:t>
      </w:r>
      <w:r>
        <w:rPr>
          <w:color w:val="auto"/>
          <w:highlight w:val="none"/>
        </w:rPr>
        <w:fldChar w:fldCharType="end"/>
      </w:r>
      <w:r>
        <w:rPr>
          <w:rFonts w:ascii="Times New Roman" w:hAnsi="Times New Roman"/>
          <w:color w:val="auto"/>
          <w:szCs w:val="28"/>
          <w:highlight w:val="none"/>
        </w:rPr>
        <w:fldChar w:fldCharType="end"/>
      </w:r>
    </w:p>
    <w:p w14:paraId="2AF7B7FD">
      <w:pPr>
        <w:pStyle w:val="33"/>
        <w:ind w:firstLine="241"/>
        <w:rPr>
          <w:rFonts w:ascii="Times New Roman" w:hAnsi="Times New Roman"/>
          <w:color w:val="auto"/>
          <w:sz w:val="28"/>
          <w:szCs w:val="28"/>
          <w:highlight w:val="none"/>
        </w:rPr>
      </w:pPr>
      <w:r>
        <w:rPr>
          <w:rFonts w:ascii="Times New Roman" w:hAnsi="Times New Roman"/>
          <w:color w:val="auto"/>
          <w:szCs w:val="28"/>
          <w:highlight w:val="none"/>
        </w:rPr>
        <w:fldChar w:fldCharType="end"/>
      </w:r>
    </w:p>
    <w:p w14:paraId="69F13192">
      <w:pPr>
        <w:spacing w:before="120" w:beforeLines="50" w:line="480" w:lineRule="exact"/>
        <w:rPr>
          <w:color w:val="auto"/>
          <w:sz w:val="28"/>
          <w:szCs w:val="28"/>
          <w:highlight w:val="none"/>
        </w:rPr>
      </w:pPr>
    </w:p>
    <w:p w14:paraId="0B7F1FB1">
      <w:pPr>
        <w:spacing w:before="120" w:beforeLines="50" w:line="480" w:lineRule="exact"/>
        <w:rPr>
          <w:color w:val="auto"/>
          <w:sz w:val="30"/>
          <w:highlight w:val="none"/>
        </w:rPr>
        <w:sectPr>
          <w:headerReference r:id="rId7" w:type="first"/>
          <w:pgSz w:w="11906" w:h="16838"/>
          <w:pgMar w:top="1418" w:right="1418" w:bottom="1246" w:left="1418" w:header="851" w:footer="992" w:gutter="0"/>
          <w:pgNumType w:start="0"/>
          <w:cols w:space="720" w:num="1"/>
          <w:titlePg/>
          <w:docGrid w:linePitch="312" w:charSpace="0"/>
        </w:sectPr>
      </w:pPr>
    </w:p>
    <w:p w14:paraId="001C187A">
      <w:pPr>
        <w:rPr>
          <w:color w:val="auto"/>
          <w:highlight w:val="none"/>
        </w:rPr>
      </w:pPr>
      <w:bookmarkStart w:id="4" w:name="_Toc254970630"/>
      <w:bookmarkStart w:id="5" w:name="_Toc254970489"/>
    </w:p>
    <w:p w14:paraId="64B897E1">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6" w:name="_Toc19533"/>
      <w:r>
        <w:rPr>
          <w:rFonts w:ascii="Times New Roman" w:hAnsi="Times New Roman" w:cs="Times New Roman"/>
          <w:color w:val="auto"/>
          <w:sz w:val="32"/>
          <w:szCs w:val="32"/>
          <w:highlight w:val="none"/>
        </w:rPr>
        <w:t xml:space="preserve">第一章  </w:t>
      </w:r>
      <w:bookmarkEnd w:id="4"/>
      <w:bookmarkEnd w:id="5"/>
      <w:r>
        <w:rPr>
          <w:rFonts w:ascii="Times New Roman" w:hAnsi="Times New Roman" w:cs="Times New Roman"/>
          <w:color w:val="auto"/>
          <w:sz w:val="32"/>
          <w:szCs w:val="32"/>
          <w:highlight w:val="none"/>
        </w:rPr>
        <w:t>竞争性磋商公告</w:t>
      </w:r>
      <w:bookmarkEnd w:id="6"/>
    </w:p>
    <w:p w14:paraId="43D3557C">
      <w:pPr>
        <w:spacing w:line="400" w:lineRule="exact"/>
        <w:jc w:val="center"/>
        <w:rPr>
          <w:color w:val="auto"/>
          <w:kern w:val="0"/>
          <w:sz w:val="24"/>
          <w:highlight w:val="none"/>
        </w:rPr>
      </w:pPr>
      <w:r>
        <w:rPr>
          <w:color w:val="auto"/>
          <w:kern w:val="0"/>
          <w:sz w:val="24"/>
          <w:highlight w:val="none"/>
        </w:rPr>
        <w:t>广西机电设备招标有限公司关于</w:t>
      </w:r>
      <w:r>
        <w:rPr>
          <w:rFonts w:hint="eastAsia"/>
          <w:color w:val="auto"/>
          <w:kern w:val="0"/>
          <w:sz w:val="24"/>
          <w:highlight w:val="none"/>
          <w:lang w:eastAsia="zh-CN"/>
        </w:rPr>
        <w:t>铸牢中华民族共同体意识宣传项目</w:t>
      </w:r>
      <w:r>
        <w:rPr>
          <w:color w:val="auto"/>
          <w:sz w:val="24"/>
          <w:highlight w:val="none"/>
        </w:rPr>
        <w:t>(</w:t>
      </w:r>
      <w:r>
        <w:rPr>
          <w:rFonts w:hint="eastAsia"/>
          <w:color w:val="auto"/>
          <w:sz w:val="24"/>
          <w:highlight w:val="none"/>
          <w:lang w:eastAsia="zh-CN"/>
        </w:rPr>
        <w:t>GXZC2026-C3-002886-JDZB</w:t>
      </w:r>
      <w:r>
        <w:rPr>
          <w:color w:val="auto"/>
          <w:sz w:val="24"/>
          <w:highlight w:val="none"/>
        </w:rPr>
        <w:t>)</w:t>
      </w:r>
      <w:r>
        <w:rPr>
          <w:color w:val="auto"/>
          <w:kern w:val="0"/>
          <w:sz w:val="24"/>
          <w:highlight w:val="none"/>
        </w:rPr>
        <w:t>竞争性磋商公告</w:t>
      </w:r>
    </w:p>
    <w:p w14:paraId="2F74F0FB">
      <w:pPr>
        <w:spacing w:line="312" w:lineRule="auto"/>
        <w:jc w:val="left"/>
        <w:rPr>
          <w:rFonts w:hint="eastAsia"/>
          <w:b/>
          <w:bCs/>
          <w:color w:val="auto"/>
          <w:kern w:val="0"/>
          <w:sz w:val="22"/>
          <w:szCs w:val="22"/>
          <w:highlight w:val="none"/>
        </w:rPr>
      </w:pPr>
    </w:p>
    <w:p w14:paraId="6E17706F">
      <w:pPr>
        <w:spacing w:line="312" w:lineRule="auto"/>
        <w:ind w:firstLine="420" w:firstLineChars="200"/>
        <w:jc w:val="left"/>
        <w:rPr>
          <w:rFonts w:hint="eastAsia"/>
          <w:b/>
          <w:bCs/>
          <w:color w:val="auto"/>
          <w:kern w:val="0"/>
          <w:sz w:val="22"/>
          <w:szCs w:val="22"/>
          <w:highlight w:val="none"/>
        </w:rPr>
      </w:pPr>
      <w:bookmarkStart w:id="7" w:name="_Hlk132795121"/>
      <w:r>
        <w:rPr>
          <w:rFonts w:hint="eastAsia"/>
          <w:color w:val="auto"/>
          <w:szCs w:val="21"/>
          <w:highlight w:val="none"/>
        </w:rPr>
        <w:t>项目概况：</w:t>
      </w:r>
      <w:r>
        <w:rPr>
          <w:rFonts w:hint="eastAsia"/>
          <w:color w:val="auto"/>
          <w:szCs w:val="21"/>
          <w:highlight w:val="none"/>
          <w:lang w:eastAsia="zh-CN"/>
        </w:rPr>
        <w:t>铸牢中华民族共同体意识宣传项目</w:t>
      </w:r>
      <w:r>
        <w:rPr>
          <w:rFonts w:hint="eastAsia"/>
          <w:color w:val="auto"/>
          <w:szCs w:val="21"/>
          <w:highlight w:val="none"/>
        </w:rPr>
        <w:t>的潜在供应商应在广西政府采购云平台 （https://www.gcy.zfcg.gxzf.gov.cn/）获取采购文件，并于</w:t>
      </w:r>
      <w:r>
        <w:rPr>
          <w:rFonts w:hint="eastAsia"/>
          <w:color w:val="auto"/>
          <w:szCs w:val="21"/>
          <w:highlight w:val="none"/>
          <w:lang w:val="en-US" w:eastAsia="zh-CN"/>
        </w:rPr>
        <w:t>2026</w:t>
      </w:r>
      <w:r>
        <w:rPr>
          <w:rFonts w:hint="eastAsia"/>
          <w:color w:val="auto"/>
          <w:szCs w:val="21"/>
          <w:highlight w:val="none"/>
        </w:rPr>
        <w:t>年</w:t>
      </w:r>
      <w:r>
        <w:rPr>
          <w:rFonts w:hint="eastAsia"/>
          <w:color w:val="auto"/>
          <w:szCs w:val="21"/>
          <w:highlight w:val="none"/>
          <w:lang w:val="en-US" w:eastAsia="zh-CN"/>
        </w:rPr>
        <w:t>9</w:t>
      </w:r>
      <w:r>
        <w:rPr>
          <w:rFonts w:hint="eastAsia"/>
          <w:color w:val="auto"/>
          <w:szCs w:val="21"/>
          <w:highlight w:val="none"/>
        </w:rPr>
        <w:t>月</w:t>
      </w:r>
      <w:r>
        <w:rPr>
          <w:rFonts w:hint="eastAsia"/>
          <w:color w:val="auto"/>
          <w:szCs w:val="21"/>
          <w:highlight w:val="none"/>
          <w:lang w:val="en-US" w:eastAsia="zh-CN"/>
        </w:rPr>
        <w:t>14</w:t>
      </w:r>
      <w:r>
        <w:rPr>
          <w:rFonts w:hint="eastAsia"/>
          <w:color w:val="auto"/>
          <w:szCs w:val="21"/>
          <w:highlight w:val="none"/>
        </w:rPr>
        <w:t>日09:30（北京时间）前提交响应文件。</w:t>
      </w:r>
      <w:bookmarkEnd w:id="7"/>
    </w:p>
    <w:p w14:paraId="694DA628">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一、项目基本情况</w:t>
      </w:r>
    </w:p>
    <w:p w14:paraId="4CCF9604">
      <w:pPr>
        <w:spacing w:line="312" w:lineRule="auto"/>
        <w:ind w:firstLine="420" w:firstLineChars="200"/>
        <w:jc w:val="left"/>
        <w:rPr>
          <w:rFonts w:hint="eastAsia" w:eastAsia="宋体"/>
          <w:color w:val="auto"/>
          <w:kern w:val="0"/>
          <w:szCs w:val="21"/>
          <w:highlight w:val="none"/>
          <w:lang w:eastAsia="zh-CN"/>
        </w:rPr>
      </w:pPr>
      <w:r>
        <w:rPr>
          <w:color w:val="auto"/>
          <w:kern w:val="0"/>
          <w:szCs w:val="21"/>
          <w:highlight w:val="none"/>
        </w:rPr>
        <w:t>项目编号：</w:t>
      </w:r>
      <w:r>
        <w:rPr>
          <w:rFonts w:hint="eastAsia"/>
          <w:color w:val="auto"/>
          <w:kern w:val="0"/>
          <w:szCs w:val="21"/>
          <w:highlight w:val="none"/>
          <w:lang w:eastAsia="zh-CN"/>
        </w:rPr>
        <w:t>GXZC2026-C3-002886-JDZB</w:t>
      </w:r>
    </w:p>
    <w:p w14:paraId="4AEE4796">
      <w:pPr>
        <w:spacing w:line="312" w:lineRule="auto"/>
        <w:ind w:firstLine="420" w:firstLineChars="200"/>
        <w:jc w:val="left"/>
        <w:rPr>
          <w:rFonts w:hint="eastAsia"/>
          <w:color w:val="auto"/>
          <w:kern w:val="0"/>
          <w:szCs w:val="21"/>
          <w:highlight w:val="none"/>
        </w:rPr>
      </w:pPr>
      <w:r>
        <w:rPr>
          <w:color w:val="auto"/>
          <w:kern w:val="0"/>
          <w:szCs w:val="21"/>
          <w:highlight w:val="none"/>
        </w:rPr>
        <w:t>项目名称：</w:t>
      </w:r>
      <w:r>
        <w:rPr>
          <w:rFonts w:hint="eastAsia"/>
          <w:color w:val="auto"/>
          <w:kern w:val="0"/>
          <w:szCs w:val="21"/>
          <w:highlight w:val="none"/>
        </w:rPr>
        <w:t>铸牢中华民族共同体意识宣传项目</w:t>
      </w:r>
    </w:p>
    <w:p w14:paraId="437E6488">
      <w:pPr>
        <w:spacing w:line="312" w:lineRule="auto"/>
        <w:ind w:firstLine="420" w:firstLineChars="200"/>
        <w:jc w:val="left"/>
        <w:rPr>
          <w:color w:val="auto"/>
          <w:kern w:val="0"/>
          <w:szCs w:val="21"/>
          <w:highlight w:val="none"/>
        </w:rPr>
      </w:pPr>
      <w:r>
        <w:rPr>
          <w:rFonts w:hint="eastAsia"/>
          <w:color w:val="auto"/>
          <w:kern w:val="0"/>
          <w:szCs w:val="21"/>
          <w:highlight w:val="none"/>
        </w:rPr>
        <w:t>采购方式：竞争性磋商</w:t>
      </w:r>
    </w:p>
    <w:p w14:paraId="5C3A7BEA">
      <w:pPr>
        <w:spacing w:line="312" w:lineRule="auto"/>
        <w:ind w:firstLine="420" w:firstLineChars="200"/>
        <w:jc w:val="left"/>
        <w:rPr>
          <w:rFonts w:hint="eastAsia" w:eastAsia="宋体"/>
          <w:color w:val="auto"/>
          <w:kern w:val="0"/>
          <w:szCs w:val="21"/>
          <w:highlight w:val="none"/>
          <w:lang w:val="en-US" w:eastAsia="zh-CN"/>
        </w:rPr>
      </w:pPr>
      <w:r>
        <w:rPr>
          <w:color w:val="auto"/>
          <w:kern w:val="0"/>
          <w:szCs w:val="21"/>
          <w:highlight w:val="none"/>
        </w:rPr>
        <w:t>预算</w:t>
      </w:r>
      <w:r>
        <w:rPr>
          <w:rFonts w:hint="eastAsia"/>
          <w:color w:val="auto"/>
          <w:kern w:val="0"/>
          <w:szCs w:val="21"/>
          <w:highlight w:val="none"/>
        </w:rPr>
        <w:t>总</w:t>
      </w:r>
      <w:r>
        <w:rPr>
          <w:color w:val="auto"/>
          <w:kern w:val="0"/>
          <w:szCs w:val="21"/>
          <w:highlight w:val="none"/>
        </w:rPr>
        <w:t>金额</w:t>
      </w:r>
      <w:r>
        <w:rPr>
          <w:rFonts w:hint="eastAsia"/>
          <w:color w:val="auto"/>
          <w:kern w:val="0"/>
          <w:szCs w:val="21"/>
          <w:highlight w:val="none"/>
        </w:rPr>
        <w:t>（元）</w:t>
      </w:r>
      <w:r>
        <w:rPr>
          <w:color w:val="auto"/>
          <w:kern w:val="0"/>
          <w:szCs w:val="21"/>
          <w:highlight w:val="none"/>
        </w:rPr>
        <w:t>：</w:t>
      </w:r>
      <w:r>
        <w:rPr>
          <w:rFonts w:hint="eastAsia"/>
          <w:color w:val="auto"/>
          <w:kern w:val="0"/>
          <w:szCs w:val="21"/>
          <w:highlight w:val="none"/>
          <w:lang w:val="en-US" w:eastAsia="zh-CN"/>
        </w:rPr>
        <w:t>2,400,000.00</w:t>
      </w:r>
    </w:p>
    <w:p w14:paraId="60D848F4">
      <w:pPr>
        <w:spacing w:line="312" w:lineRule="auto"/>
        <w:ind w:firstLine="420" w:firstLineChars="200"/>
        <w:jc w:val="left"/>
        <w:rPr>
          <w:color w:val="auto"/>
          <w:kern w:val="0"/>
          <w:szCs w:val="21"/>
          <w:highlight w:val="none"/>
        </w:rPr>
      </w:pPr>
      <w:r>
        <w:rPr>
          <w:rFonts w:hint="eastAsia"/>
          <w:color w:val="auto"/>
          <w:kern w:val="0"/>
          <w:szCs w:val="21"/>
          <w:highlight w:val="none"/>
        </w:rPr>
        <w:t>采购需求</w:t>
      </w:r>
      <w:r>
        <w:rPr>
          <w:color w:val="auto"/>
          <w:kern w:val="0"/>
          <w:szCs w:val="21"/>
          <w:highlight w:val="none"/>
        </w:rPr>
        <w:t>：</w:t>
      </w:r>
      <w:bookmarkStart w:id="8" w:name="_Hlk77608065"/>
    </w:p>
    <w:p w14:paraId="70106020">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标项一</w:t>
      </w:r>
    </w:p>
    <w:p w14:paraId="67AF9545">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标项名称：铸牢中华民族共同体意识宣传</w:t>
      </w:r>
      <w:r>
        <w:rPr>
          <w:rFonts w:hint="eastAsia"/>
          <w:color w:val="auto"/>
          <w:kern w:val="0"/>
          <w:szCs w:val="21"/>
          <w:highlight w:val="none"/>
          <w:lang w:val="en-US" w:eastAsia="zh-CN"/>
        </w:rPr>
        <w:t>服务一</w:t>
      </w:r>
    </w:p>
    <w:p w14:paraId="6B844D63">
      <w:pPr>
        <w:spacing w:line="312" w:lineRule="auto"/>
        <w:ind w:firstLine="735" w:firstLineChars="350"/>
        <w:jc w:val="left"/>
        <w:rPr>
          <w:rFonts w:hint="eastAsia" w:eastAsia="宋体"/>
          <w:color w:val="auto"/>
          <w:kern w:val="0"/>
          <w:szCs w:val="21"/>
          <w:highlight w:val="none"/>
          <w:lang w:val="en-US" w:eastAsia="zh-CN"/>
        </w:rPr>
      </w:pPr>
      <w:r>
        <w:rPr>
          <w:rFonts w:hint="eastAsia"/>
          <w:color w:val="auto"/>
          <w:kern w:val="0"/>
          <w:szCs w:val="21"/>
          <w:highlight w:val="none"/>
        </w:rPr>
        <w:t>数量：</w:t>
      </w:r>
      <w:r>
        <w:rPr>
          <w:rFonts w:hint="eastAsia"/>
          <w:color w:val="auto"/>
          <w:kern w:val="0"/>
          <w:szCs w:val="21"/>
          <w:highlight w:val="none"/>
          <w:lang w:val="en-US" w:eastAsia="zh-CN"/>
        </w:rPr>
        <w:t>1</w:t>
      </w:r>
    </w:p>
    <w:p w14:paraId="173313E6">
      <w:pPr>
        <w:spacing w:line="312" w:lineRule="auto"/>
        <w:ind w:firstLine="735" w:firstLineChars="350"/>
        <w:jc w:val="left"/>
        <w:rPr>
          <w:rFonts w:hint="eastAsia" w:eastAsia="宋体"/>
          <w:color w:val="auto"/>
          <w:kern w:val="0"/>
          <w:szCs w:val="21"/>
          <w:highlight w:val="none"/>
          <w:lang w:val="en-US" w:eastAsia="zh-CN"/>
        </w:rPr>
      </w:pPr>
      <w:r>
        <w:rPr>
          <w:rFonts w:hint="eastAsia"/>
          <w:color w:val="auto"/>
          <w:kern w:val="0"/>
          <w:szCs w:val="21"/>
          <w:highlight w:val="none"/>
        </w:rPr>
        <w:t>预算金额（元）：</w:t>
      </w:r>
      <w:r>
        <w:rPr>
          <w:rFonts w:hint="eastAsia"/>
          <w:color w:val="auto"/>
          <w:kern w:val="0"/>
          <w:szCs w:val="21"/>
          <w:highlight w:val="none"/>
          <w:lang w:val="en-US" w:eastAsia="zh-CN"/>
        </w:rPr>
        <w:t>200,000.00</w:t>
      </w:r>
    </w:p>
    <w:p w14:paraId="4C4A77D6">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简要规格描述或项目基本概况介绍、用途：铸牢中华民族共同体意识宣传服务1项，具体详见竞争性磋商文件。</w:t>
      </w:r>
    </w:p>
    <w:p w14:paraId="22A70746">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最高限价（如有）：200,000.00</w:t>
      </w:r>
    </w:p>
    <w:p w14:paraId="33726C1B">
      <w:pPr>
        <w:spacing w:line="312" w:lineRule="auto"/>
        <w:ind w:firstLine="735" w:firstLineChars="350"/>
        <w:jc w:val="left"/>
        <w:rPr>
          <w:color w:val="auto"/>
          <w:kern w:val="0"/>
          <w:szCs w:val="21"/>
          <w:highlight w:val="none"/>
        </w:rPr>
      </w:pPr>
      <w:r>
        <w:rPr>
          <w:rFonts w:hint="eastAsia"/>
          <w:color w:val="auto"/>
          <w:kern w:val="0"/>
          <w:szCs w:val="21"/>
          <w:highlight w:val="none"/>
        </w:rPr>
        <w:t>合同履约期限：</w:t>
      </w:r>
      <w:r>
        <w:rPr>
          <w:rFonts w:hint="eastAsia"/>
          <w:color w:val="auto"/>
          <w:kern w:val="0"/>
          <w:szCs w:val="21"/>
          <w:highlight w:val="none"/>
          <w:lang w:val="en-US" w:eastAsia="zh-CN"/>
        </w:rPr>
        <w:t>自签订合同之日起至2027年10月1日</w:t>
      </w:r>
    </w:p>
    <w:p w14:paraId="2FEC4581">
      <w:pPr>
        <w:spacing w:line="312" w:lineRule="auto"/>
        <w:ind w:firstLine="735" w:firstLineChars="350"/>
        <w:jc w:val="left"/>
        <w:rPr>
          <w:color w:val="auto"/>
          <w:kern w:val="0"/>
          <w:szCs w:val="21"/>
          <w:highlight w:val="none"/>
        </w:rPr>
      </w:pPr>
      <w:r>
        <w:rPr>
          <w:color w:val="auto"/>
          <w:kern w:val="0"/>
          <w:szCs w:val="21"/>
          <w:highlight w:val="none"/>
        </w:rPr>
        <w:t>本项目</w:t>
      </w:r>
      <w:r>
        <w:rPr>
          <w:rFonts w:hint="eastAsia"/>
          <w:color w:val="auto"/>
          <w:szCs w:val="21"/>
          <w:highlight w:val="none"/>
        </w:rPr>
        <w:t>/否</w:t>
      </w:r>
      <w:r>
        <w:rPr>
          <w:rFonts w:hint="eastAsia"/>
          <w:color w:val="auto"/>
          <w:kern w:val="0"/>
          <w:szCs w:val="21"/>
          <w:highlight w:val="none"/>
        </w:rPr>
        <w:t>）接受</w:t>
      </w:r>
      <w:r>
        <w:rPr>
          <w:color w:val="auto"/>
          <w:kern w:val="0"/>
          <w:szCs w:val="21"/>
          <w:highlight w:val="none"/>
        </w:rPr>
        <w:t>联合体。</w:t>
      </w:r>
    </w:p>
    <w:p w14:paraId="35D994CD">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rPr>
        <w:t>备注：</w:t>
      </w:r>
      <w:r>
        <w:rPr>
          <w:rFonts w:hint="eastAsia"/>
          <w:color w:val="auto"/>
          <w:kern w:val="0"/>
          <w:szCs w:val="21"/>
          <w:highlight w:val="none"/>
          <w:lang w:val="en-US" w:eastAsia="zh-CN"/>
        </w:rPr>
        <w:t>/</w:t>
      </w:r>
    </w:p>
    <w:p w14:paraId="38D178D9">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标项二</w:t>
      </w:r>
    </w:p>
    <w:p w14:paraId="57B53F40">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标项名称：铸牢中华民族共同体意识宣传服务二</w:t>
      </w:r>
    </w:p>
    <w:p w14:paraId="2B6D628F">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数量：1</w:t>
      </w:r>
    </w:p>
    <w:p w14:paraId="2D28233B">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预算金额（元）：150,000.00</w:t>
      </w:r>
    </w:p>
    <w:p w14:paraId="797B34AB">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简要规格描述或项目基本概况介绍、用途：铸牢中华民族共同体意识宣传服务1项，具体详见竞争性磋商文件。</w:t>
      </w:r>
    </w:p>
    <w:p w14:paraId="4FEBE562">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最高限价（如有）：150,000.00</w:t>
      </w:r>
    </w:p>
    <w:p w14:paraId="58B4EC5F">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合同履约期限：自签订合同之日起至2027年10月1日</w:t>
      </w:r>
    </w:p>
    <w:p w14:paraId="394DD35C">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本项目/否）接受联合体。</w:t>
      </w:r>
    </w:p>
    <w:p w14:paraId="7178181B">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备注：/</w:t>
      </w:r>
    </w:p>
    <w:p w14:paraId="0C2F63B9">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标项三</w:t>
      </w:r>
    </w:p>
    <w:p w14:paraId="44808778">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标项名称：铸牢中华民族共同体意识宣传服务三</w:t>
      </w:r>
    </w:p>
    <w:p w14:paraId="49725017">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数量：1</w:t>
      </w:r>
    </w:p>
    <w:p w14:paraId="5166BAD5">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预算金额（元）：200,000.00</w:t>
      </w:r>
    </w:p>
    <w:p w14:paraId="60462465">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简要规格描述或项目基本概况介绍、用途：铸牢中华民族共同体意识宣传服务1项，具体详见竞争性磋商文件。</w:t>
      </w:r>
    </w:p>
    <w:p w14:paraId="6BBC8335">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最高限价（如有）：200,000.00</w:t>
      </w:r>
    </w:p>
    <w:p w14:paraId="1C5D9B35">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合同履约期限：自签订合同之日起至2027年10月1日</w:t>
      </w:r>
    </w:p>
    <w:p w14:paraId="26B20989">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本项目/否）接受联合体。</w:t>
      </w:r>
    </w:p>
    <w:p w14:paraId="575C45DD">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备注：/</w:t>
      </w:r>
    </w:p>
    <w:p w14:paraId="7D06286D">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标项四</w:t>
      </w:r>
    </w:p>
    <w:p w14:paraId="3AFF0D85">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标项名称：铸牢中华民族共同体意识宣传服务四</w:t>
      </w:r>
    </w:p>
    <w:p w14:paraId="740FFEE3">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数量：1</w:t>
      </w:r>
    </w:p>
    <w:p w14:paraId="3F0EE20A">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预算金额（元）：100,000.00</w:t>
      </w:r>
    </w:p>
    <w:p w14:paraId="45F813E4">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简要规格描述或项目基本概况介绍、用途：铸牢中华民族共同体意识宣传服务1项，具体详见竞争性磋商文件。</w:t>
      </w:r>
    </w:p>
    <w:p w14:paraId="3D477884">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最高限价（如有）：100,000.00</w:t>
      </w:r>
    </w:p>
    <w:p w14:paraId="0294FD9D">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合同履约期限：自签订合同之日起至2027年10月1日</w:t>
      </w:r>
    </w:p>
    <w:p w14:paraId="3C9A6B8E">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本项目/否）接受联合体。</w:t>
      </w:r>
    </w:p>
    <w:p w14:paraId="6C89CC9D">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备注：/</w:t>
      </w:r>
    </w:p>
    <w:p w14:paraId="2341D547">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标项五</w:t>
      </w:r>
    </w:p>
    <w:p w14:paraId="48D82771">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标项名称：铸牢中华民族共同体意识宣传服务五</w:t>
      </w:r>
    </w:p>
    <w:p w14:paraId="354E1217">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数量：1</w:t>
      </w:r>
    </w:p>
    <w:p w14:paraId="520710A8">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预算金额（元）：200,000.00</w:t>
      </w:r>
    </w:p>
    <w:p w14:paraId="5C274435">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简要规格描述或项目基本概况介绍、用途：铸牢中华民族共同体意识宣传服务1项，具体详见竞争性磋商文件。</w:t>
      </w:r>
    </w:p>
    <w:p w14:paraId="34B1F3DD">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最高限价（如有）：200,000.00</w:t>
      </w:r>
    </w:p>
    <w:p w14:paraId="57A1BAC9">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合同履约期限：自签订合同之日起至2027年10月1日</w:t>
      </w:r>
    </w:p>
    <w:p w14:paraId="5F03F1FB">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本项目/否）接受联合体。</w:t>
      </w:r>
    </w:p>
    <w:p w14:paraId="13649950">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备注：/</w:t>
      </w:r>
    </w:p>
    <w:p w14:paraId="3755484E">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标项六</w:t>
      </w:r>
    </w:p>
    <w:p w14:paraId="56C40628">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标项名称：铸牢中华民族共同体意识宣传服务六</w:t>
      </w:r>
    </w:p>
    <w:p w14:paraId="68D129AD">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数量：1</w:t>
      </w:r>
    </w:p>
    <w:p w14:paraId="5FA52E8F">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预算金额（元）：300,000.00</w:t>
      </w:r>
    </w:p>
    <w:p w14:paraId="732ED09C">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简要规格描述或项目基本概况介绍、用途：铸牢中华民族共同体意识宣传服务1项，具体详见竞争性磋商文件。</w:t>
      </w:r>
    </w:p>
    <w:p w14:paraId="76AC2DA3">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最高限价（如有）：300,000.00</w:t>
      </w:r>
    </w:p>
    <w:p w14:paraId="5BE855FD">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合同履约期限：自签订合同之日起至2027年10月1日</w:t>
      </w:r>
    </w:p>
    <w:p w14:paraId="14A4292F">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本项目/否）接受联合体。</w:t>
      </w:r>
    </w:p>
    <w:p w14:paraId="2A89AA9E">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备注：/</w:t>
      </w:r>
    </w:p>
    <w:p w14:paraId="63D9B23A">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标项七</w:t>
      </w:r>
    </w:p>
    <w:p w14:paraId="17489A1F">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标项名称：铸牢中华民族共同体意识宣传服务七</w:t>
      </w:r>
    </w:p>
    <w:p w14:paraId="275C2060">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数量：1</w:t>
      </w:r>
    </w:p>
    <w:p w14:paraId="3FD0628C">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预算金额（元）：350,000.00</w:t>
      </w:r>
    </w:p>
    <w:p w14:paraId="5BA54B6B">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简要规格描述或项目基本概况介绍、用途：铸牢中华民族共同体意识宣传服务1项，具体详见竞争性磋商文件。</w:t>
      </w:r>
    </w:p>
    <w:p w14:paraId="54E81496">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最高限价（如有）：350,000.00</w:t>
      </w:r>
    </w:p>
    <w:p w14:paraId="5CD122A6">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合同履约期限：自签订合同之日起至2027年10月1日</w:t>
      </w:r>
    </w:p>
    <w:p w14:paraId="1AEF32D3">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本项目/否）接受联合体。</w:t>
      </w:r>
    </w:p>
    <w:p w14:paraId="063C7FCD">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备注：/</w:t>
      </w:r>
    </w:p>
    <w:p w14:paraId="34004D11">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标项八</w:t>
      </w:r>
    </w:p>
    <w:p w14:paraId="7F70CE44">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标项名称：铸牢中华民族共同体意识宣传服务八</w:t>
      </w:r>
    </w:p>
    <w:p w14:paraId="5F7CFB40">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数量：1</w:t>
      </w:r>
    </w:p>
    <w:p w14:paraId="288B2046">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预算金额（元）：150,000.00</w:t>
      </w:r>
    </w:p>
    <w:p w14:paraId="24A8D306">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简要规格描述或项目基本概况介绍、用途：铸牢中华民族共同体意识宣传服务1项，具体详见竞争性磋商文件。</w:t>
      </w:r>
    </w:p>
    <w:p w14:paraId="5AE5EF63">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最高限价（如有）：150,000.00</w:t>
      </w:r>
    </w:p>
    <w:p w14:paraId="6744B25D">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合同履约期限：自签订合同之日起至2027年10月1日</w:t>
      </w:r>
    </w:p>
    <w:p w14:paraId="75F640E7">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本项目/否）接受联合体。</w:t>
      </w:r>
    </w:p>
    <w:p w14:paraId="619EB1A1">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备注：/</w:t>
      </w:r>
    </w:p>
    <w:p w14:paraId="5EA44413">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标项九</w:t>
      </w:r>
    </w:p>
    <w:p w14:paraId="22586BD5">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标项名称：铸牢中华民族共同体意识宣传服务九</w:t>
      </w:r>
    </w:p>
    <w:p w14:paraId="3538C02C">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数量：1</w:t>
      </w:r>
    </w:p>
    <w:p w14:paraId="05EFEBD5">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预算金额（元）：150,000.00</w:t>
      </w:r>
    </w:p>
    <w:p w14:paraId="1D629E0C">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简要规格描述或项目基本概况介绍、用途：运维服务1项，具体详见竞争性磋商文件。</w:t>
      </w:r>
    </w:p>
    <w:p w14:paraId="58D02503">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最高限价（如有）：150,000.00</w:t>
      </w:r>
    </w:p>
    <w:p w14:paraId="79451761">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合同履约期限：自签订合同之日起至2027年10月1日</w:t>
      </w:r>
    </w:p>
    <w:p w14:paraId="6D1640EB">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本项目/否）接受联合体。</w:t>
      </w:r>
    </w:p>
    <w:p w14:paraId="2BCC302C">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备注：/</w:t>
      </w:r>
    </w:p>
    <w:p w14:paraId="577BBE5C">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标项十</w:t>
      </w:r>
    </w:p>
    <w:p w14:paraId="2F7E3713">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标项名称：铸牢中华民族共同体意识宣传服务十</w:t>
      </w:r>
    </w:p>
    <w:p w14:paraId="22C64E1F">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数量：1</w:t>
      </w:r>
    </w:p>
    <w:p w14:paraId="779E2669">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预算金额（元）：200,000.00</w:t>
      </w:r>
    </w:p>
    <w:p w14:paraId="6FFBB61F">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简要规格描述或项目基本概况介绍、用途：铸牢中华民族共同体意识宣传服务1项，具体详见竞争性磋商文件。</w:t>
      </w:r>
    </w:p>
    <w:p w14:paraId="0102F64D">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最高限价（如有）：200,000.00</w:t>
      </w:r>
    </w:p>
    <w:p w14:paraId="00C4ED9C">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合同履约期限：自签订合同之日起至2027年10月1日</w:t>
      </w:r>
    </w:p>
    <w:p w14:paraId="5FEFF026">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本项目/否）接受联合体。</w:t>
      </w:r>
    </w:p>
    <w:p w14:paraId="105E0AC1">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备注：/</w:t>
      </w:r>
    </w:p>
    <w:p w14:paraId="3998C844">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标项十一</w:t>
      </w:r>
    </w:p>
    <w:p w14:paraId="40CB051F">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标项名称：铸牢中华民族共同体意识宣传服务十一</w:t>
      </w:r>
    </w:p>
    <w:p w14:paraId="0DC8F765">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数量：1</w:t>
      </w:r>
    </w:p>
    <w:p w14:paraId="1F4DEB10">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预算金额（元）：200,000.00</w:t>
      </w:r>
    </w:p>
    <w:p w14:paraId="7D3E5BB7">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简要规格描述或项目基本概况介绍、用途：铸牢中华民族共同体意识宣传服务1项，具体详见竞争性磋商文件。</w:t>
      </w:r>
    </w:p>
    <w:p w14:paraId="322F53C3">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最高限价（如有）：200,000.00</w:t>
      </w:r>
    </w:p>
    <w:p w14:paraId="62955682">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合同履约期限：自签订合同之日起至2027年10月1日</w:t>
      </w:r>
    </w:p>
    <w:p w14:paraId="78420B00">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本项目/否）接受联合体。</w:t>
      </w:r>
    </w:p>
    <w:p w14:paraId="01928785">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备注：/</w:t>
      </w:r>
    </w:p>
    <w:p w14:paraId="34252B99">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标项十二</w:t>
      </w:r>
    </w:p>
    <w:p w14:paraId="0D39BB16">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标项名称：铸牢中华民族共同体意识宣传服务十二</w:t>
      </w:r>
    </w:p>
    <w:p w14:paraId="17A2412A">
      <w:pPr>
        <w:spacing w:line="312" w:lineRule="auto"/>
        <w:ind w:firstLine="735" w:firstLineChars="350"/>
        <w:jc w:val="left"/>
        <w:rPr>
          <w:rFonts w:hint="default"/>
          <w:color w:val="auto"/>
          <w:kern w:val="0"/>
          <w:szCs w:val="21"/>
          <w:highlight w:val="none"/>
          <w:lang w:val="en-US" w:eastAsia="zh-CN"/>
        </w:rPr>
      </w:pPr>
      <w:r>
        <w:rPr>
          <w:rFonts w:hint="eastAsia"/>
          <w:color w:val="auto"/>
          <w:kern w:val="0"/>
          <w:szCs w:val="21"/>
          <w:highlight w:val="none"/>
          <w:lang w:val="en-US" w:eastAsia="zh-CN"/>
        </w:rPr>
        <w:t>数量：1</w:t>
      </w:r>
    </w:p>
    <w:p w14:paraId="243EDE68">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预算金额（元）：200,000.00</w:t>
      </w:r>
    </w:p>
    <w:p w14:paraId="77B52A58">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简要规格描述或项目基本概况介绍、用途：铸牢中华民族共同体意识宣传服务1项，具体详见竞争性磋商文件。</w:t>
      </w:r>
    </w:p>
    <w:p w14:paraId="3286EF70">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最高限价（如有）：200,000.00</w:t>
      </w:r>
    </w:p>
    <w:p w14:paraId="309DB7BC">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合同履约期限：自签订合同之日起至2027年10月1日</w:t>
      </w:r>
    </w:p>
    <w:p w14:paraId="1329ECDC">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本项目/否）接受联合体。</w:t>
      </w:r>
    </w:p>
    <w:p w14:paraId="1739165F">
      <w:pPr>
        <w:spacing w:line="312" w:lineRule="auto"/>
        <w:ind w:firstLine="735" w:firstLineChars="350"/>
        <w:jc w:val="left"/>
        <w:rPr>
          <w:rFonts w:hint="eastAsia"/>
          <w:color w:val="auto"/>
          <w:kern w:val="0"/>
          <w:szCs w:val="21"/>
          <w:highlight w:val="none"/>
          <w:lang w:val="en-US" w:eastAsia="zh-CN"/>
        </w:rPr>
      </w:pPr>
      <w:r>
        <w:rPr>
          <w:rFonts w:hint="eastAsia"/>
          <w:color w:val="auto"/>
          <w:kern w:val="0"/>
          <w:szCs w:val="21"/>
          <w:highlight w:val="none"/>
          <w:lang w:val="en-US" w:eastAsia="zh-CN"/>
        </w:rPr>
        <w:t>备注：/</w:t>
      </w:r>
    </w:p>
    <w:p w14:paraId="3CCEAE3B">
      <w:pPr>
        <w:pStyle w:val="19"/>
        <w:rPr>
          <w:rFonts w:hint="eastAsia"/>
          <w:color w:val="auto"/>
          <w:highlight w:val="none"/>
          <w:lang w:val="en-US" w:eastAsia="zh-CN"/>
        </w:rPr>
      </w:pPr>
    </w:p>
    <w:bookmarkEnd w:id="8"/>
    <w:p w14:paraId="0AF08DE4">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二、申请人的资格要求</w:t>
      </w:r>
    </w:p>
    <w:p w14:paraId="01850B55">
      <w:pPr>
        <w:spacing w:line="312" w:lineRule="auto"/>
        <w:ind w:firstLine="420" w:firstLineChars="200"/>
        <w:jc w:val="left"/>
        <w:rPr>
          <w:color w:val="auto"/>
          <w:szCs w:val="21"/>
          <w:highlight w:val="none"/>
        </w:rPr>
      </w:pPr>
      <w:r>
        <w:rPr>
          <w:color w:val="auto"/>
          <w:kern w:val="0"/>
          <w:szCs w:val="21"/>
          <w:highlight w:val="none"/>
        </w:rPr>
        <w:t>1</w:t>
      </w:r>
      <w:r>
        <w:rPr>
          <w:rFonts w:hint="eastAsia"/>
          <w:color w:val="auto"/>
          <w:kern w:val="0"/>
          <w:szCs w:val="21"/>
          <w:highlight w:val="none"/>
        </w:rPr>
        <w:t>.满足</w:t>
      </w:r>
      <w:r>
        <w:rPr>
          <w:color w:val="auto"/>
          <w:kern w:val="0"/>
          <w:szCs w:val="21"/>
          <w:highlight w:val="none"/>
        </w:rPr>
        <w:t>《中华人民共和国政府采购法》第二十二条规定；</w:t>
      </w:r>
      <w:r>
        <w:rPr>
          <w:color w:val="auto"/>
          <w:szCs w:val="21"/>
          <w:highlight w:val="none"/>
        </w:rPr>
        <w:t xml:space="preserve"> </w:t>
      </w:r>
    </w:p>
    <w:p w14:paraId="56CEB115">
      <w:pPr>
        <w:spacing w:line="312" w:lineRule="auto"/>
        <w:ind w:firstLine="420" w:firstLineChars="200"/>
        <w:jc w:val="left"/>
        <w:rPr>
          <w:rFonts w:hint="eastAsia"/>
          <w:color w:val="auto"/>
          <w:szCs w:val="21"/>
          <w:highlight w:val="none"/>
        </w:rPr>
      </w:pPr>
      <w:r>
        <w:rPr>
          <w:rFonts w:hint="eastAsia"/>
          <w:color w:val="auto"/>
          <w:szCs w:val="21"/>
          <w:highlight w:val="none"/>
        </w:rPr>
        <w:t>2.落实政府采购政策需满足的资格要求：</w:t>
      </w:r>
      <w:r>
        <w:rPr>
          <w:rFonts w:hint="eastAsia"/>
          <w:color w:val="auto"/>
          <w:kern w:val="0"/>
          <w:szCs w:val="21"/>
          <w:highlight w:val="none"/>
        </w:rPr>
        <w:t>无；</w:t>
      </w:r>
      <w:r>
        <w:rPr>
          <w:strike/>
          <w:color w:val="auto"/>
          <w:kern w:val="0"/>
          <w:szCs w:val="21"/>
          <w:highlight w:val="none"/>
        </w:rPr>
        <w:t xml:space="preserve"> </w:t>
      </w:r>
    </w:p>
    <w:p w14:paraId="0AE99523">
      <w:pPr>
        <w:spacing w:line="312" w:lineRule="auto"/>
        <w:ind w:firstLine="420" w:firstLineChars="200"/>
        <w:jc w:val="left"/>
        <w:rPr>
          <w:rFonts w:hint="eastAsia"/>
          <w:color w:val="auto"/>
          <w:kern w:val="0"/>
          <w:szCs w:val="21"/>
          <w:highlight w:val="none"/>
        </w:rPr>
      </w:pPr>
      <w:r>
        <w:rPr>
          <w:color w:val="auto"/>
          <w:kern w:val="0"/>
          <w:szCs w:val="21"/>
          <w:highlight w:val="none"/>
        </w:rPr>
        <w:t>3</w:t>
      </w:r>
      <w:r>
        <w:rPr>
          <w:rFonts w:hint="eastAsia"/>
          <w:color w:val="auto"/>
          <w:kern w:val="0"/>
          <w:szCs w:val="21"/>
          <w:highlight w:val="none"/>
        </w:rPr>
        <w:t>.本项目的</w:t>
      </w:r>
      <w:r>
        <w:rPr>
          <w:color w:val="auto"/>
          <w:kern w:val="0"/>
          <w:szCs w:val="21"/>
          <w:highlight w:val="none"/>
        </w:rPr>
        <w:t>特定资格</w:t>
      </w:r>
      <w:r>
        <w:rPr>
          <w:rFonts w:hint="eastAsia"/>
          <w:color w:val="auto"/>
          <w:kern w:val="0"/>
          <w:szCs w:val="21"/>
          <w:highlight w:val="none"/>
        </w:rPr>
        <w:t>要求</w:t>
      </w:r>
      <w:r>
        <w:rPr>
          <w:color w:val="auto"/>
          <w:kern w:val="0"/>
          <w:szCs w:val="21"/>
          <w:highlight w:val="none"/>
        </w:rPr>
        <w:t>：</w:t>
      </w:r>
    </w:p>
    <w:p w14:paraId="0058AF42">
      <w:pPr>
        <w:spacing w:line="312" w:lineRule="auto"/>
        <w:ind w:firstLine="420" w:firstLineChars="200"/>
        <w:jc w:val="left"/>
        <w:rPr>
          <w:color w:val="auto"/>
          <w:kern w:val="0"/>
          <w:szCs w:val="21"/>
          <w:highlight w:val="none"/>
        </w:rPr>
      </w:pPr>
      <w:r>
        <w:rPr>
          <w:color w:val="auto"/>
          <w:kern w:val="0"/>
          <w:szCs w:val="21"/>
          <w:highlight w:val="none"/>
        </w:rPr>
        <w:t>（1）资质要求：无。</w:t>
      </w:r>
    </w:p>
    <w:p w14:paraId="339F8A99">
      <w:pPr>
        <w:spacing w:line="312" w:lineRule="auto"/>
        <w:ind w:firstLine="420" w:firstLineChars="200"/>
        <w:jc w:val="left"/>
        <w:rPr>
          <w:rFonts w:hint="eastAsia"/>
          <w:color w:val="auto"/>
          <w:kern w:val="0"/>
          <w:szCs w:val="21"/>
          <w:highlight w:val="none"/>
        </w:rPr>
      </w:pPr>
      <w:r>
        <w:rPr>
          <w:color w:val="auto"/>
          <w:kern w:val="0"/>
          <w:szCs w:val="21"/>
          <w:highlight w:val="none"/>
        </w:rPr>
        <w:t>（2）业绩要求：无。</w:t>
      </w:r>
    </w:p>
    <w:p w14:paraId="45A56404">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w:t>
      </w:r>
      <w:r>
        <w:rPr>
          <w:color w:val="auto"/>
          <w:kern w:val="0"/>
          <w:szCs w:val="21"/>
          <w:highlight w:val="none"/>
        </w:rPr>
        <w:t>3</w:t>
      </w:r>
      <w:r>
        <w:rPr>
          <w:rFonts w:hint="eastAsia"/>
          <w:color w:val="auto"/>
          <w:kern w:val="0"/>
          <w:szCs w:val="21"/>
          <w:highlight w:val="none"/>
        </w:rPr>
        <w:t>）</w:t>
      </w:r>
      <w:r>
        <w:rPr>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Cs w:val="21"/>
          <w:highlight w:val="none"/>
        </w:rPr>
        <w:t>本</w:t>
      </w:r>
      <w:r>
        <w:rPr>
          <w:color w:val="auto"/>
          <w:kern w:val="0"/>
          <w:szCs w:val="21"/>
          <w:highlight w:val="none"/>
        </w:rPr>
        <w:t>项目的采购活动</w:t>
      </w:r>
      <w:r>
        <w:rPr>
          <w:rFonts w:hint="eastAsia"/>
          <w:color w:val="auto"/>
          <w:kern w:val="0"/>
          <w:szCs w:val="21"/>
          <w:highlight w:val="none"/>
        </w:rPr>
        <w:t>。</w:t>
      </w:r>
    </w:p>
    <w:p w14:paraId="5431DD90">
      <w:pPr>
        <w:spacing w:line="312" w:lineRule="auto"/>
        <w:ind w:firstLine="420" w:firstLineChars="200"/>
        <w:jc w:val="left"/>
        <w:rPr>
          <w:color w:val="auto"/>
          <w:kern w:val="0"/>
          <w:szCs w:val="21"/>
          <w:highlight w:val="none"/>
        </w:rPr>
      </w:pPr>
      <w:r>
        <w:rPr>
          <w:rFonts w:hint="eastAsia"/>
          <w:color w:val="auto"/>
          <w:kern w:val="0"/>
          <w:szCs w:val="21"/>
          <w:highlight w:val="none"/>
        </w:rPr>
        <w:t>（</w:t>
      </w:r>
      <w:r>
        <w:rPr>
          <w:rFonts w:hint="eastAsia"/>
          <w:color w:val="auto"/>
          <w:kern w:val="0"/>
          <w:szCs w:val="21"/>
          <w:highlight w:val="none"/>
          <w:lang w:val="en-US" w:eastAsia="zh-CN"/>
        </w:rPr>
        <w:t>4</w:t>
      </w:r>
      <w:r>
        <w:rPr>
          <w:rFonts w:hint="eastAsia"/>
          <w:color w:val="auto"/>
          <w:kern w:val="0"/>
          <w:szCs w:val="21"/>
          <w:highlight w:val="none"/>
        </w:rPr>
        <w:t>）</w:t>
      </w:r>
      <w:r>
        <w:rPr>
          <w:color w:val="auto"/>
          <w:kern w:val="0"/>
          <w:szCs w:val="21"/>
          <w:highlight w:val="none"/>
        </w:rPr>
        <w:t>未被列入失信被执行人、重大税收违法失信主体、政府采购严重违法失信行为记录名单。</w:t>
      </w:r>
    </w:p>
    <w:p w14:paraId="31CE8C70">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w:t>
      </w:r>
      <w:r>
        <w:rPr>
          <w:rFonts w:hint="eastAsia"/>
          <w:color w:val="auto"/>
          <w:kern w:val="0"/>
          <w:szCs w:val="21"/>
          <w:highlight w:val="none"/>
          <w:lang w:val="en-US" w:eastAsia="zh-CN"/>
        </w:rPr>
        <w:t>5</w:t>
      </w:r>
      <w:r>
        <w:rPr>
          <w:rFonts w:hint="eastAsia"/>
          <w:color w:val="auto"/>
          <w:kern w:val="0"/>
          <w:szCs w:val="21"/>
          <w:highlight w:val="none"/>
        </w:rPr>
        <w:t>）本项目允许分公司参与响应。</w:t>
      </w:r>
    </w:p>
    <w:p w14:paraId="1BE4ACCA">
      <w:pPr>
        <w:spacing w:line="312" w:lineRule="auto"/>
        <w:ind w:firstLine="420" w:firstLineChars="200"/>
        <w:jc w:val="left"/>
        <w:rPr>
          <w:color w:val="auto"/>
          <w:kern w:val="0"/>
          <w:szCs w:val="21"/>
          <w:highlight w:val="none"/>
        </w:rPr>
      </w:pPr>
      <w:r>
        <w:rPr>
          <w:rFonts w:hint="eastAsia"/>
          <w:color w:val="auto"/>
          <w:szCs w:val="21"/>
          <w:highlight w:val="none"/>
        </w:rPr>
        <w:t>（</w:t>
      </w:r>
      <w:r>
        <w:rPr>
          <w:rFonts w:hint="eastAsia"/>
          <w:color w:val="auto"/>
          <w:szCs w:val="21"/>
          <w:highlight w:val="none"/>
          <w:lang w:val="en-US" w:eastAsia="zh-CN"/>
        </w:rPr>
        <w:t>6</w:t>
      </w:r>
      <w:r>
        <w:rPr>
          <w:rFonts w:hint="eastAsia"/>
          <w:color w:val="auto"/>
          <w:szCs w:val="21"/>
          <w:highlight w:val="none"/>
        </w:rPr>
        <w:t>）</w:t>
      </w:r>
      <w:r>
        <w:rPr>
          <w:rFonts w:hint="eastAsia"/>
          <w:color w:val="auto"/>
          <w:kern w:val="0"/>
          <w:szCs w:val="21"/>
          <w:highlight w:val="none"/>
        </w:rPr>
        <w:t>本项目不允许分包。</w:t>
      </w:r>
    </w:p>
    <w:p w14:paraId="6D52ABF5">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w:t>
      </w:r>
      <w:r>
        <w:rPr>
          <w:rFonts w:hint="eastAsia"/>
          <w:color w:val="auto"/>
          <w:kern w:val="0"/>
          <w:szCs w:val="21"/>
          <w:highlight w:val="none"/>
          <w:lang w:val="en-US" w:eastAsia="zh-CN"/>
        </w:rPr>
        <w:t>7</w:t>
      </w:r>
      <w:r>
        <w:rPr>
          <w:rFonts w:hint="eastAsia"/>
          <w:color w:val="auto"/>
          <w:kern w:val="0"/>
          <w:szCs w:val="21"/>
          <w:highlight w:val="none"/>
        </w:rPr>
        <w:t>）</w:t>
      </w:r>
      <w:r>
        <w:rPr>
          <w:color w:val="auto"/>
          <w:kern w:val="0"/>
          <w:szCs w:val="21"/>
          <w:highlight w:val="none"/>
        </w:rPr>
        <w:t>本项目不接受联合体。</w:t>
      </w:r>
    </w:p>
    <w:p w14:paraId="10A26E1C">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w:t>
      </w:r>
      <w:r>
        <w:rPr>
          <w:rFonts w:hint="eastAsia"/>
          <w:color w:val="auto"/>
          <w:kern w:val="0"/>
          <w:szCs w:val="21"/>
          <w:highlight w:val="none"/>
          <w:lang w:val="en-US" w:eastAsia="zh-CN"/>
        </w:rPr>
        <w:t>8</w:t>
      </w:r>
      <w:r>
        <w:rPr>
          <w:rFonts w:hint="eastAsia"/>
          <w:color w:val="auto"/>
          <w:kern w:val="0"/>
          <w:szCs w:val="21"/>
          <w:highlight w:val="none"/>
        </w:rPr>
        <w:t>）</w:t>
      </w:r>
      <w:r>
        <w:rPr>
          <w:color w:val="auto"/>
          <w:kern w:val="0"/>
          <w:szCs w:val="21"/>
          <w:highlight w:val="none"/>
        </w:rPr>
        <w:t>按照</w:t>
      </w:r>
      <w:r>
        <w:rPr>
          <w:rFonts w:hint="eastAsia"/>
          <w:color w:val="auto"/>
          <w:highlight w:val="none"/>
        </w:rPr>
        <w:t>磋商</w:t>
      </w:r>
      <w:r>
        <w:rPr>
          <w:color w:val="auto"/>
          <w:kern w:val="0"/>
          <w:szCs w:val="21"/>
          <w:highlight w:val="none"/>
        </w:rPr>
        <w:t>公告的规定获得</w:t>
      </w:r>
      <w:r>
        <w:rPr>
          <w:rFonts w:hint="eastAsia"/>
          <w:color w:val="auto"/>
          <w:highlight w:val="none"/>
        </w:rPr>
        <w:t>采购文件</w:t>
      </w:r>
      <w:r>
        <w:rPr>
          <w:color w:val="auto"/>
          <w:kern w:val="0"/>
          <w:szCs w:val="21"/>
          <w:highlight w:val="none"/>
        </w:rPr>
        <w:t>。</w:t>
      </w:r>
      <w:r>
        <w:rPr>
          <w:rFonts w:hint="eastAsia"/>
          <w:color w:val="auto"/>
          <w:kern w:val="0"/>
          <w:szCs w:val="21"/>
          <w:highlight w:val="none"/>
        </w:rPr>
        <w:t>采购文件有规定时按要求提交磋商保证金。</w:t>
      </w:r>
    </w:p>
    <w:p w14:paraId="43BB7B76">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三、获取采购文件</w:t>
      </w:r>
    </w:p>
    <w:p w14:paraId="50DD54C6">
      <w:pPr>
        <w:spacing w:line="312" w:lineRule="auto"/>
        <w:ind w:firstLine="420" w:firstLineChars="200"/>
        <w:jc w:val="left"/>
        <w:rPr>
          <w:color w:val="auto"/>
          <w:highlight w:val="none"/>
        </w:rPr>
      </w:pPr>
      <w:r>
        <w:rPr>
          <w:rFonts w:hint="eastAsia"/>
          <w:color w:val="auto"/>
          <w:highlight w:val="none"/>
        </w:rPr>
        <w:t>时间：</w:t>
      </w:r>
      <w:r>
        <w:rPr>
          <w:rFonts w:hint="eastAsia"/>
          <w:color w:val="auto"/>
          <w:highlight w:val="none"/>
          <w:u w:val="single"/>
        </w:rPr>
        <w:t>20</w:t>
      </w:r>
      <w:r>
        <w:rPr>
          <w:rFonts w:hint="eastAsia"/>
          <w:color w:val="auto"/>
          <w:highlight w:val="none"/>
          <w:u w:val="single"/>
          <w:lang w:val="en-US" w:eastAsia="zh-CN"/>
        </w:rPr>
        <w:t>26</w:t>
      </w:r>
      <w:r>
        <w:rPr>
          <w:rFonts w:hint="eastAsia"/>
          <w:color w:val="auto"/>
          <w:highlight w:val="none"/>
          <w:u w:val="single"/>
        </w:rPr>
        <w:t>年</w:t>
      </w:r>
      <w:r>
        <w:rPr>
          <w:rFonts w:hint="eastAsia"/>
          <w:color w:val="auto"/>
          <w:highlight w:val="none"/>
          <w:u w:val="single"/>
          <w:lang w:val="en-US" w:eastAsia="zh-CN"/>
        </w:rPr>
        <w:t>8</w:t>
      </w:r>
      <w:r>
        <w:rPr>
          <w:rFonts w:hint="eastAsia"/>
          <w:color w:val="auto"/>
          <w:highlight w:val="none"/>
          <w:u w:val="single"/>
        </w:rPr>
        <w:t>月</w:t>
      </w:r>
      <w:r>
        <w:rPr>
          <w:rFonts w:hint="eastAsia"/>
          <w:color w:val="auto"/>
          <w:highlight w:val="none"/>
          <w:u w:val="single"/>
          <w:lang w:val="en-US" w:eastAsia="zh-CN"/>
        </w:rPr>
        <w:t>31</w:t>
      </w:r>
      <w:r>
        <w:rPr>
          <w:rFonts w:hint="eastAsia"/>
          <w:color w:val="auto"/>
          <w:highlight w:val="none"/>
          <w:u w:val="single"/>
        </w:rPr>
        <w:t>日起至2026年</w:t>
      </w:r>
      <w:r>
        <w:rPr>
          <w:rFonts w:hint="eastAsia"/>
          <w:color w:val="auto"/>
          <w:highlight w:val="none"/>
          <w:u w:val="single"/>
          <w:lang w:val="en-US" w:eastAsia="zh-CN"/>
        </w:rPr>
        <w:t>9</w:t>
      </w:r>
      <w:r>
        <w:rPr>
          <w:rFonts w:hint="eastAsia"/>
          <w:color w:val="auto"/>
          <w:highlight w:val="none"/>
          <w:u w:val="single"/>
        </w:rPr>
        <w:t>月</w:t>
      </w:r>
      <w:r>
        <w:rPr>
          <w:rFonts w:hint="eastAsia"/>
          <w:color w:val="auto"/>
          <w:highlight w:val="none"/>
          <w:u w:val="single"/>
          <w:lang w:val="en-US" w:eastAsia="zh-CN"/>
        </w:rPr>
        <w:t>7</w:t>
      </w:r>
      <w:r>
        <w:rPr>
          <w:rFonts w:hint="eastAsia"/>
          <w:color w:val="auto"/>
          <w:highlight w:val="none"/>
          <w:u w:val="single"/>
        </w:rPr>
        <w:t>日</w:t>
      </w:r>
      <w:r>
        <w:rPr>
          <w:rFonts w:hint="eastAsia"/>
          <w:color w:val="auto"/>
          <w:highlight w:val="none"/>
        </w:rPr>
        <w:t>，每天上午</w:t>
      </w:r>
      <w:r>
        <w:rPr>
          <w:rFonts w:hint="eastAsia"/>
          <w:color w:val="auto"/>
          <w:highlight w:val="none"/>
          <w:u w:val="single"/>
        </w:rPr>
        <w:t>00:00:00至11:59:59，下午12:00:00至23:59:59</w:t>
      </w:r>
      <w:r>
        <w:rPr>
          <w:rFonts w:hint="eastAsia"/>
          <w:color w:val="auto"/>
          <w:highlight w:val="none"/>
        </w:rPr>
        <w:t>（北京时间，法定节假日除外）。</w:t>
      </w:r>
    </w:p>
    <w:p w14:paraId="2F60468D">
      <w:pPr>
        <w:spacing w:line="312" w:lineRule="auto"/>
        <w:ind w:firstLine="420" w:firstLineChars="200"/>
        <w:jc w:val="left"/>
        <w:rPr>
          <w:rFonts w:ascii="Arial" w:hAnsi="Arial" w:cs="Arial"/>
          <w:color w:val="auto"/>
          <w:kern w:val="0"/>
          <w:szCs w:val="21"/>
          <w:highlight w:val="none"/>
        </w:rPr>
      </w:pPr>
      <w:bookmarkStart w:id="9" w:name="_Hlk46137393"/>
      <w:r>
        <w:rPr>
          <w:rFonts w:hint="eastAsia"/>
          <w:color w:val="auto"/>
          <w:highlight w:val="none"/>
        </w:rPr>
        <w:t>地点（网址）：</w:t>
      </w:r>
      <w:bookmarkEnd w:id="9"/>
      <w:r>
        <w:rPr>
          <w:rFonts w:ascii="Arial" w:hAnsi="Arial" w:cs="Arial"/>
          <w:color w:val="auto"/>
          <w:kern w:val="0"/>
          <w:szCs w:val="21"/>
          <w:highlight w:val="none"/>
        </w:rPr>
        <w:t>广西政府采购云平台</w:t>
      </w:r>
      <w:r>
        <w:rPr>
          <w:rFonts w:hint="eastAsia" w:ascii="Arial" w:hAnsi="Arial" w:cs="Arial"/>
          <w:color w:val="auto"/>
          <w:kern w:val="0"/>
          <w:szCs w:val="21"/>
          <w:highlight w:val="none"/>
        </w:rPr>
        <w:t>（https://www.gcy.zfcg.gxzf.gov.cn/）</w:t>
      </w:r>
    </w:p>
    <w:p w14:paraId="2D8135D6">
      <w:pPr>
        <w:spacing w:line="312" w:lineRule="auto"/>
        <w:ind w:firstLine="420" w:firstLineChars="200"/>
        <w:jc w:val="left"/>
        <w:rPr>
          <w:color w:val="auto"/>
          <w:szCs w:val="21"/>
          <w:highlight w:val="none"/>
        </w:rPr>
      </w:pPr>
      <w:r>
        <w:rPr>
          <w:rFonts w:hint="eastAsia"/>
          <w:color w:val="auto"/>
          <w:szCs w:val="21"/>
          <w:highlight w:val="none"/>
        </w:rPr>
        <w:t>方式：供应商登录广西政府采购云平台在线申请获取采购文件（进入“项目采购”应用，在获取采购文件菜单中选择项目，申请获取采购文件）</w:t>
      </w:r>
    </w:p>
    <w:p w14:paraId="00F6D328">
      <w:pPr>
        <w:spacing w:line="312" w:lineRule="auto"/>
        <w:ind w:firstLine="420" w:firstLineChars="200"/>
        <w:jc w:val="left"/>
        <w:rPr>
          <w:color w:val="auto"/>
          <w:highlight w:val="none"/>
        </w:rPr>
      </w:pPr>
      <w:r>
        <w:rPr>
          <w:rFonts w:hint="eastAsia"/>
          <w:color w:val="auto"/>
          <w:highlight w:val="none"/>
        </w:rPr>
        <w:t>售价（元）：</w:t>
      </w:r>
      <w:r>
        <w:rPr>
          <w:color w:val="auto"/>
          <w:highlight w:val="none"/>
        </w:rPr>
        <w:t>0</w:t>
      </w:r>
    </w:p>
    <w:p w14:paraId="4CA84133">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四、响应文件提交</w:t>
      </w:r>
    </w:p>
    <w:p w14:paraId="0ACB1C2D">
      <w:pPr>
        <w:spacing w:line="312" w:lineRule="auto"/>
        <w:ind w:firstLine="420" w:firstLineChars="200"/>
        <w:jc w:val="left"/>
        <w:rPr>
          <w:color w:val="auto"/>
          <w:kern w:val="0"/>
          <w:szCs w:val="21"/>
          <w:highlight w:val="none"/>
        </w:rPr>
      </w:pPr>
      <w:r>
        <w:rPr>
          <w:rFonts w:hint="eastAsia"/>
          <w:color w:val="auto"/>
          <w:kern w:val="0"/>
          <w:szCs w:val="21"/>
          <w:highlight w:val="none"/>
        </w:rPr>
        <w:t>截止时间：</w:t>
      </w:r>
      <w:r>
        <w:rPr>
          <w:rFonts w:hint="eastAsia"/>
          <w:color w:val="auto"/>
          <w:kern w:val="0"/>
          <w:szCs w:val="21"/>
          <w:highlight w:val="none"/>
          <w:u w:val="single"/>
        </w:rPr>
        <w:t>2026年</w:t>
      </w:r>
      <w:r>
        <w:rPr>
          <w:rFonts w:hint="eastAsia"/>
          <w:color w:val="auto"/>
          <w:kern w:val="0"/>
          <w:szCs w:val="21"/>
          <w:highlight w:val="none"/>
          <w:u w:val="single"/>
          <w:lang w:val="en-US" w:eastAsia="zh-CN"/>
        </w:rPr>
        <w:t>9</w:t>
      </w:r>
      <w:r>
        <w:rPr>
          <w:rFonts w:hint="eastAsia"/>
          <w:color w:val="auto"/>
          <w:kern w:val="0"/>
          <w:szCs w:val="21"/>
          <w:highlight w:val="none"/>
          <w:u w:val="single"/>
        </w:rPr>
        <w:t>月</w:t>
      </w:r>
      <w:r>
        <w:rPr>
          <w:rFonts w:hint="eastAsia"/>
          <w:color w:val="auto"/>
          <w:kern w:val="0"/>
          <w:szCs w:val="21"/>
          <w:highlight w:val="none"/>
          <w:u w:val="single"/>
          <w:lang w:val="en-US" w:eastAsia="zh-CN"/>
        </w:rPr>
        <w:t>14</w:t>
      </w:r>
      <w:r>
        <w:rPr>
          <w:rFonts w:hint="eastAsia"/>
          <w:color w:val="auto"/>
          <w:kern w:val="0"/>
          <w:szCs w:val="21"/>
          <w:highlight w:val="none"/>
          <w:u w:val="single"/>
        </w:rPr>
        <w:t>日09:30</w:t>
      </w:r>
      <w:r>
        <w:rPr>
          <w:rFonts w:hint="eastAsia"/>
          <w:color w:val="auto"/>
          <w:kern w:val="0"/>
          <w:szCs w:val="21"/>
          <w:highlight w:val="none"/>
        </w:rPr>
        <w:t>（北京时间）</w:t>
      </w:r>
    </w:p>
    <w:p w14:paraId="2489E963">
      <w:pPr>
        <w:spacing w:line="300" w:lineRule="exact"/>
        <w:ind w:firstLine="420" w:firstLineChars="200"/>
        <w:jc w:val="left"/>
        <w:rPr>
          <w:color w:val="auto"/>
          <w:szCs w:val="21"/>
          <w:highlight w:val="none"/>
        </w:rPr>
      </w:pPr>
      <w:r>
        <w:rPr>
          <w:rFonts w:hint="eastAsia"/>
          <w:color w:val="auto"/>
          <w:kern w:val="0"/>
          <w:szCs w:val="21"/>
          <w:highlight w:val="none"/>
        </w:rPr>
        <w:t>地点（网址）：</w:t>
      </w:r>
      <w:r>
        <w:rPr>
          <w:rFonts w:hint="eastAsia"/>
          <w:color w:val="auto"/>
          <w:szCs w:val="21"/>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w:t>
      </w:r>
      <w:r>
        <w:rPr>
          <w:color w:val="auto"/>
          <w:szCs w:val="21"/>
          <w:highlight w:val="none"/>
        </w:rPr>
        <w:t>A</w:t>
      </w:r>
      <w:r>
        <w:rPr>
          <w:rFonts w:hint="eastAsia"/>
          <w:color w:val="auto"/>
          <w:szCs w:val="21"/>
          <w:highlight w:val="none"/>
        </w:rPr>
        <w:t>认证编制、加密响应文件后在响应截止时间前上传至广西政府采购云平台，供应商在广西政府采购云平台提交电子版响应文件时，请填写参加远程截标活动经办人联系方式。</w:t>
      </w:r>
    </w:p>
    <w:p w14:paraId="330CF1E7">
      <w:pPr>
        <w:spacing w:line="300" w:lineRule="exact"/>
        <w:ind w:firstLine="442" w:firstLineChars="200"/>
        <w:jc w:val="left"/>
        <w:rPr>
          <w:b/>
          <w:bCs/>
          <w:color w:val="auto"/>
          <w:kern w:val="0"/>
          <w:sz w:val="22"/>
          <w:szCs w:val="22"/>
          <w:highlight w:val="none"/>
        </w:rPr>
      </w:pPr>
      <w:r>
        <w:rPr>
          <w:rFonts w:hint="eastAsia"/>
          <w:b/>
          <w:bCs/>
          <w:color w:val="auto"/>
          <w:kern w:val="0"/>
          <w:sz w:val="22"/>
          <w:szCs w:val="22"/>
          <w:highlight w:val="none"/>
        </w:rPr>
        <w:t>五、开启</w:t>
      </w:r>
    </w:p>
    <w:p w14:paraId="2B94AB5E">
      <w:pPr>
        <w:spacing w:line="312" w:lineRule="auto"/>
        <w:ind w:firstLine="442" w:firstLineChars="200"/>
        <w:jc w:val="left"/>
        <w:rPr>
          <w:color w:val="auto"/>
          <w:kern w:val="0"/>
          <w:szCs w:val="21"/>
          <w:highlight w:val="none"/>
        </w:rPr>
      </w:pPr>
      <w:r>
        <w:rPr>
          <w:rFonts w:hint="eastAsia"/>
          <w:b/>
          <w:bCs/>
          <w:color w:val="auto"/>
          <w:kern w:val="0"/>
          <w:sz w:val="22"/>
          <w:szCs w:val="22"/>
          <w:highlight w:val="none"/>
        </w:rPr>
        <w:t>开启时间：</w:t>
      </w:r>
      <w:r>
        <w:rPr>
          <w:rFonts w:hint="eastAsia"/>
          <w:color w:val="auto"/>
          <w:kern w:val="0"/>
          <w:szCs w:val="21"/>
          <w:highlight w:val="none"/>
        </w:rPr>
        <w:t>2026年9月14日09:30（北京时间）</w:t>
      </w:r>
    </w:p>
    <w:p w14:paraId="153C3606">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地点：</w:t>
      </w:r>
      <w:r>
        <w:rPr>
          <w:rFonts w:hint="eastAsia"/>
          <w:color w:val="auto"/>
          <w:szCs w:val="21"/>
          <w:highlight w:val="none"/>
        </w:rPr>
        <w:t>供应商登录广西政府采购云平台电子开标大厅截标。</w:t>
      </w:r>
    </w:p>
    <w:p w14:paraId="600AB5A3">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六、公告期限</w:t>
      </w:r>
      <w:bookmarkStart w:id="113" w:name="_GoBack"/>
      <w:bookmarkEnd w:id="113"/>
    </w:p>
    <w:p w14:paraId="0F35B4F3">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自本公告发布之日起5个工作日。</w:t>
      </w:r>
    </w:p>
    <w:p w14:paraId="01666672">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七、其他补充事宜</w:t>
      </w:r>
    </w:p>
    <w:p w14:paraId="11061680">
      <w:pPr>
        <w:spacing w:line="312" w:lineRule="auto"/>
        <w:ind w:firstLine="420" w:firstLineChars="200"/>
        <w:jc w:val="left"/>
        <w:rPr>
          <w:color w:val="auto"/>
          <w:kern w:val="0"/>
          <w:szCs w:val="21"/>
          <w:highlight w:val="none"/>
        </w:rPr>
      </w:pPr>
      <w:r>
        <w:rPr>
          <w:rFonts w:hint="eastAsia"/>
          <w:color w:val="auto"/>
          <w:kern w:val="0"/>
          <w:szCs w:val="21"/>
          <w:highlight w:val="none"/>
        </w:rPr>
        <w:t>1</w:t>
      </w:r>
      <w:r>
        <w:rPr>
          <w:color w:val="auto"/>
          <w:kern w:val="0"/>
          <w:szCs w:val="21"/>
          <w:highlight w:val="none"/>
        </w:rPr>
        <w:t>.</w:t>
      </w:r>
      <w:r>
        <w:rPr>
          <w:rFonts w:hint="eastAsia"/>
          <w:color w:val="auto"/>
          <w:kern w:val="0"/>
          <w:szCs w:val="21"/>
          <w:highlight w:val="none"/>
        </w:rPr>
        <w:t>公告发布媒体：广西壮族自治区政府采购网、中国政府采购网</w:t>
      </w:r>
    </w:p>
    <w:p w14:paraId="133E81A5">
      <w:pPr>
        <w:spacing w:line="312" w:lineRule="auto"/>
        <w:ind w:firstLine="420" w:firstLineChars="200"/>
        <w:jc w:val="left"/>
        <w:rPr>
          <w:color w:val="auto"/>
          <w:kern w:val="0"/>
          <w:szCs w:val="21"/>
          <w:highlight w:val="none"/>
        </w:rPr>
      </w:pPr>
      <w:r>
        <w:rPr>
          <w:rFonts w:hint="eastAsia"/>
          <w:color w:val="auto"/>
          <w:kern w:val="0"/>
          <w:szCs w:val="21"/>
          <w:highlight w:val="none"/>
        </w:rPr>
        <w:t>2.需落实的政府采购政策：政府采购促进中小企业、监狱企业发展、促进残疾人就业、节能环保</w:t>
      </w:r>
      <w:r>
        <w:rPr>
          <w:rFonts w:hint="eastAsia" w:eastAsia="宋体"/>
          <w:color w:val="auto"/>
          <w:kern w:val="0"/>
          <w:szCs w:val="21"/>
          <w:highlight w:val="none"/>
          <w:lang w:eastAsia="zh-CN"/>
        </w:rPr>
        <w:t>、对本国产品的支持</w:t>
      </w:r>
      <w:r>
        <w:rPr>
          <w:rFonts w:hint="eastAsia"/>
          <w:color w:val="auto"/>
          <w:kern w:val="0"/>
          <w:szCs w:val="21"/>
          <w:highlight w:val="none"/>
        </w:rPr>
        <w:t>等有关政策，具体详见采购文件。</w:t>
      </w:r>
    </w:p>
    <w:p w14:paraId="18438CD5">
      <w:pPr>
        <w:spacing w:line="312" w:lineRule="auto"/>
        <w:ind w:firstLine="420" w:firstLineChars="200"/>
        <w:jc w:val="left"/>
        <w:rPr>
          <w:rFonts w:hint="eastAsia"/>
          <w:color w:val="auto"/>
          <w:kern w:val="0"/>
          <w:szCs w:val="21"/>
          <w:highlight w:val="none"/>
        </w:rPr>
      </w:pPr>
      <w:r>
        <w:rPr>
          <w:color w:val="auto"/>
          <w:kern w:val="0"/>
          <w:szCs w:val="21"/>
          <w:highlight w:val="none"/>
        </w:rPr>
        <w:t>3</w:t>
      </w:r>
      <w:r>
        <w:rPr>
          <w:rFonts w:hint="eastAsia"/>
          <w:color w:val="auto"/>
          <w:kern w:val="0"/>
          <w:szCs w:val="21"/>
          <w:highlight w:val="none"/>
        </w:rPr>
        <w:t>.本项目供应商的产生方式：</w:t>
      </w:r>
      <w:r>
        <w:rPr>
          <w:color w:val="auto"/>
          <w:highlight w:val="none"/>
        </w:rPr>
        <w:t>发布</w:t>
      </w:r>
      <w:r>
        <w:rPr>
          <w:rFonts w:hint="eastAsia"/>
          <w:color w:val="auto"/>
          <w:highlight w:val="none"/>
        </w:rPr>
        <w:t>公告征集</w:t>
      </w:r>
    </w:p>
    <w:p w14:paraId="6A7C3FFC">
      <w:pPr>
        <w:spacing w:line="312" w:lineRule="auto"/>
        <w:ind w:firstLine="420" w:firstLineChars="200"/>
        <w:jc w:val="left"/>
        <w:rPr>
          <w:rFonts w:hint="eastAsia"/>
          <w:color w:val="auto"/>
          <w:kern w:val="0"/>
          <w:szCs w:val="21"/>
          <w:highlight w:val="none"/>
        </w:rPr>
      </w:pPr>
      <w:r>
        <w:rPr>
          <w:color w:val="auto"/>
          <w:kern w:val="0"/>
          <w:szCs w:val="21"/>
          <w:highlight w:val="none"/>
        </w:rPr>
        <w:t>4</w:t>
      </w:r>
      <w:r>
        <w:rPr>
          <w:rFonts w:hint="eastAsia"/>
          <w:color w:val="auto"/>
          <w:kern w:val="0"/>
          <w:szCs w:val="21"/>
          <w:highlight w:val="none"/>
        </w:rPr>
        <w:t>.注意事项：</w:t>
      </w:r>
    </w:p>
    <w:p w14:paraId="136164F8">
      <w:pPr>
        <w:spacing w:line="276" w:lineRule="auto"/>
        <w:ind w:firstLine="420" w:firstLineChars="200"/>
        <w:rPr>
          <w:color w:val="auto"/>
          <w:szCs w:val="21"/>
          <w:highlight w:val="none"/>
        </w:rPr>
      </w:pPr>
      <w:r>
        <w:rPr>
          <w:rFonts w:hint="eastAsia"/>
          <w:color w:val="auto"/>
          <w:kern w:val="0"/>
          <w:szCs w:val="21"/>
          <w:highlight w:val="none"/>
        </w:rPr>
        <w:t>（1）</w:t>
      </w:r>
      <w:r>
        <w:rPr>
          <w:rFonts w:hint="eastAsia"/>
          <w:color w:val="auto"/>
          <w:szCs w:val="21"/>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50B3476E">
      <w:pPr>
        <w:spacing w:line="276" w:lineRule="auto"/>
        <w:ind w:firstLine="420" w:firstLineChars="200"/>
        <w:rPr>
          <w:color w:val="auto"/>
          <w:kern w:val="0"/>
          <w:szCs w:val="21"/>
          <w:highlight w:val="none"/>
        </w:rPr>
      </w:pPr>
      <w:r>
        <w:rPr>
          <w:rFonts w:hint="eastAsia"/>
          <w:color w:val="auto"/>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535C2F51">
      <w:pPr>
        <w:spacing w:line="276" w:lineRule="auto"/>
        <w:ind w:firstLine="420" w:firstLineChars="200"/>
        <w:rPr>
          <w:b/>
          <w:bCs/>
          <w:color w:val="auto"/>
          <w:kern w:val="0"/>
          <w:sz w:val="22"/>
          <w:szCs w:val="22"/>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3</w:t>
      </w:r>
      <w:r>
        <w:rPr>
          <w:rFonts w:hint="eastAsia" w:ascii="宋体" w:hAnsi="宋体" w:cs="宋体"/>
          <w:color w:val="auto"/>
          <w:kern w:val="0"/>
          <w:szCs w:val="21"/>
          <w:highlight w:val="none"/>
        </w:rPr>
        <w:t>）若对项目采购电子交易系统操作有疑问，可登录广西政府采购云平台（https://www.gcy.zfcg.gxzf.gov.cn/），点击右侧咨询小采或帮助文档或拨打客服热线95763</w:t>
      </w:r>
    </w:p>
    <w:p w14:paraId="207158A8">
      <w:pPr>
        <w:spacing w:line="276" w:lineRule="auto"/>
        <w:ind w:firstLine="442" w:firstLineChars="200"/>
        <w:rPr>
          <w:rFonts w:hint="eastAsia"/>
          <w:b/>
          <w:bCs/>
          <w:color w:val="auto"/>
          <w:kern w:val="0"/>
          <w:sz w:val="22"/>
          <w:szCs w:val="22"/>
          <w:highlight w:val="none"/>
        </w:rPr>
      </w:pPr>
      <w:r>
        <w:rPr>
          <w:rFonts w:hint="eastAsia"/>
          <w:b/>
          <w:bCs/>
          <w:color w:val="auto"/>
          <w:kern w:val="0"/>
          <w:sz w:val="22"/>
          <w:szCs w:val="22"/>
          <w:highlight w:val="none"/>
        </w:rPr>
        <w:t>八、对本次采购提出询问，请按以下方式联系</w:t>
      </w:r>
    </w:p>
    <w:p w14:paraId="2AA4FB05">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1.采购人信息</w:t>
      </w:r>
    </w:p>
    <w:p w14:paraId="666C1126">
      <w:pPr>
        <w:spacing w:line="312" w:lineRule="auto"/>
        <w:ind w:firstLine="420" w:firstLineChars="200"/>
        <w:jc w:val="left"/>
        <w:rPr>
          <w:color w:val="auto"/>
          <w:kern w:val="0"/>
          <w:szCs w:val="21"/>
          <w:highlight w:val="none"/>
          <w:u w:val="single"/>
        </w:rPr>
      </w:pPr>
      <w:bookmarkStart w:id="10" w:name="_Hlk19048373"/>
      <w:r>
        <w:rPr>
          <w:rFonts w:hint="eastAsia"/>
          <w:color w:val="auto"/>
          <w:kern w:val="0"/>
          <w:szCs w:val="21"/>
          <w:highlight w:val="none"/>
        </w:rPr>
        <w:t>名称</w:t>
      </w:r>
      <w:r>
        <w:rPr>
          <w:color w:val="auto"/>
          <w:kern w:val="0"/>
          <w:szCs w:val="21"/>
          <w:highlight w:val="none"/>
        </w:rPr>
        <w:t>：</w:t>
      </w:r>
      <w:r>
        <w:rPr>
          <w:rFonts w:hint="eastAsia"/>
          <w:color w:val="auto"/>
          <w:kern w:val="0"/>
          <w:szCs w:val="21"/>
          <w:highlight w:val="none"/>
          <w:u w:val="single"/>
        </w:rPr>
        <w:t>广西壮族自治区民族宗教事务委员会</w:t>
      </w:r>
    </w:p>
    <w:p w14:paraId="18C47C2E">
      <w:pPr>
        <w:spacing w:line="312" w:lineRule="auto"/>
        <w:ind w:firstLine="420" w:firstLineChars="200"/>
        <w:jc w:val="left"/>
        <w:rPr>
          <w:color w:val="auto"/>
          <w:kern w:val="0"/>
          <w:szCs w:val="21"/>
          <w:highlight w:val="none"/>
          <w:u w:val="single"/>
        </w:rPr>
      </w:pPr>
      <w:r>
        <w:rPr>
          <w:color w:val="auto"/>
          <w:kern w:val="0"/>
          <w:szCs w:val="21"/>
          <w:highlight w:val="none"/>
        </w:rPr>
        <w:t>地址：</w:t>
      </w:r>
      <w:r>
        <w:rPr>
          <w:rFonts w:hint="eastAsia"/>
          <w:color w:val="auto"/>
          <w:kern w:val="0"/>
          <w:szCs w:val="21"/>
          <w:highlight w:val="none"/>
          <w:u w:val="single"/>
        </w:rPr>
        <w:t>南宁市星湖路北一里1号</w:t>
      </w:r>
    </w:p>
    <w:p w14:paraId="13472E8D">
      <w:pPr>
        <w:spacing w:line="312" w:lineRule="auto"/>
        <w:ind w:firstLine="420" w:firstLineChars="200"/>
        <w:jc w:val="left"/>
        <w:rPr>
          <w:rFonts w:hint="eastAsia" w:eastAsia="宋体"/>
          <w:color w:val="auto"/>
          <w:kern w:val="0"/>
          <w:szCs w:val="21"/>
          <w:highlight w:val="none"/>
          <w:u w:val="single"/>
          <w:lang w:eastAsia="zh-CN"/>
        </w:rPr>
      </w:pPr>
      <w:r>
        <w:rPr>
          <w:rFonts w:hint="eastAsia"/>
          <w:color w:val="auto"/>
          <w:kern w:val="0"/>
          <w:szCs w:val="21"/>
          <w:highlight w:val="none"/>
        </w:rPr>
        <w:t>项目联系人：</w:t>
      </w:r>
      <w:r>
        <w:rPr>
          <w:rFonts w:hint="eastAsia"/>
          <w:color w:val="auto"/>
          <w:kern w:val="0"/>
          <w:szCs w:val="21"/>
          <w:highlight w:val="none"/>
          <w:u w:val="single"/>
          <w:lang w:val="en-US" w:eastAsia="zh-CN"/>
        </w:rPr>
        <w:t>李晓璇</w:t>
      </w:r>
    </w:p>
    <w:p w14:paraId="60DAAD13">
      <w:pPr>
        <w:spacing w:line="312" w:lineRule="auto"/>
        <w:ind w:firstLine="420" w:firstLineChars="200"/>
        <w:jc w:val="left"/>
        <w:rPr>
          <w:color w:val="auto"/>
          <w:kern w:val="0"/>
          <w:szCs w:val="21"/>
          <w:highlight w:val="none"/>
          <w:u w:val="single"/>
        </w:rPr>
      </w:pPr>
      <w:r>
        <w:rPr>
          <w:rFonts w:hint="eastAsia"/>
          <w:color w:val="auto"/>
          <w:kern w:val="0"/>
          <w:szCs w:val="21"/>
          <w:highlight w:val="none"/>
        </w:rPr>
        <w:t>项目联系方式：</w:t>
      </w:r>
      <w:r>
        <w:rPr>
          <w:color w:val="auto"/>
          <w:kern w:val="0"/>
          <w:szCs w:val="21"/>
          <w:highlight w:val="none"/>
          <w:u w:val="single"/>
        </w:rPr>
        <w:t>0771-</w:t>
      </w:r>
      <w:r>
        <w:rPr>
          <w:rFonts w:hint="eastAsia"/>
          <w:color w:val="auto"/>
          <w:kern w:val="0"/>
          <w:szCs w:val="21"/>
          <w:highlight w:val="none"/>
          <w:u w:val="single"/>
          <w:lang w:val="en-US" w:eastAsia="zh-CN"/>
        </w:rPr>
        <w:t>5875371</w:t>
      </w:r>
    </w:p>
    <w:p w14:paraId="0FC42BAD">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2.采购代理机构信息</w:t>
      </w:r>
    </w:p>
    <w:p w14:paraId="459BA707">
      <w:pPr>
        <w:spacing w:line="312" w:lineRule="auto"/>
        <w:ind w:firstLine="420" w:firstLineChars="200"/>
        <w:jc w:val="left"/>
        <w:rPr>
          <w:color w:val="auto"/>
          <w:kern w:val="0"/>
          <w:szCs w:val="21"/>
          <w:highlight w:val="none"/>
          <w:u w:val="single"/>
        </w:rPr>
      </w:pPr>
      <w:r>
        <w:rPr>
          <w:rFonts w:hint="eastAsia"/>
          <w:color w:val="auto"/>
          <w:kern w:val="0"/>
          <w:szCs w:val="21"/>
          <w:highlight w:val="none"/>
        </w:rPr>
        <w:t>名称</w:t>
      </w:r>
      <w:r>
        <w:rPr>
          <w:color w:val="auto"/>
          <w:kern w:val="0"/>
          <w:szCs w:val="21"/>
          <w:highlight w:val="none"/>
        </w:rPr>
        <w:t>：</w:t>
      </w:r>
      <w:r>
        <w:rPr>
          <w:color w:val="auto"/>
          <w:kern w:val="0"/>
          <w:szCs w:val="21"/>
          <w:highlight w:val="none"/>
          <w:u w:val="single"/>
        </w:rPr>
        <w:t>广西机电设备招标有限公司</w:t>
      </w:r>
    </w:p>
    <w:p w14:paraId="00EDAFF1">
      <w:pPr>
        <w:spacing w:line="312" w:lineRule="auto"/>
        <w:ind w:firstLine="420" w:firstLineChars="200"/>
        <w:jc w:val="left"/>
        <w:rPr>
          <w:color w:val="auto"/>
          <w:kern w:val="0"/>
          <w:szCs w:val="21"/>
          <w:highlight w:val="none"/>
          <w:u w:val="single"/>
        </w:rPr>
      </w:pPr>
      <w:r>
        <w:rPr>
          <w:color w:val="auto"/>
          <w:kern w:val="0"/>
          <w:szCs w:val="21"/>
          <w:highlight w:val="none"/>
        </w:rPr>
        <w:t>地址：</w:t>
      </w:r>
      <w:bookmarkStart w:id="11" w:name="_Hlk43198245"/>
      <w:r>
        <w:rPr>
          <w:color w:val="auto"/>
          <w:highlight w:val="none"/>
          <w:u w:val="single"/>
        </w:rPr>
        <w:t>广西南宁市金湖路63号金源CBD现代城B座7层701</w:t>
      </w:r>
      <w:bookmarkEnd w:id="11"/>
    </w:p>
    <w:bookmarkEnd w:id="10"/>
    <w:p w14:paraId="3EE37228">
      <w:pPr>
        <w:spacing w:line="312" w:lineRule="auto"/>
        <w:ind w:firstLine="420" w:firstLineChars="200"/>
        <w:jc w:val="left"/>
        <w:rPr>
          <w:rFonts w:hint="eastAsia" w:eastAsia="宋体"/>
          <w:color w:val="auto"/>
          <w:kern w:val="0"/>
          <w:szCs w:val="21"/>
          <w:highlight w:val="none"/>
          <w:u w:val="single"/>
          <w:lang w:eastAsia="zh-CN"/>
        </w:rPr>
      </w:pPr>
      <w:r>
        <w:rPr>
          <w:rFonts w:hint="eastAsia"/>
          <w:color w:val="auto"/>
          <w:kern w:val="0"/>
          <w:szCs w:val="21"/>
          <w:highlight w:val="none"/>
        </w:rPr>
        <w:t>项目联系人：</w:t>
      </w:r>
      <w:r>
        <w:rPr>
          <w:rFonts w:hint="eastAsia"/>
          <w:color w:val="auto"/>
          <w:kern w:val="0"/>
          <w:szCs w:val="21"/>
          <w:highlight w:val="none"/>
          <w:u w:val="single"/>
          <w:lang w:val="en-US" w:eastAsia="zh-CN"/>
        </w:rPr>
        <w:t>宁静</w:t>
      </w:r>
    </w:p>
    <w:p w14:paraId="6176CBA3">
      <w:pPr>
        <w:spacing w:line="312" w:lineRule="auto"/>
        <w:ind w:right="420" w:firstLine="420" w:firstLineChars="200"/>
        <w:rPr>
          <w:color w:val="auto"/>
          <w:kern w:val="0"/>
          <w:szCs w:val="21"/>
          <w:highlight w:val="none"/>
        </w:rPr>
      </w:pPr>
      <w:r>
        <w:rPr>
          <w:rFonts w:hint="eastAsia"/>
          <w:color w:val="auto"/>
          <w:kern w:val="0"/>
          <w:szCs w:val="21"/>
          <w:highlight w:val="none"/>
        </w:rPr>
        <w:t>项目联系方式：</w:t>
      </w:r>
      <w:r>
        <w:rPr>
          <w:rFonts w:hint="eastAsia"/>
          <w:color w:val="auto"/>
          <w:kern w:val="0"/>
          <w:szCs w:val="21"/>
          <w:highlight w:val="none"/>
          <w:u w:val="single"/>
          <w:lang w:eastAsia="zh-CN"/>
        </w:rPr>
        <w:t>0771-5782003</w:t>
      </w:r>
    </w:p>
    <w:p w14:paraId="3BD9D38C">
      <w:pPr>
        <w:spacing w:line="312" w:lineRule="auto"/>
        <w:ind w:firstLine="420" w:firstLineChars="200"/>
        <w:jc w:val="right"/>
        <w:rPr>
          <w:color w:val="auto"/>
          <w:kern w:val="0"/>
          <w:szCs w:val="21"/>
          <w:highlight w:val="none"/>
        </w:rPr>
      </w:pPr>
    </w:p>
    <w:p w14:paraId="572AA031">
      <w:pPr>
        <w:spacing w:line="312" w:lineRule="auto"/>
        <w:ind w:firstLine="420" w:firstLineChars="200"/>
        <w:jc w:val="right"/>
        <w:rPr>
          <w:color w:val="auto"/>
          <w:kern w:val="0"/>
          <w:szCs w:val="21"/>
          <w:highlight w:val="none"/>
        </w:rPr>
      </w:pPr>
    </w:p>
    <w:p w14:paraId="0BABE26F">
      <w:pPr>
        <w:spacing w:line="312" w:lineRule="auto"/>
        <w:ind w:firstLine="420" w:firstLineChars="200"/>
        <w:jc w:val="right"/>
        <w:rPr>
          <w:color w:val="auto"/>
          <w:kern w:val="0"/>
          <w:szCs w:val="21"/>
          <w:highlight w:val="none"/>
        </w:rPr>
      </w:pPr>
    </w:p>
    <w:p w14:paraId="3859D293">
      <w:pPr>
        <w:spacing w:line="312" w:lineRule="auto"/>
        <w:ind w:firstLine="420" w:firstLineChars="200"/>
        <w:jc w:val="right"/>
        <w:rPr>
          <w:color w:val="auto"/>
          <w:kern w:val="0"/>
          <w:szCs w:val="21"/>
          <w:highlight w:val="none"/>
        </w:rPr>
      </w:pPr>
      <w:r>
        <w:rPr>
          <w:color w:val="auto"/>
          <w:kern w:val="0"/>
          <w:szCs w:val="21"/>
          <w:highlight w:val="none"/>
        </w:rPr>
        <w:t>广西机电设备招标有限公司</w:t>
      </w:r>
    </w:p>
    <w:p w14:paraId="1E6BCDF5">
      <w:pPr>
        <w:spacing w:line="312" w:lineRule="auto"/>
        <w:ind w:firstLine="420" w:firstLineChars="200"/>
        <w:jc w:val="right"/>
        <w:rPr>
          <w:color w:val="auto"/>
          <w:kern w:val="0"/>
          <w:sz w:val="18"/>
          <w:szCs w:val="18"/>
          <w:highlight w:val="none"/>
        </w:rPr>
      </w:pPr>
      <w:r>
        <w:rPr>
          <w:color w:val="auto"/>
          <w:kern w:val="0"/>
          <w:szCs w:val="21"/>
          <w:highlight w:val="none"/>
        </w:rPr>
        <w:t>20</w:t>
      </w:r>
      <w:r>
        <w:rPr>
          <w:rFonts w:hint="eastAsia"/>
          <w:color w:val="auto"/>
          <w:kern w:val="0"/>
          <w:szCs w:val="21"/>
          <w:highlight w:val="none"/>
          <w:lang w:val="en-US" w:eastAsia="zh-CN"/>
        </w:rPr>
        <w:t>26</w:t>
      </w:r>
      <w:r>
        <w:rPr>
          <w:color w:val="auto"/>
          <w:kern w:val="0"/>
          <w:szCs w:val="21"/>
          <w:highlight w:val="none"/>
        </w:rPr>
        <w:t>年</w:t>
      </w:r>
      <w:r>
        <w:rPr>
          <w:rFonts w:hint="eastAsia"/>
          <w:color w:val="auto"/>
          <w:kern w:val="0"/>
          <w:szCs w:val="21"/>
          <w:highlight w:val="none"/>
          <w:lang w:val="en-US" w:eastAsia="zh-CN"/>
        </w:rPr>
        <w:t>8</w:t>
      </w:r>
      <w:r>
        <w:rPr>
          <w:color w:val="auto"/>
          <w:kern w:val="0"/>
          <w:szCs w:val="21"/>
          <w:highlight w:val="none"/>
        </w:rPr>
        <w:t>月</w:t>
      </w:r>
      <w:r>
        <w:rPr>
          <w:rFonts w:hint="eastAsia"/>
          <w:color w:val="auto"/>
          <w:kern w:val="0"/>
          <w:szCs w:val="21"/>
          <w:highlight w:val="none"/>
          <w:lang w:val="en-US" w:eastAsia="zh-CN"/>
        </w:rPr>
        <w:t>31</w:t>
      </w:r>
      <w:r>
        <w:rPr>
          <w:color w:val="auto"/>
          <w:kern w:val="0"/>
          <w:szCs w:val="21"/>
          <w:highlight w:val="none"/>
        </w:rPr>
        <w:t>日</w:t>
      </w:r>
    </w:p>
    <w:p w14:paraId="0BBB21D1">
      <w:pPr>
        <w:ind w:firstLine="409" w:firstLineChars="195"/>
        <w:jc w:val="left"/>
        <w:rPr>
          <w:color w:val="auto"/>
          <w:kern w:val="0"/>
          <w:szCs w:val="21"/>
          <w:highlight w:val="none"/>
        </w:rPr>
      </w:pPr>
    </w:p>
    <w:p w14:paraId="347EC3E9">
      <w:pPr>
        <w:spacing w:line="312" w:lineRule="auto"/>
        <w:ind w:right="105" w:firstLine="360" w:firstLineChars="200"/>
        <w:jc w:val="right"/>
        <w:rPr>
          <w:rFonts w:hint="eastAsia"/>
          <w:color w:val="auto"/>
          <w:kern w:val="0"/>
          <w:sz w:val="18"/>
          <w:szCs w:val="18"/>
          <w:highlight w:val="none"/>
        </w:rPr>
      </w:pPr>
    </w:p>
    <w:p w14:paraId="0EBC68DD">
      <w:pPr>
        <w:pStyle w:val="26"/>
        <w:snapToGrid w:val="0"/>
        <w:spacing w:before="120" w:after="120" w:line="320" w:lineRule="exact"/>
        <w:jc w:val="center"/>
        <w:outlineLvl w:val="0"/>
        <w:rPr>
          <w:rFonts w:ascii="Times New Roman" w:hAnsi="Times New Roman" w:cs="Times New Roman"/>
          <w:color w:val="auto"/>
          <w:highlight w:val="none"/>
        </w:rPr>
        <w:sectPr>
          <w:headerReference r:id="rId9" w:type="first"/>
          <w:footerReference r:id="rId11" w:type="first"/>
          <w:headerReference r:id="rId8" w:type="default"/>
          <w:footerReference r:id="rId10" w:type="default"/>
          <w:pgSz w:w="11906" w:h="16838"/>
          <w:pgMar w:top="1135" w:right="1133" w:bottom="1246" w:left="1418" w:header="851" w:footer="903" w:gutter="0"/>
          <w:pgNumType w:start="1"/>
          <w:cols w:space="720" w:num="1"/>
          <w:docGrid w:linePitch="312" w:charSpace="0"/>
        </w:sectPr>
      </w:pPr>
    </w:p>
    <w:p w14:paraId="18271A95">
      <w:pPr>
        <w:rPr>
          <w:color w:val="auto"/>
          <w:highlight w:val="none"/>
        </w:rPr>
      </w:pPr>
    </w:p>
    <w:p w14:paraId="3B51D149">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12" w:name="_Toc26542"/>
      <w:r>
        <w:rPr>
          <w:rFonts w:ascii="Times New Roman" w:hAnsi="Times New Roman" w:cs="Times New Roman"/>
          <w:color w:val="auto"/>
          <w:sz w:val="32"/>
          <w:szCs w:val="32"/>
          <w:highlight w:val="none"/>
        </w:rPr>
        <w:t>第二章  采购需求</w:t>
      </w:r>
      <w:bookmarkEnd w:id="12"/>
    </w:p>
    <w:p w14:paraId="5D7CF094">
      <w:pPr>
        <w:pStyle w:val="26"/>
        <w:snapToGrid w:val="0"/>
        <w:jc w:val="center"/>
        <w:rPr>
          <w:rFonts w:hint="default" w:ascii="Times New Roman" w:hAnsi="Times New Roman" w:eastAsia="宋体" w:cs="Times New Roman"/>
          <w:b/>
          <w:color w:val="auto"/>
          <w:sz w:val="24"/>
          <w:szCs w:val="24"/>
          <w:highlight w:val="none"/>
          <w:lang w:val="en-US" w:eastAsia="zh-CN"/>
        </w:rPr>
      </w:pPr>
      <w:bookmarkStart w:id="13" w:name="_Toc254970490"/>
      <w:bookmarkStart w:id="14" w:name="_Toc254970631"/>
      <w:r>
        <w:rPr>
          <w:rFonts w:hint="eastAsia" w:ascii="Times New Roman" w:hAnsi="Times New Roman" w:cs="Times New Roman"/>
          <w:b/>
          <w:color w:val="auto"/>
          <w:sz w:val="24"/>
          <w:szCs w:val="24"/>
          <w:highlight w:val="none"/>
          <w:lang w:val="en-US" w:eastAsia="zh-CN"/>
        </w:rPr>
        <w:t>标项一</w:t>
      </w:r>
    </w:p>
    <w:p w14:paraId="42EB048B">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3DD1CF35">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5C5347C1">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5E7C29FB">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17F307AE">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color w:val="auto"/>
          <w:szCs w:val="21"/>
          <w:highlight w:val="none"/>
          <w:lang w:val="en-US" w:eastAsia="zh-CN"/>
        </w:rPr>
        <w:t>无效</w:t>
      </w:r>
      <w:r>
        <w:rPr>
          <w:color w:val="auto"/>
          <w:szCs w:val="21"/>
          <w:highlight w:val="none"/>
        </w:rPr>
        <w:t>。</w:t>
      </w:r>
    </w:p>
    <w:p w14:paraId="2DC9F2EB">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1EBDDE0A">
      <w:pPr>
        <w:spacing w:line="360" w:lineRule="auto"/>
        <w:rPr>
          <w:color w:val="auto"/>
          <w:szCs w:val="21"/>
          <w:highlight w:val="none"/>
        </w:rPr>
      </w:pPr>
      <w:r>
        <w:rPr>
          <w:rFonts w:hint="eastAsia"/>
          <w:color w:val="auto"/>
          <w:szCs w:val="21"/>
          <w:highlight w:val="none"/>
        </w:rPr>
        <w:t>1.需实现的功能、目标及应用场景</w:t>
      </w:r>
    </w:p>
    <w:p w14:paraId="44DFE713">
      <w:pPr>
        <w:spacing w:line="360" w:lineRule="auto"/>
        <w:rPr>
          <w:rFonts w:hint="eastAsia"/>
          <w:color w:val="auto"/>
          <w:szCs w:val="21"/>
          <w:highlight w:val="none"/>
        </w:rPr>
      </w:pPr>
      <w:r>
        <w:rPr>
          <w:rFonts w:hint="eastAsia"/>
          <w:color w:val="auto"/>
          <w:szCs w:val="21"/>
          <w:highlight w:val="none"/>
        </w:rPr>
        <w:t>满足采购文件要求，验收达到合格标准。</w:t>
      </w:r>
    </w:p>
    <w:p w14:paraId="24092AAB">
      <w:pPr>
        <w:spacing w:line="360" w:lineRule="auto"/>
        <w:rPr>
          <w:color w:val="auto"/>
          <w:szCs w:val="21"/>
          <w:highlight w:val="none"/>
        </w:rPr>
      </w:pPr>
      <w:r>
        <w:rPr>
          <w:rFonts w:hint="eastAsia"/>
          <w:color w:val="auto"/>
          <w:szCs w:val="21"/>
          <w:highlight w:val="none"/>
        </w:rPr>
        <w:t>2.是否接受进口产品：</w:t>
      </w:r>
    </w:p>
    <w:p w14:paraId="2266EAB3">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312E9E7A">
      <w:pPr>
        <w:spacing w:line="360" w:lineRule="auto"/>
        <w:rPr>
          <w:color w:val="auto"/>
          <w:szCs w:val="21"/>
          <w:highlight w:val="none"/>
        </w:rPr>
      </w:pPr>
      <w:r>
        <w:rPr>
          <w:rFonts w:hint="eastAsia"/>
          <w:color w:val="auto"/>
          <w:szCs w:val="21"/>
          <w:highlight w:val="none"/>
        </w:rPr>
        <w:t>□是</w:t>
      </w:r>
    </w:p>
    <w:p w14:paraId="73BC3354">
      <w:pPr>
        <w:spacing w:line="360" w:lineRule="auto"/>
        <w:rPr>
          <w:color w:val="auto"/>
          <w:szCs w:val="21"/>
          <w:highlight w:val="none"/>
        </w:rPr>
      </w:pPr>
      <w:r>
        <w:rPr>
          <w:rFonts w:hint="eastAsia"/>
          <w:color w:val="auto"/>
          <w:szCs w:val="21"/>
          <w:highlight w:val="none"/>
        </w:rPr>
        <w:t>本项目</w:t>
      </w:r>
      <w:r>
        <w:rPr>
          <w:rFonts w:hint="eastAsia"/>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023785C8">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2A060E89">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6B1C8DE4">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16020E88">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4EF015E4">
      <w:pPr>
        <w:spacing w:line="360" w:lineRule="auto"/>
        <w:rPr>
          <w:color w:val="auto"/>
          <w:szCs w:val="21"/>
          <w:highlight w:val="none"/>
        </w:rPr>
      </w:pPr>
      <w:bookmarkStart w:id="15" w:name="_Hlk89170486"/>
      <w:r>
        <w:rPr>
          <w:rFonts w:hint="eastAsia"/>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1A60B53F">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bookmarkEnd w:id="15"/>
    <w:p w14:paraId="4737B935">
      <w:pPr>
        <w:spacing w:line="360" w:lineRule="auto"/>
        <w:rPr>
          <w:color w:val="auto"/>
          <w:szCs w:val="21"/>
          <w:highlight w:val="none"/>
        </w:rPr>
      </w:pPr>
      <w:r>
        <w:rPr>
          <w:rFonts w:hint="eastAsia"/>
          <w:color w:val="auto"/>
          <w:szCs w:val="21"/>
          <w:highlight w:val="none"/>
          <w:lang w:val="en-US" w:eastAsia="zh-CN"/>
        </w:rPr>
        <w:t>4</w:t>
      </w:r>
      <w:r>
        <w:rPr>
          <w:rFonts w:hint="eastAsia"/>
          <w:color w:val="auto"/>
          <w:szCs w:val="21"/>
          <w:highlight w:val="none"/>
        </w:rPr>
        <w:t>.标的所属行业：租赁和商务服务业</w:t>
      </w:r>
    </w:p>
    <w:p w14:paraId="064D24E7">
      <w:pPr>
        <w:spacing w:line="360" w:lineRule="auto"/>
        <w:rPr>
          <w:color w:val="auto"/>
          <w:szCs w:val="21"/>
          <w:highlight w:val="none"/>
        </w:rPr>
      </w:pPr>
      <w:r>
        <w:rPr>
          <w:rFonts w:hint="eastAsia"/>
          <w:color w:val="auto"/>
          <w:szCs w:val="21"/>
          <w:highlight w:val="none"/>
          <w:lang w:val="en-US" w:eastAsia="zh-CN"/>
        </w:rPr>
        <w:t>5</w:t>
      </w:r>
      <w:r>
        <w:rPr>
          <w:rFonts w:hint="eastAsia"/>
          <w:color w:val="auto"/>
          <w:szCs w:val="21"/>
          <w:highlight w:val="none"/>
        </w:rPr>
        <w:t>.核心产品</w:t>
      </w:r>
    </w:p>
    <w:p w14:paraId="6EB283B7">
      <w:pPr>
        <w:spacing w:line="360" w:lineRule="auto"/>
        <w:rPr>
          <w:color w:val="auto"/>
          <w:szCs w:val="21"/>
          <w:highlight w:val="none"/>
        </w:rPr>
      </w:pPr>
      <w:r>
        <w:rPr>
          <w:rFonts w:hint="eastAsia"/>
          <w:color w:val="auto"/>
          <w:szCs w:val="21"/>
          <w:highlight w:val="none"/>
        </w:rPr>
        <w:t>本项目为服务项目，不适用核心产品规定。</w:t>
      </w:r>
    </w:p>
    <w:p w14:paraId="2C9631CB">
      <w:pPr>
        <w:spacing w:line="360" w:lineRule="auto"/>
        <w:rPr>
          <w:rFonts w:hint="eastAsia"/>
          <w:color w:val="auto"/>
          <w:szCs w:val="21"/>
          <w:highlight w:val="none"/>
        </w:rPr>
      </w:pPr>
      <w:r>
        <w:rPr>
          <w:rFonts w:hint="eastAsia"/>
          <w:color w:val="auto"/>
          <w:szCs w:val="21"/>
          <w:highlight w:val="none"/>
          <w:lang w:val="en-US" w:eastAsia="zh-CN"/>
        </w:rPr>
        <w:t>6</w:t>
      </w:r>
      <w:r>
        <w:rPr>
          <w:rFonts w:hint="eastAsia"/>
          <w:color w:val="auto"/>
          <w:szCs w:val="21"/>
          <w:highlight w:val="none"/>
        </w:rPr>
        <w:t>.服务内容和标准</w:t>
      </w:r>
      <w:bookmarkStart w:id="16" w:name="_Hlk132788047"/>
    </w:p>
    <w:bookmarkEnd w:id="16"/>
    <w:p w14:paraId="5B8D408A">
      <w:pPr>
        <w:spacing w:line="360" w:lineRule="auto"/>
        <w:rPr>
          <w:rFonts w:hint="eastAsia" w:eastAsia="宋体"/>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1围绕全国少数民族文艺会演、自治区少数民族传统体育运动会、巴马瑶族自治县70周年县庆、铸牢中华民族共同体意识示范区建设论坛等重要活动，进行专题设计、内容策划、信息发布，信息发布次数不少于20次</w:t>
      </w:r>
      <w:r>
        <w:rPr>
          <w:rFonts w:hint="eastAsia"/>
          <w:color w:val="auto"/>
          <w:szCs w:val="21"/>
          <w:highlight w:val="none"/>
          <w:lang w:eastAsia="zh-CN"/>
        </w:rPr>
        <w:t>。</w:t>
      </w:r>
    </w:p>
    <w:p w14:paraId="69CF910C">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2围绕和美村寨建设、“民营企业进边疆”、“边疆特产销全国”等系列活动，制作短视频，服务次数不少于5次</w:t>
      </w:r>
      <w:r>
        <w:rPr>
          <w:rFonts w:hint="eastAsia"/>
          <w:color w:val="auto"/>
          <w:szCs w:val="21"/>
          <w:highlight w:val="none"/>
          <w:lang w:eastAsia="zh-CN"/>
        </w:rPr>
        <w:t>。</w:t>
      </w:r>
    </w:p>
    <w:p w14:paraId="26978B74">
      <w:pPr>
        <w:spacing w:line="360" w:lineRule="auto"/>
        <w:rPr>
          <w:rFonts w:hint="eastAsia" w:eastAsia="宋体"/>
          <w:color w:val="auto"/>
          <w:szCs w:val="21"/>
          <w:highlight w:val="none"/>
          <w:lang w:eastAsia="zh-CN"/>
        </w:rPr>
      </w:pPr>
      <w:r>
        <w:rPr>
          <w:rFonts w:hint="eastAsia"/>
          <w:color w:val="auto"/>
          <w:szCs w:val="21"/>
          <w:highlight w:val="none"/>
          <w:lang w:val="en-US" w:eastAsia="zh-CN"/>
        </w:rPr>
        <w:t xml:space="preserve">6.3 </w:t>
      </w:r>
      <w:r>
        <w:rPr>
          <w:rFonts w:hint="eastAsia"/>
          <w:color w:val="auto"/>
          <w:szCs w:val="21"/>
          <w:highlight w:val="none"/>
        </w:rPr>
        <w:t>围绕示范区建设主题开展专题调查研究，形成1篇智库分析报告，供决策参考</w:t>
      </w:r>
      <w:r>
        <w:rPr>
          <w:rFonts w:hint="eastAsia"/>
          <w:color w:val="auto"/>
          <w:szCs w:val="21"/>
          <w:highlight w:val="none"/>
          <w:lang w:eastAsia="zh-CN"/>
        </w:rPr>
        <w:t>。</w:t>
      </w:r>
    </w:p>
    <w:p w14:paraId="5B58914D">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color w:val="auto"/>
          <w:szCs w:val="21"/>
          <w:highlight w:val="none"/>
          <w:lang w:eastAsia="zh-CN"/>
        </w:rPr>
        <w:t>“</w:t>
      </w:r>
      <w:r>
        <w:rPr>
          <w:rFonts w:hint="eastAsia"/>
          <w:color w:val="auto"/>
          <w:szCs w:val="21"/>
          <w:highlight w:val="none"/>
          <w:lang w:val="en-US" w:eastAsia="zh-CN"/>
        </w:rPr>
        <w:t>/</w:t>
      </w:r>
      <w:r>
        <w:rPr>
          <w:rFonts w:hint="eastAsia"/>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75700C49">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0C372C7F">
      <w:pPr>
        <w:spacing w:line="360" w:lineRule="auto"/>
        <w:rPr>
          <w:color w:val="auto"/>
          <w:szCs w:val="21"/>
          <w:highlight w:val="none"/>
        </w:rPr>
      </w:pPr>
      <w:r>
        <w:rPr>
          <w:rFonts w:hint="eastAsia"/>
          <w:color w:val="auto"/>
          <w:szCs w:val="21"/>
          <w:highlight w:val="none"/>
        </w:rPr>
        <w:t>1．报价要求</w:t>
      </w:r>
    </w:p>
    <w:p w14:paraId="6F512C5A">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131B5FDD">
      <w:pPr>
        <w:spacing w:line="360" w:lineRule="auto"/>
        <w:rPr>
          <w:color w:val="auto"/>
          <w:szCs w:val="21"/>
          <w:highlight w:val="none"/>
        </w:rPr>
      </w:pPr>
      <w:r>
        <w:rPr>
          <w:rFonts w:hint="eastAsia"/>
          <w:color w:val="auto"/>
          <w:szCs w:val="21"/>
          <w:highlight w:val="none"/>
        </w:rPr>
        <w:t>2.合同签订日期</w:t>
      </w:r>
    </w:p>
    <w:p w14:paraId="7F0B52B2">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4E056FE9">
      <w:pPr>
        <w:spacing w:line="360" w:lineRule="auto"/>
        <w:rPr>
          <w:color w:val="auto"/>
          <w:szCs w:val="21"/>
          <w:highlight w:val="none"/>
        </w:rPr>
      </w:pPr>
      <w:r>
        <w:rPr>
          <w:rFonts w:hint="eastAsia"/>
          <w:color w:val="auto"/>
          <w:szCs w:val="21"/>
          <w:highlight w:val="none"/>
        </w:rPr>
        <w:t>3.交货（实施）时间</w:t>
      </w:r>
    </w:p>
    <w:p w14:paraId="5C4F7196">
      <w:pPr>
        <w:spacing w:line="360" w:lineRule="auto"/>
        <w:rPr>
          <w:rFonts w:hint="eastAsia"/>
          <w:color w:val="auto"/>
          <w:szCs w:val="21"/>
          <w:highlight w:val="none"/>
        </w:rPr>
      </w:pPr>
      <w:r>
        <w:rPr>
          <w:rFonts w:hint="eastAsia"/>
          <w:color w:val="auto"/>
          <w:szCs w:val="21"/>
          <w:highlight w:val="none"/>
        </w:rPr>
        <w:t>自签订合同之日起至2027年10月1日</w:t>
      </w:r>
    </w:p>
    <w:p w14:paraId="5B9881CD">
      <w:pPr>
        <w:spacing w:line="360" w:lineRule="auto"/>
        <w:rPr>
          <w:color w:val="auto"/>
          <w:szCs w:val="21"/>
          <w:highlight w:val="none"/>
        </w:rPr>
      </w:pPr>
      <w:r>
        <w:rPr>
          <w:rFonts w:hint="eastAsia"/>
          <w:color w:val="auto"/>
          <w:szCs w:val="21"/>
          <w:highlight w:val="none"/>
        </w:rPr>
        <w:t>4.交货地点或服务地点</w:t>
      </w:r>
    </w:p>
    <w:p w14:paraId="3F64B744">
      <w:pPr>
        <w:spacing w:line="360" w:lineRule="auto"/>
        <w:rPr>
          <w:rFonts w:hint="eastAsia" w:eastAsia="宋体"/>
          <w:color w:val="auto"/>
          <w:szCs w:val="21"/>
          <w:highlight w:val="none"/>
          <w:lang w:eastAsia="zh-CN"/>
        </w:rPr>
      </w:pPr>
      <w:r>
        <w:rPr>
          <w:rFonts w:hint="eastAsia"/>
          <w:color w:val="auto"/>
          <w:szCs w:val="21"/>
          <w:highlight w:val="none"/>
          <w:lang w:val="en-US" w:eastAsia="zh-CN"/>
        </w:rPr>
        <w:t>南宁市（采购人指定地点）</w:t>
      </w:r>
    </w:p>
    <w:p w14:paraId="588B149A">
      <w:pPr>
        <w:spacing w:line="360" w:lineRule="auto"/>
        <w:rPr>
          <w:color w:val="auto"/>
          <w:szCs w:val="21"/>
          <w:highlight w:val="none"/>
        </w:rPr>
      </w:pPr>
      <w:r>
        <w:rPr>
          <w:rFonts w:hint="eastAsia"/>
          <w:color w:val="auto"/>
          <w:szCs w:val="21"/>
          <w:highlight w:val="none"/>
        </w:rPr>
        <w:t>5.验收标准</w:t>
      </w:r>
    </w:p>
    <w:p w14:paraId="60C746C5">
      <w:pPr>
        <w:spacing w:line="360" w:lineRule="auto"/>
        <w:rPr>
          <w:color w:val="auto"/>
          <w:szCs w:val="21"/>
          <w:highlight w:val="none"/>
        </w:rPr>
      </w:pPr>
      <w:bookmarkStart w:id="17" w:name="_Hlk77607553"/>
      <w:r>
        <w:rPr>
          <w:rFonts w:hint="eastAsia"/>
          <w:color w:val="auto"/>
          <w:szCs w:val="21"/>
          <w:highlight w:val="none"/>
        </w:rPr>
        <w:t>详见采购文件合同主要条款格式部分</w:t>
      </w:r>
    </w:p>
    <w:bookmarkEnd w:id="17"/>
    <w:p w14:paraId="58B26C12">
      <w:pPr>
        <w:spacing w:line="360" w:lineRule="auto"/>
        <w:rPr>
          <w:color w:val="auto"/>
          <w:szCs w:val="21"/>
          <w:highlight w:val="none"/>
        </w:rPr>
      </w:pPr>
      <w:r>
        <w:rPr>
          <w:rFonts w:hint="eastAsia"/>
          <w:color w:val="auto"/>
          <w:szCs w:val="21"/>
          <w:highlight w:val="none"/>
        </w:rPr>
        <w:t>6.服务标准、期限、效率</w:t>
      </w:r>
    </w:p>
    <w:p w14:paraId="118BA4F5">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09044A1D">
      <w:pPr>
        <w:spacing w:line="360" w:lineRule="auto"/>
        <w:rPr>
          <w:color w:val="auto"/>
          <w:szCs w:val="21"/>
          <w:highlight w:val="none"/>
        </w:rPr>
      </w:pPr>
      <w:r>
        <w:rPr>
          <w:rFonts w:hint="eastAsia"/>
          <w:color w:val="auto"/>
          <w:szCs w:val="21"/>
          <w:highlight w:val="none"/>
        </w:rPr>
        <w:t>6.1.1电话咨询</w:t>
      </w:r>
    </w:p>
    <w:p w14:paraId="585B3BC8">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2DCB050C">
      <w:pPr>
        <w:spacing w:line="360" w:lineRule="auto"/>
        <w:rPr>
          <w:color w:val="auto"/>
          <w:szCs w:val="21"/>
          <w:highlight w:val="none"/>
        </w:rPr>
      </w:pPr>
      <w:r>
        <w:rPr>
          <w:rFonts w:hint="eastAsia"/>
          <w:color w:val="auto"/>
          <w:szCs w:val="21"/>
          <w:highlight w:val="none"/>
        </w:rPr>
        <w:t>6.1.2现场响应</w:t>
      </w:r>
    </w:p>
    <w:p w14:paraId="6371C4B1">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43F75380">
      <w:pPr>
        <w:spacing w:line="360" w:lineRule="auto"/>
        <w:rPr>
          <w:color w:val="auto"/>
          <w:szCs w:val="21"/>
          <w:highlight w:val="none"/>
        </w:rPr>
      </w:pPr>
      <w:r>
        <w:rPr>
          <w:rFonts w:hint="eastAsia"/>
          <w:color w:val="auto"/>
          <w:szCs w:val="21"/>
          <w:highlight w:val="none"/>
        </w:rPr>
        <w:t>6.1.3技术升级</w:t>
      </w:r>
    </w:p>
    <w:p w14:paraId="4743EDAF">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66E0B81F">
      <w:pPr>
        <w:spacing w:line="360" w:lineRule="auto"/>
        <w:rPr>
          <w:color w:val="auto"/>
          <w:szCs w:val="21"/>
          <w:highlight w:val="none"/>
        </w:rPr>
      </w:pPr>
      <w:r>
        <w:rPr>
          <w:rFonts w:hint="eastAsia"/>
          <w:color w:val="auto"/>
          <w:szCs w:val="21"/>
          <w:highlight w:val="none"/>
        </w:rPr>
        <w:t>7.培训</w:t>
      </w:r>
    </w:p>
    <w:p w14:paraId="0A4827C3">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5EDFBDA7">
      <w:pPr>
        <w:spacing w:line="360" w:lineRule="auto"/>
        <w:rPr>
          <w:color w:val="auto"/>
          <w:szCs w:val="21"/>
          <w:highlight w:val="none"/>
        </w:rPr>
      </w:pPr>
      <w:r>
        <w:rPr>
          <w:rFonts w:hint="eastAsia"/>
          <w:color w:val="auto"/>
          <w:szCs w:val="21"/>
          <w:highlight w:val="none"/>
        </w:rPr>
        <w:t>8.付款方式、时间及条件</w:t>
      </w:r>
    </w:p>
    <w:p w14:paraId="2DBE1716">
      <w:pPr>
        <w:spacing w:line="360" w:lineRule="auto"/>
        <w:rPr>
          <w:color w:val="auto"/>
          <w:szCs w:val="21"/>
          <w:highlight w:val="none"/>
        </w:rPr>
      </w:pPr>
      <w:r>
        <w:rPr>
          <w:rFonts w:hint="eastAsia"/>
          <w:color w:val="auto"/>
          <w:szCs w:val="21"/>
          <w:highlight w:val="none"/>
        </w:rPr>
        <w:t>详见采购文件合同主要条款格式部分</w:t>
      </w:r>
    </w:p>
    <w:p w14:paraId="1BAAF976">
      <w:pPr>
        <w:spacing w:line="360" w:lineRule="auto"/>
        <w:rPr>
          <w:color w:val="auto"/>
          <w:szCs w:val="21"/>
          <w:highlight w:val="none"/>
        </w:rPr>
      </w:pPr>
      <w:r>
        <w:rPr>
          <w:rFonts w:hint="eastAsia"/>
          <w:color w:val="auto"/>
          <w:szCs w:val="21"/>
          <w:highlight w:val="none"/>
        </w:rPr>
        <w:t>9.履约保证金</w:t>
      </w:r>
    </w:p>
    <w:p w14:paraId="24767EFC">
      <w:pPr>
        <w:spacing w:line="360" w:lineRule="auto"/>
        <w:rPr>
          <w:color w:val="auto"/>
          <w:szCs w:val="21"/>
          <w:highlight w:val="none"/>
        </w:rPr>
      </w:pPr>
      <w:r>
        <w:rPr>
          <w:rFonts w:hint="eastAsia"/>
          <w:color w:val="auto"/>
          <w:szCs w:val="21"/>
          <w:highlight w:val="none"/>
        </w:rPr>
        <w:t>详见采购文件合同主要条款格式部分</w:t>
      </w:r>
    </w:p>
    <w:p w14:paraId="55FD9AC9">
      <w:pPr>
        <w:spacing w:line="360" w:lineRule="auto"/>
        <w:rPr>
          <w:color w:val="auto"/>
          <w:szCs w:val="21"/>
          <w:highlight w:val="none"/>
        </w:rPr>
      </w:pPr>
      <w:r>
        <w:rPr>
          <w:rFonts w:hint="eastAsia"/>
          <w:color w:val="auto"/>
          <w:szCs w:val="21"/>
          <w:highlight w:val="none"/>
        </w:rPr>
        <w:t>10.包装和运输要求</w:t>
      </w:r>
    </w:p>
    <w:p w14:paraId="7DBCD63A">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341F07FF">
      <w:pPr>
        <w:spacing w:line="360" w:lineRule="auto"/>
        <w:rPr>
          <w:color w:val="auto"/>
          <w:szCs w:val="21"/>
          <w:highlight w:val="none"/>
        </w:rPr>
      </w:pPr>
      <w:r>
        <w:rPr>
          <w:rFonts w:hint="eastAsia"/>
          <w:color w:val="auto"/>
          <w:szCs w:val="21"/>
          <w:highlight w:val="none"/>
        </w:rPr>
        <w:t>运输要求详见采购文件合同主要条款格式部分</w:t>
      </w:r>
    </w:p>
    <w:p w14:paraId="2EE16039">
      <w:pPr>
        <w:spacing w:line="360" w:lineRule="auto"/>
        <w:rPr>
          <w:color w:val="auto"/>
          <w:szCs w:val="21"/>
          <w:highlight w:val="none"/>
        </w:rPr>
      </w:pPr>
      <w:r>
        <w:rPr>
          <w:rFonts w:hint="eastAsia"/>
          <w:color w:val="auto"/>
          <w:szCs w:val="21"/>
          <w:highlight w:val="none"/>
        </w:rPr>
        <w:t>11.售后服务</w:t>
      </w:r>
    </w:p>
    <w:p w14:paraId="2DEF996C">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2942D419">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11.2成交供应商应明确承诺采购文件采购需求部分如无特别要求，则质保期为自验收合格之日起一年，采购文件采购需求部分有特别要求的则以技术参数要求表为准。</w:t>
      </w:r>
    </w:p>
    <w:p w14:paraId="38CC8183">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6FB4A755">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61799330">
      <w:pPr>
        <w:spacing w:line="360" w:lineRule="auto"/>
        <w:rPr>
          <w:color w:val="auto"/>
          <w:szCs w:val="21"/>
          <w:highlight w:val="none"/>
        </w:rPr>
      </w:pPr>
      <w:r>
        <w:rPr>
          <w:rFonts w:hint="eastAsia"/>
          <w:color w:val="auto"/>
          <w:szCs w:val="21"/>
          <w:highlight w:val="none"/>
        </w:rPr>
        <w:t>12.保险</w:t>
      </w:r>
    </w:p>
    <w:p w14:paraId="7544B349">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6EE84A14">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3DBC9AD2">
      <w:pPr>
        <w:pStyle w:val="26"/>
        <w:snapToGrid w:val="0"/>
        <w:rPr>
          <w:rFonts w:hint="eastAsia" w:ascii="Times New Roman" w:hAnsi="Times New Roman" w:cs="Times New Roman"/>
          <w:b/>
          <w:color w:val="auto"/>
          <w:highlight w:val="none"/>
        </w:rPr>
      </w:pPr>
      <w:r>
        <w:rPr>
          <w:rFonts w:hint="eastAsia" w:ascii="Times New Roman" w:hAnsi="Times New Roman" w:cs="Times New Roman"/>
          <w:b/>
          <w:color w:val="auto"/>
          <w:highlight w:val="none"/>
        </w:rPr>
        <w:t>无</w:t>
      </w:r>
    </w:p>
    <w:p w14:paraId="2E3604B3">
      <w:pPr>
        <w:rPr>
          <w:rFonts w:hint="eastAsia" w:ascii="Times New Roman" w:hAnsi="Times New Roman" w:cs="Times New Roman"/>
          <w:b/>
          <w:color w:val="auto"/>
          <w:highlight w:val="none"/>
        </w:rPr>
      </w:pPr>
      <w:r>
        <w:rPr>
          <w:rFonts w:hint="eastAsia" w:ascii="Times New Roman" w:hAnsi="Times New Roman" w:cs="Times New Roman"/>
          <w:b/>
          <w:color w:val="auto"/>
          <w:highlight w:val="none"/>
        </w:rPr>
        <w:br w:type="page"/>
      </w:r>
    </w:p>
    <w:p w14:paraId="110EDEE8">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标项二</w:t>
      </w:r>
    </w:p>
    <w:p w14:paraId="745377B8">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52A011DB">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68643519">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0CEFEBDD">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0E418E8F">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ascii="Times New Roman" w:eastAsia="宋体"/>
          <w:color w:val="auto"/>
          <w:szCs w:val="21"/>
          <w:highlight w:val="none"/>
          <w:lang w:val="en-US" w:eastAsia="zh-CN"/>
        </w:rPr>
        <w:t>无效</w:t>
      </w:r>
      <w:r>
        <w:rPr>
          <w:color w:val="auto"/>
          <w:szCs w:val="21"/>
          <w:highlight w:val="none"/>
        </w:rPr>
        <w:t>。</w:t>
      </w:r>
    </w:p>
    <w:p w14:paraId="3B85D404">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2D523D82">
      <w:pPr>
        <w:spacing w:line="360" w:lineRule="auto"/>
        <w:rPr>
          <w:color w:val="auto"/>
          <w:szCs w:val="21"/>
          <w:highlight w:val="none"/>
        </w:rPr>
      </w:pPr>
      <w:r>
        <w:rPr>
          <w:rFonts w:hint="eastAsia"/>
          <w:color w:val="auto"/>
          <w:szCs w:val="21"/>
          <w:highlight w:val="none"/>
        </w:rPr>
        <w:t>1.需实现的功能、目标及应用场景</w:t>
      </w:r>
    </w:p>
    <w:p w14:paraId="67F60F5D">
      <w:pPr>
        <w:spacing w:line="360" w:lineRule="auto"/>
        <w:rPr>
          <w:rFonts w:hint="eastAsia"/>
          <w:color w:val="auto"/>
          <w:szCs w:val="21"/>
          <w:highlight w:val="none"/>
        </w:rPr>
      </w:pPr>
      <w:r>
        <w:rPr>
          <w:rFonts w:hint="eastAsia"/>
          <w:color w:val="auto"/>
          <w:szCs w:val="21"/>
          <w:highlight w:val="none"/>
        </w:rPr>
        <w:t>满足采购文件要求，验收达到合格标准。</w:t>
      </w:r>
    </w:p>
    <w:p w14:paraId="689AAA3A">
      <w:pPr>
        <w:spacing w:line="360" w:lineRule="auto"/>
        <w:rPr>
          <w:color w:val="auto"/>
          <w:szCs w:val="21"/>
          <w:highlight w:val="none"/>
        </w:rPr>
      </w:pPr>
      <w:r>
        <w:rPr>
          <w:rFonts w:hint="eastAsia"/>
          <w:color w:val="auto"/>
          <w:szCs w:val="21"/>
          <w:highlight w:val="none"/>
        </w:rPr>
        <w:t>2.是否接受进口产品：</w:t>
      </w:r>
    </w:p>
    <w:p w14:paraId="4BF99C5B">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71ED4DF2">
      <w:pPr>
        <w:spacing w:line="360" w:lineRule="auto"/>
        <w:rPr>
          <w:color w:val="auto"/>
          <w:szCs w:val="21"/>
          <w:highlight w:val="none"/>
        </w:rPr>
      </w:pPr>
      <w:r>
        <w:rPr>
          <w:rFonts w:hint="eastAsia"/>
          <w:color w:val="auto"/>
          <w:szCs w:val="21"/>
          <w:highlight w:val="none"/>
        </w:rPr>
        <w:t>□是</w:t>
      </w:r>
    </w:p>
    <w:p w14:paraId="7FB6D354">
      <w:pPr>
        <w:spacing w:line="360" w:lineRule="auto"/>
        <w:rPr>
          <w:color w:val="auto"/>
          <w:szCs w:val="21"/>
          <w:highlight w:val="none"/>
        </w:rPr>
      </w:pPr>
      <w:r>
        <w:rPr>
          <w:rFonts w:hint="eastAsia"/>
          <w:color w:val="auto"/>
          <w:szCs w:val="21"/>
          <w:highlight w:val="none"/>
        </w:rPr>
        <w:t>本项目</w:t>
      </w:r>
      <w:r>
        <w:rPr>
          <w:rFonts w:hint="eastAsia" w:ascii="Times New Roman" w:eastAsia="宋体"/>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7BA67A28">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64FF506E">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43D9CEBA">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01F27CD2">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7045D466">
      <w:pPr>
        <w:spacing w:line="360" w:lineRule="auto"/>
        <w:rPr>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1A68B2D5">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p w14:paraId="72E7C10B">
      <w:pPr>
        <w:spacing w:line="360" w:lineRule="auto"/>
        <w:rPr>
          <w:color w:val="auto"/>
          <w:szCs w:val="21"/>
          <w:highlight w:val="none"/>
        </w:rPr>
      </w:pPr>
      <w:r>
        <w:rPr>
          <w:rFonts w:hint="eastAsia" w:ascii="Times New Roman" w:eastAsia="宋体"/>
          <w:color w:val="auto"/>
          <w:szCs w:val="21"/>
          <w:highlight w:val="none"/>
          <w:lang w:val="en-US" w:eastAsia="zh-CN"/>
        </w:rPr>
        <w:t>4</w:t>
      </w:r>
      <w:r>
        <w:rPr>
          <w:rFonts w:hint="eastAsia"/>
          <w:color w:val="auto"/>
          <w:szCs w:val="21"/>
          <w:highlight w:val="none"/>
        </w:rPr>
        <w:t>.标的所属行业：租赁和商务服务业</w:t>
      </w:r>
    </w:p>
    <w:p w14:paraId="71A5EBEC">
      <w:pPr>
        <w:spacing w:line="360" w:lineRule="auto"/>
        <w:rPr>
          <w:color w:val="auto"/>
          <w:szCs w:val="21"/>
          <w:highlight w:val="none"/>
        </w:rPr>
      </w:pPr>
      <w:r>
        <w:rPr>
          <w:rFonts w:hint="eastAsia" w:ascii="Times New Roman" w:eastAsia="宋体"/>
          <w:color w:val="auto"/>
          <w:szCs w:val="21"/>
          <w:highlight w:val="none"/>
          <w:lang w:val="en-US" w:eastAsia="zh-CN"/>
        </w:rPr>
        <w:t>5</w:t>
      </w:r>
      <w:r>
        <w:rPr>
          <w:rFonts w:hint="eastAsia"/>
          <w:color w:val="auto"/>
          <w:szCs w:val="21"/>
          <w:highlight w:val="none"/>
        </w:rPr>
        <w:t>.核心产品</w:t>
      </w:r>
    </w:p>
    <w:p w14:paraId="54CAECD5">
      <w:pPr>
        <w:spacing w:line="360" w:lineRule="auto"/>
        <w:rPr>
          <w:color w:val="auto"/>
          <w:szCs w:val="21"/>
          <w:highlight w:val="none"/>
        </w:rPr>
      </w:pPr>
      <w:r>
        <w:rPr>
          <w:rFonts w:hint="eastAsia"/>
          <w:color w:val="auto"/>
          <w:szCs w:val="21"/>
          <w:highlight w:val="none"/>
        </w:rPr>
        <w:t>本项目为服务项目，不适用核心产品规定。</w:t>
      </w:r>
    </w:p>
    <w:p w14:paraId="2821F386">
      <w:pPr>
        <w:spacing w:line="360" w:lineRule="auto"/>
        <w:rPr>
          <w:rFonts w:hint="eastAsia"/>
          <w:color w:val="auto"/>
          <w:szCs w:val="21"/>
          <w:highlight w:val="none"/>
        </w:rPr>
      </w:pPr>
      <w:r>
        <w:rPr>
          <w:rFonts w:hint="eastAsia" w:ascii="Times New Roman" w:eastAsia="宋体"/>
          <w:color w:val="auto"/>
          <w:szCs w:val="21"/>
          <w:highlight w:val="none"/>
          <w:lang w:val="en-US" w:eastAsia="zh-CN"/>
        </w:rPr>
        <w:t>6</w:t>
      </w:r>
      <w:r>
        <w:rPr>
          <w:rFonts w:hint="eastAsia"/>
          <w:color w:val="auto"/>
          <w:szCs w:val="21"/>
          <w:highlight w:val="none"/>
        </w:rPr>
        <w:t>.服务内容和标准</w:t>
      </w:r>
    </w:p>
    <w:p w14:paraId="0FB0D302">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1在</w:t>
      </w:r>
      <w:r>
        <w:rPr>
          <w:rFonts w:hint="eastAsia"/>
          <w:color w:val="auto"/>
          <w:szCs w:val="21"/>
          <w:highlight w:val="none"/>
          <w:lang w:eastAsia="zh-CN"/>
        </w:rPr>
        <w:t>国家级</w:t>
      </w:r>
      <w:r>
        <w:rPr>
          <w:rFonts w:hint="eastAsia"/>
          <w:color w:val="auto"/>
          <w:szCs w:val="21"/>
          <w:highlight w:val="none"/>
        </w:rPr>
        <w:t>媒体平台发布广西建设铸牢中华民族共同体意识示范区建设工作成效的专版宣传</w:t>
      </w:r>
      <w:r>
        <w:rPr>
          <w:rFonts w:hint="eastAsia"/>
          <w:color w:val="auto"/>
          <w:szCs w:val="21"/>
          <w:highlight w:val="none"/>
          <w:lang w:eastAsia="zh-CN"/>
        </w:rPr>
        <w:t>。</w:t>
      </w:r>
    </w:p>
    <w:p w14:paraId="7B18110F">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2在</w:t>
      </w:r>
      <w:r>
        <w:rPr>
          <w:rFonts w:hint="eastAsia"/>
          <w:color w:val="auto"/>
          <w:szCs w:val="21"/>
          <w:highlight w:val="none"/>
          <w:lang w:eastAsia="zh-CN"/>
        </w:rPr>
        <w:t>国家级</w:t>
      </w:r>
      <w:r>
        <w:rPr>
          <w:rFonts w:hint="eastAsia"/>
          <w:color w:val="auto"/>
          <w:szCs w:val="21"/>
          <w:highlight w:val="none"/>
        </w:rPr>
        <w:t>媒体平台发布兴边富民行动取得的成就和经验材料的专版宣传</w:t>
      </w:r>
      <w:r>
        <w:rPr>
          <w:rFonts w:hint="eastAsia" w:eastAsia="宋体"/>
          <w:color w:val="auto"/>
          <w:szCs w:val="21"/>
          <w:highlight w:val="none"/>
          <w:lang w:eastAsia="zh-CN"/>
        </w:rPr>
        <w:t>。</w:t>
      </w:r>
    </w:p>
    <w:p w14:paraId="7F66F0BB">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w:t>
      </w:r>
      <w:r>
        <w:rPr>
          <w:rFonts w:hint="eastAsia" w:eastAsia="宋体"/>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1E73BC79">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46EC6F96">
      <w:pPr>
        <w:spacing w:line="360" w:lineRule="auto"/>
        <w:rPr>
          <w:color w:val="auto"/>
          <w:szCs w:val="21"/>
          <w:highlight w:val="none"/>
        </w:rPr>
      </w:pPr>
      <w:r>
        <w:rPr>
          <w:rFonts w:hint="eastAsia"/>
          <w:color w:val="auto"/>
          <w:szCs w:val="21"/>
          <w:highlight w:val="none"/>
        </w:rPr>
        <w:t>1．报价要求</w:t>
      </w:r>
    </w:p>
    <w:p w14:paraId="38D4EC8E">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ascii="Times New Roman" w:eastAsia="宋体"/>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31260508">
      <w:pPr>
        <w:spacing w:line="360" w:lineRule="auto"/>
        <w:rPr>
          <w:color w:val="auto"/>
          <w:szCs w:val="21"/>
          <w:highlight w:val="none"/>
        </w:rPr>
      </w:pPr>
      <w:r>
        <w:rPr>
          <w:rFonts w:hint="eastAsia"/>
          <w:color w:val="auto"/>
          <w:szCs w:val="21"/>
          <w:highlight w:val="none"/>
        </w:rPr>
        <w:t>2.合同签订日期</w:t>
      </w:r>
    </w:p>
    <w:p w14:paraId="1B06FF9E">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138AF17A">
      <w:pPr>
        <w:spacing w:line="360" w:lineRule="auto"/>
        <w:rPr>
          <w:color w:val="auto"/>
          <w:szCs w:val="21"/>
          <w:highlight w:val="none"/>
        </w:rPr>
      </w:pPr>
      <w:r>
        <w:rPr>
          <w:rFonts w:hint="eastAsia"/>
          <w:color w:val="auto"/>
          <w:szCs w:val="21"/>
          <w:highlight w:val="none"/>
        </w:rPr>
        <w:t>3.交货（实施）时间</w:t>
      </w:r>
    </w:p>
    <w:p w14:paraId="61EBCDEA">
      <w:pPr>
        <w:spacing w:line="360" w:lineRule="auto"/>
        <w:rPr>
          <w:rFonts w:hint="eastAsia"/>
          <w:color w:val="auto"/>
          <w:szCs w:val="21"/>
          <w:highlight w:val="none"/>
        </w:rPr>
      </w:pPr>
      <w:r>
        <w:rPr>
          <w:rFonts w:hint="eastAsia"/>
          <w:color w:val="auto"/>
          <w:szCs w:val="21"/>
          <w:highlight w:val="none"/>
        </w:rPr>
        <w:t>自签订合同之日起至2027年10月1日</w:t>
      </w:r>
    </w:p>
    <w:p w14:paraId="3BC92933">
      <w:pPr>
        <w:spacing w:line="360" w:lineRule="auto"/>
        <w:rPr>
          <w:color w:val="auto"/>
          <w:szCs w:val="21"/>
          <w:highlight w:val="none"/>
        </w:rPr>
      </w:pPr>
      <w:r>
        <w:rPr>
          <w:rFonts w:hint="eastAsia"/>
          <w:color w:val="auto"/>
          <w:szCs w:val="21"/>
          <w:highlight w:val="none"/>
        </w:rPr>
        <w:t>4.交货地点或服务地点</w:t>
      </w:r>
    </w:p>
    <w:p w14:paraId="4FB3834F">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南宁市（采购人指定地点）</w:t>
      </w:r>
    </w:p>
    <w:p w14:paraId="3925378C">
      <w:pPr>
        <w:spacing w:line="360" w:lineRule="auto"/>
        <w:rPr>
          <w:color w:val="auto"/>
          <w:szCs w:val="21"/>
          <w:highlight w:val="none"/>
        </w:rPr>
      </w:pPr>
      <w:r>
        <w:rPr>
          <w:rFonts w:hint="eastAsia"/>
          <w:color w:val="auto"/>
          <w:szCs w:val="21"/>
          <w:highlight w:val="none"/>
        </w:rPr>
        <w:t>5.验收标准</w:t>
      </w:r>
    </w:p>
    <w:p w14:paraId="4E87FCB9">
      <w:pPr>
        <w:spacing w:line="360" w:lineRule="auto"/>
        <w:rPr>
          <w:color w:val="auto"/>
          <w:szCs w:val="21"/>
          <w:highlight w:val="none"/>
        </w:rPr>
      </w:pPr>
      <w:r>
        <w:rPr>
          <w:rFonts w:hint="eastAsia"/>
          <w:color w:val="auto"/>
          <w:szCs w:val="21"/>
          <w:highlight w:val="none"/>
        </w:rPr>
        <w:t>详见采购文件合同主要条款格式部分</w:t>
      </w:r>
    </w:p>
    <w:p w14:paraId="4B652ADC">
      <w:pPr>
        <w:spacing w:line="360" w:lineRule="auto"/>
        <w:rPr>
          <w:color w:val="auto"/>
          <w:szCs w:val="21"/>
          <w:highlight w:val="none"/>
        </w:rPr>
      </w:pPr>
      <w:r>
        <w:rPr>
          <w:rFonts w:hint="eastAsia"/>
          <w:color w:val="auto"/>
          <w:szCs w:val="21"/>
          <w:highlight w:val="none"/>
        </w:rPr>
        <w:t>6.服务标准、期限、效率</w:t>
      </w:r>
    </w:p>
    <w:p w14:paraId="27AFF4C2">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55A234C3">
      <w:pPr>
        <w:spacing w:line="360" w:lineRule="auto"/>
        <w:rPr>
          <w:color w:val="auto"/>
          <w:szCs w:val="21"/>
          <w:highlight w:val="none"/>
        </w:rPr>
      </w:pPr>
      <w:r>
        <w:rPr>
          <w:rFonts w:hint="eastAsia"/>
          <w:color w:val="auto"/>
          <w:szCs w:val="21"/>
          <w:highlight w:val="none"/>
        </w:rPr>
        <w:t>6.1.1电话咨询</w:t>
      </w:r>
    </w:p>
    <w:p w14:paraId="1B453F9D">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36C18BEA">
      <w:pPr>
        <w:spacing w:line="360" w:lineRule="auto"/>
        <w:rPr>
          <w:color w:val="auto"/>
          <w:szCs w:val="21"/>
          <w:highlight w:val="none"/>
        </w:rPr>
      </w:pPr>
      <w:r>
        <w:rPr>
          <w:rFonts w:hint="eastAsia"/>
          <w:color w:val="auto"/>
          <w:szCs w:val="21"/>
          <w:highlight w:val="none"/>
        </w:rPr>
        <w:t>6.1.2现场响应</w:t>
      </w:r>
    </w:p>
    <w:p w14:paraId="1B11414D">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247ACA98">
      <w:pPr>
        <w:spacing w:line="360" w:lineRule="auto"/>
        <w:rPr>
          <w:color w:val="auto"/>
          <w:szCs w:val="21"/>
          <w:highlight w:val="none"/>
        </w:rPr>
      </w:pPr>
      <w:r>
        <w:rPr>
          <w:rFonts w:hint="eastAsia"/>
          <w:color w:val="auto"/>
          <w:szCs w:val="21"/>
          <w:highlight w:val="none"/>
        </w:rPr>
        <w:t>6.1.3技术升级</w:t>
      </w:r>
    </w:p>
    <w:p w14:paraId="1149E953">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574F062F">
      <w:pPr>
        <w:spacing w:line="360" w:lineRule="auto"/>
        <w:rPr>
          <w:color w:val="auto"/>
          <w:szCs w:val="21"/>
          <w:highlight w:val="none"/>
        </w:rPr>
      </w:pPr>
      <w:r>
        <w:rPr>
          <w:rFonts w:hint="eastAsia"/>
          <w:color w:val="auto"/>
          <w:szCs w:val="21"/>
          <w:highlight w:val="none"/>
        </w:rPr>
        <w:t>7.培训</w:t>
      </w:r>
    </w:p>
    <w:p w14:paraId="3912D690">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4208E42A">
      <w:pPr>
        <w:spacing w:line="360" w:lineRule="auto"/>
        <w:rPr>
          <w:color w:val="auto"/>
          <w:szCs w:val="21"/>
          <w:highlight w:val="none"/>
        </w:rPr>
      </w:pPr>
      <w:r>
        <w:rPr>
          <w:rFonts w:hint="eastAsia"/>
          <w:color w:val="auto"/>
          <w:szCs w:val="21"/>
          <w:highlight w:val="none"/>
        </w:rPr>
        <w:t>8.付款方式、时间及条件</w:t>
      </w:r>
    </w:p>
    <w:p w14:paraId="7343AA87">
      <w:pPr>
        <w:spacing w:line="360" w:lineRule="auto"/>
        <w:rPr>
          <w:color w:val="auto"/>
          <w:szCs w:val="21"/>
          <w:highlight w:val="none"/>
        </w:rPr>
      </w:pPr>
      <w:r>
        <w:rPr>
          <w:rFonts w:hint="eastAsia"/>
          <w:color w:val="auto"/>
          <w:szCs w:val="21"/>
          <w:highlight w:val="none"/>
        </w:rPr>
        <w:t>详见采购文件合同主要条款格式部分</w:t>
      </w:r>
    </w:p>
    <w:p w14:paraId="7CE5D040">
      <w:pPr>
        <w:spacing w:line="360" w:lineRule="auto"/>
        <w:rPr>
          <w:color w:val="auto"/>
          <w:szCs w:val="21"/>
          <w:highlight w:val="none"/>
        </w:rPr>
      </w:pPr>
      <w:r>
        <w:rPr>
          <w:rFonts w:hint="eastAsia"/>
          <w:color w:val="auto"/>
          <w:szCs w:val="21"/>
          <w:highlight w:val="none"/>
        </w:rPr>
        <w:t>9.履约保证金</w:t>
      </w:r>
    </w:p>
    <w:p w14:paraId="75F70A74">
      <w:pPr>
        <w:spacing w:line="360" w:lineRule="auto"/>
        <w:rPr>
          <w:color w:val="auto"/>
          <w:szCs w:val="21"/>
          <w:highlight w:val="none"/>
        </w:rPr>
      </w:pPr>
      <w:r>
        <w:rPr>
          <w:rFonts w:hint="eastAsia"/>
          <w:color w:val="auto"/>
          <w:szCs w:val="21"/>
          <w:highlight w:val="none"/>
        </w:rPr>
        <w:t>详见采购文件合同主要条款格式部分</w:t>
      </w:r>
    </w:p>
    <w:p w14:paraId="057DDF33">
      <w:pPr>
        <w:spacing w:line="360" w:lineRule="auto"/>
        <w:rPr>
          <w:color w:val="auto"/>
          <w:szCs w:val="21"/>
          <w:highlight w:val="none"/>
        </w:rPr>
      </w:pPr>
      <w:r>
        <w:rPr>
          <w:rFonts w:hint="eastAsia"/>
          <w:color w:val="auto"/>
          <w:szCs w:val="21"/>
          <w:highlight w:val="none"/>
        </w:rPr>
        <w:t>10.包装和运输要求</w:t>
      </w:r>
    </w:p>
    <w:p w14:paraId="313A4B29">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eastAsia="宋体"/>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4A8739AA">
      <w:pPr>
        <w:spacing w:line="360" w:lineRule="auto"/>
        <w:rPr>
          <w:color w:val="auto"/>
          <w:szCs w:val="21"/>
          <w:highlight w:val="none"/>
        </w:rPr>
      </w:pPr>
      <w:r>
        <w:rPr>
          <w:rFonts w:hint="eastAsia"/>
          <w:color w:val="auto"/>
          <w:szCs w:val="21"/>
          <w:highlight w:val="none"/>
        </w:rPr>
        <w:t>运输要求详见采购文件合同主要条款格式部分</w:t>
      </w:r>
    </w:p>
    <w:p w14:paraId="40225E34">
      <w:pPr>
        <w:spacing w:line="360" w:lineRule="auto"/>
        <w:rPr>
          <w:color w:val="auto"/>
          <w:szCs w:val="21"/>
          <w:highlight w:val="none"/>
        </w:rPr>
      </w:pPr>
      <w:r>
        <w:rPr>
          <w:rFonts w:hint="eastAsia"/>
          <w:color w:val="auto"/>
          <w:szCs w:val="21"/>
          <w:highlight w:val="none"/>
        </w:rPr>
        <w:t>11.售后服务</w:t>
      </w:r>
    </w:p>
    <w:p w14:paraId="430398F8">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77F9207D">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11.2成交供应商应明确承诺采购文件采购需求部分如无特别要求，则质保期为自验收合格之日起一年，采购文件采购需求部分有特别要求的则以技术参数要求表为准。</w:t>
      </w:r>
    </w:p>
    <w:p w14:paraId="3DD6C4D4">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210B2672">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75AE4013">
      <w:pPr>
        <w:spacing w:line="360" w:lineRule="auto"/>
        <w:rPr>
          <w:color w:val="auto"/>
          <w:szCs w:val="21"/>
          <w:highlight w:val="none"/>
        </w:rPr>
      </w:pPr>
      <w:r>
        <w:rPr>
          <w:rFonts w:hint="eastAsia"/>
          <w:color w:val="auto"/>
          <w:szCs w:val="21"/>
          <w:highlight w:val="none"/>
        </w:rPr>
        <w:t>12.保险</w:t>
      </w:r>
    </w:p>
    <w:p w14:paraId="1EA91018">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0A3161A8">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0C3D732C">
      <w:pPr>
        <w:pStyle w:val="26"/>
        <w:snapToGrid w:val="0"/>
        <w:rPr>
          <w:rFonts w:hint="eastAsia" w:ascii="Times New Roman" w:hAnsi="Times New Roman" w:cs="Times New Roman"/>
          <w:b/>
          <w:color w:val="auto"/>
          <w:highlight w:val="none"/>
        </w:rPr>
      </w:pPr>
      <w:r>
        <w:rPr>
          <w:rFonts w:hint="eastAsia" w:ascii="Times New Roman" w:hAnsi="Times New Roman" w:cs="Times New Roman"/>
          <w:b/>
          <w:color w:val="auto"/>
          <w:highlight w:val="none"/>
        </w:rPr>
        <w:t>无</w:t>
      </w:r>
    </w:p>
    <w:p w14:paraId="3BBA553E">
      <w:pPr>
        <w:rPr>
          <w:rFonts w:hint="eastAsia" w:ascii="Times New Roman" w:hAnsi="Times New Roman" w:cs="Times New Roman"/>
          <w:b/>
          <w:color w:val="auto"/>
          <w:highlight w:val="none"/>
        </w:rPr>
      </w:pPr>
      <w:r>
        <w:rPr>
          <w:rFonts w:hint="eastAsia" w:ascii="Times New Roman" w:hAnsi="Times New Roman" w:cs="Times New Roman"/>
          <w:b/>
          <w:color w:val="auto"/>
          <w:highlight w:val="none"/>
        </w:rPr>
        <w:br w:type="page"/>
      </w:r>
    </w:p>
    <w:p w14:paraId="0144ACCE">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标项三</w:t>
      </w:r>
    </w:p>
    <w:p w14:paraId="300A8493">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2FD776AD">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442019AB">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0DB362AA">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4B5AA51E">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ascii="Times New Roman" w:eastAsia="宋体"/>
          <w:color w:val="auto"/>
          <w:szCs w:val="21"/>
          <w:highlight w:val="none"/>
          <w:lang w:val="en-US" w:eastAsia="zh-CN"/>
        </w:rPr>
        <w:t>无效</w:t>
      </w:r>
      <w:r>
        <w:rPr>
          <w:color w:val="auto"/>
          <w:szCs w:val="21"/>
          <w:highlight w:val="none"/>
        </w:rPr>
        <w:t>。</w:t>
      </w:r>
    </w:p>
    <w:p w14:paraId="04EAE494">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77E6E1B3">
      <w:pPr>
        <w:spacing w:line="360" w:lineRule="auto"/>
        <w:rPr>
          <w:color w:val="auto"/>
          <w:szCs w:val="21"/>
          <w:highlight w:val="none"/>
        </w:rPr>
      </w:pPr>
      <w:r>
        <w:rPr>
          <w:rFonts w:hint="eastAsia"/>
          <w:color w:val="auto"/>
          <w:szCs w:val="21"/>
          <w:highlight w:val="none"/>
        </w:rPr>
        <w:t>1.需实现的功能、目标及应用场景</w:t>
      </w:r>
    </w:p>
    <w:p w14:paraId="47B0AE13">
      <w:pPr>
        <w:spacing w:line="360" w:lineRule="auto"/>
        <w:rPr>
          <w:rFonts w:hint="eastAsia"/>
          <w:color w:val="auto"/>
          <w:szCs w:val="21"/>
          <w:highlight w:val="none"/>
        </w:rPr>
      </w:pPr>
      <w:r>
        <w:rPr>
          <w:rFonts w:hint="eastAsia"/>
          <w:color w:val="auto"/>
          <w:szCs w:val="21"/>
          <w:highlight w:val="none"/>
        </w:rPr>
        <w:t>满足采购文件要求，验收达到合格标准。</w:t>
      </w:r>
    </w:p>
    <w:p w14:paraId="78D6CEB4">
      <w:pPr>
        <w:spacing w:line="360" w:lineRule="auto"/>
        <w:rPr>
          <w:color w:val="auto"/>
          <w:szCs w:val="21"/>
          <w:highlight w:val="none"/>
        </w:rPr>
      </w:pPr>
      <w:r>
        <w:rPr>
          <w:rFonts w:hint="eastAsia"/>
          <w:color w:val="auto"/>
          <w:szCs w:val="21"/>
          <w:highlight w:val="none"/>
        </w:rPr>
        <w:t>2.是否接受进口产品：</w:t>
      </w:r>
    </w:p>
    <w:p w14:paraId="6299BC49">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38C6FFC4">
      <w:pPr>
        <w:spacing w:line="360" w:lineRule="auto"/>
        <w:rPr>
          <w:color w:val="auto"/>
          <w:szCs w:val="21"/>
          <w:highlight w:val="none"/>
        </w:rPr>
      </w:pPr>
      <w:r>
        <w:rPr>
          <w:rFonts w:hint="eastAsia"/>
          <w:color w:val="auto"/>
          <w:szCs w:val="21"/>
          <w:highlight w:val="none"/>
        </w:rPr>
        <w:t>□是</w:t>
      </w:r>
    </w:p>
    <w:p w14:paraId="6428DFCF">
      <w:pPr>
        <w:spacing w:line="360" w:lineRule="auto"/>
        <w:rPr>
          <w:color w:val="auto"/>
          <w:szCs w:val="21"/>
          <w:highlight w:val="none"/>
        </w:rPr>
      </w:pPr>
      <w:r>
        <w:rPr>
          <w:rFonts w:hint="eastAsia"/>
          <w:color w:val="auto"/>
          <w:szCs w:val="21"/>
          <w:highlight w:val="none"/>
        </w:rPr>
        <w:t>本项目</w:t>
      </w:r>
      <w:r>
        <w:rPr>
          <w:rFonts w:hint="eastAsia" w:ascii="Times New Roman" w:eastAsia="宋体"/>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416EED1F">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25714C9B">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3F0DCEC3">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2F4415A6">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461B1FAB">
      <w:pPr>
        <w:spacing w:line="360" w:lineRule="auto"/>
        <w:rPr>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491680D0">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p w14:paraId="2903C011">
      <w:pPr>
        <w:spacing w:line="360" w:lineRule="auto"/>
        <w:rPr>
          <w:color w:val="auto"/>
          <w:szCs w:val="21"/>
          <w:highlight w:val="none"/>
        </w:rPr>
      </w:pPr>
      <w:r>
        <w:rPr>
          <w:rFonts w:hint="eastAsia" w:ascii="Times New Roman" w:eastAsia="宋体"/>
          <w:color w:val="auto"/>
          <w:szCs w:val="21"/>
          <w:highlight w:val="none"/>
          <w:lang w:val="en-US" w:eastAsia="zh-CN"/>
        </w:rPr>
        <w:t>4</w:t>
      </w:r>
      <w:r>
        <w:rPr>
          <w:rFonts w:hint="eastAsia"/>
          <w:color w:val="auto"/>
          <w:szCs w:val="21"/>
          <w:highlight w:val="none"/>
        </w:rPr>
        <w:t>.标的所属行业：租赁和商务服务业</w:t>
      </w:r>
    </w:p>
    <w:p w14:paraId="779199DE">
      <w:pPr>
        <w:spacing w:line="360" w:lineRule="auto"/>
        <w:rPr>
          <w:color w:val="auto"/>
          <w:szCs w:val="21"/>
          <w:highlight w:val="none"/>
        </w:rPr>
      </w:pPr>
      <w:r>
        <w:rPr>
          <w:rFonts w:hint="eastAsia" w:ascii="Times New Roman" w:eastAsia="宋体"/>
          <w:color w:val="auto"/>
          <w:szCs w:val="21"/>
          <w:highlight w:val="none"/>
          <w:lang w:val="en-US" w:eastAsia="zh-CN"/>
        </w:rPr>
        <w:t>5</w:t>
      </w:r>
      <w:r>
        <w:rPr>
          <w:rFonts w:hint="eastAsia"/>
          <w:color w:val="auto"/>
          <w:szCs w:val="21"/>
          <w:highlight w:val="none"/>
        </w:rPr>
        <w:t>.核心产品</w:t>
      </w:r>
    </w:p>
    <w:p w14:paraId="79E963A6">
      <w:pPr>
        <w:spacing w:line="360" w:lineRule="auto"/>
        <w:rPr>
          <w:color w:val="auto"/>
          <w:szCs w:val="21"/>
          <w:highlight w:val="none"/>
        </w:rPr>
      </w:pPr>
      <w:r>
        <w:rPr>
          <w:rFonts w:hint="eastAsia"/>
          <w:color w:val="auto"/>
          <w:szCs w:val="21"/>
          <w:highlight w:val="none"/>
        </w:rPr>
        <w:t>本项目为服务项目，不适用核心产品规定。</w:t>
      </w:r>
    </w:p>
    <w:p w14:paraId="04C73E16">
      <w:pPr>
        <w:spacing w:line="360" w:lineRule="auto"/>
        <w:rPr>
          <w:rFonts w:hint="eastAsia"/>
          <w:color w:val="auto"/>
          <w:szCs w:val="21"/>
          <w:highlight w:val="none"/>
        </w:rPr>
      </w:pPr>
      <w:r>
        <w:rPr>
          <w:rFonts w:hint="eastAsia" w:ascii="Times New Roman" w:eastAsia="宋体"/>
          <w:color w:val="auto"/>
          <w:szCs w:val="21"/>
          <w:highlight w:val="none"/>
          <w:lang w:val="en-US" w:eastAsia="zh-CN"/>
        </w:rPr>
        <w:t>6</w:t>
      </w:r>
      <w:r>
        <w:rPr>
          <w:rFonts w:hint="eastAsia"/>
          <w:color w:val="auto"/>
          <w:szCs w:val="21"/>
          <w:highlight w:val="none"/>
        </w:rPr>
        <w:t>.服务内容和标准</w:t>
      </w:r>
    </w:p>
    <w:p w14:paraId="681ED52D">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1在</w:t>
      </w:r>
      <w:r>
        <w:rPr>
          <w:rFonts w:hint="eastAsia"/>
          <w:color w:val="auto"/>
          <w:szCs w:val="21"/>
          <w:highlight w:val="none"/>
          <w:lang w:eastAsia="zh-CN"/>
        </w:rPr>
        <w:t>国家级</w:t>
      </w:r>
      <w:r>
        <w:rPr>
          <w:rFonts w:hint="eastAsia"/>
          <w:color w:val="auto"/>
          <w:szCs w:val="21"/>
          <w:highlight w:val="none"/>
        </w:rPr>
        <w:t>媒体刊发若干篇广西推进铸牢中华民族共同体意识示范区建设综述性文章，重点介绍兴边富民行动、铸牢中华民族共同体意识理论研究、民族文艺事业等的成效</w:t>
      </w:r>
      <w:r>
        <w:rPr>
          <w:rFonts w:hint="eastAsia"/>
          <w:color w:val="auto"/>
          <w:szCs w:val="21"/>
          <w:highlight w:val="none"/>
          <w:lang w:eastAsia="zh-CN"/>
        </w:rPr>
        <w:t>。</w:t>
      </w:r>
    </w:p>
    <w:p w14:paraId="1AA0FD67">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2在</w:t>
      </w:r>
      <w:r>
        <w:rPr>
          <w:rFonts w:hint="eastAsia"/>
          <w:color w:val="auto"/>
          <w:szCs w:val="21"/>
          <w:highlight w:val="none"/>
          <w:lang w:eastAsia="zh-CN"/>
        </w:rPr>
        <w:t>国家级</w:t>
      </w:r>
      <w:r>
        <w:rPr>
          <w:rFonts w:hint="eastAsia"/>
          <w:color w:val="auto"/>
          <w:szCs w:val="21"/>
          <w:highlight w:val="none"/>
        </w:rPr>
        <w:t>媒体</w:t>
      </w:r>
      <w:r>
        <w:rPr>
          <w:rFonts w:hint="eastAsia"/>
          <w:color w:val="auto"/>
          <w:szCs w:val="21"/>
          <w:highlight w:val="none"/>
          <w:lang w:eastAsia="zh-CN"/>
        </w:rPr>
        <w:t>的新媒体</w:t>
      </w:r>
      <w:r>
        <w:rPr>
          <w:rFonts w:hint="eastAsia"/>
          <w:color w:val="auto"/>
          <w:szCs w:val="21"/>
          <w:highlight w:val="none"/>
        </w:rPr>
        <w:t>平台刊发若干篇文章、短视频，重点发布互嵌式社区建设、“三项计划”等工作的内容</w:t>
      </w:r>
      <w:r>
        <w:rPr>
          <w:rFonts w:hint="eastAsia" w:eastAsia="宋体"/>
          <w:color w:val="auto"/>
          <w:szCs w:val="21"/>
          <w:highlight w:val="none"/>
          <w:lang w:eastAsia="zh-CN"/>
        </w:rPr>
        <w:t>。</w:t>
      </w:r>
    </w:p>
    <w:p w14:paraId="3BE3E069">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w:t>
      </w:r>
      <w:r>
        <w:rPr>
          <w:rFonts w:hint="eastAsia" w:eastAsia="宋体"/>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6A0D1CA1">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27F3E5AC">
      <w:pPr>
        <w:spacing w:line="360" w:lineRule="auto"/>
        <w:rPr>
          <w:color w:val="auto"/>
          <w:szCs w:val="21"/>
          <w:highlight w:val="none"/>
        </w:rPr>
      </w:pPr>
      <w:r>
        <w:rPr>
          <w:rFonts w:hint="eastAsia"/>
          <w:color w:val="auto"/>
          <w:szCs w:val="21"/>
          <w:highlight w:val="none"/>
        </w:rPr>
        <w:t>1．报价要求</w:t>
      </w:r>
    </w:p>
    <w:p w14:paraId="64BC04BB">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ascii="Times New Roman" w:eastAsia="宋体"/>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2FF813F6">
      <w:pPr>
        <w:spacing w:line="360" w:lineRule="auto"/>
        <w:rPr>
          <w:color w:val="auto"/>
          <w:szCs w:val="21"/>
          <w:highlight w:val="none"/>
        </w:rPr>
      </w:pPr>
      <w:r>
        <w:rPr>
          <w:rFonts w:hint="eastAsia"/>
          <w:color w:val="auto"/>
          <w:szCs w:val="21"/>
          <w:highlight w:val="none"/>
        </w:rPr>
        <w:t>2.合同签订日期</w:t>
      </w:r>
    </w:p>
    <w:p w14:paraId="384A985D">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7F6228CA">
      <w:pPr>
        <w:spacing w:line="360" w:lineRule="auto"/>
        <w:rPr>
          <w:color w:val="auto"/>
          <w:szCs w:val="21"/>
          <w:highlight w:val="none"/>
        </w:rPr>
      </w:pPr>
      <w:r>
        <w:rPr>
          <w:rFonts w:hint="eastAsia"/>
          <w:color w:val="auto"/>
          <w:szCs w:val="21"/>
          <w:highlight w:val="none"/>
        </w:rPr>
        <w:t>3.交货（实施）时间</w:t>
      </w:r>
    </w:p>
    <w:p w14:paraId="28BB2E2E">
      <w:pPr>
        <w:spacing w:line="360" w:lineRule="auto"/>
        <w:rPr>
          <w:rFonts w:hint="eastAsia"/>
          <w:color w:val="auto"/>
          <w:szCs w:val="21"/>
          <w:highlight w:val="none"/>
        </w:rPr>
      </w:pPr>
      <w:r>
        <w:rPr>
          <w:rFonts w:hint="eastAsia"/>
          <w:color w:val="auto"/>
          <w:szCs w:val="21"/>
          <w:highlight w:val="none"/>
        </w:rPr>
        <w:t>自签订合同之日起至2027年10月1日</w:t>
      </w:r>
    </w:p>
    <w:p w14:paraId="3D8615C6">
      <w:pPr>
        <w:spacing w:line="360" w:lineRule="auto"/>
        <w:rPr>
          <w:color w:val="auto"/>
          <w:szCs w:val="21"/>
          <w:highlight w:val="none"/>
        </w:rPr>
      </w:pPr>
      <w:r>
        <w:rPr>
          <w:rFonts w:hint="eastAsia"/>
          <w:color w:val="auto"/>
          <w:szCs w:val="21"/>
          <w:highlight w:val="none"/>
        </w:rPr>
        <w:t>4.交货地点或服务地点</w:t>
      </w:r>
    </w:p>
    <w:p w14:paraId="2554E15C">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南宁市（采购人指定地点）</w:t>
      </w:r>
    </w:p>
    <w:p w14:paraId="225AFF3C">
      <w:pPr>
        <w:spacing w:line="360" w:lineRule="auto"/>
        <w:rPr>
          <w:color w:val="auto"/>
          <w:szCs w:val="21"/>
          <w:highlight w:val="none"/>
        </w:rPr>
      </w:pPr>
      <w:r>
        <w:rPr>
          <w:rFonts w:hint="eastAsia"/>
          <w:color w:val="auto"/>
          <w:szCs w:val="21"/>
          <w:highlight w:val="none"/>
        </w:rPr>
        <w:t>5.验收标准</w:t>
      </w:r>
    </w:p>
    <w:p w14:paraId="16C58FF6">
      <w:pPr>
        <w:spacing w:line="360" w:lineRule="auto"/>
        <w:rPr>
          <w:color w:val="auto"/>
          <w:szCs w:val="21"/>
          <w:highlight w:val="none"/>
        </w:rPr>
      </w:pPr>
      <w:r>
        <w:rPr>
          <w:rFonts w:hint="eastAsia"/>
          <w:color w:val="auto"/>
          <w:szCs w:val="21"/>
          <w:highlight w:val="none"/>
        </w:rPr>
        <w:t>详见采购文件合同主要条款格式部分</w:t>
      </w:r>
    </w:p>
    <w:p w14:paraId="0B8D0D07">
      <w:pPr>
        <w:spacing w:line="360" w:lineRule="auto"/>
        <w:rPr>
          <w:color w:val="auto"/>
          <w:szCs w:val="21"/>
          <w:highlight w:val="none"/>
        </w:rPr>
      </w:pPr>
      <w:r>
        <w:rPr>
          <w:rFonts w:hint="eastAsia"/>
          <w:color w:val="auto"/>
          <w:szCs w:val="21"/>
          <w:highlight w:val="none"/>
        </w:rPr>
        <w:t>6.服务标准、期限、效率</w:t>
      </w:r>
    </w:p>
    <w:p w14:paraId="17F35DFA">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14F68CA4">
      <w:pPr>
        <w:spacing w:line="360" w:lineRule="auto"/>
        <w:rPr>
          <w:color w:val="auto"/>
          <w:szCs w:val="21"/>
          <w:highlight w:val="none"/>
        </w:rPr>
      </w:pPr>
      <w:r>
        <w:rPr>
          <w:rFonts w:hint="eastAsia"/>
          <w:color w:val="auto"/>
          <w:szCs w:val="21"/>
          <w:highlight w:val="none"/>
        </w:rPr>
        <w:t>6.1.1电话咨询</w:t>
      </w:r>
    </w:p>
    <w:p w14:paraId="6175BE49">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46E54139">
      <w:pPr>
        <w:spacing w:line="360" w:lineRule="auto"/>
        <w:rPr>
          <w:color w:val="auto"/>
          <w:szCs w:val="21"/>
          <w:highlight w:val="none"/>
        </w:rPr>
      </w:pPr>
      <w:r>
        <w:rPr>
          <w:rFonts w:hint="eastAsia"/>
          <w:color w:val="auto"/>
          <w:szCs w:val="21"/>
          <w:highlight w:val="none"/>
        </w:rPr>
        <w:t>6.1.2现场响应</w:t>
      </w:r>
    </w:p>
    <w:p w14:paraId="29826F17">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3C344F09">
      <w:pPr>
        <w:spacing w:line="360" w:lineRule="auto"/>
        <w:rPr>
          <w:color w:val="auto"/>
          <w:szCs w:val="21"/>
          <w:highlight w:val="none"/>
        </w:rPr>
      </w:pPr>
      <w:r>
        <w:rPr>
          <w:rFonts w:hint="eastAsia"/>
          <w:color w:val="auto"/>
          <w:szCs w:val="21"/>
          <w:highlight w:val="none"/>
        </w:rPr>
        <w:t>6.1.3技术升级</w:t>
      </w:r>
    </w:p>
    <w:p w14:paraId="1A228E18">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5F70F0B9">
      <w:pPr>
        <w:spacing w:line="360" w:lineRule="auto"/>
        <w:rPr>
          <w:color w:val="auto"/>
          <w:szCs w:val="21"/>
          <w:highlight w:val="none"/>
        </w:rPr>
      </w:pPr>
      <w:r>
        <w:rPr>
          <w:rFonts w:hint="eastAsia"/>
          <w:color w:val="auto"/>
          <w:szCs w:val="21"/>
          <w:highlight w:val="none"/>
        </w:rPr>
        <w:t>7.培训</w:t>
      </w:r>
    </w:p>
    <w:p w14:paraId="64C239DD">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7B6B1FE9">
      <w:pPr>
        <w:spacing w:line="360" w:lineRule="auto"/>
        <w:rPr>
          <w:color w:val="auto"/>
          <w:szCs w:val="21"/>
          <w:highlight w:val="none"/>
        </w:rPr>
      </w:pPr>
      <w:r>
        <w:rPr>
          <w:rFonts w:hint="eastAsia"/>
          <w:color w:val="auto"/>
          <w:szCs w:val="21"/>
          <w:highlight w:val="none"/>
        </w:rPr>
        <w:t>8.付款方式、时间及条件</w:t>
      </w:r>
    </w:p>
    <w:p w14:paraId="54A7BF41">
      <w:pPr>
        <w:spacing w:line="360" w:lineRule="auto"/>
        <w:rPr>
          <w:color w:val="auto"/>
          <w:szCs w:val="21"/>
          <w:highlight w:val="none"/>
        </w:rPr>
      </w:pPr>
      <w:r>
        <w:rPr>
          <w:rFonts w:hint="eastAsia"/>
          <w:color w:val="auto"/>
          <w:szCs w:val="21"/>
          <w:highlight w:val="none"/>
        </w:rPr>
        <w:t>详见采购文件合同主要条款格式部分</w:t>
      </w:r>
    </w:p>
    <w:p w14:paraId="3807FEED">
      <w:pPr>
        <w:spacing w:line="360" w:lineRule="auto"/>
        <w:rPr>
          <w:color w:val="auto"/>
          <w:szCs w:val="21"/>
          <w:highlight w:val="none"/>
        </w:rPr>
      </w:pPr>
      <w:r>
        <w:rPr>
          <w:rFonts w:hint="eastAsia"/>
          <w:color w:val="auto"/>
          <w:szCs w:val="21"/>
          <w:highlight w:val="none"/>
        </w:rPr>
        <w:t>9.履约保证金</w:t>
      </w:r>
    </w:p>
    <w:p w14:paraId="1DB9EF5C">
      <w:pPr>
        <w:spacing w:line="360" w:lineRule="auto"/>
        <w:rPr>
          <w:color w:val="auto"/>
          <w:szCs w:val="21"/>
          <w:highlight w:val="none"/>
        </w:rPr>
      </w:pPr>
      <w:r>
        <w:rPr>
          <w:rFonts w:hint="eastAsia"/>
          <w:color w:val="auto"/>
          <w:szCs w:val="21"/>
          <w:highlight w:val="none"/>
        </w:rPr>
        <w:t>详见采购文件合同主要条款格式部分</w:t>
      </w:r>
    </w:p>
    <w:p w14:paraId="3F0565FB">
      <w:pPr>
        <w:spacing w:line="360" w:lineRule="auto"/>
        <w:rPr>
          <w:color w:val="auto"/>
          <w:szCs w:val="21"/>
          <w:highlight w:val="none"/>
        </w:rPr>
      </w:pPr>
      <w:r>
        <w:rPr>
          <w:rFonts w:hint="eastAsia"/>
          <w:color w:val="auto"/>
          <w:szCs w:val="21"/>
          <w:highlight w:val="none"/>
        </w:rPr>
        <w:t>10.包装和运输要求</w:t>
      </w:r>
    </w:p>
    <w:p w14:paraId="15C07CF5">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eastAsia="宋体"/>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067A0767">
      <w:pPr>
        <w:spacing w:line="360" w:lineRule="auto"/>
        <w:rPr>
          <w:color w:val="auto"/>
          <w:szCs w:val="21"/>
          <w:highlight w:val="none"/>
        </w:rPr>
      </w:pPr>
      <w:r>
        <w:rPr>
          <w:rFonts w:hint="eastAsia"/>
          <w:color w:val="auto"/>
          <w:szCs w:val="21"/>
          <w:highlight w:val="none"/>
        </w:rPr>
        <w:t>运输要求详见采购文件合同主要条款格式部分</w:t>
      </w:r>
    </w:p>
    <w:p w14:paraId="64733407">
      <w:pPr>
        <w:spacing w:line="360" w:lineRule="auto"/>
        <w:rPr>
          <w:color w:val="auto"/>
          <w:szCs w:val="21"/>
          <w:highlight w:val="none"/>
        </w:rPr>
      </w:pPr>
      <w:r>
        <w:rPr>
          <w:rFonts w:hint="eastAsia"/>
          <w:color w:val="auto"/>
          <w:szCs w:val="21"/>
          <w:highlight w:val="none"/>
        </w:rPr>
        <w:t>11.售后服务</w:t>
      </w:r>
    </w:p>
    <w:p w14:paraId="0E9C26EF">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1464A668">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11.2成交供应商应明确承诺采购文件采购需求部分如无特别要求，则质保期为自验收合格之日起一年，采购文件采购需求部分有特别要求的则以技术参数要求表为准。</w:t>
      </w:r>
    </w:p>
    <w:p w14:paraId="5ED4CA9A">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1B05C5CA">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411489BA">
      <w:pPr>
        <w:spacing w:line="360" w:lineRule="auto"/>
        <w:rPr>
          <w:color w:val="auto"/>
          <w:szCs w:val="21"/>
          <w:highlight w:val="none"/>
        </w:rPr>
      </w:pPr>
      <w:r>
        <w:rPr>
          <w:rFonts w:hint="eastAsia"/>
          <w:color w:val="auto"/>
          <w:szCs w:val="21"/>
          <w:highlight w:val="none"/>
        </w:rPr>
        <w:t>12.保险</w:t>
      </w:r>
    </w:p>
    <w:p w14:paraId="20B158D1">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16B34407">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72C734CF">
      <w:pPr>
        <w:pStyle w:val="26"/>
        <w:snapToGrid w:val="0"/>
        <w:rPr>
          <w:rFonts w:hint="eastAsia" w:ascii="Times New Roman" w:hAnsi="Times New Roman" w:cs="Times New Roman"/>
          <w:b/>
          <w:color w:val="auto"/>
          <w:highlight w:val="none"/>
        </w:rPr>
      </w:pPr>
      <w:r>
        <w:rPr>
          <w:rFonts w:hint="eastAsia" w:ascii="Times New Roman" w:hAnsi="Times New Roman" w:cs="Times New Roman"/>
          <w:b/>
          <w:color w:val="auto"/>
          <w:highlight w:val="none"/>
        </w:rPr>
        <w:t>无</w:t>
      </w:r>
    </w:p>
    <w:p w14:paraId="301CEDD3">
      <w:pPr>
        <w:rPr>
          <w:rFonts w:hint="eastAsia" w:ascii="Times New Roman" w:hAnsi="Times New Roman" w:cs="Times New Roman"/>
          <w:b/>
          <w:color w:val="auto"/>
          <w:highlight w:val="none"/>
        </w:rPr>
      </w:pPr>
      <w:r>
        <w:rPr>
          <w:rFonts w:hint="eastAsia" w:ascii="Times New Roman" w:hAnsi="Times New Roman" w:cs="Times New Roman"/>
          <w:b/>
          <w:color w:val="auto"/>
          <w:highlight w:val="none"/>
        </w:rPr>
        <w:br w:type="page"/>
      </w:r>
    </w:p>
    <w:p w14:paraId="519E3AF2">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标项四</w:t>
      </w:r>
    </w:p>
    <w:p w14:paraId="03A6DB9E">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75064380">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0C911B73">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44CFB453">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640331A0">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ascii="Times New Roman" w:eastAsia="宋体"/>
          <w:color w:val="auto"/>
          <w:szCs w:val="21"/>
          <w:highlight w:val="none"/>
          <w:lang w:val="en-US" w:eastAsia="zh-CN"/>
        </w:rPr>
        <w:t>无效</w:t>
      </w:r>
      <w:r>
        <w:rPr>
          <w:color w:val="auto"/>
          <w:szCs w:val="21"/>
          <w:highlight w:val="none"/>
        </w:rPr>
        <w:t>。</w:t>
      </w:r>
    </w:p>
    <w:p w14:paraId="499791A5">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33898637">
      <w:pPr>
        <w:spacing w:line="360" w:lineRule="auto"/>
        <w:rPr>
          <w:color w:val="auto"/>
          <w:szCs w:val="21"/>
          <w:highlight w:val="none"/>
        </w:rPr>
      </w:pPr>
      <w:r>
        <w:rPr>
          <w:rFonts w:hint="eastAsia"/>
          <w:color w:val="auto"/>
          <w:szCs w:val="21"/>
          <w:highlight w:val="none"/>
        </w:rPr>
        <w:t>1.需实现的功能、目标及应用场景</w:t>
      </w:r>
    </w:p>
    <w:p w14:paraId="04ED5B42">
      <w:pPr>
        <w:spacing w:line="360" w:lineRule="auto"/>
        <w:rPr>
          <w:rFonts w:hint="eastAsia"/>
          <w:color w:val="auto"/>
          <w:szCs w:val="21"/>
          <w:highlight w:val="none"/>
        </w:rPr>
      </w:pPr>
      <w:r>
        <w:rPr>
          <w:rFonts w:hint="eastAsia"/>
          <w:color w:val="auto"/>
          <w:szCs w:val="21"/>
          <w:highlight w:val="none"/>
        </w:rPr>
        <w:t>满足采购文件要求，验收达到合格标准。</w:t>
      </w:r>
    </w:p>
    <w:p w14:paraId="4635BF18">
      <w:pPr>
        <w:spacing w:line="360" w:lineRule="auto"/>
        <w:rPr>
          <w:color w:val="auto"/>
          <w:szCs w:val="21"/>
          <w:highlight w:val="none"/>
        </w:rPr>
      </w:pPr>
      <w:r>
        <w:rPr>
          <w:rFonts w:hint="eastAsia"/>
          <w:color w:val="auto"/>
          <w:szCs w:val="21"/>
          <w:highlight w:val="none"/>
        </w:rPr>
        <w:t>2.是否接受进口产品：</w:t>
      </w:r>
    </w:p>
    <w:p w14:paraId="55FB66DC">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4D7E0F88">
      <w:pPr>
        <w:spacing w:line="360" w:lineRule="auto"/>
        <w:rPr>
          <w:color w:val="auto"/>
          <w:szCs w:val="21"/>
          <w:highlight w:val="none"/>
        </w:rPr>
      </w:pPr>
      <w:r>
        <w:rPr>
          <w:rFonts w:hint="eastAsia"/>
          <w:color w:val="auto"/>
          <w:szCs w:val="21"/>
          <w:highlight w:val="none"/>
        </w:rPr>
        <w:t>□是</w:t>
      </w:r>
    </w:p>
    <w:p w14:paraId="5D6E7C03">
      <w:pPr>
        <w:spacing w:line="360" w:lineRule="auto"/>
        <w:rPr>
          <w:color w:val="auto"/>
          <w:szCs w:val="21"/>
          <w:highlight w:val="none"/>
        </w:rPr>
      </w:pPr>
      <w:r>
        <w:rPr>
          <w:rFonts w:hint="eastAsia"/>
          <w:color w:val="auto"/>
          <w:szCs w:val="21"/>
          <w:highlight w:val="none"/>
        </w:rPr>
        <w:t>本项目</w:t>
      </w:r>
      <w:r>
        <w:rPr>
          <w:rFonts w:hint="eastAsia" w:ascii="Times New Roman" w:eastAsia="宋体"/>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7951B2E5">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7F8322F3">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6A6568E4">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26F041ED">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23AFBD0C">
      <w:pPr>
        <w:spacing w:line="360" w:lineRule="auto"/>
        <w:rPr>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47D412E9">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p w14:paraId="4C5B65DA">
      <w:pPr>
        <w:spacing w:line="360" w:lineRule="auto"/>
        <w:rPr>
          <w:color w:val="auto"/>
          <w:szCs w:val="21"/>
          <w:highlight w:val="none"/>
        </w:rPr>
      </w:pPr>
      <w:r>
        <w:rPr>
          <w:rFonts w:hint="eastAsia" w:ascii="Times New Roman" w:eastAsia="宋体"/>
          <w:color w:val="auto"/>
          <w:szCs w:val="21"/>
          <w:highlight w:val="none"/>
          <w:lang w:val="en-US" w:eastAsia="zh-CN"/>
        </w:rPr>
        <w:t>4</w:t>
      </w:r>
      <w:r>
        <w:rPr>
          <w:rFonts w:hint="eastAsia"/>
          <w:color w:val="auto"/>
          <w:szCs w:val="21"/>
          <w:highlight w:val="none"/>
        </w:rPr>
        <w:t>.标的所属行业：租赁和商务服务业</w:t>
      </w:r>
    </w:p>
    <w:p w14:paraId="08A1F675">
      <w:pPr>
        <w:spacing w:line="360" w:lineRule="auto"/>
        <w:rPr>
          <w:color w:val="auto"/>
          <w:szCs w:val="21"/>
          <w:highlight w:val="none"/>
        </w:rPr>
      </w:pPr>
      <w:r>
        <w:rPr>
          <w:rFonts w:hint="eastAsia" w:ascii="Times New Roman" w:eastAsia="宋体"/>
          <w:color w:val="auto"/>
          <w:szCs w:val="21"/>
          <w:highlight w:val="none"/>
          <w:lang w:val="en-US" w:eastAsia="zh-CN"/>
        </w:rPr>
        <w:t>5</w:t>
      </w:r>
      <w:r>
        <w:rPr>
          <w:rFonts w:hint="eastAsia"/>
          <w:color w:val="auto"/>
          <w:szCs w:val="21"/>
          <w:highlight w:val="none"/>
        </w:rPr>
        <w:t>.核心产品</w:t>
      </w:r>
    </w:p>
    <w:p w14:paraId="45FF03C1">
      <w:pPr>
        <w:spacing w:line="360" w:lineRule="auto"/>
        <w:rPr>
          <w:color w:val="auto"/>
          <w:szCs w:val="21"/>
          <w:highlight w:val="none"/>
        </w:rPr>
      </w:pPr>
      <w:r>
        <w:rPr>
          <w:rFonts w:hint="eastAsia"/>
          <w:color w:val="auto"/>
          <w:szCs w:val="21"/>
          <w:highlight w:val="none"/>
        </w:rPr>
        <w:t>本项目为服务项目，不适用核心产品规定。</w:t>
      </w:r>
    </w:p>
    <w:p w14:paraId="20EAE8E7">
      <w:pPr>
        <w:spacing w:line="360" w:lineRule="auto"/>
        <w:rPr>
          <w:rFonts w:hint="eastAsia"/>
          <w:color w:val="auto"/>
          <w:szCs w:val="21"/>
          <w:highlight w:val="none"/>
        </w:rPr>
      </w:pPr>
      <w:r>
        <w:rPr>
          <w:rFonts w:hint="eastAsia" w:ascii="Times New Roman" w:eastAsia="宋体"/>
          <w:color w:val="auto"/>
          <w:szCs w:val="21"/>
          <w:highlight w:val="none"/>
          <w:lang w:val="en-US" w:eastAsia="zh-CN"/>
        </w:rPr>
        <w:t>6</w:t>
      </w:r>
      <w:r>
        <w:rPr>
          <w:rFonts w:hint="eastAsia"/>
          <w:color w:val="auto"/>
          <w:szCs w:val="21"/>
          <w:highlight w:val="none"/>
        </w:rPr>
        <w:t>.服务内容和标准</w:t>
      </w:r>
    </w:p>
    <w:p w14:paraId="2A144943">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1在</w:t>
      </w:r>
      <w:r>
        <w:rPr>
          <w:rFonts w:hint="eastAsia"/>
          <w:color w:val="auto"/>
          <w:szCs w:val="21"/>
          <w:highlight w:val="none"/>
          <w:lang w:eastAsia="zh-CN"/>
        </w:rPr>
        <w:t>国家级外宣媒体平台</w:t>
      </w:r>
      <w:r>
        <w:rPr>
          <w:rFonts w:hint="eastAsia"/>
          <w:color w:val="auto"/>
          <w:szCs w:val="21"/>
          <w:highlight w:val="none"/>
        </w:rPr>
        <w:t>，同步在海内外宣传广西建设铸牢中华民族共同体意识示范区阶段性成果、典型案例</w:t>
      </w:r>
      <w:r>
        <w:rPr>
          <w:rFonts w:hint="eastAsia" w:eastAsia="宋体"/>
          <w:color w:val="auto"/>
          <w:szCs w:val="21"/>
          <w:highlight w:val="none"/>
          <w:lang w:eastAsia="zh-CN"/>
        </w:rPr>
        <w:t>。</w:t>
      </w:r>
    </w:p>
    <w:p w14:paraId="119CCDC5">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2在</w:t>
      </w:r>
      <w:r>
        <w:rPr>
          <w:rFonts w:hint="eastAsia"/>
          <w:color w:val="auto"/>
          <w:szCs w:val="21"/>
          <w:highlight w:val="none"/>
          <w:lang w:eastAsia="zh-CN"/>
        </w:rPr>
        <w:t>国家级外宣媒体平台</w:t>
      </w:r>
      <w:r>
        <w:rPr>
          <w:rFonts w:hint="eastAsia"/>
          <w:color w:val="auto"/>
          <w:szCs w:val="21"/>
          <w:highlight w:val="none"/>
        </w:rPr>
        <w:t>设置自治区民宗委宣传栏目，向海内外宣传推介广西民宗委工作举措成效</w:t>
      </w:r>
      <w:r>
        <w:rPr>
          <w:rFonts w:hint="eastAsia"/>
          <w:color w:val="auto"/>
          <w:szCs w:val="21"/>
          <w:highlight w:val="none"/>
          <w:lang w:eastAsia="zh-CN"/>
        </w:rPr>
        <w:t>。</w:t>
      </w:r>
    </w:p>
    <w:p w14:paraId="24422A1E">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3对涉及自治区民宗委的舆论进行整体分析和梳理，包括主题事件概述、传统媒体对事件的关注点、网民对事件的主要观点以及建议等，依据相关数据，做定性、定量分析</w:t>
      </w:r>
      <w:r>
        <w:rPr>
          <w:rFonts w:hint="eastAsia"/>
          <w:color w:val="auto"/>
          <w:szCs w:val="21"/>
          <w:highlight w:val="none"/>
          <w:lang w:eastAsia="zh-CN"/>
        </w:rPr>
        <w:t>。</w:t>
      </w:r>
    </w:p>
    <w:p w14:paraId="12C9FA91">
      <w:pPr>
        <w:spacing w:line="360" w:lineRule="auto"/>
        <w:rPr>
          <w:rFonts w:hint="eastAsia" w:eastAsia="宋体"/>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4在国内挖掘传播广西宗教界爱国爱教先进事迹，</w:t>
      </w:r>
      <w:r>
        <w:rPr>
          <w:rFonts w:hint="eastAsia"/>
          <w:color w:val="auto"/>
          <w:szCs w:val="21"/>
          <w:highlight w:val="none"/>
          <w:lang w:eastAsia="zh-CN"/>
        </w:rPr>
        <w:t>在国家级媒体平台</w:t>
      </w:r>
      <w:r>
        <w:rPr>
          <w:rFonts w:hint="eastAsia"/>
          <w:color w:val="auto"/>
          <w:szCs w:val="21"/>
          <w:highlight w:val="none"/>
        </w:rPr>
        <w:t>广泛宣传宗教宣传典型案例和先进人物</w:t>
      </w:r>
      <w:r>
        <w:rPr>
          <w:rFonts w:hint="eastAsia"/>
          <w:color w:val="auto"/>
          <w:szCs w:val="21"/>
          <w:highlight w:val="none"/>
          <w:lang w:eastAsia="zh-CN"/>
        </w:rPr>
        <w:t>。</w:t>
      </w:r>
    </w:p>
    <w:p w14:paraId="152CA7B6">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w:t>
      </w:r>
      <w:r>
        <w:rPr>
          <w:rFonts w:hint="eastAsia" w:eastAsia="宋体"/>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3DCF2691">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1303C971">
      <w:pPr>
        <w:spacing w:line="360" w:lineRule="auto"/>
        <w:rPr>
          <w:color w:val="auto"/>
          <w:szCs w:val="21"/>
          <w:highlight w:val="none"/>
        </w:rPr>
      </w:pPr>
      <w:r>
        <w:rPr>
          <w:rFonts w:hint="eastAsia"/>
          <w:color w:val="auto"/>
          <w:szCs w:val="21"/>
          <w:highlight w:val="none"/>
        </w:rPr>
        <w:t>1．报价要求</w:t>
      </w:r>
    </w:p>
    <w:p w14:paraId="1AEE7091">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ascii="Times New Roman" w:eastAsia="宋体"/>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06B4628B">
      <w:pPr>
        <w:spacing w:line="360" w:lineRule="auto"/>
        <w:rPr>
          <w:color w:val="auto"/>
          <w:szCs w:val="21"/>
          <w:highlight w:val="none"/>
        </w:rPr>
      </w:pPr>
      <w:r>
        <w:rPr>
          <w:rFonts w:hint="eastAsia"/>
          <w:color w:val="auto"/>
          <w:szCs w:val="21"/>
          <w:highlight w:val="none"/>
        </w:rPr>
        <w:t>2.合同签订日期</w:t>
      </w:r>
    </w:p>
    <w:p w14:paraId="247C2082">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4682ADAC">
      <w:pPr>
        <w:spacing w:line="360" w:lineRule="auto"/>
        <w:rPr>
          <w:color w:val="auto"/>
          <w:szCs w:val="21"/>
          <w:highlight w:val="none"/>
        </w:rPr>
      </w:pPr>
      <w:r>
        <w:rPr>
          <w:rFonts w:hint="eastAsia"/>
          <w:color w:val="auto"/>
          <w:szCs w:val="21"/>
          <w:highlight w:val="none"/>
        </w:rPr>
        <w:t>3.交货（实施）时间</w:t>
      </w:r>
    </w:p>
    <w:p w14:paraId="6E2F7DAC">
      <w:pPr>
        <w:spacing w:line="360" w:lineRule="auto"/>
        <w:rPr>
          <w:rFonts w:hint="eastAsia"/>
          <w:color w:val="auto"/>
          <w:szCs w:val="21"/>
          <w:highlight w:val="none"/>
        </w:rPr>
      </w:pPr>
      <w:r>
        <w:rPr>
          <w:rFonts w:hint="eastAsia"/>
          <w:color w:val="auto"/>
          <w:szCs w:val="21"/>
          <w:highlight w:val="none"/>
        </w:rPr>
        <w:t>自签订合同之日起至2027年10月1日</w:t>
      </w:r>
    </w:p>
    <w:p w14:paraId="7C1E9387">
      <w:pPr>
        <w:spacing w:line="360" w:lineRule="auto"/>
        <w:rPr>
          <w:color w:val="auto"/>
          <w:szCs w:val="21"/>
          <w:highlight w:val="none"/>
        </w:rPr>
      </w:pPr>
      <w:r>
        <w:rPr>
          <w:rFonts w:hint="eastAsia"/>
          <w:color w:val="auto"/>
          <w:szCs w:val="21"/>
          <w:highlight w:val="none"/>
        </w:rPr>
        <w:t>4.交货地点或服务地点</w:t>
      </w:r>
    </w:p>
    <w:p w14:paraId="7D29F78D">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南宁市（采购人指定地点）</w:t>
      </w:r>
    </w:p>
    <w:p w14:paraId="4B853F14">
      <w:pPr>
        <w:spacing w:line="360" w:lineRule="auto"/>
        <w:rPr>
          <w:color w:val="auto"/>
          <w:szCs w:val="21"/>
          <w:highlight w:val="none"/>
        </w:rPr>
      </w:pPr>
      <w:r>
        <w:rPr>
          <w:rFonts w:hint="eastAsia"/>
          <w:color w:val="auto"/>
          <w:szCs w:val="21"/>
          <w:highlight w:val="none"/>
        </w:rPr>
        <w:t>5.验收标准</w:t>
      </w:r>
    </w:p>
    <w:p w14:paraId="10F9F596">
      <w:pPr>
        <w:spacing w:line="360" w:lineRule="auto"/>
        <w:rPr>
          <w:color w:val="auto"/>
          <w:szCs w:val="21"/>
          <w:highlight w:val="none"/>
        </w:rPr>
      </w:pPr>
      <w:r>
        <w:rPr>
          <w:rFonts w:hint="eastAsia"/>
          <w:color w:val="auto"/>
          <w:szCs w:val="21"/>
          <w:highlight w:val="none"/>
        </w:rPr>
        <w:t>详见采购文件合同主要条款格式部分</w:t>
      </w:r>
    </w:p>
    <w:p w14:paraId="0EB0959D">
      <w:pPr>
        <w:spacing w:line="360" w:lineRule="auto"/>
        <w:rPr>
          <w:color w:val="auto"/>
          <w:szCs w:val="21"/>
          <w:highlight w:val="none"/>
        </w:rPr>
      </w:pPr>
      <w:r>
        <w:rPr>
          <w:rFonts w:hint="eastAsia"/>
          <w:color w:val="auto"/>
          <w:szCs w:val="21"/>
          <w:highlight w:val="none"/>
        </w:rPr>
        <w:t>6.服务标准、期限、效率</w:t>
      </w:r>
    </w:p>
    <w:p w14:paraId="198981E4">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7C1D2574">
      <w:pPr>
        <w:spacing w:line="360" w:lineRule="auto"/>
        <w:rPr>
          <w:color w:val="auto"/>
          <w:szCs w:val="21"/>
          <w:highlight w:val="none"/>
        </w:rPr>
      </w:pPr>
      <w:r>
        <w:rPr>
          <w:rFonts w:hint="eastAsia"/>
          <w:color w:val="auto"/>
          <w:szCs w:val="21"/>
          <w:highlight w:val="none"/>
        </w:rPr>
        <w:t>6.1.1电话咨询</w:t>
      </w:r>
    </w:p>
    <w:p w14:paraId="7B5FC7B6">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4C922D4F">
      <w:pPr>
        <w:spacing w:line="360" w:lineRule="auto"/>
        <w:rPr>
          <w:color w:val="auto"/>
          <w:szCs w:val="21"/>
          <w:highlight w:val="none"/>
        </w:rPr>
      </w:pPr>
      <w:r>
        <w:rPr>
          <w:rFonts w:hint="eastAsia"/>
          <w:color w:val="auto"/>
          <w:szCs w:val="21"/>
          <w:highlight w:val="none"/>
        </w:rPr>
        <w:t>6.1.2现场响应</w:t>
      </w:r>
    </w:p>
    <w:p w14:paraId="1D4DF609">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66BEB6F7">
      <w:pPr>
        <w:spacing w:line="360" w:lineRule="auto"/>
        <w:rPr>
          <w:color w:val="auto"/>
          <w:szCs w:val="21"/>
          <w:highlight w:val="none"/>
        </w:rPr>
      </w:pPr>
      <w:r>
        <w:rPr>
          <w:rFonts w:hint="eastAsia"/>
          <w:color w:val="auto"/>
          <w:szCs w:val="21"/>
          <w:highlight w:val="none"/>
        </w:rPr>
        <w:t>6.1.3技术升级</w:t>
      </w:r>
    </w:p>
    <w:p w14:paraId="783D66E7">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5F83EDE5">
      <w:pPr>
        <w:spacing w:line="360" w:lineRule="auto"/>
        <w:rPr>
          <w:color w:val="auto"/>
          <w:szCs w:val="21"/>
          <w:highlight w:val="none"/>
        </w:rPr>
      </w:pPr>
      <w:r>
        <w:rPr>
          <w:rFonts w:hint="eastAsia"/>
          <w:color w:val="auto"/>
          <w:szCs w:val="21"/>
          <w:highlight w:val="none"/>
        </w:rPr>
        <w:t>7.培训</w:t>
      </w:r>
    </w:p>
    <w:p w14:paraId="2598D183">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6C07618E">
      <w:pPr>
        <w:spacing w:line="360" w:lineRule="auto"/>
        <w:rPr>
          <w:color w:val="auto"/>
          <w:szCs w:val="21"/>
          <w:highlight w:val="none"/>
        </w:rPr>
      </w:pPr>
      <w:r>
        <w:rPr>
          <w:rFonts w:hint="eastAsia"/>
          <w:color w:val="auto"/>
          <w:szCs w:val="21"/>
          <w:highlight w:val="none"/>
        </w:rPr>
        <w:t>8.付款方式、时间及条件</w:t>
      </w:r>
    </w:p>
    <w:p w14:paraId="74086730">
      <w:pPr>
        <w:spacing w:line="360" w:lineRule="auto"/>
        <w:rPr>
          <w:color w:val="auto"/>
          <w:szCs w:val="21"/>
          <w:highlight w:val="none"/>
        </w:rPr>
      </w:pPr>
      <w:r>
        <w:rPr>
          <w:rFonts w:hint="eastAsia"/>
          <w:color w:val="auto"/>
          <w:szCs w:val="21"/>
          <w:highlight w:val="none"/>
        </w:rPr>
        <w:t>详见采购文件合同主要条款格式部分</w:t>
      </w:r>
    </w:p>
    <w:p w14:paraId="1B200A16">
      <w:pPr>
        <w:spacing w:line="360" w:lineRule="auto"/>
        <w:rPr>
          <w:color w:val="auto"/>
          <w:szCs w:val="21"/>
          <w:highlight w:val="none"/>
        </w:rPr>
      </w:pPr>
      <w:r>
        <w:rPr>
          <w:rFonts w:hint="eastAsia"/>
          <w:color w:val="auto"/>
          <w:szCs w:val="21"/>
          <w:highlight w:val="none"/>
        </w:rPr>
        <w:t>9.履约保证金</w:t>
      </w:r>
    </w:p>
    <w:p w14:paraId="25F36C77">
      <w:pPr>
        <w:spacing w:line="360" w:lineRule="auto"/>
        <w:rPr>
          <w:color w:val="auto"/>
          <w:szCs w:val="21"/>
          <w:highlight w:val="none"/>
        </w:rPr>
      </w:pPr>
      <w:r>
        <w:rPr>
          <w:rFonts w:hint="eastAsia"/>
          <w:color w:val="auto"/>
          <w:szCs w:val="21"/>
          <w:highlight w:val="none"/>
        </w:rPr>
        <w:t>详见采购文件合同主要条款格式部分</w:t>
      </w:r>
    </w:p>
    <w:p w14:paraId="1734CC8C">
      <w:pPr>
        <w:spacing w:line="360" w:lineRule="auto"/>
        <w:rPr>
          <w:color w:val="auto"/>
          <w:szCs w:val="21"/>
          <w:highlight w:val="none"/>
        </w:rPr>
      </w:pPr>
      <w:r>
        <w:rPr>
          <w:rFonts w:hint="eastAsia"/>
          <w:color w:val="auto"/>
          <w:szCs w:val="21"/>
          <w:highlight w:val="none"/>
        </w:rPr>
        <w:t>10.包装和运输要求</w:t>
      </w:r>
    </w:p>
    <w:p w14:paraId="3B788E0D">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eastAsia="宋体"/>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15B49058">
      <w:pPr>
        <w:spacing w:line="360" w:lineRule="auto"/>
        <w:rPr>
          <w:color w:val="auto"/>
          <w:szCs w:val="21"/>
          <w:highlight w:val="none"/>
        </w:rPr>
      </w:pPr>
      <w:r>
        <w:rPr>
          <w:rFonts w:hint="eastAsia"/>
          <w:color w:val="auto"/>
          <w:szCs w:val="21"/>
          <w:highlight w:val="none"/>
        </w:rPr>
        <w:t>运输要求详见采购文件合同主要条款格式部分</w:t>
      </w:r>
    </w:p>
    <w:p w14:paraId="599BC7F9">
      <w:pPr>
        <w:spacing w:line="360" w:lineRule="auto"/>
        <w:rPr>
          <w:color w:val="auto"/>
          <w:szCs w:val="21"/>
          <w:highlight w:val="none"/>
        </w:rPr>
      </w:pPr>
      <w:r>
        <w:rPr>
          <w:rFonts w:hint="eastAsia"/>
          <w:color w:val="auto"/>
          <w:szCs w:val="21"/>
          <w:highlight w:val="none"/>
        </w:rPr>
        <w:t>11.售后服务</w:t>
      </w:r>
    </w:p>
    <w:p w14:paraId="344A0BC2">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1E9A0AEC">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11.2成交供应商应明确承诺采购文件采购需求部分如无特别要求，则质保期为自验收合格之日起一年，采购文件采购需求部分有特别要求的则以技术参数要求表为准。</w:t>
      </w:r>
    </w:p>
    <w:p w14:paraId="2867B284">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1E090402">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6F555D55">
      <w:pPr>
        <w:spacing w:line="360" w:lineRule="auto"/>
        <w:rPr>
          <w:color w:val="auto"/>
          <w:szCs w:val="21"/>
          <w:highlight w:val="none"/>
        </w:rPr>
      </w:pPr>
      <w:r>
        <w:rPr>
          <w:rFonts w:hint="eastAsia"/>
          <w:color w:val="auto"/>
          <w:szCs w:val="21"/>
          <w:highlight w:val="none"/>
        </w:rPr>
        <w:t>12.保险</w:t>
      </w:r>
    </w:p>
    <w:p w14:paraId="4608F29E">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4CB87205">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19E14700">
      <w:pPr>
        <w:pStyle w:val="26"/>
        <w:snapToGrid w:val="0"/>
        <w:rPr>
          <w:rFonts w:hint="eastAsia" w:ascii="Times New Roman" w:hAnsi="Times New Roman" w:cs="Times New Roman"/>
          <w:b/>
          <w:color w:val="auto"/>
          <w:highlight w:val="none"/>
        </w:rPr>
      </w:pPr>
      <w:r>
        <w:rPr>
          <w:rFonts w:hint="eastAsia" w:ascii="Times New Roman" w:hAnsi="Times New Roman" w:cs="Times New Roman"/>
          <w:b/>
          <w:color w:val="auto"/>
          <w:highlight w:val="none"/>
        </w:rPr>
        <w:t>无</w:t>
      </w:r>
    </w:p>
    <w:p w14:paraId="4F46983E">
      <w:pPr>
        <w:rPr>
          <w:rFonts w:hint="eastAsia" w:ascii="Times New Roman" w:hAnsi="Times New Roman" w:cs="Times New Roman"/>
          <w:b/>
          <w:color w:val="auto"/>
          <w:highlight w:val="none"/>
        </w:rPr>
      </w:pPr>
      <w:r>
        <w:rPr>
          <w:rFonts w:hint="eastAsia" w:ascii="Times New Roman" w:hAnsi="Times New Roman" w:cs="Times New Roman"/>
          <w:b/>
          <w:color w:val="auto"/>
          <w:highlight w:val="none"/>
        </w:rPr>
        <w:br w:type="page"/>
      </w:r>
    </w:p>
    <w:p w14:paraId="659F8EB1">
      <w:pPr>
        <w:pStyle w:val="26"/>
        <w:snapToGrid w:val="0"/>
        <w:rPr>
          <w:rFonts w:hint="eastAsia" w:ascii="Times New Roman" w:hAnsi="Times New Roman" w:cs="Times New Roman"/>
          <w:b/>
          <w:color w:val="auto"/>
          <w:highlight w:val="none"/>
        </w:rPr>
      </w:pPr>
    </w:p>
    <w:p w14:paraId="49563418">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标项五</w:t>
      </w:r>
    </w:p>
    <w:p w14:paraId="4EF416E9">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09E1B524">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4A0002DB">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34CA1A92">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2E2B30B3">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ascii="Times New Roman" w:eastAsia="宋体"/>
          <w:color w:val="auto"/>
          <w:szCs w:val="21"/>
          <w:highlight w:val="none"/>
          <w:lang w:val="en-US" w:eastAsia="zh-CN"/>
        </w:rPr>
        <w:t>无效</w:t>
      </w:r>
      <w:r>
        <w:rPr>
          <w:color w:val="auto"/>
          <w:szCs w:val="21"/>
          <w:highlight w:val="none"/>
        </w:rPr>
        <w:t>。</w:t>
      </w:r>
    </w:p>
    <w:p w14:paraId="3205963A">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58509989">
      <w:pPr>
        <w:spacing w:line="360" w:lineRule="auto"/>
        <w:rPr>
          <w:color w:val="auto"/>
          <w:szCs w:val="21"/>
          <w:highlight w:val="none"/>
        </w:rPr>
      </w:pPr>
      <w:r>
        <w:rPr>
          <w:rFonts w:hint="eastAsia"/>
          <w:color w:val="auto"/>
          <w:szCs w:val="21"/>
          <w:highlight w:val="none"/>
        </w:rPr>
        <w:t>1.需实现的功能、目标及应用场景</w:t>
      </w:r>
    </w:p>
    <w:p w14:paraId="62A5F639">
      <w:pPr>
        <w:spacing w:line="360" w:lineRule="auto"/>
        <w:rPr>
          <w:rFonts w:hint="eastAsia"/>
          <w:color w:val="auto"/>
          <w:szCs w:val="21"/>
          <w:highlight w:val="none"/>
        </w:rPr>
      </w:pPr>
      <w:r>
        <w:rPr>
          <w:rFonts w:hint="eastAsia"/>
          <w:color w:val="auto"/>
          <w:szCs w:val="21"/>
          <w:highlight w:val="none"/>
        </w:rPr>
        <w:t>满足采购文件要求，验收达到合格标准。</w:t>
      </w:r>
    </w:p>
    <w:p w14:paraId="75F5D1AD">
      <w:pPr>
        <w:spacing w:line="360" w:lineRule="auto"/>
        <w:rPr>
          <w:color w:val="auto"/>
          <w:szCs w:val="21"/>
          <w:highlight w:val="none"/>
        </w:rPr>
      </w:pPr>
      <w:r>
        <w:rPr>
          <w:rFonts w:hint="eastAsia"/>
          <w:color w:val="auto"/>
          <w:szCs w:val="21"/>
          <w:highlight w:val="none"/>
        </w:rPr>
        <w:t>2.是否接受进口产品：</w:t>
      </w:r>
    </w:p>
    <w:p w14:paraId="1DFB5B89">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4B7BDEB1">
      <w:pPr>
        <w:spacing w:line="360" w:lineRule="auto"/>
        <w:rPr>
          <w:color w:val="auto"/>
          <w:szCs w:val="21"/>
          <w:highlight w:val="none"/>
        </w:rPr>
      </w:pPr>
      <w:r>
        <w:rPr>
          <w:rFonts w:hint="eastAsia"/>
          <w:color w:val="auto"/>
          <w:szCs w:val="21"/>
          <w:highlight w:val="none"/>
        </w:rPr>
        <w:t>□是</w:t>
      </w:r>
    </w:p>
    <w:p w14:paraId="3BF5F1C3">
      <w:pPr>
        <w:spacing w:line="360" w:lineRule="auto"/>
        <w:rPr>
          <w:color w:val="auto"/>
          <w:szCs w:val="21"/>
          <w:highlight w:val="none"/>
        </w:rPr>
      </w:pPr>
      <w:r>
        <w:rPr>
          <w:rFonts w:hint="eastAsia"/>
          <w:color w:val="auto"/>
          <w:szCs w:val="21"/>
          <w:highlight w:val="none"/>
        </w:rPr>
        <w:t>本项目</w:t>
      </w:r>
      <w:r>
        <w:rPr>
          <w:rFonts w:hint="eastAsia" w:ascii="Times New Roman" w:eastAsia="宋体"/>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06A577DD">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001DE83F">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0CD9A8B8">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22DE323F">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665892E5">
      <w:pPr>
        <w:spacing w:line="360" w:lineRule="auto"/>
        <w:rPr>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38F0B439">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p w14:paraId="471BE8E1">
      <w:pPr>
        <w:spacing w:line="360" w:lineRule="auto"/>
        <w:rPr>
          <w:color w:val="auto"/>
          <w:szCs w:val="21"/>
          <w:highlight w:val="none"/>
        </w:rPr>
      </w:pPr>
      <w:r>
        <w:rPr>
          <w:rFonts w:hint="eastAsia" w:ascii="Times New Roman" w:eastAsia="宋体"/>
          <w:color w:val="auto"/>
          <w:szCs w:val="21"/>
          <w:highlight w:val="none"/>
          <w:lang w:val="en-US" w:eastAsia="zh-CN"/>
        </w:rPr>
        <w:t>4</w:t>
      </w:r>
      <w:r>
        <w:rPr>
          <w:rFonts w:hint="eastAsia"/>
          <w:color w:val="auto"/>
          <w:szCs w:val="21"/>
          <w:highlight w:val="none"/>
        </w:rPr>
        <w:t>.标的所属行业：租赁和商务服务业</w:t>
      </w:r>
    </w:p>
    <w:p w14:paraId="6E06CB5B">
      <w:pPr>
        <w:spacing w:line="360" w:lineRule="auto"/>
        <w:rPr>
          <w:color w:val="auto"/>
          <w:szCs w:val="21"/>
          <w:highlight w:val="none"/>
        </w:rPr>
      </w:pPr>
      <w:r>
        <w:rPr>
          <w:rFonts w:hint="eastAsia" w:ascii="Times New Roman" w:eastAsia="宋体"/>
          <w:color w:val="auto"/>
          <w:szCs w:val="21"/>
          <w:highlight w:val="none"/>
          <w:lang w:val="en-US" w:eastAsia="zh-CN"/>
        </w:rPr>
        <w:t>5</w:t>
      </w:r>
      <w:r>
        <w:rPr>
          <w:rFonts w:hint="eastAsia"/>
          <w:color w:val="auto"/>
          <w:szCs w:val="21"/>
          <w:highlight w:val="none"/>
        </w:rPr>
        <w:t>.核心产品</w:t>
      </w:r>
    </w:p>
    <w:p w14:paraId="7759D1C1">
      <w:pPr>
        <w:spacing w:line="360" w:lineRule="auto"/>
        <w:rPr>
          <w:color w:val="auto"/>
          <w:szCs w:val="21"/>
          <w:highlight w:val="none"/>
        </w:rPr>
      </w:pPr>
      <w:r>
        <w:rPr>
          <w:rFonts w:hint="eastAsia"/>
          <w:color w:val="auto"/>
          <w:szCs w:val="21"/>
          <w:highlight w:val="none"/>
        </w:rPr>
        <w:t>本项目为服务项目，不适用核心产品规定。</w:t>
      </w:r>
    </w:p>
    <w:p w14:paraId="48D34D6F">
      <w:pPr>
        <w:spacing w:line="360" w:lineRule="auto"/>
        <w:rPr>
          <w:rFonts w:hint="eastAsia"/>
          <w:color w:val="auto"/>
          <w:szCs w:val="21"/>
          <w:highlight w:val="none"/>
        </w:rPr>
      </w:pPr>
      <w:r>
        <w:rPr>
          <w:rFonts w:hint="eastAsia" w:ascii="Times New Roman" w:eastAsia="宋体"/>
          <w:color w:val="auto"/>
          <w:szCs w:val="21"/>
          <w:highlight w:val="none"/>
          <w:lang w:val="en-US" w:eastAsia="zh-CN"/>
        </w:rPr>
        <w:t>6</w:t>
      </w:r>
      <w:r>
        <w:rPr>
          <w:rFonts w:hint="eastAsia"/>
          <w:color w:val="auto"/>
          <w:szCs w:val="21"/>
          <w:highlight w:val="none"/>
        </w:rPr>
        <w:t>.服务内容和标准</w:t>
      </w:r>
    </w:p>
    <w:p w14:paraId="581831DE">
      <w:pPr>
        <w:spacing w:line="360" w:lineRule="auto"/>
        <w:rPr>
          <w:rFonts w:hint="eastAsia"/>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1重点工作常态化全媒体报道，</w:t>
      </w:r>
      <w:r>
        <w:rPr>
          <w:rFonts w:hint="eastAsia"/>
          <w:color w:val="auto"/>
          <w:szCs w:val="21"/>
          <w:highlight w:val="none"/>
          <w:lang w:eastAsia="zh-CN"/>
        </w:rPr>
        <w:t>在国家级民族工作行业报刊平台上，</w:t>
      </w:r>
      <w:r>
        <w:rPr>
          <w:rFonts w:hint="eastAsia"/>
          <w:color w:val="auto"/>
          <w:szCs w:val="21"/>
          <w:highlight w:val="none"/>
        </w:rPr>
        <w:t>建立常态化宣传报道机制</w:t>
      </w:r>
      <w:r>
        <w:rPr>
          <w:rFonts w:hint="eastAsia"/>
          <w:color w:val="auto"/>
          <w:szCs w:val="21"/>
          <w:highlight w:val="none"/>
          <w:lang w:eastAsia="zh-CN"/>
        </w:rPr>
        <w:t>。</w:t>
      </w:r>
    </w:p>
    <w:p w14:paraId="26B2E7B5">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2重大主题活动现场报道。</w:t>
      </w:r>
      <w:r>
        <w:rPr>
          <w:rFonts w:hint="eastAsia"/>
          <w:color w:val="auto"/>
          <w:szCs w:val="21"/>
          <w:highlight w:val="none"/>
          <w:lang w:eastAsia="zh-CN"/>
        </w:rPr>
        <w:t>在国家级民族工作行业报刊平台上，</w:t>
      </w:r>
      <w:r>
        <w:rPr>
          <w:rFonts w:hint="eastAsia"/>
          <w:color w:val="auto"/>
          <w:szCs w:val="21"/>
          <w:highlight w:val="none"/>
        </w:rPr>
        <w:t>围绕第十六届全区少数民族传统体育运动会等重要活动，侧重挖掘赛事背后的运动员故事、文化内涵、交往交流交融实例</w:t>
      </w:r>
      <w:r>
        <w:rPr>
          <w:rFonts w:hint="eastAsia"/>
          <w:color w:val="auto"/>
          <w:szCs w:val="21"/>
          <w:highlight w:val="none"/>
          <w:lang w:eastAsia="zh-CN"/>
        </w:rPr>
        <w:t>。</w:t>
      </w:r>
    </w:p>
    <w:p w14:paraId="2041EB64">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3文艺精品新媒体创意宣推。</w:t>
      </w:r>
      <w:r>
        <w:rPr>
          <w:rFonts w:hint="eastAsia"/>
          <w:color w:val="auto"/>
          <w:szCs w:val="21"/>
          <w:highlight w:val="none"/>
          <w:lang w:eastAsia="zh-CN"/>
        </w:rPr>
        <w:t>在国家级民族工作行业报刊平台上，</w:t>
      </w:r>
      <w:r>
        <w:rPr>
          <w:rFonts w:hint="eastAsia"/>
          <w:color w:val="auto"/>
          <w:szCs w:val="21"/>
          <w:highlight w:val="none"/>
        </w:rPr>
        <w:t>围绕第七届全国少数民族文艺会演广西参演剧目，以剧情快剪、视频专访、微纪录片、海报、动图等新媒体形式，讲述剧目台前幕后故事</w:t>
      </w:r>
      <w:r>
        <w:rPr>
          <w:rFonts w:hint="eastAsia"/>
          <w:color w:val="auto"/>
          <w:szCs w:val="21"/>
          <w:highlight w:val="none"/>
          <w:lang w:eastAsia="zh-CN"/>
        </w:rPr>
        <w:t>。</w:t>
      </w:r>
    </w:p>
    <w:p w14:paraId="320C42E9">
      <w:pPr>
        <w:spacing w:line="360" w:lineRule="auto"/>
        <w:rPr>
          <w:rFonts w:hint="eastAsia" w:eastAsia="宋体"/>
          <w:color w:val="auto"/>
          <w:szCs w:val="21"/>
          <w:highlight w:val="none"/>
          <w:lang w:eastAsia="zh-CN"/>
        </w:rPr>
      </w:pPr>
      <w:r>
        <w:rPr>
          <w:rFonts w:hint="eastAsia"/>
          <w:color w:val="auto"/>
          <w:szCs w:val="21"/>
          <w:highlight w:val="none"/>
          <w:lang w:val="en-US" w:eastAsia="zh-CN"/>
        </w:rPr>
        <w:t xml:space="preserve">6.4 </w:t>
      </w:r>
      <w:r>
        <w:rPr>
          <w:rFonts w:hint="eastAsia"/>
          <w:color w:val="auto"/>
          <w:szCs w:val="21"/>
          <w:highlight w:val="none"/>
          <w:lang w:eastAsia="zh-CN"/>
        </w:rPr>
        <w:t>在国家级民族工作行业报刊平台上，开展</w:t>
      </w:r>
      <w:r>
        <w:rPr>
          <w:rFonts w:hint="eastAsia"/>
          <w:color w:val="auto"/>
          <w:szCs w:val="21"/>
          <w:highlight w:val="none"/>
        </w:rPr>
        <w:t>“五个家园”典型案例深度采风与传播，挖掘并推广具有标杆意义的基层实践案例，进行实地采访报道</w:t>
      </w:r>
      <w:r>
        <w:rPr>
          <w:rFonts w:hint="eastAsia"/>
          <w:color w:val="auto"/>
          <w:szCs w:val="21"/>
          <w:highlight w:val="none"/>
          <w:lang w:eastAsia="zh-CN"/>
        </w:rPr>
        <w:t>。</w:t>
      </w:r>
    </w:p>
    <w:p w14:paraId="1391A2E1">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w:t>
      </w:r>
      <w:r>
        <w:rPr>
          <w:rFonts w:hint="eastAsia" w:eastAsia="宋体"/>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7B5D8BCF">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2834A247">
      <w:pPr>
        <w:spacing w:line="360" w:lineRule="auto"/>
        <w:rPr>
          <w:color w:val="auto"/>
          <w:szCs w:val="21"/>
          <w:highlight w:val="none"/>
        </w:rPr>
      </w:pPr>
      <w:r>
        <w:rPr>
          <w:rFonts w:hint="eastAsia"/>
          <w:color w:val="auto"/>
          <w:szCs w:val="21"/>
          <w:highlight w:val="none"/>
        </w:rPr>
        <w:t>1．报价要求</w:t>
      </w:r>
    </w:p>
    <w:p w14:paraId="5D1D0A88">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ascii="Times New Roman" w:eastAsia="宋体"/>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5EFFA97D">
      <w:pPr>
        <w:spacing w:line="360" w:lineRule="auto"/>
        <w:rPr>
          <w:color w:val="auto"/>
          <w:szCs w:val="21"/>
          <w:highlight w:val="none"/>
        </w:rPr>
      </w:pPr>
      <w:r>
        <w:rPr>
          <w:rFonts w:hint="eastAsia"/>
          <w:color w:val="auto"/>
          <w:szCs w:val="21"/>
          <w:highlight w:val="none"/>
        </w:rPr>
        <w:t>2.合同签订日期</w:t>
      </w:r>
    </w:p>
    <w:p w14:paraId="4A998426">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78E4CF14">
      <w:pPr>
        <w:spacing w:line="360" w:lineRule="auto"/>
        <w:rPr>
          <w:color w:val="auto"/>
          <w:szCs w:val="21"/>
          <w:highlight w:val="none"/>
        </w:rPr>
      </w:pPr>
      <w:r>
        <w:rPr>
          <w:rFonts w:hint="eastAsia"/>
          <w:color w:val="auto"/>
          <w:szCs w:val="21"/>
          <w:highlight w:val="none"/>
        </w:rPr>
        <w:t>3.交货（实施）时间</w:t>
      </w:r>
    </w:p>
    <w:p w14:paraId="386E9398">
      <w:pPr>
        <w:spacing w:line="360" w:lineRule="auto"/>
        <w:rPr>
          <w:rFonts w:hint="eastAsia"/>
          <w:color w:val="auto"/>
          <w:szCs w:val="21"/>
          <w:highlight w:val="none"/>
        </w:rPr>
      </w:pPr>
      <w:r>
        <w:rPr>
          <w:rFonts w:hint="eastAsia"/>
          <w:color w:val="auto"/>
          <w:szCs w:val="21"/>
          <w:highlight w:val="none"/>
        </w:rPr>
        <w:t>自签订合同之日起至2027年10月1日</w:t>
      </w:r>
    </w:p>
    <w:p w14:paraId="35F862CE">
      <w:pPr>
        <w:spacing w:line="360" w:lineRule="auto"/>
        <w:rPr>
          <w:color w:val="auto"/>
          <w:szCs w:val="21"/>
          <w:highlight w:val="none"/>
        </w:rPr>
      </w:pPr>
      <w:r>
        <w:rPr>
          <w:rFonts w:hint="eastAsia"/>
          <w:color w:val="auto"/>
          <w:szCs w:val="21"/>
          <w:highlight w:val="none"/>
        </w:rPr>
        <w:t>4.交货地点或服务地点</w:t>
      </w:r>
    </w:p>
    <w:p w14:paraId="2568C626">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南宁市（采购人指定地点）</w:t>
      </w:r>
    </w:p>
    <w:p w14:paraId="66585AE9">
      <w:pPr>
        <w:spacing w:line="360" w:lineRule="auto"/>
        <w:rPr>
          <w:color w:val="auto"/>
          <w:szCs w:val="21"/>
          <w:highlight w:val="none"/>
        </w:rPr>
      </w:pPr>
      <w:r>
        <w:rPr>
          <w:rFonts w:hint="eastAsia"/>
          <w:color w:val="auto"/>
          <w:szCs w:val="21"/>
          <w:highlight w:val="none"/>
        </w:rPr>
        <w:t>5.验收标准</w:t>
      </w:r>
    </w:p>
    <w:p w14:paraId="7F418B3A">
      <w:pPr>
        <w:spacing w:line="360" w:lineRule="auto"/>
        <w:rPr>
          <w:color w:val="auto"/>
          <w:szCs w:val="21"/>
          <w:highlight w:val="none"/>
        </w:rPr>
      </w:pPr>
      <w:r>
        <w:rPr>
          <w:rFonts w:hint="eastAsia"/>
          <w:color w:val="auto"/>
          <w:szCs w:val="21"/>
          <w:highlight w:val="none"/>
        </w:rPr>
        <w:t>详见采购文件合同主要条款格式部分</w:t>
      </w:r>
    </w:p>
    <w:p w14:paraId="290282D6">
      <w:pPr>
        <w:spacing w:line="360" w:lineRule="auto"/>
        <w:rPr>
          <w:color w:val="auto"/>
          <w:szCs w:val="21"/>
          <w:highlight w:val="none"/>
        </w:rPr>
      </w:pPr>
      <w:r>
        <w:rPr>
          <w:rFonts w:hint="eastAsia"/>
          <w:color w:val="auto"/>
          <w:szCs w:val="21"/>
          <w:highlight w:val="none"/>
        </w:rPr>
        <w:t>6.服务标准、期限、效率</w:t>
      </w:r>
    </w:p>
    <w:p w14:paraId="15FCF070">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0888F462">
      <w:pPr>
        <w:spacing w:line="360" w:lineRule="auto"/>
        <w:rPr>
          <w:color w:val="auto"/>
          <w:szCs w:val="21"/>
          <w:highlight w:val="none"/>
        </w:rPr>
      </w:pPr>
      <w:r>
        <w:rPr>
          <w:rFonts w:hint="eastAsia"/>
          <w:color w:val="auto"/>
          <w:szCs w:val="21"/>
          <w:highlight w:val="none"/>
        </w:rPr>
        <w:t>6.1.1电话咨询</w:t>
      </w:r>
    </w:p>
    <w:p w14:paraId="1460776B">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2DC28146">
      <w:pPr>
        <w:spacing w:line="360" w:lineRule="auto"/>
        <w:rPr>
          <w:color w:val="auto"/>
          <w:szCs w:val="21"/>
          <w:highlight w:val="none"/>
        </w:rPr>
      </w:pPr>
      <w:r>
        <w:rPr>
          <w:rFonts w:hint="eastAsia"/>
          <w:color w:val="auto"/>
          <w:szCs w:val="21"/>
          <w:highlight w:val="none"/>
        </w:rPr>
        <w:t>6.1.2现场响应</w:t>
      </w:r>
    </w:p>
    <w:p w14:paraId="4FCCFF17">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23693FEE">
      <w:pPr>
        <w:spacing w:line="360" w:lineRule="auto"/>
        <w:rPr>
          <w:color w:val="auto"/>
          <w:szCs w:val="21"/>
          <w:highlight w:val="none"/>
        </w:rPr>
      </w:pPr>
      <w:r>
        <w:rPr>
          <w:rFonts w:hint="eastAsia"/>
          <w:color w:val="auto"/>
          <w:szCs w:val="21"/>
          <w:highlight w:val="none"/>
        </w:rPr>
        <w:t>6.1.3技术升级</w:t>
      </w:r>
    </w:p>
    <w:p w14:paraId="34AC655F">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3B55551A">
      <w:pPr>
        <w:spacing w:line="360" w:lineRule="auto"/>
        <w:rPr>
          <w:color w:val="auto"/>
          <w:szCs w:val="21"/>
          <w:highlight w:val="none"/>
        </w:rPr>
      </w:pPr>
      <w:r>
        <w:rPr>
          <w:rFonts w:hint="eastAsia"/>
          <w:color w:val="auto"/>
          <w:szCs w:val="21"/>
          <w:highlight w:val="none"/>
        </w:rPr>
        <w:t>7.培训</w:t>
      </w:r>
    </w:p>
    <w:p w14:paraId="42E20698">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1DEDD56A">
      <w:pPr>
        <w:spacing w:line="360" w:lineRule="auto"/>
        <w:rPr>
          <w:color w:val="auto"/>
          <w:szCs w:val="21"/>
          <w:highlight w:val="none"/>
        </w:rPr>
      </w:pPr>
      <w:r>
        <w:rPr>
          <w:rFonts w:hint="eastAsia"/>
          <w:color w:val="auto"/>
          <w:szCs w:val="21"/>
          <w:highlight w:val="none"/>
        </w:rPr>
        <w:t>8.付款方式、时间及条件</w:t>
      </w:r>
    </w:p>
    <w:p w14:paraId="04C8DBFD">
      <w:pPr>
        <w:spacing w:line="360" w:lineRule="auto"/>
        <w:rPr>
          <w:color w:val="auto"/>
          <w:szCs w:val="21"/>
          <w:highlight w:val="none"/>
        </w:rPr>
      </w:pPr>
      <w:r>
        <w:rPr>
          <w:rFonts w:hint="eastAsia"/>
          <w:color w:val="auto"/>
          <w:szCs w:val="21"/>
          <w:highlight w:val="none"/>
        </w:rPr>
        <w:t>详见采购文件合同主要条款格式部分</w:t>
      </w:r>
    </w:p>
    <w:p w14:paraId="391B6756">
      <w:pPr>
        <w:spacing w:line="360" w:lineRule="auto"/>
        <w:rPr>
          <w:color w:val="auto"/>
          <w:szCs w:val="21"/>
          <w:highlight w:val="none"/>
        </w:rPr>
      </w:pPr>
      <w:r>
        <w:rPr>
          <w:rFonts w:hint="eastAsia"/>
          <w:color w:val="auto"/>
          <w:szCs w:val="21"/>
          <w:highlight w:val="none"/>
        </w:rPr>
        <w:t>9.履约保证金</w:t>
      </w:r>
    </w:p>
    <w:p w14:paraId="20DA1797">
      <w:pPr>
        <w:spacing w:line="360" w:lineRule="auto"/>
        <w:rPr>
          <w:color w:val="auto"/>
          <w:szCs w:val="21"/>
          <w:highlight w:val="none"/>
        </w:rPr>
      </w:pPr>
      <w:r>
        <w:rPr>
          <w:rFonts w:hint="eastAsia"/>
          <w:color w:val="auto"/>
          <w:szCs w:val="21"/>
          <w:highlight w:val="none"/>
        </w:rPr>
        <w:t>详见采购文件合同主要条款格式部分</w:t>
      </w:r>
    </w:p>
    <w:p w14:paraId="622A0D07">
      <w:pPr>
        <w:spacing w:line="360" w:lineRule="auto"/>
        <w:rPr>
          <w:color w:val="auto"/>
          <w:szCs w:val="21"/>
          <w:highlight w:val="none"/>
        </w:rPr>
      </w:pPr>
      <w:r>
        <w:rPr>
          <w:rFonts w:hint="eastAsia"/>
          <w:color w:val="auto"/>
          <w:szCs w:val="21"/>
          <w:highlight w:val="none"/>
        </w:rPr>
        <w:t>10.包装和运输要求</w:t>
      </w:r>
    </w:p>
    <w:p w14:paraId="177DC64C">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eastAsia="宋体"/>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26511215">
      <w:pPr>
        <w:spacing w:line="360" w:lineRule="auto"/>
        <w:rPr>
          <w:color w:val="auto"/>
          <w:szCs w:val="21"/>
          <w:highlight w:val="none"/>
        </w:rPr>
      </w:pPr>
      <w:r>
        <w:rPr>
          <w:rFonts w:hint="eastAsia"/>
          <w:color w:val="auto"/>
          <w:szCs w:val="21"/>
          <w:highlight w:val="none"/>
        </w:rPr>
        <w:t>运输要求详见采购文件合同主要条款格式部分</w:t>
      </w:r>
    </w:p>
    <w:p w14:paraId="04B61CB5">
      <w:pPr>
        <w:spacing w:line="360" w:lineRule="auto"/>
        <w:rPr>
          <w:color w:val="auto"/>
          <w:szCs w:val="21"/>
          <w:highlight w:val="none"/>
        </w:rPr>
      </w:pPr>
      <w:r>
        <w:rPr>
          <w:rFonts w:hint="eastAsia"/>
          <w:color w:val="auto"/>
          <w:szCs w:val="21"/>
          <w:highlight w:val="none"/>
        </w:rPr>
        <w:t>11.售后服务</w:t>
      </w:r>
    </w:p>
    <w:p w14:paraId="4359B5A2">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653D250D">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11.2成交供应商应明确承诺采购文件采购需求部分如无特别要求，则质保期为自验收合格之日起一年，采购文件采购需求部分有特别要求的则以技术参数要求表为准。</w:t>
      </w:r>
    </w:p>
    <w:p w14:paraId="35F634D5">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0F8576E1">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76BDB70C">
      <w:pPr>
        <w:spacing w:line="360" w:lineRule="auto"/>
        <w:rPr>
          <w:color w:val="auto"/>
          <w:szCs w:val="21"/>
          <w:highlight w:val="none"/>
        </w:rPr>
      </w:pPr>
      <w:r>
        <w:rPr>
          <w:rFonts w:hint="eastAsia"/>
          <w:color w:val="auto"/>
          <w:szCs w:val="21"/>
          <w:highlight w:val="none"/>
        </w:rPr>
        <w:t>12.保险</w:t>
      </w:r>
    </w:p>
    <w:p w14:paraId="622E5C41">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6B04D7A5">
      <w:pPr>
        <w:spacing w:line="360" w:lineRule="auto"/>
        <w:rPr>
          <w:rFonts w:hint="eastAsia"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07B3CBE2">
      <w:pPr>
        <w:spacing w:line="360" w:lineRule="auto"/>
        <w:rPr>
          <w:rFonts w:hint="eastAsia" w:ascii="Times New Roman" w:hAnsi="Times New Roman" w:cs="Times New Roman"/>
          <w:b/>
          <w:color w:val="auto"/>
          <w:highlight w:val="none"/>
        </w:rPr>
      </w:pPr>
      <w:r>
        <w:rPr>
          <w:rFonts w:hint="eastAsia" w:ascii="Times New Roman" w:hAnsi="Times New Roman" w:cs="Times New Roman"/>
          <w:b/>
          <w:color w:val="auto"/>
          <w:highlight w:val="none"/>
        </w:rPr>
        <w:t>无</w:t>
      </w:r>
    </w:p>
    <w:p w14:paraId="41B0F8E5">
      <w:pPr>
        <w:rPr>
          <w:color w:val="auto"/>
          <w:szCs w:val="21"/>
          <w:highlight w:val="none"/>
        </w:rPr>
      </w:pPr>
      <w:r>
        <w:rPr>
          <w:color w:val="auto"/>
          <w:szCs w:val="21"/>
          <w:highlight w:val="none"/>
        </w:rPr>
        <w:br w:type="page"/>
      </w:r>
    </w:p>
    <w:p w14:paraId="431B6085">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标项六</w:t>
      </w:r>
    </w:p>
    <w:p w14:paraId="7CF9106C">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369C07AB">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7ABC84E1">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565CDB05">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3229E7DD">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ascii="Times New Roman" w:eastAsia="宋体"/>
          <w:color w:val="auto"/>
          <w:szCs w:val="21"/>
          <w:highlight w:val="none"/>
          <w:lang w:val="en-US" w:eastAsia="zh-CN"/>
        </w:rPr>
        <w:t>无效</w:t>
      </w:r>
      <w:r>
        <w:rPr>
          <w:color w:val="auto"/>
          <w:szCs w:val="21"/>
          <w:highlight w:val="none"/>
        </w:rPr>
        <w:t>。</w:t>
      </w:r>
    </w:p>
    <w:p w14:paraId="4C030B26">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0C38609C">
      <w:pPr>
        <w:spacing w:line="360" w:lineRule="auto"/>
        <w:rPr>
          <w:color w:val="auto"/>
          <w:szCs w:val="21"/>
          <w:highlight w:val="none"/>
        </w:rPr>
      </w:pPr>
      <w:r>
        <w:rPr>
          <w:rFonts w:hint="eastAsia"/>
          <w:color w:val="auto"/>
          <w:szCs w:val="21"/>
          <w:highlight w:val="none"/>
        </w:rPr>
        <w:t>1.需实现的功能、目标及应用场景</w:t>
      </w:r>
    </w:p>
    <w:p w14:paraId="09E4F512">
      <w:pPr>
        <w:spacing w:line="360" w:lineRule="auto"/>
        <w:rPr>
          <w:rFonts w:hint="eastAsia"/>
          <w:color w:val="auto"/>
          <w:szCs w:val="21"/>
          <w:highlight w:val="none"/>
        </w:rPr>
      </w:pPr>
      <w:r>
        <w:rPr>
          <w:rFonts w:hint="eastAsia"/>
          <w:color w:val="auto"/>
          <w:szCs w:val="21"/>
          <w:highlight w:val="none"/>
        </w:rPr>
        <w:t>满足采购文件要求，验收达到合格标准。</w:t>
      </w:r>
    </w:p>
    <w:p w14:paraId="4ABBF75C">
      <w:pPr>
        <w:spacing w:line="360" w:lineRule="auto"/>
        <w:rPr>
          <w:color w:val="auto"/>
          <w:szCs w:val="21"/>
          <w:highlight w:val="none"/>
        </w:rPr>
      </w:pPr>
      <w:r>
        <w:rPr>
          <w:rFonts w:hint="eastAsia"/>
          <w:color w:val="auto"/>
          <w:szCs w:val="21"/>
          <w:highlight w:val="none"/>
        </w:rPr>
        <w:t>2.是否接受进口产品：</w:t>
      </w:r>
    </w:p>
    <w:p w14:paraId="3644E677">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4173614C">
      <w:pPr>
        <w:spacing w:line="360" w:lineRule="auto"/>
        <w:rPr>
          <w:color w:val="auto"/>
          <w:szCs w:val="21"/>
          <w:highlight w:val="none"/>
        </w:rPr>
      </w:pPr>
      <w:r>
        <w:rPr>
          <w:rFonts w:hint="eastAsia"/>
          <w:color w:val="auto"/>
          <w:szCs w:val="21"/>
          <w:highlight w:val="none"/>
        </w:rPr>
        <w:t>□是</w:t>
      </w:r>
    </w:p>
    <w:p w14:paraId="7243B34A">
      <w:pPr>
        <w:spacing w:line="360" w:lineRule="auto"/>
        <w:rPr>
          <w:color w:val="auto"/>
          <w:szCs w:val="21"/>
          <w:highlight w:val="none"/>
        </w:rPr>
      </w:pPr>
      <w:r>
        <w:rPr>
          <w:rFonts w:hint="eastAsia"/>
          <w:color w:val="auto"/>
          <w:szCs w:val="21"/>
          <w:highlight w:val="none"/>
        </w:rPr>
        <w:t>本项目</w:t>
      </w:r>
      <w:r>
        <w:rPr>
          <w:rFonts w:hint="eastAsia" w:ascii="Times New Roman" w:eastAsia="宋体"/>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0B5EDCE3">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0754BE18">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7610350F">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2AB9E63F">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60B260E5">
      <w:pPr>
        <w:spacing w:line="360" w:lineRule="auto"/>
        <w:rPr>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6303ACC8">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p w14:paraId="488B0EB6">
      <w:pPr>
        <w:spacing w:line="360" w:lineRule="auto"/>
        <w:rPr>
          <w:color w:val="auto"/>
          <w:szCs w:val="21"/>
          <w:highlight w:val="none"/>
        </w:rPr>
      </w:pPr>
      <w:r>
        <w:rPr>
          <w:rFonts w:hint="eastAsia" w:ascii="Times New Roman" w:eastAsia="宋体"/>
          <w:color w:val="auto"/>
          <w:szCs w:val="21"/>
          <w:highlight w:val="none"/>
          <w:lang w:val="en-US" w:eastAsia="zh-CN"/>
        </w:rPr>
        <w:t>4</w:t>
      </w:r>
      <w:r>
        <w:rPr>
          <w:rFonts w:hint="eastAsia"/>
          <w:color w:val="auto"/>
          <w:szCs w:val="21"/>
          <w:highlight w:val="none"/>
        </w:rPr>
        <w:t>.标的所属行业：租赁和商务服务业</w:t>
      </w:r>
    </w:p>
    <w:p w14:paraId="27877164">
      <w:pPr>
        <w:spacing w:line="360" w:lineRule="auto"/>
        <w:rPr>
          <w:color w:val="auto"/>
          <w:szCs w:val="21"/>
          <w:highlight w:val="none"/>
        </w:rPr>
      </w:pPr>
      <w:r>
        <w:rPr>
          <w:rFonts w:hint="eastAsia" w:ascii="Times New Roman" w:eastAsia="宋体"/>
          <w:color w:val="auto"/>
          <w:szCs w:val="21"/>
          <w:highlight w:val="none"/>
          <w:lang w:val="en-US" w:eastAsia="zh-CN"/>
        </w:rPr>
        <w:t>5</w:t>
      </w:r>
      <w:r>
        <w:rPr>
          <w:rFonts w:hint="eastAsia"/>
          <w:color w:val="auto"/>
          <w:szCs w:val="21"/>
          <w:highlight w:val="none"/>
        </w:rPr>
        <w:t>.核心产品</w:t>
      </w:r>
    </w:p>
    <w:p w14:paraId="6E838D2D">
      <w:pPr>
        <w:spacing w:line="360" w:lineRule="auto"/>
        <w:rPr>
          <w:color w:val="auto"/>
          <w:szCs w:val="21"/>
          <w:highlight w:val="none"/>
        </w:rPr>
      </w:pPr>
      <w:r>
        <w:rPr>
          <w:rFonts w:hint="eastAsia"/>
          <w:color w:val="auto"/>
          <w:szCs w:val="21"/>
          <w:highlight w:val="none"/>
        </w:rPr>
        <w:t>本项目为服务项目，不适用核心产品规定。</w:t>
      </w:r>
    </w:p>
    <w:p w14:paraId="0A8DE2DD">
      <w:pPr>
        <w:spacing w:line="360" w:lineRule="auto"/>
        <w:rPr>
          <w:rFonts w:hint="eastAsia"/>
          <w:color w:val="auto"/>
          <w:szCs w:val="21"/>
          <w:highlight w:val="none"/>
        </w:rPr>
      </w:pPr>
      <w:r>
        <w:rPr>
          <w:rFonts w:hint="eastAsia" w:ascii="Times New Roman" w:eastAsia="宋体"/>
          <w:color w:val="auto"/>
          <w:szCs w:val="21"/>
          <w:highlight w:val="none"/>
          <w:lang w:val="en-US" w:eastAsia="zh-CN"/>
        </w:rPr>
        <w:t>6</w:t>
      </w:r>
      <w:r>
        <w:rPr>
          <w:rFonts w:hint="eastAsia"/>
          <w:color w:val="auto"/>
          <w:szCs w:val="21"/>
          <w:highlight w:val="none"/>
        </w:rPr>
        <w:t>.服务内容和标准</w:t>
      </w:r>
    </w:p>
    <w:p w14:paraId="3AC06E07">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1在</w:t>
      </w:r>
      <w:r>
        <w:rPr>
          <w:rFonts w:hint="eastAsia"/>
          <w:color w:val="auto"/>
          <w:szCs w:val="21"/>
          <w:highlight w:val="none"/>
          <w:lang w:eastAsia="zh-CN"/>
        </w:rPr>
        <w:t>国家级民族工作行业报刊平台上，</w:t>
      </w:r>
      <w:r>
        <w:rPr>
          <w:rFonts w:hint="eastAsia"/>
          <w:color w:val="auto"/>
          <w:szCs w:val="21"/>
          <w:highlight w:val="none"/>
        </w:rPr>
        <w:t>发布“八桂大地展新颜”专栏，展示广西以铸牢中华民族共同体意识为主线，全面开展民族团结进步工作相关做法和成效</w:t>
      </w:r>
      <w:r>
        <w:rPr>
          <w:rFonts w:hint="eastAsia"/>
          <w:color w:val="auto"/>
          <w:szCs w:val="21"/>
          <w:highlight w:val="none"/>
          <w:lang w:eastAsia="zh-CN"/>
        </w:rPr>
        <w:t>。</w:t>
      </w:r>
    </w:p>
    <w:p w14:paraId="260827ED">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2结合红军长征胜利90周年，在</w:t>
      </w:r>
      <w:r>
        <w:rPr>
          <w:rFonts w:hint="eastAsia"/>
          <w:color w:val="auto"/>
          <w:szCs w:val="21"/>
          <w:highlight w:val="none"/>
          <w:lang w:eastAsia="zh-CN"/>
        </w:rPr>
        <w:t>国家级民族工作行业报刊平台上，</w:t>
      </w:r>
      <w:r>
        <w:rPr>
          <w:rFonts w:hint="eastAsia"/>
          <w:color w:val="auto"/>
          <w:szCs w:val="21"/>
          <w:highlight w:val="none"/>
        </w:rPr>
        <w:t>宣传展示广西民族团结进步历史及成就</w:t>
      </w:r>
      <w:r>
        <w:rPr>
          <w:rFonts w:hint="eastAsia"/>
          <w:color w:val="auto"/>
          <w:szCs w:val="21"/>
          <w:highlight w:val="none"/>
          <w:lang w:eastAsia="zh-CN"/>
        </w:rPr>
        <w:t>。</w:t>
      </w:r>
    </w:p>
    <w:p w14:paraId="356BFACB">
      <w:pPr>
        <w:spacing w:line="360" w:lineRule="auto"/>
        <w:rPr>
          <w:rFonts w:hint="eastAsia"/>
          <w:color w:val="auto"/>
          <w:szCs w:val="21"/>
          <w:highlight w:val="none"/>
          <w:lang w:eastAsia="zh-CN"/>
        </w:rPr>
      </w:pPr>
      <w:r>
        <w:rPr>
          <w:rFonts w:hint="eastAsia"/>
          <w:color w:val="auto"/>
          <w:szCs w:val="21"/>
          <w:highlight w:val="none"/>
          <w:lang w:val="en-US" w:eastAsia="zh-CN"/>
        </w:rPr>
        <w:t>6.3</w:t>
      </w:r>
      <w:r>
        <w:rPr>
          <w:rFonts w:hint="eastAsia"/>
          <w:color w:val="auto"/>
          <w:szCs w:val="21"/>
          <w:highlight w:val="none"/>
          <w:lang w:eastAsia="zh-CN"/>
        </w:rPr>
        <w:t>在国家级民族工作行业报刊平台上，</w:t>
      </w:r>
      <w:r>
        <w:rPr>
          <w:rFonts w:hint="eastAsia"/>
          <w:color w:val="auto"/>
          <w:szCs w:val="21"/>
          <w:highlight w:val="none"/>
        </w:rPr>
        <w:t>推送以广西民族团结进步工作成就为例的理论文章，加强理论宣传</w:t>
      </w:r>
      <w:r>
        <w:rPr>
          <w:rFonts w:hint="eastAsia"/>
          <w:color w:val="auto"/>
          <w:szCs w:val="21"/>
          <w:highlight w:val="none"/>
          <w:lang w:eastAsia="zh-CN"/>
        </w:rPr>
        <w:t>。</w:t>
      </w:r>
    </w:p>
    <w:p w14:paraId="6F15587D">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4</w:t>
      </w:r>
      <w:r>
        <w:rPr>
          <w:rFonts w:hint="eastAsia"/>
          <w:color w:val="auto"/>
          <w:szCs w:val="21"/>
          <w:highlight w:val="none"/>
          <w:lang w:eastAsia="zh-CN"/>
        </w:rPr>
        <w:t>在国家级民族工作行业报刊平台上，对</w:t>
      </w:r>
      <w:r>
        <w:rPr>
          <w:rFonts w:hint="eastAsia"/>
          <w:color w:val="auto"/>
          <w:szCs w:val="21"/>
          <w:highlight w:val="none"/>
        </w:rPr>
        <w:t>民宗委“边疆特产销全国”、互嵌式社区建设等重点工作开展宣传</w:t>
      </w:r>
      <w:r>
        <w:rPr>
          <w:rFonts w:hint="eastAsia"/>
          <w:color w:val="auto"/>
          <w:szCs w:val="21"/>
          <w:highlight w:val="none"/>
          <w:lang w:eastAsia="zh-CN"/>
        </w:rPr>
        <w:t>。</w:t>
      </w:r>
    </w:p>
    <w:p w14:paraId="2BCB48A0">
      <w:pPr>
        <w:spacing w:line="360" w:lineRule="auto"/>
        <w:rPr>
          <w:rFonts w:hint="eastAsia" w:eastAsia="宋体"/>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5</w:t>
      </w:r>
      <w:r>
        <w:rPr>
          <w:rFonts w:hint="eastAsia"/>
          <w:color w:val="auto"/>
          <w:szCs w:val="21"/>
          <w:highlight w:val="none"/>
          <w:lang w:eastAsia="zh-CN"/>
        </w:rPr>
        <w:t>在国家级民族工作行业报刊平台上，</w:t>
      </w:r>
      <w:r>
        <w:rPr>
          <w:rFonts w:hint="eastAsia"/>
          <w:color w:val="auto"/>
          <w:szCs w:val="21"/>
          <w:highlight w:val="none"/>
        </w:rPr>
        <w:t>围绕民族工作重要节点进行其他主题策划，制作若干短视频开展宣传</w:t>
      </w:r>
      <w:r>
        <w:rPr>
          <w:rFonts w:hint="eastAsia" w:eastAsia="宋体"/>
          <w:color w:val="auto"/>
          <w:szCs w:val="21"/>
          <w:highlight w:val="none"/>
          <w:lang w:eastAsia="zh-CN"/>
        </w:rPr>
        <w:t>。</w:t>
      </w:r>
    </w:p>
    <w:p w14:paraId="3D28E005">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w:t>
      </w:r>
      <w:r>
        <w:rPr>
          <w:rFonts w:hint="eastAsia" w:eastAsia="宋体"/>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0E2DDEDD">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43B2EC41">
      <w:pPr>
        <w:spacing w:line="360" w:lineRule="auto"/>
        <w:rPr>
          <w:color w:val="auto"/>
          <w:szCs w:val="21"/>
          <w:highlight w:val="none"/>
        </w:rPr>
      </w:pPr>
      <w:r>
        <w:rPr>
          <w:rFonts w:hint="eastAsia"/>
          <w:color w:val="auto"/>
          <w:szCs w:val="21"/>
          <w:highlight w:val="none"/>
        </w:rPr>
        <w:t>1．报价要求</w:t>
      </w:r>
    </w:p>
    <w:p w14:paraId="6E75F69E">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ascii="Times New Roman" w:eastAsia="宋体"/>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2480D243">
      <w:pPr>
        <w:spacing w:line="360" w:lineRule="auto"/>
        <w:rPr>
          <w:color w:val="auto"/>
          <w:szCs w:val="21"/>
          <w:highlight w:val="none"/>
        </w:rPr>
      </w:pPr>
      <w:r>
        <w:rPr>
          <w:rFonts w:hint="eastAsia"/>
          <w:color w:val="auto"/>
          <w:szCs w:val="21"/>
          <w:highlight w:val="none"/>
        </w:rPr>
        <w:t>2.合同签订日期</w:t>
      </w:r>
    </w:p>
    <w:p w14:paraId="2AA6D64B">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787AEB8A">
      <w:pPr>
        <w:spacing w:line="360" w:lineRule="auto"/>
        <w:rPr>
          <w:color w:val="auto"/>
          <w:szCs w:val="21"/>
          <w:highlight w:val="none"/>
        </w:rPr>
      </w:pPr>
      <w:r>
        <w:rPr>
          <w:rFonts w:hint="eastAsia"/>
          <w:color w:val="auto"/>
          <w:szCs w:val="21"/>
          <w:highlight w:val="none"/>
        </w:rPr>
        <w:t>3.交货（实施）时间</w:t>
      </w:r>
    </w:p>
    <w:p w14:paraId="2140C934">
      <w:pPr>
        <w:spacing w:line="360" w:lineRule="auto"/>
        <w:rPr>
          <w:rFonts w:hint="eastAsia"/>
          <w:color w:val="auto"/>
          <w:szCs w:val="21"/>
          <w:highlight w:val="none"/>
        </w:rPr>
      </w:pPr>
      <w:r>
        <w:rPr>
          <w:rFonts w:hint="eastAsia"/>
          <w:color w:val="auto"/>
          <w:szCs w:val="21"/>
          <w:highlight w:val="none"/>
        </w:rPr>
        <w:t>自签订合同之日起至2027年10月1日</w:t>
      </w:r>
    </w:p>
    <w:p w14:paraId="446C9826">
      <w:pPr>
        <w:spacing w:line="360" w:lineRule="auto"/>
        <w:rPr>
          <w:color w:val="auto"/>
          <w:szCs w:val="21"/>
          <w:highlight w:val="none"/>
        </w:rPr>
      </w:pPr>
      <w:r>
        <w:rPr>
          <w:rFonts w:hint="eastAsia"/>
          <w:color w:val="auto"/>
          <w:szCs w:val="21"/>
          <w:highlight w:val="none"/>
        </w:rPr>
        <w:t>4.交货地点或服务地点</w:t>
      </w:r>
    </w:p>
    <w:p w14:paraId="3DE658DE">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南宁市（采购人指定地点）</w:t>
      </w:r>
    </w:p>
    <w:p w14:paraId="4885A70C">
      <w:pPr>
        <w:spacing w:line="360" w:lineRule="auto"/>
        <w:rPr>
          <w:color w:val="auto"/>
          <w:szCs w:val="21"/>
          <w:highlight w:val="none"/>
        </w:rPr>
      </w:pPr>
      <w:r>
        <w:rPr>
          <w:rFonts w:hint="eastAsia"/>
          <w:color w:val="auto"/>
          <w:szCs w:val="21"/>
          <w:highlight w:val="none"/>
        </w:rPr>
        <w:t>5.验收标准</w:t>
      </w:r>
    </w:p>
    <w:p w14:paraId="0F04125D">
      <w:pPr>
        <w:spacing w:line="360" w:lineRule="auto"/>
        <w:rPr>
          <w:color w:val="auto"/>
          <w:szCs w:val="21"/>
          <w:highlight w:val="none"/>
        </w:rPr>
      </w:pPr>
      <w:r>
        <w:rPr>
          <w:rFonts w:hint="eastAsia"/>
          <w:color w:val="auto"/>
          <w:szCs w:val="21"/>
          <w:highlight w:val="none"/>
        </w:rPr>
        <w:t>详见采购文件合同主要条款格式部分</w:t>
      </w:r>
    </w:p>
    <w:p w14:paraId="03288B5E">
      <w:pPr>
        <w:spacing w:line="360" w:lineRule="auto"/>
        <w:rPr>
          <w:color w:val="auto"/>
          <w:szCs w:val="21"/>
          <w:highlight w:val="none"/>
        </w:rPr>
      </w:pPr>
      <w:r>
        <w:rPr>
          <w:rFonts w:hint="eastAsia"/>
          <w:color w:val="auto"/>
          <w:szCs w:val="21"/>
          <w:highlight w:val="none"/>
        </w:rPr>
        <w:t>6.服务标准、期限、效率</w:t>
      </w:r>
    </w:p>
    <w:p w14:paraId="1852E619">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27F53952">
      <w:pPr>
        <w:spacing w:line="360" w:lineRule="auto"/>
        <w:rPr>
          <w:color w:val="auto"/>
          <w:szCs w:val="21"/>
          <w:highlight w:val="none"/>
        </w:rPr>
      </w:pPr>
      <w:r>
        <w:rPr>
          <w:rFonts w:hint="eastAsia"/>
          <w:color w:val="auto"/>
          <w:szCs w:val="21"/>
          <w:highlight w:val="none"/>
        </w:rPr>
        <w:t>6.1.1电话咨询</w:t>
      </w:r>
    </w:p>
    <w:p w14:paraId="69B38759">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2BAF7123">
      <w:pPr>
        <w:spacing w:line="360" w:lineRule="auto"/>
        <w:rPr>
          <w:color w:val="auto"/>
          <w:szCs w:val="21"/>
          <w:highlight w:val="none"/>
        </w:rPr>
      </w:pPr>
      <w:r>
        <w:rPr>
          <w:rFonts w:hint="eastAsia"/>
          <w:color w:val="auto"/>
          <w:szCs w:val="21"/>
          <w:highlight w:val="none"/>
        </w:rPr>
        <w:t>6.1.2现场响应</w:t>
      </w:r>
    </w:p>
    <w:p w14:paraId="4BFCE6B2">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77662D07">
      <w:pPr>
        <w:spacing w:line="360" w:lineRule="auto"/>
        <w:rPr>
          <w:color w:val="auto"/>
          <w:szCs w:val="21"/>
          <w:highlight w:val="none"/>
        </w:rPr>
      </w:pPr>
      <w:r>
        <w:rPr>
          <w:rFonts w:hint="eastAsia"/>
          <w:color w:val="auto"/>
          <w:szCs w:val="21"/>
          <w:highlight w:val="none"/>
        </w:rPr>
        <w:t>6.1.3技术升级</w:t>
      </w:r>
    </w:p>
    <w:p w14:paraId="3215E487">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05285BB2">
      <w:pPr>
        <w:spacing w:line="360" w:lineRule="auto"/>
        <w:rPr>
          <w:color w:val="auto"/>
          <w:szCs w:val="21"/>
          <w:highlight w:val="none"/>
        </w:rPr>
      </w:pPr>
      <w:r>
        <w:rPr>
          <w:rFonts w:hint="eastAsia"/>
          <w:color w:val="auto"/>
          <w:szCs w:val="21"/>
          <w:highlight w:val="none"/>
        </w:rPr>
        <w:t>7.培训</w:t>
      </w:r>
    </w:p>
    <w:p w14:paraId="56710577">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46AC5406">
      <w:pPr>
        <w:spacing w:line="360" w:lineRule="auto"/>
        <w:rPr>
          <w:color w:val="auto"/>
          <w:szCs w:val="21"/>
          <w:highlight w:val="none"/>
        </w:rPr>
      </w:pPr>
      <w:r>
        <w:rPr>
          <w:rFonts w:hint="eastAsia"/>
          <w:color w:val="auto"/>
          <w:szCs w:val="21"/>
          <w:highlight w:val="none"/>
        </w:rPr>
        <w:t>8.付款方式、时间及条件</w:t>
      </w:r>
    </w:p>
    <w:p w14:paraId="28FCC3E6">
      <w:pPr>
        <w:spacing w:line="360" w:lineRule="auto"/>
        <w:rPr>
          <w:color w:val="auto"/>
          <w:szCs w:val="21"/>
          <w:highlight w:val="none"/>
        </w:rPr>
      </w:pPr>
      <w:r>
        <w:rPr>
          <w:rFonts w:hint="eastAsia"/>
          <w:color w:val="auto"/>
          <w:szCs w:val="21"/>
          <w:highlight w:val="none"/>
        </w:rPr>
        <w:t>详见采购文件合同主要条款格式部分</w:t>
      </w:r>
    </w:p>
    <w:p w14:paraId="0AB2E510">
      <w:pPr>
        <w:spacing w:line="360" w:lineRule="auto"/>
        <w:rPr>
          <w:color w:val="auto"/>
          <w:szCs w:val="21"/>
          <w:highlight w:val="none"/>
        </w:rPr>
      </w:pPr>
      <w:r>
        <w:rPr>
          <w:rFonts w:hint="eastAsia"/>
          <w:color w:val="auto"/>
          <w:szCs w:val="21"/>
          <w:highlight w:val="none"/>
        </w:rPr>
        <w:t>9.履约保证金</w:t>
      </w:r>
    </w:p>
    <w:p w14:paraId="01FC450B">
      <w:pPr>
        <w:spacing w:line="360" w:lineRule="auto"/>
        <w:rPr>
          <w:color w:val="auto"/>
          <w:szCs w:val="21"/>
          <w:highlight w:val="none"/>
        </w:rPr>
      </w:pPr>
      <w:r>
        <w:rPr>
          <w:rFonts w:hint="eastAsia"/>
          <w:color w:val="auto"/>
          <w:szCs w:val="21"/>
          <w:highlight w:val="none"/>
        </w:rPr>
        <w:t>详见采购文件合同主要条款格式部分</w:t>
      </w:r>
    </w:p>
    <w:p w14:paraId="24A1AC27">
      <w:pPr>
        <w:spacing w:line="360" w:lineRule="auto"/>
        <w:rPr>
          <w:color w:val="auto"/>
          <w:szCs w:val="21"/>
          <w:highlight w:val="none"/>
        </w:rPr>
      </w:pPr>
      <w:r>
        <w:rPr>
          <w:rFonts w:hint="eastAsia"/>
          <w:color w:val="auto"/>
          <w:szCs w:val="21"/>
          <w:highlight w:val="none"/>
        </w:rPr>
        <w:t>10.包装和运输要求</w:t>
      </w:r>
    </w:p>
    <w:p w14:paraId="61D45A53">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eastAsia="宋体"/>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02925EAD">
      <w:pPr>
        <w:spacing w:line="360" w:lineRule="auto"/>
        <w:rPr>
          <w:color w:val="auto"/>
          <w:szCs w:val="21"/>
          <w:highlight w:val="none"/>
        </w:rPr>
      </w:pPr>
      <w:r>
        <w:rPr>
          <w:rFonts w:hint="eastAsia"/>
          <w:color w:val="auto"/>
          <w:szCs w:val="21"/>
          <w:highlight w:val="none"/>
        </w:rPr>
        <w:t>运输要求详见采购文件合同主要条款格式部分</w:t>
      </w:r>
    </w:p>
    <w:p w14:paraId="15938057">
      <w:pPr>
        <w:spacing w:line="360" w:lineRule="auto"/>
        <w:rPr>
          <w:color w:val="auto"/>
          <w:szCs w:val="21"/>
          <w:highlight w:val="none"/>
        </w:rPr>
      </w:pPr>
      <w:r>
        <w:rPr>
          <w:rFonts w:hint="eastAsia"/>
          <w:color w:val="auto"/>
          <w:szCs w:val="21"/>
          <w:highlight w:val="none"/>
        </w:rPr>
        <w:t>11.售后服务</w:t>
      </w:r>
    </w:p>
    <w:p w14:paraId="6C5707C5">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17FC839C">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11.2成交供应商应明确承诺采购文件采购需求部分如无特别要求，则质保期为自验收合格之日起一年，采购文件采购需求部分有特别要求的则以技术参数要求表为准。</w:t>
      </w:r>
    </w:p>
    <w:p w14:paraId="3347A421">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06929916">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108CDAF8">
      <w:pPr>
        <w:spacing w:line="360" w:lineRule="auto"/>
        <w:rPr>
          <w:color w:val="auto"/>
          <w:szCs w:val="21"/>
          <w:highlight w:val="none"/>
        </w:rPr>
      </w:pPr>
      <w:r>
        <w:rPr>
          <w:rFonts w:hint="eastAsia"/>
          <w:color w:val="auto"/>
          <w:szCs w:val="21"/>
          <w:highlight w:val="none"/>
        </w:rPr>
        <w:t>12.保险</w:t>
      </w:r>
    </w:p>
    <w:p w14:paraId="20977A12">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55DB640C">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6E9D5BF0">
      <w:pPr>
        <w:spacing w:line="360" w:lineRule="auto"/>
        <w:rPr>
          <w:rFonts w:hint="eastAsia" w:ascii="Times New Roman" w:hAnsi="Times New Roman" w:cs="Times New Roman"/>
          <w:b/>
          <w:color w:val="auto"/>
          <w:highlight w:val="none"/>
        </w:rPr>
      </w:pPr>
      <w:r>
        <w:rPr>
          <w:rFonts w:hint="eastAsia" w:ascii="Times New Roman" w:hAnsi="Times New Roman" w:cs="Times New Roman"/>
          <w:b/>
          <w:color w:val="auto"/>
          <w:highlight w:val="none"/>
        </w:rPr>
        <w:t>无</w:t>
      </w:r>
    </w:p>
    <w:p w14:paraId="521D0A87">
      <w:pPr>
        <w:rPr>
          <w:rFonts w:hint="eastAsia" w:ascii="Times New Roman" w:hAnsi="Times New Roman" w:cs="Times New Roman"/>
          <w:b/>
          <w:color w:val="auto"/>
          <w:highlight w:val="none"/>
        </w:rPr>
      </w:pPr>
      <w:r>
        <w:rPr>
          <w:rFonts w:hint="eastAsia" w:ascii="Times New Roman" w:hAnsi="Times New Roman" w:cs="Times New Roman"/>
          <w:b/>
          <w:color w:val="auto"/>
          <w:highlight w:val="none"/>
        </w:rPr>
        <w:br w:type="page"/>
      </w:r>
    </w:p>
    <w:p w14:paraId="42A5A733">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标项七</w:t>
      </w:r>
    </w:p>
    <w:p w14:paraId="0C1ABF31">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7A28646E">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183EDC4E">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3CD5690F">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1923707B">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ascii="Times New Roman" w:eastAsia="宋体"/>
          <w:color w:val="auto"/>
          <w:szCs w:val="21"/>
          <w:highlight w:val="none"/>
          <w:lang w:val="en-US" w:eastAsia="zh-CN"/>
        </w:rPr>
        <w:t>无效</w:t>
      </w:r>
      <w:r>
        <w:rPr>
          <w:color w:val="auto"/>
          <w:szCs w:val="21"/>
          <w:highlight w:val="none"/>
        </w:rPr>
        <w:t>。</w:t>
      </w:r>
    </w:p>
    <w:p w14:paraId="31295A2B">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4502CBFE">
      <w:pPr>
        <w:spacing w:line="360" w:lineRule="auto"/>
        <w:rPr>
          <w:color w:val="auto"/>
          <w:szCs w:val="21"/>
          <w:highlight w:val="none"/>
        </w:rPr>
      </w:pPr>
      <w:r>
        <w:rPr>
          <w:rFonts w:hint="eastAsia"/>
          <w:color w:val="auto"/>
          <w:szCs w:val="21"/>
          <w:highlight w:val="none"/>
        </w:rPr>
        <w:t>1.需实现的功能、目标及应用场景</w:t>
      </w:r>
    </w:p>
    <w:p w14:paraId="05539BAA">
      <w:pPr>
        <w:spacing w:line="360" w:lineRule="auto"/>
        <w:rPr>
          <w:rFonts w:hint="eastAsia"/>
          <w:color w:val="auto"/>
          <w:szCs w:val="21"/>
          <w:highlight w:val="none"/>
        </w:rPr>
      </w:pPr>
      <w:r>
        <w:rPr>
          <w:rFonts w:hint="eastAsia"/>
          <w:color w:val="auto"/>
          <w:szCs w:val="21"/>
          <w:highlight w:val="none"/>
        </w:rPr>
        <w:t>满足采购文件要求，验收达到合格标准。</w:t>
      </w:r>
    </w:p>
    <w:p w14:paraId="02727963">
      <w:pPr>
        <w:spacing w:line="360" w:lineRule="auto"/>
        <w:rPr>
          <w:color w:val="auto"/>
          <w:szCs w:val="21"/>
          <w:highlight w:val="none"/>
        </w:rPr>
      </w:pPr>
      <w:r>
        <w:rPr>
          <w:rFonts w:hint="eastAsia"/>
          <w:color w:val="auto"/>
          <w:szCs w:val="21"/>
          <w:highlight w:val="none"/>
        </w:rPr>
        <w:t>2.是否接受进口产品：</w:t>
      </w:r>
    </w:p>
    <w:p w14:paraId="4B2AF4CE">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4867559C">
      <w:pPr>
        <w:spacing w:line="360" w:lineRule="auto"/>
        <w:rPr>
          <w:color w:val="auto"/>
          <w:szCs w:val="21"/>
          <w:highlight w:val="none"/>
        </w:rPr>
      </w:pPr>
      <w:r>
        <w:rPr>
          <w:rFonts w:hint="eastAsia"/>
          <w:color w:val="auto"/>
          <w:szCs w:val="21"/>
          <w:highlight w:val="none"/>
        </w:rPr>
        <w:t>□是</w:t>
      </w:r>
    </w:p>
    <w:p w14:paraId="4D68FF1D">
      <w:pPr>
        <w:spacing w:line="360" w:lineRule="auto"/>
        <w:rPr>
          <w:color w:val="auto"/>
          <w:szCs w:val="21"/>
          <w:highlight w:val="none"/>
        </w:rPr>
      </w:pPr>
      <w:r>
        <w:rPr>
          <w:rFonts w:hint="eastAsia"/>
          <w:color w:val="auto"/>
          <w:szCs w:val="21"/>
          <w:highlight w:val="none"/>
        </w:rPr>
        <w:t>本项目</w:t>
      </w:r>
      <w:r>
        <w:rPr>
          <w:rFonts w:hint="eastAsia" w:ascii="Times New Roman" w:eastAsia="宋体"/>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7F5D4D41">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55B23F9A">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4C53588F">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3CC5D886">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6CB3F45F">
      <w:pPr>
        <w:spacing w:line="360" w:lineRule="auto"/>
        <w:rPr>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376DF9E2">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p w14:paraId="459E3D65">
      <w:pPr>
        <w:spacing w:line="360" w:lineRule="auto"/>
        <w:rPr>
          <w:color w:val="auto"/>
          <w:szCs w:val="21"/>
          <w:highlight w:val="none"/>
        </w:rPr>
      </w:pPr>
      <w:r>
        <w:rPr>
          <w:rFonts w:hint="eastAsia" w:ascii="Times New Roman" w:eastAsia="宋体"/>
          <w:color w:val="auto"/>
          <w:szCs w:val="21"/>
          <w:highlight w:val="none"/>
          <w:lang w:val="en-US" w:eastAsia="zh-CN"/>
        </w:rPr>
        <w:t>4</w:t>
      </w:r>
      <w:r>
        <w:rPr>
          <w:rFonts w:hint="eastAsia"/>
          <w:color w:val="auto"/>
          <w:szCs w:val="21"/>
          <w:highlight w:val="none"/>
        </w:rPr>
        <w:t>.标的所属行业：租赁和商务服务业</w:t>
      </w:r>
    </w:p>
    <w:p w14:paraId="22F1863B">
      <w:pPr>
        <w:spacing w:line="360" w:lineRule="auto"/>
        <w:rPr>
          <w:color w:val="auto"/>
          <w:szCs w:val="21"/>
          <w:highlight w:val="none"/>
        </w:rPr>
      </w:pPr>
      <w:r>
        <w:rPr>
          <w:rFonts w:hint="eastAsia" w:ascii="Times New Roman" w:eastAsia="宋体"/>
          <w:color w:val="auto"/>
          <w:szCs w:val="21"/>
          <w:highlight w:val="none"/>
          <w:lang w:val="en-US" w:eastAsia="zh-CN"/>
        </w:rPr>
        <w:t>5</w:t>
      </w:r>
      <w:r>
        <w:rPr>
          <w:rFonts w:hint="eastAsia"/>
          <w:color w:val="auto"/>
          <w:szCs w:val="21"/>
          <w:highlight w:val="none"/>
        </w:rPr>
        <w:t>.核心产品</w:t>
      </w:r>
    </w:p>
    <w:p w14:paraId="45425F4E">
      <w:pPr>
        <w:spacing w:line="360" w:lineRule="auto"/>
        <w:rPr>
          <w:color w:val="auto"/>
          <w:szCs w:val="21"/>
          <w:highlight w:val="none"/>
        </w:rPr>
      </w:pPr>
      <w:r>
        <w:rPr>
          <w:rFonts w:hint="eastAsia"/>
          <w:color w:val="auto"/>
          <w:szCs w:val="21"/>
          <w:highlight w:val="none"/>
        </w:rPr>
        <w:t>本项目为服务项目，不适用核心产品规定。</w:t>
      </w:r>
    </w:p>
    <w:p w14:paraId="03F22030">
      <w:pPr>
        <w:spacing w:line="360" w:lineRule="auto"/>
        <w:rPr>
          <w:rFonts w:hint="eastAsia"/>
          <w:color w:val="auto"/>
          <w:szCs w:val="21"/>
          <w:highlight w:val="none"/>
        </w:rPr>
      </w:pPr>
      <w:r>
        <w:rPr>
          <w:rFonts w:hint="eastAsia" w:ascii="Times New Roman" w:eastAsia="宋体"/>
          <w:color w:val="auto"/>
          <w:szCs w:val="21"/>
          <w:highlight w:val="none"/>
          <w:lang w:val="en-US" w:eastAsia="zh-CN"/>
        </w:rPr>
        <w:t>6</w:t>
      </w:r>
      <w:r>
        <w:rPr>
          <w:rFonts w:hint="eastAsia"/>
          <w:color w:val="auto"/>
          <w:szCs w:val="21"/>
          <w:highlight w:val="none"/>
        </w:rPr>
        <w:t>.服务内容和标准</w:t>
      </w:r>
    </w:p>
    <w:p w14:paraId="426E32DC">
      <w:pPr>
        <w:spacing w:line="360" w:lineRule="auto"/>
        <w:rPr>
          <w:rFonts w:hint="eastAsia"/>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1在省</w:t>
      </w:r>
      <w:r>
        <w:rPr>
          <w:rFonts w:hint="eastAsia"/>
          <w:color w:val="auto"/>
          <w:szCs w:val="21"/>
          <w:highlight w:val="none"/>
          <w:lang w:eastAsia="zh-CN"/>
        </w:rPr>
        <w:t>（</w:t>
      </w:r>
      <w:r>
        <w:rPr>
          <w:rFonts w:hint="eastAsia"/>
          <w:color w:val="auto"/>
          <w:szCs w:val="21"/>
          <w:highlight w:val="none"/>
          <w:lang w:val="en-US" w:eastAsia="zh-CN"/>
        </w:rPr>
        <w:t>区</w:t>
      </w:r>
      <w:r>
        <w:rPr>
          <w:rFonts w:hint="eastAsia"/>
          <w:color w:val="auto"/>
          <w:szCs w:val="21"/>
          <w:highlight w:val="none"/>
          <w:lang w:eastAsia="zh-CN"/>
        </w:rPr>
        <w:t>）</w:t>
      </w:r>
      <w:r>
        <w:rPr>
          <w:rFonts w:hint="eastAsia"/>
          <w:color w:val="auto"/>
          <w:szCs w:val="21"/>
          <w:highlight w:val="none"/>
        </w:rPr>
        <w:t>级党报媒体平台发布“铸牢中华民族共同体意识”</w:t>
      </w:r>
      <w:r>
        <w:rPr>
          <w:rFonts w:hint="eastAsia"/>
          <w:color w:val="auto"/>
          <w:szCs w:val="21"/>
          <w:highlight w:val="none"/>
          <w:lang w:val="en-US" w:eastAsia="zh-CN"/>
        </w:rPr>
        <w:t>专题</w:t>
      </w:r>
      <w:r>
        <w:rPr>
          <w:rFonts w:hint="eastAsia"/>
          <w:color w:val="auto"/>
          <w:szCs w:val="21"/>
          <w:highlight w:val="none"/>
        </w:rPr>
        <w:t>，</w:t>
      </w:r>
      <w:r>
        <w:rPr>
          <w:rFonts w:hint="eastAsia"/>
          <w:color w:val="auto"/>
          <w:szCs w:val="21"/>
          <w:highlight w:val="none"/>
          <w:lang w:val="en-US" w:eastAsia="zh-CN"/>
        </w:rPr>
        <w:t>发布</w:t>
      </w:r>
      <w:r>
        <w:rPr>
          <w:rFonts w:hint="eastAsia"/>
          <w:color w:val="auto"/>
          <w:szCs w:val="21"/>
          <w:highlight w:val="none"/>
        </w:rPr>
        <w:t>全区各地各部门在推进中华民族共同体建设，推进民族团结进步事业，加快现代化建设步伐方面的实践经验</w:t>
      </w:r>
      <w:r>
        <w:rPr>
          <w:rFonts w:hint="eastAsia"/>
          <w:color w:val="auto"/>
          <w:szCs w:val="21"/>
          <w:highlight w:val="none"/>
          <w:lang w:eastAsia="zh-CN"/>
        </w:rPr>
        <w:t>。</w:t>
      </w:r>
    </w:p>
    <w:p w14:paraId="44C41277">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2围绕</w:t>
      </w:r>
      <w:r>
        <w:rPr>
          <w:rFonts w:hint="eastAsia"/>
          <w:color w:val="auto"/>
          <w:szCs w:val="21"/>
          <w:highlight w:val="none"/>
          <w:lang w:val="en-US" w:eastAsia="zh-CN"/>
        </w:rPr>
        <w:t>2026</w:t>
      </w:r>
      <w:r>
        <w:rPr>
          <w:rFonts w:hint="eastAsia"/>
          <w:color w:val="auto"/>
          <w:szCs w:val="21"/>
          <w:highlight w:val="none"/>
        </w:rPr>
        <w:t>年自治区民宗委重点工作，例如“民族工作八桂行”采风活动、“民营企业进边疆”、“边疆特产销全国”等系列活动；巴马瑶族自治县办好成立70周年庆祝活动等，在省</w:t>
      </w:r>
      <w:r>
        <w:rPr>
          <w:rFonts w:hint="eastAsia"/>
          <w:color w:val="auto"/>
          <w:szCs w:val="21"/>
          <w:highlight w:val="none"/>
          <w:lang w:eastAsia="zh-CN"/>
        </w:rPr>
        <w:t>（</w:t>
      </w:r>
      <w:r>
        <w:rPr>
          <w:rFonts w:hint="eastAsia"/>
          <w:color w:val="auto"/>
          <w:szCs w:val="21"/>
          <w:highlight w:val="none"/>
          <w:lang w:val="en-US" w:eastAsia="zh-CN"/>
        </w:rPr>
        <w:t>区</w:t>
      </w:r>
      <w:r>
        <w:rPr>
          <w:rFonts w:hint="eastAsia"/>
          <w:color w:val="auto"/>
          <w:szCs w:val="21"/>
          <w:highlight w:val="none"/>
          <w:lang w:eastAsia="zh-CN"/>
        </w:rPr>
        <w:t>）</w:t>
      </w:r>
      <w:r>
        <w:rPr>
          <w:rFonts w:hint="eastAsia"/>
          <w:color w:val="auto"/>
          <w:szCs w:val="21"/>
          <w:highlight w:val="none"/>
        </w:rPr>
        <w:t>级党报媒体平台刊发若干篇重要</w:t>
      </w:r>
      <w:r>
        <w:rPr>
          <w:rFonts w:hint="eastAsia"/>
          <w:color w:val="auto"/>
          <w:szCs w:val="21"/>
          <w:highlight w:val="none"/>
          <w:lang w:val="en-US" w:eastAsia="zh-CN"/>
        </w:rPr>
        <w:t>专题文稿</w:t>
      </w:r>
      <w:r>
        <w:rPr>
          <w:rFonts w:hint="eastAsia"/>
          <w:color w:val="auto"/>
          <w:szCs w:val="21"/>
          <w:highlight w:val="none"/>
          <w:lang w:eastAsia="zh-CN"/>
        </w:rPr>
        <w:t>。</w:t>
      </w:r>
    </w:p>
    <w:p w14:paraId="11AE9C6A">
      <w:pPr>
        <w:spacing w:line="360" w:lineRule="auto"/>
        <w:rPr>
          <w:rFonts w:hint="eastAsia" w:eastAsia="宋体"/>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3在重要宣传节点，如广西两会、全国两会、广西三月三等活动期间，在省</w:t>
      </w:r>
      <w:r>
        <w:rPr>
          <w:rFonts w:hint="eastAsia"/>
          <w:color w:val="auto"/>
          <w:szCs w:val="21"/>
          <w:highlight w:val="none"/>
          <w:lang w:eastAsia="zh-CN"/>
        </w:rPr>
        <w:t>（</w:t>
      </w:r>
      <w:r>
        <w:rPr>
          <w:rFonts w:hint="eastAsia"/>
          <w:color w:val="auto"/>
          <w:szCs w:val="21"/>
          <w:highlight w:val="none"/>
          <w:lang w:val="en-US" w:eastAsia="zh-CN"/>
        </w:rPr>
        <w:t>区</w:t>
      </w:r>
      <w:r>
        <w:rPr>
          <w:rFonts w:hint="eastAsia"/>
          <w:color w:val="auto"/>
          <w:szCs w:val="21"/>
          <w:highlight w:val="none"/>
          <w:lang w:eastAsia="zh-CN"/>
        </w:rPr>
        <w:t>）</w:t>
      </w:r>
      <w:r>
        <w:rPr>
          <w:rFonts w:hint="eastAsia"/>
          <w:color w:val="auto"/>
          <w:szCs w:val="21"/>
          <w:highlight w:val="none"/>
        </w:rPr>
        <w:t>级党报媒体平台进行</w:t>
      </w:r>
      <w:r>
        <w:rPr>
          <w:rFonts w:hint="eastAsia"/>
          <w:color w:val="auto"/>
          <w:szCs w:val="21"/>
          <w:highlight w:val="none"/>
          <w:lang w:val="en-US" w:eastAsia="zh-CN"/>
        </w:rPr>
        <w:t>专题宣传推广</w:t>
      </w:r>
      <w:r>
        <w:rPr>
          <w:rFonts w:hint="eastAsia"/>
          <w:color w:val="auto"/>
          <w:szCs w:val="21"/>
          <w:highlight w:val="none"/>
          <w:lang w:eastAsia="zh-CN"/>
        </w:rPr>
        <w:t>。</w:t>
      </w:r>
    </w:p>
    <w:p w14:paraId="1FF8DF99">
      <w:pPr>
        <w:spacing w:line="360" w:lineRule="auto"/>
        <w:rPr>
          <w:rFonts w:hint="eastAsia" w:eastAsia="宋体"/>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4通过</w:t>
      </w:r>
      <w:r>
        <w:rPr>
          <w:rFonts w:hint="eastAsia"/>
          <w:color w:val="auto"/>
          <w:szCs w:val="21"/>
          <w:highlight w:val="none"/>
          <w:lang w:val="en-US" w:eastAsia="zh-CN"/>
        </w:rPr>
        <w:t>文字</w:t>
      </w:r>
      <w:r>
        <w:rPr>
          <w:rFonts w:hint="eastAsia"/>
          <w:color w:val="auto"/>
          <w:szCs w:val="21"/>
          <w:highlight w:val="none"/>
        </w:rPr>
        <w:t>、图片等形式，在省</w:t>
      </w:r>
      <w:r>
        <w:rPr>
          <w:rFonts w:hint="eastAsia"/>
          <w:color w:val="auto"/>
          <w:szCs w:val="21"/>
          <w:highlight w:val="none"/>
          <w:lang w:eastAsia="zh-CN"/>
        </w:rPr>
        <w:t>（</w:t>
      </w:r>
      <w:r>
        <w:rPr>
          <w:rFonts w:hint="eastAsia"/>
          <w:color w:val="auto"/>
          <w:szCs w:val="21"/>
          <w:highlight w:val="none"/>
          <w:lang w:val="en-US" w:eastAsia="zh-CN"/>
        </w:rPr>
        <w:t>区</w:t>
      </w:r>
      <w:r>
        <w:rPr>
          <w:rFonts w:hint="eastAsia"/>
          <w:color w:val="auto"/>
          <w:szCs w:val="21"/>
          <w:highlight w:val="none"/>
          <w:lang w:eastAsia="zh-CN"/>
        </w:rPr>
        <w:t>）</w:t>
      </w:r>
      <w:r>
        <w:rPr>
          <w:rFonts w:hint="eastAsia"/>
          <w:color w:val="auto"/>
          <w:szCs w:val="21"/>
          <w:highlight w:val="none"/>
        </w:rPr>
        <w:t>级党报媒体平台不定期刊发关于自治区民族工作的有价值的</w:t>
      </w:r>
      <w:r>
        <w:rPr>
          <w:rFonts w:hint="eastAsia"/>
          <w:color w:val="auto"/>
          <w:szCs w:val="21"/>
          <w:highlight w:val="none"/>
          <w:lang w:val="en-US" w:eastAsia="zh-CN"/>
        </w:rPr>
        <w:t>专题文稿</w:t>
      </w:r>
      <w:r>
        <w:rPr>
          <w:rFonts w:hint="eastAsia"/>
          <w:color w:val="auto"/>
          <w:szCs w:val="21"/>
          <w:highlight w:val="none"/>
          <w:lang w:eastAsia="zh-CN"/>
        </w:rPr>
        <w:t>。</w:t>
      </w:r>
    </w:p>
    <w:p w14:paraId="7B84EC78">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w:t>
      </w:r>
      <w:r>
        <w:rPr>
          <w:rFonts w:hint="eastAsia" w:eastAsia="宋体"/>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085BD83A">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69E804F4">
      <w:pPr>
        <w:spacing w:line="360" w:lineRule="auto"/>
        <w:rPr>
          <w:color w:val="auto"/>
          <w:szCs w:val="21"/>
          <w:highlight w:val="none"/>
        </w:rPr>
      </w:pPr>
      <w:r>
        <w:rPr>
          <w:rFonts w:hint="eastAsia"/>
          <w:color w:val="auto"/>
          <w:szCs w:val="21"/>
          <w:highlight w:val="none"/>
        </w:rPr>
        <w:t>1．报价要求</w:t>
      </w:r>
    </w:p>
    <w:p w14:paraId="79BF7AD2">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ascii="Times New Roman" w:eastAsia="宋体"/>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690E95B6">
      <w:pPr>
        <w:spacing w:line="360" w:lineRule="auto"/>
        <w:rPr>
          <w:color w:val="auto"/>
          <w:szCs w:val="21"/>
          <w:highlight w:val="none"/>
        </w:rPr>
      </w:pPr>
      <w:r>
        <w:rPr>
          <w:rFonts w:hint="eastAsia"/>
          <w:color w:val="auto"/>
          <w:szCs w:val="21"/>
          <w:highlight w:val="none"/>
        </w:rPr>
        <w:t>2.合同签订日期</w:t>
      </w:r>
    </w:p>
    <w:p w14:paraId="1A9F214C">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11CDA74C">
      <w:pPr>
        <w:spacing w:line="360" w:lineRule="auto"/>
        <w:rPr>
          <w:color w:val="auto"/>
          <w:szCs w:val="21"/>
          <w:highlight w:val="none"/>
        </w:rPr>
      </w:pPr>
      <w:r>
        <w:rPr>
          <w:rFonts w:hint="eastAsia"/>
          <w:color w:val="auto"/>
          <w:szCs w:val="21"/>
          <w:highlight w:val="none"/>
        </w:rPr>
        <w:t>3.交货（实施）时间</w:t>
      </w:r>
    </w:p>
    <w:p w14:paraId="43B2B5B3">
      <w:pPr>
        <w:spacing w:line="360" w:lineRule="auto"/>
        <w:rPr>
          <w:rFonts w:hint="eastAsia"/>
          <w:color w:val="auto"/>
          <w:szCs w:val="21"/>
          <w:highlight w:val="none"/>
        </w:rPr>
      </w:pPr>
      <w:r>
        <w:rPr>
          <w:rFonts w:hint="eastAsia"/>
          <w:color w:val="auto"/>
          <w:szCs w:val="21"/>
          <w:highlight w:val="none"/>
        </w:rPr>
        <w:t>自签订合同之日起至2027年10月1日</w:t>
      </w:r>
    </w:p>
    <w:p w14:paraId="0A2E9BEC">
      <w:pPr>
        <w:spacing w:line="360" w:lineRule="auto"/>
        <w:rPr>
          <w:color w:val="auto"/>
          <w:szCs w:val="21"/>
          <w:highlight w:val="none"/>
        </w:rPr>
      </w:pPr>
      <w:r>
        <w:rPr>
          <w:rFonts w:hint="eastAsia"/>
          <w:color w:val="auto"/>
          <w:szCs w:val="21"/>
          <w:highlight w:val="none"/>
        </w:rPr>
        <w:t>4.交货地点或服务地点</w:t>
      </w:r>
    </w:p>
    <w:p w14:paraId="5A7FFEC3">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南宁市（采购人指定地点）</w:t>
      </w:r>
    </w:p>
    <w:p w14:paraId="0145B25E">
      <w:pPr>
        <w:spacing w:line="360" w:lineRule="auto"/>
        <w:rPr>
          <w:color w:val="auto"/>
          <w:szCs w:val="21"/>
          <w:highlight w:val="none"/>
        </w:rPr>
      </w:pPr>
      <w:r>
        <w:rPr>
          <w:rFonts w:hint="eastAsia"/>
          <w:color w:val="auto"/>
          <w:szCs w:val="21"/>
          <w:highlight w:val="none"/>
        </w:rPr>
        <w:t>5.验收标准</w:t>
      </w:r>
    </w:p>
    <w:p w14:paraId="7CAEC627">
      <w:pPr>
        <w:spacing w:line="360" w:lineRule="auto"/>
        <w:rPr>
          <w:color w:val="auto"/>
          <w:szCs w:val="21"/>
          <w:highlight w:val="none"/>
        </w:rPr>
      </w:pPr>
      <w:r>
        <w:rPr>
          <w:rFonts w:hint="eastAsia"/>
          <w:color w:val="auto"/>
          <w:szCs w:val="21"/>
          <w:highlight w:val="none"/>
        </w:rPr>
        <w:t>详见采购文件合同主要条款格式部分</w:t>
      </w:r>
    </w:p>
    <w:p w14:paraId="1340567D">
      <w:pPr>
        <w:spacing w:line="360" w:lineRule="auto"/>
        <w:rPr>
          <w:color w:val="auto"/>
          <w:szCs w:val="21"/>
          <w:highlight w:val="none"/>
        </w:rPr>
      </w:pPr>
      <w:r>
        <w:rPr>
          <w:rFonts w:hint="eastAsia"/>
          <w:color w:val="auto"/>
          <w:szCs w:val="21"/>
          <w:highlight w:val="none"/>
        </w:rPr>
        <w:t>6.服务标准、期限、效率</w:t>
      </w:r>
    </w:p>
    <w:p w14:paraId="6CD7D62D">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2F553189">
      <w:pPr>
        <w:spacing w:line="360" w:lineRule="auto"/>
        <w:rPr>
          <w:color w:val="auto"/>
          <w:szCs w:val="21"/>
          <w:highlight w:val="none"/>
        </w:rPr>
      </w:pPr>
      <w:r>
        <w:rPr>
          <w:rFonts w:hint="eastAsia"/>
          <w:color w:val="auto"/>
          <w:szCs w:val="21"/>
          <w:highlight w:val="none"/>
        </w:rPr>
        <w:t>6.1.1电话咨询</w:t>
      </w:r>
    </w:p>
    <w:p w14:paraId="2ECF2B3B">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242879B8">
      <w:pPr>
        <w:spacing w:line="360" w:lineRule="auto"/>
        <w:rPr>
          <w:color w:val="auto"/>
          <w:szCs w:val="21"/>
          <w:highlight w:val="none"/>
        </w:rPr>
      </w:pPr>
      <w:r>
        <w:rPr>
          <w:rFonts w:hint="eastAsia"/>
          <w:color w:val="auto"/>
          <w:szCs w:val="21"/>
          <w:highlight w:val="none"/>
        </w:rPr>
        <w:t>6.1.2现场响应</w:t>
      </w:r>
    </w:p>
    <w:p w14:paraId="681975CD">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18C0E8BF">
      <w:pPr>
        <w:spacing w:line="360" w:lineRule="auto"/>
        <w:rPr>
          <w:color w:val="auto"/>
          <w:szCs w:val="21"/>
          <w:highlight w:val="none"/>
        </w:rPr>
      </w:pPr>
      <w:r>
        <w:rPr>
          <w:rFonts w:hint="eastAsia"/>
          <w:color w:val="auto"/>
          <w:szCs w:val="21"/>
          <w:highlight w:val="none"/>
        </w:rPr>
        <w:t>6.1.3技术升级</w:t>
      </w:r>
    </w:p>
    <w:p w14:paraId="1D937BEC">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381BB035">
      <w:pPr>
        <w:spacing w:line="360" w:lineRule="auto"/>
        <w:rPr>
          <w:color w:val="auto"/>
          <w:szCs w:val="21"/>
          <w:highlight w:val="none"/>
        </w:rPr>
      </w:pPr>
      <w:r>
        <w:rPr>
          <w:rFonts w:hint="eastAsia"/>
          <w:color w:val="auto"/>
          <w:szCs w:val="21"/>
          <w:highlight w:val="none"/>
        </w:rPr>
        <w:t>7.培训</w:t>
      </w:r>
    </w:p>
    <w:p w14:paraId="08CC50F7">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367BA9FD">
      <w:pPr>
        <w:spacing w:line="360" w:lineRule="auto"/>
        <w:rPr>
          <w:color w:val="auto"/>
          <w:szCs w:val="21"/>
          <w:highlight w:val="none"/>
        </w:rPr>
      </w:pPr>
      <w:r>
        <w:rPr>
          <w:rFonts w:hint="eastAsia"/>
          <w:color w:val="auto"/>
          <w:szCs w:val="21"/>
          <w:highlight w:val="none"/>
        </w:rPr>
        <w:t>8.付款方式、时间及条件</w:t>
      </w:r>
    </w:p>
    <w:p w14:paraId="75644518">
      <w:pPr>
        <w:spacing w:line="360" w:lineRule="auto"/>
        <w:rPr>
          <w:color w:val="auto"/>
          <w:szCs w:val="21"/>
          <w:highlight w:val="none"/>
        </w:rPr>
      </w:pPr>
      <w:r>
        <w:rPr>
          <w:rFonts w:hint="eastAsia"/>
          <w:color w:val="auto"/>
          <w:szCs w:val="21"/>
          <w:highlight w:val="none"/>
        </w:rPr>
        <w:t>详见采购文件合同主要条款格式部分</w:t>
      </w:r>
    </w:p>
    <w:p w14:paraId="7BA5B8F3">
      <w:pPr>
        <w:spacing w:line="360" w:lineRule="auto"/>
        <w:rPr>
          <w:color w:val="auto"/>
          <w:szCs w:val="21"/>
          <w:highlight w:val="none"/>
        </w:rPr>
      </w:pPr>
      <w:r>
        <w:rPr>
          <w:rFonts w:hint="eastAsia"/>
          <w:color w:val="auto"/>
          <w:szCs w:val="21"/>
          <w:highlight w:val="none"/>
        </w:rPr>
        <w:t>9.履约保证金</w:t>
      </w:r>
    </w:p>
    <w:p w14:paraId="66DE884A">
      <w:pPr>
        <w:spacing w:line="360" w:lineRule="auto"/>
        <w:rPr>
          <w:color w:val="auto"/>
          <w:szCs w:val="21"/>
          <w:highlight w:val="none"/>
        </w:rPr>
      </w:pPr>
      <w:r>
        <w:rPr>
          <w:rFonts w:hint="eastAsia"/>
          <w:color w:val="auto"/>
          <w:szCs w:val="21"/>
          <w:highlight w:val="none"/>
        </w:rPr>
        <w:t>详见采购文件合同主要条款格式部分</w:t>
      </w:r>
    </w:p>
    <w:p w14:paraId="2B2C71B4">
      <w:pPr>
        <w:spacing w:line="360" w:lineRule="auto"/>
        <w:rPr>
          <w:color w:val="auto"/>
          <w:szCs w:val="21"/>
          <w:highlight w:val="none"/>
        </w:rPr>
      </w:pPr>
      <w:r>
        <w:rPr>
          <w:rFonts w:hint="eastAsia"/>
          <w:color w:val="auto"/>
          <w:szCs w:val="21"/>
          <w:highlight w:val="none"/>
        </w:rPr>
        <w:t>10.包装和运输要求</w:t>
      </w:r>
    </w:p>
    <w:p w14:paraId="12E5B841">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eastAsia="宋体"/>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3F0DCF65">
      <w:pPr>
        <w:spacing w:line="360" w:lineRule="auto"/>
        <w:rPr>
          <w:color w:val="auto"/>
          <w:szCs w:val="21"/>
          <w:highlight w:val="none"/>
        </w:rPr>
      </w:pPr>
      <w:r>
        <w:rPr>
          <w:rFonts w:hint="eastAsia"/>
          <w:color w:val="auto"/>
          <w:szCs w:val="21"/>
          <w:highlight w:val="none"/>
        </w:rPr>
        <w:t>运输要求详见采购文件合同主要条款格式部分</w:t>
      </w:r>
    </w:p>
    <w:p w14:paraId="2066EDA2">
      <w:pPr>
        <w:spacing w:line="360" w:lineRule="auto"/>
        <w:rPr>
          <w:color w:val="auto"/>
          <w:szCs w:val="21"/>
          <w:highlight w:val="none"/>
        </w:rPr>
      </w:pPr>
      <w:r>
        <w:rPr>
          <w:rFonts w:hint="eastAsia"/>
          <w:color w:val="auto"/>
          <w:szCs w:val="21"/>
          <w:highlight w:val="none"/>
        </w:rPr>
        <w:t>11.售后服务</w:t>
      </w:r>
    </w:p>
    <w:p w14:paraId="3E61C505">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4F4D8874">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11.2成交供应商应明确承诺采购文件采购需求部分如无特别要求，则质保期为自验收合格之日起一年，采购文件采购需求部分有特别要求的则以技术参数要求表为准。</w:t>
      </w:r>
    </w:p>
    <w:p w14:paraId="6405AFF9">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32603229">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7CA9ED4C">
      <w:pPr>
        <w:spacing w:line="360" w:lineRule="auto"/>
        <w:rPr>
          <w:color w:val="auto"/>
          <w:szCs w:val="21"/>
          <w:highlight w:val="none"/>
        </w:rPr>
      </w:pPr>
      <w:r>
        <w:rPr>
          <w:rFonts w:hint="eastAsia"/>
          <w:color w:val="auto"/>
          <w:szCs w:val="21"/>
          <w:highlight w:val="none"/>
        </w:rPr>
        <w:t>12.保险</w:t>
      </w:r>
    </w:p>
    <w:p w14:paraId="7D8E4C91">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7FFCAEAB">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1A789957">
      <w:pPr>
        <w:spacing w:line="360" w:lineRule="auto"/>
        <w:rPr>
          <w:rFonts w:hint="eastAsia" w:ascii="Times New Roman" w:hAnsi="Times New Roman" w:cs="Times New Roman"/>
          <w:b/>
          <w:color w:val="auto"/>
          <w:highlight w:val="none"/>
        </w:rPr>
      </w:pPr>
      <w:r>
        <w:rPr>
          <w:rFonts w:hint="eastAsia" w:ascii="Times New Roman" w:hAnsi="Times New Roman" w:cs="Times New Roman"/>
          <w:b/>
          <w:color w:val="auto"/>
          <w:highlight w:val="none"/>
        </w:rPr>
        <w:t>无</w:t>
      </w:r>
    </w:p>
    <w:p w14:paraId="271F03EB">
      <w:pPr>
        <w:rPr>
          <w:rFonts w:hint="eastAsia" w:ascii="Times New Roman" w:hAnsi="Times New Roman" w:cs="Times New Roman"/>
          <w:b/>
          <w:color w:val="auto"/>
          <w:highlight w:val="none"/>
        </w:rPr>
      </w:pPr>
      <w:r>
        <w:rPr>
          <w:rFonts w:hint="eastAsia" w:ascii="Times New Roman" w:hAnsi="Times New Roman" w:cs="Times New Roman"/>
          <w:b/>
          <w:color w:val="auto"/>
          <w:highlight w:val="none"/>
        </w:rPr>
        <w:br w:type="page"/>
      </w:r>
    </w:p>
    <w:p w14:paraId="204FCBBD">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标项八</w:t>
      </w:r>
    </w:p>
    <w:p w14:paraId="39C1D4DB">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0A632C62">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18E39D45">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43436599">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09D3C450">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ascii="Times New Roman" w:eastAsia="宋体"/>
          <w:color w:val="auto"/>
          <w:szCs w:val="21"/>
          <w:highlight w:val="none"/>
          <w:lang w:val="en-US" w:eastAsia="zh-CN"/>
        </w:rPr>
        <w:t>无效</w:t>
      </w:r>
      <w:r>
        <w:rPr>
          <w:color w:val="auto"/>
          <w:szCs w:val="21"/>
          <w:highlight w:val="none"/>
        </w:rPr>
        <w:t>。</w:t>
      </w:r>
    </w:p>
    <w:p w14:paraId="4047411A">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58551A01">
      <w:pPr>
        <w:spacing w:line="360" w:lineRule="auto"/>
        <w:rPr>
          <w:color w:val="auto"/>
          <w:szCs w:val="21"/>
          <w:highlight w:val="none"/>
        </w:rPr>
      </w:pPr>
      <w:r>
        <w:rPr>
          <w:rFonts w:hint="eastAsia"/>
          <w:color w:val="auto"/>
          <w:szCs w:val="21"/>
          <w:highlight w:val="none"/>
        </w:rPr>
        <w:t>1.需实现的功能、目标及应用场景</w:t>
      </w:r>
    </w:p>
    <w:p w14:paraId="6EC0F181">
      <w:pPr>
        <w:spacing w:line="360" w:lineRule="auto"/>
        <w:rPr>
          <w:rFonts w:hint="eastAsia"/>
          <w:color w:val="auto"/>
          <w:szCs w:val="21"/>
          <w:highlight w:val="none"/>
        </w:rPr>
      </w:pPr>
      <w:r>
        <w:rPr>
          <w:rFonts w:hint="eastAsia"/>
          <w:color w:val="auto"/>
          <w:szCs w:val="21"/>
          <w:highlight w:val="none"/>
        </w:rPr>
        <w:t>满足采购文件要求，验收达到合格标准。</w:t>
      </w:r>
    </w:p>
    <w:p w14:paraId="1381DB3C">
      <w:pPr>
        <w:spacing w:line="360" w:lineRule="auto"/>
        <w:rPr>
          <w:color w:val="auto"/>
          <w:szCs w:val="21"/>
          <w:highlight w:val="none"/>
        </w:rPr>
      </w:pPr>
      <w:r>
        <w:rPr>
          <w:rFonts w:hint="eastAsia"/>
          <w:color w:val="auto"/>
          <w:szCs w:val="21"/>
          <w:highlight w:val="none"/>
        </w:rPr>
        <w:t>2.是否接受进口产品：</w:t>
      </w:r>
    </w:p>
    <w:p w14:paraId="42607DC6">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0460E4C3">
      <w:pPr>
        <w:spacing w:line="360" w:lineRule="auto"/>
        <w:rPr>
          <w:color w:val="auto"/>
          <w:szCs w:val="21"/>
          <w:highlight w:val="none"/>
        </w:rPr>
      </w:pPr>
      <w:r>
        <w:rPr>
          <w:rFonts w:hint="eastAsia"/>
          <w:color w:val="auto"/>
          <w:szCs w:val="21"/>
          <w:highlight w:val="none"/>
        </w:rPr>
        <w:t>□是</w:t>
      </w:r>
    </w:p>
    <w:p w14:paraId="57CCA0B7">
      <w:pPr>
        <w:spacing w:line="360" w:lineRule="auto"/>
        <w:rPr>
          <w:color w:val="auto"/>
          <w:szCs w:val="21"/>
          <w:highlight w:val="none"/>
        </w:rPr>
      </w:pPr>
      <w:r>
        <w:rPr>
          <w:rFonts w:hint="eastAsia"/>
          <w:color w:val="auto"/>
          <w:szCs w:val="21"/>
          <w:highlight w:val="none"/>
        </w:rPr>
        <w:t>本项目</w:t>
      </w:r>
      <w:r>
        <w:rPr>
          <w:rFonts w:hint="eastAsia" w:ascii="Times New Roman" w:eastAsia="宋体"/>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1F0B5E3E">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556E62B8">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4C842252">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6DFA4181">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45353F3F">
      <w:pPr>
        <w:spacing w:line="360" w:lineRule="auto"/>
        <w:rPr>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4B58AF23">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p w14:paraId="1E7162FA">
      <w:pPr>
        <w:spacing w:line="360" w:lineRule="auto"/>
        <w:rPr>
          <w:color w:val="auto"/>
          <w:szCs w:val="21"/>
          <w:highlight w:val="none"/>
        </w:rPr>
      </w:pPr>
      <w:r>
        <w:rPr>
          <w:rFonts w:hint="eastAsia" w:ascii="Times New Roman" w:eastAsia="宋体"/>
          <w:color w:val="auto"/>
          <w:szCs w:val="21"/>
          <w:highlight w:val="none"/>
          <w:lang w:val="en-US" w:eastAsia="zh-CN"/>
        </w:rPr>
        <w:t>4</w:t>
      </w:r>
      <w:r>
        <w:rPr>
          <w:rFonts w:hint="eastAsia"/>
          <w:color w:val="auto"/>
          <w:szCs w:val="21"/>
          <w:highlight w:val="none"/>
        </w:rPr>
        <w:t>.标的所属行业：租赁和商务服务业</w:t>
      </w:r>
    </w:p>
    <w:p w14:paraId="6AB0AE68">
      <w:pPr>
        <w:spacing w:line="360" w:lineRule="auto"/>
        <w:rPr>
          <w:color w:val="auto"/>
          <w:szCs w:val="21"/>
          <w:highlight w:val="none"/>
        </w:rPr>
      </w:pPr>
      <w:r>
        <w:rPr>
          <w:rFonts w:hint="eastAsia" w:ascii="Times New Roman" w:eastAsia="宋体"/>
          <w:color w:val="auto"/>
          <w:szCs w:val="21"/>
          <w:highlight w:val="none"/>
          <w:lang w:val="en-US" w:eastAsia="zh-CN"/>
        </w:rPr>
        <w:t>5</w:t>
      </w:r>
      <w:r>
        <w:rPr>
          <w:rFonts w:hint="eastAsia"/>
          <w:color w:val="auto"/>
          <w:szCs w:val="21"/>
          <w:highlight w:val="none"/>
        </w:rPr>
        <w:t>.核心产品</w:t>
      </w:r>
    </w:p>
    <w:p w14:paraId="41BD71AE">
      <w:pPr>
        <w:spacing w:line="360" w:lineRule="auto"/>
        <w:rPr>
          <w:color w:val="auto"/>
          <w:szCs w:val="21"/>
          <w:highlight w:val="none"/>
        </w:rPr>
      </w:pPr>
      <w:r>
        <w:rPr>
          <w:rFonts w:hint="eastAsia"/>
          <w:color w:val="auto"/>
          <w:szCs w:val="21"/>
          <w:highlight w:val="none"/>
        </w:rPr>
        <w:t>本项目为服务项目，不适用核心产品规定。</w:t>
      </w:r>
    </w:p>
    <w:p w14:paraId="07900E54">
      <w:pPr>
        <w:spacing w:line="360" w:lineRule="auto"/>
        <w:rPr>
          <w:rFonts w:hint="eastAsia"/>
          <w:color w:val="auto"/>
          <w:szCs w:val="21"/>
          <w:highlight w:val="none"/>
        </w:rPr>
      </w:pPr>
      <w:r>
        <w:rPr>
          <w:rFonts w:hint="eastAsia" w:ascii="Times New Roman" w:eastAsia="宋体"/>
          <w:color w:val="auto"/>
          <w:szCs w:val="21"/>
          <w:highlight w:val="none"/>
          <w:lang w:val="en-US" w:eastAsia="zh-CN"/>
        </w:rPr>
        <w:t>6</w:t>
      </w:r>
      <w:r>
        <w:rPr>
          <w:rFonts w:hint="eastAsia"/>
          <w:color w:val="auto"/>
          <w:szCs w:val="21"/>
          <w:highlight w:val="none"/>
        </w:rPr>
        <w:t>.服务内容和标准</w:t>
      </w:r>
    </w:p>
    <w:p w14:paraId="4CFD771E">
      <w:pPr>
        <w:spacing w:line="360" w:lineRule="auto"/>
        <w:rPr>
          <w:rFonts w:hint="eastAsia"/>
          <w:color w:val="auto"/>
          <w:szCs w:val="21"/>
          <w:highlight w:val="none"/>
          <w:lang w:eastAsia="zh-CN"/>
        </w:rPr>
      </w:pPr>
      <w:r>
        <w:rPr>
          <w:color w:val="auto"/>
          <w:szCs w:val="21"/>
          <w:highlight w:val="none"/>
        </w:rPr>
        <w:t>▲</w:t>
      </w:r>
      <w:r>
        <w:rPr>
          <w:rFonts w:hint="eastAsia" w:ascii="Times New Roman" w:eastAsia="宋体"/>
          <w:color w:val="auto"/>
          <w:szCs w:val="21"/>
          <w:highlight w:val="none"/>
          <w:lang w:val="en-US" w:eastAsia="zh-CN"/>
        </w:rPr>
        <w:t>6.</w:t>
      </w:r>
      <w:r>
        <w:rPr>
          <w:rFonts w:hint="eastAsia"/>
          <w:color w:val="auto"/>
          <w:szCs w:val="21"/>
          <w:highlight w:val="none"/>
        </w:rPr>
        <w:t>1指定专人负责全网涉及广西民族宗教领域的舆论日常监测工作</w:t>
      </w:r>
      <w:r>
        <w:rPr>
          <w:rFonts w:hint="eastAsia"/>
          <w:color w:val="auto"/>
          <w:szCs w:val="21"/>
          <w:highlight w:val="none"/>
          <w:lang w:eastAsia="zh-CN"/>
        </w:rPr>
        <w:t>，</w:t>
      </w:r>
      <w:r>
        <w:rPr>
          <w:rFonts w:hint="eastAsia"/>
          <w:color w:val="auto"/>
          <w:szCs w:val="21"/>
          <w:highlight w:val="none"/>
          <w:lang w:val="en-US" w:eastAsia="zh-CN"/>
        </w:rPr>
        <w:t>至少投入5人</w:t>
      </w:r>
      <w:r>
        <w:rPr>
          <w:rFonts w:hint="eastAsia"/>
          <w:color w:val="auto"/>
          <w:szCs w:val="21"/>
          <w:highlight w:val="none"/>
          <w:lang w:eastAsia="zh-CN"/>
        </w:rPr>
        <w:t>。</w:t>
      </w:r>
    </w:p>
    <w:p w14:paraId="563C4C23">
      <w:pPr>
        <w:spacing w:line="360" w:lineRule="auto"/>
        <w:rPr>
          <w:rFonts w:hint="eastAsia" w:eastAsia="宋体"/>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2开展研判技术处理分析，提取具有舆论价值或符合需求的舆论信息，实时报</w:t>
      </w:r>
      <w:r>
        <w:rPr>
          <w:rFonts w:hint="eastAsia"/>
          <w:color w:val="auto"/>
          <w:szCs w:val="21"/>
          <w:highlight w:val="none"/>
          <w:lang w:eastAsia="zh-CN"/>
        </w:rPr>
        <w:t>告</w:t>
      </w:r>
      <w:r>
        <w:rPr>
          <w:rFonts w:hint="eastAsia"/>
          <w:color w:val="auto"/>
          <w:szCs w:val="21"/>
          <w:highlight w:val="none"/>
        </w:rPr>
        <w:t>自治区民宗委</w:t>
      </w:r>
      <w:r>
        <w:rPr>
          <w:rFonts w:hint="eastAsia"/>
          <w:color w:val="auto"/>
          <w:szCs w:val="21"/>
          <w:highlight w:val="none"/>
          <w:lang w:eastAsia="zh-CN"/>
        </w:rPr>
        <w:t>。</w:t>
      </w:r>
    </w:p>
    <w:p w14:paraId="2B9B3FA4">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3向自治区民宗委提供网络危机公关处理建议及正面引导</w:t>
      </w:r>
      <w:r>
        <w:rPr>
          <w:rFonts w:hint="eastAsia"/>
          <w:color w:val="auto"/>
          <w:szCs w:val="21"/>
          <w:highlight w:val="none"/>
          <w:lang w:eastAsia="zh-CN"/>
        </w:rPr>
        <w:t>。</w:t>
      </w:r>
    </w:p>
    <w:p w14:paraId="047000B6">
      <w:pPr>
        <w:spacing w:line="360" w:lineRule="auto"/>
        <w:rPr>
          <w:rFonts w:hint="eastAsia" w:eastAsia="宋体"/>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4出现重大突发舆论或涉自治区民宗委关注的热点事件时，将舆论概况、热点、数据、传播情况、媒体态度和网民观点等内容进行梳理、分类、分析，提出研判建议，专题报送自治区民宗委</w:t>
      </w:r>
      <w:r>
        <w:rPr>
          <w:rFonts w:hint="eastAsia"/>
          <w:color w:val="auto"/>
          <w:szCs w:val="21"/>
          <w:highlight w:val="none"/>
          <w:lang w:eastAsia="zh-CN"/>
        </w:rPr>
        <w:t>。</w:t>
      </w:r>
    </w:p>
    <w:p w14:paraId="2699792A">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w:t>
      </w:r>
      <w:r>
        <w:rPr>
          <w:rFonts w:hint="eastAsia" w:eastAsia="宋体"/>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039D162D">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78E4619D">
      <w:pPr>
        <w:spacing w:line="360" w:lineRule="auto"/>
        <w:rPr>
          <w:color w:val="auto"/>
          <w:szCs w:val="21"/>
          <w:highlight w:val="none"/>
        </w:rPr>
      </w:pPr>
      <w:r>
        <w:rPr>
          <w:rFonts w:hint="eastAsia"/>
          <w:color w:val="auto"/>
          <w:szCs w:val="21"/>
          <w:highlight w:val="none"/>
        </w:rPr>
        <w:t>1．报价要求</w:t>
      </w:r>
    </w:p>
    <w:p w14:paraId="5C633B64">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ascii="Times New Roman" w:eastAsia="宋体"/>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4F7607B0">
      <w:pPr>
        <w:spacing w:line="360" w:lineRule="auto"/>
        <w:rPr>
          <w:color w:val="auto"/>
          <w:szCs w:val="21"/>
          <w:highlight w:val="none"/>
        </w:rPr>
      </w:pPr>
      <w:r>
        <w:rPr>
          <w:rFonts w:hint="eastAsia"/>
          <w:color w:val="auto"/>
          <w:szCs w:val="21"/>
          <w:highlight w:val="none"/>
        </w:rPr>
        <w:t>2.合同签订日期</w:t>
      </w:r>
    </w:p>
    <w:p w14:paraId="5E7668A6">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15ABD6BB">
      <w:pPr>
        <w:spacing w:line="360" w:lineRule="auto"/>
        <w:rPr>
          <w:color w:val="auto"/>
          <w:szCs w:val="21"/>
          <w:highlight w:val="none"/>
        </w:rPr>
      </w:pPr>
      <w:r>
        <w:rPr>
          <w:rFonts w:hint="eastAsia"/>
          <w:color w:val="auto"/>
          <w:szCs w:val="21"/>
          <w:highlight w:val="none"/>
        </w:rPr>
        <w:t>3.交货（实施）时间</w:t>
      </w:r>
    </w:p>
    <w:p w14:paraId="4279CFE7">
      <w:pPr>
        <w:spacing w:line="360" w:lineRule="auto"/>
        <w:rPr>
          <w:rFonts w:hint="eastAsia"/>
          <w:color w:val="auto"/>
          <w:szCs w:val="21"/>
          <w:highlight w:val="none"/>
        </w:rPr>
      </w:pPr>
      <w:r>
        <w:rPr>
          <w:rFonts w:hint="eastAsia"/>
          <w:color w:val="auto"/>
          <w:szCs w:val="21"/>
          <w:highlight w:val="none"/>
        </w:rPr>
        <w:t>自签订合同之日起至2027年10月1日</w:t>
      </w:r>
    </w:p>
    <w:p w14:paraId="33C32A2C">
      <w:pPr>
        <w:spacing w:line="360" w:lineRule="auto"/>
        <w:rPr>
          <w:color w:val="auto"/>
          <w:szCs w:val="21"/>
          <w:highlight w:val="none"/>
        </w:rPr>
      </w:pPr>
      <w:r>
        <w:rPr>
          <w:rFonts w:hint="eastAsia"/>
          <w:color w:val="auto"/>
          <w:szCs w:val="21"/>
          <w:highlight w:val="none"/>
        </w:rPr>
        <w:t>4.交货地点或服务地点</w:t>
      </w:r>
    </w:p>
    <w:p w14:paraId="7E599D27">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南宁市（采购人指定地点）</w:t>
      </w:r>
    </w:p>
    <w:p w14:paraId="54D24F9D">
      <w:pPr>
        <w:spacing w:line="360" w:lineRule="auto"/>
        <w:rPr>
          <w:color w:val="auto"/>
          <w:szCs w:val="21"/>
          <w:highlight w:val="none"/>
        </w:rPr>
      </w:pPr>
      <w:r>
        <w:rPr>
          <w:rFonts w:hint="eastAsia"/>
          <w:color w:val="auto"/>
          <w:szCs w:val="21"/>
          <w:highlight w:val="none"/>
        </w:rPr>
        <w:t>5.验收标准</w:t>
      </w:r>
    </w:p>
    <w:p w14:paraId="37445A78">
      <w:pPr>
        <w:spacing w:line="360" w:lineRule="auto"/>
        <w:rPr>
          <w:color w:val="auto"/>
          <w:szCs w:val="21"/>
          <w:highlight w:val="none"/>
        </w:rPr>
      </w:pPr>
      <w:r>
        <w:rPr>
          <w:rFonts w:hint="eastAsia"/>
          <w:color w:val="auto"/>
          <w:szCs w:val="21"/>
          <w:highlight w:val="none"/>
        </w:rPr>
        <w:t>详见采购文件合同主要条款格式部分</w:t>
      </w:r>
    </w:p>
    <w:p w14:paraId="0DEE6CBD">
      <w:pPr>
        <w:spacing w:line="360" w:lineRule="auto"/>
        <w:rPr>
          <w:color w:val="auto"/>
          <w:szCs w:val="21"/>
          <w:highlight w:val="none"/>
        </w:rPr>
      </w:pPr>
      <w:r>
        <w:rPr>
          <w:rFonts w:hint="eastAsia"/>
          <w:color w:val="auto"/>
          <w:szCs w:val="21"/>
          <w:highlight w:val="none"/>
        </w:rPr>
        <w:t>6.服务标准、期限、效率</w:t>
      </w:r>
    </w:p>
    <w:p w14:paraId="343D77A8">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208CE9A0">
      <w:pPr>
        <w:spacing w:line="360" w:lineRule="auto"/>
        <w:rPr>
          <w:color w:val="auto"/>
          <w:szCs w:val="21"/>
          <w:highlight w:val="none"/>
        </w:rPr>
      </w:pPr>
      <w:r>
        <w:rPr>
          <w:rFonts w:hint="eastAsia"/>
          <w:color w:val="auto"/>
          <w:szCs w:val="21"/>
          <w:highlight w:val="none"/>
        </w:rPr>
        <w:t>6.1.1电话咨询</w:t>
      </w:r>
    </w:p>
    <w:p w14:paraId="66B6DA97">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451D3883">
      <w:pPr>
        <w:spacing w:line="360" w:lineRule="auto"/>
        <w:rPr>
          <w:color w:val="auto"/>
          <w:szCs w:val="21"/>
          <w:highlight w:val="none"/>
        </w:rPr>
      </w:pPr>
      <w:r>
        <w:rPr>
          <w:rFonts w:hint="eastAsia"/>
          <w:color w:val="auto"/>
          <w:szCs w:val="21"/>
          <w:highlight w:val="none"/>
        </w:rPr>
        <w:t>6.1.2现场响应</w:t>
      </w:r>
    </w:p>
    <w:p w14:paraId="579F144C">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635627E0">
      <w:pPr>
        <w:spacing w:line="360" w:lineRule="auto"/>
        <w:rPr>
          <w:color w:val="auto"/>
          <w:szCs w:val="21"/>
          <w:highlight w:val="none"/>
        </w:rPr>
      </w:pPr>
      <w:r>
        <w:rPr>
          <w:rFonts w:hint="eastAsia"/>
          <w:color w:val="auto"/>
          <w:szCs w:val="21"/>
          <w:highlight w:val="none"/>
        </w:rPr>
        <w:t>6.1.3技术升级</w:t>
      </w:r>
    </w:p>
    <w:p w14:paraId="73545EAC">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18372B22">
      <w:pPr>
        <w:spacing w:line="360" w:lineRule="auto"/>
        <w:rPr>
          <w:color w:val="auto"/>
          <w:szCs w:val="21"/>
          <w:highlight w:val="none"/>
        </w:rPr>
      </w:pPr>
      <w:r>
        <w:rPr>
          <w:rFonts w:hint="eastAsia"/>
          <w:color w:val="auto"/>
          <w:szCs w:val="21"/>
          <w:highlight w:val="none"/>
        </w:rPr>
        <w:t>7.培训</w:t>
      </w:r>
    </w:p>
    <w:p w14:paraId="4417BD5A">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398B22AC">
      <w:pPr>
        <w:spacing w:line="360" w:lineRule="auto"/>
        <w:rPr>
          <w:color w:val="auto"/>
          <w:szCs w:val="21"/>
          <w:highlight w:val="none"/>
        </w:rPr>
      </w:pPr>
      <w:r>
        <w:rPr>
          <w:rFonts w:hint="eastAsia"/>
          <w:color w:val="auto"/>
          <w:szCs w:val="21"/>
          <w:highlight w:val="none"/>
        </w:rPr>
        <w:t>8.付款方式、时间及条件</w:t>
      </w:r>
    </w:p>
    <w:p w14:paraId="41694846">
      <w:pPr>
        <w:spacing w:line="360" w:lineRule="auto"/>
        <w:rPr>
          <w:color w:val="auto"/>
          <w:szCs w:val="21"/>
          <w:highlight w:val="none"/>
        </w:rPr>
      </w:pPr>
      <w:r>
        <w:rPr>
          <w:rFonts w:hint="eastAsia"/>
          <w:color w:val="auto"/>
          <w:szCs w:val="21"/>
          <w:highlight w:val="none"/>
        </w:rPr>
        <w:t>详见采购文件合同主要条款格式部分</w:t>
      </w:r>
    </w:p>
    <w:p w14:paraId="76488FC5">
      <w:pPr>
        <w:spacing w:line="360" w:lineRule="auto"/>
        <w:rPr>
          <w:color w:val="auto"/>
          <w:szCs w:val="21"/>
          <w:highlight w:val="none"/>
        </w:rPr>
      </w:pPr>
      <w:r>
        <w:rPr>
          <w:rFonts w:hint="eastAsia"/>
          <w:color w:val="auto"/>
          <w:szCs w:val="21"/>
          <w:highlight w:val="none"/>
        </w:rPr>
        <w:t>9.履约保证金</w:t>
      </w:r>
    </w:p>
    <w:p w14:paraId="5B20ADDA">
      <w:pPr>
        <w:spacing w:line="360" w:lineRule="auto"/>
        <w:rPr>
          <w:color w:val="auto"/>
          <w:szCs w:val="21"/>
          <w:highlight w:val="none"/>
        </w:rPr>
      </w:pPr>
      <w:r>
        <w:rPr>
          <w:rFonts w:hint="eastAsia"/>
          <w:color w:val="auto"/>
          <w:szCs w:val="21"/>
          <w:highlight w:val="none"/>
        </w:rPr>
        <w:t>详见采购文件合同主要条款格式部分</w:t>
      </w:r>
    </w:p>
    <w:p w14:paraId="128D0592">
      <w:pPr>
        <w:spacing w:line="360" w:lineRule="auto"/>
        <w:rPr>
          <w:color w:val="auto"/>
          <w:szCs w:val="21"/>
          <w:highlight w:val="none"/>
        </w:rPr>
      </w:pPr>
      <w:r>
        <w:rPr>
          <w:rFonts w:hint="eastAsia"/>
          <w:color w:val="auto"/>
          <w:szCs w:val="21"/>
          <w:highlight w:val="none"/>
        </w:rPr>
        <w:t>10.包装和运输要求</w:t>
      </w:r>
    </w:p>
    <w:p w14:paraId="3F2205EF">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eastAsia="宋体"/>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048D7929">
      <w:pPr>
        <w:spacing w:line="360" w:lineRule="auto"/>
        <w:rPr>
          <w:color w:val="auto"/>
          <w:szCs w:val="21"/>
          <w:highlight w:val="none"/>
        </w:rPr>
      </w:pPr>
      <w:r>
        <w:rPr>
          <w:rFonts w:hint="eastAsia"/>
          <w:color w:val="auto"/>
          <w:szCs w:val="21"/>
          <w:highlight w:val="none"/>
        </w:rPr>
        <w:t>运输要求详见采购文件合同主要条款格式部分</w:t>
      </w:r>
    </w:p>
    <w:p w14:paraId="23B29671">
      <w:pPr>
        <w:spacing w:line="360" w:lineRule="auto"/>
        <w:rPr>
          <w:color w:val="auto"/>
          <w:szCs w:val="21"/>
          <w:highlight w:val="none"/>
        </w:rPr>
      </w:pPr>
      <w:r>
        <w:rPr>
          <w:rFonts w:hint="eastAsia"/>
          <w:color w:val="auto"/>
          <w:szCs w:val="21"/>
          <w:highlight w:val="none"/>
        </w:rPr>
        <w:t>11.售后服务</w:t>
      </w:r>
    </w:p>
    <w:p w14:paraId="2199DEEF">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328236B7">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11.2成交供应商应明确承诺采购文件采购需求部分如无特别要求，则质保期为自验收合格之日起一年，采购文件采购需求部分有特别要求的则以技术参数要求表为准。</w:t>
      </w:r>
    </w:p>
    <w:p w14:paraId="788BB12A">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3058D1AF">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064F4199">
      <w:pPr>
        <w:spacing w:line="360" w:lineRule="auto"/>
        <w:rPr>
          <w:color w:val="auto"/>
          <w:szCs w:val="21"/>
          <w:highlight w:val="none"/>
        </w:rPr>
      </w:pPr>
      <w:r>
        <w:rPr>
          <w:rFonts w:hint="eastAsia"/>
          <w:color w:val="auto"/>
          <w:szCs w:val="21"/>
          <w:highlight w:val="none"/>
        </w:rPr>
        <w:t>12.保险</w:t>
      </w:r>
    </w:p>
    <w:p w14:paraId="67EBB6B3">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5BAF35BC">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620BBA62">
      <w:pPr>
        <w:spacing w:line="360" w:lineRule="auto"/>
        <w:rPr>
          <w:rFonts w:hint="eastAsia" w:ascii="Times New Roman" w:hAnsi="Times New Roman" w:cs="Times New Roman"/>
          <w:b/>
          <w:color w:val="auto"/>
          <w:highlight w:val="none"/>
        </w:rPr>
      </w:pPr>
      <w:r>
        <w:rPr>
          <w:rFonts w:hint="eastAsia" w:ascii="Times New Roman" w:hAnsi="Times New Roman" w:cs="Times New Roman"/>
          <w:b/>
          <w:color w:val="auto"/>
          <w:highlight w:val="none"/>
        </w:rPr>
        <w:t>无</w:t>
      </w:r>
    </w:p>
    <w:p w14:paraId="165733D3">
      <w:pPr>
        <w:rPr>
          <w:rFonts w:hint="eastAsia" w:ascii="Times New Roman" w:hAnsi="Times New Roman" w:cs="Times New Roman"/>
          <w:b/>
          <w:color w:val="auto"/>
          <w:highlight w:val="none"/>
        </w:rPr>
      </w:pPr>
      <w:r>
        <w:rPr>
          <w:rFonts w:hint="eastAsia" w:ascii="Times New Roman" w:hAnsi="Times New Roman" w:cs="Times New Roman"/>
          <w:b/>
          <w:color w:val="auto"/>
          <w:highlight w:val="none"/>
        </w:rPr>
        <w:br w:type="page"/>
      </w:r>
    </w:p>
    <w:p w14:paraId="7D6E6609">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标项九</w:t>
      </w:r>
    </w:p>
    <w:p w14:paraId="7A8C720B">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7880C35E">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79E72488">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2FCB5055">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79EE434F">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ascii="Times New Roman" w:eastAsia="宋体"/>
          <w:color w:val="auto"/>
          <w:szCs w:val="21"/>
          <w:highlight w:val="none"/>
          <w:lang w:val="en-US" w:eastAsia="zh-CN"/>
        </w:rPr>
        <w:t>无效</w:t>
      </w:r>
      <w:r>
        <w:rPr>
          <w:color w:val="auto"/>
          <w:szCs w:val="21"/>
          <w:highlight w:val="none"/>
        </w:rPr>
        <w:t>。</w:t>
      </w:r>
    </w:p>
    <w:p w14:paraId="326B17CB">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6E84C87A">
      <w:pPr>
        <w:spacing w:line="360" w:lineRule="auto"/>
        <w:rPr>
          <w:color w:val="auto"/>
          <w:szCs w:val="21"/>
          <w:highlight w:val="none"/>
        </w:rPr>
      </w:pPr>
      <w:r>
        <w:rPr>
          <w:rFonts w:hint="eastAsia"/>
          <w:color w:val="auto"/>
          <w:szCs w:val="21"/>
          <w:highlight w:val="none"/>
        </w:rPr>
        <w:t>1.需实现的功能、目标及应用场景</w:t>
      </w:r>
    </w:p>
    <w:p w14:paraId="0324CEDD">
      <w:pPr>
        <w:spacing w:line="360" w:lineRule="auto"/>
        <w:rPr>
          <w:rFonts w:hint="eastAsia"/>
          <w:color w:val="auto"/>
          <w:szCs w:val="21"/>
          <w:highlight w:val="none"/>
        </w:rPr>
      </w:pPr>
      <w:r>
        <w:rPr>
          <w:rFonts w:hint="eastAsia"/>
          <w:color w:val="auto"/>
          <w:szCs w:val="21"/>
          <w:highlight w:val="none"/>
        </w:rPr>
        <w:t>满足采购文件要求，验收达到合格标准。</w:t>
      </w:r>
    </w:p>
    <w:p w14:paraId="515F8427">
      <w:pPr>
        <w:spacing w:line="360" w:lineRule="auto"/>
        <w:rPr>
          <w:color w:val="auto"/>
          <w:szCs w:val="21"/>
          <w:highlight w:val="none"/>
        </w:rPr>
      </w:pPr>
      <w:r>
        <w:rPr>
          <w:rFonts w:hint="eastAsia"/>
          <w:color w:val="auto"/>
          <w:szCs w:val="21"/>
          <w:highlight w:val="none"/>
        </w:rPr>
        <w:t>2.是否接受进口产品：</w:t>
      </w:r>
    </w:p>
    <w:p w14:paraId="0467137A">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12668299">
      <w:pPr>
        <w:spacing w:line="360" w:lineRule="auto"/>
        <w:rPr>
          <w:color w:val="auto"/>
          <w:szCs w:val="21"/>
          <w:highlight w:val="none"/>
        </w:rPr>
      </w:pPr>
      <w:r>
        <w:rPr>
          <w:rFonts w:hint="eastAsia"/>
          <w:color w:val="auto"/>
          <w:szCs w:val="21"/>
          <w:highlight w:val="none"/>
        </w:rPr>
        <w:t>□是</w:t>
      </w:r>
    </w:p>
    <w:p w14:paraId="287CB96A">
      <w:pPr>
        <w:spacing w:line="360" w:lineRule="auto"/>
        <w:rPr>
          <w:color w:val="auto"/>
          <w:szCs w:val="21"/>
          <w:highlight w:val="none"/>
        </w:rPr>
      </w:pPr>
      <w:r>
        <w:rPr>
          <w:rFonts w:hint="eastAsia"/>
          <w:color w:val="auto"/>
          <w:szCs w:val="21"/>
          <w:highlight w:val="none"/>
        </w:rPr>
        <w:t>本项目</w:t>
      </w:r>
      <w:r>
        <w:rPr>
          <w:rFonts w:hint="eastAsia" w:ascii="Times New Roman" w:eastAsia="宋体"/>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71138044">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0B175967">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5C499780">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4CED29C2">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682472AA">
      <w:pPr>
        <w:spacing w:line="360" w:lineRule="auto"/>
        <w:rPr>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446BCE90">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p w14:paraId="13F6BDC0">
      <w:pPr>
        <w:spacing w:line="360" w:lineRule="auto"/>
        <w:rPr>
          <w:rFonts w:hint="eastAsia" w:ascii="Times New Roman" w:eastAsia="宋体"/>
          <w:color w:val="auto"/>
          <w:szCs w:val="21"/>
          <w:highlight w:val="none"/>
          <w:lang w:val="en-US" w:eastAsia="zh-CN"/>
        </w:rPr>
      </w:pPr>
      <w:r>
        <w:rPr>
          <w:rFonts w:hint="eastAsia" w:ascii="Times New Roman" w:eastAsia="宋体"/>
          <w:color w:val="auto"/>
          <w:szCs w:val="21"/>
          <w:highlight w:val="none"/>
          <w:lang w:val="en-US" w:eastAsia="zh-CN"/>
        </w:rPr>
        <w:t>4</w:t>
      </w:r>
      <w:r>
        <w:rPr>
          <w:rFonts w:hint="eastAsia"/>
          <w:color w:val="auto"/>
          <w:szCs w:val="21"/>
          <w:highlight w:val="none"/>
        </w:rPr>
        <w:t>.标的所属行业：</w:t>
      </w:r>
      <w:r>
        <w:rPr>
          <w:rFonts w:hint="eastAsia"/>
          <w:color w:val="auto"/>
          <w:highlight w:val="none"/>
          <w:lang w:val="en-US" w:eastAsia="zh-CN"/>
        </w:rPr>
        <w:t>软件和信息技术服务业</w:t>
      </w:r>
    </w:p>
    <w:p w14:paraId="12D05F53">
      <w:pPr>
        <w:spacing w:line="360" w:lineRule="auto"/>
        <w:rPr>
          <w:color w:val="auto"/>
          <w:szCs w:val="21"/>
          <w:highlight w:val="none"/>
        </w:rPr>
      </w:pPr>
      <w:r>
        <w:rPr>
          <w:rFonts w:hint="eastAsia" w:ascii="Times New Roman" w:eastAsia="宋体"/>
          <w:color w:val="auto"/>
          <w:szCs w:val="21"/>
          <w:highlight w:val="none"/>
          <w:lang w:val="en-US" w:eastAsia="zh-CN"/>
        </w:rPr>
        <w:t>5</w:t>
      </w:r>
      <w:r>
        <w:rPr>
          <w:rFonts w:hint="eastAsia"/>
          <w:color w:val="auto"/>
          <w:szCs w:val="21"/>
          <w:highlight w:val="none"/>
        </w:rPr>
        <w:t>.核心产品</w:t>
      </w:r>
    </w:p>
    <w:p w14:paraId="72E0153F">
      <w:pPr>
        <w:spacing w:line="360" w:lineRule="auto"/>
        <w:rPr>
          <w:color w:val="auto"/>
          <w:szCs w:val="21"/>
          <w:highlight w:val="none"/>
        </w:rPr>
      </w:pPr>
      <w:r>
        <w:rPr>
          <w:rFonts w:hint="eastAsia"/>
          <w:color w:val="auto"/>
          <w:szCs w:val="21"/>
          <w:highlight w:val="none"/>
        </w:rPr>
        <w:t>本项目为服务项目，不适用核心产品规定。</w:t>
      </w:r>
    </w:p>
    <w:p w14:paraId="2B34DB1C">
      <w:pPr>
        <w:spacing w:line="360" w:lineRule="auto"/>
        <w:rPr>
          <w:rFonts w:hint="eastAsia" w:eastAsia="宋体"/>
          <w:color w:val="auto"/>
          <w:szCs w:val="21"/>
          <w:highlight w:val="none"/>
          <w:lang w:val="en-US" w:eastAsia="zh-CN"/>
        </w:rPr>
      </w:pPr>
      <w:r>
        <w:rPr>
          <w:rFonts w:hint="eastAsia" w:ascii="Times New Roman" w:eastAsia="宋体"/>
          <w:color w:val="auto"/>
          <w:szCs w:val="21"/>
          <w:highlight w:val="none"/>
          <w:lang w:val="en-US" w:eastAsia="zh-CN"/>
        </w:rPr>
        <w:t>6</w:t>
      </w:r>
      <w:r>
        <w:rPr>
          <w:rFonts w:hint="eastAsia"/>
          <w:color w:val="auto"/>
          <w:szCs w:val="21"/>
          <w:highlight w:val="none"/>
        </w:rPr>
        <w:t>.服务内容和标准</w:t>
      </w:r>
    </w:p>
    <w:p w14:paraId="4CC3BEA6">
      <w:pPr>
        <w:spacing w:line="360" w:lineRule="auto"/>
        <w:rPr>
          <w:rFonts w:hint="eastAsia"/>
          <w:color w:val="auto"/>
          <w:szCs w:val="21"/>
          <w:highlight w:val="none"/>
          <w:lang w:val="en-US" w:eastAsia="zh-CN"/>
        </w:rPr>
      </w:pPr>
      <w:r>
        <w:rPr>
          <w:rFonts w:hint="eastAsia"/>
          <w:color w:val="auto"/>
          <w:szCs w:val="21"/>
          <w:highlight w:val="none"/>
          <w:lang w:val="en-US" w:eastAsia="zh-CN"/>
        </w:rPr>
        <w:t>6.1 事前监测平台</w:t>
      </w:r>
    </w:p>
    <w:p w14:paraId="41EA598F">
      <w:pPr>
        <w:spacing w:line="360" w:lineRule="auto"/>
        <w:rPr>
          <w:rFonts w:hint="eastAsia"/>
          <w:color w:val="auto"/>
          <w:szCs w:val="21"/>
          <w:highlight w:val="none"/>
          <w:lang w:val="en-US" w:eastAsia="zh-CN"/>
        </w:rPr>
      </w:pPr>
      <w:r>
        <w:rPr>
          <w:rFonts w:hint="eastAsia"/>
          <w:color w:val="auto"/>
          <w:szCs w:val="21"/>
          <w:highlight w:val="none"/>
          <w:lang w:val="en-US" w:eastAsia="zh-CN"/>
        </w:rPr>
        <w:t>6.1.1以云服务方式提供在线检测、文件检测、URL监测、自定义敏感词等功能，针对文本编辑、网站稿件发布、其他稿件发布、URL监测等多个场景的事前检测能力，帮助采购人在发稿前有效检测涉及国家领导人相关错误、领导人负面词、港澳台及主权类词汇、迷信邪教词汇、法律法规词汇、民族宗教类词汇、国际关系类词汇、黄赌毒类词汇、广告违法类词汇、暴恐类词汇、政治类词汇、落马官员词汇、一般性语法错误等不良信息</w:t>
      </w:r>
    </w:p>
    <w:p w14:paraId="2C4081BB">
      <w:pPr>
        <w:spacing w:line="360" w:lineRule="auto"/>
        <w:rPr>
          <w:rFonts w:hint="eastAsia"/>
          <w:color w:val="auto"/>
          <w:szCs w:val="21"/>
          <w:highlight w:val="none"/>
          <w:lang w:val="en-US" w:eastAsia="zh-CN"/>
        </w:rPr>
      </w:pPr>
      <w:r>
        <w:rPr>
          <w:rFonts w:hint="eastAsia"/>
          <w:color w:val="auto"/>
          <w:szCs w:val="21"/>
          <w:highlight w:val="none"/>
          <w:lang w:val="en-US" w:eastAsia="zh-CN"/>
        </w:rPr>
        <w:t>6.1.2 采购人无需部署任何软硬件产品。事前监测平台支持上传文件校对，要求支持文件类型必须包含：xls、xlsx、et、doc、docx、wps、txt、html/shtml、ppt、pptx、ofd、pdf；系统功能包含相关工作台、URL内容检测、文件监测、任务中心、下载中心、APi接口开放平台、运营管理功能。</w:t>
      </w:r>
    </w:p>
    <w:p w14:paraId="2199DD4F">
      <w:pPr>
        <w:spacing w:line="360" w:lineRule="auto"/>
        <w:rPr>
          <w:rFonts w:hint="eastAsia"/>
          <w:color w:val="auto"/>
          <w:szCs w:val="21"/>
          <w:highlight w:val="none"/>
          <w:lang w:val="en-US" w:eastAsia="zh-CN"/>
        </w:rPr>
      </w:pPr>
      <w:r>
        <w:rPr>
          <w:rFonts w:hint="eastAsia"/>
          <w:color w:val="auto"/>
          <w:szCs w:val="21"/>
          <w:highlight w:val="none"/>
          <w:lang w:val="en-US" w:eastAsia="zh-CN"/>
        </w:rPr>
        <w:t>6.1.3 系统功能包含相关工作台、URL内容检测、文件监测、任务中心、下载中心、APi接口开放平台、运营管理功能。</w:t>
      </w:r>
    </w:p>
    <w:p w14:paraId="202BBE1E">
      <w:pPr>
        <w:spacing w:line="360" w:lineRule="auto"/>
        <w:rPr>
          <w:rFonts w:hint="eastAsia"/>
          <w:color w:val="auto"/>
          <w:szCs w:val="21"/>
          <w:highlight w:val="none"/>
          <w:lang w:val="en-US" w:eastAsia="zh-CN"/>
        </w:rPr>
      </w:pPr>
      <w:r>
        <w:rPr>
          <w:rFonts w:hint="eastAsia"/>
          <w:color w:val="auto"/>
          <w:szCs w:val="21"/>
          <w:highlight w:val="none"/>
          <w:lang w:val="en-US" w:eastAsia="zh-CN"/>
        </w:rPr>
        <w:t>6.2 事后监测系统服务</w:t>
      </w:r>
    </w:p>
    <w:p w14:paraId="2A0B6E84">
      <w:pPr>
        <w:spacing w:line="360" w:lineRule="auto"/>
        <w:rPr>
          <w:rFonts w:hint="eastAsia"/>
          <w:color w:val="auto"/>
          <w:szCs w:val="21"/>
          <w:highlight w:val="none"/>
          <w:lang w:val="en-US" w:eastAsia="zh-CN"/>
        </w:rPr>
      </w:pPr>
      <w:r>
        <w:rPr>
          <w:rFonts w:hint="eastAsia"/>
          <w:color w:val="auto"/>
          <w:szCs w:val="21"/>
          <w:highlight w:val="none"/>
          <w:lang w:val="en-US" w:eastAsia="zh-CN"/>
        </w:rPr>
        <w:t>6.2.1 系统常态化监测依托大数据平台对网站新增稿件内容安全是否存在严重错别字、是否存在敏感图片、潜在问题等方面进行扫描等。发现问题后针对政府网站设定预警机制，让管理者及时发现问题、及时获取预警信息，预警方式包括：在线预警、微信预警、短信预警、邮件预警。政务新媒体检查系统支持首页页面情况、监测总览、账号更新、错敏信息、隐私泄露、断更统计和高级服务（数据自查、自定义词）等监测页面情况。</w:t>
      </w:r>
    </w:p>
    <w:p w14:paraId="3A3CB3CB">
      <w:pPr>
        <w:spacing w:line="360" w:lineRule="auto"/>
        <w:rPr>
          <w:rFonts w:hint="eastAsia"/>
          <w:color w:val="auto"/>
          <w:szCs w:val="21"/>
          <w:highlight w:val="none"/>
          <w:lang w:val="en-US" w:eastAsia="zh-CN"/>
        </w:rPr>
      </w:pPr>
      <w:r>
        <w:rPr>
          <w:rFonts w:hint="eastAsia"/>
          <w:color w:val="auto"/>
          <w:szCs w:val="21"/>
          <w:highlight w:val="none"/>
          <w:lang w:val="en-US" w:eastAsia="zh-CN"/>
        </w:rPr>
        <w:t>6.2.2 错敏词内容类型监测要求必须支持首页内容监测、栏目内容监测、文章内容监测、附件内容监测、疑似栏目内容监测、word内容监测、excel内容监测、ppt内容监测、普通pdf内容监测、压缩包内容监测、图片内容监测、js脚本内容监测、css脚本内容监测、扫描类pdf内容监测、互动交流内容监测、图片ocr内容监测、压缩包word内容监测、压缩包excel内容监测、压缩包ppt内容监测、压缩包pdf内容监测、txt内容监测、压缩包txt内容监测、压缩包ofd内容监测。</w:t>
      </w:r>
    </w:p>
    <w:p w14:paraId="11E9E5E0">
      <w:pPr>
        <w:spacing w:line="360" w:lineRule="auto"/>
        <w:rPr>
          <w:rFonts w:hint="eastAsia"/>
          <w:color w:val="auto"/>
          <w:szCs w:val="21"/>
          <w:highlight w:val="none"/>
          <w:lang w:val="en-US" w:eastAsia="zh-CN"/>
        </w:rPr>
      </w:pPr>
      <w:r>
        <w:rPr>
          <w:rFonts w:hint="eastAsia"/>
          <w:color w:val="auto"/>
          <w:szCs w:val="21"/>
          <w:highlight w:val="none"/>
          <w:lang w:val="en-US" w:eastAsia="zh-CN"/>
        </w:rPr>
        <w:t>6.2.3 提供PC端监测系统24小时*365天的系统监测服务（按1年期限提供服务）。</w:t>
      </w:r>
    </w:p>
    <w:p w14:paraId="4364BA21">
      <w:pPr>
        <w:spacing w:line="360" w:lineRule="auto"/>
        <w:rPr>
          <w:rFonts w:hint="eastAsia"/>
          <w:color w:val="auto"/>
          <w:szCs w:val="21"/>
          <w:highlight w:val="none"/>
          <w:lang w:val="en-US" w:eastAsia="zh-CN"/>
        </w:rPr>
      </w:pPr>
      <w:r>
        <w:rPr>
          <w:rFonts w:hint="eastAsia"/>
          <w:color w:val="auto"/>
          <w:szCs w:val="21"/>
          <w:highlight w:val="none"/>
          <w:lang w:val="en-US" w:eastAsia="zh-CN"/>
        </w:rPr>
        <w:t>6.3 网站人工检查报告服务（4期）。按照系统对网站的监测结果进行人工审核，出具报告，对网站严格按照《国务院办公厅秘书一局关于印发政府网站与政务新媒体检查指标》的三大部分指标（单项否决项，加分项与扣分项）的网站各项指标要求，通过对网站监测数据以及对政策文件、政策解读、解读比例、解读关联、办事内容准确度、表格样表、IPv6改造情况、页面兼容性等信息进行人工核实筛选出具数据报告或问题清单作为服务交付成果。</w:t>
      </w:r>
    </w:p>
    <w:p w14:paraId="069C5C44">
      <w:pPr>
        <w:spacing w:line="360" w:lineRule="auto"/>
        <w:rPr>
          <w:rFonts w:hint="eastAsia"/>
          <w:color w:val="auto"/>
          <w:szCs w:val="21"/>
          <w:highlight w:val="none"/>
          <w:lang w:val="en-US" w:eastAsia="zh-CN"/>
        </w:rPr>
      </w:pPr>
      <w:r>
        <w:rPr>
          <w:rFonts w:hint="eastAsia"/>
          <w:color w:val="auto"/>
          <w:szCs w:val="21"/>
          <w:highlight w:val="none"/>
          <w:lang w:val="en-US" w:eastAsia="zh-CN"/>
        </w:rPr>
        <w:t>6.4 政务新媒体内容安全人工审核报告（4期）、网站内容安全人工审核报告（4期）。针对系统对政府网站（政务新媒体）进行全面检测的系统数据，进行人工审核排查，包括历史稿件和新增稿件中领导人姓名、职务和领导人排序错误监测、领导人负面词监测、涉及港澳台领土、主权类词监测、迷信邪教类词监测、法律法规类词监测、广告法违禁词监测、民族宗教类词监测、国际关系类词监测、不文明用语监测、黄赌毒类词监测、暴恐类词监测、常见错误词监测、政治类监测、语法性错误、落马官员等内容安全问题进行总结分析编制报告。</w:t>
      </w:r>
    </w:p>
    <w:p w14:paraId="09EF7EAD">
      <w:pPr>
        <w:spacing w:line="360" w:lineRule="auto"/>
        <w:rPr>
          <w:rFonts w:hint="eastAsia"/>
          <w:color w:val="auto"/>
          <w:szCs w:val="21"/>
          <w:highlight w:val="none"/>
          <w:lang w:val="en-US" w:eastAsia="zh-CN"/>
        </w:rPr>
      </w:pPr>
      <w:r>
        <w:rPr>
          <w:rFonts w:hint="eastAsia"/>
          <w:color w:val="auto"/>
          <w:szCs w:val="21"/>
          <w:highlight w:val="none"/>
          <w:lang w:val="en-US" w:eastAsia="zh-CN"/>
        </w:rPr>
        <w:t>6.5 网站提质增效运维技术支持</w:t>
      </w:r>
    </w:p>
    <w:p w14:paraId="19B59890">
      <w:pPr>
        <w:spacing w:line="360" w:lineRule="auto"/>
        <w:rPr>
          <w:rFonts w:hint="eastAsia"/>
          <w:color w:val="auto"/>
          <w:szCs w:val="21"/>
          <w:highlight w:val="none"/>
          <w:lang w:val="en-US" w:eastAsia="zh-CN"/>
        </w:rPr>
      </w:pPr>
      <w:r>
        <w:rPr>
          <w:rFonts w:hint="eastAsia"/>
          <w:color w:val="auto"/>
          <w:szCs w:val="21"/>
          <w:highlight w:val="none"/>
          <w:lang w:val="en-US" w:eastAsia="zh-CN"/>
        </w:rPr>
        <w:t>6.5.1 围绕全区政府网站提质增效实施方案的各项量化指标，以年度提质增效专项服务的形式，对网站进行系统、持续、深度的诊断与提升，为网站量身定制整改提升方案。</w:t>
      </w:r>
    </w:p>
    <w:p w14:paraId="642B4271">
      <w:pPr>
        <w:spacing w:line="360" w:lineRule="auto"/>
        <w:rPr>
          <w:rFonts w:hint="eastAsia"/>
          <w:color w:val="auto"/>
          <w:szCs w:val="21"/>
          <w:highlight w:val="none"/>
          <w:lang w:val="en-US" w:eastAsia="zh-CN"/>
        </w:rPr>
      </w:pPr>
      <w:r>
        <w:rPr>
          <w:rFonts w:hint="eastAsia"/>
          <w:color w:val="auto"/>
          <w:szCs w:val="21"/>
          <w:highlight w:val="none"/>
          <w:lang w:val="en-US" w:eastAsia="zh-CN"/>
        </w:rPr>
        <w:t>6.5.2 围绕自治区及国办绩效考核指标，开展全站内容体检：逐栏目核查漏发、错发及开设合理性，评估更新频次与数据合规性，生成可视化检查报告并提出针对性整改方案。</w:t>
      </w:r>
    </w:p>
    <w:p w14:paraId="02ECE858">
      <w:pPr>
        <w:spacing w:line="360" w:lineRule="auto"/>
        <w:rPr>
          <w:rFonts w:hint="eastAsia"/>
          <w:color w:val="auto"/>
          <w:szCs w:val="21"/>
          <w:highlight w:val="none"/>
          <w:lang w:val="en-US" w:eastAsia="zh-CN"/>
        </w:rPr>
      </w:pPr>
      <w:r>
        <w:rPr>
          <w:rFonts w:hint="eastAsia"/>
          <w:color w:val="auto"/>
          <w:szCs w:val="21"/>
          <w:highlight w:val="none"/>
          <w:lang w:val="en-US" w:eastAsia="zh-CN"/>
        </w:rPr>
        <w:t>6.5.3 对政策文件和政策解读栏目进行关联性、政策文件的解读比例进行日常检查，及时提醒和指导关联。</w:t>
      </w:r>
    </w:p>
    <w:p w14:paraId="1A3C6A49">
      <w:pPr>
        <w:spacing w:line="360" w:lineRule="auto"/>
        <w:rPr>
          <w:rFonts w:hint="eastAsia"/>
          <w:color w:val="auto"/>
          <w:szCs w:val="21"/>
          <w:highlight w:val="none"/>
          <w:lang w:val="en-US" w:eastAsia="zh-CN"/>
        </w:rPr>
      </w:pPr>
      <w:r>
        <w:rPr>
          <w:rFonts w:hint="eastAsia"/>
          <w:color w:val="auto"/>
          <w:szCs w:val="21"/>
          <w:highlight w:val="none"/>
          <w:lang w:val="en-US" w:eastAsia="zh-CN"/>
        </w:rPr>
        <w:t>6.5.4 根据实际使用情况、考核指标变更、上级要求等，协助运维人员对栏目进行增删改操作、栏目模板配置、视图配置等。</w:t>
      </w:r>
    </w:p>
    <w:p w14:paraId="3C757D28">
      <w:pPr>
        <w:spacing w:line="360" w:lineRule="auto"/>
        <w:rPr>
          <w:rFonts w:hint="eastAsia"/>
          <w:color w:val="auto"/>
          <w:szCs w:val="21"/>
          <w:highlight w:val="none"/>
          <w:lang w:val="en-US" w:eastAsia="zh-CN"/>
        </w:rPr>
      </w:pPr>
      <w:r>
        <w:rPr>
          <w:rFonts w:hint="eastAsia"/>
          <w:color w:val="auto"/>
          <w:szCs w:val="21"/>
          <w:highlight w:val="none"/>
          <w:lang w:val="en-US" w:eastAsia="zh-CN"/>
        </w:rPr>
        <w:t>6.5.5 日常专人专群服务提醒空白栏目、不更新和提质增效技术指导，专人协助处理暗链、错链等。</w:t>
      </w:r>
    </w:p>
    <w:p w14:paraId="6BCE3201">
      <w:pPr>
        <w:spacing w:line="360" w:lineRule="auto"/>
        <w:rPr>
          <w:rFonts w:hint="eastAsia"/>
          <w:color w:val="auto"/>
          <w:szCs w:val="21"/>
          <w:highlight w:val="none"/>
          <w:lang w:val="en-US" w:eastAsia="zh-CN"/>
        </w:rPr>
      </w:pPr>
      <w:r>
        <w:rPr>
          <w:rFonts w:hint="eastAsia"/>
          <w:color w:val="auto"/>
          <w:szCs w:val="21"/>
          <w:highlight w:val="none"/>
          <w:lang w:val="en-US" w:eastAsia="zh-CN"/>
        </w:rPr>
        <w:t>6.6 政府网站提质增效专项服务。根据《2026年全国政府网站提质增效指标体系（地方）》及《2026年度全区政府网站及政务新媒体提质增效任务清单》，检查网站更新情况和更新的数据是否符合要求，各部门提出修改意见，重点工作建设，内容方向和创新探索策划。针对发布解读、查询服务、互动交流、数据应用、针对目前网站情况进行相应辅助提升。</w:t>
      </w:r>
    </w:p>
    <w:p w14:paraId="32E45DF6">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w:t>
      </w:r>
      <w:r>
        <w:rPr>
          <w:rFonts w:hint="eastAsia" w:eastAsia="宋体"/>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186DAD79">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272FCF56">
      <w:pPr>
        <w:spacing w:line="360" w:lineRule="auto"/>
        <w:rPr>
          <w:color w:val="auto"/>
          <w:szCs w:val="21"/>
          <w:highlight w:val="none"/>
        </w:rPr>
      </w:pPr>
      <w:r>
        <w:rPr>
          <w:rFonts w:hint="eastAsia"/>
          <w:color w:val="auto"/>
          <w:szCs w:val="21"/>
          <w:highlight w:val="none"/>
        </w:rPr>
        <w:t>1．报价要求</w:t>
      </w:r>
    </w:p>
    <w:p w14:paraId="3F624B39">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ascii="Times New Roman" w:eastAsia="宋体"/>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05FB380F">
      <w:pPr>
        <w:spacing w:line="360" w:lineRule="auto"/>
        <w:rPr>
          <w:color w:val="auto"/>
          <w:szCs w:val="21"/>
          <w:highlight w:val="none"/>
        </w:rPr>
      </w:pPr>
      <w:r>
        <w:rPr>
          <w:rFonts w:hint="eastAsia"/>
          <w:color w:val="auto"/>
          <w:szCs w:val="21"/>
          <w:highlight w:val="none"/>
        </w:rPr>
        <w:t>2.合同签订日期</w:t>
      </w:r>
    </w:p>
    <w:p w14:paraId="2BE76DEF">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3E59193A">
      <w:pPr>
        <w:spacing w:line="360" w:lineRule="auto"/>
        <w:rPr>
          <w:color w:val="auto"/>
          <w:szCs w:val="21"/>
          <w:highlight w:val="none"/>
        </w:rPr>
      </w:pPr>
      <w:r>
        <w:rPr>
          <w:rFonts w:hint="eastAsia"/>
          <w:color w:val="auto"/>
          <w:szCs w:val="21"/>
          <w:highlight w:val="none"/>
        </w:rPr>
        <w:t>3.交货（实施）时间</w:t>
      </w:r>
    </w:p>
    <w:p w14:paraId="2E18DB80">
      <w:pPr>
        <w:spacing w:line="360" w:lineRule="auto"/>
        <w:rPr>
          <w:rFonts w:hint="eastAsia"/>
          <w:color w:val="auto"/>
          <w:szCs w:val="21"/>
          <w:highlight w:val="none"/>
        </w:rPr>
      </w:pPr>
      <w:r>
        <w:rPr>
          <w:rFonts w:hint="eastAsia"/>
          <w:color w:val="auto"/>
          <w:szCs w:val="21"/>
          <w:highlight w:val="none"/>
        </w:rPr>
        <w:t>自签订合同之日起至2027年10月1日</w:t>
      </w:r>
    </w:p>
    <w:p w14:paraId="1E2AE131">
      <w:pPr>
        <w:spacing w:line="360" w:lineRule="auto"/>
        <w:rPr>
          <w:color w:val="auto"/>
          <w:szCs w:val="21"/>
          <w:highlight w:val="none"/>
        </w:rPr>
      </w:pPr>
      <w:r>
        <w:rPr>
          <w:rFonts w:hint="eastAsia"/>
          <w:color w:val="auto"/>
          <w:szCs w:val="21"/>
          <w:highlight w:val="none"/>
        </w:rPr>
        <w:t>4.交货地点或服务地点</w:t>
      </w:r>
    </w:p>
    <w:p w14:paraId="480D1B02">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南宁市（采购人指定地点）</w:t>
      </w:r>
    </w:p>
    <w:p w14:paraId="3901AF23">
      <w:pPr>
        <w:spacing w:line="360" w:lineRule="auto"/>
        <w:rPr>
          <w:color w:val="auto"/>
          <w:szCs w:val="21"/>
          <w:highlight w:val="none"/>
        </w:rPr>
      </w:pPr>
      <w:r>
        <w:rPr>
          <w:rFonts w:hint="eastAsia"/>
          <w:color w:val="auto"/>
          <w:szCs w:val="21"/>
          <w:highlight w:val="none"/>
        </w:rPr>
        <w:t>5.验收标准</w:t>
      </w:r>
    </w:p>
    <w:p w14:paraId="326A1BCB">
      <w:pPr>
        <w:spacing w:line="360" w:lineRule="auto"/>
        <w:rPr>
          <w:color w:val="auto"/>
          <w:szCs w:val="21"/>
          <w:highlight w:val="none"/>
        </w:rPr>
      </w:pPr>
      <w:r>
        <w:rPr>
          <w:rFonts w:hint="eastAsia"/>
          <w:color w:val="auto"/>
          <w:szCs w:val="21"/>
          <w:highlight w:val="none"/>
        </w:rPr>
        <w:t>详见采购文件合同主要条款格式部分</w:t>
      </w:r>
    </w:p>
    <w:p w14:paraId="7CEE087F">
      <w:pPr>
        <w:spacing w:line="360" w:lineRule="auto"/>
        <w:rPr>
          <w:color w:val="auto"/>
          <w:szCs w:val="21"/>
          <w:highlight w:val="none"/>
        </w:rPr>
      </w:pPr>
      <w:r>
        <w:rPr>
          <w:rFonts w:hint="eastAsia"/>
          <w:color w:val="auto"/>
          <w:szCs w:val="21"/>
          <w:highlight w:val="none"/>
        </w:rPr>
        <w:t>6.服务标准、期限、效率</w:t>
      </w:r>
    </w:p>
    <w:p w14:paraId="3C872A0D">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4332D030">
      <w:pPr>
        <w:spacing w:line="360" w:lineRule="auto"/>
        <w:rPr>
          <w:color w:val="auto"/>
          <w:szCs w:val="21"/>
          <w:highlight w:val="none"/>
        </w:rPr>
      </w:pPr>
      <w:r>
        <w:rPr>
          <w:rFonts w:hint="eastAsia"/>
          <w:color w:val="auto"/>
          <w:szCs w:val="21"/>
          <w:highlight w:val="none"/>
        </w:rPr>
        <w:t>6.1.1电话咨询</w:t>
      </w:r>
    </w:p>
    <w:p w14:paraId="4EA7176D">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3383EC17">
      <w:pPr>
        <w:spacing w:line="360" w:lineRule="auto"/>
        <w:rPr>
          <w:color w:val="auto"/>
          <w:szCs w:val="21"/>
          <w:highlight w:val="none"/>
        </w:rPr>
      </w:pPr>
      <w:r>
        <w:rPr>
          <w:rFonts w:hint="eastAsia"/>
          <w:color w:val="auto"/>
          <w:szCs w:val="21"/>
          <w:highlight w:val="none"/>
        </w:rPr>
        <w:t>6.1.2现场响应</w:t>
      </w:r>
    </w:p>
    <w:p w14:paraId="53E57A2F">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41CCD7F6">
      <w:pPr>
        <w:spacing w:line="360" w:lineRule="auto"/>
        <w:rPr>
          <w:color w:val="auto"/>
          <w:szCs w:val="21"/>
          <w:highlight w:val="none"/>
        </w:rPr>
      </w:pPr>
      <w:r>
        <w:rPr>
          <w:rFonts w:hint="eastAsia"/>
          <w:color w:val="auto"/>
          <w:szCs w:val="21"/>
          <w:highlight w:val="none"/>
        </w:rPr>
        <w:t>6.1.3技术升级</w:t>
      </w:r>
    </w:p>
    <w:p w14:paraId="4297A94A">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5D85A5F6">
      <w:pPr>
        <w:spacing w:line="360" w:lineRule="auto"/>
        <w:rPr>
          <w:color w:val="auto"/>
          <w:szCs w:val="21"/>
          <w:highlight w:val="none"/>
        </w:rPr>
      </w:pPr>
      <w:r>
        <w:rPr>
          <w:rFonts w:hint="eastAsia"/>
          <w:color w:val="auto"/>
          <w:szCs w:val="21"/>
          <w:highlight w:val="none"/>
        </w:rPr>
        <w:t>7.培训</w:t>
      </w:r>
    </w:p>
    <w:p w14:paraId="47390496">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573524DB">
      <w:pPr>
        <w:spacing w:line="360" w:lineRule="auto"/>
        <w:rPr>
          <w:color w:val="auto"/>
          <w:szCs w:val="21"/>
          <w:highlight w:val="none"/>
        </w:rPr>
      </w:pPr>
      <w:r>
        <w:rPr>
          <w:rFonts w:hint="eastAsia"/>
          <w:color w:val="auto"/>
          <w:szCs w:val="21"/>
          <w:highlight w:val="none"/>
        </w:rPr>
        <w:t>8.付款方式、时间及条件</w:t>
      </w:r>
    </w:p>
    <w:p w14:paraId="42311E5A">
      <w:pPr>
        <w:spacing w:line="360" w:lineRule="auto"/>
        <w:rPr>
          <w:color w:val="auto"/>
          <w:szCs w:val="21"/>
          <w:highlight w:val="none"/>
        </w:rPr>
      </w:pPr>
      <w:r>
        <w:rPr>
          <w:rFonts w:hint="eastAsia"/>
          <w:color w:val="auto"/>
          <w:szCs w:val="21"/>
          <w:highlight w:val="none"/>
        </w:rPr>
        <w:t>详见采购文件合同主要条款格式部分</w:t>
      </w:r>
    </w:p>
    <w:p w14:paraId="39123A8E">
      <w:pPr>
        <w:spacing w:line="360" w:lineRule="auto"/>
        <w:rPr>
          <w:color w:val="auto"/>
          <w:szCs w:val="21"/>
          <w:highlight w:val="none"/>
        </w:rPr>
      </w:pPr>
      <w:r>
        <w:rPr>
          <w:rFonts w:hint="eastAsia"/>
          <w:color w:val="auto"/>
          <w:szCs w:val="21"/>
          <w:highlight w:val="none"/>
        </w:rPr>
        <w:t>9.履约保证金</w:t>
      </w:r>
    </w:p>
    <w:p w14:paraId="4E92BB83">
      <w:pPr>
        <w:spacing w:line="360" w:lineRule="auto"/>
        <w:rPr>
          <w:color w:val="auto"/>
          <w:szCs w:val="21"/>
          <w:highlight w:val="none"/>
        </w:rPr>
      </w:pPr>
      <w:r>
        <w:rPr>
          <w:rFonts w:hint="eastAsia"/>
          <w:color w:val="auto"/>
          <w:szCs w:val="21"/>
          <w:highlight w:val="none"/>
        </w:rPr>
        <w:t>详见采购文件合同主要条款格式部分</w:t>
      </w:r>
    </w:p>
    <w:p w14:paraId="63461C94">
      <w:pPr>
        <w:spacing w:line="360" w:lineRule="auto"/>
        <w:rPr>
          <w:color w:val="auto"/>
          <w:szCs w:val="21"/>
          <w:highlight w:val="none"/>
        </w:rPr>
      </w:pPr>
      <w:r>
        <w:rPr>
          <w:rFonts w:hint="eastAsia"/>
          <w:color w:val="auto"/>
          <w:szCs w:val="21"/>
          <w:highlight w:val="none"/>
        </w:rPr>
        <w:t>10.包装和运输要求</w:t>
      </w:r>
    </w:p>
    <w:p w14:paraId="5D7A228A">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eastAsia="宋体"/>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2055F832">
      <w:pPr>
        <w:spacing w:line="360" w:lineRule="auto"/>
        <w:rPr>
          <w:color w:val="auto"/>
          <w:szCs w:val="21"/>
          <w:highlight w:val="none"/>
        </w:rPr>
      </w:pPr>
      <w:r>
        <w:rPr>
          <w:rFonts w:hint="eastAsia"/>
          <w:color w:val="auto"/>
          <w:szCs w:val="21"/>
          <w:highlight w:val="none"/>
        </w:rPr>
        <w:t>运输要求详见采购文件合同主要条款格式部分</w:t>
      </w:r>
    </w:p>
    <w:p w14:paraId="1B90EC91">
      <w:pPr>
        <w:spacing w:line="360" w:lineRule="auto"/>
        <w:rPr>
          <w:color w:val="auto"/>
          <w:szCs w:val="21"/>
          <w:highlight w:val="none"/>
        </w:rPr>
      </w:pPr>
      <w:r>
        <w:rPr>
          <w:rFonts w:hint="eastAsia"/>
          <w:color w:val="auto"/>
          <w:szCs w:val="21"/>
          <w:highlight w:val="none"/>
        </w:rPr>
        <w:t>11.售后服务</w:t>
      </w:r>
    </w:p>
    <w:p w14:paraId="60785914">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2E09450C">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11.2成交供应商应明确承诺采购文件采购需求部分如无特别要求，则质保期为自签订合同之日起一年，采购文件采购需求部分有特别要求的则以技术参数要求表为准。</w:t>
      </w:r>
    </w:p>
    <w:p w14:paraId="0BEB63FC">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1C92E40A">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63D7379A">
      <w:pPr>
        <w:spacing w:line="360" w:lineRule="auto"/>
        <w:rPr>
          <w:color w:val="auto"/>
          <w:szCs w:val="21"/>
          <w:highlight w:val="none"/>
        </w:rPr>
      </w:pPr>
      <w:r>
        <w:rPr>
          <w:rFonts w:hint="eastAsia"/>
          <w:color w:val="auto"/>
          <w:szCs w:val="21"/>
          <w:highlight w:val="none"/>
        </w:rPr>
        <w:t>12.保险</w:t>
      </w:r>
    </w:p>
    <w:p w14:paraId="66F43A2A">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0A9137CC">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5C93B614">
      <w:pPr>
        <w:spacing w:line="360" w:lineRule="auto"/>
        <w:rPr>
          <w:rFonts w:hint="eastAsia" w:ascii="Times New Roman" w:hAnsi="Times New Roman" w:cs="Times New Roman"/>
          <w:b/>
          <w:color w:val="auto"/>
          <w:highlight w:val="none"/>
        </w:rPr>
      </w:pPr>
      <w:r>
        <w:rPr>
          <w:rFonts w:hint="eastAsia" w:ascii="Times New Roman" w:hAnsi="Times New Roman" w:cs="Times New Roman"/>
          <w:b/>
          <w:color w:val="auto"/>
          <w:highlight w:val="none"/>
        </w:rPr>
        <w:t>无</w:t>
      </w:r>
    </w:p>
    <w:p w14:paraId="1126EECA">
      <w:pPr>
        <w:rPr>
          <w:rFonts w:hint="eastAsia" w:ascii="Times New Roman" w:hAnsi="Times New Roman" w:cs="Times New Roman"/>
          <w:b/>
          <w:color w:val="auto"/>
          <w:highlight w:val="none"/>
        </w:rPr>
      </w:pPr>
      <w:r>
        <w:rPr>
          <w:rFonts w:hint="eastAsia" w:ascii="Times New Roman" w:hAnsi="Times New Roman" w:cs="Times New Roman"/>
          <w:b/>
          <w:color w:val="auto"/>
          <w:highlight w:val="none"/>
        </w:rPr>
        <w:br w:type="page"/>
      </w:r>
    </w:p>
    <w:p w14:paraId="0E1B83F5">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标项十</w:t>
      </w:r>
    </w:p>
    <w:p w14:paraId="7FDED0CA">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5AD05FEE">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4B628941">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0322A076">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08191C5E">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ascii="Times New Roman" w:eastAsia="宋体"/>
          <w:color w:val="auto"/>
          <w:szCs w:val="21"/>
          <w:highlight w:val="none"/>
          <w:lang w:val="en-US" w:eastAsia="zh-CN"/>
        </w:rPr>
        <w:t>无效</w:t>
      </w:r>
      <w:r>
        <w:rPr>
          <w:color w:val="auto"/>
          <w:szCs w:val="21"/>
          <w:highlight w:val="none"/>
        </w:rPr>
        <w:t>。</w:t>
      </w:r>
    </w:p>
    <w:p w14:paraId="160360DD">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41D9DA05">
      <w:pPr>
        <w:spacing w:line="360" w:lineRule="auto"/>
        <w:rPr>
          <w:color w:val="auto"/>
          <w:szCs w:val="21"/>
          <w:highlight w:val="none"/>
        </w:rPr>
      </w:pPr>
      <w:r>
        <w:rPr>
          <w:rFonts w:hint="eastAsia"/>
          <w:color w:val="auto"/>
          <w:szCs w:val="21"/>
          <w:highlight w:val="none"/>
        </w:rPr>
        <w:t>1.需实现的功能、目标及应用场景</w:t>
      </w:r>
    </w:p>
    <w:p w14:paraId="2AF0E8EE">
      <w:pPr>
        <w:spacing w:line="360" w:lineRule="auto"/>
        <w:rPr>
          <w:rFonts w:hint="eastAsia"/>
          <w:color w:val="auto"/>
          <w:szCs w:val="21"/>
          <w:highlight w:val="none"/>
        </w:rPr>
      </w:pPr>
      <w:r>
        <w:rPr>
          <w:rFonts w:hint="eastAsia"/>
          <w:color w:val="auto"/>
          <w:szCs w:val="21"/>
          <w:highlight w:val="none"/>
        </w:rPr>
        <w:t>满足采购文件要求，验收达到合格标准。</w:t>
      </w:r>
    </w:p>
    <w:p w14:paraId="0D1FB483">
      <w:pPr>
        <w:spacing w:line="360" w:lineRule="auto"/>
        <w:rPr>
          <w:color w:val="auto"/>
          <w:szCs w:val="21"/>
          <w:highlight w:val="none"/>
        </w:rPr>
      </w:pPr>
      <w:r>
        <w:rPr>
          <w:rFonts w:hint="eastAsia"/>
          <w:color w:val="auto"/>
          <w:szCs w:val="21"/>
          <w:highlight w:val="none"/>
        </w:rPr>
        <w:t>2.是否接受进口产品：</w:t>
      </w:r>
    </w:p>
    <w:p w14:paraId="77C4BBDC">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5FB9A26D">
      <w:pPr>
        <w:spacing w:line="360" w:lineRule="auto"/>
        <w:rPr>
          <w:color w:val="auto"/>
          <w:szCs w:val="21"/>
          <w:highlight w:val="none"/>
        </w:rPr>
      </w:pPr>
      <w:r>
        <w:rPr>
          <w:rFonts w:hint="eastAsia"/>
          <w:color w:val="auto"/>
          <w:szCs w:val="21"/>
          <w:highlight w:val="none"/>
        </w:rPr>
        <w:t>□是</w:t>
      </w:r>
    </w:p>
    <w:p w14:paraId="006BE991">
      <w:pPr>
        <w:spacing w:line="360" w:lineRule="auto"/>
        <w:rPr>
          <w:color w:val="auto"/>
          <w:szCs w:val="21"/>
          <w:highlight w:val="none"/>
        </w:rPr>
      </w:pPr>
      <w:r>
        <w:rPr>
          <w:rFonts w:hint="eastAsia"/>
          <w:color w:val="auto"/>
          <w:szCs w:val="21"/>
          <w:highlight w:val="none"/>
        </w:rPr>
        <w:t>本项目</w:t>
      </w:r>
      <w:r>
        <w:rPr>
          <w:rFonts w:hint="eastAsia" w:ascii="Times New Roman" w:eastAsia="宋体"/>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70DAF6F9">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2274EE87">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312E33DE">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418D5BA3">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7642D37A">
      <w:pPr>
        <w:spacing w:line="360" w:lineRule="auto"/>
        <w:rPr>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42F08FBC">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p w14:paraId="13FCE537">
      <w:pPr>
        <w:spacing w:line="360" w:lineRule="auto"/>
        <w:rPr>
          <w:color w:val="auto"/>
          <w:szCs w:val="21"/>
          <w:highlight w:val="none"/>
        </w:rPr>
      </w:pPr>
      <w:r>
        <w:rPr>
          <w:rFonts w:hint="eastAsia" w:ascii="Times New Roman" w:eastAsia="宋体"/>
          <w:color w:val="auto"/>
          <w:szCs w:val="21"/>
          <w:highlight w:val="none"/>
          <w:lang w:val="en-US" w:eastAsia="zh-CN"/>
        </w:rPr>
        <w:t>4</w:t>
      </w:r>
      <w:r>
        <w:rPr>
          <w:rFonts w:hint="eastAsia"/>
          <w:color w:val="auto"/>
          <w:szCs w:val="21"/>
          <w:highlight w:val="none"/>
        </w:rPr>
        <w:t>.标的所属行业：租赁和商务服务业</w:t>
      </w:r>
    </w:p>
    <w:p w14:paraId="0A25ABCC">
      <w:pPr>
        <w:spacing w:line="360" w:lineRule="auto"/>
        <w:rPr>
          <w:color w:val="auto"/>
          <w:szCs w:val="21"/>
          <w:highlight w:val="none"/>
        </w:rPr>
      </w:pPr>
      <w:r>
        <w:rPr>
          <w:rFonts w:hint="eastAsia" w:ascii="Times New Roman" w:eastAsia="宋体"/>
          <w:color w:val="auto"/>
          <w:szCs w:val="21"/>
          <w:highlight w:val="none"/>
          <w:lang w:val="en-US" w:eastAsia="zh-CN"/>
        </w:rPr>
        <w:t>5</w:t>
      </w:r>
      <w:r>
        <w:rPr>
          <w:rFonts w:hint="eastAsia"/>
          <w:color w:val="auto"/>
          <w:szCs w:val="21"/>
          <w:highlight w:val="none"/>
        </w:rPr>
        <w:t>.核心产品</w:t>
      </w:r>
    </w:p>
    <w:p w14:paraId="1355ADFE">
      <w:pPr>
        <w:spacing w:line="360" w:lineRule="auto"/>
        <w:rPr>
          <w:color w:val="auto"/>
          <w:szCs w:val="21"/>
          <w:highlight w:val="none"/>
        </w:rPr>
      </w:pPr>
      <w:r>
        <w:rPr>
          <w:rFonts w:hint="eastAsia"/>
          <w:color w:val="auto"/>
          <w:szCs w:val="21"/>
          <w:highlight w:val="none"/>
        </w:rPr>
        <w:t>本项目为服务项目，不适用核心产品规定。</w:t>
      </w:r>
    </w:p>
    <w:p w14:paraId="47C03239">
      <w:pPr>
        <w:spacing w:line="360" w:lineRule="auto"/>
        <w:rPr>
          <w:rFonts w:hint="eastAsia"/>
          <w:color w:val="auto"/>
          <w:szCs w:val="21"/>
          <w:highlight w:val="none"/>
        </w:rPr>
      </w:pPr>
      <w:r>
        <w:rPr>
          <w:rFonts w:hint="eastAsia" w:ascii="Times New Roman" w:eastAsia="宋体"/>
          <w:color w:val="auto"/>
          <w:szCs w:val="21"/>
          <w:highlight w:val="none"/>
          <w:lang w:val="en-US" w:eastAsia="zh-CN"/>
        </w:rPr>
        <w:t>6</w:t>
      </w:r>
      <w:r>
        <w:rPr>
          <w:rFonts w:hint="eastAsia"/>
          <w:color w:val="auto"/>
          <w:szCs w:val="21"/>
          <w:highlight w:val="none"/>
        </w:rPr>
        <w:t>.服务内容和标准</w:t>
      </w:r>
    </w:p>
    <w:p w14:paraId="00E991B8">
      <w:pPr>
        <w:spacing w:line="360" w:lineRule="auto"/>
        <w:rPr>
          <w:rFonts w:hint="eastAsia"/>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1在</w:t>
      </w:r>
      <w:r>
        <w:rPr>
          <w:rFonts w:hint="eastAsia"/>
          <w:color w:val="auto"/>
          <w:szCs w:val="21"/>
          <w:highlight w:val="none"/>
          <w:lang w:eastAsia="zh-CN"/>
        </w:rPr>
        <w:t>自治区主流媒体杂志</w:t>
      </w:r>
      <w:r>
        <w:rPr>
          <w:rFonts w:hint="eastAsia"/>
          <w:color w:val="auto"/>
          <w:szCs w:val="21"/>
          <w:highlight w:val="none"/>
        </w:rPr>
        <w:t>刊发理论文章和</w:t>
      </w:r>
      <w:r>
        <w:rPr>
          <w:rFonts w:hint="eastAsia"/>
          <w:color w:val="auto"/>
          <w:szCs w:val="21"/>
          <w:highlight w:val="none"/>
          <w:lang w:val="en-US" w:eastAsia="zh-CN"/>
        </w:rPr>
        <w:t>12个</w:t>
      </w:r>
      <w:r>
        <w:rPr>
          <w:rFonts w:hint="eastAsia"/>
          <w:color w:val="auto"/>
          <w:szCs w:val="21"/>
          <w:highlight w:val="none"/>
        </w:rPr>
        <w:t>自治县成立逢十周年庆祝活动系列报道</w:t>
      </w:r>
      <w:r>
        <w:rPr>
          <w:rFonts w:hint="eastAsia"/>
          <w:color w:val="auto"/>
          <w:szCs w:val="21"/>
          <w:highlight w:val="none"/>
          <w:lang w:val="en-US" w:eastAsia="zh-CN"/>
        </w:rPr>
        <w:t>5—6</w:t>
      </w:r>
      <w:r>
        <w:rPr>
          <w:rFonts w:hint="eastAsia"/>
          <w:color w:val="auto"/>
          <w:szCs w:val="21"/>
          <w:highlight w:val="none"/>
        </w:rPr>
        <w:t>篇</w:t>
      </w:r>
      <w:r>
        <w:rPr>
          <w:rFonts w:hint="eastAsia"/>
          <w:color w:val="auto"/>
          <w:szCs w:val="21"/>
          <w:highlight w:val="none"/>
          <w:lang w:eastAsia="zh-CN"/>
        </w:rPr>
        <w:t>。</w:t>
      </w:r>
    </w:p>
    <w:p w14:paraId="26845939">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2在</w:t>
      </w:r>
      <w:r>
        <w:rPr>
          <w:rFonts w:hint="eastAsia"/>
          <w:color w:val="auto"/>
          <w:szCs w:val="21"/>
          <w:highlight w:val="none"/>
          <w:lang w:eastAsia="zh-CN"/>
        </w:rPr>
        <w:t>自治区主流媒体杂志</w:t>
      </w:r>
      <w:r>
        <w:rPr>
          <w:rFonts w:hint="eastAsia"/>
          <w:color w:val="auto"/>
          <w:szCs w:val="21"/>
          <w:highlight w:val="none"/>
        </w:rPr>
        <w:t>开设“铸牢中华民族共同体意识”相关专题</w:t>
      </w:r>
      <w:r>
        <w:rPr>
          <w:rFonts w:hint="eastAsia"/>
          <w:color w:val="auto"/>
          <w:szCs w:val="21"/>
          <w:highlight w:val="none"/>
          <w:lang w:eastAsia="zh-CN"/>
        </w:rPr>
        <w:t>。</w:t>
      </w:r>
    </w:p>
    <w:p w14:paraId="71B8C20A">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3与铸牢中华民族共同体意识等主题适合的有特色、有亮点的内容，剪辑成</w:t>
      </w:r>
      <w:r>
        <w:rPr>
          <w:rFonts w:hint="eastAsia"/>
          <w:color w:val="auto"/>
          <w:szCs w:val="21"/>
          <w:highlight w:val="none"/>
          <w:lang w:val="en-US" w:eastAsia="zh-CN"/>
        </w:rPr>
        <w:t>4—5个</w:t>
      </w:r>
      <w:r>
        <w:rPr>
          <w:rFonts w:hint="eastAsia"/>
          <w:color w:val="auto"/>
          <w:szCs w:val="21"/>
          <w:highlight w:val="none"/>
        </w:rPr>
        <w:t>短视频等新媒体产品</w:t>
      </w:r>
      <w:r>
        <w:rPr>
          <w:rFonts w:hint="eastAsia"/>
          <w:color w:val="auto"/>
          <w:szCs w:val="21"/>
          <w:highlight w:val="none"/>
          <w:lang w:eastAsia="zh-CN"/>
        </w:rPr>
        <w:t>。</w:t>
      </w:r>
    </w:p>
    <w:p w14:paraId="299DAC42">
      <w:pPr>
        <w:spacing w:line="360" w:lineRule="auto"/>
        <w:rPr>
          <w:rFonts w:hint="eastAsia" w:eastAsia="宋体"/>
          <w:color w:val="auto"/>
          <w:szCs w:val="21"/>
          <w:highlight w:val="none"/>
          <w:lang w:eastAsia="zh-CN"/>
        </w:rPr>
      </w:pPr>
      <w:r>
        <w:rPr>
          <w:rFonts w:hint="eastAsia"/>
          <w:color w:val="auto"/>
          <w:szCs w:val="21"/>
          <w:highlight w:val="none"/>
          <w:lang w:val="en-US" w:eastAsia="zh-CN"/>
        </w:rPr>
        <w:t xml:space="preserve">6.4 </w:t>
      </w:r>
      <w:r>
        <w:rPr>
          <w:rFonts w:hint="eastAsia"/>
          <w:color w:val="auto"/>
          <w:szCs w:val="21"/>
          <w:highlight w:val="none"/>
        </w:rPr>
        <w:t>在</w:t>
      </w:r>
      <w:r>
        <w:rPr>
          <w:rFonts w:hint="eastAsia"/>
          <w:color w:val="auto"/>
          <w:szCs w:val="21"/>
          <w:highlight w:val="none"/>
          <w:lang w:eastAsia="zh-CN"/>
        </w:rPr>
        <w:t>自治区主流媒体杂志</w:t>
      </w:r>
      <w:r>
        <w:rPr>
          <w:rFonts w:hint="eastAsia"/>
          <w:color w:val="auto"/>
          <w:szCs w:val="21"/>
          <w:highlight w:val="none"/>
        </w:rPr>
        <w:t>发布配合自治区民宗委完成重要活动宣传报道工作</w:t>
      </w:r>
      <w:r>
        <w:rPr>
          <w:rFonts w:hint="eastAsia"/>
          <w:color w:val="auto"/>
          <w:szCs w:val="21"/>
          <w:highlight w:val="none"/>
          <w:lang w:eastAsia="zh-CN"/>
        </w:rPr>
        <w:t>。</w:t>
      </w:r>
    </w:p>
    <w:p w14:paraId="05CDD72F">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w:t>
      </w:r>
      <w:r>
        <w:rPr>
          <w:rFonts w:hint="eastAsia" w:eastAsia="宋体"/>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09AC804C">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39546C50">
      <w:pPr>
        <w:spacing w:line="360" w:lineRule="auto"/>
        <w:rPr>
          <w:color w:val="auto"/>
          <w:szCs w:val="21"/>
          <w:highlight w:val="none"/>
        </w:rPr>
      </w:pPr>
      <w:r>
        <w:rPr>
          <w:rFonts w:hint="eastAsia"/>
          <w:color w:val="auto"/>
          <w:szCs w:val="21"/>
          <w:highlight w:val="none"/>
        </w:rPr>
        <w:t>1．报价要求</w:t>
      </w:r>
    </w:p>
    <w:p w14:paraId="519BDD23">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ascii="Times New Roman" w:eastAsia="宋体"/>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55B06F00">
      <w:pPr>
        <w:spacing w:line="360" w:lineRule="auto"/>
        <w:rPr>
          <w:color w:val="auto"/>
          <w:szCs w:val="21"/>
          <w:highlight w:val="none"/>
        </w:rPr>
      </w:pPr>
      <w:r>
        <w:rPr>
          <w:rFonts w:hint="eastAsia"/>
          <w:color w:val="auto"/>
          <w:szCs w:val="21"/>
          <w:highlight w:val="none"/>
        </w:rPr>
        <w:t>2.合同签订日期</w:t>
      </w:r>
    </w:p>
    <w:p w14:paraId="0EA47D7C">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5A2F73A9">
      <w:pPr>
        <w:spacing w:line="360" w:lineRule="auto"/>
        <w:rPr>
          <w:color w:val="auto"/>
          <w:szCs w:val="21"/>
          <w:highlight w:val="none"/>
        </w:rPr>
      </w:pPr>
      <w:r>
        <w:rPr>
          <w:rFonts w:hint="eastAsia"/>
          <w:color w:val="auto"/>
          <w:szCs w:val="21"/>
          <w:highlight w:val="none"/>
        </w:rPr>
        <w:t>3.交货（实施）时间</w:t>
      </w:r>
    </w:p>
    <w:p w14:paraId="6B3BB4C0">
      <w:pPr>
        <w:spacing w:line="360" w:lineRule="auto"/>
        <w:rPr>
          <w:rFonts w:hint="eastAsia"/>
          <w:color w:val="auto"/>
          <w:szCs w:val="21"/>
          <w:highlight w:val="none"/>
        </w:rPr>
      </w:pPr>
      <w:r>
        <w:rPr>
          <w:rFonts w:hint="eastAsia"/>
          <w:color w:val="auto"/>
          <w:szCs w:val="21"/>
          <w:highlight w:val="none"/>
        </w:rPr>
        <w:t>自签订合同之日起至2027年10月1日</w:t>
      </w:r>
    </w:p>
    <w:p w14:paraId="15E1E47F">
      <w:pPr>
        <w:spacing w:line="360" w:lineRule="auto"/>
        <w:rPr>
          <w:color w:val="auto"/>
          <w:szCs w:val="21"/>
          <w:highlight w:val="none"/>
        </w:rPr>
      </w:pPr>
      <w:r>
        <w:rPr>
          <w:rFonts w:hint="eastAsia"/>
          <w:color w:val="auto"/>
          <w:szCs w:val="21"/>
          <w:highlight w:val="none"/>
        </w:rPr>
        <w:t>4.交货地点或服务地点</w:t>
      </w:r>
    </w:p>
    <w:p w14:paraId="61122976">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南宁市（采购人指定地点）</w:t>
      </w:r>
    </w:p>
    <w:p w14:paraId="22D436BE">
      <w:pPr>
        <w:spacing w:line="360" w:lineRule="auto"/>
        <w:rPr>
          <w:color w:val="auto"/>
          <w:szCs w:val="21"/>
          <w:highlight w:val="none"/>
        </w:rPr>
      </w:pPr>
      <w:r>
        <w:rPr>
          <w:rFonts w:hint="eastAsia"/>
          <w:color w:val="auto"/>
          <w:szCs w:val="21"/>
          <w:highlight w:val="none"/>
        </w:rPr>
        <w:t>5.验收标准</w:t>
      </w:r>
    </w:p>
    <w:p w14:paraId="4EE1F20C">
      <w:pPr>
        <w:spacing w:line="360" w:lineRule="auto"/>
        <w:rPr>
          <w:color w:val="auto"/>
          <w:szCs w:val="21"/>
          <w:highlight w:val="none"/>
        </w:rPr>
      </w:pPr>
      <w:r>
        <w:rPr>
          <w:rFonts w:hint="eastAsia"/>
          <w:color w:val="auto"/>
          <w:szCs w:val="21"/>
          <w:highlight w:val="none"/>
        </w:rPr>
        <w:t>详见采购文件合同主要条款格式部分</w:t>
      </w:r>
    </w:p>
    <w:p w14:paraId="6485D8D0">
      <w:pPr>
        <w:spacing w:line="360" w:lineRule="auto"/>
        <w:rPr>
          <w:color w:val="auto"/>
          <w:szCs w:val="21"/>
          <w:highlight w:val="none"/>
        </w:rPr>
      </w:pPr>
      <w:r>
        <w:rPr>
          <w:rFonts w:hint="eastAsia"/>
          <w:color w:val="auto"/>
          <w:szCs w:val="21"/>
          <w:highlight w:val="none"/>
        </w:rPr>
        <w:t>6.服务标准、期限、效率</w:t>
      </w:r>
    </w:p>
    <w:p w14:paraId="1764C9E2">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396D1472">
      <w:pPr>
        <w:spacing w:line="360" w:lineRule="auto"/>
        <w:rPr>
          <w:color w:val="auto"/>
          <w:szCs w:val="21"/>
          <w:highlight w:val="none"/>
        </w:rPr>
      </w:pPr>
      <w:r>
        <w:rPr>
          <w:rFonts w:hint="eastAsia"/>
          <w:color w:val="auto"/>
          <w:szCs w:val="21"/>
          <w:highlight w:val="none"/>
        </w:rPr>
        <w:t>6.1.1电话咨询</w:t>
      </w:r>
    </w:p>
    <w:p w14:paraId="6C24FF74">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6F310FE3">
      <w:pPr>
        <w:spacing w:line="360" w:lineRule="auto"/>
        <w:rPr>
          <w:color w:val="auto"/>
          <w:szCs w:val="21"/>
          <w:highlight w:val="none"/>
        </w:rPr>
      </w:pPr>
      <w:r>
        <w:rPr>
          <w:rFonts w:hint="eastAsia"/>
          <w:color w:val="auto"/>
          <w:szCs w:val="21"/>
          <w:highlight w:val="none"/>
        </w:rPr>
        <w:t>6.1.2现场响应</w:t>
      </w:r>
    </w:p>
    <w:p w14:paraId="093D2F70">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4FFF8BEF">
      <w:pPr>
        <w:spacing w:line="360" w:lineRule="auto"/>
        <w:rPr>
          <w:color w:val="auto"/>
          <w:szCs w:val="21"/>
          <w:highlight w:val="none"/>
        </w:rPr>
      </w:pPr>
      <w:r>
        <w:rPr>
          <w:rFonts w:hint="eastAsia"/>
          <w:color w:val="auto"/>
          <w:szCs w:val="21"/>
          <w:highlight w:val="none"/>
        </w:rPr>
        <w:t>6.1.3技术升级</w:t>
      </w:r>
    </w:p>
    <w:p w14:paraId="748399D3">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098E047B">
      <w:pPr>
        <w:spacing w:line="360" w:lineRule="auto"/>
        <w:rPr>
          <w:color w:val="auto"/>
          <w:szCs w:val="21"/>
          <w:highlight w:val="none"/>
        </w:rPr>
      </w:pPr>
      <w:r>
        <w:rPr>
          <w:rFonts w:hint="eastAsia"/>
          <w:color w:val="auto"/>
          <w:szCs w:val="21"/>
          <w:highlight w:val="none"/>
        </w:rPr>
        <w:t>7.培训</w:t>
      </w:r>
    </w:p>
    <w:p w14:paraId="67B853D9">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2F8BD730">
      <w:pPr>
        <w:spacing w:line="360" w:lineRule="auto"/>
        <w:rPr>
          <w:color w:val="auto"/>
          <w:szCs w:val="21"/>
          <w:highlight w:val="none"/>
        </w:rPr>
      </w:pPr>
      <w:r>
        <w:rPr>
          <w:rFonts w:hint="eastAsia"/>
          <w:color w:val="auto"/>
          <w:szCs w:val="21"/>
          <w:highlight w:val="none"/>
        </w:rPr>
        <w:t>8.付款方式、时间及条件</w:t>
      </w:r>
    </w:p>
    <w:p w14:paraId="28774E51">
      <w:pPr>
        <w:spacing w:line="360" w:lineRule="auto"/>
        <w:rPr>
          <w:color w:val="auto"/>
          <w:szCs w:val="21"/>
          <w:highlight w:val="none"/>
        </w:rPr>
      </w:pPr>
      <w:r>
        <w:rPr>
          <w:rFonts w:hint="eastAsia"/>
          <w:color w:val="auto"/>
          <w:szCs w:val="21"/>
          <w:highlight w:val="none"/>
        </w:rPr>
        <w:t>详见采购文件合同主要条款格式部分</w:t>
      </w:r>
    </w:p>
    <w:p w14:paraId="78876C69">
      <w:pPr>
        <w:spacing w:line="360" w:lineRule="auto"/>
        <w:rPr>
          <w:color w:val="auto"/>
          <w:szCs w:val="21"/>
          <w:highlight w:val="none"/>
        </w:rPr>
      </w:pPr>
      <w:r>
        <w:rPr>
          <w:rFonts w:hint="eastAsia"/>
          <w:color w:val="auto"/>
          <w:szCs w:val="21"/>
          <w:highlight w:val="none"/>
        </w:rPr>
        <w:t>9.履约保证金</w:t>
      </w:r>
    </w:p>
    <w:p w14:paraId="1041804D">
      <w:pPr>
        <w:spacing w:line="360" w:lineRule="auto"/>
        <w:rPr>
          <w:color w:val="auto"/>
          <w:szCs w:val="21"/>
          <w:highlight w:val="none"/>
        </w:rPr>
      </w:pPr>
      <w:r>
        <w:rPr>
          <w:rFonts w:hint="eastAsia"/>
          <w:color w:val="auto"/>
          <w:szCs w:val="21"/>
          <w:highlight w:val="none"/>
        </w:rPr>
        <w:t>详见采购文件合同主要条款格式部分</w:t>
      </w:r>
    </w:p>
    <w:p w14:paraId="15918695">
      <w:pPr>
        <w:spacing w:line="360" w:lineRule="auto"/>
        <w:rPr>
          <w:color w:val="auto"/>
          <w:szCs w:val="21"/>
          <w:highlight w:val="none"/>
        </w:rPr>
      </w:pPr>
      <w:r>
        <w:rPr>
          <w:rFonts w:hint="eastAsia"/>
          <w:color w:val="auto"/>
          <w:szCs w:val="21"/>
          <w:highlight w:val="none"/>
        </w:rPr>
        <w:t>10.包装和运输要求</w:t>
      </w:r>
    </w:p>
    <w:p w14:paraId="2D734761">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eastAsia="宋体"/>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176F998C">
      <w:pPr>
        <w:spacing w:line="360" w:lineRule="auto"/>
        <w:rPr>
          <w:color w:val="auto"/>
          <w:szCs w:val="21"/>
          <w:highlight w:val="none"/>
        </w:rPr>
      </w:pPr>
      <w:r>
        <w:rPr>
          <w:rFonts w:hint="eastAsia"/>
          <w:color w:val="auto"/>
          <w:szCs w:val="21"/>
          <w:highlight w:val="none"/>
        </w:rPr>
        <w:t>运输要求详见采购文件合同主要条款格式部分</w:t>
      </w:r>
    </w:p>
    <w:p w14:paraId="2FFE3916">
      <w:pPr>
        <w:spacing w:line="360" w:lineRule="auto"/>
        <w:rPr>
          <w:color w:val="auto"/>
          <w:szCs w:val="21"/>
          <w:highlight w:val="none"/>
        </w:rPr>
      </w:pPr>
      <w:r>
        <w:rPr>
          <w:rFonts w:hint="eastAsia"/>
          <w:color w:val="auto"/>
          <w:szCs w:val="21"/>
          <w:highlight w:val="none"/>
        </w:rPr>
        <w:t>11.售后服务</w:t>
      </w:r>
    </w:p>
    <w:p w14:paraId="379CA2AE">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29DDF716">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11.2成交供应商应明确承诺采购文件采购需求部分如无特别要求，则质保期为自验收合格之日起一年，采购文件采购需求部分有特别要求的则以技术参数要求表为准。</w:t>
      </w:r>
    </w:p>
    <w:p w14:paraId="0A6CA828">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207C8FDD">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45365335">
      <w:pPr>
        <w:spacing w:line="360" w:lineRule="auto"/>
        <w:rPr>
          <w:color w:val="auto"/>
          <w:szCs w:val="21"/>
          <w:highlight w:val="none"/>
        </w:rPr>
      </w:pPr>
      <w:r>
        <w:rPr>
          <w:rFonts w:hint="eastAsia"/>
          <w:color w:val="auto"/>
          <w:szCs w:val="21"/>
          <w:highlight w:val="none"/>
        </w:rPr>
        <w:t>12.保险</w:t>
      </w:r>
    </w:p>
    <w:p w14:paraId="64C5FAED">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58E70015">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51311D98">
      <w:pPr>
        <w:rPr>
          <w:rFonts w:hint="eastAsia" w:ascii="Times New Roman" w:hAnsi="Times New Roman" w:cs="Times New Roman"/>
          <w:b/>
          <w:color w:val="auto"/>
          <w:sz w:val="24"/>
          <w:szCs w:val="24"/>
          <w:highlight w:val="none"/>
          <w:lang w:val="en-US" w:eastAsia="zh-CN"/>
        </w:rPr>
      </w:pPr>
      <w:r>
        <w:rPr>
          <w:rFonts w:hint="eastAsia" w:ascii="Times New Roman" w:hAnsi="Times New Roman" w:cs="Times New Roman"/>
          <w:b/>
          <w:color w:val="auto"/>
          <w:highlight w:val="none"/>
        </w:rPr>
        <w:t>无</w:t>
      </w:r>
    </w:p>
    <w:p w14:paraId="2AAF342A">
      <w:pPr>
        <w:rPr>
          <w:rFonts w:hint="eastAsia" w:ascii="Times New Roman" w:hAnsi="Times New Roman"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br w:type="page"/>
      </w:r>
    </w:p>
    <w:p w14:paraId="3BB54434">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标项十一</w:t>
      </w:r>
    </w:p>
    <w:p w14:paraId="67F2FC89">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102EC424">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2C78CB93">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4D4B681C">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09063A9D">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ascii="Times New Roman" w:eastAsia="宋体"/>
          <w:color w:val="auto"/>
          <w:szCs w:val="21"/>
          <w:highlight w:val="none"/>
          <w:lang w:val="en-US" w:eastAsia="zh-CN"/>
        </w:rPr>
        <w:t>无效</w:t>
      </w:r>
      <w:r>
        <w:rPr>
          <w:color w:val="auto"/>
          <w:szCs w:val="21"/>
          <w:highlight w:val="none"/>
        </w:rPr>
        <w:t>。</w:t>
      </w:r>
    </w:p>
    <w:p w14:paraId="39E6BC59">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18742DA2">
      <w:pPr>
        <w:spacing w:line="360" w:lineRule="auto"/>
        <w:rPr>
          <w:color w:val="auto"/>
          <w:szCs w:val="21"/>
          <w:highlight w:val="none"/>
        </w:rPr>
      </w:pPr>
      <w:r>
        <w:rPr>
          <w:rFonts w:hint="eastAsia"/>
          <w:color w:val="auto"/>
          <w:szCs w:val="21"/>
          <w:highlight w:val="none"/>
        </w:rPr>
        <w:t>1.需实现的功能、目标及应用场景</w:t>
      </w:r>
    </w:p>
    <w:p w14:paraId="77C0D21D">
      <w:pPr>
        <w:spacing w:line="360" w:lineRule="auto"/>
        <w:rPr>
          <w:rFonts w:hint="eastAsia"/>
          <w:color w:val="auto"/>
          <w:szCs w:val="21"/>
          <w:highlight w:val="none"/>
        </w:rPr>
      </w:pPr>
      <w:r>
        <w:rPr>
          <w:rFonts w:hint="eastAsia"/>
          <w:color w:val="auto"/>
          <w:szCs w:val="21"/>
          <w:highlight w:val="none"/>
        </w:rPr>
        <w:t>满足采购文件要求，验收达到合格标准。</w:t>
      </w:r>
    </w:p>
    <w:p w14:paraId="418FFF8B">
      <w:pPr>
        <w:spacing w:line="360" w:lineRule="auto"/>
        <w:rPr>
          <w:color w:val="auto"/>
          <w:szCs w:val="21"/>
          <w:highlight w:val="none"/>
        </w:rPr>
      </w:pPr>
      <w:r>
        <w:rPr>
          <w:rFonts w:hint="eastAsia"/>
          <w:color w:val="auto"/>
          <w:szCs w:val="21"/>
          <w:highlight w:val="none"/>
        </w:rPr>
        <w:t>2.是否接受进口产品：</w:t>
      </w:r>
    </w:p>
    <w:p w14:paraId="2E309B26">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634F54F1">
      <w:pPr>
        <w:spacing w:line="360" w:lineRule="auto"/>
        <w:rPr>
          <w:color w:val="auto"/>
          <w:szCs w:val="21"/>
          <w:highlight w:val="none"/>
        </w:rPr>
      </w:pPr>
      <w:r>
        <w:rPr>
          <w:rFonts w:hint="eastAsia"/>
          <w:color w:val="auto"/>
          <w:szCs w:val="21"/>
          <w:highlight w:val="none"/>
        </w:rPr>
        <w:t>□是</w:t>
      </w:r>
    </w:p>
    <w:p w14:paraId="38243805">
      <w:pPr>
        <w:spacing w:line="360" w:lineRule="auto"/>
        <w:rPr>
          <w:color w:val="auto"/>
          <w:szCs w:val="21"/>
          <w:highlight w:val="none"/>
        </w:rPr>
      </w:pPr>
      <w:r>
        <w:rPr>
          <w:rFonts w:hint="eastAsia"/>
          <w:color w:val="auto"/>
          <w:szCs w:val="21"/>
          <w:highlight w:val="none"/>
        </w:rPr>
        <w:t>本项目</w:t>
      </w:r>
      <w:r>
        <w:rPr>
          <w:rFonts w:hint="eastAsia" w:ascii="Times New Roman" w:eastAsia="宋体"/>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2AA4B3F6">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4181DA14">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52325AA7">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64D0F56B">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6FEAAA0F">
      <w:pPr>
        <w:spacing w:line="360" w:lineRule="auto"/>
        <w:rPr>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0231BDDA">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p w14:paraId="5B5DB218">
      <w:pPr>
        <w:spacing w:line="360" w:lineRule="auto"/>
        <w:rPr>
          <w:color w:val="auto"/>
          <w:szCs w:val="21"/>
          <w:highlight w:val="none"/>
        </w:rPr>
      </w:pPr>
      <w:r>
        <w:rPr>
          <w:rFonts w:hint="eastAsia" w:ascii="Times New Roman" w:eastAsia="宋体"/>
          <w:color w:val="auto"/>
          <w:szCs w:val="21"/>
          <w:highlight w:val="none"/>
          <w:lang w:val="en-US" w:eastAsia="zh-CN"/>
        </w:rPr>
        <w:t>4</w:t>
      </w:r>
      <w:r>
        <w:rPr>
          <w:rFonts w:hint="eastAsia"/>
          <w:color w:val="auto"/>
          <w:szCs w:val="21"/>
          <w:highlight w:val="none"/>
        </w:rPr>
        <w:t>.标的所属行业：租赁和商务服务业</w:t>
      </w:r>
    </w:p>
    <w:p w14:paraId="4B13CD5D">
      <w:pPr>
        <w:spacing w:line="360" w:lineRule="auto"/>
        <w:rPr>
          <w:color w:val="auto"/>
          <w:szCs w:val="21"/>
          <w:highlight w:val="none"/>
        </w:rPr>
      </w:pPr>
      <w:r>
        <w:rPr>
          <w:rFonts w:hint="eastAsia" w:ascii="Times New Roman" w:eastAsia="宋体"/>
          <w:color w:val="auto"/>
          <w:szCs w:val="21"/>
          <w:highlight w:val="none"/>
          <w:lang w:val="en-US" w:eastAsia="zh-CN"/>
        </w:rPr>
        <w:t>5</w:t>
      </w:r>
      <w:r>
        <w:rPr>
          <w:rFonts w:hint="eastAsia"/>
          <w:color w:val="auto"/>
          <w:szCs w:val="21"/>
          <w:highlight w:val="none"/>
        </w:rPr>
        <w:t>.核心产品</w:t>
      </w:r>
    </w:p>
    <w:p w14:paraId="08255BC9">
      <w:pPr>
        <w:spacing w:line="360" w:lineRule="auto"/>
        <w:rPr>
          <w:color w:val="auto"/>
          <w:szCs w:val="21"/>
          <w:highlight w:val="none"/>
        </w:rPr>
      </w:pPr>
      <w:r>
        <w:rPr>
          <w:rFonts w:hint="eastAsia"/>
          <w:color w:val="auto"/>
          <w:szCs w:val="21"/>
          <w:highlight w:val="none"/>
        </w:rPr>
        <w:t>本项目为服务项目，不适用核心产品规定。</w:t>
      </w:r>
    </w:p>
    <w:p w14:paraId="699780E1">
      <w:pPr>
        <w:spacing w:line="360" w:lineRule="auto"/>
        <w:rPr>
          <w:rFonts w:hint="eastAsia"/>
          <w:color w:val="auto"/>
          <w:szCs w:val="21"/>
          <w:highlight w:val="none"/>
        </w:rPr>
      </w:pPr>
      <w:r>
        <w:rPr>
          <w:rFonts w:hint="eastAsia" w:ascii="Times New Roman" w:eastAsia="宋体"/>
          <w:color w:val="auto"/>
          <w:szCs w:val="21"/>
          <w:highlight w:val="none"/>
          <w:lang w:val="en-US" w:eastAsia="zh-CN"/>
        </w:rPr>
        <w:t>6</w:t>
      </w:r>
      <w:r>
        <w:rPr>
          <w:rFonts w:hint="eastAsia"/>
          <w:color w:val="auto"/>
          <w:szCs w:val="21"/>
          <w:highlight w:val="none"/>
        </w:rPr>
        <w:t>.服务内容和标准</w:t>
      </w:r>
    </w:p>
    <w:p w14:paraId="60A0E137">
      <w:pPr>
        <w:spacing w:line="360" w:lineRule="auto"/>
        <w:rPr>
          <w:rFonts w:hint="eastAsia"/>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1</w:t>
      </w:r>
      <w:r>
        <w:rPr>
          <w:rFonts w:hint="eastAsia"/>
          <w:color w:val="auto"/>
          <w:szCs w:val="21"/>
          <w:highlight w:val="none"/>
          <w:lang w:val="en-US" w:eastAsia="zh-CN"/>
        </w:rPr>
        <w:t>2026</w:t>
      </w:r>
      <w:r>
        <w:rPr>
          <w:rFonts w:hint="eastAsia"/>
          <w:color w:val="auto"/>
          <w:szCs w:val="21"/>
          <w:highlight w:val="none"/>
        </w:rPr>
        <w:t>年</w:t>
      </w:r>
      <w:r>
        <w:rPr>
          <w:rFonts w:hint="eastAsia"/>
          <w:color w:val="auto"/>
          <w:szCs w:val="21"/>
          <w:highlight w:val="none"/>
          <w:lang w:eastAsia="zh-CN"/>
        </w:rPr>
        <w:t>，</w:t>
      </w:r>
      <w:r>
        <w:rPr>
          <w:rFonts w:hint="eastAsia"/>
          <w:color w:val="auto"/>
          <w:szCs w:val="21"/>
          <w:highlight w:val="none"/>
        </w:rPr>
        <w:t>聚焦自治区民宗委在推进中华民族共同体建设采取的系列举措，取得的阶段性成效，举办的相关重要会议、特色活动，</w:t>
      </w:r>
      <w:r>
        <w:rPr>
          <w:rFonts w:hint="eastAsia"/>
          <w:color w:val="auto"/>
          <w:szCs w:val="21"/>
          <w:highlight w:val="none"/>
          <w:lang w:eastAsia="zh-CN"/>
        </w:rPr>
        <w:t>在自治区级主流电视媒体</w:t>
      </w:r>
      <w:r>
        <w:rPr>
          <w:rFonts w:hint="eastAsia"/>
          <w:color w:val="auto"/>
          <w:szCs w:val="21"/>
          <w:highlight w:val="none"/>
        </w:rPr>
        <w:t>以电视消息形式进行宣推，实现高规格、广覆盖传播</w:t>
      </w:r>
      <w:r>
        <w:rPr>
          <w:rFonts w:hint="eastAsia"/>
          <w:color w:val="auto"/>
          <w:szCs w:val="21"/>
          <w:highlight w:val="none"/>
          <w:lang w:eastAsia="zh-CN"/>
        </w:rPr>
        <w:t>。</w:t>
      </w:r>
    </w:p>
    <w:p w14:paraId="228FF8A2">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2关于民族团结进步宣传月、宣传周，“民族工作八桂行”采风活动等重大活动，提前策划做好主题报道</w:t>
      </w:r>
      <w:r>
        <w:rPr>
          <w:rFonts w:hint="eastAsia"/>
          <w:color w:val="auto"/>
          <w:szCs w:val="21"/>
          <w:highlight w:val="none"/>
          <w:lang w:eastAsia="zh-CN"/>
        </w:rPr>
        <w:t>。</w:t>
      </w:r>
    </w:p>
    <w:p w14:paraId="0C76F110">
      <w:pPr>
        <w:spacing w:line="360" w:lineRule="auto"/>
        <w:rPr>
          <w:rFonts w:hint="eastAsia" w:eastAsia="宋体"/>
          <w:color w:val="auto"/>
          <w:szCs w:val="21"/>
          <w:highlight w:val="none"/>
          <w:lang w:eastAsia="zh-CN"/>
        </w:rPr>
      </w:pPr>
      <w:r>
        <w:rPr>
          <w:rFonts w:hint="eastAsia"/>
          <w:color w:val="auto"/>
          <w:szCs w:val="21"/>
          <w:highlight w:val="none"/>
          <w:lang w:val="en-US" w:eastAsia="zh-CN"/>
        </w:rPr>
        <w:t xml:space="preserve">6.3 </w:t>
      </w:r>
      <w:r>
        <w:rPr>
          <w:rFonts w:hint="eastAsia"/>
          <w:color w:val="auto"/>
          <w:szCs w:val="21"/>
          <w:highlight w:val="none"/>
        </w:rPr>
        <w:t>在</w:t>
      </w:r>
      <w:r>
        <w:rPr>
          <w:rFonts w:hint="eastAsia"/>
          <w:color w:val="auto"/>
          <w:szCs w:val="21"/>
          <w:highlight w:val="none"/>
          <w:lang w:eastAsia="zh-CN"/>
        </w:rPr>
        <w:t>自治区级主流电视媒体的</w:t>
      </w:r>
      <w:r>
        <w:rPr>
          <w:rFonts w:hint="eastAsia"/>
          <w:color w:val="auto"/>
          <w:szCs w:val="21"/>
          <w:highlight w:val="none"/>
        </w:rPr>
        <w:t>新媒体平台重点推介2026年广西民族宗教工作的亮点和成效</w:t>
      </w:r>
      <w:r>
        <w:rPr>
          <w:rFonts w:hint="eastAsia"/>
          <w:color w:val="auto"/>
          <w:szCs w:val="21"/>
          <w:highlight w:val="none"/>
          <w:lang w:eastAsia="zh-CN"/>
        </w:rPr>
        <w:t>。</w:t>
      </w:r>
    </w:p>
    <w:p w14:paraId="2CB70A42">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w:t>
      </w:r>
      <w:r>
        <w:rPr>
          <w:rFonts w:hint="eastAsia" w:eastAsia="宋体"/>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103C8533">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657327EA">
      <w:pPr>
        <w:spacing w:line="360" w:lineRule="auto"/>
        <w:rPr>
          <w:color w:val="auto"/>
          <w:szCs w:val="21"/>
          <w:highlight w:val="none"/>
        </w:rPr>
      </w:pPr>
      <w:r>
        <w:rPr>
          <w:rFonts w:hint="eastAsia"/>
          <w:color w:val="auto"/>
          <w:szCs w:val="21"/>
          <w:highlight w:val="none"/>
        </w:rPr>
        <w:t>1．报价要求</w:t>
      </w:r>
    </w:p>
    <w:p w14:paraId="56A53481">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ascii="Times New Roman" w:eastAsia="宋体"/>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485F1C78">
      <w:pPr>
        <w:spacing w:line="360" w:lineRule="auto"/>
        <w:rPr>
          <w:color w:val="auto"/>
          <w:szCs w:val="21"/>
          <w:highlight w:val="none"/>
        </w:rPr>
      </w:pPr>
      <w:r>
        <w:rPr>
          <w:rFonts w:hint="eastAsia"/>
          <w:color w:val="auto"/>
          <w:szCs w:val="21"/>
          <w:highlight w:val="none"/>
        </w:rPr>
        <w:t>2.合同签订日期</w:t>
      </w:r>
    </w:p>
    <w:p w14:paraId="211C6F4A">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7E1DD190">
      <w:pPr>
        <w:spacing w:line="360" w:lineRule="auto"/>
        <w:rPr>
          <w:color w:val="auto"/>
          <w:szCs w:val="21"/>
          <w:highlight w:val="none"/>
        </w:rPr>
      </w:pPr>
      <w:r>
        <w:rPr>
          <w:rFonts w:hint="eastAsia"/>
          <w:color w:val="auto"/>
          <w:szCs w:val="21"/>
          <w:highlight w:val="none"/>
        </w:rPr>
        <w:t>3.交货（实施）时间</w:t>
      </w:r>
    </w:p>
    <w:p w14:paraId="4B81DF1C">
      <w:pPr>
        <w:spacing w:line="360" w:lineRule="auto"/>
        <w:rPr>
          <w:rFonts w:hint="eastAsia"/>
          <w:color w:val="auto"/>
          <w:szCs w:val="21"/>
          <w:highlight w:val="none"/>
        </w:rPr>
      </w:pPr>
      <w:r>
        <w:rPr>
          <w:rFonts w:hint="eastAsia"/>
          <w:color w:val="auto"/>
          <w:szCs w:val="21"/>
          <w:highlight w:val="none"/>
        </w:rPr>
        <w:t>自签订合同之日起至2027年10月1日</w:t>
      </w:r>
    </w:p>
    <w:p w14:paraId="11B6FD55">
      <w:pPr>
        <w:spacing w:line="360" w:lineRule="auto"/>
        <w:rPr>
          <w:color w:val="auto"/>
          <w:szCs w:val="21"/>
          <w:highlight w:val="none"/>
        </w:rPr>
      </w:pPr>
      <w:r>
        <w:rPr>
          <w:rFonts w:hint="eastAsia"/>
          <w:color w:val="auto"/>
          <w:szCs w:val="21"/>
          <w:highlight w:val="none"/>
        </w:rPr>
        <w:t>4.交货地点或服务地点</w:t>
      </w:r>
    </w:p>
    <w:p w14:paraId="1E041037">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南宁市（采购人指定地点）</w:t>
      </w:r>
    </w:p>
    <w:p w14:paraId="2C78D9BF">
      <w:pPr>
        <w:spacing w:line="360" w:lineRule="auto"/>
        <w:rPr>
          <w:color w:val="auto"/>
          <w:szCs w:val="21"/>
          <w:highlight w:val="none"/>
        </w:rPr>
      </w:pPr>
      <w:r>
        <w:rPr>
          <w:rFonts w:hint="eastAsia"/>
          <w:color w:val="auto"/>
          <w:szCs w:val="21"/>
          <w:highlight w:val="none"/>
        </w:rPr>
        <w:t>5.验收标准</w:t>
      </w:r>
    </w:p>
    <w:p w14:paraId="45175B15">
      <w:pPr>
        <w:spacing w:line="360" w:lineRule="auto"/>
        <w:rPr>
          <w:color w:val="auto"/>
          <w:szCs w:val="21"/>
          <w:highlight w:val="none"/>
        </w:rPr>
      </w:pPr>
      <w:r>
        <w:rPr>
          <w:rFonts w:hint="eastAsia"/>
          <w:color w:val="auto"/>
          <w:szCs w:val="21"/>
          <w:highlight w:val="none"/>
        </w:rPr>
        <w:t>详见采购文件合同主要条款格式部分</w:t>
      </w:r>
    </w:p>
    <w:p w14:paraId="2FA32943">
      <w:pPr>
        <w:spacing w:line="360" w:lineRule="auto"/>
        <w:rPr>
          <w:color w:val="auto"/>
          <w:szCs w:val="21"/>
          <w:highlight w:val="none"/>
        </w:rPr>
      </w:pPr>
      <w:r>
        <w:rPr>
          <w:rFonts w:hint="eastAsia"/>
          <w:color w:val="auto"/>
          <w:szCs w:val="21"/>
          <w:highlight w:val="none"/>
        </w:rPr>
        <w:t>6.服务标准、期限、效率</w:t>
      </w:r>
    </w:p>
    <w:p w14:paraId="0770EF11">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40E242C1">
      <w:pPr>
        <w:spacing w:line="360" w:lineRule="auto"/>
        <w:rPr>
          <w:color w:val="auto"/>
          <w:szCs w:val="21"/>
          <w:highlight w:val="none"/>
        </w:rPr>
      </w:pPr>
      <w:r>
        <w:rPr>
          <w:rFonts w:hint="eastAsia"/>
          <w:color w:val="auto"/>
          <w:szCs w:val="21"/>
          <w:highlight w:val="none"/>
        </w:rPr>
        <w:t>6.1.1电话咨询</w:t>
      </w:r>
    </w:p>
    <w:p w14:paraId="36ACCB9B">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29865299">
      <w:pPr>
        <w:spacing w:line="360" w:lineRule="auto"/>
        <w:rPr>
          <w:color w:val="auto"/>
          <w:szCs w:val="21"/>
          <w:highlight w:val="none"/>
        </w:rPr>
      </w:pPr>
      <w:r>
        <w:rPr>
          <w:rFonts w:hint="eastAsia"/>
          <w:color w:val="auto"/>
          <w:szCs w:val="21"/>
          <w:highlight w:val="none"/>
        </w:rPr>
        <w:t>6.1.2现场响应</w:t>
      </w:r>
    </w:p>
    <w:p w14:paraId="4DA570C9">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69C275A5">
      <w:pPr>
        <w:spacing w:line="360" w:lineRule="auto"/>
        <w:rPr>
          <w:color w:val="auto"/>
          <w:szCs w:val="21"/>
          <w:highlight w:val="none"/>
        </w:rPr>
      </w:pPr>
      <w:r>
        <w:rPr>
          <w:rFonts w:hint="eastAsia"/>
          <w:color w:val="auto"/>
          <w:szCs w:val="21"/>
          <w:highlight w:val="none"/>
        </w:rPr>
        <w:t>6.1.3技术升级</w:t>
      </w:r>
    </w:p>
    <w:p w14:paraId="6AE78A83">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678D2A0E">
      <w:pPr>
        <w:spacing w:line="360" w:lineRule="auto"/>
        <w:rPr>
          <w:color w:val="auto"/>
          <w:szCs w:val="21"/>
          <w:highlight w:val="none"/>
        </w:rPr>
      </w:pPr>
      <w:r>
        <w:rPr>
          <w:rFonts w:hint="eastAsia"/>
          <w:color w:val="auto"/>
          <w:szCs w:val="21"/>
          <w:highlight w:val="none"/>
        </w:rPr>
        <w:t>7.培训</w:t>
      </w:r>
    </w:p>
    <w:p w14:paraId="4A76C7BE">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31DA069C">
      <w:pPr>
        <w:spacing w:line="360" w:lineRule="auto"/>
        <w:rPr>
          <w:color w:val="auto"/>
          <w:szCs w:val="21"/>
          <w:highlight w:val="none"/>
        </w:rPr>
      </w:pPr>
      <w:r>
        <w:rPr>
          <w:rFonts w:hint="eastAsia"/>
          <w:color w:val="auto"/>
          <w:szCs w:val="21"/>
          <w:highlight w:val="none"/>
        </w:rPr>
        <w:t>8.付款方式、时间及条件</w:t>
      </w:r>
    </w:p>
    <w:p w14:paraId="563B9597">
      <w:pPr>
        <w:spacing w:line="360" w:lineRule="auto"/>
        <w:rPr>
          <w:color w:val="auto"/>
          <w:szCs w:val="21"/>
          <w:highlight w:val="none"/>
        </w:rPr>
      </w:pPr>
      <w:r>
        <w:rPr>
          <w:rFonts w:hint="eastAsia"/>
          <w:color w:val="auto"/>
          <w:szCs w:val="21"/>
          <w:highlight w:val="none"/>
        </w:rPr>
        <w:t>详见采购文件合同主要条款格式部分</w:t>
      </w:r>
    </w:p>
    <w:p w14:paraId="301857B7">
      <w:pPr>
        <w:spacing w:line="360" w:lineRule="auto"/>
        <w:rPr>
          <w:color w:val="auto"/>
          <w:szCs w:val="21"/>
          <w:highlight w:val="none"/>
        </w:rPr>
      </w:pPr>
      <w:r>
        <w:rPr>
          <w:rFonts w:hint="eastAsia"/>
          <w:color w:val="auto"/>
          <w:szCs w:val="21"/>
          <w:highlight w:val="none"/>
        </w:rPr>
        <w:t>9.履约保证金</w:t>
      </w:r>
    </w:p>
    <w:p w14:paraId="14B0BD46">
      <w:pPr>
        <w:spacing w:line="360" w:lineRule="auto"/>
        <w:rPr>
          <w:color w:val="auto"/>
          <w:szCs w:val="21"/>
          <w:highlight w:val="none"/>
        </w:rPr>
      </w:pPr>
      <w:r>
        <w:rPr>
          <w:rFonts w:hint="eastAsia"/>
          <w:color w:val="auto"/>
          <w:szCs w:val="21"/>
          <w:highlight w:val="none"/>
        </w:rPr>
        <w:t>详见采购文件合同主要条款格式部分</w:t>
      </w:r>
    </w:p>
    <w:p w14:paraId="74FC27F4">
      <w:pPr>
        <w:spacing w:line="360" w:lineRule="auto"/>
        <w:rPr>
          <w:color w:val="auto"/>
          <w:szCs w:val="21"/>
          <w:highlight w:val="none"/>
        </w:rPr>
      </w:pPr>
      <w:r>
        <w:rPr>
          <w:rFonts w:hint="eastAsia"/>
          <w:color w:val="auto"/>
          <w:szCs w:val="21"/>
          <w:highlight w:val="none"/>
        </w:rPr>
        <w:t>10.包装和运输要求</w:t>
      </w:r>
    </w:p>
    <w:p w14:paraId="3F09A487">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eastAsia="宋体"/>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3E73A3A6">
      <w:pPr>
        <w:spacing w:line="360" w:lineRule="auto"/>
        <w:rPr>
          <w:color w:val="auto"/>
          <w:szCs w:val="21"/>
          <w:highlight w:val="none"/>
        </w:rPr>
      </w:pPr>
      <w:r>
        <w:rPr>
          <w:rFonts w:hint="eastAsia"/>
          <w:color w:val="auto"/>
          <w:szCs w:val="21"/>
          <w:highlight w:val="none"/>
        </w:rPr>
        <w:t>运输要求详见采购文件合同主要条款格式部分</w:t>
      </w:r>
    </w:p>
    <w:p w14:paraId="771236C2">
      <w:pPr>
        <w:spacing w:line="360" w:lineRule="auto"/>
        <w:rPr>
          <w:color w:val="auto"/>
          <w:szCs w:val="21"/>
          <w:highlight w:val="none"/>
        </w:rPr>
      </w:pPr>
      <w:r>
        <w:rPr>
          <w:rFonts w:hint="eastAsia"/>
          <w:color w:val="auto"/>
          <w:szCs w:val="21"/>
          <w:highlight w:val="none"/>
        </w:rPr>
        <w:t>11.售后服务</w:t>
      </w:r>
    </w:p>
    <w:p w14:paraId="54BE46DA">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64B620A0">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11.2成交供应商应明确承诺采购文件采购需求部分如无特别要求，则质保期为自验收合格之日起一年，采购文件采购需求部分有特别要求的则以技术参数要求表为准。</w:t>
      </w:r>
    </w:p>
    <w:p w14:paraId="16080F52">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0EA1627F">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3CE20F9C">
      <w:pPr>
        <w:spacing w:line="360" w:lineRule="auto"/>
        <w:rPr>
          <w:color w:val="auto"/>
          <w:szCs w:val="21"/>
          <w:highlight w:val="none"/>
        </w:rPr>
      </w:pPr>
      <w:r>
        <w:rPr>
          <w:rFonts w:hint="eastAsia"/>
          <w:color w:val="auto"/>
          <w:szCs w:val="21"/>
          <w:highlight w:val="none"/>
        </w:rPr>
        <w:t>12.保险</w:t>
      </w:r>
    </w:p>
    <w:p w14:paraId="1FE95A14">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13224814">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346F1B23">
      <w:pPr>
        <w:spacing w:line="360" w:lineRule="auto"/>
        <w:rPr>
          <w:rFonts w:hint="eastAsia" w:ascii="Times New Roman" w:hAnsi="Times New Roman" w:cs="Times New Roman"/>
          <w:b/>
          <w:color w:val="auto"/>
          <w:highlight w:val="none"/>
        </w:rPr>
      </w:pPr>
      <w:r>
        <w:rPr>
          <w:rFonts w:hint="eastAsia" w:ascii="Times New Roman" w:hAnsi="Times New Roman" w:cs="Times New Roman"/>
          <w:b/>
          <w:color w:val="auto"/>
          <w:highlight w:val="none"/>
        </w:rPr>
        <w:t>无</w:t>
      </w:r>
    </w:p>
    <w:p w14:paraId="12B7F201">
      <w:pPr>
        <w:rPr>
          <w:rFonts w:hint="eastAsia" w:ascii="Times New Roman" w:hAnsi="Times New Roman" w:cs="Times New Roman"/>
          <w:b/>
          <w:color w:val="auto"/>
          <w:highlight w:val="none"/>
        </w:rPr>
      </w:pPr>
      <w:r>
        <w:rPr>
          <w:rFonts w:hint="eastAsia" w:ascii="Times New Roman" w:hAnsi="Times New Roman" w:cs="Times New Roman"/>
          <w:b/>
          <w:color w:val="auto"/>
          <w:highlight w:val="none"/>
        </w:rPr>
        <w:br w:type="page"/>
      </w:r>
    </w:p>
    <w:p w14:paraId="5A3408ED">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标项十二</w:t>
      </w:r>
    </w:p>
    <w:p w14:paraId="068B577B">
      <w:pPr>
        <w:spacing w:line="360" w:lineRule="auto"/>
        <w:rPr>
          <w:rFonts w:ascii="黑体" w:hAnsi="黑体" w:eastAsia="黑体" w:cs="Arial"/>
          <w:b/>
          <w:color w:val="auto"/>
          <w:kern w:val="0"/>
          <w:sz w:val="28"/>
          <w:szCs w:val="28"/>
          <w:highlight w:val="none"/>
        </w:rPr>
      </w:pPr>
      <w:r>
        <w:rPr>
          <w:rFonts w:ascii="黑体" w:hAnsi="黑体" w:eastAsia="黑体" w:cs="Arial"/>
          <w:b/>
          <w:color w:val="auto"/>
          <w:kern w:val="0"/>
          <w:sz w:val="28"/>
          <w:szCs w:val="28"/>
          <w:highlight w:val="none"/>
        </w:rPr>
        <w:t>一、</w:t>
      </w:r>
      <w:r>
        <w:rPr>
          <w:rFonts w:hint="eastAsia" w:ascii="黑体" w:hAnsi="黑体" w:eastAsia="黑体" w:cs="Arial"/>
          <w:b/>
          <w:color w:val="auto"/>
          <w:kern w:val="0"/>
          <w:sz w:val="28"/>
          <w:szCs w:val="28"/>
          <w:highlight w:val="none"/>
        </w:rPr>
        <w:t>总体</w:t>
      </w:r>
      <w:r>
        <w:rPr>
          <w:rFonts w:ascii="黑体" w:hAnsi="黑体" w:eastAsia="黑体" w:cs="Arial"/>
          <w:b/>
          <w:color w:val="auto"/>
          <w:kern w:val="0"/>
          <w:sz w:val="28"/>
          <w:szCs w:val="28"/>
          <w:highlight w:val="none"/>
        </w:rPr>
        <w:t>要求</w:t>
      </w:r>
    </w:p>
    <w:p w14:paraId="6613BB3F">
      <w:pPr>
        <w:spacing w:line="360" w:lineRule="auto"/>
        <w:rPr>
          <w:color w:val="auto"/>
          <w:szCs w:val="21"/>
          <w:highlight w:val="none"/>
        </w:rPr>
      </w:pPr>
      <w:r>
        <w:rPr>
          <w:color w:val="auto"/>
          <w:szCs w:val="21"/>
          <w:highlight w:val="none"/>
        </w:rPr>
        <w:t>1</w:t>
      </w:r>
      <w:r>
        <w:rPr>
          <w:rFonts w:hint="eastAsia"/>
          <w:color w:val="auto"/>
          <w:szCs w:val="21"/>
          <w:highlight w:val="none"/>
        </w:rPr>
        <w:t>.政府采购政策的应用</w:t>
      </w:r>
    </w:p>
    <w:p w14:paraId="4036898A">
      <w:pPr>
        <w:spacing w:line="360" w:lineRule="auto"/>
        <w:rPr>
          <w:color w:val="auto"/>
          <w:szCs w:val="21"/>
          <w:highlight w:val="none"/>
        </w:rPr>
      </w:pPr>
      <w:r>
        <w:rPr>
          <w:rFonts w:hint="eastAsia"/>
          <w:color w:val="auto"/>
          <w:szCs w:val="21"/>
          <w:highlight w:val="none"/>
        </w:rPr>
        <w:t>详见采购文件“评审方法及标准</w:t>
      </w:r>
      <w:r>
        <w:rPr>
          <w:color w:val="auto"/>
          <w:szCs w:val="21"/>
          <w:highlight w:val="none"/>
        </w:rPr>
        <w:t>/政府采购政策应用说明”。</w:t>
      </w:r>
    </w:p>
    <w:p w14:paraId="622E6F18">
      <w:pPr>
        <w:spacing w:line="360" w:lineRule="auto"/>
        <w:rPr>
          <w:color w:val="auto"/>
          <w:szCs w:val="21"/>
          <w:highlight w:val="none"/>
        </w:rPr>
      </w:pPr>
      <w:r>
        <w:rPr>
          <w:color w:val="auto"/>
          <w:szCs w:val="21"/>
          <w:highlight w:val="none"/>
        </w:rPr>
        <w:t>2</w:t>
      </w:r>
      <w:r>
        <w:rPr>
          <w:rFonts w:hint="eastAsia"/>
          <w:color w:val="auto"/>
          <w:szCs w:val="21"/>
          <w:highlight w:val="none"/>
        </w:rPr>
        <w:t>.采购需求要求未尽事宜</w:t>
      </w:r>
      <w:r>
        <w:rPr>
          <w:color w:val="auto"/>
          <w:szCs w:val="21"/>
          <w:highlight w:val="none"/>
        </w:rPr>
        <w:t>由</w:t>
      </w:r>
      <w:r>
        <w:rPr>
          <w:rFonts w:hint="eastAsia"/>
          <w:color w:val="auto"/>
          <w:szCs w:val="21"/>
          <w:highlight w:val="none"/>
        </w:rPr>
        <w:t>采购人与成交供应商</w:t>
      </w:r>
      <w:r>
        <w:rPr>
          <w:color w:val="auto"/>
          <w:szCs w:val="21"/>
          <w:highlight w:val="none"/>
        </w:rPr>
        <w:t>在采购合同中约定。</w:t>
      </w:r>
    </w:p>
    <w:p w14:paraId="6BF6654F">
      <w:pPr>
        <w:spacing w:line="360" w:lineRule="auto"/>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标注“▲”的条款或要求系指实质性条款或实质性要求，必须满足，如存在负偏离将导致响应</w:t>
      </w:r>
      <w:r>
        <w:rPr>
          <w:rFonts w:hint="eastAsia" w:ascii="Times New Roman" w:eastAsia="宋体"/>
          <w:color w:val="auto"/>
          <w:szCs w:val="21"/>
          <w:highlight w:val="none"/>
          <w:lang w:val="en-US" w:eastAsia="zh-CN"/>
        </w:rPr>
        <w:t>无效</w:t>
      </w:r>
      <w:r>
        <w:rPr>
          <w:color w:val="auto"/>
          <w:szCs w:val="21"/>
          <w:highlight w:val="none"/>
        </w:rPr>
        <w:t>。</w:t>
      </w:r>
    </w:p>
    <w:p w14:paraId="36087FAA">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二、技术要求</w:t>
      </w:r>
    </w:p>
    <w:p w14:paraId="7CA94FCF">
      <w:pPr>
        <w:spacing w:line="360" w:lineRule="auto"/>
        <w:rPr>
          <w:color w:val="auto"/>
          <w:szCs w:val="21"/>
          <w:highlight w:val="none"/>
        </w:rPr>
      </w:pPr>
      <w:r>
        <w:rPr>
          <w:rFonts w:hint="eastAsia"/>
          <w:color w:val="auto"/>
          <w:szCs w:val="21"/>
          <w:highlight w:val="none"/>
        </w:rPr>
        <w:t>1.需实现的功能、目标及应用场景</w:t>
      </w:r>
    </w:p>
    <w:p w14:paraId="5CC2419C">
      <w:pPr>
        <w:spacing w:line="360" w:lineRule="auto"/>
        <w:rPr>
          <w:rFonts w:hint="eastAsia"/>
          <w:color w:val="auto"/>
          <w:szCs w:val="21"/>
          <w:highlight w:val="none"/>
        </w:rPr>
      </w:pPr>
      <w:r>
        <w:rPr>
          <w:rFonts w:hint="eastAsia"/>
          <w:color w:val="auto"/>
          <w:szCs w:val="21"/>
          <w:highlight w:val="none"/>
        </w:rPr>
        <w:t>满足采购文件要求，验收达到合格标准。</w:t>
      </w:r>
    </w:p>
    <w:p w14:paraId="79BE1FC7">
      <w:pPr>
        <w:spacing w:line="360" w:lineRule="auto"/>
        <w:rPr>
          <w:color w:val="auto"/>
          <w:szCs w:val="21"/>
          <w:highlight w:val="none"/>
        </w:rPr>
      </w:pPr>
      <w:r>
        <w:rPr>
          <w:rFonts w:hint="eastAsia"/>
          <w:color w:val="auto"/>
          <w:szCs w:val="21"/>
          <w:highlight w:val="none"/>
        </w:rPr>
        <w:t>2.是否接受进口产品：</w:t>
      </w:r>
    </w:p>
    <w:p w14:paraId="2124D0B5">
      <w:pPr>
        <w:spacing w:line="360" w:lineRule="auto"/>
        <w:rPr>
          <w:color w:val="auto"/>
          <w:szCs w:val="21"/>
          <w:highlight w:val="none"/>
        </w:rPr>
      </w:pPr>
      <w:r>
        <w:rPr>
          <w:color w:val="auto"/>
          <w:szCs w:val="21"/>
          <w:highlight w:val="none"/>
        </w:rPr>
        <w:sym w:font="Wingdings 2" w:char="F052"/>
      </w:r>
      <w:r>
        <w:rPr>
          <w:rFonts w:hint="eastAsia"/>
          <w:color w:val="auto"/>
          <w:szCs w:val="21"/>
          <w:highlight w:val="none"/>
        </w:rPr>
        <w:t>否</w:t>
      </w:r>
    </w:p>
    <w:p w14:paraId="66D5BF47">
      <w:pPr>
        <w:spacing w:line="360" w:lineRule="auto"/>
        <w:rPr>
          <w:color w:val="auto"/>
          <w:szCs w:val="21"/>
          <w:highlight w:val="none"/>
        </w:rPr>
      </w:pPr>
      <w:r>
        <w:rPr>
          <w:rFonts w:hint="eastAsia"/>
          <w:color w:val="auto"/>
          <w:szCs w:val="21"/>
          <w:highlight w:val="none"/>
        </w:rPr>
        <w:t>□是</w:t>
      </w:r>
    </w:p>
    <w:p w14:paraId="1834C599">
      <w:pPr>
        <w:spacing w:line="360" w:lineRule="auto"/>
        <w:rPr>
          <w:color w:val="auto"/>
          <w:szCs w:val="21"/>
          <w:highlight w:val="none"/>
        </w:rPr>
      </w:pPr>
      <w:r>
        <w:rPr>
          <w:rFonts w:hint="eastAsia"/>
          <w:color w:val="auto"/>
          <w:szCs w:val="21"/>
          <w:highlight w:val="none"/>
        </w:rPr>
        <w:t>本项目</w:t>
      </w:r>
      <w:r>
        <w:rPr>
          <w:rFonts w:hint="eastAsia" w:ascii="Times New Roman" w:eastAsia="宋体"/>
          <w:color w:val="auto"/>
          <w:szCs w:val="21"/>
          <w:highlight w:val="none"/>
          <w:u w:val="single"/>
          <w:lang w:val="en-US" w:eastAsia="zh-CN"/>
        </w:rPr>
        <w:t xml:space="preserve">      </w:t>
      </w:r>
      <w:r>
        <w:rPr>
          <w:rFonts w:hint="eastAsia"/>
          <w:color w:val="auto"/>
          <w:szCs w:val="21"/>
          <w:highlight w:val="none"/>
        </w:rPr>
        <w:t>接受进口产品，其余货物不接受进口产品。</w:t>
      </w:r>
    </w:p>
    <w:p w14:paraId="02316E2F">
      <w:pPr>
        <w:spacing w:line="360" w:lineRule="auto"/>
        <w:rPr>
          <w:color w:val="auto"/>
          <w:szCs w:val="21"/>
          <w:highlight w:val="none"/>
        </w:rPr>
      </w:pPr>
      <w:r>
        <w:rPr>
          <w:rFonts w:hint="eastAsia"/>
          <w:color w:val="auto"/>
          <w:szCs w:val="21"/>
          <w:highlight w:val="none"/>
        </w:rPr>
        <w:t>注：（</w:t>
      </w:r>
      <w:r>
        <w:rPr>
          <w:color w:val="auto"/>
          <w:szCs w:val="21"/>
          <w:highlight w:val="none"/>
        </w:rPr>
        <w:t>1）以上所述不接受进口产品的，供应商不得选用进口产品参与响应，否则响应按无效响应处理；列明接受进口产品的分项，供应商可以选用进口产品参与响应，但不排斥国内产品。</w:t>
      </w:r>
    </w:p>
    <w:p w14:paraId="63802307">
      <w:pPr>
        <w:spacing w:line="360" w:lineRule="auto"/>
        <w:rPr>
          <w:color w:val="auto"/>
          <w:szCs w:val="21"/>
          <w:highlight w:val="none"/>
        </w:rPr>
      </w:pPr>
      <w:r>
        <w:rPr>
          <w:rFonts w:hint="eastAsia"/>
          <w:color w:val="auto"/>
          <w:szCs w:val="21"/>
          <w:highlight w:val="none"/>
        </w:rPr>
        <w:t>（</w:t>
      </w:r>
      <w:r>
        <w:rPr>
          <w:color w:val="auto"/>
          <w:szCs w:val="21"/>
          <w:highlight w:val="none"/>
        </w:rPr>
        <w:t>2）如本项目接受进口产品，供应商选择提供进口产品，则提供的必须为全新原装进口产品，报价中应包括关税等所有进口环节费用并由成交供应商办理进口相关手续，供应商报价中应自行考虑海关关税政策变化带来的风险，采购人不承担该政策变化所造成的费用增加。</w:t>
      </w:r>
    </w:p>
    <w:p w14:paraId="6B28F4AF">
      <w:pPr>
        <w:spacing w:line="360" w:lineRule="auto"/>
        <w:rPr>
          <w:color w:val="auto"/>
          <w:szCs w:val="21"/>
          <w:highlight w:val="none"/>
        </w:rPr>
      </w:pPr>
      <w:r>
        <w:rPr>
          <w:rFonts w:hint="eastAsia"/>
          <w:color w:val="auto"/>
          <w:szCs w:val="21"/>
          <w:highlight w:val="none"/>
        </w:rPr>
        <w:t>（</w:t>
      </w:r>
      <w:r>
        <w:rPr>
          <w:color w:val="auto"/>
          <w:szCs w:val="21"/>
          <w:highlight w:val="none"/>
        </w:rPr>
        <w:t>3）进口产品是指通过中国海关报关验放进入中国境内且产自关境外的产品。</w:t>
      </w:r>
    </w:p>
    <w:p w14:paraId="16EC8352">
      <w:pPr>
        <w:spacing w:line="360" w:lineRule="auto"/>
        <w:rPr>
          <w:rFonts w:hint="eastAsia"/>
          <w:color w:val="auto"/>
          <w:szCs w:val="21"/>
          <w:highlight w:val="none"/>
        </w:rPr>
      </w:pPr>
      <w:r>
        <w:rPr>
          <w:rFonts w:hint="eastAsia"/>
          <w:color w:val="auto"/>
          <w:szCs w:val="21"/>
          <w:highlight w:val="none"/>
        </w:rPr>
        <w:t>（</w:t>
      </w:r>
      <w:r>
        <w:rPr>
          <w:color w:val="auto"/>
          <w:szCs w:val="21"/>
          <w:highlight w:val="none"/>
        </w:rPr>
        <w:t>4）其余内容以《政府采购进口产品管理办法》（财库〔2007〕119号）和《关于政府采购进口产品管理有关问题的通知》（财办库</w:t>
      </w:r>
      <w:r>
        <w:rPr>
          <w:rFonts w:hint="eastAsia" w:eastAsia="宋体"/>
          <w:color w:val="auto"/>
          <w:szCs w:val="21"/>
          <w:highlight w:val="none"/>
          <w:lang w:eastAsia="zh-CN"/>
        </w:rPr>
        <w:t>〔2008〕248号</w:t>
      </w:r>
      <w:r>
        <w:rPr>
          <w:color w:val="auto"/>
          <w:szCs w:val="21"/>
          <w:highlight w:val="none"/>
        </w:rPr>
        <w:t>）的相关规定为准。</w:t>
      </w:r>
    </w:p>
    <w:p w14:paraId="116DF89E">
      <w:pPr>
        <w:spacing w:line="360" w:lineRule="auto"/>
        <w:rPr>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w:t>
      </w:r>
      <w:r>
        <w:rPr>
          <w:color w:val="auto"/>
          <w:szCs w:val="21"/>
          <w:highlight w:val="none"/>
        </w:rPr>
        <w:t>需执行的国家相关标准、行业标准、地方标准或者其他标准、规范</w:t>
      </w:r>
    </w:p>
    <w:p w14:paraId="08350791">
      <w:pPr>
        <w:spacing w:line="360" w:lineRule="auto"/>
        <w:rPr>
          <w:rFonts w:hint="eastAsia"/>
          <w:color w:val="auto"/>
          <w:szCs w:val="21"/>
          <w:highlight w:val="none"/>
          <w:u w:val="single"/>
        </w:rPr>
      </w:pPr>
      <w:r>
        <w:rPr>
          <w:rFonts w:hint="eastAsia"/>
          <w:color w:val="auto"/>
          <w:szCs w:val="21"/>
          <w:highlight w:val="none"/>
        </w:rPr>
        <w:t>本项目应执行的国家相关标准、行业标准、地方标准或者其他标准、规范为：</w:t>
      </w:r>
      <w:r>
        <w:rPr>
          <w:rFonts w:hint="eastAsia"/>
          <w:i w:val="0"/>
          <w:iCs/>
          <w:color w:val="auto"/>
          <w:szCs w:val="21"/>
          <w:highlight w:val="none"/>
          <w:u w:val="single"/>
        </w:rPr>
        <w:t>详见技术指标要求</w:t>
      </w:r>
    </w:p>
    <w:p w14:paraId="747223E7">
      <w:pPr>
        <w:spacing w:line="360" w:lineRule="auto"/>
        <w:rPr>
          <w:color w:val="auto"/>
          <w:szCs w:val="21"/>
          <w:highlight w:val="none"/>
        </w:rPr>
      </w:pPr>
      <w:r>
        <w:rPr>
          <w:rFonts w:hint="eastAsia" w:ascii="Times New Roman" w:eastAsia="宋体"/>
          <w:color w:val="auto"/>
          <w:szCs w:val="21"/>
          <w:highlight w:val="none"/>
          <w:lang w:val="en-US" w:eastAsia="zh-CN"/>
        </w:rPr>
        <w:t>4</w:t>
      </w:r>
      <w:r>
        <w:rPr>
          <w:rFonts w:hint="eastAsia"/>
          <w:color w:val="auto"/>
          <w:szCs w:val="21"/>
          <w:highlight w:val="none"/>
        </w:rPr>
        <w:t>.标的所属行业：租赁和商务服务业</w:t>
      </w:r>
    </w:p>
    <w:p w14:paraId="3CADC2B8">
      <w:pPr>
        <w:spacing w:line="360" w:lineRule="auto"/>
        <w:rPr>
          <w:color w:val="auto"/>
          <w:szCs w:val="21"/>
          <w:highlight w:val="none"/>
        </w:rPr>
      </w:pPr>
      <w:r>
        <w:rPr>
          <w:rFonts w:hint="eastAsia" w:ascii="Times New Roman" w:eastAsia="宋体"/>
          <w:color w:val="auto"/>
          <w:szCs w:val="21"/>
          <w:highlight w:val="none"/>
          <w:lang w:val="en-US" w:eastAsia="zh-CN"/>
        </w:rPr>
        <w:t>5</w:t>
      </w:r>
      <w:r>
        <w:rPr>
          <w:rFonts w:hint="eastAsia"/>
          <w:color w:val="auto"/>
          <w:szCs w:val="21"/>
          <w:highlight w:val="none"/>
        </w:rPr>
        <w:t>.核心产品</w:t>
      </w:r>
    </w:p>
    <w:p w14:paraId="43F914C4">
      <w:pPr>
        <w:spacing w:line="360" w:lineRule="auto"/>
        <w:rPr>
          <w:color w:val="auto"/>
          <w:szCs w:val="21"/>
          <w:highlight w:val="none"/>
        </w:rPr>
      </w:pPr>
      <w:r>
        <w:rPr>
          <w:rFonts w:hint="eastAsia"/>
          <w:color w:val="auto"/>
          <w:szCs w:val="21"/>
          <w:highlight w:val="none"/>
        </w:rPr>
        <w:t>本项目为服务项目，不适用核心产品规定。</w:t>
      </w:r>
    </w:p>
    <w:p w14:paraId="3A2F0560">
      <w:pPr>
        <w:spacing w:line="360" w:lineRule="auto"/>
        <w:rPr>
          <w:rFonts w:hint="eastAsia"/>
          <w:color w:val="auto"/>
          <w:szCs w:val="21"/>
          <w:highlight w:val="none"/>
        </w:rPr>
      </w:pPr>
      <w:r>
        <w:rPr>
          <w:rFonts w:hint="eastAsia" w:ascii="Times New Roman" w:eastAsia="宋体"/>
          <w:color w:val="auto"/>
          <w:szCs w:val="21"/>
          <w:highlight w:val="none"/>
          <w:lang w:val="en-US" w:eastAsia="zh-CN"/>
        </w:rPr>
        <w:t>6</w:t>
      </w:r>
      <w:r>
        <w:rPr>
          <w:rFonts w:hint="eastAsia"/>
          <w:color w:val="auto"/>
          <w:szCs w:val="21"/>
          <w:highlight w:val="none"/>
        </w:rPr>
        <w:t>.服务内容和标准</w:t>
      </w:r>
    </w:p>
    <w:p w14:paraId="78816CFF">
      <w:pPr>
        <w:spacing w:line="360" w:lineRule="auto"/>
        <w:rPr>
          <w:rFonts w:hint="eastAsia"/>
          <w:color w:val="auto"/>
          <w:szCs w:val="21"/>
          <w:highlight w:val="none"/>
          <w:lang w:eastAsia="zh-CN"/>
        </w:rPr>
      </w:pPr>
      <w:r>
        <w:rPr>
          <w:rFonts w:hint="eastAsia" w:ascii="Times New Roman" w:eastAsia="宋体"/>
          <w:color w:val="auto"/>
          <w:szCs w:val="21"/>
          <w:highlight w:val="none"/>
          <w:lang w:val="en-US" w:eastAsia="zh-CN"/>
        </w:rPr>
        <w:t>6.</w:t>
      </w:r>
      <w:r>
        <w:rPr>
          <w:rFonts w:hint="eastAsia"/>
          <w:color w:val="auto"/>
          <w:szCs w:val="21"/>
          <w:highlight w:val="none"/>
        </w:rPr>
        <w:t>1围绕广西“中华文化符号”进行AI短视频主题策划、公益广告等，选择若干中华文化符号，制作15—30秒短视频，在重要主流官方媒体平台上宣传</w:t>
      </w:r>
      <w:r>
        <w:rPr>
          <w:rFonts w:hint="eastAsia"/>
          <w:color w:val="auto"/>
          <w:szCs w:val="21"/>
          <w:highlight w:val="none"/>
          <w:lang w:eastAsia="zh-CN"/>
        </w:rPr>
        <w:t>。</w:t>
      </w:r>
    </w:p>
    <w:p w14:paraId="78D9A1A4">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2配合开展铸牢中华民族共同体意识宣讲，在</w:t>
      </w:r>
      <w:r>
        <w:rPr>
          <w:rFonts w:hint="eastAsia"/>
          <w:color w:val="auto"/>
          <w:szCs w:val="21"/>
          <w:highlight w:val="none"/>
          <w:lang w:eastAsia="zh-CN"/>
        </w:rPr>
        <w:t>自治区</w:t>
      </w:r>
      <w:r>
        <w:rPr>
          <w:rFonts w:hint="eastAsia"/>
          <w:color w:val="auto"/>
          <w:szCs w:val="21"/>
          <w:highlight w:val="none"/>
        </w:rPr>
        <w:t>重要主流官方媒体平台，提前预热、实时直播、后续宣传，扩大活动覆盖面与影响力</w:t>
      </w:r>
      <w:r>
        <w:rPr>
          <w:rFonts w:hint="eastAsia"/>
          <w:color w:val="auto"/>
          <w:szCs w:val="21"/>
          <w:highlight w:val="none"/>
          <w:lang w:eastAsia="zh-CN"/>
        </w:rPr>
        <w:t>。</w:t>
      </w:r>
    </w:p>
    <w:p w14:paraId="1B78AE27">
      <w:pPr>
        <w:spacing w:line="360" w:lineRule="auto"/>
        <w:rPr>
          <w:rFonts w:hint="eastAsia"/>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3在</w:t>
      </w:r>
      <w:r>
        <w:rPr>
          <w:rFonts w:hint="eastAsia"/>
          <w:color w:val="auto"/>
          <w:szCs w:val="21"/>
          <w:highlight w:val="none"/>
          <w:lang w:eastAsia="zh-CN"/>
        </w:rPr>
        <w:t>自治区</w:t>
      </w:r>
      <w:r>
        <w:rPr>
          <w:rFonts w:hint="eastAsia"/>
          <w:color w:val="auto"/>
          <w:szCs w:val="21"/>
          <w:highlight w:val="none"/>
        </w:rPr>
        <w:t>重要主流官方媒体平台，对巴马瑶族自治县70周年县庆活动开展动态报道，包括县庆开幕式、经济发展成果展示、民生项目建设等</w:t>
      </w:r>
      <w:r>
        <w:rPr>
          <w:rFonts w:hint="eastAsia"/>
          <w:color w:val="auto"/>
          <w:szCs w:val="21"/>
          <w:highlight w:val="none"/>
          <w:lang w:eastAsia="zh-CN"/>
        </w:rPr>
        <w:t>。</w:t>
      </w:r>
    </w:p>
    <w:p w14:paraId="47C90380">
      <w:pPr>
        <w:spacing w:line="360" w:lineRule="auto"/>
        <w:rPr>
          <w:rFonts w:hint="eastAsia" w:eastAsia="宋体"/>
          <w:color w:val="auto"/>
          <w:szCs w:val="21"/>
          <w:highlight w:val="none"/>
          <w:lang w:eastAsia="zh-CN"/>
        </w:rPr>
      </w:pPr>
      <w:r>
        <w:rPr>
          <w:rFonts w:hint="eastAsia"/>
          <w:color w:val="auto"/>
          <w:szCs w:val="21"/>
          <w:highlight w:val="none"/>
          <w:lang w:val="en-US" w:eastAsia="zh-CN"/>
        </w:rPr>
        <w:t>6.</w:t>
      </w:r>
      <w:r>
        <w:rPr>
          <w:rFonts w:hint="eastAsia"/>
          <w:color w:val="auto"/>
          <w:szCs w:val="21"/>
          <w:highlight w:val="none"/>
        </w:rPr>
        <w:t>4制作若干个民族团结进步模范、互嵌式社区、解读民族团结促进法的短视频，在</w:t>
      </w:r>
      <w:r>
        <w:rPr>
          <w:rFonts w:hint="eastAsia"/>
          <w:color w:val="auto"/>
          <w:szCs w:val="21"/>
          <w:highlight w:val="none"/>
          <w:lang w:eastAsia="zh-CN"/>
        </w:rPr>
        <w:t>自治区</w:t>
      </w:r>
      <w:r>
        <w:rPr>
          <w:rFonts w:hint="eastAsia"/>
          <w:color w:val="auto"/>
          <w:szCs w:val="21"/>
          <w:highlight w:val="none"/>
        </w:rPr>
        <w:t>重要主流官方媒体平台开展宣传</w:t>
      </w:r>
      <w:r>
        <w:rPr>
          <w:rFonts w:hint="eastAsia"/>
          <w:color w:val="auto"/>
          <w:szCs w:val="21"/>
          <w:highlight w:val="none"/>
          <w:lang w:eastAsia="zh-CN"/>
        </w:rPr>
        <w:t>。</w:t>
      </w:r>
    </w:p>
    <w:p w14:paraId="7475911A">
      <w:pPr>
        <w:spacing w:line="360" w:lineRule="auto"/>
        <w:rPr>
          <w:rFonts w:hint="eastAsia"/>
          <w:color w:val="auto"/>
          <w:szCs w:val="21"/>
          <w:highlight w:val="none"/>
        </w:rPr>
      </w:pPr>
      <w:r>
        <w:rPr>
          <w:rFonts w:hint="eastAsia"/>
          <w:color w:val="auto"/>
          <w:szCs w:val="21"/>
          <w:highlight w:val="none"/>
        </w:rPr>
        <w:t>注：</w:t>
      </w:r>
      <w:r>
        <w:rPr>
          <w:color w:val="auto"/>
          <w:szCs w:val="21"/>
          <w:highlight w:val="none"/>
        </w:rPr>
        <w:t>所属行业标明</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w:t>
      </w:r>
      <w:r>
        <w:rPr>
          <w:rFonts w:hint="eastAsia" w:eastAsia="宋体"/>
          <w:color w:val="auto"/>
          <w:szCs w:val="21"/>
          <w:highlight w:val="none"/>
          <w:lang w:eastAsia="zh-CN"/>
        </w:rPr>
        <w:t>”</w:t>
      </w:r>
      <w:r>
        <w:rPr>
          <w:color w:val="auto"/>
          <w:szCs w:val="21"/>
          <w:highlight w:val="none"/>
        </w:rPr>
        <w:t>的</w:t>
      </w:r>
      <w:r>
        <w:rPr>
          <w:rFonts w:hint="eastAsia"/>
          <w:color w:val="auto"/>
          <w:szCs w:val="21"/>
          <w:highlight w:val="none"/>
        </w:rPr>
        <w:t>采购</w:t>
      </w:r>
      <w:r>
        <w:rPr>
          <w:color w:val="auto"/>
          <w:szCs w:val="21"/>
          <w:highlight w:val="none"/>
        </w:rPr>
        <w:t>标的，</w:t>
      </w:r>
      <w:r>
        <w:rPr>
          <w:rFonts w:hint="eastAsia"/>
          <w:color w:val="auto"/>
          <w:szCs w:val="21"/>
          <w:highlight w:val="none"/>
        </w:rPr>
        <w:t>无需在</w:t>
      </w:r>
      <w:r>
        <w:rPr>
          <w:color w:val="auto"/>
          <w:szCs w:val="21"/>
          <w:highlight w:val="none"/>
        </w:rPr>
        <w:t>中小企业声明函</w:t>
      </w:r>
      <w:r>
        <w:rPr>
          <w:rFonts w:hint="eastAsia"/>
          <w:color w:val="auto"/>
          <w:szCs w:val="21"/>
          <w:highlight w:val="none"/>
        </w:rPr>
        <w:t>中填写</w:t>
      </w:r>
      <w:r>
        <w:rPr>
          <w:color w:val="auto"/>
          <w:szCs w:val="21"/>
          <w:highlight w:val="none"/>
        </w:rPr>
        <w:t>。</w:t>
      </w:r>
    </w:p>
    <w:p w14:paraId="06A0E422">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三、商务要求</w:t>
      </w:r>
    </w:p>
    <w:p w14:paraId="4B6FCCAA">
      <w:pPr>
        <w:spacing w:line="360" w:lineRule="auto"/>
        <w:rPr>
          <w:color w:val="auto"/>
          <w:szCs w:val="21"/>
          <w:highlight w:val="none"/>
        </w:rPr>
      </w:pPr>
      <w:r>
        <w:rPr>
          <w:rFonts w:hint="eastAsia"/>
          <w:color w:val="auto"/>
          <w:szCs w:val="21"/>
          <w:highlight w:val="none"/>
        </w:rPr>
        <w:t>1．报价要求</w:t>
      </w:r>
    </w:p>
    <w:p w14:paraId="0B20DBBE">
      <w:pPr>
        <w:spacing w:line="360" w:lineRule="auto"/>
        <w:rPr>
          <w:color w:val="auto"/>
          <w:szCs w:val="21"/>
          <w:highlight w:val="none"/>
        </w:rPr>
      </w:pPr>
      <w:r>
        <w:rPr>
          <w:rFonts w:hint="eastAsia"/>
          <w:color w:val="auto"/>
          <w:szCs w:val="21"/>
          <w:highlight w:val="none"/>
        </w:rPr>
        <w:t>本次报价须为人民币报价，包含服务交付成果、设计、编绘、组织、策划、开发、调研、安装、调试、技术协助、校准、培训、维修、技术指导</w:t>
      </w:r>
      <w:r>
        <w:rPr>
          <w:rFonts w:hint="eastAsia" w:ascii="Times New Roman" w:eastAsia="宋体"/>
          <w:color w:val="auto"/>
          <w:szCs w:val="21"/>
          <w:highlight w:val="none"/>
          <w:lang w:val="en-US" w:eastAsia="zh-CN"/>
        </w:rPr>
        <w:t>、代理费</w:t>
      </w:r>
      <w:r>
        <w:rPr>
          <w:rFonts w:hint="eastAsia"/>
          <w:color w:val="auto"/>
          <w:szCs w:val="21"/>
          <w:highlight w:val="none"/>
        </w:rPr>
        <w:t>等类似服务内容的全部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p w14:paraId="4474AAF9">
      <w:pPr>
        <w:spacing w:line="360" w:lineRule="auto"/>
        <w:rPr>
          <w:color w:val="auto"/>
          <w:szCs w:val="21"/>
          <w:highlight w:val="none"/>
        </w:rPr>
      </w:pPr>
      <w:r>
        <w:rPr>
          <w:rFonts w:hint="eastAsia"/>
          <w:color w:val="auto"/>
          <w:szCs w:val="21"/>
          <w:highlight w:val="none"/>
        </w:rPr>
        <w:t>2.合同签订日期</w:t>
      </w:r>
    </w:p>
    <w:p w14:paraId="30086D60">
      <w:pPr>
        <w:spacing w:line="360" w:lineRule="auto"/>
        <w:rPr>
          <w:rFonts w:ascii="宋体" w:hAnsi="宋体"/>
          <w:i/>
          <w:color w:val="auto"/>
          <w:sz w:val="28"/>
          <w:szCs w:val="28"/>
          <w:highlight w:val="none"/>
        </w:rPr>
      </w:pPr>
      <w:r>
        <w:rPr>
          <w:rFonts w:hint="eastAsia"/>
          <w:color w:val="auto"/>
          <w:szCs w:val="21"/>
          <w:highlight w:val="none"/>
        </w:rPr>
        <w:t>成交通知书发出后25日内。</w:t>
      </w:r>
    </w:p>
    <w:p w14:paraId="758C69F9">
      <w:pPr>
        <w:spacing w:line="360" w:lineRule="auto"/>
        <w:rPr>
          <w:color w:val="auto"/>
          <w:szCs w:val="21"/>
          <w:highlight w:val="none"/>
        </w:rPr>
      </w:pPr>
      <w:r>
        <w:rPr>
          <w:rFonts w:hint="eastAsia"/>
          <w:color w:val="auto"/>
          <w:szCs w:val="21"/>
          <w:highlight w:val="none"/>
        </w:rPr>
        <w:t>3.交货（实施）时间</w:t>
      </w:r>
    </w:p>
    <w:p w14:paraId="3BE357E2">
      <w:pPr>
        <w:spacing w:line="360" w:lineRule="auto"/>
        <w:rPr>
          <w:rFonts w:hint="eastAsia"/>
          <w:color w:val="auto"/>
          <w:szCs w:val="21"/>
          <w:highlight w:val="none"/>
        </w:rPr>
      </w:pPr>
      <w:r>
        <w:rPr>
          <w:rFonts w:hint="eastAsia"/>
          <w:color w:val="auto"/>
          <w:szCs w:val="21"/>
          <w:highlight w:val="none"/>
        </w:rPr>
        <w:t>自签订合同之日起至2027年10月1日</w:t>
      </w:r>
    </w:p>
    <w:p w14:paraId="4B4ABB6A">
      <w:pPr>
        <w:spacing w:line="360" w:lineRule="auto"/>
        <w:rPr>
          <w:color w:val="auto"/>
          <w:szCs w:val="21"/>
          <w:highlight w:val="none"/>
        </w:rPr>
      </w:pPr>
      <w:r>
        <w:rPr>
          <w:rFonts w:hint="eastAsia"/>
          <w:color w:val="auto"/>
          <w:szCs w:val="21"/>
          <w:highlight w:val="none"/>
        </w:rPr>
        <w:t>4.交货地点或服务地点</w:t>
      </w:r>
    </w:p>
    <w:p w14:paraId="63F710F9">
      <w:pPr>
        <w:spacing w:line="360" w:lineRule="auto"/>
        <w:rPr>
          <w:rFonts w:hint="eastAsia" w:eastAsia="宋体"/>
          <w:color w:val="auto"/>
          <w:szCs w:val="21"/>
          <w:highlight w:val="none"/>
          <w:lang w:eastAsia="zh-CN"/>
        </w:rPr>
      </w:pPr>
      <w:r>
        <w:rPr>
          <w:rFonts w:hint="eastAsia" w:ascii="Times New Roman" w:eastAsia="宋体"/>
          <w:color w:val="auto"/>
          <w:szCs w:val="21"/>
          <w:highlight w:val="none"/>
          <w:lang w:val="en-US" w:eastAsia="zh-CN"/>
        </w:rPr>
        <w:t>南宁市（采购人指定地点）</w:t>
      </w:r>
    </w:p>
    <w:p w14:paraId="5895E38F">
      <w:pPr>
        <w:spacing w:line="360" w:lineRule="auto"/>
        <w:rPr>
          <w:color w:val="auto"/>
          <w:szCs w:val="21"/>
          <w:highlight w:val="none"/>
        </w:rPr>
      </w:pPr>
      <w:r>
        <w:rPr>
          <w:rFonts w:hint="eastAsia"/>
          <w:color w:val="auto"/>
          <w:szCs w:val="21"/>
          <w:highlight w:val="none"/>
        </w:rPr>
        <w:t>5.验收标准</w:t>
      </w:r>
    </w:p>
    <w:p w14:paraId="7544F644">
      <w:pPr>
        <w:spacing w:line="360" w:lineRule="auto"/>
        <w:rPr>
          <w:color w:val="auto"/>
          <w:szCs w:val="21"/>
          <w:highlight w:val="none"/>
        </w:rPr>
      </w:pPr>
      <w:r>
        <w:rPr>
          <w:rFonts w:hint="eastAsia"/>
          <w:color w:val="auto"/>
          <w:szCs w:val="21"/>
          <w:highlight w:val="none"/>
        </w:rPr>
        <w:t>详见采购文件合同主要条款格式部分</w:t>
      </w:r>
    </w:p>
    <w:p w14:paraId="54CE7398">
      <w:pPr>
        <w:spacing w:line="360" w:lineRule="auto"/>
        <w:rPr>
          <w:color w:val="auto"/>
          <w:szCs w:val="21"/>
          <w:highlight w:val="none"/>
        </w:rPr>
      </w:pPr>
      <w:r>
        <w:rPr>
          <w:rFonts w:hint="eastAsia"/>
          <w:color w:val="auto"/>
          <w:szCs w:val="21"/>
          <w:highlight w:val="none"/>
        </w:rPr>
        <w:t>6.服务标准、期限、效率</w:t>
      </w:r>
    </w:p>
    <w:p w14:paraId="7832043B">
      <w:pPr>
        <w:spacing w:line="360" w:lineRule="auto"/>
        <w:rPr>
          <w:color w:val="auto"/>
          <w:szCs w:val="21"/>
          <w:highlight w:val="none"/>
        </w:rPr>
      </w:pPr>
      <w:r>
        <w:rPr>
          <w:rFonts w:hint="eastAsia"/>
          <w:color w:val="auto"/>
          <w:szCs w:val="21"/>
          <w:highlight w:val="none"/>
        </w:rPr>
        <w:t>6.1成交供应商在质量保证期内应当为采购人提供以下技术支持和服务：</w:t>
      </w:r>
    </w:p>
    <w:p w14:paraId="4AC52F43">
      <w:pPr>
        <w:spacing w:line="360" w:lineRule="auto"/>
        <w:rPr>
          <w:color w:val="auto"/>
          <w:szCs w:val="21"/>
          <w:highlight w:val="none"/>
        </w:rPr>
      </w:pPr>
      <w:r>
        <w:rPr>
          <w:rFonts w:hint="eastAsia"/>
          <w:color w:val="auto"/>
          <w:szCs w:val="21"/>
          <w:highlight w:val="none"/>
        </w:rPr>
        <w:t>6.1.1电话咨询</w:t>
      </w:r>
    </w:p>
    <w:p w14:paraId="50A7B0C5">
      <w:pPr>
        <w:spacing w:line="360" w:lineRule="auto"/>
        <w:rPr>
          <w:color w:val="auto"/>
          <w:szCs w:val="21"/>
          <w:highlight w:val="none"/>
        </w:rPr>
      </w:pPr>
      <w:r>
        <w:rPr>
          <w:rFonts w:hint="eastAsia"/>
          <w:color w:val="auto"/>
          <w:szCs w:val="21"/>
          <w:highlight w:val="none"/>
        </w:rPr>
        <w:t>成交供应商应当为采购人提供技术援助电话，解答采购人在使用中遇到的问题，及时为采购人提出解决问题的建议。</w:t>
      </w:r>
    </w:p>
    <w:p w14:paraId="77293031">
      <w:pPr>
        <w:spacing w:line="360" w:lineRule="auto"/>
        <w:rPr>
          <w:color w:val="auto"/>
          <w:szCs w:val="21"/>
          <w:highlight w:val="none"/>
        </w:rPr>
      </w:pPr>
      <w:r>
        <w:rPr>
          <w:rFonts w:hint="eastAsia"/>
          <w:color w:val="auto"/>
          <w:szCs w:val="21"/>
          <w:highlight w:val="none"/>
        </w:rPr>
        <w:t>6.1.2现场响应</w:t>
      </w:r>
    </w:p>
    <w:p w14:paraId="00AAA543">
      <w:pPr>
        <w:spacing w:line="360" w:lineRule="auto"/>
        <w:rPr>
          <w:color w:val="auto"/>
          <w:szCs w:val="21"/>
          <w:highlight w:val="none"/>
        </w:rPr>
      </w:pPr>
      <w:r>
        <w:rPr>
          <w:rFonts w:hint="eastAsia"/>
          <w:color w:val="auto"/>
          <w:szCs w:val="21"/>
          <w:highlight w:val="none"/>
        </w:rPr>
        <w:t>采购人遇到使用或技术问题，电话咨询不能解决的，成交供应商应在2小时内到达现场进行处理，到达现场后2小时内排除故障，恢复正常使用。</w:t>
      </w:r>
    </w:p>
    <w:p w14:paraId="64133E9C">
      <w:pPr>
        <w:spacing w:line="360" w:lineRule="auto"/>
        <w:rPr>
          <w:color w:val="auto"/>
          <w:szCs w:val="21"/>
          <w:highlight w:val="none"/>
        </w:rPr>
      </w:pPr>
      <w:r>
        <w:rPr>
          <w:rFonts w:hint="eastAsia"/>
          <w:color w:val="auto"/>
          <w:szCs w:val="21"/>
          <w:highlight w:val="none"/>
        </w:rPr>
        <w:t>6.1.3技术升级</w:t>
      </w:r>
    </w:p>
    <w:p w14:paraId="6A0A1187">
      <w:pPr>
        <w:spacing w:line="360" w:lineRule="auto"/>
        <w:rPr>
          <w:color w:val="auto"/>
          <w:szCs w:val="21"/>
          <w:highlight w:val="none"/>
        </w:rPr>
      </w:pPr>
      <w:r>
        <w:rPr>
          <w:rFonts w:hint="eastAsia"/>
          <w:color w:val="auto"/>
          <w:szCs w:val="21"/>
          <w:highlight w:val="none"/>
        </w:rPr>
        <w:t>在质保期内，如果成交供应商的产品或服务升级，成交供应商应及时通知采购人，如采购人有相应要求，成交供应商应对采购人购买的产品或服务进行升级。</w:t>
      </w:r>
    </w:p>
    <w:p w14:paraId="2BA3B895">
      <w:pPr>
        <w:spacing w:line="360" w:lineRule="auto"/>
        <w:rPr>
          <w:color w:val="auto"/>
          <w:szCs w:val="21"/>
          <w:highlight w:val="none"/>
        </w:rPr>
      </w:pPr>
      <w:r>
        <w:rPr>
          <w:rFonts w:hint="eastAsia"/>
          <w:color w:val="auto"/>
          <w:szCs w:val="21"/>
          <w:highlight w:val="none"/>
        </w:rPr>
        <w:t>7.培训</w:t>
      </w:r>
    </w:p>
    <w:p w14:paraId="64AA1962">
      <w:pPr>
        <w:spacing w:line="360" w:lineRule="auto"/>
        <w:rPr>
          <w:color w:val="auto"/>
          <w:szCs w:val="21"/>
          <w:highlight w:val="none"/>
        </w:rPr>
      </w:pPr>
      <w:r>
        <w:rPr>
          <w:rFonts w:hint="eastAsia"/>
          <w:color w:val="auto"/>
          <w:szCs w:val="21"/>
          <w:highlight w:val="none"/>
        </w:rPr>
        <w:t>供应商对其提供产品或服务的使用和操作应尽培训义务。供应商应提供对采购人的基本培训，使采购人使用人员熟练掌握所培训内容，熟练掌握全部功能，培训的相关费用包括在响应报价中，采购人不再另行支付。</w:t>
      </w:r>
    </w:p>
    <w:p w14:paraId="35C1CF76">
      <w:pPr>
        <w:spacing w:line="360" w:lineRule="auto"/>
        <w:rPr>
          <w:color w:val="auto"/>
          <w:szCs w:val="21"/>
          <w:highlight w:val="none"/>
        </w:rPr>
      </w:pPr>
      <w:r>
        <w:rPr>
          <w:rFonts w:hint="eastAsia"/>
          <w:color w:val="auto"/>
          <w:szCs w:val="21"/>
          <w:highlight w:val="none"/>
        </w:rPr>
        <w:t>8.付款方式、时间及条件</w:t>
      </w:r>
    </w:p>
    <w:p w14:paraId="5AD3CCA7">
      <w:pPr>
        <w:spacing w:line="360" w:lineRule="auto"/>
        <w:rPr>
          <w:color w:val="auto"/>
          <w:szCs w:val="21"/>
          <w:highlight w:val="none"/>
        </w:rPr>
      </w:pPr>
      <w:r>
        <w:rPr>
          <w:rFonts w:hint="eastAsia"/>
          <w:color w:val="auto"/>
          <w:szCs w:val="21"/>
          <w:highlight w:val="none"/>
        </w:rPr>
        <w:t>详见采购文件合同主要条款格式部分</w:t>
      </w:r>
    </w:p>
    <w:p w14:paraId="23411CB2">
      <w:pPr>
        <w:spacing w:line="360" w:lineRule="auto"/>
        <w:rPr>
          <w:color w:val="auto"/>
          <w:szCs w:val="21"/>
          <w:highlight w:val="none"/>
        </w:rPr>
      </w:pPr>
      <w:r>
        <w:rPr>
          <w:rFonts w:hint="eastAsia"/>
          <w:color w:val="auto"/>
          <w:szCs w:val="21"/>
          <w:highlight w:val="none"/>
        </w:rPr>
        <w:t>9.履约保证金</w:t>
      </w:r>
    </w:p>
    <w:p w14:paraId="5B8C6341">
      <w:pPr>
        <w:spacing w:line="360" w:lineRule="auto"/>
        <w:rPr>
          <w:color w:val="auto"/>
          <w:szCs w:val="21"/>
          <w:highlight w:val="none"/>
        </w:rPr>
      </w:pPr>
      <w:r>
        <w:rPr>
          <w:rFonts w:hint="eastAsia"/>
          <w:color w:val="auto"/>
          <w:szCs w:val="21"/>
          <w:highlight w:val="none"/>
        </w:rPr>
        <w:t>详见采购文件合同主要条款格式部分</w:t>
      </w:r>
    </w:p>
    <w:p w14:paraId="002270B8">
      <w:pPr>
        <w:spacing w:line="360" w:lineRule="auto"/>
        <w:rPr>
          <w:color w:val="auto"/>
          <w:szCs w:val="21"/>
          <w:highlight w:val="none"/>
        </w:rPr>
      </w:pPr>
      <w:r>
        <w:rPr>
          <w:rFonts w:hint="eastAsia"/>
          <w:color w:val="auto"/>
          <w:szCs w:val="21"/>
          <w:highlight w:val="none"/>
        </w:rPr>
        <w:t>10.包装和运输要求</w:t>
      </w:r>
    </w:p>
    <w:p w14:paraId="0F225C4D">
      <w:pPr>
        <w:spacing w:line="360" w:lineRule="auto"/>
        <w:rPr>
          <w:color w:val="auto"/>
          <w:szCs w:val="21"/>
          <w:highlight w:val="none"/>
        </w:rPr>
      </w:pPr>
      <w:r>
        <w:rPr>
          <w:rFonts w:hint="eastAsia"/>
          <w:color w:val="auto"/>
          <w:szCs w:val="21"/>
          <w:highlight w:val="none"/>
        </w:rPr>
        <w:t>根据《财政部等三部门联合印发商品包装和快递包装政府采购需求标准（试行）》财办库</w:t>
      </w:r>
      <w:r>
        <w:rPr>
          <w:rFonts w:hint="eastAsia" w:eastAsia="宋体"/>
          <w:color w:val="auto"/>
          <w:szCs w:val="21"/>
          <w:highlight w:val="none"/>
          <w:lang w:eastAsia="zh-CN"/>
        </w:rPr>
        <w:t>〔2020〕123号</w:t>
      </w:r>
      <w:r>
        <w:rPr>
          <w:rFonts w:hint="eastAsia"/>
          <w:color w:val="auto"/>
          <w:szCs w:val="21"/>
          <w:highlight w:val="none"/>
        </w:rPr>
        <w:t>文规定，若响应产品使用塑料、纸质、木质等包装材料时应满足《商品包装政府采购需求标准（试行）》要求，若响应产品需要快递包装，快递封装材料应满足《快递包装政府采购需求标准（试行）》要求。</w:t>
      </w:r>
    </w:p>
    <w:p w14:paraId="2B64B925">
      <w:pPr>
        <w:spacing w:line="360" w:lineRule="auto"/>
        <w:rPr>
          <w:color w:val="auto"/>
          <w:szCs w:val="21"/>
          <w:highlight w:val="none"/>
        </w:rPr>
      </w:pPr>
      <w:r>
        <w:rPr>
          <w:rFonts w:hint="eastAsia"/>
          <w:color w:val="auto"/>
          <w:szCs w:val="21"/>
          <w:highlight w:val="none"/>
        </w:rPr>
        <w:t>运输要求详见采购文件合同主要条款格式部分</w:t>
      </w:r>
    </w:p>
    <w:p w14:paraId="608E3006">
      <w:pPr>
        <w:spacing w:line="360" w:lineRule="auto"/>
        <w:rPr>
          <w:color w:val="auto"/>
          <w:szCs w:val="21"/>
          <w:highlight w:val="none"/>
        </w:rPr>
      </w:pPr>
      <w:r>
        <w:rPr>
          <w:rFonts w:hint="eastAsia"/>
          <w:color w:val="auto"/>
          <w:szCs w:val="21"/>
          <w:highlight w:val="none"/>
        </w:rPr>
        <w:t>11.售后服务</w:t>
      </w:r>
    </w:p>
    <w:p w14:paraId="2C6633F9">
      <w:pPr>
        <w:spacing w:line="360" w:lineRule="auto"/>
        <w:rPr>
          <w:color w:val="auto"/>
          <w:szCs w:val="21"/>
          <w:highlight w:val="none"/>
        </w:rPr>
      </w:pPr>
      <w:r>
        <w:rPr>
          <w:rFonts w:hint="eastAsia"/>
          <w:color w:val="auto"/>
          <w:szCs w:val="21"/>
          <w:highlight w:val="none"/>
        </w:rPr>
        <w:t>11.1成交供应商应按照国家有关法律法规和“三包”规定以及采购文件、响应文件、合同及附件的规定，为采购人提供售后服务。成交供应商承诺质量保证期优于国家“三包”规定的，或优于采购文件规定的，按成交供应商实际承诺执行。</w:t>
      </w:r>
    </w:p>
    <w:p w14:paraId="5A47208E">
      <w:pPr>
        <w:spacing w:line="360" w:lineRule="auto"/>
        <w:rPr>
          <w:color w:val="auto"/>
          <w:szCs w:val="21"/>
          <w:highlight w:val="none"/>
        </w:rPr>
      </w:pPr>
      <w:r>
        <w:rPr>
          <w:rFonts w:hint="eastAsia"/>
          <w:color w:val="auto"/>
          <w:szCs w:val="21"/>
          <w:highlight w:val="none"/>
        </w:rPr>
        <w:t>11.2成交供应商应明确承诺采购文件采购需求部分如无特别要求，则质保期为自验收合格之日起一年，采购文件采购需求部分有特别要求的则以技术参数要求表为准。</w:t>
      </w:r>
    </w:p>
    <w:p w14:paraId="4A70F500">
      <w:pPr>
        <w:spacing w:line="360" w:lineRule="auto"/>
        <w:rPr>
          <w:color w:val="auto"/>
          <w:szCs w:val="21"/>
          <w:highlight w:val="none"/>
        </w:rPr>
      </w:pPr>
      <w:r>
        <w:rPr>
          <w:color w:val="auto"/>
          <w:szCs w:val="21"/>
          <w:highlight w:val="none"/>
        </w:rPr>
        <w:t>11.3</w:t>
      </w:r>
      <w:r>
        <w:rPr>
          <w:rFonts w:hint="eastAsia"/>
          <w:color w:val="auto"/>
          <w:szCs w:val="21"/>
          <w:highlight w:val="none"/>
        </w:rPr>
        <w:t>质保期过后的服务要求</w:t>
      </w:r>
    </w:p>
    <w:p w14:paraId="112A72E2">
      <w:pPr>
        <w:spacing w:line="360" w:lineRule="auto"/>
        <w:rPr>
          <w:rFonts w:hint="eastAsia"/>
          <w:color w:val="auto"/>
          <w:szCs w:val="21"/>
          <w:highlight w:val="none"/>
        </w:rPr>
      </w:pPr>
      <w:r>
        <w:rPr>
          <w:rFonts w:hint="eastAsia"/>
          <w:color w:val="auto"/>
          <w:szCs w:val="21"/>
          <w:highlight w:val="none"/>
        </w:rPr>
        <w:t>电话咨询：产品质量保证期过后，成交供应商应当为采购人提供技术援助电话，解答采购人在使用中遇到的问题，及时为采购人提出解决问题的建议，并不予收费。</w:t>
      </w:r>
    </w:p>
    <w:p w14:paraId="69C6E565">
      <w:pPr>
        <w:spacing w:line="360" w:lineRule="auto"/>
        <w:rPr>
          <w:color w:val="auto"/>
          <w:szCs w:val="21"/>
          <w:highlight w:val="none"/>
        </w:rPr>
      </w:pPr>
      <w:r>
        <w:rPr>
          <w:rFonts w:hint="eastAsia"/>
          <w:color w:val="auto"/>
          <w:szCs w:val="21"/>
          <w:highlight w:val="none"/>
        </w:rPr>
        <w:t>12.保险</w:t>
      </w:r>
    </w:p>
    <w:p w14:paraId="150624EB">
      <w:pPr>
        <w:spacing w:line="360" w:lineRule="auto"/>
        <w:rPr>
          <w:color w:val="auto"/>
          <w:szCs w:val="21"/>
          <w:highlight w:val="none"/>
        </w:rPr>
      </w:pPr>
      <w:r>
        <w:rPr>
          <w:rFonts w:hint="eastAsia"/>
          <w:color w:val="auto"/>
          <w:szCs w:val="21"/>
          <w:highlight w:val="none"/>
        </w:rPr>
        <w:t>供应商负责办理运输和保险，将货物运抵交货地点。与运输、保险相关的费用由供应商承担。</w:t>
      </w:r>
    </w:p>
    <w:p w14:paraId="6AD4CF1C">
      <w:pPr>
        <w:spacing w:line="360" w:lineRule="auto"/>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四、其他要求</w:t>
      </w:r>
    </w:p>
    <w:p w14:paraId="759C6665">
      <w:pPr>
        <w:spacing w:line="360" w:lineRule="auto"/>
        <w:rPr>
          <w:color w:val="auto"/>
          <w:sz w:val="28"/>
          <w:szCs w:val="28"/>
          <w:highlight w:val="none"/>
        </w:rPr>
      </w:pPr>
      <w:r>
        <w:rPr>
          <w:rFonts w:hint="eastAsia" w:ascii="Times New Roman" w:hAnsi="Times New Roman" w:cs="Times New Roman"/>
          <w:b/>
          <w:color w:val="auto"/>
          <w:highlight w:val="none"/>
        </w:rPr>
        <w:t>无</w:t>
      </w:r>
      <w:r>
        <w:rPr>
          <w:color w:val="auto"/>
          <w:szCs w:val="21"/>
          <w:highlight w:val="none"/>
        </w:rPr>
        <w:br w:type="page"/>
      </w:r>
      <w:r>
        <w:rPr>
          <w:rFonts w:hint="eastAsia"/>
          <w:color w:val="auto"/>
          <w:sz w:val="28"/>
          <w:szCs w:val="28"/>
          <w:highlight w:val="none"/>
        </w:rPr>
        <w:t xml:space="preserve">附件1： </w:t>
      </w:r>
      <w:r>
        <w:rPr>
          <w:color w:val="auto"/>
          <w:sz w:val="28"/>
          <w:szCs w:val="28"/>
          <w:highlight w:val="none"/>
        </w:rPr>
        <w:t xml:space="preserve">               </w:t>
      </w:r>
    </w:p>
    <w:p w14:paraId="6FE4C998">
      <w:pPr>
        <w:spacing w:line="528" w:lineRule="exact"/>
        <w:ind w:firstLine="280" w:firstLineChars="100"/>
        <w:jc w:val="center"/>
        <w:rPr>
          <w:color w:val="auto"/>
          <w:sz w:val="28"/>
          <w:szCs w:val="28"/>
          <w:highlight w:val="none"/>
        </w:rPr>
      </w:pPr>
      <w:r>
        <w:rPr>
          <w:rFonts w:hint="eastAsia"/>
          <w:color w:val="auto"/>
          <w:sz w:val="28"/>
          <w:szCs w:val="28"/>
          <w:highlight w:val="none"/>
        </w:rPr>
        <w:t>中小微企业划型标准</w:t>
      </w:r>
    </w:p>
    <w:tbl>
      <w:tblPr>
        <w:tblStyle w:val="51"/>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0B1DF43B">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vAlign w:val="center"/>
          </w:tcPr>
          <w:p w14:paraId="06F1943D">
            <w:pPr>
              <w:widowControl/>
              <w:jc w:val="left"/>
              <w:rPr>
                <w:color w:val="auto"/>
                <w:szCs w:val="21"/>
                <w:highlight w:val="none"/>
              </w:rPr>
            </w:pPr>
            <w:r>
              <w:rPr>
                <w:rFonts w:hint="eastAsia"/>
                <w:color w:val="auto"/>
                <w:szCs w:val="21"/>
                <w:highlight w:val="none"/>
              </w:rPr>
              <w:t>行业名称</w:t>
            </w:r>
          </w:p>
        </w:tc>
        <w:tc>
          <w:tcPr>
            <w:tcW w:w="1701" w:type="dxa"/>
            <w:tcBorders>
              <w:top w:val="single" w:color="auto" w:sz="4" w:space="0"/>
              <w:left w:val="nil"/>
              <w:bottom w:val="single" w:color="auto" w:sz="4" w:space="0"/>
              <w:right w:val="single" w:color="auto" w:sz="4" w:space="0"/>
            </w:tcBorders>
            <w:vAlign w:val="center"/>
          </w:tcPr>
          <w:p w14:paraId="6C3446A6">
            <w:pPr>
              <w:widowControl/>
              <w:jc w:val="left"/>
              <w:rPr>
                <w:color w:val="auto"/>
                <w:szCs w:val="21"/>
                <w:highlight w:val="none"/>
              </w:rPr>
            </w:pPr>
            <w:r>
              <w:rPr>
                <w:rFonts w:hint="eastAsia"/>
                <w:color w:val="auto"/>
                <w:szCs w:val="21"/>
                <w:highlight w:val="none"/>
              </w:rPr>
              <w:t>指标名称</w:t>
            </w:r>
          </w:p>
        </w:tc>
        <w:tc>
          <w:tcPr>
            <w:tcW w:w="1134" w:type="dxa"/>
            <w:tcBorders>
              <w:top w:val="single" w:color="auto" w:sz="4" w:space="0"/>
              <w:left w:val="nil"/>
              <w:bottom w:val="single" w:color="auto" w:sz="4" w:space="0"/>
              <w:right w:val="single" w:color="auto" w:sz="4" w:space="0"/>
            </w:tcBorders>
            <w:vAlign w:val="center"/>
          </w:tcPr>
          <w:p w14:paraId="080ABD30">
            <w:pPr>
              <w:widowControl/>
              <w:jc w:val="left"/>
              <w:rPr>
                <w:color w:val="auto"/>
                <w:szCs w:val="21"/>
                <w:highlight w:val="none"/>
              </w:rPr>
            </w:pPr>
            <w:r>
              <w:rPr>
                <w:rFonts w:hint="eastAsia"/>
                <w:color w:val="auto"/>
                <w:szCs w:val="21"/>
                <w:highlight w:val="none"/>
              </w:rPr>
              <w:t>计量单位</w:t>
            </w:r>
          </w:p>
        </w:tc>
        <w:tc>
          <w:tcPr>
            <w:tcW w:w="1846" w:type="dxa"/>
            <w:tcBorders>
              <w:top w:val="single" w:color="auto" w:sz="4" w:space="0"/>
              <w:left w:val="nil"/>
              <w:bottom w:val="single" w:color="auto" w:sz="4" w:space="0"/>
              <w:right w:val="single" w:color="auto" w:sz="4" w:space="0"/>
            </w:tcBorders>
            <w:vAlign w:val="center"/>
          </w:tcPr>
          <w:p w14:paraId="0CB46D87">
            <w:pPr>
              <w:widowControl/>
              <w:jc w:val="left"/>
              <w:rPr>
                <w:color w:val="auto"/>
                <w:szCs w:val="21"/>
                <w:highlight w:val="none"/>
              </w:rPr>
            </w:pPr>
            <w:r>
              <w:rPr>
                <w:rFonts w:hint="eastAsia"/>
                <w:color w:val="auto"/>
                <w:szCs w:val="21"/>
                <w:highlight w:val="none"/>
              </w:rPr>
              <w:t>中型</w:t>
            </w:r>
          </w:p>
        </w:tc>
        <w:tc>
          <w:tcPr>
            <w:tcW w:w="1570" w:type="dxa"/>
            <w:tcBorders>
              <w:top w:val="single" w:color="auto" w:sz="4" w:space="0"/>
              <w:left w:val="nil"/>
              <w:bottom w:val="single" w:color="auto" w:sz="4" w:space="0"/>
              <w:right w:val="single" w:color="auto" w:sz="4" w:space="0"/>
            </w:tcBorders>
            <w:vAlign w:val="center"/>
          </w:tcPr>
          <w:p w14:paraId="271F1FE7">
            <w:pPr>
              <w:widowControl/>
              <w:jc w:val="left"/>
              <w:rPr>
                <w:color w:val="auto"/>
                <w:szCs w:val="21"/>
                <w:highlight w:val="none"/>
              </w:rPr>
            </w:pPr>
            <w:r>
              <w:rPr>
                <w:rFonts w:hint="eastAsia"/>
                <w:color w:val="auto"/>
                <w:szCs w:val="21"/>
                <w:highlight w:val="none"/>
              </w:rPr>
              <w:t>小型</w:t>
            </w:r>
          </w:p>
        </w:tc>
        <w:tc>
          <w:tcPr>
            <w:tcW w:w="1009" w:type="dxa"/>
            <w:tcBorders>
              <w:top w:val="single" w:color="auto" w:sz="4" w:space="0"/>
              <w:left w:val="nil"/>
              <w:bottom w:val="single" w:color="auto" w:sz="4" w:space="0"/>
              <w:right w:val="single" w:color="auto" w:sz="4" w:space="0"/>
            </w:tcBorders>
            <w:vAlign w:val="center"/>
          </w:tcPr>
          <w:p w14:paraId="1E5E6DC8">
            <w:pPr>
              <w:widowControl/>
              <w:jc w:val="left"/>
              <w:rPr>
                <w:color w:val="auto"/>
                <w:szCs w:val="21"/>
                <w:highlight w:val="none"/>
              </w:rPr>
            </w:pPr>
            <w:r>
              <w:rPr>
                <w:rFonts w:hint="eastAsia"/>
                <w:color w:val="auto"/>
                <w:szCs w:val="21"/>
                <w:highlight w:val="none"/>
              </w:rPr>
              <w:t>微型</w:t>
            </w:r>
          </w:p>
        </w:tc>
      </w:tr>
      <w:tr w14:paraId="5BFA8A70">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5954B8F8">
            <w:pPr>
              <w:widowControl/>
              <w:jc w:val="center"/>
              <w:rPr>
                <w:color w:val="auto"/>
                <w:szCs w:val="21"/>
                <w:highlight w:val="none"/>
              </w:rPr>
            </w:pPr>
            <w:r>
              <w:rPr>
                <w:rFonts w:hint="eastAsia"/>
                <w:color w:val="auto"/>
                <w:szCs w:val="21"/>
                <w:highlight w:val="none"/>
              </w:rPr>
              <w:t>农、林、牧、渔</w:t>
            </w:r>
          </w:p>
        </w:tc>
        <w:tc>
          <w:tcPr>
            <w:tcW w:w="1701" w:type="dxa"/>
            <w:tcBorders>
              <w:top w:val="nil"/>
              <w:left w:val="nil"/>
              <w:bottom w:val="single" w:color="auto" w:sz="4" w:space="0"/>
              <w:right w:val="single" w:color="auto" w:sz="4" w:space="0"/>
            </w:tcBorders>
            <w:vAlign w:val="center"/>
          </w:tcPr>
          <w:p w14:paraId="02A28489">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2D016D64">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3F83864F">
            <w:pPr>
              <w:widowControl/>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vAlign w:val="center"/>
          </w:tcPr>
          <w:p w14:paraId="4B322FC7">
            <w:pPr>
              <w:widowControl/>
              <w:jc w:val="left"/>
              <w:rPr>
                <w:color w:val="auto"/>
                <w:szCs w:val="21"/>
                <w:highlight w:val="none"/>
              </w:rPr>
            </w:pPr>
            <w:r>
              <w:rPr>
                <w:rFonts w:hint="eastAsia"/>
                <w:color w:val="auto"/>
                <w:szCs w:val="21"/>
                <w:highlight w:val="none"/>
              </w:rPr>
              <w:t>50≤Y＜500</w:t>
            </w:r>
          </w:p>
        </w:tc>
        <w:tc>
          <w:tcPr>
            <w:tcW w:w="1009" w:type="dxa"/>
            <w:tcBorders>
              <w:top w:val="nil"/>
              <w:left w:val="nil"/>
              <w:bottom w:val="single" w:color="auto" w:sz="4" w:space="0"/>
              <w:right w:val="single" w:color="auto" w:sz="4" w:space="0"/>
            </w:tcBorders>
            <w:vAlign w:val="center"/>
          </w:tcPr>
          <w:p w14:paraId="6FEA7DC2">
            <w:pPr>
              <w:widowControl/>
              <w:jc w:val="left"/>
              <w:rPr>
                <w:color w:val="auto"/>
                <w:szCs w:val="21"/>
                <w:highlight w:val="none"/>
              </w:rPr>
            </w:pPr>
            <w:r>
              <w:rPr>
                <w:rFonts w:hint="eastAsia"/>
                <w:color w:val="auto"/>
                <w:szCs w:val="21"/>
                <w:highlight w:val="none"/>
              </w:rPr>
              <w:t>Y＜50</w:t>
            </w:r>
          </w:p>
        </w:tc>
      </w:tr>
      <w:tr w14:paraId="4223720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69B8FC2A">
            <w:pPr>
              <w:widowControl/>
              <w:jc w:val="center"/>
              <w:rPr>
                <w:color w:val="auto"/>
                <w:szCs w:val="21"/>
                <w:highlight w:val="none"/>
              </w:rPr>
            </w:pPr>
            <w:r>
              <w:rPr>
                <w:rFonts w:hint="eastAsia"/>
                <w:color w:val="auto"/>
                <w:szCs w:val="21"/>
                <w:highlight w:val="none"/>
              </w:rPr>
              <w:t>工业</w:t>
            </w:r>
          </w:p>
        </w:tc>
        <w:tc>
          <w:tcPr>
            <w:tcW w:w="1701" w:type="dxa"/>
            <w:tcBorders>
              <w:top w:val="nil"/>
              <w:left w:val="nil"/>
              <w:bottom w:val="single" w:color="auto" w:sz="4" w:space="0"/>
              <w:right w:val="single" w:color="auto" w:sz="4" w:space="0"/>
            </w:tcBorders>
            <w:vAlign w:val="center"/>
          </w:tcPr>
          <w:p w14:paraId="55DC29BD">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1FD45700">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7696A1D6">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vAlign w:val="center"/>
          </w:tcPr>
          <w:p w14:paraId="5FF484B1">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vAlign w:val="center"/>
          </w:tcPr>
          <w:p w14:paraId="6ECF0B67">
            <w:pPr>
              <w:widowControl/>
              <w:jc w:val="left"/>
              <w:rPr>
                <w:color w:val="auto"/>
                <w:szCs w:val="21"/>
                <w:highlight w:val="none"/>
              </w:rPr>
            </w:pPr>
            <w:r>
              <w:rPr>
                <w:rFonts w:hint="eastAsia"/>
                <w:color w:val="auto"/>
                <w:szCs w:val="21"/>
                <w:highlight w:val="none"/>
              </w:rPr>
              <w:t>X＜20</w:t>
            </w:r>
          </w:p>
        </w:tc>
      </w:tr>
      <w:tr w14:paraId="47ED4CF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0AA17BB">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6077F1E2">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3513758F">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66637539">
            <w:pPr>
              <w:widowControl/>
              <w:jc w:val="left"/>
              <w:rPr>
                <w:color w:val="auto"/>
                <w:szCs w:val="21"/>
                <w:highlight w:val="none"/>
              </w:rPr>
            </w:pPr>
            <w:r>
              <w:rPr>
                <w:rFonts w:hint="eastAsia"/>
                <w:color w:val="auto"/>
                <w:szCs w:val="21"/>
                <w:highlight w:val="none"/>
              </w:rPr>
              <w:t>2000≤Y＜40000</w:t>
            </w:r>
          </w:p>
        </w:tc>
        <w:tc>
          <w:tcPr>
            <w:tcW w:w="1570" w:type="dxa"/>
            <w:tcBorders>
              <w:top w:val="nil"/>
              <w:left w:val="nil"/>
              <w:bottom w:val="single" w:color="auto" w:sz="4" w:space="0"/>
              <w:right w:val="single" w:color="auto" w:sz="4" w:space="0"/>
            </w:tcBorders>
            <w:vAlign w:val="center"/>
          </w:tcPr>
          <w:p w14:paraId="226999F4">
            <w:pPr>
              <w:widowControl/>
              <w:jc w:val="left"/>
              <w:rPr>
                <w:color w:val="auto"/>
                <w:szCs w:val="21"/>
                <w:highlight w:val="none"/>
              </w:rPr>
            </w:pPr>
            <w:r>
              <w:rPr>
                <w:rFonts w:hint="eastAsia"/>
                <w:color w:val="auto"/>
                <w:szCs w:val="21"/>
                <w:highlight w:val="none"/>
              </w:rPr>
              <w:t>300≤Y＜2000</w:t>
            </w:r>
          </w:p>
        </w:tc>
        <w:tc>
          <w:tcPr>
            <w:tcW w:w="1009" w:type="dxa"/>
            <w:tcBorders>
              <w:top w:val="nil"/>
              <w:left w:val="nil"/>
              <w:bottom w:val="single" w:color="auto" w:sz="4" w:space="0"/>
              <w:right w:val="single" w:color="auto" w:sz="4" w:space="0"/>
            </w:tcBorders>
            <w:vAlign w:val="center"/>
          </w:tcPr>
          <w:p w14:paraId="19929551">
            <w:pPr>
              <w:widowControl/>
              <w:jc w:val="left"/>
              <w:rPr>
                <w:color w:val="auto"/>
                <w:szCs w:val="21"/>
                <w:highlight w:val="none"/>
              </w:rPr>
            </w:pPr>
            <w:r>
              <w:rPr>
                <w:rFonts w:hint="eastAsia"/>
                <w:color w:val="auto"/>
                <w:szCs w:val="21"/>
                <w:highlight w:val="none"/>
              </w:rPr>
              <w:t>Y＜300</w:t>
            </w:r>
          </w:p>
        </w:tc>
      </w:tr>
      <w:tr w14:paraId="11B5E43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582A1487">
            <w:pPr>
              <w:widowControl/>
              <w:jc w:val="center"/>
              <w:rPr>
                <w:color w:val="auto"/>
                <w:szCs w:val="21"/>
                <w:highlight w:val="none"/>
              </w:rPr>
            </w:pPr>
            <w:r>
              <w:rPr>
                <w:rFonts w:hint="eastAsia"/>
                <w:color w:val="auto"/>
                <w:szCs w:val="21"/>
                <w:highlight w:val="none"/>
              </w:rPr>
              <w:t>建筑业</w:t>
            </w:r>
          </w:p>
        </w:tc>
        <w:tc>
          <w:tcPr>
            <w:tcW w:w="1701" w:type="dxa"/>
            <w:tcBorders>
              <w:top w:val="nil"/>
              <w:left w:val="nil"/>
              <w:bottom w:val="single" w:color="auto" w:sz="4" w:space="0"/>
              <w:right w:val="single" w:color="auto" w:sz="4" w:space="0"/>
            </w:tcBorders>
            <w:vAlign w:val="center"/>
          </w:tcPr>
          <w:p w14:paraId="67D917F4">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268428AC">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0861E07D">
            <w:pPr>
              <w:widowControl/>
              <w:jc w:val="left"/>
              <w:rPr>
                <w:color w:val="auto"/>
                <w:szCs w:val="21"/>
                <w:highlight w:val="none"/>
              </w:rPr>
            </w:pPr>
            <w:r>
              <w:rPr>
                <w:rFonts w:hint="eastAsia"/>
                <w:color w:val="auto"/>
                <w:szCs w:val="21"/>
                <w:highlight w:val="none"/>
              </w:rPr>
              <w:t>6000≤Y＜80000</w:t>
            </w:r>
          </w:p>
        </w:tc>
        <w:tc>
          <w:tcPr>
            <w:tcW w:w="1570" w:type="dxa"/>
            <w:tcBorders>
              <w:top w:val="nil"/>
              <w:left w:val="nil"/>
              <w:bottom w:val="single" w:color="auto" w:sz="4" w:space="0"/>
              <w:right w:val="single" w:color="auto" w:sz="4" w:space="0"/>
            </w:tcBorders>
            <w:vAlign w:val="center"/>
          </w:tcPr>
          <w:p w14:paraId="1C8B8ACF">
            <w:pPr>
              <w:widowControl/>
              <w:jc w:val="left"/>
              <w:rPr>
                <w:color w:val="auto"/>
                <w:szCs w:val="21"/>
                <w:highlight w:val="none"/>
              </w:rPr>
            </w:pPr>
            <w:r>
              <w:rPr>
                <w:rFonts w:hint="eastAsia"/>
                <w:color w:val="auto"/>
                <w:szCs w:val="21"/>
                <w:highlight w:val="none"/>
              </w:rPr>
              <w:t>300≤Y＜6000</w:t>
            </w:r>
          </w:p>
        </w:tc>
        <w:tc>
          <w:tcPr>
            <w:tcW w:w="1009" w:type="dxa"/>
            <w:tcBorders>
              <w:top w:val="nil"/>
              <w:left w:val="nil"/>
              <w:bottom w:val="single" w:color="auto" w:sz="4" w:space="0"/>
              <w:right w:val="single" w:color="auto" w:sz="4" w:space="0"/>
            </w:tcBorders>
            <w:vAlign w:val="center"/>
          </w:tcPr>
          <w:p w14:paraId="37564FF0">
            <w:pPr>
              <w:widowControl/>
              <w:jc w:val="left"/>
              <w:rPr>
                <w:color w:val="auto"/>
                <w:szCs w:val="21"/>
                <w:highlight w:val="none"/>
              </w:rPr>
            </w:pPr>
            <w:r>
              <w:rPr>
                <w:rFonts w:hint="eastAsia"/>
                <w:color w:val="auto"/>
                <w:szCs w:val="21"/>
                <w:highlight w:val="none"/>
              </w:rPr>
              <w:t>Y＜300</w:t>
            </w:r>
          </w:p>
        </w:tc>
      </w:tr>
      <w:tr w14:paraId="03F9FA4C">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30E74EB1">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627BD742">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vAlign w:val="center"/>
          </w:tcPr>
          <w:p w14:paraId="77C07577">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1E6C99DC">
            <w:pPr>
              <w:widowControl/>
              <w:jc w:val="left"/>
              <w:rPr>
                <w:color w:val="auto"/>
                <w:szCs w:val="21"/>
                <w:highlight w:val="none"/>
              </w:rPr>
            </w:pPr>
            <w:r>
              <w:rPr>
                <w:rFonts w:hint="eastAsia"/>
                <w:color w:val="auto"/>
                <w:szCs w:val="21"/>
                <w:highlight w:val="none"/>
              </w:rPr>
              <w:t>5000≤Z＜80000</w:t>
            </w:r>
          </w:p>
        </w:tc>
        <w:tc>
          <w:tcPr>
            <w:tcW w:w="1570" w:type="dxa"/>
            <w:tcBorders>
              <w:top w:val="nil"/>
              <w:left w:val="nil"/>
              <w:bottom w:val="single" w:color="auto" w:sz="4" w:space="0"/>
              <w:right w:val="single" w:color="auto" w:sz="4" w:space="0"/>
            </w:tcBorders>
            <w:vAlign w:val="center"/>
          </w:tcPr>
          <w:p w14:paraId="065623F9">
            <w:pPr>
              <w:widowControl/>
              <w:jc w:val="left"/>
              <w:rPr>
                <w:color w:val="auto"/>
                <w:szCs w:val="21"/>
                <w:highlight w:val="none"/>
              </w:rPr>
            </w:pPr>
            <w:r>
              <w:rPr>
                <w:rFonts w:hint="eastAsia"/>
                <w:color w:val="auto"/>
                <w:szCs w:val="21"/>
                <w:highlight w:val="none"/>
              </w:rPr>
              <w:t>300≤Z＜5000</w:t>
            </w:r>
          </w:p>
        </w:tc>
        <w:tc>
          <w:tcPr>
            <w:tcW w:w="1009" w:type="dxa"/>
            <w:tcBorders>
              <w:top w:val="nil"/>
              <w:left w:val="nil"/>
              <w:bottom w:val="single" w:color="auto" w:sz="4" w:space="0"/>
              <w:right w:val="single" w:color="auto" w:sz="4" w:space="0"/>
            </w:tcBorders>
            <w:vAlign w:val="center"/>
          </w:tcPr>
          <w:p w14:paraId="4EF0125E">
            <w:pPr>
              <w:widowControl/>
              <w:jc w:val="left"/>
              <w:rPr>
                <w:color w:val="auto"/>
                <w:szCs w:val="21"/>
                <w:highlight w:val="none"/>
              </w:rPr>
            </w:pPr>
            <w:r>
              <w:rPr>
                <w:rFonts w:hint="eastAsia"/>
                <w:color w:val="auto"/>
                <w:szCs w:val="21"/>
                <w:highlight w:val="none"/>
              </w:rPr>
              <w:t>Z＜300</w:t>
            </w:r>
          </w:p>
        </w:tc>
      </w:tr>
      <w:tr w14:paraId="2594BF6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44BE7DFA">
            <w:pPr>
              <w:widowControl/>
              <w:ind w:firstLine="315" w:firstLineChars="150"/>
              <w:rPr>
                <w:color w:val="auto"/>
                <w:szCs w:val="21"/>
                <w:highlight w:val="none"/>
              </w:rPr>
            </w:pPr>
            <w:r>
              <w:rPr>
                <w:rFonts w:hint="eastAsia"/>
                <w:color w:val="auto"/>
                <w:szCs w:val="21"/>
                <w:highlight w:val="none"/>
              </w:rPr>
              <w:t>批发业</w:t>
            </w:r>
          </w:p>
        </w:tc>
        <w:tc>
          <w:tcPr>
            <w:tcW w:w="1701" w:type="dxa"/>
            <w:tcBorders>
              <w:top w:val="nil"/>
              <w:left w:val="nil"/>
              <w:bottom w:val="single" w:color="auto" w:sz="4" w:space="0"/>
              <w:right w:val="single" w:color="auto" w:sz="4" w:space="0"/>
            </w:tcBorders>
            <w:vAlign w:val="center"/>
          </w:tcPr>
          <w:p w14:paraId="48F8E8D2">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14925E74">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09B7A1F1">
            <w:pPr>
              <w:widowControl/>
              <w:jc w:val="left"/>
              <w:rPr>
                <w:color w:val="auto"/>
                <w:szCs w:val="21"/>
                <w:highlight w:val="none"/>
              </w:rPr>
            </w:pPr>
            <w:r>
              <w:rPr>
                <w:rFonts w:hint="eastAsia"/>
                <w:color w:val="auto"/>
                <w:szCs w:val="21"/>
                <w:highlight w:val="none"/>
              </w:rPr>
              <w:t>20≤X＜200</w:t>
            </w:r>
          </w:p>
        </w:tc>
        <w:tc>
          <w:tcPr>
            <w:tcW w:w="1570" w:type="dxa"/>
            <w:tcBorders>
              <w:top w:val="nil"/>
              <w:left w:val="nil"/>
              <w:bottom w:val="single" w:color="auto" w:sz="4" w:space="0"/>
              <w:right w:val="single" w:color="auto" w:sz="4" w:space="0"/>
            </w:tcBorders>
            <w:vAlign w:val="center"/>
          </w:tcPr>
          <w:p w14:paraId="04DBB686">
            <w:pPr>
              <w:widowControl/>
              <w:jc w:val="left"/>
              <w:rPr>
                <w:color w:val="auto"/>
                <w:szCs w:val="21"/>
                <w:highlight w:val="none"/>
              </w:rPr>
            </w:pPr>
            <w:r>
              <w:rPr>
                <w:rFonts w:hint="eastAsia"/>
                <w:color w:val="auto"/>
                <w:szCs w:val="21"/>
                <w:highlight w:val="none"/>
              </w:rPr>
              <w:t>5≤X＜20</w:t>
            </w:r>
          </w:p>
        </w:tc>
        <w:tc>
          <w:tcPr>
            <w:tcW w:w="1009" w:type="dxa"/>
            <w:tcBorders>
              <w:top w:val="nil"/>
              <w:left w:val="nil"/>
              <w:bottom w:val="single" w:color="auto" w:sz="4" w:space="0"/>
              <w:right w:val="single" w:color="auto" w:sz="4" w:space="0"/>
            </w:tcBorders>
            <w:vAlign w:val="center"/>
          </w:tcPr>
          <w:p w14:paraId="6D9516AF">
            <w:pPr>
              <w:widowControl/>
              <w:jc w:val="left"/>
              <w:rPr>
                <w:color w:val="auto"/>
                <w:szCs w:val="21"/>
                <w:highlight w:val="none"/>
              </w:rPr>
            </w:pPr>
            <w:r>
              <w:rPr>
                <w:rFonts w:hint="eastAsia"/>
                <w:color w:val="auto"/>
                <w:szCs w:val="21"/>
                <w:highlight w:val="none"/>
              </w:rPr>
              <w:t>X＜5</w:t>
            </w:r>
          </w:p>
        </w:tc>
      </w:tr>
      <w:tr w14:paraId="5640D356">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6B35C2A3">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23360BA9">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2E93E2DC">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7EC868A5">
            <w:pPr>
              <w:widowControl/>
              <w:jc w:val="left"/>
              <w:rPr>
                <w:color w:val="auto"/>
                <w:szCs w:val="21"/>
                <w:highlight w:val="none"/>
              </w:rPr>
            </w:pPr>
            <w:r>
              <w:rPr>
                <w:rFonts w:hint="eastAsia"/>
                <w:color w:val="auto"/>
                <w:szCs w:val="21"/>
                <w:highlight w:val="none"/>
              </w:rPr>
              <w:t>5000≤Y＜40000</w:t>
            </w:r>
          </w:p>
        </w:tc>
        <w:tc>
          <w:tcPr>
            <w:tcW w:w="1570" w:type="dxa"/>
            <w:tcBorders>
              <w:top w:val="nil"/>
              <w:left w:val="nil"/>
              <w:bottom w:val="single" w:color="auto" w:sz="4" w:space="0"/>
              <w:right w:val="single" w:color="auto" w:sz="4" w:space="0"/>
            </w:tcBorders>
            <w:vAlign w:val="center"/>
          </w:tcPr>
          <w:p w14:paraId="0C190577">
            <w:pPr>
              <w:widowControl/>
              <w:jc w:val="left"/>
              <w:rPr>
                <w:color w:val="auto"/>
                <w:szCs w:val="21"/>
                <w:highlight w:val="none"/>
              </w:rPr>
            </w:pPr>
            <w:r>
              <w:rPr>
                <w:rFonts w:hint="eastAsia"/>
                <w:color w:val="auto"/>
                <w:szCs w:val="21"/>
                <w:highlight w:val="none"/>
              </w:rPr>
              <w:t>1000≤Y＜5000</w:t>
            </w:r>
          </w:p>
        </w:tc>
        <w:tc>
          <w:tcPr>
            <w:tcW w:w="1009" w:type="dxa"/>
            <w:tcBorders>
              <w:top w:val="nil"/>
              <w:left w:val="nil"/>
              <w:bottom w:val="single" w:color="auto" w:sz="4" w:space="0"/>
              <w:right w:val="single" w:color="auto" w:sz="4" w:space="0"/>
            </w:tcBorders>
            <w:vAlign w:val="center"/>
          </w:tcPr>
          <w:p w14:paraId="187B5771">
            <w:pPr>
              <w:widowControl/>
              <w:jc w:val="left"/>
              <w:rPr>
                <w:color w:val="auto"/>
                <w:szCs w:val="21"/>
                <w:highlight w:val="none"/>
              </w:rPr>
            </w:pPr>
            <w:r>
              <w:rPr>
                <w:rFonts w:hint="eastAsia"/>
                <w:color w:val="auto"/>
                <w:szCs w:val="21"/>
                <w:highlight w:val="none"/>
              </w:rPr>
              <w:t>Y＜1000</w:t>
            </w:r>
          </w:p>
        </w:tc>
      </w:tr>
      <w:tr w14:paraId="29B7957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754915B">
            <w:pPr>
              <w:widowControl/>
              <w:jc w:val="center"/>
              <w:rPr>
                <w:color w:val="auto"/>
                <w:szCs w:val="21"/>
                <w:highlight w:val="none"/>
              </w:rPr>
            </w:pPr>
            <w:r>
              <w:rPr>
                <w:rFonts w:hint="eastAsia"/>
                <w:color w:val="auto"/>
                <w:szCs w:val="21"/>
                <w:highlight w:val="none"/>
              </w:rPr>
              <w:t>零售业</w:t>
            </w:r>
          </w:p>
        </w:tc>
        <w:tc>
          <w:tcPr>
            <w:tcW w:w="1701" w:type="dxa"/>
            <w:tcBorders>
              <w:top w:val="nil"/>
              <w:left w:val="nil"/>
              <w:bottom w:val="single" w:color="auto" w:sz="4" w:space="0"/>
              <w:right w:val="single" w:color="auto" w:sz="4" w:space="0"/>
            </w:tcBorders>
            <w:vAlign w:val="center"/>
          </w:tcPr>
          <w:p w14:paraId="5C9998F5">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61E0FB7A">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69C100DD">
            <w:pPr>
              <w:widowControl/>
              <w:jc w:val="left"/>
              <w:rPr>
                <w:color w:val="auto"/>
                <w:szCs w:val="21"/>
                <w:highlight w:val="none"/>
              </w:rPr>
            </w:pPr>
            <w:r>
              <w:rPr>
                <w:rFonts w:hint="eastAsia"/>
                <w:color w:val="auto"/>
                <w:szCs w:val="21"/>
                <w:highlight w:val="none"/>
              </w:rPr>
              <w:t>50≤X＜300</w:t>
            </w:r>
          </w:p>
        </w:tc>
        <w:tc>
          <w:tcPr>
            <w:tcW w:w="1570" w:type="dxa"/>
            <w:tcBorders>
              <w:top w:val="nil"/>
              <w:left w:val="nil"/>
              <w:bottom w:val="single" w:color="auto" w:sz="4" w:space="0"/>
              <w:right w:val="single" w:color="auto" w:sz="4" w:space="0"/>
            </w:tcBorders>
            <w:vAlign w:val="center"/>
          </w:tcPr>
          <w:p w14:paraId="2B40C461">
            <w:pPr>
              <w:widowControl/>
              <w:jc w:val="left"/>
              <w:rPr>
                <w:color w:val="auto"/>
                <w:szCs w:val="21"/>
                <w:highlight w:val="none"/>
              </w:rPr>
            </w:pPr>
            <w:r>
              <w:rPr>
                <w:rFonts w:hint="eastAsia"/>
                <w:color w:val="auto"/>
                <w:szCs w:val="21"/>
                <w:highlight w:val="none"/>
              </w:rPr>
              <w:t>10≤X＜50</w:t>
            </w:r>
          </w:p>
        </w:tc>
        <w:tc>
          <w:tcPr>
            <w:tcW w:w="1009" w:type="dxa"/>
            <w:tcBorders>
              <w:top w:val="nil"/>
              <w:left w:val="nil"/>
              <w:bottom w:val="single" w:color="auto" w:sz="4" w:space="0"/>
              <w:right w:val="single" w:color="auto" w:sz="4" w:space="0"/>
            </w:tcBorders>
            <w:vAlign w:val="center"/>
          </w:tcPr>
          <w:p w14:paraId="74321775">
            <w:pPr>
              <w:widowControl/>
              <w:jc w:val="left"/>
              <w:rPr>
                <w:color w:val="auto"/>
                <w:szCs w:val="21"/>
                <w:highlight w:val="none"/>
              </w:rPr>
            </w:pPr>
            <w:r>
              <w:rPr>
                <w:rFonts w:hint="eastAsia"/>
                <w:color w:val="auto"/>
                <w:szCs w:val="21"/>
                <w:highlight w:val="none"/>
              </w:rPr>
              <w:t>X＜10</w:t>
            </w:r>
          </w:p>
        </w:tc>
      </w:tr>
      <w:tr w14:paraId="30DE657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0F81F1A5">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55A57D58">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4C04548A">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33445EA8">
            <w:pPr>
              <w:widowControl/>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vAlign w:val="center"/>
          </w:tcPr>
          <w:p w14:paraId="2D5EBED7">
            <w:pPr>
              <w:widowControl/>
              <w:jc w:val="left"/>
              <w:rPr>
                <w:color w:val="auto"/>
                <w:szCs w:val="21"/>
                <w:highlight w:val="none"/>
              </w:rPr>
            </w:pPr>
            <w:r>
              <w:rPr>
                <w:rFonts w:hint="eastAsia"/>
                <w:color w:val="auto"/>
                <w:szCs w:val="21"/>
                <w:highlight w:val="none"/>
              </w:rPr>
              <w:t>100≤Y＜500</w:t>
            </w:r>
          </w:p>
        </w:tc>
        <w:tc>
          <w:tcPr>
            <w:tcW w:w="1009" w:type="dxa"/>
            <w:tcBorders>
              <w:top w:val="nil"/>
              <w:left w:val="nil"/>
              <w:bottom w:val="single" w:color="auto" w:sz="4" w:space="0"/>
              <w:right w:val="single" w:color="auto" w:sz="4" w:space="0"/>
            </w:tcBorders>
            <w:vAlign w:val="center"/>
          </w:tcPr>
          <w:p w14:paraId="67C8A00D">
            <w:pPr>
              <w:widowControl/>
              <w:jc w:val="left"/>
              <w:rPr>
                <w:color w:val="auto"/>
                <w:szCs w:val="21"/>
                <w:highlight w:val="none"/>
              </w:rPr>
            </w:pPr>
            <w:r>
              <w:rPr>
                <w:rFonts w:hint="eastAsia"/>
                <w:color w:val="auto"/>
                <w:szCs w:val="21"/>
                <w:highlight w:val="none"/>
              </w:rPr>
              <w:t>Y＜100</w:t>
            </w:r>
          </w:p>
        </w:tc>
      </w:tr>
      <w:tr w14:paraId="7C2951B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301333C">
            <w:pPr>
              <w:widowControl/>
              <w:jc w:val="center"/>
              <w:rPr>
                <w:color w:val="auto"/>
                <w:szCs w:val="21"/>
                <w:highlight w:val="none"/>
              </w:rPr>
            </w:pPr>
            <w:r>
              <w:rPr>
                <w:rFonts w:hint="eastAsia"/>
                <w:color w:val="auto"/>
                <w:szCs w:val="21"/>
                <w:highlight w:val="none"/>
              </w:rPr>
              <w:t>交通运输业</w:t>
            </w:r>
          </w:p>
        </w:tc>
        <w:tc>
          <w:tcPr>
            <w:tcW w:w="1701" w:type="dxa"/>
            <w:tcBorders>
              <w:top w:val="nil"/>
              <w:left w:val="nil"/>
              <w:bottom w:val="single" w:color="auto" w:sz="4" w:space="0"/>
              <w:right w:val="single" w:color="auto" w:sz="4" w:space="0"/>
            </w:tcBorders>
            <w:vAlign w:val="center"/>
          </w:tcPr>
          <w:p w14:paraId="2957E8B5">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662505B4">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741D9BBC">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vAlign w:val="center"/>
          </w:tcPr>
          <w:p w14:paraId="3133798F">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vAlign w:val="center"/>
          </w:tcPr>
          <w:p w14:paraId="5B1D7D28">
            <w:pPr>
              <w:widowControl/>
              <w:jc w:val="left"/>
              <w:rPr>
                <w:color w:val="auto"/>
                <w:szCs w:val="21"/>
                <w:highlight w:val="none"/>
              </w:rPr>
            </w:pPr>
            <w:r>
              <w:rPr>
                <w:rFonts w:hint="eastAsia"/>
                <w:color w:val="auto"/>
                <w:szCs w:val="21"/>
                <w:highlight w:val="none"/>
              </w:rPr>
              <w:t>X＜20</w:t>
            </w:r>
          </w:p>
        </w:tc>
      </w:tr>
      <w:tr w14:paraId="1F532E1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61E29D8">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729DFC53">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15801085">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58C6182F">
            <w:pPr>
              <w:widowControl/>
              <w:jc w:val="left"/>
              <w:rPr>
                <w:color w:val="auto"/>
                <w:szCs w:val="21"/>
                <w:highlight w:val="none"/>
              </w:rPr>
            </w:pPr>
            <w:r>
              <w:rPr>
                <w:rFonts w:hint="eastAsia"/>
                <w:color w:val="auto"/>
                <w:szCs w:val="21"/>
                <w:highlight w:val="none"/>
              </w:rPr>
              <w:t>3000≤Y＜30000</w:t>
            </w:r>
          </w:p>
        </w:tc>
        <w:tc>
          <w:tcPr>
            <w:tcW w:w="1570" w:type="dxa"/>
            <w:tcBorders>
              <w:top w:val="nil"/>
              <w:left w:val="nil"/>
              <w:bottom w:val="single" w:color="auto" w:sz="4" w:space="0"/>
              <w:right w:val="single" w:color="auto" w:sz="4" w:space="0"/>
            </w:tcBorders>
            <w:vAlign w:val="center"/>
          </w:tcPr>
          <w:p w14:paraId="1115EE46">
            <w:pPr>
              <w:widowControl/>
              <w:jc w:val="left"/>
              <w:rPr>
                <w:color w:val="auto"/>
                <w:szCs w:val="21"/>
                <w:highlight w:val="none"/>
              </w:rPr>
            </w:pPr>
            <w:r>
              <w:rPr>
                <w:rFonts w:hint="eastAsia"/>
                <w:color w:val="auto"/>
                <w:szCs w:val="21"/>
                <w:highlight w:val="none"/>
              </w:rPr>
              <w:t>200≤Y＜3000</w:t>
            </w:r>
          </w:p>
        </w:tc>
        <w:tc>
          <w:tcPr>
            <w:tcW w:w="1009" w:type="dxa"/>
            <w:tcBorders>
              <w:top w:val="nil"/>
              <w:left w:val="nil"/>
              <w:bottom w:val="single" w:color="auto" w:sz="4" w:space="0"/>
              <w:right w:val="single" w:color="auto" w:sz="4" w:space="0"/>
            </w:tcBorders>
            <w:vAlign w:val="center"/>
          </w:tcPr>
          <w:p w14:paraId="474A0A32">
            <w:pPr>
              <w:widowControl/>
              <w:jc w:val="left"/>
              <w:rPr>
                <w:color w:val="auto"/>
                <w:szCs w:val="21"/>
                <w:highlight w:val="none"/>
              </w:rPr>
            </w:pPr>
            <w:r>
              <w:rPr>
                <w:rFonts w:hint="eastAsia"/>
                <w:color w:val="auto"/>
                <w:szCs w:val="21"/>
                <w:highlight w:val="none"/>
              </w:rPr>
              <w:t>Y＜200</w:t>
            </w:r>
          </w:p>
        </w:tc>
      </w:tr>
      <w:tr w14:paraId="0E28BDF5">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2820BFC">
            <w:pPr>
              <w:widowControl/>
              <w:jc w:val="center"/>
              <w:rPr>
                <w:color w:val="auto"/>
                <w:szCs w:val="21"/>
                <w:highlight w:val="none"/>
              </w:rPr>
            </w:pPr>
            <w:r>
              <w:rPr>
                <w:rFonts w:hint="eastAsia"/>
                <w:color w:val="auto"/>
                <w:szCs w:val="21"/>
                <w:highlight w:val="none"/>
              </w:rPr>
              <w:t>仓储业</w:t>
            </w:r>
          </w:p>
        </w:tc>
        <w:tc>
          <w:tcPr>
            <w:tcW w:w="1701" w:type="dxa"/>
            <w:tcBorders>
              <w:top w:val="nil"/>
              <w:left w:val="nil"/>
              <w:bottom w:val="single" w:color="auto" w:sz="4" w:space="0"/>
              <w:right w:val="single" w:color="auto" w:sz="4" w:space="0"/>
            </w:tcBorders>
            <w:vAlign w:val="center"/>
          </w:tcPr>
          <w:p w14:paraId="45FC4D42">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3EA89A66">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785398E0">
            <w:pPr>
              <w:widowControl/>
              <w:jc w:val="left"/>
              <w:rPr>
                <w:color w:val="auto"/>
                <w:szCs w:val="21"/>
                <w:highlight w:val="none"/>
              </w:rPr>
            </w:pPr>
            <w:r>
              <w:rPr>
                <w:rFonts w:hint="eastAsia"/>
                <w:color w:val="auto"/>
                <w:szCs w:val="21"/>
                <w:highlight w:val="none"/>
              </w:rPr>
              <w:t>100≤X＜200</w:t>
            </w:r>
          </w:p>
        </w:tc>
        <w:tc>
          <w:tcPr>
            <w:tcW w:w="1570" w:type="dxa"/>
            <w:tcBorders>
              <w:top w:val="nil"/>
              <w:left w:val="nil"/>
              <w:bottom w:val="single" w:color="auto" w:sz="4" w:space="0"/>
              <w:right w:val="single" w:color="auto" w:sz="4" w:space="0"/>
            </w:tcBorders>
            <w:vAlign w:val="center"/>
          </w:tcPr>
          <w:p w14:paraId="75AD44C1">
            <w:pPr>
              <w:widowControl/>
              <w:jc w:val="left"/>
              <w:rPr>
                <w:color w:val="auto"/>
                <w:szCs w:val="21"/>
                <w:highlight w:val="none"/>
              </w:rPr>
            </w:pPr>
            <w:r>
              <w:rPr>
                <w:rFonts w:hint="eastAsia"/>
                <w:color w:val="auto"/>
                <w:szCs w:val="21"/>
                <w:highlight w:val="none"/>
              </w:rPr>
              <w:t>20≤X＜100</w:t>
            </w:r>
          </w:p>
        </w:tc>
        <w:tc>
          <w:tcPr>
            <w:tcW w:w="1009" w:type="dxa"/>
            <w:tcBorders>
              <w:top w:val="nil"/>
              <w:left w:val="nil"/>
              <w:bottom w:val="single" w:color="auto" w:sz="4" w:space="0"/>
              <w:right w:val="single" w:color="auto" w:sz="4" w:space="0"/>
            </w:tcBorders>
            <w:vAlign w:val="center"/>
          </w:tcPr>
          <w:p w14:paraId="1ABFFAFA">
            <w:pPr>
              <w:widowControl/>
              <w:jc w:val="left"/>
              <w:rPr>
                <w:color w:val="auto"/>
                <w:szCs w:val="21"/>
                <w:highlight w:val="none"/>
              </w:rPr>
            </w:pPr>
            <w:r>
              <w:rPr>
                <w:rFonts w:hint="eastAsia"/>
                <w:color w:val="auto"/>
                <w:szCs w:val="21"/>
                <w:highlight w:val="none"/>
              </w:rPr>
              <w:t>X＜20</w:t>
            </w:r>
          </w:p>
        </w:tc>
      </w:tr>
      <w:tr w14:paraId="44B818B6">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2AD6F015">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1F3F6FF5">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16C2419B">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5E1F9A2E">
            <w:pPr>
              <w:widowControl/>
              <w:jc w:val="left"/>
              <w:rPr>
                <w:color w:val="auto"/>
                <w:szCs w:val="21"/>
                <w:highlight w:val="none"/>
              </w:rPr>
            </w:pPr>
            <w:r>
              <w:rPr>
                <w:rFonts w:hint="eastAsia"/>
                <w:color w:val="auto"/>
                <w:szCs w:val="21"/>
                <w:highlight w:val="none"/>
              </w:rPr>
              <w:t>1000≤Y＜30000</w:t>
            </w:r>
          </w:p>
        </w:tc>
        <w:tc>
          <w:tcPr>
            <w:tcW w:w="1570" w:type="dxa"/>
            <w:tcBorders>
              <w:top w:val="nil"/>
              <w:left w:val="nil"/>
              <w:bottom w:val="single" w:color="auto" w:sz="4" w:space="0"/>
              <w:right w:val="single" w:color="auto" w:sz="4" w:space="0"/>
            </w:tcBorders>
            <w:vAlign w:val="center"/>
          </w:tcPr>
          <w:p w14:paraId="1F8539A4">
            <w:pPr>
              <w:widowControl/>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vAlign w:val="center"/>
          </w:tcPr>
          <w:p w14:paraId="692BD999">
            <w:pPr>
              <w:widowControl/>
              <w:jc w:val="left"/>
              <w:rPr>
                <w:color w:val="auto"/>
                <w:szCs w:val="21"/>
                <w:highlight w:val="none"/>
              </w:rPr>
            </w:pPr>
            <w:r>
              <w:rPr>
                <w:rFonts w:hint="eastAsia"/>
                <w:color w:val="auto"/>
                <w:szCs w:val="21"/>
                <w:highlight w:val="none"/>
              </w:rPr>
              <w:t>Y＜100</w:t>
            </w:r>
          </w:p>
        </w:tc>
      </w:tr>
      <w:tr w14:paraId="578E2550">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EFE318F">
            <w:pPr>
              <w:widowControl/>
              <w:jc w:val="center"/>
              <w:rPr>
                <w:color w:val="auto"/>
                <w:szCs w:val="21"/>
                <w:highlight w:val="none"/>
              </w:rPr>
            </w:pPr>
            <w:r>
              <w:rPr>
                <w:rFonts w:hint="eastAsia"/>
                <w:color w:val="auto"/>
                <w:szCs w:val="21"/>
                <w:highlight w:val="none"/>
              </w:rPr>
              <w:t>邮政业</w:t>
            </w:r>
          </w:p>
        </w:tc>
        <w:tc>
          <w:tcPr>
            <w:tcW w:w="1701" w:type="dxa"/>
            <w:tcBorders>
              <w:top w:val="nil"/>
              <w:left w:val="nil"/>
              <w:bottom w:val="single" w:color="auto" w:sz="4" w:space="0"/>
              <w:right w:val="single" w:color="auto" w:sz="4" w:space="0"/>
            </w:tcBorders>
            <w:vAlign w:val="center"/>
          </w:tcPr>
          <w:p w14:paraId="61A0CFAF">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00A97573">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07567634">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vAlign w:val="center"/>
          </w:tcPr>
          <w:p w14:paraId="25A1D0E7">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vAlign w:val="center"/>
          </w:tcPr>
          <w:p w14:paraId="6FC58CE5">
            <w:pPr>
              <w:widowControl/>
              <w:jc w:val="left"/>
              <w:rPr>
                <w:color w:val="auto"/>
                <w:szCs w:val="21"/>
                <w:highlight w:val="none"/>
              </w:rPr>
            </w:pPr>
            <w:r>
              <w:rPr>
                <w:rFonts w:hint="eastAsia"/>
                <w:color w:val="auto"/>
                <w:szCs w:val="21"/>
                <w:highlight w:val="none"/>
              </w:rPr>
              <w:t>X＜20</w:t>
            </w:r>
          </w:p>
        </w:tc>
      </w:tr>
      <w:tr w14:paraId="52044190">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D160541">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4431DA7F">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45C56A63">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56B74170">
            <w:pPr>
              <w:widowControl/>
              <w:jc w:val="left"/>
              <w:rPr>
                <w:color w:val="auto"/>
                <w:szCs w:val="21"/>
                <w:highlight w:val="none"/>
              </w:rPr>
            </w:pPr>
            <w:r>
              <w:rPr>
                <w:rFonts w:hint="eastAsia"/>
                <w:color w:val="auto"/>
                <w:szCs w:val="21"/>
                <w:highlight w:val="none"/>
              </w:rPr>
              <w:t>2000≤Y＜30000</w:t>
            </w:r>
          </w:p>
        </w:tc>
        <w:tc>
          <w:tcPr>
            <w:tcW w:w="1570" w:type="dxa"/>
            <w:tcBorders>
              <w:top w:val="nil"/>
              <w:left w:val="nil"/>
              <w:bottom w:val="single" w:color="auto" w:sz="4" w:space="0"/>
              <w:right w:val="single" w:color="auto" w:sz="4" w:space="0"/>
            </w:tcBorders>
            <w:vAlign w:val="center"/>
          </w:tcPr>
          <w:p w14:paraId="29EF136E">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vAlign w:val="center"/>
          </w:tcPr>
          <w:p w14:paraId="61226EB2">
            <w:pPr>
              <w:widowControl/>
              <w:jc w:val="left"/>
              <w:rPr>
                <w:color w:val="auto"/>
                <w:szCs w:val="21"/>
                <w:highlight w:val="none"/>
              </w:rPr>
            </w:pPr>
            <w:r>
              <w:rPr>
                <w:rFonts w:hint="eastAsia"/>
                <w:color w:val="auto"/>
                <w:szCs w:val="21"/>
                <w:highlight w:val="none"/>
              </w:rPr>
              <w:t>Y＜100</w:t>
            </w:r>
          </w:p>
        </w:tc>
      </w:tr>
      <w:tr w14:paraId="261748D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0DFB547">
            <w:pPr>
              <w:widowControl/>
              <w:jc w:val="center"/>
              <w:rPr>
                <w:color w:val="auto"/>
                <w:szCs w:val="21"/>
                <w:highlight w:val="none"/>
              </w:rPr>
            </w:pPr>
            <w:r>
              <w:rPr>
                <w:rFonts w:hint="eastAsia"/>
                <w:color w:val="auto"/>
                <w:szCs w:val="21"/>
                <w:highlight w:val="none"/>
              </w:rPr>
              <w:t>住宿业</w:t>
            </w:r>
          </w:p>
        </w:tc>
        <w:tc>
          <w:tcPr>
            <w:tcW w:w="1701" w:type="dxa"/>
            <w:tcBorders>
              <w:top w:val="nil"/>
              <w:left w:val="nil"/>
              <w:bottom w:val="single" w:color="auto" w:sz="4" w:space="0"/>
              <w:right w:val="single" w:color="auto" w:sz="4" w:space="0"/>
            </w:tcBorders>
            <w:vAlign w:val="center"/>
          </w:tcPr>
          <w:p w14:paraId="0F3755A2">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72B912BC">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5DE4F38E">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vAlign w:val="center"/>
          </w:tcPr>
          <w:p w14:paraId="6FA9FCF4">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vAlign w:val="center"/>
          </w:tcPr>
          <w:p w14:paraId="3C7A7D98">
            <w:pPr>
              <w:widowControl/>
              <w:jc w:val="left"/>
              <w:rPr>
                <w:color w:val="auto"/>
                <w:szCs w:val="21"/>
                <w:highlight w:val="none"/>
              </w:rPr>
            </w:pPr>
            <w:r>
              <w:rPr>
                <w:rFonts w:hint="eastAsia"/>
                <w:color w:val="auto"/>
                <w:szCs w:val="21"/>
                <w:highlight w:val="none"/>
              </w:rPr>
              <w:t>X＜10</w:t>
            </w:r>
          </w:p>
        </w:tc>
      </w:tr>
      <w:tr w14:paraId="70F83670">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33987A65">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255F99D9">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1A5DCE0C">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3F019B9C">
            <w:pPr>
              <w:widowControl/>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vAlign w:val="center"/>
          </w:tcPr>
          <w:p w14:paraId="528606BD">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vAlign w:val="center"/>
          </w:tcPr>
          <w:p w14:paraId="72CC8944">
            <w:pPr>
              <w:widowControl/>
              <w:jc w:val="left"/>
              <w:rPr>
                <w:color w:val="auto"/>
                <w:szCs w:val="21"/>
                <w:highlight w:val="none"/>
              </w:rPr>
            </w:pPr>
            <w:r>
              <w:rPr>
                <w:rFonts w:hint="eastAsia"/>
                <w:color w:val="auto"/>
                <w:szCs w:val="21"/>
                <w:highlight w:val="none"/>
              </w:rPr>
              <w:t>Y＜100</w:t>
            </w:r>
          </w:p>
        </w:tc>
      </w:tr>
      <w:tr w14:paraId="1857E9D0">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61AE7220">
            <w:pPr>
              <w:widowControl/>
              <w:jc w:val="center"/>
              <w:rPr>
                <w:color w:val="auto"/>
                <w:szCs w:val="21"/>
                <w:highlight w:val="none"/>
              </w:rPr>
            </w:pPr>
            <w:r>
              <w:rPr>
                <w:rFonts w:hint="eastAsia"/>
                <w:color w:val="auto"/>
                <w:szCs w:val="21"/>
                <w:highlight w:val="none"/>
              </w:rPr>
              <w:t>餐饮业</w:t>
            </w:r>
          </w:p>
        </w:tc>
        <w:tc>
          <w:tcPr>
            <w:tcW w:w="1701" w:type="dxa"/>
            <w:tcBorders>
              <w:top w:val="nil"/>
              <w:left w:val="nil"/>
              <w:bottom w:val="single" w:color="auto" w:sz="4" w:space="0"/>
              <w:right w:val="single" w:color="auto" w:sz="4" w:space="0"/>
            </w:tcBorders>
            <w:vAlign w:val="center"/>
          </w:tcPr>
          <w:p w14:paraId="7464CA6A">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6B701A45">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275C15B4">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vAlign w:val="center"/>
          </w:tcPr>
          <w:p w14:paraId="3A570026">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vAlign w:val="center"/>
          </w:tcPr>
          <w:p w14:paraId="5E54EE5F">
            <w:pPr>
              <w:widowControl/>
              <w:jc w:val="left"/>
              <w:rPr>
                <w:color w:val="auto"/>
                <w:szCs w:val="21"/>
                <w:highlight w:val="none"/>
              </w:rPr>
            </w:pPr>
            <w:r>
              <w:rPr>
                <w:rFonts w:hint="eastAsia"/>
                <w:color w:val="auto"/>
                <w:szCs w:val="21"/>
                <w:highlight w:val="none"/>
              </w:rPr>
              <w:t>X＜10</w:t>
            </w:r>
          </w:p>
        </w:tc>
      </w:tr>
      <w:tr w14:paraId="1ADEF1C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285B63B3">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52D649C3">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20566153">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5FAAE161">
            <w:pPr>
              <w:widowControl/>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vAlign w:val="center"/>
          </w:tcPr>
          <w:p w14:paraId="69A2EE30">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vAlign w:val="center"/>
          </w:tcPr>
          <w:p w14:paraId="4AED549C">
            <w:pPr>
              <w:widowControl/>
              <w:jc w:val="left"/>
              <w:rPr>
                <w:color w:val="auto"/>
                <w:szCs w:val="21"/>
                <w:highlight w:val="none"/>
              </w:rPr>
            </w:pPr>
            <w:r>
              <w:rPr>
                <w:rFonts w:hint="eastAsia"/>
                <w:color w:val="auto"/>
                <w:szCs w:val="21"/>
                <w:highlight w:val="none"/>
              </w:rPr>
              <w:t>Y＜100</w:t>
            </w:r>
          </w:p>
        </w:tc>
      </w:tr>
      <w:tr w14:paraId="160D781F">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12276F33">
            <w:pPr>
              <w:widowControl/>
              <w:jc w:val="center"/>
              <w:rPr>
                <w:color w:val="auto"/>
                <w:szCs w:val="21"/>
                <w:highlight w:val="none"/>
              </w:rPr>
            </w:pPr>
            <w:r>
              <w:rPr>
                <w:rFonts w:hint="eastAsia"/>
                <w:color w:val="auto"/>
                <w:szCs w:val="21"/>
                <w:highlight w:val="none"/>
              </w:rPr>
              <w:t>信息传输业</w:t>
            </w:r>
          </w:p>
        </w:tc>
        <w:tc>
          <w:tcPr>
            <w:tcW w:w="1701" w:type="dxa"/>
            <w:tcBorders>
              <w:top w:val="nil"/>
              <w:left w:val="nil"/>
              <w:bottom w:val="single" w:color="auto" w:sz="4" w:space="0"/>
              <w:right w:val="single" w:color="auto" w:sz="4" w:space="0"/>
            </w:tcBorders>
            <w:vAlign w:val="center"/>
          </w:tcPr>
          <w:p w14:paraId="2200D9E8">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082A4C1E">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6725CF6A">
            <w:pPr>
              <w:widowControl/>
              <w:jc w:val="left"/>
              <w:rPr>
                <w:color w:val="auto"/>
                <w:szCs w:val="21"/>
                <w:highlight w:val="none"/>
              </w:rPr>
            </w:pPr>
            <w:r>
              <w:rPr>
                <w:rFonts w:hint="eastAsia"/>
                <w:color w:val="auto"/>
                <w:szCs w:val="21"/>
                <w:highlight w:val="none"/>
              </w:rPr>
              <w:t>100≤X＜2000</w:t>
            </w:r>
          </w:p>
        </w:tc>
        <w:tc>
          <w:tcPr>
            <w:tcW w:w="1570" w:type="dxa"/>
            <w:tcBorders>
              <w:top w:val="nil"/>
              <w:left w:val="nil"/>
              <w:bottom w:val="single" w:color="auto" w:sz="4" w:space="0"/>
              <w:right w:val="single" w:color="auto" w:sz="4" w:space="0"/>
            </w:tcBorders>
            <w:vAlign w:val="center"/>
          </w:tcPr>
          <w:p w14:paraId="193D9DE2">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vAlign w:val="center"/>
          </w:tcPr>
          <w:p w14:paraId="1A20D160">
            <w:pPr>
              <w:widowControl/>
              <w:jc w:val="left"/>
              <w:rPr>
                <w:color w:val="auto"/>
                <w:szCs w:val="21"/>
                <w:highlight w:val="none"/>
              </w:rPr>
            </w:pPr>
            <w:r>
              <w:rPr>
                <w:rFonts w:hint="eastAsia"/>
                <w:color w:val="auto"/>
                <w:szCs w:val="21"/>
                <w:highlight w:val="none"/>
              </w:rPr>
              <w:t>X＜10</w:t>
            </w:r>
          </w:p>
        </w:tc>
      </w:tr>
      <w:tr w14:paraId="2659163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39C06903">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7D60BB1E">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38ABF35F">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68EDF543">
            <w:pPr>
              <w:widowControl/>
              <w:jc w:val="left"/>
              <w:rPr>
                <w:color w:val="auto"/>
                <w:szCs w:val="21"/>
                <w:highlight w:val="none"/>
              </w:rPr>
            </w:pPr>
            <w:r>
              <w:rPr>
                <w:rFonts w:hint="eastAsia"/>
                <w:color w:val="auto"/>
                <w:szCs w:val="21"/>
                <w:highlight w:val="none"/>
              </w:rPr>
              <w:t>1000≤Y＜100000</w:t>
            </w:r>
          </w:p>
        </w:tc>
        <w:tc>
          <w:tcPr>
            <w:tcW w:w="1570" w:type="dxa"/>
            <w:tcBorders>
              <w:top w:val="nil"/>
              <w:left w:val="nil"/>
              <w:bottom w:val="single" w:color="auto" w:sz="4" w:space="0"/>
              <w:right w:val="single" w:color="auto" w:sz="4" w:space="0"/>
            </w:tcBorders>
            <w:vAlign w:val="center"/>
          </w:tcPr>
          <w:p w14:paraId="7B80D9C2">
            <w:pPr>
              <w:widowControl/>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vAlign w:val="center"/>
          </w:tcPr>
          <w:p w14:paraId="5CEA2BA7">
            <w:pPr>
              <w:widowControl/>
              <w:jc w:val="left"/>
              <w:rPr>
                <w:color w:val="auto"/>
                <w:szCs w:val="21"/>
                <w:highlight w:val="none"/>
              </w:rPr>
            </w:pPr>
            <w:r>
              <w:rPr>
                <w:rFonts w:hint="eastAsia"/>
                <w:color w:val="auto"/>
                <w:szCs w:val="21"/>
                <w:highlight w:val="none"/>
              </w:rPr>
              <w:t>Y＜100</w:t>
            </w:r>
          </w:p>
        </w:tc>
      </w:tr>
      <w:tr w14:paraId="5F9F98C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567E6C00">
            <w:pPr>
              <w:widowControl/>
              <w:jc w:val="center"/>
              <w:rPr>
                <w:color w:val="auto"/>
                <w:szCs w:val="21"/>
                <w:highlight w:val="none"/>
              </w:rPr>
            </w:pPr>
            <w:r>
              <w:rPr>
                <w:rFonts w:hint="eastAsia"/>
                <w:color w:val="auto"/>
                <w:szCs w:val="21"/>
                <w:highlight w:val="none"/>
              </w:rPr>
              <w:t>软件和信息技术服务业</w:t>
            </w:r>
          </w:p>
        </w:tc>
        <w:tc>
          <w:tcPr>
            <w:tcW w:w="1701" w:type="dxa"/>
            <w:tcBorders>
              <w:top w:val="nil"/>
              <w:left w:val="nil"/>
              <w:bottom w:val="single" w:color="auto" w:sz="4" w:space="0"/>
              <w:right w:val="single" w:color="auto" w:sz="4" w:space="0"/>
            </w:tcBorders>
            <w:vAlign w:val="center"/>
          </w:tcPr>
          <w:p w14:paraId="3C0D9EB3">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59EDD0A1">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1F584D63">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vAlign w:val="center"/>
          </w:tcPr>
          <w:p w14:paraId="37FA846A">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vAlign w:val="center"/>
          </w:tcPr>
          <w:p w14:paraId="1A412078">
            <w:pPr>
              <w:widowControl/>
              <w:jc w:val="left"/>
              <w:rPr>
                <w:color w:val="auto"/>
                <w:szCs w:val="21"/>
                <w:highlight w:val="none"/>
              </w:rPr>
            </w:pPr>
            <w:r>
              <w:rPr>
                <w:rFonts w:hint="eastAsia"/>
                <w:color w:val="auto"/>
                <w:szCs w:val="21"/>
                <w:highlight w:val="none"/>
              </w:rPr>
              <w:t>X＜10</w:t>
            </w:r>
          </w:p>
        </w:tc>
      </w:tr>
      <w:tr w14:paraId="0970D98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F2F5440">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6F9550C6">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5D070886">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3A314351">
            <w:pPr>
              <w:widowControl/>
              <w:jc w:val="left"/>
              <w:rPr>
                <w:color w:val="auto"/>
                <w:szCs w:val="21"/>
                <w:highlight w:val="none"/>
              </w:rPr>
            </w:pPr>
            <w:r>
              <w:rPr>
                <w:rFonts w:hint="eastAsia"/>
                <w:color w:val="auto"/>
                <w:szCs w:val="21"/>
                <w:highlight w:val="none"/>
              </w:rPr>
              <w:t>1000≤Y＜10000</w:t>
            </w:r>
          </w:p>
        </w:tc>
        <w:tc>
          <w:tcPr>
            <w:tcW w:w="1570" w:type="dxa"/>
            <w:tcBorders>
              <w:top w:val="nil"/>
              <w:left w:val="nil"/>
              <w:bottom w:val="single" w:color="auto" w:sz="4" w:space="0"/>
              <w:right w:val="single" w:color="auto" w:sz="4" w:space="0"/>
            </w:tcBorders>
            <w:vAlign w:val="center"/>
          </w:tcPr>
          <w:p w14:paraId="7E3CBF61">
            <w:pPr>
              <w:widowControl/>
              <w:jc w:val="left"/>
              <w:rPr>
                <w:color w:val="auto"/>
                <w:szCs w:val="21"/>
                <w:highlight w:val="none"/>
              </w:rPr>
            </w:pPr>
            <w:r>
              <w:rPr>
                <w:rFonts w:hint="eastAsia"/>
                <w:color w:val="auto"/>
                <w:szCs w:val="21"/>
                <w:highlight w:val="none"/>
              </w:rPr>
              <w:t>50≤Y＜1000</w:t>
            </w:r>
          </w:p>
        </w:tc>
        <w:tc>
          <w:tcPr>
            <w:tcW w:w="1009" w:type="dxa"/>
            <w:tcBorders>
              <w:top w:val="nil"/>
              <w:left w:val="nil"/>
              <w:bottom w:val="single" w:color="auto" w:sz="4" w:space="0"/>
              <w:right w:val="single" w:color="auto" w:sz="4" w:space="0"/>
            </w:tcBorders>
            <w:vAlign w:val="center"/>
          </w:tcPr>
          <w:p w14:paraId="42C059ED">
            <w:pPr>
              <w:widowControl/>
              <w:jc w:val="left"/>
              <w:rPr>
                <w:color w:val="auto"/>
                <w:szCs w:val="21"/>
                <w:highlight w:val="none"/>
              </w:rPr>
            </w:pPr>
            <w:r>
              <w:rPr>
                <w:rFonts w:hint="eastAsia"/>
                <w:color w:val="auto"/>
                <w:szCs w:val="21"/>
                <w:highlight w:val="none"/>
              </w:rPr>
              <w:t>Y＜50</w:t>
            </w:r>
          </w:p>
        </w:tc>
      </w:tr>
      <w:tr w14:paraId="2CBDF17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32B1B020">
            <w:pPr>
              <w:widowControl/>
              <w:jc w:val="center"/>
              <w:rPr>
                <w:color w:val="auto"/>
                <w:szCs w:val="21"/>
                <w:highlight w:val="none"/>
              </w:rPr>
            </w:pPr>
            <w:r>
              <w:rPr>
                <w:rFonts w:hint="eastAsia"/>
                <w:color w:val="auto"/>
                <w:szCs w:val="21"/>
                <w:highlight w:val="none"/>
              </w:rPr>
              <w:t>房地产开发经营</w:t>
            </w:r>
          </w:p>
        </w:tc>
        <w:tc>
          <w:tcPr>
            <w:tcW w:w="1701" w:type="dxa"/>
            <w:tcBorders>
              <w:top w:val="nil"/>
              <w:left w:val="nil"/>
              <w:bottom w:val="single" w:color="auto" w:sz="4" w:space="0"/>
              <w:right w:val="single" w:color="auto" w:sz="4" w:space="0"/>
            </w:tcBorders>
            <w:vAlign w:val="center"/>
          </w:tcPr>
          <w:p w14:paraId="243F8552">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5A41995D">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09302ED8">
            <w:pPr>
              <w:widowControl/>
              <w:jc w:val="left"/>
              <w:rPr>
                <w:color w:val="auto"/>
                <w:szCs w:val="21"/>
                <w:highlight w:val="none"/>
              </w:rPr>
            </w:pPr>
            <w:r>
              <w:rPr>
                <w:rFonts w:hint="eastAsia"/>
                <w:color w:val="auto"/>
                <w:szCs w:val="21"/>
                <w:highlight w:val="none"/>
              </w:rPr>
              <w:t>1000≤Y＜200000</w:t>
            </w:r>
          </w:p>
        </w:tc>
        <w:tc>
          <w:tcPr>
            <w:tcW w:w="1570" w:type="dxa"/>
            <w:tcBorders>
              <w:top w:val="nil"/>
              <w:left w:val="nil"/>
              <w:bottom w:val="single" w:color="auto" w:sz="4" w:space="0"/>
              <w:right w:val="single" w:color="auto" w:sz="4" w:space="0"/>
            </w:tcBorders>
            <w:vAlign w:val="center"/>
          </w:tcPr>
          <w:p w14:paraId="58731397">
            <w:pPr>
              <w:widowControl/>
              <w:jc w:val="left"/>
              <w:rPr>
                <w:color w:val="auto"/>
                <w:szCs w:val="21"/>
                <w:highlight w:val="none"/>
              </w:rPr>
            </w:pPr>
            <w:r>
              <w:rPr>
                <w:rFonts w:hint="eastAsia"/>
                <w:color w:val="auto"/>
                <w:szCs w:val="21"/>
                <w:highlight w:val="none"/>
              </w:rPr>
              <w:t>100≤X＜1000</w:t>
            </w:r>
          </w:p>
        </w:tc>
        <w:tc>
          <w:tcPr>
            <w:tcW w:w="1009" w:type="dxa"/>
            <w:tcBorders>
              <w:top w:val="nil"/>
              <w:left w:val="nil"/>
              <w:bottom w:val="single" w:color="auto" w:sz="4" w:space="0"/>
              <w:right w:val="single" w:color="auto" w:sz="4" w:space="0"/>
            </w:tcBorders>
            <w:vAlign w:val="center"/>
          </w:tcPr>
          <w:p w14:paraId="2A0D3B69">
            <w:pPr>
              <w:widowControl/>
              <w:jc w:val="left"/>
              <w:rPr>
                <w:color w:val="auto"/>
                <w:szCs w:val="21"/>
                <w:highlight w:val="none"/>
              </w:rPr>
            </w:pPr>
            <w:r>
              <w:rPr>
                <w:rFonts w:hint="eastAsia"/>
                <w:color w:val="auto"/>
                <w:szCs w:val="21"/>
                <w:highlight w:val="none"/>
              </w:rPr>
              <w:t>X＜100</w:t>
            </w:r>
          </w:p>
        </w:tc>
      </w:tr>
      <w:tr w14:paraId="5410E21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26AF745D">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75094CC6">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vAlign w:val="center"/>
          </w:tcPr>
          <w:p w14:paraId="580521D6">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1E1E63B1">
            <w:pPr>
              <w:widowControl/>
              <w:jc w:val="left"/>
              <w:rPr>
                <w:color w:val="auto"/>
                <w:szCs w:val="21"/>
                <w:highlight w:val="none"/>
              </w:rPr>
            </w:pPr>
            <w:r>
              <w:rPr>
                <w:rFonts w:hint="eastAsia"/>
                <w:color w:val="auto"/>
                <w:szCs w:val="21"/>
                <w:highlight w:val="none"/>
              </w:rPr>
              <w:t>5000≤Z＜10000</w:t>
            </w:r>
          </w:p>
        </w:tc>
        <w:tc>
          <w:tcPr>
            <w:tcW w:w="1570" w:type="dxa"/>
            <w:tcBorders>
              <w:top w:val="nil"/>
              <w:left w:val="nil"/>
              <w:bottom w:val="single" w:color="auto" w:sz="4" w:space="0"/>
              <w:right w:val="single" w:color="auto" w:sz="4" w:space="0"/>
            </w:tcBorders>
            <w:vAlign w:val="center"/>
          </w:tcPr>
          <w:p w14:paraId="3C58CF07">
            <w:pPr>
              <w:widowControl/>
              <w:jc w:val="left"/>
              <w:rPr>
                <w:color w:val="auto"/>
                <w:szCs w:val="21"/>
                <w:highlight w:val="none"/>
              </w:rPr>
            </w:pPr>
            <w:r>
              <w:rPr>
                <w:rFonts w:hint="eastAsia"/>
                <w:color w:val="auto"/>
                <w:szCs w:val="21"/>
                <w:highlight w:val="none"/>
              </w:rPr>
              <w:t>2000≤Y＜5000</w:t>
            </w:r>
          </w:p>
        </w:tc>
        <w:tc>
          <w:tcPr>
            <w:tcW w:w="1009" w:type="dxa"/>
            <w:tcBorders>
              <w:top w:val="nil"/>
              <w:left w:val="nil"/>
              <w:bottom w:val="single" w:color="auto" w:sz="4" w:space="0"/>
              <w:right w:val="single" w:color="auto" w:sz="4" w:space="0"/>
            </w:tcBorders>
            <w:vAlign w:val="center"/>
          </w:tcPr>
          <w:p w14:paraId="4704B7DC">
            <w:pPr>
              <w:widowControl/>
              <w:jc w:val="left"/>
              <w:rPr>
                <w:color w:val="auto"/>
                <w:szCs w:val="21"/>
                <w:highlight w:val="none"/>
              </w:rPr>
            </w:pPr>
            <w:r>
              <w:rPr>
                <w:rFonts w:hint="eastAsia"/>
                <w:color w:val="auto"/>
                <w:szCs w:val="21"/>
                <w:highlight w:val="none"/>
              </w:rPr>
              <w:t>Y＜2000</w:t>
            </w:r>
          </w:p>
        </w:tc>
      </w:tr>
      <w:tr w14:paraId="55E0E63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55B65808">
            <w:pPr>
              <w:widowControl/>
              <w:jc w:val="center"/>
              <w:rPr>
                <w:color w:val="auto"/>
                <w:szCs w:val="21"/>
                <w:highlight w:val="none"/>
              </w:rPr>
            </w:pPr>
            <w:r>
              <w:rPr>
                <w:rFonts w:hint="eastAsia"/>
                <w:color w:val="auto"/>
                <w:szCs w:val="21"/>
                <w:highlight w:val="none"/>
              </w:rPr>
              <w:t>物业管理</w:t>
            </w:r>
          </w:p>
        </w:tc>
        <w:tc>
          <w:tcPr>
            <w:tcW w:w="1701" w:type="dxa"/>
            <w:tcBorders>
              <w:top w:val="nil"/>
              <w:left w:val="nil"/>
              <w:bottom w:val="single" w:color="auto" w:sz="4" w:space="0"/>
              <w:right w:val="single" w:color="auto" w:sz="4" w:space="0"/>
            </w:tcBorders>
            <w:vAlign w:val="center"/>
          </w:tcPr>
          <w:p w14:paraId="5EA26D81">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1DA508F4">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68455CB9">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vAlign w:val="center"/>
          </w:tcPr>
          <w:p w14:paraId="2BA652E7">
            <w:pPr>
              <w:widowControl/>
              <w:jc w:val="left"/>
              <w:rPr>
                <w:color w:val="auto"/>
                <w:szCs w:val="21"/>
                <w:highlight w:val="none"/>
              </w:rPr>
            </w:pPr>
            <w:r>
              <w:rPr>
                <w:rFonts w:hint="eastAsia"/>
                <w:color w:val="auto"/>
                <w:szCs w:val="21"/>
                <w:highlight w:val="none"/>
              </w:rPr>
              <w:t>100≤X＜300</w:t>
            </w:r>
          </w:p>
        </w:tc>
        <w:tc>
          <w:tcPr>
            <w:tcW w:w="1009" w:type="dxa"/>
            <w:tcBorders>
              <w:top w:val="nil"/>
              <w:left w:val="nil"/>
              <w:bottom w:val="single" w:color="auto" w:sz="4" w:space="0"/>
              <w:right w:val="single" w:color="auto" w:sz="4" w:space="0"/>
            </w:tcBorders>
            <w:vAlign w:val="center"/>
          </w:tcPr>
          <w:p w14:paraId="2C7C92CA">
            <w:pPr>
              <w:widowControl/>
              <w:jc w:val="left"/>
              <w:rPr>
                <w:color w:val="auto"/>
                <w:szCs w:val="21"/>
                <w:highlight w:val="none"/>
              </w:rPr>
            </w:pPr>
            <w:r>
              <w:rPr>
                <w:rFonts w:hint="eastAsia"/>
                <w:color w:val="auto"/>
                <w:szCs w:val="21"/>
                <w:highlight w:val="none"/>
              </w:rPr>
              <w:t>X＜100</w:t>
            </w:r>
          </w:p>
        </w:tc>
      </w:tr>
      <w:tr w14:paraId="74248A27">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3BE89167">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52F33106">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vAlign w:val="center"/>
          </w:tcPr>
          <w:p w14:paraId="7D24B3B3">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1974EBA6">
            <w:pPr>
              <w:widowControl/>
              <w:jc w:val="left"/>
              <w:rPr>
                <w:color w:val="auto"/>
                <w:szCs w:val="21"/>
                <w:highlight w:val="none"/>
              </w:rPr>
            </w:pPr>
            <w:r>
              <w:rPr>
                <w:rFonts w:hint="eastAsia"/>
                <w:color w:val="auto"/>
                <w:szCs w:val="21"/>
                <w:highlight w:val="none"/>
              </w:rPr>
              <w:t>1000≤Y＜5000</w:t>
            </w:r>
          </w:p>
        </w:tc>
        <w:tc>
          <w:tcPr>
            <w:tcW w:w="1570" w:type="dxa"/>
            <w:tcBorders>
              <w:top w:val="nil"/>
              <w:left w:val="nil"/>
              <w:bottom w:val="single" w:color="auto" w:sz="4" w:space="0"/>
              <w:right w:val="single" w:color="auto" w:sz="4" w:space="0"/>
            </w:tcBorders>
            <w:vAlign w:val="center"/>
          </w:tcPr>
          <w:p w14:paraId="566E57CB">
            <w:pPr>
              <w:widowControl/>
              <w:jc w:val="left"/>
              <w:rPr>
                <w:color w:val="auto"/>
                <w:szCs w:val="21"/>
                <w:highlight w:val="none"/>
              </w:rPr>
            </w:pPr>
            <w:r>
              <w:rPr>
                <w:rFonts w:hint="eastAsia"/>
                <w:color w:val="auto"/>
                <w:szCs w:val="21"/>
                <w:highlight w:val="none"/>
              </w:rPr>
              <w:t>500≤Y＜1000</w:t>
            </w:r>
          </w:p>
        </w:tc>
        <w:tc>
          <w:tcPr>
            <w:tcW w:w="1009" w:type="dxa"/>
            <w:tcBorders>
              <w:top w:val="nil"/>
              <w:left w:val="nil"/>
              <w:bottom w:val="single" w:color="auto" w:sz="4" w:space="0"/>
              <w:right w:val="single" w:color="auto" w:sz="4" w:space="0"/>
            </w:tcBorders>
            <w:vAlign w:val="center"/>
          </w:tcPr>
          <w:p w14:paraId="6A3AA382">
            <w:pPr>
              <w:widowControl/>
              <w:jc w:val="left"/>
              <w:rPr>
                <w:color w:val="auto"/>
                <w:szCs w:val="21"/>
                <w:highlight w:val="none"/>
              </w:rPr>
            </w:pPr>
            <w:r>
              <w:rPr>
                <w:rFonts w:hint="eastAsia"/>
                <w:color w:val="auto"/>
                <w:szCs w:val="21"/>
                <w:highlight w:val="none"/>
              </w:rPr>
              <w:t>Y＜500</w:t>
            </w:r>
          </w:p>
        </w:tc>
      </w:tr>
      <w:tr w14:paraId="4191C70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2C95A708">
            <w:pPr>
              <w:widowControl/>
              <w:jc w:val="center"/>
              <w:rPr>
                <w:color w:val="auto"/>
                <w:szCs w:val="21"/>
                <w:highlight w:val="none"/>
              </w:rPr>
            </w:pPr>
            <w:r>
              <w:rPr>
                <w:rFonts w:hint="eastAsia"/>
                <w:color w:val="auto"/>
                <w:szCs w:val="21"/>
                <w:highlight w:val="none"/>
              </w:rPr>
              <w:t>租赁和商务服务业</w:t>
            </w:r>
          </w:p>
        </w:tc>
        <w:tc>
          <w:tcPr>
            <w:tcW w:w="1701" w:type="dxa"/>
            <w:tcBorders>
              <w:top w:val="nil"/>
              <w:left w:val="nil"/>
              <w:bottom w:val="single" w:color="auto" w:sz="4" w:space="0"/>
              <w:right w:val="single" w:color="auto" w:sz="4" w:space="0"/>
            </w:tcBorders>
            <w:vAlign w:val="center"/>
          </w:tcPr>
          <w:p w14:paraId="41240B72">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4219E607">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389E051C">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vAlign w:val="center"/>
          </w:tcPr>
          <w:p w14:paraId="62A98826">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vAlign w:val="center"/>
          </w:tcPr>
          <w:p w14:paraId="209F242D">
            <w:pPr>
              <w:widowControl/>
              <w:jc w:val="left"/>
              <w:rPr>
                <w:color w:val="auto"/>
                <w:szCs w:val="21"/>
                <w:highlight w:val="none"/>
              </w:rPr>
            </w:pPr>
            <w:r>
              <w:rPr>
                <w:rFonts w:hint="eastAsia"/>
                <w:color w:val="auto"/>
                <w:szCs w:val="21"/>
                <w:highlight w:val="none"/>
              </w:rPr>
              <w:t>X＜10</w:t>
            </w:r>
          </w:p>
        </w:tc>
      </w:tr>
      <w:tr w14:paraId="5FB4E5C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EB2FE42">
            <w:pPr>
              <w:widowControl/>
              <w:jc w:val="left"/>
              <w:rPr>
                <w:color w:val="auto"/>
                <w:szCs w:val="21"/>
                <w:highlight w:val="none"/>
              </w:rPr>
            </w:pPr>
          </w:p>
        </w:tc>
        <w:tc>
          <w:tcPr>
            <w:tcW w:w="1701" w:type="dxa"/>
            <w:tcBorders>
              <w:top w:val="nil"/>
              <w:left w:val="nil"/>
              <w:bottom w:val="single" w:color="auto" w:sz="4" w:space="0"/>
              <w:right w:val="single" w:color="auto" w:sz="4" w:space="0"/>
            </w:tcBorders>
            <w:vAlign w:val="center"/>
          </w:tcPr>
          <w:p w14:paraId="6B40522A">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vAlign w:val="center"/>
          </w:tcPr>
          <w:p w14:paraId="03CBC33E">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vAlign w:val="center"/>
          </w:tcPr>
          <w:p w14:paraId="10CFD53F">
            <w:pPr>
              <w:widowControl/>
              <w:jc w:val="left"/>
              <w:rPr>
                <w:color w:val="auto"/>
                <w:szCs w:val="21"/>
                <w:highlight w:val="none"/>
              </w:rPr>
            </w:pPr>
            <w:r>
              <w:rPr>
                <w:rFonts w:hint="eastAsia"/>
                <w:color w:val="auto"/>
                <w:szCs w:val="21"/>
                <w:highlight w:val="none"/>
              </w:rPr>
              <w:t>8000≤Z＜120000</w:t>
            </w:r>
          </w:p>
        </w:tc>
        <w:tc>
          <w:tcPr>
            <w:tcW w:w="1570" w:type="dxa"/>
            <w:tcBorders>
              <w:top w:val="nil"/>
              <w:left w:val="nil"/>
              <w:bottom w:val="single" w:color="auto" w:sz="4" w:space="0"/>
              <w:right w:val="single" w:color="auto" w:sz="4" w:space="0"/>
            </w:tcBorders>
            <w:vAlign w:val="center"/>
          </w:tcPr>
          <w:p w14:paraId="4BD80B40">
            <w:pPr>
              <w:widowControl/>
              <w:jc w:val="left"/>
              <w:rPr>
                <w:color w:val="auto"/>
                <w:szCs w:val="21"/>
                <w:highlight w:val="none"/>
              </w:rPr>
            </w:pPr>
            <w:r>
              <w:rPr>
                <w:rFonts w:hint="eastAsia"/>
                <w:color w:val="auto"/>
                <w:szCs w:val="21"/>
                <w:highlight w:val="none"/>
              </w:rPr>
              <w:t>100≤Z＜8000</w:t>
            </w:r>
          </w:p>
        </w:tc>
        <w:tc>
          <w:tcPr>
            <w:tcW w:w="1009" w:type="dxa"/>
            <w:tcBorders>
              <w:top w:val="nil"/>
              <w:left w:val="nil"/>
              <w:bottom w:val="single" w:color="auto" w:sz="4" w:space="0"/>
              <w:right w:val="single" w:color="auto" w:sz="4" w:space="0"/>
            </w:tcBorders>
            <w:vAlign w:val="center"/>
          </w:tcPr>
          <w:p w14:paraId="4436C2D7">
            <w:pPr>
              <w:widowControl/>
              <w:jc w:val="left"/>
              <w:rPr>
                <w:color w:val="auto"/>
                <w:szCs w:val="21"/>
                <w:highlight w:val="none"/>
              </w:rPr>
            </w:pPr>
            <w:r>
              <w:rPr>
                <w:rFonts w:hint="eastAsia"/>
                <w:color w:val="auto"/>
                <w:szCs w:val="21"/>
                <w:highlight w:val="none"/>
              </w:rPr>
              <w:t>Y＜100</w:t>
            </w:r>
          </w:p>
        </w:tc>
      </w:tr>
      <w:tr w14:paraId="65DE1E7B">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06BB7BE8">
            <w:pPr>
              <w:widowControl/>
              <w:jc w:val="center"/>
              <w:rPr>
                <w:color w:val="auto"/>
                <w:szCs w:val="21"/>
                <w:highlight w:val="none"/>
              </w:rPr>
            </w:pPr>
            <w:r>
              <w:rPr>
                <w:rFonts w:hint="eastAsia"/>
                <w:color w:val="auto"/>
                <w:szCs w:val="21"/>
                <w:highlight w:val="none"/>
              </w:rPr>
              <w:t>其他未列明行业</w:t>
            </w:r>
          </w:p>
        </w:tc>
        <w:tc>
          <w:tcPr>
            <w:tcW w:w="1701" w:type="dxa"/>
            <w:tcBorders>
              <w:top w:val="nil"/>
              <w:left w:val="nil"/>
              <w:bottom w:val="single" w:color="auto" w:sz="4" w:space="0"/>
              <w:right w:val="single" w:color="auto" w:sz="4" w:space="0"/>
            </w:tcBorders>
            <w:vAlign w:val="center"/>
          </w:tcPr>
          <w:p w14:paraId="70A0044D">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vAlign w:val="center"/>
          </w:tcPr>
          <w:p w14:paraId="7A2DBBDB">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vAlign w:val="center"/>
          </w:tcPr>
          <w:p w14:paraId="5BA6FA52">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vAlign w:val="center"/>
          </w:tcPr>
          <w:p w14:paraId="6AFB7440">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vAlign w:val="center"/>
          </w:tcPr>
          <w:p w14:paraId="38EC62E2">
            <w:pPr>
              <w:widowControl/>
              <w:jc w:val="left"/>
              <w:rPr>
                <w:color w:val="auto"/>
                <w:szCs w:val="21"/>
                <w:highlight w:val="none"/>
              </w:rPr>
            </w:pPr>
            <w:r>
              <w:rPr>
                <w:rFonts w:hint="eastAsia"/>
                <w:color w:val="auto"/>
                <w:szCs w:val="21"/>
                <w:highlight w:val="none"/>
              </w:rPr>
              <w:t>X＜10</w:t>
            </w:r>
          </w:p>
        </w:tc>
      </w:tr>
    </w:tbl>
    <w:p w14:paraId="485B3F95">
      <w:pPr>
        <w:spacing w:line="360" w:lineRule="auto"/>
        <w:ind w:firstLine="525" w:firstLineChars="250"/>
        <w:rPr>
          <w:color w:val="auto"/>
          <w:szCs w:val="21"/>
          <w:highlight w:val="none"/>
        </w:rPr>
      </w:pPr>
      <w:r>
        <w:rPr>
          <w:rFonts w:hint="eastAsia"/>
          <w:color w:val="auto"/>
          <w:szCs w:val="21"/>
          <w:highlight w:val="none"/>
        </w:rPr>
        <w:t>说明：上述标准参照《关于印发中小企业划型标准规定的通知》（工信部联企业</w:t>
      </w:r>
      <w:r>
        <w:rPr>
          <w:rFonts w:hint="eastAsia"/>
          <w:color w:val="auto"/>
          <w:szCs w:val="21"/>
          <w:highlight w:val="none"/>
          <w:lang w:eastAsia="zh-CN"/>
        </w:rPr>
        <w:t>〔2011〕300号</w:t>
      </w:r>
      <w:r>
        <w:rPr>
          <w:rFonts w:hint="eastAsia"/>
          <w:color w:val="auto"/>
          <w:szCs w:val="21"/>
          <w:highlight w:val="none"/>
        </w:rPr>
        <w:t>），大型、中型和小型企业须同时满足所列指标的下限，否则下划一档；微型企业只须满足所列指标中的一项即可。</w:t>
      </w:r>
    </w:p>
    <w:p w14:paraId="38FB4AC9">
      <w:pPr>
        <w:spacing w:line="360" w:lineRule="auto"/>
        <w:rPr>
          <w:color w:val="auto"/>
          <w:sz w:val="28"/>
          <w:szCs w:val="28"/>
          <w:highlight w:val="none"/>
        </w:rPr>
      </w:pPr>
      <w:r>
        <w:rPr>
          <w:color w:val="auto"/>
          <w:szCs w:val="21"/>
          <w:highlight w:val="none"/>
        </w:rPr>
        <w:br w:type="page"/>
      </w:r>
      <w:r>
        <w:rPr>
          <w:rFonts w:hint="eastAsia"/>
          <w:color w:val="auto"/>
          <w:sz w:val="28"/>
          <w:szCs w:val="28"/>
          <w:highlight w:val="none"/>
        </w:rPr>
        <w:t>附件2：</w:t>
      </w:r>
    </w:p>
    <w:p w14:paraId="70E6CBEB">
      <w:pPr>
        <w:spacing w:line="360" w:lineRule="auto"/>
        <w:rPr>
          <w:rFonts w:hint="eastAsia"/>
          <w:color w:val="auto"/>
          <w:szCs w:val="21"/>
          <w:highlight w:val="none"/>
        </w:rPr>
        <w:sectPr>
          <w:footerReference r:id="rId13" w:type="first"/>
          <w:headerReference r:id="rId12" w:type="default"/>
          <w:pgSz w:w="11906" w:h="16838"/>
          <w:pgMar w:top="851" w:right="1133" w:bottom="1246" w:left="1418" w:header="851" w:footer="797" w:gutter="0"/>
          <w:cols w:space="720" w:num="1"/>
          <w:docGrid w:linePitch="312" w:charSpace="0"/>
        </w:sectPr>
      </w:pPr>
      <w:r>
        <w:rPr>
          <w:rFonts w:ascii="宋体" w:hAnsi="宋体" w:cs="宋体"/>
          <w:color w:val="auto"/>
          <w:position w:val="-335"/>
          <w:sz w:val="20"/>
          <w:szCs w:val="20"/>
          <w:highlight w:val="none"/>
        </w:rPr>
        <w:drawing>
          <wp:anchor distT="0" distB="0" distL="114300" distR="114300" simplePos="0" relativeHeight="251659264" behindDoc="0" locked="0" layoutInCell="1" allowOverlap="1">
            <wp:simplePos x="0" y="0"/>
            <wp:positionH relativeFrom="column">
              <wp:posOffset>1905</wp:posOffset>
            </wp:positionH>
            <wp:positionV relativeFrom="paragraph">
              <wp:posOffset>204470</wp:posOffset>
            </wp:positionV>
            <wp:extent cx="5573395" cy="8125460"/>
            <wp:effectExtent l="0" t="0" r="8255" b="8890"/>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7"/>
                    <a:stretch>
                      <a:fillRect/>
                    </a:stretch>
                  </pic:blipFill>
                  <pic:spPr>
                    <a:xfrm>
                      <a:off x="0" y="0"/>
                      <a:ext cx="5573395" cy="8125460"/>
                    </a:xfrm>
                    <a:prstGeom prst="rect">
                      <a:avLst/>
                    </a:prstGeom>
                    <a:noFill/>
                    <a:ln>
                      <a:noFill/>
                    </a:ln>
                  </pic:spPr>
                </pic:pic>
              </a:graphicData>
            </a:graphic>
          </wp:anchor>
        </w:drawing>
      </w:r>
    </w:p>
    <w:bookmarkEnd w:id="13"/>
    <w:bookmarkEnd w:id="14"/>
    <w:p w14:paraId="0ECB94B5">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18" w:name="_Toc27677"/>
      <w:r>
        <w:rPr>
          <w:rFonts w:ascii="Times New Roman" w:hAnsi="Times New Roman" w:cs="Times New Roman"/>
          <w:color w:val="auto"/>
          <w:sz w:val="32"/>
          <w:szCs w:val="32"/>
          <w:highlight w:val="none"/>
        </w:rPr>
        <w:t>第三章  供应商须知</w:t>
      </w:r>
      <w:bookmarkEnd w:id="18"/>
      <w:bookmarkStart w:id="19" w:name="_Toc254970667"/>
      <w:bookmarkStart w:id="20" w:name="_Toc254970526"/>
    </w:p>
    <w:p w14:paraId="2B86EFC0">
      <w:pPr>
        <w:pStyle w:val="3"/>
        <w:spacing w:before="40" w:after="4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供应商须知前附表</w:t>
      </w:r>
      <w:bookmarkEnd w:id="19"/>
      <w:bookmarkEnd w:id="20"/>
      <w:bookmarkStart w:id="21" w:name="_投标人须知前附表"/>
      <w:bookmarkEnd w:id="21"/>
      <w:bookmarkStart w:id="22" w:name="_Hlk19088833"/>
    </w:p>
    <w:tbl>
      <w:tblPr>
        <w:tblStyle w:val="51"/>
        <w:tblW w:w="921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1248"/>
        <w:gridCol w:w="7229"/>
      </w:tblGrid>
      <w:tr w14:paraId="6F4E71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737" w:type="dxa"/>
            <w:tcBorders>
              <w:top w:val="single" w:color="auto" w:sz="4" w:space="0"/>
              <w:left w:val="single" w:color="auto" w:sz="4" w:space="0"/>
              <w:bottom w:val="single" w:color="auto" w:sz="4" w:space="0"/>
              <w:right w:val="single" w:color="auto" w:sz="4" w:space="0"/>
            </w:tcBorders>
            <w:vAlign w:val="center"/>
          </w:tcPr>
          <w:p w14:paraId="34B43ABB">
            <w:pPr>
              <w:jc w:val="center"/>
              <w:rPr>
                <w:b/>
                <w:color w:val="auto"/>
                <w:szCs w:val="21"/>
                <w:highlight w:val="none"/>
              </w:rPr>
            </w:pPr>
            <w:r>
              <w:rPr>
                <w:b/>
                <w:color w:val="auto"/>
                <w:szCs w:val="21"/>
                <w:highlight w:val="none"/>
              </w:rPr>
              <w:t>条款号</w:t>
            </w:r>
          </w:p>
        </w:tc>
        <w:tc>
          <w:tcPr>
            <w:tcW w:w="1248" w:type="dxa"/>
            <w:tcBorders>
              <w:top w:val="single" w:color="auto" w:sz="4" w:space="0"/>
              <w:left w:val="single" w:color="auto" w:sz="4" w:space="0"/>
              <w:bottom w:val="single" w:color="auto" w:sz="4" w:space="0"/>
              <w:right w:val="single" w:color="auto" w:sz="4" w:space="0"/>
            </w:tcBorders>
            <w:vAlign w:val="center"/>
          </w:tcPr>
          <w:p w14:paraId="16F87C66">
            <w:pPr>
              <w:jc w:val="center"/>
              <w:rPr>
                <w:b/>
                <w:color w:val="auto"/>
                <w:szCs w:val="21"/>
                <w:highlight w:val="none"/>
              </w:rPr>
            </w:pPr>
            <w:r>
              <w:rPr>
                <w:b/>
                <w:color w:val="auto"/>
                <w:szCs w:val="21"/>
                <w:highlight w:val="none"/>
              </w:rPr>
              <w:t>要点</w:t>
            </w:r>
          </w:p>
        </w:tc>
        <w:tc>
          <w:tcPr>
            <w:tcW w:w="7229" w:type="dxa"/>
            <w:tcBorders>
              <w:top w:val="single" w:color="auto" w:sz="4" w:space="0"/>
              <w:left w:val="single" w:color="auto" w:sz="4" w:space="0"/>
              <w:bottom w:val="single" w:color="auto" w:sz="4" w:space="0"/>
              <w:right w:val="single" w:color="auto" w:sz="4" w:space="0"/>
            </w:tcBorders>
            <w:vAlign w:val="center"/>
          </w:tcPr>
          <w:p w14:paraId="50FFF86B">
            <w:pPr>
              <w:jc w:val="center"/>
              <w:rPr>
                <w:b/>
                <w:color w:val="auto"/>
                <w:szCs w:val="21"/>
                <w:highlight w:val="none"/>
              </w:rPr>
            </w:pPr>
            <w:r>
              <w:rPr>
                <w:b/>
                <w:color w:val="auto"/>
                <w:szCs w:val="21"/>
                <w:highlight w:val="none"/>
              </w:rPr>
              <w:t>内容、要求</w:t>
            </w:r>
          </w:p>
        </w:tc>
      </w:tr>
      <w:tr w14:paraId="789C41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37" w:type="dxa"/>
            <w:tcBorders>
              <w:top w:val="single" w:color="auto" w:sz="4" w:space="0"/>
              <w:left w:val="single" w:color="auto" w:sz="4" w:space="0"/>
              <w:bottom w:val="single" w:color="auto" w:sz="4" w:space="0"/>
              <w:right w:val="single" w:color="auto" w:sz="4" w:space="0"/>
            </w:tcBorders>
            <w:vAlign w:val="center"/>
          </w:tcPr>
          <w:p w14:paraId="42422D4F">
            <w:pPr>
              <w:spacing w:line="300" w:lineRule="exact"/>
              <w:jc w:val="center"/>
              <w:rPr>
                <w:b/>
                <w:color w:val="auto"/>
                <w:szCs w:val="21"/>
                <w:highlight w:val="none"/>
              </w:rPr>
            </w:pPr>
            <w:r>
              <w:rPr>
                <w:b/>
                <w:color w:val="auto"/>
                <w:szCs w:val="21"/>
                <w:highlight w:val="none"/>
              </w:rPr>
              <w:t>1.3.1</w:t>
            </w:r>
          </w:p>
        </w:tc>
        <w:tc>
          <w:tcPr>
            <w:tcW w:w="1248" w:type="dxa"/>
            <w:tcBorders>
              <w:top w:val="single" w:color="auto" w:sz="4" w:space="0"/>
              <w:left w:val="single" w:color="auto" w:sz="4" w:space="0"/>
              <w:bottom w:val="single" w:color="auto" w:sz="4" w:space="0"/>
              <w:right w:val="single" w:color="auto" w:sz="4" w:space="0"/>
            </w:tcBorders>
            <w:vAlign w:val="center"/>
          </w:tcPr>
          <w:p w14:paraId="6C8B6D69">
            <w:pPr>
              <w:spacing w:line="300" w:lineRule="exact"/>
              <w:jc w:val="center"/>
              <w:rPr>
                <w:color w:val="auto"/>
                <w:szCs w:val="21"/>
                <w:highlight w:val="none"/>
              </w:rPr>
            </w:pPr>
            <w:r>
              <w:rPr>
                <w:color w:val="auto"/>
                <w:szCs w:val="21"/>
                <w:highlight w:val="none"/>
              </w:rPr>
              <w:t>项目基本信息</w:t>
            </w:r>
          </w:p>
        </w:tc>
        <w:tc>
          <w:tcPr>
            <w:tcW w:w="7229" w:type="dxa"/>
            <w:tcBorders>
              <w:top w:val="single" w:color="auto" w:sz="4" w:space="0"/>
              <w:left w:val="single" w:color="auto" w:sz="4" w:space="0"/>
              <w:bottom w:val="single" w:color="auto" w:sz="4" w:space="0"/>
              <w:right w:val="single" w:color="auto" w:sz="4" w:space="0"/>
            </w:tcBorders>
            <w:vAlign w:val="center"/>
          </w:tcPr>
          <w:p w14:paraId="4918C15E">
            <w:pPr>
              <w:spacing w:line="300" w:lineRule="exact"/>
              <w:jc w:val="left"/>
              <w:rPr>
                <w:rFonts w:hint="eastAsia"/>
                <w:color w:val="auto"/>
                <w:szCs w:val="21"/>
                <w:highlight w:val="none"/>
              </w:rPr>
            </w:pPr>
            <w:r>
              <w:rPr>
                <w:color w:val="auto"/>
                <w:szCs w:val="21"/>
                <w:highlight w:val="none"/>
              </w:rPr>
              <w:t>项目名称：</w:t>
            </w:r>
            <w:r>
              <w:rPr>
                <w:rFonts w:hint="eastAsia"/>
                <w:color w:val="auto"/>
                <w:szCs w:val="21"/>
                <w:highlight w:val="none"/>
              </w:rPr>
              <w:t>铸牢中华民族共同体意识宣传项目</w:t>
            </w:r>
          </w:p>
          <w:p w14:paraId="150E468E">
            <w:pPr>
              <w:spacing w:line="300" w:lineRule="exact"/>
              <w:jc w:val="left"/>
              <w:rPr>
                <w:rFonts w:hint="eastAsia" w:eastAsia="宋体"/>
                <w:color w:val="auto"/>
                <w:szCs w:val="21"/>
                <w:highlight w:val="none"/>
                <w:lang w:eastAsia="zh-CN"/>
              </w:rPr>
            </w:pPr>
            <w:r>
              <w:rPr>
                <w:color w:val="auto"/>
                <w:szCs w:val="21"/>
                <w:highlight w:val="none"/>
              </w:rPr>
              <w:t>项目编号：</w:t>
            </w:r>
            <w:r>
              <w:rPr>
                <w:rFonts w:hint="eastAsia"/>
                <w:color w:val="auto"/>
                <w:szCs w:val="21"/>
                <w:highlight w:val="none"/>
                <w:lang w:eastAsia="zh-CN"/>
              </w:rPr>
              <w:t>GXZC2026-C3-002886-JDZB</w:t>
            </w:r>
          </w:p>
          <w:p w14:paraId="1F6B5B81">
            <w:pPr>
              <w:spacing w:line="300" w:lineRule="exact"/>
              <w:jc w:val="left"/>
              <w:rPr>
                <w:color w:val="auto"/>
                <w:szCs w:val="21"/>
                <w:highlight w:val="none"/>
              </w:rPr>
            </w:pPr>
            <w:r>
              <w:rPr>
                <w:rFonts w:hint="eastAsia"/>
                <w:color w:val="auto"/>
                <w:szCs w:val="21"/>
                <w:highlight w:val="none"/>
              </w:rPr>
              <w:t>采购计划号：</w:t>
            </w:r>
            <w:r>
              <w:rPr>
                <w:rFonts w:hint="eastAsia"/>
                <w:color w:val="auto"/>
                <w:szCs w:val="21"/>
                <w:highlight w:val="none"/>
                <w:lang w:eastAsia="zh-CN"/>
              </w:rPr>
              <w:t>广西政采〔</w:t>
            </w:r>
            <w:r>
              <w:rPr>
                <w:rFonts w:hint="eastAsia"/>
                <w:color w:val="auto"/>
                <w:szCs w:val="21"/>
                <w:highlight w:val="none"/>
                <w:lang w:val="en-US" w:eastAsia="zh-CN"/>
              </w:rPr>
              <w:t>2026</w:t>
            </w:r>
            <w:r>
              <w:rPr>
                <w:rFonts w:hint="eastAsia"/>
                <w:color w:val="auto"/>
                <w:szCs w:val="21"/>
                <w:highlight w:val="none"/>
                <w:lang w:eastAsia="zh-CN"/>
              </w:rPr>
              <w:t>〕</w:t>
            </w:r>
            <w:r>
              <w:rPr>
                <w:rFonts w:hint="eastAsia"/>
                <w:color w:val="auto"/>
                <w:szCs w:val="21"/>
                <w:highlight w:val="none"/>
                <w:lang w:val="en-US" w:eastAsia="zh-CN"/>
              </w:rPr>
              <w:t>17089号</w:t>
            </w:r>
          </w:p>
        </w:tc>
      </w:tr>
      <w:tr w14:paraId="5337A4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37" w:type="dxa"/>
            <w:tcBorders>
              <w:top w:val="single" w:color="auto" w:sz="4" w:space="0"/>
              <w:left w:val="single" w:color="auto" w:sz="4" w:space="0"/>
              <w:bottom w:val="single" w:color="auto" w:sz="4" w:space="0"/>
              <w:right w:val="single" w:color="auto" w:sz="4" w:space="0"/>
            </w:tcBorders>
            <w:vAlign w:val="center"/>
          </w:tcPr>
          <w:p w14:paraId="2E66354A">
            <w:pPr>
              <w:spacing w:line="300" w:lineRule="exact"/>
              <w:jc w:val="center"/>
              <w:rPr>
                <w:b/>
                <w:color w:val="auto"/>
                <w:szCs w:val="21"/>
                <w:highlight w:val="none"/>
              </w:rPr>
            </w:pPr>
            <w:r>
              <w:rPr>
                <w:b/>
                <w:color w:val="auto"/>
                <w:szCs w:val="21"/>
                <w:highlight w:val="none"/>
              </w:rPr>
              <w:t>1.3.2</w:t>
            </w:r>
          </w:p>
        </w:tc>
        <w:tc>
          <w:tcPr>
            <w:tcW w:w="1248" w:type="dxa"/>
            <w:tcBorders>
              <w:top w:val="single" w:color="auto" w:sz="4" w:space="0"/>
              <w:left w:val="single" w:color="auto" w:sz="4" w:space="0"/>
              <w:bottom w:val="single" w:color="auto" w:sz="4" w:space="0"/>
              <w:right w:val="single" w:color="auto" w:sz="4" w:space="0"/>
            </w:tcBorders>
            <w:vAlign w:val="center"/>
          </w:tcPr>
          <w:p w14:paraId="4E317EAD">
            <w:pPr>
              <w:spacing w:line="300" w:lineRule="exact"/>
              <w:jc w:val="center"/>
              <w:rPr>
                <w:color w:val="auto"/>
                <w:szCs w:val="21"/>
                <w:highlight w:val="none"/>
                <w:lang w:val="zh-CN"/>
              </w:rPr>
            </w:pPr>
            <w:r>
              <w:rPr>
                <w:rFonts w:hint="eastAsia"/>
                <w:color w:val="auto"/>
                <w:szCs w:val="21"/>
                <w:highlight w:val="none"/>
                <w:lang w:val="zh-CN"/>
              </w:rPr>
              <w:t>采购方式</w:t>
            </w:r>
          </w:p>
        </w:tc>
        <w:tc>
          <w:tcPr>
            <w:tcW w:w="7229" w:type="dxa"/>
            <w:tcBorders>
              <w:top w:val="single" w:color="auto" w:sz="4" w:space="0"/>
              <w:left w:val="single" w:color="auto" w:sz="4" w:space="0"/>
              <w:bottom w:val="single" w:color="auto" w:sz="4" w:space="0"/>
              <w:right w:val="single" w:color="auto" w:sz="4" w:space="0"/>
            </w:tcBorders>
            <w:vAlign w:val="center"/>
          </w:tcPr>
          <w:p w14:paraId="1F698A6F">
            <w:pPr>
              <w:spacing w:line="300" w:lineRule="exact"/>
              <w:jc w:val="left"/>
              <w:rPr>
                <w:color w:val="auto"/>
                <w:szCs w:val="21"/>
                <w:highlight w:val="none"/>
              </w:rPr>
            </w:pPr>
            <w:r>
              <w:rPr>
                <w:rFonts w:hint="eastAsia"/>
                <w:color w:val="auto"/>
                <w:szCs w:val="21"/>
                <w:highlight w:val="none"/>
              </w:rPr>
              <w:t>竞争性磋商。</w:t>
            </w:r>
          </w:p>
        </w:tc>
      </w:tr>
      <w:tr w14:paraId="732510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610B6A4D">
            <w:pPr>
              <w:spacing w:line="300" w:lineRule="exact"/>
              <w:jc w:val="center"/>
              <w:rPr>
                <w:b/>
                <w:color w:val="auto"/>
                <w:szCs w:val="21"/>
                <w:highlight w:val="none"/>
              </w:rPr>
            </w:pPr>
            <w:r>
              <w:rPr>
                <w:b/>
                <w:color w:val="auto"/>
                <w:szCs w:val="21"/>
                <w:highlight w:val="none"/>
              </w:rPr>
              <w:t>1.4</w:t>
            </w:r>
          </w:p>
        </w:tc>
        <w:tc>
          <w:tcPr>
            <w:tcW w:w="1248" w:type="dxa"/>
            <w:tcBorders>
              <w:top w:val="single" w:color="auto" w:sz="4" w:space="0"/>
              <w:left w:val="single" w:color="auto" w:sz="4" w:space="0"/>
              <w:bottom w:val="single" w:color="auto" w:sz="4" w:space="0"/>
              <w:right w:val="single" w:color="auto" w:sz="4" w:space="0"/>
            </w:tcBorders>
            <w:vAlign w:val="center"/>
          </w:tcPr>
          <w:p w14:paraId="147398DD">
            <w:pPr>
              <w:spacing w:line="300" w:lineRule="exact"/>
              <w:jc w:val="center"/>
              <w:rPr>
                <w:rFonts w:hint="eastAsia"/>
                <w:color w:val="auto"/>
                <w:szCs w:val="21"/>
                <w:highlight w:val="none"/>
                <w:lang w:val="zh-CN"/>
              </w:rPr>
            </w:pPr>
            <w:r>
              <w:rPr>
                <w:rFonts w:hint="eastAsia"/>
                <w:color w:val="auto"/>
                <w:szCs w:val="21"/>
                <w:highlight w:val="none"/>
                <w:lang w:val="zh-CN"/>
              </w:rPr>
              <w:t>促进中小企业发展措施</w:t>
            </w:r>
          </w:p>
        </w:tc>
        <w:tc>
          <w:tcPr>
            <w:tcW w:w="7229" w:type="dxa"/>
            <w:tcBorders>
              <w:top w:val="single" w:color="auto" w:sz="4" w:space="0"/>
              <w:left w:val="single" w:color="auto" w:sz="4" w:space="0"/>
              <w:bottom w:val="single" w:color="auto" w:sz="4" w:space="0"/>
              <w:right w:val="single" w:color="auto" w:sz="4" w:space="0"/>
            </w:tcBorders>
            <w:vAlign w:val="center"/>
          </w:tcPr>
          <w:p w14:paraId="15B02499">
            <w:pPr>
              <w:spacing w:line="300" w:lineRule="exact"/>
              <w:jc w:val="left"/>
              <w:rPr>
                <w:rFonts w:hint="eastAsia"/>
                <w:color w:val="auto"/>
                <w:szCs w:val="21"/>
                <w:highlight w:val="none"/>
              </w:rPr>
            </w:pPr>
            <w:r>
              <w:rPr>
                <w:rFonts w:hint="eastAsia"/>
                <w:color w:val="auto"/>
                <w:szCs w:val="21"/>
                <w:highlight w:val="none"/>
              </w:rPr>
              <w:t>本项目非专门面向中小微企业采购。</w:t>
            </w:r>
          </w:p>
        </w:tc>
      </w:tr>
      <w:tr w14:paraId="126DFC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791BBC55">
            <w:pPr>
              <w:spacing w:line="300" w:lineRule="exact"/>
              <w:jc w:val="center"/>
              <w:rPr>
                <w:b/>
                <w:color w:val="auto"/>
                <w:szCs w:val="21"/>
                <w:highlight w:val="none"/>
              </w:rPr>
            </w:pPr>
            <w:r>
              <w:rPr>
                <w:b/>
                <w:color w:val="auto"/>
                <w:szCs w:val="21"/>
                <w:highlight w:val="none"/>
              </w:rPr>
              <w:t>1.5.1</w:t>
            </w:r>
          </w:p>
        </w:tc>
        <w:tc>
          <w:tcPr>
            <w:tcW w:w="1248" w:type="dxa"/>
            <w:tcBorders>
              <w:top w:val="single" w:color="auto" w:sz="4" w:space="0"/>
              <w:left w:val="single" w:color="auto" w:sz="4" w:space="0"/>
              <w:bottom w:val="single" w:color="auto" w:sz="4" w:space="0"/>
              <w:right w:val="single" w:color="auto" w:sz="4" w:space="0"/>
            </w:tcBorders>
            <w:vAlign w:val="center"/>
          </w:tcPr>
          <w:p w14:paraId="287A94C7">
            <w:pPr>
              <w:spacing w:line="300" w:lineRule="exact"/>
              <w:jc w:val="center"/>
              <w:rPr>
                <w:color w:val="auto"/>
                <w:szCs w:val="21"/>
                <w:highlight w:val="none"/>
              </w:rPr>
            </w:pPr>
            <w:r>
              <w:rPr>
                <w:color w:val="auto"/>
                <w:szCs w:val="21"/>
                <w:highlight w:val="none"/>
                <w:lang w:val="zh-CN"/>
              </w:rPr>
              <w:t>供应商资格条件</w:t>
            </w:r>
          </w:p>
        </w:tc>
        <w:tc>
          <w:tcPr>
            <w:tcW w:w="7229" w:type="dxa"/>
            <w:tcBorders>
              <w:top w:val="single" w:color="auto" w:sz="4" w:space="0"/>
              <w:left w:val="single" w:color="auto" w:sz="4" w:space="0"/>
              <w:bottom w:val="single" w:color="auto" w:sz="4" w:space="0"/>
              <w:right w:val="single" w:color="auto" w:sz="4" w:space="0"/>
            </w:tcBorders>
            <w:vAlign w:val="center"/>
          </w:tcPr>
          <w:p w14:paraId="56E20E85">
            <w:pPr>
              <w:spacing w:line="300" w:lineRule="exact"/>
              <w:jc w:val="left"/>
              <w:rPr>
                <w:color w:val="auto"/>
                <w:szCs w:val="21"/>
                <w:highlight w:val="none"/>
              </w:rPr>
            </w:pPr>
            <w:r>
              <w:rPr>
                <w:rFonts w:hint="eastAsia"/>
                <w:color w:val="auto"/>
                <w:szCs w:val="21"/>
                <w:highlight w:val="none"/>
              </w:rPr>
              <w:t>详</w:t>
            </w:r>
            <w:r>
              <w:rPr>
                <w:color w:val="auto"/>
                <w:szCs w:val="21"/>
                <w:highlight w:val="none"/>
              </w:rPr>
              <w:t>见</w:t>
            </w:r>
            <w:r>
              <w:rPr>
                <w:rFonts w:hint="eastAsia"/>
                <w:color w:val="auto"/>
                <w:szCs w:val="21"/>
                <w:highlight w:val="none"/>
              </w:rPr>
              <w:t>磋商</w:t>
            </w:r>
            <w:r>
              <w:rPr>
                <w:color w:val="auto"/>
                <w:szCs w:val="21"/>
                <w:highlight w:val="none"/>
              </w:rPr>
              <w:t>公告</w:t>
            </w:r>
            <w:r>
              <w:rPr>
                <w:rFonts w:hint="eastAsia"/>
                <w:color w:val="auto"/>
                <w:szCs w:val="21"/>
                <w:highlight w:val="none"/>
              </w:rPr>
              <w:t>。</w:t>
            </w:r>
          </w:p>
        </w:tc>
      </w:tr>
      <w:tr w14:paraId="4923E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37" w:type="dxa"/>
            <w:tcBorders>
              <w:top w:val="single" w:color="auto" w:sz="4" w:space="0"/>
              <w:left w:val="single" w:color="auto" w:sz="4" w:space="0"/>
              <w:right w:val="single" w:color="auto" w:sz="4" w:space="0"/>
            </w:tcBorders>
            <w:vAlign w:val="center"/>
          </w:tcPr>
          <w:p w14:paraId="0841BEFA">
            <w:pPr>
              <w:spacing w:line="300" w:lineRule="exact"/>
              <w:jc w:val="center"/>
              <w:rPr>
                <w:b/>
                <w:color w:val="auto"/>
                <w:szCs w:val="21"/>
                <w:highlight w:val="none"/>
              </w:rPr>
            </w:pPr>
            <w:bookmarkStart w:id="23" w:name="_Hlk85555568"/>
            <w:r>
              <w:rPr>
                <w:b/>
                <w:color w:val="auto"/>
                <w:szCs w:val="21"/>
                <w:highlight w:val="none"/>
              </w:rPr>
              <w:t>1.5.3</w:t>
            </w:r>
          </w:p>
        </w:tc>
        <w:tc>
          <w:tcPr>
            <w:tcW w:w="1248" w:type="dxa"/>
            <w:tcBorders>
              <w:top w:val="single" w:color="auto" w:sz="4" w:space="0"/>
              <w:left w:val="single" w:color="auto" w:sz="4" w:space="0"/>
              <w:right w:val="single" w:color="auto" w:sz="4" w:space="0"/>
            </w:tcBorders>
            <w:vAlign w:val="center"/>
          </w:tcPr>
          <w:p w14:paraId="62890ECE">
            <w:pPr>
              <w:spacing w:line="300" w:lineRule="exact"/>
              <w:jc w:val="center"/>
              <w:rPr>
                <w:color w:val="auto"/>
                <w:szCs w:val="21"/>
                <w:highlight w:val="none"/>
              </w:rPr>
            </w:pPr>
            <w:r>
              <w:rPr>
                <w:rFonts w:hint="eastAsia"/>
                <w:color w:val="auto"/>
                <w:szCs w:val="21"/>
                <w:highlight w:val="none"/>
              </w:rPr>
              <w:t>联合体</w:t>
            </w:r>
          </w:p>
        </w:tc>
        <w:tc>
          <w:tcPr>
            <w:tcW w:w="7229" w:type="dxa"/>
            <w:tcBorders>
              <w:top w:val="single" w:color="auto" w:sz="4" w:space="0"/>
              <w:left w:val="single" w:color="auto" w:sz="4" w:space="0"/>
              <w:right w:val="single" w:color="auto" w:sz="4" w:space="0"/>
            </w:tcBorders>
            <w:vAlign w:val="center"/>
          </w:tcPr>
          <w:p w14:paraId="3934164E">
            <w:pPr>
              <w:spacing w:line="300" w:lineRule="exact"/>
              <w:jc w:val="left"/>
              <w:rPr>
                <w:color w:val="auto"/>
                <w:szCs w:val="21"/>
                <w:highlight w:val="none"/>
              </w:rPr>
            </w:pPr>
            <w:r>
              <w:rPr>
                <w:rFonts w:hint="eastAsia"/>
                <w:color w:val="auto"/>
                <w:szCs w:val="21"/>
                <w:highlight w:val="none"/>
              </w:rPr>
              <w:t>是否接受联合体详见磋商公告</w:t>
            </w:r>
          </w:p>
        </w:tc>
      </w:tr>
      <w:bookmarkEnd w:id="23"/>
      <w:tr w14:paraId="21CEE2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1F063B10">
            <w:pPr>
              <w:spacing w:line="300" w:lineRule="exact"/>
              <w:jc w:val="center"/>
              <w:rPr>
                <w:b/>
                <w:color w:val="auto"/>
                <w:szCs w:val="21"/>
                <w:highlight w:val="none"/>
              </w:rPr>
            </w:pPr>
            <w:r>
              <w:rPr>
                <w:b/>
                <w:color w:val="auto"/>
                <w:szCs w:val="21"/>
                <w:highlight w:val="none"/>
              </w:rPr>
              <w:t>1.6</w:t>
            </w:r>
          </w:p>
        </w:tc>
        <w:tc>
          <w:tcPr>
            <w:tcW w:w="1248" w:type="dxa"/>
            <w:tcBorders>
              <w:top w:val="single" w:color="auto" w:sz="4" w:space="0"/>
              <w:left w:val="single" w:color="auto" w:sz="4" w:space="0"/>
              <w:bottom w:val="single" w:color="auto" w:sz="4" w:space="0"/>
              <w:right w:val="single" w:color="auto" w:sz="4" w:space="0"/>
            </w:tcBorders>
            <w:vAlign w:val="center"/>
          </w:tcPr>
          <w:p w14:paraId="7291A44A">
            <w:pPr>
              <w:spacing w:line="300" w:lineRule="exact"/>
              <w:jc w:val="center"/>
              <w:rPr>
                <w:color w:val="auto"/>
                <w:szCs w:val="21"/>
                <w:highlight w:val="none"/>
              </w:rPr>
            </w:pPr>
            <w:r>
              <w:rPr>
                <w:rFonts w:hint="eastAsia"/>
                <w:color w:val="auto"/>
                <w:szCs w:val="21"/>
                <w:highlight w:val="none"/>
              </w:rPr>
              <w:t>踏勘</w:t>
            </w:r>
          </w:p>
        </w:tc>
        <w:tc>
          <w:tcPr>
            <w:tcW w:w="7229" w:type="dxa"/>
            <w:tcBorders>
              <w:top w:val="single" w:color="auto" w:sz="4" w:space="0"/>
              <w:left w:val="single" w:color="auto" w:sz="4" w:space="0"/>
              <w:bottom w:val="single" w:color="auto" w:sz="4" w:space="0"/>
              <w:right w:val="single" w:color="auto" w:sz="4" w:space="0"/>
            </w:tcBorders>
            <w:vAlign w:val="center"/>
          </w:tcPr>
          <w:p w14:paraId="689B26DF">
            <w:pPr>
              <w:pStyle w:val="17"/>
              <w:rPr>
                <w:rFonts w:hint="eastAsia"/>
                <w:color w:val="auto"/>
                <w:szCs w:val="21"/>
                <w:highlight w:val="none"/>
              </w:rPr>
            </w:pPr>
            <w:r>
              <w:rPr>
                <w:color w:val="auto"/>
                <w:szCs w:val="21"/>
                <w:highlight w:val="none"/>
              </w:rPr>
              <w:sym w:font="Wingdings 2" w:char="0052"/>
            </w:r>
            <w:r>
              <w:rPr>
                <w:rFonts w:hint="eastAsia"/>
                <w:color w:val="auto"/>
                <w:szCs w:val="21"/>
                <w:highlight w:val="none"/>
                <w:lang w:val="en-US" w:eastAsia="zh-CN"/>
              </w:rPr>
              <w:t>不组织</w:t>
            </w:r>
            <w:r>
              <w:rPr>
                <w:rFonts w:hint="eastAsia"/>
                <w:color w:val="auto"/>
                <w:szCs w:val="21"/>
                <w:highlight w:val="none"/>
              </w:rPr>
              <w:t xml:space="preserve"> </w:t>
            </w:r>
          </w:p>
          <w:p w14:paraId="1980ABD6">
            <w:pPr>
              <w:pStyle w:val="17"/>
              <w:rPr>
                <w:rFonts w:hint="eastAsia" w:eastAsia="宋体"/>
                <w:color w:val="auto"/>
                <w:szCs w:val="21"/>
                <w:highlight w:val="none"/>
                <w:lang w:val="en-US" w:eastAsia="zh-CN"/>
              </w:rPr>
            </w:pPr>
            <w:r>
              <w:rPr>
                <w:rFonts w:hint="eastAsia"/>
                <w:color w:val="auto"/>
                <w:szCs w:val="21"/>
                <w:highlight w:val="none"/>
              </w:rPr>
              <w:t>□</w:t>
            </w:r>
            <w:r>
              <w:rPr>
                <w:rFonts w:hint="eastAsia"/>
                <w:color w:val="auto"/>
                <w:szCs w:val="21"/>
                <w:highlight w:val="none"/>
                <w:lang w:val="en-US" w:eastAsia="zh-CN"/>
              </w:rPr>
              <w:t>组织</w:t>
            </w:r>
          </w:p>
          <w:p w14:paraId="434DF653">
            <w:pP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踏勘时间：              </w:t>
            </w:r>
          </w:p>
          <w:p w14:paraId="3BBAF7A1">
            <w:pP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踏勘</w:t>
            </w:r>
            <w:r>
              <w:rPr>
                <w:rFonts w:hint="eastAsia" w:cs="Times New Roman"/>
                <w:color w:val="auto"/>
                <w:kern w:val="2"/>
                <w:sz w:val="21"/>
                <w:szCs w:val="21"/>
                <w:highlight w:val="none"/>
                <w:lang w:val="en-US" w:eastAsia="zh-CN" w:bidi="ar-SA"/>
              </w:rPr>
              <w:t>集中</w:t>
            </w:r>
            <w:r>
              <w:rPr>
                <w:rFonts w:hint="eastAsia" w:ascii="Times New Roman" w:hAnsi="Times New Roman" w:eastAsia="宋体" w:cs="Times New Roman"/>
                <w:color w:val="auto"/>
                <w:kern w:val="2"/>
                <w:sz w:val="21"/>
                <w:szCs w:val="21"/>
                <w:highlight w:val="none"/>
                <w:lang w:val="en-US" w:eastAsia="zh-CN" w:bidi="ar-SA"/>
              </w:rPr>
              <w:t xml:space="preserve">地点：           </w:t>
            </w:r>
          </w:p>
          <w:p w14:paraId="018C058A">
            <w:pPr>
              <w:pStyle w:val="17"/>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联系人及电话</w:t>
            </w:r>
            <w:r>
              <w:rPr>
                <w:rFonts w:hint="eastAsia" w:ascii="Times New Roman" w:hAnsi="Times New Roman" w:eastAsia="宋体" w:cs="Times New Roman"/>
                <w:color w:val="auto"/>
                <w:kern w:val="2"/>
                <w:sz w:val="21"/>
                <w:szCs w:val="21"/>
                <w:highlight w:val="none"/>
                <w:lang w:val="en-US" w:eastAsia="zh-CN" w:bidi="ar-SA"/>
              </w:rPr>
              <w:t>：</w:t>
            </w:r>
          </w:p>
          <w:p w14:paraId="12593B63">
            <w:pPr>
              <w:pStyle w:val="17"/>
              <w:rPr>
                <w:color w:val="auto"/>
                <w:szCs w:val="21"/>
                <w:highlight w:val="none"/>
              </w:rPr>
            </w:pPr>
            <w:r>
              <w:rPr>
                <w:rFonts w:hint="eastAsia"/>
                <w:color w:val="auto"/>
                <w:szCs w:val="21"/>
                <w:highlight w:val="none"/>
                <w:lang w:eastAsia="zh-CN"/>
              </w:rPr>
              <w:t>□</w:t>
            </w:r>
            <w:r>
              <w:rPr>
                <w:rFonts w:hint="eastAsia"/>
                <w:color w:val="auto"/>
                <w:szCs w:val="21"/>
                <w:highlight w:val="none"/>
              </w:rPr>
              <w:t xml:space="preserve">自行踏勘   </w:t>
            </w:r>
          </w:p>
        </w:tc>
      </w:tr>
      <w:tr w14:paraId="73D2E9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37" w:type="dxa"/>
            <w:tcBorders>
              <w:top w:val="single" w:color="auto" w:sz="4" w:space="0"/>
              <w:left w:val="single" w:color="auto" w:sz="4" w:space="0"/>
              <w:bottom w:val="single" w:color="auto" w:sz="4" w:space="0"/>
              <w:right w:val="single" w:color="auto" w:sz="4" w:space="0"/>
            </w:tcBorders>
            <w:vAlign w:val="center"/>
          </w:tcPr>
          <w:p w14:paraId="483FC7EF">
            <w:pPr>
              <w:spacing w:line="300" w:lineRule="exact"/>
              <w:jc w:val="center"/>
              <w:rPr>
                <w:b/>
                <w:color w:val="auto"/>
                <w:szCs w:val="21"/>
                <w:highlight w:val="none"/>
              </w:rPr>
            </w:pPr>
            <w:r>
              <w:rPr>
                <w:b/>
                <w:color w:val="auto"/>
                <w:szCs w:val="21"/>
                <w:highlight w:val="none"/>
              </w:rPr>
              <w:t>1.7.2</w:t>
            </w:r>
          </w:p>
        </w:tc>
        <w:tc>
          <w:tcPr>
            <w:tcW w:w="1248" w:type="dxa"/>
            <w:tcBorders>
              <w:top w:val="single" w:color="auto" w:sz="4" w:space="0"/>
              <w:left w:val="single" w:color="auto" w:sz="4" w:space="0"/>
              <w:bottom w:val="single" w:color="auto" w:sz="4" w:space="0"/>
              <w:right w:val="single" w:color="auto" w:sz="4" w:space="0"/>
            </w:tcBorders>
            <w:vAlign w:val="center"/>
          </w:tcPr>
          <w:p w14:paraId="4BEB1651">
            <w:pPr>
              <w:spacing w:line="300" w:lineRule="exact"/>
              <w:jc w:val="center"/>
              <w:rPr>
                <w:color w:val="auto"/>
                <w:szCs w:val="21"/>
                <w:highlight w:val="none"/>
              </w:rPr>
            </w:pPr>
            <w:r>
              <w:rPr>
                <w:color w:val="auto"/>
                <w:szCs w:val="21"/>
                <w:highlight w:val="none"/>
              </w:rPr>
              <w:t>分包</w:t>
            </w:r>
          </w:p>
        </w:tc>
        <w:tc>
          <w:tcPr>
            <w:tcW w:w="7229" w:type="dxa"/>
            <w:tcBorders>
              <w:top w:val="single" w:color="auto" w:sz="4" w:space="0"/>
              <w:left w:val="single" w:color="auto" w:sz="4" w:space="0"/>
              <w:bottom w:val="single" w:color="auto" w:sz="4" w:space="0"/>
              <w:right w:val="single" w:color="auto" w:sz="4" w:space="0"/>
            </w:tcBorders>
            <w:vAlign w:val="center"/>
          </w:tcPr>
          <w:p w14:paraId="0F691F82">
            <w:pPr>
              <w:spacing w:line="300" w:lineRule="exact"/>
              <w:jc w:val="left"/>
              <w:rPr>
                <w:color w:val="auto"/>
                <w:szCs w:val="21"/>
                <w:highlight w:val="none"/>
              </w:rPr>
            </w:pPr>
            <w:r>
              <w:rPr>
                <w:rFonts w:hint="eastAsia"/>
                <w:color w:val="auto"/>
                <w:szCs w:val="21"/>
                <w:highlight w:val="none"/>
              </w:rPr>
              <w:t>是否接受分包详见磋商公告</w:t>
            </w:r>
          </w:p>
        </w:tc>
      </w:tr>
      <w:tr w14:paraId="30767D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66090364">
            <w:pPr>
              <w:spacing w:line="300" w:lineRule="exact"/>
              <w:jc w:val="center"/>
              <w:rPr>
                <w:rFonts w:hint="default" w:ascii="Times New Roman" w:hAnsi="Times New Roman" w:eastAsia="宋体" w:cs="Times New Roman"/>
                <w:b/>
                <w:color w:val="auto"/>
                <w:kern w:val="2"/>
                <w:sz w:val="21"/>
                <w:szCs w:val="21"/>
                <w:highlight w:val="none"/>
                <w:lang w:val="en-US" w:eastAsia="zh-CN" w:bidi="ar-SA"/>
              </w:rPr>
            </w:pPr>
            <w:r>
              <w:rPr>
                <w:rFonts w:hint="eastAsia"/>
                <w:b/>
                <w:color w:val="auto"/>
                <w:szCs w:val="21"/>
                <w:highlight w:val="none"/>
                <w:lang w:val="en-US" w:eastAsia="zh-CN"/>
              </w:rPr>
              <w:t>1.9</w:t>
            </w:r>
          </w:p>
        </w:tc>
        <w:tc>
          <w:tcPr>
            <w:tcW w:w="1248" w:type="dxa"/>
            <w:tcBorders>
              <w:top w:val="single" w:color="auto" w:sz="4" w:space="0"/>
              <w:left w:val="single" w:color="auto" w:sz="4" w:space="0"/>
              <w:bottom w:val="single" w:color="auto" w:sz="4" w:space="0"/>
              <w:right w:val="single" w:color="auto" w:sz="4" w:space="0"/>
            </w:tcBorders>
            <w:shd w:val="clear" w:color="auto" w:fill="auto"/>
            <w:vAlign w:val="center"/>
          </w:tcPr>
          <w:p w14:paraId="23213824">
            <w:pPr>
              <w:spacing w:line="30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对本国产品的支持政策</w:t>
            </w:r>
          </w:p>
        </w:tc>
        <w:tc>
          <w:tcPr>
            <w:tcW w:w="7229" w:type="dxa"/>
            <w:tcBorders>
              <w:top w:val="single" w:color="auto" w:sz="4" w:space="0"/>
              <w:left w:val="single" w:color="auto" w:sz="4" w:space="0"/>
              <w:bottom w:val="single" w:color="auto" w:sz="4" w:space="0"/>
              <w:right w:val="single" w:color="auto" w:sz="4" w:space="0"/>
            </w:tcBorders>
            <w:shd w:val="clear" w:color="auto" w:fill="auto"/>
            <w:vAlign w:val="center"/>
          </w:tcPr>
          <w:p w14:paraId="393BFBBF">
            <w:pPr>
              <w:spacing w:line="300" w:lineRule="exact"/>
              <w:jc w:val="left"/>
              <w:rPr>
                <w:rFonts w:hint="eastAsia"/>
                <w:color w:val="auto"/>
                <w:szCs w:val="21"/>
                <w:highlight w:val="none"/>
              </w:rPr>
            </w:pPr>
            <w:r>
              <w:rPr>
                <w:rFonts w:hint="eastAsia"/>
                <w:color w:val="auto"/>
                <w:szCs w:val="21"/>
                <w:highlight w:val="none"/>
              </w:rPr>
              <w:t>□适用</w:t>
            </w:r>
          </w:p>
          <w:p w14:paraId="6FB48667">
            <w:pPr>
              <w:spacing w:line="300" w:lineRule="exact"/>
              <w:jc w:val="left"/>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w:t>
            </w:r>
            <w:r>
              <w:rPr>
                <w:rFonts w:hint="eastAsia"/>
                <w:color w:val="auto"/>
                <w:szCs w:val="21"/>
                <w:highlight w:val="none"/>
              </w:rPr>
              <w:t>不适用</w:t>
            </w:r>
          </w:p>
        </w:tc>
      </w:tr>
      <w:tr w14:paraId="0155D9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1504CE59">
            <w:pPr>
              <w:spacing w:line="300" w:lineRule="exact"/>
              <w:jc w:val="center"/>
              <w:rPr>
                <w:b/>
                <w:color w:val="auto"/>
                <w:szCs w:val="21"/>
                <w:highlight w:val="none"/>
              </w:rPr>
            </w:pPr>
            <w:r>
              <w:rPr>
                <w:b/>
                <w:color w:val="auto"/>
                <w:szCs w:val="21"/>
                <w:highlight w:val="none"/>
              </w:rPr>
              <w:t>2.3</w:t>
            </w:r>
          </w:p>
        </w:tc>
        <w:tc>
          <w:tcPr>
            <w:tcW w:w="1248" w:type="dxa"/>
            <w:tcBorders>
              <w:top w:val="single" w:color="auto" w:sz="4" w:space="0"/>
              <w:left w:val="single" w:color="auto" w:sz="4" w:space="0"/>
              <w:bottom w:val="single" w:color="auto" w:sz="4" w:space="0"/>
              <w:right w:val="single" w:color="auto" w:sz="4" w:space="0"/>
            </w:tcBorders>
            <w:vAlign w:val="center"/>
          </w:tcPr>
          <w:p w14:paraId="6A66EA67">
            <w:pPr>
              <w:spacing w:line="300" w:lineRule="exact"/>
              <w:jc w:val="center"/>
              <w:rPr>
                <w:color w:val="auto"/>
                <w:szCs w:val="21"/>
                <w:highlight w:val="none"/>
              </w:rPr>
            </w:pPr>
            <w:r>
              <w:rPr>
                <w:rFonts w:hint="eastAsia"/>
                <w:color w:val="auto"/>
                <w:szCs w:val="21"/>
                <w:highlight w:val="none"/>
              </w:rPr>
              <w:t>采购文件</w:t>
            </w:r>
            <w:r>
              <w:rPr>
                <w:color w:val="auto"/>
                <w:szCs w:val="21"/>
                <w:highlight w:val="none"/>
              </w:rPr>
              <w:t>澄清、修改</w:t>
            </w:r>
          </w:p>
        </w:tc>
        <w:tc>
          <w:tcPr>
            <w:tcW w:w="7229" w:type="dxa"/>
            <w:tcBorders>
              <w:top w:val="single" w:color="auto" w:sz="4" w:space="0"/>
              <w:left w:val="single" w:color="auto" w:sz="4" w:space="0"/>
              <w:bottom w:val="single" w:color="auto" w:sz="4" w:space="0"/>
              <w:right w:val="single" w:color="auto" w:sz="4" w:space="0"/>
            </w:tcBorders>
            <w:vAlign w:val="center"/>
          </w:tcPr>
          <w:p w14:paraId="2FDB057C">
            <w:pPr>
              <w:spacing w:line="300" w:lineRule="exact"/>
              <w:jc w:val="left"/>
              <w:rPr>
                <w:color w:val="auto"/>
                <w:szCs w:val="21"/>
                <w:highlight w:val="none"/>
              </w:rPr>
            </w:pPr>
            <w:r>
              <w:rPr>
                <w:color w:val="auto"/>
                <w:szCs w:val="21"/>
                <w:highlight w:val="none"/>
              </w:rPr>
              <w:t>在</w:t>
            </w:r>
            <w:r>
              <w:rPr>
                <w:rFonts w:hint="eastAsia"/>
                <w:color w:val="auto"/>
                <w:szCs w:val="21"/>
                <w:highlight w:val="none"/>
              </w:rPr>
              <w:t>磋商</w:t>
            </w:r>
            <w:r>
              <w:rPr>
                <w:color w:val="auto"/>
                <w:szCs w:val="21"/>
                <w:highlight w:val="none"/>
              </w:rPr>
              <w:t>公告发布媒介发布</w:t>
            </w:r>
            <w:r>
              <w:rPr>
                <w:rFonts w:hint="eastAsia"/>
                <w:color w:val="auto"/>
                <w:szCs w:val="21"/>
                <w:highlight w:val="none"/>
              </w:rPr>
              <w:t>。</w:t>
            </w:r>
          </w:p>
        </w:tc>
      </w:tr>
      <w:tr w14:paraId="53C1C6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737" w:type="dxa"/>
            <w:tcBorders>
              <w:top w:val="single" w:color="auto" w:sz="4" w:space="0"/>
              <w:left w:val="single" w:color="auto" w:sz="4" w:space="0"/>
              <w:bottom w:val="single" w:color="auto" w:sz="4" w:space="0"/>
              <w:right w:val="single" w:color="auto" w:sz="4" w:space="0"/>
            </w:tcBorders>
            <w:vAlign w:val="center"/>
          </w:tcPr>
          <w:p w14:paraId="060C6229">
            <w:pPr>
              <w:spacing w:line="300" w:lineRule="exact"/>
              <w:jc w:val="center"/>
              <w:rPr>
                <w:b/>
                <w:color w:val="auto"/>
                <w:szCs w:val="21"/>
                <w:highlight w:val="none"/>
              </w:rPr>
            </w:pPr>
            <w:r>
              <w:rPr>
                <w:b/>
                <w:color w:val="auto"/>
                <w:szCs w:val="21"/>
                <w:highlight w:val="none"/>
              </w:rPr>
              <w:t>2.3</w:t>
            </w:r>
          </w:p>
        </w:tc>
        <w:tc>
          <w:tcPr>
            <w:tcW w:w="1248" w:type="dxa"/>
            <w:tcBorders>
              <w:top w:val="single" w:color="auto" w:sz="4" w:space="0"/>
              <w:left w:val="single" w:color="auto" w:sz="4" w:space="0"/>
              <w:bottom w:val="single" w:color="auto" w:sz="4" w:space="0"/>
              <w:right w:val="single" w:color="auto" w:sz="4" w:space="0"/>
            </w:tcBorders>
            <w:vAlign w:val="center"/>
          </w:tcPr>
          <w:p w14:paraId="63EA18D5">
            <w:pPr>
              <w:spacing w:line="300" w:lineRule="exact"/>
              <w:jc w:val="center"/>
              <w:rPr>
                <w:color w:val="auto"/>
                <w:szCs w:val="21"/>
                <w:highlight w:val="none"/>
              </w:rPr>
            </w:pPr>
            <w:r>
              <w:rPr>
                <w:color w:val="auto"/>
                <w:szCs w:val="21"/>
                <w:highlight w:val="none"/>
              </w:rPr>
              <w:t>确认收到澄清、修改发布的方式</w:t>
            </w:r>
          </w:p>
        </w:tc>
        <w:tc>
          <w:tcPr>
            <w:tcW w:w="7229" w:type="dxa"/>
            <w:tcBorders>
              <w:top w:val="single" w:color="auto" w:sz="4" w:space="0"/>
              <w:left w:val="single" w:color="auto" w:sz="4" w:space="0"/>
              <w:bottom w:val="single" w:color="auto" w:sz="4" w:space="0"/>
              <w:right w:val="single" w:color="auto" w:sz="4" w:space="0"/>
            </w:tcBorders>
            <w:vAlign w:val="center"/>
          </w:tcPr>
          <w:p w14:paraId="5A61218D">
            <w:pPr>
              <w:spacing w:line="300" w:lineRule="exact"/>
              <w:jc w:val="left"/>
              <w:rPr>
                <w:color w:val="auto"/>
                <w:szCs w:val="21"/>
                <w:highlight w:val="none"/>
              </w:rPr>
            </w:pPr>
            <w:r>
              <w:rPr>
                <w:color w:val="auto"/>
                <w:szCs w:val="21"/>
                <w:highlight w:val="none"/>
              </w:rPr>
              <w:t>澄清、修改文件</w:t>
            </w:r>
            <w:r>
              <w:rPr>
                <w:rFonts w:hint="eastAsia"/>
                <w:color w:val="auto"/>
                <w:szCs w:val="21"/>
                <w:highlight w:val="none"/>
              </w:rPr>
              <w:t>自磋商</w:t>
            </w:r>
            <w:r>
              <w:rPr>
                <w:color w:val="auto"/>
                <w:szCs w:val="21"/>
                <w:highlight w:val="none"/>
              </w:rPr>
              <w:t>公告发布媒</w:t>
            </w:r>
            <w:r>
              <w:rPr>
                <w:rFonts w:hint="eastAsia"/>
                <w:color w:val="auto"/>
                <w:szCs w:val="21"/>
                <w:highlight w:val="none"/>
              </w:rPr>
              <w:t>体</w:t>
            </w:r>
            <w:r>
              <w:rPr>
                <w:color w:val="auto"/>
                <w:szCs w:val="21"/>
                <w:highlight w:val="none"/>
              </w:rPr>
              <w:t>发布之日起，视为供应商已收到该澄清、修改。供应商未及时关注</w:t>
            </w:r>
            <w:r>
              <w:rPr>
                <w:rFonts w:hint="eastAsia"/>
                <w:color w:val="auto"/>
                <w:szCs w:val="21"/>
                <w:highlight w:val="none"/>
              </w:rPr>
              <w:t>磋商</w:t>
            </w:r>
            <w:r>
              <w:rPr>
                <w:color w:val="auto"/>
                <w:szCs w:val="21"/>
                <w:highlight w:val="none"/>
              </w:rPr>
              <w:t>公告发布媒</w:t>
            </w:r>
            <w:r>
              <w:rPr>
                <w:rFonts w:hint="eastAsia"/>
                <w:color w:val="auto"/>
                <w:szCs w:val="21"/>
                <w:highlight w:val="none"/>
              </w:rPr>
              <w:t>体</w:t>
            </w:r>
            <w:r>
              <w:rPr>
                <w:color w:val="auto"/>
                <w:szCs w:val="21"/>
                <w:highlight w:val="none"/>
              </w:rPr>
              <w:t>造成的损失，由供应商自行负责。</w:t>
            </w:r>
          </w:p>
        </w:tc>
      </w:tr>
      <w:tr w14:paraId="2A6EC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37" w:type="dxa"/>
            <w:tcBorders>
              <w:top w:val="single" w:color="auto" w:sz="4" w:space="0"/>
              <w:left w:val="single" w:color="auto" w:sz="4" w:space="0"/>
              <w:bottom w:val="single" w:color="auto" w:sz="4" w:space="0"/>
              <w:right w:val="single" w:color="auto" w:sz="4" w:space="0"/>
            </w:tcBorders>
            <w:vAlign w:val="center"/>
          </w:tcPr>
          <w:p w14:paraId="75526A1B">
            <w:pPr>
              <w:spacing w:line="300" w:lineRule="exact"/>
              <w:jc w:val="center"/>
              <w:rPr>
                <w:b/>
                <w:color w:val="auto"/>
                <w:szCs w:val="21"/>
                <w:highlight w:val="none"/>
              </w:rPr>
            </w:pPr>
            <w:r>
              <w:rPr>
                <w:b/>
                <w:color w:val="auto"/>
                <w:szCs w:val="21"/>
                <w:highlight w:val="none"/>
              </w:rPr>
              <w:t>3.4.1</w:t>
            </w:r>
          </w:p>
        </w:tc>
        <w:tc>
          <w:tcPr>
            <w:tcW w:w="1248" w:type="dxa"/>
            <w:tcBorders>
              <w:top w:val="single" w:color="auto" w:sz="4" w:space="0"/>
              <w:left w:val="single" w:color="auto" w:sz="4" w:space="0"/>
              <w:bottom w:val="single" w:color="auto" w:sz="4" w:space="0"/>
              <w:right w:val="single" w:color="auto" w:sz="4" w:space="0"/>
            </w:tcBorders>
            <w:vAlign w:val="center"/>
          </w:tcPr>
          <w:p w14:paraId="4BC42E22">
            <w:pPr>
              <w:spacing w:line="300" w:lineRule="exact"/>
              <w:jc w:val="center"/>
              <w:rPr>
                <w:color w:val="auto"/>
                <w:szCs w:val="21"/>
                <w:highlight w:val="none"/>
              </w:rPr>
            </w:pPr>
            <w:r>
              <w:rPr>
                <w:rFonts w:hint="eastAsia"/>
                <w:color w:val="auto"/>
                <w:szCs w:val="21"/>
                <w:highlight w:val="none"/>
              </w:rPr>
              <w:t>响应</w:t>
            </w:r>
            <w:r>
              <w:rPr>
                <w:color w:val="auto"/>
                <w:szCs w:val="21"/>
                <w:highlight w:val="none"/>
              </w:rPr>
              <w:t>有效期</w:t>
            </w:r>
          </w:p>
        </w:tc>
        <w:tc>
          <w:tcPr>
            <w:tcW w:w="7229" w:type="dxa"/>
            <w:tcBorders>
              <w:top w:val="single" w:color="auto" w:sz="4" w:space="0"/>
              <w:left w:val="single" w:color="auto" w:sz="4" w:space="0"/>
              <w:bottom w:val="single" w:color="auto" w:sz="4" w:space="0"/>
              <w:right w:val="single" w:color="auto" w:sz="4" w:space="0"/>
            </w:tcBorders>
            <w:vAlign w:val="center"/>
          </w:tcPr>
          <w:p w14:paraId="18B7244E">
            <w:pPr>
              <w:spacing w:line="300" w:lineRule="exact"/>
              <w:jc w:val="left"/>
              <w:rPr>
                <w:color w:val="auto"/>
                <w:szCs w:val="21"/>
                <w:highlight w:val="none"/>
              </w:rPr>
            </w:pPr>
            <w:r>
              <w:rPr>
                <w:color w:val="auto"/>
                <w:szCs w:val="21"/>
                <w:highlight w:val="none"/>
              </w:rPr>
              <w:t>响应截止之日起90天。</w:t>
            </w:r>
          </w:p>
        </w:tc>
      </w:tr>
      <w:tr w14:paraId="6DE0C8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00D2D65F">
            <w:pPr>
              <w:spacing w:line="300" w:lineRule="exact"/>
              <w:jc w:val="center"/>
              <w:rPr>
                <w:b/>
                <w:color w:val="auto"/>
                <w:szCs w:val="21"/>
                <w:highlight w:val="none"/>
              </w:rPr>
            </w:pPr>
            <w:r>
              <w:rPr>
                <w:b/>
                <w:color w:val="auto"/>
                <w:szCs w:val="21"/>
                <w:highlight w:val="none"/>
              </w:rPr>
              <w:t>3.5</w:t>
            </w:r>
          </w:p>
        </w:tc>
        <w:tc>
          <w:tcPr>
            <w:tcW w:w="1248" w:type="dxa"/>
            <w:tcBorders>
              <w:top w:val="single" w:color="auto" w:sz="4" w:space="0"/>
              <w:left w:val="single" w:color="auto" w:sz="4" w:space="0"/>
              <w:bottom w:val="single" w:color="auto" w:sz="4" w:space="0"/>
              <w:right w:val="single" w:color="auto" w:sz="4" w:space="0"/>
            </w:tcBorders>
            <w:vAlign w:val="center"/>
          </w:tcPr>
          <w:p w14:paraId="7BB75EFB">
            <w:pPr>
              <w:spacing w:line="300" w:lineRule="exact"/>
              <w:jc w:val="center"/>
              <w:rPr>
                <w:color w:val="auto"/>
                <w:szCs w:val="21"/>
                <w:highlight w:val="none"/>
              </w:rPr>
            </w:pPr>
            <w:r>
              <w:rPr>
                <w:rFonts w:hint="eastAsia"/>
                <w:color w:val="auto"/>
                <w:szCs w:val="21"/>
                <w:highlight w:val="none"/>
              </w:rPr>
              <w:t>磋商</w:t>
            </w:r>
            <w:r>
              <w:rPr>
                <w:color w:val="auto"/>
                <w:szCs w:val="21"/>
                <w:highlight w:val="none"/>
              </w:rPr>
              <w:t>保证金</w:t>
            </w:r>
          </w:p>
        </w:tc>
        <w:tc>
          <w:tcPr>
            <w:tcW w:w="7229" w:type="dxa"/>
            <w:tcBorders>
              <w:top w:val="single" w:color="auto" w:sz="4" w:space="0"/>
              <w:left w:val="single" w:color="auto" w:sz="4" w:space="0"/>
              <w:bottom w:val="single" w:color="auto" w:sz="4" w:space="0"/>
              <w:right w:val="single" w:color="auto" w:sz="4" w:space="0"/>
            </w:tcBorders>
            <w:vAlign w:val="center"/>
          </w:tcPr>
          <w:p w14:paraId="291218D2">
            <w:pPr>
              <w:spacing w:line="312" w:lineRule="auto"/>
              <w:jc w:val="left"/>
              <w:rPr>
                <w:rFonts w:hint="eastAsia"/>
                <w:color w:val="auto"/>
                <w:kern w:val="0"/>
                <w:szCs w:val="21"/>
                <w:highlight w:val="none"/>
              </w:rPr>
            </w:pPr>
            <w:r>
              <w:rPr>
                <w:rFonts w:hint="eastAsia"/>
                <w:color w:val="auto"/>
                <w:szCs w:val="21"/>
                <w:highlight w:val="none"/>
              </w:rPr>
              <w:t>磋商</w:t>
            </w:r>
            <w:r>
              <w:rPr>
                <w:color w:val="auto"/>
                <w:szCs w:val="21"/>
                <w:highlight w:val="none"/>
              </w:rPr>
              <w:t>保证</w:t>
            </w:r>
            <w:r>
              <w:rPr>
                <w:rFonts w:hint="eastAsia"/>
                <w:color w:val="auto"/>
                <w:szCs w:val="21"/>
                <w:highlight w:val="none"/>
              </w:rPr>
              <w:t>金金额：</w:t>
            </w:r>
            <w:r>
              <w:rPr>
                <w:rFonts w:hint="eastAsia"/>
                <w:color w:val="auto"/>
                <w:szCs w:val="21"/>
                <w:highlight w:val="none"/>
                <w:lang w:val="en-US" w:eastAsia="zh-CN"/>
              </w:rPr>
              <w:t>标项一</w:t>
            </w:r>
            <w:r>
              <w:rPr>
                <w:rFonts w:hint="eastAsia"/>
                <w:color w:val="auto"/>
                <w:szCs w:val="21"/>
                <w:highlight w:val="none"/>
              </w:rPr>
              <w:t>：人民币</w:t>
            </w:r>
            <w:r>
              <w:rPr>
                <w:rFonts w:hint="eastAsia"/>
                <w:color w:val="auto"/>
                <w:szCs w:val="21"/>
                <w:highlight w:val="none"/>
                <w:lang w:val="en-US" w:eastAsia="zh-CN"/>
              </w:rPr>
              <w:t>贰仟元整</w:t>
            </w:r>
            <w:r>
              <w:rPr>
                <w:rFonts w:hint="eastAsia"/>
                <w:color w:val="auto"/>
                <w:szCs w:val="21"/>
                <w:highlight w:val="none"/>
              </w:rPr>
              <w:t>（</w:t>
            </w:r>
            <w:r>
              <w:rPr>
                <w:color w:val="auto"/>
                <w:szCs w:val="21"/>
                <w:highlight w:val="none"/>
              </w:rPr>
              <w:t>¥</w:t>
            </w:r>
            <w:r>
              <w:rPr>
                <w:rFonts w:hint="eastAsia"/>
                <w:color w:val="auto"/>
                <w:szCs w:val="21"/>
                <w:highlight w:val="none"/>
                <w:lang w:val="en-US" w:eastAsia="zh-CN"/>
              </w:rPr>
              <w:t>2</w:t>
            </w:r>
            <w:r>
              <w:rPr>
                <w:color w:val="auto"/>
                <w:szCs w:val="21"/>
                <w:highlight w:val="none"/>
              </w:rPr>
              <w:t>,000.00</w:t>
            </w:r>
            <w:r>
              <w:rPr>
                <w:rFonts w:hint="eastAsia"/>
                <w:color w:val="auto"/>
                <w:szCs w:val="21"/>
                <w:highlight w:val="none"/>
              </w:rPr>
              <w:t>）。标项</w:t>
            </w:r>
            <w:r>
              <w:rPr>
                <w:rFonts w:hint="eastAsia"/>
                <w:color w:val="auto"/>
                <w:szCs w:val="21"/>
                <w:highlight w:val="none"/>
                <w:lang w:val="en-US" w:eastAsia="zh-CN"/>
              </w:rPr>
              <w:t>二</w:t>
            </w:r>
            <w:r>
              <w:rPr>
                <w:rFonts w:hint="eastAsia"/>
                <w:color w:val="auto"/>
                <w:szCs w:val="21"/>
                <w:highlight w:val="none"/>
              </w:rPr>
              <w:t>：人民币</w:t>
            </w:r>
            <w:r>
              <w:rPr>
                <w:rFonts w:hint="eastAsia"/>
                <w:color w:val="auto"/>
                <w:szCs w:val="21"/>
                <w:highlight w:val="none"/>
                <w:lang w:val="en-US" w:eastAsia="zh-CN"/>
              </w:rPr>
              <w:t>壹仟伍佰元整</w:t>
            </w:r>
            <w:r>
              <w:rPr>
                <w:rFonts w:hint="eastAsia"/>
                <w:color w:val="auto"/>
                <w:szCs w:val="21"/>
                <w:highlight w:val="none"/>
              </w:rPr>
              <w:t>（</w:t>
            </w:r>
            <w:r>
              <w:rPr>
                <w:color w:val="auto"/>
                <w:szCs w:val="21"/>
                <w:highlight w:val="none"/>
              </w:rPr>
              <w:t>¥</w:t>
            </w:r>
            <w:r>
              <w:rPr>
                <w:rFonts w:hint="eastAsia"/>
                <w:color w:val="auto"/>
                <w:szCs w:val="21"/>
                <w:highlight w:val="none"/>
                <w:lang w:val="en-US" w:eastAsia="zh-CN"/>
              </w:rPr>
              <w:t>1</w:t>
            </w:r>
            <w:r>
              <w:rPr>
                <w:color w:val="auto"/>
                <w:szCs w:val="21"/>
                <w:highlight w:val="none"/>
              </w:rPr>
              <w:t>,</w:t>
            </w:r>
            <w:r>
              <w:rPr>
                <w:rFonts w:hint="eastAsia"/>
                <w:color w:val="auto"/>
                <w:szCs w:val="21"/>
                <w:highlight w:val="none"/>
                <w:lang w:val="en-US" w:eastAsia="zh-CN"/>
              </w:rPr>
              <w:t>5</w:t>
            </w:r>
            <w:r>
              <w:rPr>
                <w:color w:val="auto"/>
                <w:szCs w:val="21"/>
                <w:highlight w:val="none"/>
              </w:rPr>
              <w:t>00.00</w:t>
            </w:r>
            <w:r>
              <w:rPr>
                <w:rFonts w:hint="eastAsia"/>
                <w:color w:val="auto"/>
                <w:szCs w:val="21"/>
                <w:highlight w:val="none"/>
              </w:rPr>
              <w:t>）</w:t>
            </w:r>
            <w:r>
              <w:rPr>
                <w:rFonts w:hint="eastAsia"/>
                <w:color w:val="auto"/>
                <w:szCs w:val="21"/>
                <w:highlight w:val="none"/>
                <w:lang w:eastAsia="zh-CN"/>
              </w:rPr>
              <w:t>。</w:t>
            </w:r>
            <w:r>
              <w:rPr>
                <w:rFonts w:hint="eastAsia"/>
                <w:color w:val="auto"/>
                <w:szCs w:val="21"/>
                <w:highlight w:val="none"/>
              </w:rPr>
              <w:t>标项</w:t>
            </w:r>
            <w:r>
              <w:rPr>
                <w:rFonts w:hint="eastAsia"/>
                <w:color w:val="auto"/>
                <w:szCs w:val="21"/>
                <w:highlight w:val="none"/>
                <w:lang w:val="en-US" w:eastAsia="zh-CN"/>
              </w:rPr>
              <w:t>三</w:t>
            </w:r>
            <w:r>
              <w:rPr>
                <w:rFonts w:hint="eastAsia"/>
                <w:color w:val="auto"/>
                <w:szCs w:val="21"/>
                <w:highlight w:val="none"/>
              </w:rPr>
              <w:t>：人民币贰仟元整（¥2,000.00）。标项</w:t>
            </w:r>
            <w:r>
              <w:rPr>
                <w:rFonts w:hint="eastAsia"/>
                <w:color w:val="auto"/>
                <w:szCs w:val="21"/>
                <w:highlight w:val="none"/>
                <w:lang w:val="en-US" w:eastAsia="zh-CN"/>
              </w:rPr>
              <w:t>四</w:t>
            </w:r>
            <w:r>
              <w:rPr>
                <w:rFonts w:hint="eastAsia"/>
                <w:color w:val="auto"/>
                <w:szCs w:val="21"/>
                <w:highlight w:val="none"/>
              </w:rPr>
              <w:t>：人民币</w:t>
            </w:r>
            <w:r>
              <w:rPr>
                <w:rFonts w:hint="eastAsia"/>
                <w:color w:val="auto"/>
                <w:szCs w:val="21"/>
                <w:highlight w:val="none"/>
                <w:lang w:val="en-US" w:eastAsia="zh-CN"/>
              </w:rPr>
              <w:t>壹仟元整</w:t>
            </w:r>
            <w:r>
              <w:rPr>
                <w:rFonts w:hint="eastAsia"/>
                <w:color w:val="auto"/>
                <w:szCs w:val="21"/>
                <w:highlight w:val="none"/>
              </w:rPr>
              <w:t>（¥</w:t>
            </w:r>
            <w:r>
              <w:rPr>
                <w:rFonts w:hint="eastAsia"/>
                <w:color w:val="auto"/>
                <w:szCs w:val="21"/>
                <w:highlight w:val="none"/>
                <w:lang w:val="en-US" w:eastAsia="zh-CN"/>
              </w:rPr>
              <w:t>1</w:t>
            </w:r>
            <w:r>
              <w:rPr>
                <w:rFonts w:hint="eastAsia"/>
                <w:color w:val="auto"/>
                <w:szCs w:val="21"/>
                <w:highlight w:val="none"/>
              </w:rPr>
              <w:t>,000.00）</w:t>
            </w:r>
            <w:r>
              <w:rPr>
                <w:rFonts w:hint="eastAsia"/>
                <w:color w:val="auto"/>
                <w:szCs w:val="21"/>
                <w:highlight w:val="none"/>
                <w:lang w:eastAsia="zh-CN"/>
              </w:rPr>
              <w:t>。</w:t>
            </w:r>
            <w:r>
              <w:rPr>
                <w:rFonts w:hint="eastAsia"/>
                <w:color w:val="auto"/>
                <w:szCs w:val="21"/>
                <w:highlight w:val="none"/>
              </w:rPr>
              <w:t>标项</w:t>
            </w:r>
            <w:r>
              <w:rPr>
                <w:rFonts w:hint="eastAsia"/>
                <w:color w:val="auto"/>
                <w:szCs w:val="21"/>
                <w:highlight w:val="none"/>
                <w:lang w:val="en-US" w:eastAsia="zh-CN"/>
              </w:rPr>
              <w:t>五</w:t>
            </w:r>
            <w:r>
              <w:rPr>
                <w:rFonts w:hint="eastAsia"/>
                <w:color w:val="auto"/>
                <w:szCs w:val="21"/>
                <w:highlight w:val="none"/>
              </w:rPr>
              <w:t>：人民币贰仟元整（¥2,000.00）。标项</w:t>
            </w:r>
            <w:r>
              <w:rPr>
                <w:rFonts w:hint="eastAsia"/>
                <w:color w:val="auto"/>
                <w:szCs w:val="21"/>
                <w:highlight w:val="none"/>
                <w:lang w:val="en-US" w:eastAsia="zh-CN"/>
              </w:rPr>
              <w:t>六</w:t>
            </w:r>
            <w:r>
              <w:rPr>
                <w:rFonts w:hint="eastAsia"/>
                <w:color w:val="auto"/>
                <w:szCs w:val="21"/>
                <w:highlight w:val="none"/>
              </w:rPr>
              <w:t>：人民币</w:t>
            </w:r>
            <w:r>
              <w:rPr>
                <w:rFonts w:hint="eastAsia"/>
                <w:color w:val="auto"/>
                <w:szCs w:val="21"/>
                <w:highlight w:val="none"/>
                <w:lang w:val="en-US" w:eastAsia="zh-CN"/>
              </w:rPr>
              <w:t>叁仟元整</w:t>
            </w:r>
            <w:r>
              <w:rPr>
                <w:rFonts w:hint="eastAsia"/>
                <w:color w:val="auto"/>
                <w:szCs w:val="21"/>
                <w:highlight w:val="none"/>
              </w:rPr>
              <w:t>（¥</w:t>
            </w:r>
            <w:r>
              <w:rPr>
                <w:rFonts w:hint="eastAsia"/>
                <w:color w:val="auto"/>
                <w:szCs w:val="21"/>
                <w:highlight w:val="none"/>
                <w:lang w:val="en-US" w:eastAsia="zh-CN"/>
              </w:rPr>
              <w:t>3</w:t>
            </w:r>
            <w:r>
              <w:rPr>
                <w:rFonts w:hint="eastAsia"/>
                <w:color w:val="auto"/>
                <w:szCs w:val="21"/>
                <w:highlight w:val="none"/>
              </w:rPr>
              <w:t>,000.00）</w:t>
            </w:r>
            <w:r>
              <w:rPr>
                <w:rFonts w:hint="eastAsia"/>
                <w:color w:val="auto"/>
                <w:szCs w:val="21"/>
                <w:highlight w:val="none"/>
                <w:lang w:eastAsia="zh-CN"/>
              </w:rPr>
              <w:t>。</w:t>
            </w:r>
            <w:r>
              <w:rPr>
                <w:rFonts w:hint="eastAsia"/>
                <w:color w:val="auto"/>
                <w:szCs w:val="21"/>
                <w:highlight w:val="none"/>
              </w:rPr>
              <w:t>标项</w:t>
            </w:r>
            <w:r>
              <w:rPr>
                <w:rFonts w:hint="eastAsia"/>
                <w:color w:val="auto"/>
                <w:szCs w:val="21"/>
                <w:highlight w:val="none"/>
                <w:lang w:val="en-US" w:eastAsia="zh-CN"/>
              </w:rPr>
              <w:t>七</w:t>
            </w:r>
            <w:r>
              <w:rPr>
                <w:rFonts w:hint="eastAsia"/>
                <w:color w:val="auto"/>
                <w:szCs w:val="21"/>
                <w:highlight w:val="none"/>
              </w:rPr>
              <w:t>：人民币</w:t>
            </w:r>
            <w:r>
              <w:rPr>
                <w:rFonts w:hint="eastAsia"/>
                <w:color w:val="auto"/>
                <w:szCs w:val="21"/>
                <w:highlight w:val="none"/>
                <w:lang w:val="en-US" w:eastAsia="zh-CN"/>
              </w:rPr>
              <w:t>叁仟伍佰元整</w:t>
            </w:r>
            <w:r>
              <w:rPr>
                <w:rFonts w:hint="eastAsia"/>
                <w:color w:val="auto"/>
                <w:szCs w:val="21"/>
                <w:highlight w:val="none"/>
              </w:rPr>
              <w:t>（¥</w:t>
            </w:r>
            <w:r>
              <w:rPr>
                <w:rFonts w:hint="eastAsia"/>
                <w:color w:val="auto"/>
                <w:szCs w:val="21"/>
                <w:highlight w:val="none"/>
                <w:lang w:val="en-US" w:eastAsia="zh-CN"/>
              </w:rPr>
              <w:t>3</w:t>
            </w:r>
            <w:r>
              <w:rPr>
                <w:rFonts w:hint="eastAsia"/>
                <w:color w:val="auto"/>
                <w:szCs w:val="21"/>
                <w:highlight w:val="none"/>
              </w:rPr>
              <w:t>,</w:t>
            </w:r>
            <w:r>
              <w:rPr>
                <w:rFonts w:hint="eastAsia"/>
                <w:color w:val="auto"/>
                <w:szCs w:val="21"/>
                <w:highlight w:val="none"/>
                <w:lang w:val="en-US" w:eastAsia="zh-CN"/>
              </w:rPr>
              <w:t>5</w:t>
            </w:r>
            <w:r>
              <w:rPr>
                <w:rFonts w:hint="eastAsia"/>
                <w:color w:val="auto"/>
                <w:szCs w:val="21"/>
                <w:highlight w:val="none"/>
              </w:rPr>
              <w:t>00.00）。标项</w:t>
            </w:r>
            <w:r>
              <w:rPr>
                <w:rFonts w:hint="eastAsia"/>
                <w:color w:val="auto"/>
                <w:szCs w:val="21"/>
                <w:highlight w:val="none"/>
                <w:lang w:val="en-US" w:eastAsia="zh-CN"/>
              </w:rPr>
              <w:t>八</w:t>
            </w:r>
            <w:r>
              <w:rPr>
                <w:rFonts w:hint="eastAsia"/>
                <w:color w:val="auto"/>
                <w:szCs w:val="21"/>
                <w:highlight w:val="none"/>
              </w:rPr>
              <w:t>：人民币壹仟伍佰元整（¥1,500.00）</w:t>
            </w:r>
            <w:r>
              <w:rPr>
                <w:rFonts w:hint="eastAsia"/>
                <w:color w:val="auto"/>
                <w:szCs w:val="21"/>
                <w:highlight w:val="none"/>
                <w:lang w:eastAsia="zh-CN"/>
              </w:rPr>
              <w:t>。</w:t>
            </w:r>
            <w:r>
              <w:rPr>
                <w:rFonts w:hint="eastAsia"/>
                <w:color w:val="auto"/>
                <w:szCs w:val="21"/>
                <w:highlight w:val="none"/>
              </w:rPr>
              <w:t>标项</w:t>
            </w:r>
            <w:r>
              <w:rPr>
                <w:rFonts w:hint="eastAsia"/>
                <w:color w:val="auto"/>
                <w:szCs w:val="21"/>
                <w:highlight w:val="none"/>
                <w:lang w:val="en-US" w:eastAsia="zh-CN"/>
              </w:rPr>
              <w:t>九</w:t>
            </w:r>
            <w:r>
              <w:rPr>
                <w:rFonts w:hint="eastAsia"/>
                <w:color w:val="auto"/>
                <w:szCs w:val="21"/>
                <w:highlight w:val="none"/>
              </w:rPr>
              <w:t>：人民币壹仟伍佰元整（¥1,500.00）。标项</w:t>
            </w:r>
            <w:r>
              <w:rPr>
                <w:rFonts w:hint="eastAsia"/>
                <w:color w:val="auto"/>
                <w:szCs w:val="21"/>
                <w:highlight w:val="none"/>
                <w:lang w:val="en-US" w:eastAsia="zh-CN"/>
              </w:rPr>
              <w:t>十</w:t>
            </w:r>
            <w:r>
              <w:rPr>
                <w:rFonts w:hint="eastAsia"/>
                <w:color w:val="auto"/>
                <w:szCs w:val="21"/>
                <w:highlight w:val="none"/>
              </w:rPr>
              <w:t>：人民币贰仟元整（¥2,000.00）。标项</w:t>
            </w:r>
            <w:r>
              <w:rPr>
                <w:rFonts w:hint="eastAsia"/>
                <w:color w:val="auto"/>
                <w:szCs w:val="21"/>
                <w:highlight w:val="none"/>
                <w:lang w:val="en-US" w:eastAsia="zh-CN"/>
              </w:rPr>
              <w:t>十</w:t>
            </w:r>
            <w:r>
              <w:rPr>
                <w:rFonts w:hint="eastAsia"/>
                <w:color w:val="auto"/>
                <w:szCs w:val="21"/>
                <w:highlight w:val="none"/>
              </w:rPr>
              <w:t>一：人民币贰仟元整（¥2,000.00）。标项十二：人民币贰仟元整（¥2,000.00）</w:t>
            </w:r>
          </w:p>
          <w:p w14:paraId="4A8F0D51">
            <w:pPr>
              <w:spacing w:line="300" w:lineRule="exact"/>
              <w:jc w:val="left"/>
              <w:rPr>
                <w:color w:val="auto"/>
                <w:szCs w:val="21"/>
                <w:highlight w:val="none"/>
              </w:rPr>
            </w:pPr>
            <w:r>
              <w:rPr>
                <w:rFonts w:hint="eastAsia"/>
                <w:color w:val="auto"/>
                <w:szCs w:val="21"/>
                <w:highlight w:val="none"/>
              </w:rPr>
              <w:t>1、缴纳方式一：</w:t>
            </w:r>
          </w:p>
          <w:p w14:paraId="496A1247">
            <w:pPr>
              <w:spacing w:line="300" w:lineRule="exact"/>
              <w:jc w:val="left"/>
              <w:rPr>
                <w:color w:val="auto"/>
                <w:szCs w:val="21"/>
                <w:highlight w:val="none"/>
              </w:rPr>
            </w:pPr>
            <w:r>
              <w:rPr>
                <w:rFonts w:hint="eastAsia" w:ascii="宋体" w:hAnsi="宋体"/>
                <w:color w:val="auto"/>
                <w:szCs w:val="21"/>
                <w:highlight w:val="none"/>
              </w:rPr>
              <w:t>（1）</w:t>
            </w:r>
            <w:r>
              <w:rPr>
                <w:color w:val="auto"/>
                <w:szCs w:val="21"/>
                <w:highlight w:val="none"/>
              </w:rPr>
              <w:t>供应商应于</w:t>
            </w:r>
            <w:r>
              <w:rPr>
                <w:rFonts w:hint="eastAsia"/>
                <w:color w:val="auto"/>
                <w:szCs w:val="21"/>
                <w:highlight w:val="none"/>
              </w:rPr>
              <w:t>响应截止</w:t>
            </w:r>
            <w:r>
              <w:rPr>
                <w:color w:val="auto"/>
                <w:szCs w:val="21"/>
                <w:highlight w:val="none"/>
              </w:rPr>
              <w:t>时间前将</w:t>
            </w:r>
            <w:r>
              <w:rPr>
                <w:rFonts w:hint="eastAsia"/>
                <w:color w:val="auto"/>
                <w:szCs w:val="21"/>
                <w:highlight w:val="none"/>
              </w:rPr>
              <w:t>磋商</w:t>
            </w:r>
            <w:r>
              <w:rPr>
                <w:color w:val="auto"/>
                <w:szCs w:val="21"/>
                <w:highlight w:val="none"/>
              </w:rPr>
              <w:t>保证金以电汇、转账形式从供应商账户一次性足额</w:t>
            </w:r>
            <w:r>
              <w:rPr>
                <w:rFonts w:hint="eastAsia"/>
                <w:color w:val="auto"/>
                <w:szCs w:val="21"/>
                <w:highlight w:val="none"/>
              </w:rPr>
              <w:t>缴</w:t>
            </w:r>
            <w:r>
              <w:rPr>
                <w:color w:val="auto"/>
                <w:szCs w:val="21"/>
                <w:highlight w:val="none"/>
              </w:rPr>
              <w:t>纳至本项目（各</w:t>
            </w:r>
            <w:r>
              <w:rPr>
                <w:rFonts w:hint="eastAsia"/>
                <w:color w:val="auto"/>
                <w:szCs w:val="21"/>
                <w:highlight w:val="none"/>
              </w:rPr>
              <w:t>分标</w:t>
            </w:r>
            <w:r>
              <w:rPr>
                <w:color w:val="auto"/>
                <w:szCs w:val="21"/>
                <w:highlight w:val="none"/>
              </w:rPr>
              <w:t>）对应的专用虚拟账号，所交纳的磋商保证金仅限当次项目（</w:t>
            </w:r>
            <w:r>
              <w:rPr>
                <w:rFonts w:hint="eastAsia"/>
                <w:color w:val="auto"/>
                <w:szCs w:val="21"/>
                <w:highlight w:val="none"/>
              </w:rPr>
              <w:t>分标</w:t>
            </w:r>
            <w:r>
              <w:rPr>
                <w:color w:val="auto"/>
                <w:szCs w:val="21"/>
                <w:highlight w:val="none"/>
              </w:rPr>
              <w:t>）有效，不得重复替代使用。本项目磋商保证金</w:t>
            </w:r>
            <w:r>
              <w:rPr>
                <w:rFonts w:hint="eastAsia"/>
                <w:color w:val="auto"/>
                <w:szCs w:val="21"/>
                <w:highlight w:val="none"/>
              </w:rPr>
              <w:t>缴</w:t>
            </w:r>
            <w:r>
              <w:rPr>
                <w:color w:val="auto"/>
                <w:szCs w:val="21"/>
                <w:highlight w:val="none"/>
              </w:rPr>
              <w:t>纳专用虚拟账号信息</w:t>
            </w:r>
            <w:r>
              <w:rPr>
                <w:rFonts w:hint="eastAsia"/>
                <w:color w:val="auto"/>
                <w:szCs w:val="21"/>
                <w:highlight w:val="none"/>
              </w:rPr>
              <w:t>如下：</w:t>
            </w:r>
          </w:p>
          <w:p w14:paraId="091D6242">
            <w:pPr>
              <w:spacing w:line="300" w:lineRule="exact"/>
              <w:jc w:val="left"/>
              <w:rPr>
                <w:rFonts w:hint="eastAsia"/>
                <w:color w:val="auto"/>
                <w:szCs w:val="21"/>
                <w:highlight w:val="none"/>
              </w:rPr>
            </w:pPr>
            <w:r>
              <w:rPr>
                <w:rFonts w:hint="eastAsia"/>
                <w:color w:val="auto"/>
                <w:szCs w:val="21"/>
                <w:highlight w:val="none"/>
              </w:rPr>
              <w:t>标项一：</w:t>
            </w:r>
          </w:p>
          <w:p w14:paraId="3FD90E5D">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0620D002">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1CBC973D">
            <w:pPr>
              <w:spacing w:line="300" w:lineRule="exact"/>
              <w:jc w:val="left"/>
              <w:rPr>
                <w:rFonts w:hint="eastAsia"/>
                <w:color w:val="auto"/>
                <w:szCs w:val="21"/>
                <w:highlight w:val="none"/>
              </w:rPr>
            </w:pPr>
            <w:r>
              <w:rPr>
                <w:rFonts w:hint="eastAsia"/>
                <w:color w:val="auto"/>
                <w:szCs w:val="21"/>
                <w:highlight w:val="none"/>
              </w:rPr>
              <w:t>开户账户：30210485197110</w:t>
            </w:r>
          </w:p>
          <w:p w14:paraId="2531E962">
            <w:pPr>
              <w:spacing w:line="300" w:lineRule="exact"/>
              <w:jc w:val="left"/>
              <w:rPr>
                <w:rFonts w:hint="eastAsia"/>
                <w:color w:val="auto"/>
                <w:szCs w:val="21"/>
                <w:highlight w:val="none"/>
              </w:rPr>
            </w:pPr>
            <w:r>
              <w:rPr>
                <w:rFonts w:hint="eastAsia"/>
                <w:color w:val="auto"/>
                <w:szCs w:val="21"/>
                <w:highlight w:val="none"/>
              </w:rPr>
              <w:t>标项</w:t>
            </w:r>
            <w:r>
              <w:rPr>
                <w:rFonts w:hint="eastAsia"/>
                <w:color w:val="auto"/>
                <w:szCs w:val="21"/>
                <w:highlight w:val="none"/>
                <w:lang w:val="en-US" w:eastAsia="zh-CN"/>
              </w:rPr>
              <w:t>二</w:t>
            </w:r>
            <w:r>
              <w:rPr>
                <w:rFonts w:hint="eastAsia"/>
                <w:color w:val="auto"/>
                <w:szCs w:val="21"/>
                <w:highlight w:val="none"/>
              </w:rPr>
              <w:t>：</w:t>
            </w:r>
          </w:p>
          <w:p w14:paraId="4F2CDF98">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7E7CE58F">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3A5FE306">
            <w:pPr>
              <w:spacing w:line="300" w:lineRule="exact"/>
              <w:jc w:val="left"/>
              <w:rPr>
                <w:rFonts w:hint="eastAsia"/>
                <w:color w:val="auto"/>
                <w:szCs w:val="21"/>
                <w:highlight w:val="none"/>
              </w:rPr>
            </w:pPr>
            <w:r>
              <w:rPr>
                <w:rFonts w:hint="eastAsia"/>
                <w:color w:val="auto"/>
                <w:szCs w:val="21"/>
                <w:highlight w:val="none"/>
              </w:rPr>
              <w:t>开户账户：30210485511633</w:t>
            </w:r>
          </w:p>
          <w:p w14:paraId="4B2B94F1">
            <w:pPr>
              <w:spacing w:line="300" w:lineRule="exact"/>
              <w:jc w:val="left"/>
              <w:rPr>
                <w:rFonts w:hint="eastAsia"/>
                <w:color w:val="auto"/>
                <w:szCs w:val="21"/>
                <w:highlight w:val="none"/>
              </w:rPr>
            </w:pPr>
            <w:r>
              <w:rPr>
                <w:rFonts w:hint="eastAsia"/>
                <w:color w:val="auto"/>
                <w:szCs w:val="21"/>
                <w:highlight w:val="none"/>
              </w:rPr>
              <w:t>标项</w:t>
            </w:r>
            <w:r>
              <w:rPr>
                <w:rFonts w:hint="eastAsia"/>
                <w:color w:val="auto"/>
                <w:szCs w:val="21"/>
                <w:highlight w:val="none"/>
                <w:lang w:val="en-US" w:eastAsia="zh-CN"/>
              </w:rPr>
              <w:t>三</w:t>
            </w:r>
            <w:r>
              <w:rPr>
                <w:rFonts w:hint="eastAsia"/>
                <w:color w:val="auto"/>
                <w:szCs w:val="21"/>
                <w:highlight w:val="none"/>
              </w:rPr>
              <w:t>：</w:t>
            </w:r>
          </w:p>
          <w:p w14:paraId="47BBC00C">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34F9477D">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515A2BAE">
            <w:pPr>
              <w:spacing w:line="300" w:lineRule="exact"/>
              <w:jc w:val="left"/>
              <w:rPr>
                <w:rFonts w:hint="eastAsia"/>
                <w:color w:val="auto"/>
                <w:szCs w:val="21"/>
                <w:highlight w:val="none"/>
              </w:rPr>
            </w:pPr>
            <w:r>
              <w:rPr>
                <w:rFonts w:hint="eastAsia"/>
                <w:color w:val="auto"/>
                <w:szCs w:val="21"/>
                <w:highlight w:val="none"/>
              </w:rPr>
              <w:t>开户账户：30210485826156</w:t>
            </w:r>
          </w:p>
          <w:p w14:paraId="40106490">
            <w:pPr>
              <w:spacing w:line="300" w:lineRule="exact"/>
              <w:jc w:val="left"/>
              <w:rPr>
                <w:rFonts w:hint="eastAsia"/>
                <w:color w:val="auto"/>
                <w:szCs w:val="21"/>
                <w:highlight w:val="none"/>
              </w:rPr>
            </w:pPr>
            <w:r>
              <w:rPr>
                <w:rFonts w:hint="eastAsia"/>
                <w:color w:val="auto"/>
                <w:szCs w:val="21"/>
                <w:highlight w:val="none"/>
              </w:rPr>
              <w:t>标项</w:t>
            </w:r>
            <w:r>
              <w:rPr>
                <w:rFonts w:hint="eastAsia"/>
                <w:color w:val="auto"/>
                <w:szCs w:val="21"/>
                <w:highlight w:val="none"/>
                <w:lang w:val="en-US" w:eastAsia="zh-CN"/>
              </w:rPr>
              <w:t>四</w:t>
            </w:r>
            <w:r>
              <w:rPr>
                <w:rFonts w:hint="eastAsia"/>
                <w:color w:val="auto"/>
                <w:szCs w:val="21"/>
                <w:highlight w:val="none"/>
              </w:rPr>
              <w:t>：</w:t>
            </w:r>
          </w:p>
          <w:p w14:paraId="15BA09A6">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4DCBFA26">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2AB419EA">
            <w:pPr>
              <w:spacing w:line="300" w:lineRule="exact"/>
              <w:jc w:val="left"/>
              <w:rPr>
                <w:rFonts w:hint="eastAsia"/>
                <w:color w:val="auto"/>
                <w:szCs w:val="21"/>
                <w:highlight w:val="none"/>
              </w:rPr>
            </w:pPr>
            <w:r>
              <w:rPr>
                <w:rFonts w:hint="eastAsia"/>
                <w:color w:val="auto"/>
                <w:szCs w:val="21"/>
                <w:highlight w:val="none"/>
              </w:rPr>
              <w:t>开户账户：30210485140679</w:t>
            </w:r>
          </w:p>
          <w:p w14:paraId="5FFB0263">
            <w:pPr>
              <w:spacing w:line="300" w:lineRule="exact"/>
              <w:jc w:val="left"/>
              <w:rPr>
                <w:rFonts w:hint="eastAsia"/>
                <w:color w:val="auto"/>
                <w:szCs w:val="21"/>
                <w:highlight w:val="none"/>
              </w:rPr>
            </w:pPr>
            <w:r>
              <w:rPr>
                <w:rFonts w:hint="eastAsia"/>
                <w:color w:val="auto"/>
                <w:szCs w:val="21"/>
                <w:highlight w:val="none"/>
              </w:rPr>
              <w:t>标项</w:t>
            </w:r>
            <w:r>
              <w:rPr>
                <w:rFonts w:hint="eastAsia"/>
                <w:color w:val="auto"/>
                <w:szCs w:val="21"/>
                <w:highlight w:val="none"/>
                <w:lang w:val="en-US" w:eastAsia="zh-CN"/>
              </w:rPr>
              <w:t>五</w:t>
            </w:r>
            <w:r>
              <w:rPr>
                <w:rFonts w:hint="eastAsia"/>
                <w:color w:val="auto"/>
                <w:szCs w:val="21"/>
                <w:highlight w:val="none"/>
              </w:rPr>
              <w:t>：</w:t>
            </w:r>
          </w:p>
          <w:p w14:paraId="5C3AD7D1">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3111EE46">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46D28462">
            <w:pPr>
              <w:spacing w:line="300" w:lineRule="exact"/>
              <w:jc w:val="left"/>
              <w:rPr>
                <w:rFonts w:hint="eastAsia"/>
                <w:color w:val="auto"/>
                <w:szCs w:val="21"/>
                <w:highlight w:val="none"/>
              </w:rPr>
            </w:pPr>
            <w:r>
              <w:rPr>
                <w:rFonts w:hint="eastAsia"/>
                <w:color w:val="auto"/>
                <w:szCs w:val="21"/>
                <w:highlight w:val="none"/>
              </w:rPr>
              <w:t>开户账户：30210485455202</w:t>
            </w:r>
          </w:p>
          <w:p w14:paraId="298DCC92">
            <w:pPr>
              <w:spacing w:line="300" w:lineRule="exact"/>
              <w:jc w:val="left"/>
              <w:rPr>
                <w:rFonts w:hint="eastAsia"/>
                <w:color w:val="auto"/>
                <w:szCs w:val="21"/>
                <w:highlight w:val="none"/>
              </w:rPr>
            </w:pPr>
            <w:r>
              <w:rPr>
                <w:rFonts w:hint="eastAsia"/>
                <w:color w:val="auto"/>
                <w:szCs w:val="21"/>
                <w:highlight w:val="none"/>
              </w:rPr>
              <w:t>标项</w:t>
            </w:r>
            <w:r>
              <w:rPr>
                <w:rFonts w:hint="eastAsia"/>
                <w:color w:val="auto"/>
                <w:szCs w:val="21"/>
                <w:highlight w:val="none"/>
                <w:lang w:val="en-US" w:eastAsia="zh-CN"/>
              </w:rPr>
              <w:t>六</w:t>
            </w:r>
            <w:r>
              <w:rPr>
                <w:rFonts w:hint="eastAsia"/>
                <w:color w:val="auto"/>
                <w:szCs w:val="21"/>
                <w:highlight w:val="none"/>
              </w:rPr>
              <w:t>：</w:t>
            </w:r>
          </w:p>
          <w:p w14:paraId="0A58F8A6">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459FA048">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10C734BF">
            <w:pPr>
              <w:spacing w:line="300" w:lineRule="exact"/>
              <w:jc w:val="left"/>
              <w:rPr>
                <w:rFonts w:hint="eastAsia"/>
                <w:color w:val="auto"/>
                <w:szCs w:val="21"/>
                <w:highlight w:val="none"/>
              </w:rPr>
            </w:pPr>
            <w:r>
              <w:rPr>
                <w:rFonts w:hint="eastAsia"/>
                <w:color w:val="auto"/>
                <w:szCs w:val="21"/>
                <w:highlight w:val="none"/>
              </w:rPr>
              <w:t>开户账户：30210485769725</w:t>
            </w:r>
          </w:p>
          <w:p w14:paraId="1330ED94">
            <w:pPr>
              <w:spacing w:line="300" w:lineRule="exact"/>
              <w:jc w:val="left"/>
              <w:rPr>
                <w:rFonts w:hint="eastAsia"/>
                <w:color w:val="auto"/>
                <w:szCs w:val="21"/>
                <w:highlight w:val="none"/>
              </w:rPr>
            </w:pPr>
            <w:r>
              <w:rPr>
                <w:rFonts w:hint="eastAsia"/>
                <w:color w:val="auto"/>
                <w:szCs w:val="21"/>
                <w:highlight w:val="none"/>
              </w:rPr>
              <w:t>标项</w:t>
            </w:r>
            <w:r>
              <w:rPr>
                <w:rFonts w:hint="eastAsia"/>
                <w:color w:val="auto"/>
                <w:szCs w:val="21"/>
                <w:highlight w:val="none"/>
                <w:lang w:val="en-US" w:eastAsia="zh-CN"/>
              </w:rPr>
              <w:t>七</w:t>
            </w:r>
            <w:r>
              <w:rPr>
                <w:rFonts w:hint="eastAsia"/>
                <w:color w:val="auto"/>
                <w:szCs w:val="21"/>
                <w:highlight w:val="none"/>
              </w:rPr>
              <w:t>：</w:t>
            </w:r>
          </w:p>
          <w:p w14:paraId="45AC414F">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69C5F727">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0F0C1D21">
            <w:pPr>
              <w:spacing w:line="300" w:lineRule="exact"/>
              <w:jc w:val="left"/>
              <w:rPr>
                <w:rFonts w:hint="eastAsia"/>
                <w:color w:val="auto"/>
                <w:szCs w:val="21"/>
                <w:highlight w:val="none"/>
              </w:rPr>
            </w:pPr>
            <w:r>
              <w:rPr>
                <w:rFonts w:hint="eastAsia"/>
                <w:color w:val="auto"/>
                <w:szCs w:val="21"/>
                <w:highlight w:val="none"/>
              </w:rPr>
              <w:t>开户账户：30210485084248</w:t>
            </w:r>
          </w:p>
          <w:p w14:paraId="2F4C6D98">
            <w:pPr>
              <w:spacing w:line="300" w:lineRule="exact"/>
              <w:jc w:val="left"/>
              <w:rPr>
                <w:rFonts w:hint="eastAsia"/>
                <w:color w:val="auto"/>
                <w:szCs w:val="21"/>
                <w:highlight w:val="none"/>
              </w:rPr>
            </w:pPr>
            <w:r>
              <w:rPr>
                <w:rFonts w:hint="eastAsia"/>
                <w:color w:val="auto"/>
                <w:szCs w:val="21"/>
                <w:highlight w:val="none"/>
              </w:rPr>
              <w:t>标项</w:t>
            </w:r>
            <w:r>
              <w:rPr>
                <w:rFonts w:hint="eastAsia"/>
                <w:color w:val="auto"/>
                <w:szCs w:val="21"/>
                <w:highlight w:val="none"/>
                <w:lang w:val="en-US" w:eastAsia="zh-CN"/>
              </w:rPr>
              <w:t>八</w:t>
            </w:r>
            <w:r>
              <w:rPr>
                <w:rFonts w:hint="eastAsia"/>
                <w:color w:val="auto"/>
                <w:szCs w:val="21"/>
                <w:highlight w:val="none"/>
              </w:rPr>
              <w:t>：</w:t>
            </w:r>
          </w:p>
          <w:p w14:paraId="4FFE12C6">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43D671A8">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56D2BE9A">
            <w:pPr>
              <w:spacing w:line="300" w:lineRule="exact"/>
              <w:jc w:val="left"/>
              <w:rPr>
                <w:rFonts w:hint="eastAsia"/>
                <w:color w:val="auto"/>
                <w:szCs w:val="21"/>
                <w:highlight w:val="none"/>
              </w:rPr>
            </w:pPr>
            <w:r>
              <w:rPr>
                <w:rFonts w:hint="eastAsia"/>
                <w:color w:val="auto"/>
                <w:szCs w:val="21"/>
                <w:highlight w:val="none"/>
              </w:rPr>
              <w:t>开户账户：30210485398771</w:t>
            </w:r>
          </w:p>
          <w:p w14:paraId="75AF1201">
            <w:pPr>
              <w:spacing w:line="300" w:lineRule="exact"/>
              <w:jc w:val="left"/>
              <w:rPr>
                <w:rFonts w:hint="eastAsia"/>
                <w:color w:val="auto"/>
                <w:szCs w:val="21"/>
                <w:highlight w:val="none"/>
              </w:rPr>
            </w:pPr>
            <w:r>
              <w:rPr>
                <w:rFonts w:hint="eastAsia"/>
                <w:color w:val="auto"/>
                <w:szCs w:val="21"/>
                <w:highlight w:val="none"/>
              </w:rPr>
              <w:t>标项</w:t>
            </w:r>
            <w:r>
              <w:rPr>
                <w:rFonts w:hint="eastAsia"/>
                <w:color w:val="auto"/>
                <w:szCs w:val="21"/>
                <w:highlight w:val="none"/>
                <w:lang w:val="en-US" w:eastAsia="zh-CN"/>
              </w:rPr>
              <w:t>九</w:t>
            </w:r>
            <w:r>
              <w:rPr>
                <w:rFonts w:hint="eastAsia"/>
                <w:color w:val="auto"/>
                <w:szCs w:val="21"/>
                <w:highlight w:val="none"/>
              </w:rPr>
              <w:t>：</w:t>
            </w:r>
          </w:p>
          <w:p w14:paraId="2C637D57">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05B410D3">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28CEDFE6">
            <w:pPr>
              <w:spacing w:line="300" w:lineRule="exact"/>
              <w:jc w:val="left"/>
              <w:rPr>
                <w:rFonts w:hint="eastAsia"/>
                <w:color w:val="auto"/>
                <w:szCs w:val="21"/>
                <w:highlight w:val="none"/>
              </w:rPr>
            </w:pPr>
            <w:r>
              <w:rPr>
                <w:rFonts w:hint="eastAsia"/>
                <w:color w:val="auto"/>
                <w:szCs w:val="21"/>
                <w:highlight w:val="none"/>
              </w:rPr>
              <w:t>开户账户：30210485713294</w:t>
            </w:r>
          </w:p>
          <w:p w14:paraId="7911B660">
            <w:pPr>
              <w:spacing w:line="300" w:lineRule="exact"/>
              <w:jc w:val="left"/>
              <w:rPr>
                <w:rFonts w:hint="eastAsia"/>
                <w:color w:val="auto"/>
                <w:szCs w:val="21"/>
                <w:highlight w:val="none"/>
              </w:rPr>
            </w:pPr>
            <w:r>
              <w:rPr>
                <w:rFonts w:hint="eastAsia"/>
                <w:color w:val="auto"/>
                <w:szCs w:val="21"/>
                <w:highlight w:val="none"/>
              </w:rPr>
              <w:t>标项</w:t>
            </w:r>
            <w:r>
              <w:rPr>
                <w:rFonts w:hint="eastAsia"/>
                <w:color w:val="auto"/>
                <w:szCs w:val="21"/>
                <w:highlight w:val="none"/>
                <w:lang w:val="en-US" w:eastAsia="zh-CN"/>
              </w:rPr>
              <w:t>十</w:t>
            </w:r>
            <w:r>
              <w:rPr>
                <w:rFonts w:hint="eastAsia"/>
                <w:color w:val="auto"/>
                <w:szCs w:val="21"/>
                <w:highlight w:val="none"/>
              </w:rPr>
              <w:t>：</w:t>
            </w:r>
          </w:p>
          <w:p w14:paraId="7705E6E5">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240D53E3">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0CDC508E">
            <w:pPr>
              <w:spacing w:line="300" w:lineRule="exact"/>
              <w:jc w:val="left"/>
              <w:rPr>
                <w:rFonts w:hint="eastAsia"/>
                <w:color w:val="auto"/>
                <w:szCs w:val="21"/>
                <w:highlight w:val="none"/>
              </w:rPr>
            </w:pPr>
            <w:r>
              <w:rPr>
                <w:rFonts w:hint="eastAsia"/>
                <w:color w:val="auto"/>
                <w:szCs w:val="21"/>
                <w:highlight w:val="none"/>
              </w:rPr>
              <w:t>开户账户：30210485027817</w:t>
            </w:r>
          </w:p>
          <w:p w14:paraId="02479E0B">
            <w:pPr>
              <w:spacing w:line="300" w:lineRule="exact"/>
              <w:jc w:val="left"/>
              <w:rPr>
                <w:rFonts w:hint="eastAsia"/>
                <w:color w:val="auto"/>
                <w:szCs w:val="21"/>
                <w:highlight w:val="none"/>
              </w:rPr>
            </w:pPr>
            <w:r>
              <w:rPr>
                <w:rFonts w:hint="eastAsia"/>
                <w:color w:val="auto"/>
                <w:szCs w:val="21"/>
                <w:highlight w:val="none"/>
              </w:rPr>
              <w:t>标项</w:t>
            </w:r>
            <w:r>
              <w:rPr>
                <w:rFonts w:hint="eastAsia"/>
                <w:color w:val="auto"/>
                <w:szCs w:val="21"/>
                <w:highlight w:val="none"/>
                <w:lang w:val="en-US" w:eastAsia="zh-CN"/>
              </w:rPr>
              <w:t>十</w:t>
            </w:r>
            <w:r>
              <w:rPr>
                <w:rFonts w:hint="eastAsia"/>
                <w:color w:val="auto"/>
                <w:szCs w:val="21"/>
                <w:highlight w:val="none"/>
              </w:rPr>
              <w:t>一：</w:t>
            </w:r>
          </w:p>
          <w:p w14:paraId="0C577836">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46DAE999">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05E9DA5B">
            <w:pPr>
              <w:spacing w:line="300" w:lineRule="exact"/>
              <w:jc w:val="left"/>
              <w:rPr>
                <w:rFonts w:hint="eastAsia"/>
                <w:color w:val="auto"/>
                <w:szCs w:val="21"/>
                <w:highlight w:val="none"/>
              </w:rPr>
            </w:pPr>
            <w:r>
              <w:rPr>
                <w:rFonts w:hint="eastAsia"/>
                <w:color w:val="auto"/>
                <w:szCs w:val="21"/>
                <w:highlight w:val="none"/>
              </w:rPr>
              <w:t>开户账户：30210485342340</w:t>
            </w:r>
          </w:p>
          <w:p w14:paraId="6ECF0F5F">
            <w:pPr>
              <w:spacing w:line="300" w:lineRule="exact"/>
              <w:jc w:val="left"/>
              <w:rPr>
                <w:rFonts w:hint="eastAsia"/>
                <w:color w:val="auto"/>
                <w:szCs w:val="21"/>
                <w:highlight w:val="none"/>
              </w:rPr>
            </w:pPr>
            <w:r>
              <w:rPr>
                <w:rFonts w:hint="eastAsia"/>
                <w:color w:val="auto"/>
                <w:szCs w:val="21"/>
                <w:highlight w:val="none"/>
              </w:rPr>
              <w:t>标项</w:t>
            </w:r>
            <w:r>
              <w:rPr>
                <w:rFonts w:hint="eastAsia"/>
                <w:color w:val="auto"/>
                <w:szCs w:val="21"/>
                <w:highlight w:val="none"/>
                <w:lang w:val="en-US" w:eastAsia="zh-CN"/>
              </w:rPr>
              <w:t>十二</w:t>
            </w:r>
            <w:r>
              <w:rPr>
                <w:rFonts w:hint="eastAsia"/>
                <w:color w:val="auto"/>
                <w:szCs w:val="21"/>
                <w:highlight w:val="none"/>
              </w:rPr>
              <w:t>：</w:t>
            </w:r>
          </w:p>
          <w:p w14:paraId="351FC95B">
            <w:pPr>
              <w:spacing w:line="300" w:lineRule="exact"/>
              <w:jc w:val="left"/>
              <w:rPr>
                <w:rFonts w:hint="eastAsia"/>
                <w:color w:val="auto"/>
                <w:szCs w:val="21"/>
                <w:highlight w:val="none"/>
              </w:rPr>
            </w:pPr>
            <w:r>
              <w:rPr>
                <w:rFonts w:hint="eastAsia"/>
                <w:color w:val="auto"/>
                <w:szCs w:val="21"/>
                <w:highlight w:val="none"/>
              </w:rPr>
              <w:t>开户银行：平安银行南宁分行营业部</w:t>
            </w:r>
          </w:p>
          <w:p w14:paraId="05266DED">
            <w:pPr>
              <w:spacing w:line="300" w:lineRule="exact"/>
              <w:jc w:val="left"/>
              <w:rPr>
                <w:rFonts w:hint="eastAsia"/>
                <w:color w:val="auto"/>
                <w:szCs w:val="21"/>
                <w:highlight w:val="none"/>
              </w:rPr>
            </w:pPr>
            <w:r>
              <w:rPr>
                <w:rFonts w:hint="eastAsia"/>
                <w:color w:val="auto"/>
                <w:szCs w:val="21"/>
                <w:highlight w:val="none"/>
              </w:rPr>
              <w:t>开户名称：广西机电设备招标有限公司</w:t>
            </w:r>
          </w:p>
          <w:p w14:paraId="55ED2313">
            <w:pPr>
              <w:spacing w:line="300" w:lineRule="exact"/>
              <w:jc w:val="left"/>
              <w:rPr>
                <w:rFonts w:hint="eastAsia"/>
                <w:color w:val="auto"/>
                <w:szCs w:val="21"/>
                <w:highlight w:val="none"/>
              </w:rPr>
            </w:pPr>
            <w:r>
              <w:rPr>
                <w:rFonts w:hint="eastAsia"/>
                <w:color w:val="auto"/>
                <w:szCs w:val="21"/>
                <w:highlight w:val="none"/>
              </w:rPr>
              <w:t>开户账户：30210485656863</w:t>
            </w:r>
          </w:p>
          <w:p w14:paraId="75031EA9">
            <w:pPr>
              <w:spacing w:line="300" w:lineRule="exact"/>
              <w:jc w:val="left"/>
              <w:rPr>
                <w:color w:val="auto"/>
                <w:szCs w:val="21"/>
                <w:highlight w:val="none"/>
              </w:rPr>
            </w:pPr>
            <w:r>
              <w:rPr>
                <w:color w:val="auto"/>
                <w:szCs w:val="21"/>
                <w:highlight w:val="none"/>
              </w:rPr>
              <w:t>特别说明：本项目保证金采用虚拟账号，为保证磋商保证金与项目一一对应，供应商如</w:t>
            </w:r>
            <w:r>
              <w:rPr>
                <w:rFonts w:hint="eastAsia"/>
                <w:color w:val="auto"/>
                <w:szCs w:val="21"/>
                <w:highlight w:val="none"/>
              </w:rPr>
              <w:t>参加</w:t>
            </w:r>
            <w:r>
              <w:rPr>
                <w:color w:val="auto"/>
                <w:szCs w:val="21"/>
                <w:highlight w:val="none"/>
              </w:rPr>
              <w:t>本项目多个</w:t>
            </w:r>
            <w:r>
              <w:rPr>
                <w:rFonts w:hint="eastAsia"/>
                <w:color w:val="auto"/>
                <w:szCs w:val="21"/>
                <w:highlight w:val="none"/>
              </w:rPr>
              <w:t>分标</w:t>
            </w:r>
            <w:r>
              <w:rPr>
                <w:color w:val="auto"/>
                <w:szCs w:val="21"/>
                <w:highlight w:val="none"/>
              </w:rPr>
              <w:t>的</w:t>
            </w:r>
            <w:r>
              <w:rPr>
                <w:rFonts w:hint="eastAsia"/>
                <w:color w:val="auto"/>
                <w:szCs w:val="21"/>
                <w:highlight w:val="none"/>
              </w:rPr>
              <w:t>响应</w:t>
            </w:r>
            <w:r>
              <w:rPr>
                <w:color w:val="auto"/>
                <w:szCs w:val="21"/>
                <w:highlight w:val="none"/>
              </w:rPr>
              <w:t>，应按各</w:t>
            </w:r>
            <w:r>
              <w:rPr>
                <w:rFonts w:hint="eastAsia"/>
                <w:color w:val="auto"/>
                <w:szCs w:val="21"/>
                <w:highlight w:val="none"/>
              </w:rPr>
              <w:t>分标</w:t>
            </w:r>
            <w:r>
              <w:rPr>
                <w:color w:val="auto"/>
                <w:szCs w:val="21"/>
                <w:highlight w:val="none"/>
              </w:rPr>
              <w:t>对应的专用虚拟账号分别</w:t>
            </w:r>
            <w:r>
              <w:rPr>
                <w:rFonts w:hint="eastAsia"/>
                <w:color w:val="auto"/>
                <w:szCs w:val="21"/>
                <w:highlight w:val="none"/>
              </w:rPr>
              <w:t>缴纳</w:t>
            </w:r>
            <w:r>
              <w:rPr>
                <w:color w:val="auto"/>
                <w:szCs w:val="21"/>
                <w:highlight w:val="none"/>
              </w:rPr>
              <w:t>磋商保证金。</w:t>
            </w:r>
          </w:p>
          <w:p w14:paraId="1C1493CC">
            <w:pPr>
              <w:spacing w:line="300" w:lineRule="exact"/>
              <w:jc w:val="left"/>
              <w:rPr>
                <w:color w:val="auto"/>
                <w:szCs w:val="21"/>
                <w:highlight w:val="none"/>
              </w:rPr>
            </w:pPr>
            <w:r>
              <w:rPr>
                <w:rFonts w:hint="eastAsia" w:ascii="宋体" w:hAnsi="宋体"/>
                <w:color w:val="auto"/>
                <w:szCs w:val="21"/>
                <w:highlight w:val="none"/>
              </w:rPr>
              <w:t>（2）</w:t>
            </w:r>
            <w:r>
              <w:rPr>
                <w:color w:val="auto"/>
                <w:szCs w:val="21"/>
                <w:highlight w:val="none"/>
              </w:rPr>
              <w:t>磋商保证金币种应与响应报价币种相同。</w:t>
            </w:r>
            <w:r>
              <w:rPr>
                <w:rFonts w:hint="eastAsia"/>
                <w:color w:val="auto"/>
                <w:szCs w:val="21"/>
                <w:highlight w:val="none"/>
              </w:rPr>
              <w:t>磋商保证金缴纳</w:t>
            </w:r>
            <w:r>
              <w:rPr>
                <w:color w:val="auto"/>
                <w:szCs w:val="21"/>
                <w:highlight w:val="none"/>
              </w:rPr>
              <w:t>后无需开具收据，</w:t>
            </w:r>
            <w:r>
              <w:rPr>
                <w:rFonts w:hint="eastAsia"/>
                <w:color w:val="auto"/>
                <w:szCs w:val="21"/>
                <w:highlight w:val="none"/>
              </w:rPr>
              <w:t>供应商应在响应文件中放入转账底单或电汇凭证的复印件，</w:t>
            </w:r>
            <w:r>
              <w:rPr>
                <w:color w:val="auto"/>
                <w:szCs w:val="21"/>
                <w:highlight w:val="none"/>
              </w:rPr>
              <w:t>必须在</w:t>
            </w:r>
            <w:r>
              <w:rPr>
                <w:rFonts w:hint="eastAsia"/>
                <w:color w:val="auto"/>
                <w:szCs w:val="21"/>
                <w:highlight w:val="none"/>
              </w:rPr>
              <w:t>响应</w:t>
            </w:r>
            <w:r>
              <w:rPr>
                <w:color w:val="auto"/>
                <w:szCs w:val="21"/>
                <w:highlight w:val="none"/>
              </w:rPr>
              <w:t>截</w:t>
            </w:r>
            <w:r>
              <w:rPr>
                <w:rFonts w:hint="eastAsia"/>
                <w:color w:val="auto"/>
                <w:szCs w:val="21"/>
                <w:highlight w:val="none"/>
              </w:rPr>
              <w:t>止</w:t>
            </w:r>
            <w:r>
              <w:rPr>
                <w:color w:val="auto"/>
                <w:szCs w:val="21"/>
                <w:highlight w:val="none"/>
              </w:rPr>
              <w:t>时间之前到达指定账号，其到账时间以银行确认的到账时间为准。</w:t>
            </w:r>
          </w:p>
          <w:p w14:paraId="3336FC80">
            <w:pPr>
              <w:spacing w:line="300" w:lineRule="exact"/>
              <w:jc w:val="left"/>
              <w:rPr>
                <w:color w:val="auto"/>
                <w:szCs w:val="21"/>
                <w:highlight w:val="none"/>
              </w:rPr>
            </w:pPr>
            <w:r>
              <w:rPr>
                <w:rFonts w:hint="eastAsia" w:ascii="宋体" w:hAnsi="宋体"/>
                <w:color w:val="auto"/>
                <w:szCs w:val="21"/>
                <w:highlight w:val="none"/>
              </w:rPr>
              <w:t>（3）</w:t>
            </w:r>
            <w:r>
              <w:rPr>
                <w:color w:val="auto"/>
                <w:szCs w:val="21"/>
                <w:highlight w:val="none"/>
              </w:rPr>
              <w:t>除</w:t>
            </w:r>
            <w:r>
              <w:rPr>
                <w:rFonts w:hint="eastAsia"/>
                <w:color w:val="auto"/>
                <w:szCs w:val="21"/>
                <w:highlight w:val="none"/>
              </w:rPr>
              <w:t>采购文件</w:t>
            </w:r>
            <w:r>
              <w:rPr>
                <w:color w:val="auto"/>
                <w:szCs w:val="21"/>
                <w:highlight w:val="none"/>
              </w:rPr>
              <w:t>规定不予退还保证金的情形外，采购代理机构</w:t>
            </w:r>
            <w:r>
              <w:rPr>
                <w:rFonts w:hint="eastAsia"/>
                <w:color w:val="auto"/>
                <w:szCs w:val="21"/>
                <w:highlight w:val="none"/>
              </w:rPr>
              <w:t>在法定时间内通过银行原路</w:t>
            </w:r>
            <w:r>
              <w:rPr>
                <w:color w:val="auto"/>
                <w:szCs w:val="21"/>
                <w:highlight w:val="none"/>
              </w:rPr>
              <w:t>退</w:t>
            </w:r>
            <w:r>
              <w:rPr>
                <w:rFonts w:hint="eastAsia"/>
                <w:color w:val="auto"/>
                <w:szCs w:val="21"/>
                <w:highlight w:val="none"/>
              </w:rPr>
              <w:t>还保证金至供应商缴纳账户。供应商</w:t>
            </w:r>
            <w:r>
              <w:rPr>
                <w:color w:val="auto"/>
                <w:szCs w:val="21"/>
                <w:highlight w:val="none"/>
              </w:rPr>
              <w:t>自行承担</w:t>
            </w:r>
            <w:r>
              <w:rPr>
                <w:rFonts w:hint="eastAsia"/>
                <w:color w:val="auto"/>
                <w:szCs w:val="21"/>
                <w:highlight w:val="none"/>
              </w:rPr>
              <w:t>交纳保证金后未参加响应活动或磋商保证金缴纳错误而</w:t>
            </w:r>
            <w:r>
              <w:rPr>
                <w:color w:val="auto"/>
                <w:szCs w:val="21"/>
                <w:highlight w:val="none"/>
              </w:rPr>
              <w:t>导致</w:t>
            </w:r>
            <w:r>
              <w:rPr>
                <w:rFonts w:hint="eastAsia"/>
                <w:color w:val="auto"/>
                <w:szCs w:val="21"/>
                <w:highlight w:val="none"/>
              </w:rPr>
              <w:t>磋商保证金</w:t>
            </w:r>
            <w:r>
              <w:rPr>
                <w:color w:val="auto"/>
                <w:szCs w:val="21"/>
                <w:highlight w:val="none"/>
              </w:rPr>
              <w:t>无法及时退还的责任</w:t>
            </w:r>
            <w:r>
              <w:rPr>
                <w:rFonts w:hint="eastAsia"/>
                <w:color w:val="auto"/>
                <w:szCs w:val="21"/>
                <w:highlight w:val="none"/>
              </w:rPr>
              <w:t>。</w:t>
            </w:r>
          </w:p>
          <w:p w14:paraId="48D163D4">
            <w:pPr>
              <w:spacing w:line="300" w:lineRule="exact"/>
              <w:jc w:val="left"/>
              <w:rPr>
                <w:color w:val="auto"/>
                <w:szCs w:val="21"/>
                <w:highlight w:val="none"/>
              </w:rPr>
            </w:pPr>
            <w:r>
              <w:rPr>
                <w:rFonts w:hint="eastAsia"/>
                <w:color w:val="auto"/>
                <w:szCs w:val="21"/>
                <w:highlight w:val="none"/>
              </w:rPr>
              <w:t>2、缴纳方式二：</w:t>
            </w:r>
          </w:p>
          <w:p w14:paraId="0A13ED04">
            <w:pPr>
              <w:spacing w:line="300" w:lineRule="exact"/>
              <w:jc w:val="left"/>
              <w:rPr>
                <w:rFonts w:hint="eastAsia"/>
                <w:color w:val="auto"/>
                <w:szCs w:val="21"/>
                <w:highlight w:val="none"/>
              </w:rPr>
            </w:pPr>
            <w:r>
              <w:rPr>
                <w:rFonts w:hint="eastAsia"/>
                <w:color w:val="auto"/>
                <w:szCs w:val="21"/>
                <w:highlight w:val="none"/>
              </w:rPr>
              <w:t>供应商可于响应截止时间前选择支票、汇票、本票或金融机构、担保机构出具的保函等非现金形式缴纳的，供应商应在响应文件中放入支票、汇票、本票或金融机构、担保机构出具的保函的复印件，保函出具格式详见第六章响应文件格式，在响应截止时间前，供应商必须以现场提交或邮寄方式向采购代理机构递交支票、汇票、本票或者保函原件，保证金原件放入一个密封袋中，并在封口处加盖供应商公章或被授权人签字，在封套上标记“项目名称（项目编号）响应保证金”字样。具体收件地址、收件人及联系电话详见磋商公告。</w:t>
            </w:r>
          </w:p>
          <w:p w14:paraId="1BE7FB6B">
            <w:pPr>
              <w:spacing w:line="300" w:lineRule="exact"/>
              <w:jc w:val="left"/>
              <w:rPr>
                <w:rFonts w:hint="eastAsia"/>
                <w:color w:val="auto"/>
                <w:szCs w:val="21"/>
                <w:highlight w:val="none"/>
              </w:rPr>
            </w:pPr>
            <w:r>
              <w:rPr>
                <w:rFonts w:hint="eastAsia"/>
                <w:color w:val="auto"/>
                <w:szCs w:val="21"/>
                <w:highlight w:val="none"/>
              </w:rPr>
              <w:t>3、响应保证金有下列情形之一的，视为保证金无效：</w:t>
            </w:r>
          </w:p>
          <w:p w14:paraId="359EC428">
            <w:pPr>
              <w:spacing w:line="300" w:lineRule="exact"/>
              <w:jc w:val="left"/>
              <w:rPr>
                <w:rFonts w:hint="eastAsia"/>
                <w:color w:val="auto"/>
                <w:szCs w:val="21"/>
                <w:highlight w:val="none"/>
              </w:rPr>
            </w:pPr>
            <w:r>
              <w:rPr>
                <w:rFonts w:hint="eastAsia"/>
                <w:color w:val="auto"/>
                <w:szCs w:val="21"/>
                <w:highlight w:val="none"/>
              </w:rPr>
              <w:t>（1）保证金在响应截止时间后提交的，或者不按规定交纳方式交纳的，或者未足额交纳的（包含保函额度不足的）的；</w:t>
            </w:r>
          </w:p>
          <w:p w14:paraId="2C2C507B">
            <w:pPr>
              <w:spacing w:line="300" w:lineRule="exact"/>
              <w:jc w:val="left"/>
              <w:rPr>
                <w:rFonts w:hint="eastAsia"/>
                <w:color w:val="auto"/>
                <w:szCs w:val="21"/>
                <w:highlight w:val="none"/>
              </w:rPr>
            </w:pPr>
            <w:r>
              <w:rPr>
                <w:rFonts w:hint="eastAsia"/>
                <w:color w:val="auto"/>
                <w:szCs w:val="21"/>
                <w:highlight w:val="none"/>
              </w:rPr>
              <w:t>（2）支票、汇票或者本票出现无效或者背书情形的；</w:t>
            </w:r>
          </w:p>
          <w:p w14:paraId="7CF20D00">
            <w:pPr>
              <w:spacing w:line="300" w:lineRule="exact"/>
              <w:jc w:val="left"/>
              <w:rPr>
                <w:rFonts w:hint="eastAsia"/>
                <w:color w:val="auto"/>
                <w:szCs w:val="21"/>
                <w:highlight w:val="none"/>
              </w:rPr>
            </w:pPr>
            <w:r>
              <w:rPr>
                <w:rFonts w:hint="eastAsia"/>
                <w:color w:val="auto"/>
                <w:szCs w:val="21"/>
                <w:highlight w:val="none"/>
              </w:rPr>
              <w:t>（3）保函有效期低于响应有效期的；</w:t>
            </w:r>
          </w:p>
          <w:p w14:paraId="276ACAD0">
            <w:pPr>
              <w:spacing w:line="300" w:lineRule="exact"/>
              <w:jc w:val="left"/>
              <w:rPr>
                <w:rFonts w:hint="eastAsia"/>
                <w:color w:val="auto"/>
                <w:szCs w:val="21"/>
                <w:highlight w:val="none"/>
              </w:rPr>
            </w:pPr>
            <w:r>
              <w:rPr>
                <w:rFonts w:hint="eastAsia"/>
                <w:color w:val="auto"/>
                <w:szCs w:val="21"/>
                <w:highlight w:val="none"/>
              </w:rPr>
              <w:t>（4）非金融机构、担保机构出具保函的、非无条件保函的。</w:t>
            </w:r>
          </w:p>
          <w:p w14:paraId="2B61EAE6">
            <w:pPr>
              <w:spacing w:line="300" w:lineRule="exact"/>
              <w:jc w:val="left"/>
              <w:rPr>
                <w:color w:val="auto"/>
                <w:szCs w:val="21"/>
                <w:highlight w:val="none"/>
              </w:rPr>
            </w:pPr>
            <w:r>
              <w:rPr>
                <w:rFonts w:hint="eastAsia"/>
                <w:color w:val="auto"/>
                <w:szCs w:val="21"/>
                <w:highlight w:val="none"/>
              </w:rPr>
              <w:t>4、财务部联系电话：0771-2821398</w:t>
            </w:r>
          </w:p>
          <w:p w14:paraId="5139B637">
            <w:pPr>
              <w:spacing w:line="300" w:lineRule="exact"/>
              <w:jc w:val="left"/>
              <w:rPr>
                <w:b/>
                <w:bCs/>
                <w:color w:val="auto"/>
                <w:szCs w:val="21"/>
                <w:highlight w:val="none"/>
              </w:rPr>
            </w:pPr>
            <w:r>
              <w:rPr>
                <w:rFonts w:hint="eastAsia"/>
                <w:b/>
                <w:bCs/>
                <w:color w:val="auto"/>
                <w:szCs w:val="21"/>
                <w:highlight w:val="none"/>
              </w:rPr>
              <w:t>注：为保证磋商保证金退还的及时性与便利性，鼓励优先采用方式一递交磋商保证金。</w:t>
            </w:r>
          </w:p>
        </w:tc>
      </w:tr>
      <w:tr w14:paraId="118030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37" w:type="dxa"/>
            <w:tcBorders>
              <w:left w:val="single" w:color="auto" w:sz="4" w:space="0"/>
              <w:right w:val="single" w:color="auto" w:sz="4" w:space="0"/>
            </w:tcBorders>
            <w:vAlign w:val="center"/>
          </w:tcPr>
          <w:p w14:paraId="472108A0">
            <w:pPr>
              <w:spacing w:line="300" w:lineRule="exact"/>
              <w:jc w:val="center"/>
              <w:rPr>
                <w:b/>
                <w:color w:val="auto"/>
                <w:szCs w:val="21"/>
                <w:highlight w:val="none"/>
              </w:rPr>
            </w:pPr>
            <w:r>
              <w:rPr>
                <w:rFonts w:hint="eastAsia"/>
                <w:b/>
                <w:color w:val="auto"/>
                <w:szCs w:val="21"/>
                <w:highlight w:val="none"/>
              </w:rPr>
              <w:t>3</w:t>
            </w:r>
            <w:r>
              <w:rPr>
                <w:b/>
                <w:color w:val="auto"/>
                <w:szCs w:val="21"/>
                <w:highlight w:val="none"/>
              </w:rPr>
              <w:t>.6</w:t>
            </w:r>
          </w:p>
        </w:tc>
        <w:tc>
          <w:tcPr>
            <w:tcW w:w="1248" w:type="dxa"/>
            <w:tcBorders>
              <w:top w:val="single" w:color="auto" w:sz="4" w:space="0"/>
              <w:left w:val="single" w:color="auto" w:sz="4" w:space="0"/>
              <w:right w:val="single" w:color="auto" w:sz="4" w:space="0"/>
            </w:tcBorders>
            <w:vAlign w:val="center"/>
          </w:tcPr>
          <w:p w14:paraId="41F25862">
            <w:pPr>
              <w:spacing w:line="300" w:lineRule="exact"/>
              <w:jc w:val="center"/>
              <w:rPr>
                <w:color w:val="auto"/>
                <w:szCs w:val="21"/>
                <w:highlight w:val="none"/>
              </w:rPr>
            </w:pPr>
            <w:r>
              <w:rPr>
                <w:rFonts w:hint="eastAsia"/>
                <w:color w:val="auto"/>
                <w:szCs w:val="21"/>
                <w:highlight w:val="none"/>
              </w:rPr>
              <w:t>响应文件的编制</w:t>
            </w:r>
          </w:p>
        </w:tc>
        <w:tc>
          <w:tcPr>
            <w:tcW w:w="7229" w:type="dxa"/>
            <w:tcBorders>
              <w:top w:val="single" w:color="auto" w:sz="4" w:space="0"/>
              <w:left w:val="single" w:color="auto" w:sz="4" w:space="0"/>
              <w:right w:val="single" w:color="auto" w:sz="4" w:space="0"/>
            </w:tcBorders>
            <w:vAlign w:val="center"/>
          </w:tcPr>
          <w:p w14:paraId="4DC12744">
            <w:pPr>
              <w:spacing w:line="300" w:lineRule="exact"/>
              <w:jc w:val="left"/>
              <w:rPr>
                <w:color w:val="auto"/>
                <w:szCs w:val="21"/>
                <w:highlight w:val="none"/>
              </w:rPr>
            </w:pPr>
            <w:r>
              <w:rPr>
                <w:rFonts w:hint="eastAsia" w:hAnsi="宋体"/>
                <w:color w:val="auto"/>
                <w:szCs w:val="21"/>
                <w:highlight w:val="none"/>
              </w:rPr>
              <w:t>响应文件应按第六章响应文件格式分别编制并使用下载的广西政府采购云平台新版客户端制作并上传。</w:t>
            </w:r>
          </w:p>
        </w:tc>
      </w:tr>
      <w:tr w14:paraId="26B9F9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37" w:type="dxa"/>
            <w:tcBorders>
              <w:top w:val="single" w:color="auto" w:sz="4" w:space="0"/>
              <w:left w:val="single" w:color="auto" w:sz="4" w:space="0"/>
              <w:bottom w:val="single" w:color="auto" w:sz="4" w:space="0"/>
              <w:right w:val="single" w:color="auto" w:sz="4" w:space="0"/>
            </w:tcBorders>
            <w:vAlign w:val="center"/>
          </w:tcPr>
          <w:p w14:paraId="5E746A85">
            <w:pPr>
              <w:spacing w:line="300" w:lineRule="exact"/>
              <w:jc w:val="center"/>
              <w:rPr>
                <w:b/>
                <w:color w:val="auto"/>
                <w:szCs w:val="21"/>
                <w:highlight w:val="none"/>
              </w:rPr>
            </w:pPr>
            <w:r>
              <w:rPr>
                <w:b/>
                <w:color w:val="auto"/>
                <w:szCs w:val="21"/>
                <w:highlight w:val="none"/>
              </w:rPr>
              <w:t>3.7</w:t>
            </w:r>
          </w:p>
        </w:tc>
        <w:tc>
          <w:tcPr>
            <w:tcW w:w="1248" w:type="dxa"/>
            <w:tcBorders>
              <w:top w:val="single" w:color="auto" w:sz="4" w:space="0"/>
              <w:left w:val="single" w:color="auto" w:sz="4" w:space="0"/>
              <w:bottom w:val="single" w:color="auto" w:sz="4" w:space="0"/>
              <w:right w:val="single" w:color="auto" w:sz="4" w:space="0"/>
            </w:tcBorders>
            <w:vAlign w:val="center"/>
          </w:tcPr>
          <w:p w14:paraId="07A9C239">
            <w:pPr>
              <w:spacing w:line="300" w:lineRule="exact"/>
              <w:jc w:val="center"/>
              <w:rPr>
                <w:color w:val="auto"/>
                <w:szCs w:val="21"/>
                <w:highlight w:val="none"/>
              </w:rPr>
            </w:pPr>
            <w:r>
              <w:rPr>
                <w:color w:val="auto"/>
                <w:szCs w:val="21"/>
                <w:highlight w:val="none"/>
              </w:rPr>
              <w:t>响应文件递交</w:t>
            </w:r>
            <w:r>
              <w:rPr>
                <w:rFonts w:hint="eastAsia"/>
                <w:color w:val="auto"/>
                <w:szCs w:val="21"/>
                <w:highlight w:val="none"/>
              </w:rPr>
              <w:t>截止时间及截标时间</w:t>
            </w:r>
          </w:p>
        </w:tc>
        <w:tc>
          <w:tcPr>
            <w:tcW w:w="7229" w:type="dxa"/>
            <w:tcBorders>
              <w:top w:val="single" w:color="auto" w:sz="4" w:space="0"/>
              <w:left w:val="single" w:color="auto" w:sz="4" w:space="0"/>
              <w:bottom w:val="single" w:color="auto" w:sz="4" w:space="0"/>
              <w:right w:val="single" w:color="auto" w:sz="4" w:space="0"/>
            </w:tcBorders>
            <w:vAlign w:val="center"/>
          </w:tcPr>
          <w:p w14:paraId="3EE5A6EF">
            <w:pPr>
              <w:spacing w:line="300" w:lineRule="exact"/>
              <w:jc w:val="left"/>
              <w:rPr>
                <w:color w:val="auto"/>
                <w:szCs w:val="21"/>
                <w:highlight w:val="none"/>
              </w:rPr>
            </w:pPr>
            <w:r>
              <w:rPr>
                <w:rFonts w:hint="eastAsia"/>
                <w:color w:val="auto"/>
                <w:kern w:val="0"/>
                <w:szCs w:val="21"/>
                <w:highlight w:val="none"/>
              </w:rPr>
              <w:t>见磋商公告要求</w:t>
            </w:r>
            <w:r>
              <w:rPr>
                <w:rFonts w:hint="eastAsia"/>
                <w:color w:val="auto"/>
                <w:szCs w:val="21"/>
                <w:highlight w:val="none"/>
              </w:rPr>
              <w:t>。</w:t>
            </w:r>
          </w:p>
        </w:tc>
      </w:tr>
      <w:tr w14:paraId="6807EB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08DFE3EE">
            <w:pP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.2</w:t>
            </w:r>
          </w:p>
        </w:tc>
        <w:tc>
          <w:tcPr>
            <w:tcW w:w="1248" w:type="dxa"/>
            <w:tcBorders>
              <w:top w:val="single" w:color="auto" w:sz="4" w:space="0"/>
              <w:left w:val="single" w:color="auto" w:sz="4" w:space="0"/>
              <w:bottom w:val="single" w:color="auto" w:sz="4" w:space="0"/>
              <w:right w:val="single" w:color="auto" w:sz="4" w:space="0"/>
            </w:tcBorders>
            <w:vAlign w:val="center"/>
          </w:tcPr>
          <w:p w14:paraId="02A547F4">
            <w:pPr>
              <w:spacing w:line="300" w:lineRule="exact"/>
              <w:jc w:val="center"/>
              <w:rPr>
                <w:color w:val="auto"/>
                <w:szCs w:val="20"/>
                <w:highlight w:val="none"/>
              </w:rPr>
            </w:pPr>
            <w:r>
              <w:rPr>
                <w:rFonts w:hint="eastAsia"/>
                <w:color w:val="auto"/>
                <w:szCs w:val="21"/>
                <w:highlight w:val="none"/>
              </w:rPr>
              <w:t>备份响应文件</w:t>
            </w:r>
          </w:p>
        </w:tc>
        <w:tc>
          <w:tcPr>
            <w:tcW w:w="7229" w:type="dxa"/>
            <w:tcBorders>
              <w:top w:val="single" w:color="auto" w:sz="4" w:space="0"/>
              <w:left w:val="single" w:color="auto" w:sz="4" w:space="0"/>
              <w:bottom w:val="single" w:color="auto" w:sz="4" w:space="0"/>
              <w:right w:val="single" w:color="auto" w:sz="4" w:space="0"/>
            </w:tcBorders>
            <w:vAlign w:val="center"/>
          </w:tcPr>
          <w:p w14:paraId="51BA63BF">
            <w:pPr>
              <w:spacing w:line="276" w:lineRule="auto"/>
              <w:rPr>
                <w:rFonts w:ascii="宋体" w:hAnsi="宋体"/>
                <w:color w:val="auto"/>
                <w:szCs w:val="21"/>
                <w:highlight w:val="none"/>
              </w:rPr>
            </w:pPr>
            <w:r>
              <w:rPr>
                <w:rFonts w:hint="eastAsia" w:ascii="宋体" w:hAnsi="宋体"/>
                <w:color w:val="auto"/>
                <w:szCs w:val="21"/>
                <w:highlight w:val="none"/>
              </w:rPr>
              <w:t>本项目</w:t>
            </w:r>
            <w:r>
              <w:rPr>
                <w:color w:val="auto"/>
                <w:sz w:val="22"/>
                <w:szCs w:val="22"/>
                <w:highlight w:val="none"/>
              </w:rPr>
              <w:sym w:font="Wingdings 2" w:char="F052"/>
            </w:r>
            <w:r>
              <w:rPr>
                <w:rFonts w:hint="eastAsia"/>
                <w:color w:val="auto"/>
                <w:szCs w:val="21"/>
                <w:highlight w:val="none"/>
              </w:rPr>
              <w:t>接受   □不接受</w:t>
            </w:r>
            <w:r>
              <w:rPr>
                <w:rFonts w:hint="eastAsia" w:ascii="宋体" w:hAnsi="宋体"/>
                <w:color w:val="auto"/>
                <w:szCs w:val="21"/>
                <w:highlight w:val="none"/>
              </w:rPr>
              <w:t>备份响应文件</w:t>
            </w:r>
          </w:p>
          <w:p w14:paraId="070484F5">
            <w:pPr>
              <w:spacing w:line="276" w:lineRule="auto"/>
              <w:rPr>
                <w:rFonts w:hint="eastAsia"/>
                <w:color w:val="auto"/>
                <w:sz w:val="22"/>
                <w:szCs w:val="22"/>
                <w:highlight w:val="none"/>
              </w:rPr>
            </w:pPr>
            <w:r>
              <w:rPr>
                <w:rFonts w:hint="eastAsia" w:ascii="宋体" w:hAnsi="宋体"/>
                <w:color w:val="auto"/>
                <w:szCs w:val="21"/>
                <w:highlight w:val="none"/>
              </w:rPr>
              <w:t>以广西政府采购云平台自动生成的备份文件为依据，当项目允许接受备份响应文件时，供应商才可以按规定上传备份响应文件。</w:t>
            </w:r>
          </w:p>
        </w:tc>
      </w:tr>
      <w:tr w14:paraId="0EFF12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1CFEB6C3">
            <w:pP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.3</w:t>
            </w:r>
          </w:p>
        </w:tc>
        <w:tc>
          <w:tcPr>
            <w:tcW w:w="1248" w:type="dxa"/>
            <w:tcBorders>
              <w:top w:val="single" w:color="auto" w:sz="4" w:space="0"/>
              <w:left w:val="single" w:color="auto" w:sz="4" w:space="0"/>
              <w:bottom w:val="single" w:color="auto" w:sz="4" w:space="0"/>
              <w:right w:val="single" w:color="auto" w:sz="4" w:space="0"/>
            </w:tcBorders>
            <w:vAlign w:val="center"/>
          </w:tcPr>
          <w:p w14:paraId="5BA34C0B">
            <w:pPr>
              <w:spacing w:line="300" w:lineRule="exact"/>
              <w:jc w:val="center"/>
              <w:rPr>
                <w:color w:val="auto"/>
                <w:szCs w:val="21"/>
                <w:highlight w:val="none"/>
              </w:rPr>
            </w:pPr>
            <w:r>
              <w:rPr>
                <w:rFonts w:hint="eastAsia"/>
                <w:color w:val="auto"/>
                <w:szCs w:val="20"/>
                <w:highlight w:val="none"/>
              </w:rPr>
              <w:t>演示</w:t>
            </w:r>
          </w:p>
        </w:tc>
        <w:tc>
          <w:tcPr>
            <w:tcW w:w="7229" w:type="dxa"/>
            <w:tcBorders>
              <w:top w:val="single" w:color="auto" w:sz="4" w:space="0"/>
              <w:left w:val="single" w:color="auto" w:sz="4" w:space="0"/>
              <w:bottom w:val="single" w:color="auto" w:sz="4" w:space="0"/>
              <w:right w:val="single" w:color="auto" w:sz="4" w:space="0"/>
            </w:tcBorders>
            <w:vAlign w:val="center"/>
          </w:tcPr>
          <w:p w14:paraId="47F2CD0C">
            <w:pPr>
              <w:spacing w:line="276" w:lineRule="auto"/>
              <w:rPr>
                <w:color w:val="auto"/>
                <w:szCs w:val="21"/>
                <w:highlight w:val="none"/>
              </w:rPr>
            </w:pPr>
            <w:r>
              <w:rPr>
                <w:color w:val="auto"/>
                <w:sz w:val="22"/>
                <w:szCs w:val="22"/>
                <w:highlight w:val="none"/>
              </w:rPr>
              <w:sym w:font="Wingdings 2" w:char="F052"/>
            </w:r>
            <w:r>
              <w:rPr>
                <w:rFonts w:hint="eastAsia"/>
                <w:color w:val="auto"/>
                <w:szCs w:val="21"/>
                <w:highlight w:val="none"/>
              </w:rPr>
              <w:t>否   □是</w:t>
            </w:r>
          </w:p>
          <w:p w14:paraId="142876FF">
            <w:pPr>
              <w:spacing w:line="276" w:lineRule="auto"/>
              <w:rPr>
                <w:color w:val="auto"/>
                <w:szCs w:val="21"/>
                <w:highlight w:val="none"/>
                <w:u w:val="single"/>
              </w:rPr>
            </w:pPr>
            <w:r>
              <w:rPr>
                <w:rFonts w:hint="eastAsia"/>
                <w:color w:val="auto"/>
                <w:szCs w:val="21"/>
                <w:highlight w:val="none"/>
              </w:rPr>
              <w:t>演示内容：</w:t>
            </w:r>
            <w:r>
              <w:rPr>
                <w:rFonts w:hint="eastAsia"/>
                <w:color w:val="auto"/>
                <w:szCs w:val="21"/>
                <w:highlight w:val="none"/>
                <w:u w:val="single"/>
              </w:rPr>
              <w:t xml:space="preserve"> </w:t>
            </w:r>
            <w:r>
              <w:rPr>
                <w:color w:val="auto"/>
                <w:szCs w:val="21"/>
                <w:highlight w:val="none"/>
                <w:u w:val="single"/>
              </w:rPr>
              <w:t xml:space="preserve">              </w:t>
            </w:r>
          </w:p>
          <w:p w14:paraId="3C172F10">
            <w:pPr>
              <w:spacing w:line="276" w:lineRule="auto"/>
              <w:rPr>
                <w:color w:val="auto"/>
                <w:szCs w:val="21"/>
                <w:highlight w:val="none"/>
              </w:rPr>
            </w:pPr>
            <w:r>
              <w:rPr>
                <w:rFonts w:hint="eastAsia"/>
                <w:color w:val="auto"/>
                <w:szCs w:val="21"/>
                <w:highlight w:val="none"/>
              </w:rPr>
              <w:t>演示形式：</w:t>
            </w:r>
            <w:r>
              <w:rPr>
                <w:color w:val="auto"/>
                <w:szCs w:val="21"/>
                <w:highlight w:val="none"/>
              </w:rPr>
              <w:t xml:space="preserve"> </w:t>
            </w:r>
          </w:p>
        </w:tc>
      </w:tr>
      <w:tr w14:paraId="124D20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4CFD8B59">
            <w:pP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.4</w:t>
            </w:r>
          </w:p>
        </w:tc>
        <w:tc>
          <w:tcPr>
            <w:tcW w:w="1248" w:type="dxa"/>
            <w:tcBorders>
              <w:top w:val="single" w:color="auto" w:sz="4" w:space="0"/>
              <w:left w:val="single" w:color="auto" w:sz="4" w:space="0"/>
              <w:bottom w:val="single" w:color="auto" w:sz="4" w:space="0"/>
              <w:right w:val="single" w:color="auto" w:sz="4" w:space="0"/>
            </w:tcBorders>
            <w:vAlign w:val="center"/>
          </w:tcPr>
          <w:p w14:paraId="438A1B29">
            <w:pPr>
              <w:spacing w:line="300" w:lineRule="exact"/>
              <w:jc w:val="center"/>
              <w:rPr>
                <w:color w:val="auto"/>
                <w:szCs w:val="21"/>
                <w:highlight w:val="none"/>
              </w:rPr>
            </w:pPr>
            <w:r>
              <w:rPr>
                <w:rFonts w:hint="eastAsia"/>
                <w:color w:val="auto"/>
                <w:szCs w:val="20"/>
                <w:highlight w:val="none"/>
              </w:rPr>
              <w:t>样品</w:t>
            </w:r>
          </w:p>
        </w:tc>
        <w:tc>
          <w:tcPr>
            <w:tcW w:w="7229" w:type="dxa"/>
            <w:tcBorders>
              <w:top w:val="single" w:color="auto" w:sz="4" w:space="0"/>
              <w:left w:val="single" w:color="auto" w:sz="4" w:space="0"/>
              <w:bottom w:val="single" w:color="auto" w:sz="4" w:space="0"/>
              <w:right w:val="single" w:color="auto" w:sz="4" w:space="0"/>
            </w:tcBorders>
            <w:vAlign w:val="center"/>
          </w:tcPr>
          <w:p w14:paraId="16899431">
            <w:pPr>
              <w:spacing w:line="276" w:lineRule="auto"/>
              <w:rPr>
                <w:color w:val="auto"/>
                <w:szCs w:val="21"/>
                <w:highlight w:val="none"/>
              </w:rPr>
            </w:pPr>
            <w:r>
              <w:rPr>
                <w:color w:val="auto"/>
                <w:sz w:val="24"/>
                <w:highlight w:val="none"/>
              </w:rPr>
              <w:sym w:font="Wingdings 2" w:char="F052"/>
            </w:r>
            <w:r>
              <w:rPr>
                <w:rFonts w:hint="eastAsia"/>
                <w:color w:val="auto"/>
                <w:szCs w:val="21"/>
                <w:highlight w:val="none"/>
              </w:rPr>
              <w:t>否   □是</w:t>
            </w:r>
          </w:p>
          <w:p w14:paraId="7AE9DBED">
            <w:pPr>
              <w:spacing w:line="276" w:lineRule="auto"/>
              <w:rPr>
                <w:color w:val="auto"/>
                <w:szCs w:val="21"/>
                <w:highlight w:val="none"/>
                <w:u w:val="single"/>
              </w:rPr>
            </w:pPr>
            <w:r>
              <w:rPr>
                <w:rFonts w:hint="eastAsia"/>
                <w:color w:val="auto"/>
                <w:szCs w:val="21"/>
                <w:highlight w:val="none"/>
              </w:rPr>
              <w:t>样品制作的标准和要求：</w:t>
            </w:r>
            <w:r>
              <w:rPr>
                <w:rFonts w:hint="eastAsia"/>
                <w:color w:val="auto"/>
                <w:szCs w:val="21"/>
                <w:highlight w:val="none"/>
                <w:u w:val="single"/>
              </w:rPr>
              <w:t xml:space="preserve"> </w:t>
            </w:r>
            <w:r>
              <w:rPr>
                <w:color w:val="auto"/>
                <w:szCs w:val="21"/>
                <w:highlight w:val="none"/>
                <w:u w:val="single"/>
              </w:rPr>
              <w:t xml:space="preserve">              </w:t>
            </w:r>
          </w:p>
          <w:p w14:paraId="079C6AA5">
            <w:pPr>
              <w:spacing w:line="276" w:lineRule="auto"/>
              <w:rPr>
                <w:color w:val="auto"/>
                <w:szCs w:val="21"/>
                <w:highlight w:val="none"/>
                <w:u w:val="single"/>
              </w:rPr>
            </w:pPr>
            <w:r>
              <w:rPr>
                <w:rFonts w:hint="eastAsia"/>
                <w:color w:val="auto"/>
                <w:szCs w:val="21"/>
                <w:highlight w:val="none"/>
              </w:rPr>
              <w:t>样品检测机构的要求：</w:t>
            </w:r>
            <w:r>
              <w:rPr>
                <w:rFonts w:hint="eastAsia"/>
                <w:color w:val="auto"/>
                <w:szCs w:val="21"/>
                <w:highlight w:val="none"/>
                <w:u w:val="single"/>
              </w:rPr>
              <w:t xml:space="preserve"> </w:t>
            </w:r>
            <w:r>
              <w:rPr>
                <w:color w:val="auto"/>
                <w:szCs w:val="21"/>
                <w:highlight w:val="none"/>
                <w:u w:val="single"/>
              </w:rPr>
              <w:t xml:space="preserve">               </w:t>
            </w:r>
          </w:p>
          <w:p w14:paraId="3520E5E2">
            <w:pPr>
              <w:spacing w:line="276" w:lineRule="auto"/>
              <w:rPr>
                <w:color w:val="auto"/>
                <w:szCs w:val="21"/>
                <w:highlight w:val="none"/>
                <w:u w:val="single"/>
              </w:rPr>
            </w:pPr>
            <w:r>
              <w:rPr>
                <w:rFonts w:hint="eastAsia"/>
                <w:color w:val="auto"/>
                <w:szCs w:val="21"/>
                <w:highlight w:val="none"/>
              </w:rPr>
              <w:t>检测内容：</w:t>
            </w:r>
            <w:r>
              <w:rPr>
                <w:rFonts w:hint="eastAsia"/>
                <w:color w:val="auto"/>
                <w:szCs w:val="21"/>
                <w:highlight w:val="none"/>
                <w:u w:val="single"/>
              </w:rPr>
              <w:t xml:space="preserve"> </w:t>
            </w:r>
            <w:r>
              <w:rPr>
                <w:color w:val="auto"/>
                <w:szCs w:val="21"/>
                <w:highlight w:val="none"/>
                <w:u w:val="single"/>
              </w:rPr>
              <w:t xml:space="preserve">                    </w:t>
            </w:r>
          </w:p>
          <w:p w14:paraId="372566B5">
            <w:pPr>
              <w:spacing w:line="276" w:lineRule="auto"/>
              <w:rPr>
                <w:color w:val="auto"/>
                <w:szCs w:val="21"/>
                <w:highlight w:val="none"/>
              </w:rPr>
            </w:pPr>
            <w:r>
              <w:rPr>
                <w:rFonts w:hint="eastAsia"/>
                <w:color w:val="auto"/>
                <w:szCs w:val="21"/>
                <w:highlight w:val="none"/>
              </w:rPr>
              <w:t>样品递交方式：</w:t>
            </w:r>
            <w:r>
              <w:rPr>
                <w:color w:val="auto"/>
                <w:szCs w:val="21"/>
                <w:highlight w:val="none"/>
              </w:rPr>
              <w:t xml:space="preserve"> </w:t>
            </w:r>
          </w:p>
        </w:tc>
      </w:tr>
      <w:tr w14:paraId="54EDD3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7F35CD0A">
            <w:pPr>
              <w:spacing w:line="300" w:lineRule="exact"/>
              <w:jc w:val="center"/>
              <w:rPr>
                <w:rFonts w:hint="eastAsia" w:ascii="Times New Roman" w:hAnsi="Times New Roman" w:eastAsia="宋体" w:cs="Times New Roman"/>
                <w:b/>
                <w:color w:val="auto"/>
                <w:kern w:val="2"/>
                <w:sz w:val="21"/>
                <w:szCs w:val="21"/>
                <w:highlight w:val="none"/>
                <w:lang w:val="en-US" w:eastAsia="zh-CN" w:bidi="ar-SA"/>
              </w:rPr>
            </w:pPr>
            <w:r>
              <w:rPr>
                <w:rFonts w:hint="eastAsia"/>
                <w:b/>
                <w:color w:val="auto"/>
                <w:szCs w:val="21"/>
                <w:highlight w:val="none"/>
                <w:lang w:val="en-US" w:eastAsia="zh-CN"/>
              </w:rPr>
              <w:t>5.3.1</w:t>
            </w:r>
          </w:p>
        </w:tc>
        <w:tc>
          <w:tcPr>
            <w:tcW w:w="1248" w:type="dxa"/>
            <w:tcBorders>
              <w:top w:val="single" w:color="auto" w:sz="4" w:space="0"/>
              <w:left w:val="single" w:color="auto" w:sz="4" w:space="0"/>
              <w:bottom w:val="single" w:color="auto" w:sz="4" w:space="0"/>
              <w:right w:val="single" w:color="auto" w:sz="4" w:space="0"/>
            </w:tcBorders>
            <w:shd w:val="clear" w:color="auto" w:fill="auto"/>
            <w:vAlign w:val="center"/>
          </w:tcPr>
          <w:p w14:paraId="4DB31808">
            <w:pPr>
              <w:spacing w:line="30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信用查询</w:t>
            </w:r>
            <w:r>
              <w:rPr>
                <w:rFonts w:hint="eastAsia"/>
                <w:color w:val="auto"/>
                <w:highlight w:val="none"/>
                <w:lang w:val="en-US" w:eastAsia="zh-CN"/>
              </w:rPr>
              <w:t>规则</w:t>
            </w:r>
          </w:p>
        </w:tc>
        <w:tc>
          <w:tcPr>
            <w:tcW w:w="7229" w:type="dxa"/>
            <w:tcBorders>
              <w:top w:val="single" w:color="auto" w:sz="4" w:space="0"/>
              <w:left w:val="single" w:color="auto" w:sz="4" w:space="0"/>
              <w:bottom w:val="single" w:color="auto" w:sz="4" w:space="0"/>
              <w:right w:val="single" w:color="auto" w:sz="4" w:space="0"/>
            </w:tcBorders>
            <w:shd w:val="clear" w:color="auto" w:fill="auto"/>
            <w:vAlign w:val="center"/>
          </w:tcPr>
          <w:p w14:paraId="5ECEFC80">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磋商小组在资格审查结束前，对</w:t>
            </w:r>
            <w:r>
              <w:rPr>
                <w:rFonts w:hint="eastAsia" w:ascii="宋体" w:hAnsi="宋体"/>
                <w:color w:val="auto"/>
                <w:szCs w:val="21"/>
                <w:highlight w:val="none"/>
                <w:lang w:val="en-US" w:eastAsia="zh-CN"/>
              </w:rPr>
              <w:t>供应商</w:t>
            </w:r>
            <w:r>
              <w:rPr>
                <w:rFonts w:hint="eastAsia" w:ascii="宋体" w:hAnsi="宋体"/>
                <w:color w:val="auto"/>
                <w:szCs w:val="21"/>
                <w:highlight w:val="none"/>
                <w:lang w:eastAsia="zh-CN"/>
              </w:rPr>
              <w:t>进行信用查询。</w:t>
            </w:r>
          </w:p>
          <w:p w14:paraId="3DE5C5A5">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）查询渠道：</w:t>
            </w:r>
            <w:r>
              <w:rPr>
                <w:rFonts w:hint="eastAsia" w:ascii="宋体" w:hAnsi="宋体"/>
                <w:color w:val="auto"/>
                <w:szCs w:val="21"/>
                <w:highlight w:val="none"/>
                <w:lang w:val="en-US" w:eastAsia="zh-CN"/>
              </w:rPr>
              <w:t>广西政府采购云平台</w:t>
            </w:r>
            <w:r>
              <w:rPr>
                <w:rFonts w:hint="eastAsia" w:ascii="宋体" w:hAnsi="宋体"/>
                <w:color w:val="auto"/>
                <w:szCs w:val="21"/>
                <w:highlight w:val="none"/>
                <w:lang w:eastAsia="zh-CN"/>
              </w:rPr>
              <w:t>“信用中国”网站(www.creditchina.gov.cn) 、中国政府采购网(www.ccgp.gov.cn)</w:t>
            </w:r>
            <w:r>
              <w:rPr>
                <w:rFonts w:hint="eastAsia" w:ascii="宋体" w:hAnsi="宋体"/>
                <w:color w:val="auto"/>
                <w:szCs w:val="21"/>
                <w:highlight w:val="none"/>
                <w:lang w:val="en-US" w:eastAsia="zh-CN"/>
              </w:rPr>
              <w:t>链接入口</w:t>
            </w:r>
            <w:r>
              <w:rPr>
                <w:rFonts w:hint="eastAsia" w:ascii="宋体" w:hAnsi="宋体"/>
                <w:color w:val="auto"/>
                <w:szCs w:val="21"/>
                <w:highlight w:val="none"/>
                <w:lang w:eastAsia="zh-CN"/>
              </w:rPr>
              <w:t>。</w:t>
            </w:r>
          </w:p>
          <w:p w14:paraId="04EC3278">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）信用查询截止时点：</w:t>
            </w:r>
            <w:r>
              <w:rPr>
                <w:rFonts w:hint="eastAsia" w:ascii="宋体" w:hAnsi="宋体"/>
                <w:color w:val="auto"/>
                <w:szCs w:val="21"/>
                <w:highlight w:val="none"/>
                <w:lang w:val="en-US" w:eastAsia="zh-CN"/>
              </w:rPr>
              <w:t>资</w:t>
            </w:r>
            <w:r>
              <w:rPr>
                <w:rFonts w:hint="eastAsia" w:ascii="宋体" w:hAnsi="宋体"/>
                <w:color w:val="auto"/>
                <w:szCs w:val="21"/>
                <w:highlight w:val="none"/>
                <w:lang w:eastAsia="zh-CN"/>
              </w:rPr>
              <w:t>格审查结束前</w:t>
            </w:r>
          </w:p>
          <w:p w14:paraId="3628EEE1">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）查询记录和证据留存方式：在查询网站中直接截图查询记录，截图作为在“广西政府采购云”平台作为附件上传保存。</w:t>
            </w:r>
          </w:p>
          <w:p w14:paraId="665D52FA">
            <w:pPr>
              <w:snapToGrid w:val="0"/>
              <w:spacing w:line="380" w:lineRule="exac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5D925B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2310C2B3">
            <w:pPr>
              <w:spacing w:line="300" w:lineRule="exact"/>
              <w:jc w:val="center"/>
              <w:rPr>
                <w:rFonts w:hint="eastAsia" w:ascii="Times New Roman" w:hAnsi="Times New Roman" w:eastAsia="宋体" w:cs="Times New Roman"/>
                <w:b/>
                <w:color w:val="auto"/>
                <w:kern w:val="2"/>
                <w:sz w:val="21"/>
                <w:szCs w:val="21"/>
                <w:highlight w:val="none"/>
                <w:lang w:val="en-US" w:eastAsia="zh-CN" w:bidi="ar-SA"/>
              </w:rPr>
            </w:pPr>
            <w:r>
              <w:rPr>
                <w:rFonts w:hint="eastAsia"/>
                <w:b/>
                <w:color w:val="auto"/>
                <w:szCs w:val="21"/>
                <w:highlight w:val="none"/>
              </w:rPr>
              <w:t>6.</w:t>
            </w:r>
            <w:r>
              <w:rPr>
                <w:b/>
                <w:color w:val="auto"/>
                <w:szCs w:val="21"/>
                <w:highlight w:val="none"/>
              </w:rPr>
              <w:t>3</w:t>
            </w:r>
            <w:r>
              <w:rPr>
                <w:rFonts w:hint="eastAsia"/>
                <w:b/>
                <w:color w:val="auto"/>
                <w:szCs w:val="21"/>
                <w:highlight w:val="none"/>
              </w:rPr>
              <w:t>.</w:t>
            </w:r>
            <w:r>
              <w:rPr>
                <w:b/>
                <w:color w:val="auto"/>
                <w:szCs w:val="21"/>
                <w:highlight w:val="none"/>
              </w:rPr>
              <w:t>5</w:t>
            </w:r>
          </w:p>
        </w:tc>
        <w:tc>
          <w:tcPr>
            <w:tcW w:w="1248" w:type="dxa"/>
            <w:tcBorders>
              <w:top w:val="single" w:color="auto" w:sz="4" w:space="0"/>
              <w:left w:val="single" w:color="auto" w:sz="4" w:space="0"/>
              <w:bottom w:val="single" w:color="auto" w:sz="4" w:space="0"/>
              <w:right w:val="single" w:color="auto" w:sz="4" w:space="0"/>
            </w:tcBorders>
            <w:shd w:val="clear" w:color="auto" w:fill="auto"/>
            <w:vAlign w:val="center"/>
          </w:tcPr>
          <w:p w14:paraId="4085BEE0">
            <w:pPr>
              <w:spacing w:line="300" w:lineRule="exact"/>
              <w:jc w:val="center"/>
              <w:rPr>
                <w:rFonts w:hint="eastAsia"/>
                <w:color w:val="auto"/>
                <w:szCs w:val="21"/>
                <w:highlight w:val="none"/>
                <w:lang w:val="en-US" w:eastAsia="zh-CN"/>
              </w:rPr>
            </w:pPr>
            <w:r>
              <w:rPr>
                <w:rFonts w:hint="eastAsia"/>
                <w:color w:val="auto"/>
                <w:szCs w:val="21"/>
                <w:highlight w:val="none"/>
                <w:lang w:val="en-US" w:eastAsia="zh-CN"/>
              </w:rPr>
              <w:t>异常低价审查</w:t>
            </w:r>
          </w:p>
          <w:p w14:paraId="7D0A01A7">
            <w:pPr>
              <w:spacing w:line="300" w:lineRule="exact"/>
              <w:jc w:val="center"/>
              <w:rPr>
                <w:rFonts w:hint="eastAsia" w:ascii="Times New Roman" w:hAnsi="Times New Roman" w:eastAsia="宋体" w:cs="Times New Roman"/>
                <w:color w:val="auto"/>
                <w:kern w:val="2"/>
                <w:sz w:val="21"/>
                <w:szCs w:val="21"/>
                <w:highlight w:val="none"/>
                <w:lang w:val="en-US" w:eastAsia="zh-CN" w:bidi="ar-SA"/>
              </w:rPr>
            </w:pPr>
          </w:p>
        </w:tc>
        <w:tc>
          <w:tcPr>
            <w:tcW w:w="7229" w:type="dxa"/>
            <w:tcBorders>
              <w:top w:val="single" w:color="auto" w:sz="4" w:space="0"/>
              <w:left w:val="single" w:color="auto" w:sz="4" w:space="0"/>
              <w:bottom w:val="single" w:color="auto" w:sz="4" w:space="0"/>
              <w:right w:val="single" w:color="auto" w:sz="4" w:space="0"/>
            </w:tcBorders>
            <w:shd w:val="clear" w:color="auto" w:fill="auto"/>
            <w:vAlign w:val="center"/>
          </w:tcPr>
          <w:p w14:paraId="17CDDDD9">
            <w:pPr>
              <w:spacing w:line="300" w:lineRule="exact"/>
              <w:jc w:val="left"/>
              <w:rPr>
                <w:rFonts w:hint="eastAsia"/>
                <w:color w:val="auto"/>
                <w:szCs w:val="21"/>
                <w:highlight w:val="none"/>
                <w:lang w:val="en-US" w:eastAsia="zh-CN"/>
              </w:rPr>
            </w:pPr>
            <w:r>
              <w:rPr>
                <w:rFonts w:hint="eastAsia"/>
                <w:color w:val="auto"/>
                <w:szCs w:val="21"/>
                <w:highlight w:val="none"/>
                <w:lang w:val="en-US" w:eastAsia="zh-CN"/>
              </w:rPr>
              <w:t>评审中出现下列情形之一的，评审委员会应当启动异常低价响应审查程序：</w:t>
            </w:r>
          </w:p>
          <w:p w14:paraId="1351E9AB">
            <w:pPr>
              <w:spacing w:line="276" w:lineRule="auto"/>
              <w:rPr>
                <w:rFonts w:hint="default"/>
                <w:color w:val="auto"/>
                <w:szCs w:val="21"/>
                <w:highlight w:val="none"/>
                <w:lang w:val="en-US" w:eastAsia="zh-CN"/>
              </w:rPr>
            </w:pPr>
            <w:r>
              <w:rPr>
                <w:rFonts w:hint="eastAsia"/>
                <w:color w:val="auto"/>
                <w:szCs w:val="21"/>
                <w:highlight w:val="none"/>
                <w:lang w:val="en-US" w:eastAsia="zh-CN"/>
              </w:rPr>
              <w:t>（1）投标（响应）报价低于全部通过符合性审查供应商投标（响应）报价平均值50%的，即投标（响应）报价&lt;全部通过符合性审查供应商投标（响应）报价平均值×50%；</w:t>
            </w:r>
          </w:p>
          <w:p w14:paraId="717B3DE9">
            <w:pPr>
              <w:spacing w:line="276" w:lineRule="auto"/>
              <w:rPr>
                <w:rFonts w:hint="eastAsia"/>
                <w:color w:val="auto"/>
                <w:szCs w:val="21"/>
                <w:highlight w:val="none"/>
                <w:lang w:val="en-US" w:eastAsia="zh-CN"/>
              </w:rPr>
            </w:pPr>
            <w:r>
              <w:rPr>
                <w:rFonts w:hint="eastAsia"/>
                <w:color w:val="auto"/>
                <w:szCs w:val="21"/>
                <w:highlight w:val="none"/>
                <w:lang w:val="en-US" w:eastAsia="zh-CN"/>
              </w:rPr>
              <w:t>（2）投标（响应）报价低于通过符合性审查的次低报价供应商投标（响应）报价50%的，即投标（响应）报价&lt;通过符合性审查的次低报价供应商投标（响应）报价×50%；</w:t>
            </w:r>
          </w:p>
          <w:p w14:paraId="62403759">
            <w:pPr>
              <w:spacing w:line="276" w:lineRule="auto"/>
              <w:rPr>
                <w:rFonts w:hint="eastAsia"/>
                <w:color w:val="auto"/>
                <w:szCs w:val="21"/>
                <w:highlight w:val="none"/>
                <w:lang w:val="en-US" w:eastAsia="zh-CN"/>
              </w:rPr>
            </w:pPr>
            <w:r>
              <w:rPr>
                <w:rFonts w:hint="eastAsia"/>
                <w:color w:val="auto"/>
                <w:szCs w:val="21"/>
                <w:highlight w:val="none"/>
                <w:lang w:val="en-US" w:eastAsia="zh-CN"/>
              </w:rPr>
              <w:t>（3）投标（响应）报价低于采购项目最高限价45%的，即投标（响应）报价&lt;采购项目最高限价×45%；</w:t>
            </w:r>
          </w:p>
          <w:p w14:paraId="4130964E">
            <w:pPr>
              <w:spacing w:line="276" w:lineRule="auto"/>
              <w:rPr>
                <w:color w:val="auto"/>
                <w:kern w:val="2"/>
                <w:sz w:val="22"/>
                <w:szCs w:val="22"/>
                <w:highlight w:val="none"/>
                <w:lang w:val="en-US" w:eastAsia="zh-CN" w:bidi="ar-SA"/>
              </w:rPr>
            </w:pPr>
            <w:r>
              <w:rPr>
                <w:rFonts w:hint="eastAsia"/>
                <w:color w:val="auto"/>
                <w:szCs w:val="21"/>
                <w:highlight w:val="none"/>
                <w:lang w:val="en-US" w:eastAsia="zh-CN"/>
              </w:rPr>
              <w:t>（4）评审委员会基于专业判断，认为供应商报价过低，有可能影响产品质量或者不能诚信履约的其他情形。</w:t>
            </w:r>
          </w:p>
        </w:tc>
      </w:tr>
      <w:tr w14:paraId="00032D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0A8EE94A">
            <w:pPr>
              <w:spacing w:line="300" w:lineRule="exact"/>
              <w:jc w:val="center"/>
              <w:rPr>
                <w:b/>
                <w:color w:val="auto"/>
                <w:szCs w:val="21"/>
                <w:highlight w:val="none"/>
              </w:rPr>
            </w:pPr>
            <w:r>
              <w:rPr>
                <w:b/>
                <w:color w:val="auto"/>
                <w:szCs w:val="21"/>
                <w:highlight w:val="none"/>
              </w:rPr>
              <w:t>6.5</w:t>
            </w:r>
            <w:r>
              <w:rPr>
                <w:rFonts w:hint="eastAsia"/>
                <w:b/>
                <w:color w:val="auto"/>
                <w:szCs w:val="21"/>
                <w:highlight w:val="none"/>
              </w:rPr>
              <w:t>.1</w:t>
            </w:r>
          </w:p>
        </w:tc>
        <w:tc>
          <w:tcPr>
            <w:tcW w:w="1248" w:type="dxa"/>
            <w:tcBorders>
              <w:top w:val="single" w:color="auto" w:sz="4" w:space="0"/>
              <w:left w:val="single" w:color="auto" w:sz="4" w:space="0"/>
              <w:bottom w:val="single" w:color="auto" w:sz="4" w:space="0"/>
              <w:right w:val="single" w:color="auto" w:sz="4" w:space="0"/>
            </w:tcBorders>
            <w:vAlign w:val="center"/>
          </w:tcPr>
          <w:p w14:paraId="3CA9A4ED">
            <w:pPr>
              <w:spacing w:line="300" w:lineRule="exact"/>
              <w:jc w:val="center"/>
              <w:rPr>
                <w:color w:val="auto"/>
                <w:szCs w:val="21"/>
                <w:highlight w:val="none"/>
              </w:rPr>
            </w:pPr>
            <w:r>
              <w:rPr>
                <w:rFonts w:hint="eastAsia"/>
                <w:color w:val="auto"/>
                <w:szCs w:val="21"/>
                <w:highlight w:val="none"/>
              </w:rPr>
              <w:t>结果</w:t>
            </w:r>
            <w:r>
              <w:rPr>
                <w:color w:val="auto"/>
                <w:szCs w:val="21"/>
                <w:highlight w:val="none"/>
              </w:rPr>
              <w:t>公告</w:t>
            </w:r>
          </w:p>
        </w:tc>
        <w:tc>
          <w:tcPr>
            <w:tcW w:w="7229" w:type="dxa"/>
            <w:tcBorders>
              <w:top w:val="single" w:color="auto" w:sz="4" w:space="0"/>
              <w:left w:val="single" w:color="auto" w:sz="4" w:space="0"/>
              <w:bottom w:val="single" w:color="auto" w:sz="4" w:space="0"/>
              <w:right w:val="single" w:color="auto" w:sz="4" w:space="0"/>
            </w:tcBorders>
            <w:vAlign w:val="center"/>
          </w:tcPr>
          <w:p w14:paraId="594CE423">
            <w:pPr>
              <w:spacing w:line="300" w:lineRule="exact"/>
              <w:jc w:val="left"/>
              <w:rPr>
                <w:color w:val="auto"/>
                <w:szCs w:val="21"/>
                <w:highlight w:val="none"/>
              </w:rPr>
            </w:pPr>
            <w:r>
              <w:rPr>
                <w:color w:val="auto"/>
                <w:szCs w:val="21"/>
                <w:highlight w:val="none"/>
              </w:rPr>
              <w:t>采购代理机构在采购人依法确认成交供应商后2个工作日内在磋商公告发布的媒体上发布</w:t>
            </w:r>
            <w:r>
              <w:rPr>
                <w:rFonts w:hint="eastAsia"/>
                <w:color w:val="auto"/>
                <w:szCs w:val="21"/>
                <w:highlight w:val="none"/>
              </w:rPr>
              <w:t>结果</w:t>
            </w:r>
            <w:r>
              <w:rPr>
                <w:color w:val="auto"/>
                <w:szCs w:val="21"/>
                <w:highlight w:val="none"/>
              </w:rPr>
              <w:t>公告</w:t>
            </w:r>
            <w:r>
              <w:rPr>
                <w:rFonts w:hint="eastAsia"/>
                <w:color w:val="auto"/>
                <w:szCs w:val="21"/>
                <w:highlight w:val="none"/>
              </w:rPr>
              <w:t>。</w:t>
            </w:r>
          </w:p>
        </w:tc>
      </w:tr>
      <w:tr w14:paraId="196974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2F01DEE0">
            <w:pPr>
              <w:spacing w:line="300" w:lineRule="exact"/>
              <w:jc w:val="center"/>
              <w:rPr>
                <w:b/>
                <w:color w:val="auto"/>
                <w:szCs w:val="21"/>
                <w:highlight w:val="none"/>
              </w:rPr>
            </w:pPr>
            <w:r>
              <w:rPr>
                <w:b/>
                <w:color w:val="auto"/>
                <w:szCs w:val="21"/>
                <w:highlight w:val="none"/>
              </w:rPr>
              <w:t>6.5.2</w:t>
            </w:r>
          </w:p>
        </w:tc>
        <w:tc>
          <w:tcPr>
            <w:tcW w:w="1248" w:type="dxa"/>
            <w:tcBorders>
              <w:top w:val="single" w:color="auto" w:sz="4" w:space="0"/>
              <w:left w:val="single" w:color="auto" w:sz="4" w:space="0"/>
              <w:bottom w:val="single" w:color="auto" w:sz="4" w:space="0"/>
              <w:right w:val="single" w:color="auto" w:sz="4" w:space="0"/>
            </w:tcBorders>
            <w:vAlign w:val="center"/>
          </w:tcPr>
          <w:p w14:paraId="6F530C62">
            <w:pPr>
              <w:spacing w:line="300" w:lineRule="exact"/>
              <w:jc w:val="center"/>
              <w:rPr>
                <w:color w:val="auto"/>
                <w:szCs w:val="21"/>
                <w:highlight w:val="none"/>
              </w:rPr>
            </w:pPr>
            <w:r>
              <w:rPr>
                <w:rFonts w:hint="eastAsia"/>
                <w:color w:val="auto"/>
                <w:szCs w:val="21"/>
                <w:highlight w:val="none"/>
              </w:rPr>
              <w:t>成交通知书</w:t>
            </w:r>
          </w:p>
        </w:tc>
        <w:tc>
          <w:tcPr>
            <w:tcW w:w="7229" w:type="dxa"/>
            <w:tcBorders>
              <w:top w:val="single" w:color="auto" w:sz="4" w:space="0"/>
              <w:left w:val="single" w:color="auto" w:sz="4" w:space="0"/>
              <w:bottom w:val="single" w:color="auto" w:sz="4" w:space="0"/>
              <w:right w:val="single" w:color="auto" w:sz="4" w:space="0"/>
            </w:tcBorders>
            <w:vAlign w:val="center"/>
          </w:tcPr>
          <w:p w14:paraId="10987FBC">
            <w:pPr>
              <w:spacing w:line="300" w:lineRule="exact"/>
              <w:jc w:val="left"/>
              <w:rPr>
                <w:color w:val="auto"/>
                <w:szCs w:val="21"/>
                <w:highlight w:val="none"/>
              </w:rPr>
            </w:pPr>
            <w:r>
              <w:rPr>
                <w:rFonts w:hint="eastAsia"/>
                <w:color w:val="auto"/>
                <w:szCs w:val="21"/>
                <w:highlight w:val="none"/>
              </w:rPr>
              <w:t>采购代理机构通过广西政府采购云平台发出</w:t>
            </w:r>
            <w:r>
              <w:rPr>
                <w:color w:val="auto"/>
                <w:szCs w:val="21"/>
                <w:highlight w:val="none"/>
              </w:rPr>
              <w:t>成交通知书。</w:t>
            </w:r>
          </w:p>
          <w:p w14:paraId="428ABBD7">
            <w:pPr>
              <w:spacing w:line="300" w:lineRule="exact"/>
              <w:jc w:val="left"/>
              <w:rPr>
                <w:color w:val="auto"/>
                <w:szCs w:val="21"/>
                <w:highlight w:val="none"/>
              </w:rPr>
            </w:pPr>
            <w:r>
              <w:rPr>
                <w:rFonts w:hint="eastAsia"/>
                <w:color w:val="auto"/>
                <w:szCs w:val="21"/>
                <w:highlight w:val="none"/>
              </w:rPr>
              <w:t>成交通知书在广西政府采购云平台推送之日起，视为成交供应商已收到，成交供应商自行承担未及时查收的后果。</w:t>
            </w:r>
          </w:p>
        </w:tc>
      </w:tr>
      <w:tr w14:paraId="706693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6D6F9F4B">
            <w:pPr>
              <w:spacing w:line="300" w:lineRule="exact"/>
              <w:jc w:val="center"/>
              <w:rPr>
                <w:b/>
                <w:color w:val="auto"/>
                <w:szCs w:val="21"/>
                <w:highlight w:val="none"/>
              </w:rPr>
            </w:pPr>
            <w:r>
              <w:rPr>
                <w:b/>
                <w:color w:val="auto"/>
                <w:szCs w:val="21"/>
                <w:highlight w:val="none"/>
              </w:rPr>
              <w:t>8.1</w:t>
            </w:r>
          </w:p>
        </w:tc>
        <w:tc>
          <w:tcPr>
            <w:tcW w:w="1248" w:type="dxa"/>
            <w:tcBorders>
              <w:top w:val="single" w:color="auto" w:sz="4" w:space="0"/>
              <w:left w:val="single" w:color="auto" w:sz="4" w:space="0"/>
              <w:bottom w:val="single" w:color="auto" w:sz="4" w:space="0"/>
              <w:right w:val="single" w:color="auto" w:sz="4" w:space="0"/>
            </w:tcBorders>
            <w:vAlign w:val="center"/>
          </w:tcPr>
          <w:p w14:paraId="7701E5D2">
            <w:pPr>
              <w:spacing w:line="300" w:lineRule="exact"/>
              <w:jc w:val="center"/>
              <w:rPr>
                <w:color w:val="auto"/>
                <w:szCs w:val="21"/>
                <w:highlight w:val="none"/>
              </w:rPr>
            </w:pPr>
            <w:r>
              <w:rPr>
                <w:rFonts w:hint="eastAsia"/>
                <w:color w:val="auto"/>
                <w:szCs w:val="21"/>
                <w:highlight w:val="none"/>
              </w:rPr>
              <w:t>质疑</w:t>
            </w:r>
          </w:p>
        </w:tc>
        <w:tc>
          <w:tcPr>
            <w:tcW w:w="7229" w:type="dxa"/>
            <w:tcBorders>
              <w:top w:val="single" w:color="auto" w:sz="4" w:space="0"/>
              <w:left w:val="single" w:color="auto" w:sz="4" w:space="0"/>
              <w:bottom w:val="single" w:color="auto" w:sz="4" w:space="0"/>
              <w:right w:val="single" w:color="auto" w:sz="4" w:space="0"/>
            </w:tcBorders>
            <w:vAlign w:val="center"/>
          </w:tcPr>
          <w:p w14:paraId="23B3ADF1">
            <w:pPr>
              <w:spacing w:line="300" w:lineRule="exact"/>
              <w:jc w:val="left"/>
              <w:rPr>
                <w:color w:val="auto"/>
                <w:szCs w:val="21"/>
                <w:highlight w:val="none"/>
              </w:rPr>
            </w:pPr>
            <w:r>
              <w:rPr>
                <w:rFonts w:hint="eastAsia"/>
                <w:color w:val="auto"/>
                <w:szCs w:val="21"/>
                <w:highlight w:val="none"/>
              </w:rPr>
              <w:t>（1）供应商</w:t>
            </w:r>
            <w:r>
              <w:rPr>
                <w:color w:val="auto"/>
                <w:szCs w:val="21"/>
                <w:highlight w:val="none"/>
              </w:rPr>
              <w:t>认为</w:t>
            </w:r>
            <w:r>
              <w:rPr>
                <w:rFonts w:hint="eastAsia"/>
                <w:color w:val="auto"/>
                <w:szCs w:val="21"/>
                <w:highlight w:val="none"/>
              </w:rPr>
              <w:t>采购文件</w:t>
            </w:r>
            <w:r>
              <w:rPr>
                <w:color w:val="auto"/>
                <w:szCs w:val="21"/>
                <w:highlight w:val="none"/>
              </w:rPr>
              <w:t>、</w:t>
            </w:r>
            <w:r>
              <w:rPr>
                <w:rFonts w:hint="eastAsia"/>
                <w:color w:val="auto"/>
                <w:szCs w:val="21"/>
                <w:highlight w:val="none"/>
              </w:rPr>
              <w:t>采购</w:t>
            </w:r>
            <w:r>
              <w:rPr>
                <w:color w:val="auto"/>
                <w:szCs w:val="21"/>
                <w:highlight w:val="none"/>
              </w:rPr>
              <w:t>过程、</w:t>
            </w:r>
            <w:r>
              <w:rPr>
                <w:rFonts w:hint="eastAsia"/>
                <w:color w:val="auto"/>
                <w:szCs w:val="21"/>
                <w:highlight w:val="none"/>
              </w:rPr>
              <w:t>中标或者成交</w:t>
            </w:r>
            <w:r>
              <w:rPr>
                <w:color w:val="auto"/>
                <w:szCs w:val="21"/>
                <w:highlight w:val="none"/>
              </w:rPr>
              <w:t>结果使自己的权益受到损害的，可以在知道或者应知其权益受到损害之日起7个工作日内，</w:t>
            </w:r>
            <w:r>
              <w:rPr>
                <w:rFonts w:hint="eastAsia"/>
                <w:color w:val="auto"/>
                <w:szCs w:val="21"/>
                <w:highlight w:val="none"/>
              </w:rPr>
              <w:t>通过以下方式</w:t>
            </w:r>
            <w:r>
              <w:rPr>
                <w:color w:val="auto"/>
                <w:szCs w:val="21"/>
                <w:highlight w:val="none"/>
              </w:rPr>
              <w:t>向采购人、采购代理机构提出质疑。提出质疑的</w:t>
            </w:r>
            <w:r>
              <w:rPr>
                <w:rFonts w:hint="eastAsia"/>
                <w:color w:val="auto"/>
                <w:szCs w:val="21"/>
                <w:highlight w:val="none"/>
              </w:rPr>
              <w:t>供应商</w:t>
            </w:r>
            <w:r>
              <w:rPr>
                <w:color w:val="auto"/>
                <w:szCs w:val="21"/>
                <w:highlight w:val="none"/>
              </w:rPr>
              <w:t>必须是参与本项目采购活动的供应商</w:t>
            </w:r>
            <w:r>
              <w:rPr>
                <w:rFonts w:hint="eastAsia"/>
                <w:color w:val="auto"/>
                <w:szCs w:val="21"/>
                <w:highlight w:val="none"/>
              </w:rPr>
              <w:t>，并须在</w:t>
            </w:r>
            <w:r>
              <w:rPr>
                <w:color w:val="auto"/>
                <w:szCs w:val="21"/>
                <w:highlight w:val="none"/>
              </w:rPr>
              <w:t>法定质疑期内一次性提出针对同一采购程序环节的质疑。质疑函应使用财政部发布的</w:t>
            </w:r>
            <w:r>
              <w:rPr>
                <w:rFonts w:hint="eastAsia"/>
                <w:color w:val="auto"/>
                <w:szCs w:val="21"/>
                <w:highlight w:val="none"/>
              </w:rPr>
              <w:t>政府采购供应商质疑函范本，并应按照“质疑函制作说明”进行制作。</w:t>
            </w:r>
          </w:p>
          <w:p w14:paraId="76E60CFA">
            <w:pPr>
              <w:spacing w:line="300" w:lineRule="exact"/>
              <w:jc w:val="left"/>
              <w:rPr>
                <w:rFonts w:hint="eastAsia"/>
                <w:color w:val="auto"/>
                <w:szCs w:val="21"/>
                <w:highlight w:val="none"/>
              </w:rPr>
            </w:pPr>
            <w:r>
              <w:rPr>
                <w:rFonts w:hint="eastAsia"/>
                <w:color w:val="auto"/>
                <w:szCs w:val="21"/>
                <w:highlight w:val="none"/>
              </w:rPr>
              <w:t>（2）</w:t>
            </w:r>
            <w:r>
              <w:rPr>
                <w:color w:val="auto"/>
                <w:szCs w:val="21"/>
                <w:highlight w:val="none"/>
              </w:rPr>
              <w:t>本项目不接受传真、移动通信</w:t>
            </w:r>
            <w:r>
              <w:rPr>
                <w:rFonts w:hint="eastAsia"/>
                <w:color w:val="auto"/>
                <w:szCs w:val="21"/>
                <w:highlight w:val="none"/>
              </w:rPr>
              <w:t>、广西政府采购云平台</w:t>
            </w:r>
            <w:r>
              <w:rPr>
                <w:color w:val="auto"/>
                <w:szCs w:val="21"/>
                <w:highlight w:val="none"/>
              </w:rPr>
              <w:t>等</w:t>
            </w:r>
            <w:r>
              <w:rPr>
                <w:rFonts w:hint="eastAsia"/>
                <w:color w:val="auto"/>
                <w:szCs w:val="21"/>
                <w:highlight w:val="none"/>
              </w:rPr>
              <w:t>方式</w:t>
            </w:r>
            <w:r>
              <w:rPr>
                <w:color w:val="auto"/>
                <w:szCs w:val="21"/>
                <w:highlight w:val="none"/>
              </w:rPr>
              <w:t>送达的质疑材料</w:t>
            </w:r>
            <w:r>
              <w:rPr>
                <w:rFonts w:hint="eastAsia"/>
                <w:color w:val="auto"/>
                <w:szCs w:val="21"/>
                <w:highlight w:val="none"/>
              </w:rPr>
              <w:t>，供应商可通过现场或邮寄方式递交书面质疑材料。供应商应于质疑有效期内将质疑函原件递交或邮寄至磋商公告中采购代理机构信息中的联系人。</w:t>
            </w:r>
          </w:p>
        </w:tc>
      </w:tr>
      <w:tr w14:paraId="7CADF9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3" w:hRule="atLeast"/>
        </w:trPr>
        <w:tc>
          <w:tcPr>
            <w:tcW w:w="737" w:type="dxa"/>
            <w:tcBorders>
              <w:top w:val="single" w:color="auto" w:sz="4" w:space="0"/>
              <w:left w:val="single" w:color="auto" w:sz="4" w:space="0"/>
              <w:bottom w:val="single" w:color="auto" w:sz="4" w:space="0"/>
              <w:right w:val="single" w:color="auto" w:sz="4" w:space="0"/>
            </w:tcBorders>
            <w:vAlign w:val="center"/>
          </w:tcPr>
          <w:p w14:paraId="5EB170BC">
            <w:pPr>
              <w:spacing w:line="300" w:lineRule="exact"/>
              <w:jc w:val="center"/>
              <w:rPr>
                <w:b/>
                <w:color w:val="auto"/>
                <w:szCs w:val="21"/>
                <w:highlight w:val="none"/>
              </w:rPr>
            </w:pPr>
            <w:r>
              <w:rPr>
                <w:b/>
                <w:color w:val="auto"/>
                <w:szCs w:val="21"/>
                <w:highlight w:val="none"/>
              </w:rPr>
              <w:t>9.1</w:t>
            </w:r>
          </w:p>
        </w:tc>
        <w:tc>
          <w:tcPr>
            <w:tcW w:w="1248" w:type="dxa"/>
            <w:tcBorders>
              <w:top w:val="single" w:color="auto" w:sz="4" w:space="0"/>
              <w:left w:val="single" w:color="auto" w:sz="4" w:space="0"/>
              <w:bottom w:val="single" w:color="auto" w:sz="4" w:space="0"/>
              <w:right w:val="single" w:color="auto" w:sz="4" w:space="0"/>
            </w:tcBorders>
            <w:vAlign w:val="center"/>
          </w:tcPr>
          <w:p w14:paraId="583CEF85">
            <w:pPr>
              <w:spacing w:line="300" w:lineRule="exact"/>
              <w:jc w:val="center"/>
              <w:rPr>
                <w:color w:val="auto"/>
                <w:szCs w:val="21"/>
                <w:highlight w:val="none"/>
              </w:rPr>
            </w:pPr>
            <w:r>
              <w:rPr>
                <w:color w:val="auto"/>
                <w:szCs w:val="20"/>
                <w:highlight w:val="none"/>
              </w:rPr>
              <w:t>代理服务费</w:t>
            </w:r>
          </w:p>
        </w:tc>
        <w:tc>
          <w:tcPr>
            <w:tcW w:w="7229" w:type="dxa"/>
            <w:tcBorders>
              <w:top w:val="single" w:color="auto" w:sz="4" w:space="0"/>
              <w:left w:val="single" w:color="auto" w:sz="4" w:space="0"/>
              <w:bottom w:val="single" w:color="auto" w:sz="4" w:space="0"/>
              <w:right w:val="single" w:color="auto" w:sz="4" w:space="0"/>
            </w:tcBorders>
            <w:vAlign w:val="center"/>
          </w:tcPr>
          <w:p w14:paraId="131C4654">
            <w:pPr>
              <w:rPr>
                <w:color w:val="auto"/>
                <w:szCs w:val="21"/>
                <w:highlight w:val="none"/>
              </w:rPr>
            </w:pPr>
            <w:r>
              <w:rPr>
                <w:color w:val="auto"/>
                <w:szCs w:val="21"/>
                <w:highlight w:val="none"/>
              </w:rPr>
              <w:t>（1）</w:t>
            </w:r>
            <w:r>
              <w:rPr>
                <w:color w:val="auto"/>
                <w:szCs w:val="20"/>
                <w:highlight w:val="none"/>
              </w:rPr>
              <w:t>代理服务费</w:t>
            </w:r>
          </w:p>
          <w:p w14:paraId="3DAAAFCC">
            <w:pPr>
              <w:spacing w:line="300" w:lineRule="exact"/>
              <w:jc w:val="left"/>
              <w:rPr>
                <w:color w:val="auto"/>
                <w:szCs w:val="21"/>
                <w:highlight w:val="none"/>
              </w:rPr>
            </w:pPr>
            <w:r>
              <w:rPr>
                <w:color w:val="auto"/>
                <w:szCs w:val="21"/>
                <w:highlight w:val="none"/>
              </w:rPr>
              <w:sym w:font="Wingdings 2" w:char="F052"/>
            </w:r>
            <w:r>
              <w:rPr>
                <w:color w:val="auto"/>
                <w:szCs w:val="21"/>
                <w:highlight w:val="none"/>
              </w:rPr>
              <w:t>采购代理机构向成交供应商收取代理服务费。本项目代理服务费</w:t>
            </w:r>
            <w:r>
              <w:rPr>
                <w:rFonts w:hint="eastAsia"/>
                <w:color w:val="auto"/>
                <w:szCs w:val="21"/>
                <w:highlight w:val="none"/>
              </w:rPr>
              <w:t>按照</w:t>
            </w:r>
            <w:r>
              <w:rPr>
                <w:color w:val="auto"/>
                <w:szCs w:val="21"/>
                <w:highlight w:val="none"/>
              </w:rPr>
              <w:t>《招标代理服务费管理暂行办法》 (计价格﹝2002﹞1980号)、《国家发展改革委关于降低部分建设项目收费标准规范收费行为等有关问题的通知》(发改价格﹝2011﹞534号)</w:t>
            </w:r>
            <w:r>
              <w:rPr>
                <w:rFonts w:hint="eastAsia"/>
                <w:color w:val="auto"/>
                <w:szCs w:val="21"/>
                <w:highlight w:val="none"/>
              </w:rPr>
              <w:t>的</w:t>
            </w:r>
            <w:r>
              <w:rPr>
                <w:color w:val="auto"/>
                <w:szCs w:val="21"/>
                <w:highlight w:val="none"/>
              </w:rPr>
              <w:t>规定</w:t>
            </w:r>
            <w:r>
              <w:rPr>
                <w:rFonts w:hint="eastAsia"/>
                <w:color w:val="auto"/>
                <w:szCs w:val="21"/>
                <w:highlight w:val="none"/>
              </w:rPr>
              <w:t>采用</w:t>
            </w:r>
            <w:r>
              <w:rPr>
                <w:color w:val="auto"/>
                <w:szCs w:val="21"/>
                <w:highlight w:val="none"/>
              </w:rPr>
              <w:t>差额定率累进</w:t>
            </w:r>
            <w:r>
              <w:rPr>
                <w:rFonts w:hint="eastAsia"/>
                <w:color w:val="auto"/>
                <w:szCs w:val="21"/>
                <w:highlight w:val="none"/>
              </w:rPr>
              <w:t>法</w:t>
            </w:r>
            <w:r>
              <w:rPr>
                <w:color w:val="auto"/>
                <w:szCs w:val="21"/>
                <w:highlight w:val="none"/>
              </w:rPr>
              <w:t>计算</w:t>
            </w:r>
            <w:r>
              <w:rPr>
                <w:rFonts w:hint="eastAsia"/>
                <w:color w:val="auto"/>
                <w:szCs w:val="21"/>
                <w:highlight w:val="none"/>
              </w:rPr>
              <w:t>。</w:t>
            </w:r>
            <w:r>
              <w:rPr>
                <w:color w:val="auto"/>
                <w:szCs w:val="21"/>
                <w:highlight w:val="none"/>
              </w:rPr>
              <w:t>具体费率</w:t>
            </w:r>
            <w:r>
              <w:rPr>
                <w:rFonts w:hint="eastAsia"/>
                <w:color w:val="auto"/>
                <w:szCs w:val="21"/>
                <w:highlight w:val="none"/>
              </w:rPr>
              <w:t>如下：</w:t>
            </w:r>
          </w:p>
          <w:p w14:paraId="4A256795">
            <w:pPr>
              <w:spacing w:line="300" w:lineRule="exact"/>
              <w:jc w:val="left"/>
              <w:rPr>
                <w:color w:val="auto"/>
                <w:szCs w:val="21"/>
                <w:highlight w:val="none"/>
              </w:rPr>
            </w:pPr>
            <w:r>
              <w:rPr>
                <w:rFonts w:hint="eastAsia"/>
                <w:color w:val="auto"/>
                <w:szCs w:val="21"/>
                <w:highlight w:val="none"/>
              </w:rPr>
              <w:t>①成交金额在1</w:t>
            </w:r>
            <w:r>
              <w:rPr>
                <w:color w:val="auto"/>
                <w:szCs w:val="21"/>
                <w:highlight w:val="none"/>
              </w:rPr>
              <w:t>00</w:t>
            </w:r>
            <w:r>
              <w:rPr>
                <w:rFonts w:hint="eastAsia"/>
                <w:color w:val="auto"/>
                <w:szCs w:val="21"/>
                <w:highlight w:val="none"/>
              </w:rPr>
              <w:t>万元以下的：</w:t>
            </w:r>
          </w:p>
          <w:p w14:paraId="16C40E84">
            <w:pPr>
              <w:spacing w:line="300" w:lineRule="exact"/>
              <w:jc w:val="left"/>
              <w:rPr>
                <w:color w:val="auto"/>
                <w:szCs w:val="21"/>
                <w:highlight w:val="none"/>
              </w:rPr>
            </w:pPr>
            <w:r>
              <w:rPr>
                <w:rFonts w:hint="eastAsia"/>
                <w:color w:val="auto"/>
                <w:szCs w:val="21"/>
                <w:highlight w:val="none"/>
              </w:rPr>
              <w:t>货物</w:t>
            </w:r>
            <w:r>
              <w:rPr>
                <w:color w:val="auto"/>
                <w:szCs w:val="21"/>
                <w:highlight w:val="none"/>
              </w:rPr>
              <w:t>1.5％</w:t>
            </w:r>
            <w:r>
              <w:rPr>
                <w:rFonts w:hint="eastAsia"/>
                <w:color w:val="auto"/>
                <w:szCs w:val="21"/>
                <w:highlight w:val="none"/>
              </w:rPr>
              <w:t>；</w:t>
            </w:r>
            <w:r>
              <w:rPr>
                <w:color w:val="auto"/>
                <w:szCs w:val="21"/>
                <w:highlight w:val="none"/>
              </w:rPr>
              <w:t>服务招标1.5％</w:t>
            </w:r>
            <w:r>
              <w:rPr>
                <w:rFonts w:hint="eastAsia"/>
                <w:color w:val="auto"/>
                <w:szCs w:val="21"/>
                <w:highlight w:val="none"/>
              </w:rPr>
              <w:t>；</w:t>
            </w:r>
            <w:r>
              <w:rPr>
                <w:color w:val="auto"/>
                <w:szCs w:val="21"/>
                <w:highlight w:val="none"/>
              </w:rPr>
              <w:t>工程招标1.0％</w:t>
            </w:r>
            <w:r>
              <w:rPr>
                <w:rFonts w:hint="eastAsia"/>
                <w:color w:val="auto"/>
                <w:szCs w:val="21"/>
                <w:highlight w:val="none"/>
              </w:rPr>
              <w:t>；</w:t>
            </w:r>
          </w:p>
          <w:p w14:paraId="7E6544BC">
            <w:pPr>
              <w:spacing w:line="300" w:lineRule="exact"/>
              <w:jc w:val="left"/>
              <w:rPr>
                <w:color w:val="auto"/>
                <w:szCs w:val="21"/>
                <w:highlight w:val="none"/>
              </w:rPr>
            </w:pPr>
            <w:r>
              <w:rPr>
                <w:rFonts w:hint="eastAsia"/>
                <w:color w:val="auto"/>
                <w:szCs w:val="21"/>
                <w:highlight w:val="none"/>
              </w:rPr>
              <w:t>②成交金额在</w:t>
            </w:r>
            <w:r>
              <w:rPr>
                <w:color w:val="auto"/>
                <w:szCs w:val="21"/>
                <w:highlight w:val="none"/>
              </w:rPr>
              <w:t>100-500</w:t>
            </w:r>
            <w:r>
              <w:rPr>
                <w:rFonts w:hint="eastAsia"/>
                <w:color w:val="auto"/>
                <w:szCs w:val="21"/>
                <w:highlight w:val="none"/>
              </w:rPr>
              <w:t>万元之间：</w:t>
            </w:r>
          </w:p>
          <w:p w14:paraId="445C57C7">
            <w:pPr>
              <w:spacing w:line="300" w:lineRule="exact"/>
              <w:jc w:val="left"/>
              <w:rPr>
                <w:color w:val="auto"/>
                <w:szCs w:val="21"/>
                <w:highlight w:val="none"/>
              </w:rPr>
            </w:pPr>
            <w:r>
              <w:rPr>
                <w:rFonts w:hint="eastAsia"/>
                <w:color w:val="auto"/>
                <w:szCs w:val="21"/>
                <w:highlight w:val="none"/>
              </w:rPr>
              <w:t>货物</w:t>
            </w:r>
            <w:r>
              <w:rPr>
                <w:color w:val="auto"/>
                <w:szCs w:val="21"/>
                <w:highlight w:val="none"/>
              </w:rPr>
              <w:t>1.1％</w:t>
            </w:r>
            <w:r>
              <w:rPr>
                <w:rFonts w:hint="eastAsia"/>
                <w:color w:val="auto"/>
                <w:szCs w:val="21"/>
                <w:highlight w:val="none"/>
              </w:rPr>
              <w:t>；</w:t>
            </w:r>
            <w:r>
              <w:rPr>
                <w:color w:val="auto"/>
                <w:szCs w:val="21"/>
                <w:highlight w:val="none"/>
              </w:rPr>
              <w:t>服务招标0.8％</w:t>
            </w:r>
            <w:r>
              <w:rPr>
                <w:rFonts w:hint="eastAsia"/>
                <w:color w:val="auto"/>
                <w:szCs w:val="21"/>
                <w:highlight w:val="none"/>
              </w:rPr>
              <w:t>；</w:t>
            </w:r>
            <w:r>
              <w:rPr>
                <w:color w:val="auto"/>
                <w:szCs w:val="21"/>
                <w:highlight w:val="none"/>
              </w:rPr>
              <w:t>工程招标0.7％</w:t>
            </w:r>
            <w:r>
              <w:rPr>
                <w:rFonts w:hint="eastAsia"/>
                <w:color w:val="auto"/>
                <w:szCs w:val="21"/>
                <w:highlight w:val="none"/>
              </w:rPr>
              <w:t>；</w:t>
            </w:r>
          </w:p>
          <w:p w14:paraId="5F8A0854">
            <w:pPr>
              <w:spacing w:line="300" w:lineRule="exact"/>
              <w:jc w:val="left"/>
              <w:rPr>
                <w:color w:val="auto"/>
                <w:szCs w:val="21"/>
                <w:highlight w:val="none"/>
              </w:rPr>
            </w:pPr>
            <w:r>
              <w:rPr>
                <w:rFonts w:hint="eastAsia"/>
                <w:color w:val="auto"/>
                <w:szCs w:val="21"/>
                <w:highlight w:val="none"/>
              </w:rPr>
              <w:t>③成交金额在</w:t>
            </w:r>
            <w:r>
              <w:rPr>
                <w:color w:val="auto"/>
                <w:szCs w:val="21"/>
                <w:highlight w:val="none"/>
              </w:rPr>
              <w:t>5</w:t>
            </w:r>
            <w:r>
              <w:rPr>
                <w:rFonts w:hint="eastAsia"/>
                <w:color w:val="auto"/>
                <w:szCs w:val="21"/>
                <w:highlight w:val="none"/>
              </w:rPr>
              <w:t>0</w:t>
            </w:r>
            <w:r>
              <w:rPr>
                <w:color w:val="auto"/>
                <w:szCs w:val="21"/>
                <w:highlight w:val="none"/>
              </w:rPr>
              <w:t>0-1</w:t>
            </w:r>
            <w:r>
              <w:rPr>
                <w:rFonts w:hint="eastAsia"/>
                <w:color w:val="auto"/>
                <w:szCs w:val="21"/>
                <w:highlight w:val="none"/>
              </w:rPr>
              <w:t>00</w:t>
            </w:r>
            <w:r>
              <w:rPr>
                <w:color w:val="auto"/>
                <w:szCs w:val="21"/>
                <w:highlight w:val="none"/>
              </w:rPr>
              <w:t>0</w:t>
            </w:r>
            <w:r>
              <w:rPr>
                <w:rFonts w:hint="eastAsia"/>
                <w:color w:val="auto"/>
                <w:szCs w:val="21"/>
                <w:highlight w:val="none"/>
              </w:rPr>
              <w:t>万元之间：</w:t>
            </w:r>
          </w:p>
          <w:p w14:paraId="2CAE13B0">
            <w:pPr>
              <w:spacing w:line="300" w:lineRule="exact"/>
              <w:jc w:val="left"/>
              <w:rPr>
                <w:color w:val="auto"/>
                <w:szCs w:val="21"/>
                <w:highlight w:val="none"/>
              </w:rPr>
            </w:pPr>
            <w:r>
              <w:rPr>
                <w:rFonts w:hint="eastAsia"/>
                <w:color w:val="auto"/>
                <w:szCs w:val="21"/>
                <w:highlight w:val="none"/>
              </w:rPr>
              <w:t>货物</w:t>
            </w:r>
            <w:r>
              <w:rPr>
                <w:color w:val="auto"/>
                <w:szCs w:val="21"/>
                <w:highlight w:val="none"/>
              </w:rPr>
              <w:t>0.8％</w:t>
            </w:r>
            <w:r>
              <w:rPr>
                <w:rFonts w:hint="eastAsia"/>
                <w:color w:val="auto"/>
                <w:szCs w:val="21"/>
                <w:highlight w:val="none"/>
              </w:rPr>
              <w:t>；</w:t>
            </w:r>
            <w:r>
              <w:rPr>
                <w:color w:val="auto"/>
                <w:szCs w:val="21"/>
                <w:highlight w:val="none"/>
              </w:rPr>
              <w:t>服务招标0.45％</w:t>
            </w:r>
            <w:r>
              <w:rPr>
                <w:rFonts w:hint="eastAsia"/>
                <w:color w:val="auto"/>
                <w:szCs w:val="21"/>
                <w:highlight w:val="none"/>
              </w:rPr>
              <w:t>；</w:t>
            </w:r>
            <w:r>
              <w:rPr>
                <w:color w:val="auto"/>
                <w:szCs w:val="21"/>
                <w:highlight w:val="none"/>
              </w:rPr>
              <w:t>工程招标0.55％</w:t>
            </w:r>
            <w:r>
              <w:rPr>
                <w:rFonts w:hint="eastAsia"/>
                <w:color w:val="auto"/>
                <w:szCs w:val="21"/>
                <w:highlight w:val="none"/>
              </w:rPr>
              <w:t>；</w:t>
            </w:r>
          </w:p>
          <w:p w14:paraId="413BE1CA">
            <w:pPr>
              <w:spacing w:line="300" w:lineRule="exact"/>
              <w:jc w:val="left"/>
              <w:rPr>
                <w:color w:val="auto"/>
                <w:szCs w:val="21"/>
                <w:highlight w:val="none"/>
              </w:rPr>
            </w:pPr>
            <w:r>
              <w:rPr>
                <w:rFonts w:hint="eastAsia"/>
                <w:color w:val="auto"/>
                <w:szCs w:val="21"/>
                <w:highlight w:val="none"/>
              </w:rPr>
              <w:t>④成交金额在</w:t>
            </w:r>
            <w:r>
              <w:rPr>
                <w:color w:val="auto"/>
                <w:szCs w:val="21"/>
                <w:highlight w:val="none"/>
              </w:rPr>
              <w:t>1000-5000</w:t>
            </w:r>
            <w:r>
              <w:rPr>
                <w:rFonts w:hint="eastAsia"/>
                <w:color w:val="auto"/>
                <w:szCs w:val="21"/>
                <w:highlight w:val="none"/>
              </w:rPr>
              <w:t>万元之间：</w:t>
            </w:r>
          </w:p>
          <w:p w14:paraId="46E43039">
            <w:pPr>
              <w:spacing w:line="300" w:lineRule="exact"/>
              <w:jc w:val="left"/>
              <w:rPr>
                <w:color w:val="auto"/>
                <w:szCs w:val="21"/>
                <w:highlight w:val="none"/>
              </w:rPr>
            </w:pPr>
            <w:r>
              <w:rPr>
                <w:rFonts w:hint="eastAsia"/>
                <w:color w:val="auto"/>
                <w:szCs w:val="21"/>
                <w:highlight w:val="none"/>
              </w:rPr>
              <w:t>货物</w:t>
            </w:r>
            <w:r>
              <w:rPr>
                <w:color w:val="auto"/>
                <w:szCs w:val="21"/>
                <w:highlight w:val="none"/>
              </w:rPr>
              <w:t>0.5％</w:t>
            </w:r>
            <w:r>
              <w:rPr>
                <w:rFonts w:hint="eastAsia"/>
                <w:color w:val="auto"/>
                <w:szCs w:val="21"/>
                <w:highlight w:val="none"/>
              </w:rPr>
              <w:t>；</w:t>
            </w:r>
            <w:r>
              <w:rPr>
                <w:color w:val="auto"/>
                <w:szCs w:val="21"/>
                <w:highlight w:val="none"/>
              </w:rPr>
              <w:t>服务招标0.25％</w:t>
            </w:r>
            <w:r>
              <w:rPr>
                <w:rFonts w:hint="eastAsia"/>
                <w:color w:val="auto"/>
                <w:szCs w:val="21"/>
                <w:highlight w:val="none"/>
              </w:rPr>
              <w:t>；</w:t>
            </w:r>
            <w:r>
              <w:rPr>
                <w:color w:val="auto"/>
                <w:szCs w:val="21"/>
                <w:highlight w:val="none"/>
              </w:rPr>
              <w:t>工程招标0.35％</w:t>
            </w:r>
            <w:r>
              <w:rPr>
                <w:rFonts w:hint="eastAsia"/>
                <w:color w:val="auto"/>
                <w:szCs w:val="21"/>
                <w:highlight w:val="none"/>
              </w:rPr>
              <w:t>；</w:t>
            </w:r>
          </w:p>
          <w:p w14:paraId="1A6375AC">
            <w:pPr>
              <w:spacing w:line="300" w:lineRule="exact"/>
              <w:jc w:val="left"/>
              <w:rPr>
                <w:color w:val="auto"/>
                <w:szCs w:val="21"/>
                <w:highlight w:val="none"/>
              </w:rPr>
            </w:pPr>
            <w:r>
              <w:rPr>
                <w:rFonts w:hint="eastAsia"/>
                <w:color w:val="auto"/>
                <w:szCs w:val="21"/>
                <w:highlight w:val="none"/>
              </w:rPr>
              <w:t>……</w:t>
            </w:r>
          </w:p>
          <w:p w14:paraId="63DB5F19">
            <w:pPr>
              <w:spacing w:line="300" w:lineRule="exact"/>
              <w:jc w:val="left"/>
              <w:rPr>
                <w:color w:val="auto"/>
                <w:szCs w:val="21"/>
                <w:highlight w:val="none"/>
              </w:rPr>
            </w:pPr>
            <w:r>
              <w:rPr>
                <w:color w:val="auto"/>
                <w:szCs w:val="21"/>
                <w:highlight w:val="none"/>
              </w:rPr>
              <w:t>差额定率累进</w:t>
            </w:r>
            <w:r>
              <w:rPr>
                <w:rFonts w:hint="eastAsia"/>
                <w:color w:val="auto"/>
                <w:szCs w:val="21"/>
                <w:highlight w:val="none"/>
              </w:rPr>
              <w:t>法</w:t>
            </w:r>
            <w:r>
              <w:rPr>
                <w:color w:val="auto"/>
                <w:szCs w:val="21"/>
                <w:highlight w:val="none"/>
              </w:rPr>
              <w:t>计算</w:t>
            </w:r>
            <w:r>
              <w:rPr>
                <w:rFonts w:hint="eastAsia"/>
                <w:color w:val="auto"/>
                <w:szCs w:val="21"/>
                <w:highlight w:val="none"/>
              </w:rPr>
              <w:t>过程示例：</w:t>
            </w:r>
          </w:p>
          <w:p w14:paraId="5E2C7516">
            <w:pPr>
              <w:spacing w:line="300" w:lineRule="exact"/>
              <w:jc w:val="left"/>
              <w:rPr>
                <w:color w:val="auto"/>
                <w:szCs w:val="21"/>
                <w:highlight w:val="none"/>
              </w:rPr>
            </w:pPr>
            <w:r>
              <w:rPr>
                <w:color w:val="auto"/>
                <w:szCs w:val="21"/>
                <w:highlight w:val="none"/>
              </w:rPr>
              <w:t>例如：某货物招标代理业务成交金额为300万元，招标代理服务费金额按如下计算：</w:t>
            </w:r>
          </w:p>
          <w:p w14:paraId="529A7061">
            <w:pPr>
              <w:spacing w:line="300" w:lineRule="exact"/>
              <w:jc w:val="left"/>
              <w:rPr>
                <w:color w:val="auto"/>
                <w:szCs w:val="21"/>
                <w:highlight w:val="none"/>
              </w:rPr>
            </w:pPr>
            <w:r>
              <w:rPr>
                <w:color w:val="auto"/>
                <w:szCs w:val="21"/>
                <w:highlight w:val="none"/>
              </w:rPr>
              <w:t>100万元×1.5%＝1.5万元</w:t>
            </w:r>
          </w:p>
          <w:p w14:paraId="0CF46625">
            <w:pPr>
              <w:spacing w:line="300" w:lineRule="exact"/>
              <w:jc w:val="left"/>
              <w:rPr>
                <w:color w:val="auto"/>
                <w:szCs w:val="21"/>
                <w:highlight w:val="none"/>
              </w:rPr>
            </w:pPr>
            <w:r>
              <w:rPr>
                <w:color w:val="auto"/>
                <w:szCs w:val="21"/>
                <w:highlight w:val="none"/>
              </w:rPr>
              <w:t>（300－100）万元×1.1%＝2.2万元</w:t>
            </w:r>
          </w:p>
          <w:p w14:paraId="6BC5287B">
            <w:pPr>
              <w:spacing w:line="300" w:lineRule="exact"/>
              <w:jc w:val="left"/>
              <w:rPr>
                <w:color w:val="auto"/>
                <w:szCs w:val="21"/>
                <w:highlight w:val="none"/>
              </w:rPr>
            </w:pPr>
            <w:r>
              <w:rPr>
                <w:color w:val="auto"/>
                <w:szCs w:val="21"/>
                <w:highlight w:val="none"/>
              </w:rPr>
              <w:t>合计收费＝1.5＋2.2=3.7万元</w:t>
            </w:r>
          </w:p>
          <w:p w14:paraId="6D375C8D">
            <w:pPr>
              <w:spacing w:line="300" w:lineRule="exact"/>
              <w:jc w:val="left"/>
              <w:rPr>
                <w:color w:val="auto"/>
                <w:szCs w:val="21"/>
                <w:highlight w:val="none"/>
                <w:u w:val="single"/>
              </w:rPr>
            </w:pPr>
            <w:r>
              <w:rPr>
                <w:color w:val="auto"/>
                <w:szCs w:val="21"/>
                <w:highlight w:val="none"/>
              </w:rPr>
              <w:sym w:font="Wingdings 2" w:char="F0A3"/>
            </w:r>
            <w:r>
              <w:rPr>
                <w:color w:val="auto"/>
                <w:szCs w:val="21"/>
                <w:highlight w:val="none"/>
              </w:rPr>
              <w:t>采购代理机构</w:t>
            </w:r>
            <w:r>
              <w:rPr>
                <w:color w:val="auto"/>
                <w:szCs w:val="20"/>
                <w:highlight w:val="none"/>
              </w:rPr>
              <w:t>向成交供应商收取代理服务费</w:t>
            </w:r>
            <w:r>
              <w:rPr>
                <w:rFonts w:hint="eastAsia"/>
                <w:color w:val="auto"/>
                <w:szCs w:val="20"/>
                <w:highlight w:val="none"/>
              </w:rPr>
              <w:t>，</w:t>
            </w:r>
            <w:r>
              <w:rPr>
                <w:color w:val="auto"/>
                <w:szCs w:val="20"/>
                <w:highlight w:val="none"/>
              </w:rPr>
              <w:t>具体金额为</w:t>
            </w:r>
            <w:r>
              <w:rPr>
                <w:rFonts w:hint="eastAsia"/>
                <w:color w:val="auto"/>
                <w:szCs w:val="20"/>
                <w:highlight w:val="none"/>
                <w:u w:val="single"/>
              </w:rPr>
              <w:t xml:space="preserve">             </w:t>
            </w:r>
            <w:r>
              <w:rPr>
                <w:rFonts w:hint="eastAsia"/>
                <w:color w:val="auto"/>
                <w:szCs w:val="20"/>
                <w:highlight w:val="none"/>
              </w:rPr>
              <w:t>。</w:t>
            </w:r>
          </w:p>
          <w:p w14:paraId="77B59A85">
            <w:pPr>
              <w:spacing w:line="300" w:lineRule="exact"/>
              <w:jc w:val="left"/>
              <w:rPr>
                <w:color w:val="auto"/>
                <w:szCs w:val="21"/>
                <w:highlight w:val="none"/>
              </w:rPr>
            </w:pPr>
            <w:r>
              <w:rPr>
                <w:color w:val="auto"/>
                <w:szCs w:val="21"/>
                <w:highlight w:val="none"/>
              </w:rPr>
              <w:t>（2）成交供应商在成交通知书发出前以银行转账或现金形式支付代理服务费；采购代理机构也可以从成交供应商的磋商保证金中扣除上述金额的代理服务费，余款按供应商所汇入磋商保证金的账户原路退回，如无法原路返回，则按《代理服务费承诺书》列明的账户退回。</w:t>
            </w:r>
          </w:p>
          <w:p w14:paraId="71FCE7A3">
            <w:pPr>
              <w:spacing w:line="300" w:lineRule="exact"/>
              <w:jc w:val="left"/>
              <w:rPr>
                <w:rFonts w:hint="eastAsia"/>
                <w:color w:val="auto"/>
                <w:kern w:val="0"/>
                <w:szCs w:val="21"/>
                <w:highlight w:val="none"/>
              </w:rPr>
            </w:pPr>
            <w:r>
              <w:rPr>
                <w:rFonts w:hint="eastAsia"/>
                <w:color w:val="auto"/>
                <w:kern w:val="0"/>
                <w:szCs w:val="21"/>
                <w:highlight w:val="none"/>
              </w:rPr>
              <w:t>开户银行：广西北部湾银行南宁市金湖支行</w:t>
            </w:r>
          </w:p>
          <w:p w14:paraId="2FC0A5D5">
            <w:pPr>
              <w:spacing w:line="300" w:lineRule="exact"/>
              <w:jc w:val="left"/>
              <w:rPr>
                <w:rFonts w:hint="eastAsia"/>
                <w:color w:val="auto"/>
                <w:kern w:val="0"/>
                <w:szCs w:val="21"/>
                <w:highlight w:val="none"/>
              </w:rPr>
            </w:pPr>
            <w:r>
              <w:rPr>
                <w:rFonts w:hint="eastAsia"/>
                <w:color w:val="auto"/>
                <w:kern w:val="0"/>
                <w:szCs w:val="21"/>
                <w:highlight w:val="none"/>
              </w:rPr>
              <w:t>（银行地址：南宁市金湖路57号文德大厦1楼）</w:t>
            </w:r>
          </w:p>
          <w:p w14:paraId="14AC6DC0">
            <w:pPr>
              <w:spacing w:line="300" w:lineRule="exact"/>
              <w:jc w:val="left"/>
              <w:rPr>
                <w:rFonts w:hint="eastAsia"/>
                <w:color w:val="auto"/>
                <w:kern w:val="0"/>
                <w:szCs w:val="21"/>
                <w:highlight w:val="none"/>
              </w:rPr>
            </w:pPr>
            <w:r>
              <w:rPr>
                <w:rFonts w:hint="eastAsia"/>
                <w:color w:val="auto"/>
                <w:kern w:val="0"/>
                <w:szCs w:val="21"/>
                <w:highlight w:val="none"/>
              </w:rPr>
              <w:t>开户名称：广西机电设备招标有限公司</w:t>
            </w:r>
          </w:p>
          <w:p w14:paraId="45822EF6">
            <w:pPr>
              <w:spacing w:line="300" w:lineRule="exact"/>
              <w:jc w:val="left"/>
              <w:rPr>
                <w:rFonts w:hint="eastAsia"/>
                <w:color w:val="auto"/>
                <w:kern w:val="0"/>
                <w:szCs w:val="21"/>
                <w:highlight w:val="none"/>
              </w:rPr>
            </w:pPr>
            <w:r>
              <w:rPr>
                <w:rFonts w:hint="eastAsia"/>
                <w:color w:val="auto"/>
                <w:kern w:val="0"/>
                <w:szCs w:val="21"/>
                <w:highlight w:val="none"/>
              </w:rPr>
              <w:t>银行账号：1705012090027723 (联行号 313611017053)</w:t>
            </w:r>
          </w:p>
          <w:p w14:paraId="3A01CDB1">
            <w:pPr>
              <w:spacing w:line="300" w:lineRule="exact"/>
              <w:jc w:val="left"/>
              <w:rPr>
                <w:rFonts w:hint="eastAsia"/>
                <w:color w:val="auto"/>
                <w:kern w:val="0"/>
                <w:szCs w:val="21"/>
                <w:highlight w:val="none"/>
              </w:rPr>
            </w:pPr>
            <w:r>
              <w:rPr>
                <w:rFonts w:hint="eastAsia"/>
                <w:color w:val="auto"/>
                <w:kern w:val="0"/>
                <w:szCs w:val="21"/>
                <w:highlight w:val="none"/>
              </w:rPr>
              <w:t>财务联系人：吴茜（电话：0771-2821398）</w:t>
            </w:r>
          </w:p>
        </w:tc>
      </w:tr>
      <w:tr w14:paraId="11C6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737" w:type="dxa"/>
            <w:tcBorders>
              <w:top w:val="single" w:color="auto" w:sz="4" w:space="0"/>
              <w:left w:val="single" w:color="auto" w:sz="4" w:space="0"/>
              <w:bottom w:val="single" w:color="auto" w:sz="4" w:space="0"/>
              <w:right w:val="single" w:color="auto" w:sz="4" w:space="0"/>
            </w:tcBorders>
            <w:vAlign w:val="center"/>
          </w:tcPr>
          <w:p w14:paraId="6F38571A">
            <w:pPr>
              <w:spacing w:line="300" w:lineRule="exact"/>
              <w:jc w:val="center"/>
              <w:rPr>
                <w:b/>
                <w:color w:val="auto"/>
                <w:szCs w:val="21"/>
                <w:highlight w:val="none"/>
              </w:rPr>
            </w:pPr>
            <w:r>
              <w:rPr>
                <w:b/>
                <w:color w:val="auto"/>
                <w:szCs w:val="21"/>
                <w:highlight w:val="none"/>
              </w:rPr>
              <w:t>9.3</w:t>
            </w:r>
          </w:p>
        </w:tc>
        <w:tc>
          <w:tcPr>
            <w:tcW w:w="1248" w:type="dxa"/>
            <w:tcBorders>
              <w:top w:val="single" w:color="auto" w:sz="4" w:space="0"/>
              <w:left w:val="single" w:color="auto" w:sz="4" w:space="0"/>
              <w:bottom w:val="single" w:color="auto" w:sz="4" w:space="0"/>
              <w:right w:val="single" w:color="auto" w:sz="4" w:space="0"/>
            </w:tcBorders>
            <w:vAlign w:val="center"/>
          </w:tcPr>
          <w:p w14:paraId="2F91FA75">
            <w:pPr>
              <w:spacing w:line="300" w:lineRule="exact"/>
              <w:jc w:val="center"/>
              <w:rPr>
                <w:color w:val="auto"/>
                <w:szCs w:val="20"/>
                <w:highlight w:val="none"/>
              </w:rPr>
            </w:pPr>
            <w:r>
              <w:rPr>
                <w:rFonts w:hint="eastAsia"/>
                <w:color w:val="auto"/>
                <w:szCs w:val="20"/>
                <w:highlight w:val="none"/>
              </w:rPr>
              <w:t>附件</w:t>
            </w:r>
          </w:p>
        </w:tc>
        <w:tc>
          <w:tcPr>
            <w:tcW w:w="7229" w:type="dxa"/>
            <w:tcBorders>
              <w:top w:val="single" w:color="auto" w:sz="4" w:space="0"/>
              <w:left w:val="single" w:color="auto" w:sz="4" w:space="0"/>
              <w:bottom w:val="single" w:color="auto" w:sz="4" w:space="0"/>
              <w:right w:val="single" w:color="auto" w:sz="4" w:space="0"/>
            </w:tcBorders>
            <w:vAlign w:val="center"/>
          </w:tcPr>
          <w:p w14:paraId="19A1B2AF">
            <w:pPr>
              <w:spacing w:line="276" w:lineRule="auto"/>
              <w:rPr>
                <w:color w:val="auto"/>
                <w:szCs w:val="21"/>
                <w:highlight w:val="none"/>
              </w:rPr>
            </w:pPr>
            <w:r>
              <w:rPr>
                <w:color w:val="auto"/>
                <w:sz w:val="22"/>
                <w:szCs w:val="22"/>
                <w:highlight w:val="none"/>
              </w:rPr>
              <w:sym w:font="Wingdings 2" w:char="F052"/>
            </w:r>
            <w:r>
              <w:rPr>
                <w:rFonts w:hint="eastAsia"/>
                <w:color w:val="auto"/>
                <w:szCs w:val="21"/>
                <w:highlight w:val="none"/>
              </w:rPr>
              <w:t>无</w:t>
            </w:r>
          </w:p>
          <w:p w14:paraId="0350CFAE">
            <w:pPr>
              <w:spacing w:line="276" w:lineRule="auto"/>
              <w:rPr>
                <w:color w:val="auto"/>
                <w:szCs w:val="21"/>
                <w:highlight w:val="none"/>
                <w:u w:val="single"/>
              </w:rPr>
            </w:pPr>
            <w:r>
              <w:rPr>
                <w:rFonts w:hint="eastAsia"/>
                <w:color w:val="auto"/>
                <w:szCs w:val="21"/>
                <w:highlight w:val="none"/>
              </w:rPr>
              <w:t>□有，详见：</w:t>
            </w:r>
            <w:r>
              <w:rPr>
                <w:rFonts w:hint="eastAsia"/>
                <w:color w:val="auto"/>
                <w:szCs w:val="21"/>
                <w:highlight w:val="none"/>
                <w:u w:val="single"/>
              </w:rPr>
              <w:t xml:space="preserve"> </w:t>
            </w:r>
            <w:r>
              <w:rPr>
                <w:color w:val="auto"/>
                <w:szCs w:val="21"/>
                <w:highlight w:val="none"/>
                <w:u w:val="single"/>
              </w:rPr>
              <w:t xml:space="preserve">         </w:t>
            </w:r>
          </w:p>
        </w:tc>
      </w:tr>
      <w:tr w14:paraId="38AE5F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737" w:type="dxa"/>
            <w:tcBorders>
              <w:top w:val="single" w:color="auto" w:sz="4" w:space="0"/>
              <w:left w:val="single" w:color="auto" w:sz="4" w:space="0"/>
              <w:bottom w:val="single" w:color="auto" w:sz="4" w:space="0"/>
              <w:right w:val="single" w:color="auto" w:sz="4" w:space="0"/>
            </w:tcBorders>
            <w:vAlign w:val="center"/>
          </w:tcPr>
          <w:p w14:paraId="4BE82B44">
            <w:pPr>
              <w:spacing w:line="300" w:lineRule="exact"/>
              <w:jc w:val="center"/>
              <w:rPr>
                <w:b/>
                <w:color w:val="auto"/>
                <w:szCs w:val="21"/>
                <w:highlight w:val="none"/>
              </w:rPr>
            </w:pPr>
            <w:r>
              <w:rPr>
                <w:b/>
                <w:color w:val="auto"/>
                <w:szCs w:val="21"/>
                <w:highlight w:val="none"/>
              </w:rPr>
              <w:t>9.3</w:t>
            </w:r>
          </w:p>
        </w:tc>
        <w:tc>
          <w:tcPr>
            <w:tcW w:w="1248" w:type="dxa"/>
            <w:tcBorders>
              <w:top w:val="single" w:color="auto" w:sz="4" w:space="0"/>
              <w:left w:val="single" w:color="auto" w:sz="4" w:space="0"/>
              <w:bottom w:val="single" w:color="auto" w:sz="4" w:space="0"/>
              <w:right w:val="single" w:color="auto" w:sz="4" w:space="0"/>
            </w:tcBorders>
            <w:vAlign w:val="center"/>
          </w:tcPr>
          <w:p w14:paraId="4EEF202B">
            <w:pPr>
              <w:spacing w:line="300" w:lineRule="exact"/>
              <w:jc w:val="center"/>
              <w:rPr>
                <w:color w:val="auto"/>
                <w:szCs w:val="20"/>
                <w:highlight w:val="none"/>
              </w:rPr>
            </w:pPr>
            <w:r>
              <w:rPr>
                <w:rFonts w:hint="eastAsia"/>
                <w:color w:val="auto"/>
                <w:szCs w:val="20"/>
                <w:highlight w:val="none"/>
              </w:rPr>
              <w:t>图纸</w:t>
            </w:r>
          </w:p>
        </w:tc>
        <w:tc>
          <w:tcPr>
            <w:tcW w:w="7229" w:type="dxa"/>
            <w:tcBorders>
              <w:top w:val="single" w:color="auto" w:sz="4" w:space="0"/>
              <w:left w:val="single" w:color="auto" w:sz="4" w:space="0"/>
              <w:bottom w:val="single" w:color="auto" w:sz="4" w:space="0"/>
              <w:right w:val="single" w:color="auto" w:sz="4" w:space="0"/>
            </w:tcBorders>
            <w:vAlign w:val="center"/>
          </w:tcPr>
          <w:p w14:paraId="34328E40">
            <w:pPr>
              <w:spacing w:line="276" w:lineRule="auto"/>
              <w:rPr>
                <w:color w:val="auto"/>
                <w:szCs w:val="21"/>
                <w:highlight w:val="none"/>
              </w:rPr>
            </w:pPr>
            <w:r>
              <w:rPr>
                <w:color w:val="auto"/>
                <w:sz w:val="22"/>
                <w:szCs w:val="22"/>
                <w:highlight w:val="none"/>
              </w:rPr>
              <w:sym w:font="Wingdings 2" w:char="F052"/>
            </w:r>
            <w:r>
              <w:rPr>
                <w:rFonts w:hint="eastAsia"/>
                <w:color w:val="auto"/>
                <w:szCs w:val="21"/>
                <w:highlight w:val="none"/>
              </w:rPr>
              <w:t>无</w:t>
            </w:r>
          </w:p>
          <w:p w14:paraId="6268FBE6">
            <w:pPr>
              <w:spacing w:line="276" w:lineRule="auto"/>
              <w:rPr>
                <w:color w:val="auto"/>
                <w:szCs w:val="21"/>
                <w:highlight w:val="none"/>
                <w:u w:val="single"/>
              </w:rPr>
            </w:pPr>
            <w:r>
              <w:rPr>
                <w:rFonts w:hint="eastAsia"/>
                <w:color w:val="auto"/>
                <w:szCs w:val="21"/>
                <w:highlight w:val="none"/>
              </w:rPr>
              <w:t>□有，详见：</w:t>
            </w:r>
            <w:r>
              <w:rPr>
                <w:rFonts w:hint="eastAsia"/>
                <w:color w:val="auto"/>
                <w:szCs w:val="21"/>
                <w:highlight w:val="none"/>
                <w:u w:val="single"/>
              </w:rPr>
              <w:t xml:space="preserve"> </w:t>
            </w:r>
            <w:r>
              <w:rPr>
                <w:color w:val="auto"/>
                <w:szCs w:val="21"/>
                <w:highlight w:val="none"/>
                <w:u w:val="single"/>
              </w:rPr>
              <w:t xml:space="preserve">            </w:t>
            </w:r>
          </w:p>
        </w:tc>
      </w:tr>
      <w:tr w14:paraId="4FC50B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37" w:type="dxa"/>
            <w:tcBorders>
              <w:top w:val="single" w:color="auto" w:sz="4" w:space="0"/>
              <w:left w:val="single" w:color="auto" w:sz="4" w:space="0"/>
              <w:bottom w:val="single" w:color="auto" w:sz="4" w:space="0"/>
              <w:right w:val="single" w:color="auto" w:sz="4" w:space="0"/>
            </w:tcBorders>
            <w:vAlign w:val="center"/>
          </w:tcPr>
          <w:p w14:paraId="6809E63A">
            <w:pPr>
              <w:spacing w:line="300" w:lineRule="exact"/>
              <w:jc w:val="center"/>
              <w:rPr>
                <w:b/>
                <w:color w:val="auto"/>
                <w:szCs w:val="21"/>
                <w:highlight w:val="none"/>
              </w:rPr>
            </w:pPr>
            <w:r>
              <w:rPr>
                <w:b/>
                <w:color w:val="auto"/>
                <w:szCs w:val="21"/>
                <w:highlight w:val="none"/>
              </w:rPr>
              <w:t>9.4</w:t>
            </w:r>
          </w:p>
        </w:tc>
        <w:tc>
          <w:tcPr>
            <w:tcW w:w="1248" w:type="dxa"/>
            <w:tcBorders>
              <w:top w:val="single" w:color="auto" w:sz="4" w:space="0"/>
              <w:left w:val="single" w:color="auto" w:sz="4" w:space="0"/>
              <w:bottom w:val="single" w:color="auto" w:sz="4" w:space="0"/>
              <w:right w:val="single" w:color="auto" w:sz="4" w:space="0"/>
            </w:tcBorders>
            <w:vAlign w:val="center"/>
          </w:tcPr>
          <w:p w14:paraId="5C0A6FA4">
            <w:pPr>
              <w:spacing w:line="300" w:lineRule="exact"/>
              <w:jc w:val="center"/>
              <w:rPr>
                <w:color w:val="auto"/>
                <w:szCs w:val="20"/>
                <w:highlight w:val="none"/>
              </w:rPr>
            </w:pPr>
            <w:r>
              <w:rPr>
                <w:rFonts w:hint="eastAsia"/>
                <w:color w:val="auto"/>
                <w:szCs w:val="20"/>
                <w:highlight w:val="none"/>
              </w:rPr>
              <w:t>其他事项</w:t>
            </w:r>
          </w:p>
        </w:tc>
        <w:tc>
          <w:tcPr>
            <w:tcW w:w="7229" w:type="dxa"/>
            <w:tcBorders>
              <w:top w:val="single" w:color="auto" w:sz="4" w:space="0"/>
              <w:left w:val="single" w:color="auto" w:sz="4" w:space="0"/>
              <w:bottom w:val="single" w:color="auto" w:sz="4" w:space="0"/>
              <w:right w:val="single" w:color="auto" w:sz="4" w:space="0"/>
            </w:tcBorders>
            <w:vAlign w:val="center"/>
          </w:tcPr>
          <w:p w14:paraId="74D7A3ED">
            <w:pPr>
              <w:spacing w:line="276" w:lineRule="auto"/>
              <w:rPr>
                <w:rFonts w:hint="eastAsia"/>
                <w:color w:val="auto"/>
                <w:szCs w:val="21"/>
                <w:highlight w:val="none"/>
              </w:rPr>
            </w:pPr>
            <w:r>
              <w:rPr>
                <w:rFonts w:hint="eastAsia"/>
                <w:color w:val="auto"/>
                <w:szCs w:val="21"/>
                <w:highlight w:val="none"/>
              </w:rPr>
              <w:t>构成本采购文件的各个组成文件应互为解释，互为说明：</w:t>
            </w:r>
          </w:p>
          <w:p w14:paraId="79CB4AA9">
            <w:pPr>
              <w:spacing w:line="276" w:lineRule="auto"/>
              <w:rPr>
                <w:color w:val="auto"/>
                <w:sz w:val="24"/>
                <w:highlight w:val="none"/>
              </w:rPr>
            </w:pPr>
            <w:r>
              <w:rPr>
                <w:rFonts w:hint="eastAsia"/>
                <w:color w:val="auto"/>
                <w:szCs w:val="21"/>
                <w:highlight w:val="none"/>
              </w:rPr>
              <w:t>除采购文件中有特别规定外，仅适用于招标投标阶段的规定，按更正公告（澄清公告）、磋商公告、采购需求、供应商须知、评审方法及标准、合同条款格式、响应文件格式的先后顺序解释；同一组成文件中就同一事项的规定或者约定不一致的，以编排顺序在后者为准；同一组成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1B84C42A">
      <w:pPr>
        <w:rPr>
          <w:rFonts w:hint="eastAsia"/>
          <w:color w:val="auto"/>
          <w:highlight w:val="none"/>
        </w:rPr>
      </w:pPr>
    </w:p>
    <w:bookmarkEnd w:id="22"/>
    <w:p w14:paraId="7D9A93ED">
      <w:pPr>
        <w:spacing w:before="120" w:line="320" w:lineRule="atLeast"/>
        <w:outlineLvl w:val="1"/>
        <w:rPr>
          <w:b/>
          <w:bCs/>
          <w:color w:val="auto"/>
          <w:kern w:val="0"/>
          <w:szCs w:val="21"/>
          <w:highlight w:val="none"/>
        </w:rPr>
      </w:pPr>
      <w:r>
        <w:rPr>
          <w:color w:val="auto"/>
          <w:szCs w:val="21"/>
          <w:highlight w:val="none"/>
        </w:rPr>
        <w:br w:type="page"/>
      </w:r>
      <w:r>
        <w:rPr>
          <w:b/>
          <w:bCs/>
          <w:color w:val="auto"/>
          <w:kern w:val="0"/>
          <w:szCs w:val="21"/>
          <w:highlight w:val="none"/>
        </w:rPr>
        <w:t>1．总则</w:t>
      </w:r>
    </w:p>
    <w:p w14:paraId="27CAA9B2">
      <w:pPr>
        <w:spacing w:before="120" w:line="320" w:lineRule="atLeast"/>
        <w:ind w:firstLine="422" w:firstLineChars="200"/>
        <w:outlineLvl w:val="2"/>
        <w:rPr>
          <w:b/>
          <w:bCs/>
          <w:color w:val="auto"/>
          <w:kern w:val="0"/>
          <w:szCs w:val="21"/>
          <w:highlight w:val="none"/>
        </w:rPr>
      </w:pPr>
      <w:bookmarkStart w:id="24" w:name="_Toc254970668"/>
      <w:bookmarkStart w:id="25" w:name="_Toc254970527"/>
      <w:r>
        <w:rPr>
          <w:b/>
          <w:bCs/>
          <w:color w:val="auto"/>
          <w:kern w:val="0"/>
          <w:szCs w:val="21"/>
          <w:highlight w:val="none"/>
        </w:rPr>
        <w:t>1.1适用范围</w:t>
      </w:r>
      <w:bookmarkEnd w:id="24"/>
      <w:bookmarkEnd w:id="25"/>
    </w:p>
    <w:p w14:paraId="799CE7E9">
      <w:pPr>
        <w:spacing w:before="120" w:line="320" w:lineRule="atLeast"/>
        <w:ind w:firstLine="420" w:firstLineChars="200"/>
        <w:rPr>
          <w:color w:val="auto"/>
          <w:szCs w:val="21"/>
          <w:highlight w:val="none"/>
        </w:rPr>
      </w:pPr>
      <w:r>
        <w:rPr>
          <w:color w:val="auto"/>
          <w:szCs w:val="21"/>
          <w:highlight w:val="none"/>
        </w:rPr>
        <w:t>本采购文件适用于供应商须知前附表所述项目的</w:t>
      </w:r>
      <w:r>
        <w:rPr>
          <w:rFonts w:hint="eastAsia"/>
          <w:color w:val="auto"/>
          <w:szCs w:val="21"/>
          <w:highlight w:val="none"/>
        </w:rPr>
        <w:t>政府采购活动。</w:t>
      </w:r>
    </w:p>
    <w:p w14:paraId="04AD983C">
      <w:pPr>
        <w:spacing w:before="120" w:line="320" w:lineRule="atLeast"/>
        <w:ind w:firstLine="422" w:firstLineChars="200"/>
        <w:outlineLvl w:val="2"/>
        <w:rPr>
          <w:b/>
          <w:bCs/>
          <w:color w:val="auto"/>
          <w:kern w:val="0"/>
          <w:szCs w:val="21"/>
          <w:highlight w:val="none"/>
        </w:rPr>
      </w:pPr>
      <w:bookmarkStart w:id="26" w:name="_Toc254970669"/>
      <w:bookmarkStart w:id="27" w:name="_Toc254970528"/>
      <w:r>
        <w:rPr>
          <w:b/>
          <w:bCs/>
          <w:color w:val="auto"/>
          <w:kern w:val="0"/>
          <w:szCs w:val="21"/>
          <w:highlight w:val="none"/>
        </w:rPr>
        <w:t>1.2定义</w:t>
      </w:r>
      <w:bookmarkEnd w:id="26"/>
      <w:bookmarkEnd w:id="27"/>
    </w:p>
    <w:p w14:paraId="3EDEC423">
      <w:pPr>
        <w:spacing w:before="120" w:line="320" w:lineRule="atLeast"/>
        <w:ind w:firstLine="420" w:firstLineChars="200"/>
        <w:rPr>
          <w:color w:val="auto"/>
          <w:szCs w:val="21"/>
          <w:highlight w:val="none"/>
        </w:rPr>
      </w:pPr>
      <w:r>
        <w:rPr>
          <w:color w:val="auto"/>
          <w:szCs w:val="21"/>
          <w:highlight w:val="none"/>
        </w:rPr>
        <w:t>1.2.1“采购人”系指依法进行政府采购的国家机关、事业单位、团体组织。</w:t>
      </w:r>
    </w:p>
    <w:p w14:paraId="4F22CD00">
      <w:pPr>
        <w:spacing w:before="120" w:line="320" w:lineRule="atLeast"/>
        <w:ind w:firstLine="420" w:firstLineChars="200"/>
        <w:rPr>
          <w:color w:val="auto"/>
          <w:szCs w:val="21"/>
          <w:highlight w:val="none"/>
        </w:rPr>
      </w:pPr>
      <w:r>
        <w:rPr>
          <w:color w:val="auto"/>
          <w:szCs w:val="21"/>
          <w:highlight w:val="none"/>
        </w:rPr>
        <w:t>1.2.2“供应商”系</w:t>
      </w:r>
      <w:r>
        <w:rPr>
          <w:color w:val="auto"/>
          <w:highlight w:val="none"/>
        </w:rPr>
        <w:t>指响应招标、参加投标竞争的法人、其他组织或者自然人</w:t>
      </w:r>
      <w:r>
        <w:rPr>
          <w:color w:val="auto"/>
          <w:szCs w:val="21"/>
          <w:highlight w:val="none"/>
        </w:rPr>
        <w:t>。</w:t>
      </w:r>
    </w:p>
    <w:p w14:paraId="6C2E0994">
      <w:pPr>
        <w:spacing w:before="120" w:line="360" w:lineRule="auto"/>
        <w:ind w:firstLine="420" w:firstLineChars="200"/>
        <w:rPr>
          <w:rFonts w:hint="eastAsia"/>
          <w:color w:val="auto"/>
          <w:highlight w:val="none"/>
        </w:rPr>
      </w:pPr>
      <w:r>
        <w:rPr>
          <w:rFonts w:hint="eastAsia"/>
          <w:color w:val="auto"/>
          <w:highlight w:val="none"/>
        </w:rPr>
        <w:t>1.2.3</w:t>
      </w:r>
      <w:r>
        <w:rPr>
          <w:color w:val="auto"/>
          <w:highlight w:val="none"/>
        </w:rPr>
        <w:t>本</w:t>
      </w:r>
      <w:r>
        <w:rPr>
          <w:rFonts w:hint="eastAsia"/>
          <w:color w:val="auto"/>
          <w:highlight w:val="none"/>
        </w:rPr>
        <w:t>文件</w:t>
      </w:r>
      <w:r>
        <w:rPr>
          <w:color w:val="auto"/>
          <w:highlight w:val="none"/>
        </w:rPr>
        <w:t>中的</w:t>
      </w:r>
      <w:r>
        <w:rPr>
          <w:rFonts w:hint="eastAsia"/>
          <w:color w:val="auto"/>
          <w:highlight w:val="none"/>
        </w:rPr>
        <w:t>“法定代表人”若无特别说明，当</w:t>
      </w:r>
      <w:r>
        <w:rPr>
          <w:color w:val="auto"/>
          <w:highlight w:val="none"/>
        </w:rPr>
        <w:t>供应商是</w:t>
      </w:r>
      <w:r>
        <w:rPr>
          <w:rFonts w:hint="eastAsia"/>
          <w:color w:val="auto"/>
          <w:highlight w:val="none"/>
        </w:rPr>
        <w:t>企业的，是指企业法人营业执照上的法定代表人；当</w:t>
      </w:r>
      <w:r>
        <w:rPr>
          <w:color w:val="auto"/>
          <w:highlight w:val="none"/>
        </w:rPr>
        <w:t>供应商是</w:t>
      </w:r>
      <w:r>
        <w:rPr>
          <w:rFonts w:hint="eastAsia"/>
          <w:color w:val="auto"/>
          <w:highlight w:val="none"/>
        </w:rPr>
        <w:t>事业单位的，是指事业单位法人证书上的法定代表人；当</w:t>
      </w:r>
      <w:r>
        <w:rPr>
          <w:color w:val="auto"/>
          <w:highlight w:val="none"/>
        </w:rPr>
        <w:t>供应商是</w:t>
      </w:r>
      <w:r>
        <w:rPr>
          <w:rFonts w:hint="eastAsia"/>
          <w:color w:val="auto"/>
          <w:highlight w:val="none"/>
        </w:rPr>
        <w:t>社会团体、民办非企业的，是指法人登记证书中的法定代表人；当</w:t>
      </w:r>
      <w:r>
        <w:rPr>
          <w:color w:val="auto"/>
          <w:highlight w:val="none"/>
        </w:rPr>
        <w:t>供应商是</w:t>
      </w:r>
      <w:r>
        <w:rPr>
          <w:rFonts w:hint="eastAsia"/>
          <w:color w:val="auto"/>
          <w:highlight w:val="none"/>
        </w:rPr>
        <w:t>个体工商户的，是指个体工商户营业执照上的经营者；</w:t>
      </w:r>
      <w:r>
        <w:rPr>
          <w:color w:val="auto"/>
          <w:highlight w:val="none"/>
        </w:rPr>
        <w:t>当供应商是自然人</w:t>
      </w:r>
      <w:r>
        <w:rPr>
          <w:rFonts w:hint="eastAsia"/>
          <w:color w:val="auto"/>
          <w:highlight w:val="none"/>
        </w:rPr>
        <w:t>的，是指参与本项目响应的自然人本人。</w:t>
      </w:r>
      <w:r>
        <w:rPr>
          <w:color w:val="auto"/>
          <w:highlight w:val="none"/>
        </w:rPr>
        <w:br w:type="textWrapping"/>
      </w:r>
      <w:r>
        <w:rPr>
          <w:color w:val="auto"/>
          <w:highlight w:val="none"/>
        </w:rPr>
        <w:t xml:space="preserve">    </w:t>
      </w:r>
      <w:r>
        <w:rPr>
          <w:rFonts w:hint="eastAsia"/>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3554E63F">
      <w:pPr>
        <w:widowControl/>
        <w:spacing w:line="360" w:lineRule="auto"/>
        <w:ind w:firstLine="420" w:firstLineChars="200"/>
        <w:jc w:val="left"/>
        <w:rPr>
          <w:color w:val="auto"/>
          <w:szCs w:val="21"/>
          <w:highlight w:val="none"/>
        </w:rPr>
      </w:pPr>
      <w:r>
        <w:rPr>
          <w:color w:val="auto"/>
          <w:szCs w:val="21"/>
          <w:highlight w:val="none"/>
        </w:rPr>
        <w:t>1.2.</w:t>
      </w:r>
      <w:r>
        <w:rPr>
          <w:rFonts w:hint="eastAsia"/>
          <w:color w:val="auto"/>
          <w:szCs w:val="21"/>
          <w:highlight w:val="none"/>
        </w:rPr>
        <w:t>5</w:t>
      </w:r>
      <w:r>
        <w:rPr>
          <w:color w:val="auto"/>
          <w:szCs w:val="21"/>
          <w:highlight w:val="none"/>
        </w:rPr>
        <w:t>“书面形式”如无特殊规定，</w:t>
      </w:r>
      <w:r>
        <w:rPr>
          <w:rFonts w:hint="eastAsia"/>
          <w:color w:val="auto"/>
          <w:szCs w:val="21"/>
          <w:highlight w:val="none"/>
        </w:rPr>
        <w:t>书面形式是合同书、信件、电报、电传等可以有形地表现所载内容的形式。以电子数据交换、电子邮件等方式能够有形地表现所载内容，并可以随时调取查用的数据电文，视为书面形式。</w:t>
      </w:r>
      <w:r>
        <w:rPr>
          <w:color w:val="auto"/>
          <w:szCs w:val="21"/>
          <w:highlight w:val="none"/>
        </w:rPr>
        <w:t xml:space="preserve">采购文件如有特殊规定，以采购文件规定为准。 </w:t>
      </w:r>
    </w:p>
    <w:p w14:paraId="19C7CA5A">
      <w:pPr>
        <w:spacing w:before="120" w:line="320" w:lineRule="atLeast"/>
        <w:ind w:firstLine="420" w:firstLineChars="200"/>
        <w:rPr>
          <w:color w:val="auto"/>
          <w:szCs w:val="21"/>
          <w:highlight w:val="none"/>
        </w:rPr>
      </w:pPr>
      <w:r>
        <w:rPr>
          <w:color w:val="auto"/>
          <w:szCs w:val="21"/>
          <w:highlight w:val="none"/>
        </w:rPr>
        <w:t>1.2.</w:t>
      </w:r>
      <w:r>
        <w:rPr>
          <w:rFonts w:hint="eastAsia"/>
          <w:color w:val="auto"/>
          <w:szCs w:val="21"/>
          <w:highlight w:val="none"/>
        </w:rPr>
        <w:t>6本项目的技术商务要求重要性分为“▲”（如有）、“#”（如有）和一般无标识指标。▲代表实质性要求指标，</w:t>
      </w:r>
      <w:r>
        <w:rPr>
          <w:rFonts w:hint="eastAsia"/>
          <w:b/>
          <w:bCs/>
          <w:color w:val="auto"/>
          <w:szCs w:val="21"/>
          <w:highlight w:val="none"/>
        </w:rPr>
        <w:t>不满足该指标项将导致响应被否决</w:t>
      </w:r>
      <w:r>
        <w:rPr>
          <w:rFonts w:hint="eastAsia"/>
          <w:color w:val="auto"/>
          <w:szCs w:val="21"/>
          <w:highlight w:val="none"/>
        </w:rPr>
        <w:t>，#代表重要指标，无标识则表示一般指标项。</w:t>
      </w:r>
    </w:p>
    <w:p w14:paraId="6170ACD4">
      <w:pPr>
        <w:spacing w:before="120" w:line="320" w:lineRule="atLeast"/>
        <w:ind w:firstLine="420" w:firstLineChars="200"/>
        <w:rPr>
          <w:color w:val="auto"/>
          <w:szCs w:val="21"/>
          <w:highlight w:val="none"/>
        </w:rPr>
      </w:pPr>
      <w:r>
        <w:rPr>
          <w:color w:val="auto"/>
          <w:szCs w:val="21"/>
          <w:highlight w:val="none"/>
        </w:rPr>
        <w:t>1.2.</w:t>
      </w:r>
      <w:r>
        <w:rPr>
          <w:rFonts w:hint="eastAsia"/>
          <w:color w:val="auto"/>
          <w:szCs w:val="21"/>
          <w:highlight w:val="none"/>
        </w:rPr>
        <w:t>7 本</w:t>
      </w:r>
      <w:r>
        <w:rPr>
          <w:color w:val="auto"/>
          <w:szCs w:val="21"/>
          <w:highlight w:val="none"/>
        </w:rPr>
        <w:t>采购文件</w:t>
      </w:r>
      <w:r>
        <w:rPr>
          <w:rFonts w:hint="eastAsia"/>
          <w:color w:val="auto"/>
          <w:szCs w:val="21"/>
          <w:highlight w:val="none"/>
        </w:rPr>
        <w:t>出现多种选项的条款，以“</w:t>
      </w:r>
      <w:r>
        <w:rPr>
          <w:color w:val="auto"/>
          <w:highlight w:val="none"/>
        </w:rPr>
        <w:sym w:font="Wingdings 2" w:char="F052"/>
      </w:r>
      <w:r>
        <w:rPr>
          <w:rFonts w:hint="eastAsia"/>
          <w:color w:val="auto"/>
          <w:szCs w:val="21"/>
          <w:highlight w:val="none"/>
        </w:rPr>
        <w:t>”表示本条款所选择的方式。</w:t>
      </w:r>
    </w:p>
    <w:p w14:paraId="43B66CFA">
      <w:pPr>
        <w:spacing w:before="120" w:line="320" w:lineRule="atLeast"/>
        <w:ind w:firstLine="420" w:firstLineChars="200"/>
        <w:rPr>
          <w:rFonts w:hint="eastAsia"/>
          <w:color w:val="auto"/>
          <w:szCs w:val="21"/>
          <w:highlight w:val="none"/>
        </w:rPr>
      </w:pPr>
      <w:r>
        <w:rPr>
          <w:rFonts w:hint="eastAsia"/>
          <w:color w:val="auto"/>
          <w:szCs w:val="21"/>
          <w:highlight w:val="none"/>
        </w:rPr>
        <w:t>1.</w:t>
      </w:r>
      <w:r>
        <w:rPr>
          <w:color w:val="auto"/>
          <w:szCs w:val="21"/>
          <w:highlight w:val="none"/>
        </w:rPr>
        <w:t>2</w:t>
      </w:r>
      <w:r>
        <w:rPr>
          <w:rFonts w:hint="eastAsia"/>
          <w:color w:val="auto"/>
          <w:szCs w:val="21"/>
          <w:highlight w:val="none"/>
        </w:rPr>
        <w:t>.</w:t>
      </w:r>
      <w:r>
        <w:rPr>
          <w:color w:val="auto"/>
          <w:szCs w:val="21"/>
          <w:highlight w:val="none"/>
        </w:rPr>
        <w:t>8 “</w:t>
      </w:r>
      <w:r>
        <w:rPr>
          <w:rFonts w:hint="eastAsia"/>
          <w:color w:val="auto"/>
          <w:szCs w:val="21"/>
          <w:highlight w:val="none"/>
        </w:rPr>
        <w:t>电子交易平台</w:t>
      </w:r>
      <w:r>
        <w:rPr>
          <w:color w:val="auto"/>
          <w:szCs w:val="21"/>
          <w:highlight w:val="none"/>
        </w:rPr>
        <w:t>”</w:t>
      </w:r>
      <w:r>
        <w:rPr>
          <w:rFonts w:hint="eastAsia"/>
          <w:color w:val="auto"/>
          <w:szCs w:val="21"/>
          <w:highlight w:val="none"/>
        </w:rPr>
        <w:t>是指以数据电文形式在线完成采购活动的信息平台，本采购文件中也称</w:t>
      </w:r>
      <w:r>
        <w:rPr>
          <w:color w:val="auto"/>
          <w:szCs w:val="21"/>
          <w:highlight w:val="none"/>
        </w:rPr>
        <w:t>“</w:t>
      </w:r>
      <w:r>
        <w:rPr>
          <w:rFonts w:hint="eastAsia"/>
          <w:color w:val="auto"/>
          <w:szCs w:val="21"/>
          <w:highlight w:val="none"/>
        </w:rPr>
        <w:t>广西政府采购云平台</w:t>
      </w:r>
      <w:r>
        <w:rPr>
          <w:color w:val="auto"/>
          <w:szCs w:val="21"/>
          <w:highlight w:val="none"/>
        </w:rPr>
        <w:t>”</w:t>
      </w:r>
      <w:r>
        <w:rPr>
          <w:rFonts w:hint="eastAsia"/>
          <w:color w:val="auto"/>
          <w:szCs w:val="21"/>
          <w:highlight w:val="none"/>
        </w:rPr>
        <w:t>。</w:t>
      </w:r>
    </w:p>
    <w:p w14:paraId="3D6A89EE">
      <w:pPr>
        <w:spacing w:before="120" w:line="320" w:lineRule="atLeast"/>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.3</w:t>
      </w:r>
      <w:r>
        <w:rPr>
          <w:rFonts w:hint="eastAsia"/>
          <w:b/>
          <w:bCs/>
          <w:color w:val="auto"/>
          <w:kern w:val="0"/>
          <w:szCs w:val="21"/>
          <w:highlight w:val="none"/>
        </w:rPr>
        <w:t>项目信息</w:t>
      </w:r>
    </w:p>
    <w:p w14:paraId="7BEDF008">
      <w:pP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.3.1</w:t>
      </w:r>
      <w:r>
        <w:rPr>
          <w:rFonts w:hint="eastAsia"/>
          <w:color w:val="auto"/>
          <w:szCs w:val="21"/>
          <w:highlight w:val="none"/>
        </w:rPr>
        <w:t>项目名称及编号：详见供应商须知前附表</w:t>
      </w:r>
    </w:p>
    <w:p w14:paraId="3851C20C">
      <w:pP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.3.2</w:t>
      </w:r>
      <w:r>
        <w:rPr>
          <w:rFonts w:hint="eastAsia"/>
          <w:color w:val="auto"/>
          <w:szCs w:val="21"/>
          <w:highlight w:val="none"/>
        </w:rPr>
        <w:t>采购方式：详见供应商须知前附表</w:t>
      </w:r>
    </w:p>
    <w:p w14:paraId="40CC044C">
      <w:pPr>
        <w:spacing w:before="120" w:line="320" w:lineRule="atLeast"/>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.4</w:t>
      </w:r>
      <w:r>
        <w:rPr>
          <w:rFonts w:hint="eastAsia"/>
          <w:b/>
          <w:bCs/>
          <w:color w:val="auto"/>
          <w:kern w:val="0"/>
          <w:szCs w:val="21"/>
          <w:highlight w:val="none"/>
        </w:rPr>
        <w:t>促进中小企业发展政策</w:t>
      </w:r>
    </w:p>
    <w:p w14:paraId="14C9C909">
      <w:pPr>
        <w:spacing w:before="120" w:line="320" w:lineRule="atLeast"/>
        <w:ind w:left="2" w:leftChars="1" w:firstLine="420" w:firstLineChars="200"/>
        <w:rPr>
          <w:color w:val="auto"/>
          <w:szCs w:val="21"/>
          <w:highlight w:val="none"/>
        </w:rPr>
      </w:pPr>
      <w:r>
        <w:rPr>
          <w:color w:val="auto"/>
          <w:szCs w:val="21"/>
          <w:highlight w:val="none"/>
        </w:rPr>
        <w:t>1.4.1</w:t>
      </w:r>
      <w:r>
        <w:rPr>
          <w:rFonts w:hint="eastAsia"/>
          <w:color w:val="auto"/>
          <w:szCs w:val="21"/>
          <w:highlight w:val="none"/>
        </w:rPr>
        <w:t>本项目落实促进中小企业发展政策措施在前附表规定。依据促进中小企业发展政策获得政府采购合同的，小微企业不得将合同分包给大中型企业，中型企业不得将合同分包给大型企业。</w:t>
      </w:r>
    </w:p>
    <w:p w14:paraId="7F6C8145">
      <w:pPr>
        <w:spacing w:before="120" w:line="320" w:lineRule="atLeast"/>
        <w:ind w:left="2" w:leftChars="1" w:firstLine="420" w:firstLineChars="200"/>
        <w:rPr>
          <w:color w:val="auto"/>
          <w:szCs w:val="21"/>
          <w:highlight w:val="none"/>
        </w:rPr>
      </w:pPr>
      <w:bookmarkStart w:id="28" w:name="_Hlk92205820"/>
      <w:r>
        <w:rPr>
          <w:rFonts w:hint="eastAsia"/>
          <w:color w:val="auto"/>
          <w:szCs w:val="21"/>
          <w:highlight w:val="none"/>
        </w:rPr>
        <w:t>根 据《政府采购促进中小企业发展管理办法》（财库</w:t>
      </w:r>
      <w:r>
        <w:rPr>
          <w:rFonts w:hint="eastAsia"/>
          <w:color w:val="auto"/>
          <w:szCs w:val="21"/>
          <w:highlight w:val="none"/>
          <w:lang w:eastAsia="zh-CN"/>
        </w:rPr>
        <w:t>〔2020〕46号</w:t>
      </w:r>
      <w:r>
        <w:rPr>
          <w:rFonts w:hint="eastAsia"/>
          <w:color w:val="auto"/>
          <w:szCs w:val="21"/>
          <w:highlight w:val="none"/>
        </w:rPr>
        <w:t>）第九条以及《广西壮族自治区财政厅 广西壮族自治区工业和信息化厅转发财政部 工业和信息化部政府采购促进中小企业发展管理办法的通知》（桂财采</w:t>
      </w:r>
      <w:r>
        <w:rPr>
          <w:rFonts w:hint="eastAsia"/>
          <w:color w:val="auto"/>
          <w:szCs w:val="21"/>
          <w:highlight w:val="none"/>
          <w:lang w:eastAsia="zh-CN"/>
        </w:rPr>
        <w:t>〔2021〕70号</w:t>
      </w:r>
      <w:r>
        <w:rPr>
          <w:rFonts w:hint="eastAsia"/>
          <w:color w:val="auto"/>
          <w:szCs w:val="21"/>
          <w:highlight w:val="none"/>
        </w:rPr>
        <w:t>）规定，价格扣除比例在第四章评审方法及标准中规定，对小型企业和微型企业同等对待，不作区分。</w:t>
      </w:r>
    </w:p>
    <w:p w14:paraId="3F2DD66C">
      <w:pPr>
        <w:spacing w:before="120" w:line="320" w:lineRule="atLeast"/>
        <w:ind w:left="2" w:leftChars="1" w:firstLine="420" w:firstLineChars="200"/>
        <w:rPr>
          <w:color w:val="auto"/>
          <w:szCs w:val="21"/>
          <w:highlight w:val="none"/>
        </w:rPr>
      </w:pPr>
      <w:r>
        <w:rPr>
          <w:color w:val="auto"/>
          <w:szCs w:val="21"/>
          <w:highlight w:val="none"/>
        </w:rPr>
        <w:t>1.4.2</w:t>
      </w:r>
      <w:r>
        <w:rPr>
          <w:rFonts w:hint="eastAsia"/>
          <w:color w:val="auto"/>
          <w:szCs w:val="21"/>
          <w:highlight w:val="none"/>
        </w:rPr>
        <w:t>中小企业定义</w:t>
      </w:r>
    </w:p>
    <w:p w14:paraId="4F397F1F">
      <w:pPr>
        <w:spacing w:before="120" w:line="320" w:lineRule="atLeast"/>
        <w:ind w:firstLine="420" w:firstLineChars="200"/>
        <w:rPr>
          <w:color w:val="auto"/>
          <w:szCs w:val="21"/>
          <w:highlight w:val="none"/>
        </w:rPr>
      </w:pPr>
      <w:r>
        <w:rPr>
          <w:color w:val="auto"/>
          <w:szCs w:val="21"/>
          <w:highlight w:val="none"/>
        </w:rPr>
        <w:t>1.4.2.1</w:t>
      </w:r>
      <w:r>
        <w:rPr>
          <w:rFonts w:hint="eastAsia"/>
          <w:color w:val="auto"/>
          <w:szCs w:val="21"/>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41E74FCD">
      <w:pPr>
        <w:spacing w:before="120" w:line="320" w:lineRule="atLeast"/>
        <w:ind w:left="2" w:leftChars="1" w:firstLine="420" w:firstLineChars="200"/>
        <w:rPr>
          <w:color w:val="auto"/>
          <w:szCs w:val="21"/>
          <w:highlight w:val="none"/>
        </w:rPr>
      </w:pPr>
      <w:r>
        <w:rPr>
          <w:color w:val="auto"/>
          <w:szCs w:val="21"/>
          <w:highlight w:val="none"/>
        </w:rPr>
        <w:t>1.4.2.2</w:t>
      </w:r>
      <w:r>
        <w:rPr>
          <w:rFonts w:hint="eastAsia"/>
          <w:color w:val="auto"/>
          <w:szCs w:val="21"/>
          <w:highlight w:val="none"/>
        </w:rPr>
        <w:t>供应商提供的货物、工程或者服务符合下列情形的，享受本款规定的促进中小企业发展政策：</w:t>
      </w:r>
    </w:p>
    <w:p w14:paraId="29882607">
      <w:pPr>
        <w:spacing w:before="120" w:line="320" w:lineRule="atLeast"/>
        <w:ind w:left="2" w:leftChars="1" w:firstLine="420" w:firstLineChars="200"/>
        <w:rPr>
          <w:color w:val="auto"/>
          <w:szCs w:val="21"/>
          <w:highlight w:val="none"/>
        </w:rPr>
      </w:pPr>
      <w:r>
        <w:rPr>
          <w:rFonts w:hint="eastAsia"/>
          <w:color w:val="auto"/>
          <w:szCs w:val="21"/>
          <w:highlight w:val="none"/>
        </w:rPr>
        <w:t>在货物采购项目中，货物由中小企业制造，即货物由中小企业生产且使用该中小企业商号或者注册商标；</w:t>
      </w:r>
    </w:p>
    <w:p w14:paraId="0B930E8B">
      <w:pPr>
        <w:spacing w:before="120" w:line="320" w:lineRule="atLeast"/>
        <w:ind w:left="2" w:leftChars="1" w:firstLine="420" w:firstLineChars="200"/>
        <w:rPr>
          <w:color w:val="auto"/>
          <w:szCs w:val="21"/>
          <w:highlight w:val="none"/>
        </w:rPr>
      </w:pPr>
      <w:r>
        <w:rPr>
          <w:rFonts w:hint="eastAsia"/>
          <w:color w:val="auto"/>
          <w:szCs w:val="21"/>
          <w:highlight w:val="none"/>
        </w:rPr>
        <w:t>在工程采购项目中，工程由中小企业承建，即工程施工单位为中小企业；</w:t>
      </w:r>
    </w:p>
    <w:p w14:paraId="2EF3D36F">
      <w:pPr>
        <w:spacing w:before="120" w:line="320" w:lineRule="atLeast"/>
        <w:ind w:left="2" w:leftChars="1" w:firstLine="420" w:firstLineChars="200"/>
        <w:rPr>
          <w:color w:val="auto"/>
          <w:szCs w:val="21"/>
          <w:highlight w:val="none"/>
        </w:rPr>
      </w:pPr>
      <w:r>
        <w:rPr>
          <w:rFonts w:hint="eastAsia"/>
          <w:color w:val="auto"/>
          <w:szCs w:val="21"/>
          <w:highlight w:val="none"/>
        </w:rPr>
        <w:t>在服务采购项目中，服务由中小企业承接，即提供服务的人员为中小企业依照《中华人民共和国劳动合同法》订立劳动合同的从业人员。</w:t>
      </w:r>
    </w:p>
    <w:p w14:paraId="0D687794">
      <w:pPr>
        <w:spacing w:before="120" w:line="320" w:lineRule="atLeast"/>
        <w:ind w:left="2" w:leftChars="1" w:firstLine="420" w:firstLineChars="200"/>
        <w:rPr>
          <w:color w:val="auto"/>
          <w:szCs w:val="21"/>
          <w:highlight w:val="none"/>
        </w:rPr>
      </w:pPr>
      <w:r>
        <w:rPr>
          <w:rFonts w:hint="eastAsia"/>
          <w:color w:val="auto"/>
          <w:szCs w:val="21"/>
          <w:highlight w:val="none"/>
        </w:rPr>
        <w:t>在货物采购项目中，供应商提供的货物既有中小企业制造货物，也有大型企业制造货物的，不享受本款规定的促进中小企业发展政策。</w:t>
      </w:r>
    </w:p>
    <w:p w14:paraId="004CA46C">
      <w:pPr>
        <w:spacing w:before="120" w:line="320" w:lineRule="atLeast"/>
        <w:ind w:firstLine="420" w:firstLineChars="200"/>
        <w:rPr>
          <w:color w:val="auto"/>
          <w:szCs w:val="21"/>
          <w:highlight w:val="none"/>
        </w:rPr>
      </w:pPr>
      <w:r>
        <w:rPr>
          <w:color w:val="auto"/>
          <w:szCs w:val="21"/>
          <w:highlight w:val="none"/>
        </w:rPr>
        <w:t>1.4.2</w:t>
      </w:r>
      <w:r>
        <w:rPr>
          <w:rFonts w:hint="eastAsia"/>
          <w:color w:val="auto"/>
          <w:szCs w:val="21"/>
          <w:highlight w:val="none"/>
        </w:rPr>
        <w:t>.</w:t>
      </w:r>
      <w:r>
        <w:rPr>
          <w:color w:val="auto"/>
          <w:szCs w:val="21"/>
          <w:highlight w:val="none"/>
        </w:rPr>
        <w:t>3</w:t>
      </w:r>
      <w:r>
        <w:rPr>
          <w:rFonts w:hint="eastAsia"/>
          <w:color w:val="auto"/>
          <w:szCs w:val="21"/>
          <w:highlight w:val="none"/>
        </w:rPr>
        <w:t>本项目标的所属行业在第二章采购需求中规定。供应商根据中小企业划分标准（《关于印发中小企业划型标准规定的通知》（工信部联企业〔2011〕300号）判断是否为中小企业。（见附件）</w:t>
      </w:r>
    </w:p>
    <w:p w14:paraId="446FA06E">
      <w:pPr>
        <w:spacing w:before="120" w:line="320" w:lineRule="atLeast"/>
        <w:ind w:firstLine="420" w:firstLineChars="200"/>
        <w:rPr>
          <w:color w:val="auto"/>
          <w:szCs w:val="21"/>
          <w:highlight w:val="none"/>
        </w:rPr>
      </w:pPr>
      <w:r>
        <w:rPr>
          <w:rFonts w:hint="eastAsia"/>
          <w:color w:val="auto"/>
          <w:szCs w:val="21"/>
          <w:highlight w:val="none"/>
        </w:rPr>
        <w:t>符合条件的货物制造商、工程施工单位、服务承接单位为中小企业的，应按采购文件规定在响应文件中提供声明函。</w:t>
      </w:r>
    </w:p>
    <w:p w14:paraId="354BDB1B">
      <w:pPr>
        <w:spacing w:before="120" w:line="320" w:lineRule="atLeast"/>
        <w:ind w:firstLine="420" w:firstLineChars="200"/>
        <w:rPr>
          <w:color w:val="auto"/>
          <w:szCs w:val="21"/>
          <w:highlight w:val="none"/>
        </w:rPr>
      </w:pPr>
      <w:r>
        <w:rPr>
          <w:color w:val="auto"/>
          <w:szCs w:val="21"/>
          <w:highlight w:val="none"/>
        </w:rPr>
        <w:t>1.4</w:t>
      </w:r>
      <w:r>
        <w:rPr>
          <w:rFonts w:hint="eastAsia"/>
          <w:color w:val="auto"/>
          <w:szCs w:val="21"/>
          <w:highlight w:val="none"/>
        </w:rPr>
        <w:t>.</w:t>
      </w:r>
      <w:r>
        <w:rPr>
          <w:color w:val="auto"/>
          <w:szCs w:val="21"/>
          <w:highlight w:val="none"/>
        </w:rPr>
        <w:t>2</w:t>
      </w:r>
      <w:r>
        <w:rPr>
          <w:rFonts w:hint="eastAsia"/>
          <w:color w:val="auto"/>
          <w:szCs w:val="21"/>
          <w:highlight w:val="none"/>
        </w:rPr>
        <w:t>.</w:t>
      </w:r>
      <w:r>
        <w:rPr>
          <w:color w:val="auto"/>
          <w:szCs w:val="21"/>
          <w:highlight w:val="none"/>
        </w:rPr>
        <w:t>4</w:t>
      </w:r>
      <w:r>
        <w:rPr>
          <w:rFonts w:hint="eastAsia"/>
          <w:color w:val="auto"/>
          <w:szCs w:val="21"/>
          <w:highlight w:val="none"/>
        </w:rPr>
        <w:t>视同中小企业情形</w:t>
      </w:r>
    </w:p>
    <w:p w14:paraId="2462B6B2">
      <w:pPr>
        <w:spacing w:before="120" w:line="320" w:lineRule="atLeast"/>
        <w:ind w:firstLine="420" w:firstLineChars="200"/>
        <w:rPr>
          <w:color w:val="auto"/>
          <w:szCs w:val="21"/>
          <w:highlight w:val="none"/>
        </w:rPr>
      </w:pPr>
      <w:r>
        <w:rPr>
          <w:rFonts w:hint="eastAsia"/>
          <w:color w:val="auto"/>
          <w:szCs w:val="21"/>
          <w:highlight w:val="none"/>
        </w:rPr>
        <w:t>（1）符合中小企业划分标准的个体工商户，视同中小企业。</w:t>
      </w:r>
    </w:p>
    <w:p w14:paraId="211480E8">
      <w:pPr>
        <w:spacing w:before="120" w:line="320" w:lineRule="atLeast"/>
        <w:ind w:firstLine="420" w:firstLineChars="200"/>
        <w:rPr>
          <w:color w:val="auto"/>
          <w:szCs w:val="21"/>
          <w:highlight w:val="none"/>
        </w:rPr>
      </w:pPr>
      <w:r>
        <w:rPr>
          <w:rFonts w:hint="eastAsia"/>
          <w:color w:val="auto"/>
          <w:szCs w:val="21"/>
          <w:highlight w:val="none"/>
        </w:rPr>
        <w:t>（2）以联合体形式参加政府采购活动，联合体各方均为中小企业的，联合体视同中小企业。其中，联合体各方均为小微企业的，联合体视同小微企业。</w:t>
      </w:r>
    </w:p>
    <w:p w14:paraId="3C2AA4C9">
      <w:pPr>
        <w:spacing w:before="120" w:line="320" w:lineRule="atLeast"/>
        <w:ind w:firstLine="420" w:firstLineChars="200"/>
        <w:rPr>
          <w:color w:val="auto"/>
          <w:szCs w:val="21"/>
          <w:highlight w:val="none"/>
        </w:rPr>
      </w:pPr>
      <w:r>
        <w:rPr>
          <w:rFonts w:hint="eastAsia"/>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2D892B2B">
      <w:pPr>
        <w:spacing w:before="120" w:line="320" w:lineRule="atLeast"/>
        <w:ind w:left="2" w:leftChars="1" w:firstLine="420" w:firstLineChars="200"/>
        <w:rPr>
          <w:rFonts w:hint="eastAsia"/>
          <w:color w:val="auto"/>
          <w:szCs w:val="21"/>
          <w:highlight w:val="none"/>
        </w:rPr>
      </w:pPr>
      <w:r>
        <w:rPr>
          <w:rFonts w:hint="eastAsia"/>
          <w:color w:val="auto"/>
          <w:szCs w:val="21"/>
          <w:highlight w:val="none"/>
        </w:rPr>
        <w:t>符合条件的货物制造商、工程施工单位、服务承接单位为监狱企业或残疾人福利性单位的，应按采购文件规定在响应文件中提供相关证明文件。</w:t>
      </w:r>
      <w:bookmarkEnd w:id="28"/>
    </w:p>
    <w:p w14:paraId="3697F1FC">
      <w:pPr>
        <w:spacing w:before="120" w:line="320" w:lineRule="atLeast"/>
        <w:ind w:firstLine="422" w:firstLineChars="200"/>
        <w:outlineLvl w:val="2"/>
        <w:rPr>
          <w:b/>
          <w:bCs/>
          <w:color w:val="auto"/>
          <w:kern w:val="0"/>
          <w:szCs w:val="21"/>
          <w:highlight w:val="none"/>
        </w:rPr>
      </w:pPr>
      <w:r>
        <w:rPr>
          <w:b/>
          <w:bCs/>
          <w:color w:val="auto"/>
          <w:kern w:val="0"/>
          <w:szCs w:val="21"/>
          <w:highlight w:val="none"/>
        </w:rPr>
        <w:t>1.5供应商资格</w:t>
      </w:r>
      <w:r>
        <w:rPr>
          <w:rFonts w:hint="eastAsia"/>
          <w:b/>
          <w:bCs/>
          <w:color w:val="auto"/>
          <w:kern w:val="0"/>
          <w:szCs w:val="21"/>
          <w:highlight w:val="none"/>
        </w:rPr>
        <w:t>要求</w:t>
      </w:r>
    </w:p>
    <w:p w14:paraId="5B2526E8">
      <w:pPr>
        <w:spacing w:before="120" w:line="320" w:lineRule="atLeast"/>
        <w:ind w:firstLine="420" w:firstLineChars="200"/>
        <w:rPr>
          <w:color w:val="auto"/>
          <w:szCs w:val="21"/>
          <w:highlight w:val="none"/>
        </w:rPr>
      </w:pPr>
      <w:r>
        <w:rPr>
          <w:color w:val="auto"/>
          <w:szCs w:val="21"/>
          <w:highlight w:val="none"/>
        </w:rPr>
        <w:t>1.5.1</w:t>
      </w:r>
      <w:r>
        <w:rPr>
          <w:rFonts w:hint="eastAsia"/>
          <w:color w:val="auto"/>
          <w:szCs w:val="21"/>
          <w:highlight w:val="none"/>
        </w:rPr>
        <w:t>供应商资格要求：详见供应商须知前附表</w:t>
      </w:r>
    </w:p>
    <w:p w14:paraId="7F99D8C7">
      <w:pPr>
        <w:spacing w:before="120" w:line="320" w:lineRule="atLeast"/>
        <w:ind w:firstLine="420" w:firstLineChars="200"/>
        <w:rPr>
          <w:color w:val="auto"/>
          <w:szCs w:val="21"/>
          <w:highlight w:val="none"/>
        </w:rPr>
      </w:pPr>
      <w:r>
        <w:rPr>
          <w:color w:val="auto"/>
          <w:szCs w:val="21"/>
          <w:highlight w:val="none"/>
        </w:rPr>
        <w:t>1.5.2按照磋商公告的规定获得采购文件。</w:t>
      </w:r>
    </w:p>
    <w:p w14:paraId="7282FDA4">
      <w:pPr>
        <w:spacing w:before="120" w:line="320" w:lineRule="atLeast"/>
        <w:ind w:firstLine="420" w:firstLineChars="200"/>
        <w:rPr>
          <w:color w:val="auto"/>
          <w:szCs w:val="21"/>
          <w:highlight w:val="none"/>
        </w:rPr>
      </w:pPr>
      <w:r>
        <w:rPr>
          <w:color w:val="auto"/>
          <w:szCs w:val="21"/>
          <w:highlight w:val="none"/>
        </w:rPr>
        <w:t>1.5.3本项目是否接受联合体响应，见“供应商须知前附表”规定。</w:t>
      </w:r>
    </w:p>
    <w:p w14:paraId="05923B18">
      <w:pPr>
        <w:spacing w:before="120" w:line="320" w:lineRule="atLeast"/>
        <w:ind w:firstLine="420" w:firstLineChars="200"/>
        <w:rPr>
          <w:color w:val="auto"/>
          <w:szCs w:val="21"/>
          <w:highlight w:val="none"/>
        </w:rPr>
      </w:pPr>
      <w:r>
        <w:rPr>
          <w:rFonts w:hint="eastAsia"/>
          <w:color w:val="auto"/>
          <w:szCs w:val="21"/>
          <w:highlight w:val="none"/>
        </w:rPr>
        <w:t xml:space="preserve">如接受联合体响应，联合体响应要求如下： </w:t>
      </w:r>
    </w:p>
    <w:p w14:paraId="22F0C5F7">
      <w:pPr>
        <w:spacing w:before="120" w:line="320" w:lineRule="atLeast"/>
        <w:ind w:firstLine="420" w:firstLineChars="200"/>
        <w:rPr>
          <w:color w:val="auto"/>
          <w:szCs w:val="21"/>
          <w:highlight w:val="none"/>
        </w:rPr>
      </w:pPr>
      <w:r>
        <w:rPr>
          <w:rFonts w:hint="eastAsia"/>
          <w:color w:val="auto"/>
          <w:szCs w:val="21"/>
          <w:highlight w:val="none"/>
        </w:rPr>
        <w:t>（1）供应商可以组成一个响应联合体，以一个供应商的身份共同参加响应。联合体响应的，须提供《联合体协议书》（格式后附）</w:t>
      </w:r>
    </w:p>
    <w:p w14:paraId="2BB69DEC">
      <w:pPr>
        <w:spacing w:before="120" w:line="320" w:lineRule="atLeast"/>
        <w:ind w:firstLine="420" w:firstLineChars="200"/>
        <w:rPr>
          <w:color w:val="auto"/>
          <w:szCs w:val="21"/>
          <w:highlight w:val="none"/>
        </w:rPr>
      </w:pPr>
      <w:r>
        <w:rPr>
          <w:rFonts w:hint="eastAsia"/>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437D80FF">
      <w:pPr>
        <w:spacing w:before="120" w:line="320" w:lineRule="atLeast"/>
        <w:ind w:firstLine="420" w:firstLineChars="200"/>
        <w:rPr>
          <w:color w:val="auto"/>
          <w:szCs w:val="21"/>
          <w:highlight w:val="none"/>
        </w:rPr>
      </w:pPr>
      <w:r>
        <w:rPr>
          <w:rFonts w:hint="eastAsia"/>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68F50281">
      <w:pPr>
        <w:spacing w:before="120" w:line="320" w:lineRule="atLeast"/>
        <w:ind w:firstLine="420" w:firstLineChars="200"/>
        <w:rPr>
          <w:color w:val="auto"/>
          <w:szCs w:val="21"/>
          <w:highlight w:val="none"/>
        </w:rPr>
      </w:pPr>
      <w:r>
        <w:rPr>
          <w:rFonts w:hint="eastAsia"/>
          <w:color w:val="auto"/>
          <w:szCs w:val="21"/>
          <w:highlight w:val="none"/>
        </w:rPr>
        <w:t>（4）以联合体形式参加政府采购活动的，联合体各方不得再单独参加或者与其他供应商另外组成联合体参加同一合同项下的政府采购活动。</w:t>
      </w:r>
    </w:p>
    <w:p w14:paraId="19590B9E">
      <w:pPr>
        <w:spacing w:before="120" w:line="320" w:lineRule="atLeast"/>
        <w:ind w:firstLine="420" w:firstLineChars="200"/>
        <w:rPr>
          <w:color w:val="auto"/>
          <w:szCs w:val="21"/>
          <w:highlight w:val="none"/>
        </w:rPr>
      </w:pPr>
      <w:r>
        <w:rPr>
          <w:rFonts w:hint="eastAsia"/>
          <w:color w:val="auto"/>
          <w:szCs w:val="21"/>
          <w:highlight w:val="none"/>
        </w:rPr>
        <w:t>（5）联合体中有同类资质的供应商按照联合体分工承担相同工作的，应当按照资质等级较低的供应商确定资质等级。</w:t>
      </w:r>
    </w:p>
    <w:p w14:paraId="01610D67">
      <w:pPr>
        <w:spacing w:before="120" w:line="320" w:lineRule="atLeast"/>
        <w:ind w:firstLine="420" w:firstLineChars="200"/>
        <w:rPr>
          <w:color w:val="auto"/>
          <w:szCs w:val="21"/>
          <w:highlight w:val="none"/>
        </w:rPr>
      </w:pPr>
      <w:r>
        <w:rPr>
          <w:rFonts w:hint="eastAsia"/>
          <w:color w:val="auto"/>
          <w:szCs w:val="21"/>
          <w:highlight w:val="none"/>
        </w:rPr>
        <w:t>（6）联合体响应业绩、履约能力按照联合体各方其中较高的一方认定并计算（采购文件其他章节另有规定的除外）。</w:t>
      </w:r>
    </w:p>
    <w:p w14:paraId="3B337482">
      <w:pPr>
        <w:spacing w:before="120" w:line="320" w:lineRule="atLeast"/>
        <w:ind w:firstLine="420" w:firstLineChars="200"/>
        <w:rPr>
          <w:color w:val="auto"/>
          <w:szCs w:val="21"/>
          <w:highlight w:val="none"/>
        </w:rPr>
      </w:pPr>
      <w:r>
        <w:rPr>
          <w:rFonts w:hint="eastAsia"/>
          <w:color w:val="auto"/>
          <w:szCs w:val="21"/>
          <w:highlight w:val="none"/>
        </w:rPr>
        <w:t>（7）供应商为联合体的，可以由联合体中的一方或者多方共同交纳磋商保证金，其交纳的保证金对联合体各方均具有约束力。</w:t>
      </w:r>
    </w:p>
    <w:p w14:paraId="689EE581">
      <w:pPr>
        <w:spacing w:before="120" w:line="320" w:lineRule="atLeast"/>
        <w:ind w:firstLine="420" w:firstLineChars="200"/>
        <w:rPr>
          <w:color w:val="auto"/>
          <w:szCs w:val="21"/>
          <w:highlight w:val="none"/>
        </w:rPr>
      </w:pPr>
      <w:r>
        <w:rPr>
          <w:rFonts w:hint="eastAsia"/>
          <w:color w:val="auto"/>
          <w:szCs w:val="21"/>
          <w:highlight w:val="none"/>
        </w:rPr>
        <w:t>（8）联合体各方均应按照采购文件的规定提交资格证明文件。</w:t>
      </w:r>
    </w:p>
    <w:p w14:paraId="30DA6052">
      <w:pPr>
        <w:spacing w:before="120" w:line="320" w:lineRule="atLeast"/>
        <w:ind w:firstLine="422" w:firstLineChars="200"/>
        <w:outlineLvl w:val="2"/>
        <w:rPr>
          <w:b/>
          <w:bCs/>
          <w:color w:val="auto"/>
          <w:kern w:val="0"/>
          <w:szCs w:val="21"/>
          <w:highlight w:val="none"/>
        </w:rPr>
      </w:pPr>
      <w:bookmarkStart w:id="29" w:name="_Toc254970531"/>
      <w:bookmarkStart w:id="30" w:name="_Toc254970672"/>
      <w:r>
        <w:rPr>
          <w:b/>
          <w:bCs/>
          <w:color w:val="auto"/>
          <w:kern w:val="0"/>
          <w:szCs w:val="21"/>
          <w:highlight w:val="none"/>
        </w:rPr>
        <w:t>1.6现场踏勘及响应费用</w:t>
      </w:r>
      <w:bookmarkEnd w:id="29"/>
      <w:bookmarkEnd w:id="30"/>
    </w:p>
    <w:p w14:paraId="15308930">
      <w:pPr>
        <w:spacing w:before="120" w:line="320" w:lineRule="atLeast"/>
        <w:ind w:firstLine="420" w:firstLineChars="200"/>
        <w:rPr>
          <w:color w:val="auto"/>
          <w:szCs w:val="21"/>
          <w:highlight w:val="none"/>
        </w:rPr>
      </w:pPr>
      <w:r>
        <w:rPr>
          <w:color w:val="auto"/>
          <w:szCs w:val="21"/>
          <w:highlight w:val="none"/>
        </w:rPr>
        <w:t>1.6.1前附表如规定现场踏勘的，供应商应按规定时间地点参加踏勘。</w:t>
      </w:r>
    </w:p>
    <w:p w14:paraId="06B32491">
      <w:pPr>
        <w:spacing w:before="120" w:line="320" w:lineRule="atLeast"/>
        <w:ind w:firstLine="420" w:firstLineChars="200"/>
        <w:rPr>
          <w:color w:val="auto"/>
          <w:szCs w:val="21"/>
          <w:highlight w:val="none"/>
        </w:rPr>
      </w:pPr>
      <w:r>
        <w:rPr>
          <w:color w:val="auto"/>
          <w:szCs w:val="21"/>
          <w:highlight w:val="none"/>
        </w:rPr>
        <w:t>1.6.2供应商均应自行承担所有与响应有关的全部费用（采购文件有相关的规定除外）。</w:t>
      </w:r>
    </w:p>
    <w:p w14:paraId="368BA929">
      <w:pPr>
        <w:spacing w:before="120" w:line="320" w:lineRule="atLeast"/>
        <w:ind w:firstLine="422" w:firstLineChars="200"/>
        <w:outlineLvl w:val="2"/>
        <w:rPr>
          <w:b/>
          <w:bCs/>
          <w:color w:val="auto"/>
          <w:kern w:val="0"/>
          <w:szCs w:val="21"/>
          <w:highlight w:val="none"/>
        </w:rPr>
      </w:pPr>
      <w:r>
        <w:rPr>
          <w:b/>
          <w:bCs/>
          <w:color w:val="auto"/>
          <w:kern w:val="0"/>
          <w:szCs w:val="21"/>
          <w:highlight w:val="none"/>
        </w:rPr>
        <w:t>1.7转包与分包</w:t>
      </w:r>
    </w:p>
    <w:p w14:paraId="0980F65C">
      <w:pPr>
        <w:spacing w:before="120" w:line="320" w:lineRule="atLeast"/>
        <w:ind w:firstLine="420" w:firstLineChars="200"/>
        <w:rPr>
          <w:color w:val="auto"/>
          <w:szCs w:val="21"/>
          <w:highlight w:val="none"/>
        </w:rPr>
      </w:pPr>
      <w:r>
        <w:rPr>
          <w:color w:val="auto"/>
          <w:szCs w:val="21"/>
          <w:highlight w:val="none"/>
        </w:rPr>
        <w:t>1.7.1如</w:t>
      </w:r>
      <w:r>
        <w:rPr>
          <w:rFonts w:hint="eastAsia"/>
          <w:color w:val="auto"/>
          <w:szCs w:val="21"/>
          <w:highlight w:val="none"/>
        </w:rPr>
        <w:t>采购文件</w:t>
      </w:r>
      <w:r>
        <w:rPr>
          <w:color w:val="auto"/>
          <w:szCs w:val="21"/>
          <w:highlight w:val="none"/>
        </w:rPr>
        <w:t>其他地方无特别规定</w:t>
      </w:r>
      <w:r>
        <w:rPr>
          <w:rFonts w:hint="eastAsia"/>
          <w:color w:val="auto"/>
          <w:szCs w:val="21"/>
          <w:highlight w:val="none"/>
        </w:rPr>
        <w:t>，</w:t>
      </w:r>
      <w:r>
        <w:rPr>
          <w:color w:val="auto"/>
          <w:szCs w:val="21"/>
          <w:highlight w:val="none"/>
        </w:rPr>
        <w:t>本项目不允许转包。</w:t>
      </w:r>
    </w:p>
    <w:p w14:paraId="5D303CE1">
      <w:pPr>
        <w:spacing w:before="120" w:line="320" w:lineRule="atLeast"/>
        <w:ind w:firstLine="420" w:firstLineChars="200"/>
        <w:rPr>
          <w:color w:val="auto"/>
          <w:szCs w:val="21"/>
          <w:highlight w:val="none"/>
        </w:rPr>
      </w:pPr>
      <w:r>
        <w:rPr>
          <w:color w:val="auto"/>
          <w:szCs w:val="21"/>
          <w:highlight w:val="none"/>
        </w:rPr>
        <w:t>1.7.2</w:t>
      </w:r>
      <w:r>
        <w:rPr>
          <w:rFonts w:hint="eastAsia"/>
          <w:color w:val="auto"/>
          <w:szCs w:val="21"/>
          <w:highlight w:val="none"/>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31C4D1EA">
      <w:pPr>
        <w:spacing w:before="120" w:line="276" w:lineRule="auto"/>
        <w:ind w:firstLine="422" w:firstLineChars="200"/>
        <w:outlineLvl w:val="2"/>
        <w:rPr>
          <w:b/>
          <w:bCs/>
          <w:color w:val="auto"/>
          <w:kern w:val="0"/>
          <w:szCs w:val="21"/>
          <w:highlight w:val="none"/>
        </w:rPr>
      </w:pPr>
      <w:bookmarkStart w:id="31" w:name="_Toc254970673"/>
      <w:bookmarkStart w:id="32" w:name="_Toc254970532"/>
      <w:r>
        <w:rPr>
          <w:b/>
          <w:bCs/>
          <w:color w:val="auto"/>
          <w:kern w:val="0"/>
          <w:szCs w:val="21"/>
          <w:highlight w:val="none"/>
        </w:rPr>
        <w:t>1.8特别说明</w:t>
      </w:r>
      <w:bookmarkEnd w:id="31"/>
      <w:bookmarkEnd w:id="32"/>
    </w:p>
    <w:p w14:paraId="77514E61">
      <w:pPr>
        <w:spacing w:line="276" w:lineRule="auto"/>
        <w:ind w:firstLine="420" w:firstLineChars="200"/>
        <w:rPr>
          <w:color w:val="auto"/>
          <w:szCs w:val="21"/>
          <w:highlight w:val="none"/>
        </w:rPr>
      </w:pPr>
      <w:r>
        <w:rPr>
          <w:color w:val="auto"/>
          <w:szCs w:val="21"/>
          <w:highlight w:val="none"/>
        </w:rPr>
        <w:t>1.8.1 供应商应保证其提供的联系方式（电话、传真、电子邮件）有效，以保证往来函件（澄清、修改等）能及时通知供应商，并能及时反馈，否则采购人</w:t>
      </w:r>
      <w:r>
        <w:rPr>
          <w:rFonts w:hint="eastAsia"/>
          <w:color w:val="auto"/>
          <w:szCs w:val="21"/>
          <w:highlight w:val="none"/>
        </w:rPr>
        <w:t>及代理机构</w:t>
      </w:r>
      <w:r>
        <w:rPr>
          <w:color w:val="auto"/>
          <w:szCs w:val="21"/>
          <w:highlight w:val="none"/>
        </w:rPr>
        <w:t>不承担由此引起的一切后果。</w:t>
      </w:r>
    </w:p>
    <w:p w14:paraId="132290F2">
      <w:pPr>
        <w:spacing w:before="120" w:line="320" w:lineRule="atLeast"/>
        <w:ind w:firstLine="420" w:firstLineChars="200"/>
        <w:rPr>
          <w:color w:val="auto"/>
          <w:szCs w:val="21"/>
          <w:highlight w:val="none"/>
        </w:rPr>
      </w:pPr>
      <w:r>
        <w:rPr>
          <w:color w:val="auto"/>
          <w:szCs w:val="21"/>
          <w:highlight w:val="none"/>
        </w:rPr>
        <w:t>1.8.2供应商应仔细阅读采购文件的所有内容，按照采购文件的要求提交响应文件，并对所提供的全部资料的真实性承担法律责任。</w:t>
      </w:r>
    </w:p>
    <w:p w14:paraId="40F47C2A">
      <w:pPr>
        <w:spacing w:before="120" w:line="360" w:lineRule="auto"/>
        <w:ind w:firstLine="420" w:firstLineChars="200"/>
        <w:rPr>
          <w:color w:val="auto"/>
          <w:szCs w:val="21"/>
          <w:highlight w:val="none"/>
        </w:rPr>
      </w:pPr>
      <w:r>
        <w:rPr>
          <w:color w:val="auto"/>
          <w:szCs w:val="21"/>
          <w:highlight w:val="none"/>
        </w:rPr>
        <w:t>1.8.3供应商在响应活动中提供任何虚假材料，</w:t>
      </w:r>
      <w:r>
        <w:rPr>
          <w:rFonts w:hint="eastAsia"/>
          <w:color w:val="auto"/>
          <w:szCs w:val="21"/>
          <w:highlight w:val="none"/>
        </w:rPr>
        <w:t>将</w:t>
      </w:r>
      <w:r>
        <w:rPr>
          <w:color w:val="auto"/>
          <w:szCs w:val="21"/>
          <w:highlight w:val="none"/>
        </w:rPr>
        <w:t xml:space="preserve">报监管部门查处； </w:t>
      </w:r>
    </w:p>
    <w:p w14:paraId="430A412B">
      <w:pPr>
        <w:spacing w:before="120" w:line="276" w:lineRule="auto"/>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w:t>
      </w:r>
      <w:r>
        <w:rPr>
          <w:rFonts w:hint="eastAsia"/>
          <w:b/>
          <w:bCs/>
          <w:color w:val="auto"/>
          <w:kern w:val="0"/>
          <w:szCs w:val="21"/>
          <w:highlight w:val="none"/>
          <w:lang w:val="en-US" w:eastAsia="zh-CN"/>
        </w:rPr>
        <w:t xml:space="preserve">9 </w:t>
      </w:r>
      <w:r>
        <w:rPr>
          <w:rFonts w:hint="eastAsia"/>
          <w:b/>
          <w:bCs/>
          <w:color w:val="auto"/>
          <w:kern w:val="0"/>
          <w:szCs w:val="21"/>
          <w:highlight w:val="none"/>
        </w:rPr>
        <w:t>对本国产品的支持政策</w:t>
      </w:r>
    </w:p>
    <w:p w14:paraId="658BEA8E">
      <w:pPr>
        <w:spacing w:before="120" w:line="360" w:lineRule="auto"/>
        <w:ind w:left="819" w:leftChars="190" w:hanging="420" w:hangingChars="200"/>
        <w:rPr>
          <w:rFonts w:hint="default"/>
          <w:color w:val="auto"/>
          <w:szCs w:val="21"/>
          <w:highlight w:val="none"/>
          <w:lang w:val="en-US" w:eastAsia="zh-CN"/>
        </w:rPr>
      </w:pPr>
      <w:r>
        <w:rPr>
          <w:rFonts w:hint="eastAsia"/>
          <w:color w:val="auto"/>
          <w:szCs w:val="21"/>
          <w:highlight w:val="none"/>
          <w:lang w:val="en-US" w:eastAsia="zh-CN"/>
        </w:rPr>
        <w:t>1.9.1</w:t>
      </w:r>
      <w:r>
        <w:rPr>
          <w:rFonts w:hint="default"/>
          <w:color w:val="auto"/>
          <w:szCs w:val="21"/>
          <w:highlight w:val="none"/>
          <w:lang w:val="en-US" w:eastAsia="zh-CN"/>
        </w:rPr>
        <w:t>本国产品标准</w:t>
      </w:r>
    </w:p>
    <w:p w14:paraId="7470799B">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“本国产品标准的产品”是指：符合《国务院办公厅关于在政府采购中实施本国产品标准及相关政策的通知》（国办发〔2025〕34号）规定的本国产品标准的产品。</w:t>
      </w:r>
    </w:p>
    <w:p w14:paraId="6BB5A56D">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本国产品标准的产品应当符合以下条件：</w:t>
      </w:r>
    </w:p>
    <w:p w14:paraId="4D125AA2">
      <w:pPr>
        <w:spacing w:line="276" w:lineRule="auto"/>
        <w:ind w:firstLine="420" w:firstLineChars="200"/>
        <w:rPr>
          <w:rFonts w:hint="default"/>
          <w:color w:val="auto"/>
          <w:szCs w:val="21"/>
          <w:highlight w:val="none"/>
          <w:lang w:val="en-US" w:eastAsia="zh-CN"/>
        </w:rPr>
      </w:pPr>
      <w:r>
        <w:rPr>
          <w:rFonts w:hint="eastAsia"/>
          <w:color w:val="auto"/>
          <w:szCs w:val="21"/>
          <w:highlight w:val="none"/>
          <w:lang w:val="en-US" w:eastAsia="zh-CN"/>
        </w:rPr>
        <w:t>（1）</w:t>
      </w:r>
      <w:r>
        <w:rPr>
          <w:rFonts w:hint="default"/>
          <w:color w:val="auto"/>
          <w:szCs w:val="21"/>
          <w:highlight w:val="none"/>
          <w:lang w:val="en-US" w:eastAsia="zh-CN"/>
        </w:rPr>
        <w:t>在中国境内生产</w:t>
      </w:r>
      <w:r>
        <w:rPr>
          <w:rFonts w:hint="eastAsia"/>
          <w:color w:val="auto"/>
          <w:szCs w:val="21"/>
          <w:highlight w:val="none"/>
          <w:lang w:val="en-US" w:eastAsia="zh-CN"/>
        </w:rPr>
        <w:t>。</w:t>
      </w:r>
      <w:r>
        <w:rPr>
          <w:rFonts w:hint="default"/>
          <w:color w:val="auto"/>
          <w:szCs w:val="21"/>
          <w:highlight w:val="none"/>
          <w:lang w:val="en-US" w:eastAsia="zh-CN"/>
        </w:rPr>
        <w:t>产品应当在中国境内生产，即在中华人民共和国关境内</w:t>
      </w:r>
      <w:r>
        <w:rPr>
          <w:rFonts w:hint="eastAsia" w:ascii="Times New Roman" w:hAnsi="Times New Roman" w:eastAsia="宋体" w:cs="Times New Roman"/>
          <w:color w:val="auto"/>
          <w:kern w:val="2"/>
          <w:sz w:val="21"/>
          <w:szCs w:val="21"/>
          <w:highlight w:val="none"/>
          <w:lang w:val="en-US" w:eastAsia="zh-CN" w:bidi="ar-SA"/>
        </w:rPr>
        <w:t>（含保税区、综合保税区等海关特殊监管区域）</w:t>
      </w:r>
      <w:r>
        <w:rPr>
          <w:rFonts w:hint="default"/>
          <w:color w:val="auto"/>
          <w:szCs w:val="21"/>
          <w:highlight w:val="none"/>
          <w:lang w:val="en-US" w:eastAsia="zh-CN"/>
        </w:rPr>
        <w:t>实现从原材料、组件到产品的属性改变；属性改变是指经过制造、加工或者组装等工序，产生完全不同于原材料、组件的新产品，并具有新的名称和特征（用途），属性改变不包括以下细微操作：</w:t>
      </w:r>
    </w:p>
    <w:p w14:paraId="091D527B">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①为确保产品在运输或者储存期间保持某种状态而进行的操作；</w:t>
      </w:r>
    </w:p>
    <w:p w14:paraId="2BC0DC29">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②为产品运输或者销售进行的包装或者展示；</w:t>
      </w:r>
    </w:p>
    <w:p w14:paraId="34FD9F09">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③在产品或者其包装上粘贴或者印刷品牌、标志、标识以及其他用于区别的标记；</w:t>
      </w:r>
    </w:p>
    <w:p w14:paraId="0CE304EE">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④简单的上漆、磨光和分装；</w:t>
      </w:r>
    </w:p>
    <w:p w14:paraId="79ADAB44">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⑤其他不属于属性改变的情形；</w:t>
      </w:r>
    </w:p>
    <w:p w14:paraId="3BA993C5">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（2）</w:t>
      </w:r>
      <w:r>
        <w:rPr>
          <w:rFonts w:hint="default"/>
          <w:color w:val="auto"/>
          <w:szCs w:val="21"/>
          <w:highlight w:val="none"/>
          <w:lang w:val="en-US" w:eastAsia="zh-CN"/>
        </w:rPr>
        <w:t>中国境内生产的组件成本占比达到规定比例</w:t>
      </w:r>
      <w:r>
        <w:rPr>
          <w:rFonts w:hint="eastAsia"/>
          <w:color w:val="auto"/>
          <w:szCs w:val="21"/>
          <w:highlight w:val="none"/>
          <w:lang w:val="en-US" w:eastAsia="zh-CN"/>
        </w:rPr>
        <w:t>。</w:t>
      </w:r>
    </w:p>
    <w:p w14:paraId="5181C216">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①产品在中国境内生产的组件成本占比应当达到规定比例，计算公式为：产品在中国境内生产的组件成本/产品总成本≥规定比例；</w:t>
      </w:r>
    </w:p>
    <w:p w14:paraId="073482A7">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②产品在中国境内生产的组件成本，按照《中国境内生产的组件成本核算基本规则》计算；</w:t>
      </w:r>
    </w:p>
    <w:p w14:paraId="6E1943CF">
      <w:pPr>
        <w:spacing w:line="276" w:lineRule="auto"/>
        <w:ind w:firstLine="420" w:firstLineChars="200"/>
        <w:rPr>
          <w:rFonts w:hint="default"/>
          <w:color w:val="auto"/>
          <w:szCs w:val="21"/>
          <w:highlight w:val="none"/>
          <w:lang w:val="en-US" w:eastAsia="zh-CN"/>
        </w:rPr>
      </w:pPr>
      <w:r>
        <w:rPr>
          <w:rFonts w:hint="eastAsia"/>
          <w:color w:val="auto"/>
          <w:szCs w:val="21"/>
          <w:highlight w:val="none"/>
          <w:lang w:val="en-US" w:eastAsia="zh-CN"/>
        </w:rPr>
        <w:t>③中国境内生产的组件成本占比相关要求实施前，符合第（1）项条件的产品在政府采购活动中视同本国产品。</w:t>
      </w:r>
    </w:p>
    <w:p w14:paraId="18BAE897">
      <w:pPr>
        <w:spacing w:line="276" w:lineRule="auto"/>
        <w:ind w:firstLine="420" w:firstLineChars="200"/>
        <w:rPr>
          <w:rFonts w:hint="default"/>
          <w:color w:val="auto"/>
          <w:szCs w:val="21"/>
          <w:highlight w:val="none"/>
          <w:lang w:val="en-US" w:eastAsia="zh-CN"/>
        </w:rPr>
      </w:pPr>
      <w:r>
        <w:rPr>
          <w:rFonts w:hint="eastAsia"/>
          <w:color w:val="auto"/>
          <w:szCs w:val="21"/>
          <w:highlight w:val="none"/>
          <w:lang w:val="en-US" w:eastAsia="zh-CN"/>
        </w:rPr>
        <w:t>（3）</w:t>
      </w:r>
      <w:r>
        <w:rPr>
          <w:rFonts w:hint="default"/>
          <w:color w:val="auto"/>
          <w:szCs w:val="21"/>
          <w:highlight w:val="none"/>
          <w:lang w:val="en-US" w:eastAsia="zh-CN"/>
        </w:rPr>
        <w:t>特定产品的关键组件和工序在中国境内完成。</w:t>
      </w:r>
    </w:p>
    <w:p w14:paraId="6BA7BCDD">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①对特定产品，在符合第（1）项和第（2）项条件的基础上，应当符合财政部会同有关行业主管部门确定的其关键组件、关键工序在中国境内生产、完成等要求；</w:t>
      </w:r>
    </w:p>
    <w:p w14:paraId="59D315FC">
      <w:pPr>
        <w:spacing w:line="276" w:lineRule="auto"/>
        <w:ind w:firstLine="420" w:firstLineChars="200"/>
        <w:rPr>
          <w:rFonts w:hint="default"/>
          <w:color w:val="auto"/>
          <w:szCs w:val="21"/>
          <w:highlight w:val="none"/>
          <w:lang w:val="en-US" w:eastAsia="zh-CN"/>
        </w:rPr>
      </w:pPr>
      <w:r>
        <w:rPr>
          <w:rFonts w:hint="eastAsia"/>
          <w:color w:val="auto"/>
          <w:szCs w:val="21"/>
          <w:highlight w:val="none"/>
          <w:lang w:val="en-US" w:eastAsia="zh-CN"/>
        </w:rPr>
        <w:t>②特定产品的关键组件、关键工序符合相关要求实施前，符合第（1）项和第（2）项条件的产品在政府采购活动中视同本国产品。</w:t>
      </w:r>
    </w:p>
    <w:p w14:paraId="209038C6">
      <w:pPr>
        <w:spacing w:before="120" w:line="360" w:lineRule="auto"/>
        <w:ind w:left="819" w:leftChars="190" w:hanging="420" w:hangingChars="200"/>
        <w:rPr>
          <w:rFonts w:hint="eastAsia"/>
          <w:color w:val="auto"/>
          <w:szCs w:val="21"/>
          <w:highlight w:val="none"/>
          <w:lang w:val="en-US" w:eastAsia="zh-CN"/>
        </w:rPr>
      </w:pPr>
      <w:r>
        <w:rPr>
          <w:rFonts w:hint="eastAsia"/>
          <w:color w:val="auto"/>
          <w:szCs w:val="21"/>
          <w:highlight w:val="none"/>
          <w:lang w:val="en-US" w:eastAsia="zh-CN"/>
        </w:rPr>
        <w:t>1.9.2 本国产品标准的适用范围</w:t>
      </w:r>
    </w:p>
    <w:p w14:paraId="32B93FB3">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b/>
          <w:bCs/>
          <w:color w:val="auto"/>
          <w:szCs w:val="21"/>
          <w:highlight w:val="none"/>
          <w:lang w:val="en-US" w:eastAsia="zh-CN"/>
        </w:rPr>
        <w:t>本项目是否适用对本国产品的支持政策详见供应商须知前附表。</w:t>
      </w:r>
    </w:p>
    <w:p w14:paraId="240E6983">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中华人民共和国缔结或者共同参加的国际条约、协定对政府采购中本国产品政策另有规定的，按照有关条约、协定执行。</w:t>
      </w:r>
    </w:p>
    <w:p w14:paraId="688800DD">
      <w:pPr>
        <w:spacing w:before="120" w:line="320" w:lineRule="atLeast"/>
        <w:ind w:firstLine="420" w:firstLineChars="200"/>
        <w:rPr>
          <w:rFonts w:hint="default"/>
          <w:color w:val="auto"/>
          <w:szCs w:val="21"/>
          <w:highlight w:val="none"/>
          <w:lang w:val="en-US" w:eastAsia="zh-CN"/>
        </w:rPr>
      </w:pPr>
      <w:r>
        <w:rPr>
          <w:rFonts w:hint="eastAsia" w:ascii="Times New Roman" w:eastAsia="宋体"/>
          <w:color w:val="auto"/>
          <w:szCs w:val="21"/>
          <w:highlight w:val="none"/>
          <w:lang w:val="en-US" w:eastAsia="zh-CN"/>
        </w:rPr>
        <w:t>1.9.3 价格评审优惠</w:t>
      </w:r>
    </w:p>
    <w:p w14:paraId="15AFF1E2">
      <w:pPr>
        <w:spacing w:before="120" w:line="320" w:lineRule="atLeast"/>
        <w:ind w:firstLine="420" w:firstLineChars="200"/>
        <w:rPr>
          <w:rFonts w:hint="eastAsia"/>
          <w:color w:val="auto"/>
          <w:szCs w:val="21"/>
          <w:highlight w:val="none"/>
        </w:rPr>
      </w:pPr>
      <w:r>
        <w:rPr>
          <w:rFonts w:hint="eastAsia"/>
          <w:color w:val="auto"/>
          <w:szCs w:val="21"/>
          <w:highlight w:val="none"/>
        </w:rPr>
        <w:t>既有本国产品又有非本国产品参与竞争的，依法对本国产品给予价格评审优惠，对本国产品的报价给予20%的价格扣除，用扣除后的价格参与评审。</w:t>
      </w:r>
    </w:p>
    <w:p w14:paraId="6B8683CA">
      <w:pPr>
        <w:spacing w:before="120" w:line="320" w:lineRule="atLeast"/>
        <w:ind w:firstLine="420" w:firstLineChars="200"/>
        <w:rPr>
          <w:rFonts w:hint="eastAsia"/>
          <w:color w:val="auto"/>
          <w:szCs w:val="21"/>
          <w:highlight w:val="none"/>
        </w:rPr>
      </w:pPr>
      <w:r>
        <w:rPr>
          <w:rFonts w:hint="eastAsia"/>
          <w:color w:val="auto"/>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4FCC983">
      <w:pPr>
        <w:spacing w:before="120" w:line="320" w:lineRule="atLeast"/>
        <w:ind w:firstLine="420" w:firstLineChars="200"/>
        <w:rPr>
          <w:rFonts w:hint="eastAsia"/>
          <w:color w:val="auto"/>
          <w:szCs w:val="21"/>
          <w:highlight w:val="none"/>
          <w:lang w:eastAsia="zh-CN"/>
        </w:rPr>
      </w:pPr>
      <w:r>
        <w:rPr>
          <w:rFonts w:hint="eastAsia"/>
          <w:color w:val="auto"/>
          <w:szCs w:val="21"/>
          <w:highlight w:val="none"/>
        </w:rPr>
        <w:t>价格扣除比例在第四章评审方法及标准中规定</w:t>
      </w:r>
      <w:r>
        <w:rPr>
          <w:rFonts w:hint="eastAsia" w:eastAsia="宋体"/>
          <w:color w:val="auto"/>
          <w:szCs w:val="21"/>
          <w:highlight w:val="none"/>
          <w:lang w:eastAsia="zh-CN"/>
        </w:rPr>
        <w:t>。</w:t>
      </w:r>
    </w:p>
    <w:p w14:paraId="5A73F1EF">
      <w:pPr>
        <w:spacing w:before="120" w:line="320" w:lineRule="atLeast"/>
        <w:ind w:firstLine="420" w:firstLineChars="200"/>
        <w:rPr>
          <w:rFonts w:hint="eastAsia"/>
          <w:color w:val="auto"/>
          <w:szCs w:val="21"/>
          <w:highlight w:val="none"/>
          <w:lang w:val="en-US" w:eastAsia="zh-CN"/>
        </w:rPr>
      </w:pPr>
      <w:r>
        <w:rPr>
          <w:rFonts w:hint="eastAsia" w:ascii="Times New Roman" w:eastAsia="宋体"/>
          <w:color w:val="auto"/>
          <w:szCs w:val="21"/>
          <w:highlight w:val="none"/>
          <w:lang w:val="en-US" w:eastAsia="zh-CN"/>
        </w:rPr>
        <w:t>1.9.4政策执行要求</w:t>
      </w:r>
    </w:p>
    <w:p w14:paraId="6CB38639">
      <w:pPr>
        <w:spacing w:before="120" w:line="320" w:lineRule="atLeast"/>
        <w:ind w:firstLine="420" w:firstLineChars="200"/>
        <w:rPr>
          <w:rFonts w:hint="eastAsia"/>
          <w:color w:val="auto"/>
          <w:szCs w:val="21"/>
          <w:highlight w:val="none"/>
          <w:lang w:val="en-US" w:eastAsia="zh-CN"/>
        </w:rPr>
      </w:pPr>
      <w:r>
        <w:rPr>
          <w:rFonts w:hint="eastAsia" w:ascii="Times New Roman" w:eastAsia="宋体"/>
          <w:color w:val="auto"/>
          <w:szCs w:val="21"/>
          <w:highlight w:val="none"/>
          <w:lang w:val="en-US" w:eastAsia="zh-CN"/>
        </w:rPr>
        <w:t>1</w:t>
      </w:r>
      <w:r>
        <w:rPr>
          <w:rFonts w:hint="eastAsia"/>
          <w:color w:val="auto"/>
          <w:szCs w:val="21"/>
          <w:highlight w:val="none"/>
          <w:lang w:val="en-US" w:eastAsia="zh-CN"/>
        </w:rPr>
        <w:t>.</w:t>
      </w:r>
      <w:r>
        <w:rPr>
          <w:rFonts w:hint="eastAsia" w:ascii="Times New Roman" w:eastAsia="宋体"/>
          <w:color w:val="auto"/>
          <w:szCs w:val="21"/>
          <w:highlight w:val="none"/>
          <w:lang w:val="en-US" w:eastAsia="zh-CN"/>
        </w:rPr>
        <w:t>9.4.1产品在中国境内生产的组件成本核算规则：产品在中国境内生产的组件成本，按照《中国境内生产的组件成本核算基本规则》计算。</w:t>
      </w:r>
    </w:p>
    <w:p w14:paraId="52874B24">
      <w:pPr>
        <w:spacing w:before="120" w:line="360" w:lineRule="auto"/>
        <w:ind w:firstLine="2520" w:firstLineChars="1200"/>
        <w:rPr>
          <w:rFonts w:hint="eastAsia"/>
          <w:color w:val="auto"/>
          <w:szCs w:val="21"/>
          <w:highlight w:val="none"/>
          <w:lang w:eastAsia="zh-CN"/>
        </w:rPr>
      </w:pPr>
      <w:r>
        <w:rPr>
          <w:rFonts w:hint="eastAsia" w:eastAsia="宋体"/>
          <w:color w:val="auto"/>
          <w:szCs w:val="21"/>
          <w:highlight w:val="none"/>
          <w:lang w:eastAsia="zh-CN"/>
        </w:rPr>
        <w:t>《中国境内生产的组件成本核算基本规则》</w:t>
      </w:r>
    </w:p>
    <w:p w14:paraId="6A5D69E1">
      <w:pPr>
        <w:spacing w:before="120" w:line="240" w:lineRule="auto"/>
        <w:ind w:firstLine="420" w:firstLineChars="200"/>
        <w:rPr>
          <w:rFonts w:hint="eastAsia"/>
          <w:color w:val="auto"/>
          <w:szCs w:val="21"/>
          <w:highlight w:val="none"/>
        </w:rPr>
      </w:pPr>
      <w:r>
        <w:rPr>
          <w:rFonts w:hint="eastAsia"/>
          <w:color w:val="auto"/>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56ABF82">
      <w:pPr>
        <w:numPr>
          <w:ilvl w:val="0"/>
          <w:numId w:val="0"/>
        </w:numPr>
        <w:spacing w:before="120" w:line="240" w:lineRule="auto"/>
        <w:ind w:firstLine="420" w:firstLineChars="200"/>
        <w:rPr>
          <w:rFonts w:hint="eastAsia"/>
          <w:color w:val="auto"/>
          <w:szCs w:val="21"/>
          <w:highlight w:val="none"/>
        </w:rPr>
      </w:pPr>
      <w:r>
        <w:rPr>
          <w:rFonts w:hint="eastAsia" w:ascii="Times New Roman" w:eastAsia="宋体"/>
          <w:color w:val="auto"/>
          <w:szCs w:val="21"/>
          <w:highlight w:val="none"/>
          <w:lang w:val="en-US" w:eastAsia="zh-CN"/>
        </w:rPr>
        <w:t>1.</w:t>
      </w:r>
      <w:r>
        <w:rPr>
          <w:rFonts w:hint="eastAsia"/>
          <w:color w:val="auto"/>
          <w:szCs w:val="21"/>
          <w:highlight w:val="none"/>
        </w:rPr>
        <w:t>产品的一级组件是指直接组成产品的组件。产品的二级组件是指直接组成产品一级组件的组件。一级组件不可分解的，视同二级组件。</w:t>
      </w:r>
    </w:p>
    <w:p w14:paraId="359A76E7">
      <w:pPr>
        <w:numPr>
          <w:ilvl w:val="0"/>
          <w:numId w:val="0"/>
        </w:numPr>
        <w:spacing w:before="120" w:line="240" w:lineRule="auto"/>
        <w:ind w:firstLine="420" w:firstLineChars="200"/>
        <w:rPr>
          <w:rFonts w:hint="eastAsia"/>
          <w:color w:val="auto"/>
          <w:szCs w:val="21"/>
          <w:highlight w:val="none"/>
        </w:rPr>
      </w:pPr>
      <w:r>
        <w:rPr>
          <w:rFonts w:hint="eastAsia" w:ascii="Times New Roman" w:eastAsia="宋体"/>
          <w:color w:val="auto"/>
          <w:szCs w:val="21"/>
          <w:highlight w:val="none"/>
          <w:lang w:val="en-US" w:eastAsia="zh-CN"/>
        </w:rPr>
        <w:t>2.</w:t>
      </w:r>
      <w:r>
        <w:rPr>
          <w:rFonts w:hint="eastAsia"/>
          <w:color w:val="auto"/>
          <w:szCs w:val="21"/>
          <w:highlight w:val="none"/>
        </w:rPr>
        <w:t>二级组件在中国境内生产的，其全部成本计入中国境内生产的组件成本；二级组件不在中国境内生产的，其成本不计入中国境内生产的组件成本。</w:t>
      </w:r>
    </w:p>
    <w:p w14:paraId="54F88E3D">
      <w:pPr>
        <w:spacing w:before="120" w:line="240" w:lineRule="auto"/>
        <w:ind w:firstLine="420" w:firstLineChars="200"/>
        <w:rPr>
          <w:rFonts w:hint="eastAsia"/>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产品总成本和组件成本以相关会计核算数据、采购合同、进货记录等为基础进行计算。</w:t>
      </w:r>
    </w:p>
    <w:p w14:paraId="03A14621">
      <w:pPr>
        <w:spacing w:before="120" w:line="240" w:lineRule="auto"/>
        <w:ind w:firstLine="420" w:firstLineChars="200"/>
        <w:rPr>
          <w:rFonts w:hint="eastAsia"/>
          <w:color w:val="auto"/>
          <w:szCs w:val="21"/>
          <w:highlight w:val="none"/>
          <w:lang w:val="en-US" w:eastAsia="zh-CN"/>
        </w:rPr>
      </w:pPr>
      <w:r>
        <w:rPr>
          <w:rFonts w:hint="eastAsia" w:ascii="Times New Roman" w:eastAsia="宋体"/>
          <w:color w:val="auto"/>
          <w:szCs w:val="21"/>
          <w:highlight w:val="none"/>
          <w:lang w:val="en-US" w:eastAsia="zh-CN"/>
        </w:rPr>
        <w:t>4.</w:t>
      </w:r>
      <w:r>
        <w:rPr>
          <w:rFonts w:hint="eastAsia"/>
          <w:color w:val="auto"/>
          <w:szCs w:val="21"/>
          <w:highlight w:val="none"/>
        </w:rPr>
        <w:t>需要对成本核算规则予以进一步明确的其他有关事项，由财政部会同有关部门另行规定。</w:t>
      </w:r>
    </w:p>
    <w:p w14:paraId="66C0A2F9">
      <w:p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1.9.4.2证明材料提交与审查：供应商需在投标（响应）文件中对其提供的产品出具《关于符合本国产品标准的声明函》（样式见响应文件格式）或财政部会同有关部门规定的有关证明文件。</w:t>
      </w:r>
      <w:r>
        <w:rPr>
          <w:rFonts w:hint="eastAsia"/>
          <w:b/>
          <w:bCs/>
          <w:color w:val="auto"/>
          <w:szCs w:val="21"/>
          <w:highlight w:val="none"/>
          <w:lang w:val="en-US" w:eastAsia="zh-CN"/>
        </w:rPr>
        <w:t>医疗器械产品凭药品监督管理部门授予的准字号注册证直接认定属于在中国境内生产的产品。</w:t>
      </w:r>
      <w:r>
        <w:rPr>
          <w:rFonts w:hint="eastAsia"/>
          <w:color w:val="auto"/>
          <w:szCs w:val="21"/>
          <w:highlight w:val="none"/>
          <w:lang w:val="en-US" w:eastAsia="zh-CN"/>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6E946815">
      <w:pPr>
        <w:pStyle w:val="19"/>
        <w:ind w:firstLine="420" w:firstLineChars="20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评审委员会应对《声明函》的完整性、准确性进行审查，对《声明函》内容含义不明确、同类事项与投标（响应）文件表述不一致或存在明显文字错误的，应</w:t>
      </w:r>
      <w:r>
        <w:rPr>
          <w:rFonts w:hint="eastAsia" w:cs="Times New Roman"/>
          <w:color w:val="auto"/>
          <w:kern w:val="2"/>
          <w:sz w:val="21"/>
          <w:szCs w:val="21"/>
          <w:highlight w:val="none"/>
          <w:lang w:val="en-US" w:eastAsia="zh-CN" w:bidi="ar-SA"/>
        </w:rPr>
        <w:t>当</w:t>
      </w:r>
      <w:r>
        <w:rPr>
          <w:rFonts w:hint="eastAsia" w:ascii="Times New Roman" w:hAnsi="Times New Roman" w:eastAsia="宋体" w:cs="Times New Roman"/>
          <w:color w:val="auto"/>
          <w:kern w:val="2"/>
          <w:sz w:val="21"/>
          <w:szCs w:val="21"/>
          <w:highlight w:val="none"/>
          <w:lang w:val="en-US" w:eastAsia="zh-CN" w:bidi="ar-SA"/>
        </w:rPr>
        <w:t>以书面形式要求供应商澄清、说明或者补正；</w:t>
      </w:r>
      <w:r>
        <w:rPr>
          <w:rFonts w:hint="eastAsia" w:cs="Times New Roman"/>
          <w:color w:val="auto"/>
          <w:kern w:val="2"/>
          <w:sz w:val="21"/>
          <w:szCs w:val="21"/>
          <w:highlight w:val="none"/>
          <w:lang w:val="en-US" w:eastAsia="zh-CN" w:bidi="ar-SA"/>
        </w:rPr>
        <w:t>经</w:t>
      </w:r>
      <w:r>
        <w:rPr>
          <w:rFonts w:hint="eastAsia" w:ascii="Times New Roman" w:hAnsi="Times New Roman" w:eastAsia="宋体" w:cs="Times New Roman"/>
          <w:color w:val="auto"/>
          <w:kern w:val="2"/>
          <w:sz w:val="21"/>
          <w:szCs w:val="21"/>
          <w:highlight w:val="none"/>
          <w:lang w:val="en-US" w:eastAsia="zh-CN" w:bidi="ar-SA"/>
        </w:rPr>
        <w:t>澄清、说明或者补正后仍不符合要求的，不认定为本国产品。</w:t>
      </w:r>
    </w:p>
    <w:p w14:paraId="07233EDA">
      <w:pPr>
        <w:pStyle w:val="19"/>
        <w:ind w:firstLine="420" w:firstLineChars="200"/>
        <w:rPr>
          <w:rFonts w:hint="default"/>
          <w:color w:val="auto"/>
          <w:sz w:val="21"/>
          <w:szCs w:val="21"/>
          <w:highlight w:val="none"/>
          <w:lang w:val="en-US" w:eastAsia="zh-CN"/>
        </w:rPr>
      </w:pPr>
      <w:r>
        <w:rPr>
          <w:rFonts w:hint="eastAsia"/>
          <w:color w:val="auto"/>
          <w:sz w:val="21"/>
          <w:szCs w:val="21"/>
          <w:highlight w:val="none"/>
          <w:lang w:val="en-US" w:eastAsia="zh-CN"/>
        </w:rPr>
        <w:t>澄清补正应当按照“6.3.3澄清、说明或补正”的规定提交。</w:t>
      </w:r>
    </w:p>
    <w:p w14:paraId="3E0AD4F3">
      <w:pPr>
        <w:pStyle w:val="19"/>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1.9.4.3成本核算与承诺</w:t>
      </w:r>
    </w:p>
    <w:p w14:paraId="0452ED5C">
      <w:pPr>
        <w:pStyle w:val="19"/>
        <w:ind w:firstLine="420" w:firstLineChars="20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供应商应依据《中国境内生产的组件成本核算基本规则》核算产品成本占比，并对核算结果负责，按要求提交《</w:t>
      </w:r>
      <w:r>
        <w:rPr>
          <w:rFonts w:hint="eastAsia" w:cs="Times New Roman"/>
          <w:color w:val="auto"/>
          <w:kern w:val="2"/>
          <w:sz w:val="21"/>
          <w:szCs w:val="21"/>
          <w:highlight w:val="none"/>
          <w:lang w:val="en-US" w:eastAsia="zh-CN" w:bidi="ar-SA"/>
        </w:rPr>
        <w:t>关于符合</w:t>
      </w:r>
      <w:r>
        <w:rPr>
          <w:rFonts w:hint="default" w:ascii="Times New Roman" w:hAnsi="Times New Roman" w:eastAsia="宋体" w:cs="Times New Roman"/>
          <w:color w:val="auto"/>
          <w:kern w:val="2"/>
          <w:sz w:val="21"/>
          <w:szCs w:val="21"/>
          <w:highlight w:val="none"/>
          <w:lang w:val="en-US" w:eastAsia="zh-CN" w:bidi="ar-SA"/>
        </w:rPr>
        <w:t>本国产品</w:t>
      </w:r>
      <w:r>
        <w:rPr>
          <w:rFonts w:hint="eastAsia" w:cs="Times New Roman"/>
          <w:color w:val="auto"/>
          <w:kern w:val="2"/>
          <w:sz w:val="21"/>
          <w:szCs w:val="21"/>
          <w:highlight w:val="none"/>
          <w:lang w:val="en-US" w:eastAsia="zh-CN" w:bidi="ar-SA"/>
        </w:rPr>
        <w:t>标准的</w:t>
      </w:r>
      <w:r>
        <w:rPr>
          <w:rFonts w:hint="default" w:ascii="Times New Roman" w:hAnsi="Times New Roman" w:eastAsia="宋体" w:cs="Times New Roman"/>
          <w:color w:val="auto"/>
          <w:kern w:val="2"/>
          <w:sz w:val="21"/>
          <w:szCs w:val="21"/>
          <w:highlight w:val="none"/>
          <w:lang w:val="en-US" w:eastAsia="zh-CN" w:bidi="ar-SA"/>
        </w:rPr>
        <w:t>成本占比承诺函》</w:t>
      </w:r>
      <w:r>
        <w:rPr>
          <w:rFonts w:hint="eastAsia" w:cs="Times New Roman"/>
          <w:color w:val="auto"/>
          <w:kern w:val="2"/>
          <w:sz w:val="21"/>
          <w:szCs w:val="21"/>
          <w:highlight w:val="none"/>
          <w:lang w:val="en-US" w:eastAsia="zh-CN" w:bidi="ar-SA"/>
        </w:rPr>
        <w:t>（如适用）</w:t>
      </w:r>
      <w:r>
        <w:rPr>
          <w:rFonts w:hint="default" w:ascii="Times New Roman" w:hAnsi="Times New Roman" w:eastAsia="宋体" w:cs="Times New Roman"/>
          <w:color w:val="auto"/>
          <w:kern w:val="2"/>
          <w:sz w:val="21"/>
          <w:szCs w:val="21"/>
          <w:highlight w:val="none"/>
          <w:lang w:val="en-US" w:eastAsia="zh-CN" w:bidi="ar-SA"/>
        </w:rPr>
        <w:t>（参考模板</w:t>
      </w:r>
      <w:r>
        <w:rPr>
          <w:rFonts w:hint="eastAsia" w:cs="Times New Roman"/>
          <w:color w:val="auto"/>
          <w:kern w:val="2"/>
          <w:sz w:val="21"/>
          <w:szCs w:val="21"/>
          <w:highlight w:val="none"/>
          <w:lang w:val="en-US" w:eastAsia="zh-CN" w:bidi="ar-SA"/>
        </w:rPr>
        <w:t>详见响应文件格式</w:t>
      </w:r>
      <w:r>
        <w:rPr>
          <w:rFonts w:hint="default" w:ascii="Times New Roman" w:hAnsi="Times New Roman" w:eastAsia="宋体" w:cs="Times New Roman"/>
          <w:color w:val="auto"/>
          <w:kern w:val="2"/>
          <w:sz w:val="21"/>
          <w:szCs w:val="21"/>
          <w:highlight w:val="none"/>
          <w:lang w:val="en-US" w:eastAsia="zh-CN" w:bidi="ar-SA"/>
        </w:rPr>
        <w:t>）。相关成本核算的原始凭证应妥善留存，以备核查。采购人可在履约验收环节对相关材料进行抽查。</w:t>
      </w:r>
    </w:p>
    <w:p w14:paraId="2CAF55F6">
      <w:pPr>
        <w:spacing w:before="120" w:line="320" w:lineRule="atLeast"/>
        <w:ind w:firstLine="420" w:firstLineChars="200"/>
        <w:rPr>
          <w:rFonts w:hint="default"/>
          <w:color w:val="auto"/>
          <w:szCs w:val="21"/>
          <w:highlight w:val="none"/>
          <w:lang w:val="en-US" w:eastAsia="zh-CN"/>
        </w:rPr>
      </w:pPr>
      <w:r>
        <w:rPr>
          <w:rFonts w:hint="eastAsia" w:ascii="Times New Roman" w:eastAsia="宋体"/>
          <w:color w:val="auto"/>
          <w:szCs w:val="21"/>
          <w:highlight w:val="none"/>
          <w:lang w:val="en-US" w:eastAsia="zh-CN"/>
        </w:rPr>
        <w:t>1.9.5 争议处理</w:t>
      </w:r>
    </w:p>
    <w:p w14:paraId="6333624B">
      <w:pPr>
        <w:spacing w:before="120" w:line="360" w:lineRule="auto"/>
        <w:ind w:firstLine="420" w:firstLineChars="200"/>
        <w:rPr>
          <w:color w:val="auto"/>
          <w:szCs w:val="21"/>
          <w:highlight w:val="none"/>
        </w:rPr>
      </w:pPr>
      <w:r>
        <w:rPr>
          <w:rFonts w:hint="eastAsia" w:ascii="Times New Roman" w:eastAsia="宋体"/>
          <w:color w:val="auto"/>
          <w:szCs w:val="21"/>
          <w:highlight w:val="none"/>
          <w:lang w:val="en-US" w:eastAsia="zh-CN"/>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0395AB0E">
      <w:pPr>
        <w:spacing w:before="120" w:line="320" w:lineRule="atLeast"/>
        <w:ind w:left="2" w:leftChars="1" w:firstLine="422" w:firstLineChars="200"/>
        <w:outlineLvl w:val="1"/>
        <w:rPr>
          <w:b/>
          <w:bCs/>
          <w:color w:val="auto"/>
          <w:kern w:val="0"/>
          <w:szCs w:val="21"/>
          <w:highlight w:val="none"/>
        </w:rPr>
      </w:pPr>
      <w:bookmarkStart w:id="33" w:name="_Toc254970534"/>
      <w:bookmarkStart w:id="34" w:name="_Toc254970675"/>
      <w:r>
        <w:rPr>
          <w:b/>
          <w:bCs/>
          <w:color w:val="auto"/>
          <w:kern w:val="0"/>
          <w:szCs w:val="21"/>
          <w:highlight w:val="none"/>
        </w:rPr>
        <w:t>2．采购文件</w:t>
      </w:r>
      <w:bookmarkEnd w:id="33"/>
      <w:bookmarkEnd w:id="34"/>
    </w:p>
    <w:p w14:paraId="1E99DB4A">
      <w:pPr>
        <w:spacing w:before="120" w:line="320" w:lineRule="atLeast"/>
        <w:ind w:firstLine="422" w:firstLineChars="200"/>
        <w:outlineLvl w:val="2"/>
        <w:rPr>
          <w:b/>
          <w:bCs/>
          <w:color w:val="auto"/>
          <w:kern w:val="0"/>
          <w:szCs w:val="21"/>
          <w:highlight w:val="none"/>
        </w:rPr>
      </w:pPr>
      <w:r>
        <w:rPr>
          <w:b/>
          <w:bCs/>
          <w:color w:val="auto"/>
          <w:kern w:val="0"/>
          <w:szCs w:val="21"/>
          <w:highlight w:val="none"/>
        </w:rPr>
        <w:t>2.1采购文件的构成</w:t>
      </w:r>
    </w:p>
    <w:p w14:paraId="01F4AB15">
      <w:pPr>
        <w:spacing w:before="120" w:line="320" w:lineRule="atLeast"/>
        <w:ind w:firstLine="420" w:firstLineChars="200"/>
        <w:rPr>
          <w:color w:val="auto"/>
          <w:szCs w:val="21"/>
          <w:highlight w:val="none"/>
        </w:rPr>
      </w:pPr>
      <w:r>
        <w:rPr>
          <w:color w:val="auto"/>
          <w:szCs w:val="21"/>
          <w:highlight w:val="none"/>
        </w:rPr>
        <w:t>第一章 磋商公告</w:t>
      </w:r>
    </w:p>
    <w:p w14:paraId="19EB38A7">
      <w:pPr>
        <w:spacing w:before="120" w:line="320" w:lineRule="atLeast"/>
        <w:ind w:firstLine="420" w:firstLineChars="200"/>
        <w:rPr>
          <w:color w:val="auto"/>
          <w:szCs w:val="21"/>
          <w:highlight w:val="none"/>
        </w:rPr>
      </w:pPr>
      <w:r>
        <w:rPr>
          <w:color w:val="auto"/>
          <w:szCs w:val="21"/>
          <w:highlight w:val="none"/>
        </w:rPr>
        <w:t>第二章 采购需求</w:t>
      </w:r>
    </w:p>
    <w:p w14:paraId="739DF000">
      <w:pPr>
        <w:spacing w:before="120" w:line="320" w:lineRule="atLeast"/>
        <w:ind w:firstLine="420" w:firstLineChars="200"/>
        <w:rPr>
          <w:color w:val="auto"/>
          <w:szCs w:val="21"/>
          <w:highlight w:val="none"/>
        </w:rPr>
      </w:pPr>
      <w:r>
        <w:rPr>
          <w:color w:val="auto"/>
          <w:szCs w:val="21"/>
          <w:highlight w:val="none"/>
        </w:rPr>
        <w:t>第三章 供应商须知</w:t>
      </w:r>
    </w:p>
    <w:p w14:paraId="28F0CA31">
      <w:pPr>
        <w:spacing w:before="120" w:line="320" w:lineRule="atLeast"/>
        <w:ind w:firstLine="420" w:firstLineChars="200"/>
        <w:rPr>
          <w:color w:val="auto"/>
          <w:szCs w:val="21"/>
          <w:highlight w:val="none"/>
        </w:rPr>
      </w:pPr>
      <w:r>
        <w:rPr>
          <w:color w:val="auto"/>
          <w:szCs w:val="21"/>
          <w:highlight w:val="none"/>
        </w:rPr>
        <w:t>第四章 评审方法及标准</w:t>
      </w:r>
    </w:p>
    <w:p w14:paraId="3033916A">
      <w:pPr>
        <w:spacing w:before="120" w:line="320" w:lineRule="atLeast"/>
        <w:ind w:firstLine="420" w:firstLineChars="200"/>
        <w:rPr>
          <w:color w:val="auto"/>
          <w:szCs w:val="21"/>
          <w:highlight w:val="none"/>
        </w:rPr>
      </w:pPr>
      <w:r>
        <w:rPr>
          <w:color w:val="auto"/>
          <w:szCs w:val="21"/>
          <w:highlight w:val="none"/>
        </w:rPr>
        <w:t>第五章 合同主要条款格式</w:t>
      </w:r>
    </w:p>
    <w:p w14:paraId="2CF0BAF4">
      <w:pPr>
        <w:spacing w:before="120" w:line="320" w:lineRule="atLeast"/>
        <w:ind w:firstLine="420" w:firstLineChars="200"/>
        <w:rPr>
          <w:color w:val="auto"/>
          <w:szCs w:val="21"/>
          <w:highlight w:val="none"/>
        </w:rPr>
      </w:pPr>
      <w:r>
        <w:rPr>
          <w:color w:val="auto"/>
          <w:szCs w:val="21"/>
          <w:highlight w:val="none"/>
        </w:rPr>
        <w:t>第六章 响应文件格式</w:t>
      </w:r>
    </w:p>
    <w:p w14:paraId="488CB97F">
      <w:pPr>
        <w:spacing w:before="120" w:line="320" w:lineRule="atLeast"/>
        <w:ind w:firstLine="422" w:firstLineChars="200"/>
        <w:outlineLvl w:val="2"/>
        <w:rPr>
          <w:b/>
          <w:bCs/>
          <w:color w:val="auto"/>
          <w:kern w:val="0"/>
          <w:szCs w:val="21"/>
          <w:highlight w:val="none"/>
        </w:rPr>
      </w:pPr>
      <w:r>
        <w:rPr>
          <w:b/>
          <w:bCs/>
          <w:color w:val="auto"/>
          <w:kern w:val="0"/>
          <w:szCs w:val="21"/>
          <w:highlight w:val="none"/>
        </w:rPr>
        <w:t>2.2供应商的风险</w:t>
      </w:r>
    </w:p>
    <w:p w14:paraId="46C6EE5A">
      <w:pPr>
        <w:spacing w:before="120" w:line="320" w:lineRule="atLeast"/>
        <w:ind w:firstLine="420" w:firstLineChars="200"/>
        <w:rPr>
          <w:color w:val="auto"/>
          <w:szCs w:val="21"/>
          <w:highlight w:val="none"/>
        </w:rPr>
      </w:pPr>
      <w:r>
        <w:rPr>
          <w:color w:val="auto"/>
          <w:szCs w:val="21"/>
          <w:highlight w:val="none"/>
        </w:rPr>
        <w:t>供应商没有按照采购文件要求提供全部资料，或者供应商没有对采购文件在各方面作出实质性响应是供应商的风险，并可能导致其响应被否决。</w:t>
      </w:r>
    </w:p>
    <w:p w14:paraId="533EE8D9">
      <w:pPr>
        <w:spacing w:before="120" w:line="320" w:lineRule="atLeast"/>
        <w:ind w:firstLine="422" w:firstLineChars="200"/>
        <w:outlineLvl w:val="2"/>
        <w:rPr>
          <w:b/>
          <w:color w:val="auto"/>
          <w:szCs w:val="21"/>
          <w:highlight w:val="none"/>
        </w:rPr>
      </w:pPr>
      <w:r>
        <w:rPr>
          <w:b/>
          <w:bCs/>
          <w:color w:val="auto"/>
          <w:kern w:val="0"/>
          <w:szCs w:val="21"/>
          <w:highlight w:val="none"/>
        </w:rPr>
        <w:t>2.3采购文件的澄清与修改</w:t>
      </w:r>
    </w:p>
    <w:p w14:paraId="76624C46">
      <w:pPr>
        <w:spacing w:before="120" w:line="320" w:lineRule="atLeast"/>
        <w:ind w:firstLine="420" w:firstLineChars="200"/>
        <w:rPr>
          <w:color w:val="auto"/>
          <w:szCs w:val="21"/>
          <w:highlight w:val="none"/>
        </w:rPr>
      </w:pPr>
      <w:r>
        <w:rPr>
          <w:color w:val="auto"/>
          <w:szCs w:val="21"/>
          <w:highlight w:val="none"/>
        </w:rPr>
        <w:t>2.3.1</w:t>
      </w:r>
      <w:r>
        <w:rPr>
          <w:rFonts w:hint="eastAsia"/>
          <w:color w:val="auto"/>
          <w:szCs w:val="21"/>
          <w:highlight w:val="none"/>
        </w:rPr>
        <w:t>任何已获得采购文件的潜在供应商，均可</w:t>
      </w:r>
      <w:r>
        <w:rPr>
          <w:color w:val="auto"/>
          <w:szCs w:val="21"/>
          <w:highlight w:val="none"/>
        </w:rPr>
        <w:t>以书面形式要求采购代理机构作出书面解释、澄清</w:t>
      </w:r>
      <w:r>
        <w:rPr>
          <w:rFonts w:hint="eastAsia"/>
          <w:color w:val="auto"/>
          <w:szCs w:val="21"/>
          <w:highlight w:val="none"/>
        </w:rPr>
        <w:t>。</w:t>
      </w:r>
    </w:p>
    <w:p w14:paraId="01C9CFE1">
      <w:pPr>
        <w:spacing w:before="120" w:line="320" w:lineRule="atLeast"/>
        <w:ind w:firstLine="420" w:firstLineChars="200"/>
        <w:rPr>
          <w:rFonts w:hint="eastAsia"/>
          <w:color w:val="auto"/>
          <w:szCs w:val="21"/>
          <w:highlight w:val="none"/>
        </w:rPr>
      </w:pPr>
      <w:r>
        <w:rPr>
          <w:color w:val="auto"/>
          <w:szCs w:val="21"/>
          <w:highlight w:val="none"/>
        </w:rPr>
        <w:t>2.3.2</w:t>
      </w:r>
      <w:r>
        <w:rPr>
          <w:rFonts w:hint="eastAsia"/>
          <w:color w:val="auto"/>
          <w:szCs w:val="21"/>
          <w:highlight w:val="none"/>
        </w:rPr>
        <w:t>采购人、采购代理机构可以对已发出的采购文件进行必要的澄清或者修改，澄清或者修改的内容可能影响响应文件编制的，采购人、采购代理机构应当在提交首次响应文件截止之日3个工作日前，在供应商须知前附表规定的方式通知所有获取采购文件的潜在供应商，不足3个工作日的，采购人、采购代理机构应当顺延提交首次响应文件截止时间。</w:t>
      </w:r>
      <w:r>
        <w:rPr>
          <w:color w:val="auto"/>
          <w:szCs w:val="21"/>
          <w:highlight w:val="none"/>
        </w:rPr>
        <w:t xml:space="preserve"> </w:t>
      </w:r>
    </w:p>
    <w:p w14:paraId="0E99E8CA">
      <w:pPr>
        <w:spacing w:before="120" w:line="320" w:lineRule="atLeast"/>
        <w:ind w:firstLine="420" w:firstLineChars="200"/>
        <w:rPr>
          <w:color w:val="auto"/>
          <w:szCs w:val="21"/>
          <w:highlight w:val="none"/>
        </w:rPr>
      </w:pPr>
      <w:r>
        <w:rPr>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713BF79D">
      <w:pPr>
        <w:spacing w:before="120" w:line="320" w:lineRule="atLeast"/>
        <w:ind w:left="2" w:leftChars="1" w:firstLine="422" w:firstLineChars="200"/>
        <w:outlineLvl w:val="1"/>
        <w:rPr>
          <w:b/>
          <w:bCs/>
          <w:color w:val="auto"/>
          <w:kern w:val="0"/>
          <w:szCs w:val="21"/>
          <w:highlight w:val="none"/>
        </w:rPr>
      </w:pPr>
      <w:bookmarkStart w:id="35" w:name="_Toc254970676"/>
      <w:bookmarkStart w:id="36" w:name="_Toc254970535"/>
      <w:r>
        <w:rPr>
          <w:b/>
          <w:bCs/>
          <w:color w:val="auto"/>
          <w:kern w:val="0"/>
          <w:szCs w:val="21"/>
          <w:highlight w:val="none"/>
        </w:rPr>
        <w:t>3．响应文件</w:t>
      </w:r>
      <w:bookmarkEnd w:id="35"/>
      <w:bookmarkEnd w:id="36"/>
    </w:p>
    <w:p w14:paraId="13874ED6">
      <w:pPr>
        <w:spacing w:before="120" w:line="320" w:lineRule="atLeast"/>
        <w:ind w:firstLine="422" w:firstLineChars="200"/>
        <w:outlineLvl w:val="2"/>
        <w:rPr>
          <w:b/>
          <w:bCs/>
          <w:color w:val="auto"/>
          <w:kern w:val="0"/>
          <w:szCs w:val="21"/>
          <w:highlight w:val="none"/>
        </w:rPr>
      </w:pPr>
      <w:bookmarkStart w:id="37" w:name="_Toc254970536"/>
      <w:bookmarkStart w:id="38" w:name="_Toc254970677"/>
      <w:r>
        <w:rPr>
          <w:b/>
          <w:bCs/>
          <w:color w:val="auto"/>
          <w:kern w:val="0"/>
          <w:szCs w:val="21"/>
          <w:highlight w:val="none"/>
        </w:rPr>
        <w:t>3.1响应文件的组成</w:t>
      </w:r>
      <w:bookmarkEnd w:id="37"/>
      <w:bookmarkEnd w:id="38"/>
    </w:p>
    <w:p w14:paraId="2F2ECCA0">
      <w:pPr>
        <w:spacing w:before="120" w:line="320" w:lineRule="atLeast"/>
        <w:ind w:firstLine="420" w:firstLineChars="200"/>
        <w:rPr>
          <w:color w:val="auto"/>
          <w:szCs w:val="21"/>
          <w:highlight w:val="none"/>
        </w:rPr>
      </w:pPr>
      <w:r>
        <w:rPr>
          <w:color w:val="auto"/>
          <w:szCs w:val="21"/>
          <w:highlight w:val="none"/>
        </w:rPr>
        <w:t>响应文件由第六章“响应文件格式”规定的</w:t>
      </w:r>
      <w:r>
        <w:rPr>
          <w:rFonts w:hint="eastAsia"/>
          <w:color w:val="auto"/>
          <w:szCs w:val="21"/>
          <w:highlight w:val="none"/>
        </w:rPr>
        <w:t>内容</w:t>
      </w:r>
      <w:r>
        <w:rPr>
          <w:color w:val="auto"/>
          <w:szCs w:val="21"/>
          <w:highlight w:val="none"/>
        </w:rPr>
        <w:t>和供应商所作的一切有效补充、修改和承诺等文件组成</w:t>
      </w:r>
      <w:r>
        <w:rPr>
          <w:rFonts w:hint="eastAsia"/>
          <w:color w:val="auto"/>
          <w:szCs w:val="21"/>
          <w:highlight w:val="none"/>
        </w:rPr>
        <w:t>。</w:t>
      </w:r>
    </w:p>
    <w:p w14:paraId="71756DE7">
      <w:pPr>
        <w:spacing w:before="120" w:line="320" w:lineRule="atLeast"/>
        <w:ind w:firstLine="422" w:firstLineChars="200"/>
        <w:outlineLvl w:val="2"/>
        <w:rPr>
          <w:b/>
          <w:bCs/>
          <w:color w:val="auto"/>
          <w:kern w:val="0"/>
          <w:szCs w:val="21"/>
          <w:highlight w:val="none"/>
        </w:rPr>
      </w:pPr>
      <w:bookmarkStart w:id="39" w:name="_Toc254970678"/>
      <w:bookmarkStart w:id="40" w:name="_Toc254970537"/>
      <w:r>
        <w:rPr>
          <w:b/>
          <w:color w:val="auto"/>
          <w:szCs w:val="21"/>
          <w:highlight w:val="none"/>
        </w:rPr>
        <w:t>3.2</w:t>
      </w:r>
      <w:r>
        <w:rPr>
          <w:b/>
          <w:bCs/>
          <w:color w:val="auto"/>
          <w:kern w:val="0"/>
          <w:szCs w:val="21"/>
          <w:highlight w:val="none"/>
        </w:rPr>
        <w:t>响应文件的语言及计量</w:t>
      </w:r>
      <w:bookmarkEnd w:id="39"/>
      <w:bookmarkEnd w:id="40"/>
    </w:p>
    <w:p w14:paraId="3E102FDC">
      <w:pPr>
        <w:spacing w:before="120" w:line="320" w:lineRule="atLeast"/>
        <w:ind w:firstLine="420" w:firstLineChars="200"/>
        <w:rPr>
          <w:color w:val="auto"/>
          <w:szCs w:val="21"/>
          <w:highlight w:val="none"/>
        </w:rPr>
      </w:pPr>
      <w:r>
        <w:rPr>
          <w:color w:val="auto"/>
          <w:szCs w:val="21"/>
          <w:highlight w:val="none"/>
        </w:rPr>
        <w:t>3.2.1</w:t>
      </w:r>
      <w:r>
        <w:rPr>
          <w:rFonts w:hint="eastAsia"/>
          <w:color w:val="auto"/>
          <w:szCs w:val="21"/>
          <w:highlight w:val="none"/>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25C1BF1E">
      <w:pPr>
        <w:spacing w:before="120" w:line="320" w:lineRule="atLeast"/>
        <w:ind w:firstLine="420" w:firstLineChars="200"/>
        <w:rPr>
          <w:color w:val="auto"/>
          <w:szCs w:val="21"/>
          <w:highlight w:val="none"/>
        </w:rPr>
      </w:pPr>
      <w:r>
        <w:rPr>
          <w:color w:val="auto"/>
          <w:szCs w:val="21"/>
          <w:highlight w:val="none"/>
        </w:rPr>
        <w:t>3.2.2计量单位采购文件已有明确规定的，响应使用采购文件规定的计量单位；采购文件没有规定的，应采用中华人民共和国法定计量单位。</w:t>
      </w:r>
    </w:p>
    <w:p w14:paraId="18BA42D9">
      <w:pPr>
        <w:spacing w:before="120" w:line="320" w:lineRule="atLeast"/>
        <w:ind w:firstLine="422" w:firstLineChars="200"/>
        <w:outlineLvl w:val="2"/>
        <w:rPr>
          <w:b/>
          <w:bCs/>
          <w:color w:val="auto"/>
          <w:kern w:val="0"/>
          <w:szCs w:val="21"/>
          <w:highlight w:val="none"/>
        </w:rPr>
      </w:pPr>
      <w:bookmarkStart w:id="41" w:name="_Toc254970679"/>
      <w:bookmarkStart w:id="42" w:name="_Toc254970538"/>
      <w:r>
        <w:rPr>
          <w:b/>
          <w:bCs/>
          <w:color w:val="auto"/>
          <w:kern w:val="0"/>
          <w:szCs w:val="21"/>
          <w:highlight w:val="none"/>
        </w:rPr>
        <w:t>3.3响应报价</w:t>
      </w:r>
      <w:bookmarkEnd w:id="41"/>
      <w:bookmarkEnd w:id="42"/>
    </w:p>
    <w:p w14:paraId="34BC85D4">
      <w:pPr>
        <w:spacing w:before="120" w:line="320" w:lineRule="atLeast"/>
        <w:ind w:firstLine="420" w:firstLineChars="200"/>
        <w:rPr>
          <w:color w:val="auto"/>
          <w:szCs w:val="21"/>
          <w:highlight w:val="none"/>
        </w:rPr>
      </w:pPr>
      <w:r>
        <w:rPr>
          <w:color w:val="auto"/>
          <w:szCs w:val="21"/>
          <w:highlight w:val="none"/>
        </w:rPr>
        <w:t>3.3.1响应报价应按采购文件中相关附表格式填写。</w:t>
      </w:r>
    </w:p>
    <w:p w14:paraId="4C9298F5">
      <w:pPr>
        <w:spacing w:before="120" w:line="320" w:lineRule="atLeast"/>
        <w:ind w:firstLine="420" w:firstLineChars="200"/>
        <w:rPr>
          <w:color w:val="auto"/>
          <w:szCs w:val="21"/>
          <w:highlight w:val="none"/>
        </w:rPr>
      </w:pPr>
      <w:r>
        <w:rPr>
          <w:color w:val="auto"/>
          <w:szCs w:val="21"/>
          <w:highlight w:val="none"/>
        </w:rPr>
        <w:t>3.3.2响应文件只允许有一个报价，有选择的或有条件的报价将不予接受。</w:t>
      </w:r>
    </w:p>
    <w:p w14:paraId="23B12777">
      <w:pPr>
        <w:suppressAutoHyphens/>
        <w:spacing w:before="120" w:line="320" w:lineRule="atLeast"/>
        <w:ind w:firstLine="420" w:firstLineChars="200"/>
        <w:rPr>
          <w:color w:val="auto"/>
          <w:kern w:val="1"/>
          <w:szCs w:val="21"/>
          <w:highlight w:val="none"/>
        </w:rPr>
      </w:pPr>
      <w:r>
        <w:rPr>
          <w:color w:val="auto"/>
          <w:kern w:val="1"/>
          <w:szCs w:val="21"/>
          <w:highlight w:val="none"/>
        </w:rPr>
        <w:t>3.3.3对于本文件中未列明，而供应商认为必需的费用也需列入</w:t>
      </w:r>
      <w:r>
        <w:rPr>
          <w:rFonts w:hint="eastAsia"/>
          <w:color w:val="auto"/>
          <w:kern w:val="1"/>
          <w:szCs w:val="21"/>
          <w:highlight w:val="none"/>
        </w:rPr>
        <w:t>响应报价</w:t>
      </w:r>
      <w:r>
        <w:rPr>
          <w:color w:val="auto"/>
          <w:kern w:val="1"/>
          <w:szCs w:val="21"/>
          <w:highlight w:val="none"/>
        </w:rPr>
        <w:t>。在合同实施时，采购人将不予支付成交供应商没有列入的项目费用，并认为此项目的费用已包括在</w:t>
      </w:r>
      <w:r>
        <w:rPr>
          <w:rFonts w:hint="eastAsia"/>
          <w:color w:val="auto"/>
          <w:kern w:val="1"/>
          <w:szCs w:val="21"/>
          <w:highlight w:val="none"/>
        </w:rPr>
        <w:t>响应报价</w:t>
      </w:r>
      <w:r>
        <w:rPr>
          <w:color w:val="auto"/>
          <w:kern w:val="1"/>
          <w:szCs w:val="21"/>
          <w:highlight w:val="none"/>
        </w:rPr>
        <w:t>中。</w:t>
      </w:r>
    </w:p>
    <w:p w14:paraId="158F64C6">
      <w:pPr>
        <w:suppressAutoHyphens/>
        <w:spacing w:before="120" w:line="320" w:lineRule="atLeast"/>
        <w:ind w:firstLine="420" w:firstLineChars="200"/>
        <w:rPr>
          <w:b/>
          <w:bCs/>
          <w:color w:val="auto"/>
          <w:kern w:val="1"/>
          <w:szCs w:val="21"/>
          <w:highlight w:val="none"/>
        </w:rPr>
      </w:pPr>
      <w:r>
        <w:rPr>
          <w:rFonts w:hint="eastAsia"/>
          <w:color w:val="auto"/>
          <w:kern w:val="1"/>
          <w:szCs w:val="21"/>
          <w:highlight w:val="none"/>
        </w:rPr>
        <w:t>3</w:t>
      </w:r>
      <w:r>
        <w:rPr>
          <w:color w:val="auto"/>
          <w:kern w:val="1"/>
          <w:szCs w:val="21"/>
          <w:highlight w:val="none"/>
        </w:rPr>
        <w:t>.3.4</w:t>
      </w:r>
      <w:r>
        <w:rPr>
          <w:rFonts w:hint="eastAsia"/>
          <w:color w:val="auto"/>
          <w:kern w:val="1"/>
          <w:szCs w:val="21"/>
          <w:highlight w:val="none"/>
        </w:rPr>
        <w:t>采购人不接受供应商给予的赠品、回扣或者与采购无关的其他商品、服务。</w:t>
      </w:r>
    </w:p>
    <w:p w14:paraId="14950609">
      <w:pPr>
        <w:spacing w:before="120" w:line="320" w:lineRule="atLeast"/>
        <w:ind w:firstLine="422" w:firstLineChars="200"/>
        <w:outlineLvl w:val="2"/>
        <w:rPr>
          <w:b/>
          <w:bCs/>
          <w:color w:val="auto"/>
          <w:kern w:val="0"/>
          <w:szCs w:val="21"/>
          <w:highlight w:val="none"/>
        </w:rPr>
      </w:pPr>
      <w:r>
        <w:rPr>
          <w:b/>
          <w:bCs/>
          <w:color w:val="auto"/>
          <w:kern w:val="0"/>
          <w:szCs w:val="21"/>
          <w:highlight w:val="none"/>
        </w:rPr>
        <w:t>3.4响应有效期</w:t>
      </w:r>
    </w:p>
    <w:p w14:paraId="72531714">
      <w:pPr>
        <w:spacing w:before="120" w:line="320" w:lineRule="atLeast"/>
        <w:ind w:firstLine="420" w:firstLineChars="200"/>
        <w:rPr>
          <w:color w:val="auto"/>
          <w:szCs w:val="21"/>
          <w:highlight w:val="none"/>
        </w:rPr>
      </w:pPr>
      <w:r>
        <w:rPr>
          <w:color w:val="auto"/>
          <w:szCs w:val="21"/>
          <w:highlight w:val="none"/>
        </w:rPr>
        <w:t>3.4.1如采购文件其他地方无特别规定</w:t>
      </w:r>
      <w:r>
        <w:rPr>
          <w:rFonts w:hint="eastAsia"/>
          <w:color w:val="auto"/>
          <w:szCs w:val="21"/>
          <w:highlight w:val="none"/>
        </w:rPr>
        <w:t>，</w:t>
      </w:r>
      <w:r>
        <w:rPr>
          <w:color w:val="auto"/>
          <w:szCs w:val="21"/>
          <w:highlight w:val="none"/>
        </w:rPr>
        <w:t>响应有效期则为响应截止之日起90天</w:t>
      </w:r>
      <w:r>
        <w:rPr>
          <w:rFonts w:hint="eastAsia"/>
          <w:color w:val="auto"/>
          <w:szCs w:val="21"/>
          <w:highlight w:val="none"/>
        </w:rPr>
        <w:t>。</w:t>
      </w:r>
      <w:r>
        <w:rPr>
          <w:color w:val="auto"/>
          <w:szCs w:val="21"/>
          <w:highlight w:val="none"/>
        </w:rPr>
        <w:t>在响应有效期内响应文件应保持有效。</w:t>
      </w:r>
      <w:r>
        <w:rPr>
          <w:b/>
          <w:bCs/>
          <w:color w:val="auto"/>
          <w:szCs w:val="21"/>
          <w:highlight w:val="none"/>
        </w:rPr>
        <w:t>有效期不足的响应文件将被否决</w:t>
      </w:r>
      <w:r>
        <w:rPr>
          <w:color w:val="auto"/>
          <w:szCs w:val="21"/>
          <w:highlight w:val="none"/>
        </w:rPr>
        <w:t>。</w:t>
      </w:r>
    </w:p>
    <w:p w14:paraId="7A67BF75">
      <w:pPr>
        <w:spacing w:before="120" w:line="320" w:lineRule="atLeast"/>
        <w:ind w:firstLine="420" w:firstLineChars="200"/>
        <w:rPr>
          <w:color w:val="auto"/>
          <w:szCs w:val="21"/>
          <w:highlight w:val="none"/>
        </w:rPr>
      </w:pPr>
      <w:r>
        <w:rPr>
          <w:color w:val="auto"/>
          <w:szCs w:val="21"/>
          <w:highlight w:val="none"/>
        </w:rPr>
        <w:t>3.4.2在特殊情况下，采购人可与供应商协商延长响应文件的有效期，这种要求和答复均以书面形式进行。</w:t>
      </w:r>
    </w:p>
    <w:p w14:paraId="4D013B1F">
      <w:pPr>
        <w:spacing w:before="120" w:line="320" w:lineRule="atLeast"/>
        <w:ind w:firstLine="420" w:firstLineChars="200"/>
        <w:rPr>
          <w:color w:val="auto"/>
          <w:szCs w:val="21"/>
          <w:highlight w:val="none"/>
        </w:rPr>
      </w:pPr>
      <w:r>
        <w:rPr>
          <w:color w:val="auto"/>
          <w:szCs w:val="21"/>
          <w:highlight w:val="none"/>
        </w:rPr>
        <w:t>3.4.3</w:t>
      </w:r>
      <w:r>
        <w:rPr>
          <w:rFonts w:hint="eastAsia"/>
          <w:color w:val="auto"/>
          <w:szCs w:val="21"/>
          <w:highlight w:val="none"/>
        </w:rPr>
        <w:t>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7D2E5E3F">
      <w:pPr>
        <w:spacing w:before="120" w:line="320" w:lineRule="atLeast"/>
        <w:ind w:firstLine="422" w:firstLineChars="200"/>
        <w:outlineLvl w:val="2"/>
        <w:rPr>
          <w:b/>
          <w:bCs/>
          <w:color w:val="auto"/>
          <w:kern w:val="0"/>
          <w:szCs w:val="21"/>
          <w:highlight w:val="none"/>
        </w:rPr>
      </w:pPr>
      <w:bookmarkStart w:id="43" w:name="_Toc254970682"/>
      <w:bookmarkStart w:id="44" w:name="_Toc254970541"/>
      <w:r>
        <w:rPr>
          <w:b/>
          <w:bCs/>
          <w:color w:val="auto"/>
          <w:kern w:val="0"/>
          <w:szCs w:val="21"/>
          <w:highlight w:val="none"/>
        </w:rPr>
        <w:t>3.5磋商保证金</w:t>
      </w:r>
      <w:bookmarkEnd w:id="43"/>
      <w:bookmarkEnd w:id="44"/>
    </w:p>
    <w:p w14:paraId="7B707314">
      <w:pPr>
        <w:spacing w:before="120" w:line="320" w:lineRule="atLeast"/>
        <w:ind w:firstLine="420" w:firstLineChars="200"/>
        <w:rPr>
          <w:color w:val="auto"/>
          <w:szCs w:val="21"/>
          <w:highlight w:val="none"/>
        </w:rPr>
      </w:pPr>
      <w:r>
        <w:rPr>
          <w:color w:val="auto"/>
          <w:szCs w:val="21"/>
          <w:highlight w:val="none"/>
        </w:rPr>
        <w:t>3.5.1供应商须按须知前附表规定提交磋商保证金，</w:t>
      </w:r>
      <w:r>
        <w:rPr>
          <w:b/>
          <w:bCs/>
          <w:color w:val="auto"/>
          <w:szCs w:val="21"/>
          <w:highlight w:val="none"/>
        </w:rPr>
        <w:t>否则其响应将被否决</w:t>
      </w:r>
      <w:r>
        <w:rPr>
          <w:color w:val="auto"/>
          <w:szCs w:val="21"/>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6EDE9640">
      <w:pPr>
        <w:spacing w:before="120" w:line="320" w:lineRule="atLeast"/>
        <w:ind w:firstLine="420" w:firstLineChars="200"/>
        <w:rPr>
          <w:color w:val="auto"/>
          <w:szCs w:val="21"/>
          <w:highlight w:val="none"/>
        </w:rPr>
      </w:pPr>
      <w:r>
        <w:rPr>
          <w:color w:val="auto"/>
          <w:szCs w:val="21"/>
          <w:highlight w:val="none"/>
        </w:rPr>
        <w:t>3.5.2磋商保证金币种应与响应报价币种相同。</w:t>
      </w:r>
    </w:p>
    <w:p w14:paraId="19D19311">
      <w:pPr>
        <w:spacing w:before="120" w:line="320" w:lineRule="atLeast"/>
        <w:ind w:firstLine="420" w:firstLineChars="200"/>
        <w:rPr>
          <w:color w:val="auto"/>
          <w:szCs w:val="21"/>
          <w:highlight w:val="none"/>
        </w:rPr>
      </w:pPr>
      <w:r>
        <w:rPr>
          <w:color w:val="auto"/>
          <w:szCs w:val="21"/>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4B1337D9">
      <w:pPr>
        <w:spacing w:before="120" w:line="320" w:lineRule="atLeast"/>
        <w:ind w:firstLine="420" w:firstLineChars="200"/>
        <w:rPr>
          <w:color w:val="auto"/>
          <w:szCs w:val="21"/>
          <w:highlight w:val="none"/>
        </w:rPr>
      </w:pPr>
      <w:r>
        <w:rPr>
          <w:color w:val="auto"/>
          <w:szCs w:val="21"/>
          <w:highlight w:val="none"/>
        </w:rPr>
        <w:t>3.5.4供应商有下列情形之一的，磋商保证金将不予退还：</w:t>
      </w:r>
    </w:p>
    <w:p w14:paraId="24C95AE4">
      <w:pPr>
        <w:numPr>
          <w:ilvl w:val="0"/>
          <w:numId w:val="1"/>
        </w:numPr>
        <w:spacing w:before="120" w:line="320" w:lineRule="atLeast"/>
        <w:rPr>
          <w:color w:val="auto"/>
          <w:szCs w:val="21"/>
          <w:highlight w:val="none"/>
        </w:rPr>
      </w:pPr>
      <w:r>
        <w:rPr>
          <w:color w:val="auto"/>
          <w:szCs w:val="21"/>
          <w:highlight w:val="none"/>
        </w:rPr>
        <w:t>供应商在响应有效期内撤销响应文件的；</w:t>
      </w:r>
    </w:p>
    <w:p w14:paraId="392E65A0">
      <w:pPr>
        <w:numPr>
          <w:ilvl w:val="0"/>
          <w:numId w:val="1"/>
        </w:numPr>
        <w:spacing w:before="120" w:line="320" w:lineRule="atLeast"/>
        <w:rPr>
          <w:color w:val="auto"/>
          <w:szCs w:val="21"/>
          <w:highlight w:val="none"/>
        </w:rPr>
      </w:pPr>
      <w:r>
        <w:rPr>
          <w:color w:val="auto"/>
          <w:szCs w:val="21"/>
          <w:highlight w:val="none"/>
        </w:rPr>
        <w:t>供应商在响应过程中弄虚作假，提供虚假材料的；</w:t>
      </w:r>
    </w:p>
    <w:p w14:paraId="062E45F2">
      <w:pPr>
        <w:numPr>
          <w:ilvl w:val="0"/>
          <w:numId w:val="1"/>
        </w:numPr>
        <w:spacing w:before="120" w:line="320" w:lineRule="atLeast"/>
        <w:rPr>
          <w:color w:val="auto"/>
          <w:szCs w:val="21"/>
          <w:highlight w:val="none"/>
        </w:rPr>
      </w:pPr>
      <w:r>
        <w:rPr>
          <w:color w:val="auto"/>
          <w:szCs w:val="21"/>
          <w:highlight w:val="none"/>
        </w:rPr>
        <w:t>成交供应商无正当理由不与采购人签订合同的；</w:t>
      </w:r>
    </w:p>
    <w:p w14:paraId="26F0F330">
      <w:pPr>
        <w:numPr>
          <w:ilvl w:val="0"/>
          <w:numId w:val="1"/>
        </w:numPr>
        <w:spacing w:before="120" w:line="320" w:lineRule="atLeast"/>
        <w:rPr>
          <w:color w:val="auto"/>
          <w:szCs w:val="21"/>
          <w:highlight w:val="none"/>
        </w:rPr>
      </w:pPr>
      <w:r>
        <w:rPr>
          <w:color w:val="auto"/>
          <w:szCs w:val="21"/>
          <w:highlight w:val="none"/>
        </w:rPr>
        <w:t>将成交项目转让给他人或者在响应文件中未说明且未经采购人同意，将成交项目分包给他人的；</w:t>
      </w:r>
    </w:p>
    <w:p w14:paraId="5A7F551F">
      <w:pPr>
        <w:numPr>
          <w:ilvl w:val="0"/>
          <w:numId w:val="1"/>
        </w:numPr>
        <w:spacing w:before="120" w:line="320" w:lineRule="atLeast"/>
        <w:rPr>
          <w:color w:val="auto"/>
          <w:szCs w:val="21"/>
          <w:highlight w:val="none"/>
        </w:rPr>
      </w:pPr>
      <w:r>
        <w:rPr>
          <w:rFonts w:hint="eastAsia"/>
          <w:color w:val="auto"/>
          <w:szCs w:val="21"/>
          <w:highlight w:val="none"/>
        </w:rPr>
        <w:t>供应商与采购人、其他供应商或者采购代理机构恶意串通的；</w:t>
      </w:r>
    </w:p>
    <w:p w14:paraId="23ABE1AD">
      <w:pPr>
        <w:numPr>
          <w:ilvl w:val="0"/>
          <w:numId w:val="1"/>
        </w:numPr>
        <w:spacing w:before="120" w:line="320" w:lineRule="atLeast"/>
        <w:rPr>
          <w:color w:val="auto"/>
          <w:szCs w:val="21"/>
          <w:highlight w:val="none"/>
        </w:rPr>
      </w:pPr>
      <w:r>
        <w:rPr>
          <w:color w:val="auto"/>
          <w:szCs w:val="21"/>
          <w:highlight w:val="none"/>
        </w:rPr>
        <w:t>拒绝履行合同义务的；</w:t>
      </w:r>
    </w:p>
    <w:p w14:paraId="38B74D9B">
      <w:pPr>
        <w:numPr>
          <w:ilvl w:val="0"/>
          <w:numId w:val="1"/>
        </w:numPr>
        <w:spacing w:before="120" w:line="320" w:lineRule="atLeast"/>
        <w:rPr>
          <w:color w:val="auto"/>
          <w:szCs w:val="21"/>
          <w:highlight w:val="none"/>
        </w:rPr>
      </w:pPr>
      <w:r>
        <w:rPr>
          <w:color w:val="auto"/>
          <w:szCs w:val="21"/>
          <w:highlight w:val="none"/>
        </w:rPr>
        <w:t>其他严重扰乱招</w:t>
      </w:r>
      <w:r>
        <w:rPr>
          <w:rFonts w:hint="eastAsia"/>
          <w:color w:val="auto"/>
          <w:szCs w:val="21"/>
          <w:highlight w:val="none"/>
        </w:rPr>
        <w:t>投标</w:t>
      </w:r>
      <w:r>
        <w:rPr>
          <w:color w:val="auto"/>
          <w:szCs w:val="21"/>
          <w:highlight w:val="none"/>
        </w:rPr>
        <w:t>程序的</w:t>
      </w:r>
      <w:r>
        <w:rPr>
          <w:rFonts w:hint="eastAsia"/>
          <w:color w:val="auto"/>
          <w:szCs w:val="21"/>
          <w:highlight w:val="none"/>
        </w:rPr>
        <w:t>。</w:t>
      </w:r>
    </w:p>
    <w:p w14:paraId="0845431D">
      <w:pPr>
        <w:spacing w:before="120" w:line="320" w:lineRule="atLeast"/>
        <w:ind w:firstLine="422" w:firstLineChars="200"/>
        <w:outlineLvl w:val="2"/>
        <w:rPr>
          <w:b/>
          <w:bCs/>
          <w:color w:val="auto"/>
          <w:kern w:val="0"/>
          <w:szCs w:val="21"/>
          <w:highlight w:val="none"/>
        </w:rPr>
      </w:pPr>
      <w:bookmarkStart w:id="45" w:name="_Toc254970683"/>
      <w:bookmarkStart w:id="46" w:name="_Toc254970542"/>
      <w:r>
        <w:rPr>
          <w:b/>
          <w:bCs/>
          <w:color w:val="auto"/>
          <w:kern w:val="0"/>
          <w:szCs w:val="21"/>
          <w:highlight w:val="none"/>
        </w:rPr>
        <w:t>3.6响应文件的</w:t>
      </w:r>
      <w:bookmarkEnd w:id="45"/>
      <w:bookmarkEnd w:id="46"/>
      <w:r>
        <w:rPr>
          <w:b/>
          <w:bCs/>
          <w:color w:val="auto"/>
          <w:kern w:val="0"/>
          <w:szCs w:val="21"/>
          <w:highlight w:val="none"/>
        </w:rPr>
        <w:t>编制要求</w:t>
      </w:r>
    </w:p>
    <w:p w14:paraId="5A4D316E">
      <w:pPr>
        <w:spacing w:before="120" w:line="320" w:lineRule="atLeast"/>
        <w:ind w:firstLine="420" w:firstLineChars="200"/>
        <w:rPr>
          <w:b/>
          <w:bCs/>
          <w:color w:val="auto"/>
          <w:kern w:val="0"/>
          <w:szCs w:val="21"/>
          <w:highlight w:val="none"/>
        </w:rPr>
      </w:pPr>
      <w:r>
        <w:rPr>
          <w:rFonts w:hint="eastAsia"/>
          <w:color w:val="auto"/>
          <w:kern w:val="0"/>
          <w:szCs w:val="21"/>
          <w:highlight w:val="none"/>
        </w:rPr>
        <w:t>3</w:t>
      </w:r>
      <w:r>
        <w:rPr>
          <w:color w:val="auto"/>
          <w:kern w:val="0"/>
          <w:szCs w:val="21"/>
          <w:highlight w:val="none"/>
        </w:rPr>
        <w:t>.6.1</w:t>
      </w:r>
      <w:r>
        <w:rPr>
          <w:rFonts w:hint="eastAsia"/>
          <w:color w:val="auto"/>
          <w:szCs w:val="21"/>
          <w:highlight w:val="none"/>
        </w:rPr>
        <w:t>供应商应先安装广西政府采购云平台新版客户端，通过账号密码或C</w:t>
      </w:r>
      <w:r>
        <w:rPr>
          <w:color w:val="auto"/>
          <w:szCs w:val="21"/>
          <w:highlight w:val="none"/>
        </w:rPr>
        <w:t>A</w:t>
      </w:r>
      <w:r>
        <w:rPr>
          <w:rFonts w:hint="eastAsia"/>
          <w:color w:val="auto"/>
          <w:szCs w:val="21"/>
          <w:highlight w:val="none"/>
        </w:rPr>
        <w:t>登录客户端制作响应文件。</w:t>
      </w:r>
    </w:p>
    <w:p w14:paraId="12332D48">
      <w:pPr>
        <w:spacing w:before="120" w:line="320" w:lineRule="atLeast"/>
        <w:ind w:firstLine="420" w:firstLineChars="200"/>
        <w:rPr>
          <w:color w:val="auto"/>
          <w:szCs w:val="21"/>
          <w:highlight w:val="none"/>
        </w:rPr>
      </w:pPr>
      <w:r>
        <w:rPr>
          <w:color w:val="auto"/>
          <w:szCs w:val="21"/>
          <w:highlight w:val="none"/>
        </w:rPr>
        <w:t>3.6.2</w:t>
      </w:r>
      <w:r>
        <w:rPr>
          <w:rFonts w:hint="eastAsia"/>
          <w:color w:val="auto"/>
          <w:szCs w:val="21"/>
          <w:highlight w:val="none"/>
        </w:rPr>
        <w:t>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02957479">
      <w:pPr>
        <w:spacing w:before="120" w:line="320" w:lineRule="atLeast"/>
        <w:ind w:firstLine="420" w:firstLineChars="200"/>
        <w:rPr>
          <w:color w:val="auto"/>
          <w:szCs w:val="21"/>
          <w:highlight w:val="none"/>
        </w:rPr>
      </w:pPr>
      <w:r>
        <w:rPr>
          <w:color w:val="auto"/>
          <w:szCs w:val="21"/>
          <w:highlight w:val="none"/>
        </w:rPr>
        <w:t xml:space="preserve">3.6.3 </w:t>
      </w:r>
      <w:r>
        <w:rPr>
          <w:rFonts w:hint="eastAsia"/>
          <w:color w:val="auto"/>
          <w:szCs w:val="21"/>
          <w:highlight w:val="none"/>
        </w:rPr>
        <w:t>供应商的响应文件未按照采购文件要求签署、盖章的，其响应无效。</w:t>
      </w:r>
    </w:p>
    <w:p w14:paraId="4041EAD4">
      <w:pPr>
        <w:spacing w:before="120" w:line="320" w:lineRule="atLeast"/>
        <w:ind w:firstLine="420" w:firstLineChars="200"/>
        <w:rPr>
          <w:color w:val="auto"/>
          <w:szCs w:val="21"/>
          <w:highlight w:val="none"/>
        </w:rPr>
      </w:pPr>
      <w:r>
        <w:rPr>
          <w:color w:val="auto"/>
          <w:szCs w:val="21"/>
          <w:highlight w:val="none"/>
        </w:rPr>
        <w:t>3.6.4</w:t>
      </w:r>
      <w:r>
        <w:rPr>
          <w:rFonts w:hint="eastAsia"/>
          <w:color w:val="auto"/>
          <w:szCs w:val="21"/>
          <w:highlight w:val="none"/>
        </w:rPr>
        <w:t>为确保网上操作合法、有效和安全，供应商应当在响应截止时间前完成在广西政府采购云平台的身份认证，确保在电子投标过程中能够对相关数据电文进行加密和使用电子签名。</w:t>
      </w:r>
    </w:p>
    <w:p w14:paraId="498946B8">
      <w:pPr>
        <w:spacing w:before="120" w:line="320" w:lineRule="atLeast"/>
        <w:ind w:firstLine="420" w:firstLineChars="200"/>
        <w:rPr>
          <w:color w:val="auto"/>
          <w:szCs w:val="21"/>
          <w:highlight w:val="none"/>
        </w:rPr>
      </w:pPr>
      <w:r>
        <w:rPr>
          <w:rFonts w:hint="eastAsia"/>
          <w:color w:val="auto"/>
          <w:szCs w:val="21"/>
          <w:highlight w:val="none"/>
        </w:rPr>
        <w:t>3</w:t>
      </w:r>
      <w:r>
        <w:rPr>
          <w:color w:val="auto"/>
          <w:szCs w:val="21"/>
          <w:highlight w:val="none"/>
        </w:rPr>
        <w:t>.6.5</w:t>
      </w:r>
      <w:r>
        <w:rPr>
          <w:rFonts w:hint="eastAsia"/>
          <w:color w:val="auto"/>
          <w:szCs w:val="21"/>
          <w:highlight w:val="none"/>
        </w:rPr>
        <w:t>响应文件中标注的供应商名称应与主体资格证明（如营业执照、事业单位法人证书、执业许可证、个体工商户营业执照、自然人身份证等）和公章/电子签章一致，</w:t>
      </w:r>
      <w:r>
        <w:rPr>
          <w:rFonts w:hint="eastAsia"/>
          <w:b/>
          <w:bCs/>
          <w:color w:val="auto"/>
          <w:szCs w:val="21"/>
          <w:highlight w:val="none"/>
        </w:rPr>
        <w:t>否则作无效响应处理。</w:t>
      </w:r>
    </w:p>
    <w:p w14:paraId="2A90DF51">
      <w:pPr>
        <w:spacing w:before="120" w:line="320" w:lineRule="atLeast"/>
        <w:ind w:firstLine="422" w:firstLineChars="200"/>
        <w:outlineLvl w:val="2"/>
        <w:rPr>
          <w:b/>
          <w:bCs/>
          <w:color w:val="auto"/>
          <w:kern w:val="0"/>
          <w:szCs w:val="21"/>
          <w:highlight w:val="none"/>
        </w:rPr>
      </w:pPr>
      <w:r>
        <w:rPr>
          <w:b/>
          <w:bCs/>
          <w:color w:val="auto"/>
          <w:kern w:val="0"/>
          <w:szCs w:val="21"/>
          <w:highlight w:val="none"/>
        </w:rPr>
        <w:t>3.7响应文件的递交、修改和撤回</w:t>
      </w:r>
    </w:p>
    <w:p w14:paraId="19B49F89">
      <w:pPr>
        <w:spacing w:before="120" w:line="320" w:lineRule="atLeast"/>
        <w:ind w:firstLine="420" w:firstLineChars="200"/>
        <w:rPr>
          <w:color w:val="auto"/>
          <w:szCs w:val="21"/>
          <w:highlight w:val="none"/>
        </w:rPr>
      </w:pPr>
      <w:r>
        <w:rPr>
          <w:color w:val="auto"/>
          <w:szCs w:val="21"/>
          <w:highlight w:val="none"/>
        </w:rPr>
        <w:t>3.7.1</w:t>
      </w:r>
      <w:r>
        <w:rPr>
          <w:rFonts w:hint="eastAsia"/>
          <w:color w:val="auto"/>
          <w:szCs w:val="21"/>
          <w:highlight w:val="none"/>
        </w:rPr>
        <w:t xml:space="preserve">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338F9E7C">
      <w:pPr>
        <w:spacing w:before="120" w:line="320" w:lineRule="atLeast"/>
        <w:ind w:firstLine="420" w:firstLineChars="200"/>
        <w:rPr>
          <w:color w:val="auto"/>
          <w:szCs w:val="21"/>
          <w:highlight w:val="none"/>
        </w:rPr>
      </w:pPr>
      <w:r>
        <w:rPr>
          <w:rFonts w:hint="eastAsia"/>
          <w:color w:val="auto"/>
          <w:szCs w:val="21"/>
          <w:highlight w:val="none"/>
        </w:rPr>
        <w:t>3</w:t>
      </w:r>
      <w:r>
        <w:rPr>
          <w:color w:val="auto"/>
          <w:szCs w:val="21"/>
          <w:highlight w:val="none"/>
        </w:rPr>
        <w:t>.7.2</w:t>
      </w:r>
      <w:r>
        <w:rPr>
          <w:rFonts w:hint="eastAsia"/>
          <w:color w:val="auto"/>
          <w:szCs w:val="21"/>
          <w:highlight w:val="none"/>
        </w:rPr>
        <w:t xml:space="preserve">未在规定时间内提交或者未按照采购文件要求签章、加密的电子响应文件，广西政府采购云平台将拒收。 </w:t>
      </w:r>
    </w:p>
    <w:p w14:paraId="199DA8E8">
      <w:pPr>
        <w:spacing w:before="120" w:line="320" w:lineRule="atLeast"/>
        <w:ind w:left="2" w:leftChars="1" w:firstLine="420" w:firstLineChars="200"/>
        <w:rPr>
          <w:color w:val="auto"/>
          <w:szCs w:val="21"/>
          <w:highlight w:val="none"/>
        </w:rPr>
      </w:pPr>
      <w:bookmarkStart w:id="47" w:name="_Toc254970685"/>
      <w:bookmarkStart w:id="48" w:name="_Toc254970544"/>
      <w:r>
        <w:rPr>
          <w:rFonts w:hint="eastAsia"/>
          <w:color w:val="auto"/>
          <w:szCs w:val="21"/>
          <w:highlight w:val="none"/>
        </w:rPr>
        <w:t>3</w:t>
      </w:r>
      <w:r>
        <w:rPr>
          <w:color w:val="auto"/>
          <w:szCs w:val="21"/>
          <w:highlight w:val="none"/>
        </w:rPr>
        <w:t>.7.3</w:t>
      </w:r>
      <w:r>
        <w:rPr>
          <w:rFonts w:hint="eastAsia"/>
          <w:color w:val="auto"/>
          <w:szCs w:val="21"/>
          <w:highlight w:val="none"/>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52C33995">
      <w:pPr>
        <w:spacing w:before="120" w:line="320" w:lineRule="atLeast"/>
        <w:ind w:left="2" w:leftChars="1" w:firstLine="420" w:firstLineChars="200"/>
        <w:rPr>
          <w:color w:val="auto"/>
          <w:szCs w:val="21"/>
          <w:highlight w:val="none"/>
        </w:rPr>
      </w:pPr>
      <w:r>
        <w:rPr>
          <w:color w:val="auto"/>
          <w:szCs w:val="21"/>
          <w:highlight w:val="none"/>
        </w:rPr>
        <w:t>3.7.4</w:t>
      </w:r>
      <w:r>
        <w:rPr>
          <w:rFonts w:hint="eastAsia"/>
          <w:color w:val="auto"/>
          <w:szCs w:val="21"/>
          <w:highlight w:val="none"/>
        </w:rPr>
        <w:t>在响应截止时间前，除供应商补充、修改或者撤回响应文件外，任何单位和个人不得解密或提取响应文件。</w:t>
      </w:r>
    </w:p>
    <w:p w14:paraId="068C4B46">
      <w:pPr>
        <w:spacing w:before="120" w:line="320" w:lineRule="atLeast"/>
        <w:ind w:left="2" w:leftChars="1" w:firstLine="420" w:firstLineChars="200"/>
        <w:rPr>
          <w:color w:val="auto"/>
          <w:szCs w:val="21"/>
          <w:highlight w:val="none"/>
        </w:rPr>
      </w:pPr>
      <w:r>
        <w:rPr>
          <w:color w:val="auto"/>
          <w:szCs w:val="21"/>
          <w:highlight w:val="none"/>
        </w:rPr>
        <w:t>3.7.5</w:t>
      </w:r>
      <w:r>
        <w:rPr>
          <w:rFonts w:hint="eastAsia"/>
          <w:color w:val="auto"/>
          <w:szCs w:val="21"/>
          <w:highlight w:val="none"/>
        </w:rPr>
        <w:t>在响应截止时间止提交电子版响应文件的供应商不足3家时，电子版响应文件由代理机构在广西政府采购云平台操作退回，除此之外采购人和采购代理机构对已提交的响应文件概不退回。</w:t>
      </w:r>
    </w:p>
    <w:p w14:paraId="50F340F6">
      <w:pPr>
        <w:spacing w:before="120" w:line="320" w:lineRule="atLeast"/>
        <w:ind w:left="2" w:leftChars="1" w:firstLine="420" w:firstLineChars="200"/>
        <w:rPr>
          <w:rFonts w:hint="eastAsia"/>
          <w:color w:val="auto"/>
          <w:szCs w:val="21"/>
          <w:highlight w:val="none"/>
        </w:rPr>
      </w:pPr>
      <w:bookmarkStart w:id="49" w:name="_Hlk93046827"/>
      <w:r>
        <w:rPr>
          <w:rFonts w:hint="eastAsia"/>
          <w:color w:val="auto"/>
          <w:szCs w:val="21"/>
          <w:highlight w:val="none"/>
        </w:rPr>
        <w:t>3</w:t>
      </w:r>
      <w:r>
        <w:rPr>
          <w:color w:val="auto"/>
          <w:szCs w:val="21"/>
          <w:highlight w:val="none"/>
        </w:rPr>
        <w:t>.7.6</w:t>
      </w:r>
      <w:r>
        <w:rPr>
          <w:rFonts w:hint="eastAsia"/>
          <w:color w:val="auto"/>
          <w:szCs w:val="21"/>
          <w:highlight w:val="none"/>
        </w:rPr>
        <w:t>采购文件</w:t>
      </w:r>
      <w:bookmarkStart w:id="50" w:name="_Hlk106638610"/>
      <w:r>
        <w:rPr>
          <w:rFonts w:hint="eastAsia"/>
          <w:color w:val="auto"/>
          <w:szCs w:val="21"/>
          <w:highlight w:val="none"/>
        </w:rPr>
        <w:t>未允许同一供应商提交两个或以上不同的响应文件，但存在</w:t>
      </w:r>
      <w:r>
        <w:rPr>
          <w:rFonts w:hint="eastAsia"/>
          <w:color w:val="auto"/>
          <w:highlight w:val="none"/>
        </w:rPr>
        <w:t>同</w:t>
      </w:r>
      <w:r>
        <w:rPr>
          <w:rFonts w:hint="eastAsia"/>
          <w:color w:val="auto"/>
          <w:szCs w:val="21"/>
          <w:highlight w:val="none"/>
        </w:rPr>
        <w:t>一供应商提交两个或以上不同的响应文件的</w:t>
      </w:r>
      <w:bookmarkEnd w:id="50"/>
      <w:r>
        <w:rPr>
          <w:rFonts w:hint="eastAsia"/>
          <w:color w:val="auto"/>
          <w:szCs w:val="21"/>
          <w:highlight w:val="none"/>
        </w:rPr>
        <w:t>，</w:t>
      </w:r>
      <w:r>
        <w:rPr>
          <w:rFonts w:hint="eastAsia"/>
          <w:b/>
          <w:bCs/>
          <w:color w:val="auto"/>
          <w:szCs w:val="21"/>
          <w:highlight w:val="none"/>
        </w:rPr>
        <w:t>其响应无效。</w:t>
      </w:r>
      <w:r>
        <w:rPr>
          <w:rFonts w:hint="eastAsia"/>
          <w:color w:val="auto"/>
          <w:szCs w:val="21"/>
          <w:highlight w:val="none"/>
        </w:rPr>
        <w:t>供应商在同一响应文件中对某项技术、商务要求提供有选择性的响应参数或方案等同于提交两个或以上不同的响应文件。</w:t>
      </w:r>
      <w:bookmarkEnd w:id="49"/>
    </w:p>
    <w:p w14:paraId="76223C6C">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4．截标</w:t>
      </w:r>
      <w:bookmarkEnd w:id="47"/>
      <w:bookmarkEnd w:id="48"/>
    </w:p>
    <w:p w14:paraId="757BB825">
      <w:pPr>
        <w:spacing w:before="120" w:line="320" w:lineRule="atLeast"/>
        <w:ind w:firstLine="422" w:firstLineChars="200"/>
        <w:outlineLvl w:val="2"/>
        <w:rPr>
          <w:b/>
          <w:bCs/>
          <w:color w:val="auto"/>
          <w:kern w:val="0"/>
          <w:szCs w:val="21"/>
          <w:highlight w:val="none"/>
        </w:rPr>
      </w:pPr>
      <w:r>
        <w:rPr>
          <w:b/>
          <w:bCs/>
          <w:color w:val="auto"/>
          <w:kern w:val="0"/>
          <w:szCs w:val="21"/>
          <w:highlight w:val="none"/>
        </w:rPr>
        <w:t>4.1截标准备</w:t>
      </w:r>
    </w:p>
    <w:p w14:paraId="11DE7EC7">
      <w:pPr>
        <w:spacing w:before="120" w:line="276" w:lineRule="auto"/>
        <w:ind w:firstLine="420" w:firstLineChars="200"/>
        <w:rPr>
          <w:color w:val="auto"/>
          <w:szCs w:val="21"/>
          <w:highlight w:val="none"/>
        </w:rPr>
      </w:pPr>
      <w:r>
        <w:rPr>
          <w:color w:val="auto"/>
          <w:szCs w:val="21"/>
          <w:highlight w:val="none"/>
        </w:rPr>
        <w:t>本项目响应截止时间及地点见“供应商须知前附表”规定。</w:t>
      </w:r>
    </w:p>
    <w:p w14:paraId="6B0FDF80">
      <w:pPr>
        <w:autoSpaceDE w:val="0"/>
        <w:autoSpaceDN w:val="0"/>
        <w:adjustRightInd w:val="0"/>
        <w:spacing w:line="276" w:lineRule="auto"/>
        <w:ind w:firstLine="420" w:firstLineChars="200"/>
        <w:rPr>
          <w:color w:val="auto"/>
          <w:szCs w:val="21"/>
          <w:highlight w:val="none"/>
        </w:rPr>
      </w:pPr>
      <w:r>
        <w:rPr>
          <w:rFonts w:hint="eastAsia"/>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w:t>
      </w:r>
      <w:r>
        <w:rPr>
          <w:color w:val="auto"/>
          <w:szCs w:val="21"/>
          <w:highlight w:val="none"/>
        </w:rPr>
        <w:t>如不</w:t>
      </w:r>
      <w:r>
        <w:rPr>
          <w:rFonts w:hint="eastAsia"/>
          <w:color w:val="auto"/>
          <w:szCs w:val="21"/>
          <w:highlight w:val="none"/>
        </w:rPr>
        <w:t>参加</w:t>
      </w:r>
      <w:r>
        <w:rPr>
          <w:color w:val="auto"/>
          <w:szCs w:val="21"/>
          <w:highlight w:val="none"/>
        </w:rPr>
        <w:t>截标大会的，</w:t>
      </w:r>
      <w:r>
        <w:rPr>
          <w:rFonts w:hint="eastAsia"/>
          <w:color w:val="auto"/>
          <w:szCs w:val="21"/>
          <w:highlight w:val="none"/>
        </w:rPr>
        <w:t>视同认可截标结果，</w:t>
      </w:r>
      <w:r>
        <w:rPr>
          <w:color w:val="auto"/>
          <w:szCs w:val="21"/>
          <w:highlight w:val="none"/>
        </w:rPr>
        <w:t>事后不得对采购相关人员、截标过程和截标结果提出异议</w:t>
      </w:r>
      <w:r>
        <w:rPr>
          <w:rFonts w:hint="eastAsia"/>
          <w:color w:val="auto"/>
          <w:szCs w:val="21"/>
          <w:highlight w:val="none"/>
        </w:rPr>
        <w:t>，同时供应商因未在线参加截标而导致响应文件无法按时解密等一切后果由供应商自己承担。</w:t>
      </w:r>
    </w:p>
    <w:p w14:paraId="62DCA3F0">
      <w:pPr>
        <w:spacing w:before="120" w:line="276" w:lineRule="auto"/>
        <w:ind w:firstLine="420" w:firstLineChars="200"/>
        <w:rPr>
          <w:color w:val="auto"/>
          <w:szCs w:val="21"/>
          <w:highlight w:val="none"/>
        </w:rPr>
      </w:pPr>
      <w:r>
        <w:rPr>
          <w:rFonts w:hint="eastAsia"/>
          <w:color w:val="auto"/>
          <w:szCs w:val="21"/>
          <w:highlight w:val="none"/>
        </w:rPr>
        <w:t xml:space="preserve">如供应商成功解密响应文件，但未在广西政府采购云平台电子开标大厅参加截标的，视同认可截标过程和结果，由此产生的后果由供应商自行负责。 </w:t>
      </w:r>
    </w:p>
    <w:p w14:paraId="19EF438B">
      <w:pPr>
        <w:spacing w:before="120" w:line="320" w:lineRule="atLeast"/>
        <w:ind w:firstLine="422" w:firstLineChars="200"/>
        <w:outlineLvl w:val="2"/>
        <w:rPr>
          <w:b/>
          <w:bCs/>
          <w:color w:val="auto"/>
          <w:kern w:val="0"/>
          <w:szCs w:val="21"/>
          <w:highlight w:val="none"/>
        </w:rPr>
      </w:pPr>
      <w:r>
        <w:rPr>
          <w:b/>
          <w:bCs/>
          <w:color w:val="auto"/>
          <w:kern w:val="0"/>
          <w:szCs w:val="21"/>
          <w:highlight w:val="none"/>
        </w:rPr>
        <w:t>4.2截标程序</w:t>
      </w:r>
    </w:p>
    <w:p w14:paraId="5DD2AC62">
      <w:pPr>
        <w:spacing w:before="120" w:line="320" w:lineRule="atLeast"/>
        <w:ind w:firstLine="420" w:firstLineChars="200"/>
        <w:rPr>
          <w:color w:val="auto"/>
          <w:szCs w:val="21"/>
          <w:highlight w:val="none"/>
        </w:rPr>
      </w:pPr>
      <w:r>
        <w:rPr>
          <w:color w:val="auto"/>
          <w:szCs w:val="21"/>
          <w:highlight w:val="none"/>
        </w:rPr>
        <w:t>4.2.1</w:t>
      </w:r>
      <w:r>
        <w:rPr>
          <w:rFonts w:hint="eastAsia"/>
          <w:color w:val="auto"/>
          <w:szCs w:val="21"/>
          <w:highlight w:val="none"/>
        </w:rPr>
        <w:t>供应商登录广西政府采购云平台进入开标大厅签到。</w:t>
      </w:r>
    </w:p>
    <w:p w14:paraId="250887B8">
      <w:pP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.2.2</w:t>
      </w:r>
      <w:r>
        <w:rPr>
          <w:rFonts w:hint="eastAsia"/>
          <w:color w:val="auto"/>
          <w:szCs w:val="21"/>
          <w:highlight w:val="none"/>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1" w:name="_Hlk106639817"/>
      <w:r>
        <w:rPr>
          <w:rFonts w:hint="eastAsia"/>
          <w:color w:val="auto"/>
          <w:highlight w:val="none"/>
        </w:rPr>
        <w:t>通知后供应商仍未在上述规定时间内解密响应文件</w:t>
      </w:r>
      <w:bookmarkEnd w:id="51"/>
      <w:r>
        <w:rPr>
          <w:rFonts w:hint="eastAsia"/>
          <w:color w:val="auto"/>
          <w:szCs w:val="21"/>
          <w:highlight w:val="none"/>
        </w:rPr>
        <w:t>，或者供应商没预留联系方式或预留联系方式无效导致代理机构无法联系到供应商进行解密的，均视为无效响应。</w:t>
      </w:r>
    </w:p>
    <w:p w14:paraId="41A62552">
      <w:pPr>
        <w:spacing w:before="120" w:line="320" w:lineRule="atLeast"/>
        <w:ind w:firstLine="420" w:firstLineChars="200"/>
        <w:rPr>
          <w:rFonts w:hint="eastAsia"/>
          <w:color w:val="auto"/>
          <w:szCs w:val="21"/>
          <w:highlight w:val="none"/>
        </w:rPr>
      </w:pPr>
      <w:r>
        <w:rPr>
          <w:rFonts w:hint="eastAsia"/>
          <w:color w:val="auto"/>
          <w:szCs w:val="21"/>
          <w:highlight w:val="none"/>
        </w:rPr>
        <w:t>4</w:t>
      </w:r>
      <w:r>
        <w:rPr>
          <w:color w:val="auto"/>
          <w:szCs w:val="21"/>
          <w:highlight w:val="none"/>
        </w:rPr>
        <w:t>.2.3</w:t>
      </w:r>
      <w:bookmarkStart w:id="52" w:name="_Hlk106637968"/>
      <w:r>
        <w:rPr>
          <w:rFonts w:hint="eastAsia"/>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2"/>
    <w:p w14:paraId="05E7FFDB">
      <w:pP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.2.4</w:t>
      </w:r>
      <w:r>
        <w:rPr>
          <w:rFonts w:hint="eastAsia"/>
          <w:color w:val="auto"/>
          <w:szCs w:val="21"/>
          <w:highlight w:val="none"/>
        </w:rPr>
        <w:t>解密异常情况处理：详见本章</w:t>
      </w:r>
      <w:r>
        <w:rPr>
          <w:color w:val="auto"/>
          <w:szCs w:val="21"/>
          <w:highlight w:val="none"/>
        </w:rPr>
        <w:t>9.2</w:t>
      </w:r>
      <w:r>
        <w:rPr>
          <w:rFonts w:hint="eastAsia"/>
          <w:color w:val="auto"/>
          <w:szCs w:val="21"/>
          <w:highlight w:val="none"/>
        </w:rPr>
        <w:t>电子交易活动的中止。</w:t>
      </w:r>
    </w:p>
    <w:p w14:paraId="330A0CFC">
      <w:pPr>
        <w:spacing w:before="120" w:line="320" w:lineRule="atLeast"/>
        <w:ind w:firstLine="420" w:firstLineChars="200"/>
        <w:rPr>
          <w:color w:val="auto"/>
          <w:szCs w:val="21"/>
          <w:highlight w:val="none"/>
        </w:rPr>
      </w:pPr>
      <w:r>
        <w:rPr>
          <w:color w:val="auto"/>
          <w:szCs w:val="21"/>
          <w:highlight w:val="none"/>
        </w:rPr>
        <w:t>4.2.5截标结束。</w:t>
      </w:r>
    </w:p>
    <w:p w14:paraId="66532CAD">
      <w:pPr>
        <w:pStyle w:val="26"/>
        <w:snapToGrid w:val="0"/>
        <w:spacing w:line="440" w:lineRule="exact"/>
        <w:ind w:firstLine="422" w:firstLineChars="200"/>
        <w:rPr>
          <w:rFonts w:hAnsi="宋体"/>
          <w:color w:val="auto"/>
          <w:highlight w:val="none"/>
        </w:rPr>
      </w:pPr>
      <w:r>
        <w:rPr>
          <w:rFonts w:hint="eastAsia" w:hAnsi="宋体"/>
          <w:b/>
          <w:bCs/>
          <w:color w:val="auto"/>
          <w:highlight w:val="none"/>
        </w:rPr>
        <w:t>特别说明：</w:t>
      </w:r>
      <w:r>
        <w:rPr>
          <w:rFonts w:hint="eastAsia" w:hAnsi="宋体"/>
          <w:color w:val="auto"/>
          <w:highlight w:val="none"/>
        </w:rPr>
        <w:t>如遇广西政府采购云平台电子化截标或评审程序调整的，按调整后的程序执行。</w:t>
      </w:r>
    </w:p>
    <w:p w14:paraId="5AC249C4">
      <w:pPr>
        <w:spacing w:before="120" w:line="320" w:lineRule="atLeast"/>
        <w:ind w:firstLine="422" w:firstLineChars="200"/>
        <w:outlineLvl w:val="2"/>
        <w:rPr>
          <w:b/>
          <w:bCs/>
          <w:color w:val="auto"/>
          <w:kern w:val="0"/>
          <w:szCs w:val="21"/>
          <w:highlight w:val="none"/>
        </w:rPr>
      </w:pPr>
      <w:r>
        <w:rPr>
          <w:b/>
          <w:bCs/>
          <w:color w:val="auto"/>
          <w:kern w:val="0"/>
          <w:szCs w:val="21"/>
          <w:highlight w:val="none"/>
        </w:rPr>
        <w:t>4.3演示</w:t>
      </w:r>
    </w:p>
    <w:p w14:paraId="6EB21F18">
      <w:pPr>
        <w:spacing w:before="120" w:line="320" w:lineRule="atLeast"/>
        <w:ind w:firstLine="420" w:firstLineChars="200"/>
        <w:rPr>
          <w:color w:val="auto"/>
          <w:szCs w:val="21"/>
          <w:highlight w:val="none"/>
        </w:rPr>
      </w:pPr>
      <w:r>
        <w:rPr>
          <w:color w:val="auto"/>
          <w:szCs w:val="21"/>
          <w:highlight w:val="none"/>
        </w:rPr>
        <w:t>4.3.1“供应商须知前附表”规定在截标会议结束后进行演示的，供应商应按规定进行演示。</w:t>
      </w:r>
    </w:p>
    <w:p w14:paraId="4B04A1AB">
      <w:pPr>
        <w:spacing w:before="120" w:line="320" w:lineRule="atLeast"/>
        <w:ind w:firstLine="420" w:firstLineChars="200"/>
        <w:rPr>
          <w:color w:val="auto"/>
          <w:szCs w:val="21"/>
          <w:highlight w:val="none"/>
        </w:rPr>
      </w:pPr>
      <w:r>
        <w:rPr>
          <w:color w:val="auto"/>
          <w:szCs w:val="21"/>
          <w:highlight w:val="none"/>
        </w:rPr>
        <w:t>4.3.2未按规定时间进行演示可能引起的演示分数被计为0分或响应无效等后果由供应商自行承担。</w:t>
      </w:r>
    </w:p>
    <w:p w14:paraId="559836A9">
      <w:pPr>
        <w:spacing w:before="120" w:line="320" w:lineRule="atLeast"/>
        <w:ind w:firstLine="422" w:firstLineChars="200"/>
        <w:outlineLvl w:val="2"/>
        <w:rPr>
          <w:color w:val="auto"/>
          <w:szCs w:val="21"/>
          <w:highlight w:val="none"/>
        </w:rPr>
      </w:pPr>
      <w:r>
        <w:rPr>
          <w:b/>
          <w:bCs/>
          <w:color w:val="auto"/>
          <w:kern w:val="0"/>
          <w:szCs w:val="21"/>
          <w:highlight w:val="none"/>
        </w:rPr>
        <w:t>4.4样品</w:t>
      </w:r>
    </w:p>
    <w:p w14:paraId="74DAB73E">
      <w:pPr>
        <w:spacing w:before="120" w:line="320" w:lineRule="atLeast"/>
        <w:ind w:firstLine="420" w:firstLineChars="200"/>
        <w:rPr>
          <w:color w:val="auto"/>
          <w:szCs w:val="21"/>
          <w:highlight w:val="none"/>
        </w:rPr>
      </w:pPr>
      <w:r>
        <w:rPr>
          <w:color w:val="auto"/>
          <w:szCs w:val="21"/>
          <w:highlight w:val="none"/>
        </w:rPr>
        <w:t>4.4.1“供应商须知前附表”规定递交样品的，供应商应按前附表规定递交样品，递交样品时应附样品递交表（格式见第六章）。</w:t>
      </w:r>
    </w:p>
    <w:p w14:paraId="35A63ACE">
      <w:pPr>
        <w:spacing w:before="120" w:line="320" w:lineRule="atLeast"/>
        <w:ind w:firstLine="420" w:firstLineChars="200"/>
        <w:rPr>
          <w:color w:val="auto"/>
          <w:szCs w:val="21"/>
          <w:highlight w:val="none"/>
        </w:rPr>
      </w:pPr>
      <w:r>
        <w:rPr>
          <w:color w:val="auto"/>
          <w:szCs w:val="21"/>
          <w:highlight w:val="none"/>
        </w:rPr>
        <w:t>4.4.2未按规定时间递交样品可能引起的样品分数被计为0分或响应无效等后果由供应商自行承担。</w:t>
      </w:r>
    </w:p>
    <w:p w14:paraId="285458B4">
      <w:pPr>
        <w:spacing w:before="120" w:line="320" w:lineRule="atLeast"/>
        <w:ind w:firstLine="420" w:firstLineChars="200"/>
        <w:rPr>
          <w:color w:val="auto"/>
          <w:szCs w:val="21"/>
          <w:highlight w:val="none"/>
        </w:rPr>
      </w:pPr>
      <w:bookmarkStart w:id="53" w:name="_Toc254970545"/>
      <w:bookmarkStart w:id="54" w:name="_Toc254970686"/>
      <w:r>
        <w:rPr>
          <w:color w:val="auto"/>
          <w:szCs w:val="21"/>
          <w:highlight w:val="none"/>
        </w:rPr>
        <w:t>4.4.3样品封存或退还的说明请见第六章响应文件格式所附样品递交表。</w:t>
      </w:r>
    </w:p>
    <w:p w14:paraId="1BFA40E2">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5．</w:t>
      </w:r>
      <w:r>
        <w:rPr>
          <w:rFonts w:hint="eastAsia"/>
          <w:b/>
          <w:bCs/>
          <w:color w:val="auto"/>
          <w:kern w:val="0"/>
          <w:szCs w:val="21"/>
          <w:highlight w:val="none"/>
        </w:rPr>
        <w:t>资格审查</w:t>
      </w:r>
    </w:p>
    <w:p w14:paraId="6A64645C">
      <w:pPr>
        <w:spacing w:before="120" w:line="320" w:lineRule="atLeast"/>
        <w:ind w:left="2" w:leftChars="1" w:firstLine="420" w:firstLineChars="200"/>
        <w:outlineLvl w:val="2"/>
        <w:rPr>
          <w:bCs/>
          <w:color w:val="auto"/>
          <w:kern w:val="0"/>
          <w:szCs w:val="21"/>
          <w:highlight w:val="none"/>
        </w:rPr>
      </w:pPr>
      <w:r>
        <w:rPr>
          <w:rFonts w:hint="eastAsia"/>
          <w:bCs/>
          <w:color w:val="auto"/>
          <w:kern w:val="0"/>
          <w:szCs w:val="21"/>
          <w:highlight w:val="none"/>
        </w:rPr>
        <w:t>5</w:t>
      </w:r>
      <w:r>
        <w:rPr>
          <w:bCs/>
          <w:color w:val="auto"/>
          <w:kern w:val="0"/>
          <w:szCs w:val="21"/>
          <w:highlight w:val="none"/>
        </w:rPr>
        <w:t>.1</w:t>
      </w:r>
      <w:r>
        <w:rPr>
          <w:rFonts w:hint="eastAsia"/>
          <w:bCs/>
          <w:color w:val="auto"/>
          <w:kern w:val="0"/>
          <w:szCs w:val="21"/>
          <w:highlight w:val="none"/>
        </w:rPr>
        <w:t>截标</w:t>
      </w:r>
      <w:r>
        <w:rPr>
          <w:rFonts w:ascii="宋体" w:hAnsi="宋体"/>
          <w:bCs/>
          <w:color w:val="auto"/>
          <w:szCs w:val="21"/>
          <w:highlight w:val="none"/>
        </w:rPr>
        <w:t>后，</w:t>
      </w:r>
      <w:r>
        <w:rPr>
          <w:rFonts w:hint="eastAsia" w:ascii="宋体" w:hAnsi="宋体"/>
          <w:bCs/>
          <w:color w:val="auto"/>
          <w:szCs w:val="21"/>
          <w:highlight w:val="none"/>
        </w:rPr>
        <w:t>磋商小组通过电子交易平台</w:t>
      </w:r>
      <w:r>
        <w:rPr>
          <w:rFonts w:ascii="宋体" w:hAnsi="宋体"/>
          <w:bCs/>
          <w:color w:val="auto"/>
          <w:szCs w:val="21"/>
          <w:highlight w:val="none"/>
        </w:rPr>
        <w:t>对供应商的资格进行审查。</w:t>
      </w:r>
      <w:r>
        <w:rPr>
          <w:rFonts w:hint="eastAsia" w:ascii="宋体" w:hAnsi="宋体"/>
          <w:bCs/>
          <w:color w:val="auto"/>
          <w:szCs w:val="21"/>
          <w:highlight w:val="none"/>
        </w:rPr>
        <w:t>资格审查</w:t>
      </w:r>
      <w:r>
        <w:rPr>
          <w:rFonts w:hint="eastAsia"/>
          <w:bCs/>
          <w:color w:val="auto"/>
          <w:kern w:val="0"/>
          <w:szCs w:val="21"/>
          <w:highlight w:val="none"/>
        </w:rPr>
        <w:t>是根据法律法规和采购文件的规定，对供应商的基本资格条件、特定资格条件进行审查。</w:t>
      </w:r>
    </w:p>
    <w:p w14:paraId="1E921279">
      <w:pPr>
        <w:spacing w:before="120" w:line="320" w:lineRule="atLeast"/>
        <w:ind w:left="2" w:leftChars="1" w:firstLine="420" w:firstLineChars="200"/>
        <w:outlineLvl w:val="2"/>
        <w:rPr>
          <w:bCs/>
          <w:color w:val="auto"/>
          <w:kern w:val="0"/>
          <w:szCs w:val="21"/>
          <w:highlight w:val="none"/>
        </w:rPr>
      </w:pPr>
      <w:r>
        <w:rPr>
          <w:rFonts w:hint="eastAsia"/>
          <w:bCs/>
          <w:color w:val="auto"/>
          <w:kern w:val="0"/>
          <w:szCs w:val="21"/>
          <w:highlight w:val="none"/>
        </w:rPr>
        <w:t>5.</w:t>
      </w:r>
      <w:r>
        <w:rPr>
          <w:bCs/>
          <w:color w:val="auto"/>
          <w:kern w:val="0"/>
          <w:szCs w:val="21"/>
          <w:highlight w:val="none"/>
        </w:rPr>
        <w:t>2</w:t>
      </w:r>
      <w:r>
        <w:rPr>
          <w:rFonts w:hint="eastAsia"/>
          <w:bCs/>
          <w:color w:val="auto"/>
          <w:kern w:val="0"/>
          <w:szCs w:val="21"/>
          <w:highlight w:val="none"/>
        </w:rPr>
        <w:t>资格审查标准在第四章评审方法及标准中规定，符合资格审查标准要求的供应商即为资格审查合格。</w:t>
      </w:r>
    </w:p>
    <w:p w14:paraId="242DB3B7">
      <w:pPr>
        <w:spacing w:before="120" w:line="276" w:lineRule="auto"/>
        <w:ind w:left="2" w:leftChars="1" w:firstLine="420" w:firstLineChars="200"/>
        <w:outlineLvl w:val="2"/>
        <w:rPr>
          <w:bCs/>
          <w:color w:val="auto"/>
          <w:kern w:val="0"/>
          <w:szCs w:val="21"/>
          <w:highlight w:val="none"/>
        </w:rPr>
      </w:pPr>
      <w:r>
        <w:rPr>
          <w:bCs/>
          <w:color w:val="auto"/>
          <w:kern w:val="0"/>
          <w:szCs w:val="21"/>
          <w:highlight w:val="none"/>
        </w:rPr>
        <w:t>5.3</w:t>
      </w:r>
      <w:r>
        <w:rPr>
          <w:rFonts w:hint="eastAsia"/>
          <w:bCs/>
          <w:color w:val="auto"/>
          <w:kern w:val="0"/>
          <w:szCs w:val="21"/>
          <w:highlight w:val="none"/>
        </w:rPr>
        <w:t>供应商有下列情形之一的，资格审查不合格，作无效响应处理：</w:t>
      </w:r>
    </w:p>
    <w:p w14:paraId="751A5674">
      <w:pPr>
        <w:spacing w:line="276" w:lineRule="auto"/>
        <w:ind w:firstLine="420" w:firstLineChars="200"/>
        <w:rPr>
          <w:rFonts w:hint="eastAsia" w:hAnsi="宋体"/>
          <w:color w:val="auto"/>
          <w:szCs w:val="21"/>
          <w:highlight w:val="none"/>
        </w:rPr>
      </w:pPr>
      <w:r>
        <w:rPr>
          <w:rFonts w:hint="eastAsia"/>
          <w:color w:val="auto"/>
          <w:szCs w:val="21"/>
          <w:highlight w:val="none"/>
        </w:rPr>
        <w:t>5</w:t>
      </w:r>
      <w:r>
        <w:rPr>
          <w:color w:val="auto"/>
          <w:szCs w:val="21"/>
          <w:highlight w:val="none"/>
        </w:rPr>
        <w:t>.3.1</w:t>
      </w:r>
      <w:r>
        <w:rPr>
          <w:rFonts w:hint="eastAsia"/>
          <w:color w:val="auto"/>
          <w:szCs w:val="21"/>
          <w:highlight w:val="none"/>
        </w:rPr>
        <w:t>不具备招标文件中规定的资格要求或资格条件的； （注：其中信用查询规则见“</w:t>
      </w:r>
      <w:r>
        <w:rPr>
          <w:rFonts w:hint="eastAsia"/>
          <w:color w:val="auto"/>
          <w:szCs w:val="21"/>
          <w:highlight w:val="none"/>
          <w:lang w:val="en-US" w:eastAsia="zh-CN"/>
        </w:rPr>
        <w:t>供应商</w:t>
      </w:r>
      <w:r>
        <w:rPr>
          <w:rFonts w:hint="eastAsia"/>
          <w:color w:val="auto"/>
          <w:szCs w:val="21"/>
          <w:highlight w:val="none"/>
        </w:rPr>
        <w:t>须知前附表”，广西政府采购云平台已与“信用中国”平台做接口，可直接在线查询）</w:t>
      </w:r>
    </w:p>
    <w:p w14:paraId="4586640D">
      <w:pPr>
        <w:spacing w:before="120" w:line="276" w:lineRule="auto"/>
        <w:ind w:firstLine="420" w:firstLineChars="200"/>
        <w:rPr>
          <w:color w:val="auto"/>
          <w:szCs w:val="21"/>
          <w:highlight w:val="none"/>
        </w:rPr>
      </w:pPr>
      <w:r>
        <w:rPr>
          <w:rFonts w:hint="eastAsia"/>
          <w:color w:val="auto"/>
          <w:szCs w:val="21"/>
          <w:highlight w:val="none"/>
        </w:rPr>
        <w:t>5</w:t>
      </w:r>
      <w:r>
        <w:rPr>
          <w:color w:val="auto"/>
          <w:szCs w:val="21"/>
          <w:highlight w:val="none"/>
        </w:rPr>
        <w:t>.3.2</w:t>
      </w:r>
      <w:r>
        <w:rPr>
          <w:rFonts w:hint="eastAsia"/>
          <w:color w:val="auto"/>
          <w:szCs w:val="21"/>
          <w:highlight w:val="none"/>
        </w:rPr>
        <w:t>响应文件缺少任何一项资格证明文件或不符合第四章评审方法及标准中资格审查标准规定的评审内容的。</w:t>
      </w:r>
    </w:p>
    <w:p w14:paraId="27F17AA6">
      <w:pPr>
        <w:spacing w:before="120" w:line="320" w:lineRule="atLeast"/>
        <w:ind w:left="2" w:leftChars="1" w:firstLine="422" w:firstLineChars="200"/>
        <w:outlineLvl w:val="1"/>
        <w:rPr>
          <w:rFonts w:hint="eastAsia"/>
          <w:b/>
          <w:bCs/>
          <w:color w:val="auto"/>
          <w:kern w:val="0"/>
          <w:szCs w:val="21"/>
          <w:highlight w:val="none"/>
        </w:rPr>
      </w:pPr>
      <w:r>
        <w:rPr>
          <w:b/>
          <w:bCs/>
          <w:color w:val="auto"/>
          <w:kern w:val="0"/>
          <w:szCs w:val="21"/>
          <w:highlight w:val="none"/>
        </w:rPr>
        <w:t>6．评审</w:t>
      </w:r>
    </w:p>
    <w:bookmarkEnd w:id="53"/>
    <w:bookmarkEnd w:id="54"/>
    <w:p w14:paraId="2C671CE5">
      <w:pPr>
        <w:spacing w:before="120" w:line="320" w:lineRule="atLeast"/>
        <w:ind w:firstLine="422" w:firstLineChars="200"/>
        <w:outlineLvl w:val="2"/>
        <w:rPr>
          <w:b/>
          <w:bCs/>
          <w:color w:val="auto"/>
          <w:kern w:val="0"/>
          <w:szCs w:val="21"/>
          <w:highlight w:val="none"/>
        </w:rPr>
      </w:pPr>
      <w:r>
        <w:rPr>
          <w:b/>
          <w:bCs/>
          <w:color w:val="auto"/>
          <w:kern w:val="0"/>
          <w:szCs w:val="21"/>
          <w:highlight w:val="none"/>
        </w:rPr>
        <w:t>6.1组建磋商小组</w:t>
      </w:r>
    </w:p>
    <w:p w14:paraId="1A944B1C">
      <w:pPr>
        <w:spacing w:before="120" w:line="320" w:lineRule="atLeast"/>
        <w:ind w:firstLine="420" w:firstLineChars="200"/>
        <w:rPr>
          <w:color w:val="auto"/>
          <w:szCs w:val="21"/>
          <w:highlight w:val="none"/>
        </w:rPr>
      </w:pPr>
      <w:r>
        <w:rPr>
          <w:rFonts w:hint="eastAsia"/>
          <w:color w:val="auto"/>
          <w:szCs w:val="21"/>
          <w:highlight w:val="none"/>
        </w:rPr>
        <w:t>6.1.1</w:t>
      </w:r>
      <w:r>
        <w:rPr>
          <w:color w:val="auto"/>
          <w:szCs w:val="21"/>
          <w:highlight w:val="none"/>
        </w:rPr>
        <w:t>本项目</w:t>
      </w:r>
      <w:r>
        <w:rPr>
          <w:rFonts w:hint="eastAsia"/>
          <w:color w:val="auto"/>
          <w:szCs w:val="21"/>
          <w:highlight w:val="none"/>
        </w:rPr>
        <w:t>评审工作由</w:t>
      </w:r>
      <w:r>
        <w:rPr>
          <w:color w:val="auto"/>
          <w:szCs w:val="21"/>
          <w:highlight w:val="none"/>
        </w:rPr>
        <w:t>磋商小组</w:t>
      </w:r>
      <w:r>
        <w:rPr>
          <w:rFonts w:hint="eastAsia"/>
          <w:color w:val="auto"/>
          <w:szCs w:val="21"/>
          <w:highlight w:val="none"/>
        </w:rPr>
        <w:t>负责，磋商小组</w:t>
      </w:r>
      <w:r>
        <w:rPr>
          <w:color w:val="auto"/>
          <w:szCs w:val="21"/>
          <w:highlight w:val="none"/>
        </w:rPr>
        <w:t>由</w:t>
      </w:r>
      <w:r>
        <w:rPr>
          <w:rFonts w:hint="eastAsia"/>
          <w:color w:val="auto"/>
          <w:szCs w:val="21"/>
          <w:highlight w:val="none"/>
        </w:rPr>
        <w:t>评审专家</w:t>
      </w:r>
      <w:r>
        <w:rPr>
          <w:color w:val="auto"/>
          <w:szCs w:val="21"/>
          <w:highlight w:val="none"/>
        </w:rPr>
        <w:t>和采购人代表</w:t>
      </w:r>
      <w:r>
        <w:rPr>
          <w:rFonts w:hint="eastAsia"/>
          <w:color w:val="auto"/>
          <w:szCs w:val="21"/>
          <w:highlight w:val="none"/>
        </w:rPr>
        <w:t>（如有）</w:t>
      </w:r>
      <w:r>
        <w:rPr>
          <w:color w:val="auto"/>
          <w:szCs w:val="21"/>
          <w:highlight w:val="none"/>
        </w:rPr>
        <w:t>组成。</w:t>
      </w:r>
      <w:r>
        <w:rPr>
          <w:rFonts w:hint="eastAsia"/>
          <w:color w:val="auto"/>
          <w:szCs w:val="21"/>
          <w:highlight w:val="none"/>
        </w:rPr>
        <w:t>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w:t>
      </w:r>
      <w:r>
        <w:rPr>
          <w:color w:val="auto"/>
          <w:szCs w:val="21"/>
          <w:highlight w:val="none"/>
        </w:rPr>
        <w:t>评审专家发现本人与参加采购活动的供应商有利害关系的，应当主动提出回避</w:t>
      </w:r>
      <w:r>
        <w:rPr>
          <w:rFonts w:hint="eastAsia"/>
          <w:color w:val="auto"/>
          <w:szCs w:val="21"/>
          <w:highlight w:val="none"/>
        </w:rPr>
        <w:t>。</w:t>
      </w:r>
    </w:p>
    <w:p w14:paraId="46B0B2E0">
      <w:pPr>
        <w:spacing w:before="120" w:line="320" w:lineRule="atLeast"/>
        <w:ind w:firstLine="420" w:firstLineChars="200"/>
        <w:rPr>
          <w:color w:val="auto"/>
          <w:szCs w:val="21"/>
          <w:highlight w:val="none"/>
        </w:rPr>
      </w:pPr>
      <w:r>
        <w:rPr>
          <w:rFonts w:hint="eastAsia"/>
          <w:color w:val="auto"/>
          <w:szCs w:val="21"/>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66207523">
      <w:pPr>
        <w:spacing w:before="120" w:line="320" w:lineRule="atLeast"/>
        <w:ind w:firstLine="420" w:firstLineChars="200"/>
        <w:rPr>
          <w:color w:val="auto"/>
          <w:szCs w:val="21"/>
          <w:highlight w:val="none"/>
        </w:rPr>
      </w:pPr>
      <w:r>
        <w:rPr>
          <w:rFonts w:hint="eastAsia"/>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0BB1DAEA">
      <w:pPr>
        <w:spacing w:before="120" w:line="320" w:lineRule="atLeast"/>
        <w:ind w:firstLine="420" w:firstLineChars="200"/>
        <w:rPr>
          <w:color w:val="auto"/>
          <w:szCs w:val="21"/>
          <w:highlight w:val="none"/>
        </w:rPr>
      </w:pPr>
      <w:r>
        <w:rPr>
          <w:rFonts w:hint="eastAsia"/>
          <w:color w:val="auto"/>
          <w:szCs w:val="21"/>
          <w:highlight w:val="none"/>
        </w:rPr>
        <w:t>6.1.4本项目评审过程实行全程网上留痕及录音、录像监控，供应商在评审过程中所进行的试图影响评审结果的不公正活动，可能导致其响应按无效处理。</w:t>
      </w:r>
    </w:p>
    <w:p w14:paraId="1F3FB8A5">
      <w:pPr>
        <w:spacing w:before="120" w:line="320" w:lineRule="atLeast"/>
        <w:ind w:firstLine="422" w:firstLineChars="200"/>
        <w:outlineLvl w:val="2"/>
        <w:rPr>
          <w:b/>
          <w:bCs/>
          <w:color w:val="auto"/>
          <w:kern w:val="0"/>
          <w:szCs w:val="21"/>
          <w:highlight w:val="none"/>
        </w:rPr>
      </w:pPr>
      <w:r>
        <w:rPr>
          <w:b/>
          <w:bCs/>
          <w:color w:val="auto"/>
          <w:kern w:val="0"/>
          <w:szCs w:val="21"/>
          <w:highlight w:val="none"/>
        </w:rPr>
        <w:t>6.2</w:t>
      </w:r>
      <w:r>
        <w:rPr>
          <w:rFonts w:hint="eastAsia"/>
          <w:b/>
          <w:bCs/>
          <w:color w:val="auto"/>
          <w:kern w:val="0"/>
          <w:szCs w:val="21"/>
          <w:highlight w:val="none"/>
        </w:rPr>
        <w:t>评审方法及依据</w:t>
      </w:r>
    </w:p>
    <w:p w14:paraId="439B1AAD">
      <w:pPr>
        <w:spacing w:before="120" w:line="320" w:lineRule="atLeast"/>
        <w:ind w:firstLine="420" w:firstLineChars="200"/>
        <w:rPr>
          <w:bCs/>
          <w:color w:val="auto"/>
          <w:kern w:val="0"/>
          <w:szCs w:val="21"/>
          <w:highlight w:val="none"/>
        </w:rPr>
      </w:pPr>
      <w:r>
        <w:rPr>
          <w:bCs/>
          <w:color w:val="auto"/>
          <w:kern w:val="0"/>
          <w:szCs w:val="21"/>
          <w:highlight w:val="none"/>
        </w:rPr>
        <w:t>6.2.1</w:t>
      </w:r>
      <w:r>
        <w:rPr>
          <w:rFonts w:hint="eastAsia"/>
          <w:bCs/>
          <w:color w:val="auto"/>
          <w:kern w:val="0"/>
          <w:szCs w:val="21"/>
          <w:highlight w:val="none"/>
        </w:rPr>
        <w:t>本项目采用第四章评审方法及标准规定的方法进行评审。</w:t>
      </w:r>
    </w:p>
    <w:p w14:paraId="261A3B00">
      <w:pPr>
        <w:suppressAutoHyphens/>
        <w:spacing w:before="120" w:line="320" w:lineRule="atLeast"/>
        <w:ind w:firstLine="420" w:firstLineChars="200"/>
        <w:rPr>
          <w:bCs/>
          <w:color w:val="auto"/>
          <w:kern w:val="0"/>
          <w:szCs w:val="21"/>
          <w:highlight w:val="none"/>
        </w:rPr>
      </w:pPr>
      <w:r>
        <w:rPr>
          <w:bCs/>
          <w:color w:val="auto"/>
          <w:kern w:val="0"/>
          <w:szCs w:val="21"/>
          <w:highlight w:val="none"/>
        </w:rPr>
        <w:t>6.2.2</w:t>
      </w:r>
      <w:r>
        <w:rPr>
          <w:rFonts w:hint="eastAsia"/>
          <w:bCs/>
          <w:color w:val="auto"/>
          <w:kern w:val="0"/>
          <w:szCs w:val="21"/>
          <w:highlight w:val="none"/>
        </w:rPr>
        <w:t>磋商小组</w:t>
      </w:r>
      <w:r>
        <w:rPr>
          <w:color w:val="auto"/>
          <w:highlight w:val="none"/>
        </w:rPr>
        <w:t>以</w:t>
      </w:r>
      <w:r>
        <w:rPr>
          <w:rFonts w:hint="eastAsia"/>
          <w:color w:val="auto"/>
          <w:highlight w:val="none"/>
        </w:rPr>
        <w:t>采购</w:t>
      </w:r>
      <w:r>
        <w:rPr>
          <w:color w:val="auto"/>
          <w:highlight w:val="none"/>
        </w:rPr>
        <w:t>文件、补充文件、</w:t>
      </w:r>
      <w:r>
        <w:rPr>
          <w:rFonts w:hint="eastAsia"/>
          <w:color w:val="auto"/>
          <w:highlight w:val="none"/>
        </w:rPr>
        <w:t>响应</w:t>
      </w:r>
      <w:r>
        <w:rPr>
          <w:color w:val="auto"/>
          <w:highlight w:val="none"/>
        </w:rPr>
        <w:t>文件、澄清及答复为评审依据</w:t>
      </w:r>
      <w:r>
        <w:rPr>
          <w:rFonts w:hint="eastAsia"/>
          <w:color w:val="auto"/>
          <w:highlight w:val="none"/>
        </w:rPr>
        <w:t>，</w:t>
      </w:r>
      <w:r>
        <w:rPr>
          <w:rFonts w:hint="eastAsia"/>
          <w:bCs/>
          <w:color w:val="auto"/>
          <w:kern w:val="0"/>
          <w:szCs w:val="21"/>
          <w:highlight w:val="none"/>
        </w:rPr>
        <w:t>第四章评审方法及标准没有规定的评审方法、标准及因素，不得作为评审依据。</w:t>
      </w:r>
    </w:p>
    <w:p w14:paraId="73BB34BA">
      <w:pPr>
        <w:spacing w:before="120" w:line="320" w:lineRule="atLeast"/>
        <w:ind w:firstLine="422" w:firstLineChars="200"/>
        <w:outlineLvl w:val="2"/>
        <w:rPr>
          <w:b/>
          <w:bCs/>
          <w:color w:val="auto"/>
          <w:kern w:val="0"/>
          <w:szCs w:val="21"/>
          <w:highlight w:val="none"/>
        </w:rPr>
      </w:pPr>
      <w:r>
        <w:rPr>
          <w:b/>
          <w:bCs/>
          <w:color w:val="auto"/>
          <w:kern w:val="0"/>
          <w:szCs w:val="21"/>
          <w:highlight w:val="none"/>
        </w:rPr>
        <w:t>6.3评审</w:t>
      </w:r>
      <w:r>
        <w:rPr>
          <w:rFonts w:hint="eastAsia"/>
          <w:b/>
          <w:bCs/>
          <w:color w:val="auto"/>
          <w:kern w:val="0"/>
          <w:szCs w:val="21"/>
          <w:highlight w:val="none"/>
        </w:rPr>
        <w:t>程序</w:t>
      </w:r>
    </w:p>
    <w:p w14:paraId="3568A957">
      <w:pPr>
        <w:spacing w:before="120" w:line="320" w:lineRule="atLeast"/>
        <w:ind w:firstLine="420" w:firstLineChars="200"/>
        <w:rPr>
          <w:color w:val="auto"/>
          <w:highlight w:val="none"/>
        </w:rPr>
      </w:pPr>
      <w:r>
        <w:rPr>
          <w:color w:val="auto"/>
          <w:highlight w:val="none"/>
        </w:rPr>
        <w:t>6.</w:t>
      </w:r>
      <w:bookmarkStart w:id="55" w:name="_Hlk80956880"/>
      <w:bookmarkStart w:id="56" w:name="_Hlk19175507"/>
      <w:r>
        <w:rPr>
          <w:color w:val="auto"/>
          <w:highlight w:val="none"/>
        </w:rPr>
        <w:t>3.1</w:t>
      </w:r>
      <w:r>
        <w:rPr>
          <w:rFonts w:hint="eastAsia"/>
          <w:color w:val="auto"/>
          <w:highlight w:val="none"/>
        </w:rPr>
        <w:t>符合性审查</w:t>
      </w:r>
    </w:p>
    <w:p w14:paraId="2B3341CD">
      <w:pPr>
        <w:spacing w:before="120" w:line="320" w:lineRule="atLeast"/>
        <w:ind w:firstLine="420" w:firstLineChars="200"/>
        <w:rPr>
          <w:color w:val="auto"/>
          <w:szCs w:val="21"/>
          <w:highlight w:val="none"/>
        </w:rPr>
      </w:pPr>
      <w:r>
        <w:rPr>
          <w:bCs/>
          <w:color w:val="auto"/>
          <w:kern w:val="1"/>
          <w:szCs w:val="21"/>
          <w:highlight w:val="none"/>
        </w:rPr>
        <w:t>资格审查结束后，</w:t>
      </w:r>
      <w:r>
        <w:rPr>
          <w:rFonts w:hint="eastAsia" w:hAnsi="宋体"/>
          <w:color w:val="auto"/>
          <w:highlight w:val="none"/>
        </w:rPr>
        <w:t>磋商小组对</w:t>
      </w:r>
      <w:r>
        <w:rPr>
          <w:color w:val="auto"/>
          <w:highlight w:val="none"/>
        </w:rPr>
        <w:t>通过资格审查的供应商</w:t>
      </w:r>
      <w:r>
        <w:rPr>
          <w:rFonts w:hint="eastAsia" w:hAnsi="宋体"/>
          <w:color w:val="auto"/>
          <w:highlight w:val="none"/>
        </w:rPr>
        <w:t>的响应文件报价、商务资信、技术等方面实质性内容进行符合性审查，</w:t>
      </w:r>
      <w:r>
        <w:rPr>
          <w:rFonts w:hint="eastAsia"/>
          <w:color w:val="auto"/>
          <w:szCs w:val="21"/>
          <w:highlight w:val="none"/>
        </w:rPr>
        <w:t>符合性审查标准</w:t>
      </w:r>
      <w:r>
        <w:rPr>
          <w:color w:val="auto"/>
          <w:szCs w:val="21"/>
          <w:highlight w:val="none"/>
        </w:rPr>
        <w:t>详见第四章评审方法及标准。</w:t>
      </w:r>
    </w:p>
    <w:bookmarkEnd w:id="55"/>
    <w:bookmarkEnd w:id="56"/>
    <w:p w14:paraId="1FB0BD99">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.3.2</w:t>
      </w:r>
      <w:r>
        <w:rPr>
          <w:rFonts w:hAnsi="宋体"/>
          <w:color w:val="auto"/>
          <w:highlight w:val="none"/>
        </w:rPr>
        <w:t>强制性</w:t>
      </w:r>
      <w:r>
        <w:rPr>
          <w:color w:val="auto"/>
          <w:szCs w:val="21"/>
          <w:highlight w:val="none"/>
        </w:rPr>
        <w:t>采购要求</w:t>
      </w:r>
      <w:r>
        <w:rPr>
          <w:rFonts w:hint="eastAsia"/>
          <w:color w:val="auto"/>
          <w:szCs w:val="21"/>
          <w:highlight w:val="none"/>
        </w:rPr>
        <w:t>（仅适用于货物采购项目）</w:t>
      </w:r>
    </w:p>
    <w:p w14:paraId="01FDF744">
      <w:pPr>
        <w:suppressAutoHyphens/>
        <w:spacing w:before="120" w:line="320" w:lineRule="atLeast"/>
        <w:ind w:firstLine="422" w:firstLineChars="201"/>
        <w:rPr>
          <w:color w:val="auto"/>
          <w:szCs w:val="21"/>
          <w:highlight w:val="none"/>
        </w:rPr>
      </w:pPr>
      <w:bookmarkStart w:id="57" w:name="_Hlk47714684"/>
      <w:r>
        <w:rPr>
          <w:rFonts w:hint="eastAsia"/>
          <w:color w:val="auto"/>
          <w:szCs w:val="21"/>
          <w:highlight w:val="none"/>
        </w:rPr>
        <w:t>（1）</w:t>
      </w:r>
      <w:bookmarkEnd w:id="57"/>
      <w:r>
        <w:rPr>
          <w:rFonts w:hint="eastAsia"/>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19180D66">
      <w:pPr>
        <w:spacing w:before="120" w:line="276" w:lineRule="auto"/>
        <w:ind w:firstLine="420" w:firstLineChars="200"/>
        <w:rPr>
          <w:color w:val="auto"/>
          <w:szCs w:val="21"/>
          <w:highlight w:val="none"/>
        </w:rPr>
      </w:pPr>
      <w:bookmarkStart w:id="58" w:name="_Hlk19176155"/>
      <w:r>
        <w:rPr>
          <w:rFonts w:hint="eastAsia"/>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4C1B92BB">
      <w:pPr>
        <w:spacing w:before="120" w:line="276" w:lineRule="auto"/>
        <w:ind w:firstLine="420" w:firstLineChars="200"/>
        <w:rPr>
          <w:rFonts w:hint="eastAsia"/>
          <w:color w:val="auto"/>
          <w:szCs w:val="21"/>
          <w:highlight w:val="none"/>
        </w:rPr>
      </w:pPr>
      <w:r>
        <w:rPr>
          <w:rFonts w:hint="eastAsia"/>
          <w:color w:val="auto"/>
          <w:szCs w:val="21"/>
          <w:highlight w:val="none"/>
        </w:rPr>
        <w:t>注：网络安全专用产品在中共中央网络安全和信息化委员会办公室网站上发布的《网络关键设备和网络安全专用产品目录》中查询。</w:t>
      </w:r>
      <w:r>
        <w:rPr>
          <w:color w:val="auto"/>
          <w:szCs w:val="21"/>
          <w:highlight w:val="none"/>
        </w:rPr>
        <w:t xml:space="preserve"> </w:t>
      </w:r>
      <w:r>
        <w:rPr>
          <w:rFonts w:hint="eastAsia"/>
          <w:color w:val="auto"/>
          <w:szCs w:val="21"/>
          <w:highlight w:val="none"/>
          <w:lang w:eastAsia="zh-CN"/>
        </w:rPr>
        <w:t>“</w:t>
      </w:r>
      <w:r>
        <w:rPr>
          <w:rFonts w:hint="eastAsia"/>
          <w:color w:val="auto"/>
          <w:szCs w:val="21"/>
          <w:highlight w:val="none"/>
          <w:lang w:val="en-US" w:eastAsia="zh-CN"/>
        </w:rPr>
        <w:t>网络安全专用产品”内“产品类别”</w:t>
      </w:r>
      <w:r>
        <w:rPr>
          <w:rFonts w:hint="eastAsia"/>
          <w:color w:val="auto"/>
          <w:szCs w:val="21"/>
          <w:highlight w:val="none"/>
        </w:rPr>
        <w:t>共</w:t>
      </w:r>
      <w:r>
        <w:rPr>
          <w:rFonts w:hint="eastAsia"/>
          <w:color w:val="auto"/>
          <w:szCs w:val="21"/>
          <w:highlight w:val="none"/>
          <w:lang w:val="en-US" w:eastAsia="zh-CN"/>
        </w:rPr>
        <w:t>34</w:t>
      </w:r>
      <w:r>
        <w:rPr>
          <w:rFonts w:hint="eastAsia"/>
          <w:color w:val="auto"/>
          <w:szCs w:val="21"/>
          <w:highlight w:val="none"/>
        </w:rPr>
        <w:t>类：数据备份与恢复产品、防火墙、入侵检测系统（I</w:t>
      </w:r>
      <w:r>
        <w:rPr>
          <w:color w:val="auto"/>
          <w:szCs w:val="21"/>
          <w:highlight w:val="none"/>
        </w:rPr>
        <w:t>DS</w:t>
      </w:r>
      <w:r>
        <w:rPr>
          <w:rFonts w:hint="eastAsia"/>
          <w:color w:val="auto"/>
          <w:szCs w:val="21"/>
          <w:highlight w:val="none"/>
        </w:rPr>
        <w:t>）、入侵防御系统（</w:t>
      </w:r>
      <w:r>
        <w:rPr>
          <w:color w:val="auto"/>
          <w:szCs w:val="21"/>
          <w:highlight w:val="none"/>
        </w:rPr>
        <w:t>IPS</w:t>
      </w:r>
      <w:r>
        <w:rPr>
          <w:rFonts w:hint="eastAsia"/>
          <w:color w:val="auto"/>
          <w:szCs w:val="21"/>
          <w:highlight w:val="none"/>
        </w:rPr>
        <w:t>）、</w:t>
      </w:r>
      <w:r>
        <w:rPr>
          <w:rFonts w:hint="eastAsia"/>
          <w:color w:val="auto"/>
          <w:szCs w:val="21"/>
          <w:highlight w:val="none"/>
          <w:lang w:val="en-US" w:eastAsia="zh-CN"/>
        </w:rPr>
        <w:t>网络和终端隔离产品</w:t>
      </w:r>
      <w:r>
        <w:rPr>
          <w:rFonts w:hint="eastAsia"/>
          <w:color w:val="auto"/>
          <w:szCs w:val="21"/>
          <w:highlight w:val="none"/>
        </w:rPr>
        <w:t>、反垃圾邮件产品、网络综合审计</w:t>
      </w:r>
      <w:r>
        <w:rPr>
          <w:rFonts w:hint="eastAsia"/>
          <w:color w:val="auto"/>
          <w:szCs w:val="21"/>
          <w:highlight w:val="none"/>
          <w:lang w:val="en-US" w:eastAsia="zh-CN"/>
        </w:rPr>
        <w:t>产品</w:t>
      </w:r>
      <w:r>
        <w:rPr>
          <w:rFonts w:hint="eastAsia"/>
          <w:color w:val="auto"/>
          <w:szCs w:val="21"/>
          <w:highlight w:val="none"/>
        </w:rPr>
        <w:t>、网络脆弱性扫描产品、安全数据库系统、网站恢复产品</w:t>
      </w:r>
      <w:r>
        <w:rPr>
          <w:rFonts w:hint="eastAsia"/>
          <w:color w:val="auto"/>
          <w:szCs w:val="21"/>
          <w:highlight w:val="none"/>
          <w:lang w:eastAsia="zh-CN"/>
        </w:rPr>
        <w:t>、</w:t>
      </w:r>
      <w:r>
        <w:rPr>
          <w:rFonts w:hint="eastAsia"/>
          <w:color w:val="auto"/>
          <w:szCs w:val="21"/>
          <w:highlight w:val="none"/>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3B94C564">
      <w:pPr>
        <w:spacing w:before="120" w:line="320" w:lineRule="atLeast"/>
        <w:ind w:firstLine="420" w:firstLineChars="200"/>
        <w:rPr>
          <w:color w:val="auto"/>
          <w:highlight w:val="none"/>
        </w:rPr>
      </w:pPr>
      <w:r>
        <w:rPr>
          <w:color w:val="auto"/>
          <w:highlight w:val="none"/>
        </w:rPr>
        <w:t>6.3.3澄清、说明或补正</w:t>
      </w:r>
    </w:p>
    <w:p w14:paraId="0E66B4DC">
      <w:pPr>
        <w:spacing w:before="120" w:line="320" w:lineRule="atLeast"/>
        <w:ind w:firstLine="420" w:firstLineChars="200"/>
        <w:rPr>
          <w:color w:val="auto"/>
          <w:highlight w:val="none"/>
        </w:rPr>
      </w:pPr>
      <w:r>
        <w:rPr>
          <w:rFonts w:hint="eastAsia"/>
          <w:color w:val="auto"/>
          <w:highlight w:val="none"/>
        </w:rPr>
        <w:t>（1）对响应文件中含义不明确、同类问题表述不一致或者有明显文字和计算错误的内容，磋商小组应在广西政府采购云平台发布电子澄清函，要求供应商在平台设置的时间内作出必要的澄清、说明或者补正。供应商在广西政府采购云平台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3223EAB0">
      <w:pPr>
        <w:spacing w:before="120" w:line="320" w:lineRule="atLeast"/>
        <w:ind w:firstLine="420" w:firstLineChars="200"/>
        <w:rPr>
          <w:color w:val="auto"/>
          <w:highlight w:val="none"/>
        </w:rPr>
      </w:pPr>
      <w:r>
        <w:rPr>
          <w:rFonts w:hint="eastAsia"/>
          <w:color w:val="auto"/>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2F2308FC">
      <w:pPr>
        <w:spacing w:before="120" w:line="320" w:lineRule="atLeast"/>
        <w:ind w:firstLine="420" w:firstLineChars="200"/>
        <w:rPr>
          <w:color w:val="auto"/>
          <w:highlight w:val="none"/>
        </w:rPr>
      </w:pPr>
      <w:r>
        <w:rPr>
          <w:color w:val="auto"/>
          <w:highlight w:val="none"/>
        </w:rPr>
        <w:t>6.3.4</w:t>
      </w:r>
      <w:r>
        <w:rPr>
          <w:rFonts w:hint="eastAsia"/>
          <w:color w:val="auto"/>
          <w:highlight w:val="none"/>
        </w:rPr>
        <w:t>报价</w:t>
      </w:r>
      <w:r>
        <w:rPr>
          <w:color w:val="auto"/>
          <w:highlight w:val="none"/>
        </w:rPr>
        <w:t>修正</w:t>
      </w:r>
    </w:p>
    <w:p w14:paraId="2E4E602D">
      <w:pPr>
        <w:spacing w:before="120" w:line="320" w:lineRule="atLeast"/>
        <w:ind w:firstLine="420" w:firstLineChars="200"/>
        <w:rPr>
          <w:color w:val="auto"/>
          <w:highlight w:val="none"/>
        </w:rPr>
      </w:pPr>
      <w:r>
        <w:rPr>
          <w:rFonts w:hint="eastAsia"/>
          <w:color w:val="auto"/>
          <w:highlight w:val="none"/>
        </w:rPr>
        <w:t>（1）报价出现前后不一致的，按照下列规定修正：</w:t>
      </w:r>
    </w:p>
    <w:p w14:paraId="6411EA71">
      <w:pPr>
        <w:spacing w:before="120" w:line="320" w:lineRule="atLeast"/>
        <w:ind w:firstLine="420" w:firstLineChars="200"/>
        <w:rPr>
          <w:color w:val="auto"/>
          <w:szCs w:val="21"/>
          <w:highlight w:val="none"/>
        </w:rPr>
      </w:pPr>
      <w:r>
        <w:rPr>
          <w:rFonts w:hint="eastAsia" w:ascii="宋体" w:hAnsi="宋体"/>
          <w:color w:val="auto"/>
          <w:szCs w:val="21"/>
          <w:highlight w:val="none"/>
        </w:rPr>
        <w:t>①</w:t>
      </w:r>
      <w:r>
        <w:rPr>
          <w:color w:val="auto"/>
          <w:szCs w:val="21"/>
          <w:highlight w:val="none"/>
        </w:rPr>
        <w:t>响应文件中开标一览表（报价表）内容与响应文件中相应内容不一致的，以开标一览表（报价表）为准；</w:t>
      </w:r>
    </w:p>
    <w:p w14:paraId="74D19DB7">
      <w:pPr>
        <w:spacing w:before="120" w:line="320" w:lineRule="atLeast"/>
        <w:ind w:firstLine="420" w:firstLineChars="200"/>
        <w:rPr>
          <w:color w:val="auto"/>
          <w:szCs w:val="21"/>
          <w:highlight w:val="none"/>
        </w:rPr>
      </w:pPr>
      <w:r>
        <w:rPr>
          <w:rFonts w:ascii="宋体" w:hAnsi="宋体"/>
          <w:color w:val="auto"/>
          <w:szCs w:val="21"/>
          <w:highlight w:val="none"/>
        </w:rPr>
        <w:t>②</w:t>
      </w:r>
      <w:r>
        <w:rPr>
          <w:color w:val="auto"/>
          <w:szCs w:val="21"/>
          <w:highlight w:val="none"/>
        </w:rPr>
        <w:t>大写金额和小写金额不一致的，以大写金额为准；</w:t>
      </w:r>
    </w:p>
    <w:p w14:paraId="180DAF6C">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单价金额小数点或者百分比有明显错位的，以开标一览表的总价为准，并修改单价；</w:t>
      </w:r>
    </w:p>
    <w:p w14:paraId="01635D10">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总价金额与按单价汇总金额不一致的，以单价金额计算结果为准</w:t>
      </w:r>
      <w:r>
        <w:rPr>
          <w:rFonts w:hint="eastAsia"/>
          <w:color w:val="auto"/>
          <w:szCs w:val="21"/>
          <w:highlight w:val="none"/>
        </w:rPr>
        <w:t>。</w:t>
      </w:r>
    </w:p>
    <w:p w14:paraId="03C3D091">
      <w:pPr>
        <w:spacing w:before="120" w:line="320" w:lineRule="atLeast"/>
        <w:ind w:firstLine="420" w:firstLineChars="200"/>
        <w:rPr>
          <w:color w:val="auto"/>
          <w:szCs w:val="21"/>
          <w:highlight w:val="none"/>
        </w:rPr>
      </w:pPr>
      <w:r>
        <w:rPr>
          <w:rFonts w:hint="eastAsia"/>
          <w:color w:val="auto"/>
          <w:szCs w:val="21"/>
          <w:highlight w:val="none"/>
        </w:rPr>
        <w:t>同时出现两种以上不一致的，按照上述</w:t>
      </w:r>
      <w:r>
        <w:rPr>
          <w:rFonts w:hint="eastAsia" w:ascii="宋体" w:hAnsi="宋体"/>
          <w:color w:val="auto"/>
          <w:szCs w:val="21"/>
          <w:highlight w:val="none"/>
        </w:rPr>
        <w:t>①-</w:t>
      </w:r>
      <w:r>
        <w:rPr>
          <w:rFonts w:hint="eastAsia"/>
          <w:color w:val="auto"/>
          <w:szCs w:val="21"/>
          <w:highlight w:val="none"/>
        </w:rPr>
        <w:t>④顺序修正。修正后的报价按照上述“</w:t>
      </w:r>
      <w:r>
        <w:rPr>
          <w:color w:val="auto"/>
          <w:szCs w:val="21"/>
          <w:highlight w:val="none"/>
        </w:rPr>
        <w:t>6.3.3</w:t>
      </w:r>
      <w:r>
        <w:rPr>
          <w:rFonts w:hint="eastAsia"/>
          <w:color w:val="auto"/>
          <w:szCs w:val="21"/>
          <w:highlight w:val="none"/>
        </w:rPr>
        <w:t>澄清、说明或补正”的规定经供应商确认后产生约束力，供应商不确认的，其响应无效。</w:t>
      </w:r>
    </w:p>
    <w:p w14:paraId="4E9C0DA2">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2</w:t>
      </w:r>
      <w:r>
        <w:rPr>
          <w:rFonts w:hint="eastAsia"/>
          <w:color w:val="auto"/>
          <w:szCs w:val="21"/>
          <w:highlight w:val="none"/>
        </w:rPr>
        <w:t>）经供应商确认修正后的报价若超过采购预算金额或者最高限价，其响应文件作无效响应处理。</w:t>
      </w:r>
    </w:p>
    <w:p w14:paraId="2F6A80FD">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）经供应商确认修正后的报价作为签订合同的依据，并以此报价计算价格分。</w:t>
      </w:r>
    </w:p>
    <w:p w14:paraId="4D0E518E">
      <w:pPr>
        <w:spacing w:before="120" w:line="320" w:lineRule="atLeast"/>
        <w:ind w:firstLine="420" w:firstLineChars="200"/>
        <w:rPr>
          <w:rFonts w:hint="eastAsia"/>
          <w:color w:val="auto"/>
          <w:szCs w:val="21"/>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）如磋商过程中有多轮报价的，磋商小组在每一轮报价均应按上述规则修正报价。</w:t>
      </w:r>
    </w:p>
    <w:p w14:paraId="5376D700">
      <w:p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6.3.5异常低价审查</w:t>
      </w:r>
    </w:p>
    <w:p w14:paraId="69480C31">
      <w:pPr>
        <w:spacing w:before="120" w:line="320" w:lineRule="atLeast"/>
        <w:ind w:firstLine="420" w:firstLineChars="200"/>
        <w:rPr>
          <w:color w:val="auto"/>
          <w:szCs w:val="21"/>
          <w:highlight w:val="none"/>
        </w:rPr>
      </w:pPr>
      <w:r>
        <w:rPr>
          <w:color w:val="auto"/>
          <w:szCs w:val="21"/>
          <w:highlight w:val="none"/>
        </w:rPr>
        <w:t>本项目</w:t>
      </w:r>
      <w:r>
        <w:rPr>
          <w:rFonts w:hint="eastAsia"/>
          <w:color w:val="auto"/>
          <w:szCs w:val="21"/>
          <w:highlight w:val="none"/>
          <w:lang w:val="en-US" w:eastAsia="zh-CN"/>
        </w:rPr>
        <w:t>异常低价审查情形见</w:t>
      </w:r>
      <w:r>
        <w:rPr>
          <w:color w:val="auto"/>
          <w:szCs w:val="21"/>
          <w:highlight w:val="none"/>
        </w:rPr>
        <w:t>“</w:t>
      </w:r>
      <w:r>
        <w:rPr>
          <w:rFonts w:hint="eastAsia"/>
          <w:color w:val="auto"/>
          <w:szCs w:val="21"/>
          <w:highlight w:val="none"/>
          <w:lang w:val="en-US" w:eastAsia="zh-CN"/>
        </w:rPr>
        <w:t>供应商</w:t>
      </w:r>
      <w:r>
        <w:rPr>
          <w:rFonts w:hint="eastAsia"/>
          <w:color w:val="auto"/>
          <w:szCs w:val="21"/>
          <w:highlight w:val="none"/>
          <w:lang w:eastAsia="zh-CN"/>
        </w:rPr>
        <w:t>须知</w:t>
      </w:r>
      <w:r>
        <w:rPr>
          <w:color w:val="auto"/>
          <w:szCs w:val="21"/>
          <w:highlight w:val="none"/>
        </w:rPr>
        <w:t>前附表”规定。</w:t>
      </w:r>
    </w:p>
    <w:p w14:paraId="6DA718B9">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F39A328">
      <w:pPr>
        <w:numPr>
          <w:ilvl w:val="0"/>
          <w:numId w:val="0"/>
        </w:numPr>
        <w:spacing w:before="120" w:line="320" w:lineRule="atLeast"/>
        <w:ind w:firstLine="420" w:firstLineChars="200"/>
        <w:rPr>
          <w:rFonts w:hint="eastAsia"/>
          <w:strike/>
          <w:dstrike w:val="0"/>
          <w:color w:val="auto"/>
          <w:szCs w:val="21"/>
          <w:highlight w:val="none"/>
          <w:lang w:val="en-US" w:eastAsia="zh-CN"/>
        </w:rPr>
      </w:pPr>
      <w:r>
        <w:rPr>
          <w:rFonts w:hint="eastAsia"/>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投标（响应）供应商不能提供书面说明、证明材料，或者提供的书面说明、证明材料不能证明其报价合理性的，评审委员会应当将其作为无效投标（响应）处理。</w:t>
      </w:r>
    </w:p>
    <w:p w14:paraId="1C6C3754">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D208421">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异常低价投标审查的启动原因、审查意见和审查结果应当在评审报告中记录，并随供应商提供的相关书面说明及证明材料，以及评审委员会有关互联网浏览、查询历史一并归档。</w:t>
      </w:r>
    </w:p>
    <w:p w14:paraId="3076B85A">
      <w:pPr>
        <w:numPr>
          <w:ilvl w:val="0"/>
          <w:numId w:val="0"/>
        </w:numPr>
        <w:spacing w:before="120" w:line="320" w:lineRule="atLeast"/>
        <w:ind w:firstLine="420" w:firstLineChars="200"/>
        <w:rPr>
          <w:rFonts w:hint="eastAsia"/>
          <w:color w:val="auto"/>
          <w:szCs w:val="21"/>
          <w:highlight w:val="none"/>
        </w:rPr>
      </w:pPr>
      <w:r>
        <w:rPr>
          <w:rFonts w:hint="eastAsia"/>
          <w:color w:val="auto"/>
          <w:szCs w:val="21"/>
          <w:highlight w:val="none"/>
        </w:rPr>
        <w:t>书面证明应当按照上述“</w:t>
      </w:r>
      <w:r>
        <w:rPr>
          <w:color w:val="auto"/>
          <w:szCs w:val="21"/>
          <w:highlight w:val="none"/>
        </w:rPr>
        <w:t>6.3.3</w:t>
      </w:r>
      <w:r>
        <w:rPr>
          <w:rFonts w:hint="eastAsia"/>
          <w:color w:val="auto"/>
          <w:szCs w:val="21"/>
          <w:highlight w:val="none"/>
        </w:rPr>
        <w:t>澄清、说明或补正”的规定提交</w:t>
      </w:r>
      <w:r>
        <w:rPr>
          <w:rFonts w:hint="eastAsia"/>
          <w:color w:val="auto"/>
          <w:szCs w:val="21"/>
          <w:highlight w:val="none"/>
          <w:lang w:val="en-US" w:eastAsia="zh-CN"/>
        </w:rPr>
        <w:t>。</w:t>
      </w:r>
    </w:p>
    <w:p w14:paraId="7299CA2E">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.3.</w:t>
      </w:r>
      <w:r>
        <w:rPr>
          <w:rFonts w:hint="eastAsia"/>
          <w:color w:val="auto"/>
          <w:szCs w:val="21"/>
          <w:highlight w:val="none"/>
          <w:lang w:val="en-US" w:eastAsia="zh-CN"/>
        </w:rPr>
        <w:t>6</w:t>
      </w:r>
      <w:r>
        <w:rPr>
          <w:rFonts w:hint="eastAsia"/>
          <w:color w:val="auto"/>
          <w:szCs w:val="21"/>
          <w:highlight w:val="none"/>
        </w:rPr>
        <w:t>相同品牌认定（仅适用于货物采购项目）</w:t>
      </w:r>
    </w:p>
    <w:p w14:paraId="3086C4B7">
      <w:pPr>
        <w:spacing w:before="120" w:line="320" w:lineRule="atLeast"/>
        <w:ind w:firstLine="420" w:firstLineChars="200"/>
        <w:rPr>
          <w:color w:val="auto"/>
          <w:szCs w:val="21"/>
          <w:highlight w:val="none"/>
        </w:rPr>
      </w:pPr>
      <w:r>
        <w:rPr>
          <w:rFonts w:hint="eastAsia"/>
          <w:color w:val="auto"/>
          <w:szCs w:val="21"/>
          <w:highlight w:val="none"/>
        </w:rPr>
        <w:t>（1）单一产品采购项目，</w:t>
      </w:r>
      <w:r>
        <w:rPr>
          <w:color w:val="auto"/>
          <w:highlight w:val="none"/>
        </w:rPr>
        <w:t>不同供应商提供的产品品牌相同时，</w:t>
      </w:r>
      <w:r>
        <w:rPr>
          <w:rFonts w:hint="eastAsia"/>
          <w:color w:val="auto"/>
          <w:highlight w:val="none"/>
        </w:rPr>
        <w:t>按以下</w:t>
      </w:r>
      <w:r>
        <w:rPr>
          <w:color w:val="auto"/>
          <w:highlight w:val="none"/>
        </w:rPr>
        <w:t>规定</w:t>
      </w:r>
      <w:r>
        <w:rPr>
          <w:rFonts w:hint="eastAsia"/>
          <w:color w:val="auto"/>
          <w:highlight w:val="none"/>
        </w:rPr>
        <w:t>确定</w:t>
      </w:r>
      <w:r>
        <w:rPr>
          <w:bCs/>
          <w:color w:val="auto"/>
          <w:kern w:val="0"/>
          <w:szCs w:val="21"/>
          <w:highlight w:val="none"/>
        </w:rPr>
        <w:t>相同品牌的响应有效性</w:t>
      </w:r>
      <w:r>
        <w:rPr>
          <w:color w:val="auto"/>
          <w:highlight w:val="none"/>
        </w:rPr>
        <w:t>。</w:t>
      </w:r>
    </w:p>
    <w:bookmarkEnd w:id="58"/>
    <w:p w14:paraId="78DD5153">
      <w:pPr>
        <w:spacing w:before="120" w:line="320" w:lineRule="atLeast"/>
        <w:ind w:firstLine="420" w:firstLineChars="200"/>
        <w:rPr>
          <w:color w:val="auto"/>
          <w:szCs w:val="21"/>
          <w:highlight w:val="none"/>
        </w:rPr>
      </w:pPr>
      <w:r>
        <w:rPr>
          <w:rFonts w:hint="eastAsia"/>
          <w:color w:val="auto"/>
          <w:szCs w:val="21"/>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1CF40519">
      <w:pPr>
        <w:spacing w:before="120" w:line="320" w:lineRule="atLeast"/>
        <w:ind w:firstLine="420" w:firstLineChars="200"/>
        <w:rPr>
          <w:color w:val="auto"/>
          <w:szCs w:val="21"/>
          <w:highlight w:val="none"/>
        </w:rPr>
      </w:pPr>
      <w:r>
        <w:rPr>
          <w:rFonts w:hint="eastAsia"/>
          <w:color w:val="auto"/>
          <w:szCs w:val="21"/>
          <w:highlight w:val="none"/>
        </w:rPr>
        <w:t>（2）非单一产品采购项目，</w:t>
      </w:r>
      <w:r>
        <w:rPr>
          <w:color w:val="auto"/>
          <w:szCs w:val="21"/>
          <w:highlight w:val="none"/>
        </w:rPr>
        <w:t>采购人应当确定核心产品，并在采购文件中载明。</w:t>
      </w:r>
      <w:r>
        <w:rPr>
          <w:rFonts w:hint="eastAsia"/>
          <w:color w:val="auto"/>
          <w:szCs w:val="21"/>
          <w:highlight w:val="none"/>
        </w:rPr>
        <w:t>不同</w:t>
      </w:r>
      <w:r>
        <w:rPr>
          <w:color w:val="auto"/>
          <w:szCs w:val="21"/>
          <w:highlight w:val="none"/>
        </w:rPr>
        <w:t>供应商提供的核心产品品牌相同的，按上述规定处理。核心产品</w:t>
      </w:r>
      <w:r>
        <w:rPr>
          <w:rFonts w:hint="eastAsia"/>
          <w:color w:val="auto"/>
          <w:szCs w:val="21"/>
          <w:highlight w:val="none"/>
        </w:rPr>
        <w:t>在第二章</w:t>
      </w:r>
      <w:r>
        <w:rPr>
          <w:color w:val="auto"/>
          <w:szCs w:val="21"/>
          <w:highlight w:val="none"/>
        </w:rPr>
        <w:t>采购需求规定。</w:t>
      </w:r>
    </w:p>
    <w:p w14:paraId="4FAC417E">
      <w:pPr>
        <w:spacing w:before="120" w:line="320" w:lineRule="atLeast"/>
        <w:ind w:firstLine="420" w:firstLineChars="200"/>
        <w:rPr>
          <w:rFonts w:hint="eastAsia"/>
          <w:color w:val="auto"/>
          <w:highlight w:val="none"/>
        </w:rPr>
      </w:pPr>
      <w:r>
        <w:rPr>
          <w:color w:val="auto"/>
          <w:highlight w:val="none"/>
        </w:rPr>
        <w:t>6.3.</w:t>
      </w:r>
      <w:r>
        <w:rPr>
          <w:rFonts w:hint="eastAsia"/>
          <w:color w:val="auto"/>
          <w:highlight w:val="none"/>
          <w:lang w:val="en-US" w:eastAsia="zh-CN"/>
        </w:rPr>
        <w:t>7</w:t>
      </w:r>
      <w:r>
        <w:rPr>
          <w:rFonts w:hint="eastAsia"/>
          <w:color w:val="auto"/>
          <w:highlight w:val="none"/>
        </w:rPr>
        <w:t>磋商</w:t>
      </w:r>
    </w:p>
    <w:p w14:paraId="7A23CE25">
      <w:pPr>
        <w:spacing w:before="120" w:line="320" w:lineRule="atLeast"/>
        <w:ind w:firstLine="420" w:firstLineChars="200"/>
        <w:rPr>
          <w:rFonts w:hint="eastAsia"/>
          <w:color w:val="auto"/>
          <w:highlight w:val="none"/>
        </w:rPr>
      </w:pPr>
      <w:r>
        <w:rPr>
          <w:rFonts w:hint="eastAsia"/>
          <w:color w:val="auto"/>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17F32E28">
      <w:pPr>
        <w:spacing w:before="120" w:line="320" w:lineRule="atLeast"/>
        <w:ind w:firstLine="420" w:firstLineChars="200"/>
        <w:rPr>
          <w:color w:val="auto"/>
          <w:highlight w:val="none"/>
        </w:rPr>
      </w:pPr>
      <w:r>
        <w:rPr>
          <w:rFonts w:hint="eastAsia"/>
          <w:color w:val="auto"/>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68601385">
      <w:pPr>
        <w:spacing w:before="120" w:line="320" w:lineRule="atLeast"/>
        <w:ind w:firstLine="420" w:firstLineChars="200"/>
        <w:rPr>
          <w:color w:val="auto"/>
          <w:highlight w:val="none"/>
        </w:rPr>
      </w:pPr>
      <w:r>
        <w:rPr>
          <w:rFonts w:hint="eastAsia"/>
          <w:color w:val="auto"/>
          <w:highlight w:val="none"/>
        </w:rPr>
        <w:t>对采购文件作出的实质性变动是采购文件的有效组成部分，由磋商小组通过广西政府采购云平台以书面形式同时通知所有参加磋商的供应商。</w:t>
      </w:r>
    </w:p>
    <w:p w14:paraId="59691561">
      <w:pPr>
        <w:spacing w:before="120" w:line="320" w:lineRule="atLeast"/>
        <w:ind w:firstLine="420" w:firstLineChars="200"/>
        <w:rPr>
          <w:rFonts w:hint="eastAsia"/>
          <w:color w:val="auto"/>
          <w:highlight w:val="none"/>
        </w:rPr>
      </w:pPr>
      <w:r>
        <w:rPr>
          <w:rFonts w:hint="eastAsia"/>
          <w:color w:val="auto"/>
          <w:highlight w:val="none"/>
        </w:rPr>
        <w:t>（3）供应商必须按照采购文件的变动情况和磋商小组的要求重新提交响应文件，并在广西政府采购云平台在线编辑或上传PDF格式，使用电子签章后提交至磋商小组。参加磋商的供应商未在规定时间内重新提交响应文件的，视同退出磋商。</w:t>
      </w:r>
    </w:p>
    <w:p w14:paraId="64ED3EC3">
      <w:pPr>
        <w:spacing w:before="120" w:line="320" w:lineRule="atLeast"/>
        <w:ind w:firstLine="420" w:firstLineChars="200"/>
        <w:rPr>
          <w:color w:val="auto"/>
          <w:highlight w:val="none"/>
        </w:rPr>
      </w:pPr>
      <w:r>
        <w:rPr>
          <w:rFonts w:hint="eastAsia"/>
          <w:color w:val="auto"/>
          <w:highlight w:val="none"/>
        </w:rPr>
        <w:t>（4）供应商的法定代表人或其授权代表无须到现场参加磋商，提问及回答/响应均通过广西政府采购云平台进行。磋商过程中使用的电子签章应为供应商上传响应文件的同一签章。</w:t>
      </w:r>
    </w:p>
    <w:p w14:paraId="00BED78B">
      <w:pPr>
        <w:spacing w:before="120" w:line="320" w:lineRule="atLeast"/>
        <w:ind w:firstLine="420" w:firstLineChars="200"/>
        <w:rPr>
          <w:color w:val="auto"/>
          <w:highlight w:val="none"/>
        </w:rPr>
      </w:pPr>
      <w:r>
        <w:rPr>
          <w:rFonts w:hint="eastAsia"/>
          <w:color w:val="auto"/>
          <w:highlight w:val="none"/>
        </w:rPr>
        <w:t>6</w:t>
      </w:r>
      <w:r>
        <w:rPr>
          <w:color w:val="auto"/>
          <w:highlight w:val="none"/>
        </w:rPr>
        <w:t>.3.</w:t>
      </w:r>
      <w:r>
        <w:rPr>
          <w:rFonts w:hint="eastAsia"/>
          <w:color w:val="auto"/>
          <w:highlight w:val="none"/>
          <w:lang w:val="en-US" w:eastAsia="zh-CN"/>
        </w:rPr>
        <w:t>8</w:t>
      </w:r>
      <w:r>
        <w:rPr>
          <w:rFonts w:hint="eastAsia"/>
          <w:color w:val="auto"/>
          <w:highlight w:val="none"/>
        </w:rPr>
        <w:t>最后报价</w:t>
      </w:r>
    </w:p>
    <w:p w14:paraId="576C6206">
      <w:pPr>
        <w:spacing w:before="120" w:line="320" w:lineRule="atLeast"/>
        <w:ind w:firstLine="420" w:firstLineChars="200"/>
        <w:rPr>
          <w:rFonts w:hint="eastAsia"/>
          <w:color w:val="auto"/>
          <w:highlight w:val="none"/>
        </w:rPr>
      </w:pPr>
      <w:r>
        <w:rPr>
          <w:rFonts w:hint="eastAsia"/>
          <w:color w:val="auto"/>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3408534D">
      <w:pPr>
        <w:spacing w:before="120" w:line="320" w:lineRule="atLeast"/>
        <w:ind w:firstLine="420" w:firstLineChars="200"/>
        <w:rPr>
          <w:rFonts w:hint="eastAsia"/>
          <w:color w:val="auto"/>
          <w:highlight w:val="none"/>
        </w:rPr>
      </w:pPr>
      <w:r>
        <w:rPr>
          <w:rFonts w:hint="eastAsia"/>
          <w:color w:val="auto"/>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2CF990E5">
      <w:pPr>
        <w:spacing w:before="120" w:line="320" w:lineRule="atLeast"/>
        <w:ind w:firstLine="420" w:firstLineChars="200"/>
        <w:rPr>
          <w:color w:val="auto"/>
          <w:highlight w:val="none"/>
        </w:rPr>
      </w:pPr>
      <w:r>
        <w:rPr>
          <w:rFonts w:hint="eastAsia"/>
          <w:color w:val="auto"/>
          <w:highlight w:val="none"/>
        </w:rPr>
        <w:t>最后报价是供应商响应文件的有效组成部分。</w:t>
      </w:r>
    </w:p>
    <w:p w14:paraId="3989C3E8">
      <w:pPr>
        <w:spacing w:before="120" w:line="320" w:lineRule="atLeast"/>
        <w:ind w:firstLine="420" w:firstLineChars="200"/>
        <w:rPr>
          <w:color w:val="auto"/>
          <w:highlight w:val="none"/>
        </w:rPr>
      </w:pPr>
      <w:r>
        <w:rPr>
          <w:rFonts w:hint="eastAsia"/>
          <w:color w:val="auto"/>
          <w:highlight w:val="none"/>
        </w:rPr>
        <w:t>（2）如符合“市场竞争不充分的科研项目、需要扶持的科技成果转化项目、政府购买服务项目（含政府和社会资本合作项目）的，提交最后报价的供应商可以为2家。</w:t>
      </w:r>
    </w:p>
    <w:p w14:paraId="12CDF718">
      <w:pPr>
        <w:spacing w:before="120" w:line="320" w:lineRule="atLeast"/>
        <w:ind w:firstLine="420" w:firstLineChars="200"/>
        <w:rPr>
          <w:rFonts w:hint="eastAsia"/>
          <w:color w:val="auto"/>
          <w:highlight w:val="none"/>
        </w:rPr>
      </w:pPr>
      <w:r>
        <w:rPr>
          <w:rFonts w:hint="eastAsia"/>
          <w:color w:val="auto"/>
          <w:highlight w:val="none"/>
        </w:rPr>
        <w:t>（3）最后报价要求通过广西政府采购云平台发出，供应商需在广西政府采购云平台设置的时间内报价，最后报价不得超过采购预算金额且具有唯一性，否则否决其响应。</w:t>
      </w:r>
    </w:p>
    <w:p w14:paraId="6FABAD88">
      <w:pPr>
        <w:spacing w:before="120" w:line="320" w:lineRule="atLeast"/>
        <w:ind w:firstLine="420" w:firstLineChars="200"/>
        <w:rPr>
          <w:rFonts w:hint="eastAsia"/>
          <w:color w:val="auto"/>
          <w:highlight w:val="none"/>
        </w:rPr>
      </w:pPr>
      <w:r>
        <w:rPr>
          <w:rFonts w:hint="eastAsia"/>
          <w:color w:val="auto"/>
          <w:highlight w:val="none"/>
        </w:rPr>
        <w:t>（4）已提交响应文件的供应商，在提交最后报价之前，可以根据磋商情况退出磋商，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28AF8BFB">
      <w:pPr>
        <w:spacing w:before="120" w:line="320" w:lineRule="atLeast"/>
        <w:ind w:firstLine="420" w:firstLineChars="200"/>
        <w:rPr>
          <w:rFonts w:hint="eastAsia"/>
          <w:color w:val="auto"/>
          <w:highlight w:val="none"/>
        </w:rPr>
      </w:pPr>
      <w:r>
        <w:rPr>
          <w:rFonts w:hint="eastAsia"/>
          <w:color w:val="auto"/>
          <w:highlight w:val="none"/>
        </w:rPr>
        <w:t>（5）供应商未在规定时间内提交最后报价的，视同退出磋商。</w:t>
      </w:r>
    </w:p>
    <w:p w14:paraId="15BF73DC">
      <w:pPr>
        <w:spacing w:before="120" w:line="320" w:lineRule="atLeast"/>
        <w:ind w:firstLine="420" w:firstLineChars="200"/>
        <w:rPr>
          <w:color w:val="auto"/>
          <w:highlight w:val="none"/>
        </w:rPr>
      </w:pPr>
      <w:r>
        <w:rPr>
          <w:rFonts w:hint="eastAsia"/>
          <w:color w:val="auto"/>
          <w:highlight w:val="none"/>
        </w:rPr>
        <w:t>（6）最后报价结束后，磋商小组不得再与供应商进行任何形式的商谈。</w:t>
      </w:r>
    </w:p>
    <w:p w14:paraId="79082F51">
      <w:pPr>
        <w:spacing w:before="120" w:line="320" w:lineRule="atLeast"/>
        <w:ind w:firstLine="420" w:firstLineChars="200"/>
        <w:rPr>
          <w:color w:val="auto"/>
          <w:szCs w:val="21"/>
          <w:highlight w:val="none"/>
        </w:rPr>
      </w:pPr>
      <w:r>
        <w:rPr>
          <w:color w:val="auto"/>
          <w:szCs w:val="21"/>
          <w:highlight w:val="none"/>
        </w:rPr>
        <w:t>6.3.</w:t>
      </w:r>
      <w:r>
        <w:rPr>
          <w:rFonts w:hint="eastAsia"/>
          <w:color w:val="auto"/>
          <w:szCs w:val="21"/>
          <w:highlight w:val="none"/>
          <w:lang w:val="en-US" w:eastAsia="zh-CN"/>
        </w:rPr>
        <w:t>9</w:t>
      </w:r>
      <w:r>
        <w:rPr>
          <w:color w:val="auto"/>
          <w:szCs w:val="21"/>
          <w:highlight w:val="none"/>
        </w:rPr>
        <w:t>串通投标认定</w:t>
      </w:r>
    </w:p>
    <w:p w14:paraId="3A130A8A">
      <w:pPr>
        <w:spacing w:before="120" w:line="320" w:lineRule="atLeast"/>
        <w:ind w:firstLine="420" w:firstLineChars="200"/>
        <w:rPr>
          <w:color w:val="auto"/>
          <w:highlight w:val="none"/>
        </w:rPr>
      </w:pPr>
      <w:r>
        <w:rPr>
          <w:color w:val="auto"/>
          <w:szCs w:val="21"/>
          <w:highlight w:val="none"/>
        </w:rPr>
        <w:t>磋商小组须根据</w:t>
      </w:r>
      <w:r>
        <w:rPr>
          <w:rFonts w:hint="eastAsia"/>
          <w:color w:val="auto"/>
          <w:szCs w:val="21"/>
          <w:highlight w:val="none"/>
        </w:rPr>
        <w:t>以下</w:t>
      </w:r>
      <w:r>
        <w:rPr>
          <w:color w:val="auto"/>
          <w:szCs w:val="21"/>
          <w:highlight w:val="none"/>
        </w:rPr>
        <w:t>规定</w:t>
      </w:r>
      <w:r>
        <w:rPr>
          <w:rFonts w:hint="eastAsia"/>
          <w:color w:val="auto"/>
          <w:szCs w:val="21"/>
          <w:highlight w:val="none"/>
        </w:rPr>
        <w:t>认定</w:t>
      </w:r>
      <w:r>
        <w:rPr>
          <w:color w:val="auto"/>
          <w:szCs w:val="21"/>
          <w:highlight w:val="none"/>
        </w:rPr>
        <w:t>供应商是否有</w:t>
      </w:r>
      <w:r>
        <w:rPr>
          <w:bCs/>
          <w:color w:val="auto"/>
          <w:kern w:val="0"/>
          <w:szCs w:val="21"/>
          <w:highlight w:val="none"/>
        </w:rPr>
        <w:t>串通投标的行为</w:t>
      </w:r>
      <w:r>
        <w:rPr>
          <w:color w:val="auto"/>
          <w:highlight w:val="none"/>
        </w:rPr>
        <w:t>。</w:t>
      </w:r>
    </w:p>
    <w:p w14:paraId="41873EFF">
      <w:pPr>
        <w:spacing w:before="120" w:line="320" w:lineRule="atLeast"/>
        <w:ind w:firstLine="420" w:firstLineChars="200"/>
        <w:rPr>
          <w:color w:val="auto"/>
          <w:szCs w:val="21"/>
          <w:highlight w:val="none"/>
        </w:rPr>
      </w:pPr>
      <w:bookmarkStart w:id="59" w:name="_Hlk19122026"/>
      <w:r>
        <w:rPr>
          <w:rFonts w:hint="eastAsia"/>
          <w:color w:val="auto"/>
          <w:szCs w:val="21"/>
          <w:highlight w:val="none"/>
        </w:rPr>
        <w:t>（1）</w:t>
      </w:r>
      <w:bookmarkEnd w:id="59"/>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lang w:eastAsia="zh-CN"/>
        </w:rPr>
        <w:t>〔2016〕42号</w:t>
      </w:r>
      <w:r>
        <w:rPr>
          <w:rFonts w:hint="eastAsia"/>
          <w:color w:val="auto"/>
          <w:szCs w:val="21"/>
          <w:highlight w:val="none"/>
        </w:rPr>
        <w:t>）</w:t>
      </w:r>
      <w:r>
        <w:rPr>
          <w:color w:val="auto"/>
          <w:szCs w:val="21"/>
          <w:highlight w:val="none"/>
        </w:rPr>
        <w:t>规定，出现下述情况的，相关供应商的投标作无效投标处理。</w:t>
      </w:r>
    </w:p>
    <w:p w14:paraId="59FA5178">
      <w:pPr>
        <w:spacing w:before="120" w:line="320" w:lineRule="atLeast"/>
        <w:ind w:firstLine="420" w:firstLineChars="200"/>
        <w:rPr>
          <w:color w:val="auto"/>
          <w:szCs w:val="21"/>
          <w:highlight w:val="none"/>
        </w:rPr>
      </w:pPr>
      <w:bookmarkStart w:id="60" w:name="_Hlk19122039"/>
      <w:r>
        <w:rPr>
          <w:rFonts w:hint="eastAsia" w:ascii="宋体" w:hAnsi="宋体" w:cs="宋体"/>
          <w:color w:val="auto"/>
          <w:szCs w:val="21"/>
          <w:highlight w:val="none"/>
        </w:rPr>
        <w:t>①</w:t>
      </w:r>
      <w:r>
        <w:rPr>
          <w:color w:val="auto"/>
          <w:szCs w:val="21"/>
          <w:highlight w:val="none"/>
        </w:rPr>
        <w:t>单位负责人为同一人或者存在直接控股、管理关系，参加同一合同项下政府采购活动的不同供应商。</w:t>
      </w:r>
    </w:p>
    <w:p w14:paraId="192A2FAC">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授权给供应商后参加同一合同项（分标、分包）投标的生产厂商。</w:t>
      </w:r>
    </w:p>
    <w:p w14:paraId="673EE511">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视为或被认定为串通投标的相关供应商。</w:t>
      </w:r>
    </w:p>
    <w:bookmarkEnd w:id="60"/>
    <w:p w14:paraId="07305F2D">
      <w:pPr>
        <w:spacing w:before="120" w:line="320" w:lineRule="atLeast"/>
        <w:ind w:firstLine="420" w:firstLineChars="200"/>
        <w:rPr>
          <w:color w:val="auto"/>
          <w:szCs w:val="21"/>
          <w:highlight w:val="none"/>
        </w:rPr>
      </w:pPr>
      <w:bookmarkStart w:id="61" w:name="_Hlk19122058"/>
      <w:r>
        <w:rPr>
          <w:rFonts w:hint="eastAsia"/>
          <w:color w:val="auto"/>
          <w:szCs w:val="21"/>
          <w:highlight w:val="none"/>
        </w:rPr>
        <w:t>（2）</w:t>
      </w:r>
      <w:bookmarkEnd w:id="61"/>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lang w:eastAsia="zh-CN"/>
        </w:rPr>
        <w:t>〔2016〕42号</w:t>
      </w:r>
      <w:r>
        <w:rPr>
          <w:rFonts w:hint="eastAsia"/>
          <w:color w:val="auto"/>
          <w:szCs w:val="21"/>
          <w:highlight w:val="none"/>
        </w:rPr>
        <w:t>）</w:t>
      </w:r>
      <w:r>
        <w:rPr>
          <w:color w:val="auto"/>
          <w:szCs w:val="21"/>
          <w:highlight w:val="none"/>
        </w:rPr>
        <w:t>规定，有下列情形之一的视为供应商相互串通投标，响应文件将被视为无效。</w:t>
      </w:r>
    </w:p>
    <w:p w14:paraId="3F44C265">
      <w:pPr>
        <w:spacing w:before="120" w:line="320" w:lineRule="atLeast"/>
        <w:ind w:firstLine="420" w:firstLineChars="200"/>
        <w:rPr>
          <w:color w:val="auto"/>
          <w:szCs w:val="21"/>
          <w:highlight w:val="none"/>
        </w:rPr>
      </w:pPr>
      <w:bookmarkStart w:id="62" w:name="_Hlk19122048"/>
      <w:r>
        <w:rPr>
          <w:rFonts w:hint="eastAsia" w:ascii="宋体" w:hAnsi="宋体" w:cs="宋体"/>
          <w:color w:val="auto"/>
          <w:szCs w:val="21"/>
          <w:highlight w:val="none"/>
        </w:rPr>
        <w:t>①</w:t>
      </w:r>
      <w:r>
        <w:rPr>
          <w:color w:val="auto"/>
          <w:szCs w:val="21"/>
          <w:highlight w:val="none"/>
        </w:rPr>
        <w:t>不同供应商的响应文件由同一单位或者个人编制；或不同供应商报名的IP地址一致的；</w:t>
      </w:r>
    </w:p>
    <w:p w14:paraId="24F33101">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不同供应商委托同一单位或者个人办理投标事宜；</w:t>
      </w:r>
    </w:p>
    <w:p w14:paraId="433302D6">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不同的供应商的响应文件载明的项目管理员为同一个人；</w:t>
      </w:r>
    </w:p>
    <w:p w14:paraId="02752710">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不同供应商的响应文件异常一致或投标报价呈规律性差异；</w:t>
      </w:r>
    </w:p>
    <w:p w14:paraId="1663FD03">
      <w:pPr>
        <w:spacing w:before="120" w:line="320" w:lineRule="atLeast"/>
        <w:ind w:firstLine="420" w:firstLineChars="200"/>
        <w:rPr>
          <w:color w:val="auto"/>
          <w:szCs w:val="21"/>
          <w:highlight w:val="none"/>
        </w:rPr>
      </w:pPr>
      <w:r>
        <w:rPr>
          <w:rFonts w:hint="eastAsia"/>
          <w:color w:val="auto"/>
          <w:szCs w:val="21"/>
          <w:highlight w:val="none"/>
        </w:rPr>
        <w:t>⑤</w:t>
      </w:r>
      <w:r>
        <w:rPr>
          <w:color w:val="auto"/>
          <w:szCs w:val="21"/>
          <w:highlight w:val="none"/>
        </w:rPr>
        <w:t>不同供应商的响应文件相互混装；</w:t>
      </w:r>
    </w:p>
    <w:p w14:paraId="2F84907E">
      <w:pPr>
        <w:spacing w:before="120" w:line="320" w:lineRule="atLeast"/>
        <w:ind w:firstLine="420" w:firstLineChars="200"/>
        <w:rPr>
          <w:color w:val="auto"/>
          <w:szCs w:val="21"/>
          <w:highlight w:val="none"/>
        </w:rPr>
      </w:pPr>
      <w:r>
        <w:rPr>
          <w:rFonts w:hint="eastAsia"/>
          <w:color w:val="auto"/>
          <w:szCs w:val="21"/>
          <w:highlight w:val="none"/>
        </w:rPr>
        <w:t>⑥</w:t>
      </w:r>
      <w:r>
        <w:rPr>
          <w:color w:val="auto"/>
          <w:szCs w:val="21"/>
          <w:highlight w:val="none"/>
        </w:rPr>
        <w:t>不同供应商的保证金从同一单位或者个人账户转出。</w:t>
      </w:r>
    </w:p>
    <w:bookmarkEnd w:id="62"/>
    <w:p w14:paraId="3036D7AD">
      <w:pPr>
        <w:spacing w:before="120" w:line="320" w:lineRule="atLeast"/>
        <w:ind w:firstLine="420" w:firstLineChars="200"/>
        <w:rPr>
          <w:color w:val="auto"/>
          <w:szCs w:val="21"/>
          <w:highlight w:val="none"/>
        </w:rPr>
      </w:pPr>
      <w:bookmarkStart w:id="63" w:name="_Hlk19122102"/>
      <w:r>
        <w:rPr>
          <w:rFonts w:hint="eastAsia"/>
          <w:color w:val="auto"/>
          <w:szCs w:val="21"/>
          <w:highlight w:val="none"/>
        </w:rPr>
        <w:t>（3）</w:t>
      </w:r>
      <w:bookmarkEnd w:id="63"/>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lang w:eastAsia="zh-CN"/>
        </w:rPr>
        <w:t>〔2016〕42号</w:t>
      </w:r>
      <w:r>
        <w:rPr>
          <w:rFonts w:hint="eastAsia"/>
          <w:color w:val="auto"/>
          <w:szCs w:val="21"/>
          <w:highlight w:val="none"/>
        </w:rPr>
        <w:t>）</w:t>
      </w:r>
      <w:r>
        <w:rPr>
          <w:color w:val="auto"/>
          <w:szCs w:val="21"/>
          <w:highlight w:val="none"/>
        </w:rPr>
        <w:t>规定，供应商有下列情形之一的，属于恶意串通行为，响应文件将被视为无效。</w:t>
      </w:r>
    </w:p>
    <w:p w14:paraId="42E96546">
      <w:pPr>
        <w:spacing w:before="120" w:line="320" w:lineRule="atLeast"/>
        <w:ind w:firstLine="420" w:firstLineChars="200"/>
        <w:rPr>
          <w:color w:val="auto"/>
          <w:szCs w:val="21"/>
          <w:highlight w:val="none"/>
        </w:rPr>
      </w:pPr>
      <w:bookmarkStart w:id="64" w:name="_Hlk19122095"/>
      <w:r>
        <w:rPr>
          <w:rFonts w:hint="eastAsia"/>
          <w:color w:val="auto"/>
          <w:szCs w:val="21"/>
          <w:highlight w:val="none"/>
        </w:rPr>
        <w:t>①</w:t>
      </w:r>
      <w:r>
        <w:rPr>
          <w:color w:val="auto"/>
          <w:szCs w:val="21"/>
          <w:highlight w:val="none"/>
        </w:rPr>
        <w:t>供应商直接或者间接从采购人或者采购代理机构处获得其他供应商的相关信息并修改其响应文件或者响应文件；</w:t>
      </w:r>
    </w:p>
    <w:p w14:paraId="5443A971">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供应商按照采购人或者采购代理机构的授意撤换、修改响应文件或者响应文件</w:t>
      </w:r>
      <w:r>
        <w:rPr>
          <w:rFonts w:hint="eastAsia"/>
          <w:color w:val="auto"/>
          <w:szCs w:val="21"/>
          <w:highlight w:val="none"/>
          <w:lang w:eastAsia="zh-CN"/>
        </w:rPr>
        <w:t>;</w:t>
      </w:r>
    </w:p>
    <w:p w14:paraId="669A85E9">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供应商之间协商报价、技术方案等响应文件或者响应文件的实质性内容；</w:t>
      </w:r>
    </w:p>
    <w:p w14:paraId="37A46CD7">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属于同一集团、协会、商会等组织成员的供应商按照该组织要求协同参加政府采购活动；</w:t>
      </w:r>
    </w:p>
    <w:p w14:paraId="5C45C97E">
      <w:pPr>
        <w:spacing w:before="120" w:line="320" w:lineRule="atLeast"/>
        <w:ind w:firstLine="420" w:firstLineChars="200"/>
        <w:rPr>
          <w:color w:val="auto"/>
          <w:szCs w:val="21"/>
          <w:highlight w:val="none"/>
        </w:rPr>
      </w:pPr>
      <w:r>
        <w:rPr>
          <w:rFonts w:hint="eastAsia"/>
          <w:color w:val="auto"/>
          <w:szCs w:val="21"/>
          <w:highlight w:val="none"/>
        </w:rPr>
        <w:t>⑤</w:t>
      </w:r>
      <w:r>
        <w:rPr>
          <w:color w:val="auto"/>
          <w:szCs w:val="21"/>
          <w:highlight w:val="none"/>
        </w:rPr>
        <w:t>供应商之间事先约定一致抬高或者压低投标报价，或者在招标项目中事先约定轮流以高价位或者低价位中标，或者事先约定由某一特定供应商中标，然后再参加投标；</w:t>
      </w:r>
    </w:p>
    <w:p w14:paraId="1E4ADB9A">
      <w:pPr>
        <w:spacing w:before="120" w:line="320" w:lineRule="atLeast"/>
        <w:ind w:firstLine="420" w:firstLineChars="200"/>
        <w:rPr>
          <w:color w:val="auto"/>
          <w:szCs w:val="21"/>
          <w:highlight w:val="none"/>
        </w:rPr>
      </w:pPr>
      <w:r>
        <w:rPr>
          <w:rFonts w:hint="eastAsia"/>
          <w:color w:val="auto"/>
          <w:szCs w:val="21"/>
          <w:highlight w:val="none"/>
        </w:rPr>
        <w:t>⑥</w:t>
      </w:r>
      <w:r>
        <w:rPr>
          <w:color w:val="auto"/>
          <w:szCs w:val="21"/>
          <w:highlight w:val="none"/>
        </w:rPr>
        <w:t>供应商之间商定部分供应商放弃参加政府采购活动或者放弃中标；</w:t>
      </w:r>
    </w:p>
    <w:p w14:paraId="154A47D8">
      <w:pPr>
        <w:spacing w:before="120" w:line="320" w:lineRule="atLeast"/>
        <w:ind w:firstLine="420" w:firstLineChars="200"/>
        <w:rPr>
          <w:color w:val="auto"/>
          <w:szCs w:val="21"/>
          <w:highlight w:val="none"/>
        </w:rPr>
      </w:pPr>
      <w:r>
        <w:rPr>
          <w:rFonts w:hint="eastAsia"/>
          <w:color w:val="auto"/>
          <w:szCs w:val="21"/>
          <w:highlight w:val="none"/>
        </w:rPr>
        <w:t>⑦</w:t>
      </w:r>
      <w:r>
        <w:rPr>
          <w:color w:val="auto"/>
          <w:szCs w:val="21"/>
          <w:highlight w:val="none"/>
        </w:rPr>
        <w:t>供应商与采购人或者采购代理机构之间、供应商相互之间，为谋求特定供应商中标或者排斥其他供应商的其他串通行为。</w:t>
      </w:r>
    </w:p>
    <w:bookmarkEnd w:id="64"/>
    <w:p w14:paraId="41FBC632">
      <w:pPr>
        <w:spacing w:before="120" w:line="320" w:lineRule="atLeast"/>
        <w:ind w:firstLine="420" w:firstLineChars="200"/>
        <w:rPr>
          <w:color w:val="auto"/>
          <w:szCs w:val="21"/>
          <w:highlight w:val="none"/>
        </w:rPr>
      </w:pPr>
      <w:r>
        <w:rPr>
          <w:color w:val="auto"/>
          <w:szCs w:val="21"/>
          <w:highlight w:val="none"/>
        </w:rPr>
        <w:t>6.3.</w:t>
      </w:r>
      <w:r>
        <w:rPr>
          <w:rFonts w:hint="eastAsia"/>
          <w:color w:val="auto"/>
          <w:szCs w:val="21"/>
          <w:highlight w:val="none"/>
          <w:lang w:val="en-US" w:eastAsia="zh-CN"/>
        </w:rPr>
        <w:t>10</w:t>
      </w:r>
      <w:r>
        <w:rPr>
          <w:color w:val="auto"/>
          <w:szCs w:val="21"/>
          <w:highlight w:val="none"/>
        </w:rPr>
        <w:t>响应</w:t>
      </w:r>
      <w:r>
        <w:rPr>
          <w:rFonts w:hint="eastAsia"/>
          <w:color w:val="auto"/>
          <w:szCs w:val="21"/>
          <w:highlight w:val="none"/>
        </w:rPr>
        <w:t>无效</w:t>
      </w:r>
      <w:r>
        <w:rPr>
          <w:color w:val="auto"/>
          <w:szCs w:val="21"/>
          <w:highlight w:val="none"/>
        </w:rPr>
        <w:t>认定</w:t>
      </w:r>
    </w:p>
    <w:p w14:paraId="1CC58CE0">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1）在</w:t>
      </w:r>
      <w:r>
        <w:rPr>
          <w:rFonts w:hint="eastAsia"/>
          <w:color w:val="auto"/>
          <w:szCs w:val="21"/>
          <w:highlight w:val="none"/>
        </w:rPr>
        <w:t>评审过程中</w:t>
      </w:r>
      <w:r>
        <w:rPr>
          <w:color w:val="auto"/>
          <w:szCs w:val="21"/>
          <w:highlight w:val="none"/>
        </w:rPr>
        <w:t>如发现下列情形之一的，响应文件将被视为无效：</w:t>
      </w:r>
    </w:p>
    <w:p w14:paraId="76AC25A3">
      <w:pPr>
        <w:spacing w:before="120" w:line="320" w:lineRule="atLeast"/>
        <w:ind w:firstLine="420" w:firstLineChars="200"/>
        <w:rPr>
          <w:color w:val="auto"/>
          <w:highlight w:val="none"/>
        </w:rPr>
      </w:pPr>
      <w:r>
        <w:rPr>
          <w:rFonts w:hint="eastAsia"/>
          <w:color w:val="auto"/>
          <w:szCs w:val="21"/>
          <w:highlight w:val="none"/>
        </w:rPr>
        <w:t>①</w:t>
      </w:r>
      <w:r>
        <w:rPr>
          <w:color w:val="auto"/>
          <w:szCs w:val="21"/>
          <w:highlight w:val="none"/>
        </w:rPr>
        <w:t>响应文件</w:t>
      </w:r>
      <w:r>
        <w:rPr>
          <w:rFonts w:hint="eastAsia"/>
          <w:color w:val="auto"/>
          <w:szCs w:val="21"/>
          <w:highlight w:val="none"/>
        </w:rPr>
        <w:t>存在法律、法规及监督部门有关文件规定的无效情形</w:t>
      </w:r>
      <w:r>
        <w:rPr>
          <w:color w:val="auto"/>
          <w:szCs w:val="21"/>
          <w:highlight w:val="none"/>
        </w:rPr>
        <w:t>。</w:t>
      </w:r>
    </w:p>
    <w:p w14:paraId="4C658ACE">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响应文件</w:t>
      </w:r>
      <w:r>
        <w:rPr>
          <w:rFonts w:hint="eastAsia"/>
          <w:color w:val="auto"/>
          <w:szCs w:val="21"/>
          <w:highlight w:val="none"/>
        </w:rPr>
        <w:t>存在采购文件规定的无效情形。</w:t>
      </w:r>
    </w:p>
    <w:p w14:paraId="7B5989F3">
      <w:pPr>
        <w:spacing w:before="120" w:line="320" w:lineRule="atLeast"/>
        <w:ind w:firstLine="420" w:firstLineChars="200"/>
        <w:rPr>
          <w:color w:val="auto"/>
          <w:szCs w:val="21"/>
          <w:highlight w:val="none"/>
        </w:rPr>
      </w:pPr>
      <w:bookmarkStart w:id="65" w:name="_Hlk19113313"/>
      <w:r>
        <w:rPr>
          <w:rFonts w:hint="eastAsia"/>
          <w:color w:val="auto"/>
          <w:szCs w:val="21"/>
          <w:highlight w:val="none"/>
        </w:rPr>
        <w:t>（2）根据</w:t>
      </w:r>
      <w:r>
        <w:rPr>
          <w:color w:val="auto"/>
          <w:szCs w:val="21"/>
          <w:highlight w:val="none"/>
        </w:rPr>
        <w:t>财库</w:t>
      </w:r>
      <w:r>
        <w:rPr>
          <w:rFonts w:hint="eastAsia"/>
          <w:color w:val="auto"/>
          <w:szCs w:val="21"/>
          <w:highlight w:val="none"/>
        </w:rPr>
        <w:t>《</w:t>
      </w:r>
      <w:r>
        <w:rPr>
          <w:color w:val="auto"/>
          <w:szCs w:val="21"/>
          <w:highlight w:val="none"/>
        </w:rPr>
        <w:t>关于促进政府采购公平竞争优化营商环境的通知</w:t>
      </w:r>
      <w:r>
        <w:rPr>
          <w:rFonts w:hint="eastAsia"/>
          <w:color w:val="auto"/>
          <w:szCs w:val="21"/>
          <w:highlight w:val="none"/>
        </w:rPr>
        <w:t>》（</w:t>
      </w:r>
      <w:r>
        <w:rPr>
          <w:color w:val="auto"/>
          <w:szCs w:val="21"/>
          <w:highlight w:val="none"/>
        </w:rPr>
        <w:t>〔2019〕38号</w:t>
      </w:r>
      <w:r>
        <w:rPr>
          <w:rFonts w:hint="eastAsia"/>
          <w:color w:val="auto"/>
          <w:szCs w:val="21"/>
          <w:highlight w:val="none"/>
        </w:rPr>
        <w:t>）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65"/>
    <w:p w14:paraId="7F3D8204">
      <w:pPr>
        <w:spacing w:before="120" w:line="320" w:lineRule="atLeast"/>
        <w:ind w:firstLine="420" w:firstLineChars="200"/>
        <w:rPr>
          <w:color w:val="auto"/>
          <w:szCs w:val="21"/>
          <w:highlight w:val="none"/>
        </w:rPr>
      </w:pPr>
      <w:bookmarkStart w:id="66" w:name="_Hlk19113363"/>
      <w:r>
        <w:rPr>
          <w:color w:val="auto"/>
          <w:szCs w:val="21"/>
          <w:highlight w:val="none"/>
        </w:rPr>
        <w:t>6.3.1</w:t>
      </w:r>
      <w:r>
        <w:rPr>
          <w:rFonts w:hint="eastAsia"/>
          <w:color w:val="auto"/>
          <w:szCs w:val="21"/>
          <w:highlight w:val="none"/>
          <w:lang w:val="en-US" w:eastAsia="zh-CN"/>
        </w:rPr>
        <w:t>1</w:t>
      </w:r>
      <w:r>
        <w:rPr>
          <w:color w:val="auto"/>
          <w:szCs w:val="21"/>
          <w:highlight w:val="none"/>
        </w:rPr>
        <w:t>比较与评价</w:t>
      </w:r>
    </w:p>
    <w:p w14:paraId="15A5FFBE">
      <w:pPr>
        <w:spacing w:before="120" w:line="320" w:lineRule="atLeast"/>
        <w:ind w:firstLine="420" w:firstLineChars="200"/>
        <w:rPr>
          <w:color w:val="auto"/>
          <w:szCs w:val="21"/>
          <w:highlight w:val="none"/>
        </w:rPr>
      </w:pPr>
      <w:r>
        <w:rPr>
          <w:rFonts w:hint="eastAsia"/>
          <w:color w:val="auto"/>
          <w:szCs w:val="21"/>
          <w:highlight w:val="none"/>
        </w:rPr>
        <w:t>（1）磋商小组</w:t>
      </w:r>
      <w:r>
        <w:rPr>
          <w:color w:val="auto"/>
          <w:szCs w:val="21"/>
          <w:highlight w:val="none"/>
        </w:rPr>
        <w:t>按采购文件中规定的评审方法和标准，</w:t>
      </w:r>
      <w:r>
        <w:rPr>
          <w:rFonts w:hint="eastAsia"/>
          <w:color w:val="auto"/>
          <w:szCs w:val="21"/>
          <w:highlight w:val="none"/>
        </w:rPr>
        <w:t>对提交最后报价的供应商的响应文件和最后报价进行综合评分。</w:t>
      </w:r>
    </w:p>
    <w:p w14:paraId="6B344023">
      <w:pPr>
        <w:spacing w:before="120" w:line="320" w:lineRule="atLeast"/>
        <w:ind w:firstLine="420" w:firstLineChars="200"/>
        <w:rPr>
          <w:color w:val="auto"/>
          <w:szCs w:val="21"/>
          <w:highlight w:val="none"/>
        </w:rPr>
      </w:pPr>
      <w:r>
        <w:rPr>
          <w:rFonts w:hint="eastAsia"/>
          <w:color w:val="auto"/>
          <w:szCs w:val="21"/>
          <w:highlight w:val="none"/>
        </w:rPr>
        <w:t>（2）</w:t>
      </w:r>
      <w:r>
        <w:rPr>
          <w:color w:val="auto"/>
          <w:szCs w:val="21"/>
          <w:highlight w:val="none"/>
        </w:rPr>
        <w:t>磋商小组各成员独立对每个有效供应商的响应文件进行评价</w:t>
      </w:r>
      <w:r>
        <w:rPr>
          <w:rFonts w:hint="eastAsia"/>
          <w:color w:val="auto"/>
          <w:szCs w:val="21"/>
          <w:highlight w:val="none"/>
        </w:rPr>
        <w:t>、打分。评价打分</w:t>
      </w:r>
      <w:r>
        <w:rPr>
          <w:color w:val="auto"/>
          <w:szCs w:val="21"/>
          <w:highlight w:val="none"/>
        </w:rPr>
        <w:t>有误的应及时进行修正。</w:t>
      </w:r>
      <w:r>
        <w:rPr>
          <w:rFonts w:hint="eastAsia"/>
          <w:color w:val="auto"/>
          <w:szCs w:val="21"/>
          <w:highlight w:val="none"/>
        </w:rPr>
        <w:t>评分</w:t>
      </w:r>
      <w:r>
        <w:rPr>
          <w:color w:val="auto"/>
          <w:szCs w:val="21"/>
          <w:highlight w:val="none"/>
        </w:rPr>
        <w:t>标准如有客观分定义，磋商小组所有成员的客观分</w:t>
      </w:r>
      <w:r>
        <w:rPr>
          <w:rFonts w:hint="eastAsia"/>
          <w:color w:val="auto"/>
          <w:szCs w:val="21"/>
          <w:highlight w:val="none"/>
        </w:rPr>
        <w:t>评分分值</w:t>
      </w:r>
      <w:r>
        <w:rPr>
          <w:color w:val="auto"/>
          <w:szCs w:val="21"/>
          <w:highlight w:val="none"/>
        </w:rPr>
        <w:t>应当一致。</w:t>
      </w:r>
    </w:p>
    <w:p w14:paraId="567E3E61">
      <w:pPr>
        <w:spacing w:before="120" w:line="320" w:lineRule="atLeast"/>
        <w:ind w:firstLine="420" w:firstLineChars="200"/>
        <w:rPr>
          <w:rFonts w:hint="eastAsia"/>
          <w:color w:val="auto"/>
          <w:szCs w:val="21"/>
          <w:highlight w:val="none"/>
        </w:rPr>
      </w:pPr>
      <w:r>
        <w:rPr>
          <w:rFonts w:hint="eastAsia"/>
          <w:color w:val="auto"/>
          <w:szCs w:val="21"/>
          <w:highlight w:val="none"/>
        </w:rPr>
        <w:t>（3）磋商小组按综合评分由高到低的排列顺序推荐</w:t>
      </w:r>
      <w:r>
        <w:rPr>
          <w:color w:val="auto"/>
          <w:szCs w:val="21"/>
          <w:highlight w:val="none"/>
        </w:rPr>
        <w:t>3</w:t>
      </w:r>
      <w:r>
        <w:rPr>
          <w:rFonts w:hint="eastAsia"/>
          <w:color w:val="auto"/>
          <w:szCs w:val="21"/>
          <w:highlight w:val="none"/>
        </w:rPr>
        <w:t>名以上成交候选供应商，排名第一的为第一成交候选供应商。</w:t>
      </w:r>
      <w:r>
        <w:rPr>
          <w:color w:val="auto"/>
          <w:szCs w:val="21"/>
          <w:highlight w:val="none"/>
        </w:rPr>
        <w:t>若</w:t>
      </w:r>
      <w:r>
        <w:rPr>
          <w:rFonts w:hint="eastAsia"/>
          <w:color w:val="auto"/>
          <w:szCs w:val="21"/>
          <w:highlight w:val="none"/>
        </w:rPr>
        <w:t>成交</w:t>
      </w:r>
      <w:r>
        <w:rPr>
          <w:color w:val="auto"/>
          <w:szCs w:val="21"/>
          <w:highlight w:val="none"/>
        </w:rPr>
        <w:t>候选人综合</w:t>
      </w:r>
      <w:r>
        <w:rPr>
          <w:rFonts w:hint="eastAsia"/>
          <w:color w:val="auto"/>
          <w:szCs w:val="21"/>
          <w:highlight w:val="none"/>
        </w:rPr>
        <w:t>评</w:t>
      </w:r>
      <w:r>
        <w:rPr>
          <w:color w:val="auto"/>
          <w:szCs w:val="21"/>
          <w:highlight w:val="none"/>
        </w:rPr>
        <w:t>分相同的，按</w:t>
      </w:r>
      <w:r>
        <w:rPr>
          <w:rFonts w:hint="eastAsia"/>
          <w:color w:val="auto"/>
          <w:szCs w:val="21"/>
          <w:highlight w:val="none"/>
        </w:rPr>
        <w:t>最后</w:t>
      </w:r>
      <w:r>
        <w:rPr>
          <w:color w:val="auto"/>
          <w:szCs w:val="21"/>
          <w:highlight w:val="none"/>
        </w:rPr>
        <w:t>报价由低到高顺序排列；综合</w:t>
      </w:r>
      <w:r>
        <w:rPr>
          <w:rFonts w:hint="eastAsia"/>
          <w:color w:val="auto"/>
          <w:szCs w:val="21"/>
          <w:highlight w:val="none"/>
        </w:rPr>
        <w:t>评</w:t>
      </w:r>
      <w:r>
        <w:rPr>
          <w:color w:val="auto"/>
          <w:szCs w:val="21"/>
          <w:highlight w:val="none"/>
        </w:rPr>
        <w:t>分且</w:t>
      </w:r>
      <w:r>
        <w:rPr>
          <w:rFonts w:hint="eastAsia"/>
          <w:color w:val="auto"/>
          <w:szCs w:val="21"/>
          <w:highlight w:val="none"/>
        </w:rPr>
        <w:t>最后</w:t>
      </w:r>
      <w:r>
        <w:rPr>
          <w:color w:val="auto"/>
          <w:szCs w:val="21"/>
          <w:highlight w:val="none"/>
        </w:rPr>
        <w:t>报价相同的</w:t>
      </w:r>
      <w:r>
        <w:rPr>
          <w:color w:val="auto"/>
          <w:highlight w:val="none"/>
        </w:rPr>
        <w:t>并列</w:t>
      </w:r>
      <w:r>
        <w:rPr>
          <w:color w:val="auto"/>
          <w:szCs w:val="21"/>
          <w:highlight w:val="none"/>
        </w:rPr>
        <w:t>；</w:t>
      </w:r>
      <w:r>
        <w:rPr>
          <w:rFonts w:hint="eastAsia"/>
          <w:color w:val="auto"/>
          <w:szCs w:val="21"/>
          <w:highlight w:val="none"/>
        </w:rPr>
        <w:t>成交</w:t>
      </w:r>
      <w:r>
        <w:rPr>
          <w:color w:val="auto"/>
          <w:szCs w:val="21"/>
          <w:highlight w:val="none"/>
        </w:rPr>
        <w:t>候选人并列的，按技术部分</w:t>
      </w:r>
      <w:r>
        <w:rPr>
          <w:rFonts w:hint="eastAsia"/>
          <w:color w:val="auto"/>
          <w:szCs w:val="21"/>
          <w:highlight w:val="none"/>
        </w:rPr>
        <w:t>评</w:t>
      </w:r>
      <w:r>
        <w:rPr>
          <w:color w:val="auto"/>
          <w:szCs w:val="21"/>
          <w:highlight w:val="none"/>
        </w:rPr>
        <w:t>分由高到低顺序排列，若综合评分、</w:t>
      </w:r>
      <w:r>
        <w:rPr>
          <w:rFonts w:hint="eastAsia"/>
          <w:color w:val="auto"/>
          <w:szCs w:val="21"/>
          <w:highlight w:val="none"/>
        </w:rPr>
        <w:t>最后</w:t>
      </w:r>
      <w:r>
        <w:rPr>
          <w:color w:val="auto"/>
          <w:szCs w:val="21"/>
          <w:highlight w:val="none"/>
        </w:rPr>
        <w:t>报价、技术部分</w:t>
      </w:r>
      <w:r>
        <w:rPr>
          <w:rFonts w:hint="eastAsia"/>
          <w:color w:val="auto"/>
          <w:szCs w:val="21"/>
          <w:highlight w:val="none"/>
        </w:rPr>
        <w:t>评分</w:t>
      </w:r>
      <w:r>
        <w:rPr>
          <w:color w:val="auto"/>
          <w:szCs w:val="21"/>
          <w:highlight w:val="none"/>
        </w:rPr>
        <w:t>均相同的，按商务</w:t>
      </w:r>
      <w:r>
        <w:rPr>
          <w:rFonts w:hint="eastAsia"/>
          <w:color w:val="auto"/>
          <w:szCs w:val="21"/>
          <w:highlight w:val="none"/>
        </w:rPr>
        <w:t>资信</w:t>
      </w:r>
      <w:r>
        <w:rPr>
          <w:color w:val="auto"/>
          <w:szCs w:val="21"/>
          <w:highlight w:val="none"/>
        </w:rPr>
        <w:t>部分</w:t>
      </w:r>
      <w:r>
        <w:rPr>
          <w:rFonts w:hint="eastAsia"/>
          <w:color w:val="auto"/>
          <w:szCs w:val="21"/>
          <w:highlight w:val="none"/>
        </w:rPr>
        <w:t>评</w:t>
      </w:r>
      <w:r>
        <w:rPr>
          <w:color w:val="auto"/>
          <w:szCs w:val="21"/>
          <w:highlight w:val="none"/>
        </w:rPr>
        <w:t>分由高到低顺序排列。</w:t>
      </w:r>
      <w:r>
        <w:rPr>
          <w:rFonts w:hint="eastAsia"/>
          <w:color w:val="auto"/>
          <w:szCs w:val="21"/>
          <w:highlight w:val="none"/>
        </w:rPr>
        <w:t>若综合评分、最后报价、技术部分评分、商务资信部分评分均相同的，由采购人自行决定。</w:t>
      </w:r>
    </w:p>
    <w:p w14:paraId="112D2ECA">
      <w:pPr>
        <w:spacing w:before="120" w:line="320" w:lineRule="atLeast"/>
        <w:ind w:firstLine="420" w:firstLineChars="200"/>
        <w:rPr>
          <w:color w:val="auto"/>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）磋商小组根据评审记录及评审结果编写评审报告，磋商小组成员均应当在评审报告上签字，对自己的评审意见承担法律责任。</w:t>
      </w:r>
      <w:r>
        <w:rPr>
          <w:color w:val="auto"/>
          <w:highlight w:val="none"/>
        </w:rPr>
        <w:t>评审报告签署前，经复核发现存在以</w:t>
      </w:r>
      <w:r>
        <w:rPr>
          <w:rFonts w:hint="eastAsia"/>
          <w:color w:val="auto"/>
          <w:highlight w:val="none"/>
        </w:rPr>
        <w:t>下</w:t>
      </w:r>
      <w:r>
        <w:rPr>
          <w:color w:val="auto"/>
          <w:highlight w:val="none"/>
        </w:rPr>
        <w:t>情形之一的，磋商小组应当当场修改评审结果，并在评审报告中记载；评审报告签署后，采购人或者采购代理机构发现存在以</w:t>
      </w:r>
      <w:r>
        <w:rPr>
          <w:rFonts w:hint="eastAsia"/>
          <w:color w:val="auto"/>
          <w:highlight w:val="none"/>
        </w:rPr>
        <w:t>下</w:t>
      </w:r>
      <w:r>
        <w:rPr>
          <w:color w:val="auto"/>
          <w:highlight w:val="none"/>
        </w:rPr>
        <w:t>情形之一的，应当组织原磋商小组进行重新评审。</w:t>
      </w:r>
    </w:p>
    <w:p w14:paraId="18DC48F6">
      <w:pPr>
        <w:spacing w:before="120" w:line="320" w:lineRule="atLeast"/>
        <w:ind w:firstLine="420" w:firstLineChars="200"/>
        <w:rPr>
          <w:color w:val="auto"/>
          <w:highlight w:val="none"/>
        </w:rPr>
      </w:pPr>
      <w:r>
        <w:rPr>
          <w:rFonts w:hint="eastAsia"/>
          <w:color w:val="auto"/>
          <w:highlight w:val="none"/>
        </w:rPr>
        <w:t>资格性检查认定错误、分值汇总计算错误、分项评分超出评分标准范围、客观分评分不一致、经磋商小组一致认定评分畸高、畸低。</w:t>
      </w:r>
    </w:p>
    <w:bookmarkEnd w:id="66"/>
    <w:p w14:paraId="31C8EBE0">
      <w:pPr>
        <w:spacing w:before="120" w:line="320" w:lineRule="atLeast"/>
        <w:ind w:firstLine="422" w:firstLineChars="200"/>
        <w:outlineLvl w:val="2"/>
        <w:rPr>
          <w:b/>
          <w:bCs/>
          <w:color w:val="auto"/>
          <w:kern w:val="0"/>
          <w:szCs w:val="21"/>
          <w:highlight w:val="none"/>
        </w:rPr>
      </w:pPr>
      <w:r>
        <w:rPr>
          <w:b/>
          <w:bCs/>
          <w:color w:val="auto"/>
          <w:kern w:val="0"/>
          <w:szCs w:val="21"/>
          <w:highlight w:val="none"/>
        </w:rPr>
        <w:t>6.4确定成交供应商</w:t>
      </w:r>
    </w:p>
    <w:p w14:paraId="1B1FE720">
      <w:pPr>
        <w:spacing w:before="120" w:line="276" w:lineRule="auto"/>
        <w:ind w:firstLine="420" w:firstLineChars="200"/>
        <w:rPr>
          <w:color w:val="auto"/>
          <w:szCs w:val="21"/>
          <w:highlight w:val="none"/>
        </w:rPr>
      </w:pPr>
      <w:r>
        <w:rPr>
          <w:rFonts w:hint="eastAsia"/>
          <w:color w:val="auto"/>
          <w:szCs w:val="21"/>
          <w:highlight w:val="none"/>
        </w:rPr>
        <w:t>6.4</w:t>
      </w:r>
      <w:r>
        <w:rPr>
          <w:color w:val="auto"/>
          <w:szCs w:val="21"/>
          <w:highlight w:val="none"/>
        </w:rPr>
        <w:t>.1采购代理机构在评审结束后2个工作日内将评审报告送采购人，采购人在5个工作日内按照评审报告中推荐的成交候选供应商顺序确定成交供应商。</w:t>
      </w:r>
    </w:p>
    <w:p w14:paraId="2EEB001B">
      <w:pPr>
        <w:spacing w:before="120" w:line="276" w:lineRule="auto"/>
        <w:ind w:firstLine="420" w:firstLineChars="200"/>
        <w:rPr>
          <w:color w:val="auto"/>
          <w:szCs w:val="21"/>
          <w:highlight w:val="none"/>
        </w:rPr>
      </w:pPr>
      <w:r>
        <w:rPr>
          <w:color w:val="auto"/>
          <w:szCs w:val="21"/>
          <w:highlight w:val="none"/>
        </w:rPr>
        <w:t>6.4.2</w:t>
      </w:r>
      <w:r>
        <w:rPr>
          <w:rFonts w:hint="eastAsia"/>
          <w:color w:val="auto"/>
          <w:szCs w:val="21"/>
          <w:highlight w:val="none"/>
        </w:rPr>
        <w:t>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22460681">
      <w:pPr>
        <w:spacing w:before="120" w:line="320" w:lineRule="atLeast"/>
        <w:ind w:firstLine="422" w:firstLineChars="200"/>
        <w:outlineLvl w:val="2"/>
        <w:rPr>
          <w:b/>
          <w:bCs/>
          <w:color w:val="auto"/>
          <w:kern w:val="0"/>
          <w:szCs w:val="21"/>
          <w:highlight w:val="none"/>
        </w:rPr>
      </w:pPr>
      <w:r>
        <w:rPr>
          <w:b/>
          <w:bCs/>
          <w:color w:val="auto"/>
          <w:kern w:val="0"/>
          <w:szCs w:val="21"/>
          <w:highlight w:val="none"/>
        </w:rPr>
        <w:t>6.5</w:t>
      </w:r>
      <w:r>
        <w:rPr>
          <w:rFonts w:hint="eastAsia"/>
          <w:b/>
          <w:bCs/>
          <w:color w:val="auto"/>
          <w:kern w:val="0"/>
          <w:szCs w:val="21"/>
          <w:highlight w:val="none"/>
        </w:rPr>
        <w:t>结果公告</w:t>
      </w:r>
    </w:p>
    <w:p w14:paraId="7C94653E">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.5.1自成交供应商确定后2个工作日内，采购代理机构</w:t>
      </w:r>
      <w:r>
        <w:rPr>
          <w:rFonts w:hint="eastAsia"/>
          <w:color w:val="auto"/>
          <w:szCs w:val="21"/>
          <w:highlight w:val="none"/>
        </w:rPr>
        <w:t>按照供应商须知</w:t>
      </w:r>
      <w:r>
        <w:rPr>
          <w:rFonts w:hint="eastAsia"/>
          <w:color w:val="auto"/>
          <w:kern w:val="0"/>
          <w:szCs w:val="21"/>
          <w:highlight w:val="none"/>
        </w:rPr>
        <w:t>前附表的规定</w:t>
      </w:r>
      <w:r>
        <w:rPr>
          <w:color w:val="auto"/>
          <w:kern w:val="0"/>
          <w:szCs w:val="21"/>
          <w:highlight w:val="none"/>
        </w:rPr>
        <w:t>公告</w:t>
      </w:r>
      <w:r>
        <w:rPr>
          <w:color w:val="auto"/>
          <w:szCs w:val="21"/>
          <w:highlight w:val="none"/>
        </w:rPr>
        <w:t>成交结果</w:t>
      </w:r>
      <w:r>
        <w:rPr>
          <w:rFonts w:hint="eastAsia"/>
          <w:color w:val="auto"/>
          <w:szCs w:val="21"/>
          <w:highlight w:val="none"/>
          <w:lang w:eastAsia="zh-CN"/>
        </w:rPr>
        <w:t>，成交</w:t>
      </w:r>
      <w:r>
        <w:rPr>
          <w:rFonts w:hint="eastAsia"/>
          <w:color w:val="auto"/>
          <w:szCs w:val="21"/>
          <w:highlight w:val="none"/>
        </w:rPr>
        <w:t>结果公告期限为1个工作日</w:t>
      </w:r>
      <w:r>
        <w:rPr>
          <w:rFonts w:hint="eastAsia"/>
          <w:color w:val="auto"/>
          <w:szCs w:val="21"/>
          <w:highlight w:val="none"/>
          <w:lang w:eastAsia="zh-CN"/>
        </w:rPr>
        <w:t>，</w:t>
      </w:r>
      <w:r>
        <w:rPr>
          <w:rFonts w:hint="eastAsia"/>
          <w:color w:val="auto"/>
          <w:szCs w:val="21"/>
          <w:highlight w:val="none"/>
        </w:rPr>
        <w:t>发布</w:t>
      </w:r>
      <w:r>
        <w:rPr>
          <w:rFonts w:hint="eastAsia"/>
          <w:color w:val="auto"/>
          <w:szCs w:val="21"/>
          <w:highlight w:val="none"/>
          <w:lang w:eastAsia="zh-CN"/>
        </w:rPr>
        <w:t>成交</w:t>
      </w:r>
      <w:r>
        <w:rPr>
          <w:rFonts w:hint="eastAsia"/>
          <w:color w:val="auto"/>
          <w:szCs w:val="21"/>
          <w:highlight w:val="none"/>
        </w:rPr>
        <w:t>结果公告的同时向</w:t>
      </w:r>
      <w:r>
        <w:rPr>
          <w:rFonts w:hint="eastAsia"/>
          <w:color w:val="auto"/>
          <w:szCs w:val="21"/>
          <w:highlight w:val="none"/>
          <w:lang w:eastAsia="zh-CN"/>
        </w:rPr>
        <w:t>成交</w:t>
      </w:r>
      <w:r>
        <w:rPr>
          <w:rFonts w:hint="eastAsia"/>
          <w:color w:val="auto"/>
          <w:szCs w:val="21"/>
          <w:highlight w:val="none"/>
        </w:rPr>
        <w:t>供应商发出</w:t>
      </w:r>
      <w:r>
        <w:rPr>
          <w:rFonts w:hint="eastAsia"/>
          <w:color w:val="auto"/>
          <w:szCs w:val="21"/>
          <w:highlight w:val="none"/>
          <w:lang w:eastAsia="zh-CN"/>
        </w:rPr>
        <w:t>成交</w:t>
      </w:r>
      <w:r>
        <w:rPr>
          <w:rFonts w:hint="eastAsia"/>
          <w:color w:val="auto"/>
          <w:szCs w:val="21"/>
          <w:highlight w:val="none"/>
        </w:rPr>
        <w:t>通知书。采购代理机构发出</w:t>
      </w:r>
      <w:r>
        <w:rPr>
          <w:rFonts w:hint="eastAsia"/>
          <w:color w:val="auto"/>
          <w:szCs w:val="21"/>
          <w:highlight w:val="none"/>
          <w:lang w:eastAsia="zh-CN"/>
        </w:rPr>
        <w:t>成交</w:t>
      </w:r>
      <w:r>
        <w:rPr>
          <w:rFonts w:hint="eastAsia"/>
          <w:color w:val="auto"/>
          <w:szCs w:val="21"/>
          <w:highlight w:val="none"/>
        </w:rPr>
        <w:t>通知书前，应当对</w:t>
      </w:r>
      <w:r>
        <w:rPr>
          <w:rFonts w:hint="eastAsia"/>
          <w:color w:val="auto"/>
          <w:szCs w:val="21"/>
          <w:highlight w:val="none"/>
          <w:lang w:eastAsia="zh-CN"/>
        </w:rPr>
        <w:t>成交</w:t>
      </w:r>
      <w:r>
        <w:rPr>
          <w:rFonts w:hint="eastAsia"/>
          <w:color w:val="auto"/>
          <w:szCs w:val="21"/>
          <w:highlight w:val="none"/>
          <w:lang w:val="en-US" w:eastAsia="zh-CN"/>
        </w:rPr>
        <w:t>供应商</w:t>
      </w:r>
      <w:r>
        <w:rPr>
          <w:rFonts w:hint="eastAsia"/>
          <w:color w:val="auto"/>
          <w:szCs w:val="21"/>
          <w:highlight w:val="none"/>
        </w:rPr>
        <w:t>信用进行核实，对列入失信被执行人、重大税收违法案件当事人名单、政府采购严重违法失信行为记录名单及其他不符合《中华人民共和国政府采购法》第二十二条规定条件的</w:t>
      </w:r>
      <w:r>
        <w:rPr>
          <w:rFonts w:hint="eastAsia"/>
          <w:color w:val="auto"/>
          <w:szCs w:val="21"/>
          <w:highlight w:val="none"/>
          <w:lang w:val="en-US" w:eastAsia="zh-CN"/>
        </w:rPr>
        <w:t>供应商</w:t>
      </w:r>
      <w:r>
        <w:rPr>
          <w:rFonts w:hint="eastAsia"/>
          <w:color w:val="auto"/>
          <w:szCs w:val="21"/>
          <w:highlight w:val="none"/>
        </w:rPr>
        <w:t>，取消其</w:t>
      </w:r>
      <w:r>
        <w:rPr>
          <w:rFonts w:hint="eastAsia"/>
          <w:color w:val="auto"/>
          <w:szCs w:val="21"/>
          <w:highlight w:val="none"/>
          <w:lang w:eastAsia="zh-CN"/>
        </w:rPr>
        <w:t>成交</w:t>
      </w:r>
      <w:r>
        <w:rPr>
          <w:rFonts w:hint="eastAsia"/>
          <w:color w:val="auto"/>
          <w:szCs w:val="21"/>
          <w:highlight w:val="none"/>
        </w:rPr>
        <w:t>资格，并确定排名第二的</w:t>
      </w:r>
      <w:r>
        <w:rPr>
          <w:rFonts w:hint="eastAsia"/>
          <w:color w:val="auto"/>
          <w:szCs w:val="21"/>
          <w:highlight w:val="none"/>
          <w:lang w:eastAsia="zh-CN"/>
        </w:rPr>
        <w:t>成交</w:t>
      </w:r>
      <w:r>
        <w:rPr>
          <w:rFonts w:hint="eastAsia"/>
          <w:color w:val="auto"/>
          <w:szCs w:val="21"/>
          <w:highlight w:val="none"/>
        </w:rPr>
        <w:t>候选人为</w:t>
      </w:r>
      <w:r>
        <w:rPr>
          <w:rFonts w:hint="eastAsia"/>
          <w:color w:val="auto"/>
          <w:szCs w:val="21"/>
          <w:highlight w:val="none"/>
          <w:lang w:eastAsia="zh-CN"/>
        </w:rPr>
        <w:t>成交</w:t>
      </w:r>
      <w:r>
        <w:rPr>
          <w:rFonts w:hint="eastAsia"/>
          <w:color w:val="auto"/>
          <w:szCs w:val="21"/>
          <w:highlight w:val="none"/>
          <w:lang w:val="en-US" w:eastAsia="zh-CN"/>
        </w:rPr>
        <w:t>供应商</w:t>
      </w:r>
      <w:r>
        <w:rPr>
          <w:rFonts w:hint="eastAsia"/>
          <w:color w:val="auto"/>
          <w:szCs w:val="21"/>
          <w:highlight w:val="none"/>
        </w:rPr>
        <w:t>。排名第二的</w:t>
      </w:r>
      <w:r>
        <w:rPr>
          <w:rFonts w:hint="eastAsia"/>
          <w:color w:val="auto"/>
          <w:szCs w:val="21"/>
          <w:highlight w:val="none"/>
          <w:lang w:eastAsia="zh-CN"/>
        </w:rPr>
        <w:t>成交</w:t>
      </w:r>
      <w:r>
        <w:rPr>
          <w:rFonts w:hint="eastAsia"/>
          <w:color w:val="auto"/>
          <w:szCs w:val="21"/>
          <w:highlight w:val="none"/>
        </w:rPr>
        <w:t>候选人因前款规定的同样原因被取消</w:t>
      </w:r>
      <w:r>
        <w:rPr>
          <w:rFonts w:hint="eastAsia"/>
          <w:color w:val="auto"/>
          <w:szCs w:val="21"/>
          <w:highlight w:val="none"/>
          <w:lang w:eastAsia="zh-CN"/>
        </w:rPr>
        <w:t>成交</w:t>
      </w:r>
      <w:r>
        <w:rPr>
          <w:rFonts w:hint="eastAsia"/>
          <w:color w:val="auto"/>
          <w:szCs w:val="21"/>
          <w:highlight w:val="none"/>
        </w:rPr>
        <w:t>资格的，</w:t>
      </w:r>
      <w:r>
        <w:rPr>
          <w:rFonts w:hint="eastAsia"/>
          <w:color w:val="auto"/>
          <w:szCs w:val="21"/>
          <w:highlight w:val="none"/>
          <w:lang w:val="en-US" w:eastAsia="zh-CN"/>
        </w:rPr>
        <w:t>采购人</w:t>
      </w:r>
      <w:r>
        <w:rPr>
          <w:rFonts w:hint="eastAsia"/>
          <w:color w:val="auto"/>
          <w:szCs w:val="21"/>
          <w:highlight w:val="none"/>
        </w:rPr>
        <w:t>可以确定排名第三的</w:t>
      </w:r>
      <w:r>
        <w:rPr>
          <w:rFonts w:hint="eastAsia"/>
          <w:color w:val="auto"/>
          <w:szCs w:val="21"/>
          <w:highlight w:val="none"/>
          <w:lang w:eastAsia="zh-CN"/>
        </w:rPr>
        <w:t>成交</w:t>
      </w:r>
      <w:r>
        <w:rPr>
          <w:rFonts w:hint="eastAsia"/>
          <w:color w:val="auto"/>
          <w:szCs w:val="21"/>
          <w:highlight w:val="none"/>
        </w:rPr>
        <w:t>候选人为</w:t>
      </w:r>
      <w:r>
        <w:rPr>
          <w:rFonts w:hint="eastAsia"/>
          <w:color w:val="auto"/>
          <w:szCs w:val="21"/>
          <w:highlight w:val="none"/>
          <w:lang w:eastAsia="zh-CN"/>
        </w:rPr>
        <w:t>成交</w:t>
      </w:r>
      <w:r>
        <w:rPr>
          <w:rFonts w:hint="eastAsia"/>
          <w:color w:val="auto"/>
          <w:szCs w:val="21"/>
          <w:highlight w:val="none"/>
          <w:lang w:val="en-US" w:eastAsia="zh-CN"/>
        </w:rPr>
        <w:t>供应商</w:t>
      </w:r>
      <w:r>
        <w:rPr>
          <w:rFonts w:hint="eastAsia"/>
          <w:color w:val="auto"/>
          <w:szCs w:val="21"/>
          <w:highlight w:val="none"/>
        </w:rPr>
        <w:t>，以此类推。以上信息查询记录及相关证据与采购文件一并保存。</w:t>
      </w:r>
    </w:p>
    <w:p w14:paraId="2276CD2E">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.5.2在发布</w:t>
      </w:r>
      <w:r>
        <w:rPr>
          <w:rFonts w:hint="eastAsia"/>
          <w:color w:val="auto"/>
          <w:szCs w:val="21"/>
          <w:highlight w:val="none"/>
        </w:rPr>
        <w:t>结果</w:t>
      </w:r>
      <w:r>
        <w:rPr>
          <w:color w:val="auto"/>
          <w:szCs w:val="21"/>
          <w:highlight w:val="none"/>
        </w:rPr>
        <w:t>公告的同时，采购代理机构以供应商须知前附表规定的形式向成交供应商发出成交通知书。成交通知书发出后，采购人改变成交结果，或者成交供应商放弃成交，应当承担相应的法律责任。</w:t>
      </w:r>
    </w:p>
    <w:p w14:paraId="740AAB0A">
      <w:pPr>
        <w:suppressAutoHyphens/>
        <w:spacing w:before="120" w:line="320" w:lineRule="atLeast"/>
        <w:ind w:firstLine="422" w:firstLineChars="200"/>
        <w:outlineLvl w:val="2"/>
        <w:rPr>
          <w:b/>
          <w:bCs/>
          <w:color w:val="auto"/>
          <w:kern w:val="0"/>
          <w:szCs w:val="21"/>
          <w:highlight w:val="none"/>
        </w:rPr>
      </w:pPr>
      <w:r>
        <w:rPr>
          <w:b/>
          <w:bCs/>
          <w:color w:val="auto"/>
          <w:kern w:val="0"/>
          <w:szCs w:val="21"/>
          <w:highlight w:val="none"/>
        </w:rPr>
        <w:t>6.6</w:t>
      </w:r>
      <w:r>
        <w:rPr>
          <w:rFonts w:hint="eastAsia"/>
          <w:b/>
          <w:bCs/>
          <w:color w:val="auto"/>
          <w:kern w:val="0"/>
          <w:szCs w:val="21"/>
          <w:highlight w:val="none"/>
        </w:rPr>
        <w:t>废标</w:t>
      </w:r>
    </w:p>
    <w:p w14:paraId="4B40F131">
      <w:pPr>
        <w:spacing w:before="120" w:line="320" w:lineRule="atLeast"/>
        <w:ind w:firstLine="420" w:firstLineChars="200"/>
        <w:rPr>
          <w:color w:val="auto"/>
          <w:kern w:val="1"/>
          <w:szCs w:val="21"/>
          <w:highlight w:val="none"/>
        </w:rPr>
      </w:pPr>
      <w:r>
        <w:rPr>
          <w:color w:val="auto"/>
          <w:kern w:val="1"/>
          <w:szCs w:val="21"/>
          <w:highlight w:val="none"/>
        </w:rPr>
        <w:t>6.6.1</w:t>
      </w:r>
      <w:r>
        <w:rPr>
          <w:rFonts w:hint="eastAsia"/>
          <w:color w:val="auto"/>
          <w:kern w:val="1"/>
          <w:szCs w:val="21"/>
          <w:highlight w:val="none"/>
        </w:rPr>
        <w:t xml:space="preserve">出现下列情形之一，将导致项目废标： </w:t>
      </w:r>
    </w:p>
    <w:p w14:paraId="66C78B31">
      <w:pPr>
        <w:spacing w:before="120" w:line="320" w:lineRule="atLeast"/>
        <w:ind w:firstLine="420" w:firstLineChars="200"/>
        <w:rPr>
          <w:color w:val="auto"/>
          <w:szCs w:val="21"/>
          <w:highlight w:val="none"/>
        </w:rPr>
      </w:pPr>
      <w:r>
        <w:rPr>
          <w:rFonts w:hint="eastAsia"/>
          <w:color w:val="auto"/>
          <w:kern w:val="1"/>
          <w:szCs w:val="21"/>
          <w:highlight w:val="none"/>
        </w:rPr>
        <w:t>（1</w:t>
      </w:r>
      <w:r>
        <w:rPr>
          <w:rFonts w:hint="eastAsia"/>
          <w:color w:val="auto"/>
          <w:szCs w:val="21"/>
          <w:highlight w:val="none"/>
        </w:rPr>
        <w:t>）符合专业条件的供应商或者对采购文件做实质性响应的供应商不足三家；</w:t>
      </w:r>
    </w:p>
    <w:p w14:paraId="386D92ED">
      <w:pPr>
        <w:spacing w:before="120" w:line="320" w:lineRule="atLeast"/>
        <w:ind w:firstLine="420" w:firstLineChars="200"/>
        <w:rPr>
          <w:color w:val="auto"/>
          <w:szCs w:val="21"/>
          <w:highlight w:val="none"/>
        </w:rPr>
      </w:pPr>
      <w:r>
        <w:rPr>
          <w:rFonts w:hint="eastAsia"/>
          <w:color w:val="auto"/>
          <w:szCs w:val="21"/>
          <w:highlight w:val="none"/>
        </w:rPr>
        <w:t>（2）出现影响采购公正的违法、违规行为的；</w:t>
      </w:r>
    </w:p>
    <w:p w14:paraId="0968BA0D">
      <w:pPr>
        <w:spacing w:before="120" w:line="320" w:lineRule="atLeast"/>
        <w:ind w:firstLine="420" w:firstLineChars="200"/>
        <w:rPr>
          <w:color w:val="auto"/>
          <w:szCs w:val="21"/>
          <w:highlight w:val="none"/>
        </w:rPr>
      </w:pPr>
      <w:r>
        <w:rPr>
          <w:rFonts w:hint="eastAsia"/>
          <w:color w:val="auto"/>
          <w:szCs w:val="21"/>
          <w:highlight w:val="none"/>
        </w:rPr>
        <w:t>（3）供应商的报价均超过了采购预算，采购人不能支付的；</w:t>
      </w:r>
    </w:p>
    <w:p w14:paraId="459048B0">
      <w:pPr>
        <w:spacing w:before="120" w:line="320" w:lineRule="atLeast"/>
        <w:ind w:firstLine="420" w:firstLineChars="200"/>
        <w:rPr>
          <w:color w:val="auto"/>
          <w:highlight w:val="none"/>
        </w:rPr>
      </w:pPr>
      <w:r>
        <w:rPr>
          <w:rFonts w:hint="eastAsia"/>
          <w:color w:val="auto"/>
          <w:szCs w:val="21"/>
          <w:highlight w:val="none"/>
        </w:rPr>
        <w:t>（4）</w:t>
      </w:r>
      <w:r>
        <w:rPr>
          <w:rFonts w:hint="eastAsia"/>
          <w:color w:val="auto"/>
          <w:highlight w:val="none"/>
        </w:rPr>
        <w:t>因发生重大变故或采购任务取消的。</w:t>
      </w:r>
    </w:p>
    <w:p w14:paraId="1B1D0AFC">
      <w:pPr>
        <w:spacing w:before="120" w:line="320" w:lineRule="atLeast"/>
        <w:ind w:firstLine="420" w:firstLineChars="200"/>
        <w:rPr>
          <w:color w:val="auto"/>
          <w:szCs w:val="21"/>
          <w:highlight w:val="none"/>
        </w:rPr>
      </w:pPr>
      <w:r>
        <w:rPr>
          <w:color w:val="auto"/>
          <w:kern w:val="1"/>
          <w:szCs w:val="21"/>
          <w:highlight w:val="none"/>
        </w:rPr>
        <w:t>6.6.2</w:t>
      </w:r>
      <w:r>
        <w:rPr>
          <w:rFonts w:hint="eastAsia"/>
          <w:color w:val="auto"/>
          <w:kern w:val="1"/>
          <w:szCs w:val="21"/>
          <w:highlight w:val="none"/>
        </w:rPr>
        <w:t>废标后</w:t>
      </w:r>
      <w:r>
        <w:rPr>
          <w:rFonts w:hint="eastAsia"/>
          <w:color w:val="auto"/>
          <w:szCs w:val="21"/>
          <w:highlight w:val="none"/>
        </w:rPr>
        <w:t>采购</w:t>
      </w:r>
      <w:r>
        <w:rPr>
          <w:rFonts w:hint="eastAsia"/>
          <w:color w:val="auto"/>
          <w:kern w:val="1"/>
          <w:szCs w:val="21"/>
          <w:highlight w:val="none"/>
        </w:rPr>
        <w:t>代理机构将发布废标公告通知供应商。</w:t>
      </w:r>
    </w:p>
    <w:p w14:paraId="33016065">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7．合同</w:t>
      </w:r>
    </w:p>
    <w:p w14:paraId="533B2523">
      <w:pPr>
        <w:spacing w:before="120" w:line="320" w:lineRule="atLeast"/>
        <w:ind w:firstLine="422" w:firstLineChars="200"/>
        <w:outlineLvl w:val="2"/>
        <w:rPr>
          <w:b/>
          <w:bCs/>
          <w:color w:val="auto"/>
          <w:kern w:val="0"/>
          <w:szCs w:val="21"/>
          <w:highlight w:val="none"/>
        </w:rPr>
      </w:pPr>
      <w:r>
        <w:rPr>
          <w:b/>
          <w:bCs/>
          <w:color w:val="auto"/>
          <w:kern w:val="0"/>
          <w:szCs w:val="21"/>
          <w:highlight w:val="none"/>
        </w:rPr>
        <w:t>7.1合同授予标准</w:t>
      </w:r>
    </w:p>
    <w:p w14:paraId="06AE47E8">
      <w:pPr>
        <w:spacing w:before="120" w:line="320" w:lineRule="atLeast"/>
        <w:ind w:firstLine="420" w:firstLineChars="200"/>
        <w:rPr>
          <w:color w:val="auto"/>
          <w:szCs w:val="21"/>
          <w:highlight w:val="none"/>
        </w:rPr>
      </w:pPr>
      <w:r>
        <w:rPr>
          <w:color w:val="auto"/>
          <w:szCs w:val="21"/>
          <w:highlight w:val="none"/>
        </w:rPr>
        <w:t>合同将授予被确定实质上响应采购文件要求，具备履行合同能力，综合评分排名第一的供应商。在</w:t>
      </w:r>
      <w:r>
        <w:rPr>
          <w:rFonts w:hint="eastAsia"/>
          <w:color w:val="auto"/>
          <w:szCs w:val="21"/>
          <w:highlight w:val="none"/>
        </w:rPr>
        <w:t>成交通知书</w:t>
      </w:r>
      <w:r>
        <w:rPr>
          <w:color w:val="auto"/>
          <w:szCs w:val="21"/>
          <w:highlight w:val="none"/>
        </w:rPr>
        <w:t>发出前或签订合同前，如果</w:t>
      </w:r>
      <w:r>
        <w:rPr>
          <w:rFonts w:hint="eastAsia"/>
          <w:color w:val="auto"/>
          <w:szCs w:val="21"/>
          <w:highlight w:val="none"/>
        </w:rPr>
        <w:t>成交供应商</w:t>
      </w:r>
      <w:r>
        <w:rPr>
          <w:color w:val="auto"/>
          <w:szCs w:val="21"/>
          <w:highlight w:val="none"/>
        </w:rPr>
        <w:t>的组织机构</w:t>
      </w:r>
      <w:r>
        <w:rPr>
          <w:rFonts w:hint="eastAsia"/>
          <w:color w:val="auto"/>
          <w:szCs w:val="21"/>
          <w:highlight w:val="none"/>
        </w:rPr>
        <w:t>、</w:t>
      </w:r>
      <w:r>
        <w:rPr>
          <w:color w:val="auto"/>
          <w:szCs w:val="21"/>
          <w:highlight w:val="none"/>
        </w:rPr>
        <w:t>经营、财务状况发生较大变化，可能造成不能履行合同、无法按照</w:t>
      </w:r>
      <w:r>
        <w:rPr>
          <w:rFonts w:hint="eastAsia"/>
          <w:color w:val="auto"/>
          <w:szCs w:val="21"/>
          <w:highlight w:val="none"/>
        </w:rPr>
        <w:t>采购文件</w:t>
      </w:r>
      <w:r>
        <w:rPr>
          <w:color w:val="auto"/>
          <w:szCs w:val="21"/>
          <w:highlight w:val="none"/>
        </w:rPr>
        <w:t>要求提交履约保证金等情形，不符合成交条件或不满足供应商资格条件要求 ，应在</w:t>
      </w:r>
      <w:r>
        <w:rPr>
          <w:rFonts w:hint="eastAsia"/>
          <w:color w:val="auto"/>
          <w:szCs w:val="21"/>
          <w:highlight w:val="none"/>
        </w:rPr>
        <w:t>成交通知书</w:t>
      </w:r>
      <w:r>
        <w:rPr>
          <w:color w:val="auto"/>
          <w:szCs w:val="21"/>
          <w:highlight w:val="none"/>
        </w:rPr>
        <w:t>发出前或签订合同前及时书面告知采购人</w:t>
      </w:r>
      <w:r>
        <w:rPr>
          <w:rFonts w:hint="eastAsia"/>
          <w:color w:val="auto"/>
          <w:szCs w:val="21"/>
          <w:highlight w:val="none"/>
        </w:rPr>
        <w:t>，</w:t>
      </w:r>
      <w:r>
        <w:rPr>
          <w:color w:val="auto"/>
          <w:szCs w:val="21"/>
          <w:highlight w:val="none"/>
        </w:rPr>
        <w:t>未主动告知</w:t>
      </w:r>
      <w:r>
        <w:rPr>
          <w:rFonts w:hint="eastAsia"/>
          <w:color w:val="auto"/>
          <w:szCs w:val="21"/>
          <w:highlight w:val="none"/>
        </w:rPr>
        <w:t>，</w:t>
      </w:r>
      <w:r>
        <w:rPr>
          <w:color w:val="auto"/>
          <w:szCs w:val="21"/>
          <w:highlight w:val="none"/>
        </w:rPr>
        <w:t>给采购人造成损失的</w:t>
      </w:r>
      <w:r>
        <w:rPr>
          <w:rFonts w:hint="eastAsia"/>
          <w:color w:val="auto"/>
          <w:szCs w:val="21"/>
          <w:highlight w:val="none"/>
        </w:rPr>
        <w:t>，</w:t>
      </w:r>
      <w:r>
        <w:rPr>
          <w:color w:val="auto"/>
          <w:szCs w:val="21"/>
          <w:highlight w:val="none"/>
        </w:rPr>
        <w:t>采购人有权</w:t>
      </w:r>
      <w:r>
        <w:rPr>
          <w:rFonts w:hint="eastAsia"/>
          <w:color w:val="auto"/>
          <w:szCs w:val="21"/>
          <w:highlight w:val="none"/>
        </w:rPr>
        <w:t>取消其成交资格并</w:t>
      </w:r>
      <w:r>
        <w:rPr>
          <w:color w:val="auto"/>
          <w:szCs w:val="21"/>
          <w:highlight w:val="none"/>
        </w:rPr>
        <w:t>没收磋商保证金</w:t>
      </w:r>
      <w:r>
        <w:rPr>
          <w:rFonts w:hint="eastAsia"/>
          <w:color w:val="auto"/>
          <w:szCs w:val="21"/>
          <w:highlight w:val="none"/>
        </w:rPr>
        <w:t>。</w:t>
      </w:r>
    </w:p>
    <w:p w14:paraId="00A628F4">
      <w:pPr>
        <w:spacing w:before="120" w:line="320" w:lineRule="atLeast"/>
        <w:ind w:firstLine="422" w:firstLineChars="200"/>
        <w:outlineLvl w:val="2"/>
        <w:rPr>
          <w:b/>
          <w:bCs/>
          <w:color w:val="auto"/>
          <w:kern w:val="0"/>
          <w:szCs w:val="21"/>
          <w:highlight w:val="none"/>
        </w:rPr>
      </w:pPr>
      <w:r>
        <w:rPr>
          <w:b/>
          <w:bCs/>
          <w:color w:val="auto"/>
          <w:kern w:val="0"/>
          <w:szCs w:val="21"/>
          <w:highlight w:val="none"/>
        </w:rPr>
        <w:t>7.2签订合同</w:t>
      </w:r>
    </w:p>
    <w:p w14:paraId="1763122F">
      <w:pPr>
        <w:spacing w:before="120" w:line="320" w:lineRule="atLeast"/>
        <w:ind w:firstLine="420" w:firstLineChars="200"/>
        <w:rPr>
          <w:color w:val="auto"/>
          <w:szCs w:val="21"/>
          <w:highlight w:val="none"/>
        </w:rPr>
      </w:pPr>
      <w:r>
        <w:rPr>
          <w:color w:val="auto"/>
          <w:szCs w:val="21"/>
          <w:highlight w:val="none"/>
        </w:rPr>
        <w:t>7.2.1如</w:t>
      </w:r>
      <w:r>
        <w:rPr>
          <w:rFonts w:hint="eastAsia"/>
          <w:color w:val="auto"/>
          <w:szCs w:val="21"/>
          <w:highlight w:val="none"/>
        </w:rPr>
        <w:t>采购文件</w:t>
      </w:r>
      <w:r>
        <w:rPr>
          <w:color w:val="auto"/>
          <w:szCs w:val="21"/>
          <w:highlight w:val="none"/>
        </w:rPr>
        <w:t>无</w:t>
      </w:r>
      <w:r>
        <w:rPr>
          <w:rFonts w:hint="eastAsia"/>
          <w:color w:val="auto"/>
          <w:szCs w:val="21"/>
          <w:highlight w:val="none"/>
        </w:rPr>
        <w:t>特别</w:t>
      </w:r>
      <w:r>
        <w:rPr>
          <w:color w:val="auto"/>
          <w:szCs w:val="21"/>
          <w:highlight w:val="none"/>
        </w:rPr>
        <w:t>规定，</w:t>
      </w:r>
      <w:r>
        <w:rPr>
          <w:rFonts w:hint="eastAsia"/>
          <w:color w:val="auto"/>
          <w:szCs w:val="21"/>
          <w:highlight w:val="none"/>
        </w:rPr>
        <w:t>成交供应商按采购文件确定的事项签订政府采购合同。</w:t>
      </w:r>
    </w:p>
    <w:p w14:paraId="2FF5F18D">
      <w:pPr>
        <w:spacing w:before="120" w:line="320" w:lineRule="atLeast"/>
        <w:ind w:firstLine="420" w:firstLineChars="200"/>
        <w:rPr>
          <w:color w:val="auto"/>
          <w:szCs w:val="21"/>
          <w:highlight w:val="none"/>
        </w:rPr>
      </w:pPr>
      <w:r>
        <w:rPr>
          <w:color w:val="auto"/>
          <w:szCs w:val="21"/>
          <w:highlight w:val="none"/>
        </w:rPr>
        <w:t>7.2.2</w:t>
      </w:r>
      <w:r>
        <w:rPr>
          <w:rFonts w:hint="eastAsia"/>
          <w:color w:val="auto"/>
          <w:szCs w:val="21"/>
          <w:highlight w:val="none"/>
        </w:rPr>
        <w:t>政府采购合同应当包括采购人与成交供应商的名称和住所、标的、数量、质量、价款或者报酬、履行期限及地点和方式、验收要求、违约责任、解决争议的方法等内容。</w:t>
      </w:r>
      <w:r>
        <w:rPr>
          <w:color w:val="auto"/>
          <w:szCs w:val="21"/>
          <w:highlight w:val="none"/>
        </w:rPr>
        <w:t>采购文件、成交供应商的响应文件及澄清文件等，均为签订政府采购合同的依据。</w:t>
      </w:r>
    </w:p>
    <w:p w14:paraId="6A5F04C1">
      <w:pPr>
        <w:spacing w:before="120" w:line="320" w:lineRule="atLeast"/>
        <w:ind w:firstLine="420" w:firstLineChars="200"/>
        <w:rPr>
          <w:color w:val="auto"/>
          <w:szCs w:val="21"/>
          <w:highlight w:val="none"/>
        </w:rPr>
      </w:pPr>
      <w:r>
        <w:rPr>
          <w:color w:val="auto"/>
          <w:szCs w:val="21"/>
          <w:highlight w:val="none"/>
        </w:rPr>
        <w:t>7.2.3如成交供应商不按成交通知书的规定签订合同，</w:t>
      </w:r>
      <w:r>
        <w:rPr>
          <w:rFonts w:hint="eastAsia"/>
          <w:color w:val="auto"/>
          <w:szCs w:val="21"/>
          <w:highlight w:val="none"/>
        </w:rPr>
        <w:t>其磋商保证金将不予退还，并报由同级政府采购监督管理部门处理。</w:t>
      </w:r>
    </w:p>
    <w:p w14:paraId="174E9030">
      <w:pPr>
        <w:spacing w:before="120" w:line="320" w:lineRule="atLeast"/>
        <w:ind w:firstLine="420" w:firstLineChars="200"/>
        <w:rPr>
          <w:color w:val="auto"/>
          <w:szCs w:val="21"/>
          <w:highlight w:val="none"/>
        </w:rPr>
      </w:pPr>
      <w:r>
        <w:rPr>
          <w:rFonts w:hint="eastAsia"/>
          <w:color w:val="auto"/>
          <w:szCs w:val="21"/>
          <w:highlight w:val="none"/>
        </w:rPr>
        <w:t>7</w:t>
      </w:r>
      <w:r>
        <w:rPr>
          <w:color w:val="auto"/>
          <w:szCs w:val="21"/>
          <w:highlight w:val="none"/>
        </w:rPr>
        <w:t>.2.4</w:t>
      </w:r>
      <w:r>
        <w:rPr>
          <w:rFonts w:hint="eastAsia"/>
          <w:color w:val="auto"/>
          <w:szCs w:val="21"/>
          <w:highlight w:val="none"/>
        </w:rPr>
        <w:t>成交供应商拒绝与采购人签订合同的，采购人可以按照评审报告推荐的成交候选人名单排序，确定下一候选人为成交供应商，也可以重新开展政府采购活动。</w:t>
      </w:r>
    </w:p>
    <w:p w14:paraId="7A9467A3">
      <w:pPr>
        <w:spacing w:before="120" w:line="320" w:lineRule="atLeast"/>
        <w:ind w:firstLine="420" w:firstLineChars="200"/>
        <w:rPr>
          <w:rFonts w:hint="eastAsia"/>
          <w:color w:val="auto"/>
          <w:szCs w:val="21"/>
          <w:highlight w:val="none"/>
        </w:rPr>
      </w:pPr>
      <w:bookmarkStart w:id="67" w:name="_Hlk155170999"/>
      <w:r>
        <w:rPr>
          <w:rFonts w:hint="eastAsia"/>
          <w:color w:val="auto"/>
          <w:szCs w:val="21"/>
          <w:highlight w:val="none"/>
        </w:rPr>
        <w:t>7</w:t>
      </w:r>
      <w:r>
        <w:rPr>
          <w:color w:val="auto"/>
          <w:szCs w:val="21"/>
          <w:highlight w:val="none"/>
        </w:rPr>
        <w:t>.2.5</w:t>
      </w:r>
      <w:r>
        <w:rPr>
          <w:rFonts w:hint="eastAsia"/>
          <w:color w:val="auto"/>
          <w:szCs w:val="21"/>
          <w:highlight w:val="none"/>
        </w:rPr>
        <w:t>采购人因不可抗力原因迟延签订合同的，应当自不可抗力事由消除之日起5个工作日内完成合同签订事宜。</w:t>
      </w:r>
      <w:bookmarkEnd w:id="67"/>
    </w:p>
    <w:p w14:paraId="186A01C6">
      <w:pPr>
        <w:spacing w:before="120" w:line="320" w:lineRule="atLeast"/>
        <w:ind w:firstLine="422" w:firstLineChars="200"/>
        <w:outlineLvl w:val="2"/>
        <w:rPr>
          <w:b/>
          <w:bCs/>
          <w:color w:val="auto"/>
          <w:kern w:val="0"/>
          <w:szCs w:val="21"/>
          <w:highlight w:val="none"/>
        </w:rPr>
      </w:pPr>
      <w:r>
        <w:rPr>
          <w:b/>
          <w:bCs/>
          <w:color w:val="auto"/>
          <w:kern w:val="0"/>
          <w:szCs w:val="21"/>
          <w:highlight w:val="none"/>
        </w:rPr>
        <w:t>7.3合同公告</w:t>
      </w:r>
    </w:p>
    <w:p w14:paraId="4E7A78A9">
      <w:pPr>
        <w:spacing w:before="120" w:line="320" w:lineRule="atLeast"/>
        <w:ind w:firstLine="420" w:firstLineChars="200"/>
        <w:rPr>
          <w:color w:val="auto"/>
          <w:szCs w:val="21"/>
          <w:highlight w:val="none"/>
        </w:rPr>
      </w:pPr>
      <w:r>
        <w:rPr>
          <w:color w:val="auto"/>
          <w:szCs w:val="21"/>
          <w:highlight w:val="none"/>
        </w:rPr>
        <w:t>7.3.1如</w:t>
      </w:r>
      <w:r>
        <w:rPr>
          <w:rFonts w:hint="eastAsia"/>
          <w:color w:val="auto"/>
          <w:szCs w:val="21"/>
          <w:highlight w:val="none"/>
        </w:rPr>
        <w:t>采购文件</w:t>
      </w:r>
      <w:r>
        <w:rPr>
          <w:color w:val="auto"/>
          <w:szCs w:val="21"/>
          <w:highlight w:val="none"/>
        </w:rPr>
        <w:t>无特殊规定</w:t>
      </w:r>
      <w:r>
        <w:rPr>
          <w:rFonts w:hint="eastAsia"/>
          <w:color w:val="auto"/>
          <w:szCs w:val="21"/>
          <w:highlight w:val="none"/>
        </w:rPr>
        <w:t>，</w:t>
      </w:r>
      <w:r>
        <w:rPr>
          <w:color w:val="auto"/>
          <w:szCs w:val="21"/>
          <w:highlight w:val="none"/>
        </w:rPr>
        <w:t>成交供应商应在签订合同后1个工作日内，将政府采购合同副本送采购代理机构</w:t>
      </w:r>
      <w:r>
        <w:rPr>
          <w:rFonts w:hint="eastAsia"/>
          <w:color w:val="auto"/>
          <w:szCs w:val="21"/>
          <w:highlight w:val="none"/>
        </w:rPr>
        <w:t>存档</w:t>
      </w:r>
      <w:r>
        <w:rPr>
          <w:color w:val="auto"/>
          <w:szCs w:val="21"/>
          <w:highlight w:val="none"/>
        </w:rPr>
        <w:t>。</w:t>
      </w:r>
    </w:p>
    <w:p w14:paraId="2153FC82">
      <w:pPr>
        <w:spacing w:before="120" w:line="320" w:lineRule="atLeast"/>
        <w:ind w:firstLine="420" w:firstLineChars="200"/>
        <w:rPr>
          <w:color w:val="auto"/>
          <w:szCs w:val="21"/>
          <w:highlight w:val="none"/>
        </w:rPr>
      </w:pPr>
      <w:r>
        <w:rPr>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46DE43A6">
      <w:pPr>
        <w:spacing w:before="120" w:line="320" w:lineRule="atLeast"/>
        <w:ind w:firstLine="420" w:firstLineChars="200"/>
        <w:rPr>
          <w:rFonts w:hint="eastAsia"/>
          <w:color w:val="auto"/>
          <w:szCs w:val="21"/>
          <w:highlight w:val="none"/>
        </w:rPr>
      </w:pPr>
      <w:bookmarkStart w:id="68" w:name="_Hlk155171014"/>
      <w:r>
        <w:rPr>
          <w:rFonts w:hint="eastAsia"/>
          <w:color w:val="auto"/>
          <w:szCs w:val="21"/>
          <w:highlight w:val="none"/>
        </w:rPr>
        <w:t>7</w:t>
      </w:r>
      <w:r>
        <w:rPr>
          <w:color w:val="auto"/>
          <w:szCs w:val="21"/>
          <w:highlight w:val="none"/>
        </w:rPr>
        <w:t xml:space="preserve">.3.3 </w:t>
      </w:r>
      <w:r>
        <w:rPr>
          <w:rFonts w:hint="eastAsia"/>
          <w:color w:val="auto"/>
          <w:szCs w:val="21"/>
          <w:highlight w:val="none"/>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68"/>
    </w:p>
    <w:p w14:paraId="68BF7A34">
      <w:pPr>
        <w:spacing w:before="120" w:line="320" w:lineRule="atLeast"/>
        <w:ind w:firstLine="422" w:firstLineChars="200"/>
        <w:outlineLvl w:val="2"/>
        <w:rPr>
          <w:b/>
          <w:bCs/>
          <w:color w:val="auto"/>
          <w:kern w:val="0"/>
          <w:szCs w:val="21"/>
          <w:highlight w:val="none"/>
        </w:rPr>
      </w:pPr>
      <w:r>
        <w:rPr>
          <w:b/>
          <w:bCs/>
          <w:color w:val="auto"/>
          <w:kern w:val="0"/>
          <w:szCs w:val="21"/>
          <w:highlight w:val="none"/>
        </w:rPr>
        <w:t>7.4 履行合同</w:t>
      </w:r>
    </w:p>
    <w:p w14:paraId="7D5C1C7F">
      <w:pPr>
        <w:spacing w:before="120" w:line="320" w:lineRule="atLeast"/>
        <w:ind w:firstLine="420" w:firstLineChars="200"/>
        <w:rPr>
          <w:color w:val="auto"/>
          <w:szCs w:val="21"/>
          <w:highlight w:val="none"/>
        </w:rPr>
      </w:pPr>
      <w:bookmarkStart w:id="69" w:name="_Toc308164814"/>
      <w:bookmarkStart w:id="70" w:name="_Toc217446070"/>
      <w:r>
        <w:rPr>
          <w:color w:val="auto"/>
          <w:szCs w:val="21"/>
          <w:highlight w:val="none"/>
        </w:rPr>
        <w:t>7.4.1</w:t>
      </w:r>
      <w:r>
        <w:rPr>
          <w:rFonts w:hint="eastAsia"/>
          <w:color w:val="auto"/>
          <w:szCs w:val="21"/>
          <w:highlight w:val="none"/>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36C5FD95">
      <w:pPr>
        <w:spacing w:before="120" w:line="320" w:lineRule="atLeast"/>
        <w:ind w:firstLine="422" w:firstLineChars="200"/>
        <w:rPr>
          <w:b/>
          <w:bCs/>
          <w:color w:val="auto"/>
          <w:kern w:val="0"/>
          <w:szCs w:val="21"/>
          <w:highlight w:val="none"/>
        </w:rPr>
      </w:pPr>
      <w:r>
        <w:rPr>
          <w:b/>
          <w:bCs/>
          <w:color w:val="auto"/>
          <w:kern w:val="0"/>
          <w:szCs w:val="21"/>
          <w:highlight w:val="none"/>
        </w:rPr>
        <w:t>7.5履约验收</w:t>
      </w:r>
      <w:bookmarkEnd w:id="69"/>
      <w:bookmarkEnd w:id="70"/>
    </w:p>
    <w:p w14:paraId="285FC048">
      <w:pPr>
        <w:spacing w:before="120" w:line="320" w:lineRule="atLeast"/>
        <w:ind w:firstLine="420" w:firstLineChars="200"/>
        <w:rPr>
          <w:color w:val="auto"/>
          <w:szCs w:val="21"/>
          <w:highlight w:val="none"/>
        </w:rPr>
      </w:pPr>
      <w:r>
        <w:rPr>
          <w:color w:val="auto"/>
          <w:szCs w:val="21"/>
          <w:highlight w:val="none"/>
        </w:rPr>
        <w:t>7.5.1采购人可以根据政府采购项目具体情况自行组织验收，或者委托政府采购代理机构、国家认可的质量检测机构开展采购项目履约验收工作。</w:t>
      </w:r>
    </w:p>
    <w:p w14:paraId="74B015EB">
      <w:pPr>
        <w:spacing w:before="120" w:line="320" w:lineRule="atLeast"/>
        <w:ind w:firstLine="420" w:firstLineChars="200"/>
        <w:rPr>
          <w:color w:val="auto"/>
          <w:szCs w:val="21"/>
          <w:highlight w:val="none"/>
        </w:rPr>
      </w:pPr>
      <w:r>
        <w:rPr>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2F74DBB">
      <w:pPr>
        <w:spacing w:before="120" w:line="320" w:lineRule="atLeast"/>
        <w:ind w:firstLine="420" w:firstLineChars="200"/>
        <w:rPr>
          <w:color w:val="auto"/>
          <w:szCs w:val="21"/>
          <w:highlight w:val="none"/>
        </w:rPr>
      </w:pPr>
      <w:r>
        <w:rPr>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15128B93">
      <w:pPr>
        <w:spacing w:before="120" w:line="320" w:lineRule="atLeast"/>
        <w:ind w:firstLine="420" w:firstLineChars="200"/>
        <w:rPr>
          <w:color w:val="auto"/>
          <w:szCs w:val="21"/>
          <w:highlight w:val="none"/>
        </w:rPr>
      </w:pPr>
      <w:r>
        <w:rPr>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33D2E291">
      <w:pPr>
        <w:spacing w:before="120" w:line="320" w:lineRule="atLeast"/>
        <w:ind w:left="2" w:leftChars="1" w:firstLine="422" w:firstLineChars="200"/>
        <w:outlineLvl w:val="1"/>
        <w:rPr>
          <w:b/>
          <w:bCs/>
          <w:color w:val="auto"/>
          <w:kern w:val="0"/>
          <w:szCs w:val="21"/>
          <w:highlight w:val="none"/>
        </w:rPr>
      </w:pPr>
      <w:bookmarkStart w:id="71" w:name="_Toc254970533"/>
      <w:bookmarkStart w:id="72" w:name="_Toc254970674"/>
      <w:r>
        <w:rPr>
          <w:b/>
          <w:bCs/>
          <w:color w:val="auto"/>
          <w:kern w:val="0"/>
          <w:szCs w:val="21"/>
          <w:highlight w:val="none"/>
        </w:rPr>
        <w:t>8．质疑和投诉</w:t>
      </w:r>
      <w:bookmarkEnd w:id="71"/>
      <w:bookmarkEnd w:id="72"/>
    </w:p>
    <w:p w14:paraId="76E818EE">
      <w:pPr>
        <w:spacing w:before="120" w:line="320" w:lineRule="atLeast"/>
        <w:ind w:firstLine="422" w:firstLineChars="200"/>
        <w:outlineLvl w:val="2"/>
        <w:rPr>
          <w:b/>
          <w:bCs/>
          <w:color w:val="auto"/>
          <w:kern w:val="0"/>
          <w:szCs w:val="21"/>
          <w:highlight w:val="none"/>
        </w:rPr>
      </w:pPr>
      <w:r>
        <w:rPr>
          <w:b/>
          <w:bCs/>
          <w:color w:val="auto"/>
          <w:kern w:val="0"/>
          <w:szCs w:val="21"/>
          <w:highlight w:val="none"/>
        </w:rPr>
        <w:t>8.1质疑</w:t>
      </w:r>
    </w:p>
    <w:p w14:paraId="49EC0D66">
      <w:pPr>
        <w:spacing w:before="120" w:line="320" w:lineRule="atLeast"/>
        <w:ind w:firstLine="420" w:firstLineChars="200"/>
        <w:rPr>
          <w:color w:val="auto"/>
          <w:szCs w:val="21"/>
          <w:highlight w:val="none"/>
        </w:rPr>
      </w:pPr>
      <w:r>
        <w:rPr>
          <w:color w:val="auto"/>
          <w:szCs w:val="21"/>
          <w:highlight w:val="none"/>
        </w:rPr>
        <w:t>8.1.1质疑内容、时限</w:t>
      </w:r>
    </w:p>
    <w:p w14:paraId="4DD9AFBC">
      <w:pPr>
        <w:spacing w:before="120" w:line="320" w:lineRule="atLeast"/>
        <w:ind w:firstLine="420" w:firstLineChars="200"/>
        <w:rPr>
          <w:color w:val="auto"/>
          <w:szCs w:val="21"/>
          <w:highlight w:val="none"/>
        </w:rPr>
      </w:pPr>
      <w:r>
        <w:rPr>
          <w:rFonts w:hint="eastAsia"/>
          <w:color w:val="auto"/>
          <w:szCs w:val="21"/>
          <w:highlight w:val="none"/>
        </w:rPr>
        <w:t>（1）供应商对政府采购活动有疑问的，可以向采购人或采购代理机构提出询问。采购人或者采购代理机构应当在3个工作日内对供应商依法提出的询问作出答复。</w:t>
      </w:r>
    </w:p>
    <w:p w14:paraId="12ED8EE1">
      <w:pPr>
        <w:spacing w:before="120" w:line="320" w:lineRule="atLeast"/>
        <w:ind w:firstLine="420" w:firstLineChars="200"/>
        <w:rPr>
          <w:color w:val="auto"/>
          <w:szCs w:val="21"/>
          <w:highlight w:val="none"/>
        </w:rPr>
      </w:pPr>
      <w:r>
        <w:rPr>
          <w:rFonts w:hint="eastAsia"/>
          <w:color w:val="auto"/>
          <w:szCs w:val="21"/>
          <w:highlight w:val="none"/>
        </w:rPr>
        <w:t>（2）</w:t>
      </w:r>
      <w:r>
        <w:rPr>
          <w:rFonts w:hint="eastAsia"/>
          <w:color w:val="auto"/>
          <w:szCs w:val="21"/>
          <w:highlight w:val="none"/>
          <w:lang w:eastAsia="zh-CN"/>
        </w:rPr>
        <w:t>供应商</w:t>
      </w:r>
      <w:r>
        <w:rPr>
          <w:rFonts w:hint="eastAsia"/>
          <w:color w:val="auto"/>
          <w:szCs w:val="21"/>
          <w:highlight w:val="none"/>
        </w:rPr>
        <w:t>认为采购文件、采购过程、中标或者成交结果使自己的权益受到损害的，可以在知道或者应知其权益受到损害之日起7个工作日内向采购人或采购代理机构提出质疑。采购人或</w:t>
      </w:r>
      <w:r>
        <w:rPr>
          <w:color w:val="auto"/>
          <w:szCs w:val="21"/>
          <w:highlight w:val="none"/>
        </w:rPr>
        <w:t>采购代理机构在收到供应商书面质疑后7个工作日内，对质疑内容作出答复。</w:t>
      </w:r>
    </w:p>
    <w:p w14:paraId="52F13E82">
      <w:pPr>
        <w:spacing w:before="120" w:line="320" w:lineRule="atLeast"/>
        <w:ind w:firstLine="420" w:firstLineChars="200"/>
        <w:rPr>
          <w:color w:val="auto"/>
          <w:szCs w:val="21"/>
          <w:highlight w:val="none"/>
        </w:rPr>
      </w:pPr>
      <w:r>
        <w:rPr>
          <w:color w:val="auto"/>
          <w:szCs w:val="21"/>
          <w:highlight w:val="none"/>
        </w:rPr>
        <w:t>8.1.2质疑形式</w:t>
      </w:r>
    </w:p>
    <w:p w14:paraId="7269BF27">
      <w:pPr>
        <w:spacing w:before="120" w:line="320" w:lineRule="atLeast"/>
        <w:ind w:firstLine="420" w:firstLineChars="200"/>
        <w:rPr>
          <w:color w:val="auto"/>
          <w:szCs w:val="21"/>
          <w:highlight w:val="none"/>
        </w:rPr>
      </w:pPr>
      <w:r>
        <w:rPr>
          <w:color w:val="auto"/>
          <w:szCs w:val="21"/>
          <w:highlight w:val="none"/>
        </w:rPr>
        <w:t>质疑应当采用</w:t>
      </w:r>
      <w:r>
        <w:rPr>
          <w:rFonts w:hint="eastAsia"/>
          <w:color w:val="auto"/>
          <w:szCs w:val="21"/>
          <w:highlight w:val="none"/>
        </w:rPr>
        <w:t>供应商</w:t>
      </w:r>
      <w:r>
        <w:rPr>
          <w:color w:val="auto"/>
          <w:szCs w:val="21"/>
          <w:highlight w:val="none"/>
        </w:rPr>
        <w:t>须知前附表所规定的形式，质疑书应明确阐述</w:t>
      </w:r>
      <w:r>
        <w:rPr>
          <w:rFonts w:hint="eastAsia"/>
          <w:color w:val="auto"/>
          <w:szCs w:val="21"/>
          <w:highlight w:val="none"/>
        </w:rPr>
        <w:t>采购文件</w:t>
      </w:r>
      <w:r>
        <w:rPr>
          <w:color w:val="auto"/>
          <w:szCs w:val="21"/>
          <w:highlight w:val="none"/>
        </w:rPr>
        <w:t>、</w:t>
      </w:r>
      <w:r>
        <w:rPr>
          <w:rFonts w:hint="eastAsia"/>
          <w:color w:val="auto"/>
          <w:szCs w:val="21"/>
          <w:highlight w:val="none"/>
        </w:rPr>
        <w:t>采购</w:t>
      </w:r>
      <w:r>
        <w:rPr>
          <w:color w:val="auto"/>
          <w:szCs w:val="21"/>
          <w:highlight w:val="none"/>
        </w:rPr>
        <w:t>过程或成交结果中使自己合法权益受到损害的实质性内容，提供相关事实、依据和证据及其来源或线索，便于有关单位调查、答复和处理。</w:t>
      </w:r>
    </w:p>
    <w:p w14:paraId="42F3F71C">
      <w:pPr>
        <w:spacing w:before="120" w:line="320" w:lineRule="atLeast"/>
        <w:ind w:firstLine="420" w:firstLineChars="200"/>
        <w:rPr>
          <w:color w:val="auto"/>
          <w:szCs w:val="21"/>
          <w:highlight w:val="none"/>
        </w:rPr>
      </w:pPr>
      <w:r>
        <w:rPr>
          <w:rFonts w:hint="eastAsia"/>
          <w:color w:val="auto"/>
          <w:szCs w:val="21"/>
          <w:highlight w:val="none"/>
        </w:rPr>
        <w:t>8</w:t>
      </w:r>
      <w:r>
        <w:rPr>
          <w:color w:val="auto"/>
          <w:szCs w:val="21"/>
          <w:highlight w:val="none"/>
        </w:rPr>
        <w:t>.1.3</w:t>
      </w:r>
      <w:r>
        <w:rPr>
          <w:rFonts w:hint="eastAsia"/>
          <w:color w:val="auto"/>
          <w:highlight w:val="none"/>
        </w:rPr>
        <w:t xml:space="preserve"> </w:t>
      </w:r>
      <w:r>
        <w:rPr>
          <w:rFonts w:hint="eastAsia"/>
          <w:color w:val="auto"/>
          <w:szCs w:val="21"/>
          <w:highlight w:val="none"/>
        </w:rPr>
        <w:t>供应商提出质疑应当提交质疑函和必要的证明材料。质疑函应当包括下列内容：</w:t>
      </w:r>
    </w:p>
    <w:p w14:paraId="2DD8D5A5">
      <w:pPr>
        <w:spacing w:before="120" w:line="320" w:lineRule="atLeast"/>
        <w:ind w:firstLine="420" w:firstLineChars="200"/>
        <w:rPr>
          <w:color w:val="auto"/>
          <w:szCs w:val="21"/>
          <w:highlight w:val="none"/>
        </w:rPr>
      </w:pPr>
      <w:r>
        <w:rPr>
          <w:rFonts w:hint="eastAsia"/>
          <w:color w:val="auto"/>
          <w:szCs w:val="21"/>
          <w:highlight w:val="none"/>
        </w:rPr>
        <w:t>（1）</w:t>
      </w:r>
      <w:r>
        <w:rPr>
          <w:rFonts w:hint="eastAsia"/>
          <w:color w:val="auto"/>
          <w:szCs w:val="21"/>
          <w:highlight w:val="none"/>
        </w:rPr>
        <w:tab/>
      </w:r>
      <w:r>
        <w:rPr>
          <w:rFonts w:hint="eastAsia"/>
          <w:color w:val="auto"/>
          <w:szCs w:val="21"/>
          <w:highlight w:val="none"/>
        </w:rPr>
        <w:t>供应商的姓名或者名称、地址、邮编、联系人及联系电话；</w:t>
      </w:r>
    </w:p>
    <w:p w14:paraId="469A8B4F">
      <w:pPr>
        <w:spacing w:before="120" w:line="320" w:lineRule="atLeast"/>
        <w:ind w:firstLine="420" w:firstLineChars="200"/>
        <w:rPr>
          <w:color w:val="auto"/>
          <w:szCs w:val="21"/>
          <w:highlight w:val="none"/>
        </w:rPr>
      </w:pPr>
      <w:r>
        <w:rPr>
          <w:rFonts w:hint="eastAsia"/>
          <w:color w:val="auto"/>
          <w:szCs w:val="21"/>
          <w:highlight w:val="none"/>
        </w:rPr>
        <w:t>（2）</w:t>
      </w:r>
      <w:r>
        <w:rPr>
          <w:rFonts w:hint="eastAsia"/>
          <w:color w:val="auto"/>
          <w:szCs w:val="21"/>
          <w:highlight w:val="none"/>
        </w:rPr>
        <w:tab/>
      </w:r>
      <w:r>
        <w:rPr>
          <w:rFonts w:hint="eastAsia"/>
          <w:color w:val="auto"/>
          <w:szCs w:val="21"/>
          <w:highlight w:val="none"/>
        </w:rPr>
        <w:t>质疑项目的名称、编号；</w:t>
      </w:r>
    </w:p>
    <w:p w14:paraId="46CF5690">
      <w:pPr>
        <w:spacing w:before="120" w:line="320" w:lineRule="atLeast"/>
        <w:ind w:firstLine="420" w:firstLineChars="200"/>
        <w:rPr>
          <w:color w:val="auto"/>
          <w:szCs w:val="21"/>
          <w:highlight w:val="none"/>
        </w:rPr>
      </w:pPr>
      <w:r>
        <w:rPr>
          <w:rFonts w:hint="eastAsia"/>
          <w:color w:val="auto"/>
          <w:szCs w:val="21"/>
          <w:highlight w:val="none"/>
        </w:rPr>
        <w:t>（3）</w:t>
      </w:r>
      <w:r>
        <w:rPr>
          <w:rFonts w:hint="eastAsia"/>
          <w:color w:val="auto"/>
          <w:szCs w:val="21"/>
          <w:highlight w:val="none"/>
        </w:rPr>
        <w:tab/>
      </w:r>
      <w:r>
        <w:rPr>
          <w:rFonts w:hint="eastAsia"/>
          <w:color w:val="auto"/>
          <w:szCs w:val="21"/>
          <w:highlight w:val="none"/>
        </w:rPr>
        <w:t>具体、明确的质疑事项和与质疑事项相关的请求；</w:t>
      </w:r>
    </w:p>
    <w:p w14:paraId="7DB61028">
      <w:pPr>
        <w:spacing w:before="120" w:line="320" w:lineRule="atLeast"/>
        <w:ind w:firstLine="420" w:firstLineChars="200"/>
        <w:rPr>
          <w:color w:val="auto"/>
          <w:szCs w:val="21"/>
          <w:highlight w:val="none"/>
        </w:rPr>
      </w:pPr>
      <w:r>
        <w:rPr>
          <w:rFonts w:hint="eastAsia"/>
          <w:color w:val="auto"/>
          <w:szCs w:val="21"/>
          <w:highlight w:val="none"/>
        </w:rPr>
        <w:t>（4）</w:t>
      </w:r>
      <w:r>
        <w:rPr>
          <w:rFonts w:hint="eastAsia"/>
          <w:color w:val="auto"/>
          <w:szCs w:val="21"/>
          <w:highlight w:val="none"/>
        </w:rPr>
        <w:tab/>
      </w:r>
      <w:r>
        <w:rPr>
          <w:rFonts w:hint="eastAsia"/>
          <w:color w:val="auto"/>
          <w:szCs w:val="21"/>
          <w:highlight w:val="none"/>
        </w:rPr>
        <w:t>事实依据；</w:t>
      </w:r>
    </w:p>
    <w:p w14:paraId="4EB6F08A">
      <w:pPr>
        <w:spacing w:before="120" w:line="320" w:lineRule="atLeast"/>
        <w:ind w:firstLine="420" w:firstLineChars="200"/>
        <w:rPr>
          <w:color w:val="auto"/>
          <w:szCs w:val="21"/>
          <w:highlight w:val="none"/>
        </w:rPr>
      </w:pPr>
      <w:r>
        <w:rPr>
          <w:rFonts w:hint="eastAsia"/>
          <w:color w:val="auto"/>
          <w:szCs w:val="21"/>
          <w:highlight w:val="none"/>
        </w:rPr>
        <w:t>（5）</w:t>
      </w:r>
      <w:r>
        <w:rPr>
          <w:rFonts w:hint="eastAsia"/>
          <w:color w:val="auto"/>
          <w:szCs w:val="21"/>
          <w:highlight w:val="none"/>
        </w:rPr>
        <w:tab/>
      </w:r>
      <w:r>
        <w:rPr>
          <w:rFonts w:hint="eastAsia"/>
          <w:color w:val="auto"/>
          <w:szCs w:val="21"/>
          <w:highlight w:val="none"/>
        </w:rPr>
        <w:t>必要的法律依据；</w:t>
      </w:r>
    </w:p>
    <w:p w14:paraId="2509BA60">
      <w:pPr>
        <w:spacing w:before="120" w:line="320" w:lineRule="atLeast"/>
        <w:ind w:firstLine="420" w:firstLineChars="200"/>
        <w:rPr>
          <w:color w:val="auto"/>
          <w:szCs w:val="21"/>
          <w:highlight w:val="none"/>
        </w:rPr>
      </w:pPr>
      <w:r>
        <w:rPr>
          <w:rFonts w:hint="eastAsia"/>
          <w:color w:val="auto"/>
          <w:szCs w:val="21"/>
          <w:highlight w:val="none"/>
        </w:rPr>
        <w:t>（6）</w:t>
      </w:r>
      <w:r>
        <w:rPr>
          <w:rFonts w:hint="eastAsia"/>
          <w:color w:val="auto"/>
          <w:szCs w:val="21"/>
          <w:highlight w:val="none"/>
        </w:rPr>
        <w:tab/>
      </w:r>
      <w:r>
        <w:rPr>
          <w:rFonts w:hint="eastAsia"/>
          <w:color w:val="auto"/>
          <w:szCs w:val="21"/>
          <w:highlight w:val="none"/>
        </w:rPr>
        <w:t>提出质疑的日期。</w:t>
      </w:r>
    </w:p>
    <w:p w14:paraId="08F46C6F">
      <w:pPr>
        <w:spacing w:before="120" w:line="320" w:lineRule="atLeast"/>
        <w:ind w:firstLine="420" w:firstLineChars="200"/>
        <w:rPr>
          <w:color w:val="auto"/>
          <w:szCs w:val="21"/>
          <w:highlight w:val="none"/>
        </w:rPr>
      </w:pPr>
      <w:r>
        <w:rPr>
          <w:rFonts w:hint="eastAsia"/>
          <w:color w:val="auto"/>
          <w:szCs w:val="21"/>
          <w:highlight w:val="none"/>
        </w:rPr>
        <w:t>供应商为自然人的，应当由本人签字；供应商为法人或者其他组织的，应当由法定代表人、主要负责人，或者其授权代表签字或者盖章，并加盖公章。</w:t>
      </w:r>
      <w:r>
        <w:rPr>
          <w:color w:val="auto"/>
          <w:szCs w:val="21"/>
          <w:highlight w:val="none"/>
        </w:rPr>
        <w:t xml:space="preserve"> </w:t>
      </w:r>
    </w:p>
    <w:p w14:paraId="7549C89C">
      <w:pPr>
        <w:spacing w:before="120" w:line="320" w:lineRule="atLeast"/>
        <w:ind w:firstLine="422" w:firstLineChars="200"/>
        <w:outlineLvl w:val="2"/>
        <w:rPr>
          <w:b/>
          <w:bCs/>
          <w:color w:val="auto"/>
          <w:kern w:val="0"/>
          <w:szCs w:val="21"/>
          <w:highlight w:val="none"/>
        </w:rPr>
      </w:pPr>
      <w:r>
        <w:rPr>
          <w:b/>
          <w:bCs/>
          <w:color w:val="auto"/>
          <w:kern w:val="0"/>
          <w:szCs w:val="21"/>
          <w:highlight w:val="none"/>
        </w:rPr>
        <w:t>8.2投诉</w:t>
      </w:r>
    </w:p>
    <w:p w14:paraId="5FA4A391">
      <w:pPr>
        <w:spacing w:before="120" w:line="320" w:lineRule="atLeast"/>
        <w:ind w:firstLine="420" w:firstLineChars="200"/>
        <w:rPr>
          <w:color w:val="auto"/>
          <w:szCs w:val="21"/>
          <w:highlight w:val="none"/>
        </w:rPr>
      </w:pPr>
      <w:r>
        <w:rPr>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40BBFC5B">
      <w:pPr>
        <w:spacing w:before="120" w:line="320" w:lineRule="atLeast"/>
        <w:ind w:firstLine="420" w:firstLineChars="200"/>
        <w:rPr>
          <w:color w:val="auto"/>
          <w:szCs w:val="21"/>
          <w:highlight w:val="none"/>
        </w:rPr>
      </w:pPr>
      <w:r>
        <w:rPr>
          <w:color w:val="auto"/>
          <w:szCs w:val="21"/>
          <w:highlight w:val="none"/>
        </w:rPr>
        <w:t>8.2.</w:t>
      </w:r>
      <w:r>
        <w:rPr>
          <w:rFonts w:hint="eastAsia"/>
          <w:color w:val="auto"/>
          <w:szCs w:val="21"/>
          <w:highlight w:val="none"/>
        </w:rPr>
        <w:t>2投诉</w:t>
      </w:r>
      <w:r>
        <w:rPr>
          <w:color w:val="auto"/>
          <w:szCs w:val="21"/>
          <w:highlight w:val="none"/>
        </w:rPr>
        <w:t>书应使用财政部发布的</w:t>
      </w:r>
      <w:r>
        <w:rPr>
          <w:rFonts w:hint="eastAsia"/>
          <w:color w:val="auto"/>
          <w:szCs w:val="21"/>
          <w:highlight w:val="none"/>
        </w:rPr>
        <w:t>政府采购供应投诉书范本，并应按照“投诉书制作说明”进行编写。</w:t>
      </w:r>
    </w:p>
    <w:p w14:paraId="03A04405">
      <w:pPr>
        <w:spacing w:before="120" w:line="320" w:lineRule="atLeast"/>
        <w:ind w:firstLine="422" w:firstLineChars="200"/>
        <w:outlineLvl w:val="1"/>
        <w:rPr>
          <w:b/>
          <w:bCs/>
          <w:color w:val="auto"/>
          <w:kern w:val="0"/>
          <w:szCs w:val="21"/>
          <w:highlight w:val="none"/>
        </w:rPr>
      </w:pPr>
      <w:r>
        <w:rPr>
          <w:b/>
          <w:bCs/>
          <w:color w:val="auto"/>
          <w:kern w:val="0"/>
          <w:szCs w:val="21"/>
          <w:highlight w:val="none"/>
        </w:rPr>
        <w:t>9．其他事项</w:t>
      </w:r>
    </w:p>
    <w:p w14:paraId="14099352">
      <w:pPr>
        <w:spacing w:before="120" w:line="320" w:lineRule="atLeast"/>
        <w:ind w:firstLine="420" w:firstLineChars="200"/>
        <w:rPr>
          <w:color w:val="auto"/>
          <w:szCs w:val="21"/>
          <w:highlight w:val="none"/>
        </w:rPr>
      </w:pPr>
      <w:r>
        <w:rPr>
          <w:color w:val="auto"/>
          <w:szCs w:val="21"/>
          <w:highlight w:val="none"/>
        </w:rPr>
        <w:t>9.1代理服务收费由采购代理机构向成交供应商收取。签订合同前，成交供应商应向采购代理机构一次付清代理服务费。</w:t>
      </w:r>
    </w:p>
    <w:p w14:paraId="2D9CB4B5">
      <w:pPr>
        <w:spacing w:before="120" w:line="276" w:lineRule="auto"/>
        <w:ind w:firstLine="420" w:firstLineChars="200"/>
        <w:rPr>
          <w:color w:val="auto"/>
          <w:szCs w:val="21"/>
          <w:highlight w:val="none"/>
        </w:rPr>
      </w:pPr>
      <w:r>
        <w:rPr>
          <w:color w:val="auto"/>
          <w:szCs w:val="21"/>
          <w:highlight w:val="none"/>
        </w:rPr>
        <w:t>9.2</w:t>
      </w:r>
      <w:r>
        <w:rPr>
          <w:rFonts w:hint="eastAsia"/>
          <w:color w:val="auto"/>
          <w:szCs w:val="21"/>
          <w:highlight w:val="none"/>
        </w:rPr>
        <w:t>电子交易活动的中止。采购过程中出现以下情形，导致电子交易平台无法正常运行，或者无法保证电子交易的公平、公正和安全时，采购机构可中止电子交易活动：</w:t>
      </w:r>
    </w:p>
    <w:p w14:paraId="73FC9689">
      <w:pPr>
        <w:spacing w:before="120" w:line="276" w:lineRule="auto"/>
        <w:ind w:firstLine="420" w:firstLineChars="200"/>
        <w:rPr>
          <w:color w:val="auto"/>
          <w:szCs w:val="21"/>
          <w:highlight w:val="none"/>
        </w:rPr>
      </w:pPr>
      <w:r>
        <w:rPr>
          <w:rFonts w:hint="eastAsia"/>
          <w:color w:val="auto"/>
          <w:szCs w:val="21"/>
          <w:highlight w:val="none"/>
        </w:rPr>
        <w:t xml:space="preserve">（1）电子交易平台发生故障而无法登录访问的； </w:t>
      </w:r>
    </w:p>
    <w:p w14:paraId="274D81CC">
      <w:pPr>
        <w:spacing w:before="120" w:line="276" w:lineRule="auto"/>
        <w:ind w:firstLine="420" w:firstLineChars="200"/>
        <w:rPr>
          <w:color w:val="auto"/>
          <w:szCs w:val="21"/>
          <w:highlight w:val="none"/>
        </w:rPr>
      </w:pPr>
      <w:r>
        <w:rPr>
          <w:rFonts w:hint="eastAsia"/>
          <w:color w:val="auto"/>
          <w:szCs w:val="21"/>
          <w:highlight w:val="none"/>
        </w:rPr>
        <w:t>（2）电子交易平台应用或数据库出现错误，不能进行正常操作的；</w:t>
      </w:r>
    </w:p>
    <w:p w14:paraId="35AEB747">
      <w:pPr>
        <w:spacing w:before="120" w:line="276" w:lineRule="auto"/>
        <w:ind w:firstLine="420" w:firstLineChars="200"/>
        <w:rPr>
          <w:color w:val="auto"/>
          <w:szCs w:val="21"/>
          <w:highlight w:val="none"/>
        </w:rPr>
      </w:pPr>
      <w:r>
        <w:rPr>
          <w:rFonts w:hint="eastAsia"/>
          <w:color w:val="auto"/>
          <w:szCs w:val="21"/>
          <w:highlight w:val="none"/>
        </w:rPr>
        <w:t>（3）电子交易平台发现严重安全漏洞，有潜在泄密危险的；</w:t>
      </w:r>
    </w:p>
    <w:p w14:paraId="25AE15C7">
      <w:pPr>
        <w:spacing w:before="120" w:line="276" w:lineRule="auto"/>
        <w:ind w:firstLine="420" w:firstLineChars="200"/>
        <w:rPr>
          <w:color w:val="auto"/>
          <w:szCs w:val="21"/>
          <w:highlight w:val="none"/>
        </w:rPr>
      </w:pPr>
      <w:r>
        <w:rPr>
          <w:rFonts w:hint="eastAsia"/>
          <w:color w:val="auto"/>
          <w:szCs w:val="21"/>
          <w:highlight w:val="none"/>
        </w:rPr>
        <w:t xml:space="preserve">（4）病毒发作导致不能进行正常操作的； </w:t>
      </w:r>
    </w:p>
    <w:p w14:paraId="08546ADD">
      <w:pPr>
        <w:spacing w:before="120" w:line="276" w:lineRule="auto"/>
        <w:ind w:firstLine="420" w:firstLineChars="200"/>
        <w:rPr>
          <w:color w:val="auto"/>
          <w:szCs w:val="21"/>
          <w:highlight w:val="none"/>
        </w:rPr>
      </w:pPr>
      <w:r>
        <w:rPr>
          <w:rFonts w:hint="eastAsia"/>
          <w:color w:val="auto"/>
          <w:szCs w:val="21"/>
          <w:highlight w:val="none"/>
        </w:rPr>
        <w:t>（</w:t>
      </w:r>
      <w:r>
        <w:rPr>
          <w:color w:val="auto"/>
          <w:szCs w:val="21"/>
          <w:highlight w:val="none"/>
        </w:rPr>
        <w:t>5</w:t>
      </w:r>
      <w:r>
        <w:rPr>
          <w:rFonts w:hint="eastAsia"/>
          <w:color w:val="auto"/>
          <w:szCs w:val="21"/>
          <w:highlight w:val="none"/>
        </w:rPr>
        <w:t>）其他无法保证电子交易的公平、公正和安全的情况。</w:t>
      </w:r>
    </w:p>
    <w:p w14:paraId="5415647E">
      <w:pPr>
        <w:tabs>
          <w:tab w:val="left" w:pos="4820"/>
        </w:tabs>
        <w:spacing w:before="120" w:line="360" w:lineRule="auto"/>
        <w:ind w:firstLine="420" w:firstLineChars="200"/>
        <w:rPr>
          <w:color w:val="auto"/>
          <w:szCs w:val="21"/>
          <w:highlight w:val="none"/>
        </w:rPr>
      </w:pPr>
      <w:r>
        <w:rPr>
          <w:rFonts w:hint="eastAsia"/>
          <w:color w:val="auto"/>
          <w:szCs w:val="21"/>
          <w:highlight w:val="none"/>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color w:val="auto"/>
          <w:szCs w:val="21"/>
          <w:highlight w:val="none"/>
        </w:rPr>
        <w:t xml:space="preserve"> </w:t>
      </w:r>
    </w:p>
    <w:p w14:paraId="1C597026">
      <w:pPr>
        <w:spacing w:line="360" w:lineRule="auto"/>
        <w:ind w:firstLine="420"/>
        <w:rPr>
          <w:color w:val="auto"/>
          <w:szCs w:val="21"/>
          <w:highlight w:val="none"/>
        </w:rPr>
      </w:pPr>
      <w:r>
        <w:rPr>
          <w:color w:val="auto"/>
          <w:szCs w:val="21"/>
          <w:highlight w:val="none"/>
        </w:rPr>
        <w:t>9.3</w:t>
      </w:r>
      <w:r>
        <w:rPr>
          <w:rFonts w:hint="eastAsia"/>
          <w:color w:val="auto"/>
          <w:szCs w:val="21"/>
          <w:highlight w:val="none"/>
        </w:rPr>
        <w:t>本项目的附件及图纸</w:t>
      </w:r>
      <w:r>
        <w:rPr>
          <w:color w:val="auto"/>
          <w:szCs w:val="21"/>
          <w:highlight w:val="none"/>
        </w:rPr>
        <w:t>详见供应商须知前附表</w:t>
      </w:r>
      <w:r>
        <w:rPr>
          <w:rFonts w:hint="eastAsia"/>
          <w:color w:val="auto"/>
          <w:szCs w:val="21"/>
          <w:highlight w:val="none"/>
        </w:rPr>
        <w:t>。</w:t>
      </w:r>
    </w:p>
    <w:p w14:paraId="444644B1">
      <w:pPr>
        <w:spacing w:line="360" w:lineRule="auto"/>
        <w:ind w:firstLine="420"/>
        <w:rPr>
          <w:color w:val="auto"/>
          <w:szCs w:val="21"/>
          <w:highlight w:val="none"/>
        </w:rPr>
      </w:pPr>
      <w:r>
        <w:rPr>
          <w:color w:val="auto"/>
          <w:szCs w:val="21"/>
          <w:highlight w:val="none"/>
        </w:rPr>
        <w:t>9.4</w:t>
      </w:r>
      <w:r>
        <w:rPr>
          <w:rFonts w:hint="eastAsia"/>
          <w:color w:val="auto"/>
          <w:szCs w:val="21"/>
          <w:highlight w:val="none"/>
        </w:rPr>
        <w:t>本项目的其他事项</w:t>
      </w:r>
      <w:r>
        <w:rPr>
          <w:color w:val="auto"/>
          <w:szCs w:val="21"/>
          <w:highlight w:val="none"/>
        </w:rPr>
        <w:t>详见供应商须知前附表</w:t>
      </w:r>
      <w:r>
        <w:rPr>
          <w:rFonts w:hint="eastAsia"/>
          <w:color w:val="auto"/>
          <w:szCs w:val="21"/>
          <w:highlight w:val="none"/>
        </w:rPr>
        <w:t>。</w:t>
      </w:r>
    </w:p>
    <w:p w14:paraId="5D03A65F">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10．</w:t>
      </w:r>
      <w:r>
        <w:rPr>
          <w:rFonts w:hint="eastAsia"/>
          <w:b/>
          <w:bCs/>
          <w:color w:val="auto"/>
          <w:kern w:val="0"/>
          <w:szCs w:val="21"/>
          <w:highlight w:val="none"/>
        </w:rPr>
        <w:t>其他说明</w:t>
      </w:r>
    </w:p>
    <w:p w14:paraId="08473B05">
      <w:pPr>
        <w:spacing w:before="120" w:line="320" w:lineRule="atLeast"/>
        <w:ind w:left="2" w:leftChars="1" w:firstLine="422" w:firstLineChars="200"/>
        <w:outlineLvl w:val="1"/>
        <w:rPr>
          <w:color w:val="auto"/>
          <w:kern w:val="0"/>
          <w:szCs w:val="21"/>
          <w:highlight w:val="none"/>
        </w:rPr>
      </w:pPr>
      <w:r>
        <w:rPr>
          <w:rFonts w:hint="eastAsia"/>
          <w:b/>
          <w:bCs/>
          <w:color w:val="auto"/>
          <w:kern w:val="0"/>
          <w:szCs w:val="21"/>
          <w:highlight w:val="none"/>
        </w:rPr>
        <w:t>1</w:t>
      </w:r>
      <w:r>
        <w:rPr>
          <w:b/>
          <w:bCs/>
          <w:color w:val="auto"/>
          <w:kern w:val="0"/>
          <w:szCs w:val="21"/>
          <w:highlight w:val="none"/>
        </w:rPr>
        <w:t>0.1</w:t>
      </w:r>
      <w:r>
        <w:rPr>
          <w:rFonts w:hint="eastAsia"/>
          <w:color w:val="auto"/>
          <w:kern w:val="0"/>
          <w:szCs w:val="21"/>
          <w:highlight w:val="none"/>
        </w:rPr>
        <w:t>其余未尽事宜按</w:t>
      </w:r>
      <w:r>
        <w:rPr>
          <w:color w:val="auto"/>
          <w:kern w:val="0"/>
          <w:szCs w:val="21"/>
          <w:highlight w:val="none"/>
        </w:rPr>
        <w:t>《中华人民共和国政府采购法》、《中华人民共和国政府采购法实施条例》</w:t>
      </w:r>
      <w:r>
        <w:rPr>
          <w:rFonts w:hint="eastAsia"/>
          <w:color w:val="auto"/>
          <w:kern w:val="0"/>
          <w:szCs w:val="21"/>
          <w:highlight w:val="none"/>
        </w:rPr>
        <w:t>的相关规定执行。</w:t>
      </w:r>
    </w:p>
    <w:p w14:paraId="5FD70751">
      <w:pPr>
        <w:spacing w:before="120" w:line="320" w:lineRule="atLeast"/>
        <w:ind w:left="2" w:leftChars="1" w:firstLine="422" w:firstLineChars="200"/>
        <w:outlineLvl w:val="1"/>
        <w:rPr>
          <w:rFonts w:hint="eastAsia"/>
          <w:color w:val="auto"/>
          <w:sz w:val="32"/>
          <w:szCs w:val="32"/>
          <w:highlight w:val="none"/>
        </w:rPr>
        <w:sectPr>
          <w:headerReference r:id="rId15" w:type="first"/>
          <w:headerReference r:id="rId14" w:type="default"/>
          <w:pgSz w:w="11906" w:h="16838"/>
          <w:pgMar w:top="993" w:right="1133" w:bottom="1246" w:left="1418" w:header="851" w:footer="992" w:gutter="0"/>
          <w:cols w:space="720" w:num="1"/>
          <w:titlePg/>
          <w:docGrid w:linePitch="312" w:charSpace="0"/>
        </w:sectPr>
      </w:pPr>
      <w:r>
        <w:rPr>
          <w:b/>
          <w:bCs/>
          <w:color w:val="auto"/>
          <w:kern w:val="0"/>
          <w:szCs w:val="21"/>
          <w:highlight w:val="none"/>
        </w:rPr>
        <w:t>10.2</w:t>
      </w:r>
      <w:r>
        <w:rPr>
          <w:rFonts w:hint="eastAsia"/>
          <w:color w:val="auto"/>
          <w:highlight w:val="none"/>
        </w:rPr>
        <w:t>本</w:t>
      </w:r>
      <w:r>
        <w:rPr>
          <w:color w:val="auto"/>
          <w:highlight w:val="none"/>
        </w:rPr>
        <w:t>采购文件是根据国家有关法律及有关政策、法规和参照国际惯例编制，解释权属采购代理机构</w:t>
      </w:r>
    </w:p>
    <w:p w14:paraId="04314C27">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73" w:name="_Toc7630"/>
      <w:bookmarkStart w:id="74" w:name="_Toc254970690"/>
      <w:bookmarkStart w:id="75" w:name="_Toc254970549"/>
      <w:r>
        <w:rPr>
          <w:rFonts w:ascii="Times New Roman" w:hAnsi="Times New Roman" w:cs="Times New Roman"/>
          <w:color w:val="auto"/>
          <w:sz w:val="32"/>
          <w:szCs w:val="32"/>
          <w:highlight w:val="none"/>
        </w:rPr>
        <w:t>第四章  评审方法及标准</w:t>
      </w:r>
      <w:bookmarkEnd w:id="73"/>
    </w:p>
    <w:p w14:paraId="583A674C">
      <w:pPr>
        <w:spacing w:before="120" w:line="320" w:lineRule="atLeast"/>
        <w:ind w:firstLine="413" w:firstLineChars="196"/>
        <w:outlineLvl w:val="1"/>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评审</w:t>
      </w:r>
      <w:r>
        <w:rPr>
          <w:rFonts w:hint="eastAsia"/>
          <w:b/>
          <w:bCs/>
          <w:color w:val="auto"/>
          <w:kern w:val="0"/>
          <w:szCs w:val="21"/>
          <w:highlight w:val="none"/>
        </w:rPr>
        <w:t>方法</w:t>
      </w:r>
    </w:p>
    <w:p w14:paraId="667C91A7">
      <w:pPr>
        <w:suppressAutoHyphens/>
        <w:spacing w:before="120" w:line="320" w:lineRule="atLeast"/>
        <w:ind w:firstLine="420" w:firstLineChars="200"/>
        <w:rPr>
          <w:color w:val="auto"/>
          <w:kern w:val="1"/>
          <w:szCs w:val="21"/>
          <w:highlight w:val="none"/>
        </w:rPr>
      </w:pPr>
      <w:r>
        <w:rPr>
          <w:color w:val="auto"/>
          <w:szCs w:val="21"/>
          <w:highlight w:val="none"/>
        </w:rPr>
        <w:t>本项目采用</w:t>
      </w:r>
      <w:r>
        <w:rPr>
          <w:bCs/>
          <w:color w:val="auto"/>
          <w:kern w:val="1"/>
          <w:szCs w:val="21"/>
          <w:highlight w:val="none"/>
        </w:rPr>
        <w:t>综合评分法</w:t>
      </w:r>
      <w:r>
        <w:rPr>
          <w:color w:val="auto"/>
          <w:szCs w:val="21"/>
          <w:highlight w:val="none"/>
        </w:rPr>
        <w:t>进行评审</w:t>
      </w:r>
      <w:r>
        <w:rPr>
          <w:bCs/>
          <w:color w:val="auto"/>
          <w:kern w:val="1"/>
          <w:szCs w:val="21"/>
          <w:highlight w:val="none"/>
        </w:rPr>
        <w:t>。</w:t>
      </w:r>
      <w:r>
        <w:rPr>
          <w:color w:val="auto"/>
          <w:szCs w:val="21"/>
          <w:highlight w:val="none"/>
        </w:rPr>
        <w:t>综合评分法，是指响应文件满足采购文件全部实质性要求且按照评审因素的量化指标评审得分最高的</w:t>
      </w:r>
      <w:r>
        <w:rPr>
          <w:rFonts w:hint="eastAsia"/>
          <w:color w:val="auto"/>
          <w:szCs w:val="21"/>
          <w:highlight w:val="none"/>
        </w:rPr>
        <w:t>供应商</w:t>
      </w:r>
      <w:r>
        <w:rPr>
          <w:color w:val="auto"/>
          <w:szCs w:val="21"/>
          <w:highlight w:val="none"/>
        </w:rPr>
        <w:t>为</w:t>
      </w:r>
      <w:r>
        <w:rPr>
          <w:rFonts w:hint="eastAsia"/>
          <w:color w:val="auto"/>
          <w:szCs w:val="21"/>
          <w:highlight w:val="none"/>
        </w:rPr>
        <w:t>成交</w:t>
      </w:r>
      <w:r>
        <w:rPr>
          <w:color w:val="auto"/>
          <w:szCs w:val="21"/>
          <w:highlight w:val="none"/>
        </w:rPr>
        <w:t>候选人的评审方法。</w:t>
      </w:r>
    </w:p>
    <w:p w14:paraId="0E436B61">
      <w:pPr>
        <w:suppressAutoHyphens/>
        <w:spacing w:before="120" w:line="320" w:lineRule="atLeast"/>
        <w:ind w:firstLine="420" w:firstLineChars="200"/>
        <w:rPr>
          <w:color w:val="auto"/>
          <w:kern w:val="1"/>
          <w:szCs w:val="21"/>
          <w:highlight w:val="none"/>
        </w:rPr>
      </w:pPr>
      <w:r>
        <w:rPr>
          <w:rFonts w:hint="eastAsia"/>
          <w:color w:val="auto"/>
          <w:kern w:val="1"/>
          <w:szCs w:val="21"/>
          <w:highlight w:val="none"/>
        </w:rPr>
        <w:t>本项目评审的其他详细规定在第三章供应商须知中规定。</w:t>
      </w:r>
    </w:p>
    <w:p w14:paraId="1C50ADF2">
      <w:pPr>
        <w:spacing w:before="120" w:line="320" w:lineRule="atLeast"/>
        <w:ind w:firstLine="413" w:firstLineChars="196"/>
        <w:outlineLvl w:val="1"/>
        <w:rPr>
          <w:rFonts w:hint="eastAsia"/>
          <w:b/>
          <w:color w:val="auto"/>
          <w:kern w:val="0"/>
          <w:szCs w:val="21"/>
          <w:highlight w:val="none"/>
        </w:rPr>
      </w:pPr>
      <w:r>
        <w:rPr>
          <w:b/>
          <w:color w:val="auto"/>
          <w:kern w:val="0"/>
          <w:szCs w:val="21"/>
          <w:highlight w:val="none"/>
        </w:rPr>
        <w:t>2</w:t>
      </w:r>
      <w:r>
        <w:rPr>
          <w:rFonts w:hint="eastAsia"/>
          <w:b/>
          <w:color w:val="auto"/>
          <w:kern w:val="0"/>
          <w:szCs w:val="21"/>
          <w:highlight w:val="none"/>
        </w:rPr>
        <w:t>.资格审查标准</w:t>
      </w:r>
      <w:r>
        <w:rPr>
          <w:rFonts w:hint="eastAsia"/>
          <w:b/>
          <w:bCs/>
          <w:color w:val="auto"/>
          <w:kern w:val="0"/>
          <w:szCs w:val="21"/>
          <w:highlight w:val="none"/>
        </w:rPr>
        <w:t>（不满足任何一项审查内容要求，资格审查即为不合格；</w:t>
      </w:r>
      <w:bookmarkStart w:id="76" w:name="_Hlk160525103"/>
      <w:r>
        <w:rPr>
          <w:rFonts w:hint="eastAsia"/>
          <w:b/>
          <w:bCs/>
          <w:color w:val="auto"/>
          <w:kern w:val="0"/>
          <w:szCs w:val="21"/>
          <w:highlight w:val="none"/>
        </w:rPr>
        <w:t>联合体投标的，联合体各方均应提交第一项基本资格要求的资格证明文件）</w:t>
      </w:r>
      <w:bookmarkEnd w:id="76"/>
    </w:p>
    <w:tbl>
      <w:tblPr>
        <w:tblStyle w:val="51"/>
        <w:tblW w:w="893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43"/>
        <w:gridCol w:w="6242"/>
      </w:tblGrid>
      <w:tr w14:paraId="207E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6" w:type="dxa"/>
            <w:vAlign w:val="center"/>
          </w:tcPr>
          <w:p w14:paraId="51CE9F8A">
            <w:pPr>
              <w:spacing w:line="240" w:lineRule="exact"/>
              <w:jc w:val="center"/>
              <w:rPr>
                <w:b/>
                <w:color w:val="auto"/>
                <w:kern w:val="0"/>
                <w:szCs w:val="21"/>
                <w:highlight w:val="none"/>
              </w:rPr>
            </w:pPr>
            <w:r>
              <w:rPr>
                <w:rFonts w:hint="eastAsia"/>
                <w:b/>
                <w:color w:val="auto"/>
                <w:kern w:val="0"/>
                <w:szCs w:val="21"/>
                <w:highlight w:val="none"/>
              </w:rPr>
              <w:t>审查</w:t>
            </w:r>
            <w:r>
              <w:rPr>
                <w:b/>
                <w:color w:val="auto"/>
                <w:kern w:val="0"/>
                <w:szCs w:val="21"/>
                <w:highlight w:val="none"/>
              </w:rPr>
              <w:t>因素</w:t>
            </w:r>
          </w:p>
        </w:tc>
        <w:tc>
          <w:tcPr>
            <w:tcW w:w="1843" w:type="dxa"/>
            <w:vAlign w:val="center"/>
          </w:tcPr>
          <w:p w14:paraId="477F1577">
            <w:pPr>
              <w:spacing w:line="240" w:lineRule="exact"/>
              <w:jc w:val="center"/>
              <w:rPr>
                <w:b/>
                <w:color w:val="auto"/>
                <w:kern w:val="0"/>
                <w:szCs w:val="21"/>
                <w:highlight w:val="none"/>
              </w:rPr>
            </w:pPr>
            <w:r>
              <w:rPr>
                <w:rFonts w:hint="eastAsia"/>
                <w:b/>
                <w:color w:val="auto"/>
                <w:kern w:val="0"/>
                <w:szCs w:val="21"/>
                <w:highlight w:val="none"/>
              </w:rPr>
              <w:t>审查</w:t>
            </w:r>
            <w:r>
              <w:rPr>
                <w:b/>
                <w:color w:val="auto"/>
                <w:kern w:val="0"/>
                <w:szCs w:val="21"/>
                <w:highlight w:val="none"/>
              </w:rPr>
              <w:t>内容</w:t>
            </w:r>
          </w:p>
        </w:tc>
        <w:tc>
          <w:tcPr>
            <w:tcW w:w="6242" w:type="dxa"/>
            <w:vAlign w:val="center"/>
          </w:tcPr>
          <w:p w14:paraId="53231399">
            <w:pPr>
              <w:spacing w:line="240" w:lineRule="exact"/>
              <w:jc w:val="center"/>
              <w:rPr>
                <w:b/>
                <w:color w:val="auto"/>
                <w:kern w:val="0"/>
                <w:szCs w:val="21"/>
                <w:highlight w:val="none"/>
              </w:rPr>
            </w:pPr>
            <w:r>
              <w:rPr>
                <w:rFonts w:hint="eastAsia"/>
                <w:b/>
                <w:color w:val="auto"/>
                <w:kern w:val="0"/>
                <w:szCs w:val="21"/>
                <w:highlight w:val="none"/>
              </w:rPr>
              <w:t>说明</w:t>
            </w:r>
          </w:p>
        </w:tc>
      </w:tr>
      <w:tr w14:paraId="7296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846" w:type="dxa"/>
            <w:vMerge w:val="restart"/>
            <w:vAlign w:val="center"/>
          </w:tcPr>
          <w:p w14:paraId="3C771956">
            <w:pPr>
              <w:spacing w:line="240" w:lineRule="exact"/>
              <w:rPr>
                <w:color w:val="auto"/>
                <w:szCs w:val="21"/>
                <w:highlight w:val="none"/>
                <w:lang w:val="zh-CN"/>
              </w:rPr>
            </w:pPr>
            <w:r>
              <w:rPr>
                <w:color w:val="auto"/>
                <w:szCs w:val="21"/>
                <w:highlight w:val="none"/>
                <w:lang w:val="zh-CN"/>
              </w:rPr>
              <w:t>供应商应符合的</w:t>
            </w:r>
            <w:r>
              <w:rPr>
                <w:rFonts w:hint="eastAsia"/>
                <w:color w:val="auto"/>
                <w:szCs w:val="21"/>
                <w:highlight w:val="none"/>
                <w:lang w:val="zh-CN"/>
              </w:rPr>
              <w:t>基本</w:t>
            </w:r>
            <w:r>
              <w:rPr>
                <w:color w:val="auto"/>
                <w:szCs w:val="21"/>
                <w:highlight w:val="none"/>
              </w:rPr>
              <w:t>资格</w:t>
            </w:r>
            <w:r>
              <w:rPr>
                <w:rFonts w:hint="eastAsia"/>
                <w:color w:val="auto"/>
                <w:szCs w:val="21"/>
                <w:highlight w:val="none"/>
              </w:rPr>
              <w:t>要求</w:t>
            </w:r>
          </w:p>
        </w:tc>
        <w:tc>
          <w:tcPr>
            <w:tcW w:w="1843" w:type="dxa"/>
            <w:vAlign w:val="center"/>
          </w:tcPr>
          <w:p w14:paraId="186CC5AB">
            <w:pPr>
              <w:spacing w:line="240" w:lineRule="exact"/>
              <w:jc w:val="left"/>
              <w:rPr>
                <w:color w:val="auto"/>
                <w:szCs w:val="21"/>
                <w:highlight w:val="none"/>
              </w:rPr>
            </w:pPr>
            <w:r>
              <w:rPr>
                <w:color w:val="auto"/>
                <w:szCs w:val="21"/>
                <w:highlight w:val="none"/>
              </w:rPr>
              <w:t>（1）具有独立承担民事责任的能力</w:t>
            </w:r>
          </w:p>
        </w:tc>
        <w:tc>
          <w:tcPr>
            <w:tcW w:w="6242" w:type="dxa"/>
            <w:vAlign w:val="top"/>
          </w:tcPr>
          <w:p w14:paraId="0655615C">
            <w:pPr>
              <w:spacing w:line="240" w:lineRule="exact"/>
              <w:rPr>
                <w:color w:val="auto"/>
                <w:szCs w:val="21"/>
                <w:highlight w:val="none"/>
              </w:rPr>
            </w:pPr>
            <w:r>
              <w:rPr>
                <w:rFonts w:hint="eastAsia"/>
                <w:color w:val="auto"/>
                <w:szCs w:val="21"/>
                <w:highlight w:val="none"/>
              </w:rPr>
              <w:t>审查供应商为法人或者其他组织的，提供营业执照等证明文件（如营业执照或者事业单位法人证书或者执业许可证等），供应商为自然人的，提供身份证复印件</w:t>
            </w:r>
          </w:p>
        </w:tc>
      </w:tr>
      <w:tr w14:paraId="5844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4745F50F">
            <w:pPr>
              <w:spacing w:line="240" w:lineRule="exact"/>
              <w:rPr>
                <w:color w:val="auto"/>
                <w:szCs w:val="21"/>
                <w:highlight w:val="none"/>
                <w:lang w:val="zh-CN"/>
              </w:rPr>
            </w:pPr>
          </w:p>
        </w:tc>
        <w:tc>
          <w:tcPr>
            <w:tcW w:w="1843" w:type="dxa"/>
            <w:vAlign w:val="center"/>
          </w:tcPr>
          <w:p w14:paraId="049340A5">
            <w:pPr>
              <w:spacing w:line="240" w:lineRule="exact"/>
              <w:jc w:val="left"/>
              <w:rPr>
                <w:color w:val="auto"/>
                <w:szCs w:val="21"/>
                <w:highlight w:val="none"/>
              </w:rPr>
            </w:pPr>
            <w:r>
              <w:rPr>
                <w:color w:val="auto"/>
                <w:szCs w:val="21"/>
                <w:highlight w:val="none"/>
                <w:lang w:val="zh-CN"/>
              </w:rPr>
              <w:t>（2）</w:t>
            </w:r>
            <w:r>
              <w:rPr>
                <w:color w:val="auto"/>
                <w:szCs w:val="21"/>
                <w:highlight w:val="none"/>
              </w:rPr>
              <w:t>具有良好的商业信誉和健全的财务会计制度</w:t>
            </w:r>
          </w:p>
        </w:tc>
        <w:tc>
          <w:tcPr>
            <w:tcW w:w="6242" w:type="dxa"/>
            <w:vAlign w:val="top"/>
          </w:tcPr>
          <w:p w14:paraId="186072DA">
            <w:pPr>
              <w:spacing w:line="240" w:lineRule="exact"/>
              <w:jc w:val="left"/>
              <w:rPr>
                <w:color w:val="auto"/>
                <w:szCs w:val="21"/>
                <w:highlight w:val="none"/>
              </w:rPr>
            </w:pPr>
            <w:r>
              <w:rPr>
                <w:rFonts w:hint="eastAsia" w:ascii="宋体" w:hAnsi="宋体" w:cs="宋体"/>
                <w:color w:val="auto"/>
                <w:szCs w:val="21"/>
                <w:highlight w:val="none"/>
              </w:rPr>
              <w:t>①</w:t>
            </w:r>
            <w:r>
              <w:rPr>
                <w:color w:val="auto"/>
                <w:szCs w:val="21"/>
                <w:highlight w:val="none"/>
              </w:rPr>
              <w:t>审查商业信誉声明。须提供，格式见第六章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响应</w:t>
            </w:r>
            <w:r>
              <w:rPr>
                <w:color w:val="auto"/>
                <w:szCs w:val="21"/>
                <w:highlight w:val="none"/>
              </w:rPr>
              <w:t>声明书”。</w:t>
            </w:r>
          </w:p>
          <w:p w14:paraId="71A6F57F">
            <w:pPr>
              <w:spacing w:line="240" w:lineRule="exact"/>
              <w:jc w:val="left"/>
              <w:rPr>
                <w:color w:val="auto"/>
                <w:szCs w:val="21"/>
                <w:highlight w:val="none"/>
              </w:rPr>
            </w:pPr>
            <w:r>
              <w:rPr>
                <w:rFonts w:hint="eastAsia" w:ascii="宋体" w:hAnsi="宋体" w:cs="宋体"/>
                <w:color w:val="auto"/>
                <w:szCs w:val="21"/>
                <w:highlight w:val="none"/>
              </w:rPr>
              <w:t>②</w:t>
            </w:r>
            <w:r>
              <w:rPr>
                <w:color w:val="auto"/>
                <w:szCs w:val="21"/>
                <w:highlight w:val="none"/>
              </w:rPr>
              <w:t>审查</w:t>
            </w:r>
            <w:r>
              <w:rPr>
                <w:rFonts w:hint="eastAsia"/>
                <w:color w:val="auto"/>
                <w:szCs w:val="21"/>
                <w:highlight w:val="none"/>
                <w:lang w:val="en-US" w:eastAsia="zh-CN"/>
              </w:rPr>
              <w:t>2025</w:t>
            </w:r>
            <w:r>
              <w:rPr>
                <w:rFonts w:hint="eastAsia"/>
                <w:color w:val="auto"/>
                <w:szCs w:val="21"/>
                <w:highlight w:val="none"/>
              </w:rPr>
              <w:t>年</w:t>
            </w:r>
            <w:r>
              <w:rPr>
                <w:color w:val="auto"/>
                <w:szCs w:val="21"/>
                <w:highlight w:val="none"/>
              </w:rPr>
              <w:t>度财务状况报告（表）复印件或银行出具的资信证明复印件，</w:t>
            </w:r>
            <w:r>
              <w:rPr>
                <w:color w:val="auto"/>
                <w:highlight w:val="none"/>
              </w:rPr>
              <w:t>对于从取得营业执照时间起到响应文件递交截止时间为止不足1年的供应商，只需提交</w:t>
            </w:r>
            <w:r>
              <w:rPr>
                <w:rFonts w:hint="eastAsia"/>
                <w:color w:val="auto"/>
                <w:szCs w:val="21"/>
                <w:highlight w:val="none"/>
              </w:rPr>
              <w:t>响应</w:t>
            </w:r>
            <w:r>
              <w:rPr>
                <w:color w:val="auto"/>
                <w:szCs w:val="21"/>
                <w:highlight w:val="none"/>
              </w:rPr>
              <w:t>文件递交截止时间前一个月的财务状况报告（表）复印件。</w:t>
            </w:r>
          </w:p>
        </w:tc>
      </w:tr>
      <w:tr w14:paraId="6827D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1830B329">
            <w:pPr>
              <w:spacing w:line="240" w:lineRule="exact"/>
              <w:rPr>
                <w:color w:val="auto"/>
                <w:szCs w:val="21"/>
                <w:highlight w:val="none"/>
                <w:lang w:val="zh-CN"/>
              </w:rPr>
            </w:pPr>
          </w:p>
        </w:tc>
        <w:tc>
          <w:tcPr>
            <w:tcW w:w="1843" w:type="dxa"/>
            <w:vAlign w:val="center"/>
          </w:tcPr>
          <w:p w14:paraId="12B018B7">
            <w:pPr>
              <w:spacing w:line="240" w:lineRule="exact"/>
              <w:jc w:val="left"/>
              <w:rPr>
                <w:color w:val="auto"/>
                <w:szCs w:val="21"/>
                <w:highlight w:val="none"/>
              </w:rPr>
            </w:pPr>
            <w:r>
              <w:rPr>
                <w:color w:val="auto"/>
                <w:szCs w:val="21"/>
                <w:highlight w:val="none"/>
                <w:lang w:val="zh-CN"/>
              </w:rPr>
              <w:t>（3）具有履行合同所必需的设备和专业技术能力</w:t>
            </w:r>
          </w:p>
        </w:tc>
        <w:tc>
          <w:tcPr>
            <w:tcW w:w="6242" w:type="dxa"/>
            <w:vAlign w:val="top"/>
          </w:tcPr>
          <w:p w14:paraId="71A7BF44">
            <w:pPr>
              <w:spacing w:line="240" w:lineRule="exact"/>
              <w:jc w:val="left"/>
              <w:rPr>
                <w:color w:val="auto"/>
                <w:szCs w:val="21"/>
                <w:highlight w:val="none"/>
              </w:rPr>
            </w:pPr>
            <w:r>
              <w:rPr>
                <w:rFonts w:hint="eastAsia" w:ascii="宋体" w:hAnsi="宋体" w:cs="宋体"/>
                <w:color w:val="auto"/>
                <w:szCs w:val="21"/>
                <w:highlight w:val="none"/>
              </w:rPr>
              <w:t>①</w:t>
            </w:r>
            <w:r>
              <w:rPr>
                <w:color w:val="auto"/>
                <w:szCs w:val="21"/>
                <w:highlight w:val="none"/>
              </w:rPr>
              <w:t xml:space="preserve">审查供应商营业执照，须有效； </w:t>
            </w:r>
          </w:p>
          <w:p w14:paraId="46DA7044">
            <w:pPr>
              <w:spacing w:line="240" w:lineRule="exact"/>
              <w:jc w:val="left"/>
              <w:rPr>
                <w:color w:val="auto"/>
                <w:szCs w:val="21"/>
                <w:highlight w:val="none"/>
              </w:rPr>
            </w:pPr>
            <w:r>
              <w:rPr>
                <w:rFonts w:hint="eastAsia" w:ascii="宋体" w:hAnsi="宋体" w:cs="宋体"/>
                <w:color w:val="auto"/>
                <w:szCs w:val="21"/>
                <w:highlight w:val="none"/>
              </w:rPr>
              <w:t>②</w:t>
            </w:r>
            <w:r>
              <w:rPr>
                <w:color w:val="auto"/>
                <w:szCs w:val="21"/>
                <w:highlight w:val="none"/>
              </w:rPr>
              <w:t>审查书面声明。须提供，格式见第六章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响应</w:t>
            </w:r>
            <w:r>
              <w:rPr>
                <w:color w:val="auto"/>
                <w:highlight w:val="none"/>
              </w:rPr>
              <w:t>声明书</w:t>
            </w:r>
            <w:r>
              <w:rPr>
                <w:color w:val="auto"/>
                <w:szCs w:val="21"/>
                <w:highlight w:val="none"/>
              </w:rPr>
              <w:t>”。</w:t>
            </w:r>
          </w:p>
          <w:p w14:paraId="2FDBC807">
            <w:pPr>
              <w:spacing w:line="240" w:lineRule="exact"/>
              <w:jc w:val="left"/>
              <w:rPr>
                <w:color w:val="auto"/>
                <w:szCs w:val="21"/>
                <w:highlight w:val="none"/>
              </w:rPr>
            </w:pPr>
            <w:r>
              <w:rPr>
                <w:color w:val="auto"/>
                <w:szCs w:val="21"/>
                <w:highlight w:val="none"/>
              </w:rPr>
              <w:t>审查</w:t>
            </w:r>
            <w:r>
              <w:rPr>
                <w:rFonts w:hint="eastAsia" w:ascii="宋体" w:hAnsi="宋体" w:cs="宋体"/>
                <w:color w:val="auto"/>
                <w:szCs w:val="21"/>
                <w:highlight w:val="none"/>
              </w:rPr>
              <w:t>①</w:t>
            </w:r>
            <w:r>
              <w:rPr>
                <w:color w:val="auto"/>
                <w:szCs w:val="21"/>
                <w:highlight w:val="none"/>
              </w:rPr>
              <w:t>或</w:t>
            </w:r>
            <w:r>
              <w:rPr>
                <w:rFonts w:hint="eastAsia" w:ascii="宋体" w:hAnsi="宋体" w:cs="宋体"/>
                <w:color w:val="auto"/>
                <w:szCs w:val="21"/>
                <w:highlight w:val="none"/>
              </w:rPr>
              <w:t>②</w:t>
            </w:r>
            <w:r>
              <w:rPr>
                <w:color w:val="auto"/>
                <w:szCs w:val="21"/>
                <w:highlight w:val="none"/>
              </w:rPr>
              <w:t>，满足其一，即为符合要求。</w:t>
            </w:r>
          </w:p>
        </w:tc>
      </w:tr>
      <w:tr w14:paraId="7BDA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0FECF4E2">
            <w:pPr>
              <w:spacing w:line="240" w:lineRule="exact"/>
              <w:rPr>
                <w:color w:val="auto"/>
                <w:szCs w:val="21"/>
                <w:highlight w:val="none"/>
                <w:lang w:val="zh-CN"/>
              </w:rPr>
            </w:pPr>
          </w:p>
        </w:tc>
        <w:tc>
          <w:tcPr>
            <w:tcW w:w="1843" w:type="dxa"/>
            <w:vAlign w:val="center"/>
          </w:tcPr>
          <w:p w14:paraId="4FC054B8">
            <w:pPr>
              <w:spacing w:line="240" w:lineRule="exact"/>
              <w:jc w:val="left"/>
              <w:rPr>
                <w:color w:val="auto"/>
                <w:szCs w:val="21"/>
                <w:highlight w:val="none"/>
              </w:rPr>
            </w:pPr>
            <w:r>
              <w:rPr>
                <w:color w:val="auto"/>
                <w:szCs w:val="21"/>
                <w:highlight w:val="none"/>
                <w:lang w:val="zh-CN"/>
              </w:rPr>
              <w:t>（4）有依法缴纳税收和社会保障金的良好记录</w:t>
            </w:r>
          </w:p>
        </w:tc>
        <w:tc>
          <w:tcPr>
            <w:tcW w:w="6242" w:type="dxa"/>
            <w:vAlign w:val="top"/>
          </w:tcPr>
          <w:p w14:paraId="40C6DAC4">
            <w:pPr>
              <w:spacing w:line="240" w:lineRule="exact"/>
              <w:jc w:val="left"/>
              <w:rPr>
                <w:color w:val="auto"/>
                <w:szCs w:val="21"/>
                <w:highlight w:val="none"/>
              </w:rPr>
            </w:pPr>
            <w:r>
              <w:rPr>
                <w:rFonts w:hint="eastAsia" w:ascii="宋体" w:hAnsi="宋体" w:cs="宋体"/>
                <w:color w:val="auto"/>
                <w:szCs w:val="21"/>
                <w:highlight w:val="none"/>
              </w:rPr>
              <w:t>①</w:t>
            </w:r>
            <w:r>
              <w:rPr>
                <w:color w:val="auto"/>
                <w:szCs w:val="21"/>
                <w:highlight w:val="none"/>
              </w:rPr>
              <w:t>审查</w:t>
            </w:r>
            <w:r>
              <w:rPr>
                <w:rFonts w:hint="eastAsia"/>
                <w:color w:val="auto"/>
                <w:szCs w:val="21"/>
                <w:highlight w:val="none"/>
              </w:rPr>
              <w:t>响应</w:t>
            </w:r>
            <w:r>
              <w:rPr>
                <w:color w:val="auto"/>
                <w:szCs w:val="21"/>
                <w:highlight w:val="none"/>
              </w:rPr>
              <w:t>截止时间前6个月内，</w:t>
            </w:r>
            <w:r>
              <w:rPr>
                <w:rFonts w:hint="eastAsia"/>
                <w:color w:val="auto"/>
                <w:highlight w:val="none"/>
              </w:rPr>
              <w:t>供应商</w:t>
            </w:r>
            <w:r>
              <w:rPr>
                <w:color w:val="auto"/>
                <w:highlight w:val="none"/>
              </w:rPr>
              <w:t>任意</w:t>
            </w:r>
            <w:r>
              <w:rPr>
                <w:rFonts w:hint="eastAsia"/>
                <w:color w:val="auto"/>
                <w:highlight w:val="none"/>
              </w:rPr>
              <w:t>1个月</w:t>
            </w:r>
            <w:r>
              <w:rPr>
                <w:color w:val="auto"/>
                <w:szCs w:val="21"/>
                <w:highlight w:val="none"/>
              </w:rPr>
              <w:t>依法缴纳税费证明复印件加盖供应商</w:t>
            </w:r>
            <w:r>
              <w:rPr>
                <w:rFonts w:hint="eastAsia"/>
                <w:color w:val="auto"/>
                <w:szCs w:val="21"/>
                <w:highlight w:val="none"/>
              </w:rPr>
              <w:t>电子签章</w:t>
            </w:r>
            <w:r>
              <w:rPr>
                <w:color w:val="auto"/>
                <w:szCs w:val="21"/>
                <w:highlight w:val="none"/>
              </w:rPr>
              <w:t>。</w:t>
            </w:r>
          </w:p>
          <w:p w14:paraId="61F05E40">
            <w:pPr>
              <w:spacing w:line="240" w:lineRule="exact"/>
              <w:jc w:val="left"/>
              <w:rPr>
                <w:color w:val="auto"/>
                <w:szCs w:val="21"/>
                <w:highlight w:val="none"/>
              </w:rPr>
            </w:pPr>
            <w:r>
              <w:rPr>
                <w:rFonts w:hint="eastAsia" w:ascii="宋体" w:hAnsi="宋体" w:cs="宋体"/>
                <w:color w:val="auto"/>
                <w:szCs w:val="21"/>
                <w:highlight w:val="none"/>
              </w:rPr>
              <w:t>②</w:t>
            </w:r>
            <w:r>
              <w:rPr>
                <w:color w:val="auto"/>
                <w:szCs w:val="21"/>
                <w:highlight w:val="none"/>
              </w:rPr>
              <w:t>审查</w:t>
            </w:r>
            <w:r>
              <w:rPr>
                <w:rFonts w:hint="eastAsia"/>
                <w:color w:val="auto"/>
                <w:szCs w:val="21"/>
                <w:highlight w:val="none"/>
              </w:rPr>
              <w:t>响应</w:t>
            </w:r>
            <w:r>
              <w:rPr>
                <w:color w:val="auto"/>
                <w:szCs w:val="21"/>
                <w:highlight w:val="none"/>
              </w:rPr>
              <w:t>截止时间前6个月内，</w:t>
            </w:r>
            <w:r>
              <w:rPr>
                <w:rFonts w:hint="eastAsia"/>
                <w:color w:val="auto"/>
                <w:highlight w:val="none"/>
              </w:rPr>
              <w:t>供应商</w:t>
            </w:r>
            <w:r>
              <w:rPr>
                <w:color w:val="auto"/>
                <w:highlight w:val="none"/>
              </w:rPr>
              <w:t>任意</w:t>
            </w:r>
            <w:r>
              <w:rPr>
                <w:rFonts w:hint="eastAsia"/>
                <w:color w:val="auto"/>
                <w:highlight w:val="none"/>
              </w:rPr>
              <w:t>1个月</w:t>
            </w:r>
            <w:r>
              <w:rPr>
                <w:color w:val="auto"/>
                <w:szCs w:val="21"/>
                <w:highlight w:val="none"/>
              </w:rPr>
              <w:t>的社保缴费证明记录复印件加盖供应商</w:t>
            </w:r>
            <w:r>
              <w:rPr>
                <w:rFonts w:hint="eastAsia"/>
                <w:color w:val="auto"/>
                <w:szCs w:val="21"/>
                <w:highlight w:val="none"/>
              </w:rPr>
              <w:t>电子签章</w:t>
            </w:r>
            <w:r>
              <w:rPr>
                <w:color w:val="auto"/>
                <w:szCs w:val="21"/>
                <w:highlight w:val="none"/>
              </w:rPr>
              <w:t>。</w:t>
            </w:r>
          </w:p>
          <w:p w14:paraId="79BCDF03">
            <w:pPr>
              <w:spacing w:line="240" w:lineRule="exact"/>
              <w:jc w:val="left"/>
              <w:rPr>
                <w:color w:val="auto"/>
                <w:szCs w:val="21"/>
                <w:highlight w:val="none"/>
              </w:rPr>
            </w:pPr>
            <w:r>
              <w:rPr>
                <w:color w:val="auto"/>
                <w:szCs w:val="21"/>
                <w:highlight w:val="none"/>
              </w:rPr>
              <w:t>供应商成立不足</w:t>
            </w:r>
            <w:r>
              <w:rPr>
                <w:rFonts w:hint="eastAsia"/>
                <w:color w:val="auto"/>
                <w:szCs w:val="21"/>
                <w:highlight w:val="none"/>
              </w:rPr>
              <w:t>1个月的，无须提供</w:t>
            </w:r>
            <w:r>
              <w:rPr>
                <w:color w:val="auto"/>
                <w:szCs w:val="21"/>
                <w:highlight w:val="none"/>
              </w:rPr>
              <w:t>缴纳税费证明及社保缴费证明加盖供应商电子签章</w:t>
            </w:r>
            <w:r>
              <w:rPr>
                <w:rFonts w:hint="eastAsia"/>
                <w:color w:val="auto"/>
                <w:szCs w:val="21"/>
                <w:highlight w:val="none"/>
              </w:rPr>
              <w:t>。</w:t>
            </w:r>
          </w:p>
          <w:p w14:paraId="331892B7">
            <w:pPr>
              <w:spacing w:line="240" w:lineRule="exact"/>
              <w:jc w:val="left"/>
              <w:rPr>
                <w:color w:val="auto"/>
                <w:szCs w:val="21"/>
                <w:highlight w:val="none"/>
              </w:rPr>
            </w:pPr>
            <w:r>
              <w:rPr>
                <w:color w:val="auto"/>
                <w:szCs w:val="21"/>
                <w:highlight w:val="none"/>
              </w:rPr>
              <w:t>依法免税或不需要缴纳社会保障资金的供应商，须提供相应文件证明其依法免税或不需要缴纳社会保障资金。</w:t>
            </w:r>
          </w:p>
        </w:tc>
      </w:tr>
      <w:tr w14:paraId="2C8E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23C26308">
            <w:pPr>
              <w:spacing w:line="240" w:lineRule="exact"/>
              <w:rPr>
                <w:color w:val="auto"/>
                <w:szCs w:val="21"/>
                <w:highlight w:val="none"/>
                <w:lang w:val="zh-CN"/>
              </w:rPr>
            </w:pPr>
          </w:p>
        </w:tc>
        <w:tc>
          <w:tcPr>
            <w:tcW w:w="1843" w:type="dxa"/>
            <w:vAlign w:val="center"/>
          </w:tcPr>
          <w:p w14:paraId="4AB40504">
            <w:pPr>
              <w:spacing w:line="240" w:lineRule="exact"/>
              <w:jc w:val="left"/>
              <w:rPr>
                <w:rFonts w:hint="eastAsia"/>
                <w:color w:val="auto"/>
                <w:szCs w:val="21"/>
                <w:highlight w:val="none"/>
              </w:rPr>
            </w:pPr>
            <w:r>
              <w:rPr>
                <w:color w:val="auto"/>
                <w:szCs w:val="21"/>
                <w:highlight w:val="none"/>
              </w:rPr>
              <w:t>（5）参加政府采购活动前三年内，在经营活动中没有重大违法记录</w:t>
            </w:r>
          </w:p>
        </w:tc>
        <w:tc>
          <w:tcPr>
            <w:tcW w:w="6242" w:type="dxa"/>
            <w:vAlign w:val="center"/>
          </w:tcPr>
          <w:p w14:paraId="2F676DC0">
            <w:pPr>
              <w:spacing w:line="240" w:lineRule="exact"/>
              <w:jc w:val="left"/>
              <w:rPr>
                <w:color w:val="auto"/>
                <w:szCs w:val="21"/>
                <w:highlight w:val="none"/>
              </w:rPr>
            </w:pPr>
            <w:r>
              <w:rPr>
                <w:color w:val="auto"/>
                <w:szCs w:val="21"/>
                <w:highlight w:val="none"/>
              </w:rPr>
              <w:t>审查无重大违法记录声明。须提供，格式见第六章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响应</w:t>
            </w:r>
            <w:r>
              <w:rPr>
                <w:color w:val="auto"/>
                <w:szCs w:val="21"/>
                <w:highlight w:val="none"/>
              </w:rPr>
              <w:t xml:space="preserve">声明书”。 </w:t>
            </w:r>
          </w:p>
        </w:tc>
      </w:tr>
      <w:tr w14:paraId="085C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2688C85D">
            <w:pPr>
              <w:spacing w:line="240" w:lineRule="exact"/>
              <w:rPr>
                <w:color w:val="auto"/>
                <w:szCs w:val="21"/>
                <w:highlight w:val="none"/>
                <w:lang w:val="zh-CN"/>
              </w:rPr>
            </w:pPr>
          </w:p>
        </w:tc>
        <w:tc>
          <w:tcPr>
            <w:tcW w:w="1843" w:type="dxa"/>
            <w:vAlign w:val="center"/>
          </w:tcPr>
          <w:p w14:paraId="74DBC14C">
            <w:pPr>
              <w:spacing w:line="240" w:lineRule="exact"/>
              <w:jc w:val="left"/>
              <w:rPr>
                <w:color w:val="auto"/>
                <w:szCs w:val="21"/>
                <w:highlight w:val="none"/>
              </w:rPr>
            </w:pPr>
            <w:r>
              <w:rPr>
                <w:color w:val="auto"/>
                <w:szCs w:val="21"/>
                <w:highlight w:val="none"/>
              </w:rPr>
              <w:t>（6）具备法律、行政法规规定的其他要求</w:t>
            </w:r>
          </w:p>
        </w:tc>
        <w:tc>
          <w:tcPr>
            <w:tcW w:w="6242" w:type="dxa"/>
            <w:vAlign w:val="center"/>
          </w:tcPr>
          <w:p w14:paraId="0A1F63F9">
            <w:pPr>
              <w:spacing w:line="240" w:lineRule="exact"/>
              <w:jc w:val="left"/>
              <w:rPr>
                <w:color w:val="auto"/>
                <w:szCs w:val="21"/>
                <w:highlight w:val="none"/>
              </w:rPr>
            </w:pPr>
            <w:r>
              <w:rPr>
                <w:color w:val="auto"/>
                <w:szCs w:val="21"/>
                <w:highlight w:val="none"/>
              </w:rPr>
              <w:t>无。</w:t>
            </w:r>
          </w:p>
        </w:tc>
      </w:tr>
      <w:tr w14:paraId="6D48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Align w:val="center"/>
          </w:tcPr>
          <w:p w14:paraId="0987F0DA">
            <w:pPr>
              <w:spacing w:line="240" w:lineRule="exact"/>
              <w:rPr>
                <w:color w:val="auto"/>
                <w:szCs w:val="21"/>
                <w:highlight w:val="none"/>
                <w:lang w:val="zh-CN"/>
              </w:rPr>
            </w:pPr>
            <w:r>
              <w:rPr>
                <w:rFonts w:hint="eastAsia"/>
                <w:color w:val="auto"/>
                <w:kern w:val="0"/>
                <w:szCs w:val="21"/>
                <w:highlight w:val="none"/>
              </w:rPr>
              <w:t>采购政策</w:t>
            </w:r>
          </w:p>
        </w:tc>
        <w:tc>
          <w:tcPr>
            <w:tcW w:w="1843" w:type="dxa"/>
            <w:vAlign w:val="center"/>
          </w:tcPr>
          <w:p w14:paraId="1D089705">
            <w:pPr>
              <w:spacing w:line="240" w:lineRule="exact"/>
              <w:jc w:val="left"/>
              <w:rPr>
                <w:color w:val="auto"/>
                <w:szCs w:val="21"/>
                <w:highlight w:val="none"/>
              </w:rPr>
            </w:pPr>
            <w:r>
              <w:rPr>
                <w:rFonts w:hint="eastAsia"/>
                <w:color w:val="auto"/>
                <w:szCs w:val="21"/>
                <w:highlight w:val="none"/>
              </w:rPr>
              <w:t>落实政府采购政策需满足的资格要求</w:t>
            </w:r>
          </w:p>
        </w:tc>
        <w:tc>
          <w:tcPr>
            <w:tcW w:w="6242" w:type="dxa"/>
            <w:vAlign w:val="center"/>
          </w:tcPr>
          <w:p w14:paraId="675CFC16">
            <w:pPr>
              <w:spacing w:line="240" w:lineRule="exact"/>
              <w:jc w:val="left"/>
              <w:rPr>
                <w:color w:val="auto"/>
                <w:szCs w:val="21"/>
                <w:highlight w:val="none"/>
              </w:rPr>
            </w:pPr>
            <w:r>
              <w:rPr>
                <w:rFonts w:hint="eastAsia"/>
                <w:color w:val="auto"/>
                <w:szCs w:val="21"/>
                <w:highlight w:val="none"/>
              </w:rPr>
              <w:t>无</w:t>
            </w:r>
          </w:p>
        </w:tc>
      </w:tr>
      <w:tr w14:paraId="23F8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trPr>
        <w:tc>
          <w:tcPr>
            <w:tcW w:w="846" w:type="dxa"/>
            <w:vMerge w:val="restart"/>
            <w:vAlign w:val="center"/>
          </w:tcPr>
          <w:p w14:paraId="17D0A320">
            <w:pPr>
              <w:spacing w:line="240" w:lineRule="exact"/>
              <w:rPr>
                <w:color w:val="auto"/>
                <w:szCs w:val="21"/>
                <w:highlight w:val="none"/>
              </w:rPr>
            </w:pPr>
            <w:r>
              <w:rPr>
                <w:color w:val="auto"/>
                <w:szCs w:val="21"/>
                <w:highlight w:val="none"/>
                <w:lang w:val="zh-CN"/>
              </w:rPr>
              <w:t>供应商应符合的</w:t>
            </w:r>
            <w:r>
              <w:rPr>
                <w:color w:val="auto"/>
                <w:szCs w:val="21"/>
                <w:highlight w:val="none"/>
              </w:rPr>
              <w:t>特定资格</w:t>
            </w:r>
            <w:r>
              <w:rPr>
                <w:rFonts w:hint="eastAsia"/>
                <w:color w:val="auto"/>
                <w:szCs w:val="21"/>
                <w:highlight w:val="none"/>
              </w:rPr>
              <w:t>要求</w:t>
            </w:r>
          </w:p>
        </w:tc>
        <w:tc>
          <w:tcPr>
            <w:tcW w:w="1843" w:type="dxa"/>
            <w:vAlign w:val="center"/>
          </w:tcPr>
          <w:p w14:paraId="24C41951">
            <w:pPr>
              <w:spacing w:line="240" w:lineRule="exact"/>
              <w:jc w:val="left"/>
              <w:rPr>
                <w:color w:val="auto"/>
                <w:szCs w:val="21"/>
                <w:highlight w:val="none"/>
              </w:rPr>
            </w:pPr>
            <w:r>
              <w:rPr>
                <w:color w:val="auto"/>
                <w:szCs w:val="21"/>
                <w:highlight w:val="none"/>
              </w:rPr>
              <w:t>（1）资质</w:t>
            </w:r>
            <w:r>
              <w:rPr>
                <w:rFonts w:hint="eastAsia"/>
                <w:color w:val="auto"/>
                <w:szCs w:val="21"/>
                <w:highlight w:val="none"/>
              </w:rPr>
              <w:t>要求</w:t>
            </w:r>
          </w:p>
        </w:tc>
        <w:tc>
          <w:tcPr>
            <w:tcW w:w="6242" w:type="dxa"/>
            <w:vAlign w:val="center"/>
          </w:tcPr>
          <w:p w14:paraId="22D9E4F4">
            <w:pPr>
              <w:spacing w:line="240" w:lineRule="exact"/>
              <w:jc w:val="left"/>
              <w:rPr>
                <w:color w:val="auto"/>
                <w:szCs w:val="21"/>
                <w:highlight w:val="none"/>
              </w:rPr>
            </w:pPr>
            <w:r>
              <w:rPr>
                <w:color w:val="auto"/>
                <w:szCs w:val="21"/>
                <w:highlight w:val="none"/>
              </w:rPr>
              <w:t>须符合</w:t>
            </w:r>
            <w:r>
              <w:rPr>
                <w:rFonts w:hint="eastAsia"/>
                <w:color w:val="auto"/>
                <w:szCs w:val="21"/>
                <w:highlight w:val="none"/>
              </w:rPr>
              <w:t>“磋商公告”</w:t>
            </w:r>
            <w:r>
              <w:rPr>
                <w:color w:val="auto"/>
                <w:szCs w:val="21"/>
                <w:highlight w:val="none"/>
              </w:rPr>
              <w:t>的要求</w:t>
            </w:r>
          </w:p>
        </w:tc>
      </w:tr>
      <w:tr w14:paraId="1493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297F4684">
            <w:pPr>
              <w:spacing w:line="240" w:lineRule="exact"/>
              <w:rPr>
                <w:color w:val="auto"/>
                <w:szCs w:val="21"/>
                <w:highlight w:val="none"/>
              </w:rPr>
            </w:pPr>
          </w:p>
        </w:tc>
        <w:tc>
          <w:tcPr>
            <w:tcW w:w="1843" w:type="dxa"/>
            <w:vAlign w:val="center"/>
          </w:tcPr>
          <w:p w14:paraId="570B487C">
            <w:pPr>
              <w:spacing w:line="240" w:lineRule="exact"/>
              <w:jc w:val="left"/>
              <w:rPr>
                <w:color w:val="auto"/>
                <w:szCs w:val="21"/>
                <w:highlight w:val="none"/>
              </w:rPr>
            </w:pPr>
            <w:r>
              <w:rPr>
                <w:color w:val="auto"/>
                <w:szCs w:val="21"/>
                <w:highlight w:val="none"/>
              </w:rPr>
              <w:t>（2）业绩要求</w:t>
            </w:r>
          </w:p>
        </w:tc>
        <w:tc>
          <w:tcPr>
            <w:tcW w:w="6242" w:type="dxa"/>
            <w:vAlign w:val="center"/>
          </w:tcPr>
          <w:p w14:paraId="652BA272">
            <w:pPr>
              <w:spacing w:line="240" w:lineRule="exact"/>
              <w:jc w:val="left"/>
              <w:rPr>
                <w:color w:val="auto"/>
                <w:szCs w:val="21"/>
                <w:highlight w:val="none"/>
              </w:rPr>
            </w:pPr>
            <w:r>
              <w:rPr>
                <w:color w:val="auto"/>
                <w:szCs w:val="21"/>
                <w:highlight w:val="none"/>
              </w:rPr>
              <w:t>须符合</w:t>
            </w:r>
            <w:r>
              <w:rPr>
                <w:rFonts w:hint="eastAsia"/>
                <w:color w:val="auto"/>
                <w:szCs w:val="21"/>
                <w:highlight w:val="none"/>
              </w:rPr>
              <w:t>“磋商公告”</w:t>
            </w:r>
            <w:r>
              <w:rPr>
                <w:color w:val="auto"/>
                <w:szCs w:val="21"/>
                <w:highlight w:val="none"/>
              </w:rPr>
              <w:t>的要求</w:t>
            </w:r>
          </w:p>
        </w:tc>
      </w:tr>
      <w:tr w14:paraId="4911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trPr>
        <w:tc>
          <w:tcPr>
            <w:tcW w:w="846" w:type="dxa"/>
            <w:vMerge w:val="continue"/>
            <w:vAlign w:val="center"/>
          </w:tcPr>
          <w:p w14:paraId="0DD1D4DF">
            <w:pPr>
              <w:spacing w:line="240" w:lineRule="exact"/>
              <w:jc w:val="left"/>
              <w:rPr>
                <w:color w:val="auto"/>
                <w:szCs w:val="21"/>
                <w:highlight w:val="none"/>
              </w:rPr>
            </w:pPr>
          </w:p>
        </w:tc>
        <w:tc>
          <w:tcPr>
            <w:tcW w:w="1843" w:type="dxa"/>
            <w:vAlign w:val="center"/>
          </w:tcPr>
          <w:p w14:paraId="2A47AE69">
            <w:pPr>
              <w:spacing w:line="240" w:lineRule="exact"/>
              <w:jc w:val="left"/>
              <w:rPr>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）供应商不得参加响应的情形</w:t>
            </w:r>
          </w:p>
        </w:tc>
        <w:tc>
          <w:tcPr>
            <w:tcW w:w="6242" w:type="dxa"/>
            <w:vAlign w:val="center"/>
          </w:tcPr>
          <w:p w14:paraId="20266860">
            <w:pPr>
              <w:spacing w:line="240" w:lineRule="exact"/>
              <w:jc w:val="left"/>
              <w:rPr>
                <w:color w:val="auto"/>
                <w:kern w:val="0"/>
                <w:szCs w:val="21"/>
                <w:highlight w:val="none"/>
              </w:rPr>
            </w:pPr>
            <w:r>
              <w:rPr>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Cs w:val="21"/>
                <w:highlight w:val="none"/>
              </w:rPr>
              <w:t>本</w:t>
            </w:r>
            <w:r>
              <w:rPr>
                <w:color w:val="auto"/>
                <w:kern w:val="0"/>
                <w:szCs w:val="21"/>
                <w:highlight w:val="none"/>
              </w:rPr>
              <w:t>项目的采购活动。</w:t>
            </w:r>
          </w:p>
          <w:p w14:paraId="7E600ED4">
            <w:pPr>
              <w:spacing w:line="240" w:lineRule="exact"/>
              <w:jc w:val="left"/>
              <w:rPr>
                <w:color w:val="auto"/>
                <w:szCs w:val="21"/>
                <w:highlight w:val="none"/>
              </w:rPr>
            </w:pPr>
            <w:r>
              <w:rPr>
                <w:color w:val="auto"/>
                <w:szCs w:val="21"/>
                <w:highlight w:val="none"/>
              </w:rPr>
              <w:t>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供应商直接控股股东、管理关系信息表</w:t>
            </w:r>
            <w:r>
              <w:rPr>
                <w:color w:val="auto"/>
                <w:szCs w:val="21"/>
                <w:highlight w:val="none"/>
              </w:rPr>
              <w:t>”。</w:t>
            </w:r>
          </w:p>
        </w:tc>
      </w:tr>
      <w:tr w14:paraId="0BAE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vAlign w:val="center"/>
          </w:tcPr>
          <w:p w14:paraId="4887ED15">
            <w:pPr>
              <w:spacing w:line="240" w:lineRule="exact"/>
              <w:jc w:val="left"/>
              <w:rPr>
                <w:color w:val="auto"/>
                <w:kern w:val="0"/>
                <w:szCs w:val="21"/>
                <w:highlight w:val="none"/>
              </w:rPr>
            </w:pPr>
          </w:p>
        </w:tc>
        <w:tc>
          <w:tcPr>
            <w:tcW w:w="1843" w:type="dxa"/>
            <w:vAlign w:val="center"/>
          </w:tcPr>
          <w:p w14:paraId="30DFFE8E">
            <w:pPr>
              <w:spacing w:line="240" w:lineRule="exact"/>
              <w:jc w:val="left"/>
              <w:rPr>
                <w:color w:val="auto"/>
                <w:kern w:val="0"/>
                <w:szCs w:val="21"/>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）诚信要求</w:t>
            </w:r>
          </w:p>
        </w:tc>
        <w:tc>
          <w:tcPr>
            <w:tcW w:w="6242" w:type="dxa"/>
            <w:vAlign w:val="top"/>
          </w:tcPr>
          <w:p w14:paraId="0ACA16D5">
            <w:pPr>
              <w:spacing w:line="240" w:lineRule="exact"/>
              <w:jc w:val="left"/>
              <w:rPr>
                <w:color w:val="auto"/>
                <w:kern w:val="0"/>
                <w:szCs w:val="21"/>
                <w:highlight w:val="none"/>
              </w:rPr>
            </w:pPr>
            <w:r>
              <w:rPr>
                <w:rFonts w:hint="eastAsia"/>
                <w:color w:val="auto"/>
                <w:szCs w:val="21"/>
                <w:highlight w:val="none"/>
              </w:rPr>
              <w:t>未被列入失信被执行人、</w:t>
            </w:r>
            <w:r>
              <w:rPr>
                <w:color w:val="auto"/>
                <w:szCs w:val="21"/>
                <w:highlight w:val="none"/>
              </w:rPr>
              <w:t>重大税收违法失信主体、政府采购严重违法失信行为记录名单</w:t>
            </w:r>
            <w:r>
              <w:rPr>
                <w:rFonts w:hint="eastAsia"/>
                <w:color w:val="auto"/>
                <w:szCs w:val="21"/>
                <w:highlight w:val="none"/>
              </w:rPr>
              <w:t>。</w:t>
            </w:r>
          </w:p>
        </w:tc>
      </w:tr>
      <w:tr w14:paraId="1FD8C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vAlign w:val="center"/>
          </w:tcPr>
          <w:p w14:paraId="01A76B38">
            <w:pPr>
              <w:spacing w:line="240" w:lineRule="exact"/>
              <w:jc w:val="left"/>
              <w:rPr>
                <w:color w:val="auto"/>
                <w:kern w:val="0"/>
                <w:szCs w:val="21"/>
                <w:highlight w:val="none"/>
              </w:rPr>
            </w:pPr>
          </w:p>
        </w:tc>
        <w:tc>
          <w:tcPr>
            <w:tcW w:w="1843" w:type="dxa"/>
            <w:vAlign w:val="center"/>
          </w:tcPr>
          <w:p w14:paraId="21FEEF52">
            <w:pPr>
              <w:spacing w:line="240" w:lineRule="exact"/>
              <w:jc w:val="left"/>
              <w:rPr>
                <w:color w:val="auto"/>
                <w:szCs w:val="21"/>
                <w:highlight w:val="none"/>
              </w:rPr>
            </w:pPr>
            <w:r>
              <w:rPr>
                <w:rFonts w:hint="eastAsia"/>
                <w:color w:val="auto"/>
                <w:szCs w:val="21"/>
                <w:highlight w:val="none"/>
              </w:rPr>
              <w:t>（5）分公司</w:t>
            </w:r>
          </w:p>
        </w:tc>
        <w:tc>
          <w:tcPr>
            <w:tcW w:w="6242" w:type="dxa"/>
            <w:vAlign w:val="center"/>
          </w:tcPr>
          <w:p w14:paraId="5832D16F">
            <w:pPr>
              <w:spacing w:line="240" w:lineRule="exact"/>
              <w:rPr>
                <w:color w:val="auto"/>
                <w:szCs w:val="21"/>
                <w:highlight w:val="none"/>
              </w:rPr>
            </w:pPr>
            <w:r>
              <w:rPr>
                <w:rFonts w:hint="eastAsia"/>
                <w:color w:val="auto"/>
                <w:szCs w:val="21"/>
                <w:highlight w:val="none"/>
              </w:rPr>
              <w:t>供应商须提供总公司出具的授权其参与本项目的授权文件或制度。</w:t>
            </w:r>
          </w:p>
        </w:tc>
      </w:tr>
      <w:tr w14:paraId="2F43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vAlign w:val="center"/>
          </w:tcPr>
          <w:p w14:paraId="6ACA04BF">
            <w:pPr>
              <w:spacing w:line="240" w:lineRule="exact"/>
              <w:jc w:val="left"/>
              <w:rPr>
                <w:color w:val="auto"/>
                <w:kern w:val="0"/>
                <w:szCs w:val="21"/>
                <w:highlight w:val="none"/>
              </w:rPr>
            </w:pPr>
          </w:p>
        </w:tc>
        <w:tc>
          <w:tcPr>
            <w:tcW w:w="1843" w:type="dxa"/>
            <w:vAlign w:val="center"/>
          </w:tcPr>
          <w:p w14:paraId="6A0D8104">
            <w:pPr>
              <w:spacing w:line="240" w:lineRule="exact"/>
              <w:jc w:val="left"/>
              <w:rPr>
                <w:rFonts w:hint="eastAsia"/>
                <w:color w:val="auto"/>
                <w:szCs w:val="21"/>
                <w:highlight w:val="none"/>
              </w:rPr>
            </w:pPr>
            <w:r>
              <w:rPr>
                <w:rFonts w:hint="eastAsia"/>
                <w:color w:val="auto"/>
                <w:szCs w:val="21"/>
                <w:highlight w:val="none"/>
              </w:rPr>
              <w:t>（</w:t>
            </w:r>
            <w:r>
              <w:rPr>
                <w:color w:val="auto"/>
                <w:szCs w:val="21"/>
                <w:highlight w:val="none"/>
              </w:rPr>
              <w:t>6</w:t>
            </w:r>
            <w:r>
              <w:rPr>
                <w:rFonts w:hint="eastAsia"/>
                <w:color w:val="auto"/>
                <w:szCs w:val="21"/>
                <w:highlight w:val="none"/>
              </w:rPr>
              <w:t>）分包</w:t>
            </w:r>
          </w:p>
        </w:tc>
        <w:tc>
          <w:tcPr>
            <w:tcW w:w="6242" w:type="dxa"/>
            <w:vAlign w:val="center"/>
          </w:tcPr>
          <w:p w14:paraId="45EB018B">
            <w:pPr>
              <w:spacing w:line="240" w:lineRule="exact"/>
              <w:rPr>
                <w:rFonts w:hint="eastAsia"/>
                <w:color w:val="auto"/>
                <w:szCs w:val="21"/>
                <w:highlight w:val="none"/>
                <w:lang w:val="zh-CN"/>
              </w:rPr>
            </w:pPr>
            <w:r>
              <w:rPr>
                <w:color w:val="auto"/>
                <w:szCs w:val="21"/>
                <w:highlight w:val="none"/>
              </w:rPr>
              <w:t>须符合</w:t>
            </w:r>
            <w:r>
              <w:rPr>
                <w:rFonts w:hint="eastAsia"/>
                <w:color w:val="auto"/>
                <w:szCs w:val="21"/>
                <w:highlight w:val="none"/>
              </w:rPr>
              <w:t>“磋商公告”</w:t>
            </w:r>
            <w:r>
              <w:rPr>
                <w:color w:val="auto"/>
                <w:szCs w:val="21"/>
                <w:highlight w:val="none"/>
              </w:rPr>
              <w:t>的要求</w:t>
            </w:r>
          </w:p>
        </w:tc>
      </w:tr>
      <w:tr w14:paraId="5B24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vAlign w:val="center"/>
          </w:tcPr>
          <w:p w14:paraId="49E9E818">
            <w:pPr>
              <w:spacing w:line="240" w:lineRule="exact"/>
              <w:jc w:val="left"/>
              <w:rPr>
                <w:color w:val="auto"/>
                <w:kern w:val="0"/>
                <w:szCs w:val="21"/>
                <w:highlight w:val="none"/>
              </w:rPr>
            </w:pPr>
          </w:p>
        </w:tc>
        <w:tc>
          <w:tcPr>
            <w:tcW w:w="1843" w:type="dxa"/>
            <w:vAlign w:val="center"/>
          </w:tcPr>
          <w:p w14:paraId="61ACC57F">
            <w:pPr>
              <w:spacing w:line="240" w:lineRule="exact"/>
              <w:jc w:val="left"/>
              <w:rPr>
                <w:rFonts w:hint="eastAsia"/>
                <w:color w:val="auto"/>
                <w:szCs w:val="21"/>
                <w:highlight w:val="none"/>
              </w:rPr>
            </w:pPr>
            <w:r>
              <w:rPr>
                <w:rFonts w:hint="eastAsia"/>
                <w:color w:val="auto"/>
                <w:szCs w:val="21"/>
                <w:highlight w:val="none"/>
              </w:rPr>
              <w:t>（</w:t>
            </w:r>
            <w:r>
              <w:rPr>
                <w:color w:val="auto"/>
                <w:szCs w:val="21"/>
                <w:highlight w:val="none"/>
              </w:rPr>
              <w:t>7</w:t>
            </w:r>
            <w:r>
              <w:rPr>
                <w:rFonts w:hint="eastAsia"/>
                <w:color w:val="auto"/>
                <w:szCs w:val="21"/>
                <w:highlight w:val="none"/>
              </w:rPr>
              <w:t>）联合体</w:t>
            </w:r>
          </w:p>
        </w:tc>
        <w:tc>
          <w:tcPr>
            <w:tcW w:w="6242" w:type="dxa"/>
            <w:vAlign w:val="center"/>
          </w:tcPr>
          <w:p w14:paraId="059FAD0C">
            <w:pPr>
              <w:spacing w:line="240" w:lineRule="exact"/>
              <w:rPr>
                <w:rFonts w:hint="eastAsia"/>
                <w:color w:val="auto"/>
                <w:szCs w:val="21"/>
                <w:highlight w:val="none"/>
              </w:rPr>
            </w:pPr>
            <w:r>
              <w:rPr>
                <w:rFonts w:hint="eastAsia"/>
                <w:color w:val="auto"/>
                <w:szCs w:val="21"/>
                <w:highlight w:val="none"/>
                <w:lang w:val="zh-CN"/>
              </w:rPr>
              <w:t>须符合“磋商公告”的要求</w:t>
            </w:r>
          </w:p>
        </w:tc>
      </w:tr>
      <w:tr w14:paraId="4D4F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vAlign w:val="center"/>
          </w:tcPr>
          <w:p w14:paraId="50118DC4">
            <w:pPr>
              <w:spacing w:line="240" w:lineRule="exact"/>
              <w:jc w:val="left"/>
              <w:rPr>
                <w:color w:val="auto"/>
                <w:kern w:val="0"/>
                <w:szCs w:val="21"/>
                <w:highlight w:val="none"/>
              </w:rPr>
            </w:pPr>
          </w:p>
        </w:tc>
        <w:tc>
          <w:tcPr>
            <w:tcW w:w="1843" w:type="dxa"/>
            <w:vAlign w:val="center"/>
          </w:tcPr>
          <w:p w14:paraId="77FCA47D">
            <w:pPr>
              <w:spacing w:line="240" w:lineRule="exact"/>
              <w:jc w:val="left"/>
              <w:rPr>
                <w:color w:val="auto"/>
                <w:szCs w:val="21"/>
                <w:highlight w:val="none"/>
              </w:rPr>
            </w:pPr>
            <w:r>
              <w:rPr>
                <w:rFonts w:hint="eastAsia"/>
                <w:color w:val="auto"/>
                <w:szCs w:val="21"/>
                <w:highlight w:val="none"/>
              </w:rPr>
              <w:t>（</w:t>
            </w:r>
            <w:r>
              <w:rPr>
                <w:color w:val="auto"/>
                <w:szCs w:val="21"/>
                <w:highlight w:val="none"/>
              </w:rPr>
              <w:t>8</w:t>
            </w:r>
            <w:r>
              <w:rPr>
                <w:rFonts w:hint="eastAsia"/>
                <w:color w:val="auto"/>
                <w:szCs w:val="21"/>
                <w:highlight w:val="none"/>
              </w:rPr>
              <w:t>）其他要求</w:t>
            </w:r>
          </w:p>
        </w:tc>
        <w:tc>
          <w:tcPr>
            <w:tcW w:w="6242" w:type="dxa"/>
            <w:vAlign w:val="center"/>
          </w:tcPr>
          <w:p w14:paraId="5DE5B009">
            <w:pPr>
              <w:spacing w:line="312" w:lineRule="auto"/>
              <w:jc w:val="both"/>
              <w:rPr>
                <w:color w:val="auto"/>
                <w:kern w:val="0"/>
                <w:szCs w:val="21"/>
                <w:highlight w:val="none"/>
              </w:rPr>
            </w:pPr>
            <w:r>
              <w:rPr>
                <w:rFonts w:hint="eastAsia"/>
                <w:color w:val="auto"/>
                <w:kern w:val="0"/>
                <w:szCs w:val="21"/>
                <w:highlight w:val="none"/>
              </w:rPr>
              <w:t>按</w:t>
            </w:r>
            <w:r>
              <w:rPr>
                <w:color w:val="auto"/>
                <w:kern w:val="0"/>
                <w:szCs w:val="21"/>
                <w:highlight w:val="none"/>
              </w:rPr>
              <w:t>照</w:t>
            </w:r>
            <w:r>
              <w:rPr>
                <w:rFonts w:hint="eastAsia"/>
                <w:color w:val="auto"/>
                <w:kern w:val="0"/>
                <w:szCs w:val="21"/>
                <w:highlight w:val="none"/>
              </w:rPr>
              <w:t>磋商</w:t>
            </w:r>
            <w:r>
              <w:rPr>
                <w:color w:val="auto"/>
                <w:kern w:val="0"/>
                <w:szCs w:val="21"/>
                <w:highlight w:val="none"/>
              </w:rPr>
              <w:t>公告规定获得</w:t>
            </w:r>
            <w:r>
              <w:rPr>
                <w:rFonts w:hint="eastAsia"/>
                <w:color w:val="auto"/>
                <w:kern w:val="0"/>
                <w:szCs w:val="21"/>
                <w:highlight w:val="none"/>
              </w:rPr>
              <w:t>采购</w:t>
            </w:r>
            <w:r>
              <w:rPr>
                <w:color w:val="auto"/>
                <w:kern w:val="0"/>
                <w:szCs w:val="21"/>
                <w:highlight w:val="none"/>
              </w:rPr>
              <w:t>文件。</w:t>
            </w:r>
            <w:r>
              <w:rPr>
                <w:rFonts w:hint="eastAsia"/>
                <w:color w:val="auto"/>
                <w:kern w:val="0"/>
                <w:szCs w:val="21"/>
                <w:highlight w:val="none"/>
              </w:rPr>
              <w:t>足额、及时缴纳磋商保证金。</w:t>
            </w:r>
          </w:p>
        </w:tc>
      </w:tr>
    </w:tbl>
    <w:p w14:paraId="22BF3822">
      <w:pPr>
        <w:spacing w:before="120" w:line="320" w:lineRule="atLeast"/>
        <w:ind w:firstLine="413" w:firstLineChars="196"/>
        <w:outlineLvl w:val="1"/>
        <w:rPr>
          <w:color w:val="auto"/>
          <w:szCs w:val="21"/>
          <w:highlight w:val="none"/>
        </w:rPr>
      </w:pPr>
      <w:r>
        <w:rPr>
          <w:b/>
          <w:bCs/>
          <w:color w:val="auto"/>
          <w:kern w:val="0"/>
          <w:szCs w:val="21"/>
          <w:highlight w:val="none"/>
        </w:rPr>
        <w:t>3</w:t>
      </w:r>
      <w:r>
        <w:rPr>
          <w:rFonts w:hint="eastAsia"/>
          <w:b/>
          <w:bCs/>
          <w:color w:val="auto"/>
          <w:kern w:val="0"/>
          <w:szCs w:val="21"/>
          <w:highlight w:val="none"/>
        </w:rPr>
        <w:t>.</w:t>
      </w:r>
      <w:r>
        <w:rPr>
          <w:b/>
          <w:bCs/>
          <w:color w:val="auto"/>
          <w:kern w:val="0"/>
          <w:szCs w:val="21"/>
          <w:highlight w:val="none"/>
        </w:rPr>
        <w:t>符合性审查</w:t>
      </w:r>
      <w:r>
        <w:rPr>
          <w:rFonts w:hint="eastAsia"/>
          <w:b/>
          <w:bCs/>
          <w:color w:val="auto"/>
          <w:kern w:val="0"/>
          <w:szCs w:val="21"/>
          <w:highlight w:val="none"/>
        </w:rPr>
        <w:t>标准（不满足任何一项审查内容要求，符合性审查即为不合格）</w:t>
      </w:r>
    </w:p>
    <w:tbl>
      <w:tblPr>
        <w:tblStyle w:val="51"/>
        <w:tblW w:w="893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2333"/>
        <w:gridCol w:w="5085"/>
      </w:tblGrid>
      <w:tr w14:paraId="2DDA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512" w:type="dxa"/>
            <w:vAlign w:val="center"/>
          </w:tcPr>
          <w:p w14:paraId="1933E289">
            <w:pPr>
              <w:spacing w:line="240" w:lineRule="exact"/>
              <w:jc w:val="center"/>
              <w:rPr>
                <w:b/>
                <w:color w:val="auto"/>
                <w:kern w:val="0"/>
                <w:szCs w:val="21"/>
                <w:highlight w:val="none"/>
              </w:rPr>
            </w:pPr>
            <w:bookmarkStart w:id="77" w:name="_Hlk48146640"/>
            <w:bookmarkStart w:id="78" w:name="_Hlk20388968"/>
            <w:r>
              <w:rPr>
                <w:rFonts w:hint="eastAsia"/>
                <w:b/>
                <w:color w:val="auto"/>
                <w:kern w:val="0"/>
                <w:szCs w:val="21"/>
                <w:highlight w:val="none"/>
              </w:rPr>
              <w:t>审查</w:t>
            </w:r>
            <w:r>
              <w:rPr>
                <w:b/>
                <w:color w:val="auto"/>
                <w:kern w:val="0"/>
                <w:szCs w:val="21"/>
                <w:highlight w:val="none"/>
              </w:rPr>
              <w:t>因素</w:t>
            </w:r>
          </w:p>
        </w:tc>
        <w:tc>
          <w:tcPr>
            <w:tcW w:w="2333" w:type="dxa"/>
            <w:vAlign w:val="center"/>
          </w:tcPr>
          <w:p w14:paraId="1159258E">
            <w:pPr>
              <w:spacing w:line="240" w:lineRule="exact"/>
              <w:jc w:val="center"/>
              <w:rPr>
                <w:b/>
                <w:color w:val="auto"/>
                <w:kern w:val="0"/>
                <w:szCs w:val="21"/>
                <w:highlight w:val="none"/>
              </w:rPr>
            </w:pPr>
            <w:r>
              <w:rPr>
                <w:rFonts w:hint="eastAsia"/>
                <w:b/>
                <w:color w:val="auto"/>
                <w:kern w:val="0"/>
                <w:szCs w:val="21"/>
                <w:highlight w:val="none"/>
              </w:rPr>
              <w:t>审查内容</w:t>
            </w:r>
          </w:p>
        </w:tc>
        <w:tc>
          <w:tcPr>
            <w:tcW w:w="5085" w:type="dxa"/>
            <w:vAlign w:val="top"/>
          </w:tcPr>
          <w:p w14:paraId="2D39233A">
            <w:pPr>
              <w:spacing w:line="240" w:lineRule="exact"/>
              <w:jc w:val="center"/>
              <w:rPr>
                <w:b/>
                <w:color w:val="auto"/>
                <w:kern w:val="0"/>
                <w:szCs w:val="21"/>
                <w:highlight w:val="none"/>
              </w:rPr>
            </w:pPr>
          </w:p>
          <w:p w14:paraId="1A7D8A48">
            <w:pPr>
              <w:spacing w:line="240" w:lineRule="exact"/>
              <w:jc w:val="center"/>
              <w:rPr>
                <w:b/>
                <w:color w:val="auto"/>
                <w:kern w:val="0"/>
                <w:szCs w:val="21"/>
                <w:highlight w:val="none"/>
              </w:rPr>
            </w:pPr>
            <w:r>
              <w:rPr>
                <w:rFonts w:hint="eastAsia"/>
                <w:b/>
                <w:color w:val="auto"/>
                <w:kern w:val="0"/>
                <w:szCs w:val="21"/>
                <w:highlight w:val="none"/>
              </w:rPr>
              <w:t>说明</w:t>
            </w:r>
          </w:p>
        </w:tc>
      </w:tr>
      <w:tr w14:paraId="7F95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1512" w:type="dxa"/>
            <w:vMerge w:val="restart"/>
            <w:vAlign w:val="center"/>
          </w:tcPr>
          <w:p w14:paraId="329158F0">
            <w:pPr>
              <w:spacing w:line="240" w:lineRule="exact"/>
              <w:jc w:val="center"/>
              <w:rPr>
                <w:color w:val="auto"/>
                <w:kern w:val="0"/>
                <w:szCs w:val="21"/>
                <w:highlight w:val="none"/>
              </w:rPr>
            </w:pPr>
            <w:r>
              <w:rPr>
                <w:rFonts w:hint="eastAsia"/>
                <w:color w:val="auto"/>
                <w:kern w:val="0"/>
                <w:szCs w:val="21"/>
                <w:highlight w:val="none"/>
              </w:rPr>
              <w:t>商务资信</w:t>
            </w:r>
          </w:p>
        </w:tc>
        <w:tc>
          <w:tcPr>
            <w:tcW w:w="2333" w:type="dxa"/>
            <w:vAlign w:val="center"/>
          </w:tcPr>
          <w:p w14:paraId="138396CA">
            <w:pPr>
              <w:spacing w:line="240" w:lineRule="exact"/>
              <w:rPr>
                <w:color w:val="auto"/>
                <w:highlight w:val="none"/>
              </w:rPr>
            </w:pPr>
            <w:r>
              <w:rPr>
                <w:rFonts w:hint="eastAsia"/>
                <w:color w:val="auto"/>
                <w:highlight w:val="none"/>
              </w:rPr>
              <w:t>法定代表人身份证明及授权委托书</w:t>
            </w:r>
          </w:p>
        </w:tc>
        <w:tc>
          <w:tcPr>
            <w:tcW w:w="5085" w:type="dxa"/>
            <w:vAlign w:val="center"/>
          </w:tcPr>
          <w:p w14:paraId="4D1DC330">
            <w:pPr>
              <w:spacing w:line="240" w:lineRule="exact"/>
              <w:rPr>
                <w:color w:val="auto"/>
                <w:szCs w:val="21"/>
                <w:highlight w:val="none"/>
              </w:rPr>
            </w:pPr>
            <w:r>
              <w:rPr>
                <w:rFonts w:hint="eastAsia"/>
                <w:color w:val="auto"/>
                <w:szCs w:val="21"/>
                <w:highlight w:val="none"/>
              </w:rPr>
              <w:t>授权</w:t>
            </w:r>
            <w:r>
              <w:rPr>
                <w:color w:val="auto"/>
                <w:szCs w:val="21"/>
                <w:highlight w:val="none"/>
              </w:rPr>
              <w:t>代表</w:t>
            </w:r>
            <w:r>
              <w:rPr>
                <w:rFonts w:hint="eastAsia"/>
                <w:color w:val="auto"/>
                <w:szCs w:val="21"/>
                <w:highlight w:val="none"/>
              </w:rPr>
              <w:t>参加响应</w:t>
            </w:r>
            <w:r>
              <w:rPr>
                <w:color w:val="auto"/>
                <w:szCs w:val="21"/>
                <w:highlight w:val="none"/>
              </w:rPr>
              <w:t>时审查</w:t>
            </w:r>
            <w:r>
              <w:rPr>
                <w:color w:val="auto"/>
                <w:highlight w:val="none"/>
              </w:rPr>
              <w:t>：</w:t>
            </w:r>
            <w:r>
              <w:rPr>
                <w:rFonts w:ascii="宋体" w:hAnsi="宋体"/>
                <w:color w:val="auto"/>
                <w:szCs w:val="21"/>
                <w:highlight w:val="none"/>
              </w:rPr>
              <w:t>法定代表人授权委托书及附件</w:t>
            </w:r>
            <w:r>
              <w:rPr>
                <w:color w:val="auto"/>
                <w:szCs w:val="21"/>
                <w:highlight w:val="none"/>
              </w:rPr>
              <w:t xml:space="preserve"> </w:t>
            </w:r>
          </w:p>
          <w:p w14:paraId="3B21F455">
            <w:pPr>
              <w:spacing w:line="240" w:lineRule="exact"/>
              <w:rPr>
                <w:rFonts w:ascii="宋体" w:hAnsi="宋体"/>
                <w:color w:val="auto"/>
                <w:szCs w:val="21"/>
                <w:highlight w:val="none"/>
              </w:rPr>
            </w:pPr>
            <w:r>
              <w:rPr>
                <w:rFonts w:hint="eastAsia"/>
                <w:color w:val="auto"/>
                <w:szCs w:val="21"/>
                <w:highlight w:val="none"/>
              </w:rPr>
              <w:t>法定代表人直接参加响应</w:t>
            </w:r>
            <w:r>
              <w:rPr>
                <w:color w:val="auto"/>
                <w:szCs w:val="21"/>
                <w:highlight w:val="none"/>
              </w:rPr>
              <w:t>时审查</w:t>
            </w:r>
            <w:r>
              <w:rPr>
                <w:color w:val="auto"/>
                <w:highlight w:val="none"/>
              </w:rPr>
              <w:t>：</w:t>
            </w:r>
            <w:r>
              <w:rPr>
                <w:rFonts w:ascii="宋体" w:hAnsi="宋体"/>
                <w:color w:val="auto"/>
                <w:szCs w:val="21"/>
                <w:highlight w:val="none"/>
              </w:rPr>
              <w:t>法定代表人身份证明</w:t>
            </w:r>
            <w:r>
              <w:rPr>
                <w:rFonts w:hint="eastAsia" w:ascii="宋体" w:hAnsi="宋体"/>
                <w:color w:val="auto"/>
                <w:szCs w:val="21"/>
                <w:highlight w:val="none"/>
              </w:rPr>
              <w:t>及</w:t>
            </w:r>
            <w:r>
              <w:rPr>
                <w:rFonts w:ascii="宋体" w:hAnsi="宋体"/>
                <w:color w:val="auto"/>
                <w:szCs w:val="21"/>
                <w:highlight w:val="none"/>
              </w:rPr>
              <w:t>附件</w:t>
            </w:r>
          </w:p>
          <w:p w14:paraId="2641AA1D">
            <w:pPr>
              <w:spacing w:line="240" w:lineRule="exact"/>
              <w:rPr>
                <w:color w:val="auto"/>
                <w:highlight w:val="none"/>
              </w:rPr>
            </w:pPr>
            <w:r>
              <w:rPr>
                <w:rFonts w:ascii="宋体" w:hAnsi="宋体"/>
                <w:color w:val="auto"/>
                <w:szCs w:val="21"/>
                <w:highlight w:val="none"/>
              </w:rPr>
              <w:t>格式及附件见第六章响应文件格式要求</w:t>
            </w:r>
          </w:p>
        </w:tc>
      </w:tr>
      <w:tr w14:paraId="34E0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512" w:type="dxa"/>
            <w:vMerge w:val="continue"/>
            <w:vAlign w:val="center"/>
          </w:tcPr>
          <w:p w14:paraId="66EFFB2D">
            <w:pPr>
              <w:spacing w:line="240" w:lineRule="exact"/>
              <w:jc w:val="center"/>
              <w:rPr>
                <w:color w:val="auto"/>
                <w:kern w:val="0"/>
                <w:szCs w:val="21"/>
                <w:highlight w:val="none"/>
              </w:rPr>
            </w:pPr>
          </w:p>
        </w:tc>
        <w:tc>
          <w:tcPr>
            <w:tcW w:w="2333" w:type="dxa"/>
            <w:vAlign w:val="center"/>
          </w:tcPr>
          <w:p w14:paraId="4FC255FA">
            <w:pPr>
              <w:spacing w:line="240" w:lineRule="exact"/>
              <w:rPr>
                <w:color w:val="auto"/>
                <w:szCs w:val="21"/>
                <w:highlight w:val="none"/>
              </w:rPr>
            </w:pPr>
            <w:r>
              <w:rPr>
                <w:rFonts w:hint="eastAsia"/>
                <w:color w:val="auto"/>
                <w:szCs w:val="21"/>
                <w:highlight w:val="none"/>
              </w:rPr>
              <w:t>实质性条款响应</w:t>
            </w:r>
          </w:p>
        </w:tc>
        <w:tc>
          <w:tcPr>
            <w:tcW w:w="5085" w:type="dxa"/>
            <w:vAlign w:val="center"/>
          </w:tcPr>
          <w:p w14:paraId="2F202F4C">
            <w:pPr>
              <w:spacing w:line="240" w:lineRule="exact"/>
              <w:rPr>
                <w:color w:val="auto"/>
                <w:szCs w:val="21"/>
                <w:highlight w:val="none"/>
              </w:rPr>
            </w:pPr>
            <w:r>
              <w:rPr>
                <w:rFonts w:hint="eastAsia" w:ascii="宋体" w:hAnsi="宋体"/>
                <w:color w:val="auto"/>
                <w:szCs w:val="21"/>
                <w:highlight w:val="none"/>
              </w:rPr>
              <w:t>采购文件实质性要求响应均无负偏离</w:t>
            </w:r>
          </w:p>
        </w:tc>
      </w:tr>
      <w:tr w14:paraId="4CD9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512" w:type="dxa"/>
            <w:vMerge w:val="continue"/>
            <w:vAlign w:val="center"/>
          </w:tcPr>
          <w:p w14:paraId="59B26AC1">
            <w:pPr>
              <w:spacing w:line="240" w:lineRule="exact"/>
              <w:jc w:val="center"/>
              <w:rPr>
                <w:color w:val="auto"/>
                <w:kern w:val="0"/>
                <w:szCs w:val="21"/>
                <w:highlight w:val="none"/>
              </w:rPr>
            </w:pPr>
          </w:p>
        </w:tc>
        <w:tc>
          <w:tcPr>
            <w:tcW w:w="2333" w:type="dxa"/>
            <w:vAlign w:val="center"/>
          </w:tcPr>
          <w:p w14:paraId="23BF0088">
            <w:pPr>
              <w:spacing w:line="240" w:lineRule="exact"/>
              <w:rPr>
                <w:color w:val="auto"/>
                <w:szCs w:val="21"/>
                <w:highlight w:val="none"/>
              </w:rPr>
            </w:pPr>
            <w:r>
              <w:rPr>
                <w:rFonts w:hint="eastAsia"/>
                <w:color w:val="auto"/>
                <w:szCs w:val="21"/>
                <w:highlight w:val="none"/>
              </w:rPr>
              <w:t>串通投标</w:t>
            </w:r>
          </w:p>
        </w:tc>
        <w:tc>
          <w:tcPr>
            <w:tcW w:w="5085" w:type="dxa"/>
            <w:vAlign w:val="center"/>
          </w:tcPr>
          <w:p w14:paraId="2C8A8683">
            <w:pPr>
              <w:spacing w:line="240" w:lineRule="exact"/>
              <w:rPr>
                <w:color w:val="auto"/>
                <w:szCs w:val="21"/>
                <w:highlight w:val="none"/>
              </w:rPr>
            </w:pPr>
            <w:r>
              <w:rPr>
                <w:rFonts w:hint="eastAsia" w:ascii="宋体" w:hAnsi="宋体"/>
                <w:color w:val="auto"/>
                <w:szCs w:val="21"/>
                <w:highlight w:val="none"/>
              </w:rPr>
              <w:t>不属于供应商须知正文第</w:t>
            </w:r>
            <w:r>
              <w:rPr>
                <w:rFonts w:ascii="宋体" w:hAnsi="宋体"/>
                <w:color w:val="auto"/>
                <w:szCs w:val="21"/>
                <w:highlight w:val="none"/>
              </w:rPr>
              <w:t>6</w:t>
            </w: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w:t>
            </w:r>
            <w:r>
              <w:rPr>
                <w:rFonts w:hint="eastAsia" w:ascii="宋体" w:hAnsi="宋体"/>
                <w:color w:val="auto"/>
                <w:szCs w:val="21"/>
                <w:highlight w:val="none"/>
                <w:lang w:val="en-US" w:eastAsia="zh-CN"/>
              </w:rPr>
              <w:t>9</w:t>
            </w:r>
            <w:r>
              <w:rPr>
                <w:rFonts w:hint="eastAsia" w:ascii="宋体" w:hAnsi="宋体"/>
                <w:color w:val="auto"/>
                <w:szCs w:val="21"/>
                <w:highlight w:val="none"/>
              </w:rPr>
              <w:t>规定的串通投标情形，见</w:t>
            </w:r>
            <w:r>
              <w:rPr>
                <w:rFonts w:ascii="宋体" w:hAnsi="宋体"/>
                <w:color w:val="auto"/>
                <w:szCs w:val="21"/>
                <w:highlight w:val="none"/>
              </w:rPr>
              <w:t>第六章响应文件格式要求</w:t>
            </w:r>
          </w:p>
        </w:tc>
      </w:tr>
      <w:tr w14:paraId="584A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restart"/>
            <w:vAlign w:val="center"/>
          </w:tcPr>
          <w:p w14:paraId="7C17FC44">
            <w:pPr>
              <w:spacing w:line="240" w:lineRule="exact"/>
              <w:jc w:val="center"/>
              <w:rPr>
                <w:color w:val="auto"/>
                <w:kern w:val="0"/>
                <w:szCs w:val="21"/>
                <w:highlight w:val="none"/>
              </w:rPr>
            </w:pPr>
            <w:r>
              <w:rPr>
                <w:rFonts w:hint="eastAsia"/>
                <w:color w:val="auto"/>
                <w:kern w:val="0"/>
                <w:szCs w:val="21"/>
                <w:highlight w:val="none"/>
              </w:rPr>
              <w:t>报价</w:t>
            </w:r>
          </w:p>
        </w:tc>
        <w:tc>
          <w:tcPr>
            <w:tcW w:w="2333" w:type="dxa"/>
            <w:vAlign w:val="center"/>
          </w:tcPr>
          <w:p w14:paraId="027BE8A4">
            <w:pPr>
              <w:spacing w:line="240" w:lineRule="exact"/>
              <w:rPr>
                <w:color w:val="auto"/>
                <w:szCs w:val="21"/>
                <w:highlight w:val="none"/>
              </w:rPr>
            </w:pPr>
            <w:r>
              <w:rPr>
                <w:rFonts w:hint="eastAsia"/>
                <w:color w:val="auto"/>
                <w:szCs w:val="21"/>
                <w:highlight w:val="none"/>
              </w:rPr>
              <w:t>有效报价</w:t>
            </w:r>
          </w:p>
        </w:tc>
        <w:tc>
          <w:tcPr>
            <w:tcW w:w="5085" w:type="dxa"/>
            <w:vAlign w:val="center"/>
          </w:tcPr>
          <w:p w14:paraId="27491285">
            <w:pPr>
              <w:spacing w:line="240" w:lineRule="exact"/>
              <w:rPr>
                <w:bCs/>
                <w:color w:val="auto"/>
                <w:kern w:val="0"/>
                <w:szCs w:val="21"/>
                <w:highlight w:val="none"/>
              </w:rPr>
            </w:pPr>
            <w:r>
              <w:rPr>
                <w:rFonts w:hint="eastAsia"/>
                <w:color w:val="auto"/>
                <w:highlight w:val="none"/>
              </w:rPr>
              <w:t>报价未超出采购预算金额，也未超出最高限价（如有）</w:t>
            </w:r>
          </w:p>
        </w:tc>
      </w:tr>
      <w:tr w14:paraId="3E42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vAlign w:val="center"/>
          </w:tcPr>
          <w:p w14:paraId="2DAA55D3">
            <w:pPr>
              <w:spacing w:line="240" w:lineRule="exact"/>
              <w:jc w:val="center"/>
              <w:rPr>
                <w:color w:val="auto"/>
                <w:kern w:val="0"/>
                <w:szCs w:val="21"/>
                <w:highlight w:val="none"/>
              </w:rPr>
            </w:pPr>
          </w:p>
        </w:tc>
        <w:tc>
          <w:tcPr>
            <w:tcW w:w="2333" w:type="dxa"/>
            <w:vAlign w:val="center"/>
          </w:tcPr>
          <w:p w14:paraId="247D8057">
            <w:pPr>
              <w:spacing w:line="240" w:lineRule="exact"/>
              <w:rPr>
                <w:bCs/>
                <w:color w:val="auto"/>
                <w:kern w:val="0"/>
                <w:szCs w:val="21"/>
                <w:highlight w:val="none"/>
              </w:rPr>
            </w:pPr>
            <w:r>
              <w:rPr>
                <w:rFonts w:hint="eastAsia"/>
                <w:bCs/>
                <w:color w:val="auto"/>
                <w:kern w:val="0"/>
                <w:szCs w:val="21"/>
                <w:highlight w:val="none"/>
              </w:rPr>
              <w:t>漏项报价</w:t>
            </w:r>
          </w:p>
        </w:tc>
        <w:tc>
          <w:tcPr>
            <w:tcW w:w="5085" w:type="dxa"/>
            <w:vAlign w:val="center"/>
          </w:tcPr>
          <w:p w14:paraId="30B949C8">
            <w:pPr>
              <w:spacing w:line="240" w:lineRule="exact"/>
              <w:rPr>
                <w:rFonts w:hAnsi="宋体"/>
                <w:color w:val="auto"/>
                <w:szCs w:val="21"/>
                <w:highlight w:val="none"/>
              </w:rPr>
            </w:pPr>
            <w:r>
              <w:rPr>
                <w:rFonts w:hint="eastAsia" w:ascii="宋体" w:hAnsi="宋体"/>
                <w:color w:val="auto"/>
                <w:szCs w:val="21"/>
                <w:highlight w:val="none"/>
              </w:rPr>
              <w:t>未就所投分标进行报价或者存在漏项报价；</w:t>
            </w:r>
          </w:p>
        </w:tc>
      </w:tr>
      <w:tr w14:paraId="511A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vAlign w:val="center"/>
          </w:tcPr>
          <w:p w14:paraId="7BB69A34">
            <w:pPr>
              <w:spacing w:line="240" w:lineRule="exact"/>
              <w:jc w:val="center"/>
              <w:rPr>
                <w:color w:val="auto"/>
                <w:kern w:val="0"/>
                <w:szCs w:val="21"/>
                <w:highlight w:val="none"/>
              </w:rPr>
            </w:pPr>
          </w:p>
        </w:tc>
        <w:tc>
          <w:tcPr>
            <w:tcW w:w="2333" w:type="dxa"/>
            <w:vAlign w:val="center"/>
          </w:tcPr>
          <w:p w14:paraId="6AD29DE5">
            <w:pPr>
              <w:spacing w:line="240" w:lineRule="exact"/>
              <w:rPr>
                <w:rFonts w:hAnsi="宋体"/>
                <w:color w:val="auto"/>
                <w:szCs w:val="21"/>
                <w:highlight w:val="none"/>
              </w:rPr>
            </w:pPr>
            <w:r>
              <w:rPr>
                <w:rFonts w:hint="eastAsia" w:hAnsi="宋体"/>
                <w:color w:val="auto"/>
                <w:szCs w:val="21"/>
                <w:highlight w:val="none"/>
              </w:rPr>
              <w:t>响应报价唯一性</w:t>
            </w:r>
          </w:p>
        </w:tc>
        <w:tc>
          <w:tcPr>
            <w:tcW w:w="5085" w:type="dxa"/>
            <w:vAlign w:val="center"/>
          </w:tcPr>
          <w:p w14:paraId="142AFE2D">
            <w:pPr>
              <w:spacing w:line="240" w:lineRule="exact"/>
              <w:rPr>
                <w:color w:val="auto"/>
                <w:szCs w:val="21"/>
                <w:highlight w:val="none"/>
              </w:rPr>
            </w:pPr>
            <w:r>
              <w:rPr>
                <w:rFonts w:hint="eastAsia" w:ascii="宋体" w:hAnsi="宋体"/>
                <w:color w:val="auto"/>
                <w:szCs w:val="21"/>
                <w:highlight w:val="none"/>
              </w:rPr>
              <w:t>不存在有选择、有条件的最后报价（采购文件允许有备选方案或者其他约定的除外）</w:t>
            </w:r>
          </w:p>
        </w:tc>
      </w:tr>
      <w:tr w14:paraId="117D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vAlign w:val="center"/>
          </w:tcPr>
          <w:p w14:paraId="2EF061D8">
            <w:pPr>
              <w:spacing w:line="240" w:lineRule="exact"/>
              <w:jc w:val="center"/>
              <w:rPr>
                <w:color w:val="auto"/>
                <w:kern w:val="0"/>
                <w:szCs w:val="21"/>
                <w:highlight w:val="none"/>
              </w:rPr>
            </w:pPr>
          </w:p>
        </w:tc>
        <w:tc>
          <w:tcPr>
            <w:tcW w:w="2333" w:type="dxa"/>
            <w:shd w:val="clear" w:color="auto" w:fill="auto"/>
            <w:vAlign w:val="center"/>
          </w:tcPr>
          <w:p w14:paraId="4C53230C">
            <w:pPr>
              <w:spacing w:line="240" w:lineRule="exact"/>
              <w:rPr>
                <w:rFonts w:hint="eastAsia" w:ascii="Times New Roman" w:hAnsi="Times New Roman" w:eastAsia="宋体" w:cs="Times New Roman"/>
                <w:color w:val="auto"/>
                <w:kern w:val="2"/>
                <w:sz w:val="21"/>
                <w:szCs w:val="24"/>
                <w:highlight w:val="none"/>
                <w:lang w:val="zh-CN" w:eastAsia="zh-CN" w:bidi="ar-SA"/>
              </w:rPr>
            </w:pPr>
            <w:r>
              <w:rPr>
                <w:rFonts w:hint="eastAsia"/>
                <w:color w:val="auto"/>
                <w:szCs w:val="21"/>
                <w:highlight w:val="none"/>
                <w:lang w:val="zh-CN"/>
              </w:rPr>
              <w:t>过低报价合理性</w:t>
            </w:r>
          </w:p>
        </w:tc>
        <w:tc>
          <w:tcPr>
            <w:tcW w:w="5085" w:type="dxa"/>
            <w:shd w:val="clear" w:color="auto" w:fill="auto"/>
            <w:vAlign w:val="center"/>
          </w:tcPr>
          <w:p w14:paraId="777455ED">
            <w:pPr>
              <w:spacing w:line="240" w:lineRule="exact"/>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供应商</w:t>
            </w:r>
            <w:r>
              <w:rPr>
                <w:rFonts w:hint="eastAsia"/>
                <w:color w:val="auto"/>
                <w:highlight w:val="none"/>
              </w:rPr>
              <w:t>的</w:t>
            </w:r>
            <w:r>
              <w:rPr>
                <w:rFonts w:hint="eastAsia"/>
                <w:color w:val="auto"/>
                <w:highlight w:val="none"/>
                <w:lang w:val="en-US" w:eastAsia="zh-CN"/>
              </w:rPr>
              <w:t>报价</w:t>
            </w:r>
            <w:r>
              <w:rPr>
                <w:rFonts w:hint="eastAsia"/>
                <w:color w:val="auto"/>
                <w:highlight w:val="none"/>
              </w:rPr>
              <w:t>存在异常低价问题</w:t>
            </w:r>
            <w:r>
              <w:rPr>
                <w:rFonts w:hint="eastAsia"/>
                <w:color w:val="auto"/>
                <w:highlight w:val="none"/>
                <w:lang w:val="en-US" w:eastAsia="zh-CN"/>
              </w:rPr>
              <w:t>的情形，评审委员会</w:t>
            </w:r>
            <w:r>
              <w:rPr>
                <w:rFonts w:hint="eastAsia"/>
                <w:color w:val="auto"/>
                <w:szCs w:val="21"/>
                <w:highlight w:val="none"/>
              </w:rPr>
              <w:t>应当要求其在评标现场合理的时间内</w:t>
            </w:r>
            <w:r>
              <w:rPr>
                <w:rFonts w:hint="eastAsia"/>
                <w:color w:val="auto"/>
                <w:szCs w:val="21"/>
                <w:highlight w:val="none"/>
                <w:lang w:val="en-US" w:eastAsia="zh-CN"/>
              </w:rPr>
              <w:t>提供</w:t>
            </w:r>
            <w:r>
              <w:rPr>
                <w:rFonts w:hint="eastAsia"/>
                <w:color w:val="auto"/>
                <w:szCs w:val="21"/>
                <w:highlight w:val="none"/>
              </w:rPr>
              <w:t>报价合理性相关的书面说明及必要的证明材料。</w:t>
            </w:r>
            <w:r>
              <w:rPr>
                <w:rFonts w:hint="eastAsia"/>
                <w:color w:val="auto"/>
                <w:highlight w:val="none"/>
                <w:lang w:val="en-US" w:eastAsia="zh-CN"/>
              </w:rPr>
              <w:t>供应商</w:t>
            </w:r>
            <w:r>
              <w:rPr>
                <w:rFonts w:hint="eastAsia"/>
                <w:color w:val="auto"/>
                <w:highlight w:val="none"/>
              </w:rPr>
              <w:t>不能证明其报价合理性的，</w:t>
            </w:r>
            <w:r>
              <w:rPr>
                <w:rFonts w:hint="eastAsia"/>
                <w:color w:val="auto"/>
                <w:highlight w:val="none"/>
                <w:lang w:eastAsia="zh-CN"/>
              </w:rPr>
              <w:t>评审委员会</w:t>
            </w:r>
            <w:r>
              <w:rPr>
                <w:rFonts w:hint="eastAsia"/>
                <w:color w:val="auto"/>
                <w:highlight w:val="none"/>
              </w:rPr>
              <w:t>应当将其作为无效投标处理。</w:t>
            </w:r>
          </w:p>
        </w:tc>
      </w:tr>
      <w:tr w14:paraId="306A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vAlign w:val="center"/>
          </w:tcPr>
          <w:p w14:paraId="1AA51BE4">
            <w:pPr>
              <w:spacing w:line="240" w:lineRule="exact"/>
              <w:jc w:val="center"/>
              <w:rPr>
                <w:color w:val="auto"/>
                <w:kern w:val="0"/>
                <w:szCs w:val="21"/>
                <w:highlight w:val="none"/>
              </w:rPr>
            </w:pPr>
          </w:p>
        </w:tc>
        <w:tc>
          <w:tcPr>
            <w:tcW w:w="2333" w:type="dxa"/>
            <w:vAlign w:val="center"/>
          </w:tcPr>
          <w:p w14:paraId="6132A9A7">
            <w:pPr>
              <w:spacing w:line="240" w:lineRule="exact"/>
              <w:rPr>
                <w:rFonts w:ascii="宋体" w:hAnsi="宋体"/>
                <w:color w:val="auto"/>
                <w:szCs w:val="21"/>
                <w:highlight w:val="none"/>
              </w:rPr>
            </w:pPr>
            <w:r>
              <w:rPr>
                <w:rFonts w:hint="eastAsia"/>
                <w:color w:val="auto"/>
                <w:szCs w:val="21"/>
                <w:highlight w:val="none"/>
              </w:rPr>
              <w:t>响应有效期</w:t>
            </w:r>
          </w:p>
        </w:tc>
        <w:tc>
          <w:tcPr>
            <w:tcW w:w="5085" w:type="dxa"/>
            <w:vAlign w:val="center"/>
          </w:tcPr>
          <w:p w14:paraId="2868FF0B">
            <w:pPr>
              <w:spacing w:line="240" w:lineRule="exact"/>
              <w:rPr>
                <w:color w:val="auto"/>
                <w:szCs w:val="21"/>
                <w:highlight w:val="none"/>
              </w:rPr>
            </w:pPr>
            <w:r>
              <w:rPr>
                <w:rFonts w:hint="eastAsia" w:ascii="宋体" w:hAnsi="宋体"/>
                <w:color w:val="auto"/>
                <w:szCs w:val="21"/>
                <w:highlight w:val="none"/>
              </w:rPr>
              <w:t>满足采购文件规定</w:t>
            </w:r>
          </w:p>
        </w:tc>
      </w:tr>
      <w:bookmarkEnd w:id="77"/>
      <w:bookmarkEnd w:id="78"/>
    </w:tbl>
    <w:p w14:paraId="55CC66A5">
      <w:pPr>
        <w:spacing w:before="120" w:line="320" w:lineRule="atLeast"/>
        <w:rPr>
          <w:rFonts w:hint="eastAsia"/>
          <w:color w:val="auto"/>
          <w:highlight w:val="none"/>
        </w:rPr>
      </w:pPr>
    </w:p>
    <w:p w14:paraId="1CA7EC58">
      <w:pPr>
        <w:spacing w:before="120" w:line="320" w:lineRule="atLeast"/>
        <w:rPr>
          <w:rFonts w:hint="eastAsia"/>
          <w:color w:val="auto"/>
          <w:highlight w:val="none"/>
        </w:rPr>
      </w:pPr>
    </w:p>
    <w:p w14:paraId="5CB66547">
      <w:pPr>
        <w:tabs>
          <w:tab w:val="left" w:pos="1950"/>
        </w:tabs>
        <w:spacing w:before="120" w:line="320" w:lineRule="atLeast"/>
        <w:jc w:val="left"/>
        <w:outlineLvl w:val="1"/>
        <w:rPr>
          <w:rFonts w:hint="eastAsia"/>
          <w:b/>
          <w:bCs/>
          <w:color w:val="auto"/>
          <w:kern w:val="0"/>
          <w:szCs w:val="21"/>
          <w:highlight w:val="none"/>
        </w:rPr>
      </w:pPr>
      <w:r>
        <w:rPr>
          <w:b/>
          <w:bCs/>
          <w:color w:val="auto"/>
          <w:kern w:val="0"/>
          <w:highlight w:val="none"/>
        </w:rPr>
        <w:br w:type="page"/>
      </w:r>
      <w:r>
        <w:rPr>
          <w:b/>
          <w:bCs/>
          <w:color w:val="auto"/>
          <w:kern w:val="0"/>
          <w:szCs w:val="21"/>
          <w:highlight w:val="none"/>
        </w:rPr>
        <w:t>4.</w:t>
      </w:r>
      <w:r>
        <w:rPr>
          <w:rFonts w:hint="eastAsia"/>
          <w:b/>
          <w:bCs/>
          <w:color w:val="auto"/>
          <w:kern w:val="0"/>
          <w:szCs w:val="21"/>
          <w:highlight w:val="none"/>
        </w:rPr>
        <w:t>评审标准</w:t>
      </w:r>
    </w:p>
    <w:p w14:paraId="0B1FFB53">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标项一、三、四、五、六、十、十一、十二均适用本评审标准</w:t>
      </w:r>
    </w:p>
    <w:p w14:paraId="35B1C08E">
      <w:pPr>
        <w:ind w:firstLine="420" w:firstLineChars="200"/>
        <w:rPr>
          <w:color w:val="auto"/>
          <w:highlight w:val="none"/>
        </w:rPr>
      </w:pPr>
    </w:p>
    <w:p w14:paraId="0CAD1982">
      <w:pPr>
        <w:ind w:firstLine="420" w:firstLineChars="200"/>
        <w:rPr>
          <w:color w:val="auto"/>
          <w:highlight w:val="none"/>
        </w:rPr>
      </w:pPr>
      <w:r>
        <w:rPr>
          <w:rFonts w:hint="eastAsia"/>
          <w:color w:val="auto"/>
          <w:highlight w:val="none"/>
        </w:rPr>
        <w:t>（1）技术及商务资信分</w:t>
      </w:r>
    </w:p>
    <w:tbl>
      <w:tblPr>
        <w:tblStyle w:val="51"/>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988"/>
        <w:gridCol w:w="4600"/>
        <w:gridCol w:w="1196"/>
        <w:gridCol w:w="1029"/>
      </w:tblGrid>
      <w:tr w14:paraId="6EC68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2304A30D">
            <w:pPr>
              <w:jc w:val="center"/>
              <w:rPr>
                <w:b/>
                <w:color w:val="auto"/>
                <w:szCs w:val="21"/>
                <w:highlight w:val="none"/>
              </w:rPr>
            </w:pPr>
            <w:r>
              <w:rPr>
                <w:b/>
                <w:color w:val="auto"/>
                <w:szCs w:val="21"/>
                <w:highlight w:val="none"/>
              </w:rPr>
              <w:t>序号</w:t>
            </w:r>
          </w:p>
        </w:tc>
        <w:tc>
          <w:tcPr>
            <w:tcW w:w="988" w:type="dxa"/>
            <w:vAlign w:val="center"/>
          </w:tcPr>
          <w:p w14:paraId="2F47EDDF">
            <w:pPr>
              <w:jc w:val="center"/>
              <w:rPr>
                <w:b/>
                <w:color w:val="auto"/>
                <w:szCs w:val="21"/>
                <w:highlight w:val="none"/>
              </w:rPr>
            </w:pPr>
            <w:r>
              <w:rPr>
                <w:rFonts w:hint="eastAsia"/>
                <w:b/>
                <w:color w:val="auto"/>
                <w:szCs w:val="21"/>
                <w:highlight w:val="none"/>
              </w:rPr>
              <w:t>类型</w:t>
            </w:r>
          </w:p>
        </w:tc>
        <w:tc>
          <w:tcPr>
            <w:tcW w:w="4600" w:type="dxa"/>
            <w:vAlign w:val="center"/>
          </w:tcPr>
          <w:p w14:paraId="02B3E131">
            <w:pPr>
              <w:jc w:val="center"/>
              <w:rPr>
                <w:b/>
                <w:color w:val="auto"/>
                <w:szCs w:val="21"/>
                <w:highlight w:val="none"/>
              </w:rPr>
            </w:pPr>
            <w:r>
              <w:rPr>
                <w:rFonts w:hint="eastAsia"/>
                <w:b/>
                <w:color w:val="auto"/>
                <w:szCs w:val="21"/>
                <w:highlight w:val="none"/>
              </w:rPr>
              <w:t>评分标准</w:t>
            </w:r>
          </w:p>
        </w:tc>
        <w:tc>
          <w:tcPr>
            <w:tcW w:w="1196" w:type="dxa"/>
            <w:vAlign w:val="center"/>
          </w:tcPr>
          <w:p w14:paraId="769E592E">
            <w:pPr>
              <w:jc w:val="center"/>
              <w:rPr>
                <w:b/>
                <w:color w:val="auto"/>
                <w:szCs w:val="21"/>
                <w:highlight w:val="none"/>
              </w:rPr>
            </w:pPr>
            <w:r>
              <w:rPr>
                <w:rFonts w:hint="eastAsia"/>
                <w:b/>
                <w:color w:val="auto"/>
                <w:szCs w:val="21"/>
                <w:highlight w:val="none"/>
              </w:rPr>
              <w:t>分值权重</w:t>
            </w:r>
          </w:p>
        </w:tc>
        <w:tc>
          <w:tcPr>
            <w:tcW w:w="1029" w:type="dxa"/>
            <w:vAlign w:val="center"/>
          </w:tcPr>
          <w:p w14:paraId="093FBAB6">
            <w:pPr>
              <w:jc w:val="center"/>
              <w:rPr>
                <w:b/>
                <w:color w:val="auto"/>
                <w:szCs w:val="21"/>
                <w:highlight w:val="none"/>
              </w:rPr>
            </w:pPr>
            <w:r>
              <w:rPr>
                <w:b/>
                <w:color w:val="auto"/>
                <w:szCs w:val="21"/>
                <w:highlight w:val="none"/>
              </w:rPr>
              <w:t>说明</w:t>
            </w:r>
          </w:p>
        </w:tc>
      </w:tr>
      <w:tr w14:paraId="6355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6BDE7AB6">
            <w:pPr>
              <w:jc w:val="center"/>
              <w:rPr>
                <w:b/>
                <w:color w:val="auto"/>
                <w:szCs w:val="21"/>
                <w:highlight w:val="none"/>
              </w:rPr>
            </w:pPr>
            <w:r>
              <w:rPr>
                <w:rFonts w:hint="eastAsia"/>
                <w:b/>
                <w:color w:val="auto"/>
                <w:szCs w:val="21"/>
                <w:highlight w:val="none"/>
              </w:rPr>
              <w:t>1</w:t>
            </w:r>
          </w:p>
        </w:tc>
        <w:tc>
          <w:tcPr>
            <w:tcW w:w="988" w:type="dxa"/>
            <w:vAlign w:val="center"/>
          </w:tcPr>
          <w:p w14:paraId="7B95C229">
            <w:pPr>
              <w:jc w:val="center"/>
              <w:rPr>
                <w:color w:val="auto"/>
                <w:szCs w:val="21"/>
                <w:highlight w:val="none"/>
              </w:rPr>
            </w:pPr>
            <w:r>
              <w:rPr>
                <w:rFonts w:hint="eastAsia"/>
                <w:color w:val="auto"/>
                <w:szCs w:val="21"/>
                <w:highlight w:val="none"/>
              </w:rPr>
              <w:t>技术分</w:t>
            </w:r>
          </w:p>
        </w:tc>
        <w:tc>
          <w:tcPr>
            <w:tcW w:w="4600" w:type="dxa"/>
            <w:vAlign w:val="center"/>
          </w:tcPr>
          <w:p w14:paraId="7D7B74CF">
            <w:pPr>
              <w:rPr>
                <w:rFonts w:hint="eastAsia"/>
                <w:color w:val="auto"/>
                <w:szCs w:val="21"/>
                <w:highlight w:val="none"/>
              </w:rPr>
            </w:pPr>
            <w:r>
              <w:rPr>
                <w:rFonts w:hint="eastAsia"/>
                <w:color w:val="auto"/>
                <w:szCs w:val="21"/>
                <w:highlight w:val="none"/>
              </w:rPr>
              <w:t>项目宣传策划方案（</w:t>
            </w:r>
            <w:r>
              <w:rPr>
                <w:rFonts w:hint="eastAsia"/>
                <w:color w:val="auto"/>
                <w:szCs w:val="21"/>
                <w:highlight w:val="none"/>
                <w:lang w:val="en-US" w:eastAsia="zh-CN"/>
              </w:rPr>
              <w:t>28</w:t>
            </w:r>
            <w:r>
              <w:rPr>
                <w:rFonts w:hint="eastAsia"/>
                <w:color w:val="auto"/>
                <w:szCs w:val="21"/>
                <w:highlight w:val="none"/>
              </w:rPr>
              <w:t>分）</w:t>
            </w:r>
          </w:p>
          <w:p w14:paraId="2C299E9F">
            <w:pPr>
              <w:rPr>
                <w:rFonts w:hint="eastAsia"/>
                <w:color w:val="auto"/>
                <w:szCs w:val="21"/>
                <w:highlight w:val="none"/>
              </w:rPr>
            </w:pPr>
            <w:r>
              <w:rPr>
                <w:rFonts w:hint="eastAsia"/>
                <w:color w:val="auto"/>
                <w:szCs w:val="21"/>
                <w:highlight w:val="none"/>
              </w:rPr>
              <w:t>一档（</w:t>
            </w:r>
            <w:r>
              <w:rPr>
                <w:rFonts w:hint="eastAsia"/>
                <w:color w:val="auto"/>
                <w:szCs w:val="21"/>
                <w:highlight w:val="none"/>
                <w:lang w:val="en-US" w:eastAsia="zh-CN"/>
              </w:rPr>
              <w:t>7</w:t>
            </w:r>
            <w:r>
              <w:rPr>
                <w:rFonts w:hint="eastAsia"/>
                <w:color w:val="auto"/>
                <w:szCs w:val="21"/>
                <w:highlight w:val="none"/>
              </w:rPr>
              <w:t>分）：</w:t>
            </w:r>
            <w:r>
              <w:rPr>
                <w:rFonts w:hint="eastAsia"/>
                <w:color w:val="auto"/>
                <w:szCs w:val="21"/>
                <w:highlight w:val="none"/>
                <w:lang w:eastAsia="zh-CN"/>
              </w:rPr>
              <w:t>供应商</w:t>
            </w:r>
            <w:r>
              <w:rPr>
                <w:rFonts w:hint="eastAsia"/>
                <w:color w:val="auto"/>
                <w:szCs w:val="21"/>
                <w:highlight w:val="none"/>
              </w:rPr>
              <w:t>针对所投标项中的</w:t>
            </w:r>
            <w:r>
              <w:rPr>
                <w:rFonts w:hint="eastAsia"/>
                <w:color w:val="auto"/>
                <w:szCs w:val="21"/>
                <w:highlight w:val="none"/>
                <w:lang w:eastAsia="zh-CN"/>
              </w:rPr>
              <w:t>服务内容</w:t>
            </w:r>
            <w:r>
              <w:rPr>
                <w:rFonts w:hint="eastAsia"/>
                <w:color w:val="auto"/>
                <w:szCs w:val="21"/>
                <w:highlight w:val="none"/>
              </w:rPr>
              <w:t>制订了宣传策划方案，但仅简单复制</w:t>
            </w:r>
            <w:r>
              <w:rPr>
                <w:rFonts w:hint="eastAsia"/>
                <w:color w:val="auto"/>
                <w:szCs w:val="21"/>
                <w:highlight w:val="none"/>
                <w:lang w:val="en-US" w:eastAsia="zh-CN"/>
              </w:rPr>
              <w:t>磋商</w:t>
            </w:r>
            <w:r>
              <w:rPr>
                <w:rFonts w:hint="eastAsia"/>
                <w:color w:val="auto"/>
                <w:szCs w:val="21"/>
                <w:highlight w:val="none"/>
              </w:rPr>
              <w:t>文件的服务要求内容，未对项目需求进行分析或有分析但不符合项目实际，宣传设计的思路、规划、内容不完整或不符合项目实际。</w:t>
            </w:r>
          </w:p>
          <w:p w14:paraId="1F835387">
            <w:pPr>
              <w:rPr>
                <w:rFonts w:hint="eastAsia"/>
                <w:color w:val="auto"/>
                <w:szCs w:val="21"/>
                <w:highlight w:val="none"/>
              </w:rPr>
            </w:pPr>
            <w:r>
              <w:rPr>
                <w:rFonts w:hint="eastAsia"/>
                <w:color w:val="auto"/>
                <w:szCs w:val="21"/>
                <w:highlight w:val="none"/>
              </w:rPr>
              <w:t>二档（1</w:t>
            </w:r>
            <w:r>
              <w:rPr>
                <w:rFonts w:hint="eastAsia"/>
                <w:color w:val="auto"/>
                <w:szCs w:val="21"/>
                <w:highlight w:val="none"/>
                <w:lang w:val="en-US" w:eastAsia="zh-CN"/>
              </w:rPr>
              <w:t>4</w:t>
            </w:r>
            <w:r>
              <w:rPr>
                <w:rFonts w:hint="eastAsia"/>
                <w:color w:val="auto"/>
                <w:szCs w:val="21"/>
                <w:highlight w:val="none"/>
              </w:rPr>
              <w:t>分）：</w:t>
            </w:r>
            <w:r>
              <w:rPr>
                <w:rFonts w:hint="eastAsia"/>
                <w:color w:val="auto"/>
                <w:szCs w:val="21"/>
                <w:highlight w:val="none"/>
                <w:lang w:eastAsia="zh-CN"/>
              </w:rPr>
              <w:t>供应商</w:t>
            </w:r>
            <w:r>
              <w:rPr>
                <w:rFonts w:hint="eastAsia"/>
                <w:color w:val="auto"/>
                <w:szCs w:val="21"/>
                <w:highlight w:val="none"/>
              </w:rPr>
              <w:t>针对所投标项中的</w:t>
            </w:r>
            <w:r>
              <w:rPr>
                <w:rFonts w:hint="eastAsia"/>
                <w:color w:val="auto"/>
                <w:szCs w:val="21"/>
                <w:highlight w:val="none"/>
                <w:lang w:eastAsia="zh-CN"/>
              </w:rPr>
              <w:t>服务内容</w:t>
            </w:r>
            <w:r>
              <w:rPr>
                <w:rFonts w:hint="eastAsia"/>
                <w:color w:val="auto"/>
                <w:szCs w:val="21"/>
                <w:highlight w:val="none"/>
              </w:rPr>
              <w:t>制订了宣传策划方案，宣传策划方案基本符合项目需求，对项目需求有符合实际的分析，有策划思路、规划、内容且符合项目实际的宣传效果要求。</w:t>
            </w:r>
          </w:p>
          <w:p w14:paraId="69587C84">
            <w:pPr>
              <w:rPr>
                <w:rFonts w:hint="eastAsia"/>
                <w:color w:val="auto"/>
                <w:szCs w:val="21"/>
                <w:highlight w:val="none"/>
              </w:rPr>
            </w:pPr>
            <w:r>
              <w:rPr>
                <w:rFonts w:hint="eastAsia"/>
                <w:color w:val="auto"/>
                <w:szCs w:val="21"/>
                <w:highlight w:val="none"/>
              </w:rPr>
              <w:t>三档（</w:t>
            </w:r>
            <w:r>
              <w:rPr>
                <w:rFonts w:hint="eastAsia"/>
                <w:color w:val="auto"/>
                <w:szCs w:val="21"/>
                <w:highlight w:val="none"/>
                <w:lang w:val="en-US" w:eastAsia="zh-CN"/>
              </w:rPr>
              <w:t>21</w:t>
            </w:r>
            <w:r>
              <w:rPr>
                <w:rFonts w:hint="eastAsia"/>
                <w:color w:val="auto"/>
                <w:szCs w:val="21"/>
                <w:highlight w:val="none"/>
              </w:rPr>
              <w:t>分）：</w:t>
            </w:r>
            <w:r>
              <w:rPr>
                <w:rFonts w:hint="eastAsia"/>
                <w:color w:val="auto"/>
                <w:szCs w:val="21"/>
                <w:highlight w:val="none"/>
                <w:lang w:eastAsia="zh-CN"/>
              </w:rPr>
              <w:t>供应商</w:t>
            </w:r>
            <w:r>
              <w:rPr>
                <w:rFonts w:hint="eastAsia"/>
                <w:color w:val="auto"/>
                <w:szCs w:val="21"/>
                <w:highlight w:val="none"/>
              </w:rPr>
              <w:t>针对所投标项中的</w:t>
            </w:r>
            <w:r>
              <w:rPr>
                <w:rFonts w:hint="eastAsia"/>
                <w:color w:val="auto"/>
                <w:szCs w:val="21"/>
                <w:highlight w:val="none"/>
                <w:lang w:eastAsia="zh-CN"/>
              </w:rPr>
              <w:t>服务内容</w:t>
            </w:r>
            <w:r>
              <w:rPr>
                <w:rFonts w:hint="eastAsia"/>
                <w:color w:val="auto"/>
                <w:szCs w:val="21"/>
                <w:highlight w:val="none"/>
              </w:rPr>
              <w:t>要求制订详细的策划方案及策划流程、主题，宣传制作规划能结合广西民族宗教的特点进行策划；明确每个阶段的推广重点；创意手段多样化</w:t>
            </w:r>
            <w:r>
              <w:rPr>
                <w:rFonts w:hint="eastAsia"/>
                <w:color w:val="auto"/>
                <w:szCs w:val="21"/>
                <w:highlight w:val="none"/>
                <w:lang w:eastAsia="zh-CN"/>
              </w:rPr>
              <w:t>，</w:t>
            </w:r>
            <w:r>
              <w:rPr>
                <w:rFonts w:hint="eastAsia"/>
                <w:color w:val="auto"/>
                <w:szCs w:val="21"/>
                <w:highlight w:val="none"/>
              </w:rPr>
              <w:t>拍摄及剪辑技巧成熟，内容符合采购人宣传要求。</w:t>
            </w:r>
          </w:p>
          <w:p w14:paraId="7AD77E4E">
            <w:pPr>
              <w:rPr>
                <w:rFonts w:hint="eastAsia"/>
                <w:color w:val="auto"/>
                <w:szCs w:val="21"/>
                <w:highlight w:val="none"/>
              </w:rPr>
            </w:pPr>
            <w:r>
              <w:rPr>
                <w:rFonts w:hint="eastAsia"/>
                <w:color w:val="auto"/>
                <w:szCs w:val="21"/>
                <w:highlight w:val="none"/>
              </w:rPr>
              <w:t>四档（2</w:t>
            </w:r>
            <w:r>
              <w:rPr>
                <w:rFonts w:hint="eastAsia"/>
                <w:color w:val="auto"/>
                <w:szCs w:val="21"/>
                <w:highlight w:val="none"/>
                <w:lang w:val="en-US" w:eastAsia="zh-CN"/>
              </w:rPr>
              <w:t>8</w:t>
            </w:r>
            <w:r>
              <w:rPr>
                <w:rFonts w:hint="eastAsia"/>
                <w:color w:val="auto"/>
                <w:szCs w:val="21"/>
                <w:highlight w:val="none"/>
              </w:rPr>
              <w:t>分）：</w:t>
            </w:r>
            <w:r>
              <w:rPr>
                <w:rFonts w:hint="eastAsia"/>
                <w:color w:val="auto"/>
                <w:szCs w:val="21"/>
                <w:highlight w:val="none"/>
                <w:lang w:eastAsia="zh-CN"/>
              </w:rPr>
              <w:t>供应商</w:t>
            </w:r>
            <w:r>
              <w:rPr>
                <w:rFonts w:hint="eastAsia"/>
                <w:color w:val="auto"/>
                <w:szCs w:val="21"/>
                <w:highlight w:val="none"/>
              </w:rPr>
              <w:t>的宣传策划方案在满足上述第三档的基础上，对项目需求分析理解深刻、有延展性；针对项目需求提供不少于2条完整的宣传方案，且</w:t>
            </w:r>
            <w:r>
              <w:rPr>
                <w:rFonts w:hint="eastAsia"/>
                <w:color w:val="auto"/>
                <w:szCs w:val="21"/>
                <w:highlight w:val="none"/>
                <w:lang w:val="en-US" w:eastAsia="zh-CN"/>
              </w:rPr>
              <w:t>宣传</w:t>
            </w:r>
            <w:r>
              <w:rPr>
                <w:rFonts w:hint="eastAsia"/>
                <w:color w:val="auto"/>
                <w:szCs w:val="21"/>
                <w:highlight w:val="none"/>
              </w:rPr>
              <w:t>内容有创意、新颖、完全符合</w:t>
            </w:r>
            <w:r>
              <w:rPr>
                <w:rFonts w:hint="eastAsia"/>
                <w:color w:val="auto"/>
                <w:szCs w:val="21"/>
                <w:highlight w:val="none"/>
                <w:lang w:val="en-US" w:eastAsia="zh-CN"/>
              </w:rPr>
              <w:t>服务</w:t>
            </w:r>
            <w:r>
              <w:rPr>
                <w:rFonts w:hint="eastAsia"/>
                <w:color w:val="auto"/>
                <w:szCs w:val="21"/>
                <w:highlight w:val="none"/>
              </w:rPr>
              <w:t>要求；项目整体宣传推广规划合理、清晰完整、方案整体可行程度高，能充分满足项目服务要求，实现采购人的预期效果。</w:t>
            </w:r>
          </w:p>
        </w:tc>
        <w:tc>
          <w:tcPr>
            <w:tcW w:w="1196" w:type="dxa"/>
            <w:vAlign w:val="center"/>
          </w:tcPr>
          <w:p w14:paraId="7245D06C">
            <w:pPr>
              <w:rPr>
                <w:rFonts w:hint="default" w:eastAsia="宋体"/>
                <w:color w:val="auto"/>
                <w:szCs w:val="21"/>
                <w:highlight w:val="none"/>
                <w:lang w:val="en-US" w:eastAsia="zh-CN"/>
              </w:rPr>
            </w:pPr>
            <w:r>
              <w:rPr>
                <w:rFonts w:hint="eastAsia"/>
                <w:color w:val="auto"/>
                <w:szCs w:val="21"/>
                <w:highlight w:val="none"/>
              </w:rPr>
              <w:t>0</w:t>
            </w:r>
            <w:r>
              <w:rPr>
                <w:color w:val="auto"/>
                <w:szCs w:val="21"/>
                <w:highlight w:val="none"/>
              </w:rPr>
              <w:t>-</w:t>
            </w:r>
            <w:r>
              <w:rPr>
                <w:rFonts w:hint="eastAsia"/>
                <w:color w:val="auto"/>
                <w:szCs w:val="21"/>
                <w:highlight w:val="none"/>
                <w:lang w:val="en-US" w:eastAsia="zh-CN"/>
              </w:rPr>
              <w:t>28</w:t>
            </w:r>
          </w:p>
        </w:tc>
        <w:tc>
          <w:tcPr>
            <w:tcW w:w="1029" w:type="dxa"/>
            <w:vAlign w:val="center"/>
          </w:tcPr>
          <w:p w14:paraId="7548910C">
            <w:pPr>
              <w:rPr>
                <w:color w:val="auto"/>
                <w:szCs w:val="21"/>
                <w:highlight w:val="none"/>
              </w:rPr>
            </w:pPr>
          </w:p>
        </w:tc>
      </w:tr>
      <w:tr w14:paraId="2E9E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9" w:hRule="atLeast"/>
          <w:jc w:val="center"/>
        </w:trPr>
        <w:tc>
          <w:tcPr>
            <w:tcW w:w="708" w:type="dxa"/>
            <w:vAlign w:val="center"/>
          </w:tcPr>
          <w:p w14:paraId="40D9EC1D">
            <w:pPr>
              <w:jc w:val="center"/>
              <w:rPr>
                <w:rFonts w:hint="eastAsia" w:eastAsia="宋体"/>
                <w:b/>
                <w:color w:val="auto"/>
                <w:szCs w:val="21"/>
                <w:highlight w:val="none"/>
                <w:lang w:val="en-US" w:eastAsia="zh-CN"/>
              </w:rPr>
            </w:pPr>
            <w:r>
              <w:rPr>
                <w:rFonts w:hint="eastAsia"/>
                <w:b/>
                <w:color w:val="auto"/>
                <w:szCs w:val="21"/>
                <w:highlight w:val="none"/>
                <w:lang w:val="en-US" w:eastAsia="zh-CN"/>
              </w:rPr>
              <w:t>2</w:t>
            </w:r>
          </w:p>
        </w:tc>
        <w:tc>
          <w:tcPr>
            <w:tcW w:w="988" w:type="dxa"/>
            <w:vAlign w:val="center"/>
          </w:tcPr>
          <w:p w14:paraId="4AC20238">
            <w:pPr>
              <w:jc w:val="center"/>
              <w:rPr>
                <w:rFonts w:hint="eastAsia"/>
                <w:color w:val="auto"/>
                <w:szCs w:val="21"/>
                <w:highlight w:val="none"/>
              </w:rPr>
            </w:pPr>
            <w:r>
              <w:rPr>
                <w:rFonts w:hint="eastAsia"/>
                <w:color w:val="auto"/>
                <w:szCs w:val="21"/>
                <w:highlight w:val="none"/>
              </w:rPr>
              <w:t>技术分</w:t>
            </w:r>
          </w:p>
        </w:tc>
        <w:tc>
          <w:tcPr>
            <w:tcW w:w="4600" w:type="dxa"/>
            <w:vAlign w:val="center"/>
          </w:tcPr>
          <w:p w14:paraId="5BC4EDEB">
            <w:pPr>
              <w:rPr>
                <w:rFonts w:hint="eastAsia"/>
                <w:color w:val="auto"/>
                <w:szCs w:val="21"/>
                <w:highlight w:val="none"/>
              </w:rPr>
            </w:pPr>
            <w:r>
              <w:rPr>
                <w:rFonts w:hint="eastAsia"/>
                <w:color w:val="auto"/>
                <w:szCs w:val="21"/>
                <w:highlight w:val="none"/>
              </w:rPr>
              <w:t>项目实施方案（3</w:t>
            </w:r>
            <w:r>
              <w:rPr>
                <w:rFonts w:hint="eastAsia"/>
                <w:color w:val="auto"/>
                <w:szCs w:val="21"/>
                <w:highlight w:val="none"/>
                <w:lang w:val="en-US" w:eastAsia="zh-CN"/>
              </w:rPr>
              <w:t>1</w:t>
            </w:r>
            <w:r>
              <w:rPr>
                <w:rFonts w:hint="eastAsia"/>
                <w:color w:val="auto"/>
                <w:szCs w:val="21"/>
                <w:highlight w:val="none"/>
              </w:rPr>
              <w:t>分）</w:t>
            </w:r>
          </w:p>
          <w:p w14:paraId="1046F29B">
            <w:pPr>
              <w:rPr>
                <w:rFonts w:hint="eastAsia"/>
                <w:color w:val="auto"/>
                <w:szCs w:val="21"/>
                <w:highlight w:val="none"/>
              </w:rPr>
            </w:pPr>
            <w:r>
              <w:rPr>
                <w:rFonts w:hint="eastAsia"/>
                <w:color w:val="auto"/>
                <w:szCs w:val="21"/>
                <w:highlight w:val="none"/>
              </w:rPr>
              <w:t>一档（8分）：</w:t>
            </w:r>
            <w:r>
              <w:rPr>
                <w:rFonts w:hint="eastAsia"/>
                <w:color w:val="auto"/>
                <w:szCs w:val="21"/>
                <w:highlight w:val="none"/>
                <w:lang w:eastAsia="zh-CN"/>
              </w:rPr>
              <w:t>供应商</w:t>
            </w:r>
            <w:r>
              <w:rPr>
                <w:rFonts w:hint="eastAsia"/>
                <w:color w:val="auto"/>
                <w:szCs w:val="21"/>
                <w:highlight w:val="none"/>
              </w:rPr>
              <w:t>针对所投标项中的</w:t>
            </w:r>
            <w:r>
              <w:rPr>
                <w:rFonts w:hint="eastAsia"/>
                <w:color w:val="auto"/>
                <w:szCs w:val="21"/>
                <w:highlight w:val="none"/>
                <w:lang w:eastAsia="zh-CN"/>
              </w:rPr>
              <w:t>服务</w:t>
            </w:r>
            <w:r>
              <w:rPr>
                <w:rFonts w:hint="eastAsia"/>
                <w:color w:val="auto"/>
                <w:szCs w:val="21"/>
                <w:highlight w:val="none"/>
              </w:rPr>
              <w:t>要求制订了项目实施方案，但实施方案仅简单复制招标文件的</w:t>
            </w:r>
            <w:r>
              <w:rPr>
                <w:rFonts w:hint="eastAsia"/>
                <w:color w:val="auto"/>
                <w:szCs w:val="21"/>
                <w:highlight w:val="none"/>
                <w:lang w:eastAsia="zh-CN"/>
              </w:rPr>
              <w:t>服务</w:t>
            </w:r>
            <w:r>
              <w:rPr>
                <w:rFonts w:hint="eastAsia"/>
                <w:color w:val="auto"/>
                <w:szCs w:val="21"/>
                <w:highlight w:val="none"/>
              </w:rPr>
              <w:t>要求内容，无具体的组织措施、实施计划、无相应文案及视频制作的计划及方案。未针对本项目制定专属文字报道工作方案，无文字报道选题规划、内容撰写、素材采编、稿件审核、发布推送等相关工作思路，未配套任何文字报道实施计划，无法满足项目基础宣传报道需求。</w:t>
            </w:r>
          </w:p>
          <w:p w14:paraId="5B38F7A3">
            <w:pPr>
              <w:rPr>
                <w:rFonts w:hint="eastAsia"/>
                <w:color w:val="auto"/>
                <w:szCs w:val="21"/>
                <w:highlight w:val="none"/>
              </w:rPr>
            </w:pPr>
            <w:r>
              <w:rPr>
                <w:rFonts w:hint="eastAsia"/>
                <w:color w:val="auto"/>
                <w:szCs w:val="21"/>
                <w:highlight w:val="none"/>
              </w:rPr>
              <w:t>二档（16分）：</w:t>
            </w:r>
            <w:r>
              <w:rPr>
                <w:rFonts w:hint="eastAsia"/>
                <w:color w:val="auto"/>
                <w:szCs w:val="21"/>
                <w:highlight w:val="none"/>
                <w:lang w:eastAsia="zh-CN"/>
              </w:rPr>
              <w:t>供应商</w:t>
            </w:r>
            <w:r>
              <w:rPr>
                <w:rFonts w:hint="eastAsia"/>
                <w:color w:val="auto"/>
                <w:szCs w:val="21"/>
                <w:highlight w:val="none"/>
              </w:rPr>
              <w:t>针对所投标项中的</w:t>
            </w:r>
            <w:r>
              <w:rPr>
                <w:rFonts w:hint="eastAsia"/>
                <w:color w:val="auto"/>
                <w:szCs w:val="21"/>
                <w:highlight w:val="none"/>
                <w:lang w:eastAsia="zh-CN"/>
              </w:rPr>
              <w:t>服务</w:t>
            </w:r>
            <w:r>
              <w:rPr>
                <w:rFonts w:hint="eastAsia"/>
                <w:color w:val="auto"/>
                <w:szCs w:val="21"/>
                <w:highlight w:val="none"/>
              </w:rPr>
              <w:t>要求制订了项目实施方案，有组织措施；具有专业宣传片视频制作人员团队及拍摄设备（有导演、动画、文案、后期剪辑的人员及设备配备）；有详细的文案及视频制作的计划、实施方案。配套制定完整的文字报道实施方案及工作计划，明确文字报道专职采编、撰写、审核人员配置，搭建基础文字宣传工作团队；规划文字报道核心工作内容，涵盖项目动态新闻、工作纪实、亮点成效、主题宣传等常规稿件类型，初步明确素材收集、稿件撰写、内部审核、对外报送的基础流程，可匹配项目常态化文字宣传报道工作需求。</w:t>
            </w:r>
          </w:p>
          <w:p w14:paraId="0B0AE7C7">
            <w:pPr>
              <w:rPr>
                <w:rFonts w:hint="eastAsia"/>
                <w:color w:val="auto"/>
                <w:szCs w:val="21"/>
                <w:highlight w:val="none"/>
              </w:rPr>
            </w:pPr>
            <w:r>
              <w:rPr>
                <w:rFonts w:hint="eastAsia"/>
                <w:color w:val="auto"/>
                <w:szCs w:val="21"/>
                <w:highlight w:val="none"/>
              </w:rPr>
              <w:t>三档（24分）：在满足上述二档的前提下，实施方案对宣传文案、视频拍摄流程、重难点、呈现效果、拍摄手法各项内容描述清晰可行；实施方案执行思路及执行方法说明清晰，阶段性服务目标明确。文字报道方案专业化、精细化，全面细化各项工作核心内容。明确文字报道选题策划思路，结合项目实施节点、工作亮点、服务成效、社会价值制定差异化宣传选题；细化稿件撰写标准、文风要求、内容侧重点，适配官方宣传、大众传播等不同发布场景；精准梳理文字报道工作重难点，针对素材采集不及时、稿件贴合度不足、宣传时效性差等问题制定针对性应对办法；明确各类文字稿件的呈现形式、传播效果、输出标准，同步匹配项目阶段性工作目标，实现文字报道与项目实施同步推进。</w:t>
            </w:r>
          </w:p>
          <w:p w14:paraId="2DEBAFD5">
            <w:pPr>
              <w:rPr>
                <w:rFonts w:hint="eastAsia"/>
                <w:color w:val="auto"/>
                <w:szCs w:val="21"/>
                <w:highlight w:val="none"/>
              </w:rPr>
            </w:pPr>
            <w:r>
              <w:rPr>
                <w:rFonts w:hint="eastAsia"/>
                <w:color w:val="auto"/>
                <w:szCs w:val="21"/>
                <w:highlight w:val="none"/>
              </w:rPr>
              <w:t>四档（3</w:t>
            </w:r>
            <w:r>
              <w:rPr>
                <w:rFonts w:hint="eastAsia"/>
                <w:color w:val="auto"/>
                <w:szCs w:val="21"/>
                <w:highlight w:val="none"/>
                <w:lang w:val="en-US" w:eastAsia="zh-CN"/>
              </w:rPr>
              <w:t>1</w:t>
            </w:r>
            <w:r>
              <w:rPr>
                <w:rFonts w:hint="eastAsia"/>
                <w:color w:val="auto"/>
                <w:szCs w:val="21"/>
                <w:highlight w:val="none"/>
              </w:rPr>
              <w:t>分）：在满足上述三档的前提下，有明确的阶段性目标和项目实施保障措施，宣传文案、视频拍摄及制作保障方案详细合理、保障措施全面且合理可行；实施沟通机制具体全面，实施方案具有针对性。文字报道全流程保障方案完善、措施全面合理。建立文字报道质量保障体系，制定稿件初审、复审、终审三级审核制度，明确质量校验标准、错漏整改机制、内容合规管控要求；搭建时效保障机制，结合项目节点制定月度、季度、专项宣传报道计划，保障各类稿件及时产出、按时发布；完善素材保障、人员保障、版权保障措施，确保文字素材真实合规、稿件原创优质、宣传内容合法规范；优化传播赋能方案，结合宣传渠道特性优化稿件形式，适配官方平台、媒体平台、大众传播等多场景发布，同时建立宣传效果复盘优化机制，可根据传播反馈动态调整文字报道思路，最大化提升项目宣传推广成效，整体方案无短板、全维度适配项目高标准服务需求。</w:t>
            </w:r>
          </w:p>
        </w:tc>
        <w:tc>
          <w:tcPr>
            <w:tcW w:w="1196" w:type="dxa"/>
            <w:vAlign w:val="center"/>
          </w:tcPr>
          <w:p w14:paraId="6AAB4965">
            <w:pPr>
              <w:rPr>
                <w:rFonts w:hint="default" w:eastAsia="宋体"/>
                <w:color w:val="auto"/>
                <w:szCs w:val="21"/>
                <w:highlight w:val="none"/>
                <w:lang w:val="en-US" w:eastAsia="zh-CN"/>
              </w:rPr>
            </w:pPr>
            <w:r>
              <w:rPr>
                <w:rFonts w:hint="eastAsia"/>
                <w:color w:val="auto"/>
                <w:szCs w:val="21"/>
                <w:highlight w:val="none"/>
                <w:lang w:val="en-US" w:eastAsia="zh-CN"/>
              </w:rPr>
              <w:t>0-31</w:t>
            </w:r>
          </w:p>
        </w:tc>
        <w:tc>
          <w:tcPr>
            <w:tcW w:w="1029" w:type="dxa"/>
            <w:vAlign w:val="center"/>
          </w:tcPr>
          <w:p w14:paraId="3A9375D3">
            <w:pPr>
              <w:rPr>
                <w:color w:val="auto"/>
                <w:szCs w:val="21"/>
                <w:highlight w:val="none"/>
              </w:rPr>
            </w:pPr>
          </w:p>
        </w:tc>
      </w:tr>
      <w:tr w14:paraId="5A91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731AED6A">
            <w:pPr>
              <w:jc w:val="center"/>
              <w:rPr>
                <w:rFonts w:hint="eastAsia" w:eastAsia="宋体"/>
                <w:b/>
                <w:color w:val="auto"/>
                <w:szCs w:val="21"/>
                <w:highlight w:val="none"/>
                <w:lang w:val="en-US" w:eastAsia="zh-CN"/>
              </w:rPr>
            </w:pPr>
            <w:r>
              <w:rPr>
                <w:rFonts w:hint="eastAsia"/>
                <w:b/>
                <w:color w:val="auto"/>
                <w:szCs w:val="21"/>
                <w:highlight w:val="none"/>
                <w:lang w:val="en-US" w:eastAsia="zh-CN"/>
              </w:rPr>
              <w:t>3</w:t>
            </w:r>
          </w:p>
        </w:tc>
        <w:tc>
          <w:tcPr>
            <w:tcW w:w="988" w:type="dxa"/>
            <w:vAlign w:val="center"/>
          </w:tcPr>
          <w:p w14:paraId="014ECC67">
            <w:pPr>
              <w:jc w:val="center"/>
              <w:rPr>
                <w:rFonts w:hint="eastAsia"/>
                <w:color w:val="auto"/>
                <w:szCs w:val="21"/>
                <w:highlight w:val="none"/>
              </w:rPr>
            </w:pPr>
            <w:r>
              <w:rPr>
                <w:rFonts w:hint="eastAsia"/>
                <w:color w:val="auto"/>
                <w:szCs w:val="21"/>
                <w:highlight w:val="none"/>
              </w:rPr>
              <w:t>技术分</w:t>
            </w:r>
          </w:p>
        </w:tc>
        <w:tc>
          <w:tcPr>
            <w:tcW w:w="4600" w:type="dxa"/>
            <w:vAlign w:val="center"/>
          </w:tcPr>
          <w:p w14:paraId="18BE26F7">
            <w:pPr>
              <w:rPr>
                <w:rFonts w:hint="eastAsia"/>
                <w:color w:val="auto"/>
                <w:szCs w:val="21"/>
                <w:highlight w:val="none"/>
              </w:rPr>
            </w:pPr>
            <w:r>
              <w:rPr>
                <w:rFonts w:hint="eastAsia"/>
                <w:color w:val="auto"/>
                <w:szCs w:val="21"/>
                <w:highlight w:val="none"/>
              </w:rPr>
              <w:t>服务质量承诺（15分）</w:t>
            </w:r>
          </w:p>
          <w:p w14:paraId="1C12FF43">
            <w:pPr>
              <w:rPr>
                <w:rFonts w:hint="eastAsia"/>
                <w:color w:val="auto"/>
                <w:szCs w:val="21"/>
                <w:highlight w:val="none"/>
              </w:rPr>
            </w:pPr>
            <w:r>
              <w:rPr>
                <w:rFonts w:hint="eastAsia"/>
                <w:color w:val="auto"/>
                <w:szCs w:val="21"/>
                <w:highlight w:val="none"/>
              </w:rPr>
              <w:t xml:space="preserve">一档（5分）：承诺服务期内，接到采购人处理问题通知后24小时内响应处理；承诺如采购人要求对相关发布内容进行修改、调整方案时，需按采购人的要求进行调整，采购人审核通过调整方案后，才能重新发布，并承担由于未经审核擅自发布引起的问题或经济损失。 </w:t>
            </w:r>
          </w:p>
          <w:p w14:paraId="69AAF4C9">
            <w:pPr>
              <w:rPr>
                <w:rFonts w:hint="eastAsia"/>
                <w:color w:val="auto"/>
                <w:szCs w:val="21"/>
                <w:highlight w:val="none"/>
              </w:rPr>
            </w:pPr>
            <w:r>
              <w:rPr>
                <w:rFonts w:hint="eastAsia"/>
                <w:color w:val="auto"/>
                <w:szCs w:val="21"/>
                <w:highlight w:val="none"/>
              </w:rPr>
              <w:t>二档（10分）：在满足上述一档的前提下，有相应的服务质量保障措施，保障方案能满足本项目需求，整体构思有基本的服务安排，承诺出现问题能在12小时内响应处理。</w:t>
            </w:r>
          </w:p>
          <w:p w14:paraId="4135FCC5">
            <w:pPr>
              <w:rPr>
                <w:color w:val="auto"/>
                <w:szCs w:val="21"/>
                <w:highlight w:val="none"/>
              </w:rPr>
            </w:pPr>
            <w:r>
              <w:rPr>
                <w:rFonts w:hint="eastAsia"/>
                <w:color w:val="auto"/>
                <w:szCs w:val="21"/>
                <w:highlight w:val="none"/>
              </w:rPr>
              <w:t>三档（15分）：在满足上述二档的前提下，有细化、明确的质量保障措施，保障方案具体且安排条理清晰，出现问题能在8小时内响应处理，应急预案安排详细具体、有针对性且可行性高。</w:t>
            </w:r>
          </w:p>
        </w:tc>
        <w:tc>
          <w:tcPr>
            <w:tcW w:w="1196" w:type="dxa"/>
            <w:vAlign w:val="center"/>
          </w:tcPr>
          <w:p w14:paraId="049AA8AE">
            <w:pPr>
              <w:rPr>
                <w:rFonts w:hint="default" w:eastAsia="宋体"/>
                <w:color w:val="auto"/>
                <w:szCs w:val="21"/>
                <w:highlight w:val="none"/>
                <w:lang w:val="en-US" w:eastAsia="zh-CN"/>
              </w:rPr>
            </w:pPr>
            <w:r>
              <w:rPr>
                <w:rFonts w:hint="eastAsia"/>
                <w:color w:val="auto"/>
                <w:szCs w:val="21"/>
                <w:highlight w:val="none"/>
                <w:lang w:val="en-US" w:eastAsia="zh-CN"/>
              </w:rPr>
              <w:t>0-15</w:t>
            </w:r>
          </w:p>
        </w:tc>
        <w:tc>
          <w:tcPr>
            <w:tcW w:w="1029" w:type="dxa"/>
            <w:vAlign w:val="center"/>
          </w:tcPr>
          <w:p w14:paraId="32E8C627">
            <w:pPr>
              <w:rPr>
                <w:color w:val="auto"/>
                <w:szCs w:val="21"/>
                <w:highlight w:val="none"/>
              </w:rPr>
            </w:pPr>
          </w:p>
        </w:tc>
      </w:tr>
      <w:tr w14:paraId="324D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7F58DB18">
            <w:pPr>
              <w:jc w:val="center"/>
              <w:rPr>
                <w:rFonts w:hint="eastAsia" w:eastAsia="宋体"/>
                <w:b/>
                <w:color w:val="auto"/>
                <w:szCs w:val="21"/>
                <w:highlight w:val="none"/>
                <w:lang w:val="en-US" w:eastAsia="zh-CN"/>
              </w:rPr>
            </w:pPr>
            <w:r>
              <w:rPr>
                <w:rFonts w:hint="eastAsia"/>
                <w:b/>
                <w:color w:val="auto"/>
                <w:szCs w:val="21"/>
                <w:highlight w:val="none"/>
                <w:lang w:val="en-US" w:eastAsia="zh-CN"/>
              </w:rPr>
              <w:t>4</w:t>
            </w:r>
          </w:p>
        </w:tc>
        <w:tc>
          <w:tcPr>
            <w:tcW w:w="988" w:type="dxa"/>
            <w:vAlign w:val="center"/>
          </w:tcPr>
          <w:p w14:paraId="6B272CD4">
            <w:pPr>
              <w:jc w:val="center"/>
              <w:rPr>
                <w:rFonts w:hint="eastAsia"/>
                <w:color w:val="auto"/>
                <w:szCs w:val="21"/>
                <w:highlight w:val="none"/>
              </w:rPr>
            </w:pPr>
            <w:r>
              <w:rPr>
                <w:rFonts w:hint="eastAsia"/>
                <w:color w:val="auto"/>
                <w:szCs w:val="21"/>
                <w:highlight w:val="none"/>
              </w:rPr>
              <w:t>商务资信分</w:t>
            </w:r>
          </w:p>
        </w:tc>
        <w:tc>
          <w:tcPr>
            <w:tcW w:w="4600" w:type="dxa"/>
            <w:vAlign w:val="center"/>
          </w:tcPr>
          <w:p w14:paraId="2DDABD18">
            <w:pPr>
              <w:rPr>
                <w:rFonts w:hint="eastAsia"/>
                <w:color w:val="auto"/>
                <w:szCs w:val="21"/>
                <w:highlight w:val="none"/>
              </w:rPr>
            </w:pPr>
            <w:r>
              <w:rPr>
                <w:rFonts w:hint="eastAsia"/>
                <w:color w:val="auto"/>
                <w:szCs w:val="21"/>
                <w:highlight w:val="none"/>
              </w:rPr>
              <w:t>业绩分（满分1</w:t>
            </w:r>
            <w:r>
              <w:rPr>
                <w:rFonts w:hint="eastAsia"/>
                <w:color w:val="auto"/>
                <w:szCs w:val="21"/>
                <w:highlight w:val="none"/>
                <w:lang w:val="en-US" w:eastAsia="zh-CN"/>
              </w:rPr>
              <w:t>6</w:t>
            </w:r>
            <w:r>
              <w:rPr>
                <w:rFonts w:hint="eastAsia"/>
                <w:color w:val="auto"/>
                <w:szCs w:val="21"/>
                <w:highlight w:val="none"/>
              </w:rPr>
              <w:t>分）</w:t>
            </w:r>
          </w:p>
          <w:p w14:paraId="5EEFA4E2">
            <w:pPr>
              <w:rPr>
                <w:rFonts w:hint="eastAsia"/>
                <w:color w:val="auto"/>
                <w:szCs w:val="21"/>
                <w:highlight w:val="none"/>
              </w:rPr>
            </w:pPr>
            <w:r>
              <w:rPr>
                <w:rFonts w:hint="eastAsia"/>
                <w:color w:val="auto"/>
                <w:szCs w:val="21"/>
                <w:highlight w:val="none"/>
                <w:lang w:eastAsia="zh-CN"/>
              </w:rPr>
              <w:t>供应商</w:t>
            </w:r>
            <w:r>
              <w:rPr>
                <w:rFonts w:hint="eastAsia"/>
                <w:color w:val="auto"/>
                <w:szCs w:val="21"/>
                <w:highlight w:val="none"/>
              </w:rPr>
              <w:t>2023年</w:t>
            </w:r>
            <w:r>
              <w:rPr>
                <w:rFonts w:hint="eastAsia"/>
                <w:color w:val="auto"/>
                <w:szCs w:val="21"/>
                <w:highlight w:val="none"/>
                <w:lang w:val="en-US" w:eastAsia="zh-CN"/>
              </w:rPr>
              <w:t>1</w:t>
            </w:r>
            <w:r>
              <w:rPr>
                <w:rFonts w:hint="eastAsia"/>
                <w:color w:val="auto"/>
                <w:szCs w:val="21"/>
                <w:highlight w:val="none"/>
              </w:rPr>
              <w:t>月至投标截止时间止承接的类似项目业绩（类似项目业绩是指与本项目所投标项采购需求内容类似的业绩。</w:t>
            </w:r>
            <w:r>
              <w:rPr>
                <w:rFonts w:hint="eastAsia"/>
                <w:color w:val="auto"/>
                <w:szCs w:val="21"/>
                <w:highlight w:val="none"/>
                <w:lang w:val="en-US" w:eastAsia="zh-CN"/>
              </w:rPr>
              <w:t>响应</w:t>
            </w:r>
            <w:r>
              <w:rPr>
                <w:rFonts w:hint="eastAsia"/>
                <w:color w:val="auto"/>
                <w:szCs w:val="21"/>
                <w:highlight w:val="none"/>
              </w:rPr>
              <w:t>文件中提供有效的合同复印件并加盖</w:t>
            </w:r>
            <w:r>
              <w:rPr>
                <w:rFonts w:hint="eastAsia"/>
                <w:color w:val="auto"/>
                <w:szCs w:val="21"/>
                <w:highlight w:val="none"/>
                <w:lang w:eastAsia="zh-CN"/>
              </w:rPr>
              <w:t>供应商</w:t>
            </w:r>
            <w:r>
              <w:rPr>
                <w:rFonts w:hint="eastAsia"/>
                <w:color w:val="auto"/>
                <w:szCs w:val="21"/>
                <w:highlight w:val="none"/>
              </w:rPr>
              <w:t>公章，合同复印件需要清晰体现出合同首页、采购内容和日期、盖章页。合同内容不全或不清晰的，不计分。），每份业绩得</w:t>
            </w:r>
            <w:r>
              <w:rPr>
                <w:rFonts w:hint="eastAsia"/>
                <w:color w:val="auto"/>
                <w:szCs w:val="21"/>
                <w:highlight w:val="none"/>
                <w:lang w:val="en-US" w:eastAsia="zh-CN"/>
              </w:rPr>
              <w:t>4</w:t>
            </w:r>
            <w:r>
              <w:rPr>
                <w:rFonts w:hint="eastAsia"/>
                <w:color w:val="auto"/>
                <w:szCs w:val="21"/>
                <w:highlight w:val="none"/>
              </w:rPr>
              <w:t>分，满分</w:t>
            </w:r>
            <w:r>
              <w:rPr>
                <w:rFonts w:hint="eastAsia"/>
                <w:color w:val="auto"/>
                <w:szCs w:val="21"/>
                <w:highlight w:val="none"/>
                <w:lang w:val="en-US" w:eastAsia="zh-CN"/>
              </w:rPr>
              <w:t>16</w:t>
            </w:r>
            <w:r>
              <w:rPr>
                <w:rFonts w:hint="eastAsia"/>
                <w:color w:val="auto"/>
                <w:szCs w:val="21"/>
                <w:highlight w:val="none"/>
              </w:rPr>
              <w:t>分。同一项目分多个合同签订的，只计分一次。</w:t>
            </w:r>
          </w:p>
        </w:tc>
        <w:tc>
          <w:tcPr>
            <w:tcW w:w="1196" w:type="dxa"/>
            <w:vAlign w:val="center"/>
          </w:tcPr>
          <w:p w14:paraId="7A1EBABC">
            <w:pPr>
              <w:rPr>
                <w:rFonts w:hint="default" w:eastAsia="宋体"/>
                <w:color w:val="auto"/>
                <w:szCs w:val="21"/>
                <w:highlight w:val="none"/>
                <w:lang w:val="en-US" w:eastAsia="zh-CN"/>
              </w:rPr>
            </w:pPr>
            <w:r>
              <w:rPr>
                <w:rFonts w:hint="eastAsia"/>
                <w:color w:val="auto"/>
                <w:szCs w:val="21"/>
                <w:highlight w:val="none"/>
                <w:lang w:val="en-US" w:eastAsia="zh-CN"/>
              </w:rPr>
              <w:t>0-16</w:t>
            </w:r>
          </w:p>
        </w:tc>
        <w:tc>
          <w:tcPr>
            <w:tcW w:w="1029" w:type="dxa"/>
            <w:vAlign w:val="center"/>
          </w:tcPr>
          <w:p w14:paraId="52259B76">
            <w:pPr>
              <w:rPr>
                <w:color w:val="auto"/>
                <w:szCs w:val="21"/>
                <w:highlight w:val="none"/>
              </w:rPr>
            </w:pPr>
          </w:p>
        </w:tc>
      </w:tr>
    </w:tbl>
    <w:p w14:paraId="73E3E87C">
      <w:pPr>
        <w:ind w:firstLine="315" w:firstLineChars="150"/>
        <w:rPr>
          <w:color w:val="auto"/>
          <w:highlight w:val="none"/>
          <w:lang w:val="zh-CN"/>
        </w:rPr>
      </w:pPr>
      <w:r>
        <w:rPr>
          <w:rFonts w:hint="eastAsia"/>
          <w:color w:val="auto"/>
          <w:highlight w:val="none"/>
          <w:lang w:val="zh-CN"/>
        </w:rPr>
        <w:t>（2）最后报价分</w:t>
      </w:r>
    </w:p>
    <w:tbl>
      <w:tblPr>
        <w:tblStyle w:val="51"/>
        <w:tblW w:w="8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839"/>
        <w:gridCol w:w="3119"/>
        <w:gridCol w:w="708"/>
        <w:gridCol w:w="1907"/>
      </w:tblGrid>
      <w:tr w14:paraId="7255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vAlign w:val="center"/>
          </w:tcPr>
          <w:p w14:paraId="5B6D532B">
            <w:pPr>
              <w:jc w:val="center"/>
              <w:rPr>
                <w:b/>
                <w:color w:val="auto"/>
                <w:szCs w:val="21"/>
                <w:highlight w:val="none"/>
              </w:rPr>
            </w:pPr>
            <w:r>
              <w:rPr>
                <w:b/>
                <w:color w:val="auto"/>
                <w:szCs w:val="21"/>
                <w:highlight w:val="none"/>
              </w:rPr>
              <w:t>序号</w:t>
            </w:r>
          </w:p>
        </w:tc>
        <w:tc>
          <w:tcPr>
            <w:tcW w:w="1839" w:type="dxa"/>
            <w:vAlign w:val="center"/>
          </w:tcPr>
          <w:p w14:paraId="021613D4">
            <w:pPr>
              <w:jc w:val="center"/>
              <w:rPr>
                <w:b/>
                <w:color w:val="auto"/>
                <w:szCs w:val="21"/>
                <w:highlight w:val="none"/>
              </w:rPr>
            </w:pPr>
            <w:r>
              <w:rPr>
                <w:rFonts w:hint="eastAsia"/>
                <w:b/>
                <w:color w:val="auto"/>
                <w:szCs w:val="21"/>
                <w:highlight w:val="none"/>
              </w:rPr>
              <w:t>类型</w:t>
            </w:r>
          </w:p>
        </w:tc>
        <w:tc>
          <w:tcPr>
            <w:tcW w:w="3119" w:type="dxa"/>
            <w:vAlign w:val="center"/>
          </w:tcPr>
          <w:p w14:paraId="2726BB42">
            <w:pPr>
              <w:jc w:val="center"/>
              <w:rPr>
                <w:b/>
                <w:color w:val="auto"/>
                <w:szCs w:val="21"/>
                <w:highlight w:val="none"/>
              </w:rPr>
            </w:pPr>
            <w:r>
              <w:rPr>
                <w:rFonts w:hint="eastAsia"/>
                <w:b/>
                <w:color w:val="auto"/>
                <w:szCs w:val="21"/>
                <w:highlight w:val="none"/>
              </w:rPr>
              <w:t>评分标准</w:t>
            </w:r>
          </w:p>
        </w:tc>
        <w:tc>
          <w:tcPr>
            <w:tcW w:w="708" w:type="dxa"/>
            <w:vAlign w:val="center"/>
          </w:tcPr>
          <w:p w14:paraId="343391B2">
            <w:pPr>
              <w:jc w:val="center"/>
              <w:rPr>
                <w:b/>
                <w:color w:val="auto"/>
                <w:szCs w:val="21"/>
                <w:highlight w:val="none"/>
              </w:rPr>
            </w:pPr>
            <w:r>
              <w:rPr>
                <w:rFonts w:hint="eastAsia"/>
                <w:b/>
                <w:color w:val="auto"/>
                <w:szCs w:val="21"/>
                <w:highlight w:val="none"/>
              </w:rPr>
              <w:t>分值权重</w:t>
            </w:r>
          </w:p>
        </w:tc>
        <w:tc>
          <w:tcPr>
            <w:tcW w:w="1907" w:type="dxa"/>
            <w:vAlign w:val="center"/>
          </w:tcPr>
          <w:p w14:paraId="2A8BF76B">
            <w:pPr>
              <w:jc w:val="center"/>
              <w:rPr>
                <w:b/>
                <w:color w:val="auto"/>
                <w:szCs w:val="21"/>
                <w:highlight w:val="none"/>
              </w:rPr>
            </w:pPr>
            <w:r>
              <w:rPr>
                <w:b/>
                <w:color w:val="auto"/>
                <w:szCs w:val="21"/>
                <w:highlight w:val="none"/>
              </w:rPr>
              <w:t>说明</w:t>
            </w:r>
          </w:p>
        </w:tc>
      </w:tr>
      <w:tr w14:paraId="0791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vAlign w:val="center"/>
          </w:tcPr>
          <w:p w14:paraId="12CEA9D4">
            <w:pPr>
              <w:jc w:val="center"/>
              <w:rPr>
                <w:b/>
                <w:color w:val="auto"/>
                <w:szCs w:val="21"/>
                <w:highlight w:val="none"/>
              </w:rPr>
            </w:pPr>
            <w:r>
              <w:rPr>
                <w:rFonts w:hint="eastAsia"/>
                <w:b/>
                <w:color w:val="auto"/>
                <w:szCs w:val="21"/>
                <w:highlight w:val="none"/>
              </w:rPr>
              <w:t>1</w:t>
            </w:r>
          </w:p>
        </w:tc>
        <w:tc>
          <w:tcPr>
            <w:tcW w:w="1839" w:type="dxa"/>
            <w:vAlign w:val="center"/>
          </w:tcPr>
          <w:p w14:paraId="39B251F1">
            <w:pPr>
              <w:rPr>
                <w:color w:val="auto"/>
                <w:szCs w:val="21"/>
                <w:highlight w:val="none"/>
              </w:rPr>
            </w:pPr>
            <w:r>
              <w:rPr>
                <w:rFonts w:hint="eastAsia"/>
                <w:color w:val="auto"/>
                <w:szCs w:val="21"/>
                <w:highlight w:val="none"/>
              </w:rPr>
              <w:t>响应报价分</w:t>
            </w:r>
          </w:p>
        </w:tc>
        <w:tc>
          <w:tcPr>
            <w:tcW w:w="3119" w:type="dxa"/>
            <w:vAlign w:val="center"/>
          </w:tcPr>
          <w:p w14:paraId="1FD10A03">
            <w:pPr>
              <w:rPr>
                <w:color w:val="auto"/>
                <w:szCs w:val="21"/>
                <w:highlight w:val="none"/>
              </w:rPr>
            </w:pPr>
            <w:r>
              <w:rPr>
                <w:rFonts w:hint="eastAsia"/>
                <w:color w:val="auto"/>
                <w:szCs w:val="21"/>
                <w:highlight w:val="none"/>
              </w:rPr>
              <w:t>以满足采购文件要求且响应价格最低的响应报价为评审基准价，其价格分为满分。其他供应商的价格分统一按照下列公式计算：响应报价得分</w:t>
            </w:r>
            <w:r>
              <w:rPr>
                <w:color w:val="auto"/>
                <w:szCs w:val="21"/>
                <w:highlight w:val="none"/>
              </w:rPr>
              <w:t>=（评审基准价/响应报价）×响应报价分满分分值。</w:t>
            </w:r>
          </w:p>
        </w:tc>
        <w:tc>
          <w:tcPr>
            <w:tcW w:w="708" w:type="dxa"/>
            <w:vAlign w:val="center"/>
          </w:tcPr>
          <w:p w14:paraId="188C1648">
            <w:pPr>
              <w:rPr>
                <w:rFonts w:hint="default" w:eastAsia="宋体"/>
                <w:color w:val="auto"/>
                <w:szCs w:val="21"/>
                <w:highlight w:val="none"/>
                <w:lang w:val="en-US" w:eastAsia="zh-CN"/>
              </w:rPr>
            </w:pPr>
            <w:r>
              <w:rPr>
                <w:rFonts w:hint="eastAsia"/>
                <w:color w:val="auto"/>
                <w:szCs w:val="21"/>
                <w:highlight w:val="none"/>
                <w:lang w:val="en-US" w:eastAsia="zh-CN"/>
              </w:rPr>
              <w:t>10</w:t>
            </w:r>
          </w:p>
        </w:tc>
        <w:tc>
          <w:tcPr>
            <w:tcW w:w="1907" w:type="dxa"/>
            <w:vAlign w:val="center"/>
          </w:tcPr>
          <w:p w14:paraId="6E2B29A3">
            <w:pPr>
              <w:rPr>
                <w:color w:val="auto"/>
                <w:szCs w:val="21"/>
                <w:highlight w:val="none"/>
              </w:rPr>
            </w:pPr>
            <w:r>
              <w:rPr>
                <w:rFonts w:hint="eastAsia"/>
                <w:color w:val="auto"/>
                <w:szCs w:val="21"/>
                <w:highlight w:val="none"/>
              </w:rPr>
              <w:t>响应报价计算时均为供应商的实际响应报价进行政策性扣除后的价格，最终成交金额＝响应报价。政策性扣除计算方法见后。</w:t>
            </w:r>
          </w:p>
        </w:tc>
      </w:tr>
    </w:tbl>
    <w:p w14:paraId="45306D2F">
      <w:pPr>
        <w:jc w:val="center"/>
        <w:rPr>
          <w:rFonts w:hint="eastAsia" w:ascii="Times New Roman" w:hAnsi="Times New Roman" w:cs="Times New Roman"/>
          <w:b/>
          <w:color w:val="auto"/>
          <w:sz w:val="24"/>
          <w:szCs w:val="24"/>
          <w:highlight w:val="none"/>
          <w:lang w:val="en-US" w:eastAsia="zh-CN"/>
        </w:rPr>
      </w:pPr>
    </w:p>
    <w:p w14:paraId="50DE809A">
      <w:pPr>
        <w:pStyle w:val="26"/>
        <w:snapToGrid w:val="0"/>
        <w:jc w:val="center"/>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标项二、七均适用本评审标准</w:t>
      </w:r>
    </w:p>
    <w:p w14:paraId="13011AE7">
      <w:pPr>
        <w:ind w:firstLine="420" w:firstLineChars="200"/>
        <w:rPr>
          <w:color w:val="auto"/>
          <w:highlight w:val="none"/>
        </w:rPr>
      </w:pPr>
    </w:p>
    <w:p w14:paraId="58D4C26F">
      <w:pPr>
        <w:ind w:firstLine="420" w:firstLineChars="200"/>
        <w:rPr>
          <w:color w:val="auto"/>
          <w:highlight w:val="none"/>
        </w:rPr>
      </w:pPr>
      <w:r>
        <w:rPr>
          <w:rFonts w:hint="eastAsia"/>
          <w:color w:val="auto"/>
          <w:highlight w:val="none"/>
        </w:rPr>
        <w:t>（1）技术及商务资信分</w:t>
      </w:r>
    </w:p>
    <w:tbl>
      <w:tblPr>
        <w:tblStyle w:val="51"/>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988"/>
        <w:gridCol w:w="4600"/>
        <w:gridCol w:w="1196"/>
        <w:gridCol w:w="1029"/>
      </w:tblGrid>
      <w:tr w14:paraId="60605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252B141E">
            <w:pPr>
              <w:jc w:val="center"/>
              <w:rPr>
                <w:b/>
                <w:color w:val="auto"/>
                <w:szCs w:val="21"/>
                <w:highlight w:val="none"/>
              </w:rPr>
            </w:pPr>
            <w:r>
              <w:rPr>
                <w:b/>
                <w:color w:val="auto"/>
                <w:szCs w:val="21"/>
                <w:highlight w:val="none"/>
              </w:rPr>
              <w:t>序号</w:t>
            </w:r>
          </w:p>
        </w:tc>
        <w:tc>
          <w:tcPr>
            <w:tcW w:w="988" w:type="dxa"/>
            <w:vAlign w:val="center"/>
          </w:tcPr>
          <w:p w14:paraId="51A286CE">
            <w:pPr>
              <w:jc w:val="center"/>
              <w:rPr>
                <w:b/>
                <w:color w:val="auto"/>
                <w:szCs w:val="21"/>
                <w:highlight w:val="none"/>
              </w:rPr>
            </w:pPr>
            <w:r>
              <w:rPr>
                <w:rFonts w:hint="eastAsia"/>
                <w:b/>
                <w:color w:val="auto"/>
                <w:szCs w:val="21"/>
                <w:highlight w:val="none"/>
              </w:rPr>
              <w:t>类型</w:t>
            </w:r>
          </w:p>
        </w:tc>
        <w:tc>
          <w:tcPr>
            <w:tcW w:w="4600" w:type="dxa"/>
            <w:vAlign w:val="center"/>
          </w:tcPr>
          <w:p w14:paraId="27541833">
            <w:pPr>
              <w:jc w:val="center"/>
              <w:rPr>
                <w:b/>
                <w:color w:val="auto"/>
                <w:szCs w:val="21"/>
                <w:highlight w:val="none"/>
              </w:rPr>
            </w:pPr>
            <w:r>
              <w:rPr>
                <w:rFonts w:hint="eastAsia"/>
                <w:b/>
                <w:color w:val="auto"/>
                <w:szCs w:val="21"/>
                <w:highlight w:val="none"/>
              </w:rPr>
              <w:t>评分标准</w:t>
            </w:r>
          </w:p>
        </w:tc>
        <w:tc>
          <w:tcPr>
            <w:tcW w:w="1196" w:type="dxa"/>
            <w:vAlign w:val="center"/>
          </w:tcPr>
          <w:p w14:paraId="2F28C785">
            <w:pPr>
              <w:jc w:val="center"/>
              <w:rPr>
                <w:b/>
                <w:color w:val="auto"/>
                <w:szCs w:val="21"/>
                <w:highlight w:val="none"/>
              </w:rPr>
            </w:pPr>
            <w:r>
              <w:rPr>
                <w:rFonts w:hint="eastAsia"/>
                <w:b/>
                <w:color w:val="auto"/>
                <w:szCs w:val="21"/>
                <w:highlight w:val="none"/>
              </w:rPr>
              <w:t>分值权重</w:t>
            </w:r>
          </w:p>
        </w:tc>
        <w:tc>
          <w:tcPr>
            <w:tcW w:w="1029" w:type="dxa"/>
            <w:vAlign w:val="center"/>
          </w:tcPr>
          <w:p w14:paraId="568C669D">
            <w:pPr>
              <w:jc w:val="center"/>
              <w:rPr>
                <w:b/>
                <w:color w:val="auto"/>
                <w:szCs w:val="21"/>
                <w:highlight w:val="none"/>
              </w:rPr>
            </w:pPr>
            <w:r>
              <w:rPr>
                <w:b/>
                <w:color w:val="auto"/>
                <w:szCs w:val="21"/>
                <w:highlight w:val="none"/>
              </w:rPr>
              <w:t>说明</w:t>
            </w:r>
          </w:p>
        </w:tc>
      </w:tr>
      <w:tr w14:paraId="57B4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15E8078C">
            <w:pPr>
              <w:jc w:val="center"/>
              <w:rPr>
                <w:b/>
                <w:color w:val="auto"/>
                <w:szCs w:val="21"/>
                <w:highlight w:val="none"/>
              </w:rPr>
            </w:pPr>
            <w:r>
              <w:rPr>
                <w:rFonts w:hint="eastAsia"/>
                <w:b/>
                <w:color w:val="auto"/>
                <w:szCs w:val="21"/>
                <w:highlight w:val="none"/>
              </w:rPr>
              <w:t>1</w:t>
            </w:r>
          </w:p>
        </w:tc>
        <w:tc>
          <w:tcPr>
            <w:tcW w:w="988" w:type="dxa"/>
            <w:vAlign w:val="center"/>
          </w:tcPr>
          <w:p w14:paraId="044914D4">
            <w:pPr>
              <w:jc w:val="center"/>
              <w:rPr>
                <w:color w:val="auto"/>
                <w:szCs w:val="21"/>
                <w:highlight w:val="none"/>
              </w:rPr>
            </w:pPr>
            <w:r>
              <w:rPr>
                <w:rFonts w:hint="eastAsia"/>
                <w:color w:val="auto"/>
                <w:szCs w:val="21"/>
                <w:highlight w:val="none"/>
              </w:rPr>
              <w:t>技术分</w:t>
            </w:r>
          </w:p>
        </w:tc>
        <w:tc>
          <w:tcPr>
            <w:tcW w:w="4600" w:type="dxa"/>
            <w:vAlign w:val="center"/>
          </w:tcPr>
          <w:p w14:paraId="1253DD2D">
            <w:pPr>
              <w:rPr>
                <w:rFonts w:hint="eastAsia"/>
                <w:color w:val="auto"/>
                <w:szCs w:val="21"/>
                <w:highlight w:val="none"/>
              </w:rPr>
            </w:pPr>
            <w:r>
              <w:rPr>
                <w:rFonts w:hint="eastAsia"/>
                <w:color w:val="auto"/>
                <w:szCs w:val="21"/>
                <w:highlight w:val="none"/>
              </w:rPr>
              <w:t>项目宣传策划方案（</w:t>
            </w:r>
            <w:r>
              <w:rPr>
                <w:rFonts w:hint="eastAsia" w:ascii="Times New Roman" w:eastAsia="宋体"/>
                <w:color w:val="auto"/>
                <w:szCs w:val="21"/>
                <w:highlight w:val="none"/>
                <w:lang w:val="en-US" w:eastAsia="zh-CN"/>
              </w:rPr>
              <w:t>28</w:t>
            </w:r>
            <w:r>
              <w:rPr>
                <w:rFonts w:hint="eastAsia"/>
                <w:color w:val="auto"/>
                <w:szCs w:val="21"/>
                <w:highlight w:val="none"/>
              </w:rPr>
              <w:t>分）</w:t>
            </w:r>
          </w:p>
          <w:p w14:paraId="09355396">
            <w:pPr>
              <w:rPr>
                <w:rFonts w:hint="eastAsia"/>
                <w:color w:val="auto"/>
                <w:szCs w:val="21"/>
                <w:highlight w:val="none"/>
              </w:rPr>
            </w:pPr>
            <w:r>
              <w:rPr>
                <w:rFonts w:hint="eastAsia"/>
                <w:color w:val="auto"/>
                <w:szCs w:val="21"/>
                <w:highlight w:val="none"/>
              </w:rPr>
              <w:t>一档（</w:t>
            </w:r>
            <w:r>
              <w:rPr>
                <w:rFonts w:hint="eastAsia" w:ascii="Times New Roman" w:eastAsia="宋体"/>
                <w:color w:val="auto"/>
                <w:szCs w:val="21"/>
                <w:highlight w:val="none"/>
                <w:lang w:val="en-US" w:eastAsia="zh-CN"/>
              </w:rPr>
              <w:t>7</w:t>
            </w:r>
            <w:r>
              <w:rPr>
                <w:rFonts w:hint="eastAsia"/>
                <w:color w:val="auto"/>
                <w:szCs w:val="21"/>
                <w:highlight w:val="none"/>
              </w:rPr>
              <w:t>分）：</w:t>
            </w:r>
            <w:r>
              <w:rPr>
                <w:rFonts w:hint="eastAsia" w:eastAsia="宋体"/>
                <w:color w:val="auto"/>
                <w:szCs w:val="21"/>
                <w:highlight w:val="none"/>
                <w:lang w:eastAsia="zh-CN"/>
              </w:rPr>
              <w:t>供应商</w:t>
            </w:r>
            <w:r>
              <w:rPr>
                <w:rFonts w:hint="eastAsia"/>
                <w:color w:val="auto"/>
                <w:szCs w:val="21"/>
                <w:highlight w:val="none"/>
              </w:rPr>
              <w:t>针对所投标项中的</w:t>
            </w:r>
            <w:r>
              <w:rPr>
                <w:rFonts w:hint="eastAsia" w:eastAsia="宋体"/>
                <w:color w:val="auto"/>
                <w:szCs w:val="21"/>
                <w:highlight w:val="none"/>
                <w:lang w:eastAsia="zh-CN"/>
              </w:rPr>
              <w:t>服务内容</w:t>
            </w:r>
            <w:r>
              <w:rPr>
                <w:rFonts w:hint="eastAsia"/>
                <w:color w:val="auto"/>
                <w:szCs w:val="21"/>
                <w:highlight w:val="none"/>
              </w:rPr>
              <w:t>制订了宣传</w:t>
            </w:r>
            <w:r>
              <w:rPr>
                <w:rFonts w:hint="eastAsia"/>
                <w:color w:val="auto"/>
                <w:szCs w:val="21"/>
                <w:highlight w:val="none"/>
                <w:lang w:val="en-US" w:eastAsia="zh-CN"/>
              </w:rPr>
              <w:t>推广策划</w:t>
            </w:r>
            <w:r>
              <w:rPr>
                <w:rFonts w:hint="eastAsia"/>
                <w:color w:val="auto"/>
                <w:szCs w:val="21"/>
                <w:highlight w:val="none"/>
              </w:rPr>
              <w:t>方案，但仅简单复制</w:t>
            </w:r>
            <w:r>
              <w:rPr>
                <w:rFonts w:hint="eastAsia" w:ascii="Times New Roman" w:eastAsia="宋体"/>
                <w:color w:val="auto"/>
                <w:szCs w:val="21"/>
                <w:highlight w:val="none"/>
                <w:lang w:val="en-US" w:eastAsia="zh-CN"/>
              </w:rPr>
              <w:t>磋商</w:t>
            </w:r>
            <w:r>
              <w:rPr>
                <w:rFonts w:hint="eastAsia"/>
                <w:color w:val="auto"/>
                <w:szCs w:val="21"/>
                <w:highlight w:val="none"/>
              </w:rPr>
              <w:t>文件的服务要求内容，未对项目需求进行分析或有分析但不符合项目实际，宣传设计的思路、规划、内容不完整或不符合项目实际。</w:t>
            </w:r>
          </w:p>
          <w:p w14:paraId="5E5FEB84">
            <w:pPr>
              <w:rPr>
                <w:rFonts w:hint="eastAsia"/>
                <w:color w:val="auto"/>
                <w:szCs w:val="21"/>
                <w:highlight w:val="none"/>
              </w:rPr>
            </w:pPr>
            <w:r>
              <w:rPr>
                <w:rFonts w:hint="eastAsia"/>
                <w:color w:val="auto"/>
                <w:szCs w:val="21"/>
                <w:highlight w:val="none"/>
              </w:rPr>
              <w:t>二档（1</w:t>
            </w:r>
            <w:r>
              <w:rPr>
                <w:rFonts w:hint="eastAsia" w:ascii="Times New Roman" w:eastAsia="宋体"/>
                <w:color w:val="auto"/>
                <w:szCs w:val="21"/>
                <w:highlight w:val="none"/>
                <w:lang w:val="en-US" w:eastAsia="zh-CN"/>
              </w:rPr>
              <w:t>4</w:t>
            </w:r>
            <w:r>
              <w:rPr>
                <w:rFonts w:hint="eastAsia"/>
                <w:color w:val="auto"/>
                <w:szCs w:val="21"/>
                <w:highlight w:val="none"/>
              </w:rPr>
              <w:t>分）：</w:t>
            </w:r>
            <w:r>
              <w:rPr>
                <w:rFonts w:hint="eastAsia" w:eastAsia="宋体"/>
                <w:color w:val="auto"/>
                <w:szCs w:val="21"/>
                <w:highlight w:val="none"/>
                <w:lang w:eastAsia="zh-CN"/>
              </w:rPr>
              <w:t>供应商</w:t>
            </w:r>
            <w:r>
              <w:rPr>
                <w:rFonts w:hint="eastAsia"/>
                <w:color w:val="auto"/>
                <w:szCs w:val="21"/>
                <w:highlight w:val="none"/>
              </w:rPr>
              <w:t>针对所投标项中的</w:t>
            </w:r>
            <w:r>
              <w:rPr>
                <w:rFonts w:hint="eastAsia" w:eastAsia="宋体"/>
                <w:color w:val="auto"/>
                <w:szCs w:val="21"/>
                <w:highlight w:val="none"/>
                <w:lang w:eastAsia="zh-CN"/>
              </w:rPr>
              <w:t>服务内容</w:t>
            </w:r>
            <w:r>
              <w:rPr>
                <w:rFonts w:hint="eastAsia"/>
                <w:color w:val="auto"/>
                <w:szCs w:val="21"/>
                <w:highlight w:val="none"/>
              </w:rPr>
              <w:t>制订了宣传</w:t>
            </w:r>
            <w:r>
              <w:rPr>
                <w:rFonts w:hint="eastAsia"/>
                <w:color w:val="auto"/>
                <w:szCs w:val="21"/>
                <w:highlight w:val="none"/>
                <w:lang w:val="en-US" w:eastAsia="zh-CN"/>
              </w:rPr>
              <w:t>推广策划</w:t>
            </w:r>
            <w:r>
              <w:rPr>
                <w:rFonts w:hint="eastAsia"/>
                <w:color w:val="auto"/>
                <w:szCs w:val="21"/>
                <w:highlight w:val="none"/>
              </w:rPr>
              <w:t>方案，宣传</w:t>
            </w:r>
            <w:r>
              <w:rPr>
                <w:rFonts w:hint="eastAsia"/>
                <w:color w:val="auto"/>
                <w:szCs w:val="21"/>
                <w:highlight w:val="none"/>
                <w:lang w:val="en-US" w:eastAsia="zh-CN"/>
              </w:rPr>
              <w:t>推广</w:t>
            </w:r>
            <w:r>
              <w:rPr>
                <w:rFonts w:hint="eastAsia"/>
                <w:color w:val="auto"/>
                <w:szCs w:val="21"/>
                <w:highlight w:val="none"/>
              </w:rPr>
              <w:t>策划方案基本符合项目需求，对项目需求有符合实际的分析，有策划思路、规划、内容且符合项目实际的宣传</w:t>
            </w:r>
            <w:r>
              <w:rPr>
                <w:rFonts w:hint="eastAsia"/>
                <w:color w:val="auto"/>
                <w:szCs w:val="21"/>
                <w:highlight w:val="none"/>
                <w:lang w:val="en-US" w:eastAsia="zh-CN"/>
              </w:rPr>
              <w:t>推广</w:t>
            </w:r>
            <w:r>
              <w:rPr>
                <w:rFonts w:hint="eastAsia"/>
                <w:color w:val="auto"/>
                <w:szCs w:val="21"/>
                <w:highlight w:val="none"/>
              </w:rPr>
              <w:t>效果要求。</w:t>
            </w:r>
          </w:p>
          <w:p w14:paraId="67C3D5EE">
            <w:pPr>
              <w:rPr>
                <w:rFonts w:hint="eastAsia"/>
                <w:color w:val="auto"/>
                <w:szCs w:val="21"/>
                <w:highlight w:val="none"/>
              </w:rPr>
            </w:pPr>
            <w:r>
              <w:rPr>
                <w:rFonts w:hint="eastAsia"/>
                <w:color w:val="auto"/>
                <w:szCs w:val="21"/>
                <w:highlight w:val="none"/>
              </w:rPr>
              <w:t>三档（</w:t>
            </w:r>
            <w:r>
              <w:rPr>
                <w:rFonts w:hint="eastAsia" w:ascii="Times New Roman" w:eastAsia="宋体"/>
                <w:color w:val="auto"/>
                <w:szCs w:val="21"/>
                <w:highlight w:val="none"/>
                <w:lang w:val="en-US" w:eastAsia="zh-CN"/>
              </w:rPr>
              <w:t>21</w:t>
            </w:r>
            <w:r>
              <w:rPr>
                <w:rFonts w:hint="eastAsia"/>
                <w:color w:val="auto"/>
                <w:szCs w:val="21"/>
                <w:highlight w:val="none"/>
              </w:rPr>
              <w:t>分）：</w:t>
            </w:r>
            <w:r>
              <w:rPr>
                <w:rFonts w:hint="eastAsia" w:eastAsia="宋体"/>
                <w:color w:val="auto"/>
                <w:szCs w:val="21"/>
                <w:highlight w:val="none"/>
                <w:lang w:eastAsia="zh-CN"/>
              </w:rPr>
              <w:t>供应商</w:t>
            </w:r>
            <w:r>
              <w:rPr>
                <w:rFonts w:hint="eastAsia"/>
                <w:color w:val="auto"/>
                <w:szCs w:val="21"/>
                <w:highlight w:val="none"/>
              </w:rPr>
              <w:t>针对所投标项中的</w:t>
            </w:r>
            <w:r>
              <w:rPr>
                <w:rFonts w:hint="eastAsia" w:eastAsia="宋体"/>
                <w:color w:val="auto"/>
                <w:szCs w:val="21"/>
                <w:highlight w:val="none"/>
                <w:lang w:eastAsia="zh-CN"/>
              </w:rPr>
              <w:t>服务内容</w:t>
            </w:r>
            <w:r>
              <w:rPr>
                <w:rFonts w:hint="eastAsia"/>
                <w:color w:val="auto"/>
                <w:szCs w:val="21"/>
                <w:highlight w:val="none"/>
              </w:rPr>
              <w:t>要求制订详细的策划方案及策划流程、主题，宣传</w:t>
            </w:r>
            <w:r>
              <w:rPr>
                <w:rFonts w:hint="eastAsia"/>
                <w:color w:val="auto"/>
                <w:szCs w:val="21"/>
                <w:highlight w:val="none"/>
                <w:lang w:val="en-US" w:eastAsia="zh-CN"/>
              </w:rPr>
              <w:t>推广</w:t>
            </w:r>
            <w:r>
              <w:rPr>
                <w:rFonts w:hint="eastAsia"/>
                <w:color w:val="auto"/>
                <w:szCs w:val="21"/>
                <w:highlight w:val="none"/>
              </w:rPr>
              <w:t>制作规划能结合广西民族宗教的特点进行策划；明确每个阶段的推广重点；创意手段多样化</w:t>
            </w:r>
            <w:r>
              <w:rPr>
                <w:rFonts w:hint="eastAsia" w:eastAsia="宋体"/>
                <w:color w:val="auto"/>
                <w:szCs w:val="21"/>
                <w:highlight w:val="none"/>
                <w:lang w:eastAsia="zh-CN"/>
              </w:rPr>
              <w:t>，</w:t>
            </w:r>
            <w:r>
              <w:rPr>
                <w:rFonts w:hint="eastAsia"/>
                <w:color w:val="auto"/>
                <w:szCs w:val="21"/>
                <w:highlight w:val="none"/>
              </w:rPr>
              <w:t>内容符合采购人宣传要求。</w:t>
            </w:r>
          </w:p>
          <w:p w14:paraId="74D3FBBB">
            <w:pPr>
              <w:rPr>
                <w:rFonts w:hint="eastAsia"/>
                <w:color w:val="auto"/>
                <w:szCs w:val="21"/>
                <w:highlight w:val="none"/>
              </w:rPr>
            </w:pPr>
            <w:r>
              <w:rPr>
                <w:rFonts w:hint="eastAsia"/>
                <w:color w:val="auto"/>
                <w:szCs w:val="21"/>
                <w:highlight w:val="none"/>
              </w:rPr>
              <w:t>四档（2</w:t>
            </w:r>
            <w:r>
              <w:rPr>
                <w:rFonts w:hint="eastAsia" w:ascii="Times New Roman" w:eastAsia="宋体"/>
                <w:color w:val="auto"/>
                <w:szCs w:val="21"/>
                <w:highlight w:val="none"/>
                <w:lang w:val="en-US" w:eastAsia="zh-CN"/>
              </w:rPr>
              <w:t>8</w:t>
            </w:r>
            <w:r>
              <w:rPr>
                <w:rFonts w:hint="eastAsia"/>
                <w:color w:val="auto"/>
                <w:szCs w:val="21"/>
                <w:highlight w:val="none"/>
              </w:rPr>
              <w:t>分）：</w:t>
            </w:r>
            <w:r>
              <w:rPr>
                <w:rFonts w:hint="eastAsia" w:eastAsia="宋体"/>
                <w:color w:val="auto"/>
                <w:szCs w:val="21"/>
                <w:highlight w:val="none"/>
                <w:lang w:eastAsia="zh-CN"/>
              </w:rPr>
              <w:t>供应商</w:t>
            </w:r>
            <w:r>
              <w:rPr>
                <w:rFonts w:hint="eastAsia"/>
                <w:color w:val="auto"/>
                <w:szCs w:val="21"/>
                <w:highlight w:val="none"/>
              </w:rPr>
              <w:t>的宣传</w:t>
            </w:r>
            <w:r>
              <w:rPr>
                <w:rFonts w:hint="eastAsia"/>
                <w:color w:val="auto"/>
                <w:szCs w:val="21"/>
                <w:highlight w:val="none"/>
                <w:lang w:val="en-US" w:eastAsia="zh-CN"/>
              </w:rPr>
              <w:t>推广</w:t>
            </w:r>
            <w:r>
              <w:rPr>
                <w:rFonts w:hint="eastAsia"/>
                <w:color w:val="auto"/>
                <w:szCs w:val="21"/>
                <w:highlight w:val="none"/>
              </w:rPr>
              <w:t>策划方案在满足上述第三档的基础上，对项目需求分析理解深刻、有延展性；针对项目需求提供不少于2条完整的宣传</w:t>
            </w:r>
            <w:r>
              <w:rPr>
                <w:rFonts w:hint="eastAsia"/>
                <w:color w:val="auto"/>
                <w:szCs w:val="21"/>
                <w:highlight w:val="none"/>
                <w:lang w:val="en-US" w:eastAsia="zh-CN"/>
              </w:rPr>
              <w:t>推广</w:t>
            </w:r>
            <w:r>
              <w:rPr>
                <w:rFonts w:hint="eastAsia"/>
                <w:color w:val="auto"/>
                <w:szCs w:val="21"/>
                <w:highlight w:val="none"/>
              </w:rPr>
              <w:t>方案，且</w:t>
            </w:r>
            <w:r>
              <w:rPr>
                <w:rFonts w:hint="eastAsia" w:ascii="Times New Roman" w:eastAsia="宋体"/>
                <w:color w:val="auto"/>
                <w:szCs w:val="21"/>
                <w:highlight w:val="none"/>
                <w:lang w:val="en-US" w:eastAsia="zh-CN"/>
              </w:rPr>
              <w:t>宣传</w:t>
            </w:r>
            <w:r>
              <w:rPr>
                <w:rFonts w:hint="eastAsia"/>
                <w:color w:val="auto"/>
                <w:szCs w:val="21"/>
                <w:highlight w:val="none"/>
                <w:lang w:val="en-US" w:eastAsia="zh-CN"/>
              </w:rPr>
              <w:t>推广</w:t>
            </w:r>
            <w:r>
              <w:rPr>
                <w:rFonts w:hint="eastAsia"/>
                <w:color w:val="auto"/>
                <w:szCs w:val="21"/>
                <w:highlight w:val="none"/>
              </w:rPr>
              <w:t>内容有创意、新颖、完全符合</w:t>
            </w:r>
            <w:r>
              <w:rPr>
                <w:rFonts w:hint="eastAsia" w:ascii="Times New Roman" w:eastAsia="宋体"/>
                <w:color w:val="auto"/>
                <w:szCs w:val="21"/>
                <w:highlight w:val="none"/>
                <w:lang w:val="en-US" w:eastAsia="zh-CN"/>
              </w:rPr>
              <w:t>服务</w:t>
            </w:r>
            <w:r>
              <w:rPr>
                <w:rFonts w:hint="eastAsia"/>
                <w:color w:val="auto"/>
                <w:szCs w:val="21"/>
                <w:highlight w:val="none"/>
              </w:rPr>
              <w:t>要求；项目整体宣传推广规划合理、清晰完整、方案整体可行程度高，能充分满足项目服务要求，实现采购人的预期效果。</w:t>
            </w:r>
          </w:p>
        </w:tc>
        <w:tc>
          <w:tcPr>
            <w:tcW w:w="1196" w:type="dxa"/>
            <w:vAlign w:val="center"/>
          </w:tcPr>
          <w:p w14:paraId="5C18D890">
            <w:pPr>
              <w:rPr>
                <w:rFonts w:hint="default" w:eastAsia="宋体"/>
                <w:color w:val="auto"/>
                <w:szCs w:val="21"/>
                <w:highlight w:val="none"/>
                <w:lang w:val="en-US" w:eastAsia="zh-CN"/>
              </w:rPr>
            </w:pPr>
            <w:r>
              <w:rPr>
                <w:rFonts w:hint="eastAsia"/>
                <w:color w:val="auto"/>
                <w:szCs w:val="21"/>
                <w:highlight w:val="none"/>
              </w:rPr>
              <w:t>0</w:t>
            </w:r>
            <w:r>
              <w:rPr>
                <w:color w:val="auto"/>
                <w:szCs w:val="21"/>
                <w:highlight w:val="none"/>
              </w:rPr>
              <w:t>-</w:t>
            </w:r>
            <w:r>
              <w:rPr>
                <w:rFonts w:hint="eastAsia" w:ascii="Times New Roman" w:eastAsia="宋体"/>
                <w:color w:val="auto"/>
                <w:szCs w:val="21"/>
                <w:highlight w:val="none"/>
                <w:lang w:val="en-US" w:eastAsia="zh-CN"/>
              </w:rPr>
              <w:t>28</w:t>
            </w:r>
          </w:p>
        </w:tc>
        <w:tc>
          <w:tcPr>
            <w:tcW w:w="1029" w:type="dxa"/>
            <w:vAlign w:val="center"/>
          </w:tcPr>
          <w:p w14:paraId="3FE79D64">
            <w:pPr>
              <w:rPr>
                <w:color w:val="auto"/>
                <w:szCs w:val="21"/>
                <w:highlight w:val="none"/>
              </w:rPr>
            </w:pPr>
          </w:p>
        </w:tc>
      </w:tr>
      <w:tr w14:paraId="3E76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708" w:type="dxa"/>
            <w:vAlign w:val="center"/>
          </w:tcPr>
          <w:p w14:paraId="3D10DDEA">
            <w:pPr>
              <w:jc w:val="center"/>
              <w:rPr>
                <w:rFonts w:hint="eastAsia" w:eastAsia="宋体"/>
                <w:b/>
                <w:color w:val="auto"/>
                <w:szCs w:val="21"/>
                <w:highlight w:val="none"/>
                <w:lang w:val="en-US" w:eastAsia="zh-CN"/>
              </w:rPr>
            </w:pPr>
            <w:r>
              <w:rPr>
                <w:rFonts w:hint="eastAsia" w:ascii="Times New Roman" w:eastAsia="宋体"/>
                <w:b/>
                <w:color w:val="auto"/>
                <w:szCs w:val="21"/>
                <w:highlight w:val="none"/>
                <w:lang w:val="en-US" w:eastAsia="zh-CN"/>
              </w:rPr>
              <w:t>2</w:t>
            </w:r>
          </w:p>
        </w:tc>
        <w:tc>
          <w:tcPr>
            <w:tcW w:w="988" w:type="dxa"/>
            <w:vAlign w:val="center"/>
          </w:tcPr>
          <w:p w14:paraId="4D8E991C">
            <w:pPr>
              <w:jc w:val="center"/>
              <w:rPr>
                <w:rFonts w:hint="eastAsia"/>
                <w:color w:val="auto"/>
                <w:szCs w:val="21"/>
                <w:highlight w:val="none"/>
              </w:rPr>
            </w:pPr>
            <w:r>
              <w:rPr>
                <w:rFonts w:hint="eastAsia"/>
                <w:color w:val="auto"/>
                <w:szCs w:val="21"/>
                <w:highlight w:val="none"/>
              </w:rPr>
              <w:t>技术分</w:t>
            </w:r>
          </w:p>
        </w:tc>
        <w:tc>
          <w:tcPr>
            <w:tcW w:w="4600" w:type="dxa"/>
            <w:vAlign w:val="center"/>
          </w:tcPr>
          <w:p w14:paraId="63DBCE8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b w:val="0"/>
                <w:bCs/>
                <w:i w:val="0"/>
                <w:strike w:val="0"/>
                <w:color w:val="auto"/>
                <w:sz w:val="21"/>
                <w:szCs w:val="21"/>
                <w:highlight w:val="none"/>
                <w:u w:val="none"/>
              </w:rPr>
            </w:pPr>
            <w:r>
              <w:rPr>
                <w:rFonts w:hint="eastAsia" w:asciiTheme="minorEastAsia" w:hAnsiTheme="minorEastAsia" w:eastAsiaTheme="minorEastAsia" w:cstheme="minorEastAsia"/>
                <w:b w:val="0"/>
                <w:bCs/>
                <w:i w:val="0"/>
                <w:strike w:val="0"/>
                <w:color w:val="auto"/>
                <w:sz w:val="21"/>
                <w:szCs w:val="21"/>
                <w:highlight w:val="none"/>
                <w:u w:val="none"/>
              </w:rPr>
              <w:t>项目实施方案（3</w:t>
            </w:r>
            <w:r>
              <w:rPr>
                <w:rFonts w:hint="eastAsia" w:asciiTheme="minorEastAsia" w:hAnsiTheme="minorEastAsia" w:eastAsiaTheme="minorEastAsia" w:cstheme="minorEastAsia"/>
                <w:b w:val="0"/>
                <w:bCs/>
                <w:i w:val="0"/>
                <w:strike w:val="0"/>
                <w:color w:val="auto"/>
                <w:sz w:val="21"/>
                <w:szCs w:val="21"/>
                <w:highlight w:val="none"/>
                <w:u w:val="none"/>
                <w:lang w:val="en-US" w:eastAsia="zh-CN"/>
              </w:rPr>
              <w:t>2</w:t>
            </w:r>
            <w:r>
              <w:rPr>
                <w:rFonts w:hint="eastAsia" w:asciiTheme="minorEastAsia" w:hAnsiTheme="minorEastAsia" w:eastAsiaTheme="minorEastAsia" w:cstheme="minorEastAsia"/>
                <w:b w:val="0"/>
                <w:bCs/>
                <w:i w:val="0"/>
                <w:strike w:val="0"/>
                <w:color w:val="auto"/>
                <w:sz w:val="21"/>
                <w:szCs w:val="21"/>
                <w:highlight w:val="none"/>
                <w:u w:val="none"/>
              </w:rPr>
              <w:t>分）</w:t>
            </w:r>
          </w:p>
          <w:p w14:paraId="39D93E4D">
            <w:pPr>
              <w:keepNext w:val="0"/>
              <w:keepLines w:val="0"/>
              <w:pageBreakBefore w:val="0"/>
              <w:widowControl w:val="0"/>
              <w:kinsoku/>
              <w:wordWrap/>
              <w:overflowPunct/>
              <w:topLinePunct w:val="0"/>
              <w:autoSpaceDE/>
              <w:autoSpaceDN/>
              <w:bidi w:val="0"/>
              <w:adjustRightInd/>
              <w:snapToGrid/>
              <w:spacing w:after="120" w:line="320" w:lineRule="exact"/>
              <w:jc w:val="left"/>
              <w:textAlignment w:val="auto"/>
              <w:rPr>
                <w:rFonts w:hint="eastAsia" w:asciiTheme="minorEastAsia" w:hAnsiTheme="minorEastAsia" w:eastAsiaTheme="minorEastAsia" w:cstheme="minorEastAsia"/>
                <w:b w:val="0"/>
                <w:bCs/>
                <w:i w:val="0"/>
                <w:strike w:val="0"/>
                <w:color w:val="auto"/>
                <w:sz w:val="21"/>
                <w:szCs w:val="21"/>
                <w:highlight w:val="none"/>
                <w:u w:val="none"/>
              </w:rPr>
            </w:pPr>
            <w:r>
              <w:rPr>
                <w:rFonts w:hint="eastAsia" w:asciiTheme="minorEastAsia" w:hAnsiTheme="minorEastAsia" w:eastAsiaTheme="minorEastAsia" w:cstheme="minorEastAsia"/>
                <w:b w:val="0"/>
                <w:bCs/>
                <w:i w:val="0"/>
                <w:strike w:val="0"/>
                <w:color w:val="auto"/>
                <w:sz w:val="21"/>
                <w:szCs w:val="21"/>
                <w:highlight w:val="none"/>
                <w:u w:val="none"/>
              </w:rPr>
              <w:t>一档（8分）：供应商针对所投标项中的服务要求制订了项目实施方案，但实施方案仅简单复制</w:t>
            </w:r>
            <w:r>
              <w:rPr>
                <w:rFonts w:hint="eastAsia" w:asciiTheme="minorEastAsia" w:hAnsiTheme="minorEastAsia" w:eastAsiaTheme="minorEastAsia" w:cstheme="minorEastAsia"/>
                <w:b w:val="0"/>
                <w:bCs/>
                <w:i w:val="0"/>
                <w:strike w:val="0"/>
                <w:color w:val="auto"/>
                <w:sz w:val="21"/>
                <w:szCs w:val="21"/>
                <w:highlight w:val="none"/>
                <w:u w:val="none"/>
                <w:lang w:val="en-US" w:eastAsia="zh-CN"/>
              </w:rPr>
              <w:t>磋商</w:t>
            </w:r>
            <w:r>
              <w:rPr>
                <w:rFonts w:hint="eastAsia" w:asciiTheme="minorEastAsia" w:hAnsiTheme="minorEastAsia" w:eastAsiaTheme="minorEastAsia" w:cstheme="minorEastAsia"/>
                <w:b w:val="0"/>
                <w:bCs/>
                <w:i w:val="0"/>
                <w:strike w:val="0"/>
                <w:color w:val="auto"/>
                <w:sz w:val="21"/>
                <w:szCs w:val="21"/>
                <w:highlight w:val="none"/>
                <w:u w:val="none"/>
              </w:rPr>
              <w:t>文件的服务要求内容，无具体的组织措施、实施计划、无相应文案的计划及方案。未针对本项目制定专属</w:t>
            </w:r>
            <w:r>
              <w:rPr>
                <w:rFonts w:hint="eastAsia" w:asciiTheme="minorEastAsia" w:hAnsiTheme="minorEastAsia" w:eastAsiaTheme="minorEastAsia" w:cstheme="minorEastAsia"/>
                <w:b w:val="0"/>
                <w:bCs/>
                <w:i w:val="0"/>
                <w:strike w:val="0"/>
                <w:color w:val="auto"/>
                <w:sz w:val="21"/>
                <w:szCs w:val="21"/>
                <w:highlight w:val="none"/>
                <w:u w:val="none"/>
                <w:lang w:eastAsia="zh-CN"/>
              </w:rPr>
              <w:t>文字撰写</w:t>
            </w:r>
            <w:r>
              <w:rPr>
                <w:rFonts w:hint="eastAsia" w:asciiTheme="minorEastAsia" w:hAnsiTheme="minorEastAsia" w:eastAsiaTheme="minorEastAsia" w:cstheme="minorEastAsia"/>
                <w:b w:val="0"/>
                <w:bCs/>
                <w:i w:val="0"/>
                <w:strike w:val="0"/>
                <w:color w:val="auto"/>
                <w:sz w:val="21"/>
                <w:szCs w:val="21"/>
                <w:highlight w:val="none"/>
                <w:u w:val="none"/>
              </w:rPr>
              <w:t>工作方案，无</w:t>
            </w:r>
            <w:r>
              <w:rPr>
                <w:rFonts w:hint="eastAsia" w:asciiTheme="minorEastAsia" w:hAnsiTheme="minorEastAsia" w:eastAsiaTheme="minorEastAsia" w:cstheme="minorEastAsia"/>
                <w:b w:val="0"/>
                <w:bCs/>
                <w:i w:val="0"/>
                <w:strike w:val="0"/>
                <w:color w:val="auto"/>
                <w:sz w:val="21"/>
                <w:szCs w:val="21"/>
                <w:highlight w:val="none"/>
                <w:u w:val="none"/>
                <w:lang w:eastAsia="zh-CN"/>
              </w:rPr>
              <w:t>文字撰写</w:t>
            </w:r>
            <w:r>
              <w:rPr>
                <w:rFonts w:hint="eastAsia" w:asciiTheme="minorEastAsia" w:hAnsiTheme="minorEastAsia" w:eastAsiaTheme="minorEastAsia" w:cstheme="minorEastAsia"/>
                <w:b w:val="0"/>
                <w:bCs/>
                <w:i w:val="0"/>
                <w:strike w:val="0"/>
                <w:color w:val="auto"/>
                <w:sz w:val="21"/>
                <w:szCs w:val="21"/>
                <w:highlight w:val="none"/>
                <w:u w:val="none"/>
              </w:rPr>
              <w:t>选题规划、内容撰写、素材</w:t>
            </w:r>
            <w:r>
              <w:rPr>
                <w:rFonts w:hint="eastAsia" w:asciiTheme="minorEastAsia" w:hAnsiTheme="minorEastAsia" w:eastAsiaTheme="minorEastAsia" w:cstheme="minorEastAsia"/>
                <w:b w:val="0"/>
                <w:bCs/>
                <w:i w:val="0"/>
                <w:strike w:val="0"/>
                <w:color w:val="auto"/>
                <w:sz w:val="21"/>
                <w:szCs w:val="21"/>
                <w:highlight w:val="none"/>
                <w:u w:val="none"/>
                <w:lang w:val="en-US" w:eastAsia="zh-CN"/>
              </w:rPr>
              <w:t>整理</w:t>
            </w:r>
            <w:r>
              <w:rPr>
                <w:rFonts w:hint="eastAsia" w:asciiTheme="minorEastAsia" w:hAnsiTheme="minorEastAsia" w:eastAsiaTheme="minorEastAsia" w:cstheme="minorEastAsia"/>
                <w:b w:val="0"/>
                <w:bCs/>
                <w:i w:val="0"/>
                <w:strike w:val="0"/>
                <w:color w:val="auto"/>
                <w:sz w:val="21"/>
                <w:szCs w:val="21"/>
                <w:highlight w:val="none"/>
                <w:u w:val="none"/>
              </w:rPr>
              <w:t>、稿件审核、发布推送等相关工作思路，未配套任何</w:t>
            </w:r>
            <w:r>
              <w:rPr>
                <w:rFonts w:hint="eastAsia" w:asciiTheme="minorEastAsia" w:hAnsiTheme="minorEastAsia" w:eastAsiaTheme="minorEastAsia" w:cstheme="minorEastAsia"/>
                <w:b w:val="0"/>
                <w:bCs/>
                <w:i w:val="0"/>
                <w:strike w:val="0"/>
                <w:color w:val="auto"/>
                <w:sz w:val="21"/>
                <w:szCs w:val="21"/>
                <w:highlight w:val="none"/>
                <w:u w:val="none"/>
                <w:lang w:eastAsia="zh-CN"/>
              </w:rPr>
              <w:t>文字撰写</w:t>
            </w:r>
            <w:r>
              <w:rPr>
                <w:rFonts w:hint="eastAsia" w:asciiTheme="minorEastAsia" w:hAnsiTheme="minorEastAsia" w:eastAsiaTheme="minorEastAsia" w:cstheme="minorEastAsia"/>
                <w:b w:val="0"/>
                <w:bCs/>
                <w:i w:val="0"/>
                <w:strike w:val="0"/>
                <w:color w:val="auto"/>
                <w:sz w:val="21"/>
                <w:szCs w:val="21"/>
                <w:highlight w:val="none"/>
                <w:u w:val="none"/>
              </w:rPr>
              <w:t>实施计划，无法满足项目基础宣传</w:t>
            </w:r>
            <w:r>
              <w:rPr>
                <w:rFonts w:hint="eastAsia" w:asciiTheme="minorEastAsia" w:hAnsiTheme="minorEastAsia" w:eastAsiaTheme="minorEastAsia" w:cstheme="minorEastAsia"/>
                <w:b w:val="0"/>
                <w:bCs/>
                <w:i w:val="0"/>
                <w:strike w:val="0"/>
                <w:color w:val="auto"/>
                <w:sz w:val="21"/>
                <w:szCs w:val="21"/>
                <w:highlight w:val="none"/>
                <w:u w:val="none"/>
                <w:lang w:val="en-US" w:eastAsia="zh-CN"/>
              </w:rPr>
              <w:t>推广</w:t>
            </w:r>
            <w:r>
              <w:rPr>
                <w:rFonts w:hint="eastAsia" w:asciiTheme="minorEastAsia" w:hAnsiTheme="minorEastAsia" w:eastAsiaTheme="minorEastAsia" w:cstheme="minorEastAsia"/>
                <w:b w:val="0"/>
                <w:bCs/>
                <w:i w:val="0"/>
                <w:strike w:val="0"/>
                <w:color w:val="auto"/>
                <w:sz w:val="21"/>
                <w:szCs w:val="21"/>
                <w:highlight w:val="none"/>
                <w:u w:val="none"/>
              </w:rPr>
              <w:t>需求。</w:t>
            </w:r>
          </w:p>
          <w:p w14:paraId="6CDAD5CC">
            <w:pPr>
              <w:keepNext w:val="0"/>
              <w:keepLines w:val="0"/>
              <w:pageBreakBefore w:val="0"/>
              <w:widowControl w:val="0"/>
              <w:kinsoku/>
              <w:wordWrap/>
              <w:overflowPunct/>
              <w:topLinePunct w:val="0"/>
              <w:autoSpaceDE/>
              <w:autoSpaceDN/>
              <w:bidi w:val="0"/>
              <w:adjustRightInd/>
              <w:snapToGrid/>
              <w:spacing w:after="120" w:line="320" w:lineRule="exact"/>
              <w:jc w:val="left"/>
              <w:textAlignment w:val="auto"/>
              <w:rPr>
                <w:rFonts w:hint="eastAsia" w:asciiTheme="minorEastAsia" w:hAnsiTheme="minorEastAsia" w:eastAsiaTheme="minorEastAsia" w:cstheme="minorEastAsia"/>
                <w:b w:val="0"/>
                <w:bCs/>
                <w:i w:val="0"/>
                <w:strike w:val="0"/>
                <w:color w:val="auto"/>
                <w:kern w:val="2"/>
                <w:sz w:val="21"/>
                <w:szCs w:val="21"/>
                <w:highlight w:val="none"/>
                <w:u w:val="none"/>
                <w:lang w:val="en-US" w:eastAsia="zh-CN" w:bidi="ar-SA"/>
              </w:rPr>
            </w:pPr>
            <w:r>
              <w:rPr>
                <w:rFonts w:hint="eastAsia" w:asciiTheme="minorEastAsia" w:hAnsiTheme="minorEastAsia" w:eastAsiaTheme="minorEastAsia" w:cstheme="minorEastAsia"/>
                <w:b w:val="0"/>
                <w:bCs/>
                <w:i w:val="0"/>
                <w:strike w:val="0"/>
                <w:color w:val="auto"/>
                <w:kern w:val="2"/>
                <w:sz w:val="21"/>
                <w:szCs w:val="21"/>
                <w:highlight w:val="none"/>
                <w:u w:val="none"/>
                <w:lang w:val="en-US" w:eastAsia="zh-CN" w:bidi="ar-SA"/>
              </w:rPr>
              <w:t>二档（16分）：供应商针对所投标项中的服务要求制订了项目实施方案，有组织措施；配套制定完整的文字撰写实施方案及工作计划，明确文字撰写专职人员、审核人员配置，搭建基础文字宣传工作团队；规划文字撰写核心工作内容，涵盖项目动态宣传推广、工作成效亮点展示、主题策划等常规稿件类型，初步明确素材收集、稿件撰写、内部审核、对外报送的基础流程，可匹配项目常态化文字宣传推广工作需求。</w:t>
            </w:r>
          </w:p>
          <w:p w14:paraId="00253F78">
            <w:pPr>
              <w:keepNext w:val="0"/>
              <w:keepLines w:val="0"/>
              <w:pageBreakBefore w:val="0"/>
              <w:widowControl w:val="0"/>
              <w:kinsoku/>
              <w:wordWrap/>
              <w:overflowPunct/>
              <w:topLinePunct w:val="0"/>
              <w:autoSpaceDE/>
              <w:autoSpaceDN/>
              <w:bidi w:val="0"/>
              <w:adjustRightInd/>
              <w:snapToGrid/>
              <w:spacing w:after="120" w:line="320" w:lineRule="exact"/>
              <w:jc w:val="left"/>
              <w:textAlignment w:val="auto"/>
              <w:rPr>
                <w:rFonts w:hint="eastAsia" w:asciiTheme="minorEastAsia" w:hAnsiTheme="minorEastAsia" w:eastAsiaTheme="minorEastAsia" w:cstheme="minorEastAsia"/>
                <w:b w:val="0"/>
                <w:bCs/>
                <w:i w:val="0"/>
                <w:strike w:val="0"/>
                <w:color w:val="auto"/>
                <w:kern w:val="2"/>
                <w:sz w:val="21"/>
                <w:szCs w:val="21"/>
                <w:highlight w:val="none"/>
                <w:u w:val="none"/>
                <w:lang w:val="en-US" w:eastAsia="zh-CN" w:bidi="ar-SA"/>
              </w:rPr>
            </w:pPr>
            <w:r>
              <w:rPr>
                <w:rFonts w:hint="eastAsia" w:asciiTheme="minorEastAsia" w:hAnsiTheme="minorEastAsia" w:eastAsiaTheme="minorEastAsia" w:cstheme="minorEastAsia"/>
                <w:b w:val="0"/>
                <w:bCs/>
                <w:i w:val="0"/>
                <w:strike w:val="0"/>
                <w:color w:val="auto"/>
                <w:kern w:val="2"/>
                <w:sz w:val="21"/>
                <w:szCs w:val="21"/>
                <w:highlight w:val="none"/>
                <w:u w:val="none"/>
                <w:lang w:val="en-US" w:eastAsia="zh-CN" w:bidi="ar-SA"/>
              </w:rPr>
              <w:t>三档（24分）：在满足上述二档的前提下，实施方案对宣传推广文案、重难点、呈现效果各项内容描述清晰可行；实施方案执行思路及执行方法说明清晰，阶段性服务目标明确。文字撰写方案专业化、精细化，全面细化各项工作核心内容。明确文字撰写选题策划思路，结合项目实施节点、工作亮点、服务成效、社会价值制定差异化宣传推广选题；细化稿件撰写标准、文风要求、内容侧重点，适配官方宣传、大众传播等不同发布场景；精准梳理文字撰写工作重难点，针对素材采集不及时、稿件贴合度不足、宣传推广时效性差等问题制定针对性应对办法；明确各类文字稿件的呈现形式、传播效果，同步匹配项目阶段性工作目标，实现文字撰写与项目实施同步推进。</w:t>
            </w:r>
          </w:p>
          <w:p w14:paraId="313B983D">
            <w:pPr>
              <w:keepNext w:val="0"/>
              <w:keepLines w:val="0"/>
              <w:pageBreakBefore w:val="0"/>
              <w:widowControl w:val="0"/>
              <w:kinsoku/>
              <w:wordWrap/>
              <w:overflowPunct/>
              <w:topLinePunct w:val="0"/>
              <w:autoSpaceDE/>
              <w:autoSpaceDN/>
              <w:bidi w:val="0"/>
              <w:adjustRightInd/>
              <w:snapToGrid/>
              <w:spacing w:after="120" w:line="320" w:lineRule="exact"/>
              <w:jc w:val="left"/>
              <w:textAlignment w:val="auto"/>
              <w:rPr>
                <w:rFonts w:hint="eastAsia"/>
                <w:color w:val="auto"/>
                <w:szCs w:val="21"/>
                <w:highlight w:val="none"/>
              </w:rPr>
            </w:pPr>
            <w:r>
              <w:rPr>
                <w:rFonts w:hint="eastAsia" w:asciiTheme="minorEastAsia" w:hAnsiTheme="minorEastAsia" w:eastAsiaTheme="minorEastAsia" w:cstheme="minorEastAsia"/>
                <w:b w:val="0"/>
                <w:bCs/>
                <w:i w:val="0"/>
                <w:strike w:val="0"/>
                <w:color w:val="auto"/>
                <w:kern w:val="2"/>
                <w:sz w:val="21"/>
                <w:szCs w:val="21"/>
                <w:highlight w:val="none"/>
                <w:u w:val="none"/>
                <w:lang w:val="en-US" w:eastAsia="zh-CN" w:bidi="ar-SA"/>
              </w:rPr>
              <w:t>四档（32分）：在满足上述三档的前提下，有明确的阶段性目标和项目实施保障措施，宣传推广文案详细合理、保障措施全面且合理可行；实施沟通机制具体全面，实施方案具有针对性。文字撰写全流程保障方案完善、措施全面合理。建立文字撰写质量保障体系，制定稿件初审、复审、终审三级审核制度，明确质量校验标准、错漏整改机制、内容合规管控要求；搭建时效保障机制，结合项目节点制定月度、季度、专项宣传推广计划，保障各类稿件及时产出、按时发布；完善素材保障、人员保障等保障措施，确保文字素材真实合规、稿件原创优质、宣传推广内容合法规范；优化传播赋能方案，结合宣传推广渠道特性优化稿件形式，适配官方平台、媒体平台、大众传播等多场景发布，同时建立宣传推广效果复盘优化机制，可根据传播反馈动态调整文字撰写思路，最大化提升项目宣传推广成效，整体方案无短板、全维度适配项目高标准服务需求。</w:t>
            </w:r>
          </w:p>
        </w:tc>
        <w:tc>
          <w:tcPr>
            <w:tcW w:w="1196" w:type="dxa"/>
            <w:vAlign w:val="center"/>
          </w:tcPr>
          <w:p w14:paraId="5808270C">
            <w:pPr>
              <w:rPr>
                <w:rFonts w:hint="default" w:eastAsia="宋体"/>
                <w:color w:val="auto"/>
                <w:szCs w:val="21"/>
                <w:highlight w:val="none"/>
                <w:lang w:val="en-US" w:eastAsia="zh-CN"/>
              </w:rPr>
            </w:pPr>
            <w:r>
              <w:rPr>
                <w:rFonts w:hint="eastAsia" w:ascii="Times New Roman" w:eastAsia="宋体"/>
                <w:color w:val="auto"/>
                <w:szCs w:val="21"/>
                <w:highlight w:val="none"/>
                <w:lang w:val="en-US" w:eastAsia="zh-CN"/>
              </w:rPr>
              <w:t>0-3</w:t>
            </w:r>
            <w:r>
              <w:rPr>
                <w:rFonts w:hint="eastAsia"/>
                <w:color w:val="auto"/>
                <w:szCs w:val="21"/>
                <w:highlight w:val="none"/>
                <w:lang w:val="en-US" w:eastAsia="zh-CN"/>
              </w:rPr>
              <w:t>2</w:t>
            </w:r>
          </w:p>
        </w:tc>
        <w:tc>
          <w:tcPr>
            <w:tcW w:w="1029" w:type="dxa"/>
            <w:vAlign w:val="center"/>
          </w:tcPr>
          <w:p w14:paraId="55B20E7B">
            <w:pPr>
              <w:rPr>
                <w:color w:val="auto"/>
                <w:szCs w:val="21"/>
                <w:highlight w:val="none"/>
              </w:rPr>
            </w:pPr>
          </w:p>
        </w:tc>
      </w:tr>
      <w:tr w14:paraId="56D8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7430E8BE">
            <w:pPr>
              <w:jc w:val="center"/>
              <w:rPr>
                <w:rFonts w:hint="eastAsia" w:eastAsia="宋体"/>
                <w:b/>
                <w:color w:val="auto"/>
                <w:szCs w:val="21"/>
                <w:highlight w:val="none"/>
                <w:lang w:val="en-US" w:eastAsia="zh-CN"/>
              </w:rPr>
            </w:pPr>
            <w:r>
              <w:rPr>
                <w:rFonts w:hint="eastAsia" w:ascii="Times New Roman" w:eastAsia="宋体"/>
                <w:b/>
                <w:color w:val="auto"/>
                <w:szCs w:val="21"/>
                <w:highlight w:val="none"/>
                <w:lang w:val="en-US" w:eastAsia="zh-CN"/>
              </w:rPr>
              <w:t>3</w:t>
            </w:r>
          </w:p>
        </w:tc>
        <w:tc>
          <w:tcPr>
            <w:tcW w:w="988" w:type="dxa"/>
            <w:vAlign w:val="center"/>
          </w:tcPr>
          <w:p w14:paraId="71FDEF86">
            <w:pPr>
              <w:jc w:val="center"/>
              <w:rPr>
                <w:rFonts w:hint="eastAsia"/>
                <w:color w:val="auto"/>
                <w:szCs w:val="21"/>
                <w:highlight w:val="none"/>
              </w:rPr>
            </w:pPr>
            <w:r>
              <w:rPr>
                <w:rFonts w:hint="eastAsia"/>
                <w:color w:val="auto"/>
                <w:szCs w:val="21"/>
                <w:highlight w:val="none"/>
              </w:rPr>
              <w:t>技术分</w:t>
            </w:r>
          </w:p>
        </w:tc>
        <w:tc>
          <w:tcPr>
            <w:tcW w:w="4600" w:type="dxa"/>
            <w:vAlign w:val="center"/>
          </w:tcPr>
          <w:p w14:paraId="4CD4BC26">
            <w:pPr>
              <w:rPr>
                <w:rFonts w:hint="eastAsia"/>
                <w:color w:val="auto"/>
                <w:szCs w:val="21"/>
                <w:highlight w:val="none"/>
              </w:rPr>
            </w:pPr>
            <w:r>
              <w:rPr>
                <w:rFonts w:hint="eastAsia"/>
                <w:color w:val="auto"/>
                <w:szCs w:val="21"/>
                <w:highlight w:val="none"/>
              </w:rPr>
              <w:t>服务质量承诺（15分）</w:t>
            </w:r>
          </w:p>
          <w:p w14:paraId="715D50A2">
            <w:pPr>
              <w:rPr>
                <w:rFonts w:hint="eastAsia"/>
                <w:color w:val="auto"/>
                <w:szCs w:val="21"/>
                <w:highlight w:val="none"/>
              </w:rPr>
            </w:pPr>
            <w:r>
              <w:rPr>
                <w:rFonts w:hint="eastAsia"/>
                <w:color w:val="auto"/>
                <w:szCs w:val="21"/>
                <w:highlight w:val="none"/>
              </w:rPr>
              <w:t xml:space="preserve">一档（5分）：承诺服务期内，接到采购人处理问题通知后24小时内响应处理；承诺如采购人要求对相关发布内容进行修改、调整方案时，需按采购人的要求进行调整，采购人审核通过调整方案后，才能重新发布，并承担由于未经审核擅自发布引起的问题或经济损失。 </w:t>
            </w:r>
          </w:p>
          <w:p w14:paraId="6FD75383">
            <w:pPr>
              <w:rPr>
                <w:rFonts w:hint="eastAsia"/>
                <w:color w:val="auto"/>
                <w:szCs w:val="21"/>
                <w:highlight w:val="none"/>
              </w:rPr>
            </w:pPr>
            <w:r>
              <w:rPr>
                <w:rFonts w:hint="eastAsia"/>
                <w:color w:val="auto"/>
                <w:szCs w:val="21"/>
                <w:highlight w:val="none"/>
              </w:rPr>
              <w:t>二档（10分）：在满足上述一档的前提下，有相应的服务质量保障措施，保障方案能满足本项目需求，整体构思有基本的服务安排，承诺出现问题能在12小时内响应处理。</w:t>
            </w:r>
          </w:p>
          <w:p w14:paraId="009069DA">
            <w:pPr>
              <w:rPr>
                <w:color w:val="auto"/>
                <w:szCs w:val="21"/>
                <w:highlight w:val="none"/>
              </w:rPr>
            </w:pPr>
            <w:r>
              <w:rPr>
                <w:rFonts w:hint="eastAsia"/>
                <w:color w:val="auto"/>
                <w:szCs w:val="21"/>
                <w:highlight w:val="none"/>
              </w:rPr>
              <w:t>三档（15分）：在满足上述二档的前提下，有细化、明确的质量保障措施，保障方案具体且安排条理清晰，出现问题能在8小时内响应处理，应急预案安排详细具体、有针对性且可行性高。</w:t>
            </w:r>
          </w:p>
        </w:tc>
        <w:tc>
          <w:tcPr>
            <w:tcW w:w="1196" w:type="dxa"/>
            <w:vAlign w:val="center"/>
          </w:tcPr>
          <w:p w14:paraId="4B7028A8">
            <w:pPr>
              <w:rPr>
                <w:rFonts w:hint="default" w:eastAsia="宋体"/>
                <w:color w:val="auto"/>
                <w:szCs w:val="21"/>
                <w:highlight w:val="none"/>
                <w:lang w:val="en-US" w:eastAsia="zh-CN"/>
              </w:rPr>
            </w:pPr>
            <w:r>
              <w:rPr>
                <w:rFonts w:hint="eastAsia" w:ascii="Times New Roman" w:eastAsia="宋体"/>
                <w:color w:val="auto"/>
                <w:szCs w:val="21"/>
                <w:highlight w:val="none"/>
                <w:lang w:val="en-US" w:eastAsia="zh-CN"/>
              </w:rPr>
              <w:t>0-15</w:t>
            </w:r>
          </w:p>
        </w:tc>
        <w:tc>
          <w:tcPr>
            <w:tcW w:w="1029" w:type="dxa"/>
            <w:vAlign w:val="center"/>
          </w:tcPr>
          <w:p w14:paraId="4D535A22">
            <w:pPr>
              <w:rPr>
                <w:color w:val="auto"/>
                <w:szCs w:val="21"/>
                <w:highlight w:val="none"/>
              </w:rPr>
            </w:pPr>
          </w:p>
        </w:tc>
      </w:tr>
      <w:tr w14:paraId="2527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71FCFC18">
            <w:pPr>
              <w:jc w:val="center"/>
              <w:rPr>
                <w:rFonts w:hint="eastAsia" w:eastAsia="宋体"/>
                <w:b/>
                <w:color w:val="auto"/>
                <w:szCs w:val="21"/>
                <w:highlight w:val="none"/>
                <w:lang w:val="en-US" w:eastAsia="zh-CN"/>
              </w:rPr>
            </w:pPr>
            <w:r>
              <w:rPr>
                <w:rFonts w:hint="eastAsia" w:ascii="Times New Roman" w:eastAsia="宋体"/>
                <w:b/>
                <w:color w:val="auto"/>
                <w:szCs w:val="21"/>
                <w:highlight w:val="none"/>
                <w:lang w:val="en-US" w:eastAsia="zh-CN"/>
              </w:rPr>
              <w:t>4</w:t>
            </w:r>
          </w:p>
        </w:tc>
        <w:tc>
          <w:tcPr>
            <w:tcW w:w="988" w:type="dxa"/>
            <w:vAlign w:val="center"/>
          </w:tcPr>
          <w:p w14:paraId="3FE356DD">
            <w:pPr>
              <w:jc w:val="center"/>
              <w:rPr>
                <w:rFonts w:hint="eastAsia"/>
                <w:color w:val="auto"/>
                <w:szCs w:val="21"/>
                <w:highlight w:val="none"/>
              </w:rPr>
            </w:pPr>
            <w:r>
              <w:rPr>
                <w:rFonts w:hint="eastAsia"/>
                <w:color w:val="auto"/>
                <w:szCs w:val="21"/>
                <w:highlight w:val="none"/>
              </w:rPr>
              <w:t>商务资信分</w:t>
            </w:r>
          </w:p>
        </w:tc>
        <w:tc>
          <w:tcPr>
            <w:tcW w:w="4600" w:type="dxa"/>
            <w:vAlign w:val="center"/>
          </w:tcPr>
          <w:p w14:paraId="6E01026A">
            <w:pPr>
              <w:rPr>
                <w:rFonts w:hint="eastAsia"/>
                <w:color w:val="auto"/>
                <w:szCs w:val="21"/>
                <w:highlight w:val="none"/>
              </w:rPr>
            </w:pPr>
            <w:r>
              <w:rPr>
                <w:rFonts w:hint="eastAsia"/>
                <w:color w:val="auto"/>
                <w:szCs w:val="21"/>
                <w:highlight w:val="none"/>
              </w:rPr>
              <w:t>业绩分（满分</w:t>
            </w:r>
            <w:r>
              <w:rPr>
                <w:rFonts w:hint="eastAsia"/>
                <w:color w:val="auto"/>
                <w:szCs w:val="21"/>
                <w:highlight w:val="none"/>
                <w:lang w:val="en-US" w:eastAsia="zh-CN"/>
              </w:rPr>
              <w:t>15</w:t>
            </w:r>
            <w:r>
              <w:rPr>
                <w:rFonts w:hint="eastAsia"/>
                <w:color w:val="auto"/>
                <w:szCs w:val="21"/>
                <w:highlight w:val="none"/>
              </w:rPr>
              <w:t>分）</w:t>
            </w:r>
          </w:p>
          <w:p w14:paraId="311538EC">
            <w:pPr>
              <w:rPr>
                <w:rFonts w:hint="eastAsia"/>
                <w:color w:val="auto"/>
                <w:szCs w:val="21"/>
                <w:highlight w:val="none"/>
              </w:rPr>
            </w:pPr>
            <w:r>
              <w:rPr>
                <w:rFonts w:hint="eastAsia" w:eastAsia="宋体"/>
                <w:color w:val="auto"/>
                <w:szCs w:val="21"/>
                <w:highlight w:val="none"/>
                <w:lang w:eastAsia="zh-CN"/>
              </w:rPr>
              <w:t>供应商</w:t>
            </w:r>
            <w:r>
              <w:rPr>
                <w:rFonts w:hint="eastAsia"/>
                <w:color w:val="auto"/>
                <w:szCs w:val="21"/>
                <w:highlight w:val="none"/>
              </w:rPr>
              <w:t>2023年</w:t>
            </w:r>
            <w:r>
              <w:rPr>
                <w:rFonts w:hint="eastAsia" w:ascii="Times New Roman" w:eastAsia="宋体"/>
                <w:color w:val="auto"/>
                <w:szCs w:val="21"/>
                <w:highlight w:val="none"/>
                <w:lang w:val="en-US" w:eastAsia="zh-CN"/>
              </w:rPr>
              <w:t>1</w:t>
            </w:r>
            <w:r>
              <w:rPr>
                <w:rFonts w:hint="eastAsia"/>
                <w:color w:val="auto"/>
                <w:szCs w:val="21"/>
                <w:highlight w:val="none"/>
              </w:rPr>
              <w:t>月至投标截止时间止承接的类似项目业绩（类似项目业绩是指与本项目所投标项采购需求内容类似的业绩。</w:t>
            </w:r>
            <w:r>
              <w:rPr>
                <w:rFonts w:hint="eastAsia" w:ascii="Times New Roman" w:eastAsia="宋体"/>
                <w:color w:val="auto"/>
                <w:szCs w:val="21"/>
                <w:highlight w:val="none"/>
                <w:lang w:val="en-US" w:eastAsia="zh-CN"/>
              </w:rPr>
              <w:t>响应</w:t>
            </w:r>
            <w:r>
              <w:rPr>
                <w:rFonts w:hint="eastAsia"/>
                <w:color w:val="auto"/>
                <w:szCs w:val="21"/>
                <w:highlight w:val="none"/>
              </w:rPr>
              <w:t>文件中提供有效的合同复印件并加盖</w:t>
            </w:r>
            <w:r>
              <w:rPr>
                <w:rFonts w:hint="eastAsia" w:eastAsia="宋体"/>
                <w:color w:val="auto"/>
                <w:szCs w:val="21"/>
                <w:highlight w:val="none"/>
                <w:lang w:eastAsia="zh-CN"/>
              </w:rPr>
              <w:t>供应商</w:t>
            </w:r>
            <w:r>
              <w:rPr>
                <w:rFonts w:hint="eastAsia"/>
                <w:color w:val="auto"/>
                <w:szCs w:val="21"/>
                <w:highlight w:val="none"/>
              </w:rPr>
              <w:t>公章，合同复印件需要清晰体现出合同首页、采购内容和日期、盖章页。合同内容不全或不清晰的，不计分。），每份业绩得</w:t>
            </w:r>
            <w:r>
              <w:rPr>
                <w:rFonts w:hint="eastAsia"/>
                <w:color w:val="auto"/>
                <w:szCs w:val="21"/>
                <w:highlight w:val="none"/>
                <w:lang w:val="en-US" w:eastAsia="zh-CN"/>
              </w:rPr>
              <w:t>3</w:t>
            </w:r>
            <w:r>
              <w:rPr>
                <w:rFonts w:hint="eastAsia"/>
                <w:color w:val="auto"/>
                <w:szCs w:val="21"/>
                <w:highlight w:val="none"/>
              </w:rPr>
              <w:t>分，满分</w:t>
            </w:r>
            <w:r>
              <w:rPr>
                <w:rFonts w:hint="eastAsia"/>
                <w:color w:val="auto"/>
                <w:szCs w:val="21"/>
                <w:highlight w:val="none"/>
                <w:lang w:val="en-US" w:eastAsia="zh-CN"/>
              </w:rPr>
              <w:t>15</w:t>
            </w:r>
            <w:r>
              <w:rPr>
                <w:rFonts w:hint="eastAsia"/>
                <w:color w:val="auto"/>
                <w:szCs w:val="21"/>
                <w:highlight w:val="none"/>
              </w:rPr>
              <w:t>分。同一项目分多个合同签订的，只计分一次。</w:t>
            </w:r>
          </w:p>
        </w:tc>
        <w:tc>
          <w:tcPr>
            <w:tcW w:w="1196" w:type="dxa"/>
            <w:vAlign w:val="center"/>
          </w:tcPr>
          <w:p w14:paraId="504C71A2">
            <w:pPr>
              <w:rPr>
                <w:rFonts w:hint="default" w:eastAsia="宋体"/>
                <w:color w:val="auto"/>
                <w:szCs w:val="21"/>
                <w:highlight w:val="none"/>
                <w:lang w:val="en-US" w:eastAsia="zh-CN"/>
              </w:rPr>
            </w:pPr>
            <w:r>
              <w:rPr>
                <w:rFonts w:hint="eastAsia" w:ascii="Times New Roman" w:eastAsia="宋体"/>
                <w:color w:val="auto"/>
                <w:szCs w:val="21"/>
                <w:highlight w:val="none"/>
                <w:lang w:val="en-US" w:eastAsia="zh-CN"/>
              </w:rPr>
              <w:t>0-1</w:t>
            </w:r>
            <w:r>
              <w:rPr>
                <w:rFonts w:hint="eastAsia"/>
                <w:color w:val="auto"/>
                <w:szCs w:val="21"/>
                <w:highlight w:val="none"/>
                <w:lang w:val="en-US" w:eastAsia="zh-CN"/>
              </w:rPr>
              <w:t>5</w:t>
            </w:r>
          </w:p>
        </w:tc>
        <w:tc>
          <w:tcPr>
            <w:tcW w:w="1029" w:type="dxa"/>
            <w:vAlign w:val="center"/>
          </w:tcPr>
          <w:p w14:paraId="13242374">
            <w:pPr>
              <w:rPr>
                <w:color w:val="auto"/>
                <w:szCs w:val="21"/>
                <w:highlight w:val="none"/>
              </w:rPr>
            </w:pPr>
          </w:p>
        </w:tc>
      </w:tr>
    </w:tbl>
    <w:p w14:paraId="185EC28D">
      <w:pPr>
        <w:ind w:firstLine="315" w:firstLineChars="150"/>
        <w:rPr>
          <w:color w:val="auto"/>
          <w:highlight w:val="none"/>
          <w:lang w:val="zh-CN"/>
        </w:rPr>
      </w:pPr>
      <w:r>
        <w:rPr>
          <w:rFonts w:hint="eastAsia" w:ascii="Times New Roman"/>
          <w:color w:val="auto"/>
          <w:highlight w:val="none"/>
          <w:lang w:val="zh-CN"/>
        </w:rPr>
        <w:t>（2）最后报价分</w:t>
      </w:r>
    </w:p>
    <w:tbl>
      <w:tblPr>
        <w:tblStyle w:val="51"/>
        <w:tblW w:w="8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839"/>
        <w:gridCol w:w="3119"/>
        <w:gridCol w:w="708"/>
        <w:gridCol w:w="1907"/>
      </w:tblGrid>
      <w:tr w14:paraId="6599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vAlign w:val="center"/>
          </w:tcPr>
          <w:p w14:paraId="69AD4602">
            <w:pPr>
              <w:jc w:val="center"/>
              <w:rPr>
                <w:b/>
                <w:color w:val="auto"/>
                <w:szCs w:val="21"/>
                <w:highlight w:val="none"/>
              </w:rPr>
            </w:pPr>
            <w:r>
              <w:rPr>
                <w:b/>
                <w:color w:val="auto"/>
                <w:szCs w:val="21"/>
                <w:highlight w:val="none"/>
              </w:rPr>
              <w:t>序号</w:t>
            </w:r>
          </w:p>
        </w:tc>
        <w:tc>
          <w:tcPr>
            <w:tcW w:w="1839" w:type="dxa"/>
            <w:vAlign w:val="center"/>
          </w:tcPr>
          <w:p w14:paraId="5865BC32">
            <w:pPr>
              <w:jc w:val="center"/>
              <w:rPr>
                <w:b/>
                <w:color w:val="auto"/>
                <w:szCs w:val="21"/>
                <w:highlight w:val="none"/>
              </w:rPr>
            </w:pPr>
            <w:r>
              <w:rPr>
                <w:rFonts w:hint="eastAsia"/>
                <w:b/>
                <w:color w:val="auto"/>
                <w:szCs w:val="21"/>
                <w:highlight w:val="none"/>
              </w:rPr>
              <w:t>类型</w:t>
            </w:r>
          </w:p>
        </w:tc>
        <w:tc>
          <w:tcPr>
            <w:tcW w:w="3119" w:type="dxa"/>
            <w:vAlign w:val="center"/>
          </w:tcPr>
          <w:p w14:paraId="40883A6F">
            <w:pPr>
              <w:jc w:val="center"/>
              <w:rPr>
                <w:b/>
                <w:color w:val="auto"/>
                <w:szCs w:val="21"/>
                <w:highlight w:val="none"/>
              </w:rPr>
            </w:pPr>
            <w:r>
              <w:rPr>
                <w:rFonts w:hint="eastAsia"/>
                <w:b/>
                <w:color w:val="auto"/>
                <w:szCs w:val="21"/>
                <w:highlight w:val="none"/>
              </w:rPr>
              <w:t>评分标准</w:t>
            </w:r>
          </w:p>
        </w:tc>
        <w:tc>
          <w:tcPr>
            <w:tcW w:w="708" w:type="dxa"/>
            <w:vAlign w:val="center"/>
          </w:tcPr>
          <w:p w14:paraId="17C36E75">
            <w:pPr>
              <w:jc w:val="center"/>
              <w:rPr>
                <w:b/>
                <w:color w:val="auto"/>
                <w:szCs w:val="21"/>
                <w:highlight w:val="none"/>
              </w:rPr>
            </w:pPr>
            <w:r>
              <w:rPr>
                <w:rFonts w:hint="eastAsia"/>
                <w:b/>
                <w:color w:val="auto"/>
                <w:szCs w:val="21"/>
                <w:highlight w:val="none"/>
              </w:rPr>
              <w:t>分值权重</w:t>
            </w:r>
          </w:p>
        </w:tc>
        <w:tc>
          <w:tcPr>
            <w:tcW w:w="1907" w:type="dxa"/>
            <w:vAlign w:val="center"/>
          </w:tcPr>
          <w:p w14:paraId="2AC4FFAA">
            <w:pPr>
              <w:jc w:val="center"/>
              <w:rPr>
                <w:b/>
                <w:color w:val="auto"/>
                <w:szCs w:val="21"/>
                <w:highlight w:val="none"/>
              </w:rPr>
            </w:pPr>
            <w:r>
              <w:rPr>
                <w:b/>
                <w:color w:val="auto"/>
                <w:szCs w:val="21"/>
                <w:highlight w:val="none"/>
              </w:rPr>
              <w:t>说明</w:t>
            </w:r>
          </w:p>
        </w:tc>
      </w:tr>
      <w:tr w14:paraId="5834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vAlign w:val="center"/>
          </w:tcPr>
          <w:p w14:paraId="119CFE1C">
            <w:pPr>
              <w:jc w:val="center"/>
              <w:rPr>
                <w:b/>
                <w:color w:val="auto"/>
                <w:szCs w:val="21"/>
                <w:highlight w:val="none"/>
              </w:rPr>
            </w:pPr>
            <w:r>
              <w:rPr>
                <w:rFonts w:hint="eastAsia"/>
                <w:b/>
                <w:color w:val="auto"/>
                <w:szCs w:val="21"/>
                <w:highlight w:val="none"/>
              </w:rPr>
              <w:t>1</w:t>
            </w:r>
          </w:p>
        </w:tc>
        <w:tc>
          <w:tcPr>
            <w:tcW w:w="1839" w:type="dxa"/>
            <w:vAlign w:val="center"/>
          </w:tcPr>
          <w:p w14:paraId="452D35A8">
            <w:pPr>
              <w:rPr>
                <w:color w:val="auto"/>
                <w:szCs w:val="21"/>
                <w:highlight w:val="none"/>
              </w:rPr>
            </w:pPr>
            <w:r>
              <w:rPr>
                <w:rFonts w:hint="eastAsia"/>
                <w:color w:val="auto"/>
                <w:szCs w:val="21"/>
                <w:highlight w:val="none"/>
              </w:rPr>
              <w:t>响应报价分</w:t>
            </w:r>
          </w:p>
        </w:tc>
        <w:tc>
          <w:tcPr>
            <w:tcW w:w="3119" w:type="dxa"/>
            <w:vAlign w:val="center"/>
          </w:tcPr>
          <w:p w14:paraId="28B67DA9">
            <w:pPr>
              <w:rPr>
                <w:color w:val="auto"/>
                <w:szCs w:val="21"/>
                <w:highlight w:val="none"/>
              </w:rPr>
            </w:pPr>
            <w:r>
              <w:rPr>
                <w:rFonts w:hint="eastAsia"/>
                <w:color w:val="auto"/>
                <w:szCs w:val="21"/>
                <w:highlight w:val="none"/>
              </w:rPr>
              <w:t>以满足采购文件要求且响应价格最低的响应报价为评审基准价，其价格分为满分。其他供应商的价格分统一按照下列公式计算：响应报价得分</w:t>
            </w:r>
            <w:r>
              <w:rPr>
                <w:color w:val="auto"/>
                <w:szCs w:val="21"/>
                <w:highlight w:val="none"/>
              </w:rPr>
              <w:t>=（评审基准价/响应报价）×响应报价分满分分值。</w:t>
            </w:r>
          </w:p>
        </w:tc>
        <w:tc>
          <w:tcPr>
            <w:tcW w:w="708" w:type="dxa"/>
            <w:vAlign w:val="center"/>
          </w:tcPr>
          <w:p w14:paraId="5B8D5CE2">
            <w:pPr>
              <w:rPr>
                <w:rFonts w:hint="default" w:eastAsia="宋体"/>
                <w:color w:val="auto"/>
                <w:szCs w:val="21"/>
                <w:highlight w:val="none"/>
                <w:lang w:val="en-US" w:eastAsia="zh-CN"/>
              </w:rPr>
            </w:pPr>
            <w:r>
              <w:rPr>
                <w:rFonts w:hint="eastAsia" w:ascii="Times New Roman" w:eastAsia="宋体"/>
                <w:color w:val="auto"/>
                <w:szCs w:val="21"/>
                <w:highlight w:val="none"/>
                <w:lang w:val="en-US" w:eastAsia="zh-CN"/>
              </w:rPr>
              <w:t>10</w:t>
            </w:r>
          </w:p>
        </w:tc>
        <w:tc>
          <w:tcPr>
            <w:tcW w:w="1907" w:type="dxa"/>
            <w:vAlign w:val="center"/>
          </w:tcPr>
          <w:p w14:paraId="473AB7F6">
            <w:pPr>
              <w:rPr>
                <w:color w:val="auto"/>
                <w:szCs w:val="21"/>
                <w:highlight w:val="none"/>
              </w:rPr>
            </w:pPr>
            <w:r>
              <w:rPr>
                <w:rFonts w:hint="eastAsia"/>
                <w:color w:val="auto"/>
                <w:szCs w:val="21"/>
                <w:highlight w:val="none"/>
              </w:rPr>
              <w:t>响应报价计算时均为供应商的实际响应报价进行政策性扣除后的价格，最终成交金额＝响应报价。政策性扣除计算方法见后。</w:t>
            </w:r>
          </w:p>
        </w:tc>
      </w:tr>
    </w:tbl>
    <w:p w14:paraId="2D458015">
      <w:pPr>
        <w:jc w:val="center"/>
        <w:rPr>
          <w:rFonts w:hint="eastAsia" w:ascii="Times New Roman" w:hAnsi="Times New Roman" w:cs="Times New Roman"/>
          <w:b/>
          <w:color w:val="auto"/>
          <w:sz w:val="24"/>
          <w:szCs w:val="24"/>
          <w:highlight w:val="none"/>
          <w:lang w:val="en-US" w:eastAsia="zh-CN"/>
        </w:rPr>
      </w:pPr>
    </w:p>
    <w:p w14:paraId="558733F4">
      <w:pPr>
        <w:jc w:val="center"/>
        <w:rPr>
          <w:rFonts w:hint="eastAsia" w:ascii="Times New Roman" w:hAnsi="Times New Roman"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标项</w:t>
      </w:r>
      <w:r>
        <w:rPr>
          <w:rFonts w:hint="eastAsia" w:cs="Times New Roman"/>
          <w:b/>
          <w:color w:val="auto"/>
          <w:sz w:val="24"/>
          <w:szCs w:val="24"/>
          <w:highlight w:val="none"/>
          <w:lang w:val="en-US" w:eastAsia="zh-CN"/>
        </w:rPr>
        <w:t>八</w:t>
      </w:r>
      <w:r>
        <w:rPr>
          <w:rFonts w:hint="eastAsia" w:ascii="Times New Roman" w:hAnsi="Times New Roman" w:cs="Times New Roman"/>
          <w:b/>
          <w:color w:val="auto"/>
          <w:sz w:val="24"/>
          <w:szCs w:val="24"/>
          <w:highlight w:val="none"/>
          <w:lang w:val="en-US" w:eastAsia="zh-CN"/>
        </w:rPr>
        <w:t>适用本评审标准</w:t>
      </w:r>
    </w:p>
    <w:p w14:paraId="17358FA3">
      <w:pPr>
        <w:ind w:firstLine="420" w:firstLineChars="200"/>
        <w:rPr>
          <w:rFonts w:ascii="Calibri" w:hAnsi="Calibri" w:eastAsia="宋体" w:cs="Times New Roman"/>
          <w:color w:val="auto"/>
          <w:highlight w:val="none"/>
        </w:rPr>
      </w:pPr>
      <w:r>
        <w:rPr>
          <w:rFonts w:hint="eastAsia" w:ascii="Calibri" w:hAnsi="Calibri" w:eastAsia="宋体" w:cs="Times New Roman"/>
          <w:color w:val="auto"/>
          <w:highlight w:val="none"/>
        </w:rPr>
        <w:t>（1）技术及商务资信分</w:t>
      </w:r>
    </w:p>
    <w:tbl>
      <w:tblPr>
        <w:tblStyle w:val="51"/>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988"/>
        <w:gridCol w:w="4830"/>
        <w:gridCol w:w="966"/>
        <w:gridCol w:w="1029"/>
      </w:tblGrid>
      <w:tr w14:paraId="5236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40894FF8">
            <w:pPr>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序号</w:t>
            </w:r>
          </w:p>
        </w:tc>
        <w:tc>
          <w:tcPr>
            <w:tcW w:w="988" w:type="dxa"/>
            <w:vAlign w:val="center"/>
          </w:tcPr>
          <w:p w14:paraId="78197205">
            <w:pPr>
              <w:jc w:val="center"/>
              <w:rPr>
                <w:rFonts w:ascii="Calibri" w:hAnsi="Calibri" w:eastAsia="宋体" w:cs="Times New Roman"/>
                <w:b/>
                <w:color w:val="auto"/>
                <w:szCs w:val="21"/>
                <w:highlight w:val="none"/>
              </w:rPr>
            </w:pPr>
            <w:r>
              <w:rPr>
                <w:rFonts w:hint="eastAsia" w:ascii="Calibri" w:hAnsi="Calibri" w:eastAsia="宋体" w:cs="Times New Roman"/>
                <w:b/>
                <w:color w:val="auto"/>
                <w:szCs w:val="21"/>
                <w:highlight w:val="none"/>
              </w:rPr>
              <w:t>类型</w:t>
            </w:r>
          </w:p>
        </w:tc>
        <w:tc>
          <w:tcPr>
            <w:tcW w:w="4830" w:type="dxa"/>
            <w:vAlign w:val="center"/>
          </w:tcPr>
          <w:p w14:paraId="2C04C394">
            <w:pPr>
              <w:jc w:val="center"/>
              <w:rPr>
                <w:rFonts w:ascii="Calibri" w:hAnsi="Calibri" w:eastAsia="宋体" w:cs="Times New Roman"/>
                <w:b/>
                <w:color w:val="auto"/>
                <w:szCs w:val="21"/>
                <w:highlight w:val="none"/>
              </w:rPr>
            </w:pPr>
            <w:r>
              <w:rPr>
                <w:rFonts w:hint="eastAsia" w:ascii="Calibri" w:hAnsi="Calibri" w:eastAsia="宋体" w:cs="Times New Roman"/>
                <w:b/>
                <w:color w:val="auto"/>
                <w:szCs w:val="21"/>
                <w:highlight w:val="none"/>
              </w:rPr>
              <w:t>评分标准</w:t>
            </w:r>
          </w:p>
        </w:tc>
        <w:tc>
          <w:tcPr>
            <w:tcW w:w="966" w:type="dxa"/>
            <w:vAlign w:val="center"/>
          </w:tcPr>
          <w:p w14:paraId="2A3721D4">
            <w:pPr>
              <w:jc w:val="center"/>
              <w:rPr>
                <w:rFonts w:ascii="Calibri" w:hAnsi="Calibri" w:eastAsia="宋体" w:cs="Times New Roman"/>
                <w:b/>
                <w:color w:val="auto"/>
                <w:szCs w:val="21"/>
                <w:highlight w:val="none"/>
              </w:rPr>
            </w:pPr>
            <w:r>
              <w:rPr>
                <w:rFonts w:hint="eastAsia" w:ascii="Calibri" w:hAnsi="Calibri" w:eastAsia="宋体" w:cs="Times New Roman"/>
                <w:b/>
                <w:color w:val="auto"/>
                <w:szCs w:val="21"/>
                <w:highlight w:val="none"/>
              </w:rPr>
              <w:t>分值权重</w:t>
            </w:r>
          </w:p>
        </w:tc>
        <w:tc>
          <w:tcPr>
            <w:tcW w:w="1029" w:type="dxa"/>
            <w:vAlign w:val="center"/>
          </w:tcPr>
          <w:p w14:paraId="5FD8749B">
            <w:pPr>
              <w:jc w:val="center"/>
              <w:rPr>
                <w:rFonts w:ascii="Calibri" w:hAnsi="Calibri" w:eastAsia="宋体" w:cs="Times New Roman"/>
                <w:b/>
                <w:color w:val="auto"/>
                <w:szCs w:val="21"/>
                <w:highlight w:val="none"/>
              </w:rPr>
            </w:pPr>
            <w:r>
              <w:rPr>
                <w:rFonts w:ascii="Calibri" w:hAnsi="Calibri" w:eastAsia="宋体" w:cs="Times New Roman"/>
                <w:b/>
                <w:color w:val="auto"/>
                <w:szCs w:val="21"/>
                <w:highlight w:val="none"/>
              </w:rPr>
              <w:t>说明</w:t>
            </w:r>
          </w:p>
        </w:tc>
      </w:tr>
      <w:tr w14:paraId="42E8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9" w:hRule="atLeast"/>
          <w:jc w:val="center"/>
        </w:trPr>
        <w:tc>
          <w:tcPr>
            <w:tcW w:w="708" w:type="dxa"/>
            <w:vAlign w:val="center"/>
          </w:tcPr>
          <w:p w14:paraId="11D05E7E">
            <w:pPr>
              <w:jc w:val="center"/>
              <w:rPr>
                <w:rFonts w:hint="eastAsia" w:ascii="Calibri" w:hAnsi="Calibri" w:eastAsia="宋体" w:cs="Times New Roman"/>
                <w:b/>
                <w:color w:val="auto"/>
                <w:szCs w:val="21"/>
                <w:highlight w:val="none"/>
                <w:lang w:val="en-US" w:eastAsia="zh-CN"/>
              </w:rPr>
            </w:pPr>
            <w:r>
              <w:rPr>
                <w:rFonts w:hint="eastAsia" w:ascii="Calibri" w:hAnsi="Calibri" w:eastAsia="宋体" w:cs="Times New Roman"/>
                <w:b/>
                <w:color w:val="auto"/>
                <w:szCs w:val="21"/>
                <w:highlight w:val="none"/>
                <w:lang w:val="en-US" w:eastAsia="zh-CN"/>
              </w:rPr>
              <w:t>1</w:t>
            </w:r>
          </w:p>
        </w:tc>
        <w:tc>
          <w:tcPr>
            <w:tcW w:w="988" w:type="dxa"/>
            <w:vAlign w:val="center"/>
          </w:tcPr>
          <w:p w14:paraId="20A5988E">
            <w:pPr>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技术分</w:t>
            </w:r>
          </w:p>
        </w:tc>
        <w:tc>
          <w:tcPr>
            <w:tcW w:w="4830" w:type="dxa"/>
            <w:vAlign w:val="center"/>
          </w:tcPr>
          <w:p w14:paraId="471A42A1">
            <w:pP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项目实施方案（33分）</w:t>
            </w:r>
          </w:p>
          <w:p w14:paraId="43BD2606">
            <w:pP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一档（</w:t>
            </w:r>
            <w:r>
              <w:rPr>
                <w:rFonts w:hint="eastAsia" w:ascii="Calibri" w:hAnsi="Calibri" w:eastAsia="宋体" w:cs="Times New Roman"/>
                <w:color w:val="auto"/>
                <w:szCs w:val="21"/>
                <w:highlight w:val="none"/>
                <w:lang w:val="en-US" w:eastAsia="zh-CN"/>
              </w:rPr>
              <w:t>8</w:t>
            </w:r>
            <w:r>
              <w:rPr>
                <w:rFonts w:hint="eastAsia" w:ascii="Calibri" w:hAnsi="Calibri" w:eastAsia="宋体" w:cs="Times New Roman"/>
                <w:color w:val="auto"/>
                <w:szCs w:val="21"/>
                <w:highlight w:val="none"/>
              </w:rPr>
              <w:t>分）：</w:t>
            </w:r>
            <w:r>
              <w:rPr>
                <w:rFonts w:hint="eastAsia" w:ascii="Calibri" w:hAnsi="Calibri" w:eastAsia="宋体" w:cs="Times New Roman"/>
                <w:color w:val="auto"/>
                <w:szCs w:val="21"/>
                <w:highlight w:val="none"/>
                <w:lang w:eastAsia="zh-CN"/>
              </w:rPr>
              <w:t>人员分工简单，未明确分析师等岗位；有项目管理措施但不够完整，服务方案简单；技术手段单一（仅关键词检索/人工浏览）；报告模板简单，未明确交付时限</w:t>
            </w:r>
            <w:r>
              <w:rPr>
                <w:rFonts w:hint="eastAsia" w:ascii="Calibri" w:hAnsi="Calibri" w:eastAsia="宋体" w:cs="Times New Roman"/>
                <w:color w:val="auto"/>
                <w:szCs w:val="21"/>
                <w:highlight w:val="none"/>
              </w:rPr>
              <w:t>。</w:t>
            </w:r>
          </w:p>
          <w:p w14:paraId="38E64883">
            <w:pPr>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rPr>
              <w:t>二档（</w:t>
            </w:r>
            <w:r>
              <w:rPr>
                <w:rFonts w:hint="eastAsia" w:ascii="Calibri" w:hAnsi="Calibri" w:eastAsia="宋体" w:cs="Times New Roman"/>
                <w:color w:val="auto"/>
                <w:szCs w:val="21"/>
                <w:highlight w:val="none"/>
                <w:lang w:val="en-US" w:eastAsia="zh-CN"/>
              </w:rPr>
              <w:t>16</w:t>
            </w:r>
            <w:r>
              <w:rPr>
                <w:rFonts w:hint="eastAsia" w:ascii="Calibri" w:hAnsi="Calibri" w:eastAsia="宋体" w:cs="Times New Roman"/>
                <w:color w:val="auto"/>
                <w:szCs w:val="21"/>
                <w:highlight w:val="none"/>
              </w:rPr>
              <w:t>分）：</w:t>
            </w:r>
            <w:r>
              <w:rPr>
                <w:rFonts w:hint="eastAsia" w:ascii="Calibri" w:hAnsi="Calibri" w:eastAsia="宋体" w:cs="Times New Roman"/>
                <w:color w:val="auto"/>
                <w:szCs w:val="21"/>
                <w:highlight w:val="none"/>
                <w:lang w:eastAsia="zh-CN"/>
              </w:rPr>
              <w:t>人员配置较详细；项目管理较完整；具备专业</w:t>
            </w:r>
            <w:r>
              <w:rPr>
                <w:rFonts w:hint="eastAsia" w:ascii="Calibri" w:hAnsi="Calibri" w:eastAsia="宋体" w:cs="Times New Roman"/>
                <w:color w:val="auto"/>
                <w:szCs w:val="21"/>
                <w:highlight w:val="none"/>
                <w:lang w:val="en-US" w:eastAsia="zh-CN"/>
              </w:rPr>
              <w:t>舆论</w:t>
            </w:r>
            <w:r>
              <w:rPr>
                <w:rFonts w:hint="eastAsia" w:ascii="Calibri" w:hAnsi="Calibri" w:eastAsia="宋体" w:cs="Times New Roman"/>
                <w:color w:val="auto"/>
                <w:szCs w:val="21"/>
                <w:highlight w:val="none"/>
                <w:lang w:eastAsia="zh-CN"/>
              </w:rPr>
              <w:t>监测平台，支持全媒体监测；报告体系较完善。</w:t>
            </w:r>
          </w:p>
          <w:p w14:paraId="3F3828BE">
            <w:pPr>
              <w:rPr>
                <w:rFonts w:hint="eastAsia" w:ascii="Calibri" w:hAnsi="Calibri" w:eastAsia="宋体" w:cs="Times New Roman"/>
                <w:color w:val="auto"/>
                <w:szCs w:val="21"/>
                <w:highlight w:val="none"/>
                <w:lang w:eastAsia="zh-CN"/>
              </w:rPr>
            </w:pPr>
            <w:r>
              <w:rPr>
                <w:rFonts w:hint="eastAsia" w:ascii="Calibri" w:hAnsi="Calibri" w:eastAsia="宋体" w:cs="Times New Roman"/>
                <w:color w:val="auto"/>
                <w:szCs w:val="21"/>
                <w:highlight w:val="none"/>
              </w:rPr>
              <w:t>三档（</w:t>
            </w:r>
            <w:r>
              <w:rPr>
                <w:rFonts w:hint="eastAsia" w:ascii="Times New Roman" w:hAnsi="Calibri" w:eastAsia="宋体" w:cs="Times New Roman"/>
                <w:color w:val="auto"/>
                <w:szCs w:val="21"/>
                <w:highlight w:val="none"/>
                <w:lang w:val="en-US" w:eastAsia="zh-CN"/>
              </w:rPr>
              <w:t>24</w:t>
            </w:r>
            <w:r>
              <w:rPr>
                <w:rFonts w:hint="eastAsia" w:ascii="Calibri" w:hAnsi="Calibri" w:eastAsia="宋体" w:cs="Times New Roman"/>
                <w:color w:val="auto"/>
                <w:szCs w:val="21"/>
                <w:highlight w:val="none"/>
              </w:rPr>
              <w:t>分）：人员配置</w:t>
            </w:r>
            <w:r>
              <w:rPr>
                <w:rFonts w:hint="eastAsia" w:ascii="Calibri" w:hAnsi="Calibri" w:eastAsia="宋体" w:cs="Times New Roman"/>
                <w:color w:val="auto"/>
                <w:szCs w:val="21"/>
                <w:highlight w:val="none"/>
                <w:lang w:val="en-US" w:eastAsia="zh-CN"/>
              </w:rPr>
              <w:t>明确，含专人对接；</w:t>
            </w:r>
            <w:r>
              <w:rPr>
                <w:rFonts w:hint="eastAsia" w:ascii="Calibri" w:hAnsi="Calibri" w:eastAsia="宋体" w:cs="Times New Roman"/>
                <w:color w:val="auto"/>
                <w:szCs w:val="21"/>
                <w:highlight w:val="none"/>
                <w:lang w:eastAsia="zh-CN"/>
              </w:rPr>
              <w:t>项目管理较完整，</w:t>
            </w:r>
            <w:r>
              <w:rPr>
                <w:rFonts w:hint="eastAsia" w:ascii="Calibri" w:hAnsi="Calibri" w:eastAsia="宋体" w:cs="Times New Roman"/>
                <w:color w:val="auto"/>
                <w:szCs w:val="21"/>
                <w:highlight w:val="none"/>
              </w:rPr>
              <w:t>三级质量审核；</w:t>
            </w:r>
            <w:r>
              <w:rPr>
                <w:rFonts w:hint="eastAsia" w:ascii="Calibri" w:hAnsi="Calibri" w:eastAsia="宋体" w:cs="Times New Roman"/>
                <w:color w:val="auto"/>
                <w:szCs w:val="21"/>
                <w:highlight w:val="none"/>
                <w:lang w:eastAsia="zh-CN"/>
              </w:rPr>
              <w:t>报告体系较完善，</w:t>
            </w:r>
            <w:r>
              <w:rPr>
                <w:rFonts w:hint="eastAsia" w:ascii="Calibri" w:hAnsi="Calibri" w:eastAsia="宋体" w:cs="Times New Roman"/>
                <w:color w:val="auto"/>
                <w:szCs w:val="21"/>
                <w:highlight w:val="none"/>
                <w:lang w:val="en-US" w:eastAsia="zh-CN"/>
              </w:rPr>
              <w:t>明确交付时间</w:t>
            </w:r>
            <w:r>
              <w:rPr>
                <w:rFonts w:hint="eastAsia" w:ascii="Calibri" w:hAnsi="Calibri" w:eastAsia="宋体" w:cs="Times New Roman"/>
                <w:color w:val="auto"/>
                <w:szCs w:val="21"/>
                <w:highlight w:val="none"/>
                <w:lang w:eastAsia="zh-CN"/>
              </w:rPr>
              <w:t>。</w:t>
            </w:r>
          </w:p>
          <w:p w14:paraId="1C78DE76">
            <w:pP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四</w:t>
            </w:r>
            <w:r>
              <w:rPr>
                <w:rFonts w:hint="eastAsia" w:ascii="Calibri" w:hAnsi="Calibri" w:eastAsia="宋体" w:cs="Times New Roman"/>
                <w:color w:val="auto"/>
                <w:szCs w:val="21"/>
                <w:highlight w:val="none"/>
              </w:rPr>
              <w:t>档（</w:t>
            </w:r>
            <w:r>
              <w:rPr>
                <w:rFonts w:hint="eastAsia" w:ascii="Calibri" w:hAnsi="Calibri" w:eastAsia="宋体" w:cs="Times New Roman"/>
                <w:color w:val="auto"/>
                <w:szCs w:val="21"/>
                <w:highlight w:val="none"/>
                <w:lang w:val="en-US" w:eastAsia="zh-CN"/>
              </w:rPr>
              <w:t>33</w:t>
            </w:r>
            <w:r>
              <w:rPr>
                <w:rFonts w:hint="eastAsia" w:ascii="Calibri" w:hAnsi="Calibri" w:eastAsia="宋体" w:cs="Times New Roman"/>
                <w:color w:val="auto"/>
                <w:szCs w:val="21"/>
                <w:highlight w:val="none"/>
              </w:rPr>
              <w:t>分）：人员配置清晰合理（</w:t>
            </w:r>
            <w:r>
              <w:rPr>
                <w:rFonts w:hint="eastAsia" w:ascii="Calibri" w:hAnsi="Calibri" w:eastAsia="宋体" w:cs="Times New Roman"/>
                <w:color w:val="auto"/>
                <w:szCs w:val="21"/>
                <w:highlight w:val="none"/>
                <w:lang w:val="en-US" w:eastAsia="zh-CN"/>
              </w:rPr>
              <w:t>5人以上团队，并配置专员对接</w:t>
            </w:r>
            <w:r>
              <w:rPr>
                <w:rFonts w:hint="eastAsia" w:ascii="Calibri" w:hAnsi="Calibri" w:eastAsia="宋体" w:cs="Times New Roman"/>
                <w:color w:val="auto"/>
                <w:szCs w:val="21"/>
                <w:highlight w:val="none"/>
              </w:rPr>
              <w:t>）；项目管理完整，三级质量审核；日采集≥100万条；报告体系专业，提供专报范例；四级预警，数据安全管理制度；增值服务（风险排查、热点追踪、专家顾问、能与上级相关部门联动等）。</w:t>
            </w:r>
          </w:p>
        </w:tc>
        <w:tc>
          <w:tcPr>
            <w:tcW w:w="966" w:type="dxa"/>
            <w:vAlign w:val="center"/>
          </w:tcPr>
          <w:p w14:paraId="153E4D40">
            <w:pPr>
              <w:rPr>
                <w:rFonts w:hint="default" w:ascii="Calibri" w:hAnsi="Calibri" w:eastAsia="宋体" w:cs="Times New Roman"/>
                <w:color w:val="auto"/>
                <w:szCs w:val="21"/>
                <w:highlight w:val="none"/>
                <w:lang w:val="en-US" w:eastAsia="zh-CN"/>
              </w:rPr>
            </w:pPr>
            <w:r>
              <w:rPr>
                <w:rFonts w:hint="eastAsia" w:ascii="Calibri" w:hAnsi="Calibri" w:eastAsia="宋体" w:cs="Times New Roman"/>
                <w:color w:val="auto"/>
                <w:szCs w:val="21"/>
                <w:highlight w:val="none"/>
                <w:lang w:val="en-US" w:eastAsia="zh-CN"/>
              </w:rPr>
              <w:t>0-33</w:t>
            </w:r>
          </w:p>
        </w:tc>
        <w:tc>
          <w:tcPr>
            <w:tcW w:w="1029" w:type="dxa"/>
            <w:vAlign w:val="center"/>
          </w:tcPr>
          <w:p w14:paraId="0CC9589E">
            <w:pPr>
              <w:rPr>
                <w:rFonts w:ascii="Calibri" w:hAnsi="Calibri" w:eastAsia="宋体" w:cs="Times New Roman"/>
                <w:color w:val="auto"/>
                <w:szCs w:val="21"/>
                <w:highlight w:val="none"/>
              </w:rPr>
            </w:pPr>
          </w:p>
        </w:tc>
      </w:tr>
      <w:tr w14:paraId="45A73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0" w:hRule="atLeast"/>
          <w:jc w:val="center"/>
        </w:trPr>
        <w:tc>
          <w:tcPr>
            <w:tcW w:w="708" w:type="dxa"/>
            <w:vAlign w:val="center"/>
          </w:tcPr>
          <w:p w14:paraId="73E6F502">
            <w:pPr>
              <w:jc w:val="center"/>
              <w:rPr>
                <w:rFonts w:hint="eastAsia" w:ascii="Calibri" w:hAnsi="Calibri" w:eastAsia="宋体" w:cs="Times New Roman"/>
                <w:b/>
                <w:color w:val="auto"/>
                <w:szCs w:val="21"/>
                <w:highlight w:val="none"/>
                <w:lang w:val="en-US" w:eastAsia="zh-CN"/>
              </w:rPr>
            </w:pPr>
            <w:r>
              <w:rPr>
                <w:rFonts w:hint="eastAsia" w:ascii="Calibri" w:hAnsi="Calibri" w:eastAsia="宋体" w:cs="Times New Roman"/>
                <w:b/>
                <w:color w:val="auto"/>
                <w:szCs w:val="21"/>
                <w:highlight w:val="none"/>
                <w:lang w:val="en-US" w:eastAsia="zh-CN"/>
              </w:rPr>
              <w:t>2</w:t>
            </w:r>
          </w:p>
        </w:tc>
        <w:tc>
          <w:tcPr>
            <w:tcW w:w="988" w:type="dxa"/>
            <w:vAlign w:val="center"/>
          </w:tcPr>
          <w:p w14:paraId="48BAB580">
            <w:pPr>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技术分</w:t>
            </w:r>
          </w:p>
        </w:tc>
        <w:tc>
          <w:tcPr>
            <w:tcW w:w="4830" w:type="dxa"/>
            <w:vAlign w:val="center"/>
          </w:tcPr>
          <w:p w14:paraId="66C49331">
            <w:pP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服务质量承诺（</w:t>
            </w:r>
            <w:r>
              <w:rPr>
                <w:rFonts w:hint="eastAsia" w:ascii="Calibri" w:hAnsi="Calibri" w:eastAsia="宋体" w:cs="Times New Roman"/>
                <w:color w:val="auto"/>
                <w:szCs w:val="21"/>
                <w:highlight w:val="none"/>
                <w:lang w:val="en-US" w:eastAsia="zh-CN"/>
              </w:rPr>
              <w:t>20</w:t>
            </w:r>
            <w:r>
              <w:rPr>
                <w:rFonts w:hint="eastAsia" w:ascii="Calibri" w:hAnsi="Calibri" w:eastAsia="宋体" w:cs="Times New Roman"/>
                <w:color w:val="auto"/>
                <w:szCs w:val="21"/>
                <w:highlight w:val="none"/>
              </w:rPr>
              <w:t>分）</w:t>
            </w:r>
          </w:p>
          <w:p w14:paraId="25855AD9">
            <w:pP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一档（</w:t>
            </w:r>
            <w:r>
              <w:rPr>
                <w:rFonts w:hint="eastAsia" w:ascii="Calibri" w:hAnsi="Calibri" w:eastAsia="宋体" w:cs="Times New Roman"/>
                <w:color w:val="auto"/>
                <w:szCs w:val="21"/>
                <w:highlight w:val="none"/>
                <w:lang w:val="en-US" w:eastAsia="zh-CN"/>
              </w:rPr>
              <w:t>10</w:t>
            </w:r>
            <w:r>
              <w:rPr>
                <w:rFonts w:hint="eastAsia" w:ascii="Calibri" w:hAnsi="Calibri" w:eastAsia="宋体" w:cs="Times New Roman"/>
                <w:color w:val="auto"/>
                <w:szCs w:val="21"/>
                <w:highlight w:val="none"/>
              </w:rPr>
              <w:t xml:space="preserve">分）：承诺服务期内，接到采购人处理问题通知后24小时内响应处理；承诺如采购人要求对相关发布内容进行修改、调整方案时，需按采购人的要求进行调整，采购人审核通过调整方案后，才能重新发布，并承担由于未经审核擅自发布引起的问题或经济损失。 </w:t>
            </w:r>
          </w:p>
          <w:p w14:paraId="23BE4D26">
            <w:pP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二档（1</w:t>
            </w:r>
            <w:r>
              <w:rPr>
                <w:rFonts w:hint="eastAsia" w:ascii="Calibri" w:hAnsi="Calibri" w:eastAsia="宋体" w:cs="Times New Roman"/>
                <w:color w:val="auto"/>
                <w:szCs w:val="21"/>
                <w:highlight w:val="none"/>
                <w:lang w:val="en-US" w:eastAsia="zh-CN"/>
              </w:rPr>
              <w:t>5</w:t>
            </w:r>
            <w:r>
              <w:rPr>
                <w:rFonts w:hint="eastAsia" w:ascii="Calibri" w:hAnsi="Calibri" w:eastAsia="宋体" w:cs="Times New Roman"/>
                <w:color w:val="auto"/>
                <w:szCs w:val="21"/>
                <w:highlight w:val="none"/>
              </w:rPr>
              <w:t>分）：在满足上述一档的前提下，有相应的服务质量保障措施，保障方案能满足本项目需求，整体构思有基本的服务安排，承诺出现问题能在12小时内响应处理。</w:t>
            </w:r>
          </w:p>
          <w:p w14:paraId="406CB1CC">
            <w:pPr>
              <w:rPr>
                <w:rFonts w:hint="default" w:ascii="宋体" w:hAnsi="宋体" w:eastAsia="宋体" w:cs="宋体"/>
                <w:sz w:val="24"/>
                <w:szCs w:val="24"/>
                <w:highlight w:val="none"/>
                <w:lang w:val="en-US" w:eastAsia="zh-CN"/>
              </w:rPr>
            </w:pPr>
            <w:r>
              <w:rPr>
                <w:rFonts w:hint="eastAsia" w:ascii="Calibri" w:hAnsi="Calibri" w:eastAsia="宋体" w:cs="Times New Roman"/>
                <w:color w:val="auto"/>
                <w:szCs w:val="21"/>
                <w:highlight w:val="none"/>
              </w:rPr>
              <w:t>三档（</w:t>
            </w:r>
            <w:r>
              <w:rPr>
                <w:rFonts w:hint="eastAsia" w:ascii="Calibri" w:hAnsi="Calibri" w:eastAsia="宋体" w:cs="Times New Roman"/>
                <w:color w:val="auto"/>
                <w:szCs w:val="21"/>
                <w:highlight w:val="none"/>
                <w:lang w:val="en-US" w:eastAsia="zh-CN"/>
              </w:rPr>
              <w:t>20</w:t>
            </w:r>
            <w:r>
              <w:rPr>
                <w:rFonts w:hint="eastAsia" w:ascii="Calibri" w:hAnsi="Calibri" w:eastAsia="宋体" w:cs="Times New Roman"/>
                <w:color w:val="auto"/>
                <w:szCs w:val="21"/>
                <w:highlight w:val="none"/>
              </w:rPr>
              <w:t>分）：在满足上述二档的前提下，有细化、明确的质量保障措施，保障方案具体且安排条理清晰，出现问题能在8小时内响应处理，应急预案安排详细具体、有针对性且可行性高。</w:t>
            </w:r>
          </w:p>
        </w:tc>
        <w:tc>
          <w:tcPr>
            <w:tcW w:w="966" w:type="dxa"/>
            <w:vAlign w:val="center"/>
          </w:tcPr>
          <w:p w14:paraId="47444DF9">
            <w:pPr>
              <w:rPr>
                <w:rFonts w:hint="default" w:ascii="Calibri" w:hAnsi="Calibri" w:eastAsia="宋体" w:cs="Times New Roman"/>
                <w:color w:val="auto"/>
                <w:szCs w:val="21"/>
                <w:highlight w:val="none"/>
                <w:lang w:val="en-US" w:eastAsia="zh-CN"/>
              </w:rPr>
            </w:pPr>
            <w:r>
              <w:rPr>
                <w:rFonts w:hint="eastAsia" w:ascii="Calibri" w:hAnsi="Calibri" w:eastAsia="宋体" w:cs="Times New Roman"/>
                <w:color w:val="auto"/>
                <w:szCs w:val="21"/>
                <w:highlight w:val="none"/>
                <w:lang w:val="en-US" w:eastAsia="zh-CN"/>
              </w:rPr>
              <w:t>0-20</w:t>
            </w:r>
          </w:p>
        </w:tc>
        <w:tc>
          <w:tcPr>
            <w:tcW w:w="1029" w:type="dxa"/>
            <w:vAlign w:val="center"/>
          </w:tcPr>
          <w:p w14:paraId="2DB0DE82">
            <w:pPr>
              <w:rPr>
                <w:rFonts w:ascii="Calibri" w:hAnsi="Calibri" w:eastAsia="宋体" w:cs="Times New Roman"/>
                <w:color w:val="auto"/>
                <w:szCs w:val="21"/>
                <w:highlight w:val="none"/>
              </w:rPr>
            </w:pPr>
          </w:p>
        </w:tc>
      </w:tr>
      <w:tr w14:paraId="020C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08" w:type="dxa"/>
            <w:vAlign w:val="center"/>
          </w:tcPr>
          <w:p w14:paraId="70BFB86B">
            <w:pPr>
              <w:jc w:val="center"/>
              <w:rPr>
                <w:rFonts w:hint="default" w:ascii="Calibri" w:hAnsi="Calibri" w:eastAsia="宋体" w:cs="Times New Roman"/>
                <w:b/>
                <w:color w:val="auto"/>
                <w:szCs w:val="21"/>
                <w:highlight w:val="none"/>
                <w:lang w:val="en-US" w:eastAsia="zh-CN"/>
              </w:rPr>
            </w:pPr>
            <w:r>
              <w:rPr>
                <w:rFonts w:hint="eastAsia" w:ascii="Calibri" w:hAnsi="Calibri" w:eastAsia="宋体" w:cs="Times New Roman"/>
                <w:b/>
                <w:color w:val="auto"/>
                <w:szCs w:val="21"/>
                <w:highlight w:val="none"/>
                <w:lang w:val="en-US" w:eastAsia="zh-CN"/>
              </w:rPr>
              <w:t>3</w:t>
            </w:r>
          </w:p>
        </w:tc>
        <w:tc>
          <w:tcPr>
            <w:tcW w:w="988" w:type="dxa"/>
            <w:vAlign w:val="center"/>
          </w:tcPr>
          <w:p w14:paraId="66A601F6">
            <w:pPr>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商务资信分</w:t>
            </w:r>
          </w:p>
        </w:tc>
        <w:tc>
          <w:tcPr>
            <w:tcW w:w="4830" w:type="dxa"/>
            <w:vAlign w:val="center"/>
          </w:tcPr>
          <w:p w14:paraId="44B28CA0">
            <w:pPr>
              <w:keepNext w:val="0"/>
              <w:keepLines w:val="0"/>
              <w:pageBreakBefore w:val="0"/>
              <w:widowControl/>
              <w:kinsoku/>
              <w:wordWrap/>
              <w:overflowPunct/>
              <w:topLinePunct w:val="0"/>
              <w:autoSpaceDE/>
              <w:autoSpaceDN/>
              <w:bidi w:val="0"/>
              <w:adjustRightInd/>
              <w:snapToGrid/>
              <w:spacing w:before="0" w:beforeLines="-2147483648" w:after="0" w:afterLines="-2147483648" w:line="240" w:lineRule="auto"/>
              <w:ind w:firstLine="0" w:firstLineChars="0"/>
              <w:textAlignment w:val="auto"/>
              <w:outlineLvl w:val="9"/>
              <w:rPr>
                <w:rFonts w:hint="default" w:ascii="宋体" w:hAnsi="宋体" w:eastAsia="宋体" w:cs="宋体"/>
                <w:b/>
                <w:bCs/>
                <w:sz w:val="24"/>
                <w:szCs w:val="24"/>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提供舆论平台软件著作权证书的，得5分。</w:t>
            </w:r>
          </w:p>
        </w:tc>
        <w:tc>
          <w:tcPr>
            <w:tcW w:w="966" w:type="dxa"/>
            <w:vAlign w:val="center"/>
          </w:tcPr>
          <w:p w14:paraId="6CB68792">
            <w:pPr>
              <w:rPr>
                <w:rFonts w:hint="eastAsia" w:ascii="Calibri" w:hAnsi="Calibri" w:eastAsia="宋体" w:cs="Times New Roman"/>
                <w:color w:val="auto"/>
                <w:szCs w:val="21"/>
                <w:highlight w:val="none"/>
                <w:lang w:val="en-US" w:eastAsia="zh-CN"/>
              </w:rPr>
            </w:pPr>
            <w:r>
              <w:rPr>
                <w:rFonts w:hint="eastAsia" w:ascii="Calibri" w:hAnsi="Calibri" w:eastAsia="宋体" w:cs="Times New Roman"/>
                <w:color w:val="auto"/>
                <w:szCs w:val="21"/>
                <w:highlight w:val="none"/>
                <w:lang w:val="en-US" w:eastAsia="zh-CN"/>
              </w:rPr>
              <w:t>0-5</w:t>
            </w:r>
          </w:p>
        </w:tc>
        <w:tc>
          <w:tcPr>
            <w:tcW w:w="1029" w:type="dxa"/>
            <w:vAlign w:val="center"/>
          </w:tcPr>
          <w:p w14:paraId="6439266C">
            <w:pPr>
              <w:rPr>
                <w:rFonts w:ascii="Calibri" w:hAnsi="Calibri" w:eastAsia="宋体" w:cs="Times New Roman"/>
                <w:color w:val="auto"/>
                <w:szCs w:val="21"/>
                <w:highlight w:val="none"/>
              </w:rPr>
            </w:pPr>
          </w:p>
        </w:tc>
      </w:tr>
      <w:tr w14:paraId="47B7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4DD25BA3">
            <w:pPr>
              <w:jc w:val="center"/>
              <w:rPr>
                <w:rFonts w:hint="eastAsia" w:ascii="Calibri" w:hAnsi="Calibri" w:eastAsia="宋体" w:cs="Times New Roman"/>
                <w:b/>
                <w:color w:val="auto"/>
                <w:szCs w:val="21"/>
                <w:highlight w:val="none"/>
                <w:lang w:val="en-US" w:eastAsia="zh-CN"/>
              </w:rPr>
            </w:pPr>
            <w:r>
              <w:rPr>
                <w:rFonts w:hint="eastAsia" w:ascii="Calibri" w:hAnsi="Calibri" w:eastAsia="宋体" w:cs="Times New Roman"/>
                <w:b/>
                <w:color w:val="auto"/>
                <w:szCs w:val="21"/>
                <w:highlight w:val="none"/>
                <w:lang w:val="en-US" w:eastAsia="zh-CN"/>
              </w:rPr>
              <w:t>4</w:t>
            </w:r>
          </w:p>
        </w:tc>
        <w:tc>
          <w:tcPr>
            <w:tcW w:w="988" w:type="dxa"/>
            <w:vAlign w:val="center"/>
          </w:tcPr>
          <w:p w14:paraId="1764D9DE">
            <w:pPr>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商务资信分</w:t>
            </w:r>
          </w:p>
        </w:tc>
        <w:tc>
          <w:tcPr>
            <w:tcW w:w="4830" w:type="dxa"/>
            <w:vAlign w:val="center"/>
          </w:tcPr>
          <w:p w14:paraId="6D9D7B19">
            <w:pP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业绩分（满分</w:t>
            </w:r>
            <w:r>
              <w:rPr>
                <w:rFonts w:hint="eastAsia" w:ascii="Calibri" w:hAnsi="Calibri" w:eastAsia="宋体" w:cs="Times New Roman"/>
                <w:color w:val="auto"/>
                <w:szCs w:val="21"/>
                <w:highlight w:val="none"/>
                <w:lang w:val="en-US" w:eastAsia="zh-CN"/>
              </w:rPr>
              <w:t>20</w:t>
            </w:r>
            <w:r>
              <w:rPr>
                <w:rFonts w:hint="eastAsia" w:ascii="Calibri" w:hAnsi="Calibri" w:eastAsia="宋体" w:cs="Times New Roman"/>
                <w:color w:val="auto"/>
                <w:szCs w:val="21"/>
                <w:highlight w:val="none"/>
              </w:rPr>
              <w:t>分）</w:t>
            </w:r>
          </w:p>
          <w:p w14:paraId="22E60796">
            <w:pP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lang w:eastAsia="zh-CN"/>
              </w:rPr>
              <w:t>供应商</w:t>
            </w:r>
            <w:r>
              <w:rPr>
                <w:rFonts w:hint="eastAsia" w:ascii="Calibri" w:hAnsi="Calibri" w:eastAsia="宋体" w:cs="Times New Roman"/>
                <w:color w:val="auto"/>
                <w:szCs w:val="21"/>
                <w:highlight w:val="none"/>
              </w:rPr>
              <w:t>2023年</w:t>
            </w:r>
            <w:r>
              <w:rPr>
                <w:rFonts w:hint="eastAsia" w:ascii="Calibri" w:hAnsi="Calibri" w:eastAsia="宋体" w:cs="Times New Roman"/>
                <w:color w:val="auto"/>
                <w:szCs w:val="21"/>
                <w:highlight w:val="none"/>
                <w:lang w:val="en-US" w:eastAsia="zh-CN"/>
              </w:rPr>
              <w:t>1</w:t>
            </w:r>
            <w:r>
              <w:rPr>
                <w:rFonts w:hint="eastAsia" w:ascii="Calibri" w:hAnsi="Calibri" w:eastAsia="宋体" w:cs="Times New Roman"/>
                <w:color w:val="auto"/>
                <w:szCs w:val="21"/>
                <w:highlight w:val="none"/>
              </w:rPr>
              <w:t>月至投标截止时间止承接的类似项目业绩（类似项目业绩是指与本项目所投标项采购需求内容类似的业绩。</w:t>
            </w:r>
            <w:r>
              <w:rPr>
                <w:rFonts w:hint="eastAsia" w:ascii="Calibri" w:hAnsi="Calibri" w:eastAsia="宋体" w:cs="Times New Roman"/>
                <w:color w:val="auto"/>
                <w:szCs w:val="21"/>
                <w:highlight w:val="none"/>
                <w:lang w:val="en-US" w:eastAsia="zh-CN"/>
              </w:rPr>
              <w:t>响应</w:t>
            </w:r>
            <w:r>
              <w:rPr>
                <w:rFonts w:hint="eastAsia" w:ascii="Calibri" w:hAnsi="Calibri" w:eastAsia="宋体" w:cs="Times New Roman"/>
                <w:color w:val="auto"/>
                <w:szCs w:val="21"/>
                <w:highlight w:val="none"/>
              </w:rPr>
              <w:t>文件中提供有效的合同复印件并加盖</w:t>
            </w:r>
            <w:r>
              <w:rPr>
                <w:rFonts w:hint="eastAsia" w:ascii="Calibri" w:hAnsi="Calibri" w:eastAsia="宋体" w:cs="Times New Roman"/>
                <w:color w:val="auto"/>
                <w:szCs w:val="21"/>
                <w:highlight w:val="none"/>
                <w:lang w:eastAsia="zh-CN"/>
              </w:rPr>
              <w:t>供应商</w:t>
            </w:r>
            <w:r>
              <w:rPr>
                <w:rFonts w:hint="eastAsia" w:ascii="Calibri" w:hAnsi="Calibri" w:eastAsia="宋体" w:cs="Times New Roman"/>
                <w:color w:val="auto"/>
                <w:szCs w:val="21"/>
                <w:highlight w:val="none"/>
              </w:rPr>
              <w:t>公章，合同复印件需要清晰体现出合同首页、采购内容和日期、盖章页。合同内容不全或不清晰的，不计分。），每份业绩得2分，满分</w:t>
            </w:r>
            <w:r>
              <w:rPr>
                <w:rFonts w:hint="eastAsia" w:ascii="Calibri" w:hAnsi="Calibri" w:eastAsia="宋体" w:cs="Times New Roman"/>
                <w:color w:val="auto"/>
                <w:szCs w:val="21"/>
                <w:highlight w:val="none"/>
                <w:lang w:val="en-US" w:eastAsia="zh-CN"/>
              </w:rPr>
              <w:t>20</w:t>
            </w:r>
            <w:r>
              <w:rPr>
                <w:rFonts w:hint="eastAsia" w:ascii="Calibri" w:hAnsi="Calibri" w:eastAsia="宋体" w:cs="Times New Roman"/>
                <w:color w:val="auto"/>
                <w:szCs w:val="21"/>
                <w:highlight w:val="none"/>
              </w:rPr>
              <w:t>分。同一项目分多个合同签订的，只计分一次。</w:t>
            </w:r>
          </w:p>
        </w:tc>
        <w:tc>
          <w:tcPr>
            <w:tcW w:w="966" w:type="dxa"/>
            <w:vAlign w:val="center"/>
          </w:tcPr>
          <w:p w14:paraId="19666F5B">
            <w:pPr>
              <w:rPr>
                <w:rFonts w:hint="default" w:ascii="Calibri" w:hAnsi="Calibri" w:eastAsia="宋体" w:cs="Times New Roman"/>
                <w:color w:val="auto"/>
                <w:szCs w:val="21"/>
                <w:highlight w:val="none"/>
                <w:lang w:val="en-US" w:eastAsia="zh-CN"/>
              </w:rPr>
            </w:pPr>
            <w:r>
              <w:rPr>
                <w:rFonts w:hint="eastAsia" w:ascii="Calibri" w:hAnsi="Calibri" w:eastAsia="宋体" w:cs="Times New Roman"/>
                <w:color w:val="auto"/>
                <w:szCs w:val="21"/>
                <w:highlight w:val="none"/>
                <w:lang w:val="en-US" w:eastAsia="zh-CN"/>
              </w:rPr>
              <w:t>0-20</w:t>
            </w:r>
          </w:p>
        </w:tc>
        <w:tc>
          <w:tcPr>
            <w:tcW w:w="1029" w:type="dxa"/>
            <w:vAlign w:val="center"/>
          </w:tcPr>
          <w:p w14:paraId="62034677">
            <w:pPr>
              <w:rPr>
                <w:rFonts w:ascii="Calibri" w:hAnsi="Calibri" w:eastAsia="宋体" w:cs="Times New Roman"/>
                <w:color w:val="auto"/>
                <w:szCs w:val="21"/>
                <w:highlight w:val="none"/>
              </w:rPr>
            </w:pPr>
          </w:p>
        </w:tc>
      </w:tr>
      <w:tr w14:paraId="6D5E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shd w:val="clear" w:color="auto" w:fill="auto"/>
            <w:vAlign w:val="center"/>
          </w:tcPr>
          <w:p w14:paraId="03F6AE6F">
            <w:pPr>
              <w:jc w:val="center"/>
              <w:rPr>
                <w:rFonts w:hint="eastAsia" w:ascii="Times New Roman" w:hAnsi="Calibri" w:eastAsia="宋体" w:cs="Times New Roman"/>
                <w:b/>
                <w:color w:val="auto"/>
                <w:kern w:val="2"/>
                <w:sz w:val="21"/>
                <w:szCs w:val="21"/>
                <w:highlight w:val="none"/>
                <w:lang w:val="en-US" w:eastAsia="zh-CN" w:bidi="ar-SA"/>
              </w:rPr>
            </w:pPr>
            <w:r>
              <w:rPr>
                <w:rFonts w:hint="eastAsia" w:ascii="Calibri" w:hAnsi="Calibri" w:eastAsia="宋体" w:cs="Times New Roman"/>
                <w:b/>
                <w:color w:val="auto"/>
                <w:szCs w:val="21"/>
                <w:highlight w:val="none"/>
                <w:lang w:val="en-US" w:eastAsia="zh-CN"/>
              </w:rPr>
              <w:t>5</w:t>
            </w:r>
          </w:p>
        </w:tc>
        <w:tc>
          <w:tcPr>
            <w:tcW w:w="988" w:type="dxa"/>
            <w:shd w:val="clear" w:color="auto" w:fill="auto"/>
            <w:vAlign w:val="center"/>
          </w:tcPr>
          <w:p w14:paraId="14EC51C4">
            <w:pPr>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szCs w:val="21"/>
                <w:highlight w:val="none"/>
              </w:rPr>
              <w:t>商务资信分</w:t>
            </w:r>
          </w:p>
        </w:tc>
        <w:tc>
          <w:tcPr>
            <w:tcW w:w="4830" w:type="dxa"/>
            <w:shd w:val="clear" w:color="auto" w:fill="auto"/>
            <w:vAlign w:val="center"/>
          </w:tcPr>
          <w:p w14:paraId="536E07A7">
            <w:pPr>
              <w:rPr>
                <w:rFonts w:hint="eastAsia" w:ascii="Calibri" w:hAnsi="Calibri" w:eastAsia="宋体" w:cs="Times New Roman"/>
                <w:color w:val="auto"/>
                <w:szCs w:val="21"/>
                <w:highlight w:val="none"/>
                <w:lang w:val="en-US" w:eastAsia="zh-CN"/>
              </w:rPr>
            </w:pPr>
            <w:r>
              <w:rPr>
                <w:rFonts w:hint="eastAsia" w:ascii="Calibri" w:hAnsi="Calibri" w:eastAsia="宋体" w:cs="Times New Roman"/>
                <w:color w:val="auto"/>
                <w:szCs w:val="21"/>
                <w:highlight w:val="none"/>
                <w:lang w:val="en-US" w:eastAsia="zh-CN"/>
              </w:rPr>
              <w:t>拟投入人员分（满分12）</w:t>
            </w:r>
          </w:p>
          <w:p w14:paraId="21973FB1">
            <w:pPr>
              <w:rPr>
                <w:rFonts w:hint="eastAsia" w:ascii="Calibri" w:hAnsi="Calibri" w:eastAsia="宋体" w:cs="Times New Roman"/>
                <w:color w:val="auto"/>
                <w:kern w:val="2"/>
                <w:sz w:val="21"/>
                <w:szCs w:val="24"/>
                <w:highlight w:val="none"/>
                <w:lang w:val="en-US" w:eastAsia="zh-CN" w:bidi="ar-SA"/>
              </w:rPr>
            </w:pPr>
            <w:r>
              <w:rPr>
                <w:rFonts w:hint="eastAsia" w:ascii="Calibri" w:hAnsi="Calibri" w:eastAsia="宋体" w:cs="Times New Roman"/>
                <w:color w:val="auto"/>
                <w:szCs w:val="21"/>
                <w:highlight w:val="none"/>
                <w:lang w:val="en-US" w:eastAsia="zh-CN"/>
              </w:rPr>
              <w:t>拟投入人员中，具有</w:t>
            </w:r>
            <w:r>
              <w:rPr>
                <w:rFonts w:hint="eastAsia" w:ascii="Calibri" w:hAnsi="Calibri" w:eastAsia="宋体" w:cs="Times New Roman"/>
                <w:color w:val="auto"/>
                <w:highlight w:val="none"/>
                <w:lang w:eastAsia="zh-CN"/>
              </w:rPr>
              <w:t>新闻系列</w:t>
            </w:r>
            <w:r>
              <w:rPr>
                <w:rFonts w:hint="eastAsia" w:ascii="Calibri" w:hAnsi="Calibri" w:eastAsia="宋体" w:cs="Times New Roman"/>
                <w:color w:val="auto"/>
                <w:szCs w:val="21"/>
                <w:highlight w:val="none"/>
                <w:lang w:val="en-US" w:eastAsia="zh-CN"/>
              </w:rPr>
              <w:t>高级职称专业人员的，</w:t>
            </w:r>
            <w:r>
              <w:rPr>
                <w:rFonts w:hint="eastAsia" w:ascii="Times New Roman" w:hAnsi="Times New Roman" w:eastAsia="宋体" w:cs="Times New Roman"/>
                <w:color w:val="auto"/>
                <w:sz w:val="21"/>
                <w:szCs w:val="21"/>
                <w:highlight w:val="none"/>
              </w:rPr>
              <w:t>每一人得</w:t>
            </w:r>
            <w:r>
              <w:rPr>
                <w:rFonts w:hint="eastAsia"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rPr>
              <w:t>分，最高</w:t>
            </w:r>
            <w:r>
              <w:rPr>
                <w:rFonts w:hint="eastAsia" w:ascii="Times New Roman" w:hAnsi="Times New Roman" w:eastAsia="宋体"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rPr>
              <w:t>分；</w:t>
            </w:r>
            <w:r>
              <w:rPr>
                <w:rFonts w:hint="eastAsia" w:ascii="Times New Roman" w:hAnsi="Times New Roman" w:eastAsia="宋体" w:cs="Times New Roman"/>
                <w:color w:val="auto"/>
                <w:sz w:val="21"/>
                <w:szCs w:val="21"/>
                <w:highlight w:val="none"/>
                <w:lang w:val="en-US" w:eastAsia="zh-CN"/>
              </w:rPr>
              <w:t>高</w:t>
            </w:r>
            <w:r>
              <w:rPr>
                <w:rFonts w:hint="eastAsia" w:ascii="Times New Roman" w:hAnsi="Times New Roman" w:eastAsia="宋体" w:cs="Times New Roman"/>
                <w:color w:val="auto"/>
                <w:sz w:val="21"/>
                <w:szCs w:val="21"/>
                <w:highlight w:val="none"/>
              </w:rPr>
              <w:t>级分析师每一人得</w:t>
            </w:r>
            <w:r>
              <w:rPr>
                <w:rFonts w:hint="eastAsia" w:ascii="Times New Roman" w:hAnsi="Times New Roman" w:eastAsia="宋体" w:cs="Times New Roman"/>
                <w:color w:val="auto"/>
                <w:sz w:val="21"/>
                <w:szCs w:val="21"/>
                <w:highlight w:val="none"/>
                <w:lang w:val="en-US" w:eastAsia="zh-CN"/>
              </w:rPr>
              <w:t>3</w:t>
            </w:r>
            <w:r>
              <w:rPr>
                <w:rFonts w:hint="eastAsia" w:ascii="Times New Roman" w:hAnsi="Times New Roman" w:eastAsia="宋体" w:cs="Times New Roman"/>
                <w:color w:val="auto"/>
                <w:sz w:val="21"/>
                <w:szCs w:val="21"/>
                <w:highlight w:val="none"/>
              </w:rPr>
              <w:t>分，最高得</w:t>
            </w:r>
            <w:r>
              <w:rPr>
                <w:rFonts w:hint="eastAsia" w:ascii="Times New Roman" w:hAnsi="Times New Roman" w:eastAsia="宋体" w:cs="Times New Roman"/>
                <w:color w:val="auto"/>
                <w:sz w:val="21"/>
                <w:szCs w:val="21"/>
                <w:highlight w:val="none"/>
                <w:lang w:val="en-US" w:eastAsia="zh-CN"/>
              </w:rPr>
              <w:t>3</w:t>
            </w:r>
            <w:r>
              <w:rPr>
                <w:rFonts w:hint="eastAsia" w:ascii="Times New Roman" w:hAnsi="Times New Roman" w:eastAsia="宋体" w:cs="Times New Roman"/>
                <w:color w:val="auto"/>
                <w:sz w:val="21"/>
                <w:szCs w:val="21"/>
                <w:highlight w:val="none"/>
              </w:rPr>
              <w:t>分</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中级分析师每人得1分，最高得5分</w:t>
            </w:r>
            <w:r>
              <w:rPr>
                <w:rFonts w:hint="eastAsia" w:ascii="Calibri" w:hAnsi="Calibri" w:eastAsia="宋体" w:cs="Times New Roman"/>
                <w:color w:val="auto"/>
                <w:szCs w:val="21"/>
                <w:highlight w:val="none"/>
                <w:lang w:val="en-US" w:eastAsia="zh-CN"/>
              </w:rPr>
              <w:t>。必须提供相对应的人员证书，否则不得分。</w:t>
            </w:r>
          </w:p>
        </w:tc>
        <w:tc>
          <w:tcPr>
            <w:tcW w:w="966" w:type="dxa"/>
            <w:shd w:val="clear" w:color="auto" w:fill="auto"/>
            <w:vAlign w:val="center"/>
          </w:tcPr>
          <w:p w14:paraId="0A5D8EA1">
            <w:pPr>
              <w:rPr>
                <w:rFonts w:hint="default" w:ascii="Times New Roman" w:hAnsi="Calibri" w:eastAsia="宋体" w:cs="Times New Roman"/>
                <w:color w:val="auto"/>
                <w:kern w:val="2"/>
                <w:sz w:val="21"/>
                <w:szCs w:val="21"/>
                <w:highlight w:val="none"/>
                <w:lang w:val="en-US" w:eastAsia="zh-CN" w:bidi="ar-SA"/>
              </w:rPr>
            </w:pPr>
            <w:r>
              <w:rPr>
                <w:rFonts w:hint="eastAsia" w:ascii="Times New Roman" w:hAnsi="Calibri" w:eastAsia="宋体" w:cs="Times New Roman"/>
                <w:color w:val="auto"/>
                <w:szCs w:val="21"/>
                <w:highlight w:val="none"/>
                <w:lang w:val="en-US" w:eastAsia="zh-CN"/>
              </w:rPr>
              <w:t>0-</w:t>
            </w:r>
            <w:r>
              <w:rPr>
                <w:rFonts w:hint="eastAsia" w:ascii="Calibri" w:hAnsi="Calibri" w:eastAsia="宋体" w:cs="Times New Roman"/>
                <w:color w:val="auto"/>
                <w:szCs w:val="21"/>
                <w:highlight w:val="none"/>
                <w:lang w:val="en-US" w:eastAsia="zh-CN"/>
              </w:rPr>
              <w:t>12</w:t>
            </w:r>
          </w:p>
        </w:tc>
        <w:tc>
          <w:tcPr>
            <w:tcW w:w="1029" w:type="dxa"/>
            <w:vAlign w:val="center"/>
          </w:tcPr>
          <w:p w14:paraId="43A87A27">
            <w:pPr>
              <w:rPr>
                <w:rFonts w:ascii="Calibri" w:hAnsi="Calibri" w:eastAsia="宋体" w:cs="Times New Roman"/>
                <w:color w:val="auto"/>
                <w:szCs w:val="21"/>
                <w:highlight w:val="none"/>
              </w:rPr>
            </w:pPr>
          </w:p>
        </w:tc>
      </w:tr>
    </w:tbl>
    <w:p w14:paraId="30741414">
      <w:pPr>
        <w:ind w:firstLine="315" w:firstLineChars="150"/>
        <w:rPr>
          <w:rFonts w:hint="eastAsia" w:ascii="Times New Roman"/>
          <w:color w:val="auto"/>
          <w:highlight w:val="none"/>
          <w:lang w:val="zh-CN"/>
        </w:rPr>
      </w:pPr>
    </w:p>
    <w:p w14:paraId="28A28D43">
      <w:pPr>
        <w:ind w:firstLine="315" w:firstLineChars="150"/>
        <w:rPr>
          <w:color w:val="auto"/>
          <w:highlight w:val="none"/>
          <w:lang w:val="zh-CN"/>
        </w:rPr>
      </w:pPr>
      <w:r>
        <w:rPr>
          <w:rFonts w:hint="eastAsia" w:ascii="Times New Roman"/>
          <w:color w:val="auto"/>
          <w:highlight w:val="none"/>
          <w:lang w:val="zh-CN"/>
        </w:rPr>
        <w:t>（2）最后报价分</w:t>
      </w:r>
    </w:p>
    <w:tbl>
      <w:tblPr>
        <w:tblStyle w:val="51"/>
        <w:tblW w:w="8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839"/>
        <w:gridCol w:w="3119"/>
        <w:gridCol w:w="708"/>
        <w:gridCol w:w="1907"/>
      </w:tblGrid>
      <w:tr w14:paraId="36A6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vAlign w:val="center"/>
          </w:tcPr>
          <w:p w14:paraId="01EF0DF7">
            <w:pPr>
              <w:jc w:val="center"/>
              <w:rPr>
                <w:b/>
                <w:color w:val="auto"/>
                <w:szCs w:val="21"/>
                <w:highlight w:val="none"/>
              </w:rPr>
            </w:pPr>
            <w:r>
              <w:rPr>
                <w:b/>
                <w:color w:val="auto"/>
                <w:szCs w:val="21"/>
                <w:highlight w:val="none"/>
              </w:rPr>
              <w:t>序号</w:t>
            </w:r>
          </w:p>
        </w:tc>
        <w:tc>
          <w:tcPr>
            <w:tcW w:w="1839" w:type="dxa"/>
            <w:vAlign w:val="center"/>
          </w:tcPr>
          <w:p w14:paraId="6D7F740E">
            <w:pPr>
              <w:jc w:val="center"/>
              <w:rPr>
                <w:b/>
                <w:color w:val="auto"/>
                <w:szCs w:val="21"/>
                <w:highlight w:val="none"/>
              </w:rPr>
            </w:pPr>
            <w:r>
              <w:rPr>
                <w:rFonts w:hint="eastAsia"/>
                <w:b/>
                <w:color w:val="auto"/>
                <w:szCs w:val="21"/>
                <w:highlight w:val="none"/>
              </w:rPr>
              <w:t>类型</w:t>
            </w:r>
          </w:p>
        </w:tc>
        <w:tc>
          <w:tcPr>
            <w:tcW w:w="3119" w:type="dxa"/>
            <w:vAlign w:val="center"/>
          </w:tcPr>
          <w:p w14:paraId="7F2711E3">
            <w:pPr>
              <w:jc w:val="center"/>
              <w:rPr>
                <w:b/>
                <w:color w:val="auto"/>
                <w:szCs w:val="21"/>
                <w:highlight w:val="none"/>
              </w:rPr>
            </w:pPr>
            <w:r>
              <w:rPr>
                <w:rFonts w:hint="eastAsia"/>
                <w:b/>
                <w:color w:val="auto"/>
                <w:szCs w:val="21"/>
                <w:highlight w:val="none"/>
              </w:rPr>
              <w:t>评分标准</w:t>
            </w:r>
          </w:p>
        </w:tc>
        <w:tc>
          <w:tcPr>
            <w:tcW w:w="708" w:type="dxa"/>
            <w:vAlign w:val="center"/>
          </w:tcPr>
          <w:p w14:paraId="797482F0">
            <w:pPr>
              <w:jc w:val="center"/>
              <w:rPr>
                <w:b/>
                <w:color w:val="auto"/>
                <w:szCs w:val="21"/>
                <w:highlight w:val="none"/>
              </w:rPr>
            </w:pPr>
            <w:r>
              <w:rPr>
                <w:rFonts w:hint="eastAsia"/>
                <w:b/>
                <w:color w:val="auto"/>
                <w:szCs w:val="21"/>
                <w:highlight w:val="none"/>
              </w:rPr>
              <w:t>分值权重</w:t>
            </w:r>
          </w:p>
        </w:tc>
        <w:tc>
          <w:tcPr>
            <w:tcW w:w="1907" w:type="dxa"/>
            <w:vAlign w:val="center"/>
          </w:tcPr>
          <w:p w14:paraId="0D1AE4B0">
            <w:pPr>
              <w:jc w:val="center"/>
              <w:rPr>
                <w:b/>
                <w:color w:val="auto"/>
                <w:szCs w:val="21"/>
                <w:highlight w:val="none"/>
              </w:rPr>
            </w:pPr>
            <w:r>
              <w:rPr>
                <w:b/>
                <w:color w:val="auto"/>
                <w:szCs w:val="21"/>
                <w:highlight w:val="none"/>
              </w:rPr>
              <w:t>说明</w:t>
            </w:r>
          </w:p>
        </w:tc>
      </w:tr>
      <w:tr w14:paraId="4C08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vAlign w:val="center"/>
          </w:tcPr>
          <w:p w14:paraId="0C4CF968">
            <w:pPr>
              <w:jc w:val="center"/>
              <w:rPr>
                <w:b/>
                <w:color w:val="auto"/>
                <w:szCs w:val="21"/>
                <w:highlight w:val="none"/>
              </w:rPr>
            </w:pPr>
            <w:r>
              <w:rPr>
                <w:rFonts w:hint="eastAsia"/>
                <w:b/>
                <w:color w:val="auto"/>
                <w:szCs w:val="21"/>
                <w:highlight w:val="none"/>
              </w:rPr>
              <w:t>1</w:t>
            </w:r>
          </w:p>
        </w:tc>
        <w:tc>
          <w:tcPr>
            <w:tcW w:w="1839" w:type="dxa"/>
            <w:vAlign w:val="center"/>
          </w:tcPr>
          <w:p w14:paraId="5061869B">
            <w:pPr>
              <w:rPr>
                <w:color w:val="auto"/>
                <w:szCs w:val="21"/>
                <w:highlight w:val="none"/>
              </w:rPr>
            </w:pPr>
            <w:r>
              <w:rPr>
                <w:rFonts w:hint="eastAsia"/>
                <w:color w:val="auto"/>
                <w:szCs w:val="21"/>
                <w:highlight w:val="none"/>
              </w:rPr>
              <w:t>响应报价分</w:t>
            </w:r>
          </w:p>
        </w:tc>
        <w:tc>
          <w:tcPr>
            <w:tcW w:w="3119" w:type="dxa"/>
            <w:vAlign w:val="center"/>
          </w:tcPr>
          <w:p w14:paraId="2F54E530">
            <w:pPr>
              <w:rPr>
                <w:color w:val="auto"/>
                <w:szCs w:val="21"/>
                <w:highlight w:val="none"/>
              </w:rPr>
            </w:pPr>
            <w:r>
              <w:rPr>
                <w:rFonts w:hint="eastAsia"/>
                <w:color w:val="auto"/>
                <w:szCs w:val="21"/>
                <w:highlight w:val="none"/>
              </w:rPr>
              <w:t>以满足采购文件要求且响应价格最低的响应报价为评审基准价，其价格分为满分。其他供应商的价格分统一按照下列公式计算：响应报价得分</w:t>
            </w:r>
            <w:r>
              <w:rPr>
                <w:color w:val="auto"/>
                <w:szCs w:val="21"/>
                <w:highlight w:val="none"/>
              </w:rPr>
              <w:t>=（评审基准价/响应报价）×响应报价分满分分值。</w:t>
            </w:r>
          </w:p>
        </w:tc>
        <w:tc>
          <w:tcPr>
            <w:tcW w:w="708" w:type="dxa"/>
            <w:vAlign w:val="center"/>
          </w:tcPr>
          <w:p w14:paraId="52AEF90C">
            <w:pPr>
              <w:rPr>
                <w:rFonts w:hint="default" w:eastAsia="宋体"/>
                <w:color w:val="auto"/>
                <w:szCs w:val="21"/>
                <w:highlight w:val="none"/>
                <w:lang w:val="en-US" w:eastAsia="zh-CN"/>
              </w:rPr>
            </w:pPr>
            <w:r>
              <w:rPr>
                <w:rFonts w:hint="eastAsia" w:ascii="Times New Roman" w:eastAsia="宋体"/>
                <w:color w:val="auto"/>
                <w:szCs w:val="21"/>
                <w:highlight w:val="none"/>
                <w:lang w:val="en-US" w:eastAsia="zh-CN"/>
              </w:rPr>
              <w:t>10</w:t>
            </w:r>
          </w:p>
        </w:tc>
        <w:tc>
          <w:tcPr>
            <w:tcW w:w="1907" w:type="dxa"/>
            <w:vAlign w:val="center"/>
          </w:tcPr>
          <w:p w14:paraId="42FBE804">
            <w:pPr>
              <w:rPr>
                <w:color w:val="auto"/>
                <w:szCs w:val="21"/>
                <w:highlight w:val="none"/>
              </w:rPr>
            </w:pPr>
            <w:r>
              <w:rPr>
                <w:rFonts w:hint="eastAsia"/>
                <w:color w:val="auto"/>
                <w:szCs w:val="21"/>
                <w:highlight w:val="none"/>
              </w:rPr>
              <w:t>响应报价计算时均为供应商的实际响应报价进行政策性扣除后的价格，最终成交金额＝响应报价。政策性扣除计算方法见后。</w:t>
            </w:r>
          </w:p>
        </w:tc>
      </w:tr>
    </w:tbl>
    <w:p w14:paraId="4E1ABF85">
      <w:pPr>
        <w:pStyle w:val="19"/>
        <w:rPr>
          <w:rFonts w:hint="eastAsia"/>
          <w:color w:val="auto"/>
          <w:highlight w:val="none"/>
          <w:lang w:val="en-US" w:eastAsia="zh-CN"/>
        </w:rPr>
      </w:pPr>
    </w:p>
    <w:p w14:paraId="6365B7D8">
      <w:pPr>
        <w:jc w:val="center"/>
        <w:rPr>
          <w:color w:val="auto"/>
          <w:highlight w:val="none"/>
        </w:rPr>
      </w:pPr>
      <w:r>
        <w:rPr>
          <w:rFonts w:hint="eastAsia" w:ascii="Times New Roman" w:hAnsi="Times New Roman" w:cs="Times New Roman"/>
          <w:b/>
          <w:color w:val="auto"/>
          <w:sz w:val="24"/>
          <w:szCs w:val="24"/>
          <w:highlight w:val="none"/>
          <w:lang w:val="en-US" w:eastAsia="zh-CN"/>
        </w:rPr>
        <w:t>标项</w:t>
      </w:r>
      <w:r>
        <w:rPr>
          <w:rFonts w:hint="eastAsia" w:cs="Times New Roman"/>
          <w:b/>
          <w:color w:val="auto"/>
          <w:sz w:val="24"/>
          <w:szCs w:val="24"/>
          <w:highlight w:val="none"/>
          <w:lang w:val="en-US" w:eastAsia="zh-CN"/>
        </w:rPr>
        <w:t>九</w:t>
      </w:r>
      <w:r>
        <w:rPr>
          <w:rFonts w:hint="eastAsia" w:ascii="Times New Roman" w:hAnsi="Times New Roman" w:cs="Times New Roman"/>
          <w:b/>
          <w:color w:val="auto"/>
          <w:sz w:val="24"/>
          <w:szCs w:val="24"/>
          <w:highlight w:val="none"/>
          <w:lang w:val="en-US" w:eastAsia="zh-CN"/>
        </w:rPr>
        <w:t>适用本评审标准</w:t>
      </w:r>
    </w:p>
    <w:p w14:paraId="506CAC2F">
      <w:pPr>
        <w:ind w:firstLine="420" w:firstLineChars="200"/>
        <w:rPr>
          <w:color w:val="auto"/>
          <w:highlight w:val="none"/>
        </w:rPr>
      </w:pPr>
      <w:r>
        <w:rPr>
          <w:rFonts w:hint="eastAsia"/>
          <w:color w:val="auto"/>
          <w:highlight w:val="none"/>
        </w:rPr>
        <w:t>（1）技术及商务资信分</w:t>
      </w:r>
    </w:p>
    <w:tbl>
      <w:tblPr>
        <w:tblStyle w:val="51"/>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988"/>
        <w:gridCol w:w="4600"/>
        <w:gridCol w:w="1196"/>
        <w:gridCol w:w="1029"/>
      </w:tblGrid>
      <w:tr w14:paraId="5269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16F6463C">
            <w:pPr>
              <w:jc w:val="center"/>
              <w:rPr>
                <w:b/>
                <w:color w:val="auto"/>
                <w:szCs w:val="21"/>
                <w:highlight w:val="none"/>
              </w:rPr>
            </w:pPr>
            <w:r>
              <w:rPr>
                <w:b/>
                <w:color w:val="auto"/>
                <w:szCs w:val="21"/>
                <w:highlight w:val="none"/>
              </w:rPr>
              <w:t>序号</w:t>
            </w:r>
          </w:p>
        </w:tc>
        <w:tc>
          <w:tcPr>
            <w:tcW w:w="988" w:type="dxa"/>
            <w:vAlign w:val="center"/>
          </w:tcPr>
          <w:p w14:paraId="210BBBFA">
            <w:pPr>
              <w:jc w:val="center"/>
              <w:rPr>
                <w:b/>
                <w:color w:val="auto"/>
                <w:szCs w:val="21"/>
                <w:highlight w:val="none"/>
              </w:rPr>
            </w:pPr>
            <w:r>
              <w:rPr>
                <w:rFonts w:hint="eastAsia"/>
                <w:b/>
                <w:color w:val="auto"/>
                <w:szCs w:val="21"/>
                <w:highlight w:val="none"/>
              </w:rPr>
              <w:t>类型</w:t>
            </w:r>
          </w:p>
        </w:tc>
        <w:tc>
          <w:tcPr>
            <w:tcW w:w="4600" w:type="dxa"/>
            <w:vAlign w:val="center"/>
          </w:tcPr>
          <w:p w14:paraId="125343F0">
            <w:pPr>
              <w:jc w:val="center"/>
              <w:rPr>
                <w:b/>
                <w:color w:val="auto"/>
                <w:szCs w:val="21"/>
                <w:highlight w:val="none"/>
              </w:rPr>
            </w:pPr>
            <w:r>
              <w:rPr>
                <w:rFonts w:hint="eastAsia"/>
                <w:b/>
                <w:color w:val="auto"/>
                <w:szCs w:val="21"/>
                <w:highlight w:val="none"/>
              </w:rPr>
              <w:t>评分标准</w:t>
            </w:r>
          </w:p>
        </w:tc>
        <w:tc>
          <w:tcPr>
            <w:tcW w:w="1196" w:type="dxa"/>
            <w:vAlign w:val="center"/>
          </w:tcPr>
          <w:p w14:paraId="5C9A0804">
            <w:pPr>
              <w:jc w:val="center"/>
              <w:rPr>
                <w:b/>
                <w:color w:val="auto"/>
                <w:szCs w:val="21"/>
                <w:highlight w:val="none"/>
              </w:rPr>
            </w:pPr>
            <w:r>
              <w:rPr>
                <w:rFonts w:hint="eastAsia"/>
                <w:b/>
                <w:color w:val="auto"/>
                <w:szCs w:val="21"/>
                <w:highlight w:val="none"/>
              </w:rPr>
              <w:t>分值权重</w:t>
            </w:r>
          </w:p>
        </w:tc>
        <w:tc>
          <w:tcPr>
            <w:tcW w:w="1029" w:type="dxa"/>
            <w:vAlign w:val="center"/>
          </w:tcPr>
          <w:p w14:paraId="0F5B4582">
            <w:pPr>
              <w:jc w:val="center"/>
              <w:rPr>
                <w:b/>
                <w:color w:val="auto"/>
                <w:szCs w:val="21"/>
                <w:highlight w:val="none"/>
              </w:rPr>
            </w:pPr>
            <w:r>
              <w:rPr>
                <w:b/>
                <w:color w:val="auto"/>
                <w:szCs w:val="21"/>
                <w:highlight w:val="none"/>
              </w:rPr>
              <w:t>说明</w:t>
            </w:r>
          </w:p>
        </w:tc>
      </w:tr>
      <w:tr w14:paraId="063E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095BC932">
            <w:pPr>
              <w:jc w:val="center"/>
              <w:rPr>
                <w:b/>
                <w:color w:val="auto"/>
                <w:szCs w:val="21"/>
                <w:highlight w:val="none"/>
              </w:rPr>
            </w:pPr>
            <w:r>
              <w:rPr>
                <w:rFonts w:hint="eastAsia"/>
                <w:b/>
                <w:color w:val="auto"/>
                <w:szCs w:val="21"/>
                <w:highlight w:val="none"/>
              </w:rPr>
              <w:t>1</w:t>
            </w:r>
          </w:p>
        </w:tc>
        <w:tc>
          <w:tcPr>
            <w:tcW w:w="988" w:type="dxa"/>
            <w:vAlign w:val="center"/>
          </w:tcPr>
          <w:p w14:paraId="187A8640">
            <w:pPr>
              <w:jc w:val="center"/>
              <w:rPr>
                <w:color w:val="auto"/>
                <w:szCs w:val="21"/>
                <w:highlight w:val="none"/>
              </w:rPr>
            </w:pPr>
            <w:r>
              <w:rPr>
                <w:rFonts w:hint="eastAsia"/>
                <w:color w:val="auto"/>
                <w:szCs w:val="21"/>
                <w:highlight w:val="none"/>
              </w:rPr>
              <w:t>技术分</w:t>
            </w:r>
          </w:p>
        </w:tc>
        <w:tc>
          <w:tcPr>
            <w:tcW w:w="4600" w:type="dxa"/>
            <w:vAlign w:val="center"/>
          </w:tcPr>
          <w:p w14:paraId="7072211F">
            <w:pPr>
              <w:rPr>
                <w:rFonts w:hint="eastAsia"/>
                <w:color w:val="auto"/>
                <w:szCs w:val="21"/>
                <w:highlight w:val="none"/>
              </w:rPr>
            </w:pPr>
            <w:r>
              <w:rPr>
                <w:rFonts w:hint="eastAsia"/>
                <w:color w:val="auto"/>
                <w:szCs w:val="21"/>
                <w:highlight w:val="none"/>
              </w:rPr>
              <w:t>内容安全方案技术设计（服务）方案分（</w:t>
            </w:r>
            <w:r>
              <w:rPr>
                <w:rFonts w:hint="eastAsia" w:ascii="Times New Roman" w:eastAsia="宋体"/>
                <w:color w:val="auto"/>
                <w:szCs w:val="21"/>
                <w:highlight w:val="none"/>
                <w:lang w:val="en-US" w:eastAsia="zh-CN"/>
              </w:rPr>
              <w:t>20</w:t>
            </w:r>
            <w:r>
              <w:rPr>
                <w:rFonts w:hint="eastAsia"/>
                <w:color w:val="auto"/>
                <w:szCs w:val="21"/>
                <w:highlight w:val="none"/>
              </w:rPr>
              <w:t>分）</w:t>
            </w:r>
          </w:p>
          <w:p w14:paraId="11316F7E">
            <w:pPr>
              <w:rPr>
                <w:rFonts w:hint="eastAsia"/>
                <w:color w:val="auto"/>
                <w:szCs w:val="21"/>
                <w:highlight w:val="none"/>
              </w:rPr>
            </w:pPr>
            <w:r>
              <w:rPr>
                <w:rFonts w:hint="eastAsia"/>
                <w:color w:val="auto"/>
                <w:szCs w:val="21"/>
                <w:highlight w:val="none"/>
              </w:rPr>
              <w:t>一档（</w:t>
            </w:r>
            <w:r>
              <w:rPr>
                <w:rFonts w:hint="eastAsia" w:ascii="Times New Roman" w:eastAsia="宋体"/>
                <w:color w:val="auto"/>
                <w:szCs w:val="21"/>
                <w:highlight w:val="none"/>
                <w:lang w:val="en-US" w:eastAsia="zh-CN"/>
              </w:rPr>
              <w:t>10</w:t>
            </w:r>
            <w:r>
              <w:rPr>
                <w:rFonts w:hint="eastAsia"/>
                <w:color w:val="auto"/>
                <w:szCs w:val="21"/>
                <w:highlight w:val="none"/>
              </w:rPr>
              <w:t>分）：</w:t>
            </w:r>
            <w:r>
              <w:rPr>
                <w:rFonts w:hint="eastAsia" w:eastAsia="宋体"/>
                <w:color w:val="auto"/>
                <w:szCs w:val="21"/>
                <w:highlight w:val="none"/>
                <w:lang w:eastAsia="zh-CN"/>
              </w:rPr>
              <w:t>方案无官网内容安全检查报告，监测云系统（平台）功能没有按</w:t>
            </w:r>
            <w:r>
              <w:rPr>
                <w:rFonts w:hint="eastAsia" w:ascii="Times New Roman" w:eastAsia="宋体"/>
                <w:color w:val="auto"/>
                <w:szCs w:val="21"/>
                <w:highlight w:val="none"/>
                <w:lang w:val="en-US" w:eastAsia="zh-CN"/>
              </w:rPr>
              <w:t>采购</w:t>
            </w:r>
            <w:r>
              <w:rPr>
                <w:rFonts w:hint="eastAsia" w:eastAsia="宋体"/>
                <w:color w:val="auto"/>
                <w:szCs w:val="21"/>
                <w:highlight w:val="none"/>
                <w:lang w:eastAsia="zh-CN"/>
              </w:rPr>
              <w:t>需求</w:t>
            </w:r>
            <w:r>
              <w:rPr>
                <w:rFonts w:hint="eastAsia" w:ascii="Times New Roman" w:eastAsia="宋体"/>
                <w:color w:val="auto"/>
                <w:szCs w:val="21"/>
                <w:highlight w:val="none"/>
                <w:lang w:val="en-US" w:eastAsia="zh-CN"/>
              </w:rPr>
              <w:t>要求</w:t>
            </w:r>
            <w:r>
              <w:rPr>
                <w:rFonts w:hint="eastAsia" w:eastAsia="宋体"/>
                <w:color w:val="auto"/>
                <w:szCs w:val="21"/>
                <w:highlight w:val="none"/>
                <w:lang w:eastAsia="zh-CN"/>
              </w:rPr>
              <w:t>详细列出，</w:t>
            </w:r>
            <w:r>
              <w:rPr>
                <w:rFonts w:hint="eastAsia" w:ascii="Times New Roman" w:eastAsia="宋体"/>
                <w:color w:val="auto"/>
                <w:szCs w:val="21"/>
                <w:highlight w:val="none"/>
                <w:lang w:val="en-US" w:eastAsia="zh-CN"/>
              </w:rPr>
              <w:t>仅</w:t>
            </w:r>
            <w:r>
              <w:rPr>
                <w:rFonts w:hint="eastAsia" w:eastAsia="宋体"/>
                <w:color w:val="auto"/>
                <w:szCs w:val="21"/>
                <w:highlight w:val="none"/>
                <w:lang w:eastAsia="zh-CN"/>
              </w:rPr>
              <w:t>能基本满足监测和采购需求</w:t>
            </w:r>
            <w:r>
              <w:rPr>
                <w:rFonts w:hint="eastAsia"/>
                <w:color w:val="auto"/>
                <w:szCs w:val="21"/>
                <w:highlight w:val="none"/>
              </w:rPr>
              <w:t>。</w:t>
            </w:r>
          </w:p>
          <w:p w14:paraId="07E947BF">
            <w:pPr>
              <w:rPr>
                <w:rFonts w:hint="eastAsia"/>
                <w:color w:val="auto"/>
                <w:szCs w:val="21"/>
                <w:highlight w:val="none"/>
              </w:rPr>
            </w:pPr>
            <w:r>
              <w:rPr>
                <w:rFonts w:hint="eastAsia"/>
                <w:color w:val="auto"/>
                <w:szCs w:val="21"/>
                <w:highlight w:val="none"/>
              </w:rPr>
              <w:t>二档（1</w:t>
            </w:r>
            <w:r>
              <w:rPr>
                <w:rFonts w:hint="eastAsia" w:ascii="Times New Roman" w:eastAsia="宋体"/>
                <w:color w:val="auto"/>
                <w:szCs w:val="21"/>
                <w:highlight w:val="none"/>
                <w:lang w:val="en-US" w:eastAsia="zh-CN"/>
              </w:rPr>
              <w:t>5</w:t>
            </w:r>
            <w:r>
              <w:rPr>
                <w:rFonts w:hint="eastAsia"/>
                <w:color w:val="auto"/>
                <w:szCs w:val="21"/>
                <w:highlight w:val="none"/>
              </w:rPr>
              <w:t>分）：</w:t>
            </w:r>
            <w:r>
              <w:rPr>
                <w:rFonts w:hint="eastAsia" w:eastAsia="宋体"/>
                <w:color w:val="auto"/>
                <w:szCs w:val="21"/>
                <w:highlight w:val="none"/>
                <w:lang w:eastAsia="zh-CN"/>
              </w:rPr>
              <w:t>方案有</w:t>
            </w:r>
            <w:r>
              <w:rPr>
                <w:rFonts w:hint="eastAsia" w:ascii="Times New Roman" w:eastAsia="宋体"/>
                <w:color w:val="auto"/>
                <w:highlight w:val="none"/>
                <w:lang w:val="en-US" w:eastAsia="zh-CN"/>
              </w:rPr>
              <w:t>1-300个范围内</w:t>
            </w:r>
            <w:r>
              <w:rPr>
                <w:rFonts w:hint="eastAsia" w:eastAsia="宋体"/>
                <w:color w:val="auto"/>
                <w:szCs w:val="21"/>
                <w:highlight w:val="none"/>
                <w:lang w:eastAsia="zh-CN"/>
              </w:rPr>
              <w:t>错敏词官网内容安全检查报告，监测云系统（平台）功能</w:t>
            </w:r>
            <w:r>
              <w:rPr>
                <w:rFonts w:hint="eastAsia" w:ascii="Times New Roman" w:eastAsia="宋体"/>
                <w:color w:val="auto"/>
                <w:szCs w:val="21"/>
                <w:highlight w:val="none"/>
                <w:lang w:val="en-US" w:eastAsia="zh-CN"/>
              </w:rPr>
              <w:t>能完全按照采购需求要求</w:t>
            </w:r>
            <w:r>
              <w:rPr>
                <w:rFonts w:hint="eastAsia" w:eastAsia="宋体"/>
                <w:color w:val="auto"/>
                <w:szCs w:val="21"/>
                <w:highlight w:val="none"/>
                <w:lang w:eastAsia="zh-CN"/>
              </w:rPr>
              <w:t>详细列出，能满足监测和采购需求</w:t>
            </w:r>
            <w:r>
              <w:rPr>
                <w:rFonts w:hint="eastAsia"/>
                <w:color w:val="auto"/>
                <w:szCs w:val="21"/>
                <w:highlight w:val="none"/>
              </w:rPr>
              <w:t>。</w:t>
            </w:r>
          </w:p>
          <w:p w14:paraId="2B2D39C3">
            <w:pPr>
              <w:rPr>
                <w:rFonts w:hint="eastAsia"/>
                <w:color w:val="auto"/>
                <w:szCs w:val="21"/>
                <w:highlight w:val="none"/>
              </w:rPr>
            </w:pPr>
            <w:r>
              <w:rPr>
                <w:rFonts w:hint="eastAsia"/>
                <w:color w:val="auto"/>
                <w:szCs w:val="21"/>
                <w:highlight w:val="none"/>
              </w:rPr>
              <w:t>三档（</w:t>
            </w:r>
            <w:r>
              <w:rPr>
                <w:rFonts w:hint="eastAsia" w:ascii="Times New Roman" w:eastAsia="宋体"/>
                <w:color w:val="auto"/>
                <w:szCs w:val="21"/>
                <w:highlight w:val="none"/>
                <w:lang w:val="en-US" w:eastAsia="zh-CN"/>
              </w:rPr>
              <w:t>20</w:t>
            </w:r>
            <w:r>
              <w:rPr>
                <w:rFonts w:hint="eastAsia"/>
                <w:color w:val="auto"/>
                <w:szCs w:val="21"/>
                <w:highlight w:val="none"/>
              </w:rPr>
              <w:t>分）：</w:t>
            </w:r>
            <w:r>
              <w:rPr>
                <w:rFonts w:hint="eastAsia" w:eastAsia="宋体"/>
                <w:color w:val="auto"/>
                <w:szCs w:val="21"/>
                <w:highlight w:val="none"/>
                <w:lang w:eastAsia="zh-CN"/>
              </w:rPr>
              <w:t>方案有</w:t>
            </w:r>
            <w:r>
              <w:rPr>
                <w:rFonts w:hint="eastAsia" w:ascii="Times New Roman" w:eastAsia="宋体"/>
                <w:color w:val="auto"/>
                <w:highlight w:val="none"/>
                <w:lang w:val="en-US" w:eastAsia="zh-CN"/>
              </w:rPr>
              <w:t>300个以上</w:t>
            </w:r>
            <w:r>
              <w:rPr>
                <w:rFonts w:hint="eastAsia" w:eastAsia="宋体"/>
                <w:color w:val="auto"/>
                <w:szCs w:val="21"/>
                <w:highlight w:val="none"/>
                <w:lang w:eastAsia="zh-CN"/>
              </w:rPr>
              <w:t>错敏词官网内容安全检查报告。</w:t>
            </w:r>
            <w:r>
              <w:rPr>
                <w:rFonts w:hint="eastAsia"/>
                <w:color w:val="auto"/>
                <w:szCs w:val="21"/>
                <w:highlight w:val="none"/>
              </w:rPr>
              <w:t>针对所投标项中的</w:t>
            </w:r>
            <w:r>
              <w:rPr>
                <w:rFonts w:hint="eastAsia" w:ascii="Times New Roman" w:eastAsia="宋体"/>
                <w:color w:val="auto"/>
                <w:szCs w:val="21"/>
                <w:highlight w:val="none"/>
                <w:lang w:val="en-US" w:eastAsia="zh-CN"/>
              </w:rPr>
              <w:t>提质增效</w:t>
            </w:r>
            <w:r>
              <w:rPr>
                <w:rFonts w:hint="eastAsia" w:eastAsia="宋体"/>
                <w:color w:val="auto"/>
                <w:szCs w:val="21"/>
                <w:highlight w:val="none"/>
                <w:lang w:eastAsia="zh-CN"/>
              </w:rPr>
              <w:t>服务内容</w:t>
            </w:r>
            <w:r>
              <w:rPr>
                <w:rFonts w:hint="eastAsia"/>
                <w:color w:val="auto"/>
                <w:szCs w:val="21"/>
                <w:highlight w:val="none"/>
              </w:rPr>
              <w:t>要求制订详细的策划方案及策划流程、主题，宣传制作规划能结合广西民族宗教的特点进行策划；明确每个阶段的推广重点；创意手段多样化</w:t>
            </w:r>
            <w:r>
              <w:rPr>
                <w:rFonts w:hint="eastAsia" w:eastAsia="宋体"/>
                <w:color w:val="auto"/>
                <w:szCs w:val="21"/>
                <w:highlight w:val="none"/>
                <w:lang w:eastAsia="zh-CN"/>
              </w:rPr>
              <w:t>，</w:t>
            </w:r>
            <w:r>
              <w:rPr>
                <w:rFonts w:hint="eastAsia"/>
                <w:color w:val="auto"/>
                <w:szCs w:val="21"/>
                <w:highlight w:val="none"/>
              </w:rPr>
              <w:t>拍摄及剪辑技巧成熟，内容符合采购人宣传要求。</w:t>
            </w:r>
          </w:p>
        </w:tc>
        <w:tc>
          <w:tcPr>
            <w:tcW w:w="1196" w:type="dxa"/>
            <w:vAlign w:val="center"/>
          </w:tcPr>
          <w:p w14:paraId="464E5757">
            <w:pPr>
              <w:rPr>
                <w:rFonts w:hint="default" w:eastAsia="宋体"/>
                <w:color w:val="auto"/>
                <w:szCs w:val="21"/>
                <w:highlight w:val="none"/>
                <w:lang w:val="en-US" w:eastAsia="zh-CN"/>
              </w:rPr>
            </w:pPr>
            <w:r>
              <w:rPr>
                <w:rFonts w:hint="eastAsia"/>
                <w:color w:val="auto"/>
                <w:szCs w:val="21"/>
                <w:highlight w:val="none"/>
              </w:rPr>
              <w:t>0</w:t>
            </w:r>
            <w:r>
              <w:rPr>
                <w:color w:val="auto"/>
                <w:szCs w:val="21"/>
                <w:highlight w:val="none"/>
              </w:rPr>
              <w:t>-</w:t>
            </w:r>
            <w:r>
              <w:rPr>
                <w:rFonts w:hint="eastAsia" w:ascii="Times New Roman" w:eastAsia="宋体"/>
                <w:color w:val="auto"/>
                <w:szCs w:val="21"/>
                <w:highlight w:val="none"/>
                <w:lang w:val="en-US" w:eastAsia="zh-CN"/>
              </w:rPr>
              <w:t>20</w:t>
            </w:r>
          </w:p>
        </w:tc>
        <w:tc>
          <w:tcPr>
            <w:tcW w:w="1029" w:type="dxa"/>
            <w:vAlign w:val="center"/>
          </w:tcPr>
          <w:p w14:paraId="1A423861">
            <w:pPr>
              <w:rPr>
                <w:color w:val="auto"/>
                <w:szCs w:val="21"/>
                <w:highlight w:val="none"/>
              </w:rPr>
            </w:pPr>
          </w:p>
        </w:tc>
      </w:tr>
      <w:tr w14:paraId="0947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209C8AD8">
            <w:pPr>
              <w:jc w:val="center"/>
              <w:rPr>
                <w:rFonts w:hint="eastAsia" w:eastAsia="宋体"/>
                <w:b/>
                <w:color w:val="auto"/>
                <w:szCs w:val="21"/>
                <w:highlight w:val="none"/>
                <w:lang w:val="en-US" w:eastAsia="zh-CN"/>
              </w:rPr>
            </w:pPr>
            <w:r>
              <w:rPr>
                <w:rFonts w:hint="eastAsia" w:ascii="Times New Roman" w:eastAsia="宋体"/>
                <w:b/>
                <w:color w:val="auto"/>
                <w:szCs w:val="21"/>
                <w:highlight w:val="none"/>
                <w:lang w:val="en-US" w:eastAsia="zh-CN"/>
              </w:rPr>
              <w:t>2</w:t>
            </w:r>
          </w:p>
        </w:tc>
        <w:tc>
          <w:tcPr>
            <w:tcW w:w="988" w:type="dxa"/>
            <w:vAlign w:val="center"/>
          </w:tcPr>
          <w:p w14:paraId="1EB9702F">
            <w:pPr>
              <w:jc w:val="center"/>
              <w:rPr>
                <w:rFonts w:hint="eastAsia"/>
                <w:color w:val="auto"/>
                <w:szCs w:val="21"/>
                <w:highlight w:val="none"/>
              </w:rPr>
            </w:pPr>
            <w:r>
              <w:rPr>
                <w:rFonts w:hint="eastAsia"/>
                <w:color w:val="auto"/>
                <w:szCs w:val="21"/>
                <w:highlight w:val="none"/>
              </w:rPr>
              <w:t>技术分</w:t>
            </w:r>
          </w:p>
        </w:tc>
        <w:tc>
          <w:tcPr>
            <w:tcW w:w="4600" w:type="dxa"/>
            <w:vAlign w:val="center"/>
          </w:tcPr>
          <w:p w14:paraId="2B2BA2A7">
            <w:pPr>
              <w:rPr>
                <w:rFonts w:hint="eastAsia"/>
                <w:color w:val="auto"/>
                <w:szCs w:val="21"/>
                <w:highlight w:val="none"/>
              </w:rPr>
            </w:pPr>
            <w:r>
              <w:rPr>
                <w:rFonts w:hint="eastAsia"/>
                <w:color w:val="auto"/>
                <w:szCs w:val="21"/>
                <w:highlight w:val="none"/>
              </w:rPr>
              <w:t>网站提质增效实施方案（3</w:t>
            </w:r>
            <w:r>
              <w:rPr>
                <w:rFonts w:hint="eastAsia" w:ascii="Times New Roman" w:eastAsia="宋体"/>
                <w:color w:val="auto"/>
                <w:szCs w:val="21"/>
                <w:highlight w:val="none"/>
                <w:lang w:val="en-US" w:eastAsia="zh-CN"/>
              </w:rPr>
              <w:t>5</w:t>
            </w:r>
            <w:r>
              <w:rPr>
                <w:rFonts w:hint="eastAsia"/>
                <w:color w:val="auto"/>
                <w:szCs w:val="21"/>
                <w:highlight w:val="none"/>
              </w:rPr>
              <w:t>分）</w:t>
            </w:r>
          </w:p>
          <w:p w14:paraId="00D0C489">
            <w:pPr>
              <w:rPr>
                <w:rFonts w:hint="eastAsia"/>
                <w:color w:val="auto"/>
                <w:szCs w:val="21"/>
                <w:highlight w:val="none"/>
              </w:rPr>
            </w:pPr>
            <w:r>
              <w:rPr>
                <w:rFonts w:hint="eastAsia"/>
                <w:color w:val="auto"/>
                <w:szCs w:val="21"/>
                <w:highlight w:val="none"/>
              </w:rPr>
              <w:t>一档（</w:t>
            </w:r>
            <w:r>
              <w:rPr>
                <w:rFonts w:hint="eastAsia" w:ascii="Times New Roman" w:eastAsia="宋体"/>
                <w:color w:val="auto"/>
                <w:szCs w:val="21"/>
                <w:highlight w:val="none"/>
                <w:lang w:val="en-US" w:eastAsia="zh-CN"/>
              </w:rPr>
              <w:t>11</w:t>
            </w:r>
            <w:r>
              <w:rPr>
                <w:rFonts w:hint="eastAsia"/>
                <w:color w:val="auto"/>
                <w:szCs w:val="21"/>
                <w:highlight w:val="none"/>
              </w:rPr>
              <w:t>分）：</w:t>
            </w:r>
            <w:r>
              <w:rPr>
                <w:rFonts w:hint="eastAsia" w:eastAsia="宋体"/>
                <w:color w:val="auto"/>
                <w:szCs w:val="21"/>
                <w:highlight w:val="none"/>
                <w:lang w:eastAsia="zh-CN"/>
              </w:rPr>
              <w:t>无预评估报告（</w:t>
            </w:r>
            <w:r>
              <w:rPr>
                <w:rFonts w:hint="eastAsia"/>
                <w:color w:val="auto"/>
                <w:szCs w:val="21"/>
                <w:highlight w:val="none"/>
              </w:rPr>
              <w:t>根据全区政府网站提质增效实施方案的指标，提出具体服务方案，梳理网站资源，优化栏目结构，指导开设相关栏目，相关服务功能建设。根据自治区+国办绩效考核指标，对网站进行内容更新情况检查，提供整改咨询、整改指导服务，检查各个栏目发错、发漏情况，检查栏目开设合理情况形成</w:t>
            </w:r>
            <w:r>
              <w:rPr>
                <w:rFonts w:hint="eastAsia" w:eastAsia="宋体"/>
                <w:color w:val="auto"/>
                <w:szCs w:val="21"/>
                <w:highlight w:val="none"/>
                <w:lang w:eastAsia="zh-CN"/>
              </w:rPr>
              <w:t>），网站提质增效描写方案功能</w:t>
            </w:r>
            <w:r>
              <w:rPr>
                <w:rFonts w:hint="eastAsia" w:ascii="Times New Roman" w:eastAsia="宋体"/>
                <w:color w:val="auto"/>
                <w:szCs w:val="21"/>
                <w:highlight w:val="none"/>
                <w:lang w:val="en-US" w:eastAsia="zh-CN"/>
              </w:rPr>
              <w:t>能分析出1个问题以上，</w:t>
            </w:r>
            <w:r>
              <w:rPr>
                <w:rFonts w:hint="eastAsia" w:eastAsia="宋体"/>
                <w:color w:val="auto"/>
                <w:szCs w:val="21"/>
                <w:highlight w:val="none"/>
                <w:lang w:eastAsia="zh-CN"/>
              </w:rPr>
              <w:t>基本满足监测需求</w:t>
            </w:r>
            <w:r>
              <w:rPr>
                <w:rFonts w:hint="eastAsia"/>
                <w:color w:val="auto"/>
                <w:szCs w:val="21"/>
                <w:highlight w:val="none"/>
              </w:rPr>
              <w:t>。</w:t>
            </w:r>
          </w:p>
          <w:p w14:paraId="739072A4">
            <w:pPr>
              <w:rPr>
                <w:rFonts w:hint="eastAsia"/>
                <w:color w:val="auto"/>
                <w:szCs w:val="21"/>
                <w:highlight w:val="none"/>
              </w:rPr>
            </w:pPr>
            <w:r>
              <w:rPr>
                <w:rFonts w:hint="eastAsia"/>
                <w:color w:val="auto"/>
                <w:szCs w:val="21"/>
                <w:highlight w:val="none"/>
              </w:rPr>
              <w:t>二档（</w:t>
            </w:r>
            <w:r>
              <w:rPr>
                <w:rFonts w:hint="eastAsia" w:ascii="Times New Roman" w:eastAsia="宋体"/>
                <w:color w:val="auto"/>
                <w:szCs w:val="21"/>
                <w:highlight w:val="none"/>
                <w:lang w:val="en-US" w:eastAsia="zh-CN"/>
              </w:rPr>
              <w:t>23</w:t>
            </w:r>
            <w:r>
              <w:rPr>
                <w:rFonts w:hint="eastAsia"/>
                <w:color w:val="auto"/>
                <w:szCs w:val="21"/>
                <w:highlight w:val="none"/>
              </w:rPr>
              <w:t>分）：</w:t>
            </w:r>
            <w:r>
              <w:rPr>
                <w:rFonts w:hint="eastAsia" w:eastAsia="宋体"/>
                <w:color w:val="auto"/>
                <w:szCs w:val="21"/>
                <w:highlight w:val="none"/>
                <w:lang w:eastAsia="zh-CN"/>
              </w:rPr>
              <w:t>有预评估报告（</w:t>
            </w:r>
            <w:r>
              <w:rPr>
                <w:rFonts w:hint="eastAsia"/>
                <w:color w:val="auto"/>
                <w:szCs w:val="21"/>
                <w:highlight w:val="none"/>
              </w:rPr>
              <w:t>根据全区政府网站提质增效实施方案的指标，提出具体服务方案，梳理网站资源，优化栏目结构，指导开设相关栏目，相关服务功能建设。根据自治区+国办绩效考核指标，对网站进行内容更新情况检查，提供整改咨询、整改指导服务，检查各个栏目发错、发漏情况，检查栏目开设合理情况形成</w:t>
            </w:r>
            <w:r>
              <w:rPr>
                <w:rFonts w:hint="eastAsia" w:eastAsia="宋体"/>
                <w:color w:val="auto"/>
                <w:szCs w:val="21"/>
                <w:highlight w:val="none"/>
                <w:lang w:eastAsia="zh-CN"/>
              </w:rPr>
              <w:t>），网站提质增效描写方案功能</w:t>
            </w:r>
            <w:r>
              <w:rPr>
                <w:rFonts w:hint="eastAsia" w:ascii="Times New Roman" w:eastAsia="宋体"/>
                <w:color w:val="auto"/>
                <w:szCs w:val="21"/>
                <w:highlight w:val="none"/>
                <w:lang w:val="en-US" w:eastAsia="zh-CN"/>
              </w:rPr>
              <w:t>能分析出3个问题以上，</w:t>
            </w:r>
            <w:r>
              <w:rPr>
                <w:rFonts w:hint="eastAsia" w:eastAsia="宋体"/>
                <w:color w:val="auto"/>
                <w:szCs w:val="21"/>
                <w:highlight w:val="none"/>
                <w:lang w:eastAsia="zh-CN"/>
              </w:rPr>
              <w:t>能满足监测需求</w:t>
            </w:r>
            <w:r>
              <w:rPr>
                <w:rFonts w:hint="eastAsia"/>
                <w:color w:val="auto"/>
                <w:szCs w:val="21"/>
                <w:highlight w:val="none"/>
              </w:rPr>
              <w:t>。</w:t>
            </w:r>
          </w:p>
          <w:p w14:paraId="76D26D94">
            <w:pPr>
              <w:rPr>
                <w:rFonts w:hint="eastAsia"/>
                <w:color w:val="auto"/>
                <w:szCs w:val="21"/>
                <w:highlight w:val="none"/>
              </w:rPr>
            </w:pPr>
            <w:r>
              <w:rPr>
                <w:rFonts w:hint="eastAsia"/>
                <w:color w:val="auto"/>
                <w:szCs w:val="21"/>
                <w:highlight w:val="none"/>
              </w:rPr>
              <w:t>三档（</w:t>
            </w:r>
            <w:r>
              <w:rPr>
                <w:rFonts w:hint="eastAsia" w:ascii="Times New Roman" w:eastAsia="宋体"/>
                <w:color w:val="auto"/>
                <w:szCs w:val="21"/>
                <w:highlight w:val="none"/>
                <w:lang w:val="en-US" w:eastAsia="zh-CN"/>
              </w:rPr>
              <w:t>35</w:t>
            </w:r>
            <w:r>
              <w:rPr>
                <w:rFonts w:hint="eastAsia"/>
                <w:color w:val="auto"/>
                <w:szCs w:val="21"/>
                <w:highlight w:val="none"/>
              </w:rPr>
              <w:t>分）：有预评估报告</w:t>
            </w:r>
            <w:r>
              <w:rPr>
                <w:rFonts w:hint="eastAsia" w:eastAsia="宋体"/>
                <w:color w:val="auto"/>
                <w:szCs w:val="21"/>
                <w:highlight w:val="none"/>
                <w:lang w:eastAsia="zh-CN"/>
              </w:rPr>
              <w:t>（</w:t>
            </w:r>
            <w:r>
              <w:rPr>
                <w:rFonts w:hint="eastAsia"/>
                <w:color w:val="auto"/>
                <w:szCs w:val="21"/>
                <w:highlight w:val="none"/>
              </w:rPr>
              <w:t>根据全区政府网站提质增效实施方案的指标，提出具体服务方案，梳理网站资源，优化栏目结构，指导开设相关栏目，相关服务功能建设。根据自治区+国办绩效考核指标，对网站进行内容更新情况检查，提供整改咨询、整改指导服务，检查各个栏目发错、发漏情况，检查栏目开设合理情况形成</w:t>
            </w:r>
            <w:r>
              <w:rPr>
                <w:rFonts w:hint="eastAsia" w:eastAsia="宋体"/>
                <w:color w:val="auto"/>
                <w:szCs w:val="21"/>
                <w:highlight w:val="none"/>
                <w:lang w:eastAsia="zh-CN"/>
              </w:rPr>
              <w:t>），</w:t>
            </w:r>
            <w:r>
              <w:rPr>
                <w:rFonts w:hint="eastAsia"/>
                <w:color w:val="auto"/>
                <w:szCs w:val="21"/>
                <w:highlight w:val="none"/>
              </w:rPr>
              <w:t>准确描述出目前存在的问题和实时打分提出相关建议和做法需求；</w:t>
            </w:r>
            <w:r>
              <w:rPr>
                <w:rFonts w:hint="eastAsia" w:ascii="Times New Roman" w:eastAsia="宋体"/>
                <w:color w:val="auto"/>
                <w:szCs w:val="21"/>
                <w:highlight w:val="none"/>
                <w:lang w:val="en-US" w:eastAsia="zh-CN"/>
              </w:rPr>
              <w:t>能分析出5个问题以上，</w:t>
            </w:r>
            <w:r>
              <w:rPr>
                <w:rFonts w:hint="eastAsia"/>
                <w:color w:val="auto"/>
                <w:szCs w:val="21"/>
                <w:highlight w:val="none"/>
              </w:rPr>
              <w:t>网站提质增效项目实施方案详实，能切合本项目实际提供相关服务升级模块、工作建议和提质增效指标和网站季度检查对接方案，方案能清楚地表明对本项目的熟悉程度；保证项目实施的技术力量和人力资源安排充足，技术服务、技术培训的服务内容和措施完善，对网站和政务新媒体检测服务项目验收方法或建议方案同比更完善有效、更优化、切实可行的。</w:t>
            </w:r>
          </w:p>
        </w:tc>
        <w:tc>
          <w:tcPr>
            <w:tcW w:w="1196" w:type="dxa"/>
            <w:vAlign w:val="center"/>
          </w:tcPr>
          <w:p w14:paraId="6164F28B">
            <w:pPr>
              <w:rPr>
                <w:rFonts w:hint="default" w:eastAsia="宋体"/>
                <w:color w:val="auto"/>
                <w:szCs w:val="21"/>
                <w:highlight w:val="none"/>
                <w:lang w:val="en-US" w:eastAsia="zh-CN"/>
              </w:rPr>
            </w:pPr>
            <w:r>
              <w:rPr>
                <w:rFonts w:hint="eastAsia" w:ascii="Times New Roman" w:eastAsia="宋体"/>
                <w:color w:val="auto"/>
                <w:szCs w:val="21"/>
                <w:highlight w:val="none"/>
                <w:lang w:val="en-US" w:eastAsia="zh-CN"/>
              </w:rPr>
              <w:t>0-35</w:t>
            </w:r>
          </w:p>
        </w:tc>
        <w:tc>
          <w:tcPr>
            <w:tcW w:w="1029" w:type="dxa"/>
            <w:vAlign w:val="center"/>
          </w:tcPr>
          <w:p w14:paraId="14AE3F7E">
            <w:pPr>
              <w:rPr>
                <w:color w:val="auto"/>
                <w:szCs w:val="21"/>
                <w:highlight w:val="none"/>
              </w:rPr>
            </w:pPr>
          </w:p>
        </w:tc>
      </w:tr>
      <w:tr w14:paraId="11F8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6523AB0B">
            <w:pPr>
              <w:jc w:val="center"/>
              <w:rPr>
                <w:rFonts w:hint="eastAsia" w:eastAsia="宋体"/>
                <w:b/>
                <w:color w:val="auto"/>
                <w:szCs w:val="21"/>
                <w:highlight w:val="none"/>
                <w:lang w:val="en-US" w:eastAsia="zh-CN"/>
              </w:rPr>
            </w:pPr>
            <w:r>
              <w:rPr>
                <w:rFonts w:hint="eastAsia" w:ascii="Times New Roman" w:eastAsia="宋体"/>
                <w:b/>
                <w:color w:val="auto"/>
                <w:szCs w:val="21"/>
                <w:highlight w:val="none"/>
                <w:lang w:val="en-US" w:eastAsia="zh-CN"/>
              </w:rPr>
              <w:t>3</w:t>
            </w:r>
          </w:p>
        </w:tc>
        <w:tc>
          <w:tcPr>
            <w:tcW w:w="988" w:type="dxa"/>
            <w:vAlign w:val="center"/>
          </w:tcPr>
          <w:p w14:paraId="21B81577">
            <w:pPr>
              <w:jc w:val="center"/>
              <w:rPr>
                <w:rFonts w:hint="eastAsia"/>
                <w:color w:val="auto"/>
                <w:szCs w:val="21"/>
                <w:highlight w:val="none"/>
              </w:rPr>
            </w:pPr>
            <w:r>
              <w:rPr>
                <w:rFonts w:hint="eastAsia"/>
                <w:color w:val="auto"/>
                <w:szCs w:val="21"/>
                <w:highlight w:val="none"/>
              </w:rPr>
              <w:t>技术分</w:t>
            </w:r>
          </w:p>
        </w:tc>
        <w:tc>
          <w:tcPr>
            <w:tcW w:w="4600" w:type="dxa"/>
            <w:vAlign w:val="center"/>
          </w:tcPr>
          <w:p w14:paraId="46C01148">
            <w:pPr>
              <w:rPr>
                <w:rFonts w:hint="eastAsia"/>
                <w:color w:val="auto"/>
                <w:szCs w:val="21"/>
                <w:highlight w:val="none"/>
              </w:rPr>
            </w:pPr>
            <w:r>
              <w:rPr>
                <w:rFonts w:hint="eastAsia"/>
                <w:color w:val="auto"/>
                <w:szCs w:val="21"/>
                <w:highlight w:val="none"/>
              </w:rPr>
              <w:t>售后服务方案（1</w:t>
            </w:r>
            <w:r>
              <w:rPr>
                <w:rFonts w:hint="eastAsia" w:ascii="Times New Roman" w:eastAsia="宋体"/>
                <w:color w:val="auto"/>
                <w:szCs w:val="21"/>
                <w:highlight w:val="none"/>
                <w:lang w:val="en-US" w:eastAsia="zh-CN"/>
              </w:rPr>
              <w:t>0</w:t>
            </w:r>
            <w:r>
              <w:rPr>
                <w:rFonts w:hint="eastAsia"/>
                <w:color w:val="auto"/>
                <w:szCs w:val="21"/>
                <w:highlight w:val="none"/>
              </w:rPr>
              <w:t>分）</w:t>
            </w:r>
          </w:p>
          <w:p w14:paraId="0031D9F3">
            <w:pPr>
              <w:rPr>
                <w:rFonts w:hint="eastAsia"/>
                <w:color w:val="auto"/>
                <w:szCs w:val="21"/>
                <w:highlight w:val="none"/>
              </w:rPr>
            </w:pPr>
            <w:r>
              <w:rPr>
                <w:rFonts w:hint="eastAsia"/>
                <w:color w:val="auto"/>
                <w:szCs w:val="21"/>
                <w:highlight w:val="none"/>
              </w:rPr>
              <w:t>由</w:t>
            </w:r>
            <w:r>
              <w:rPr>
                <w:rFonts w:hint="eastAsia" w:ascii="Times New Roman" w:eastAsia="宋体"/>
                <w:color w:val="auto"/>
                <w:szCs w:val="21"/>
                <w:highlight w:val="none"/>
                <w:lang w:val="en-US" w:eastAsia="zh-CN"/>
              </w:rPr>
              <w:t>磋商</w:t>
            </w:r>
            <w:r>
              <w:rPr>
                <w:rFonts w:hint="eastAsia"/>
                <w:color w:val="auto"/>
                <w:szCs w:val="21"/>
                <w:highlight w:val="none"/>
              </w:rPr>
              <w:t>小组根据</w:t>
            </w:r>
            <w:r>
              <w:rPr>
                <w:rFonts w:hint="eastAsia" w:ascii="Times New Roman" w:eastAsia="宋体"/>
                <w:color w:val="auto"/>
                <w:szCs w:val="21"/>
                <w:highlight w:val="none"/>
                <w:lang w:val="en-US" w:eastAsia="zh-CN"/>
              </w:rPr>
              <w:t>各供应商提供的</w:t>
            </w:r>
            <w:r>
              <w:rPr>
                <w:rFonts w:hint="eastAsia"/>
                <w:color w:val="auto"/>
                <w:szCs w:val="21"/>
                <w:highlight w:val="none"/>
              </w:rPr>
              <w:t>售后服务方案，从可行性、完善度、响应服务需求、质量保证措施等方面，进行</w:t>
            </w:r>
            <w:r>
              <w:rPr>
                <w:rFonts w:hint="eastAsia" w:ascii="Times New Roman" w:eastAsia="宋体"/>
                <w:color w:val="auto"/>
                <w:szCs w:val="21"/>
                <w:highlight w:val="none"/>
                <w:lang w:val="en-US" w:eastAsia="zh-CN"/>
              </w:rPr>
              <w:t>独立评分</w:t>
            </w:r>
            <w:r>
              <w:rPr>
                <w:rFonts w:hint="eastAsia"/>
                <w:color w:val="auto"/>
                <w:szCs w:val="21"/>
                <w:highlight w:val="none"/>
              </w:rPr>
              <w:t>。</w:t>
            </w:r>
          </w:p>
          <w:p w14:paraId="3E8D7C7E">
            <w:pPr>
              <w:rPr>
                <w:rFonts w:hint="eastAsia"/>
                <w:color w:val="auto"/>
                <w:szCs w:val="21"/>
                <w:highlight w:val="none"/>
              </w:rPr>
            </w:pPr>
            <w:r>
              <w:rPr>
                <w:rFonts w:hint="eastAsia"/>
                <w:color w:val="auto"/>
                <w:szCs w:val="21"/>
                <w:highlight w:val="none"/>
              </w:rPr>
              <w:t>一档（</w:t>
            </w:r>
            <w:r>
              <w:rPr>
                <w:rFonts w:hint="eastAsia" w:ascii="Times New Roman" w:eastAsia="宋体"/>
                <w:color w:val="auto"/>
                <w:szCs w:val="21"/>
                <w:highlight w:val="none"/>
                <w:lang w:val="en-US" w:eastAsia="zh-CN"/>
              </w:rPr>
              <w:t>4</w:t>
            </w:r>
            <w:r>
              <w:rPr>
                <w:rFonts w:hint="eastAsia"/>
                <w:color w:val="auto"/>
                <w:szCs w:val="21"/>
                <w:highlight w:val="none"/>
              </w:rPr>
              <w:t>分）：提供</w:t>
            </w:r>
            <w:r>
              <w:rPr>
                <w:rFonts w:hint="eastAsia" w:ascii="Times New Roman" w:eastAsia="宋体"/>
                <w:color w:val="auto"/>
                <w:szCs w:val="21"/>
                <w:highlight w:val="none"/>
                <w:lang w:val="en-US" w:eastAsia="zh-CN"/>
              </w:rPr>
              <w:t>的</w:t>
            </w:r>
            <w:r>
              <w:rPr>
                <w:rFonts w:hint="eastAsia"/>
                <w:color w:val="auto"/>
                <w:szCs w:val="21"/>
                <w:highlight w:val="none"/>
              </w:rPr>
              <w:t xml:space="preserve">方案至少包含售后服务承诺、售后服务及保障能力、响应方式、响应流程。 </w:t>
            </w:r>
          </w:p>
          <w:p w14:paraId="5B029B70">
            <w:pPr>
              <w:rPr>
                <w:rFonts w:hint="eastAsia"/>
                <w:color w:val="auto"/>
                <w:szCs w:val="21"/>
                <w:highlight w:val="none"/>
              </w:rPr>
            </w:pPr>
            <w:r>
              <w:rPr>
                <w:rFonts w:hint="eastAsia"/>
                <w:color w:val="auto"/>
                <w:szCs w:val="21"/>
                <w:highlight w:val="none"/>
              </w:rPr>
              <w:t>二档（</w:t>
            </w:r>
            <w:r>
              <w:rPr>
                <w:rFonts w:hint="eastAsia" w:ascii="Times New Roman" w:eastAsia="宋体"/>
                <w:color w:val="auto"/>
                <w:szCs w:val="21"/>
                <w:highlight w:val="none"/>
                <w:lang w:val="en-US" w:eastAsia="zh-CN"/>
              </w:rPr>
              <w:t>7</w:t>
            </w:r>
            <w:r>
              <w:rPr>
                <w:rFonts w:hint="eastAsia"/>
                <w:color w:val="auto"/>
                <w:szCs w:val="21"/>
                <w:highlight w:val="none"/>
              </w:rPr>
              <w:t>分）：提供</w:t>
            </w:r>
            <w:r>
              <w:rPr>
                <w:rFonts w:hint="eastAsia" w:ascii="Times New Roman" w:eastAsia="宋体"/>
                <w:color w:val="auto"/>
                <w:szCs w:val="21"/>
                <w:highlight w:val="none"/>
                <w:lang w:val="en-US" w:eastAsia="zh-CN"/>
              </w:rPr>
              <w:t>的</w:t>
            </w:r>
            <w:r>
              <w:rPr>
                <w:rFonts w:hint="eastAsia"/>
                <w:color w:val="auto"/>
                <w:szCs w:val="21"/>
                <w:highlight w:val="none"/>
              </w:rPr>
              <w:t>方案至少包含售后服务承诺、售后服务及保障能力、响应方式、响应流程、服务规范和服务文件。</w:t>
            </w:r>
          </w:p>
          <w:p w14:paraId="37E23A71">
            <w:pPr>
              <w:rPr>
                <w:color w:val="auto"/>
                <w:szCs w:val="21"/>
                <w:highlight w:val="none"/>
              </w:rPr>
            </w:pPr>
            <w:r>
              <w:rPr>
                <w:rFonts w:hint="eastAsia"/>
                <w:color w:val="auto"/>
                <w:szCs w:val="21"/>
                <w:highlight w:val="none"/>
              </w:rPr>
              <w:t>三档（1</w:t>
            </w:r>
            <w:r>
              <w:rPr>
                <w:rFonts w:hint="eastAsia" w:ascii="Times New Roman" w:eastAsia="宋体"/>
                <w:color w:val="auto"/>
                <w:szCs w:val="21"/>
                <w:highlight w:val="none"/>
                <w:lang w:val="en-US" w:eastAsia="zh-CN"/>
              </w:rPr>
              <w:t>0</w:t>
            </w:r>
            <w:r>
              <w:rPr>
                <w:rFonts w:hint="eastAsia"/>
                <w:color w:val="auto"/>
                <w:szCs w:val="21"/>
                <w:highlight w:val="none"/>
              </w:rPr>
              <w:t>分）：提供</w:t>
            </w:r>
            <w:r>
              <w:rPr>
                <w:rFonts w:hint="eastAsia" w:ascii="Times New Roman" w:eastAsia="宋体"/>
                <w:color w:val="auto"/>
                <w:szCs w:val="21"/>
                <w:highlight w:val="none"/>
                <w:lang w:val="en-US" w:eastAsia="zh-CN"/>
              </w:rPr>
              <w:t>的</w:t>
            </w:r>
            <w:r>
              <w:rPr>
                <w:rFonts w:hint="eastAsia"/>
                <w:color w:val="auto"/>
                <w:szCs w:val="21"/>
                <w:highlight w:val="none"/>
              </w:rPr>
              <w:t>完备方案至少包含售后服务承诺、售后服务及保障能力、响应方式、响应流程、服务规范</w:t>
            </w:r>
            <w:r>
              <w:rPr>
                <w:rFonts w:hint="eastAsia" w:eastAsia="宋体"/>
                <w:color w:val="auto"/>
                <w:szCs w:val="21"/>
                <w:highlight w:val="none"/>
                <w:lang w:eastAsia="zh-CN"/>
              </w:rPr>
              <w:t>、</w:t>
            </w:r>
            <w:r>
              <w:rPr>
                <w:rFonts w:hint="eastAsia"/>
                <w:color w:val="auto"/>
                <w:szCs w:val="21"/>
                <w:highlight w:val="none"/>
              </w:rPr>
              <w:t>服务文件、服务流程的优化、技术服务期限、响应时间、技术服务内容</w:t>
            </w:r>
            <w:r>
              <w:rPr>
                <w:rFonts w:hint="eastAsia" w:eastAsia="宋体"/>
                <w:color w:val="auto"/>
                <w:szCs w:val="21"/>
                <w:highlight w:val="none"/>
                <w:lang w:eastAsia="zh-CN"/>
              </w:rPr>
              <w:t>，</w:t>
            </w:r>
            <w:r>
              <w:rPr>
                <w:rFonts w:hint="eastAsia" w:ascii="Times New Roman" w:eastAsia="宋体"/>
                <w:color w:val="auto"/>
                <w:szCs w:val="21"/>
                <w:highlight w:val="none"/>
                <w:lang w:val="en-US" w:eastAsia="zh-CN"/>
              </w:rPr>
              <w:t>并</w:t>
            </w:r>
            <w:r>
              <w:rPr>
                <w:rFonts w:hint="eastAsia"/>
                <w:color w:val="auto"/>
                <w:szCs w:val="21"/>
                <w:highlight w:val="none"/>
              </w:rPr>
              <w:t>承诺提供周一至周五全天，采购人提出协助请求后，供应商工程师在30分钟内响应处理故障。</w:t>
            </w:r>
          </w:p>
        </w:tc>
        <w:tc>
          <w:tcPr>
            <w:tcW w:w="1196" w:type="dxa"/>
            <w:vAlign w:val="center"/>
          </w:tcPr>
          <w:p w14:paraId="44313A09">
            <w:pPr>
              <w:rPr>
                <w:rFonts w:hint="default" w:eastAsia="宋体"/>
                <w:color w:val="auto"/>
                <w:szCs w:val="21"/>
                <w:highlight w:val="none"/>
                <w:lang w:val="en-US" w:eastAsia="zh-CN"/>
              </w:rPr>
            </w:pPr>
            <w:r>
              <w:rPr>
                <w:rFonts w:hint="eastAsia" w:ascii="Times New Roman" w:eastAsia="宋体"/>
                <w:color w:val="auto"/>
                <w:szCs w:val="21"/>
                <w:highlight w:val="none"/>
                <w:lang w:val="en-US" w:eastAsia="zh-CN"/>
              </w:rPr>
              <w:t>0-10</w:t>
            </w:r>
          </w:p>
        </w:tc>
        <w:tc>
          <w:tcPr>
            <w:tcW w:w="1029" w:type="dxa"/>
            <w:vAlign w:val="center"/>
          </w:tcPr>
          <w:p w14:paraId="5C86A0A5">
            <w:pPr>
              <w:rPr>
                <w:color w:val="auto"/>
                <w:szCs w:val="21"/>
                <w:highlight w:val="none"/>
              </w:rPr>
            </w:pPr>
          </w:p>
        </w:tc>
      </w:tr>
      <w:tr w14:paraId="22D4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08" w:type="dxa"/>
            <w:vAlign w:val="center"/>
          </w:tcPr>
          <w:p w14:paraId="64693E1B">
            <w:pPr>
              <w:jc w:val="center"/>
              <w:rPr>
                <w:rFonts w:hint="eastAsia" w:eastAsia="宋体"/>
                <w:b/>
                <w:color w:val="auto"/>
                <w:szCs w:val="21"/>
                <w:highlight w:val="none"/>
                <w:lang w:val="en-US" w:eastAsia="zh-CN"/>
              </w:rPr>
            </w:pPr>
            <w:r>
              <w:rPr>
                <w:rFonts w:hint="eastAsia" w:ascii="Times New Roman" w:eastAsia="宋体"/>
                <w:b/>
                <w:color w:val="auto"/>
                <w:szCs w:val="21"/>
                <w:highlight w:val="none"/>
                <w:lang w:val="en-US" w:eastAsia="zh-CN"/>
              </w:rPr>
              <w:t>4</w:t>
            </w:r>
          </w:p>
        </w:tc>
        <w:tc>
          <w:tcPr>
            <w:tcW w:w="988" w:type="dxa"/>
            <w:vAlign w:val="center"/>
          </w:tcPr>
          <w:p w14:paraId="2EDA7B7B">
            <w:pPr>
              <w:jc w:val="center"/>
              <w:rPr>
                <w:rFonts w:hint="eastAsia"/>
                <w:color w:val="auto"/>
                <w:szCs w:val="21"/>
                <w:highlight w:val="none"/>
              </w:rPr>
            </w:pPr>
            <w:r>
              <w:rPr>
                <w:rFonts w:hint="eastAsia"/>
                <w:color w:val="auto"/>
                <w:szCs w:val="21"/>
                <w:highlight w:val="none"/>
              </w:rPr>
              <w:t>商务资信分</w:t>
            </w:r>
          </w:p>
        </w:tc>
        <w:tc>
          <w:tcPr>
            <w:tcW w:w="4600" w:type="dxa"/>
            <w:vAlign w:val="center"/>
          </w:tcPr>
          <w:p w14:paraId="407C93EB">
            <w:pPr>
              <w:rPr>
                <w:rFonts w:hint="eastAsia"/>
                <w:color w:val="auto"/>
                <w:szCs w:val="21"/>
                <w:highlight w:val="none"/>
              </w:rPr>
            </w:pPr>
            <w:r>
              <w:rPr>
                <w:rFonts w:hint="eastAsia"/>
                <w:color w:val="auto"/>
                <w:szCs w:val="21"/>
                <w:highlight w:val="none"/>
              </w:rPr>
              <w:t>（1）供应商具有相关信息安全管理体系认证ISO27001、ISO9001质量管理体系认证证书、ISO45001职业健康安全管理体系认证证书、IS014001环境管理体系认证证书。有类似以上证书每项得1分，缺少不得分，满分为</w:t>
            </w:r>
            <w:r>
              <w:rPr>
                <w:rFonts w:hint="eastAsia" w:ascii="Times New Roman" w:eastAsia="宋体"/>
                <w:color w:val="auto"/>
                <w:szCs w:val="21"/>
                <w:highlight w:val="none"/>
                <w:lang w:val="en-US" w:eastAsia="zh-CN"/>
              </w:rPr>
              <w:t>4</w:t>
            </w:r>
            <w:r>
              <w:rPr>
                <w:rFonts w:hint="eastAsia"/>
                <w:color w:val="auto"/>
                <w:szCs w:val="21"/>
                <w:highlight w:val="none"/>
              </w:rPr>
              <w:t>分。（提供证书复印件/扫描件并加盖供应商公章，不提供不得分。）</w:t>
            </w:r>
          </w:p>
          <w:p w14:paraId="5C6851F4">
            <w:pPr>
              <w:rPr>
                <w:rFonts w:hint="eastAsia"/>
                <w:color w:val="auto"/>
                <w:szCs w:val="21"/>
                <w:highlight w:val="none"/>
              </w:rPr>
            </w:pPr>
            <w:r>
              <w:rPr>
                <w:rFonts w:hint="eastAsia"/>
                <w:color w:val="auto"/>
                <w:szCs w:val="21"/>
                <w:highlight w:val="none"/>
              </w:rPr>
              <w:t>（2）供应商有内容安全监测智能平台系统、网站全指标检查监控系统、绩效评估普查监测辅助软件、新媒体检测平台系统等相关类似网站诊断与监测软件具有计算机软件著作权登记证书。有类似以上证书每项得1分，满分为</w:t>
            </w:r>
            <w:r>
              <w:rPr>
                <w:rFonts w:hint="eastAsia" w:ascii="Times New Roman" w:eastAsia="宋体"/>
                <w:color w:val="auto"/>
                <w:szCs w:val="21"/>
                <w:highlight w:val="none"/>
                <w:lang w:val="en-US" w:eastAsia="zh-CN"/>
              </w:rPr>
              <w:t>4</w:t>
            </w:r>
            <w:r>
              <w:rPr>
                <w:rFonts w:hint="eastAsia"/>
                <w:color w:val="auto"/>
                <w:szCs w:val="21"/>
                <w:highlight w:val="none"/>
              </w:rPr>
              <w:t>分。（提供证书复印件/扫描件并加盖供应商公章，不提供不得分。）</w:t>
            </w:r>
          </w:p>
          <w:p w14:paraId="6918477C">
            <w:pPr>
              <w:rPr>
                <w:rFonts w:hint="eastAsia"/>
                <w:color w:val="auto"/>
                <w:szCs w:val="21"/>
                <w:highlight w:val="none"/>
              </w:rPr>
            </w:pPr>
            <w:r>
              <w:rPr>
                <w:rFonts w:hint="eastAsia"/>
                <w:color w:val="auto"/>
                <w:szCs w:val="21"/>
                <w:highlight w:val="none"/>
              </w:rPr>
              <w:t>（3）服务团队人员</w:t>
            </w:r>
            <w:r>
              <w:rPr>
                <w:rFonts w:hint="eastAsia" w:ascii="Times New Roman" w:eastAsia="宋体"/>
                <w:color w:val="auto"/>
                <w:szCs w:val="21"/>
                <w:highlight w:val="none"/>
                <w:lang w:val="en-US" w:eastAsia="zh-CN"/>
              </w:rPr>
              <w:t>具有</w:t>
            </w:r>
            <w:r>
              <w:rPr>
                <w:rFonts w:hint="eastAsia"/>
                <w:color w:val="auto"/>
                <w:szCs w:val="21"/>
                <w:highlight w:val="none"/>
              </w:rPr>
              <w:t>相关中华人民共和国人力资源和社会保障部</w:t>
            </w:r>
            <w:r>
              <w:rPr>
                <w:rFonts w:hint="eastAsia" w:ascii="Times New Roman" w:eastAsia="宋体"/>
                <w:color w:val="auto"/>
                <w:szCs w:val="21"/>
                <w:highlight w:val="none"/>
                <w:lang w:val="en-US" w:eastAsia="zh-CN"/>
              </w:rPr>
              <w:t>或</w:t>
            </w:r>
            <w:r>
              <w:rPr>
                <w:rFonts w:hint="eastAsia"/>
                <w:color w:val="auto"/>
                <w:szCs w:val="21"/>
                <w:highlight w:val="none"/>
              </w:rPr>
              <w:t>工业和信息化部批准颁发的计算机技术与软件专业技术资格的高级信息系统项目管理师</w:t>
            </w:r>
            <w:r>
              <w:rPr>
                <w:rFonts w:hint="eastAsia" w:ascii="Times New Roman" w:eastAsia="宋体"/>
                <w:color w:val="auto"/>
                <w:highlight w:val="none"/>
                <w:lang w:val="en-US" w:eastAsia="zh-CN"/>
              </w:rPr>
              <w:t>或</w:t>
            </w:r>
            <w:r>
              <w:rPr>
                <w:rFonts w:hint="eastAsia"/>
                <w:color w:val="auto"/>
                <w:szCs w:val="21"/>
                <w:highlight w:val="none"/>
              </w:rPr>
              <w:t>高级系统规划与管理师证书或注册信息安全工程师（CISE）资质或国家保密局宣传教育司颁布的“保密教育培训证书”的。以上证件每个得2分，本项满分为12分。（以上证书人员名单需提供相应的证书复印件和最近半年以来的任意</w:t>
            </w:r>
            <w:r>
              <w:rPr>
                <w:rFonts w:hint="eastAsia"/>
                <w:color w:val="auto"/>
                <w:szCs w:val="21"/>
                <w:highlight w:val="none"/>
                <w:lang w:val="en-US" w:eastAsia="zh-CN"/>
              </w:rPr>
              <w:t>1</w:t>
            </w:r>
            <w:r>
              <w:rPr>
                <w:rFonts w:hint="eastAsia"/>
                <w:color w:val="auto"/>
                <w:szCs w:val="21"/>
                <w:highlight w:val="none"/>
              </w:rPr>
              <w:t>个月社保缴纳凭证并加盖</w:t>
            </w:r>
            <w:r>
              <w:rPr>
                <w:rFonts w:hint="eastAsia" w:ascii="Times New Roman" w:eastAsia="宋体"/>
                <w:color w:val="auto"/>
                <w:szCs w:val="21"/>
                <w:highlight w:val="none"/>
                <w:lang w:val="en-US" w:eastAsia="zh-CN"/>
              </w:rPr>
              <w:t>供应商</w:t>
            </w:r>
            <w:r>
              <w:rPr>
                <w:rFonts w:hint="eastAsia"/>
                <w:color w:val="auto"/>
                <w:szCs w:val="21"/>
                <w:highlight w:val="none"/>
              </w:rPr>
              <w:t>公章，要求提供的“人力资源和社会保障局”社保凭证证明有相关二维码支持后期备查人员的真实性，如发现人员弄虚作假的此项做废标处理，不提供社保凭证该项不予计分）</w:t>
            </w:r>
          </w:p>
          <w:p w14:paraId="2B31D61C">
            <w:pPr>
              <w:rPr>
                <w:rFonts w:hint="eastAsia"/>
                <w:color w:val="auto"/>
                <w:szCs w:val="21"/>
                <w:highlight w:val="none"/>
              </w:rPr>
            </w:pPr>
            <w:r>
              <w:rPr>
                <w:rFonts w:hint="eastAsia"/>
                <w:color w:val="auto"/>
                <w:szCs w:val="21"/>
                <w:highlight w:val="none"/>
              </w:rPr>
              <w:t>（4）供应商自2023年1月以来（以合同签订时间为准）与本项目所投标项采购需求内容类似的成功案例，每提供1个符合上述条件的案例得1分，满分5分，不提供不得分。（提供合同复印件并加盖供应商公章，不提供不得分，如虚假材料磋商无效。）</w:t>
            </w:r>
          </w:p>
        </w:tc>
        <w:tc>
          <w:tcPr>
            <w:tcW w:w="1196" w:type="dxa"/>
            <w:vAlign w:val="center"/>
          </w:tcPr>
          <w:p w14:paraId="5A4B3654">
            <w:pPr>
              <w:rPr>
                <w:rFonts w:hint="default" w:eastAsia="宋体"/>
                <w:color w:val="auto"/>
                <w:szCs w:val="21"/>
                <w:highlight w:val="none"/>
                <w:lang w:val="en-US" w:eastAsia="zh-CN"/>
              </w:rPr>
            </w:pPr>
            <w:r>
              <w:rPr>
                <w:rFonts w:hint="eastAsia" w:ascii="Times New Roman" w:eastAsia="宋体"/>
                <w:color w:val="auto"/>
                <w:szCs w:val="21"/>
                <w:highlight w:val="none"/>
                <w:lang w:val="en-US" w:eastAsia="zh-CN"/>
              </w:rPr>
              <w:t>0-25</w:t>
            </w:r>
          </w:p>
        </w:tc>
        <w:tc>
          <w:tcPr>
            <w:tcW w:w="1029" w:type="dxa"/>
            <w:vAlign w:val="center"/>
          </w:tcPr>
          <w:p w14:paraId="0197A1F1">
            <w:pPr>
              <w:rPr>
                <w:color w:val="auto"/>
                <w:szCs w:val="21"/>
                <w:highlight w:val="none"/>
              </w:rPr>
            </w:pPr>
          </w:p>
        </w:tc>
      </w:tr>
    </w:tbl>
    <w:p w14:paraId="05CE8146">
      <w:pPr>
        <w:ind w:firstLine="315" w:firstLineChars="150"/>
        <w:rPr>
          <w:rFonts w:hint="eastAsia" w:ascii="Times New Roman"/>
          <w:color w:val="auto"/>
          <w:highlight w:val="none"/>
          <w:lang w:val="zh-CN"/>
        </w:rPr>
      </w:pPr>
    </w:p>
    <w:p w14:paraId="180C59E1">
      <w:pPr>
        <w:ind w:firstLine="315" w:firstLineChars="150"/>
        <w:rPr>
          <w:color w:val="auto"/>
          <w:highlight w:val="none"/>
          <w:lang w:val="zh-CN"/>
        </w:rPr>
      </w:pPr>
      <w:r>
        <w:rPr>
          <w:rFonts w:hint="eastAsia" w:ascii="Times New Roman"/>
          <w:color w:val="auto"/>
          <w:highlight w:val="none"/>
          <w:lang w:val="zh-CN"/>
        </w:rPr>
        <w:t>（2）最后报价分</w:t>
      </w:r>
    </w:p>
    <w:tbl>
      <w:tblPr>
        <w:tblStyle w:val="51"/>
        <w:tblW w:w="8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839"/>
        <w:gridCol w:w="3119"/>
        <w:gridCol w:w="708"/>
        <w:gridCol w:w="1907"/>
      </w:tblGrid>
      <w:tr w14:paraId="7C87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vAlign w:val="center"/>
          </w:tcPr>
          <w:p w14:paraId="77E8D4D2">
            <w:pPr>
              <w:jc w:val="center"/>
              <w:rPr>
                <w:b/>
                <w:color w:val="auto"/>
                <w:szCs w:val="21"/>
                <w:highlight w:val="none"/>
              </w:rPr>
            </w:pPr>
            <w:r>
              <w:rPr>
                <w:b/>
                <w:color w:val="auto"/>
                <w:szCs w:val="21"/>
                <w:highlight w:val="none"/>
              </w:rPr>
              <w:t>序号</w:t>
            </w:r>
          </w:p>
        </w:tc>
        <w:tc>
          <w:tcPr>
            <w:tcW w:w="1839" w:type="dxa"/>
            <w:vAlign w:val="center"/>
          </w:tcPr>
          <w:p w14:paraId="306E008B">
            <w:pPr>
              <w:jc w:val="center"/>
              <w:rPr>
                <w:b/>
                <w:color w:val="auto"/>
                <w:szCs w:val="21"/>
                <w:highlight w:val="none"/>
              </w:rPr>
            </w:pPr>
            <w:r>
              <w:rPr>
                <w:rFonts w:hint="eastAsia"/>
                <w:b/>
                <w:color w:val="auto"/>
                <w:szCs w:val="21"/>
                <w:highlight w:val="none"/>
              </w:rPr>
              <w:t>类型</w:t>
            </w:r>
          </w:p>
        </w:tc>
        <w:tc>
          <w:tcPr>
            <w:tcW w:w="3119" w:type="dxa"/>
            <w:vAlign w:val="center"/>
          </w:tcPr>
          <w:p w14:paraId="6231D5D9">
            <w:pPr>
              <w:jc w:val="center"/>
              <w:rPr>
                <w:b/>
                <w:color w:val="auto"/>
                <w:szCs w:val="21"/>
                <w:highlight w:val="none"/>
              </w:rPr>
            </w:pPr>
            <w:r>
              <w:rPr>
                <w:rFonts w:hint="eastAsia"/>
                <w:b/>
                <w:color w:val="auto"/>
                <w:szCs w:val="21"/>
                <w:highlight w:val="none"/>
              </w:rPr>
              <w:t>评分标准</w:t>
            </w:r>
          </w:p>
        </w:tc>
        <w:tc>
          <w:tcPr>
            <w:tcW w:w="708" w:type="dxa"/>
            <w:vAlign w:val="center"/>
          </w:tcPr>
          <w:p w14:paraId="6524868F">
            <w:pPr>
              <w:jc w:val="center"/>
              <w:rPr>
                <w:b/>
                <w:color w:val="auto"/>
                <w:szCs w:val="21"/>
                <w:highlight w:val="none"/>
              </w:rPr>
            </w:pPr>
            <w:r>
              <w:rPr>
                <w:rFonts w:hint="eastAsia"/>
                <w:b/>
                <w:color w:val="auto"/>
                <w:szCs w:val="21"/>
                <w:highlight w:val="none"/>
              </w:rPr>
              <w:t>分值权重</w:t>
            </w:r>
          </w:p>
        </w:tc>
        <w:tc>
          <w:tcPr>
            <w:tcW w:w="1907" w:type="dxa"/>
            <w:vAlign w:val="center"/>
          </w:tcPr>
          <w:p w14:paraId="6B29226A">
            <w:pPr>
              <w:jc w:val="center"/>
              <w:rPr>
                <w:b/>
                <w:color w:val="auto"/>
                <w:szCs w:val="21"/>
                <w:highlight w:val="none"/>
              </w:rPr>
            </w:pPr>
            <w:r>
              <w:rPr>
                <w:b/>
                <w:color w:val="auto"/>
                <w:szCs w:val="21"/>
                <w:highlight w:val="none"/>
              </w:rPr>
              <w:t>说明</w:t>
            </w:r>
          </w:p>
        </w:tc>
      </w:tr>
      <w:tr w14:paraId="7023C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vAlign w:val="center"/>
          </w:tcPr>
          <w:p w14:paraId="264C1F26">
            <w:pPr>
              <w:jc w:val="center"/>
              <w:rPr>
                <w:b/>
                <w:color w:val="auto"/>
                <w:szCs w:val="21"/>
                <w:highlight w:val="none"/>
              </w:rPr>
            </w:pPr>
            <w:r>
              <w:rPr>
                <w:rFonts w:hint="eastAsia"/>
                <w:b/>
                <w:color w:val="auto"/>
                <w:szCs w:val="21"/>
                <w:highlight w:val="none"/>
              </w:rPr>
              <w:t>1</w:t>
            </w:r>
          </w:p>
        </w:tc>
        <w:tc>
          <w:tcPr>
            <w:tcW w:w="1839" w:type="dxa"/>
            <w:vAlign w:val="center"/>
          </w:tcPr>
          <w:p w14:paraId="5F2C59C0">
            <w:pPr>
              <w:rPr>
                <w:color w:val="auto"/>
                <w:szCs w:val="21"/>
                <w:highlight w:val="none"/>
              </w:rPr>
            </w:pPr>
            <w:r>
              <w:rPr>
                <w:rFonts w:hint="eastAsia"/>
                <w:color w:val="auto"/>
                <w:szCs w:val="21"/>
                <w:highlight w:val="none"/>
              </w:rPr>
              <w:t>响应报价分</w:t>
            </w:r>
          </w:p>
        </w:tc>
        <w:tc>
          <w:tcPr>
            <w:tcW w:w="3119" w:type="dxa"/>
            <w:vAlign w:val="center"/>
          </w:tcPr>
          <w:p w14:paraId="6FE3577F">
            <w:pPr>
              <w:rPr>
                <w:color w:val="auto"/>
                <w:szCs w:val="21"/>
                <w:highlight w:val="none"/>
              </w:rPr>
            </w:pPr>
            <w:r>
              <w:rPr>
                <w:rFonts w:hint="eastAsia"/>
                <w:color w:val="auto"/>
                <w:szCs w:val="21"/>
                <w:highlight w:val="none"/>
              </w:rPr>
              <w:t>以满足采购文件要求且响应价格最低的响应报价为评审基准价，其价格分为满分。其他供应商的价格分统一按照下列公式计算：响应报价得分</w:t>
            </w:r>
            <w:r>
              <w:rPr>
                <w:color w:val="auto"/>
                <w:szCs w:val="21"/>
                <w:highlight w:val="none"/>
              </w:rPr>
              <w:t>=（评审基准价/响应报价）×响应报价分满分分值。</w:t>
            </w:r>
          </w:p>
        </w:tc>
        <w:tc>
          <w:tcPr>
            <w:tcW w:w="708" w:type="dxa"/>
            <w:vAlign w:val="center"/>
          </w:tcPr>
          <w:p w14:paraId="264038EE">
            <w:pPr>
              <w:rPr>
                <w:rFonts w:hint="default" w:eastAsia="宋体"/>
                <w:color w:val="auto"/>
                <w:szCs w:val="21"/>
                <w:highlight w:val="none"/>
                <w:lang w:val="en-US" w:eastAsia="zh-CN"/>
              </w:rPr>
            </w:pPr>
            <w:r>
              <w:rPr>
                <w:rFonts w:hint="eastAsia" w:ascii="Times New Roman" w:eastAsia="宋体"/>
                <w:color w:val="auto"/>
                <w:szCs w:val="21"/>
                <w:highlight w:val="none"/>
                <w:lang w:val="en-US" w:eastAsia="zh-CN"/>
              </w:rPr>
              <w:t>10</w:t>
            </w:r>
          </w:p>
        </w:tc>
        <w:tc>
          <w:tcPr>
            <w:tcW w:w="1907" w:type="dxa"/>
            <w:vAlign w:val="center"/>
          </w:tcPr>
          <w:p w14:paraId="6588980D">
            <w:pPr>
              <w:rPr>
                <w:color w:val="auto"/>
                <w:szCs w:val="21"/>
                <w:highlight w:val="none"/>
              </w:rPr>
            </w:pPr>
            <w:r>
              <w:rPr>
                <w:rFonts w:hint="eastAsia"/>
                <w:color w:val="auto"/>
                <w:szCs w:val="21"/>
                <w:highlight w:val="none"/>
              </w:rPr>
              <w:t>响应报价计算时均为供应商的实际响应报价进行政策性扣除后的价格，最终成交金额＝响应报价。政策性扣除计算方法见后。</w:t>
            </w:r>
          </w:p>
        </w:tc>
      </w:tr>
    </w:tbl>
    <w:p w14:paraId="186BFAB7">
      <w:pPr>
        <w:spacing w:before="120" w:line="320" w:lineRule="atLeast"/>
        <w:ind w:firstLine="316" w:firstLineChars="150"/>
        <w:rPr>
          <w:rFonts w:hint="eastAsia"/>
          <w:b/>
          <w:bCs/>
          <w:color w:val="auto"/>
          <w:kern w:val="0"/>
          <w:szCs w:val="21"/>
          <w:highlight w:val="none"/>
        </w:rPr>
      </w:pPr>
    </w:p>
    <w:p w14:paraId="658B807B">
      <w:pPr>
        <w:spacing w:before="120" w:line="320" w:lineRule="atLeast"/>
        <w:ind w:firstLine="316" w:firstLineChars="150"/>
        <w:rPr>
          <w:rFonts w:hint="eastAsia"/>
          <w:b/>
          <w:bCs/>
          <w:color w:val="auto"/>
          <w:kern w:val="0"/>
          <w:szCs w:val="21"/>
          <w:highlight w:val="none"/>
        </w:rPr>
      </w:pPr>
      <w:r>
        <w:rPr>
          <w:rFonts w:hint="eastAsia"/>
          <w:b/>
          <w:bCs/>
          <w:color w:val="auto"/>
          <w:kern w:val="0"/>
          <w:szCs w:val="21"/>
          <w:highlight w:val="none"/>
        </w:rPr>
        <w:t>注：涉及政府采购价格评审优惠政策叠加的，按照相关政策要求统一从对应报价的基础上进行价格扣除，用</w:t>
      </w:r>
      <w:r>
        <w:rPr>
          <w:rFonts w:hint="eastAsia"/>
          <w:b/>
          <w:bCs/>
          <w:color w:val="auto"/>
          <w:kern w:val="0"/>
          <w:szCs w:val="21"/>
          <w:highlight w:val="none"/>
          <w:lang w:eastAsia="zh-CN"/>
        </w:rPr>
        <w:t>响应</w:t>
      </w:r>
      <w:r>
        <w:rPr>
          <w:rFonts w:hint="eastAsia"/>
          <w:b/>
          <w:bCs/>
          <w:color w:val="auto"/>
          <w:kern w:val="0"/>
          <w:szCs w:val="21"/>
          <w:highlight w:val="none"/>
        </w:rPr>
        <w:t>总价减去扣除金额之和的价格参加评审。</w:t>
      </w:r>
    </w:p>
    <w:p w14:paraId="18AC593E">
      <w:pPr>
        <w:spacing w:before="120" w:line="320" w:lineRule="atLeast"/>
        <w:ind w:firstLine="316" w:firstLineChars="150"/>
        <w:rPr>
          <w:rFonts w:hint="eastAsia" w:eastAsia="宋体"/>
          <w:b/>
          <w:bCs/>
          <w:color w:val="auto"/>
          <w:kern w:val="0"/>
          <w:szCs w:val="21"/>
          <w:highlight w:val="none"/>
          <w:lang w:eastAsia="zh-CN"/>
        </w:rPr>
      </w:pPr>
      <w:r>
        <w:rPr>
          <w:b/>
          <w:bCs/>
          <w:color w:val="auto"/>
          <w:kern w:val="0"/>
          <w:szCs w:val="21"/>
          <w:highlight w:val="none"/>
        </w:rPr>
        <w:t>政策性扣除计算方法</w:t>
      </w:r>
      <w:r>
        <w:rPr>
          <w:rFonts w:hint="eastAsia"/>
          <w:b/>
          <w:bCs/>
          <w:color w:val="auto"/>
          <w:kern w:val="0"/>
          <w:szCs w:val="21"/>
          <w:highlight w:val="none"/>
          <w:lang w:eastAsia="zh-CN"/>
        </w:rPr>
        <w:t>：</w:t>
      </w:r>
    </w:p>
    <w:p w14:paraId="79F25A20">
      <w:pPr>
        <w:spacing w:before="120" w:line="320" w:lineRule="atLeast"/>
        <w:ind w:firstLine="315" w:firstLineChars="150"/>
        <w:rPr>
          <w:color w:val="auto"/>
          <w:szCs w:val="21"/>
          <w:highlight w:val="none"/>
        </w:rPr>
      </w:pPr>
      <w:r>
        <w:rPr>
          <w:rFonts w:hint="eastAsia"/>
          <w:color w:val="auto"/>
          <w:szCs w:val="21"/>
          <w:highlight w:val="none"/>
          <w:lang w:val="en-US" w:eastAsia="zh-CN"/>
        </w:rPr>
        <w:t>1）</w:t>
      </w:r>
      <w:r>
        <w:rPr>
          <w:rFonts w:hint="eastAsia" w:ascii="Times New Roman" w:eastAsia="宋体"/>
          <w:color w:val="auto"/>
          <w:szCs w:val="21"/>
          <w:highlight w:val="none"/>
          <w:lang w:val="en-US" w:eastAsia="zh-CN"/>
        </w:rPr>
        <w:t>小微企业的价格扣除计算:</w:t>
      </w:r>
      <w:r>
        <w:rPr>
          <w:rFonts w:hint="eastAsia"/>
          <w:color w:val="auto"/>
          <w:szCs w:val="21"/>
          <w:highlight w:val="none"/>
        </w:rPr>
        <w:t>供应商</w:t>
      </w:r>
      <w:r>
        <w:rPr>
          <w:rFonts w:hint="eastAsia"/>
          <w:color w:val="auto"/>
          <w:szCs w:val="21"/>
          <w:highlight w:val="none"/>
          <w:lang w:eastAsia="zh-CN"/>
        </w:rPr>
        <w:t>响应</w:t>
      </w:r>
      <w:r>
        <w:rPr>
          <w:color w:val="auto"/>
          <w:szCs w:val="21"/>
          <w:highlight w:val="none"/>
        </w:rPr>
        <w:t>报价将按相应比例进行扣除，用扣除后的价格参与评审（计算价格分）</w:t>
      </w:r>
      <w:r>
        <w:rPr>
          <w:rFonts w:hint="eastAsia"/>
          <w:color w:val="auto"/>
          <w:szCs w:val="21"/>
          <w:highlight w:val="none"/>
        </w:rPr>
        <w:t>，价格扣除比例分别如下：</w:t>
      </w:r>
    </w:p>
    <w:tbl>
      <w:tblPr>
        <w:tblStyle w:val="51"/>
        <w:tblW w:w="8930"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4962"/>
        <w:gridCol w:w="2551"/>
      </w:tblGrid>
      <w:tr w14:paraId="0F02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auto"/>
            <w:vAlign w:val="top"/>
          </w:tcPr>
          <w:p w14:paraId="0A41194B">
            <w:pPr>
              <w:spacing w:before="120" w:line="320" w:lineRule="atLeast"/>
              <w:jc w:val="center"/>
              <w:rPr>
                <w:rFonts w:hint="eastAsia" w:eastAsia="宋体"/>
                <w:color w:val="auto"/>
                <w:szCs w:val="21"/>
                <w:highlight w:val="none"/>
                <w:lang w:eastAsia="zh-CN"/>
              </w:rPr>
            </w:pPr>
            <w:r>
              <w:rPr>
                <w:rFonts w:hint="eastAsia"/>
                <w:color w:val="auto"/>
                <w:szCs w:val="21"/>
                <w:highlight w:val="none"/>
              </w:rPr>
              <w:t>独立投标</w:t>
            </w:r>
          </w:p>
        </w:tc>
        <w:tc>
          <w:tcPr>
            <w:tcW w:w="4962" w:type="dxa"/>
            <w:shd w:val="clear" w:color="auto" w:fill="auto"/>
            <w:vAlign w:val="top"/>
          </w:tcPr>
          <w:p w14:paraId="4F99EE6F">
            <w:pPr>
              <w:spacing w:before="120" w:line="320" w:lineRule="atLeast"/>
              <w:rPr>
                <w:color w:val="auto"/>
                <w:szCs w:val="21"/>
                <w:highlight w:val="none"/>
              </w:rPr>
            </w:pPr>
            <w:r>
              <w:rPr>
                <w:rFonts w:hint="eastAsia"/>
                <w:color w:val="auto"/>
                <w:szCs w:val="21"/>
                <w:highlight w:val="none"/>
              </w:rPr>
              <w:t>供应商均为所列企业之一（小型企业、微型企业、残疾人福利企业、监狱企业）</w:t>
            </w:r>
          </w:p>
        </w:tc>
        <w:tc>
          <w:tcPr>
            <w:tcW w:w="2551" w:type="dxa"/>
            <w:shd w:val="clear" w:color="auto" w:fill="auto"/>
            <w:vAlign w:val="top"/>
          </w:tcPr>
          <w:p w14:paraId="011B7FD0">
            <w:pPr>
              <w:spacing w:before="120" w:line="320" w:lineRule="atLeast"/>
              <w:rPr>
                <w:color w:val="auto"/>
                <w:szCs w:val="21"/>
                <w:highlight w:val="none"/>
              </w:rPr>
            </w:pPr>
            <w:r>
              <w:rPr>
                <w:rFonts w:hint="eastAsia"/>
                <w:color w:val="auto"/>
                <w:szCs w:val="21"/>
                <w:highlight w:val="none"/>
              </w:rPr>
              <w:t>价格扣除响应报价的10%</w:t>
            </w:r>
          </w:p>
        </w:tc>
      </w:tr>
      <w:tr w14:paraId="4E2A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Merge w:val="restart"/>
            <w:shd w:val="clear" w:color="auto" w:fill="auto"/>
            <w:vAlign w:val="top"/>
          </w:tcPr>
          <w:p w14:paraId="4CD21699">
            <w:pPr>
              <w:spacing w:before="120" w:line="320" w:lineRule="atLeast"/>
              <w:jc w:val="center"/>
              <w:rPr>
                <w:color w:val="auto"/>
                <w:szCs w:val="21"/>
                <w:highlight w:val="none"/>
              </w:rPr>
            </w:pPr>
            <w:r>
              <w:rPr>
                <w:rFonts w:hint="eastAsia"/>
                <w:color w:val="auto"/>
                <w:szCs w:val="21"/>
                <w:highlight w:val="none"/>
              </w:rPr>
              <w:t>联合体或</w:t>
            </w:r>
          </w:p>
          <w:p w14:paraId="16A46B6B">
            <w:pPr>
              <w:spacing w:before="120" w:line="320" w:lineRule="atLeast"/>
              <w:jc w:val="center"/>
              <w:rPr>
                <w:color w:val="auto"/>
                <w:szCs w:val="21"/>
                <w:highlight w:val="none"/>
              </w:rPr>
            </w:pPr>
            <w:r>
              <w:rPr>
                <w:rFonts w:hint="eastAsia"/>
                <w:color w:val="auto"/>
                <w:szCs w:val="21"/>
                <w:highlight w:val="none"/>
              </w:rPr>
              <w:t>分包</w:t>
            </w:r>
          </w:p>
        </w:tc>
        <w:tc>
          <w:tcPr>
            <w:tcW w:w="4962" w:type="dxa"/>
            <w:shd w:val="clear" w:color="auto" w:fill="auto"/>
            <w:vAlign w:val="top"/>
          </w:tcPr>
          <w:p w14:paraId="129BAE3F">
            <w:pPr>
              <w:spacing w:before="120" w:line="320" w:lineRule="atLeast"/>
              <w:rPr>
                <w:color w:val="auto"/>
                <w:szCs w:val="21"/>
                <w:highlight w:val="none"/>
              </w:rPr>
            </w:pPr>
            <w:r>
              <w:rPr>
                <w:rFonts w:hint="eastAsia"/>
                <w:color w:val="auto"/>
                <w:szCs w:val="21"/>
                <w:highlight w:val="none"/>
              </w:rPr>
              <w:t>小微企业承接的金额比例为1</w:t>
            </w:r>
            <w:r>
              <w:rPr>
                <w:color w:val="auto"/>
                <w:szCs w:val="21"/>
                <w:highlight w:val="none"/>
              </w:rPr>
              <w:t>00</w:t>
            </w:r>
            <w:r>
              <w:rPr>
                <w:rFonts w:hint="eastAsia"/>
                <w:color w:val="auto"/>
                <w:szCs w:val="21"/>
                <w:highlight w:val="none"/>
              </w:rPr>
              <w:t>%</w:t>
            </w:r>
          </w:p>
        </w:tc>
        <w:tc>
          <w:tcPr>
            <w:tcW w:w="2551" w:type="dxa"/>
            <w:shd w:val="clear" w:color="auto" w:fill="auto"/>
            <w:vAlign w:val="top"/>
          </w:tcPr>
          <w:p w14:paraId="7E9D5DB8">
            <w:pPr>
              <w:spacing w:before="120" w:line="320" w:lineRule="atLeast"/>
              <w:rPr>
                <w:color w:val="auto"/>
                <w:szCs w:val="21"/>
                <w:highlight w:val="none"/>
              </w:rPr>
            </w:pPr>
            <w:r>
              <w:rPr>
                <w:rFonts w:hint="eastAsia"/>
                <w:color w:val="auto"/>
                <w:szCs w:val="21"/>
                <w:highlight w:val="none"/>
              </w:rPr>
              <w:t>价格扣除响应报价的10%</w:t>
            </w:r>
          </w:p>
        </w:tc>
      </w:tr>
      <w:tr w14:paraId="4F82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Merge w:val="continue"/>
            <w:shd w:val="clear" w:color="auto" w:fill="auto"/>
            <w:vAlign w:val="top"/>
          </w:tcPr>
          <w:p w14:paraId="77595AAC">
            <w:pPr>
              <w:spacing w:before="120" w:line="320" w:lineRule="atLeast"/>
              <w:rPr>
                <w:color w:val="auto"/>
                <w:szCs w:val="21"/>
                <w:highlight w:val="none"/>
              </w:rPr>
            </w:pPr>
          </w:p>
        </w:tc>
        <w:tc>
          <w:tcPr>
            <w:tcW w:w="4962" w:type="dxa"/>
            <w:shd w:val="clear" w:color="auto" w:fill="auto"/>
            <w:vAlign w:val="top"/>
          </w:tcPr>
          <w:p w14:paraId="267F1875">
            <w:pPr>
              <w:spacing w:before="120" w:line="320" w:lineRule="atLeast"/>
              <w:rPr>
                <w:color w:val="auto"/>
                <w:szCs w:val="21"/>
                <w:highlight w:val="none"/>
              </w:rPr>
            </w:pPr>
            <w:r>
              <w:rPr>
                <w:rFonts w:hint="eastAsia"/>
                <w:color w:val="auto"/>
                <w:szCs w:val="21"/>
                <w:highlight w:val="none"/>
              </w:rPr>
              <w:t>小微企业承接的金额比例达到合同总金额3</w:t>
            </w:r>
            <w:r>
              <w:rPr>
                <w:color w:val="auto"/>
                <w:szCs w:val="21"/>
                <w:highlight w:val="none"/>
              </w:rPr>
              <w:t>0%</w:t>
            </w:r>
            <w:r>
              <w:rPr>
                <w:rFonts w:hint="eastAsia"/>
                <w:color w:val="auto"/>
                <w:szCs w:val="21"/>
                <w:highlight w:val="none"/>
              </w:rPr>
              <w:t>以上</w:t>
            </w:r>
          </w:p>
        </w:tc>
        <w:tc>
          <w:tcPr>
            <w:tcW w:w="2551" w:type="dxa"/>
            <w:shd w:val="clear" w:color="auto" w:fill="auto"/>
            <w:vAlign w:val="top"/>
          </w:tcPr>
          <w:p w14:paraId="789C63FA">
            <w:pPr>
              <w:spacing w:before="120" w:line="320" w:lineRule="atLeast"/>
              <w:rPr>
                <w:color w:val="auto"/>
                <w:szCs w:val="21"/>
                <w:highlight w:val="none"/>
              </w:rPr>
            </w:pPr>
            <w:r>
              <w:rPr>
                <w:rFonts w:hint="eastAsia"/>
                <w:color w:val="auto"/>
                <w:szCs w:val="21"/>
                <w:highlight w:val="none"/>
              </w:rPr>
              <w:t>价格扣除响应报价的</w:t>
            </w:r>
            <w:r>
              <w:rPr>
                <w:color w:val="auto"/>
                <w:szCs w:val="21"/>
                <w:highlight w:val="none"/>
              </w:rPr>
              <w:t>4</w:t>
            </w:r>
            <w:r>
              <w:rPr>
                <w:rFonts w:hint="eastAsia"/>
                <w:color w:val="auto"/>
                <w:szCs w:val="21"/>
                <w:highlight w:val="none"/>
              </w:rPr>
              <w:t>%</w:t>
            </w:r>
          </w:p>
        </w:tc>
      </w:tr>
      <w:tr w14:paraId="035F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3"/>
            <w:shd w:val="clear" w:color="auto" w:fill="auto"/>
            <w:vAlign w:val="top"/>
          </w:tcPr>
          <w:p w14:paraId="3C45AE6C">
            <w:pPr>
              <w:spacing w:before="120" w:line="320" w:lineRule="atLeast"/>
              <w:rPr>
                <w:color w:val="auto"/>
                <w:szCs w:val="21"/>
                <w:highlight w:val="none"/>
              </w:rPr>
            </w:pPr>
            <w:r>
              <w:rPr>
                <w:rFonts w:hint="eastAsia"/>
                <w:color w:val="auto"/>
                <w:szCs w:val="21"/>
                <w:highlight w:val="none"/>
              </w:rPr>
              <w:t>注：未提供《中小企业声明函》、《分包意向协议书》或《联合体协议书》或不符合条件的，不享受价格扣除优惠。</w:t>
            </w:r>
          </w:p>
        </w:tc>
      </w:tr>
    </w:tbl>
    <w:p w14:paraId="650BF1A4">
      <w:pPr>
        <w:rPr>
          <w:color w:val="auto"/>
          <w:highlight w:val="none"/>
        </w:rPr>
      </w:pPr>
    </w:p>
    <w:p w14:paraId="41E6CC0A">
      <w:pPr>
        <w:rPr>
          <w:rFonts w:hint="eastAsia"/>
          <w:color w:val="auto"/>
          <w:highlight w:val="none"/>
        </w:rPr>
      </w:pPr>
    </w:p>
    <w:p w14:paraId="12B20F4D">
      <w:pPr>
        <w:ind w:firstLine="315" w:firstLineChars="150"/>
        <w:rPr>
          <w:color w:val="auto"/>
          <w:highlight w:val="none"/>
        </w:rPr>
      </w:pPr>
      <w:r>
        <w:rPr>
          <w:rFonts w:hint="eastAsia"/>
          <w:color w:val="auto"/>
          <w:highlight w:val="none"/>
        </w:rPr>
        <w:t>（</w:t>
      </w:r>
      <w:r>
        <w:rPr>
          <w:color w:val="auto"/>
          <w:highlight w:val="none"/>
        </w:rPr>
        <w:t>3</w:t>
      </w:r>
      <w:r>
        <w:rPr>
          <w:rFonts w:hint="eastAsia"/>
          <w:color w:val="auto"/>
          <w:highlight w:val="none"/>
        </w:rPr>
        <w:t>）</w:t>
      </w:r>
      <w:r>
        <w:rPr>
          <w:color w:val="auto"/>
          <w:highlight w:val="none"/>
        </w:rPr>
        <w:t>综合得分</w:t>
      </w:r>
    </w:p>
    <w:tbl>
      <w:tblPr>
        <w:tblStyle w:val="51"/>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693"/>
        <w:gridCol w:w="2690"/>
        <w:gridCol w:w="1842"/>
      </w:tblGrid>
      <w:tr w14:paraId="4DD9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vAlign w:val="center"/>
          </w:tcPr>
          <w:p w14:paraId="5A8CC38C">
            <w:pPr>
              <w:jc w:val="center"/>
              <w:rPr>
                <w:b/>
                <w:color w:val="auto"/>
                <w:szCs w:val="21"/>
                <w:highlight w:val="none"/>
              </w:rPr>
            </w:pPr>
            <w:r>
              <w:rPr>
                <w:rFonts w:hint="eastAsia"/>
                <w:b/>
                <w:color w:val="auto"/>
                <w:szCs w:val="21"/>
                <w:highlight w:val="none"/>
              </w:rPr>
              <w:t>分项</w:t>
            </w:r>
          </w:p>
        </w:tc>
        <w:tc>
          <w:tcPr>
            <w:tcW w:w="2693" w:type="dxa"/>
            <w:vAlign w:val="center"/>
          </w:tcPr>
          <w:p w14:paraId="088BD421">
            <w:pPr>
              <w:jc w:val="center"/>
              <w:rPr>
                <w:b/>
                <w:color w:val="auto"/>
                <w:szCs w:val="21"/>
                <w:highlight w:val="none"/>
              </w:rPr>
            </w:pPr>
            <w:r>
              <w:rPr>
                <w:rFonts w:hint="eastAsia"/>
                <w:b/>
                <w:color w:val="auto"/>
                <w:szCs w:val="21"/>
                <w:highlight w:val="none"/>
              </w:rPr>
              <w:t>技术及商务资信分</w:t>
            </w:r>
          </w:p>
        </w:tc>
        <w:tc>
          <w:tcPr>
            <w:tcW w:w="2690" w:type="dxa"/>
            <w:vAlign w:val="center"/>
          </w:tcPr>
          <w:p w14:paraId="6A076ABF">
            <w:pPr>
              <w:jc w:val="center"/>
              <w:rPr>
                <w:b/>
                <w:color w:val="auto"/>
                <w:szCs w:val="21"/>
                <w:highlight w:val="none"/>
              </w:rPr>
            </w:pPr>
            <w:r>
              <w:rPr>
                <w:rFonts w:hint="eastAsia"/>
                <w:b/>
                <w:color w:val="auto"/>
                <w:szCs w:val="21"/>
                <w:highlight w:val="none"/>
              </w:rPr>
              <w:t>响应报价得分</w:t>
            </w:r>
          </w:p>
        </w:tc>
        <w:tc>
          <w:tcPr>
            <w:tcW w:w="1842" w:type="dxa"/>
            <w:vAlign w:val="center"/>
          </w:tcPr>
          <w:p w14:paraId="70DC25DB">
            <w:pPr>
              <w:jc w:val="center"/>
              <w:rPr>
                <w:b/>
                <w:color w:val="auto"/>
                <w:szCs w:val="21"/>
                <w:highlight w:val="none"/>
              </w:rPr>
            </w:pPr>
            <w:r>
              <w:rPr>
                <w:rFonts w:hint="eastAsia"/>
                <w:b/>
                <w:color w:val="auto"/>
                <w:szCs w:val="21"/>
                <w:highlight w:val="none"/>
              </w:rPr>
              <w:t>总分</w:t>
            </w:r>
          </w:p>
        </w:tc>
      </w:tr>
      <w:tr w14:paraId="14D7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08" w:type="dxa"/>
            <w:vAlign w:val="center"/>
          </w:tcPr>
          <w:p w14:paraId="5212AA4F">
            <w:pPr>
              <w:jc w:val="center"/>
              <w:rPr>
                <w:b/>
                <w:color w:val="auto"/>
                <w:szCs w:val="21"/>
                <w:highlight w:val="none"/>
              </w:rPr>
            </w:pPr>
            <w:r>
              <w:rPr>
                <w:rFonts w:hint="eastAsia"/>
                <w:b/>
                <w:color w:val="auto"/>
                <w:szCs w:val="21"/>
                <w:highlight w:val="none"/>
              </w:rPr>
              <w:t>分值</w:t>
            </w:r>
          </w:p>
        </w:tc>
        <w:tc>
          <w:tcPr>
            <w:tcW w:w="2693" w:type="dxa"/>
            <w:vAlign w:val="center"/>
          </w:tcPr>
          <w:p w14:paraId="11B7B912">
            <w:pPr>
              <w:jc w:val="center"/>
              <w:rPr>
                <w:rFonts w:hint="default" w:eastAsia="宋体"/>
                <w:color w:val="auto"/>
                <w:szCs w:val="21"/>
                <w:highlight w:val="none"/>
                <w:lang w:val="en-US" w:eastAsia="zh-CN"/>
              </w:rPr>
            </w:pPr>
            <w:r>
              <w:rPr>
                <w:rFonts w:hint="eastAsia"/>
                <w:color w:val="auto"/>
                <w:szCs w:val="21"/>
                <w:highlight w:val="none"/>
                <w:lang w:val="en-US" w:eastAsia="zh-CN"/>
              </w:rPr>
              <w:t>90</w:t>
            </w:r>
          </w:p>
        </w:tc>
        <w:tc>
          <w:tcPr>
            <w:tcW w:w="2690" w:type="dxa"/>
            <w:vAlign w:val="center"/>
          </w:tcPr>
          <w:p w14:paraId="0C7174BF">
            <w:pPr>
              <w:jc w:val="center"/>
              <w:rPr>
                <w:rFonts w:hint="default" w:eastAsia="宋体"/>
                <w:color w:val="auto"/>
                <w:szCs w:val="21"/>
                <w:highlight w:val="none"/>
                <w:lang w:val="en-US" w:eastAsia="zh-CN"/>
              </w:rPr>
            </w:pPr>
            <w:r>
              <w:rPr>
                <w:rFonts w:hint="eastAsia"/>
                <w:color w:val="auto"/>
                <w:szCs w:val="21"/>
                <w:highlight w:val="none"/>
                <w:lang w:val="en-US" w:eastAsia="zh-CN"/>
              </w:rPr>
              <w:t>10</w:t>
            </w:r>
          </w:p>
        </w:tc>
        <w:tc>
          <w:tcPr>
            <w:tcW w:w="1842" w:type="dxa"/>
            <w:vAlign w:val="center"/>
          </w:tcPr>
          <w:p w14:paraId="78B58CA4">
            <w:pPr>
              <w:jc w:val="center"/>
              <w:rPr>
                <w:rFonts w:hint="default" w:eastAsia="宋体"/>
                <w:color w:val="auto"/>
                <w:szCs w:val="21"/>
                <w:highlight w:val="none"/>
                <w:lang w:val="en-US" w:eastAsia="zh-CN"/>
              </w:rPr>
            </w:pPr>
            <w:r>
              <w:rPr>
                <w:rFonts w:hint="eastAsia"/>
                <w:color w:val="auto"/>
                <w:szCs w:val="21"/>
                <w:highlight w:val="none"/>
                <w:lang w:val="en-US" w:eastAsia="zh-CN"/>
              </w:rPr>
              <w:t>100</w:t>
            </w:r>
          </w:p>
        </w:tc>
      </w:tr>
      <w:tr w14:paraId="2C82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933" w:type="dxa"/>
            <w:gridSpan w:val="4"/>
            <w:vAlign w:val="center"/>
          </w:tcPr>
          <w:p w14:paraId="541DC76B">
            <w:pPr>
              <w:rPr>
                <w:color w:val="auto"/>
                <w:szCs w:val="21"/>
                <w:highlight w:val="none"/>
              </w:rPr>
            </w:pPr>
            <w:r>
              <w:rPr>
                <w:rFonts w:hint="eastAsia"/>
                <w:color w:val="auto"/>
                <w:szCs w:val="21"/>
                <w:highlight w:val="none"/>
              </w:rPr>
              <w:t>综合得分</w:t>
            </w:r>
            <w:r>
              <w:rPr>
                <w:color w:val="auto"/>
                <w:szCs w:val="21"/>
                <w:highlight w:val="none"/>
              </w:rPr>
              <w:t>=</w:t>
            </w:r>
            <w:r>
              <w:rPr>
                <w:rFonts w:hint="eastAsia"/>
                <w:color w:val="auto"/>
                <w:szCs w:val="21"/>
                <w:highlight w:val="none"/>
              </w:rPr>
              <w:t>技术及商务资信分+响应报价得分</w:t>
            </w:r>
          </w:p>
        </w:tc>
      </w:tr>
    </w:tbl>
    <w:p w14:paraId="46CB0756">
      <w:pPr>
        <w:rPr>
          <w:rFonts w:hint="eastAsia"/>
          <w:bCs/>
          <w:color w:val="auto"/>
          <w:kern w:val="0"/>
          <w:szCs w:val="21"/>
          <w:highlight w:val="none"/>
        </w:rPr>
      </w:pPr>
    </w:p>
    <w:p w14:paraId="3B15D278">
      <w:pPr>
        <w:spacing w:before="120" w:line="320" w:lineRule="atLeast"/>
        <w:ind w:firstLine="420" w:firstLineChars="200"/>
        <w:rPr>
          <w:color w:val="auto"/>
          <w:highlight w:val="none"/>
        </w:rPr>
      </w:pPr>
      <w:r>
        <w:rPr>
          <w:rFonts w:hint="eastAsia"/>
          <w:color w:val="auto"/>
          <w:highlight w:val="none"/>
          <w:lang w:val="en-US" w:eastAsia="zh-CN"/>
        </w:rPr>
        <w:t>4</w:t>
      </w:r>
      <w:r>
        <w:rPr>
          <w:color w:val="auto"/>
          <w:highlight w:val="none"/>
        </w:rPr>
        <w:t>.</w:t>
      </w:r>
      <w:r>
        <w:rPr>
          <w:rFonts w:hint="eastAsia"/>
          <w:color w:val="auto"/>
          <w:highlight w:val="none"/>
          <w:lang w:val="en-US" w:eastAsia="zh-CN"/>
        </w:rPr>
        <w:t>1</w:t>
      </w:r>
      <w:r>
        <w:rPr>
          <w:rFonts w:hint="eastAsia"/>
          <w:color w:val="auto"/>
          <w:highlight w:val="none"/>
        </w:rPr>
        <w:t>偏离认定说明</w:t>
      </w:r>
    </w:p>
    <w:p w14:paraId="280DD4A6">
      <w:pPr>
        <w:spacing w:before="120" w:line="320" w:lineRule="atLeast"/>
        <w:ind w:firstLine="420" w:firstLineChars="200"/>
        <w:rPr>
          <w:color w:val="auto"/>
          <w:szCs w:val="21"/>
          <w:highlight w:val="none"/>
        </w:rPr>
      </w:pPr>
      <w:r>
        <w:rPr>
          <w:rFonts w:hint="eastAsia"/>
          <w:color w:val="auto"/>
          <w:szCs w:val="21"/>
          <w:highlight w:val="none"/>
        </w:rPr>
        <w:t>供应商根据采购需求中技术参数为基准，填写响应表，对于响应表或证明材料与技术参数不符的，按如下规定：</w:t>
      </w:r>
    </w:p>
    <w:p w14:paraId="5061AA07">
      <w:pPr>
        <w:spacing w:before="120" w:line="320" w:lineRule="atLeast"/>
        <w:ind w:firstLine="420" w:firstLineChars="200"/>
        <w:rPr>
          <w:color w:val="auto"/>
          <w:szCs w:val="21"/>
          <w:highlight w:val="none"/>
        </w:rPr>
      </w:pPr>
      <w:r>
        <w:rPr>
          <w:rFonts w:hint="eastAsia"/>
          <w:color w:val="auto"/>
          <w:szCs w:val="21"/>
          <w:highlight w:val="none"/>
        </w:rPr>
        <w:t>（1）实质性参数要求提交证明材料的，证明材料没有体现响应表中响应的内容的或未提供证明材料的，视为无效响应。非实质性参数要求提交证明材料的，证明材料没有体现响应表中响应的内容的或未提供证明材料的，视为负偏离。</w:t>
      </w:r>
    </w:p>
    <w:p w14:paraId="7676C97E">
      <w:pPr>
        <w:spacing w:before="120" w:line="320" w:lineRule="atLeast"/>
        <w:ind w:firstLine="420" w:firstLineChars="200"/>
        <w:rPr>
          <w:color w:val="auto"/>
          <w:szCs w:val="21"/>
          <w:highlight w:val="none"/>
        </w:rPr>
      </w:pPr>
      <w:r>
        <w:rPr>
          <w:rFonts w:hint="eastAsia"/>
          <w:color w:val="auto"/>
          <w:szCs w:val="21"/>
          <w:highlight w:val="none"/>
        </w:rPr>
        <w:t>（2）响应表中响应的内容与证明材料不一致的，以证明材料为准作为评审依据。</w:t>
      </w:r>
    </w:p>
    <w:p w14:paraId="2D7D8570">
      <w:pPr>
        <w:spacing w:before="120" w:line="320" w:lineRule="atLeast"/>
        <w:ind w:firstLine="420" w:firstLineChars="200"/>
        <w:rPr>
          <w:color w:val="auto"/>
          <w:szCs w:val="21"/>
          <w:highlight w:val="none"/>
        </w:rPr>
      </w:pPr>
      <w:r>
        <w:rPr>
          <w:rFonts w:hint="eastAsia"/>
          <w:color w:val="auto"/>
          <w:szCs w:val="21"/>
          <w:highlight w:val="none"/>
        </w:rPr>
        <w:t>（3）同时出现以上两种情况的，按照（1）-（2）顺序认定。</w:t>
      </w:r>
    </w:p>
    <w:p w14:paraId="2ECC84C1">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）响应表与采购需求中技术参数比较有漏项的，如为实质性参数漏项，视为未响应；如为非实质性参数漏项，视为负偏离。</w:t>
      </w:r>
    </w:p>
    <w:p w14:paraId="1579056B">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5</w:t>
      </w:r>
      <w:r>
        <w:rPr>
          <w:rFonts w:hint="eastAsia"/>
          <w:color w:val="auto"/>
          <w:szCs w:val="21"/>
          <w:highlight w:val="none"/>
        </w:rPr>
        <w:t>）一项技术参数有多条小项要求的，必须全部响应。如只响应部分参数，视为漏项，按照（4）判定。评审时以每一条技术参数为评审依据。</w:t>
      </w:r>
    </w:p>
    <w:p w14:paraId="3961232D">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6</w:t>
      </w:r>
      <w:r>
        <w:rPr>
          <w:rFonts w:hint="eastAsia"/>
          <w:color w:val="auto"/>
          <w:szCs w:val="21"/>
          <w:highlight w:val="none"/>
        </w:rPr>
        <w:t>）对于区间涵盖值参数，例：电压“测量范围</w:t>
      </w:r>
      <w:r>
        <w:rPr>
          <w:color w:val="auto"/>
          <w:szCs w:val="21"/>
          <w:highlight w:val="none"/>
        </w:rPr>
        <w:t>3V-5V</w:t>
      </w:r>
      <w:r>
        <w:rPr>
          <w:rFonts w:hint="eastAsia"/>
          <w:color w:val="auto"/>
          <w:szCs w:val="21"/>
          <w:highlight w:val="none"/>
        </w:rPr>
        <w:t>”，同时满足下限值更低及上限值更高才视为正偏离，例：响应为“测量范围</w:t>
      </w:r>
      <w:r>
        <w:rPr>
          <w:color w:val="auto"/>
          <w:szCs w:val="21"/>
          <w:highlight w:val="none"/>
        </w:rPr>
        <w:t>2V-6V”</w:t>
      </w:r>
      <w:r>
        <w:rPr>
          <w:rFonts w:hint="eastAsia"/>
          <w:color w:val="auto"/>
          <w:szCs w:val="21"/>
          <w:highlight w:val="none"/>
        </w:rPr>
        <w:t>。如有一端负偏离，不管另一端如何，均视为负偏离，例：响应为“测量范围4</w:t>
      </w:r>
      <w:r>
        <w:rPr>
          <w:color w:val="auto"/>
          <w:szCs w:val="21"/>
          <w:highlight w:val="none"/>
        </w:rPr>
        <w:t>V-6V</w:t>
      </w:r>
      <w:r>
        <w:rPr>
          <w:rFonts w:hint="eastAsia"/>
          <w:color w:val="auto"/>
          <w:szCs w:val="21"/>
          <w:highlight w:val="none"/>
        </w:rPr>
        <w:t>”。</w:t>
      </w:r>
    </w:p>
    <w:p w14:paraId="67E8F218">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7</w:t>
      </w:r>
      <w:r>
        <w:rPr>
          <w:rFonts w:hint="eastAsia"/>
          <w:color w:val="auto"/>
          <w:szCs w:val="21"/>
          <w:highlight w:val="none"/>
        </w:rPr>
        <w:t>）对于区间任意值参数，例“</w:t>
      </w:r>
      <w:r>
        <w:rPr>
          <w:color w:val="auto"/>
          <w:szCs w:val="21"/>
          <w:highlight w:val="none"/>
        </w:rPr>
        <w:t>5</w:t>
      </w:r>
      <w:r>
        <w:rPr>
          <w:rFonts w:hint="eastAsia"/>
          <w:color w:val="auto"/>
          <w:szCs w:val="21"/>
          <w:highlight w:val="none"/>
        </w:rPr>
        <w:t>m</w:t>
      </w:r>
      <w:r>
        <w:rPr>
          <w:color w:val="auto"/>
          <w:szCs w:val="21"/>
          <w:highlight w:val="none"/>
        </w:rPr>
        <w:t>m</w:t>
      </w:r>
      <w:r>
        <w:rPr>
          <w:rFonts w:hint="eastAsia"/>
          <w:color w:val="auto"/>
          <w:szCs w:val="21"/>
          <w:highlight w:val="none"/>
        </w:rPr>
        <w:t>≤间距≤1</w:t>
      </w:r>
      <w:r>
        <w:rPr>
          <w:color w:val="auto"/>
          <w:szCs w:val="21"/>
          <w:highlight w:val="none"/>
        </w:rPr>
        <w:t>0</w:t>
      </w:r>
      <w:r>
        <w:rPr>
          <w:rFonts w:hint="eastAsia"/>
          <w:color w:val="auto"/>
          <w:szCs w:val="21"/>
          <w:highlight w:val="none"/>
        </w:rPr>
        <w:t>m</w:t>
      </w:r>
      <w:r>
        <w:rPr>
          <w:color w:val="auto"/>
          <w:szCs w:val="21"/>
          <w:highlight w:val="none"/>
        </w:rPr>
        <w:t>m</w:t>
      </w:r>
      <w:r>
        <w:rPr>
          <w:rFonts w:hint="eastAsia"/>
          <w:color w:val="auto"/>
          <w:szCs w:val="21"/>
          <w:highlight w:val="none"/>
        </w:rPr>
        <w:t>”或“间距7.5±2.5mm”，若间距响应值为</w:t>
      </w:r>
      <w:r>
        <w:rPr>
          <w:color w:val="auto"/>
          <w:szCs w:val="21"/>
          <w:highlight w:val="none"/>
        </w:rPr>
        <w:t>5</w:t>
      </w:r>
      <w:r>
        <w:rPr>
          <w:rFonts w:hint="eastAsia"/>
          <w:color w:val="auto"/>
          <w:szCs w:val="21"/>
          <w:highlight w:val="none"/>
        </w:rPr>
        <w:t>m</w:t>
      </w:r>
      <w:r>
        <w:rPr>
          <w:color w:val="auto"/>
          <w:szCs w:val="21"/>
          <w:highlight w:val="none"/>
        </w:rPr>
        <w:t>m-10mm</w:t>
      </w:r>
      <w:r>
        <w:rPr>
          <w:rFonts w:hint="eastAsia"/>
          <w:color w:val="auto"/>
          <w:szCs w:val="21"/>
          <w:highlight w:val="none"/>
        </w:rPr>
        <w:t>中任意区间值或任意一个数值（含本数）时为无偏离，例：“6m</w:t>
      </w:r>
      <w:r>
        <w:rPr>
          <w:color w:val="auto"/>
          <w:szCs w:val="21"/>
          <w:highlight w:val="none"/>
        </w:rPr>
        <w:t>m</w:t>
      </w:r>
      <w:r>
        <w:rPr>
          <w:rFonts w:hint="eastAsia"/>
          <w:color w:val="auto"/>
          <w:szCs w:val="21"/>
          <w:highlight w:val="none"/>
        </w:rPr>
        <w:t>≤间距≤8m</w:t>
      </w:r>
      <w:r>
        <w:rPr>
          <w:color w:val="auto"/>
          <w:szCs w:val="21"/>
          <w:highlight w:val="none"/>
        </w:rPr>
        <w:t>m</w:t>
      </w:r>
      <w:r>
        <w:rPr>
          <w:rFonts w:hint="eastAsia"/>
          <w:color w:val="auto"/>
          <w:szCs w:val="21"/>
          <w:highlight w:val="none"/>
        </w:rPr>
        <w:t>”、“8±2mm”、“8mm”。超过区间范围视为负偏离，例：“3m</w:t>
      </w:r>
      <w:r>
        <w:rPr>
          <w:color w:val="auto"/>
          <w:szCs w:val="21"/>
          <w:highlight w:val="none"/>
        </w:rPr>
        <w:t>m</w:t>
      </w:r>
      <w:r>
        <w:rPr>
          <w:rFonts w:hint="eastAsia"/>
          <w:color w:val="auto"/>
          <w:szCs w:val="21"/>
          <w:highlight w:val="none"/>
        </w:rPr>
        <w:t>≤间距≤12m</w:t>
      </w:r>
      <w:r>
        <w:rPr>
          <w:color w:val="auto"/>
          <w:szCs w:val="21"/>
          <w:highlight w:val="none"/>
        </w:rPr>
        <w:t>m</w:t>
      </w:r>
      <w:r>
        <w:rPr>
          <w:rFonts w:hint="eastAsia"/>
          <w:color w:val="auto"/>
          <w:szCs w:val="21"/>
          <w:highlight w:val="none"/>
        </w:rPr>
        <w:t>”、“8±4mm”、“3-12mm”、“3mm”。此类参数不存在正偏离。</w:t>
      </w:r>
    </w:p>
    <w:p w14:paraId="78E8F99C">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8</w:t>
      </w:r>
      <w:r>
        <w:rPr>
          <w:rFonts w:hint="eastAsia"/>
          <w:color w:val="auto"/>
          <w:szCs w:val="21"/>
          <w:highlight w:val="none"/>
        </w:rPr>
        <w:t>）对于单边任意参数的要求，例“长度≥5</w:t>
      </w:r>
      <w:r>
        <w:rPr>
          <w:color w:val="auto"/>
          <w:szCs w:val="21"/>
          <w:highlight w:val="none"/>
        </w:rPr>
        <w:t>0cm”</w:t>
      </w:r>
      <w:r>
        <w:rPr>
          <w:rFonts w:hint="eastAsia"/>
          <w:color w:val="auto"/>
          <w:szCs w:val="21"/>
          <w:highlight w:val="none"/>
        </w:rPr>
        <w:t>，若响应为5</w:t>
      </w:r>
      <w:r>
        <w:rPr>
          <w:color w:val="auto"/>
          <w:szCs w:val="21"/>
          <w:highlight w:val="none"/>
        </w:rPr>
        <w:t>0 cm</w:t>
      </w:r>
      <w:r>
        <w:rPr>
          <w:rFonts w:hint="eastAsia"/>
          <w:color w:val="auto"/>
          <w:szCs w:val="21"/>
          <w:highlight w:val="none"/>
        </w:rPr>
        <w:t>及5</w:t>
      </w:r>
      <w:r>
        <w:rPr>
          <w:color w:val="auto"/>
          <w:szCs w:val="21"/>
          <w:highlight w:val="none"/>
        </w:rPr>
        <w:t>0cm</w:t>
      </w:r>
      <w:r>
        <w:rPr>
          <w:rFonts w:hint="eastAsia"/>
          <w:color w:val="auto"/>
          <w:szCs w:val="21"/>
          <w:highlight w:val="none"/>
        </w:rPr>
        <w:t>以上任意一个数值，均视为无偏离；若响应小于5</w:t>
      </w:r>
      <w:r>
        <w:rPr>
          <w:color w:val="auto"/>
          <w:szCs w:val="21"/>
          <w:highlight w:val="none"/>
        </w:rPr>
        <w:t>0cm</w:t>
      </w:r>
      <w:r>
        <w:rPr>
          <w:rFonts w:hint="eastAsia"/>
          <w:color w:val="auto"/>
          <w:szCs w:val="21"/>
          <w:highlight w:val="none"/>
        </w:rPr>
        <w:t>，视为负偏离。此类参数无正偏离。</w:t>
      </w:r>
    </w:p>
    <w:p w14:paraId="7D839A40">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9</w:t>
      </w:r>
      <w:r>
        <w:rPr>
          <w:rFonts w:hint="eastAsia"/>
          <w:color w:val="auto"/>
          <w:szCs w:val="21"/>
          <w:highlight w:val="none"/>
        </w:rPr>
        <w:t>）对于固定参数，响应与采购需求中技术参数一致，视为无偏离，其他均视为负偏离，此类参数无正偏离。</w:t>
      </w:r>
    </w:p>
    <w:p w14:paraId="39C8FD33">
      <w:pPr>
        <w:spacing w:before="120" w:line="320" w:lineRule="atLeast"/>
        <w:ind w:firstLine="420" w:firstLineChars="200"/>
        <w:rPr>
          <w:rFonts w:hint="eastAsia" w:eastAsia="宋体"/>
          <w:color w:val="auto"/>
          <w:szCs w:val="21"/>
          <w:highlight w:val="none"/>
          <w:lang w:eastAsia="zh-CN"/>
        </w:rPr>
      </w:pPr>
      <w:r>
        <w:rPr>
          <w:rFonts w:hint="eastAsia"/>
          <w:color w:val="auto"/>
          <w:szCs w:val="21"/>
          <w:highlight w:val="none"/>
        </w:rPr>
        <w:t>（</w:t>
      </w:r>
      <w:r>
        <w:rPr>
          <w:color w:val="auto"/>
          <w:szCs w:val="21"/>
          <w:highlight w:val="none"/>
        </w:rPr>
        <w:t>10</w:t>
      </w:r>
      <w:r>
        <w:rPr>
          <w:rFonts w:hint="eastAsia"/>
          <w:color w:val="auto"/>
          <w:szCs w:val="21"/>
          <w:highlight w:val="none"/>
        </w:rPr>
        <w:t>）如采购需求中技术参数有特殊要求与上述说明不一致的，以特殊要求为准。</w:t>
      </w:r>
    </w:p>
    <w:p w14:paraId="00318BF3">
      <w:pPr>
        <w:pStyle w:val="26"/>
        <w:snapToGrid w:val="0"/>
        <w:spacing w:before="120" w:after="120" w:line="320" w:lineRule="exact"/>
        <w:jc w:val="center"/>
        <w:outlineLvl w:val="0"/>
        <w:rPr>
          <w:rFonts w:ascii="Times New Roman" w:hAnsi="Times New Roman" w:cs="Times New Roman"/>
          <w:color w:val="auto"/>
          <w:sz w:val="32"/>
          <w:szCs w:val="32"/>
          <w:highlight w:val="none"/>
        </w:rPr>
      </w:pPr>
      <w:r>
        <w:rPr>
          <w:color w:val="auto"/>
          <w:highlight w:val="none"/>
        </w:rPr>
        <w:br w:type="page"/>
      </w:r>
      <w:bookmarkStart w:id="79" w:name="_Toc17331"/>
      <w:r>
        <w:rPr>
          <w:rFonts w:ascii="Times New Roman" w:hAnsi="Times New Roman" w:cs="Times New Roman"/>
          <w:color w:val="auto"/>
          <w:sz w:val="32"/>
          <w:szCs w:val="32"/>
          <w:highlight w:val="none"/>
        </w:rPr>
        <w:t>第五章  合同主要条款格式</w:t>
      </w:r>
      <w:bookmarkEnd w:id="79"/>
    </w:p>
    <w:p w14:paraId="63E12452">
      <w:pPr>
        <w:snapToGrid w:val="0"/>
        <w:spacing w:line="360" w:lineRule="exact"/>
        <w:ind w:right="480"/>
        <w:jc w:val="left"/>
        <w:rPr>
          <w:rFonts w:eastAsia="楷体_GB2312"/>
          <w:b/>
          <w:color w:val="auto"/>
          <w:sz w:val="24"/>
          <w:highlight w:val="none"/>
        </w:rPr>
      </w:pPr>
    </w:p>
    <w:p w14:paraId="0AD59EDE">
      <w:pPr>
        <w:pStyle w:val="26"/>
        <w:snapToGrid w:val="0"/>
        <w:jc w:val="center"/>
        <w:rPr>
          <w:rFonts w:ascii="Times New Roman" w:hAnsi="Times New Roman" w:cs="Times New Roman"/>
          <w:b/>
          <w:color w:val="auto"/>
          <w:sz w:val="24"/>
          <w:szCs w:val="24"/>
          <w:highlight w:val="none"/>
        </w:rPr>
      </w:pPr>
    </w:p>
    <w:p w14:paraId="6F2B3FEF">
      <w:pPr>
        <w:spacing w:before="120" w:line="320" w:lineRule="atLeast"/>
        <w:ind w:firstLine="422" w:firstLineChars="200"/>
        <w:jc w:val="center"/>
        <w:outlineLvl w:val="1"/>
        <w:rPr>
          <w:b/>
          <w:bCs/>
          <w:color w:val="auto"/>
          <w:kern w:val="0"/>
          <w:szCs w:val="21"/>
          <w:highlight w:val="none"/>
        </w:rPr>
      </w:pPr>
      <w:r>
        <w:rPr>
          <w:b/>
          <w:bCs/>
          <w:color w:val="auto"/>
          <w:kern w:val="0"/>
          <w:szCs w:val="21"/>
          <w:highlight w:val="none"/>
        </w:rPr>
        <w:t>广西壮族自治区政府采购合同</w:t>
      </w:r>
    </w:p>
    <w:tbl>
      <w:tblPr>
        <w:tblStyle w:val="51"/>
        <w:tblW w:w="9286" w:type="dxa"/>
        <w:tblInd w:w="0" w:type="dxa"/>
        <w:tblLayout w:type="fixed"/>
        <w:tblCellMar>
          <w:top w:w="0" w:type="dxa"/>
          <w:left w:w="108" w:type="dxa"/>
          <w:bottom w:w="0" w:type="dxa"/>
          <w:right w:w="108" w:type="dxa"/>
        </w:tblCellMar>
      </w:tblPr>
      <w:tblGrid>
        <w:gridCol w:w="2325"/>
        <w:gridCol w:w="2317"/>
        <w:gridCol w:w="2325"/>
        <w:gridCol w:w="2319"/>
      </w:tblGrid>
      <w:tr w14:paraId="507AC741">
        <w:tblPrEx>
          <w:tblCellMar>
            <w:top w:w="0" w:type="dxa"/>
            <w:left w:w="108" w:type="dxa"/>
            <w:bottom w:w="0" w:type="dxa"/>
            <w:right w:w="108" w:type="dxa"/>
          </w:tblCellMar>
        </w:tblPrEx>
        <w:tc>
          <w:tcPr>
            <w:tcW w:w="2325" w:type="dxa"/>
            <w:vAlign w:val="top"/>
          </w:tcPr>
          <w:p w14:paraId="7A5879D4">
            <w:pPr>
              <w:snapToGrid w:val="0"/>
              <w:spacing w:line="360" w:lineRule="exact"/>
              <w:ind w:right="480"/>
              <w:jc w:val="left"/>
              <w:rPr>
                <w:bCs/>
                <w:color w:val="auto"/>
                <w:szCs w:val="21"/>
                <w:highlight w:val="none"/>
              </w:rPr>
            </w:pPr>
            <w:r>
              <w:rPr>
                <w:rFonts w:hint="eastAsia"/>
                <w:bCs/>
                <w:color w:val="auto"/>
                <w:szCs w:val="21"/>
                <w:highlight w:val="none"/>
              </w:rPr>
              <w:t>合同编号：</w:t>
            </w:r>
          </w:p>
        </w:tc>
        <w:tc>
          <w:tcPr>
            <w:tcW w:w="2317" w:type="dxa"/>
            <w:vAlign w:val="top"/>
          </w:tcPr>
          <w:p w14:paraId="0328425C">
            <w:pPr>
              <w:snapToGrid w:val="0"/>
              <w:spacing w:line="360" w:lineRule="exact"/>
              <w:ind w:right="480"/>
              <w:jc w:val="left"/>
              <w:rPr>
                <w:bCs/>
                <w:color w:val="auto"/>
                <w:szCs w:val="21"/>
                <w:highlight w:val="none"/>
              </w:rPr>
            </w:pPr>
          </w:p>
        </w:tc>
        <w:tc>
          <w:tcPr>
            <w:tcW w:w="2325" w:type="dxa"/>
            <w:vAlign w:val="top"/>
          </w:tcPr>
          <w:p w14:paraId="0C89F48B">
            <w:pPr>
              <w:snapToGrid w:val="0"/>
              <w:spacing w:line="360" w:lineRule="exact"/>
              <w:ind w:right="480"/>
              <w:jc w:val="left"/>
              <w:rPr>
                <w:bCs/>
                <w:color w:val="auto"/>
                <w:szCs w:val="21"/>
                <w:highlight w:val="none"/>
              </w:rPr>
            </w:pPr>
            <w:r>
              <w:rPr>
                <w:rFonts w:hint="eastAsia"/>
                <w:bCs/>
                <w:color w:val="auto"/>
                <w:szCs w:val="21"/>
                <w:highlight w:val="none"/>
                <w:lang w:val="en-US" w:eastAsia="zh-CN"/>
              </w:rPr>
              <w:t>标项号</w:t>
            </w:r>
            <w:r>
              <w:rPr>
                <w:rFonts w:hint="eastAsia"/>
                <w:bCs/>
                <w:color w:val="auto"/>
                <w:szCs w:val="21"/>
                <w:highlight w:val="none"/>
              </w:rPr>
              <w:t>：</w:t>
            </w:r>
          </w:p>
        </w:tc>
        <w:tc>
          <w:tcPr>
            <w:tcW w:w="2319" w:type="dxa"/>
            <w:vAlign w:val="top"/>
          </w:tcPr>
          <w:p w14:paraId="1310EB23">
            <w:pPr>
              <w:snapToGrid w:val="0"/>
              <w:spacing w:line="360" w:lineRule="exact"/>
              <w:ind w:right="480"/>
              <w:jc w:val="left"/>
              <w:rPr>
                <w:bCs/>
                <w:color w:val="auto"/>
                <w:szCs w:val="21"/>
                <w:highlight w:val="none"/>
              </w:rPr>
            </w:pPr>
          </w:p>
        </w:tc>
      </w:tr>
      <w:tr w14:paraId="13724D72">
        <w:tblPrEx>
          <w:tblCellMar>
            <w:top w:w="0" w:type="dxa"/>
            <w:left w:w="108" w:type="dxa"/>
            <w:bottom w:w="0" w:type="dxa"/>
            <w:right w:w="108" w:type="dxa"/>
          </w:tblCellMar>
        </w:tblPrEx>
        <w:tc>
          <w:tcPr>
            <w:tcW w:w="2325" w:type="dxa"/>
            <w:vAlign w:val="top"/>
          </w:tcPr>
          <w:p w14:paraId="16E0C014">
            <w:pPr>
              <w:snapToGrid w:val="0"/>
              <w:spacing w:line="360" w:lineRule="exact"/>
              <w:ind w:right="480"/>
              <w:jc w:val="left"/>
              <w:rPr>
                <w:bCs/>
                <w:color w:val="auto"/>
                <w:szCs w:val="21"/>
                <w:highlight w:val="none"/>
              </w:rPr>
            </w:pPr>
            <w:r>
              <w:rPr>
                <w:rFonts w:hint="eastAsia"/>
                <w:bCs/>
                <w:color w:val="auto"/>
                <w:szCs w:val="21"/>
                <w:highlight w:val="none"/>
              </w:rPr>
              <w:t>项目名称：</w:t>
            </w:r>
          </w:p>
        </w:tc>
        <w:tc>
          <w:tcPr>
            <w:tcW w:w="2317" w:type="dxa"/>
            <w:vAlign w:val="top"/>
          </w:tcPr>
          <w:p w14:paraId="61C4BC39">
            <w:pPr>
              <w:snapToGrid w:val="0"/>
              <w:spacing w:line="360" w:lineRule="exact"/>
              <w:ind w:right="480"/>
              <w:jc w:val="left"/>
              <w:rPr>
                <w:bCs/>
                <w:color w:val="auto"/>
                <w:szCs w:val="21"/>
                <w:highlight w:val="none"/>
              </w:rPr>
            </w:pPr>
          </w:p>
        </w:tc>
        <w:tc>
          <w:tcPr>
            <w:tcW w:w="2325" w:type="dxa"/>
            <w:vAlign w:val="top"/>
          </w:tcPr>
          <w:p w14:paraId="1BB85220">
            <w:pPr>
              <w:snapToGrid w:val="0"/>
              <w:spacing w:line="360" w:lineRule="exact"/>
              <w:ind w:right="480"/>
              <w:jc w:val="left"/>
              <w:rPr>
                <w:bCs/>
                <w:color w:val="auto"/>
                <w:szCs w:val="21"/>
                <w:highlight w:val="none"/>
              </w:rPr>
            </w:pPr>
            <w:r>
              <w:rPr>
                <w:rFonts w:hint="eastAsia"/>
                <w:bCs/>
                <w:color w:val="auto"/>
                <w:szCs w:val="21"/>
                <w:highlight w:val="none"/>
              </w:rPr>
              <w:t>项目编号：</w:t>
            </w:r>
          </w:p>
        </w:tc>
        <w:tc>
          <w:tcPr>
            <w:tcW w:w="2319" w:type="dxa"/>
            <w:vAlign w:val="top"/>
          </w:tcPr>
          <w:p w14:paraId="2E98F0D2">
            <w:pPr>
              <w:snapToGrid w:val="0"/>
              <w:spacing w:line="360" w:lineRule="exact"/>
              <w:ind w:right="480"/>
              <w:jc w:val="left"/>
              <w:rPr>
                <w:bCs/>
                <w:color w:val="auto"/>
                <w:szCs w:val="21"/>
                <w:highlight w:val="none"/>
              </w:rPr>
            </w:pPr>
          </w:p>
        </w:tc>
      </w:tr>
      <w:tr w14:paraId="7A3B5723">
        <w:tblPrEx>
          <w:tblCellMar>
            <w:top w:w="0" w:type="dxa"/>
            <w:left w:w="108" w:type="dxa"/>
            <w:bottom w:w="0" w:type="dxa"/>
            <w:right w:w="108" w:type="dxa"/>
          </w:tblCellMar>
        </w:tblPrEx>
        <w:tc>
          <w:tcPr>
            <w:tcW w:w="2325" w:type="dxa"/>
            <w:vAlign w:val="top"/>
          </w:tcPr>
          <w:p w14:paraId="77BC4F59">
            <w:pPr>
              <w:snapToGrid w:val="0"/>
              <w:spacing w:line="360" w:lineRule="exact"/>
              <w:jc w:val="left"/>
              <w:rPr>
                <w:bCs/>
                <w:color w:val="auto"/>
                <w:szCs w:val="21"/>
                <w:highlight w:val="none"/>
              </w:rPr>
            </w:pPr>
            <w:r>
              <w:rPr>
                <w:rFonts w:hint="eastAsia"/>
                <w:bCs/>
                <w:color w:val="auto"/>
                <w:szCs w:val="21"/>
                <w:highlight w:val="none"/>
              </w:rPr>
              <w:t>采购人（甲方）：</w:t>
            </w:r>
          </w:p>
        </w:tc>
        <w:tc>
          <w:tcPr>
            <w:tcW w:w="2317" w:type="dxa"/>
            <w:vAlign w:val="top"/>
          </w:tcPr>
          <w:p w14:paraId="22275B56">
            <w:pPr>
              <w:snapToGrid w:val="0"/>
              <w:spacing w:line="360" w:lineRule="exact"/>
              <w:ind w:right="480"/>
              <w:jc w:val="left"/>
              <w:rPr>
                <w:bCs/>
                <w:color w:val="auto"/>
                <w:szCs w:val="21"/>
                <w:highlight w:val="none"/>
              </w:rPr>
            </w:pPr>
          </w:p>
        </w:tc>
        <w:tc>
          <w:tcPr>
            <w:tcW w:w="2325" w:type="dxa"/>
            <w:vAlign w:val="top"/>
          </w:tcPr>
          <w:p w14:paraId="077F3135">
            <w:pPr>
              <w:snapToGrid w:val="0"/>
              <w:spacing w:line="360" w:lineRule="exact"/>
              <w:jc w:val="left"/>
              <w:rPr>
                <w:bCs/>
                <w:color w:val="auto"/>
                <w:szCs w:val="21"/>
                <w:highlight w:val="none"/>
              </w:rPr>
            </w:pPr>
            <w:r>
              <w:rPr>
                <w:rFonts w:hint="eastAsia"/>
                <w:bCs/>
                <w:color w:val="auto"/>
                <w:szCs w:val="21"/>
                <w:highlight w:val="none"/>
              </w:rPr>
              <w:t>供应商（乙方）：</w:t>
            </w:r>
          </w:p>
        </w:tc>
        <w:tc>
          <w:tcPr>
            <w:tcW w:w="2319" w:type="dxa"/>
            <w:vAlign w:val="top"/>
          </w:tcPr>
          <w:p w14:paraId="32D43A1C">
            <w:pPr>
              <w:snapToGrid w:val="0"/>
              <w:spacing w:line="360" w:lineRule="exact"/>
              <w:ind w:right="480"/>
              <w:jc w:val="left"/>
              <w:rPr>
                <w:bCs/>
                <w:color w:val="auto"/>
                <w:szCs w:val="21"/>
                <w:highlight w:val="none"/>
              </w:rPr>
            </w:pPr>
          </w:p>
        </w:tc>
      </w:tr>
      <w:tr w14:paraId="01048B17">
        <w:tblPrEx>
          <w:tblCellMar>
            <w:top w:w="0" w:type="dxa"/>
            <w:left w:w="108" w:type="dxa"/>
            <w:bottom w:w="0" w:type="dxa"/>
            <w:right w:w="108" w:type="dxa"/>
          </w:tblCellMar>
        </w:tblPrEx>
        <w:tc>
          <w:tcPr>
            <w:tcW w:w="2325" w:type="dxa"/>
            <w:vAlign w:val="top"/>
          </w:tcPr>
          <w:p w14:paraId="352C52F9">
            <w:pPr>
              <w:snapToGrid w:val="0"/>
              <w:spacing w:line="360" w:lineRule="exact"/>
              <w:ind w:right="480"/>
              <w:jc w:val="left"/>
              <w:rPr>
                <w:bCs/>
                <w:color w:val="auto"/>
                <w:szCs w:val="21"/>
                <w:highlight w:val="none"/>
              </w:rPr>
            </w:pPr>
            <w:r>
              <w:rPr>
                <w:rFonts w:hint="eastAsia"/>
                <w:bCs/>
                <w:color w:val="auto"/>
                <w:szCs w:val="21"/>
                <w:highlight w:val="none"/>
              </w:rPr>
              <w:t>签订地点：</w:t>
            </w:r>
          </w:p>
        </w:tc>
        <w:tc>
          <w:tcPr>
            <w:tcW w:w="2317" w:type="dxa"/>
            <w:vAlign w:val="top"/>
          </w:tcPr>
          <w:p w14:paraId="334B2F5A">
            <w:pPr>
              <w:snapToGrid w:val="0"/>
              <w:spacing w:line="360" w:lineRule="exact"/>
              <w:ind w:right="480"/>
              <w:jc w:val="left"/>
              <w:rPr>
                <w:bCs/>
                <w:color w:val="auto"/>
                <w:szCs w:val="21"/>
                <w:highlight w:val="none"/>
              </w:rPr>
            </w:pPr>
          </w:p>
        </w:tc>
        <w:tc>
          <w:tcPr>
            <w:tcW w:w="2325" w:type="dxa"/>
            <w:vAlign w:val="top"/>
          </w:tcPr>
          <w:p w14:paraId="75636C26">
            <w:pPr>
              <w:snapToGrid w:val="0"/>
              <w:spacing w:line="360" w:lineRule="exact"/>
              <w:ind w:right="480"/>
              <w:jc w:val="left"/>
              <w:rPr>
                <w:bCs/>
                <w:color w:val="auto"/>
                <w:szCs w:val="21"/>
                <w:highlight w:val="none"/>
              </w:rPr>
            </w:pPr>
            <w:r>
              <w:rPr>
                <w:rFonts w:hint="eastAsia"/>
                <w:bCs/>
                <w:color w:val="auto"/>
                <w:szCs w:val="21"/>
                <w:highlight w:val="none"/>
              </w:rPr>
              <w:t>签订时间：</w:t>
            </w:r>
          </w:p>
        </w:tc>
        <w:tc>
          <w:tcPr>
            <w:tcW w:w="2319" w:type="dxa"/>
            <w:vAlign w:val="top"/>
          </w:tcPr>
          <w:p w14:paraId="68F4CD2F">
            <w:pPr>
              <w:snapToGrid w:val="0"/>
              <w:spacing w:line="360" w:lineRule="exact"/>
              <w:ind w:right="480"/>
              <w:jc w:val="left"/>
              <w:rPr>
                <w:bCs/>
                <w:color w:val="auto"/>
                <w:szCs w:val="21"/>
                <w:highlight w:val="none"/>
              </w:rPr>
            </w:pPr>
          </w:p>
        </w:tc>
      </w:tr>
    </w:tbl>
    <w:p w14:paraId="4C089DCB">
      <w:pPr>
        <w:snapToGrid w:val="0"/>
        <w:spacing w:line="360" w:lineRule="exact"/>
        <w:ind w:right="480" w:firstLine="5985" w:firstLineChars="2850"/>
        <w:rPr>
          <w:bCs/>
          <w:color w:val="auto"/>
          <w:szCs w:val="21"/>
          <w:highlight w:val="none"/>
        </w:rPr>
      </w:pPr>
    </w:p>
    <w:p w14:paraId="4FF56CB2">
      <w:pPr>
        <w:pStyle w:val="26"/>
        <w:spacing w:line="300" w:lineRule="exact"/>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根据《中华人民共和国政府采购法》</w:t>
      </w:r>
      <w:r>
        <w:rPr>
          <w:rFonts w:hint="eastAsia" w:ascii="Times New Roman" w:hAnsi="Times New Roman" w:cs="Times New Roman"/>
          <w:color w:val="auto"/>
          <w:highlight w:val="none"/>
        </w:rPr>
        <w:t>、</w:t>
      </w:r>
      <w:r>
        <w:rPr>
          <w:rFonts w:ascii="Times New Roman" w:hAnsi="Times New Roman" w:cs="Times New Roman"/>
          <w:color w:val="auto"/>
          <w:highlight w:val="none"/>
        </w:rPr>
        <w:t>《中华人民共和国政府采购法</w:t>
      </w:r>
      <w:r>
        <w:rPr>
          <w:rFonts w:hint="eastAsia" w:ascii="Times New Roman" w:hAnsi="Times New Roman" w:cs="Times New Roman"/>
          <w:color w:val="auto"/>
          <w:highlight w:val="none"/>
        </w:rPr>
        <w:t>实施条例</w:t>
      </w:r>
      <w:r>
        <w:rPr>
          <w:rFonts w:ascii="Times New Roman" w:hAnsi="Times New Roman" w:cs="Times New Roman"/>
          <w:color w:val="auto"/>
          <w:highlight w:val="none"/>
        </w:rPr>
        <w:t>》等法律、法规规定，按照采购文件规定</w:t>
      </w:r>
      <w:r>
        <w:rPr>
          <w:rFonts w:hint="eastAsia" w:ascii="Times New Roman" w:hAnsi="Times New Roman" w:cs="Times New Roman"/>
          <w:color w:val="auto"/>
          <w:highlight w:val="none"/>
        </w:rPr>
        <w:t>、</w:t>
      </w:r>
      <w:r>
        <w:rPr>
          <w:rFonts w:ascii="Times New Roman" w:hAnsi="Times New Roman" w:cs="Times New Roman"/>
          <w:color w:val="auto"/>
          <w:highlight w:val="none"/>
        </w:rPr>
        <w:t>乙方响应文件及其承诺</w:t>
      </w:r>
      <w:r>
        <w:rPr>
          <w:rFonts w:hint="eastAsia" w:ascii="Times New Roman" w:hAnsi="Times New Roman" w:cs="Times New Roman"/>
          <w:color w:val="auto"/>
          <w:highlight w:val="none"/>
        </w:rPr>
        <w:t>和中标通知书</w:t>
      </w:r>
      <w:r>
        <w:rPr>
          <w:rFonts w:ascii="Times New Roman" w:hAnsi="Times New Roman" w:cs="Times New Roman"/>
          <w:color w:val="auto"/>
          <w:highlight w:val="none"/>
        </w:rPr>
        <w:t>，甲乙双方签订本合同。</w:t>
      </w:r>
    </w:p>
    <w:p w14:paraId="0DE504EF">
      <w:pPr>
        <w:snapToGrid w:val="0"/>
        <w:spacing w:line="360" w:lineRule="exact"/>
        <w:ind w:firstLine="422" w:firstLineChars="200"/>
        <w:rPr>
          <w:b/>
          <w:color w:val="auto"/>
          <w:szCs w:val="21"/>
          <w:highlight w:val="none"/>
        </w:rPr>
      </w:pPr>
      <w:r>
        <w:rPr>
          <w:b/>
          <w:color w:val="auto"/>
          <w:szCs w:val="21"/>
          <w:highlight w:val="none"/>
        </w:rPr>
        <w:t>第一条　项目概况及服务范围</w:t>
      </w:r>
    </w:p>
    <w:p w14:paraId="05E59AD6">
      <w:pPr>
        <w:snapToGrid w:val="0"/>
        <w:spacing w:line="360" w:lineRule="exact"/>
        <w:ind w:firstLine="420" w:firstLineChars="200"/>
        <w:rPr>
          <w:color w:val="auto"/>
          <w:szCs w:val="21"/>
          <w:highlight w:val="none"/>
        </w:rPr>
      </w:pPr>
      <w:r>
        <w:rPr>
          <w:color w:val="auto"/>
          <w:szCs w:val="21"/>
          <w:highlight w:val="none"/>
        </w:rPr>
        <w:t>1.项目名称：</w:t>
      </w:r>
      <w:r>
        <w:rPr>
          <w:rFonts w:hint="eastAsia"/>
          <w:color w:val="auto"/>
          <w:szCs w:val="21"/>
          <w:highlight w:val="none"/>
        </w:rPr>
        <w:t>铸牢中华民族共同体意识宣传项目</w:t>
      </w:r>
    </w:p>
    <w:p w14:paraId="1087C36C">
      <w:pPr>
        <w:snapToGrid w:val="0"/>
        <w:spacing w:line="360" w:lineRule="exact"/>
        <w:ind w:firstLine="420" w:firstLineChars="200"/>
        <w:rPr>
          <w:color w:val="auto"/>
          <w:szCs w:val="21"/>
          <w:highlight w:val="none"/>
        </w:rPr>
      </w:pPr>
      <w:r>
        <w:rPr>
          <w:color w:val="auto"/>
          <w:szCs w:val="21"/>
          <w:highlight w:val="none"/>
        </w:rPr>
        <w:t>2.服务内容及范围：</w:t>
      </w:r>
      <w:r>
        <w:rPr>
          <w:color w:val="auto"/>
          <w:szCs w:val="21"/>
          <w:highlight w:val="none"/>
          <w:u w:val="single"/>
        </w:rPr>
        <w:t xml:space="preserve">                                                    ；</w:t>
      </w:r>
      <w:r>
        <w:rPr>
          <w:color w:val="auto"/>
          <w:szCs w:val="21"/>
          <w:highlight w:val="none"/>
        </w:rPr>
        <w:t xml:space="preserve">  </w:t>
      </w:r>
    </w:p>
    <w:p w14:paraId="010BB46A">
      <w:pPr>
        <w:snapToGrid w:val="0"/>
        <w:spacing w:line="360" w:lineRule="exact"/>
        <w:ind w:firstLine="420" w:firstLineChars="200"/>
        <w:rPr>
          <w:color w:val="auto"/>
          <w:szCs w:val="21"/>
          <w:highlight w:val="none"/>
        </w:rPr>
      </w:pPr>
      <w:r>
        <w:rPr>
          <w:color w:val="auto"/>
          <w:szCs w:val="21"/>
          <w:highlight w:val="none"/>
        </w:rPr>
        <w:t>3.服务期：</w:t>
      </w:r>
      <w:r>
        <w:rPr>
          <w:color w:val="auto"/>
          <w:szCs w:val="21"/>
          <w:highlight w:val="none"/>
          <w:u w:val="single"/>
        </w:rPr>
        <w:t xml:space="preserve">                                                            </w:t>
      </w:r>
      <w:r>
        <w:rPr>
          <w:color w:val="auto"/>
          <w:szCs w:val="21"/>
          <w:highlight w:val="none"/>
        </w:rPr>
        <w:t>；</w:t>
      </w:r>
    </w:p>
    <w:p w14:paraId="2F77B4FB">
      <w:pPr>
        <w:snapToGrid w:val="0"/>
        <w:spacing w:line="360" w:lineRule="exact"/>
        <w:ind w:firstLine="420" w:firstLineChars="200"/>
        <w:rPr>
          <w:color w:val="auto"/>
          <w:szCs w:val="21"/>
          <w:highlight w:val="none"/>
        </w:rPr>
      </w:pPr>
      <w:r>
        <w:rPr>
          <w:color w:val="auto"/>
          <w:szCs w:val="21"/>
          <w:highlight w:val="none"/>
        </w:rPr>
        <w:t>4.交付时间及地点：</w:t>
      </w:r>
      <w:r>
        <w:rPr>
          <w:color w:val="auto"/>
          <w:szCs w:val="21"/>
          <w:highlight w:val="none"/>
          <w:u w:val="single"/>
        </w:rPr>
        <w:t xml:space="preserve">                                                    </w:t>
      </w:r>
      <w:r>
        <w:rPr>
          <w:color w:val="auto"/>
          <w:szCs w:val="21"/>
          <w:highlight w:val="none"/>
        </w:rPr>
        <w:t xml:space="preserve">； </w:t>
      </w:r>
    </w:p>
    <w:p w14:paraId="6C4918B2">
      <w:pPr>
        <w:snapToGrid w:val="0"/>
        <w:spacing w:line="360" w:lineRule="exact"/>
        <w:ind w:firstLine="420" w:firstLineChars="200"/>
        <w:rPr>
          <w:color w:val="auto"/>
          <w:szCs w:val="21"/>
          <w:highlight w:val="none"/>
        </w:rPr>
      </w:pPr>
      <w:r>
        <w:rPr>
          <w:color w:val="auto"/>
          <w:szCs w:val="21"/>
          <w:highlight w:val="none"/>
        </w:rPr>
        <w:t>5.报价要求：合同合计金额可能包括服务交付成果（产品）、设计、编绘、组织、策划、开发、调研、安装、调试、技术协助、校准、培训、维修、技术指导等类似服务内容的全部费用。</w:t>
      </w:r>
    </w:p>
    <w:p w14:paraId="78A9BEA2">
      <w:pPr>
        <w:pStyle w:val="26"/>
        <w:spacing w:line="300" w:lineRule="exact"/>
        <w:ind w:firstLine="420" w:firstLineChars="200"/>
        <w:rPr>
          <w:rFonts w:hint="eastAsia" w:ascii="Times New Roman" w:hAnsi="Times New Roman" w:cs="Times New Roman"/>
          <w:color w:val="auto"/>
          <w:highlight w:val="none"/>
        </w:rPr>
      </w:pPr>
      <w:r>
        <w:rPr>
          <w:rFonts w:ascii="Times New Roman" w:hAnsi="Times New Roman" w:cs="Times New Roman"/>
          <w:color w:val="auto"/>
          <w:highlight w:val="none"/>
        </w:rPr>
        <w:t>6</w:t>
      </w:r>
      <w:r>
        <w:rPr>
          <w:rFonts w:hint="eastAsia" w:ascii="Times New Roman" w:hAnsi="Times New Roman" w:cs="Times New Roman"/>
          <w:color w:val="auto"/>
          <w:highlight w:val="none"/>
        </w:rPr>
        <w:t>.合同价格形式：</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 xml:space="preserve">固定总价 </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rPr>
        <w:t xml:space="preserve">□固定单价 </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rPr>
        <w:t>□成本补偿 □绩效激励 □其他</w:t>
      </w:r>
    </w:p>
    <w:p w14:paraId="4C00ABBA">
      <w:pPr>
        <w:snapToGrid w:val="0"/>
        <w:spacing w:line="360" w:lineRule="exact"/>
        <w:ind w:firstLine="422" w:firstLineChars="200"/>
        <w:rPr>
          <w:b/>
          <w:color w:val="auto"/>
          <w:szCs w:val="21"/>
          <w:highlight w:val="none"/>
        </w:rPr>
      </w:pPr>
      <w:r>
        <w:rPr>
          <w:b/>
          <w:color w:val="auto"/>
          <w:szCs w:val="21"/>
          <w:highlight w:val="none"/>
        </w:rPr>
        <w:t>第二条　服务交付成果（产品）清单</w:t>
      </w:r>
    </w:p>
    <w:tbl>
      <w:tblPr>
        <w:tblStyle w:val="51"/>
        <w:tblW w:w="911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1583"/>
        <w:gridCol w:w="926"/>
        <w:gridCol w:w="1201"/>
        <w:gridCol w:w="1311"/>
        <w:gridCol w:w="1748"/>
        <w:gridCol w:w="1748"/>
      </w:tblGrid>
      <w:tr w14:paraId="6616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trPr>
        <w:tc>
          <w:tcPr>
            <w:tcW w:w="602" w:type="dxa"/>
            <w:vAlign w:val="center"/>
          </w:tcPr>
          <w:p w14:paraId="3F43196F">
            <w:pPr>
              <w:snapToGrid w:val="0"/>
              <w:spacing w:line="360" w:lineRule="exact"/>
              <w:jc w:val="center"/>
              <w:rPr>
                <w:color w:val="auto"/>
                <w:szCs w:val="21"/>
                <w:highlight w:val="none"/>
              </w:rPr>
            </w:pPr>
            <w:r>
              <w:rPr>
                <w:color w:val="auto"/>
                <w:szCs w:val="21"/>
                <w:highlight w:val="none"/>
              </w:rPr>
              <w:t>序号</w:t>
            </w:r>
          </w:p>
        </w:tc>
        <w:tc>
          <w:tcPr>
            <w:tcW w:w="1583" w:type="dxa"/>
            <w:vAlign w:val="center"/>
          </w:tcPr>
          <w:p w14:paraId="7BF38E31">
            <w:pPr>
              <w:snapToGrid w:val="0"/>
              <w:spacing w:line="360" w:lineRule="exact"/>
              <w:jc w:val="center"/>
              <w:rPr>
                <w:color w:val="auto"/>
                <w:szCs w:val="21"/>
                <w:highlight w:val="none"/>
              </w:rPr>
            </w:pPr>
            <w:r>
              <w:rPr>
                <w:color w:val="auto"/>
                <w:szCs w:val="21"/>
                <w:highlight w:val="none"/>
              </w:rPr>
              <w:t>服务交付成果或产品名称</w:t>
            </w:r>
          </w:p>
        </w:tc>
        <w:tc>
          <w:tcPr>
            <w:tcW w:w="926" w:type="dxa"/>
            <w:vAlign w:val="center"/>
          </w:tcPr>
          <w:p w14:paraId="5F058494">
            <w:pPr>
              <w:snapToGrid w:val="0"/>
              <w:spacing w:line="360" w:lineRule="exact"/>
              <w:jc w:val="center"/>
              <w:rPr>
                <w:color w:val="auto"/>
                <w:szCs w:val="21"/>
                <w:highlight w:val="none"/>
              </w:rPr>
            </w:pPr>
            <w:r>
              <w:rPr>
                <w:color w:val="auto"/>
                <w:szCs w:val="21"/>
                <w:highlight w:val="none"/>
              </w:rPr>
              <w:t>数  量</w:t>
            </w:r>
          </w:p>
        </w:tc>
        <w:tc>
          <w:tcPr>
            <w:tcW w:w="1201" w:type="dxa"/>
            <w:vAlign w:val="center"/>
          </w:tcPr>
          <w:p w14:paraId="53D313B9">
            <w:pPr>
              <w:snapToGrid w:val="0"/>
              <w:spacing w:line="360" w:lineRule="exact"/>
              <w:jc w:val="center"/>
              <w:rPr>
                <w:color w:val="auto"/>
                <w:szCs w:val="21"/>
                <w:highlight w:val="none"/>
              </w:rPr>
            </w:pPr>
            <w:r>
              <w:rPr>
                <w:color w:val="auto"/>
                <w:szCs w:val="21"/>
                <w:highlight w:val="none"/>
              </w:rPr>
              <w:t>单位</w:t>
            </w:r>
          </w:p>
        </w:tc>
        <w:tc>
          <w:tcPr>
            <w:tcW w:w="1311" w:type="dxa"/>
            <w:vAlign w:val="center"/>
          </w:tcPr>
          <w:p w14:paraId="512FFA6D">
            <w:pPr>
              <w:snapToGrid w:val="0"/>
              <w:spacing w:line="360" w:lineRule="exact"/>
              <w:jc w:val="center"/>
              <w:rPr>
                <w:color w:val="auto"/>
                <w:szCs w:val="21"/>
                <w:highlight w:val="none"/>
              </w:rPr>
            </w:pPr>
            <w:r>
              <w:rPr>
                <w:color w:val="auto"/>
                <w:szCs w:val="21"/>
                <w:highlight w:val="none"/>
              </w:rPr>
              <w:t>单  价</w:t>
            </w:r>
          </w:p>
          <w:p w14:paraId="06B15112">
            <w:pPr>
              <w:snapToGrid w:val="0"/>
              <w:spacing w:line="360" w:lineRule="exact"/>
              <w:jc w:val="center"/>
              <w:rPr>
                <w:color w:val="auto"/>
                <w:szCs w:val="21"/>
                <w:highlight w:val="none"/>
              </w:rPr>
            </w:pPr>
            <w:r>
              <w:rPr>
                <w:color w:val="auto"/>
                <w:szCs w:val="21"/>
                <w:highlight w:val="none"/>
              </w:rPr>
              <w:t>（元）</w:t>
            </w:r>
          </w:p>
        </w:tc>
        <w:tc>
          <w:tcPr>
            <w:tcW w:w="1748" w:type="dxa"/>
            <w:vAlign w:val="center"/>
          </w:tcPr>
          <w:p w14:paraId="755008FF">
            <w:pPr>
              <w:snapToGrid w:val="0"/>
              <w:spacing w:line="360" w:lineRule="exact"/>
              <w:jc w:val="center"/>
              <w:rPr>
                <w:color w:val="auto"/>
                <w:szCs w:val="21"/>
                <w:highlight w:val="none"/>
              </w:rPr>
            </w:pPr>
            <w:r>
              <w:rPr>
                <w:color w:val="auto"/>
                <w:szCs w:val="21"/>
                <w:highlight w:val="none"/>
              </w:rPr>
              <w:t>金  额</w:t>
            </w:r>
          </w:p>
          <w:p w14:paraId="118F5E63">
            <w:pPr>
              <w:snapToGrid w:val="0"/>
              <w:spacing w:line="360" w:lineRule="exact"/>
              <w:jc w:val="center"/>
              <w:rPr>
                <w:color w:val="auto"/>
                <w:szCs w:val="21"/>
                <w:highlight w:val="none"/>
              </w:rPr>
            </w:pPr>
            <w:r>
              <w:rPr>
                <w:color w:val="auto"/>
                <w:szCs w:val="21"/>
                <w:highlight w:val="none"/>
              </w:rPr>
              <w:t>（元）</w:t>
            </w:r>
          </w:p>
        </w:tc>
        <w:tc>
          <w:tcPr>
            <w:tcW w:w="1748" w:type="dxa"/>
            <w:vAlign w:val="top"/>
          </w:tcPr>
          <w:p w14:paraId="77E42DF0">
            <w:pPr>
              <w:snapToGrid w:val="0"/>
              <w:spacing w:line="360" w:lineRule="exact"/>
              <w:jc w:val="center"/>
              <w:rPr>
                <w:color w:val="auto"/>
                <w:szCs w:val="21"/>
                <w:highlight w:val="none"/>
              </w:rPr>
            </w:pPr>
            <w:r>
              <w:rPr>
                <w:color w:val="auto"/>
                <w:szCs w:val="21"/>
                <w:highlight w:val="none"/>
              </w:rPr>
              <w:t>备注</w:t>
            </w:r>
          </w:p>
        </w:tc>
      </w:tr>
      <w:tr w14:paraId="36C0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vAlign w:val="center"/>
          </w:tcPr>
          <w:p w14:paraId="3303F208">
            <w:pPr>
              <w:snapToGrid w:val="0"/>
              <w:spacing w:line="360" w:lineRule="exact"/>
              <w:jc w:val="center"/>
              <w:rPr>
                <w:color w:val="auto"/>
                <w:szCs w:val="21"/>
                <w:highlight w:val="none"/>
              </w:rPr>
            </w:pPr>
            <w:r>
              <w:rPr>
                <w:color w:val="auto"/>
                <w:szCs w:val="21"/>
                <w:highlight w:val="none"/>
              </w:rPr>
              <w:t>1</w:t>
            </w:r>
          </w:p>
        </w:tc>
        <w:tc>
          <w:tcPr>
            <w:tcW w:w="1583" w:type="dxa"/>
            <w:vAlign w:val="center"/>
          </w:tcPr>
          <w:p w14:paraId="6D2972E9">
            <w:pPr>
              <w:snapToGrid w:val="0"/>
              <w:spacing w:line="360" w:lineRule="exact"/>
              <w:jc w:val="center"/>
              <w:rPr>
                <w:color w:val="auto"/>
                <w:szCs w:val="21"/>
                <w:highlight w:val="none"/>
              </w:rPr>
            </w:pPr>
          </w:p>
        </w:tc>
        <w:tc>
          <w:tcPr>
            <w:tcW w:w="926" w:type="dxa"/>
            <w:vAlign w:val="top"/>
          </w:tcPr>
          <w:p w14:paraId="6B7C7589">
            <w:pPr>
              <w:snapToGrid w:val="0"/>
              <w:spacing w:line="360" w:lineRule="exact"/>
              <w:jc w:val="center"/>
              <w:rPr>
                <w:color w:val="auto"/>
                <w:szCs w:val="21"/>
                <w:highlight w:val="none"/>
              </w:rPr>
            </w:pPr>
          </w:p>
        </w:tc>
        <w:tc>
          <w:tcPr>
            <w:tcW w:w="1201" w:type="dxa"/>
            <w:vAlign w:val="top"/>
          </w:tcPr>
          <w:p w14:paraId="7FDF116C">
            <w:pPr>
              <w:snapToGrid w:val="0"/>
              <w:spacing w:line="360" w:lineRule="exact"/>
              <w:jc w:val="center"/>
              <w:rPr>
                <w:color w:val="auto"/>
                <w:szCs w:val="21"/>
                <w:highlight w:val="none"/>
              </w:rPr>
            </w:pPr>
          </w:p>
        </w:tc>
        <w:tc>
          <w:tcPr>
            <w:tcW w:w="1311" w:type="dxa"/>
            <w:vAlign w:val="center"/>
          </w:tcPr>
          <w:p w14:paraId="276C6F55">
            <w:pPr>
              <w:snapToGrid w:val="0"/>
              <w:spacing w:line="360" w:lineRule="exact"/>
              <w:jc w:val="center"/>
              <w:rPr>
                <w:color w:val="auto"/>
                <w:szCs w:val="21"/>
                <w:highlight w:val="none"/>
              </w:rPr>
            </w:pPr>
          </w:p>
        </w:tc>
        <w:tc>
          <w:tcPr>
            <w:tcW w:w="1748" w:type="dxa"/>
            <w:vAlign w:val="center"/>
          </w:tcPr>
          <w:p w14:paraId="44D27761">
            <w:pPr>
              <w:snapToGrid w:val="0"/>
              <w:spacing w:line="360" w:lineRule="exact"/>
              <w:jc w:val="center"/>
              <w:rPr>
                <w:color w:val="auto"/>
                <w:szCs w:val="21"/>
                <w:highlight w:val="none"/>
              </w:rPr>
            </w:pPr>
          </w:p>
        </w:tc>
        <w:tc>
          <w:tcPr>
            <w:tcW w:w="1748" w:type="dxa"/>
            <w:vMerge w:val="restart"/>
            <w:vAlign w:val="top"/>
          </w:tcPr>
          <w:p w14:paraId="7A8CCFF0">
            <w:pPr>
              <w:snapToGrid w:val="0"/>
              <w:spacing w:line="360" w:lineRule="exact"/>
              <w:jc w:val="left"/>
              <w:rPr>
                <w:color w:val="auto"/>
                <w:szCs w:val="21"/>
                <w:highlight w:val="none"/>
              </w:rPr>
            </w:pPr>
            <w:r>
              <w:rPr>
                <w:color w:val="auto"/>
                <w:szCs w:val="21"/>
                <w:highlight w:val="none"/>
              </w:rPr>
              <w:t>如有商标品牌、型号参数、生产厂家等信息请注明</w:t>
            </w:r>
          </w:p>
        </w:tc>
      </w:tr>
      <w:tr w14:paraId="35BE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vAlign w:val="center"/>
          </w:tcPr>
          <w:p w14:paraId="42CCE669">
            <w:pPr>
              <w:snapToGrid w:val="0"/>
              <w:spacing w:line="360" w:lineRule="exact"/>
              <w:jc w:val="center"/>
              <w:rPr>
                <w:color w:val="auto"/>
                <w:szCs w:val="21"/>
                <w:highlight w:val="none"/>
              </w:rPr>
            </w:pPr>
            <w:r>
              <w:rPr>
                <w:color w:val="auto"/>
                <w:szCs w:val="21"/>
                <w:highlight w:val="none"/>
              </w:rPr>
              <w:t>2</w:t>
            </w:r>
          </w:p>
        </w:tc>
        <w:tc>
          <w:tcPr>
            <w:tcW w:w="1583" w:type="dxa"/>
            <w:vAlign w:val="center"/>
          </w:tcPr>
          <w:p w14:paraId="5B5FA671">
            <w:pPr>
              <w:snapToGrid w:val="0"/>
              <w:spacing w:line="360" w:lineRule="exact"/>
              <w:jc w:val="center"/>
              <w:rPr>
                <w:color w:val="auto"/>
                <w:szCs w:val="21"/>
                <w:highlight w:val="none"/>
              </w:rPr>
            </w:pPr>
          </w:p>
        </w:tc>
        <w:tc>
          <w:tcPr>
            <w:tcW w:w="926" w:type="dxa"/>
            <w:vAlign w:val="top"/>
          </w:tcPr>
          <w:p w14:paraId="0D36F64A">
            <w:pPr>
              <w:snapToGrid w:val="0"/>
              <w:spacing w:line="360" w:lineRule="exact"/>
              <w:jc w:val="center"/>
              <w:rPr>
                <w:color w:val="auto"/>
                <w:szCs w:val="21"/>
                <w:highlight w:val="none"/>
              </w:rPr>
            </w:pPr>
          </w:p>
        </w:tc>
        <w:tc>
          <w:tcPr>
            <w:tcW w:w="1201" w:type="dxa"/>
            <w:vAlign w:val="top"/>
          </w:tcPr>
          <w:p w14:paraId="1A521A5E">
            <w:pPr>
              <w:snapToGrid w:val="0"/>
              <w:spacing w:line="360" w:lineRule="exact"/>
              <w:jc w:val="center"/>
              <w:rPr>
                <w:color w:val="auto"/>
                <w:szCs w:val="21"/>
                <w:highlight w:val="none"/>
              </w:rPr>
            </w:pPr>
          </w:p>
        </w:tc>
        <w:tc>
          <w:tcPr>
            <w:tcW w:w="1311" w:type="dxa"/>
            <w:vAlign w:val="center"/>
          </w:tcPr>
          <w:p w14:paraId="4BE2DDEA">
            <w:pPr>
              <w:snapToGrid w:val="0"/>
              <w:spacing w:line="360" w:lineRule="exact"/>
              <w:jc w:val="center"/>
              <w:rPr>
                <w:color w:val="auto"/>
                <w:szCs w:val="21"/>
                <w:highlight w:val="none"/>
              </w:rPr>
            </w:pPr>
          </w:p>
        </w:tc>
        <w:tc>
          <w:tcPr>
            <w:tcW w:w="1748" w:type="dxa"/>
            <w:vAlign w:val="center"/>
          </w:tcPr>
          <w:p w14:paraId="51D6732F">
            <w:pPr>
              <w:snapToGrid w:val="0"/>
              <w:spacing w:line="360" w:lineRule="exact"/>
              <w:jc w:val="center"/>
              <w:rPr>
                <w:color w:val="auto"/>
                <w:szCs w:val="21"/>
                <w:highlight w:val="none"/>
              </w:rPr>
            </w:pPr>
          </w:p>
        </w:tc>
        <w:tc>
          <w:tcPr>
            <w:tcW w:w="1748" w:type="dxa"/>
            <w:vMerge w:val="continue"/>
            <w:vAlign w:val="top"/>
          </w:tcPr>
          <w:p w14:paraId="72E6E10C">
            <w:pPr>
              <w:snapToGrid w:val="0"/>
              <w:spacing w:line="360" w:lineRule="exact"/>
              <w:jc w:val="center"/>
              <w:rPr>
                <w:color w:val="auto"/>
                <w:szCs w:val="21"/>
                <w:highlight w:val="none"/>
              </w:rPr>
            </w:pPr>
          </w:p>
        </w:tc>
      </w:tr>
      <w:tr w14:paraId="5506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vAlign w:val="center"/>
          </w:tcPr>
          <w:p w14:paraId="3BF9B1CA">
            <w:pPr>
              <w:snapToGrid w:val="0"/>
              <w:spacing w:line="360" w:lineRule="exact"/>
              <w:jc w:val="center"/>
              <w:rPr>
                <w:color w:val="auto"/>
                <w:szCs w:val="21"/>
                <w:highlight w:val="none"/>
              </w:rPr>
            </w:pPr>
            <w:r>
              <w:rPr>
                <w:color w:val="auto"/>
                <w:szCs w:val="21"/>
                <w:highlight w:val="none"/>
              </w:rPr>
              <w:t>3</w:t>
            </w:r>
          </w:p>
        </w:tc>
        <w:tc>
          <w:tcPr>
            <w:tcW w:w="1583" w:type="dxa"/>
            <w:vAlign w:val="center"/>
          </w:tcPr>
          <w:p w14:paraId="244B47D0">
            <w:pPr>
              <w:snapToGrid w:val="0"/>
              <w:spacing w:line="360" w:lineRule="exact"/>
              <w:jc w:val="center"/>
              <w:rPr>
                <w:color w:val="auto"/>
                <w:szCs w:val="21"/>
                <w:highlight w:val="none"/>
              </w:rPr>
            </w:pPr>
          </w:p>
        </w:tc>
        <w:tc>
          <w:tcPr>
            <w:tcW w:w="926" w:type="dxa"/>
            <w:vAlign w:val="top"/>
          </w:tcPr>
          <w:p w14:paraId="2901176D">
            <w:pPr>
              <w:snapToGrid w:val="0"/>
              <w:spacing w:line="360" w:lineRule="exact"/>
              <w:jc w:val="center"/>
              <w:rPr>
                <w:color w:val="auto"/>
                <w:szCs w:val="21"/>
                <w:highlight w:val="none"/>
              </w:rPr>
            </w:pPr>
          </w:p>
        </w:tc>
        <w:tc>
          <w:tcPr>
            <w:tcW w:w="1201" w:type="dxa"/>
            <w:vAlign w:val="top"/>
          </w:tcPr>
          <w:p w14:paraId="1489D0A2">
            <w:pPr>
              <w:snapToGrid w:val="0"/>
              <w:spacing w:line="360" w:lineRule="exact"/>
              <w:jc w:val="center"/>
              <w:rPr>
                <w:color w:val="auto"/>
                <w:szCs w:val="21"/>
                <w:highlight w:val="none"/>
              </w:rPr>
            </w:pPr>
          </w:p>
        </w:tc>
        <w:tc>
          <w:tcPr>
            <w:tcW w:w="1311" w:type="dxa"/>
            <w:vAlign w:val="center"/>
          </w:tcPr>
          <w:p w14:paraId="35209DC0">
            <w:pPr>
              <w:snapToGrid w:val="0"/>
              <w:spacing w:line="360" w:lineRule="exact"/>
              <w:jc w:val="center"/>
              <w:rPr>
                <w:color w:val="auto"/>
                <w:szCs w:val="21"/>
                <w:highlight w:val="none"/>
              </w:rPr>
            </w:pPr>
          </w:p>
        </w:tc>
        <w:tc>
          <w:tcPr>
            <w:tcW w:w="1748" w:type="dxa"/>
            <w:vAlign w:val="center"/>
          </w:tcPr>
          <w:p w14:paraId="3814EBBB">
            <w:pPr>
              <w:snapToGrid w:val="0"/>
              <w:spacing w:line="360" w:lineRule="exact"/>
              <w:jc w:val="center"/>
              <w:rPr>
                <w:color w:val="auto"/>
                <w:szCs w:val="21"/>
                <w:highlight w:val="none"/>
              </w:rPr>
            </w:pPr>
          </w:p>
        </w:tc>
        <w:tc>
          <w:tcPr>
            <w:tcW w:w="1748" w:type="dxa"/>
            <w:vMerge w:val="continue"/>
            <w:vAlign w:val="top"/>
          </w:tcPr>
          <w:p w14:paraId="23A270CA">
            <w:pPr>
              <w:snapToGrid w:val="0"/>
              <w:spacing w:line="360" w:lineRule="exact"/>
              <w:jc w:val="center"/>
              <w:rPr>
                <w:color w:val="auto"/>
                <w:szCs w:val="21"/>
                <w:highlight w:val="none"/>
              </w:rPr>
            </w:pPr>
          </w:p>
        </w:tc>
      </w:tr>
      <w:tr w14:paraId="6E7D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vAlign w:val="center"/>
          </w:tcPr>
          <w:p w14:paraId="5EDFFEC5">
            <w:pPr>
              <w:snapToGrid w:val="0"/>
              <w:spacing w:line="360" w:lineRule="exact"/>
              <w:jc w:val="center"/>
              <w:rPr>
                <w:color w:val="auto"/>
                <w:szCs w:val="21"/>
                <w:highlight w:val="none"/>
              </w:rPr>
            </w:pPr>
          </w:p>
        </w:tc>
        <w:tc>
          <w:tcPr>
            <w:tcW w:w="8517" w:type="dxa"/>
            <w:gridSpan w:val="6"/>
            <w:vAlign w:val="center"/>
          </w:tcPr>
          <w:p w14:paraId="7EE36E1E">
            <w:pPr>
              <w:snapToGrid w:val="0"/>
              <w:spacing w:line="360" w:lineRule="exact"/>
              <w:jc w:val="left"/>
              <w:rPr>
                <w:color w:val="auto"/>
                <w:szCs w:val="21"/>
                <w:highlight w:val="none"/>
              </w:rPr>
            </w:pPr>
            <w:r>
              <w:rPr>
                <w:rFonts w:hint="eastAsia"/>
                <w:color w:val="auto"/>
                <w:szCs w:val="21"/>
                <w:highlight w:val="none"/>
              </w:rPr>
              <w:t>总价（人民币）</w:t>
            </w:r>
            <w:r>
              <w:rPr>
                <w:color w:val="auto"/>
                <w:szCs w:val="21"/>
                <w:highlight w:val="none"/>
              </w:rPr>
              <w:t>（大写）                          （小写）</w:t>
            </w:r>
          </w:p>
        </w:tc>
      </w:tr>
    </w:tbl>
    <w:p w14:paraId="52ACBF20">
      <w:pPr>
        <w:snapToGrid w:val="0"/>
        <w:spacing w:line="360" w:lineRule="exact"/>
        <w:ind w:firstLine="422" w:firstLineChars="200"/>
        <w:rPr>
          <w:b/>
          <w:color w:val="auto"/>
          <w:szCs w:val="21"/>
          <w:highlight w:val="none"/>
        </w:rPr>
      </w:pPr>
      <w:r>
        <w:rPr>
          <w:b/>
          <w:color w:val="auto"/>
          <w:szCs w:val="21"/>
          <w:highlight w:val="none"/>
        </w:rPr>
        <w:t>第三条  甲方权利和义务</w:t>
      </w:r>
    </w:p>
    <w:p w14:paraId="2E93287C">
      <w:pPr>
        <w:snapToGrid w:val="0"/>
        <w:spacing w:line="360" w:lineRule="exact"/>
        <w:ind w:firstLine="420" w:firstLineChars="200"/>
        <w:rPr>
          <w:color w:val="auto"/>
          <w:szCs w:val="21"/>
          <w:highlight w:val="none"/>
        </w:rPr>
      </w:pPr>
      <w:r>
        <w:rPr>
          <w:color w:val="auto"/>
          <w:szCs w:val="21"/>
          <w:highlight w:val="none"/>
        </w:rPr>
        <w:t>1. 甲方有权要求乙方按时、按质、按量、按计划与合同协议约定完成本项目，并有权对乙方工作情况进行监督。</w:t>
      </w:r>
    </w:p>
    <w:p w14:paraId="32DDB873">
      <w:pPr>
        <w:snapToGrid w:val="0"/>
        <w:spacing w:line="360" w:lineRule="exact"/>
        <w:ind w:firstLine="420" w:firstLineChars="200"/>
        <w:rPr>
          <w:color w:val="auto"/>
          <w:szCs w:val="21"/>
          <w:highlight w:val="none"/>
        </w:rPr>
      </w:pPr>
      <w:r>
        <w:rPr>
          <w:color w:val="auto"/>
          <w:szCs w:val="21"/>
          <w:highlight w:val="none"/>
        </w:rPr>
        <w:t>2. 根据项目进度，甲方有权及时对乙方提交的方案提出修改意见，并要求乙方按修改意见完成服务工作。</w:t>
      </w:r>
    </w:p>
    <w:p w14:paraId="629F8629">
      <w:pPr>
        <w:snapToGrid w:val="0"/>
        <w:spacing w:line="360" w:lineRule="exact"/>
        <w:ind w:firstLine="420" w:firstLineChars="200"/>
        <w:rPr>
          <w:color w:val="auto"/>
          <w:szCs w:val="21"/>
          <w:highlight w:val="none"/>
        </w:rPr>
      </w:pPr>
      <w:r>
        <w:rPr>
          <w:color w:val="auto"/>
          <w:szCs w:val="21"/>
          <w:highlight w:val="none"/>
        </w:rPr>
        <w:t>3. 乙方配备的项目投入人员应得到甲方的认可；对派遣到甲方的服务人员进行管理、考核、检查与奖惩。</w:t>
      </w:r>
    </w:p>
    <w:p w14:paraId="1451AC4F">
      <w:pPr>
        <w:snapToGrid w:val="0"/>
        <w:spacing w:line="360" w:lineRule="exact"/>
        <w:ind w:firstLine="420" w:firstLineChars="200"/>
        <w:rPr>
          <w:strike/>
          <w:color w:val="auto"/>
          <w:szCs w:val="21"/>
          <w:highlight w:val="none"/>
        </w:rPr>
      </w:pPr>
      <w:r>
        <w:rPr>
          <w:color w:val="auto"/>
          <w:szCs w:val="21"/>
          <w:highlight w:val="none"/>
        </w:rPr>
        <w:t>4.甲方有权要求乙方更换不合格的工作人员。</w:t>
      </w:r>
    </w:p>
    <w:p w14:paraId="773DB36B">
      <w:pPr>
        <w:snapToGrid w:val="0"/>
        <w:spacing w:line="360" w:lineRule="exact"/>
        <w:ind w:firstLine="420" w:firstLineChars="200"/>
        <w:rPr>
          <w:color w:val="auto"/>
          <w:szCs w:val="21"/>
          <w:highlight w:val="none"/>
        </w:rPr>
      </w:pPr>
      <w:r>
        <w:rPr>
          <w:color w:val="auto"/>
          <w:szCs w:val="21"/>
          <w:highlight w:val="none"/>
        </w:rPr>
        <w:t>5. 按合同要求及时向乙方支付产品和服务费用。</w:t>
      </w:r>
    </w:p>
    <w:p w14:paraId="38181053">
      <w:pPr>
        <w:snapToGrid w:val="0"/>
        <w:spacing w:line="360" w:lineRule="exact"/>
        <w:ind w:firstLine="420" w:firstLineChars="200"/>
        <w:rPr>
          <w:rFonts w:hint="eastAsia"/>
          <w:color w:val="auto"/>
          <w:szCs w:val="21"/>
          <w:highlight w:val="none"/>
        </w:rPr>
      </w:pPr>
      <w:r>
        <w:rPr>
          <w:rFonts w:hint="eastAsia"/>
          <w:color w:val="auto"/>
          <w:szCs w:val="21"/>
          <w:highlight w:val="none"/>
        </w:rPr>
        <w:t>6</w:t>
      </w:r>
      <w:r>
        <w:rPr>
          <w:color w:val="auto"/>
          <w:szCs w:val="21"/>
          <w:highlight w:val="none"/>
        </w:rPr>
        <w:t>.</w:t>
      </w:r>
      <w:r>
        <w:rPr>
          <w:rFonts w:hint="eastAsia"/>
          <w:color w:val="auto"/>
          <w:highlight w:val="none"/>
        </w:rPr>
        <w:t xml:space="preserve"> </w:t>
      </w:r>
      <w:r>
        <w:rPr>
          <w:rFonts w:hint="eastAsia"/>
          <w:color w:val="auto"/>
          <w:szCs w:val="21"/>
          <w:highlight w:val="none"/>
        </w:rPr>
        <w:t>如采购项目涉及采购标的的知识产权归属的，产权归属为：</w:t>
      </w:r>
      <w:r>
        <w:rPr>
          <w:rFonts w:hint="eastAsia"/>
          <w:color w:val="auto"/>
          <w:szCs w:val="21"/>
          <w:highlight w:val="none"/>
          <w:u w:val="single"/>
        </w:rPr>
        <w:t xml:space="preserve">    甲方    </w:t>
      </w:r>
      <w:r>
        <w:rPr>
          <w:rFonts w:hint="eastAsia"/>
          <w:color w:val="auto"/>
          <w:szCs w:val="21"/>
          <w:highlight w:val="none"/>
        </w:rPr>
        <w:t xml:space="preserve">    </w:t>
      </w:r>
    </w:p>
    <w:p w14:paraId="554FD3E0">
      <w:pPr>
        <w:snapToGrid w:val="0"/>
        <w:spacing w:line="360" w:lineRule="exact"/>
        <w:ind w:firstLine="420" w:firstLineChars="200"/>
        <w:rPr>
          <w:rFonts w:hint="eastAsia"/>
          <w:color w:val="auto"/>
          <w:szCs w:val="21"/>
          <w:highlight w:val="none"/>
          <w:u w:val="single"/>
        </w:rPr>
      </w:pPr>
      <w:r>
        <w:rPr>
          <w:rFonts w:hint="eastAsia"/>
          <w:color w:val="auto"/>
          <w:highlight w:val="none"/>
        </w:rPr>
        <w:t>7.产权纠纷</w:t>
      </w:r>
      <w:r>
        <w:rPr>
          <w:rFonts w:hint="eastAsia"/>
          <w:color w:val="auto"/>
          <w:szCs w:val="21"/>
          <w:highlight w:val="none"/>
        </w:rPr>
        <w:t>处理方式：</w:t>
      </w:r>
      <w:r>
        <w:rPr>
          <w:rFonts w:hint="eastAsia"/>
          <w:color w:val="auto"/>
          <w:szCs w:val="21"/>
          <w:highlight w:val="none"/>
          <w:u w:val="single"/>
        </w:rPr>
        <w:t>采购人在中华人民共和国境内使用供应商提供的产品及服务时免受第三方提出的侵犯其专利权或</w:t>
      </w:r>
      <w:r>
        <w:rPr>
          <w:rFonts w:hint="eastAsia"/>
          <w:color w:val="auto"/>
          <w:szCs w:val="21"/>
          <w:highlight w:val="none"/>
          <w:u w:val="single"/>
          <w:lang w:eastAsia="zh-CN"/>
        </w:rPr>
        <w:t>其他</w:t>
      </w:r>
      <w:r>
        <w:rPr>
          <w:rFonts w:hint="eastAsia"/>
          <w:color w:val="auto"/>
          <w:szCs w:val="21"/>
          <w:highlight w:val="none"/>
          <w:u w:val="single"/>
        </w:rPr>
        <w:t>知识产权的起诉。如果第三方提出侵权指控，乙方应妥善处理纠纷并承担由此而引起的一切法律责任和费用。</w:t>
      </w:r>
    </w:p>
    <w:p w14:paraId="616875BE">
      <w:pPr>
        <w:snapToGrid w:val="0"/>
        <w:spacing w:line="360" w:lineRule="exact"/>
        <w:ind w:firstLine="422" w:firstLineChars="200"/>
        <w:rPr>
          <w:b/>
          <w:color w:val="auto"/>
          <w:szCs w:val="21"/>
          <w:highlight w:val="none"/>
        </w:rPr>
      </w:pPr>
      <w:r>
        <w:rPr>
          <w:b/>
          <w:color w:val="auto"/>
          <w:szCs w:val="21"/>
          <w:highlight w:val="none"/>
        </w:rPr>
        <w:t>第四条  乙方权利和义务</w:t>
      </w:r>
    </w:p>
    <w:p w14:paraId="18E763E6">
      <w:pPr>
        <w:snapToGrid w:val="0"/>
        <w:spacing w:line="360" w:lineRule="exact"/>
        <w:ind w:firstLine="420" w:firstLineChars="200"/>
        <w:rPr>
          <w:color w:val="auto"/>
          <w:szCs w:val="21"/>
          <w:highlight w:val="none"/>
        </w:rPr>
      </w:pPr>
      <w:r>
        <w:rPr>
          <w:color w:val="auto"/>
          <w:szCs w:val="21"/>
          <w:highlight w:val="none"/>
        </w:rPr>
        <w:t>1. 严格履行合同文件（含采购文件、响应文件等）约定和承诺的服务内容和质量标准，保证甲方项目的相关工作质量和进度。</w:t>
      </w:r>
    </w:p>
    <w:p w14:paraId="00F02973">
      <w:pPr>
        <w:snapToGrid w:val="0"/>
        <w:spacing w:line="360" w:lineRule="exact"/>
        <w:ind w:firstLine="420" w:firstLineChars="200"/>
        <w:rPr>
          <w:color w:val="auto"/>
          <w:szCs w:val="21"/>
          <w:highlight w:val="none"/>
        </w:rPr>
      </w:pPr>
      <w:r>
        <w:rPr>
          <w:color w:val="auto"/>
          <w:szCs w:val="21"/>
          <w:highlight w:val="none"/>
        </w:rPr>
        <w:t>2. 必须严格实施乙方响应文件中承诺的人力资源配置。在必须补充或更换人员时，必须补充或更换优于或等同于响应文件所承诺资质的服务人员，并需取得甲方书面同意。</w:t>
      </w:r>
    </w:p>
    <w:p w14:paraId="123A9FFB">
      <w:pPr>
        <w:snapToGrid w:val="0"/>
        <w:spacing w:line="360" w:lineRule="exact"/>
        <w:ind w:firstLine="420" w:firstLineChars="200"/>
        <w:rPr>
          <w:color w:val="auto"/>
          <w:szCs w:val="21"/>
          <w:highlight w:val="none"/>
        </w:rPr>
      </w:pPr>
      <w:r>
        <w:rPr>
          <w:color w:val="auto"/>
          <w:szCs w:val="21"/>
          <w:highlight w:val="none"/>
        </w:rPr>
        <w:t>3. 乙方项目负责人及服务团队成员须与响应文件保持一致。合同存续期内，未经甲方书面要求或同意，项目负责人不应调整。项目负责人及服务团队成员必须保证在岗工作时间和重要活动在岗，如有变化，须取得甲方同意。</w:t>
      </w:r>
    </w:p>
    <w:p w14:paraId="426A8F33">
      <w:pPr>
        <w:snapToGrid w:val="0"/>
        <w:spacing w:line="360" w:lineRule="exact"/>
        <w:ind w:firstLine="420" w:firstLineChars="200"/>
        <w:rPr>
          <w:color w:val="auto"/>
          <w:szCs w:val="21"/>
          <w:highlight w:val="none"/>
        </w:rPr>
      </w:pPr>
      <w:r>
        <w:rPr>
          <w:color w:val="auto"/>
          <w:szCs w:val="21"/>
          <w:highlight w:val="none"/>
        </w:rPr>
        <w:t>4.乙方依本合同约定向甲方提供的报告、资料、文件等内容及服务成果后，甲方即对上述内容享有充分、完整和排他的著作权和知识产权。未经甲方书面许可，乙方不得向任何第三方提供上述报告、资料、文件等内容及服务成果。即使向履行本合同有关的人员提供，也应注意保密并限于履行合同的必需范围。</w:t>
      </w:r>
    </w:p>
    <w:p w14:paraId="2A215C93">
      <w:pPr>
        <w:snapToGrid w:val="0"/>
        <w:spacing w:line="360" w:lineRule="exact"/>
        <w:ind w:firstLine="420" w:firstLineChars="200"/>
        <w:rPr>
          <w:color w:val="auto"/>
          <w:szCs w:val="21"/>
          <w:highlight w:val="none"/>
        </w:rPr>
      </w:pPr>
      <w:r>
        <w:rPr>
          <w:color w:val="auto"/>
          <w:szCs w:val="21"/>
          <w:highlight w:val="none"/>
        </w:rPr>
        <w:t>5. 乙方服务人员应履行保密义务。如乙方因违反本条约定给甲方造成损失的，乙方应当承担相应的法律责任，并赔偿由此给甲方造成的一切损失。</w:t>
      </w:r>
    </w:p>
    <w:p w14:paraId="58E14BD7">
      <w:pPr>
        <w:snapToGrid w:val="0"/>
        <w:spacing w:line="360" w:lineRule="exact"/>
        <w:ind w:firstLine="420" w:firstLineChars="200"/>
        <w:rPr>
          <w:rFonts w:hint="eastAsia"/>
          <w:color w:val="auto"/>
          <w:szCs w:val="21"/>
          <w:highlight w:val="none"/>
        </w:rPr>
      </w:pPr>
      <w:r>
        <w:rPr>
          <w:color w:val="auto"/>
          <w:szCs w:val="21"/>
          <w:highlight w:val="none"/>
        </w:rPr>
        <w:t>6. 按照合同约定收取服务费，当甲方出现无故拖欠费用时，乙方有权采取适当方式进行催缴，若甲方仍未支付费用，乙方有权停止工作。</w:t>
      </w:r>
    </w:p>
    <w:p w14:paraId="267C6660">
      <w:pPr>
        <w:snapToGrid w:val="0"/>
        <w:spacing w:line="360" w:lineRule="exact"/>
        <w:ind w:firstLine="422" w:firstLineChars="200"/>
        <w:rPr>
          <w:b/>
          <w:color w:val="auto"/>
          <w:szCs w:val="21"/>
          <w:highlight w:val="none"/>
        </w:rPr>
      </w:pPr>
      <w:r>
        <w:rPr>
          <w:b/>
          <w:color w:val="auto"/>
          <w:szCs w:val="21"/>
          <w:highlight w:val="none"/>
        </w:rPr>
        <w:t>第五条  包装和运输</w:t>
      </w:r>
    </w:p>
    <w:p w14:paraId="0A6A3D90">
      <w:pPr>
        <w:snapToGrid w:val="0"/>
        <w:spacing w:line="360" w:lineRule="exact"/>
        <w:ind w:firstLine="420" w:firstLineChars="200"/>
        <w:rPr>
          <w:color w:val="auto"/>
          <w:szCs w:val="21"/>
          <w:highlight w:val="none"/>
        </w:rPr>
      </w:pPr>
      <w:r>
        <w:rPr>
          <w:color w:val="auto"/>
          <w:szCs w:val="21"/>
          <w:highlight w:val="none"/>
        </w:rPr>
        <w:t>1.乙方提供的服务交付成果或产品均应按采购文件要求的包装材料、包装标准、包装方式进行包装，每一包装单元内应附详细的交付清单和质量合格证，如有缺失应及时补齐，否则视为逾期交付。</w:t>
      </w:r>
    </w:p>
    <w:p w14:paraId="09A6491B">
      <w:pPr>
        <w:snapToGrid w:val="0"/>
        <w:spacing w:line="360" w:lineRule="exact"/>
        <w:ind w:firstLine="420" w:firstLineChars="200"/>
        <w:rPr>
          <w:color w:val="auto"/>
          <w:szCs w:val="21"/>
          <w:highlight w:val="none"/>
        </w:rPr>
      </w:pPr>
      <w:r>
        <w:rPr>
          <w:color w:val="auto"/>
          <w:szCs w:val="21"/>
          <w:highlight w:val="none"/>
        </w:rPr>
        <w:t>2. 乙方负责服务交付成果、产品的运输。服务交付成果、产品的运输方式由乙方自定。服务交付成果、产品运输合理损耗及计算方法由乙方负责。</w:t>
      </w:r>
    </w:p>
    <w:p w14:paraId="132D7484">
      <w:pPr>
        <w:pStyle w:val="26"/>
        <w:spacing w:line="300" w:lineRule="exact"/>
        <w:ind w:firstLine="420" w:firstLineChars="200"/>
        <w:rPr>
          <w:rFonts w:hint="eastAsia" w:ascii="Times New Roman" w:hAnsi="Times New Roman" w:cs="Times New Roman"/>
          <w:color w:val="auto"/>
          <w:highlight w:val="none"/>
        </w:rPr>
      </w:pPr>
      <w:r>
        <w:rPr>
          <w:rFonts w:ascii="Times New Roman" w:hAnsi="Times New Roman" w:cs="Times New Roman"/>
          <w:color w:val="auto"/>
          <w:highlight w:val="none"/>
        </w:rPr>
        <w:t>3.</w:t>
      </w:r>
      <w:r>
        <w:rPr>
          <w:rFonts w:hint="eastAsia" w:ascii="Times New Roman" w:hAnsi="Times New Roman" w:cs="Times New Roman"/>
          <w:color w:val="auto"/>
          <w:highlight w:val="none"/>
        </w:rPr>
        <w:t>乙方提供的产品包装及快递包装应满足《财政部等三部门联合印发商品包装和快递包装政府采购需求标准（试行）》财办库</w:t>
      </w:r>
      <w:r>
        <w:rPr>
          <w:rFonts w:hint="eastAsia" w:ascii="Times New Roman" w:hAnsi="Times New Roman" w:cs="Times New Roman"/>
          <w:color w:val="auto"/>
          <w:highlight w:val="none"/>
          <w:lang w:eastAsia="zh-CN"/>
        </w:rPr>
        <w:t>〔2020〕123号</w:t>
      </w:r>
      <w:r>
        <w:rPr>
          <w:rFonts w:hint="eastAsia" w:ascii="Times New Roman" w:hAnsi="Times New Roman" w:cs="Times New Roman"/>
          <w:color w:val="auto"/>
          <w:highlight w:val="none"/>
        </w:rPr>
        <w:t>文要求。</w:t>
      </w:r>
    </w:p>
    <w:p w14:paraId="269205F3">
      <w:pPr>
        <w:snapToGrid w:val="0"/>
        <w:spacing w:line="360" w:lineRule="exact"/>
        <w:ind w:firstLine="422" w:firstLineChars="200"/>
        <w:rPr>
          <w:color w:val="auto"/>
          <w:szCs w:val="21"/>
          <w:highlight w:val="none"/>
        </w:rPr>
      </w:pPr>
      <w:r>
        <w:rPr>
          <w:b/>
          <w:color w:val="auto"/>
          <w:szCs w:val="21"/>
          <w:highlight w:val="none"/>
        </w:rPr>
        <w:t>第六条  交付和验收</w:t>
      </w:r>
    </w:p>
    <w:p w14:paraId="3A82E2D0">
      <w:pPr>
        <w:snapToGrid w:val="0"/>
        <w:spacing w:line="360" w:lineRule="exact"/>
        <w:ind w:firstLine="420" w:firstLineChars="200"/>
        <w:rPr>
          <w:color w:val="auto"/>
          <w:szCs w:val="21"/>
          <w:highlight w:val="none"/>
        </w:rPr>
      </w:pPr>
      <w:r>
        <w:rPr>
          <w:color w:val="auto"/>
          <w:szCs w:val="21"/>
          <w:highlight w:val="none"/>
        </w:rPr>
        <w:t>1.交付使用时间：</w:t>
      </w:r>
      <w:r>
        <w:rPr>
          <w:color w:val="auto"/>
          <w:szCs w:val="21"/>
          <w:highlight w:val="none"/>
          <w:u w:val="single"/>
        </w:rPr>
        <w:t>按乙方响应文件中所承诺的时间</w:t>
      </w:r>
      <w:r>
        <w:rPr>
          <w:color w:val="auto"/>
          <w:szCs w:val="21"/>
          <w:highlight w:val="none"/>
        </w:rPr>
        <w:t>；地点：</w:t>
      </w:r>
      <w:r>
        <w:rPr>
          <w:color w:val="auto"/>
          <w:szCs w:val="21"/>
          <w:highlight w:val="none"/>
          <w:u w:val="single"/>
        </w:rPr>
        <w:t>甲方指定地点</w:t>
      </w:r>
      <w:r>
        <w:rPr>
          <w:color w:val="auto"/>
          <w:szCs w:val="21"/>
          <w:highlight w:val="none"/>
        </w:rPr>
        <w:t>。</w:t>
      </w:r>
    </w:p>
    <w:p w14:paraId="61814F0E">
      <w:pPr>
        <w:snapToGrid w:val="0"/>
        <w:spacing w:line="300" w:lineRule="exact"/>
        <w:ind w:firstLine="420" w:firstLineChars="200"/>
        <w:rPr>
          <w:color w:val="auto"/>
          <w:highlight w:val="none"/>
        </w:rPr>
      </w:pPr>
      <w:r>
        <w:rPr>
          <w:color w:val="auto"/>
          <w:highlight w:val="none"/>
        </w:rPr>
        <w:t>2.</w:t>
      </w:r>
      <w:r>
        <w:rPr>
          <w:rFonts w:hint="eastAsia"/>
          <w:color w:val="auto"/>
          <w:highlight w:val="none"/>
        </w:rPr>
        <w:t>交付标准：</w:t>
      </w:r>
      <w:r>
        <w:rPr>
          <w:color w:val="auto"/>
          <w:highlight w:val="none"/>
        </w:rPr>
        <w:t>乙方交</w:t>
      </w:r>
      <w:r>
        <w:rPr>
          <w:rFonts w:hint="eastAsia"/>
          <w:color w:val="auto"/>
          <w:highlight w:val="none"/>
        </w:rPr>
        <w:t>付</w:t>
      </w:r>
      <w:r>
        <w:rPr>
          <w:color w:val="auto"/>
          <w:highlight w:val="none"/>
        </w:rPr>
        <w:t>前应对</w:t>
      </w:r>
      <w:r>
        <w:rPr>
          <w:color w:val="auto"/>
          <w:szCs w:val="21"/>
          <w:highlight w:val="none"/>
        </w:rPr>
        <w:t>产品或服务成果</w:t>
      </w:r>
      <w:r>
        <w:rPr>
          <w:color w:val="auto"/>
          <w:highlight w:val="none"/>
        </w:rPr>
        <w:t>作出全面检查</w:t>
      </w:r>
      <w:r>
        <w:rPr>
          <w:rFonts w:hint="eastAsia"/>
          <w:color w:val="auto"/>
          <w:highlight w:val="none"/>
        </w:rPr>
        <w:t>后</w:t>
      </w:r>
      <w:r>
        <w:rPr>
          <w:color w:val="auto"/>
          <w:highlight w:val="none"/>
        </w:rPr>
        <w:t>，</w:t>
      </w:r>
      <w:r>
        <w:rPr>
          <w:color w:val="auto"/>
          <w:szCs w:val="21"/>
          <w:highlight w:val="none"/>
        </w:rPr>
        <w:t>将</w:t>
      </w:r>
      <w:r>
        <w:rPr>
          <w:rFonts w:hint="eastAsia"/>
          <w:color w:val="auto"/>
          <w:szCs w:val="21"/>
          <w:highlight w:val="none"/>
        </w:rPr>
        <w:t>符合合同文件要求的</w:t>
      </w:r>
      <w:r>
        <w:rPr>
          <w:color w:val="auto"/>
          <w:szCs w:val="21"/>
          <w:highlight w:val="none"/>
        </w:rPr>
        <w:t>产品或服务成果交付给甲方。</w:t>
      </w:r>
    </w:p>
    <w:p w14:paraId="7C2559F0">
      <w:pPr>
        <w:snapToGrid w:val="0"/>
        <w:spacing w:line="300" w:lineRule="exact"/>
        <w:ind w:firstLine="420" w:firstLineChars="200"/>
        <w:rPr>
          <w:color w:val="auto"/>
          <w:highlight w:val="none"/>
        </w:rPr>
      </w:pPr>
      <w:r>
        <w:rPr>
          <w:rFonts w:hint="eastAsia"/>
          <w:color w:val="auto"/>
          <w:highlight w:val="none"/>
        </w:rPr>
        <w:t>3</w:t>
      </w:r>
      <w:r>
        <w:rPr>
          <w:color w:val="auto"/>
          <w:highlight w:val="none"/>
        </w:rPr>
        <w:t>.</w:t>
      </w:r>
      <w:r>
        <w:rPr>
          <w:rFonts w:hint="eastAsia"/>
          <w:color w:val="auto"/>
          <w:highlight w:val="none"/>
        </w:rPr>
        <w:t>验收程序：验收一般分为到货验收和最终验收两次单项验收。经甲方同意，两次单项验收可以合并进行。本项目采用的验收方式为：</w:t>
      </w:r>
      <w:r>
        <w:rPr>
          <w:rFonts w:hint="eastAsia"/>
          <w:color w:val="auto"/>
          <w:highlight w:val="none"/>
        </w:rPr>
        <w:sym w:font="Wingdings 2" w:char="00A3"/>
      </w:r>
      <w:r>
        <w:rPr>
          <w:rFonts w:hint="eastAsia"/>
          <w:color w:val="auto"/>
          <w:highlight w:val="none"/>
        </w:rPr>
        <w:t xml:space="preserve">到货验收（如有）  </w:t>
      </w:r>
      <w:r>
        <w:rPr>
          <w:rFonts w:hint="eastAsia"/>
          <w:color w:val="auto"/>
          <w:highlight w:val="none"/>
        </w:rPr>
        <w:sym w:font="Wingdings 2" w:char="00A3"/>
      </w:r>
      <w:r>
        <w:rPr>
          <w:rFonts w:hint="eastAsia"/>
          <w:color w:val="auto"/>
          <w:highlight w:val="none"/>
        </w:rPr>
        <w:t>最终验收  □合并验收</w:t>
      </w:r>
    </w:p>
    <w:p w14:paraId="1131FC6E">
      <w:pPr>
        <w:snapToGrid w:val="0"/>
        <w:spacing w:line="300" w:lineRule="exact"/>
        <w:ind w:firstLine="420" w:firstLineChars="200"/>
        <w:rPr>
          <w:color w:val="auto"/>
          <w:highlight w:val="none"/>
        </w:rPr>
      </w:pPr>
      <w:r>
        <w:rPr>
          <w:rFonts w:hint="eastAsia"/>
          <w:color w:val="auto"/>
          <w:highlight w:val="none"/>
        </w:rPr>
        <w:t>（1）到货验收：</w:t>
      </w:r>
      <w:r>
        <w:rPr>
          <w:rFonts w:hint="eastAsia"/>
          <w:color w:val="auto"/>
          <w:szCs w:val="21"/>
          <w:highlight w:val="none"/>
        </w:rPr>
        <w:t>在项目中如有提供货物的，</w:t>
      </w:r>
      <w:r>
        <w:rPr>
          <w:color w:val="auto"/>
          <w:highlight w:val="none"/>
        </w:rPr>
        <w:t>甲方</w:t>
      </w:r>
      <w:r>
        <w:rPr>
          <w:rFonts w:hint="eastAsia"/>
          <w:color w:val="auto"/>
          <w:highlight w:val="none"/>
        </w:rPr>
        <w:t>在接到</w:t>
      </w:r>
      <w:r>
        <w:rPr>
          <w:color w:val="auto"/>
          <w:highlight w:val="none"/>
        </w:rPr>
        <w:t>乙方</w:t>
      </w:r>
      <w:r>
        <w:rPr>
          <w:rFonts w:hint="eastAsia"/>
          <w:color w:val="auto"/>
          <w:highlight w:val="none"/>
        </w:rPr>
        <w:t>通知后对交付</w:t>
      </w:r>
      <w:r>
        <w:rPr>
          <w:color w:val="auto"/>
          <w:highlight w:val="none"/>
        </w:rPr>
        <w:t>的</w:t>
      </w:r>
      <w:r>
        <w:rPr>
          <w:color w:val="auto"/>
          <w:szCs w:val="21"/>
          <w:highlight w:val="none"/>
        </w:rPr>
        <w:t>产品</w:t>
      </w:r>
      <w:r>
        <w:rPr>
          <w:color w:val="auto"/>
          <w:highlight w:val="none"/>
        </w:rPr>
        <w:t>依据</w:t>
      </w:r>
      <w:r>
        <w:rPr>
          <w:rFonts w:hint="eastAsia"/>
          <w:color w:val="auto"/>
          <w:highlight w:val="none"/>
        </w:rPr>
        <w:t>验收标准</w:t>
      </w:r>
      <w:r>
        <w:rPr>
          <w:color w:val="auto"/>
          <w:highlight w:val="none"/>
        </w:rPr>
        <w:t>进行</w:t>
      </w:r>
      <w:r>
        <w:rPr>
          <w:rFonts w:hint="eastAsia"/>
          <w:color w:val="auto"/>
          <w:highlight w:val="none"/>
        </w:rPr>
        <w:t>到货验收</w:t>
      </w:r>
      <w:r>
        <w:rPr>
          <w:color w:val="auto"/>
          <w:highlight w:val="none"/>
        </w:rPr>
        <w:t>，</w:t>
      </w:r>
      <w:r>
        <w:rPr>
          <w:rFonts w:hint="eastAsia"/>
          <w:color w:val="auto"/>
          <w:highlight w:val="none"/>
        </w:rPr>
        <w:t>对品牌、规格型号、</w:t>
      </w:r>
      <w:r>
        <w:rPr>
          <w:color w:val="auto"/>
          <w:highlight w:val="none"/>
        </w:rPr>
        <w:t>外观、</w:t>
      </w:r>
      <w:r>
        <w:rPr>
          <w:rFonts w:hint="eastAsia"/>
          <w:color w:val="auto"/>
          <w:highlight w:val="none"/>
        </w:rPr>
        <w:t>有关资料及备品备件、包装要求</w:t>
      </w:r>
      <w:r>
        <w:rPr>
          <w:color w:val="auto"/>
          <w:highlight w:val="none"/>
        </w:rPr>
        <w:t>符合采购文件</w:t>
      </w:r>
      <w:r>
        <w:rPr>
          <w:rFonts w:hint="eastAsia"/>
          <w:color w:val="auto"/>
          <w:highlight w:val="none"/>
        </w:rPr>
        <w:t>及合同</w:t>
      </w:r>
      <w:r>
        <w:rPr>
          <w:color w:val="auto"/>
          <w:highlight w:val="none"/>
        </w:rPr>
        <w:t>要求的，</w:t>
      </w:r>
      <w:r>
        <w:rPr>
          <w:rFonts w:hint="eastAsia"/>
          <w:color w:val="auto"/>
          <w:highlight w:val="none"/>
        </w:rPr>
        <w:t>视为到货验收合格</w:t>
      </w:r>
      <w:r>
        <w:rPr>
          <w:color w:val="auto"/>
          <w:highlight w:val="none"/>
        </w:rPr>
        <w:t>给予签收</w:t>
      </w:r>
      <w:r>
        <w:rPr>
          <w:rFonts w:hint="eastAsia"/>
          <w:color w:val="auto"/>
          <w:highlight w:val="none"/>
        </w:rPr>
        <w:t>。</w:t>
      </w:r>
    </w:p>
    <w:p w14:paraId="20694A86">
      <w:pPr>
        <w:snapToGrid w:val="0"/>
        <w:spacing w:line="300" w:lineRule="exact"/>
        <w:ind w:firstLine="420" w:firstLineChars="200"/>
        <w:rPr>
          <w:rFonts w:hint="eastAsia"/>
          <w:color w:val="auto"/>
          <w:highlight w:val="none"/>
        </w:rPr>
      </w:pPr>
      <w:r>
        <w:rPr>
          <w:rFonts w:hint="eastAsia"/>
          <w:color w:val="auto"/>
          <w:highlight w:val="none"/>
        </w:rPr>
        <w:t>（2）最终验收：交付的</w:t>
      </w:r>
      <w:r>
        <w:rPr>
          <w:color w:val="auto"/>
          <w:szCs w:val="21"/>
          <w:highlight w:val="none"/>
        </w:rPr>
        <w:t>产品或服务成果</w:t>
      </w:r>
      <w:r>
        <w:rPr>
          <w:rFonts w:hint="eastAsia"/>
          <w:color w:val="auto"/>
          <w:szCs w:val="21"/>
          <w:highlight w:val="none"/>
        </w:rPr>
        <w:t>在</w:t>
      </w:r>
      <w:r>
        <w:rPr>
          <w:rFonts w:hint="eastAsia"/>
          <w:color w:val="auto"/>
          <w:highlight w:val="none"/>
        </w:rPr>
        <w:t>满足合同交付标准后，依照本合同验收标准进行最终验收。甲方在乙方通知后进行最终验收。</w:t>
      </w:r>
    </w:p>
    <w:p w14:paraId="6892FC73">
      <w:pPr>
        <w:snapToGrid w:val="0"/>
        <w:spacing w:line="300" w:lineRule="exact"/>
        <w:ind w:firstLine="420" w:firstLineChars="200"/>
        <w:rPr>
          <w:rFonts w:hint="eastAsia"/>
          <w:color w:val="auto"/>
          <w:highlight w:val="none"/>
        </w:rPr>
      </w:pPr>
      <w:r>
        <w:rPr>
          <w:rFonts w:hint="eastAsia"/>
          <w:color w:val="auto"/>
          <w:highlight w:val="none"/>
        </w:rPr>
        <w:t>（3）合并验收：</w:t>
      </w:r>
      <w:r>
        <w:rPr>
          <w:rStyle w:val="58"/>
          <w:rFonts w:hint="eastAsia"/>
          <w:color w:val="auto"/>
          <w:highlight w:val="none"/>
        </w:rPr>
        <w:t>将以上两项验收合并进行。</w:t>
      </w:r>
    </w:p>
    <w:p w14:paraId="3A32CE92">
      <w:pPr>
        <w:snapToGrid w:val="0"/>
        <w:spacing w:line="300" w:lineRule="exact"/>
        <w:ind w:firstLine="420" w:firstLineChars="200"/>
        <w:rPr>
          <w:rFonts w:hint="eastAsia"/>
          <w:color w:val="auto"/>
          <w:highlight w:val="none"/>
        </w:rPr>
      </w:pPr>
      <w:r>
        <w:rPr>
          <w:rFonts w:hint="eastAsia"/>
          <w:color w:val="auto"/>
          <w:highlight w:val="none"/>
        </w:rPr>
        <w:t>4.</w:t>
      </w:r>
      <w:r>
        <w:rPr>
          <w:color w:val="auto"/>
          <w:highlight w:val="none"/>
        </w:rPr>
        <w:t>验收标准：按国家有关</w:t>
      </w:r>
      <w:r>
        <w:rPr>
          <w:rFonts w:hint="eastAsia"/>
          <w:color w:val="auto"/>
          <w:highlight w:val="none"/>
        </w:rPr>
        <w:t>标准</w:t>
      </w:r>
      <w:r>
        <w:rPr>
          <w:color w:val="auto"/>
          <w:highlight w:val="none"/>
        </w:rPr>
        <w:t>以及甲方采购文件的</w:t>
      </w:r>
      <w:r>
        <w:rPr>
          <w:rFonts w:hint="eastAsia"/>
          <w:color w:val="auto"/>
          <w:highlight w:val="none"/>
        </w:rPr>
        <w:t>采购需求</w:t>
      </w:r>
      <w:r>
        <w:rPr>
          <w:color w:val="auto"/>
          <w:highlight w:val="none"/>
        </w:rPr>
        <w:t>、乙方的响应文件</w:t>
      </w:r>
      <w:r>
        <w:rPr>
          <w:rFonts w:hint="eastAsia"/>
          <w:color w:val="auto"/>
          <w:highlight w:val="none"/>
        </w:rPr>
        <w:t>响应</w:t>
      </w:r>
      <w:r>
        <w:rPr>
          <w:color w:val="auto"/>
          <w:highlight w:val="none"/>
        </w:rPr>
        <w:t>及承诺与本合同约定进行验收；</w:t>
      </w:r>
      <w:r>
        <w:rPr>
          <w:rFonts w:hint="eastAsia"/>
          <w:color w:val="auto"/>
          <w:highlight w:val="none"/>
        </w:rPr>
        <w:t>上述标准如</w:t>
      </w:r>
      <w:r>
        <w:rPr>
          <w:color w:val="auto"/>
          <w:highlight w:val="none"/>
        </w:rPr>
        <w:t>有</w:t>
      </w:r>
      <w:r>
        <w:rPr>
          <w:rFonts w:hint="eastAsia"/>
          <w:color w:val="auto"/>
          <w:highlight w:val="none"/>
        </w:rPr>
        <w:t>不一致事项</w:t>
      </w:r>
      <w:r>
        <w:rPr>
          <w:color w:val="auto"/>
          <w:highlight w:val="none"/>
        </w:rPr>
        <w:t>，</w:t>
      </w:r>
      <w:r>
        <w:rPr>
          <w:rFonts w:hint="eastAsia"/>
          <w:color w:val="auto"/>
          <w:highlight w:val="none"/>
        </w:rPr>
        <w:t>以</w:t>
      </w:r>
      <w:r>
        <w:rPr>
          <w:color w:val="auto"/>
          <w:highlight w:val="none"/>
        </w:rPr>
        <w:t>采购文件与响应文件中</w:t>
      </w:r>
      <w:r>
        <w:rPr>
          <w:rFonts w:hint="eastAsia"/>
          <w:color w:val="auto"/>
          <w:highlight w:val="none"/>
        </w:rPr>
        <w:t>对应要求或指标中</w:t>
      </w:r>
      <w:r>
        <w:rPr>
          <w:color w:val="auto"/>
          <w:highlight w:val="none"/>
        </w:rPr>
        <w:t>较优</w:t>
      </w:r>
      <w:r>
        <w:rPr>
          <w:rFonts w:hint="eastAsia"/>
          <w:color w:val="auto"/>
          <w:highlight w:val="none"/>
        </w:rPr>
        <w:t>作为验收标准。如果交付的</w:t>
      </w:r>
      <w:r>
        <w:rPr>
          <w:color w:val="auto"/>
          <w:szCs w:val="21"/>
          <w:highlight w:val="none"/>
        </w:rPr>
        <w:t>产品或服务成果</w:t>
      </w:r>
      <w:r>
        <w:rPr>
          <w:rFonts w:hint="eastAsia"/>
          <w:color w:val="auto"/>
          <w:highlight w:val="none"/>
        </w:rPr>
        <w:t>中有执行国家强制标准的，则验收标准不得低于国家强制标准。</w:t>
      </w:r>
    </w:p>
    <w:p w14:paraId="2CFB5117">
      <w:pPr>
        <w:pStyle w:val="26"/>
        <w:spacing w:line="300" w:lineRule="exact"/>
        <w:ind w:firstLine="420" w:firstLineChars="200"/>
        <w:jc w:val="left"/>
        <w:rPr>
          <w:rFonts w:hint="eastAsia"/>
          <w:color w:val="auto"/>
          <w:highlight w:val="none"/>
        </w:rPr>
      </w:pPr>
      <w:r>
        <w:rPr>
          <w:rFonts w:hint="eastAsia" w:ascii="Times New Roman" w:hAnsi="Times New Roman" w:cs="Times New Roman"/>
          <w:color w:val="auto"/>
          <w:highlight w:val="none"/>
        </w:rPr>
        <w:t>5</w:t>
      </w:r>
      <w:r>
        <w:rPr>
          <w:rFonts w:ascii="Times New Roman" w:hAnsi="Times New Roman" w:cs="Times New Roman"/>
          <w:color w:val="auto"/>
          <w:highlight w:val="none"/>
        </w:rPr>
        <w:t>.</w:t>
      </w:r>
      <w:r>
        <w:rPr>
          <w:rFonts w:hint="eastAsia" w:ascii="Times New Roman" w:hAnsi="Times New Roman" w:cs="Times New Roman"/>
          <w:color w:val="auto"/>
          <w:highlight w:val="none"/>
        </w:rPr>
        <w:t>验收地点及验收期限：验收地点为产品</w:t>
      </w:r>
      <w:r>
        <w:rPr>
          <w:color w:val="auto"/>
          <w:highlight w:val="none"/>
        </w:rPr>
        <w:t>或服务成果</w:t>
      </w:r>
      <w:r>
        <w:rPr>
          <w:rFonts w:hint="eastAsia" w:ascii="Times New Roman" w:hAnsi="Times New Roman" w:cs="Times New Roman"/>
          <w:color w:val="auto"/>
          <w:highlight w:val="none"/>
        </w:rPr>
        <w:t>交付地点；</w:t>
      </w:r>
      <w:r>
        <w:rPr>
          <w:rFonts w:hint="eastAsia"/>
          <w:color w:val="auto"/>
          <w:highlight w:val="none"/>
        </w:rPr>
        <w:t>各单项验收应在甲方收到乙方的书面验收申请后5个工作日内组织。乙方在提出验收申请时，应确保已具备验收条件。</w:t>
      </w:r>
      <w:r>
        <w:rPr>
          <w:color w:val="auto"/>
          <w:highlight w:val="none"/>
        </w:rPr>
        <w:t>甲方</w:t>
      </w:r>
      <w:r>
        <w:rPr>
          <w:rFonts w:hint="eastAsia"/>
          <w:color w:val="auto"/>
          <w:highlight w:val="none"/>
        </w:rPr>
        <w:t>收到乙方书面通知后</w:t>
      </w:r>
      <w:r>
        <w:rPr>
          <w:color w:val="auto"/>
          <w:highlight w:val="none"/>
        </w:rPr>
        <w:t>无故不进行验收工作</w:t>
      </w:r>
      <w:r>
        <w:rPr>
          <w:rFonts w:hint="eastAsia"/>
          <w:color w:val="auto"/>
          <w:highlight w:val="none"/>
        </w:rPr>
        <w:t>的，验收期限结束之日起视为当次单项验收合格。</w:t>
      </w:r>
    </w:p>
    <w:p w14:paraId="5239BD6D">
      <w:pPr>
        <w:pStyle w:val="26"/>
        <w:spacing w:line="300" w:lineRule="exact"/>
        <w:ind w:firstLine="420" w:firstLineChars="200"/>
        <w:jc w:val="left"/>
        <w:rPr>
          <w:rFonts w:hint="eastAsia"/>
          <w:color w:val="auto"/>
          <w:highlight w:val="none"/>
        </w:rPr>
      </w:pPr>
      <w:r>
        <w:rPr>
          <w:rFonts w:hint="eastAsia" w:ascii="Times New Roman" w:hAnsi="Times New Roman" w:cs="Times New Roman"/>
          <w:color w:val="auto"/>
          <w:highlight w:val="none"/>
        </w:rPr>
        <w:t>6.</w:t>
      </w:r>
      <w:r>
        <w:rPr>
          <w:rFonts w:ascii="Times New Roman" w:hAnsi="Times New Roman" w:cs="Times New Roman"/>
          <w:color w:val="auto"/>
          <w:highlight w:val="none"/>
        </w:rPr>
        <w:t>验收</w:t>
      </w:r>
      <w:r>
        <w:rPr>
          <w:rFonts w:hint="eastAsia" w:ascii="Times New Roman" w:hAnsi="Times New Roman" w:cs="Times New Roman"/>
          <w:color w:val="auto"/>
          <w:highlight w:val="none"/>
        </w:rPr>
        <w:t>结果：在任一单项验收环节，甲、乙双方代表均应在场，交付的产品</w:t>
      </w:r>
      <w:r>
        <w:rPr>
          <w:color w:val="auto"/>
          <w:highlight w:val="none"/>
        </w:rPr>
        <w:t>或服务成果</w:t>
      </w:r>
      <w:r>
        <w:rPr>
          <w:rFonts w:hint="eastAsia" w:ascii="Times New Roman" w:hAnsi="Times New Roman" w:cs="Times New Roman"/>
          <w:color w:val="auto"/>
          <w:highlight w:val="none"/>
        </w:rPr>
        <w:t>符合验收标准的为单项验收合格，不符合验收标准的为单项验收不合格。验收结果由甲方出具</w:t>
      </w:r>
      <w:r>
        <w:rPr>
          <w:color w:val="auto"/>
          <w:highlight w:val="none"/>
        </w:rPr>
        <w:t>验收结果报告</w:t>
      </w:r>
      <w:r>
        <w:rPr>
          <w:rFonts w:hint="eastAsia"/>
          <w:color w:val="auto"/>
          <w:highlight w:val="none"/>
        </w:rPr>
        <w:t>或</w:t>
      </w:r>
      <w:r>
        <w:rPr>
          <w:color w:val="auto"/>
          <w:highlight w:val="none"/>
        </w:rPr>
        <w:t>验收书</w:t>
      </w:r>
      <w:r>
        <w:rPr>
          <w:rFonts w:hint="eastAsia"/>
          <w:color w:val="auto"/>
          <w:highlight w:val="none"/>
        </w:rPr>
        <w:t>，</w:t>
      </w:r>
      <w:r>
        <w:rPr>
          <w:color w:val="auto"/>
          <w:highlight w:val="none"/>
        </w:rPr>
        <w:t>列明各项标准的验收情况</w:t>
      </w:r>
      <w:r>
        <w:rPr>
          <w:rFonts w:hint="eastAsia"/>
          <w:color w:val="auto"/>
          <w:highlight w:val="none"/>
        </w:rPr>
        <w:t>，由甲、乙双方代表共同签字确认并加盖甲方公章</w:t>
      </w:r>
      <w:r>
        <w:rPr>
          <w:color w:val="auto"/>
          <w:highlight w:val="none"/>
        </w:rPr>
        <w:t>，甲乙双方各执一份</w:t>
      </w:r>
      <w:r>
        <w:rPr>
          <w:rFonts w:hint="eastAsia"/>
          <w:color w:val="auto"/>
          <w:highlight w:val="none"/>
        </w:rPr>
        <w:t>。验收结果报告或验收书经双方代表签字后即视为验收结果已通知甲、乙双方。如乙方对验收结果有异议的，应在验收现场以书面的形式出具说明，否则视为认可验收结果。</w:t>
      </w:r>
    </w:p>
    <w:p w14:paraId="13EADFC4">
      <w:pPr>
        <w:pStyle w:val="26"/>
        <w:spacing w:line="300" w:lineRule="exact"/>
        <w:ind w:firstLine="420" w:firstLineChars="200"/>
        <w:jc w:val="left"/>
        <w:rPr>
          <w:rFonts w:hint="eastAsia"/>
          <w:color w:val="auto"/>
          <w:highlight w:val="none"/>
        </w:rPr>
      </w:pPr>
      <w:r>
        <w:rPr>
          <w:rFonts w:hint="eastAsia" w:ascii="Times New Roman" w:hAnsi="Times New Roman" w:cs="Times New Roman"/>
          <w:color w:val="auto"/>
          <w:highlight w:val="none"/>
        </w:rPr>
        <w:t>7.不予签收或单项验收不合格的，</w:t>
      </w:r>
      <w:r>
        <w:rPr>
          <w:rFonts w:hint="eastAsia"/>
          <w:color w:val="auto"/>
          <w:highlight w:val="none"/>
        </w:rPr>
        <w:t>乙方应在当次验收后</w:t>
      </w:r>
      <w:r>
        <w:rPr>
          <w:rFonts w:hint="eastAsia"/>
          <w:color w:val="auto"/>
          <w:highlight w:val="none"/>
          <w:u w:val="single"/>
        </w:rPr>
        <w:t>5</w:t>
      </w:r>
      <w:r>
        <w:rPr>
          <w:rFonts w:hint="eastAsia"/>
          <w:color w:val="auto"/>
          <w:highlight w:val="none"/>
        </w:rPr>
        <w:t>个工作日内就不符合要求项以补充、更换、修理等甲方认可的方式进行整改并重新验收，未按时进行整改或整改后重新验收仍不合格的</w:t>
      </w:r>
      <w:r>
        <w:rPr>
          <w:color w:val="auto"/>
          <w:highlight w:val="none"/>
        </w:rPr>
        <w:t>视为逾期</w:t>
      </w:r>
      <w:r>
        <w:rPr>
          <w:rFonts w:hint="eastAsia"/>
          <w:color w:val="auto"/>
          <w:highlight w:val="none"/>
        </w:rPr>
        <w:t>交付，逾期交付最长不得超过</w:t>
      </w:r>
      <w:r>
        <w:rPr>
          <w:rFonts w:hint="eastAsia"/>
          <w:color w:val="auto"/>
          <w:highlight w:val="none"/>
          <w:u w:val="single"/>
        </w:rPr>
        <w:t>3</w:t>
      </w:r>
      <w:r>
        <w:rPr>
          <w:color w:val="auto"/>
          <w:highlight w:val="none"/>
          <w:u w:val="single"/>
        </w:rPr>
        <w:t>0</w:t>
      </w:r>
      <w:r>
        <w:rPr>
          <w:rFonts w:hint="eastAsia"/>
          <w:color w:val="auto"/>
          <w:highlight w:val="none"/>
        </w:rPr>
        <w:t>日，超过</w:t>
      </w:r>
      <w:r>
        <w:rPr>
          <w:color w:val="auto"/>
          <w:highlight w:val="none"/>
          <w:u w:val="single"/>
        </w:rPr>
        <w:t>30</w:t>
      </w:r>
      <w:r>
        <w:rPr>
          <w:rFonts w:hint="eastAsia"/>
          <w:color w:val="auto"/>
          <w:highlight w:val="none"/>
        </w:rPr>
        <w:t>日则视为最终验收不合格</w:t>
      </w:r>
      <w:r>
        <w:rPr>
          <w:color w:val="auto"/>
          <w:highlight w:val="none"/>
        </w:rPr>
        <w:t>。</w:t>
      </w:r>
      <w:r>
        <w:rPr>
          <w:rFonts w:hint="eastAsia"/>
          <w:color w:val="auto"/>
          <w:highlight w:val="none"/>
        </w:rPr>
        <w:t>逾期交付不影响本条第1款约定的使用时间。</w:t>
      </w:r>
    </w:p>
    <w:p w14:paraId="3EF29017">
      <w:pPr>
        <w:snapToGrid w:val="0"/>
        <w:spacing w:line="360" w:lineRule="exact"/>
        <w:ind w:firstLine="420" w:firstLineChars="200"/>
        <w:rPr>
          <w:color w:val="auto"/>
          <w:szCs w:val="21"/>
          <w:highlight w:val="none"/>
        </w:rPr>
      </w:pPr>
      <w:r>
        <w:rPr>
          <w:rFonts w:hint="eastAsia"/>
          <w:color w:val="auto"/>
          <w:szCs w:val="21"/>
          <w:highlight w:val="none"/>
        </w:rPr>
        <w:t>8</w:t>
      </w:r>
      <w:r>
        <w:rPr>
          <w:color w:val="auto"/>
          <w:szCs w:val="21"/>
          <w:highlight w:val="none"/>
        </w:rPr>
        <w:t>.甲方</w:t>
      </w:r>
      <w:r>
        <w:rPr>
          <w:rFonts w:hint="eastAsia"/>
          <w:color w:val="auto"/>
          <w:highlight w:val="none"/>
        </w:rPr>
        <w:t>有权委托第三方机构组织验收</w:t>
      </w:r>
      <w:r>
        <w:rPr>
          <w:color w:val="auto"/>
          <w:highlight w:val="none"/>
        </w:rPr>
        <w:t>，</w:t>
      </w:r>
      <w:r>
        <w:rPr>
          <w:rFonts w:hint="eastAsia"/>
          <w:color w:val="auto"/>
          <w:highlight w:val="none"/>
        </w:rPr>
        <w:t>验收按上述规定执行，</w:t>
      </w:r>
      <w:r>
        <w:rPr>
          <w:color w:val="auto"/>
          <w:highlight w:val="none"/>
        </w:rPr>
        <w:t>乙方</w:t>
      </w:r>
      <w:r>
        <w:rPr>
          <w:rFonts w:hint="eastAsia"/>
          <w:color w:val="auto"/>
          <w:highlight w:val="none"/>
        </w:rPr>
        <w:t>应予以</w:t>
      </w:r>
      <w:r>
        <w:rPr>
          <w:color w:val="auto"/>
          <w:highlight w:val="none"/>
        </w:rPr>
        <w:t>配合。</w:t>
      </w:r>
    </w:p>
    <w:p w14:paraId="11F62F31">
      <w:pPr>
        <w:snapToGrid w:val="0"/>
        <w:spacing w:line="360" w:lineRule="exact"/>
        <w:ind w:firstLine="420" w:firstLineChars="200"/>
        <w:rPr>
          <w:color w:val="auto"/>
          <w:szCs w:val="21"/>
          <w:highlight w:val="none"/>
        </w:rPr>
      </w:pPr>
      <w:r>
        <w:rPr>
          <w:rFonts w:hint="eastAsia"/>
          <w:color w:val="auto"/>
          <w:szCs w:val="21"/>
          <w:highlight w:val="none"/>
        </w:rPr>
        <w:t>9</w:t>
      </w:r>
      <w:r>
        <w:rPr>
          <w:color w:val="auto"/>
          <w:szCs w:val="21"/>
          <w:highlight w:val="none"/>
        </w:rPr>
        <w:t>. 其他未尽事宜应严格按照《关于印发广西壮族自治区政府采购项目履约验收管理办法的通知》[桂财采〔2015〕22号]以及《财政部关于进一步加强政府采购需求和履约验收管理的指导意见》[财库〔2016〕205号]规定执行。</w:t>
      </w:r>
    </w:p>
    <w:p w14:paraId="2A387CAB">
      <w:pPr>
        <w:snapToGrid w:val="0"/>
        <w:spacing w:line="300" w:lineRule="exact"/>
        <w:ind w:firstLine="420" w:firstLineChars="200"/>
        <w:rPr>
          <w:color w:val="auto"/>
          <w:szCs w:val="21"/>
          <w:highlight w:val="none"/>
        </w:rPr>
      </w:pPr>
      <w:r>
        <w:rPr>
          <w:rFonts w:hint="eastAsia"/>
          <w:color w:val="auto"/>
          <w:szCs w:val="21"/>
          <w:highlight w:val="none"/>
        </w:rPr>
        <w:t>10</w:t>
      </w:r>
      <w:r>
        <w:rPr>
          <w:color w:val="auto"/>
          <w:szCs w:val="21"/>
          <w:highlight w:val="none"/>
        </w:rPr>
        <w:t>.甲方委托第三方组织</w:t>
      </w:r>
      <w:r>
        <w:rPr>
          <w:rFonts w:hint="eastAsia"/>
          <w:color w:val="auto"/>
          <w:szCs w:val="21"/>
          <w:highlight w:val="none"/>
        </w:rPr>
        <w:t>验收</w:t>
      </w:r>
      <w:r>
        <w:rPr>
          <w:color w:val="auto"/>
          <w:szCs w:val="21"/>
          <w:highlight w:val="none"/>
        </w:rPr>
        <w:t>的，其验收时间</w:t>
      </w:r>
      <w:r>
        <w:rPr>
          <w:rFonts w:hint="eastAsia"/>
          <w:color w:val="auto"/>
          <w:szCs w:val="21"/>
          <w:highlight w:val="none"/>
        </w:rPr>
        <w:t>、验收程序</w:t>
      </w:r>
      <w:r>
        <w:rPr>
          <w:color w:val="auto"/>
          <w:szCs w:val="21"/>
          <w:highlight w:val="none"/>
        </w:rPr>
        <w:t>以该项目验收方案确定的验收时间</w:t>
      </w:r>
      <w:r>
        <w:rPr>
          <w:rFonts w:hint="eastAsia"/>
          <w:color w:val="auto"/>
          <w:szCs w:val="21"/>
          <w:highlight w:val="none"/>
        </w:rPr>
        <w:t>、验收程序</w:t>
      </w:r>
      <w:r>
        <w:rPr>
          <w:color w:val="auto"/>
          <w:szCs w:val="21"/>
          <w:highlight w:val="none"/>
        </w:rPr>
        <w:t>为准，验收结果以该项目验收报告结论为准。</w:t>
      </w:r>
    </w:p>
    <w:p w14:paraId="16D25A9D">
      <w:pPr>
        <w:pStyle w:val="26"/>
        <w:snapToGrid w:val="0"/>
        <w:spacing w:before="120" w:after="120" w:line="300" w:lineRule="exact"/>
        <w:ind w:firstLine="420" w:firstLineChars="200"/>
        <w:jc w:val="left"/>
        <w:rPr>
          <w:rFonts w:hint="eastAsia" w:ascii="Times New Roman" w:hAnsi="Times New Roman" w:cs="Times New Roman"/>
          <w:color w:val="auto"/>
          <w:highlight w:val="none"/>
        </w:rPr>
      </w:pPr>
      <w:r>
        <w:rPr>
          <w:rFonts w:hint="eastAsia" w:ascii="Times New Roman" w:hAnsi="Times New Roman" w:cs="Times New Roman"/>
          <w:color w:val="auto"/>
          <w:highlight w:val="none"/>
        </w:rPr>
        <w:t>11</w:t>
      </w:r>
      <w:r>
        <w:rPr>
          <w:rFonts w:ascii="Times New Roman" w:hAnsi="Times New Roman" w:cs="Times New Roman"/>
          <w:color w:val="auto"/>
          <w:highlight w:val="none"/>
        </w:rPr>
        <w:t>.</w:t>
      </w:r>
      <w:r>
        <w:rPr>
          <w:rFonts w:hint="eastAsia" w:ascii="Times New Roman" w:hAnsi="Times New Roman" w:cs="Times New Roman"/>
          <w:color w:val="auto"/>
          <w:highlight w:val="none"/>
        </w:rPr>
        <w:t>履约验收方案详见附件。</w:t>
      </w:r>
    </w:p>
    <w:p w14:paraId="533AB5FE">
      <w:pPr>
        <w:snapToGrid w:val="0"/>
        <w:spacing w:line="360" w:lineRule="exact"/>
        <w:ind w:firstLine="422" w:firstLineChars="200"/>
        <w:rPr>
          <w:b/>
          <w:color w:val="auto"/>
          <w:szCs w:val="21"/>
          <w:highlight w:val="none"/>
        </w:rPr>
      </w:pPr>
      <w:r>
        <w:rPr>
          <w:b/>
          <w:color w:val="auto"/>
          <w:szCs w:val="21"/>
          <w:highlight w:val="none"/>
        </w:rPr>
        <w:t>第七条  安装和培训</w:t>
      </w:r>
    </w:p>
    <w:p w14:paraId="22D63600">
      <w:pPr>
        <w:snapToGrid w:val="0"/>
        <w:spacing w:line="360" w:lineRule="exact"/>
        <w:ind w:firstLine="420" w:firstLineChars="200"/>
        <w:rPr>
          <w:color w:val="auto"/>
          <w:szCs w:val="21"/>
          <w:highlight w:val="none"/>
        </w:rPr>
      </w:pPr>
      <w:r>
        <w:rPr>
          <w:color w:val="auto"/>
          <w:szCs w:val="21"/>
          <w:highlight w:val="none"/>
        </w:rPr>
        <w:t>1.甲方应提供必要安装条件（如场地、电源、水源等）。</w:t>
      </w:r>
    </w:p>
    <w:p w14:paraId="3FB144E2">
      <w:pPr>
        <w:snapToGrid w:val="0"/>
        <w:spacing w:line="360" w:lineRule="exact"/>
        <w:ind w:firstLine="420" w:firstLineChars="200"/>
        <w:rPr>
          <w:color w:val="auto"/>
          <w:szCs w:val="21"/>
          <w:highlight w:val="none"/>
          <w:u w:val="single"/>
        </w:rPr>
      </w:pPr>
      <w:r>
        <w:rPr>
          <w:color w:val="auto"/>
          <w:szCs w:val="21"/>
          <w:highlight w:val="none"/>
        </w:rPr>
        <w:t>2.乙方负责甲方有关人员的培训。培训时间、地点：</w:t>
      </w:r>
      <w:r>
        <w:rPr>
          <w:color w:val="auto"/>
          <w:szCs w:val="21"/>
          <w:highlight w:val="none"/>
          <w:u w:val="single"/>
        </w:rPr>
        <w:t xml:space="preserve"> 由甲方决定。</w:t>
      </w:r>
    </w:p>
    <w:p w14:paraId="58A5FD1C">
      <w:pPr>
        <w:snapToGrid w:val="0"/>
        <w:spacing w:line="360" w:lineRule="exact"/>
        <w:ind w:firstLine="422" w:firstLineChars="200"/>
        <w:rPr>
          <w:b/>
          <w:color w:val="auto"/>
          <w:szCs w:val="21"/>
          <w:highlight w:val="none"/>
        </w:rPr>
      </w:pPr>
      <w:r>
        <w:rPr>
          <w:b/>
          <w:color w:val="auto"/>
          <w:szCs w:val="21"/>
          <w:highlight w:val="none"/>
        </w:rPr>
        <w:t>第八条  售后服务、质保期</w:t>
      </w:r>
    </w:p>
    <w:p w14:paraId="2CF01274">
      <w:pPr>
        <w:snapToGrid w:val="0"/>
        <w:spacing w:line="276" w:lineRule="auto"/>
        <w:ind w:firstLine="420" w:firstLineChars="200"/>
        <w:rPr>
          <w:color w:val="auto"/>
          <w:szCs w:val="21"/>
          <w:highlight w:val="none"/>
        </w:rPr>
      </w:pPr>
      <w:r>
        <w:rPr>
          <w:color w:val="auto"/>
          <w:szCs w:val="21"/>
          <w:highlight w:val="none"/>
        </w:rPr>
        <w:t>1.乙方应按照国家有关法律法规和“三包”规定以及</w:t>
      </w:r>
      <w:r>
        <w:rPr>
          <w:rFonts w:hint="eastAsia"/>
          <w:color w:val="auto"/>
          <w:szCs w:val="21"/>
          <w:highlight w:val="none"/>
        </w:rPr>
        <w:t>采购文件、响应文件</w:t>
      </w:r>
      <w:r>
        <w:rPr>
          <w:color w:val="auto"/>
          <w:szCs w:val="21"/>
          <w:highlight w:val="none"/>
        </w:rPr>
        <w:t>和本合同附件，为甲方提供售后服务。</w:t>
      </w:r>
    </w:p>
    <w:p w14:paraId="4E8A705E">
      <w:pPr>
        <w:snapToGrid w:val="0"/>
        <w:spacing w:line="276" w:lineRule="auto"/>
        <w:ind w:firstLine="420" w:firstLineChars="200"/>
        <w:rPr>
          <w:color w:val="auto"/>
          <w:szCs w:val="21"/>
          <w:highlight w:val="none"/>
          <w:u w:val="single"/>
        </w:rPr>
      </w:pPr>
      <w:r>
        <w:rPr>
          <w:color w:val="auto"/>
          <w:szCs w:val="21"/>
          <w:highlight w:val="none"/>
        </w:rPr>
        <w:t>2.</w:t>
      </w:r>
      <w:r>
        <w:rPr>
          <w:rFonts w:hint="eastAsia"/>
          <w:color w:val="auto"/>
          <w:szCs w:val="21"/>
          <w:highlight w:val="none"/>
        </w:rPr>
        <w:t>产品</w:t>
      </w:r>
      <w:r>
        <w:rPr>
          <w:color w:val="auto"/>
          <w:szCs w:val="21"/>
          <w:highlight w:val="none"/>
        </w:rPr>
        <w:t>或服务成果质保期：</w:t>
      </w:r>
      <w:r>
        <w:rPr>
          <w:color w:val="auto"/>
          <w:szCs w:val="21"/>
          <w:highlight w:val="none"/>
          <w:u w:val="single"/>
        </w:rPr>
        <w:t>按乙方承诺，但是不得低于国家相关标准</w:t>
      </w:r>
      <w:r>
        <w:rPr>
          <w:color w:val="auto"/>
          <w:szCs w:val="21"/>
          <w:highlight w:val="none"/>
        </w:rPr>
        <w:t>。</w:t>
      </w:r>
    </w:p>
    <w:p w14:paraId="348DFA41">
      <w:pPr>
        <w:snapToGrid w:val="0"/>
        <w:spacing w:line="276" w:lineRule="auto"/>
        <w:ind w:firstLine="420" w:firstLineChars="200"/>
        <w:rPr>
          <w:color w:val="auto"/>
          <w:szCs w:val="21"/>
          <w:highlight w:val="none"/>
        </w:rPr>
      </w:pPr>
      <w:r>
        <w:rPr>
          <w:color w:val="auto"/>
          <w:szCs w:val="21"/>
          <w:highlight w:val="none"/>
        </w:rPr>
        <w:t>3.按采购文件规定的服务质量标准，并达到或优于中标人承诺的标准。</w:t>
      </w:r>
    </w:p>
    <w:p w14:paraId="3E14BC5B">
      <w:pPr>
        <w:snapToGrid w:val="0"/>
        <w:spacing w:line="276" w:lineRule="auto"/>
        <w:ind w:firstLine="420" w:firstLineChars="200"/>
        <w:rPr>
          <w:rFonts w:hint="eastAsia"/>
          <w:color w:val="auto"/>
          <w:szCs w:val="21"/>
          <w:highlight w:val="none"/>
        </w:rPr>
      </w:pPr>
      <w:r>
        <w:rPr>
          <w:color w:val="auto"/>
          <w:szCs w:val="21"/>
          <w:highlight w:val="none"/>
        </w:rPr>
        <w:t>4.乙方所提供的</w:t>
      </w:r>
      <w:r>
        <w:rPr>
          <w:rFonts w:hint="eastAsia"/>
          <w:color w:val="auto"/>
          <w:szCs w:val="21"/>
          <w:highlight w:val="none"/>
        </w:rPr>
        <w:t>服务内容、标准</w:t>
      </w:r>
      <w:r>
        <w:rPr>
          <w:color w:val="auto"/>
          <w:szCs w:val="21"/>
          <w:highlight w:val="none"/>
        </w:rPr>
        <w:t>必须与</w:t>
      </w:r>
      <w:r>
        <w:rPr>
          <w:rFonts w:hint="eastAsia"/>
          <w:color w:val="auto"/>
          <w:szCs w:val="21"/>
          <w:highlight w:val="none"/>
        </w:rPr>
        <w:t>采购文件、响应文件</w:t>
      </w:r>
      <w:r>
        <w:rPr>
          <w:color w:val="auto"/>
          <w:szCs w:val="21"/>
          <w:highlight w:val="none"/>
        </w:rPr>
        <w:t>和承诺相一致。</w:t>
      </w:r>
    </w:p>
    <w:p w14:paraId="03394C7B">
      <w:pPr>
        <w:snapToGrid w:val="0"/>
        <w:spacing w:line="276" w:lineRule="auto"/>
        <w:ind w:firstLine="420" w:firstLineChars="200"/>
        <w:rPr>
          <w:color w:val="auto"/>
          <w:szCs w:val="21"/>
          <w:highlight w:val="none"/>
        </w:rPr>
      </w:pPr>
      <w:r>
        <w:rPr>
          <w:color w:val="auto"/>
          <w:szCs w:val="21"/>
          <w:highlight w:val="none"/>
        </w:rPr>
        <w:t>5.如在使用过程中发生质量问题，乙方在接到甲方通知后在</w:t>
      </w:r>
      <w:r>
        <w:rPr>
          <w:color w:val="auto"/>
          <w:szCs w:val="21"/>
          <w:highlight w:val="none"/>
          <w:u w:val="single"/>
        </w:rPr>
        <w:t xml:space="preserve">    </w:t>
      </w:r>
      <w:r>
        <w:rPr>
          <w:color w:val="auto"/>
          <w:szCs w:val="21"/>
          <w:highlight w:val="none"/>
        </w:rPr>
        <w:t>小时内到达甲方现场。</w:t>
      </w:r>
    </w:p>
    <w:p w14:paraId="09DED8E2">
      <w:pPr>
        <w:snapToGrid w:val="0"/>
        <w:spacing w:line="276" w:lineRule="auto"/>
        <w:ind w:firstLine="420" w:firstLineChars="200"/>
        <w:rPr>
          <w:color w:val="auto"/>
          <w:szCs w:val="21"/>
          <w:highlight w:val="none"/>
        </w:rPr>
      </w:pPr>
      <w:r>
        <w:rPr>
          <w:color w:val="auto"/>
          <w:szCs w:val="21"/>
          <w:highlight w:val="none"/>
        </w:rPr>
        <w:t>6.在质保期内，乙方应对</w:t>
      </w:r>
      <w:r>
        <w:rPr>
          <w:rFonts w:hint="eastAsia"/>
          <w:color w:val="auto"/>
          <w:szCs w:val="21"/>
          <w:highlight w:val="none"/>
        </w:rPr>
        <w:t>产品</w:t>
      </w:r>
      <w:r>
        <w:rPr>
          <w:color w:val="auto"/>
          <w:szCs w:val="21"/>
          <w:highlight w:val="none"/>
        </w:rPr>
        <w:t>或服务成果出现的质量及安全问题负责处理解决并承担一切费用。</w:t>
      </w:r>
    </w:p>
    <w:p w14:paraId="5B3F98EF">
      <w:pPr>
        <w:snapToGrid w:val="0"/>
        <w:spacing w:line="276" w:lineRule="auto"/>
        <w:ind w:firstLine="420" w:firstLineChars="200"/>
        <w:rPr>
          <w:rFonts w:hint="eastAsia"/>
          <w:color w:val="auto"/>
          <w:szCs w:val="21"/>
          <w:highlight w:val="none"/>
        </w:rPr>
      </w:pPr>
      <w:r>
        <w:rPr>
          <w:rFonts w:hint="eastAsia"/>
          <w:color w:val="auto"/>
          <w:szCs w:val="21"/>
          <w:highlight w:val="none"/>
        </w:rPr>
        <w:t>7</w:t>
      </w:r>
      <w:r>
        <w:rPr>
          <w:color w:val="auto"/>
          <w:szCs w:val="21"/>
          <w:highlight w:val="none"/>
        </w:rPr>
        <w:t>.乙方提供的服务承诺和售后服务及质保期责任等</w:t>
      </w:r>
      <w:r>
        <w:rPr>
          <w:rFonts w:hint="eastAsia"/>
          <w:color w:val="auto"/>
          <w:szCs w:val="21"/>
          <w:highlight w:val="none"/>
          <w:lang w:eastAsia="zh-CN"/>
        </w:rPr>
        <w:t>其他</w:t>
      </w:r>
      <w:r>
        <w:rPr>
          <w:color w:val="auto"/>
          <w:szCs w:val="21"/>
          <w:highlight w:val="none"/>
        </w:rPr>
        <w:t>具体约定事项。</w:t>
      </w:r>
    </w:p>
    <w:p w14:paraId="19D092E4">
      <w:pPr>
        <w:snapToGrid w:val="0"/>
        <w:spacing w:line="360" w:lineRule="exact"/>
        <w:ind w:firstLine="422" w:firstLineChars="200"/>
        <w:rPr>
          <w:color w:val="auto"/>
          <w:szCs w:val="21"/>
          <w:highlight w:val="none"/>
        </w:rPr>
      </w:pPr>
      <w:r>
        <w:rPr>
          <w:b/>
          <w:color w:val="auto"/>
          <w:szCs w:val="21"/>
          <w:highlight w:val="none"/>
        </w:rPr>
        <w:t>第九条　付款方式</w:t>
      </w:r>
    </w:p>
    <w:p w14:paraId="23381DAD">
      <w:pPr>
        <w:snapToGrid w:val="0"/>
        <w:spacing w:line="360" w:lineRule="exact"/>
        <w:ind w:firstLine="420" w:firstLineChars="200"/>
        <w:rPr>
          <w:color w:val="auto"/>
          <w:szCs w:val="21"/>
          <w:highlight w:val="none"/>
        </w:rPr>
      </w:pPr>
      <w:r>
        <w:rPr>
          <w:color w:val="auto"/>
          <w:szCs w:val="21"/>
          <w:highlight w:val="none"/>
        </w:rPr>
        <w:t>1.资金性质：</w:t>
      </w:r>
      <w:r>
        <w:rPr>
          <w:color w:val="auto"/>
          <w:szCs w:val="21"/>
          <w:highlight w:val="none"/>
          <w:u w:val="single"/>
        </w:rPr>
        <w:t>财政性资金。</w:t>
      </w:r>
    </w:p>
    <w:p w14:paraId="49962AAA">
      <w:pPr>
        <w:snapToGrid w:val="0"/>
        <w:spacing w:line="360" w:lineRule="exact"/>
        <w:ind w:firstLine="420" w:firstLineChars="200"/>
        <w:rPr>
          <w:color w:val="auto"/>
          <w:szCs w:val="21"/>
          <w:highlight w:val="none"/>
        </w:rPr>
      </w:pPr>
      <w:r>
        <w:rPr>
          <w:color w:val="auto"/>
          <w:szCs w:val="21"/>
          <w:highlight w:val="none"/>
        </w:rPr>
        <w:t>2.付款方式：</w:t>
      </w:r>
    </w:p>
    <w:p w14:paraId="01C45C96">
      <w:pPr>
        <w:snapToGrid w:val="0"/>
        <w:spacing w:line="300" w:lineRule="exact"/>
        <w:ind w:firstLine="420" w:firstLineChars="200"/>
        <w:rPr>
          <w:rFonts w:hint="default" w:eastAsia="宋体"/>
          <w:color w:val="auto"/>
          <w:szCs w:val="21"/>
          <w:highlight w:val="none"/>
          <w:u w:val="single"/>
          <w:lang w:val="en-US" w:eastAsia="zh-CN"/>
        </w:rPr>
      </w:pPr>
      <w:r>
        <w:rPr>
          <w:rFonts w:hint="eastAsia"/>
          <w:color w:val="auto"/>
          <w:szCs w:val="21"/>
          <w:highlight w:val="none"/>
        </w:rPr>
        <w:t>（1）签订合同后十五个工作日</w:t>
      </w:r>
      <w:r>
        <w:rPr>
          <w:rFonts w:hint="eastAsia"/>
          <w:color w:val="auto"/>
          <w:szCs w:val="21"/>
          <w:highlight w:val="none"/>
          <w:lang w:val="en-US" w:eastAsia="zh-CN"/>
        </w:rPr>
        <w:t>内甲方向乙方一次性支付100%合同款</w:t>
      </w:r>
    </w:p>
    <w:p w14:paraId="6C356400">
      <w:pPr>
        <w:snapToGrid w:val="0"/>
        <w:spacing w:line="300" w:lineRule="exact"/>
        <w:ind w:firstLine="420" w:firstLineChars="200"/>
        <w:rPr>
          <w:color w:val="auto"/>
          <w:szCs w:val="21"/>
          <w:highlight w:val="none"/>
          <w:u w:val="single"/>
        </w:rPr>
      </w:pPr>
      <w:r>
        <w:rPr>
          <w:rFonts w:hint="eastAsia"/>
          <w:color w:val="auto"/>
          <w:szCs w:val="21"/>
          <w:highlight w:val="none"/>
          <w:u w:val="single"/>
        </w:rPr>
        <w:t>（2）</w:t>
      </w:r>
      <w:r>
        <w:rPr>
          <w:color w:val="auto"/>
          <w:szCs w:val="21"/>
          <w:highlight w:val="none"/>
          <w:u w:val="single"/>
        </w:rPr>
        <w:t>供应商按</w:t>
      </w:r>
      <w:r>
        <w:rPr>
          <w:rFonts w:hint="eastAsia"/>
          <w:color w:val="auto"/>
          <w:szCs w:val="21"/>
          <w:highlight w:val="none"/>
          <w:u w:val="single"/>
        </w:rPr>
        <w:t>验收流程要求通过最终验收</w:t>
      </w:r>
      <w:r>
        <w:rPr>
          <w:color w:val="auto"/>
          <w:szCs w:val="21"/>
          <w:highlight w:val="none"/>
          <w:u w:val="single"/>
        </w:rPr>
        <w:t>后，采购人签署项目</w:t>
      </w:r>
      <w:r>
        <w:rPr>
          <w:rFonts w:hint="eastAsia"/>
          <w:color w:val="auto"/>
          <w:szCs w:val="21"/>
          <w:highlight w:val="none"/>
          <w:u w:val="single"/>
        </w:rPr>
        <w:t>验收报告或</w:t>
      </w:r>
      <w:r>
        <w:rPr>
          <w:color w:val="auto"/>
          <w:szCs w:val="21"/>
          <w:highlight w:val="none"/>
          <w:u w:val="single"/>
        </w:rPr>
        <w:t>验收书；</w:t>
      </w:r>
    </w:p>
    <w:p w14:paraId="1797D071">
      <w:pPr>
        <w:snapToGrid w:val="0"/>
        <w:spacing w:line="300" w:lineRule="exact"/>
        <w:ind w:firstLine="420" w:firstLineChars="200"/>
        <w:rPr>
          <w:rFonts w:hint="eastAsia"/>
          <w:color w:val="auto"/>
          <w:szCs w:val="21"/>
          <w:highlight w:val="none"/>
          <w:u w:val="single"/>
        </w:rPr>
      </w:pPr>
      <w:r>
        <w:rPr>
          <w:rFonts w:hint="eastAsia"/>
          <w:color w:val="auto"/>
          <w:szCs w:val="21"/>
          <w:highlight w:val="none"/>
          <w:u w:val="single"/>
        </w:rPr>
        <w:t>（3）</w:t>
      </w:r>
      <w:r>
        <w:rPr>
          <w:rFonts w:hint="eastAsia"/>
          <w:color w:val="auto"/>
          <w:szCs w:val="21"/>
          <w:highlight w:val="none"/>
          <w:u w:val="single"/>
          <w:lang w:val="en-US" w:eastAsia="zh-CN"/>
        </w:rPr>
        <w:t>付款前乙方</w:t>
      </w:r>
      <w:r>
        <w:rPr>
          <w:rFonts w:hint="eastAsia"/>
          <w:color w:val="auto"/>
          <w:szCs w:val="21"/>
          <w:highlight w:val="none"/>
          <w:u w:val="single"/>
        </w:rPr>
        <w:t>向</w:t>
      </w:r>
      <w:r>
        <w:rPr>
          <w:rFonts w:hint="eastAsia"/>
          <w:color w:val="auto"/>
          <w:szCs w:val="21"/>
          <w:highlight w:val="none"/>
          <w:u w:val="single"/>
          <w:lang w:val="en-US" w:eastAsia="zh-CN"/>
        </w:rPr>
        <w:t>甲方</w:t>
      </w:r>
      <w:r>
        <w:rPr>
          <w:rFonts w:hint="eastAsia"/>
          <w:color w:val="auto"/>
          <w:szCs w:val="21"/>
          <w:highlight w:val="none"/>
          <w:u w:val="single"/>
        </w:rPr>
        <w:t>提供付款申请书，并附与付款申请书等额的发票和验收书</w:t>
      </w:r>
      <w:r>
        <w:rPr>
          <w:color w:val="auto"/>
          <w:szCs w:val="21"/>
          <w:highlight w:val="none"/>
          <w:u w:val="single"/>
        </w:rPr>
        <w:t>；</w:t>
      </w:r>
    </w:p>
    <w:p w14:paraId="016FA034">
      <w:pPr>
        <w:snapToGrid w:val="0"/>
        <w:spacing w:line="300" w:lineRule="exact"/>
        <w:ind w:firstLine="420" w:firstLineChars="200"/>
        <w:rPr>
          <w:color w:val="auto"/>
          <w:szCs w:val="21"/>
          <w:highlight w:val="none"/>
          <w:u w:val="single"/>
        </w:rPr>
      </w:pPr>
      <w:r>
        <w:rPr>
          <w:rFonts w:hint="eastAsia"/>
          <w:color w:val="auto"/>
          <w:szCs w:val="21"/>
          <w:highlight w:val="none"/>
          <w:u w:val="single"/>
        </w:rPr>
        <w:t>（4）</w:t>
      </w:r>
      <w:r>
        <w:rPr>
          <w:color w:val="auto"/>
          <w:szCs w:val="21"/>
          <w:highlight w:val="none"/>
          <w:u w:val="single"/>
        </w:rPr>
        <w:t>票据要求：</w:t>
      </w:r>
      <w:r>
        <w:rPr>
          <w:rFonts w:hint="eastAsia"/>
          <w:color w:val="auto"/>
          <w:szCs w:val="21"/>
          <w:highlight w:val="none"/>
          <w:u w:val="single"/>
        </w:rPr>
        <w:t>乙方</w:t>
      </w:r>
      <w:r>
        <w:rPr>
          <w:color w:val="auto"/>
          <w:szCs w:val="21"/>
          <w:highlight w:val="none"/>
          <w:u w:val="single"/>
        </w:rPr>
        <w:t>必须按照</w:t>
      </w:r>
      <w:r>
        <w:rPr>
          <w:rFonts w:hint="eastAsia"/>
          <w:color w:val="auto"/>
          <w:szCs w:val="21"/>
          <w:highlight w:val="none"/>
          <w:u w:val="single"/>
        </w:rPr>
        <w:t>甲方</w:t>
      </w:r>
      <w:r>
        <w:rPr>
          <w:color w:val="auto"/>
          <w:szCs w:val="21"/>
          <w:highlight w:val="none"/>
          <w:u w:val="single"/>
        </w:rPr>
        <w:t>要求提供真实、有效、合法的正式发票。一旦发现</w:t>
      </w:r>
      <w:r>
        <w:rPr>
          <w:rFonts w:hint="eastAsia"/>
          <w:color w:val="auto"/>
          <w:szCs w:val="21"/>
          <w:highlight w:val="none"/>
          <w:u w:val="single"/>
          <w:lang w:val="en-US" w:eastAsia="zh-CN"/>
        </w:rPr>
        <w:t>乙方</w:t>
      </w:r>
      <w:r>
        <w:rPr>
          <w:color w:val="auto"/>
          <w:szCs w:val="21"/>
          <w:highlight w:val="none"/>
          <w:u w:val="single"/>
        </w:rPr>
        <w:t>提供虚假发票，除须向</w:t>
      </w:r>
      <w:r>
        <w:rPr>
          <w:rFonts w:hint="eastAsia"/>
          <w:color w:val="auto"/>
          <w:szCs w:val="21"/>
          <w:highlight w:val="none"/>
          <w:u w:val="single"/>
          <w:lang w:val="en-US" w:eastAsia="zh-CN"/>
        </w:rPr>
        <w:t>甲方</w:t>
      </w:r>
      <w:r>
        <w:rPr>
          <w:color w:val="auto"/>
          <w:szCs w:val="21"/>
          <w:highlight w:val="none"/>
          <w:u w:val="single"/>
        </w:rPr>
        <w:t>补开合法发票外，须赔偿</w:t>
      </w:r>
      <w:r>
        <w:rPr>
          <w:rFonts w:hint="eastAsia"/>
          <w:color w:val="auto"/>
          <w:szCs w:val="21"/>
          <w:highlight w:val="none"/>
          <w:u w:val="single"/>
          <w:lang w:val="en-US" w:eastAsia="zh-CN"/>
        </w:rPr>
        <w:t>甲方</w:t>
      </w:r>
      <w:r>
        <w:rPr>
          <w:color w:val="auto"/>
          <w:szCs w:val="21"/>
          <w:highlight w:val="none"/>
          <w:u w:val="single"/>
        </w:rPr>
        <w:t>发票票面金额一倍的违约金，且</w:t>
      </w:r>
      <w:r>
        <w:rPr>
          <w:rFonts w:hint="eastAsia"/>
          <w:color w:val="auto"/>
          <w:szCs w:val="21"/>
          <w:highlight w:val="none"/>
          <w:u w:val="single"/>
          <w:lang w:val="en-US" w:eastAsia="zh-CN"/>
        </w:rPr>
        <w:t>甲方</w:t>
      </w:r>
      <w:r>
        <w:rPr>
          <w:color w:val="auto"/>
          <w:szCs w:val="21"/>
          <w:highlight w:val="none"/>
          <w:u w:val="single"/>
        </w:rPr>
        <w:t>有权终止合同，</w:t>
      </w:r>
      <w:r>
        <w:rPr>
          <w:rFonts w:hint="eastAsia"/>
          <w:color w:val="auto"/>
          <w:szCs w:val="21"/>
          <w:highlight w:val="none"/>
          <w:u w:val="single"/>
          <w:lang w:val="en-US" w:eastAsia="zh-CN"/>
        </w:rPr>
        <w:t>乙方</w:t>
      </w:r>
      <w:r>
        <w:rPr>
          <w:color w:val="auto"/>
          <w:szCs w:val="21"/>
          <w:highlight w:val="none"/>
          <w:u w:val="single"/>
        </w:rPr>
        <w:t>不得提出异议，因终止合同而产生的一切损失均由供应商承担。</w:t>
      </w:r>
    </w:p>
    <w:p w14:paraId="68BBD73C">
      <w:pPr>
        <w:snapToGrid w:val="0"/>
        <w:spacing w:line="300" w:lineRule="exact"/>
        <w:ind w:firstLine="420" w:firstLineChars="200"/>
        <w:rPr>
          <w:color w:val="auto"/>
          <w:szCs w:val="21"/>
          <w:highlight w:val="none"/>
        </w:rPr>
      </w:pPr>
      <w:bookmarkStart w:id="80" w:name="_Hlk155171104"/>
      <w:r>
        <w:rPr>
          <w:rFonts w:hint="eastAsia"/>
          <w:color w:val="auto"/>
          <w:highlight w:val="none"/>
        </w:rPr>
        <w:t>（5）</w:t>
      </w:r>
      <w:bookmarkEnd w:id="80"/>
      <w:r>
        <w:rPr>
          <w:rFonts w:hint="eastAsia"/>
          <w:color w:val="auto"/>
          <w:szCs w:val="21"/>
          <w:highlight w:val="none"/>
        </w:rPr>
        <w:t>合同款支付形式为：</w:t>
      </w:r>
      <w:r>
        <w:rPr>
          <w:rFonts w:hint="eastAsia"/>
          <w:color w:val="auto"/>
          <w:szCs w:val="21"/>
          <w:highlight w:val="none"/>
          <w:u w:val="single"/>
          <w:lang w:val="en-US" w:eastAsia="zh-CN"/>
        </w:rPr>
        <w:t>转账</w:t>
      </w:r>
    </w:p>
    <w:p w14:paraId="69B80DA8">
      <w:pPr>
        <w:snapToGrid w:val="0"/>
        <w:spacing w:line="360" w:lineRule="exact"/>
        <w:ind w:firstLine="422" w:firstLineChars="200"/>
        <w:rPr>
          <w:b/>
          <w:color w:val="auto"/>
          <w:szCs w:val="21"/>
          <w:highlight w:val="none"/>
        </w:rPr>
      </w:pPr>
      <w:r>
        <w:rPr>
          <w:b/>
          <w:color w:val="auto"/>
          <w:szCs w:val="21"/>
          <w:highlight w:val="none"/>
        </w:rPr>
        <w:t>第十条履约保证金</w:t>
      </w:r>
      <w:r>
        <w:rPr>
          <w:rFonts w:hint="eastAsia"/>
          <w:b/>
          <w:color w:val="auto"/>
          <w:szCs w:val="21"/>
          <w:highlight w:val="none"/>
        </w:rPr>
        <w:t>及响应保证金</w:t>
      </w:r>
      <w:r>
        <w:rPr>
          <w:b/>
          <w:color w:val="auto"/>
          <w:szCs w:val="21"/>
          <w:highlight w:val="none"/>
        </w:rPr>
        <w:t xml:space="preserve">   </w:t>
      </w:r>
    </w:p>
    <w:p w14:paraId="4BFB78D3">
      <w:pPr>
        <w:spacing w:line="300" w:lineRule="exact"/>
        <w:ind w:firstLine="420" w:firstLineChars="200"/>
        <w:jc w:val="left"/>
        <w:rPr>
          <w:color w:val="auto"/>
          <w:szCs w:val="21"/>
          <w:highlight w:val="none"/>
        </w:rPr>
      </w:pPr>
      <w:r>
        <w:rPr>
          <w:color w:val="auto"/>
          <w:szCs w:val="21"/>
          <w:highlight w:val="none"/>
        </w:rPr>
        <w:t>履约保证金</w:t>
      </w:r>
      <w:r>
        <w:rPr>
          <w:rFonts w:hint="eastAsia"/>
          <w:color w:val="auto"/>
          <w:szCs w:val="21"/>
          <w:highlight w:val="none"/>
        </w:rPr>
        <w:t>金额及缴纳时间：</w:t>
      </w:r>
      <w:r>
        <w:rPr>
          <w:rFonts w:hint="eastAsia"/>
          <w:color w:val="auto"/>
          <w:szCs w:val="21"/>
          <w:highlight w:val="none"/>
          <w:u w:val="single"/>
          <w:lang w:val="en-US" w:eastAsia="zh-CN"/>
        </w:rPr>
        <w:t>2%</w:t>
      </w:r>
    </w:p>
    <w:p w14:paraId="3648AD6D">
      <w:pPr>
        <w:spacing w:line="300" w:lineRule="exact"/>
        <w:ind w:firstLine="420" w:firstLineChars="200"/>
        <w:jc w:val="left"/>
        <w:rPr>
          <w:color w:val="auto"/>
          <w:szCs w:val="21"/>
          <w:highlight w:val="none"/>
        </w:rPr>
      </w:pPr>
      <w:r>
        <w:rPr>
          <w:rFonts w:hint="eastAsia"/>
          <w:color w:val="auto"/>
          <w:szCs w:val="21"/>
          <w:highlight w:val="none"/>
        </w:rPr>
        <w:t>履约保证金缴纳形式：供应商可以选择</w:t>
      </w:r>
      <w:r>
        <w:rPr>
          <w:color w:val="auto"/>
          <w:szCs w:val="21"/>
          <w:highlight w:val="none"/>
        </w:rPr>
        <w:t>电汇、转账</w:t>
      </w:r>
      <w:r>
        <w:rPr>
          <w:rFonts w:hint="eastAsia"/>
          <w:color w:val="auto"/>
          <w:szCs w:val="21"/>
          <w:highlight w:val="none"/>
        </w:rPr>
        <w:t>、</w:t>
      </w:r>
      <w:r>
        <w:rPr>
          <w:color w:val="auto"/>
          <w:szCs w:val="21"/>
          <w:highlight w:val="none"/>
        </w:rPr>
        <w:t>支票、汇票、本票、保函等形式缴纳或提交</w:t>
      </w:r>
      <w:r>
        <w:rPr>
          <w:rFonts w:hint="eastAsia"/>
          <w:color w:val="auto"/>
          <w:szCs w:val="21"/>
          <w:highlight w:val="none"/>
        </w:rPr>
        <w:t>；采用保函形式缴纳的，采购人在保证期限届满后及时对收取的保证金进行核实和结算。</w:t>
      </w:r>
    </w:p>
    <w:p w14:paraId="65127969">
      <w:pPr>
        <w:spacing w:line="276" w:lineRule="auto"/>
        <w:ind w:firstLine="420" w:firstLineChars="200"/>
        <w:rPr>
          <w:color w:val="auto"/>
          <w:szCs w:val="21"/>
          <w:highlight w:val="none"/>
          <w:u w:val="single"/>
        </w:rPr>
      </w:pPr>
      <w:r>
        <w:rPr>
          <w:color w:val="auto"/>
          <w:szCs w:val="21"/>
          <w:highlight w:val="none"/>
        </w:rPr>
        <w:t>保证金缴纳的账号信息：</w:t>
      </w:r>
      <w:r>
        <w:rPr>
          <w:rFonts w:hint="eastAsia"/>
          <w:color w:val="auto"/>
          <w:szCs w:val="21"/>
          <w:highlight w:val="none"/>
          <w:u w:val="single"/>
        </w:rPr>
        <w:t xml:space="preserve"> </w:t>
      </w:r>
      <w:r>
        <w:rPr>
          <w:color w:val="auto"/>
          <w:szCs w:val="21"/>
          <w:highlight w:val="none"/>
          <w:u w:val="single"/>
        </w:rPr>
        <w:t xml:space="preserve">               </w:t>
      </w:r>
    </w:p>
    <w:p w14:paraId="2647D4E5">
      <w:pPr>
        <w:spacing w:line="276" w:lineRule="auto"/>
        <w:ind w:firstLine="420" w:firstLineChars="200"/>
        <w:rPr>
          <w:color w:val="auto"/>
          <w:szCs w:val="21"/>
          <w:highlight w:val="none"/>
          <w:u w:val="single"/>
        </w:rPr>
      </w:pPr>
      <w:r>
        <w:rPr>
          <w:color w:val="auto"/>
          <w:szCs w:val="21"/>
          <w:highlight w:val="none"/>
        </w:rPr>
        <w:t>开户名称：</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14:paraId="7210BB43">
      <w:pPr>
        <w:spacing w:line="276" w:lineRule="auto"/>
        <w:ind w:firstLine="420" w:firstLineChars="200"/>
        <w:rPr>
          <w:color w:val="auto"/>
          <w:szCs w:val="21"/>
          <w:highlight w:val="none"/>
          <w:u w:val="single"/>
        </w:rPr>
      </w:pPr>
      <w:r>
        <w:rPr>
          <w:color w:val="auto"/>
          <w:szCs w:val="21"/>
          <w:highlight w:val="none"/>
        </w:rPr>
        <w:t>开户银行：</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14:paraId="4B6014F5">
      <w:pPr>
        <w:spacing w:line="276" w:lineRule="auto"/>
        <w:ind w:firstLine="420" w:firstLineChars="200"/>
        <w:rPr>
          <w:color w:val="auto"/>
          <w:szCs w:val="21"/>
          <w:highlight w:val="none"/>
          <w:u w:val="single"/>
        </w:rPr>
      </w:pPr>
      <w:r>
        <w:rPr>
          <w:color w:val="auto"/>
          <w:szCs w:val="21"/>
          <w:highlight w:val="none"/>
        </w:rPr>
        <w:t>银行账号：</w:t>
      </w:r>
      <w:r>
        <w:rPr>
          <w:rFonts w:hint="eastAsia"/>
          <w:color w:val="auto"/>
          <w:szCs w:val="21"/>
          <w:highlight w:val="none"/>
          <w:u w:val="single"/>
        </w:rPr>
        <w:t xml:space="preserve"> </w:t>
      </w:r>
      <w:r>
        <w:rPr>
          <w:color w:val="auto"/>
          <w:szCs w:val="21"/>
          <w:highlight w:val="none"/>
          <w:u w:val="single"/>
        </w:rPr>
        <w:t xml:space="preserve">                  </w:t>
      </w:r>
    </w:p>
    <w:p w14:paraId="0983900E">
      <w:pPr>
        <w:snapToGrid w:val="0"/>
        <w:spacing w:line="360" w:lineRule="exact"/>
        <w:ind w:firstLine="420" w:firstLineChars="200"/>
        <w:rPr>
          <w:color w:val="auto"/>
          <w:szCs w:val="21"/>
          <w:highlight w:val="none"/>
        </w:rPr>
      </w:pPr>
      <w:r>
        <w:rPr>
          <w:rFonts w:hint="eastAsia"/>
          <w:color w:val="auto"/>
          <w:szCs w:val="21"/>
          <w:highlight w:val="none"/>
        </w:rPr>
        <w:t>履约保证金退还方式及时间、条件、不予退还的情形：履约保证金自合同生效之日起生效至合同材料验收证书或进度款支付函签署之日起2</w:t>
      </w:r>
      <w:r>
        <w:rPr>
          <w:color w:val="auto"/>
          <w:szCs w:val="21"/>
          <w:highlight w:val="none"/>
        </w:rPr>
        <w:t>8</w:t>
      </w:r>
      <w:r>
        <w:rPr>
          <w:rFonts w:hint="eastAsia"/>
          <w:color w:val="auto"/>
          <w:szCs w:val="21"/>
          <w:highlight w:val="none"/>
        </w:rPr>
        <w:t>天后失效，</w:t>
      </w:r>
      <w:r>
        <w:rPr>
          <w:color w:val="auto"/>
          <w:szCs w:val="21"/>
          <w:highlight w:val="none"/>
        </w:rPr>
        <w:t>项目验收合格后，中标人可向采购人申请办理履约保证金的退付手续；</w:t>
      </w:r>
      <w:bookmarkStart w:id="81" w:name="_Hlk155171868"/>
      <w:r>
        <w:rPr>
          <w:rFonts w:hint="eastAsia"/>
          <w:color w:val="auto"/>
          <w:szCs w:val="21"/>
          <w:highlight w:val="none"/>
        </w:rPr>
        <w:t>采购人应当按照合同约定的退还方式，在5个工作日内办理履约保证金退还手续。</w:t>
      </w:r>
      <w:bookmarkEnd w:id="81"/>
      <w:r>
        <w:rPr>
          <w:color w:val="auto"/>
          <w:highlight w:val="none"/>
        </w:rPr>
        <w:t>如果</w:t>
      </w:r>
      <w:r>
        <w:rPr>
          <w:rFonts w:hint="eastAsia"/>
          <w:color w:val="auto"/>
          <w:highlight w:val="none"/>
        </w:rPr>
        <w:t>中标人</w:t>
      </w:r>
      <w:r>
        <w:rPr>
          <w:color w:val="auto"/>
          <w:highlight w:val="none"/>
        </w:rPr>
        <w:t>不履行合同约定的义务或其履行不符合合同的 约定，</w:t>
      </w:r>
      <w:r>
        <w:rPr>
          <w:rFonts w:hint="eastAsia"/>
          <w:color w:val="auto"/>
          <w:highlight w:val="none"/>
        </w:rPr>
        <w:t>采购人</w:t>
      </w:r>
      <w:r>
        <w:rPr>
          <w:color w:val="auto"/>
          <w:highlight w:val="none"/>
        </w:rPr>
        <w:t>有权扣划</w:t>
      </w:r>
      <w:r>
        <w:rPr>
          <w:rFonts w:hint="eastAsia"/>
          <w:color w:val="auto"/>
          <w:highlight w:val="none"/>
        </w:rPr>
        <w:t>全部或</w:t>
      </w:r>
      <w:r>
        <w:rPr>
          <w:color w:val="auto"/>
          <w:highlight w:val="none"/>
        </w:rPr>
        <w:t>相应金额的履约保证金。</w:t>
      </w:r>
      <w:r>
        <w:rPr>
          <w:color w:val="auto"/>
          <w:szCs w:val="21"/>
          <w:highlight w:val="none"/>
        </w:rPr>
        <w:t xml:space="preserve"> </w:t>
      </w:r>
    </w:p>
    <w:p w14:paraId="69FF7F1E">
      <w:pPr>
        <w:snapToGrid w:val="0"/>
        <w:spacing w:line="300" w:lineRule="exact"/>
        <w:ind w:firstLine="420" w:firstLineChars="200"/>
        <w:rPr>
          <w:color w:val="auto"/>
          <w:szCs w:val="21"/>
          <w:highlight w:val="none"/>
        </w:rPr>
      </w:pPr>
      <w:r>
        <w:rPr>
          <w:rFonts w:hint="eastAsia"/>
          <w:color w:val="auto"/>
          <w:szCs w:val="21"/>
          <w:highlight w:val="none"/>
        </w:rPr>
        <w:t>履约保证金符合退还条件的，采购人在收到中标人提交的履约保证金退付申请之日起</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天内退还履约保证金，如未在规定时间内退还的，中标人可予以催告，采购人应按中国人民银行发布的同期同类贷款基准利率向中标人支付自催告日期起的利息。</w:t>
      </w:r>
    </w:p>
    <w:p w14:paraId="38F480FF">
      <w:pPr>
        <w:snapToGrid w:val="0"/>
        <w:spacing w:line="360" w:lineRule="exact"/>
        <w:ind w:firstLine="422" w:firstLineChars="200"/>
        <w:rPr>
          <w:b/>
          <w:color w:val="auto"/>
          <w:szCs w:val="21"/>
          <w:highlight w:val="none"/>
        </w:rPr>
      </w:pPr>
      <w:r>
        <w:rPr>
          <w:b/>
          <w:color w:val="auto"/>
          <w:szCs w:val="21"/>
          <w:highlight w:val="none"/>
        </w:rPr>
        <w:t>第十一条 税费</w:t>
      </w:r>
    </w:p>
    <w:p w14:paraId="4A78A829">
      <w:pPr>
        <w:snapToGrid w:val="0"/>
        <w:spacing w:line="360" w:lineRule="exact"/>
        <w:ind w:firstLine="420" w:firstLineChars="200"/>
        <w:rPr>
          <w:color w:val="auto"/>
          <w:szCs w:val="21"/>
          <w:highlight w:val="none"/>
        </w:rPr>
      </w:pPr>
      <w:r>
        <w:rPr>
          <w:color w:val="auto"/>
          <w:szCs w:val="21"/>
          <w:highlight w:val="none"/>
        </w:rPr>
        <w:t>本合同执行中相关的一切税费均由乙方</w:t>
      </w:r>
      <w:r>
        <w:rPr>
          <w:rFonts w:hint="eastAsia"/>
          <w:color w:val="auto"/>
          <w:szCs w:val="21"/>
          <w:highlight w:val="none"/>
        </w:rPr>
        <w:t>承</w:t>
      </w:r>
      <w:r>
        <w:rPr>
          <w:color w:val="auto"/>
          <w:szCs w:val="21"/>
          <w:highlight w:val="none"/>
        </w:rPr>
        <w:t>担。</w:t>
      </w:r>
    </w:p>
    <w:p w14:paraId="516E72CE">
      <w:pPr>
        <w:snapToGrid w:val="0"/>
        <w:spacing w:line="360" w:lineRule="exact"/>
        <w:ind w:firstLine="422" w:firstLineChars="200"/>
        <w:rPr>
          <w:b/>
          <w:color w:val="auto"/>
          <w:szCs w:val="21"/>
          <w:highlight w:val="none"/>
        </w:rPr>
      </w:pPr>
      <w:r>
        <w:rPr>
          <w:b/>
          <w:color w:val="auto"/>
          <w:szCs w:val="21"/>
          <w:highlight w:val="none"/>
        </w:rPr>
        <w:t>第十</w:t>
      </w:r>
      <w:r>
        <w:rPr>
          <w:rFonts w:hint="eastAsia"/>
          <w:b/>
          <w:color w:val="auto"/>
          <w:szCs w:val="21"/>
          <w:highlight w:val="none"/>
        </w:rPr>
        <w:t>二</w:t>
      </w:r>
      <w:r>
        <w:rPr>
          <w:b/>
          <w:color w:val="auto"/>
          <w:szCs w:val="21"/>
          <w:highlight w:val="none"/>
        </w:rPr>
        <w:t>条　违约责任</w:t>
      </w:r>
    </w:p>
    <w:p w14:paraId="4AA20CC5">
      <w:pPr>
        <w:snapToGrid w:val="0"/>
        <w:spacing w:line="300" w:lineRule="exact"/>
        <w:ind w:firstLine="420" w:firstLineChars="200"/>
        <w:rPr>
          <w:color w:val="auto"/>
          <w:szCs w:val="21"/>
          <w:highlight w:val="none"/>
        </w:rPr>
      </w:pPr>
      <w:r>
        <w:rPr>
          <w:color w:val="auto"/>
          <w:szCs w:val="21"/>
          <w:highlight w:val="none"/>
        </w:rPr>
        <w:t>1.</w:t>
      </w:r>
      <w:r>
        <w:rPr>
          <w:rFonts w:eastAsia="微软雅黑"/>
          <w:color w:val="auto"/>
          <w:szCs w:val="21"/>
          <w:highlight w:val="none"/>
        </w:rPr>
        <w:t xml:space="preserve"> </w:t>
      </w:r>
      <w:r>
        <w:rPr>
          <w:color w:val="auto"/>
          <w:szCs w:val="21"/>
          <w:highlight w:val="none"/>
        </w:rPr>
        <w:t>若因乙方原因而未能履行合同或最终验收不合格的，甲方</w:t>
      </w:r>
      <w:r>
        <w:rPr>
          <w:rFonts w:hint="eastAsia"/>
          <w:color w:val="auto"/>
          <w:szCs w:val="21"/>
          <w:highlight w:val="none"/>
        </w:rPr>
        <w:t>有权</w:t>
      </w:r>
      <w:r>
        <w:rPr>
          <w:color w:val="auto"/>
          <w:szCs w:val="21"/>
          <w:highlight w:val="none"/>
        </w:rPr>
        <w:t>解除合同，由此产生的费用由乙方承担</w:t>
      </w:r>
      <w:r>
        <w:rPr>
          <w:rFonts w:hint="eastAsia"/>
          <w:color w:val="auto"/>
          <w:szCs w:val="21"/>
          <w:highlight w:val="none"/>
        </w:rPr>
        <w:t>，给甲方造成其他损失的，乙方应进行赔偿，并承担甲方追究的其他违约责任。</w:t>
      </w:r>
    </w:p>
    <w:p w14:paraId="0F2E3C3A">
      <w:pPr>
        <w:snapToGrid w:val="0"/>
        <w:spacing w:line="300" w:lineRule="exact"/>
        <w:ind w:firstLine="420" w:firstLineChars="200"/>
        <w:rPr>
          <w:color w:val="auto"/>
          <w:szCs w:val="21"/>
          <w:highlight w:val="none"/>
        </w:rPr>
      </w:pPr>
      <w:r>
        <w:rPr>
          <w:rFonts w:hint="eastAsia"/>
          <w:color w:val="auto"/>
          <w:szCs w:val="21"/>
          <w:highlight w:val="none"/>
        </w:rPr>
        <w:t>2</w:t>
      </w:r>
      <w:r>
        <w:rPr>
          <w:color w:val="auto"/>
          <w:szCs w:val="21"/>
          <w:highlight w:val="none"/>
        </w:rPr>
        <w:t>.乙方逾期交</w:t>
      </w:r>
      <w:r>
        <w:rPr>
          <w:rFonts w:hint="eastAsia"/>
          <w:color w:val="auto"/>
          <w:szCs w:val="21"/>
          <w:highlight w:val="none"/>
        </w:rPr>
        <w:t>付产品</w:t>
      </w:r>
      <w:r>
        <w:rPr>
          <w:color w:val="auto"/>
          <w:szCs w:val="21"/>
          <w:highlight w:val="none"/>
        </w:rPr>
        <w:t>或服务成果的，</w:t>
      </w:r>
      <w:r>
        <w:rPr>
          <w:rFonts w:hint="eastAsia"/>
          <w:color w:val="auto"/>
          <w:szCs w:val="21"/>
          <w:highlight w:val="none"/>
        </w:rPr>
        <w:t>应</w:t>
      </w:r>
      <w:r>
        <w:rPr>
          <w:color w:val="auto"/>
          <w:szCs w:val="21"/>
          <w:highlight w:val="none"/>
        </w:rPr>
        <w:t>向</w:t>
      </w:r>
      <w:r>
        <w:rPr>
          <w:rFonts w:hint="eastAsia"/>
          <w:color w:val="auto"/>
          <w:szCs w:val="21"/>
          <w:highlight w:val="none"/>
        </w:rPr>
        <w:t>甲</w:t>
      </w:r>
      <w:r>
        <w:rPr>
          <w:color w:val="auto"/>
          <w:szCs w:val="21"/>
          <w:highlight w:val="none"/>
        </w:rPr>
        <w:t>方</w:t>
      </w:r>
      <w:r>
        <w:rPr>
          <w:rFonts w:hint="eastAsia"/>
          <w:color w:val="auto"/>
          <w:szCs w:val="21"/>
          <w:highlight w:val="none"/>
        </w:rPr>
        <w:t>支付</w:t>
      </w:r>
      <w:r>
        <w:rPr>
          <w:color w:val="auto"/>
          <w:szCs w:val="21"/>
          <w:highlight w:val="none"/>
        </w:rPr>
        <w:t>违约</w:t>
      </w:r>
      <w:r>
        <w:rPr>
          <w:rFonts w:hint="eastAsia"/>
          <w:color w:val="auto"/>
          <w:szCs w:val="21"/>
          <w:highlight w:val="none"/>
        </w:rPr>
        <w:t>金，标准为合同总价</w:t>
      </w:r>
      <w:r>
        <w:rPr>
          <w:color w:val="auto"/>
          <w:szCs w:val="21"/>
          <w:highlight w:val="none"/>
          <w:u w:val="single"/>
        </w:rPr>
        <w:t>3‰</w:t>
      </w:r>
      <w:r>
        <w:rPr>
          <w:color w:val="auto"/>
          <w:szCs w:val="21"/>
          <w:highlight w:val="none"/>
        </w:rPr>
        <w:t>/</w:t>
      </w:r>
      <w:r>
        <w:rPr>
          <w:rFonts w:hint="eastAsia"/>
          <w:color w:val="auto"/>
          <w:szCs w:val="21"/>
          <w:highlight w:val="none"/>
        </w:rPr>
        <w:t>日</w:t>
      </w:r>
      <w:r>
        <w:rPr>
          <w:color w:val="auto"/>
          <w:szCs w:val="21"/>
          <w:highlight w:val="none"/>
        </w:rPr>
        <w:t>，但违约金累计不得超过</w:t>
      </w:r>
      <w:r>
        <w:rPr>
          <w:rFonts w:hint="eastAsia"/>
          <w:color w:val="auto"/>
          <w:highlight w:val="none"/>
        </w:rPr>
        <w:t>合同总金额</w:t>
      </w:r>
      <w:r>
        <w:rPr>
          <w:color w:val="auto"/>
          <w:szCs w:val="21"/>
          <w:highlight w:val="none"/>
          <w:u w:val="single"/>
        </w:rPr>
        <w:t>5%，</w:t>
      </w:r>
      <w:r>
        <w:rPr>
          <w:color w:val="auto"/>
          <w:szCs w:val="21"/>
          <w:highlight w:val="none"/>
        </w:rPr>
        <w:t>甲方延</w:t>
      </w:r>
      <w:r>
        <w:rPr>
          <w:rFonts w:hint="eastAsia"/>
          <w:color w:val="auto"/>
          <w:szCs w:val="21"/>
          <w:highlight w:val="none"/>
          <w:lang w:eastAsia="zh-CN"/>
        </w:rPr>
        <w:t>期支</w:t>
      </w:r>
      <w:r>
        <w:rPr>
          <w:color w:val="auto"/>
          <w:szCs w:val="21"/>
          <w:highlight w:val="none"/>
        </w:rPr>
        <w:t>付</w:t>
      </w:r>
      <w:r>
        <w:rPr>
          <w:rFonts w:hint="eastAsia"/>
          <w:color w:val="auto"/>
          <w:szCs w:val="21"/>
          <w:highlight w:val="none"/>
        </w:rPr>
        <w:t>产品或服务费用</w:t>
      </w:r>
      <w:r>
        <w:rPr>
          <w:color w:val="auto"/>
          <w:szCs w:val="21"/>
          <w:highlight w:val="none"/>
        </w:rPr>
        <w:t>的，</w:t>
      </w:r>
      <w:r>
        <w:rPr>
          <w:rFonts w:hint="eastAsia"/>
          <w:color w:val="auto"/>
          <w:szCs w:val="21"/>
          <w:highlight w:val="none"/>
        </w:rPr>
        <w:t>应</w:t>
      </w:r>
      <w:r>
        <w:rPr>
          <w:color w:val="auto"/>
          <w:szCs w:val="21"/>
          <w:highlight w:val="none"/>
        </w:rPr>
        <w:t>向乙方</w:t>
      </w:r>
      <w:r>
        <w:rPr>
          <w:rFonts w:hint="eastAsia"/>
          <w:color w:val="auto"/>
          <w:szCs w:val="21"/>
          <w:highlight w:val="none"/>
        </w:rPr>
        <w:t>支</w:t>
      </w:r>
      <w:r>
        <w:rPr>
          <w:color w:val="auto"/>
          <w:szCs w:val="21"/>
          <w:highlight w:val="none"/>
        </w:rPr>
        <w:t>付延期滞纳金</w:t>
      </w:r>
      <w:r>
        <w:rPr>
          <w:rFonts w:hint="eastAsia"/>
          <w:color w:val="auto"/>
          <w:szCs w:val="21"/>
          <w:highlight w:val="none"/>
        </w:rPr>
        <w:t>，标准为合同总价</w:t>
      </w:r>
      <w:r>
        <w:rPr>
          <w:color w:val="auto"/>
          <w:szCs w:val="21"/>
          <w:highlight w:val="none"/>
        </w:rPr>
        <w:t>额</w:t>
      </w:r>
      <w:r>
        <w:rPr>
          <w:color w:val="auto"/>
          <w:szCs w:val="21"/>
          <w:highlight w:val="none"/>
          <w:u w:val="single"/>
        </w:rPr>
        <w:t>3‰/</w:t>
      </w:r>
      <w:r>
        <w:rPr>
          <w:rFonts w:hint="eastAsia"/>
          <w:color w:val="auto"/>
          <w:szCs w:val="21"/>
          <w:highlight w:val="none"/>
          <w:u w:val="single"/>
        </w:rPr>
        <w:t>日</w:t>
      </w:r>
      <w:r>
        <w:rPr>
          <w:color w:val="auto"/>
          <w:szCs w:val="21"/>
          <w:highlight w:val="none"/>
        </w:rPr>
        <w:t>，但滞纳金累计不得超过</w:t>
      </w:r>
      <w:r>
        <w:rPr>
          <w:rFonts w:hint="eastAsia"/>
          <w:color w:val="auto"/>
          <w:highlight w:val="none"/>
        </w:rPr>
        <w:t>合同总金额</w:t>
      </w:r>
      <w:r>
        <w:rPr>
          <w:color w:val="auto"/>
          <w:szCs w:val="21"/>
          <w:highlight w:val="none"/>
          <w:u w:val="single"/>
        </w:rPr>
        <w:t>5%</w:t>
      </w:r>
      <w:r>
        <w:rPr>
          <w:color w:val="auto"/>
          <w:szCs w:val="21"/>
          <w:highlight w:val="none"/>
        </w:rPr>
        <w:t>。</w:t>
      </w:r>
    </w:p>
    <w:p w14:paraId="3B7CAE54">
      <w:pPr>
        <w:snapToGrid w:val="0"/>
        <w:spacing w:line="360" w:lineRule="exact"/>
        <w:ind w:firstLine="420" w:firstLineChars="200"/>
        <w:rPr>
          <w:color w:val="auto"/>
          <w:szCs w:val="21"/>
          <w:highlight w:val="none"/>
        </w:rPr>
      </w:pPr>
      <w:r>
        <w:rPr>
          <w:rFonts w:hint="eastAsia"/>
          <w:color w:val="auto"/>
          <w:szCs w:val="21"/>
          <w:highlight w:val="none"/>
        </w:rPr>
        <w:t>3</w:t>
      </w:r>
      <w:r>
        <w:rPr>
          <w:color w:val="auto"/>
          <w:szCs w:val="21"/>
          <w:highlight w:val="none"/>
        </w:rPr>
        <w:t>. 乙方未得到甲方同意，擅自更换项目负责人及服务团队成员时，甲方有权书面通知乙方解除合同，且无需支付合同解除后的合同后续费用。同时，乙方必须退还甲方已付出的所有服务费用，并赔偿由此给甲方造成的全部损失。</w:t>
      </w:r>
    </w:p>
    <w:p w14:paraId="6E887FC1">
      <w:pPr>
        <w:snapToGrid w:val="0"/>
        <w:spacing w:line="360" w:lineRule="exact"/>
        <w:ind w:firstLine="420" w:firstLineChars="200"/>
        <w:rPr>
          <w:color w:val="auto"/>
          <w:szCs w:val="21"/>
          <w:highlight w:val="none"/>
        </w:rPr>
      </w:pPr>
      <w:r>
        <w:rPr>
          <w:rFonts w:hint="eastAsia"/>
          <w:color w:val="auto"/>
          <w:szCs w:val="21"/>
          <w:highlight w:val="none"/>
        </w:rPr>
        <w:t>4</w:t>
      </w:r>
      <w:r>
        <w:rPr>
          <w:color w:val="auto"/>
          <w:szCs w:val="21"/>
          <w:highlight w:val="none"/>
        </w:rPr>
        <w:t>.乙方或乙方人员违反保密义务时，甲方有权书面通知乙方解除合同，且无需支付合同解除后的合同后续费用。同时，乙方必须退还甲方已付出的所有咨询费用，并赔偿由此给甲方造成的全部损失。</w:t>
      </w:r>
    </w:p>
    <w:p w14:paraId="3E0D0938">
      <w:pPr>
        <w:snapToGrid w:val="0"/>
        <w:spacing w:line="360" w:lineRule="exact"/>
        <w:ind w:firstLine="420" w:firstLineChars="200"/>
        <w:rPr>
          <w:color w:val="auto"/>
          <w:szCs w:val="21"/>
          <w:highlight w:val="none"/>
        </w:rPr>
      </w:pPr>
      <w:r>
        <w:rPr>
          <w:rFonts w:hint="eastAsia"/>
          <w:color w:val="auto"/>
          <w:szCs w:val="21"/>
          <w:highlight w:val="none"/>
        </w:rPr>
        <w:t>5</w:t>
      </w:r>
      <w:r>
        <w:rPr>
          <w:color w:val="auto"/>
          <w:szCs w:val="21"/>
          <w:highlight w:val="none"/>
        </w:rPr>
        <w:t>.乙方未按本合同和响应文件中规定的服务承诺提供售后服务的，乙方应按本合同</w:t>
      </w:r>
      <w:r>
        <w:rPr>
          <w:rStyle w:val="58"/>
          <w:rFonts w:hint="eastAsia"/>
          <w:color w:val="auto"/>
          <w:highlight w:val="none"/>
        </w:rPr>
        <w:t>总</w:t>
      </w:r>
      <w:r>
        <w:rPr>
          <w:color w:val="auto"/>
          <w:szCs w:val="21"/>
          <w:highlight w:val="none"/>
        </w:rPr>
        <w:t>金额</w:t>
      </w:r>
      <w:r>
        <w:rPr>
          <w:color w:val="auto"/>
          <w:szCs w:val="21"/>
          <w:highlight w:val="none"/>
          <w:u w:val="single"/>
        </w:rPr>
        <w:t xml:space="preserve"> 5%</w:t>
      </w:r>
      <w:r>
        <w:rPr>
          <w:color w:val="auto"/>
          <w:szCs w:val="21"/>
          <w:highlight w:val="none"/>
        </w:rPr>
        <w:t>向甲方支付违约金。</w:t>
      </w:r>
    </w:p>
    <w:p w14:paraId="1E0C493D">
      <w:pPr>
        <w:snapToGrid w:val="0"/>
        <w:spacing w:line="360" w:lineRule="exact"/>
        <w:ind w:firstLine="420" w:firstLineChars="200"/>
        <w:rPr>
          <w:color w:val="auto"/>
          <w:szCs w:val="21"/>
          <w:highlight w:val="none"/>
        </w:rPr>
      </w:pPr>
      <w:r>
        <w:rPr>
          <w:rFonts w:hint="eastAsia"/>
          <w:color w:val="auto"/>
          <w:szCs w:val="21"/>
          <w:highlight w:val="none"/>
        </w:rPr>
        <w:t>6</w:t>
      </w:r>
      <w:r>
        <w:rPr>
          <w:color w:val="auto"/>
          <w:szCs w:val="21"/>
          <w:highlight w:val="none"/>
        </w:rPr>
        <w:t>.乙方提供的</w:t>
      </w:r>
      <w:r>
        <w:rPr>
          <w:rFonts w:hint="eastAsia"/>
          <w:color w:val="auto"/>
          <w:szCs w:val="21"/>
          <w:highlight w:val="none"/>
        </w:rPr>
        <w:t>产品</w:t>
      </w:r>
      <w:r>
        <w:rPr>
          <w:color w:val="auto"/>
          <w:szCs w:val="21"/>
          <w:highlight w:val="none"/>
        </w:rPr>
        <w:t>或服务成果在质量保证期内，因设计、工艺或材料的缺陷和</w:t>
      </w:r>
      <w:r>
        <w:rPr>
          <w:rFonts w:hint="eastAsia"/>
          <w:color w:val="auto"/>
          <w:szCs w:val="21"/>
          <w:highlight w:val="none"/>
          <w:lang w:eastAsia="zh-CN"/>
        </w:rPr>
        <w:t>其他</w:t>
      </w:r>
      <w:r>
        <w:rPr>
          <w:color w:val="auto"/>
          <w:szCs w:val="21"/>
          <w:highlight w:val="none"/>
        </w:rPr>
        <w:t>质量原因造成的问题，由乙方负责，费用从质量保证金中扣除，质量保证金不足以支付的，由乙方另行支付。</w:t>
      </w:r>
    </w:p>
    <w:p w14:paraId="2B6A1B60">
      <w:pPr>
        <w:snapToGrid w:val="0"/>
        <w:spacing w:line="360" w:lineRule="exact"/>
        <w:ind w:firstLine="420" w:firstLineChars="200"/>
        <w:jc w:val="left"/>
        <w:rPr>
          <w:color w:val="auto"/>
          <w:szCs w:val="21"/>
          <w:highlight w:val="none"/>
        </w:rPr>
      </w:pPr>
      <w:r>
        <w:rPr>
          <w:rFonts w:hint="eastAsia"/>
          <w:color w:val="auto"/>
          <w:szCs w:val="21"/>
          <w:highlight w:val="none"/>
        </w:rPr>
        <w:t>7</w:t>
      </w:r>
      <w:r>
        <w:rPr>
          <w:color w:val="auto"/>
          <w:szCs w:val="21"/>
          <w:highlight w:val="none"/>
        </w:rPr>
        <w:t>.乙方提供的</w:t>
      </w:r>
      <w:r>
        <w:rPr>
          <w:rFonts w:hint="eastAsia"/>
          <w:color w:val="auto"/>
          <w:szCs w:val="21"/>
          <w:highlight w:val="none"/>
        </w:rPr>
        <w:t>产品</w:t>
      </w:r>
      <w:r>
        <w:rPr>
          <w:color w:val="auto"/>
          <w:szCs w:val="21"/>
          <w:highlight w:val="none"/>
        </w:rPr>
        <w:t>或服务如侵犯了第三方合法权益而引发的任何纠纷或诉讼，均由乙方负责交涉并承担全部责任。</w:t>
      </w:r>
    </w:p>
    <w:p w14:paraId="4EA72E21">
      <w:pPr>
        <w:snapToGrid w:val="0"/>
        <w:spacing w:line="360" w:lineRule="exact"/>
        <w:ind w:firstLine="420" w:firstLineChars="200"/>
        <w:rPr>
          <w:color w:val="auto"/>
          <w:szCs w:val="21"/>
          <w:highlight w:val="none"/>
        </w:rPr>
      </w:pPr>
      <w:r>
        <w:rPr>
          <w:rFonts w:hint="eastAsia"/>
          <w:color w:val="auto"/>
          <w:szCs w:val="21"/>
          <w:highlight w:val="none"/>
        </w:rPr>
        <w:t>8</w:t>
      </w:r>
      <w:r>
        <w:rPr>
          <w:color w:val="auto"/>
          <w:szCs w:val="21"/>
          <w:highlight w:val="none"/>
        </w:rPr>
        <w:t>.</w:t>
      </w:r>
      <w:r>
        <w:rPr>
          <w:rFonts w:hint="eastAsia"/>
          <w:color w:val="auto"/>
          <w:szCs w:val="21"/>
          <w:highlight w:val="none"/>
          <w:lang w:eastAsia="zh-CN"/>
        </w:rPr>
        <w:t>其他</w:t>
      </w:r>
      <w:r>
        <w:rPr>
          <w:color w:val="auto"/>
          <w:szCs w:val="21"/>
          <w:highlight w:val="none"/>
        </w:rPr>
        <w:t>违约行为按违约</w:t>
      </w:r>
      <w:r>
        <w:rPr>
          <w:rFonts w:hint="eastAsia"/>
          <w:color w:val="auto"/>
          <w:szCs w:val="21"/>
          <w:highlight w:val="none"/>
        </w:rPr>
        <w:t>部分产品</w:t>
      </w:r>
      <w:r>
        <w:rPr>
          <w:color w:val="auto"/>
          <w:szCs w:val="21"/>
          <w:highlight w:val="none"/>
        </w:rPr>
        <w:t>或服务费用金额5%收取违约金并赔偿经济损失。</w:t>
      </w:r>
    </w:p>
    <w:p w14:paraId="477998F6">
      <w:pPr>
        <w:snapToGrid w:val="0"/>
        <w:spacing w:line="300" w:lineRule="exact"/>
        <w:ind w:firstLine="420" w:firstLineChars="200"/>
        <w:rPr>
          <w:rFonts w:hint="eastAsia"/>
          <w:color w:val="auto"/>
          <w:szCs w:val="21"/>
          <w:highlight w:val="none"/>
        </w:rPr>
      </w:pPr>
      <w:r>
        <w:rPr>
          <w:rFonts w:hint="eastAsia"/>
          <w:color w:val="auto"/>
          <w:szCs w:val="21"/>
          <w:highlight w:val="none"/>
        </w:rPr>
        <w:t>9</w:t>
      </w:r>
      <w:r>
        <w:rPr>
          <w:color w:val="auto"/>
          <w:szCs w:val="21"/>
          <w:highlight w:val="none"/>
        </w:rPr>
        <w:t>.</w:t>
      </w:r>
      <w:r>
        <w:rPr>
          <w:rFonts w:hint="eastAsia"/>
          <w:color w:val="auto"/>
          <w:szCs w:val="21"/>
          <w:highlight w:val="none"/>
        </w:rPr>
        <w:t>因甲方原因导致变更、中止或者终止政府采购合同的，应当依照合同约定对乙方受到的损失予以赔偿或者补偿。</w:t>
      </w:r>
      <w:r>
        <w:rPr>
          <w:color w:val="auto"/>
          <w:szCs w:val="21"/>
          <w:highlight w:val="none"/>
        </w:rPr>
        <w:t>赔偿（补偿）标准：</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按实际损失赔偿</w:t>
      </w:r>
      <w:r>
        <w:rPr>
          <w:color w:val="auto"/>
          <w:szCs w:val="21"/>
          <w:highlight w:val="none"/>
          <w:u w:val="single"/>
        </w:rPr>
        <w:t xml:space="preserve">  </w:t>
      </w:r>
      <w:r>
        <w:rPr>
          <w:rFonts w:hint="eastAsia"/>
          <w:color w:val="auto"/>
          <w:szCs w:val="21"/>
          <w:highlight w:val="none"/>
        </w:rPr>
        <w:t>。</w:t>
      </w:r>
    </w:p>
    <w:p w14:paraId="415196B0">
      <w:pPr>
        <w:pStyle w:val="26"/>
        <w:snapToGrid w:val="0"/>
        <w:spacing w:before="120" w:after="120" w:line="360" w:lineRule="exact"/>
        <w:ind w:firstLine="413" w:firstLineChars="196"/>
        <w:rPr>
          <w:rFonts w:ascii="Times New Roman" w:hAnsi="Times New Roman" w:cs="Times New Roman"/>
          <w:b/>
          <w:color w:val="auto"/>
          <w:highlight w:val="none"/>
        </w:rPr>
      </w:pPr>
      <w:r>
        <w:rPr>
          <w:rFonts w:ascii="Times New Roman" w:hAnsi="Times New Roman" w:cs="Times New Roman"/>
          <w:b/>
          <w:color w:val="auto"/>
          <w:highlight w:val="none"/>
        </w:rPr>
        <w:t>第十</w:t>
      </w:r>
      <w:r>
        <w:rPr>
          <w:rFonts w:hint="eastAsia" w:ascii="Times New Roman" w:hAnsi="Times New Roman" w:cs="Times New Roman"/>
          <w:b/>
          <w:color w:val="auto"/>
          <w:highlight w:val="none"/>
        </w:rPr>
        <w:t>三</w:t>
      </w:r>
      <w:r>
        <w:rPr>
          <w:rFonts w:ascii="Times New Roman" w:hAnsi="Times New Roman" w:cs="Times New Roman"/>
          <w:b/>
          <w:color w:val="auto"/>
          <w:highlight w:val="none"/>
        </w:rPr>
        <w:t>条 不可抗力事件处理</w:t>
      </w:r>
    </w:p>
    <w:p w14:paraId="24802105">
      <w:pPr>
        <w:snapToGrid w:val="0"/>
        <w:spacing w:line="360" w:lineRule="exact"/>
        <w:ind w:firstLine="420" w:firstLineChars="200"/>
        <w:rPr>
          <w:color w:val="auto"/>
          <w:szCs w:val="21"/>
          <w:highlight w:val="none"/>
        </w:rPr>
      </w:pPr>
      <w:r>
        <w:rPr>
          <w:color w:val="auto"/>
          <w:szCs w:val="21"/>
          <w:highlight w:val="none"/>
        </w:rPr>
        <w:t>1.在合同有效期内，任何一方因不可抗力事件导致不能履行合同，则合同履行期可延长，其延长期与不可抗力影响期相同。</w:t>
      </w:r>
    </w:p>
    <w:p w14:paraId="7DB8C506">
      <w:pPr>
        <w:snapToGrid w:val="0"/>
        <w:spacing w:line="360" w:lineRule="exact"/>
        <w:ind w:firstLine="420" w:firstLineChars="200"/>
        <w:rPr>
          <w:color w:val="auto"/>
          <w:szCs w:val="21"/>
          <w:highlight w:val="none"/>
        </w:rPr>
      </w:pPr>
      <w:r>
        <w:rPr>
          <w:color w:val="auto"/>
          <w:szCs w:val="21"/>
          <w:highlight w:val="none"/>
        </w:rPr>
        <w:t>2.不可抗力事件发生后，应立即通知对方，并寄送有关权威机构出具的证明。</w:t>
      </w:r>
    </w:p>
    <w:p w14:paraId="7A37057B">
      <w:pPr>
        <w:snapToGrid w:val="0"/>
        <w:spacing w:line="360" w:lineRule="exact"/>
        <w:ind w:firstLine="420" w:firstLineChars="200"/>
        <w:rPr>
          <w:color w:val="auto"/>
          <w:szCs w:val="21"/>
          <w:highlight w:val="none"/>
        </w:rPr>
      </w:pPr>
      <w:r>
        <w:rPr>
          <w:color w:val="auto"/>
          <w:szCs w:val="21"/>
          <w:highlight w:val="none"/>
        </w:rPr>
        <w:t>3.不可抗力事件延续一百二十天以上，双方应通过友好协商，确定是否继续履行合同。</w:t>
      </w:r>
    </w:p>
    <w:p w14:paraId="2CF0BD53">
      <w:pPr>
        <w:snapToGrid w:val="0"/>
        <w:spacing w:line="360" w:lineRule="exact"/>
        <w:ind w:firstLine="422" w:firstLineChars="200"/>
        <w:rPr>
          <w:color w:val="auto"/>
          <w:szCs w:val="21"/>
          <w:highlight w:val="none"/>
        </w:rPr>
      </w:pPr>
      <w:r>
        <w:rPr>
          <w:b/>
          <w:color w:val="auto"/>
          <w:szCs w:val="21"/>
          <w:highlight w:val="none"/>
        </w:rPr>
        <w:t>第十</w:t>
      </w:r>
      <w:r>
        <w:rPr>
          <w:rFonts w:hint="eastAsia"/>
          <w:b/>
          <w:color w:val="auto"/>
          <w:szCs w:val="21"/>
          <w:highlight w:val="none"/>
        </w:rPr>
        <w:t>四</w:t>
      </w:r>
      <w:r>
        <w:rPr>
          <w:b/>
          <w:color w:val="auto"/>
          <w:szCs w:val="21"/>
          <w:highlight w:val="none"/>
        </w:rPr>
        <w:t>条  合同争议解决</w:t>
      </w:r>
    </w:p>
    <w:p w14:paraId="325CAE96">
      <w:pPr>
        <w:snapToGrid w:val="0"/>
        <w:spacing w:line="360" w:lineRule="exact"/>
        <w:ind w:firstLine="420" w:firstLineChars="200"/>
        <w:rPr>
          <w:color w:val="auto"/>
          <w:szCs w:val="21"/>
          <w:highlight w:val="none"/>
        </w:rPr>
      </w:pPr>
      <w:r>
        <w:rPr>
          <w:color w:val="auto"/>
          <w:szCs w:val="21"/>
          <w:highlight w:val="none"/>
        </w:rPr>
        <w:t>1</w:t>
      </w:r>
      <w:r>
        <w:rPr>
          <w:rFonts w:hint="eastAsia"/>
          <w:color w:val="auto"/>
          <w:szCs w:val="21"/>
          <w:highlight w:val="none"/>
        </w:rPr>
        <w:t>.</w:t>
      </w:r>
      <w:r>
        <w:rPr>
          <w:color w:val="auto"/>
          <w:szCs w:val="21"/>
          <w:highlight w:val="none"/>
        </w:rPr>
        <w:t>因</w:t>
      </w:r>
      <w:r>
        <w:rPr>
          <w:rFonts w:hint="eastAsia"/>
          <w:color w:val="auto"/>
          <w:szCs w:val="21"/>
          <w:highlight w:val="none"/>
        </w:rPr>
        <w:t>产品</w:t>
      </w:r>
      <w:r>
        <w:rPr>
          <w:color w:val="auto"/>
          <w:szCs w:val="21"/>
          <w:highlight w:val="none"/>
        </w:rPr>
        <w:t>或服务成果质量问题</w:t>
      </w:r>
      <w:r>
        <w:rPr>
          <w:rFonts w:hint="eastAsia"/>
          <w:color w:val="auto"/>
          <w:szCs w:val="21"/>
          <w:highlight w:val="none"/>
        </w:rPr>
        <w:t>或验收结果</w:t>
      </w:r>
      <w:r>
        <w:rPr>
          <w:color w:val="auto"/>
          <w:szCs w:val="21"/>
          <w:highlight w:val="none"/>
        </w:rPr>
        <w:t>发生争议的，应邀请国家认</w:t>
      </w:r>
      <w:r>
        <w:rPr>
          <w:rFonts w:hint="eastAsia"/>
          <w:color w:val="auto"/>
          <w:szCs w:val="21"/>
          <w:highlight w:val="none"/>
        </w:rPr>
        <w:t>定</w:t>
      </w:r>
      <w:r>
        <w:rPr>
          <w:color w:val="auto"/>
          <w:szCs w:val="21"/>
          <w:highlight w:val="none"/>
        </w:rPr>
        <w:t>的质量检测机构按照国家标准对</w:t>
      </w:r>
      <w:r>
        <w:rPr>
          <w:rFonts w:hint="eastAsia"/>
          <w:color w:val="auto"/>
          <w:szCs w:val="21"/>
          <w:highlight w:val="none"/>
        </w:rPr>
        <w:t>产品</w:t>
      </w:r>
      <w:r>
        <w:rPr>
          <w:color w:val="auto"/>
          <w:szCs w:val="21"/>
          <w:highlight w:val="none"/>
        </w:rPr>
        <w:t>或服务成果质量进行验收。</w:t>
      </w:r>
      <w:r>
        <w:rPr>
          <w:rFonts w:hint="eastAsia"/>
          <w:color w:val="auto"/>
          <w:szCs w:val="21"/>
          <w:highlight w:val="none"/>
        </w:rPr>
        <w:t>产品</w:t>
      </w:r>
      <w:r>
        <w:rPr>
          <w:color w:val="auto"/>
          <w:szCs w:val="21"/>
          <w:highlight w:val="none"/>
        </w:rPr>
        <w:t>或服务成果符合国家标准的，鉴定费由甲方承担；</w:t>
      </w:r>
      <w:r>
        <w:rPr>
          <w:rFonts w:hint="eastAsia"/>
          <w:color w:val="auto"/>
          <w:szCs w:val="21"/>
          <w:highlight w:val="none"/>
        </w:rPr>
        <w:t>产品</w:t>
      </w:r>
      <w:r>
        <w:rPr>
          <w:color w:val="auto"/>
          <w:szCs w:val="21"/>
          <w:highlight w:val="none"/>
        </w:rPr>
        <w:t>或服务成果不符合国家标准的，鉴定费由乙方承担。</w:t>
      </w:r>
    </w:p>
    <w:p w14:paraId="0B37A4DC">
      <w:pPr>
        <w:snapToGrid w:val="0"/>
        <w:spacing w:line="360" w:lineRule="exact"/>
        <w:ind w:firstLine="420" w:firstLineChars="200"/>
        <w:rPr>
          <w:color w:val="auto"/>
          <w:szCs w:val="21"/>
          <w:highlight w:val="none"/>
        </w:rPr>
      </w:pPr>
      <w:r>
        <w:rPr>
          <w:color w:val="auto"/>
          <w:szCs w:val="21"/>
          <w:highlight w:val="none"/>
        </w:rPr>
        <w:t>2</w:t>
      </w:r>
      <w:r>
        <w:rPr>
          <w:rFonts w:hint="eastAsia"/>
          <w:color w:val="auto"/>
          <w:szCs w:val="21"/>
          <w:highlight w:val="none"/>
        </w:rPr>
        <w:t>.</w:t>
      </w:r>
      <w:r>
        <w:rPr>
          <w:color w:val="auto"/>
          <w:szCs w:val="21"/>
          <w:highlight w:val="none"/>
        </w:rPr>
        <w:t>因履行本合同引起的或与本合同有关的争议，甲乙双方应首先通过友好协商解决，如果协商不能解决，可向甲方所在地人民法院提起诉讼。</w:t>
      </w:r>
    </w:p>
    <w:p w14:paraId="0D41D561">
      <w:pPr>
        <w:snapToGrid w:val="0"/>
        <w:spacing w:line="360" w:lineRule="exact"/>
        <w:ind w:firstLine="420" w:firstLineChars="200"/>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诉讼期间，本合同继续履行。</w:t>
      </w:r>
    </w:p>
    <w:p w14:paraId="795ABBB2">
      <w:pPr>
        <w:pStyle w:val="26"/>
        <w:snapToGrid w:val="0"/>
        <w:spacing w:before="120" w:after="120" w:line="360" w:lineRule="exact"/>
        <w:ind w:firstLine="422" w:firstLineChars="200"/>
        <w:rPr>
          <w:rFonts w:ascii="Times New Roman" w:hAnsi="Times New Roman" w:cs="Times New Roman"/>
          <w:b/>
          <w:color w:val="auto"/>
          <w:highlight w:val="none"/>
        </w:rPr>
      </w:pPr>
      <w:r>
        <w:rPr>
          <w:rFonts w:ascii="Times New Roman" w:hAnsi="Times New Roman" w:cs="Times New Roman"/>
          <w:b/>
          <w:color w:val="auto"/>
          <w:highlight w:val="none"/>
        </w:rPr>
        <w:t>第十</w:t>
      </w:r>
      <w:r>
        <w:rPr>
          <w:rFonts w:hint="eastAsia" w:ascii="Times New Roman" w:hAnsi="Times New Roman" w:cs="Times New Roman"/>
          <w:b/>
          <w:color w:val="auto"/>
          <w:highlight w:val="none"/>
        </w:rPr>
        <w:t>五</w:t>
      </w:r>
      <w:r>
        <w:rPr>
          <w:rFonts w:ascii="Times New Roman" w:hAnsi="Times New Roman" w:cs="Times New Roman"/>
          <w:b/>
          <w:color w:val="auto"/>
          <w:highlight w:val="none"/>
        </w:rPr>
        <w:t>条 合同生效</w:t>
      </w:r>
      <w:r>
        <w:rPr>
          <w:rFonts w:hint="eastAsia" w:ascii="Times New Roman" w:hAnsi="Times New Roman" w:cs="Times New Roman"/>
          <w:b/>
          <w:color w:val="auto"/>
          <w:highlight w:val="none"/>
          <w:lang w:eastAsia="zh-CN"/>
        </w:rPr>
        <w:t>及其他</w:t>
      </w:r>
    </w:p>
    <w:p w14:paraId="64144247">
      <w:pPr>
        <w:snapToGrid w:val="0"/>
        <w:spacing w:line="300" w:lineRule="exact"/>
        <w:ind w:firstLine="420" w:firstLineChars="200"/>
        <w:rPr>
          <w:color w:val="auto"/>
          <w:szCs w:val="21"/>
          <w:highlight w:val="none"/>
          <w:u w:val="single"/>
        </w:rPr>
      </w:pPr>
      <w:r>
        <w:rPr>
          <w:color w:val="auto"/>
          <w:szCs w:val="21"/>
          <w:highlight w:val="none"/>
          <w:u w:val="single"/>
        </w:rPr>
        <w:t>1</w:t>
      </w:r>
      <w:r>
        <w:rPr>
          <w:rFonts w:hint="eastAsia"/>
          <w:color w:val="auto"/>
          <w:szCs w:val="21"/>
          <w:highlight w:val="none"/>
          <w:u w:val="single"/>
        </w:rPr>
        <w:t>.</w:t>
      </w:r>
      <w:r>
        <w:rPr>
          <w:color w:val="auto"/>
          <w:szCs w:val="21"/>
          <w:highlight w:val="none"/>
          <w:u w:val="single"/>
        </w:rPr>
        <w:t>本合同履行期限为：         ；合同履行地点为：                    ；合同履行的方式： 按照本合同约定  。</w:t>
      </w:r>
    </w:p>
    <w:p w14:paraId="20B676F2">
      <w:pPr>
        <w:snapToGrid w:val="0"/>
        <w:spacing w:line="300" w:lineRule="exact"/>
        <w:ind w:firstLine="420" w:firstLineChars="200"/>
        <w:rPr>
          <w:color w:val="auto"/>
          <w:szCs w:val="21"/>
          <w:highlight w:val="none"/>
        </w:rPr>
      </w:pPr>
      <w:r>
        <w:rPr>
          <w:color w:val="auto"/>
          <w:szCs w:val="21"/>
          <w:highlight w:val="none"/>
        </w:rPr>
        <w:t>2</w:t>
      </w:r>
      <w:r>
        <w:rPr>
          <w:rFonts w:hint="eastAsia"/>
          <w:color w:val="auto"/>
          <w:szCs w:val="21"/>
          <w:highlight w:val="none"/>
        </w:rPr>
        <w:t>.</w:t>
      </w:r>
      <w:r>
        <w:rPr>
          <w:color w:val="auto"/>
          <w:szCs w:val="21"/>
          <w:highlight w:val="none"/>
        </w:rPr>
        <w:t>合同经双方法定代表人或授权代表签字并加盖单位公章后生效。</w:t>
      </w:r>
    </w:p>
    <w:p w14:paraId="40A6B45D">
      <w:pPr>
        <w:snapToGrid w:val="0"/>
        <w:spacing w:line="300" w:lineRule="exact"/>
        <w:ind w:firstLine="420" w:firstLineChars="200"/>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合同执行中涉及采购资金和采购内容修改或补充的，须经财政部门</w:t>
      </w:r>
      <w:r>
        <w:rPr>
          <w:rFonts w:hint="eastAsia"/>
          <w:color w:val="auto"/>
          <w:szCs w:val="21"/>
          <w:highlight w:val="none"/>
        </w:rPr>
        <w:t>备案</w:t>
      </w:r>
      <w:r>
        <w:rPr>
          <w:color w:val="auto"/>
          <w:szCs w:val="21"/>
          <w:highlight w:val="none"/>
        </w:rPr>
        <w:t>，</w:t>
      </w:r>
      <w:r>
        <w:rPr>
          <w:rFonts w:hint="eastAsia"/>
          <w:color w:val="auto"/>
          <w:szCs w:val="21"/>
          <w:highlight w:val="none"/>
        </w:rPr>
        <w:t>经</w:t>
      </w:r>
      <w:r>
        <w:rPr>
          <w:color w:val="auto"/>
          <w:szCs w:val="21"/>
          <w:highlight w:val="none"/>
        </w:rPr>
        <w:t>财政部门</w:t>
      </w:r>
      <w:r>
        <w:rPr>
          <w:rFonts w:hint="eastAsia"/>
          <w:color w:val="auto"/>
          <w:szCs w:val="21"/>
          <w:highlight w:val="none"/>
        </w:rPr>
        <w:t>同意后</w:t>
      </w:r>
      <w:r>
        <w:rPr>
          <w:rFonts w:hint="eastAsia"/>
          <w:color w:val="auto"/>
          <w:szCs w:val="21"/>
          <w:highlight w:val="none"/>
          <w:lang w:eastAsia="zh-CN"/>
        </w:rPr>
        <w:t>签订</w:t>
      </w:r>
      <w:r>
        <w:rPr>
          <w:color w:val="auto"/>
          <w:szCs w:val="21"/>
          <w:highlight w:val="none"/>
        </w:rPr>
        <w:t>书面补充协议。</w:t>
      </w:r>
    </w:p>
    <w:p w14:paraId="2696476F">
      <w:pPr>
        <w:snapToGrid w:val="0"/>
        <w:spacing w:line="300" w:lineRule="exact"/>
        <w:ind w:firstLine="420" w:firstLineChars="200"/>
        <w:rPr>
          <w:color w:val="auto"/>
          <w:szCs w:val="21"/>
          <w:highlight w:val="none"/>
        </w:rPr>
      </w:pPr>
      <w:r>
        <w:rPr>
          <w:color w:val="auto"/>
          <w:szCs w:val="21"/>
          <w:highlight w:val="none"/>
        </w:rPr>
        <w:t>4</w:t>
      </w:r>
      <w:r>
        <w:rPr>
          <w:rFonts w:hint="eastAsia"/>
          <w:color w:val="auto"/>
          <w:szCs w:val="21"/>
          <w:highlight w:val="none"/>
        </w:rPr>
        <w:t>.如无特别说明，</w:t>
      </w:r>
      <w:r>
        <w:rPr>
          <w:color w:val="auto"/>
          <w:szCs w:val="21"/>
          <w:highlight w:val="none"/>
        </w:rPr>
        <w:t>本合同使用货币币制为人民币</w:t>
      </w:r>
      <w:r>
        <w:rPr>
          <w:rFonts w:hint="eastAsia"/>
          <w:color w:val="auto"/>
          <w:szCs w:val="21"/>
          <w:highlight w:val="none"/>
        </w:rPr>
        <w:t>，使用单位为中国国家法定计量单位。</w:t>
      </w:r>
    </w:p>
    <w:p w14:paraId="0F8A9E48">
      <w:pPr>
        <w:snapToGrid w:val="0"/>
        <w:spacing w:line="300" w:lineRule="exact"/>
        <w:ind w:firstLine="420" w:firstLineChars="200"/>
        <w:rPr>
          <w:color w:val="auto"/>
          <w:szCs w:val="21"/>
          <w:highlight w:val="none"/>
        </w:rPr>
      </w:pPr>
      <w:r>
        <w:rPr>
          <w:rFonts w:hint="eastAsia"/>
          <w:color w:val="auto"/>
          <w:szCs w:val="21"/>
          <w:highlight w:val="none"/>
        </w:rPr>
        <w:t>5.本合同中提及的招标与谈判、磋商、询价、单一来源采购为同一含义，提及的投标与响应为同一含义，提及的中标与成交为同一含义。</w:t>
      </w:r>
    </w:p>
    <w:p w14:paraId="15C91231">
      <w:pPr>
        <w:snapToGrid w:val="0"/>
        <w:spacing w:line="300" w:lineRule="exact"/>
        <w:ind w:firstLine="420" w:firstLineChars="200"/>
        <w:rPr>
          <w:color w:val="auto"/>
          <w:szCs w:val="21"/>
          <w:highlight w:val="none"/>
        </w:rPr>
      </w:pPr>
      <w:r>
        <w:rPr>
          <w:rFonts w:hint="eastAsia"/>
          <w:color w:val="auto"/>
          <w:szCs w:val="21"/>
          <w:highlight w:val="none"/>
        </w:rPr>
        <w:t>6.</w:t>
      </w:r>
      <w:r>
        <w:rPr>
          <w:color w:val="auto"/>
          <w:szCs w:val="21"/>
          <w:highlight w:val="none"/>
        </w:rPr>
        <w:t>本合同未尽事宜，遵照《</w:t>
      </w:r>
      <w:r>
        <w:rPr>
          <w:rFonts w:hint="eastAsia"/>
          <w:color w:val="auto"/>
          <w:szCs w:val="21"/>
          <w:highlight w:val="none"/>
        </w:rPr>
        <w:t>民法典</w:t>
      </w:r>
      <w:r>
        <w:rPr>
          <w:color w:val="auto"/>
          <w:szCs w:val="21"/>
          <w:highlight w:val="none"/>
        </w:rPr>
        <w:t>》有关条文执行。</w:t>
      </w:r>
    </w:p>
    <w:p w14:paraId="38ED5783">
      <w:pPr>
        <w:snapToGrid w:val="0"/>
        <w:spacing w:line="300" w:lineRule="exact"/>
        <w:ind w:firstLine="420" w:firstLineChars="200"/>
        <w:rPr>
          <w:rFonts w:hint="eastAsia"/>
          <w:color w:val="auto"/>
          <w:szCs w:val="21"/>
          <w:highlight w:val="none"/>
        </w:rPr>
      </w:pPr>
      <w:r>
        <w:rPr>
          <w:rFonts w:hint="eastAsia"/>
          <w:color w:val="auto"/>
          <w:szCs w:val="21"/>
          <w:highlight w:val="none"/>
        </w:rPr>
        <w:t xml:space="preserve">7.本合同（□是  </w:t>
      </w:r>
      <w:r>
        <w:rPr>
          <w:color w:val="auto"/>
          <w:szCs w:val="21"/>
          <w:highlight w:val="none"/>
        </w:rPr>
        <w:sym w:font="Wingdings 2" w:char="F052"/>
      </w:r>
      <w:r>
        <w:rPr>
          <w:rFonts w:hint="eastAsia"/>
          <w:color w:val="auto"/>
          <w:szCs w:val="21"/>
          <w:highlight w:val="none"/>
        </w:rPr>
        <w:t>否）为中小企业预留合同</w:t>
      </w:r>
    </w:p>
    <w:p w14:paraId="0001FCCA">
      <w:pPr>
        <w:snapToGrid w:val="0"/>
        <w:spacing w:line="360" w:lineRule="exact"/>
        <w:ind w:firstLine="422" w:firstLineChars="200"/>
        <w:rPr>
          <w:b/>
          <w:color w:val="auto"/>
          <w:szCs w:val="21"/>
          <w:highlight w:val="none"/>
        </w:rPr>
      </w:pPr>
      <w:r>
        <w:rPr>
          <w:b/>
          <w:color w:val="auto"/>
          <w:szCs w:val="21"/>
          <w:highlight w:val="none"/>
        </w:rPr>
        <w:t>第十</w:t>
      </w:r>
      <w:r>
        <w:rPr>
          <w:rFonts w:hint="eastAsia"/>
          <w:b/>
          <w:color w:val="auto"/>
          <w:szCs w:val="21"/>
          <w:highlight w:val="none"/>
        </w:rPr>
        <w:t>六</w:t>
      </w:r>
      <w:r>
        <w:rPr>
          <w:b/>
          <w:color w:val="auto"/>
          <w:szCs w:val="21"/>
          <w:highlight w:val="none"/>
        </w:rPr>
        <w:t>条　合同的变更、终止与转让</w:t>
      </w:r>
    </w:p>
    <w:p w14:paraId="5D7696A6">
      <w:pPr>
        <w:snapToGrid w:val="0"/>
        <w:spacing w:line="300" w:lineRule="exact"/>
        <w:ind w:firstLine="420" w:firstLineChars="200"/>
        <w:rPr>
          <w:rFonts w:hint="eastAsia"/>
          <w:color w:val="auto"/>
          <w:szCs w:val="21"/>
          <w:highlight w:val="none"/>
        </w:rPr>
      </w:pPr>
      <w:r>
        <w:rPr>
          <w:color w:val="auto"/>
          <w:szCs w:val="21"/>
          <w:highlight w:val="none"/>
        </w:rPr>
        <w:t>1.除《中华人民共和国政府采购法》第五十条规定的情形外，本合同一经签订，甲乙双方不得擅自变更、中止或终止。</w:t>
      </w:r>
      <w:bookmarkStart w:id="82" w:name="_Hlk155172858"/>
      <w:bookmarkStart w:id="83" w:name="_Hlk155171733"/>
      <w:r>
        <w:rPr>
          <w:rFonts w:hint="eastAsia"/>
          <w:color w:val="auto"/>
          <w:szCs w:val="21"/>
          <w:highlight w:val="none"/>
        </w:rPr>
        <w:t>如依照政府采购法确需变更合同内容的，甲方应当自合同变更之日起2个工作日内在省级以上财政部门指定的媒体上发布合同变更公告。</w:t>
      </w:r>
      <w:bookmarkEnd w:id="82"/>
      <w:bookmarkEnd w:id="83"/>
    </w:p>
    <w:p w14:paraId="073E2EA8">
      <w:pPr>
        <w:snapToGrid w:val="0"/>
        <w:spacing w:line="360" w:lineRule="exact"/>
        <w:ind w:firstLine="420" w:firstLineChars="200"/>
        <w:rPr>
          <w:color w:val="auto"/>
          <w:szCs w:val="21"/>
          <w:highlight w:val="none"/>
        </w:rPr>
      </w:pPr>
      <w:r>
        <w:rPr>
          <w:color w:val="auto"/>
          <w:szCs w:val="21"/>
          <w:highlight w:val="none"/>
        </w:rPr>
        <w:t>2.未经甲方书面同意，乙方不得擅自转让其应履行的合同义务。</w:t>
      </w:r>
    </w:p>
    <w:p w14:paraId="0F65B350">
      <w:pPr>
        <w:snapToGrid w:val="0"/>
        <w:spacing w:line="360" w:lineRule="exact"/>
        <w:ind w:firstLine="422" w:firstLineChars="200"/>
        <w:rPr>
          <w:rFonts w:hint="eastAsia"/>
          <w:b/>
          <w:color w:val="auto"/>
          <w:szCs w:val="21"/>
          <w:highlight w:val="none"/>
        </w:rPr>
      </w:pPr>
      <w:r>
        <w:rPr>
          <w:b/>
          <w:color w:val="auto"/>
          <w:szCs w:val="21"/>
          <w:highlight w:val="none"/>
        </w:rPr>
        <w:t>第十</w:t>
      </w:r>
      <w:r>
        <w:rPr>
          <w:rFonts w:hint="eastAsia"/>
          <w:b/>
          <w:color w:val="auto"/>
          <w:szCs w:val="21"/>
          <w:highlight w:val="none"/>
        </w:rPr>
        <w:t>七</w:t>
      </w:r>
      <w:r>
        <w:rPr>
          <w:b/>
          <w:color w:val="auto"/>
          <w:szCs w:val="21"/>
          <w:highlight w:val="none"/>
        </w:rPr>
        <w:t>条　</w:t>
      </w:r>
      <w:r>
        <w:rPr>
          <w:rFonts w:hint="eastAsia"/>
          <w:b/>
          <w:color w:val="auto"/>
          <w:szCs w:val="21"/>
          <w:highlight w:val="none"/>
        </w:rPr>
        <w:t>合同文件的组成</w:t>
      </w:r>
    </w:p>
    <w:p w14:paraId="77B76F7B">
      <w:pPr>
        <w:snapToGrid w:val="0"/>
        <w:spacing w:line="360" w:lineRule="exact"/>
        <w:ind w:firstLine="420" w:firstLineChars="200"/>
        <w:rPr>
          <w:color w:val="auto"/>
          <w:szCs w:val="21"/>
          <w:highlight w:val="none"/>
        </w:rPr>
      </w:pPr>
      <w:r>
        <w:rPr>
          <w:color w:val="auto"/>
          <w:szCs w:val="21"/>
          <w:highlight w:val="none"/>
        </w:rPr>
        <w:t>1.</w:t>
      </w:r>
      <w:r>
        <w:rPr>
          <w:rFonts w:hint="eastAsia" w:hAnsi="宋体" w:cs="宋体"/>
          <w:color w:val="auto"/>
          <w:kern w:val="0"/>
          <w:highlight w:val="none"/>
        </w:rPr>
        <w:t>政府采购合同；</w:t>
      </w:r>
    </w:p>
    <w:p w14:paraId="2628F6F9">
      <w:pPr>
        <w:snapToGrid w:val="0"/>
        <w:spacing w:line="360" w:lineRule="exact"/>
        <w:ind w:firstLine="420" w:firstLineChars="200"/>
        <w:rPr>
          <w:color w:val="auto"/>
          <w:szCs w:val="21"/>
          <w:highlight w:val="none"/>
        </w:rPr>
      </w:pPr>
      <w:r>
        <w:rPr>
          <w:rFonts w:hint="eastAsia"/>
          <w:color w:val="auto"/>
          <w:szCs w:val="21"/>
          <w:highlight w:val="none"/>
        </w:rPr>
        <w:t>2</w:t>
      </w:r>
      <w:r>
        <w:rPr>
          <w:color w:val="auto"/>
          <w:szCs w:val="21"/>
          <w:highlight w:val="none"/>
        </w:rPr>
        <w:t>.中标通知书</w:t>
      </w:r>
      <w:r>
        <w:rPr>
          <w:rFonts w:hint="eastAsia"/>
          <w:color w:val="auto"/>
          <w:szCs w:val="21"/>
          <w:highlight w:val="none"/>
        </w:rPr>
        <w:t>（如有）</w:t>
      </w:r>
      <w:r>
        <w:rPr>
          <w:color w:val="auto"/>
          <w:szCs w:val="21"/>
          <w:highlight w:val="none"/>
        </w:rPr>
        <w:t>；</w:t>
      </w:r>
    </w:p>
    <w:p w14:paraId="2DEEC2B0">
      <w:pPr>
        <w:snapToGrid w:val="0"/>
        <w:spacing w:line="360" w:lineRule="exact"/>
        <w:ind w:firstLine="420" w:firstLineChars="200"/>
        <w:rPr>
          <w:color w:val="auto"/>
          <w:szCs w:val="21"/>
          <w:highlight w:val="none"/>
        </w:rPr>
      </w:pPr>
      <w:r>
        <w:rPr>
          <w:rFonts w:hint="eastAsia"/>
          <w:color w:val="auto"/>
          <w:szCs w:val="21"/>
          <w:highlight w:val="none"/>
        </w:rPr>
        <w:t>3</w:t>
      </w:r>
      <w:r>
        <w:rPr>
          <w:color w:val="auto"/>
          <w:szCs w:val="21"/>
          <w:highlight w:val="none"/>
        </w:rPr>
        <w:t>.乙方的响应文件；</w:t>
      </w:r>
    </w:p>
    <w:p w14:paraId="62CCDDBB">
      <w:pPr>
        <w:snapToGrid w:val="0"/>
        <w:spacing w:line="360" w:lineRule="exact"/>
        <w:ind w:firstLine="420" w:firstLineChars="200"/>
        <w:rPr>
          <w:color w:val="auto"/>
          <w:szCs w:val="21"/>
          <w:highlight w:val="none"/>
        </w:rPr>
      </w:pPr>
      <w:r>
        <w:rPr>
          <w:rFonts w:hint="eastAsia"/>
          <w:color w:val="auto"/>
          <w:szCs w:val="21"/>
          <w:highlight w:val="none"/>
        </w:rPr>
        <w:t>4</w:t>
      </w:r>
      <w:r>
        <w:rPr>
          <w:color w:val="auto"/>
          <w:szCs w:val="21"/>
          <w:highlight w:val="none"/>
        </w:rPr>
        <w:t>.</w:t>
      </w:r>
      <w:r>
        <w:rPr>
          <w:rFonts w:hint="eastAsia"/>
          <w:color w:val="auto"/>
          <w:szCs w:val="21"/>
          <w:highlight w:val="none"/>
        </w:rPr>
        <w:t>采购文件</w:t>
      </w:r>
      <w:r>
        <w:rPr>
          <w:color w:val="auto"/>
          <w:szCs w:val="21"/>
          <w:highlight w:val="none"/>
        </w:rPr>
        <w:t>；</w:t>
      </w:r>
    </w:p>
    <w:p w14:paraId="16668F93">
      <w:pPr>
        <w:snapToGrid w:val="0"/>
        <w:spacing w:line="300" w:lineRule="exact"/>
        <w:ind w:firstLine="420" w:firstLineChars="200"/>
        <w:rPr>
          <w:color w:val="auto"/>
          <w:szCs w:val="21"/>
          <w:highlight w:val="none"/>
          <w:u w:val="single"/>
        </w:rPr>
      </w:pPr>
      <w:r>
        <w:rPr>
          <w:rFonts w:hint="eastAsia"/>
          <w:color w:val="auto"/>
          <w:highlight w:val="none"/>
        </w:rPr>
        <w:t>5.其他合同文件。</w:t>
      </w:r>
    </w:p>
    <w:p w14:paraId="35AB6485">
      <w:pPr>
        <w:snapToGrid w:val="0"/>
        <w:spacing w:line="360" w:lineRule="exact"/>
        <w:ind w:firstLine="422" w:firstLineChars="200"/>
        <w:rPr>
          <w:color w:val="auto"/>
          <w:szCs w:val="21"/>
          <w:highlight w:val="none"/>
        </w:rPr>
      </w:pPr>
      <w:r>
        <w:rPr>
          <w:b/>
          <w:color w:val="auto"/>
          <w:szCs w:val="21"/>
          <w:highlight w:val="none"/>
        </w:rPr>
        <w:t>第十</w:t>
      </w:r>
      <w:r>
        <w:rPr>
          <w:rFonts w:hint="eastAsia"/>
          <w:b/>
          <w:color w:val="auto"/>
          <w:szCs w:val="21"/>
          <w:highlight w:val="none"/>
        </w:rPr>
        <w:t>八</w:t>
      </w:r>
      <w:r>
        <w:rPr>
          <w:b/>
          <w:color w:val="auto"/>
          <w:szCs w:val="21"/>
          <w:highlight w:val="none"/>
        </w:rPr>
        <w:t>条　</w:t>
      </w:r>
      <w:r>
        <w:rPr>
          <w:color w:val="auto"/>
          <w:szCs w:val="21"/>
          <w:highlight w:val="none"/>
        </w:rPr>
        <w:t>本合同一式五份，具有同等法律效力。甲</w:t>
      </w:r>
      <w:r>
        <w:rPr>
          <w:rFonts w:hint="eastAsia"/>
          <w:color w:val="auto"/>
          <w:szCs w:val="21"/>
          <w:highlight w:val="none"/>
        </w:rPr>
        <w:t>、乙双方各执</w:t>
      </w:r>
      <w:r>
        <w:rPr>
          <w:color w:val="auto"/>
          <w:szCs w:val="21"/>
          <w:highlight w:val="none"/>
        </w:rPr>
        <w:t>两份，</w:t>
      </w:r>
      <w:r>
        <w:rPr>
          <w:color w:val="auto"/>
          <w:spacing w:val="4"/>
          <w:szCs w:val="21"/>
          <w:highlight w:val="none"/>
        </w:rPr>
        <w:t>采购代理机构</w:t>
      </w:r>
      <w:r>
        <w:rPr>
          <w:color w:val="auto"/>
          <w:szCs w:val="21"/>
          <w:highlight w:val="none"/>
        </w:rPr>
        <w:t>各一份。</w:t>
      </w:r>
    </w:p>
    <w:p w14:paraId="16004519">
      <w:pPr>
        <w:snapToGrid w:val="0"/>
        <w:spacing w:line="360" w:lineRule="exact"/>
        <w:ind w:firstLine="420" w:firstLineChars="200"/>
        <w:rPr>
          <w:color w:val="auto"/>
          <w:szCs w:val="21"/>
          <w:highlight w:val="none"/>
        </w:rPr>
      </w:pPr>
      <w:r>
        <w:rPr>
          <w:color w:val="auto"/>
          <w:szCs w:val="21"/>
          <w:highlight w:val="none"/>
        </w:rPr>
        <w:t>本合同经甲乙双方法定代表人或被授权代表签字并加盖单位公章后生效。</w:t>
      </w:r>
    </w:p>
    <w:tbl>
      <w:tblPr>
        <w:tblStyle w:val="51"/>
        <w:tblW w:w="9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7"/>
        <w:gridCol w:w="4688"/>
      </w:tblGrid>
      <w:tr w14:paraId="6B62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trPr>
        <w:tc>
          <w:tcPr>
            <w:tcW w:w="4437" w:type="dxa"/>
            <w:vAlign w:val="center"/>
          </w:tcPr>
          <w:p w14:paraId="1A21E096">
            <w:pPr>
              <w:snapToGrid w:val="0"/>
              <w:spacing w:line="360" w:lineRule="exact"/>
              <w:rPr>
                <w:color w:val="auto"/>
                <w:szCs w:val="21"/>
                <w:highlight w:val="none"/>
              </w:rPr>
            </w:pPr>
            <w:r>
              <w:rPr>
                <w:color w:val="auto"/>
                <w:szCs w:val="21"/>
                <w:highlight w:val="none"/>
              </w:rPr>
              <w:t xml:space="preserve">甲方（章）           </w:t>
            </w:r>
          </w:p>
          <w:p w14:paraId="15411DB9">
            <w:pPr>
              <w:snapToGrid w:val="0"/>
              <w:spacing w:line="360" w:lineRule="exact"/>
              <w:ind w:firstLine="945" w:firstLineChars="450"/>
              <w:jc w:val="right"/>
              <w:rPr>
                <w:color w:val="auto"/>
                <w:szCs w:val="21"/>
                <w:highlight w:val="none"/>
              </w:rPr>
            </w:pPr>
          </w:p>
        </w:tc>
        <w:tc>
          <w:tcPr>
            <w:tcW w:w="4688" w:type="dxa"/>
            <w:vAlign w:val="center"/>
          </w:tcPr>
          <w:p w14:paraId="2527F58E">
            <w:pPr>
              <w:snapToGrid w:val="0"/>
              <w:spacing w:line="360" w:lineRule="exact"/>
              <w:rPr>
                <w:color w:val="auto"/>
                <w:szCs w:val="21"/>
                <w:highlight w:val="none"/>
              </w:rPr>
            </w:pPr>
            <w:r>
              <w:rPr>
                <w:color w:val="auto"/>
                <w:szCs w:val="21"/>
                <w:highlight w:val="none"/>
              </w:rPr>
              <w:t xml:space="preserve">乙方（章）              </w:t>
            </w:r>
          </w:p>
          <w:p w14:paraId="767CE266">
            <w:pPr>
              <w:snapToGrid w:val="0"/>
              <w:spacing w:line="360" w:lineRule="exact"/>
              <w:jc w:val="right"/>
              <w:rPr>
                <w:color w:val="auto"/>
                <w:szCs w:val="21"/>
                <w:highlight w:val="none"/>
              </w:rPr>
            </w:pPr>
          </w:p>
        </w:tc>
      </w:tr>
      <w:tr w14:paraId="3C29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4437" w:type="dxa"/>
            <w:vAlign w:val="center"/>
          </w:tcPr>
          <w:p w14:paraId="29352DDC">
            <w:pPr>
              <w:snapToGrid w:val="0"/>
              <w:spacing w:line="360" w:lineRule="exact"/>
              <w:rPr>
                <w:color w:val="auto"/>
                <w:szCs w:val="21"/>
                <w:highlight w:val="none"/>
              </w:rPr>
            </w:pPr>
            <w:r>
              <w:rPr>
                <w:color w:val="auto"/>
                <w:szCs w:val="21"/>
                <w:highlight w:val="none"/>
              </w:rPr>
              <w:t>单位地址：</w:t>
            </w:r>
          </w:p>
        </w:tc>
        <w:tc>
          <w:tcPr>
            <w:tcW w:w="4688" w:type="dxa"/>
            <w:vAlign w:val="center"/>
          </w:tcPr>
          <w:p w14:paraId="312C6F77">
            <w:pPr>
              <w:snapToGrid w:val="0"/>
              <w:spacing w:line="360" w:lineRule="exact"/>
              <w:rPr>
                <w:color w:val="auto"/>
                <w:szCs w:val="21"/>
                <w:highlight w:val="none"/>
              </w:rPr>
            </w:pPr>
            <w:r>
              <w:rPr>
                <w:color w:val="auto"/>
                <w:szCs w:val="21"/>
                <w:highlight w:val="none"/>
              </w:rPr>
              <w:t>单位地址：</w:t>
            </w:r>
          </w:p>
        </w:tc>
      </w:tr>
      <w:tr w14:paraId="3317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437" w:type="dxa"/>
            <w:vAlign w:val="center"/>
          </w:tcPr>
          <w:p w14:paraId="346D69EF">
            <w:pPr>
              <w:snapToGrid w:val="0"/>
              <w:spacing w:line="360" w:lineRule="exact"/>
              <w:rPr>
                <w:color w:val="auto"/>
                <w:szCs w:val="21"/>
                <w:highlight w:val="none"/>
              </w:rPr>
            </w:pPr>
            <w:r>
              <w:rPr>
                <w:color w:val="auto"/>
                <w:szCs w:val="21"/>
                <w:highlight w:val="none"/>
              </w:rPr>
              <w:t>法定代表人：</w:t>
            </w:r>
          </w:p>
        </w:tc>
        <w:tc>
          <w:tcPr>
            <w:tcW w:w="4688" w:type="dxa"/>
            <w:vAlign w:val="center"/>
          </w:tcPr>
          <w:p w14:paraId="242A9782">
            <w:pPr>
              <w:snapToGrid w:val="0"/>
              <w:spacing w:line="360" w:lineRule="exact"/>
              <w:rPr>
                <w:color w:val="auto"/>
                <w:szCs w:val="21"/>
                <w:highlight w:val="none"/>
              </w:rPr>
            </w:pPr>
            <w:r>
              <w:rPr>
                <w:color w:val="auto"/>
                <w:szCs w:val="21"/>
                <w:highlight w:val="none"/>
              </w:rPr>
              <w:t>法定代表人：</w:t>
            </w:r>
          </w:p>
        </w:tc>
      </w:tr>
      <w:tr w14:paraId="4988A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4437" w:type="dxa"/>
            <w:vAlign w:val="center"/>
          </w:tcPr>
          <w:p w14:paraId="0D1177DE">
            <w:pPr>
              <w:snapToGrid w:val="0"/>
              <w:spacing w:line="360" w:lineRule="exact"/>
              <w:rPr>
                <w:color w:val="auto"/>
                <w:szCs w:val="21"/>
                <w:highlight w:val="none"/>
              </w:rPr>
            </w:pPr>
            <w:r>
              <w:rPr>
                <w:color w:val="auto"/>
                <w:szCs w:val="21"/>
                <w:highlight w:val="none"/>
              </w:rPr>
              <w:t>委托代理人：</w:t>
            </w:r>
          </w:p>
        </w:tc>
        <w:tc>
          <w:tcPr>
            <w:tcW w:w="4688" w:type="dxa"/>
            <w:vAlign w:val="center"/>
          </w:tcPr>
          <w:p w14:paraId="42AC20AA">
            <w:pPr>
              <w:snapToGrid w:val="0"/>
              <w:spacing w:line="360" w:lineRule="exact"/>
              <w:rPr>
                <w:color w:val="auto"/>
                <w:szCs w:val="21"/>
                <w:highlight w:val="none"/>
              </w:rPr>
            </w:pPr>
            <w:r>
              <w:rPr>
                <w:color w:val="auto"/>
                <w:szCs w:val="21"/>
                <w:highlight w:val="none"/>
              </w:rPr>
              <w:t>委托代理人</w:t>
            </w:r>
          </w:p>
        </w:tc>
      </w:tr>
      <w:tr w14:paraId="3B7D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trPr>
        <w:tc>
          <w:tcPr>
            <w:tcW w:w="4437" w:type="dxa"/>
            <w:vAlign w:val="center"/>
          </w:tcPr>
          <w:p w14:paraId="19A039B3">
            <w:pPr>
              <w:snapToGrid w:val="0"/>
              <w:spacing w:line="360" w:lineRule="exact"/>
              <w:rPr>
                <w:color w:val="auto"/>
                <w:szCs w:val="21"/>
                <w:highlight w:val="none"/>
              </w:rPr>
            </w:pPr>
            <w:r>
              <w:rPr>
                <w:color w:val="auto"/>
                <w:szCs w:val="21"/>
                <w:highlight w:val="none"/>
              </w:rPr>
              <w:t>电话：</w:t>
            </w:r>
          </w:p>
        </w:tc>
        <w:tc>
          <w:tcPr>
            <w:tcW w:w="4688" w:type="dxa"/>
            <w:vAlign w:val="center"/>
          </w:tcPr>
          <w:p w14:paraId="0EA8BB73">
            <w:pPr>
              <w:snapToGrid w:val="0"/>
              <w:spacing w:line="360" w:lineRule="exact"/>
              <w:rPr>
                <w:color w:val="auto"/>
                <w:szCs w:val="21"/>
                <w:highlight w:val="none"/>
              </w:rPr>
            </w:pPr>
            <w:r>
              <w:rPr>
                <w:color w:val="auto"/>
                <w:szCs w:val="21"/>
                <w:highlight w:val="none"/>
              </w:rPr>
              <w:t>电话：</w:t>
            </w:r>
          </w:p>
        </w:tc>
      </w:tr>
      <w:tr w14:paraId="776D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4437" w:type="dxa"/>
            <w:vAlign w:val="center"/>
          </w:tcPr>
          <w:p w14:paraId="6B09CFA4">
            <w:pPr>
              <w:snapToGrid w:val="0"/>
              <w:spacing w:line="360" w:lineRule="exact"/>
              <w:rPr>
                <w:color w:val="auto"/>
                <w:szCs w:val="21"/>
                <w:highlight w:val="none"/>
              </w:rPr>
            </w:pPr>
            <w:r>
              <w:rPr>
                <w:color w:val="auto"/>
                <w:szCs w:val="21"/>
                <w:highlight w:val="none"/>
              </w:rPr>
              <w:t>开户银行：</w:t>
            </w:r>
          </w:p>
        </w:tc>
        <w:tc>
          <w:tcPr>
            <w:tcW w:w="4688" w:type="dxa"/>
            <w:vAlign w:val="center"/>
          </w:tcPr>
          <w:p w14:paraId="2E403D9A">
            <w:pPr>
              <w:snapToGrid w:val="0"/>
              <w:spacing w:line="360" w:lineRule="exact"/>
              <w:rPr>
                <w:color w:val="auto"/>
                <w:szCs w:val="21"/>
                <w:highlight w:val="none"/>
              </w:rPr>
            </w:pPr>
            <w:r>
              <w:rPr>
                <w:color w:val="auto"/>
                <w:szCs w:val="21"/>
                <w:highlight w:val="none"/>
              </w:rPr>
              <w:t>开户银行：</w:t>
            </w:r>
          </w:p>
        </w:tc>
      </w:tr>
      <w:tr w14:paraId="0EAAE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4437" w:type="dxa"/>
            <w:vAlign w:val="center"/>
          </w:tcPr>
          <w:p w14:paraId="20F9B54F">
            <w:pPr>
              <w:snapToGrid w:val="0"/>
              <w:spacing w:line="360" w:lineRule="exact"/>
              <w:rPr>
                <w:color w:val="auto"/>
                <w:szCs w:val="21"/>
                <w:highlight w:val="none"/>
              </w:rPr>
            </w:pPr>
            <w:r>
              <w:rPr>
                <w:color w:val="auto"/>
                <w:szCs w:val="21"/>
                <w:highlight w:val="none"/>
              </w:rPr>
              <w:t>账号：</w:t>
            </w:r>
          </w:p>
        </w:tc>
        <w:tc>
          <w:tcPr>
            <w:tcW w:w="4688" w:type="dxa"/>
            <w:vAlign w:val="center"/>
          </w:tcPr>
          <w:p w14:paraId="08570704">
            <w:pPr>
              <w:snapToGrid w:val="0"/>
              <w:spacing w:line="360" w:lineRule="exact"/>
              <w:rPr>
                <w:color w:val="auto"/>
                <w:szCs w:val="21"/>
                <w:highlight w:val="none"/>
              </w:rPr>
            </w:pPr>
            <w:r>
              <w:rPr>
                <w:color w:val="auto"/>
                <w:szCs w:val="21"/>
                <w:highlight w:val="none"/>
              </w:rPr>
              <w:t>账号：</w:t>
            </w:r>
          </w:p>
        </w:tc>
      </w:tr>
    </w:tbl>
    <w:p w14:paraId="42960DF4">
      <w:pPr>
        <w:snapToGrid w:val="0"/>
        <w:spacing w:line="360" w:lineRule="exact"/>
        <w:ind w:firstLine="420" w:firstLineChars="200"/>
        <w:rPr>
          <w:color w:val="auto"/>
          <w:szCs w:val="21"/>
          <w:highlight w:val="none"/>
        </w:rPr>
      </w:pPr>
    </w:p>
    <w:p w14:paraId="345CFE3D">
      <w:pPr>
        <w:spacing w:before="120" w:line="320" w:lineRule="atLeast"/>
        <w:jc w:val="left"/>
        <w:outlineLvl w:val="1"/>
        <w:rPr>
          <w:b/>
          <w:bCs/>
          <w:color w:val="auto"/>
          <w:kern w:val="0"/>
          <w:szCs w:val="21"/>
          <w:highlight w:val="none"/>
        </w:rPr>
      </w:pPr>
      <w:r>
        <w:rPr>
          <w:color w:val="auto"/>
          <w:szCs w:val="21"/>
          <w:highlight w:val="none"/>
        </w:rPr>
        <w:br w:type="page"/>
      </w:r>
      <w:r>
        <w:rPr>
          <w:b/>
          <w:bCs/>
          <w:color w:val="auto"/>
          <w:kern w:val="0"/>
          <w:szCs w:val="21"/>
          <w:highlight w:val="none"/>
        </w:rPr>
        <w:t>合同附件1</w:t>
      </w:r>
    </w:p>
    <w:p w14:paraId="05FFEF96">
      <w:pPr>
        <w:snapToGrid w:val="0"/>
        <w:rPr>
          <w:color w:val="auto"/>
          <w:sz w:val="18"/>
          <w:szCs w:val="18"/>
          <w:highlight w:val="none"/>
        </w:rPr>
      </w:pPr>
    </w:p>
    <w:tbl>
      <w:tblPr>
        <w:tblStyle w:val="51"/>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640"/>
      </w:tblGrid>
      <w:tr w14:paraId="4B9A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vAlign w:val="center"/>
          </w:tcPr>
          <w:p w14:paraId="71137050">
            <w:pPr>
              <w:jc w:val="center"/>
              <w:rPr>
                <w:color w:val="auto"/>
                <w:szCs w:val="21"/>
                <w:highlight w:val="none"/>
              </w:rPr>
            </w:pPr>
            <w:r>
              <w:rPr>
                <w:color w:val="auto"/>
                <w:szCs w:val="21"/>
                <w:highlight w:val="none"/>
              </w:rPr>
              <w:t>供</w:t>
            </w:r>
          </w:p>
          <w:p w14:paraId="00A889B5">
            <w:pPr>
              <w:jc w:val="center"/>
              <w:rPr>
                <w:color w:val="auto"/>
                <w:szCs w:val="21"/>
                <w:highlight w:val="none"/>
              </w:rPr>
            </w:pPr>
            <w:r>
              <w:rPr>
                <w:color w:val="auto"/>
                <w:szCs w:val="21"/>
                <w:highlight w:val="none"/>
              </w:rPr>
              <w:t>应</w:t>
            </w:r>
          </w:p>
          <w:p w14:paraId="37E77FE8">
            <w:pPr>
              <w:jc w:val="center"/>
              <w:rPr>
                <w:color w:val="auto"/>
                <w:szCs w:val="21"/>
                <w:highlight w:val="none"/>
              </w:rPr>
            </w:pPr>
            <w:r>
              <w:rPr>
                <w:color w:val="auto"/>
                <w:szCs w:val="21"/>
                <w:highlight w:val="none"/>
              </w:rPr>
              <w:t>商</w:t>
            </w:r>
          </w:p>
          <w:p w14:paraId="0A5A27AA">
            <w:pPr>
              <w:jc w:val="center"/>
              <w:rPr>
                <w:color w:val="auto"/>
                <w:szCs w:val="21"/>
                <w:highlight w:val="none"/>
              </w:rPr>
            </w:pPr>
            <w:r>
              <w:rPr>
                <w:color w:val="auto"/>
                <w:szCs w:val="21"/>
                <w:highlight w:val="none"/>
              </w:rPr>
              <w:t>申</w:t>
            </w:r>
          </w:p>
          <w:p w14:paraId="7E667DAC">
            <w:pPr>
              <w:jc w:val="center"/>
              <w:rPr>
                <w:color w:val="auto"/>
                <w:szCs w:val="21"/>
                <w:highlight w:val="none"/>
              </w:rPr>
            </w:pPr>
            <w:r>
              <w:rPr>
                <w:color w:val="auto"/>
                <w:szCs w:val="21"/>
                <w:highlight w:val="none"/>
              </w:rPr>
              <w:t>请</w:t>
            </w:r>
          </w:p>
        </w:tc>
        <w:tc>
          <w:tcPr>
            <w:tcW w:w="8640" w:type="dxa"/>
            <w:vAlign w:val="center"/>
          </w:tcPr>
          <w:p w14:paraId="432ACBF3">
            <w:pPr>
              <w:rPr>
                <w:color w:val="auto"/>
                <w:szCs w:val="21"/>
                <w:highlight w:val="none"/>
              </w:rPr>
            </w:pPr>
            <w:r>
              <w:rPr>
                <w:color w:val="auto"/>
                <w:szCs w:val="21"/>
                <w:highlight w:val="none"/>
              </w:rPr>
              <w:t>项目编号：</w:t>
            </w:r>
          </w:p>
        </w:tc>
      </w:tr>
      <w:tr w14:paraId="270D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vAlign w:val="center"/>
          </w:tcPr>
          <w:p w14:paraId="515BAC1C">
            <w:pPr>
              <w:rPr>
                <w:color w:val="auto"/>
                <w:szCs w:val="21"/>
                <w:highlight w:val="none"/>
              </w:rPr>
            </w:pPr>
          </w:p>
        </w:tc>
        <w:tc>
          <w:tcPr>
            <w:tcW w:w="8640" w:type="dxa"/>
            <w:vAlign w:val="center"/>
          </w:tcPr>
          <w:p w14:paraId="0631ECEE">
            <w:pPr>
              <w:rPr>
                <w:color w:val="auto"/>
                <w:szCs w:val="21"/>
                <w:highlight w:val="none"/>
              </w:rPr>
            </w:pPr>
            <w:r>
              <w:rPr>
                <w:color w:val="auto"/>
                <w:szCs w:val="21"/>
                <w:highlight w:val="none"/>
              </w:rPr>
              <w:t>项目名称：</w:t>
            </w:r>
          </w:p>
        </w:tc>
      </w:tr>
      <w:tr w14:paraId="5C831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vAlign w:val="top"/>
          </w:tcPr>
          <w:p w14:paraId="55212C80">
            <w:pPr>
              <w:rPr>
                <w:color w:val="auto"/>
                <w:szCs w:val="21"/>
                <w:highlight w:val="none"/>
              </w:rPr>
            </w:pPr>
          </w:p>
        </w:tc>
        <w:tc>
          <w:tcPr>
            <w:tcW w:w="8640" w:type="dxa"/>
            <w:vAlign w:val="top"/>
          </w:tcPr>
          <w:p w14:paraId="41B5AC80">
            <w:pPr>
              <w:rPr>
                <w:color w:val="auto"/>
                <w:szCs w:val="21"/>
                <w:highlight w:val="none"/>
              </w:rPr>
            </w:pPr>
            <w:r>
              <w:rPr>
                <w:color w:val="auto"/>
                <w:szCs w:val="21"/>
                <w:highlight w:val="none"/>
              </w:rPr>
              <w:t xml:space="preserve">  </w:t>
            </w:r>
          </w:p>
          <w:p w14:paraId="0D52FDFB">
            <w:pPr>
              <w:spacing w:line="400" w:lineRule="exact"/>
              <w:ind w:firstLine="420" w:firstLineChars="200"/>
              <w:rPr>
                <w:color w:val="auto"/>
                <w:szCs w:val="21"/>
                <w:highlight w:val="none"/>
              </w:rPr>
            </w:pPr>
            <w:r>
              <w:rPr>
                <w:color w:val="auto"/>
                <w:szCs w:val="21"/>
                <w:highlight w:val="none"/>
              </w:rPr>
              <w:t>该项目已于</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日验收并交付使用。根据合同规定，该项目的履约保证金期限于</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日已满，请将履约保证金</w:t>
            </w:r>
          </w:p>
          <w:p w14:paraId="6ADCBC75">
            <w:pPr>
              <w:spacing w:line="400" w:lineRule="exact"/>
              <w:rPr>
                <w:color w:val="auto"/>
                <w:szCs w:val="21"/>
                <w:highlight w:val="none"/>
              </w:rPr>
            </w:pPr>
            <w:r>
              <w:rPr>
                <w:color w:val="auto"/>
                <w:szCs w:val="21"/>
                <w:highlight w:val="none"/>
                <w:u w:val="single"/>
              </w:rPr>
              <w:t xml:space="preserve">                                        </w:t>
            </w:r>
            <w:r>
              <w:rPr>
                <w:color w:val="auto"/>
                <w:szCs w:val="21"/>
                <w:highlight w:val="none"/>
              </w:rPr>
              <w:t>（大写）¥</w:t>
            </w:r>
            <w:r>
              <w:rPr>
                <w:color w:val="auto"/>
                <w:szCs w:val="21"/>
                <w:highlight w:val="none"/>
                <w:u w:val="single"/>
              </w:rPr>
              <w:t xml:space="preserve">          </w:t>
            </w:r>
            <w:r>
              <w:rPr>
                <w:color w:val="auto"/>
                <w:szCs w:val="21"/>
                <w:highlight w:val="none"/>
              </w:rPr>
              <w:t>（小写）退付到达以下账户。</w:t>
            </w:r>
          </w:p>
          <w:p w14:paraId="6584E183">
            <w:pPr>
              <w:spacing w:line="400" w:lineRule="exact"/>
              <w:ind w:firstLine="705"/>
              <w:rPr>
                <w:color w:val="auto"/>
                <w:szCs w:val="21"/>
                <w:highlight w:val="none"/>
              </w:rPr>
            </w:pPr>
            <w:r>
              <w:rPr>
                <w:color w:val="auto"/>
                <w:szCs w:val="21"/>
                <w:highlight w:val="none"/>
              </w:rPr>
              <w:t>单位名称：</w:t>
            </w:r>
          </w:p>
          <w:p w14:paraId="29A18A84">
            <w:pPr>
              <w:spacing w:line="400" w:lineRule="exact"/>
              <w:ind w:firstLine="705"/>
              <w:rPr>
                <w:color w:val="auto"/>
                <w:szCs w:val="21"/>
                <w:highlight w:val="none"/>
              </w:rPr>
            </w:pPr>
            <w:r>
              <w:rPr>
                <w:color w:val="auto"/>
                <w:szCs w:val="21"/>
                <w:highlight w:val="none"/>
              </w:rPr>
              <w:t>开户银行：</w:t>
            </w:r>
          </w:p>
          <w:p w14:paraId="2FBD5467">
            <w:pPr>
              <w:spacing w:line="400" w:lineRule="exact"/>
              <w:ind w:firstLine="705"/>
              <w:rPr>
                <w:color w:val="auto"/>
                <w:szCs w:val="21"/>
                <w:highlight w:val="none"/>
              </w:rPr>
            </w:pPr>
            <w:r>
              <w:rPr>
                <w:color w:val="auto"/>
                <w:szCs w:val="21"/>
                <w:highlight w:val="none"/>
              </w:rPr>
              <w:t>账   号：</w:t>
            </w:r>
          </w:p>
          <w:p w14:paraId="3E7FD091">
            <w:pPr>
              <w:spacing w:line="400" w:lineRule="exact"/>
              <w:rPr>
                <w:color w:val="auto"/>
                <w:szCs w:val="21"/>
                <w:highlight w:val="none"/>
              </w:rPr>
            </w:pPr>
            <w:r>
              <w:rPr>
                <w:color w:val="auto"/>
                <w:szCs w:val="21"/>
                <w:highlight w:val="none"/>
              </w:rPr>
              <w:t>联系人及电话：</w:t>
            </w:r>
          </w:p>
          <w:p w14:paraId="0C7CC101">
            <w:pPr>
              <w:spacing w:line="400" w:lineRule="exact"/>
              <w:rPr>
                <w:color w:val="auto"/>
                <w:szCs w:val="21"/>
                <w:highlight w:val="none"/>
              </w:rPr>
            </w:pPr>
          </w:p>
          <w:p w14:paraId="42476EBB">
            <w:pPr>
              <w:spacing w:line="520" w:lineRule="exact"/>
              <w:jc w:val="center"/>
              <w:rPr>
                <w:color w:val="auto"/>
                <w:szCs w:val="21"/>
                <w:highlight w:val="none"/>
              </w:rPr>
            </w:pPr>
            <w:r>
              <w:rPr>
                <w:color w:val="auto"/>
                <w:szCs w:val="21"/>
                <w:highlight w:val="none"/>
              </w:rPr>
              <w:t xml:space="preserve">                                     供应商</w:t>
            </w:r>
            <w:r>
              <w:rPr>
                <w:rFonts w:hint="eastAsia"/>
                <w:color w:val="auto"/>
                <w:szCs w:val="21"/>
                <w:highlight w:val="none"/>
              </w:rPr>
              <w:t>公</w:t>
            </w:r>
            <w:r>
              <w:rPr>
                <w:color w:val="auto"/>
                <w:szCs w:val="21"/>
                <w:highlight w:val="none"/>
              </w:rPr>
              <w:t>章：</w:t>
            </w:r>
          </w:p>
          <w:p w14:paraId="7FF74B03">
            <w:pPr>
              <w:spacing w:line="520" w:lineRule="exact"/>
              <w:jc w:val="center"/>
              <w:rPr>
                <w:color w:val="auto"/>
                <w:szCs w:val="21"/>
                <w:highlight w:val="none"/>
              </w:rPr>
            </w:pPr>
            <w:r>
              <w:rPr>
                <w:color w:val="auto"/>
                <w:szCs w:val="21"/>
                <w:highlight w:val="none"/>
              </w:rPr>
              <w:t xml:space="preserve">                           年    月     日</w:t>
            </w:r>
          </w:p>
        </w:tc>
      </w:tr>
      <w:tr w14:paraId="4B5E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864EA6E">
            <w:pPr>
              <w:jc w:val="center"/>
              <w:rPr>
                <w:color w:val="auto"/>
                <w:szCs w:val="21"/>
                <w:highlight w:val="none"/>
              </w:rPr>
            </w:pPr>
            <w:r>
              <w:rPr>
                <w:color w:val="auto"/>
                <w:szCs w:val="21"/>
                <w:highlight w:val="none"/>
              </w:rPr>
              <w:t>采</w:t>
            </w:r>
          </w:p>
          <w:p w14:paraId="231707F4">
            <w:pPr>
              <w:jc w:val="center"/>
              <w:rPr>
                <w:color w:val="auto"/>
                <w:szCs w:val="21"/>
                <w:highlight w:val="none"/>
              </w:rPr>
            </w:pPr>
            <w:r>
              <w:rPr>
                <w:color w:val="auto"/>
                <w:szCs w:val="21"/>
                <w:highlight w:val="none"/>
              </w:rPr>
              <w:t>购</w:t>
            </w:r>
          </w:p>
          <w:p w14:paraId="612AD76C">
            <w:pPr>
              <w:jc w:val="center"/>
              <w:rPr>
                <w:color w:val="auto"/>
                <w:szCs w:val="21"/>
                <w:highlight w:val="none"/>
              </w:rPr>
            </w:pPr>
            <w:r>
              <w:rPr>
                <w:color w:val="auto"/>
                <w:szCs w:val="21"/>
                <w:highlight w:val="none"/>
              </w:rPr>
              <w:t>单</w:t>
            </w:r>
          </w:p>
          <w:p w14:paraId="63B991A3">
            <w:pPr>
              <w:jc w:val="center"/>
              <w:rPr>
                <w:color w:val="auto"/>
                <w:szCs w:val="21"/>
                <w:highlight w:val="none"/>
              </w:rPr>
            </w:pPr>
            <w:r>
              <w:rPr>
                <w:color w:val="auto"/>
                <w:szCs w:val="21"/>
                <w:highlight w:val="none"/>
              </w:rPr>
              <w:t>位</w:t>
            </w:r>
          </w:p>
          <w:p w14:paraId="212B83E0">
            <w:pPr>
              <w:jc w:val="center"/>
              <w:rPr>
                <w:color w:val="auto"/>
                <w:szCs w:val="21"/>
                <w:highlight w:val="none"/>
              </w:rPr>
            </w:pPr>
            <w:r>
              <w:rPr>
                <w:color w:val="auto"/>
                <w:szCs w:val="21"/>
                <w:highlight w:val="none"/>
              </w:rPr>
              <w:t>意</w:t>
            </w:r>
          </w:p>
          <w:p w14:paraId="005F7FED">
            <w:pPr>
              <w:jc w:val="center"/>
              <w:rPr>
                <w:color w:val="auto"/>
                <w:szCs w:val="21"/>
                <w:highlight w:val="none"/>
              </w:rPr>
            </w:pPr>
            <w:r>
              <w:rPr>
                <w:color w:val="auto"/>
                <w:szCs w:val="21"/>
                <w:highlight w:val="none"/>
              </w:rPr>
              <w:t>见</w:t>
            </w:r>
          </w:p>
        </w:tc>
        <w:tc>
          <w:tcPr>
            <w:tcW w:w="8640" w:type="dxa"/>
            <w:vAlign w:val="top"/>
          </w:tcPr>
          <w:p w14:paraId="6A6E99EA">
            <w:pPr>
              <w:rPr>
                <w:color w:val="auto"/>
                <w:szCs w:val="21"/>
                <w:highlight w:val="none"/>
              </w:rPr>
            </w:pPr>
          </w:p>
          <w:p w14:paraId="499CD89D">
            <w:pPr>
              <w:rPr>
                <w:color w:val="auto"/>
                <w:szCs w:val="21"/>
                <w:highlight w:val="none"/>
              </w:rPr>
            </w:pPr>
            <w:r>
              <w:rPr>
                <w:color w:val="auto"/>
                <w:szCs w:val="21"/>
                <w:highlight w:val="none"/>
              </w:rPr>
              <w:t>退付意见：是否同意退付履约保证金及退付金额：</w:t>
            </w:r>
          </w:p>
          <w:p w14:paraId="2C1C4053">
            <w:pPr>
              <w:rPr>
                <w:color w:val="auto"/>
                <w:szCs w:val="21"/>
                <w:highlight w:val="none"/>
              </w:rPr>
            </w:pPr>
          </w:p>
          <w:p w14:paraId="683B04A9">
            <w:pPr>
              <w:rPr>
                <w:color w:val="auto"/>
                <w:szCs w:val="21"/>
                <w:highlight w:val="none"/>
              </w:rPr>
            </w:pPr>
          </w:p>
          <w:p w14:paraId="5A5647FA">
            <w:pPr>
              <w:spacing w:line="520" w:lineRule="exact"/>
              <w:rPr>
                <w:color w:val="auto"/>
                <w:szCs w:val="21"/>
                <w:highlight w:val="none"/>
              </w:rPr>
            </w:pPr>
            <w:r>
              <w:rPr>
                <w:color w:val="auto"/>
                <w:szCs w:val="21"/>
                <w:highlight w:val="none"/>
              </w:rPr>
              <w:t>联系人及电话：                                 采购单位</w:t>
            </w:r>
            <w:r>
              <w:rPr>
                <w:rFonts w:hint="eastAsia"/>
                <w:color w:val="auto"/>
                <w:szCs w:val="21"/>
                <w:highlight w:val="none"/>
              </w:rPr>
              <w:t>公</w:t>
            </w:r>
            <w:r>
              <w:rPr>
                <w:color w:val="auto"/>
                <w:szCs w:val="21"/>
                <w:highlight w:val="none"/>
              </w:rPr>
              <w:t>章</w:t>
            </w:r>
          </w:p>
          <w:p w14:paraId="15C1CC67">
            <w:pPr>
              <w:spacing w:line="520" w:lineRule="exact"/>
              <w:jc w:val="center"/>
              <w:rPr>
                <w:color w:val="auto"/>
                <w:szCs w:val="21"/>
                <w:highlight w:val="none"/>
              </w:rPr>
            </w:pPr>
            <w:r>
              <w:rPr>
                <w:color w:val="auto"/>
                <w:szCs w:val="21"/>
                <w:highlight w:val="none"/>
              </w:rPr>
              <w:t xml:space="preserve">                                        年    月     日</w:t>
            </w:r>
          </w:p>
        </w:tc>
      </w:tr>
      <w:tr w14:paraId="10C3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85A19BB">
            <w:pPr>
              <w:jc w:val="center"/>
              <w:rPr>
                <w:color w:val="auto"/>
                <w:szCs w:val="21"/>
                <w:highlight w:val="none"/>
              </w:rPr>
            </w:pPr>
            <w:r>
              <w:rPr>
                <w:color w:val="auto"/>
                <w:szCs w:val="21"/>
                <w:highlight w:val="none"/>
              </w:rPr>
              <w:t>财</w:t>
            </w:r>
          </w:p>
          <w:p w14:paraId="38D0EA4D">
            <w:pPr>
              <w:jc w:val="center"/>
              <w:rPr>
                <w:color w:val="auto"/>
                <w:szCs w:val="21"/>
                <w:highlight w:val="none"/>
              </w:rPr>
            </w:pPr>
            <w:r>
              <w:rPr>
                <w:color w:val="auto"/>
                <w:szCs w:val="21"/>
                <w:highlight w:val="none"/>
              </w:rPr>
              <w:t>务</w:t>
            </w:r>
          </w:p>
          <w:p w14:paraId="1E6D2DAC">
            <w:pPr>
              <w:jc w:val="center"/>
              <w:rPr>
                <w:color w:val="auto"/>
                <w:szCs w:val="21"/>
                <w:highlight w:val="none"/>
              </w:rPr>
            </w:pPr>
            <w:r>
              <w:rPr>
                <w:color w:val="auto"/>
                <w:szCs w:val="21"/>
                <w:highlight w:val="none"/>
              </w:rPr>
              <w:t>部</w:t>
            </w:r>
          </w:p>
          <w:p w14:paraId="45563351">
            <w:pPr>
              <w:jc w:val="center"/>
              <w:rPr>
                <w:color w:val="auto"/>
                <w:szCs w:val="21"/>
                <w:highlight w:val="none"/>
              </w:rPr>
            </w:pPr>
            <w:r>
              <w:rPr>
                <w:color w:val="auto"/>
                <w:szCs w:val="21"/>
                <w:highlight w:val="none"/>
              </w:rPr>
              <w:t>门</w:t>
            </w:r>
          </w:p>
          <w:p w14:paraId="296A5E2B">
            <w:pPr>
              <w:jc w:val="center"/>
              <w:rPr>
                <w:color w:val="auto"/>
                <w:szCs w:val="21"/>
                <w:highlight w:val="none"/>
              </w:rPr>
            </w:pPr>
            <w:r>
              <w:rPr>
                <w:color w:val="auto"/>
                <w:szCs w:val="21"/>
                <w:highlight w:val="none"/>
              </w:rPr>
              <w:t>意</w:t>
            </w:r>
          </w:p>
          <w:p w14:paraId="15E9EDD1">
            <w:pPr>
              <w:jc w:val="center"/>
              <w:rPr>
                <w:color w:val="auto"/>
                <w:szCs w:val="21"/>
                <w:highlight w:val="none"/>
              </w:rPr>
            </w:pPr>
            <w:r>
              <w:rPr>
                <w:color w:val="auto"/>
                <w:szCs w:val="21"/>
                <w:highlight w:val="none"/>
              </w:rPr>
              <w:t>见</w:t>
            </w:r>
          </w:p>
        </w:tc>
        <w:tc>
          <w:tcPr>
            <w:tcW w:w="8640" w:type="dxa"/>
            <w:vAlign w:val="top"/>
          </w:tcPr>
          <w:p w14:paraId="69C16A26">
            <w:pPr>
              <w:spacing w:line="640" w:lineRule="exact"/>
              <w:rPr>
                <w:color w:val="auto"/>
                <w:szCs w:val="21"/>
                <w:highlight w:val="none"/>
              </w:rPr>
            </w:pPr>
            <w:r>
              <w:rPr>
                <w:color w:val="auto"/>
                <w:szCs w:val="21"/>
                <w:highlight w:val="none"/>
              </w:rPr>
              <w:t>此表于</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 xml:space="preserve"> 月 </w:t>
            </w:r>
            <w:r>
              <w:rPr>
                <w:color w:val="auto"/>
                <w:szCs w:val="21"/>
                <w:highlight w:val="none"/>
                <w:u w:val="single"/>
              </w:rPr>
              <w:t xml:space="preserve">   </w:t>
            </w:r>
            <w:r>
              <w:rPr>
                <w:color w:val="auto"/>
                <w:szCs w:val="21"/>
                <w:highlight w:val="none"/>
              </w:rPr>
              <w:t xml:space="preserve"> 日收到。</w:t>
            </w:r>
          </w:p>
          <w:p w14:paraId="4DAA0B04">
            <w:pPr>
              <w:spacing w:line="640" w:lineRule="exact"/>
              <w:rPr>
                <w:color w:val="auto"/>
                <w:szCs w:val="21"/>
                <w:highlight w:val="none"/>
              </w:rPr>
            </w:pPr>
            <w:r>
              <w:rPr>
                <w:color w:val="auto"/>
                <w:szCs w:val="21"/>
                <w:highlight w:val="none"/>
              </w:rPr>
              <w:t>会计审核：</w:t>
            </w:r>
          </w:p>
          <w:p w14:paraId="3995124B">
            <w:pPr>
              <w:spacing w:line="640" w:lineRule="exact"/>
              <w:rPr>
                <w:color w:val="auto"/>
                <w:szCs w:val="21"/>
                <w:highlight w:val="none"/>
              </w:rPr>
            </w:pPr>
            <w:r>
              <w:rPr>
                <w:color w:val="auto"/>
                <w:szCs w:val="21"/>
                <w:highlight w:val="none"/>
              </w:rPr>
              <w:t>财务负责人审核：</w:t>
            </w:r>
          </w:p>
          <w:p w14:paraId="392AA65A">
            <w:pPr>
              <w:spacing w:line="640" w:lineRule="exact"/>
              <w:rPr>
                <w:color w:val="auto"/>
                <w:szCs w:val="21"/>
                <w:highlight w:val="none"/>
              </w:rPr>
            </w:pPr>
            <w:r>
              <w:rPr>
                <w:color w:val="auto"/>
                <w:szCs w:val="21"/>
                <w:highlight w:val="none"/>
              </w:rPr>
              <w:t>单位负责人签字：</w:t>
            </w:r>
          </w:p>
          <w:p w14:paraId="677D6B81">
            <w:pPr>
              <w:spacing w:line="640" w:lineRule="exact"/>
              <w:rPr>
                <w:color w:val="auto"/>
                <w:szCs w:val="21"/>
                <w:highlight w:val="none"/>
              </w:rPr>
            </w:pPr>
            <w:r>
              <w:rPr>
                <w:color w:val="auto"/>
                <w:szCs w:val="21"/>
                <w:highlight w:val="none"/>
              </w:rPr>
              <w:t>出纳办理转账日期：</w:t>
            </w:r>
          </w:p>
        </w:tc>
      </w:tr>
    </w:tbl>
    <w:p w14:paraId="71DCA262">
      <w:pPr>
        <w:pStyle w:val="19"/>
        <w:ind w:left="450" w:leftChars="114" w:hanging="211" w:hangingChars="100"/>
        <w:rPr>
          <w:b/>
          <w:bCs/>
          <w:color w:val="auto"/>
          <w:sz w:val="21"/>
          <w:szCs w:val="21"/>
          <w:highlight w:val="none"/>
        </w:rPr>
      </w:pPr>
      <w:r>
        <w:rPr>
          <w:b/>
          <w:bCs/>
          <w:color w:val="auto"/>
          <w:sz w:val="21"/>
          <w:szCs w:val="21"/>
          <w:highlight w:val="none"/>
        </w:rPr>
        <w:t>注：供应商凭经采购单位审批的退付意见书到相关财务部办理履约保证金退付事宜。</w:t>
      </w:r>
    </w:p>
    <w:p w14:paraId="7C215513">
      <w:pPr>
        <w:spacing w:before="120" w:line="320" w:lineRule="atLeast"/>
        <w:jc w:val="left"/>
        <w:outlineLvl w:val="1"/>
        <w:rPr>
          <w:b/>
          <w:bCs/>
          <w:color w:val="auto"/>
          <w:kern w:val="0"/>
          <w:szCs w:val="21"/>
          <w:highlight w:val="none"/>
        </w:rPr>
      </w:pPr>
      <w:r>
        <w:rPr>
          <w:b/>
          <w:color w:val="auto"/>
          <w:sz w:val="32"/>
          <w:szCs w:val="32"/>
          <w:highlight w:val="none"/>
        </w:rPr>
        <w:br w:type="page"/>
      </w:r>
      <w:r>
        <w:rPr>
          <w:b/>
          <w:bCs/>
          <w:color w:val="auto"/>
          <w:kern w:val="0"/>
          <w:szCs w:val="21"/>
          <w:highlight w:val="none"/>
        </w:rPr>
        <w:t>合同附件2</w:t>
      </w:r>
    </w:p>
    <w:p w14:paraId="0C2A1081">
      <w:pPr>
        <w:snapToGrid w:val="0"/>
        <w:spacing w:line="360" w:lineRule="exact"/>
        <w:jc w:val="center"/>
        <w:rPr>
          <w:b/>
          <w:bCs/>
          <w:color w:val="auto"/>
          <w:szCs w:val="21"/>
          <w:highlight w:val="none"/>
        </w:rPr>
      </w:pPr>
    </w:p>
    <w:p w14:paraId="3AD82F31">
      <w:pPr>
        <w:snapToGrid w:val="0"/>
        <w:spacing w:line="360" w:lineRule="exact"/>
        <w:jc w:val="center"/>
        <w:rPr>
          <w:b/>
          <w:bCs/>
          <w:color w:val="auto"/>
          <w:szCs w:val="21"/>
          <w:highlight w:val="none"/>
        </w:rPr>
      </w:pPr>
      <w:r>
        <w:rPr>
          <w:b/>
          <w:bCs/>
          <w:color w:val="auto"/>
          <w:szCs w:val="21"/>
          <w:highlight w:val="none"/>
        </w:rPr>
        <w:t>履约</w:t>
      </w:r>
      <w:r>
        <w:rPr>
          <w:rFonts w:hint="eastAsia"/>
          <w:b/>
          <w:bCs/>
          <w:color w:val="auto"/>
          <w:szCs w:val="21"/>
          <w:highlight w:val="none"/>
        </w:rPr>
        <w:t>验收方案</w:t>
      </w:r>
    </w:p>
    <w:p w14:paraId="289B291D">
      <w:pPr>
        <w:widowControl/>
        <w:jc w:val="left"/>
        <w:rPr>
          <w:color w:val="auto"/>
          <w:szCs w:val="21"/>
          <w:highlight w:val="none"/>
        </w:rPr>
      </w:pPr>
    </w:p>
    <w:p w14:paraId="1D99B16B">
      <w:pPr>
        <w:pStyle w:val="173"/>
        <w:ind w:firstLineChars="0"/>
        <w:rPr>
          <w:rFonts w:ascii="Times New Roman" w:hAnsi="Times New Roman" w:eastAsia="宋体"/>
          <w:color w:val="auto"/>
          <w:kern w:val="2"/>
          <w:sz w:val="21"/>
          <w:szCs w:val="21"/>
          <w:highlight w:val="none"/>
        </w:rPr>
      </w:pPr>
    </w:p>
    <w:p w14:paraId="2D0F55D0">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1.履约验收工作参加人员</w:t>
      </w:r>
    </w:p>
    <w:p w14:paraId="5068F206">
      <w:pPr>
        <w:spacing w:before="120" w:line="320" w:lineRule="exact"/>
        <w:jc w:val="left"/>
        <w:rPr>
          <w:rFonts w:ascii="宋体" w:hAnsi="宋体" w:cs="宋体"/>
          <w:color w:val="auto"/>
          <w:szCs w:val="21"/>
          <w:highlight w:val="none"/>
        </w:rPr>
      </w:pPr>
      <w:r>
        <w:rPr>
          <w:rFonts w:hint="eastAsia" w:ascii="宋体" w:hAnsi="宋体" w:cs="宋体"/>
          <w:b/>
          <w:bCs/>
          <w:color w:val="auto"/>
          <w:szCs w:val="21"/>
          <w:highlight w:val="none"/>
        </w:rPr>
        <w:t>1.1履约验收主体单位</w:t>
      </w:r>
    </w:p>
    <w:p w14:paraId="529C02F1">
      <w:pPr>
        <w:spacing w:before="120" w:line="320" w:lineRule="exact"/>
        <w:ind w:firstLine="420" w:firstLineChars="200"/>
        <w:jc w:val="left"/>
        <w:rPr>
          <w:rFonts w:ascii="宋体" w:hAnsi="宋体" w:cs="宋体"/>
          <w:color w:val="auto"/>
          <w:szCs w:val="21"/>
          <w:highlight w:val="none"/>
          <w:u w:val="single"/>
        </w:rPr>
      </w:pPr>
      <w:r>
        <w:rPr>
          <w:rStyle w:val="58"/>
          <w:rFonts w:hint="eastAsia"/>
          <w:color w:val="auto"/>
          <w:highlight w:val="none"/>
          <w:u w:val="single"/>
        </w:rPr>
        <w:t>采购人</w:t>
      </w:r>
      <w:r>
        <w:rPr>
          <w:rStyle w:val="58"/>
          <w:rFonts w:hint="eastAsia"/>
          <w:color w:val="auto"/>
          <w:highlight w:val="none"/>
        </w:rPr>
        <w:t>（如委托第三方机构签订，应注明收费方式）</w:t>
      </w:r>
    </w:p>
    <w:p w14:paraId="685F620B">
      <w:pPr>
        <w:spacing w:before="120" w:line="320" w:lineRule="exact"/>
        <w:jc w:val="left"/>
        <w:rPr>
          <w:rFonts w:ascii="宋体" w:hAnsi="宋体" w:cs="宋体"/>
          <w:color w:val="auto"/>
          <w:szCs w:val="21"/>
          <w:highlight w:val="none"/>
        </w:rPr>
      </w:pPr>
      <w:r>
        <w:rPr>
          <w:rFonts w:hint="eastAsia" w:ascii="宋体" w:hAnsi="宋体" w:cs="宋体"/>
          <w:b/>
          <w:bCs/>
          <w:color w:val="auto"/>
          <w:szCs w:val="21"/>
          <w:highlight w:val="none"/>
        </w:rPr>
        <w:t>1.2履约验收参加人员</w:t>
      </w:r>
    </w:p>
    <w:p w14:paraId="0CB125BC">
      <w:pPr>
        <w:spacing w:before="120" w:line="320" w:lineRule="exact"/>
        <w:ind w:firstLine="420" w:firstLineChars="200"/>
        <w:jc w:val="left"/>
        <w:rPr>
          <w:rFonts w:ascii="宋体" w:hAnsi="宋体" w:cs="宋体"/>
          <w:color w:val="auto"/>
          <w:szCs w:val="21"/>
          <w:highlight w:val="none"/>
          <w:u w:val="single"/>
        </w:rPr>
      </w:pPr>
      <w:r>
        <w:rPr>
          <w:rFonts w:hint="eastAsia"/>
          <w:color w:val="auto"/>
          <w:highlight w:val="none"/>
        </w:rPr>
        <w:t>采购人代表、委托机构代表、成交供应商代表及采购人邀请的其他人员</w:t>
      </w:r>
    </w:p>
    <w:p w14:paraId="30C7ADDB">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2.履约验收时间</w:t>
      </w:r>
    </w:p>
    <w:p w14:paraId="617CFC4D">
      <w:pPr>
        <w:spacing w:before="120" w:line="320" w:lineRule="exact"/>
        <w:jc w:val="left"/>
        <w:rPr>
          <w:rFonts w:ascii="宋体" w:hAnsi="宋体" w:cs="宋体"/>
          <w:color w:val="auto"/>
          <w:szCs w:val="21"/>
          <w:highlight w:val="none"/>
        </w:rPr>
      </w:pPr>
      <w:r>
        <w:rPr>
          <w:rFonts w:hint="eastAsia" w:ascii="宋体" w:hAnsi="宋体" w:cs="宋体"/>
          <w:color w:val="auto"/>
          <w:szCs w:val="21"/>
          <w:highlight w:val="none"/>
        </w:rPr>
        <w:t>20XX年XX月XX日</w:t>
      </w:r>
    </w:p>
    <w:p w14:paraId="6EBD7B5E">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3.履约验收地点</w:t>
      </w:r>
    </w:p>
    <w:p w14:paraId="06248FCA">
      <w:pPr>
        <w:spacing w:before="120" w:line="320" w:lineRule="exact"/>
        <w:jc w:val="left"/>
        <w:rPr>
          <w:rFonts w:ascii="宋体" w:hAnsi="宋体" w:cs="宋体"/>
          <w:color w:val="auto"/>
          <w:szCs w:val="21"/>
          <w:highlight w:val="none"/>
        </w:rPr>
      </w:pPr>
      <w:r>
        <w:rPr>
          <w:rFonts w:hint="eastAsia" w:ascii="宋体" w:hAnsi="宋体" w:cs="宋体"/>
          <w:color w:val="auto"/>
          <w:szCs w:val="21"/>
          <w:highlight w:val="none"/>
        </w:rPr>
        <w:t>XX市XX区XX路XX号</w:t>
      </w:r>
    </w:p>
    <w:p w14:paraId="7DD817B7">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4.履约验收方式</w:t>
      </w:r>
    </w:p>
    <w:p w14:paraId="54CEE1B1">
      <w:pPr>
        <w:spacing w:before="120" w:line="320" w:lineRule="exact"/>
        <w:jc w:val="left"/>
        <w:rPr>
          <w:rFonts w:ascii="宋体" w:hAnsi="宋体" w:cs="宋体"/>
          <w:b/>
          <w:bCs/>
          <w:color w:val="auto"/>
          <w:szCs w:val="21"/>
          <w:highlight w:val="none"/>
          <w:u w:val="single"/>
        </w:rPr>
      </w:pPr>
      <w:r>
        <w:rPr>
          <w:rFonts w:hint="eastAsia" w:ascii="宋体" w:hAnsi="宋体" w:cs="宋体"/>
          <w:color w:val="auto"/>
          <w:szCs w:val="21"/>
          <w:highlight w:val="none"/>
          <w:u w:val="single"/>
        </w:rPr>
        <w:t>采购人自行验收</w:t>
      </w:r>
    </w:p>
    <w:p w14:paraId="0478C0AB">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5.履约验收程序</w:t>
      </w:r>
    </w:p>
    <w:p w14:paraId="769E1ADB">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5.1成立验收小组</w:t>
      </w:r>
    </w:p>
    <w:p w14:paraId="4CBA861D">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w:t>
      </w:r>
      <w:r>
        <w:rPr>
          <w:rFonts w:ascii="宋体" w:hAnsi="宋体" w:cs="宋体"/>
          <w:b/>
          <w:bCs/>
          <w:color w:val="auto"/>
          <w:szCs w:val="21"/>
          <w:highlight w:val="none"/>
        </w:rPr>
        <w:t>.2</w:t>
      </w:r>
      <w:r>
        <w:rPr>
          <w:rFonts w:hint="eastAsia" w:ascii="宋体" w:hAnsi="宋体" w:cs="宋体"/>
          <w:b/>
          <w:bCs/>
          <w:color w:val="auto"/>
          <w:szCs w:val="21"/>
          <w:highlight w:val="none"/>
        </w:rPr>
        <w:t>量化验收标准</w:t>
      </w:r>
    </w:p>
    <w:p w14:paraId="60C774A3">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w:t>
      </w:r>
      <w:r>
        <w:rPr>
          <w:rFonts w:ascii="宋体" w:hAnsi="宋体" w:cs="宋体"/>
          <w:b/>
          <w:bCs/>
          <w:color w:val="auto"/>
          <w:szCs w:val="21"/>
          <w:highlight w:val="none"/>
        </w:rPr>
        <w:t>3</w:t>
      </w:r>
      <w:r>
        <w:rPr>
          <w:rFonts w:hint="eastAsia" w:ascii="宋体" w:hAnsi="宋体" w:cs="宋体"/>
          <w:b/>
          <w:bCs/>
          <w:color w:val="auto"/>
          <w:szCs w:val="21"/>
          <w:highlight w:val="none"/>
        </w:rPr>
        <w:t>组织验收</w:t>
      </w:r>
    </w:p>
    <w:p w14:paraId="66D31736">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w:t>
      </w:r>
      <w:r>
        <w:rPr>
          <w:rFonts w:ascii="宋体" w:hAnsi="宋体" w:cs="宋体"/>
          <w:b/>
          <w:bCs/>
          <w:color w:val="auto"/>
          <w:szCs w:val="21"/>
          <w:highlight w:val="none"/>
        </w:rPr>
        <w:t>4</w:t>
      </w:r>
      <w:r>
        <w:rPr>
          <w:rFonts w:hint="eastAsia" w:ascii="宋体" w:hAnsi="宋体" w:cs="宋体"/>
          <w:b/>
          <w:bCs/>
          <w:color w:val="auto"/>
          <w:szCs w:val="21"/>
          <w:highlight w:val="none"/>
        </w:rPr>
        <w:t>出具验收报告</w:t>
      </w:r>
    </w:p>
    <w:p w14:paraId="277D98D6">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w:t>
      </w:r>
      <w:r>
        <w:rPr>
          <w:rFonts w:ascii="宋体" w:hAnsi="宋体" w:cs="宋体"/>
          <w:b/>
          <w:bCs/>
          <w:color w:val="auto"/>
          <w:szCs w:val="21"/>
          <w:highlight w:val="none"/>
        </w:rPr>
        <w:t>5</w:t>
      </w:r>
      <w:r>
        <w:rPr>
          <w:rFonts w:hint="eastAsia" w:ascii="宋体" w:hAnsi="宋体" w:cs="宋体"/>
          <w:b/>
          <w:bCs/>
          <w:color w:val="auto"/>
          <w:szCs w:val="21"/>
          <w:highlight w:val="none"/>
        </w:rPr>
        <w:t>验收结果公告</w:t>
      </w:r>
    </w:p>
    <w:p w14:paraId="372076BB">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w:t>
      </w:r>
      <w:r>
        <w:rPr>
          <w:rFonts w:ascii="宋体" w:hAnsi="宋体" w:cs="宋体"/>
          <w:b/>
          <w:bCs/>
          <w:color w:val="auto"/>
          <w:szCs w:val="21"/>
          <w:highlight w:val="none"/>
        </w:rPr>
        <w:t>6</w:t>
      </w:r>
      <w:r>
        <w:rPr>
          <w:rFonts w:hint="eastAsia" w:ascii="宋体" w:hAnsi="宋体" w:cs="宋体"/>
          <w:b/>
          <w:bCs/>
          <w:color w:val="auto"/>
          <w:szCs w:val="21"/>
          <w:highlight w:val="none"/>
        </w:rPr>
        <w:t>验收资料归档</w:t>
      </w:r>
    </w:p>
    <w:p w14:paraId="49D1EAC9">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采购合同项目完成验收后，采购人整理好验收原始记录、验收书等资料后妥善保管，不得变造、隐匿或者销毁，验收资料保存期为采购结束之日起至少保存15年。</w:t>
      </w:r>
    </w:p>
    <w:p w14:paraId="07DF348E">
      <w:pPr>
        <w:spacing w:before="120" w:line="320" w:lineRule="exact"/>
        <w:jc w:val="left"/>
        <w:rPr>
          <w:rFonts w:ascii="宋体" w:hAnsi="宋体" w:cs="宋体"/>
          <w:b/>
          <w:bCs/>
          <w:iCs/>
          <w:color w:val="auto"/>
          <w:szCs w:val="21"/>
          <w:highlight w:val="none"/>
        </w:rPr>
      </w:pPr>
      <w:r>
        <w:rPr>
          <w:rFonts w:hint="eastAsia" w:ascii="宋体" w:hAnsi="宋体" w:cs="宋体"/>
          <w:b/>
          <w:bCs/>
          <w:color w:val="auto"/>
          <w:szCs w:val="21"/>
          <w:highlight w:val="none"/>
        </w:rPr>
        <w:t>6.履约验收内容</w:t>
      </w:r>
    </w:p>
    <w:p w14:paraId="6ACB877F">
      <w:pPr>
        <w:spacing w:before="120" w:line="320" w:lineRule="exact"/>
        <w:jc w:val="left"/>
        <w:rPr>
          <w:rFonts w:ascii="宋体" w:hAnsi="宋体" w:cs="宋体"/>
          <w:iCs/>
          <w:color w:val="auto"/>
          <w:szCs w:val="21"/>
          <w:highlight w:val="none"/>
        </w:rPr>
      </w:pPr>
      <w:r>
        <w:rPr>
          <w:rFonts w:hint="eastAsia" w:ascii="宋体" w:hAnsi="宋体" w:cs="宋体"/>
          <w:b/>
          <w:bCs/>
          <w:color w:val="auto"/>
          <w:szCs w:val="21"/>
          <w:highlight w:val="none"/>
        </w:rPr>
        <w:t>6.1商务验收内容</w:t>
      </w:r>
    </w:p>
    <w:p w14:paraId="0439608C">
      <w:pPr>
        <w:spacing w:before="120" w:line="320" w:lineRule="exact"/>
        <w:ind w:firstLine="420" w:firstLineChars="200"/>
        <w:jc w:val="left"/>
        <w:rPr>
          <w:rFonts w:ascii="宋体" w:hAnsi="宋体" w:eastAsia="Microsoft YaHei UI" w:cs="宋体"/>
          <w:color w:val="auto"/>
          <w:szCs w:val="21"/>
          <w:highlight w:val="none"/>
          <w:u w:val="single"/>
        </w:rPr>
      </w:pPr>
      <w:r>
        <w:rPr>
          <w:rFonts w:hint="eastAsia" w:ascii="宋体" w:hAnsi="宋体" w:cs="宋体"/>
          <w:color w:val="auto"/>
          <w:szCs w:val="21"/>
          <w:highlight w:val="none"/>
        </w:rPr>
        <w:t>对采购标的交付的情况、财务和服务要求，包括交付（实施）的时间（期限）和地点（范围），付款条件（进度和方式），包装和运输，售后服务，保险等进行验收。</w:t>
      </w:r>
    </w:p>
    <w:p w14:paraId="7D42DF72">
      <w:pPr>
        <w:spacing w:before="120" w:line="320" w:lineRule="exact"/>
        <w:jc w:val="left"/>
        <w:rPr>
          <w:rFonts w:ascii="宋体" w:hAnsi="宋体" w:cs="宋体"/>
          <w:iCs/>
          <w:color w:val="auto"/>
          <w:szCs w:val="21"/>
          <w:highlight w:val="none"/>
        </w:rPr>
      </w:pPr>
      <w:r>
        <w:rPr>
          <w:rFonts w:hint="eastAsia" w:ascii="宋体" w:hAnsi="宋体" w:cs="宋体"/>
          <w:b/>
          <w:bCs/>
          <w:color w:val="auto"/>
          <w:szCs w:val="21"/>
          <w:highlight w:val="none"/>
        </w:rPr>
        <w:t>6.2技术验收内容</w:t>
      </w:r>
    </w:p>
    <w:p w14:paraId="79390C54">
      <w:pPr>
        <w:spacing w:before="120" w:line="3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对采购标的的功能和质量要求，包括性能、材料、结构、外观、安全，或者服务内容和标准等进行验收。</w:t>
      </w:r>
    </w:p>
    <w:p w14:paraId="7D2D9C48">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7.履约验收标准</w:t>
      </w:r>
    </w:p>
    <w:p w14:paraId="02BF8770">
      <w:pPr>
        <w:pStyle w:val="173"/>
        <w:spacing w:before="120" w:line="320" w:lineRule="exact"/>
        <w:ind w:firstLine="42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验收标准：</w:t>
      </w:r>
    </w:p>
    <w:p w14:paraId="7D98A6F5">
      <w:pPr>
        <w:pStyle w:val="173"/>
        <w:spacing w:before="120" w:line="320" w:lineRule="exact"/>
        <w:ind w:firstLine="42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（1）中标（成交）供应商应提供完备的技术或服务资料、装箱单和合格证等，并派遣专业人员进行现场安装调试。验收合格条件如下：</w:t>
      </w:r>
    </w:p>
    <w:p w14:paraId="6E54E709">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服务技术参数与响应文件中响应表或证明材料一致，性能或指标达到规定的标准。否则，以实际服务技术参数与响应文件响应表参数或证明材料比较，按如下情况处理：</w:t>
      </w:r>
    </w:p>
    <w:p w14:paraId="48A40B7D">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①供应商响应文件响应表或证明材料中满足或优于的技术参数，在验收时实际不满足技术参数要求的，视为供应商违约，采购人有权终止合同拒收服务成果，并追究供应商责任，同时报财政部门备案。</w:t>
      </w:r>
    </w:p>
    <w:p w14:paraId="0D8F23D6">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②供应商响应文件响应表或证明材料中优于的技术参数，在验收时实际仅满足并未优于技术参数要求的，视为供应商违约，采购人有权终止合同拒收服务成果，并追究供应商责任，同时报财政部门备案。</w:t>
      </w:r>
    </w:p>
    <w:p w14:paraId="20341978">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 xml:space="preserve">③供应商响应文件响应表或证明材料中不满足的技术参数，在验收时实际满足技术参数的要求，以满足技术参数的要求验收。 </w:t>
      </w:r>
    </w:p>
    <w:p w14:paraId="54527F3B">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④供应商响应文件响应表或证明材料中满足的技术参数，在验收时实际优于技术参数的要求，以满足技术参数的要求验收。</w:t>
      </w:r>
    </w:p>
    <w:p w14:paraId="50A0AB52">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⑤供应商响应文件响应表或证明材料中优于的技术参数，在验收时实际也优于技术参数的要求，但没有达到响应表或证明材料中优于的程度，由采购人与供应商协商按是否满足要求验收。</w:t>
      </w:r>
    </w:p>
    <w:p w14:paraId="5E05B08C">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（1）在测试或试运行期间所出现的问题得到解决，并运行或工作正常。</w:t>
      </w:r>
    </w:p>
    <w:p w14:paraId="6A4AA85F">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（2）在规定时间内完成交付及验收，并经采购人确认。</w:t>
      </w:r>
    </w:p>
    <w:p w14:paraId="738358C9">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（3）服务在安装调试并试运行符合要求后，才作为最终验收。</w:t>
      </w:r>
    </w:p>
    <w:p w14:paraId="38D0D019">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（4）成交供应商提供的服务未达到采购文件规定要求，且对采购人造成损失的，由成交供应商承担一切责任，并赔偿所造成的损失。</w:t>
      </w:r>
    </w:p>
    <w:p w14:paraId="32DD8BDB">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（5）政府采购合同约定的其他要求及响应文件响应的其他标准。</w:t>
      </w:r>
    </w:p>
    <w:p w14:paraId="2C076BC5">
      <w:pPr>
        <w:spacing w:before="120" w:line="320" w:lineRule="exact"/>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8.履约验收其他事项</w:t>
      </w:r>
    </w:p>
    <w:p w14:paraId="014053B2">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无</w:t>
      </w:r>
    </w:p>
    <w:p w14:paraId="0039F993">
      <w:pPr>
        <w:spacing w:before="120" w:line="320" w:lineRule="exact"/>
        <w:rPr>
          <w:rFonts w:ascii="仿宋" w:hAnsi="仿宋" w:eastAsia="仿宋"/>
          <w:color w:val="auto"/>
          <w:szCs w:val="21"/>
          <w:highlight w:val="none"/>
          <w:u w:val="single"/>
        </w:rPr>
      </w:pPr>
      <w:r>
        <w:rPr>
          <w:rFonts w:hint="eastAsia" w:ascii="仿宋" w:hAnsi="仿宋" w:eastAsia="仿宋"/>
          <w:color w:val="auto"/>
          <w:szCs w:val="21"/>
          <w:highlight w:val="none"/>
          <w:u w:val="single"/>
        </w:rPr>
        <w:br w:type="page"/>
      </w:r>
    </w:p>
    <w:p w14:paraId="6528A091">
      <w:pPr>
        <w:snapToGrid w:val="0"/>
        <w:spacing w:line="360" w:lineRule="exact"/>
        <w:jc w:val="center"/>
        <w:rPr>
          <w:b/>
          <w:bCs/>
          <w:color w:val="auto"/>
          <w:szCs w:val="21"/>
          <w:highlight w:val="none"/>
        </w:rPr>
      </w:pPr>
      <w:r>
        <w:rPr>
          <w:b/>
          <w:bCs/>
          <w:color w:val="auto"/>
          <w:szCs w:val="21"/>
          <w:highlight w:val="none"/>
        </w:rPr>
        <w:t>广西壮族自治区政府采购项目合同验收书</w:t>
      </w:r>
    </w:p>
    <w:p w14:paraId="028D1955">
      <w:pPr>
        <w:widowControl/>
        <w:snapToGrid w:val="0"/>
        <w:spacing w:before="100" w:beforeAutospacing="1" w:after="100" w:afterAutospacing="1" w:line="320" w:lineRule="exact"/>
        <w:ind w:left="-359" w:leftChars="-171" w:firstLine="420" w:firstLineChars="200"/>
        <w:jc w:val="left"/>
        <w:rPr>
          <w:color w:val="auto"/>
          <w:kern w:val="0"/>
          <w:szCs w:val="21"/>
          <w:highlight w:val="none"/>
        </w:rPr>
      </w:pPr>
      <w:r>
        <w:rPr>
          <w:color w:val="auto"/>
          <w:kern w:val="0"/>
          <w:szCs w:val="21"/>
          <w:highlight w:val="none"/>
        </w:rPr>
        <w:t>根据政府采购项目（</w:t>
      </w:r>
      <w:r>
        <w:rPr>
          <w:color w:val="auto"/>
          <w:kern w:val="0"/>
          <w:szCs w:val="21"/>
          <w:highlight w:val="none"/>
          <w:u w:val="single"/>
        </w:rPr>
        <w:t>采购合同编号：</w:t>
      </w:r>
      <w:r>
        <w:rPr>
          <w:rFonts w:cs="Arial"/>
          <w:color w:val="auto"/>
          <w:szCs w:val="21"/>
          <w:highlight w:val="none"/>
          <w:u w:val="single"/>
        </w:rPr>
        <w:t>GXZC20XX-XX-XXXXX-JDZB</w:t>
      </w:r>
      <w:r>
        <w:rPr>
          <w:color w:val="auto"/>
          <w:kern w:val="0"/>
          <w:szCs w:val="21"/>
          <w:highlight w:val="none"/>
        </w:rPr>
        <w:t>）的约定，我单位对（</w:t>
      </w:r>
      <w:r>
        <w:rPr>
          <w:rFonts w:hint="eastAsia" w:cs="Arial"/>
          <w:color w:val="auto"/>
          <w:szCs w:val="21"/>
          <w:highlight w:val="none"/>
          <w:u w:val="single"/>
        </w:rPr>
        <w:t>XXXX采购项目</w:t>
      </w:r>
      <w:r>
        <w:rPr>
          <w:color w:val="auto"/>
          <w:kern w:val="0"/>
          <w:szCs w:val="21"/>
          <w:highlight w:val="none"/>
        </w:rPr>
        <w:t>）政府采购项目中标（或成交）供应商</w:t>
      </w:r>
      <w:r>
        <w:rPr>
          <w:rFonts w:hint="eastAsia"/>
          <w:color w:val="auto"/>
          <w:kern w:val="0"/>
          <w:szCs w:val="21"/>
          <w:highlight w:val="none"/>
          <w:u w:val="single"/>
        </w:rPr>
        <w:t>XX公司（填写供应商名称）</w:t>
      </w:r>
      <w:r>
        <w:rPr>
          <w:color w:val="auto"/>
          <w:kern w:val="0"/>
          <w:szCs w:val="21"/>
          <w:highlight w:val="none"/>
        </w:rPr>
        <w:t>提供的</w:t>
      </w:r>
      <w:r>
        <w:rPr>
          <w:rFonts w:hint="eastAsia"/>
          <w:color w:val="auto"/>
          <w:kern w:val="0"/>
          <w:szCs w:val="21"/>
          <w:highlight w:val="none"/>
        </w:rPr>
        <w:t>服务（或工程、货物）</w:t>
      </w:r>
      <w:r>
        <w:rPr>
          <w:color w:val="auto"/>
          <w:kern w:val="0"/>
          <w:szCs w:val="21"/>
          <w:highlight w:val="none"/>
        </w:rPr>
        <w:t>进行了验收，验收情况如下：</w:t>
      </w:r>
    </w:p>
    <w:tbl>
      <w:tblPr>
        <w:tblStyle w:val="51"/>
        <w:tblW w:w="962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61"/>
        <w:gridCol w:w="866"/>
        <w:gridCol w:w="977"/>
        <w:gridCol w:w="2263"/>
        <w:gridCol w:w="1608"/>
        <w:gridCol w:w="850"/>
        <w:gridCol w:w="242"/>
        <w:gridCol w:w="2160"/>
      </w:tblGrid>
      <w:tr w14:paraId="67DBDC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1" w:hRule="atLeast"/>
          <w:jc w:val="center"/>
        </w:trPr>
        <w:tc>
          <w:tcPr>
            <w:tcW w:w="2504" w:type="dxa"/>
            <w:gridSpan w:val="3"/>
            <w:tcBorders>
              <w:top w:val="single" w:color="auto" w:sz="8" w:space="0"/>
              <w:left w:val="single" w:color="auto" w:sz="8" w:space="0"/>
              <w:bottom w:val="single" w:color="auto" w:sz="8" w:space="0"/>
              <w:right w:val="single" w:color="auto" w:sz="8" w:space="0"/>
            </w:tcBorders>
            <w:vAlign w:val="center"/>
          </w:tcPr>
          <w:p w14:paraId="78726E7C">
            <w:pPr>
              <w:widowControl/>
              <w:snapToGrid w:val="0"/>
              <w:spacing w:before="100" w:beforeAutospacing="1" w:after="100" w:afterAutospacing="1" w:line="320" w:lineRule="exact"/>
              <w:ind w:left="-3" w:firstLine="4" w:firstLineChars="2"/>
              <w:jc w:val="center"/>
              <w:rPr>
                <w:color w:val="auto"/>
                <w:kern w:val="0"/>
                <w:szCs w:val="21"/>
                <w:highlight w:val="none"/>
              </w:rPr>
            </w:pPr>
            <w:r>
              <w:rPr>
                <w:color w:val="auto"/>
                <w:kern w:val="0"/>
                <w:szCs w:val="21"/>
                <w:highlight w:val="none"/>
              </w:rPr>
              <w:t>验收方式：</w:t>
            </w:r>
          </w:p>
        </w:tc>
        <w:tc>
          <w:tcPr>
            <w:tcW w:w="7123" w:type="dxa"/>
            <w:gridSpan w:val="5"/>
            <w:tcBorders>
              <w:top w:val="single" w:color="auto" w:sz="8" w:space="0"/>
              <w:left w:val="single" w:color="auto" w:sz="8" w:space="0"/>
              <w:bottom w:val="single" w:color="auto" w:sz="8" w:space="0"/>
              <w:right w:val="single" w:color="auto" w:sz="8" w:space="0"/>
            </w:tcBorders>
            <w:vAlign w:val="center"/>
          </w:tcPr>
          <w:p w14:paraId="1E51836A">
            <w:pPr>
              <w:widowControl/>
              <w:snapToGrid w:val="0"/>
              <w:spacing w:before="100" w:beforeAutospacing="1" w:after="100" w:afterAutospacing="1" w:line="320" w:lineRule="exact"/>
              <w:ind w:left="-3" w:firstLine="420" w:firstLineChars="200"/>
              <w:jc w:val="center"/>
              <w:rPr>
                <w:color w:val="auto"/>
                <w:kern w:val="0"/>
                <w:szCs w:val="21"/>
                <w:highlight w:val="none"/>
              </w:rPr>
            </w:pPr>
            <w:r>
              <w:rPr>
                <w:rFonts w:hint="eastAsia" w:cs="Arial"/>
                <w:color w:val="auto"/>
                <w:szCs w:val="21"/>
                <w:highlight w:val="none"/>
              </w:rPr>
              <w:t>□</w:t>
            </w:r>
            <w:r>
              <w:rPr>
                <w:color w:val="auto"/>
                <w:kern w:val="0"/>
                <w:szCs w:val="21"/>
                <w:highlight w:val="none"/>
              </w:rPr>
              <w:t>自行验收        </w:t>
            </w:r>
            <w:r>
              <w:rPr>
                <w:rFonts w:cs="Arial"/>
                <w:color w:val="auto"/>
                <w:szCs w:val="21"/>
                <w:highlight w:val="none"/>
              </w:rPr>
              <w:sym w:font="Wingdings 2" w:char="00A3"/>
            </w:r>
            <w:r>
              <w:rPr>
                <w:color w:val="auto"/>
                <w:kern w:val="0"/>
                <w:szCs w:val="21"/>
                <w:highlight w:val="none"/>
              </w:rPr>
              <w:t>委托验收</w:t>
            </w:r>
          </w:p>
        </w:tc>
      </w:tr>
      <w:tr w14:paraId="02AE0C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24" w:hRule="atLeast"/>
          <w:jc w:val="center"/>
        </w:trPr>
        <w:tc>
          <w:tcPr>
            <w:tcW w:w="661" w:type="dxa"/>
            <w:tcBorders>
              <w:top w:val="single" w:color="auto" w:sz="8" w:space="0"/>
              <w:left w:val="single" w:color="auto" w:sz="8" w:space="0"/>
              <w:bottom w:val="single" w:color="auto" w:sz="8" w:space="0"/>
              <w:right w:val="single" w:color="auto" w:sz="8" w:space="0"/>
            </w:tcBorders>
            <w:vAlign w:val="center"/>
          </w:tcPr>
          <w:p w14:paraId="76C442EC">
            <w:pPr>
              <w:widowControl/>
              <w:snapToGrid w:val="0"/>
              <w:spacing w:before="100" w:beforeAutospacing="1" w:after="100" w:afterAutospacing="1" w:line="320" w:lineRule="exact"/>
              <w:ind w:firstLine="2" w:firstLineChars="1"/>
              <w:jc w:val="center"/>
              <w:rPr>
                <w:color w:val="auto"/>
                <w:kern w:val="0"/>
                <w:szCs w:val="21"/>
                <w:highlight w:val="none"/>
              </w:rPr>
            </w:pPr>
            <w:r>
              <w:rPr>
                <w:color w:val="auto"/>
                <w:kern w:val="0"/>
                <w:szCs w:val="21"/>
                <w:highlight w:val="none"/>
              </w:rPr>
              <w:t>序号</w:t>
            </w:r>
          </w:p>
        </w:tc>
        <w:tc>
          <w:tcPr>
            <w:tcW w:w="1843" w:type="dxa"/>
            <w:gridSpan w:val="2"/>
            <w:tcBorders>
              <w:top w:val="single" w:color="auto" w:sz="8" w:space="0"/>
              <w:left w:val="single" w:color="auto" w:sz="8" w:space="0"/>
              <w:bottom w:val="single" w:color="auto" w:sz="8" w:space="0"/>
              <w:right w:val="single" w:color="auto" w:sz="8" w:space="0"/>
            </w:tcBorders>
            <w:vAlign w:val="center"/>
          </w:tcPr>
          <w:p w14:paraId="29D0A52D">
            <w:pPr>
              <w:widowControl/>
              <w:snapToGrid w:val="0"/>
              <w:spacing w:before="100" w:beforeAutospacing="1" w:after="100" w:afterAutospacing="1" w:line="320" w:lineRule="exact"/>
              <w:ind w:left="-3" w:firstLine="2" w:firstLineChars="1"/>
              <w:jc w:val="center"/>
              <w:rPr>
                <w:color w:val="auto"/>
                <w:kern w:val="0"/>
                <w:szCs w:val="21"/>
                <w:highlight w:val="none"/>
              </w:rPr>
            </w:pPr>
            <w:r>
              <w:rPr>
                <w:color w:val="auto"/>
                <w:kern w:val="0"/>
                <w:szCs w:val="21"/>
                <w:highlight w:val="none"/>
              </w:rPr>
              <w:t>名  称</w:t>
            </w:r>
          </w:p>
        </w:tc>
        <w:tc>
          <w:tcPr>
            <w:tcW w:w="3871" w:type="dxa"/>
            <w:gridSpan w:val="2"/>
            <w:tcBorders>
              <w:top w:val="single" w:color="auto" w:sz="8" w:space="0"/>
              <w:left w:val="single" w:color="auto" w:sz="8" w:space="0"/>
              <w:bottom w:val="single" w:color="auto" w:sz="8" w:space="0"/>
              <w:right w:val="single" w:color="auto" w:sz="8" w:space="0"/>
            </w:tcBorders>
            <w:vAlign w:val="center"/>
          </w:tcPr>
          <w:p w14:paraId="0EC6DD19">
            <w:pPr>
              <w:widowControl/>
              <w:snapToGrid w:val="0"/>
              <w:spacing w:before="100" w:beforeAutospacing="1" w:after="100" w:afterAutospacing="1" w:line="320" w:lineRule="exact"/>
              <w:ind w:left="-3" w:firstLine="2" w:firstLineChars="1"/>
              <w:jc w:val="center"/>
              <w:rPr>
                <w:color w:val="auto"/>
                <w:kern w:val="0"/>
                <w:szCs w:val="21"/>
                <w:highlight w:val="none"/>
              </w:rPr>
            </w:pPr>
            <w:r>
              <w:rPr>
                <w:color w:val="auto"/>
                <w:kern w:val="0"/>
                <w:szCs w:val="21"/>
                <w:highlight w:val="none"/>
              </w:rPr>
              <w:t>服务内容、标准等</w:t>
            </w:r>
          </w:p>
        </w:tc>
        <w:tc>
          <w:tcPr>
            <w:tcW w:w="850" w:type="dxa"/>
            <w:tcBorders>
              <w:top w:val="single" w:color="auto" w:sz="8" w:space="0"/>
              <w:left w:val="single" w:color="auto" w:sz="8" w:space="0"/>
              <w:bottom w:val="single" w:color="auto" w:sz="8" w:space="0"/>
              <w:right w:val="single" w:color="auto" w:sz="8" w:space="0"/>
            </w:tcBorders>
            <w:vAlign w:val="center"/>
          </w:tcPr>
          <w:p w14:paraId="4AACEAC0">
            <w:pPr>
              <w:widowControl/>
              <w:snapToGrid w:val="0"/>
              <w:spacing w:before="100" w:beforeAutospacing="1" w:after="100" w:afterAutospacing="1" w:line="320" w:lineRule="exact"/>
              <w:jc w:val="center"/>
              <w:rPr>
                <w:color w:val="auto"/>
                <w:kern w:val="0"/>
                <w:szCs w:val="21"/>
                <w:highlight w:val="none"/>
              </w:rPr>
            </w:pPr>
            <w:r>
              <w:rPr>
                <w:color w:val="auto"/>
                <w:kern w:val="0"/>
                <w:szCs w:val="21"/>
                <w:highlight w:val="none"/>
              </w:rPr>
              <w:t>数量</w:t>
            </w:r>
          </w:p>
        </w:tc>
        <w:tc>
          <w:tcPr>
            <w:tcW w:w="2402" w:type="dxa"/>
            <w:gridSpan w:val="2"/>
            <w:tcBorders>
              <w:top w:val="single" w:color="auto" w:sz="8" w:space="0"/>
              <w:left w:val="single" w:color="auto" w:sz="8" w:space="0"/>
              <w:bottom w:val="single" w:color="auto" w:sz="8" w:space="0"/>
              <w:right w:val="single" w:color="auto" w:sz="8" w:space="0"/>
            </w:tcBorders>
            <w:vAlign w:val="center"/>
          </w:tcPr>
          <w:p w14:paraId="7C007FF4">
            <w:pPr>
              <w:widowControl/>
              <w:snapToGrid w:val="0"/>
              <w:spacing w:before="100" w:beforeAutospacing="1" w:after="100" w:afterAutospacing="1" w:line="320" w:lineRule="exact"/>
              <w:ind w:left="-3" w:firstLine="2" w:firstLineChars="1"/>
              <w:jc w:val="center"/>
              <w:rPr>
                <w:color w:val="auto"/>
                <w:kern w:val="0"/>
                <w:szCs w:val="21"/>
                <w:highlight w:val="none"/>
              </w:rPr>
            </w:pPr>
            <w:r>
              <w:rPr>
                <w:color w:val="auto"/>
                <w:kern w:val="0"/>
                <w:szCs w:val="21"/>
                <w:highlight w:val="none"/>
              </w:rPr>
              <w:t>金  额</w:t>
            </w:r>
          </w:p>
        </w:tc>
      </w:tr>
      <w:tr w14:paraId="297A1B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661" w:type="dxa"/>
            <w:tcBorders>
              <w:top w:val="single" w:color="auto" w:sz="8" w:space="0"/>
              <w:left w:val="single" w:color="auto" w:sz="8" w:space="0"/>
              <w:bottom w:val="single" w:color="auto" w:sz="8" w:space="0"/>
              <w:right w:val="single" w:color="auto" w:sz="8" w:space="0"/>
            </w:tcBorders>
            <w:vAlign w:val="center"/>
          </w:tcPr>
          <w:p w14:paraId="07C2E09B">
            <w:pPr>
              <w:widowControl/>
              <w:snapToGrid w:val="0"/>
              <w:spacing w:before="100" w:beforeAutospacing="1" w:after="100" w:afterAutospacing="1" w:line="320" w:lineRule="exact"/>
              <w:ind w:left="-3" w:firstLine="4" w:firstLineChars="2"/>
              <w:jc w:val="center"/>
              <w:rPr>
                <w:color w:val="auto"/>
                <w:kern w:val="0"/>
                <w:szCs w:val="21"/>
                <w:highlight w:val="none"/>
              </w:rPr>
            </w:pPr>
            <w:r>
              <w:rPr>
                <w:rFonts w:hint="eastAsia"/>
                <w:color w:val="auto"/>
                <w:kern w:val="0"/>
                <w:szCs w:val="21"/>
                <w:highlight w:val="none"/>
              </w:rPr>
              <w:t>1</w:t>
            </w:r>
          </w:p>
        </w:tc>
        <w:tc>
          <w:tcPr>
            <w:tcW w:w="1843" w:type="dxa"/>
            <w:gridSpan w:val="2"/>
            <w:tcBorders>
              <w:top w:val="single" w:color="auto" w:sz="8" w:space="0"/>
              <w:left w:val="single" w:color="auto" w:sz="8" w:space="0"/>
              <w:bottom w:val="single" w:color="auto" w:sz="8" w:space="0"/>
              <w:right w:val="single" w:color="auto" w:sz="8" w:space="0"/>
            </w:tcBorders>
            <w:vAlign w:val="center"/>
          </w:tcPr>
          <w:p w14:paraId="7886E0A8">
            <w:pPr>
              <w:widowControl/>
              <w:snapToGrid w:val="0"/>
              <w:spacing w:before="100" w:beforeAutospacing="1" w:after="100" w:afterAutospacing="1" w:line="320" w:lineRule="exact"/>
              <w:ind w:left="-3" w:firstLine="420" w:firstLineChars="200"/>
              <w:jc w:val="left"/>
              <w:rPr>
                <w:color w:val="auto"/>
                <w:kern w:val="0"/>
                <w:szCs w:val="21"/>
                <w:highlight w:val="none"/>
              </w:rPr>
            </w:pPr>
            <w:r>
              <w:rPr>
                <w:rFonts w:hint="eastAsia"/>
                <w:color w:val="auto"/>
                <w:kern w:val="0"/>
                <w:szCs w:val="21"/>
                <w:highlight w:val="none"/>
              </w:rPr>
              <w:t>XXXX设备</w:t>
            </w:r>
          </w:p>
        </w:tc>
        <w:tc>
          <w:tcPr>
            <w:tcW w:w="3871" w:type="dxa"/>
            <w:gridSpan w:val="2"/>
            <w:tcBorders>
              <w:top w:val="single" w:color="auto" w:sz="8" w:space="0"/>
              <w:left w:val="single" w:color="auto" w:sz="8" w:space="0"/>
              <w:bottom w:val="single" w:color="auto" w:sz="8" w:space="0"/>
              <w:right w:val="single" w:color="auto" w:sz="8" w:space="0"/>
            </w:tcBorders>
            <w:vAlign w:val="center"/>
          </w:tcPr>
          <w:p w14:paraId="00934C19">
            <w:pPr>
              <w:pStyle w:val="175"/>
              <w:spacing w:before="120" w:after="120"/>
              <w:ind w:firstLine="0" w:firstLineChars="0"/>
              <w:rPr>
                <w:color w:val="auto"/>
                <w:szCs w:val="21"/>
                <w:highlight w:val="none"/>
              </w:rPr>
            </w:pPr>
          </w:p>
        </w:tc>
        <w:tc>
          <w:tcPr>
            <w:tcW w:w="850" w:type="dxa"/>
            <w:tcBorders>
              <w:top w:val="single" w:color="auto" w:sz="8" w:space="0"/>
              <w:left w:val="single" w:color="auto" w:sz="8" w:space="0"/>
              <w:bottom w:val="single" w:color="auto" w:sz="8" w:space="0"/>
              <w:right w:val="single" w:color="auto" w:sz="8" w:space="0"/>
            </w:tcBorders>
            <w:vAlign w:val="center"/>
          </w:tcPr>
          <w:p w14:paraId="5D5E947B">
            <w:pPr>
              <w:widowControl/>
              <w:snapToGrid w:val="0"/>
              <w:spacing w:before="100" w:beforeAutospacing="1" w:after="100" w:afterAutospacing="1" w:line="320" w:lineRule="exact"/>
              <w:jc w:val="center"/>
              <w:rPr>
                <w:color w:val="auto"/>
                <w:kern w:val="0"/>
                <w:szCs w:val="21"/>
                <w:highlight w:val="none"/>
              </w:rPr>
            </w:pPr>
            <w:r>
              <w:rPr>
                <w:color w:val="auto"/>
                <w:kern w:val="0"/>
                <w:szCs w:val="21"/>
                <w:highlight w:val="none"/>
              </w:rPr>
              <w:t>1</w:t>
            </w:r>
            <w:r>
              <w:rPr>
                <w:rFonts w:hint="eastAsia"/>
                <w:color w:val="auto"/>
                <w:kern w:val="0"/>
                <w:szCs w:val="21"/>
                <w:highlight w:val="none"/>
              </w:rPr>
              <w:t>套</w:t>
            </w:r>
          </w:p>
        </w:tc>
        <w:tc>
          <w:tcPr>
            <w:tcW w:w="2402" w:type="dxa"/>
            <w:gridSpan w:val="2"/>
            <w:tcBorders>
              <w:top w:val="single" w:color="auto" w:sz="8" w:space="0"/>
              <w:left w:val="single" w:color="auto" w:sz="8" w:space="0"/>
              <w:bottom w:val="single" w:color="auto" w:sz="8" w:space="0"/>
              <w:right w:val="single" w:color="auto" w:sz="8" w:space="0"/>
            </w:tcBorders>
            <w:vAlign w:val="center"/>
          </w:tcPr>
          <w:p w14:paraId="3A9063FC">
            <w:pPr>
              <w:pStyle w:val="175"/>
              <w:spacing w:before="120" w:after="120"/>
              <w:ind w:firstLine="0" w:firstLineChars="0"/>
              <w:jc w:val="center"/>
              <w:rPr>
                <w:color w:val="auto"/>
                <w:szCs w:val="21"/>
                <w:highlight w:val="none"/>
              </w:rPr>
            </w:pPr>
            <w:r>
              <w:rPr>
                <w:color w:val="auto"/>
                <w:szCs w:val="21"/>
                <w:highlight w:val="none"/>
              </w:rPr>
              <w:t>¥0.00元</w:t>
            </w:r>
          </w:p>
        </w:tc>
      </w:tr>
      <w:tr w14:paraId="3A6293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6375" w:type="dxa"/>
            <w:gridSpan w:val="5"/>
            <w:tcBorders>
              <w:top w:val="single" w:color="auto" w:sz="8" w:space="0"/>
              <w:left w:val="single" w:color="auto" w:sz="8" w:space="0"/>
              <w:bottom w:val="single" w:color="auto" w:sz="8" w:space="0"/>
              <w:right w:val="single" w:color="auto" w:sz="8" w:space="0"/>
            </w:tcBorders>
            <w:vAlign w:val="center"/>
          </w:tcPr>
          <w:p w14:paraId="4C24506E">
            <w:pPr>
              <w:pStyle w:val="175"/>
              <w:spacing w:before="120" w:after="120"/>
              <w:ind w:firstLine="0" w:firstLineChars="0"/>
              <w:jc w:val="center"/>
              <w:rPr>
                <w:color w:val="auto"/>
                <w:szCs w:val="21"/>
                <w:highlight w:val="none"/>
              </w:rPr>
            </w:pPr>
            <w:r>
              <w:rPr>
                <w:rFonts w:hint="eastAsia"/>
                <w:color w:val="auto"/>
                <w:szCs w:val="21"/>
                <w:highlight w:val="none"/>
              </w:rPr>
              <w:t>合 计</w:t>
            </w:r>
          </w:p>
        </w:tc>
        <w:tc>
          <w:tcPr>
            <w:tcW w:w="850" w:type="dxa"/>
            <w:tcBorders>
              <w:top w:val="single" w:color="auto" w:sz="8" w:space="0"/>
              <w:left w:val="single" w:color="auto" w:sz="8" w:space="0"/>
              <w:bottom w:val="single" w:color="auto" w:sz="8" w:space="0"/>
              <w:right w:val="single" w:color="auto" w:sz="8" w:space="0"/>
            </w:tcBorders>
            <w:vAlign w:val="center"/>
          </w:tcPr>
          <w:p w14:paraId="011225B3">
            <w:pPr>
              <w:widowControl/>
              <w:snapToGrid w:val="0"/>
              <w:spacing w:before="100" w:beforeAutospacing="1" w:after="100" w:afterAutospacing="1" w:line="320" w:lineRule="exact"/>
              <w:jc w:val="center"/>
              <w:rPr>
                <w:color w:val="auto"/>
                <w:kern w:val="0"/>
                <w:szCs w:val="21"/>
                <w:highlight w:val="none"/>
              </w:rPr>
            </w:pPr>
          </w:p>
        </w:tc>
        <w:tc>
          <w:tcPr>
            <w:tcW w:w="2402" w:type="dxa"/>
            <w:gridSpan w:val="2"/>
            <w:tcBorders>
              <w:top w:val="single" w:color="auto" w:sz="8" w:space="0"/>
              <w:left w:val="single" w:color="auto" w:sz="8" w:space="0"/>
              <w:bottom w:val="single" w:color="auto" w:sz="8" w:space="0"/>
              <w:right w:val="single" w:color="auto" w:sz="8" w:space="0"/>
            </w:tcBorders>
            <w:vAlign w:val="center"/>
          </w:tcPr>
          <w:p w14:paraId="46C61ABB">
            <w:pPr>
              <w:pStyle w:val="175"/>
              <w:spacing w:before="120" w:after="120"/>
              <w:ind w:firstLine="0" w:firstLineChars="0"/>
              <w:jc w:val="center"/>
              <w:rPr>
                <w:color w:val="auto"/>
                <w:szCs w:val="21"/>
                <w:highlight w:val="none"/>
              </w:rPr>
            </w:pPr>
            <w:r>
              <w:rPr>
                <w:color w:val="auto"/>
                <w:szCs w:val="21"/>
                <w:highlight w:val="none"/>
              </w:rPr>
              <w:t>¥0.00元</w:t>
            </w:r>
          </w:p>
        </w:tc>
      </w:tr>
      <w:tr w14:paraId="7ECA42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55" w:hRule="atLeast"/>
          <w:jc w:val="center"/>
        </w:trPr>
        <w:tc>
          <w:tcPr>
            <w:tcW w:w="9627" w:type="dxa"/>
            <w:gridSpan w:val="8"/>
            <w:tcBorders>
              <w:top w:val="single" w:color="auto" w:sz="8" w:space="0"/>
              <w:left w:val="single" w:color="auto" w:sz="8" w:space="0"/>
              <w:bottom w:val="single" w:color="auto" w:sz="8" w:space="0"/>
              <w:right w:val="single" w:color="auto" w:sz="8" w:space="0"/>
            </w:tcBorders>
            <w:vAlign w:val="center"/>
          </w:tcPr>
          <w:p w14:paraId="63850091">
            <w:pPr>
              <w:widowControl/>
              <w:snapToGrid w:val="0"/>
              <w:spacing w:before="100" w:beforeAutospacing="1" w:after="100" w:afterAutospacing="1" w:line="320" w:lineRule="exact"/>
              <w:ind w:firstLine="2" w:firstLineChars="1"/>
              <w:jc w:val="left"/>
              <w:rPr>
                <w:color w:val="auto"/>
                <w:kern w:val="0"/>
                <w:szCs w:val="21"/>
                <w:highlight w:val="none"/>
              </w:rPr>
            </w:pPr>
            <w:r>
              <w:rPr>
                <w:color w:val="auto"/>
                <w:kern w:val="0"/>
                <w:szCs w:val="21"/>
                <w:highlight w:val="none"/>
              </w:rPr>
              <w:t>合计大写金额：</w:t>
            </w:r>
            <w:r>
              <w:rPr>
                <w:rFonts w:hint="eastAsia"/>
                <w:color w:val="auto"/>
                <w:kern w:val="0"/>
                <w:szCs w:val="21"/>
                <w:highlight w:val="none"/>
              </w:rPr>
              <w:t>人民币元整</w:t>
            </w:r>
          </w:p>
        </w:tc>
      </w:tr>
      <w:tr w14:paraId="560F7C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49" w:hRule="atLeast"/>
          <w:jc w:val="center"/>
        </w:trPr>
        <w:tc>
          <w:tcPr>
            <w:tcW w:w="1527" w:type="dxa"/>
            <w:gridSpan w:val="2"/>
            <w:tcBorders>
              <w:top w:val="single" w:color="auto" w:sz="8" w:space="0"/>
              <w:left w:val="single" w:color="auto" w:sz="8" w:space="0"/>
              <w:bottom w:val="single" w:color="auto" w:sz="8" w:space="0"/>
              <w:right w:val="single" w:color="auto" w:sz="8" w:space="0"/>
            </w:tcBorders>
            <w:vAlign w:val="center"/>
          </w:tcPr>
          <w:p w14:paraId="0D8888E9">
            <w:pPr>
              <w:widowControl/>
              <w:snapToGrid w:val="0"/>
              <w:spacing w:before="100" w:beforeAutospacing="1" w:after="100" w:afterAutospacing="1" w:line="320" w:lineRule="exact"/>
              <w:ind w:firstLine="2" w:firstLineChars="1"/>
              <w:jc w:val="left"/>
              <w:rPr>
                <w:rFonts w:ascii="宋体" w:hAnsi="宋体" w:cs="宋体"/>
                <w:color w:val="auto"/>
                <w:kern w:val="0"/>
                <w:szCs w:val="21"/>
                <w:highlight w:val="none"/>
              </w:rPr>
            </w:pPr>
            <w:r>
              <w:rPr>
                <w:rFonts w:hint="eastAsia" w:ascii="宋体" w:hAnsi="宋体" w:cs="宋体"/>
                <w:color w:val="auto"/>
                <w:kern w:val="0"/>
                <w:szCs w:val="21"/>
                <w:highlight w:val="none"/>
              </w:rPr>
              <w:t>实际交付日期</w:t>
            </w:r>
          </w:p>
        </w:tc>
        <w:tc>
          <w:tcPr>
            <w:tcW w:w="3240" w:type="dxa"/>
            <w:gridSpan w:val="2"/>
            <w:tcBorders>
              <w:top w:val="single" w:color="auto" w:sz="8" w:space="0"/>
              <w:left w:val="single" w:color="auto" w:sz="8" w:space="0"/>
              <w:bottom w:val="single" w:color="auto" w:sz="8" w:space="0"/>
              <w:right w:val="single" w:color="auto" w:sz="8" w:space="0"/>
            </w:tcBorders>
            <w:vAlign w:val="center"/>
          </w:tcPr>
          <w:p w14:paraId="5F8DF2F7">
            <w:pPr>
              <w:snapToGrid w:val="0"/>
              <w:spacing w:before="100" w:beforeAutospacing="1" w:after="100" w:afterAutospacing="1"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20  年  月  日</w:t>
            </w:r>
          </w:p>
        </w:tc>
        <w:tc>
          <w:tcPr>
            <w:tcW w:w="2700" w:type="dxa"/>
            <w:gridSpan w:val="3"/>
            <w:tcBorders>
              <w:top w:val="single" w:color="auto" w:sz="8" w:space="0"/>
              <w:left w:val="single" w:color="auto" w:sz="8" w:space="0"/>
              <w:bottom w:val="single" w:color="auto" w:sz="8" w:space="0"/>
              <w:right w:val="single" w:color="auto" w:sz="8" w:space="0"/>
            </w:tcBorders>
            <w:vAlign w:val="center"/>
          </w:tcPr>
          <w:p w14:paraId="18C5A842">
            <w:pPr>
              <w:snapToGrid w:val="0"/>
              <w:spacing w:before="100" w:beforeAutospacing="1" w:after="100" w:afterAutospacing="1" w:line="320" w:lineRule="exact"/>
              <w:ind w:firstLine="39" w:firstLineChars="19"/>
              <w:jc w:val="center"/>
              <w:rPr>
                <w:rFonts w:ascii="宋体" w:hAnsi="宋体" w:cs="宋体"/>
                <w:color w:val="auto"/>
                <w:kern w:val="0"/>
                <w:szCs w:val="21"/>
                <w:highlight w:val="none"/>
              </w:rPr>
            </w:pPr>
            <w:r>
              <w:rPr>
                <w:rFonts w:hint="eastAsia" w:ascii="宋体" w:hAnsi="宋体" w:cs="宋体"/>
                <w:color w:val="auto"/>
                <w:kern w:val="0"/>
                <w:szCs w:val="21"/>
                <w:highlight w:val="none"/>
              </w:rPr>
              <w:t>合同交付验收日期</w:t>
            </w:r>
          </w:p>
        </w:tc>
        <w:tc>
          <w:tcPr>
            <w:tcW w:w="2160" w:type="dxa"/>
            <w:tcBorders>
              <w:top w:val="single" w:color="auto" w:sz="8" w:space="0"/>
              <w:left w:val="single" w:color="auto" w:sz="8" w:space="0"/>
              <w:bottom w:val="single" w:color="auto" w:sz="8" w:space="0"/>
              <w:right w:val="single" w:color="auto" w:sz="8" w:space="0"/>
            </w:tcBorders>
            <w:vAlign w:val="center"/>
          </w:tcPr>
          <w:p w14:paraId="6231CEAC">
            <w:pPr>
              <w:snapToGrid w:val="0"/>
              <w:spacing w:before="100" w:beforeAutospacing="1" w:after="100" w:afterAutospacing="1"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20  年  月  日</w:t>
            </w:r>
          </w:p>
        </w:tc>
      </w:tr>
      <w:tr w14:paraId="64FD01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93" w:hRule="atLeast"/>
          <w:jc w:val="center"/>
        </w:trPr>
        <w:tc>
          <w:tcPr>
            <w:tcW w:w="1527"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88BC6E3">
            <w:pPr>
              <w:widowControl/>
              <w:snapToGrid w:val="0"/>
              <w:spacing w:before="100" w:beforeAutospacing="1" w:after="100" w:afterAutospacing="1" w:line="32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验收具体内容</w:t>
            </w:r>
          </w:p>
        </w:tc>
        <w:tc>
          <w:tcPr>
            <w:tcW w:w="8100" w:type="dxa"/>
            <w:gridSpan w:val="6"/>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CDD943A">
            <w:pPr>
              <w:pStyle w:val="175"/>
              <w:spacing w:before="120" w:after="120"/>
              <w:ind w:firstLine="0" w:firstLineChars="0"/>
              <w:rPr>
                <w:rFonts w:ascii="宋体" w:hAnsi="宋体" w:cs="宋体"/>
                <w:color w:val="auto"/>
                <w:szCs w:val="21"/>
                <w:highlight w:val="none"/>
              </w:rPr>
            </w:pPr>
            <w:r>
              <w:rPr>
                <w:rFonts w:hint="eastAsia" w:ascii="宋体" w:hAnsi="宋体" w:cs="宋体"/>
                <w:color w:val="auto"/>
                <w:szCs w:val="21"/>
                <w:highlight w:val="none"/>
              </w:rPr>
              <w:t>中标人所提供服务的内容满足采购合同约定的要求、标准。</w:t>
            </w:r>
          </w:p>
        </w:tc>
      </w:tr>
      <w:tr w14:paraId="15834F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46" w:hRule="atLeast"/>
          <w:jc w:val="center"/>
        </w:trPr>
        <w:tc>
          <w:tcPr>
            <w:tcW w:w="1527" w:type="dxa"/>
            <w:gridSpan w:val="2"/>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18D6DCC">
            <w:pPr>
              <w:widowControl/>
              <w:spacing w:before="100" w:beforeAutospacing="1" w:after="100" w:afterAutospacing="1" w:line="32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验收小组意见</w:t>
            </w:r>
          </w:p>
        </w:tc>
        <w:tc>
          <w:tcPr>
            <w:tcW w:w="8100" w:type="dxa"/>
            <w:gridSpan w:val="6"/>
            <w:tcBorders>
              <w:top w:val="single" w:color="auto" w:sz="8" w:space="0"/>
              <w:left w:val="single" w:color="auto" w:sz="8" w:space="0"/>
              <w:bottom w:val="single" w:color="auto" w:sz="4" w:space="0"/>
              <w:right w:val="single" w:color="auto" w:sz="8" w:space="0"/>
            </w:tcBorders>
            <w:vAlign w:val="center"/>
          </w:tcPr>
          <w:p w14:paraId="0D20DC09">
            <w:pPr>
              <w:widowControl/>
              <w:spacing w:before="100" w:beforeAutospacing="1" w:after="100" w:afterAutospacing="1" w:line="32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验收结论性意见：同意（不同意）通过项目验收</w:t>
            </w:r>
          </w:p>
        </w:tc>
      </w:tr>
      <w:tr w14:paraId="1F2209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037" w:hRule="atLeast"/>
          <w:jc w:val="center"/>
        </w:trPr>
        <w:tc>
          <w:tcPr>
            <w:tcW w:w="1527" w:type="dxa"/>
            <w:gridSpan w:val="2"/>
            <w:vMerge w:val="continue"/>
            <w:tcBorders>
              <w:top w:val="single" w:color="auto" w:sz="8" w:space="0"/>
              <w:left w:val="single" w:color="auto" w:sz="8" w:space="0"/>
              <w:bottom w:val="single" w:color="auto" w:sz="8" w:space="0"/>
              <w:right w:val="single" w:color="auto" w:sz="8" w:space="0"/>
            </w:tcBorders>
            <w:vAlign w:val="center"/>
          </w:tcPr>
          <w:p w14:paraId="4D68BF5B">
            <w:pPr>
              <w:widowControl/>
              <w:spacing w:line="320" w:lineRule="exact"/>
              <w:jc w:val="left"/>
              <w:rPr>
                <w:rFonts w:ascii="宋体" w:hAnsi="宋体" w:cs="宋体"/>
                <w:color w:val="auto"/>
                <w:kern w:val="0"/>
                <w:szCs w:val="21"/>
                <w:highlight w:val="none"/>
              </w:rPr>
            </w:pPr>
          </w:p>
        </w:tc>
        <w:tc>
          <w:tcPr>
            <w:tcW w:w="8100" w:type="dxa"/>
            <w:gridSpan w:val="6"/>
            <w:tcBorders>
              <w:top w:val="single" w:color="auto" w:sz="4" w:space="0"/>
              <w:left w:val="single" w:color="auto" w:sz="8" w:space="0"/>
              <w:bottom w:val="single" w:color="auto" w:sz="8" w:space="0"/>
              <w:right w:val="single" w:color="auto" w:sz="8" w:space="0"/>
            </w:tcBorders>
            <w:vAlign w:val="center"/>
          </w:tcPr>
          <w:p w14:paraId="38BF7ECD">
            <w:pPr>
              <w:pStyle w:val="175"/>
              <w:spacing w:before="120" w:after="120"/>
              <w:ind w:firstLine="0" w:firstLineChars="0"/>
              <w:rPr>
                <w:rFonts w:ascii="宋体" w:hAnsi="宋体" w:cs="宋体"/>
                <w:color w:val="auto"/>
                <w:szCs w:val="21"/>
                <w:highlight w:val="none"/>
              </w:rPr>
            </w:pPr>
            <w:r>
              <w:rPr>
                <w:rFonts w:hint="eastAsia" w:ascii="宋体" w:hAnsi="宋体" w:cs="宋体"/>
                <w:color w:val="auto"/>
                <w:szCs w:val="21"/>
                <w:highlight w:val="none"/>
              </w:rPr>
              <w:t>有异议的意见和说明理由：</w:t>
            </w:r>
          </w:p>
          <w:p w14:paraId="5685F6DB">
            <w:pPr>
              <w:pStyle w:val="175"/>
              <w:spacing w:before="120" w:after="120"/>
              <w:ind w:firstLine="5880" w:firstLineChars="2800"/>
              <w:rPr>
                <w:rFonts w:ascii="宋体" w:hAnsi="宋体" w:cs="宋体"/>
                <w:color w:val="auto"/>
                <w:szCs w:val="21"/>
                <w:highlight w:val="none"/>
              </w:rPr>
            </w:pPr>
            <w:r>
              <w:rPr>
                <w:rFonts w:hint="eastAsia" w:ascii="宋体" w:hAnsi="宋体" w:cs="宋体"/>
                <w:color w:val="auto"/>
                <w:szCs w:val="21"/>
                <w:highlight w:val="none"/>
              </w:rPr>
              <w:t>签字：</w:t>
            </w:r>
          </w:p>
        </w:tc>
      </w:tr>
      <w:tr w14:paraId="226863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331" w:hRule="atLeast"/>
          <w:jc w:val="center"/>
        </w:trPr>
        <w:tc>
          <w:tcPr>
            <w:tcW w:w="9627" w:type="dxa"/>
            <w:gridSpan w:val="8"/>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582A991">
            <w:pPr>
              <w:widowControl/>
              <w:spacing w:before="100" w:beforeAutospacing="1" w:after="100" w:afterAutospacing="1" w:line="320" w:lineRule="exact"/>
              <w:jc w:val="left"/>
              <w:rPr>
                <w:color w:val="auto"/>
                <w:kern w:val="0"/>
                <w:szCs w:val="21"/>
                <w:highlight w:val="none"/>
              </w:rPr>
            </w:pPr>
            <w:r>
              <w:rPr>
                <w:color w:val="auto"/>
                <w:kern w:val="0"/>
                <w:szCs w:val="21"/>
                <w:highlight w:val="none"/>
              </w:rPr>
              <w:t>验收小组成员签字：</w:t>
            </w:r>
          </w:p>
          <w:p w14:paraId="247C0143">
            <w:pPr>
              <w:widowControl/>
              <w:spacing w:before="100" w:beforeAutospacing="1" w:after="100" w:afterAutospacing="1" w:line="320" w:lineRule="exact"/>
              <w:jc w:val="left"/>
              <w:rPr>
                <w:color w:val="auto"/>
                <w:kern w:val="0"/>
                <w:szCs w:val="21"/>
                <w:highlight w:val="none"/>
              </w:rPr>
            </w:pPr>
          </w:p>
        </w:tc>
      </w:tr>
      <w:tr w14:paraId="4C8E0C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10" w:hRule="atLeast"/>
          <w:jc w:val="center"/>
        </w:trPr>
        <w:tc>
          <w:tcPr>
            <w:tcW w:w="9627" w:type="dxa"/>
            <w:gridSpan w:val="8"/>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ACE594">
            <w:pPr>
              <w:widowControl/>
              <w:spacing w:before="100" w:beforeAutospacing="1" w:after="100" w:afterAutospacing="1" w:line="320" w:lineRule="exact"/>
              <w:jc w:val="left"/>
              <w:rPr>
                <w:color w:val="auto"/>
                <w:kern w:val="0"/>
                <w:szCs w:val="21"/>
                <w:highlight w:val="none"/>
              </w:rPr>
            </w:pPr>
            <w:r>
              <w:rPr>
                <w:color w:val="auto"/>
                <w:kern w:val="0"/>
                <w:szCs w:val="21"/>
                <w:highlight w:val="none"/>
              </w:rPr>
              <w:t>监督人员或其他相关人员签字：</w:t>
            </w:r>
          </w:p>
          <w:p w14:paraId="1C1E827D">
            <w:pPr>
              <w:widowControl/>
              <w:spacing w:before="100" w:beforeAutospacing="1" w:after="100" w:afterAutospacing="1" w:line="320" w:lineRule="exact"/>
              <w:ind w:firstLine="65" w:firstLineChars="31"/>
              <w:jc w:val="left"/>
              <w:rPr>
                <w:color w:val="auto"/>
                <w:kern w:val="0"/>
                <w:szCs w:val="21"/>
                <w:highlight w:val="none"/>
              </w:rPr>
            </w:pPr>
            <w:r>
              <w:rPr>
                <w:color w:val="auto"/>
                <w:kern w:val="0"/>
                <w:szCs w:val="21"/>
                <w:highlight w:val="none"/>
              </w:rPr>
              <w:t>或受邀机构的意见（盖章）：</w:t>
            </w:r>
          </w:p>
        </w:tc>
      </w:tr>
      <w:tr w14:paraId="63B530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418" w:hRule="atLeast"/>
          <w:jc w:val="center"/>
        </w:trPr>
        <w:tc>
          <w:tcPr>
            <w:tcW w:w="4767" w:type="dxa"/>
            <w:gridSpan w:val="4"/>
            <w:tcBorders>
              <w:top w:val="single" w:color="auto" w:sz="8" w:space="0"/>
              <w:left w:val="single" w:color="auto" w:sz="8" w:space="0"/>
              <w:bottom w:val="single" w:color="auto" w:sz="8" w:space="0"/>
              <w:right w:val="nil"/>
            </w:tcBorders>
            <w:tcMar>
              <w:top w:w="0" w:type="dxa"/>
              <w:left w:w="108" w:type="dxa"/>
              <w:bottom w:w="0" w:type="dxa"/>
              <w:right w:w="108" w:type="dxa"/>
            </w:tcMar>
            <w:vAlign w:val="center"/>
          </w:tcPr>
          <w:p w14:paraId="3FC1BD2E">
            <w:pPr>
              <w:widowControl/>
              <w:spacing w:before="100" w:beforeAutospacing="1" w:after="100" w:afterAutospacing="1" w:line="320" w:lineRule="exact"/>
              <w:ind w:firstLine="65" w:firstLineChars="31"/>
              <w:jc w:val="left"/>
              <w:rPr>
                <w:color w:val="auto"/>
                <w:kern w:val="0"/>
                <w:szCs w:val="21"/>
                <w:highlight w:val="none"/>
              </w:rPr>
            </w:pPr>
            <w:r>
              <w:rPr>
                <w:color w:val="auto"/>
                <w:kern w:val="0"/>
                <w:szCs w:val="21"/>
                <w:highlight w:val="none"/>
              </w:rPr>
              <w:t>中标或者成交供应商负责人签字或盖章：</w:t>
            </w:r>
          </w:p>
          <w:p w14:paraId="304D4693">
            <w:pPr>
              <w:widowControl/>
              <w:spacing w:before="100" w:beforeAutospacing="1" w:after="100" w:afterAutospacing="1" w:line="320" w:lineRule="exact"/>
              <w:jc w:val="left"/>
              <w:rPr>
                <w:color w:val="auto"/>
                <w:kern w:val="0"/>
                <w:szCs w:val="21"/>
                <w:highlight w:val="none"/>
              </w:rPr>
            </w:pPr>
            <w:r>
              <w:rPr>
                <w:color w:val="auto"/>
                <w:kern w:val="0"/>
                <w:szCs w:val="21"/>
                <w:highlight w:val="none"/>
              </w:rPr>
              <w:t>联系电话：     </w:t>
            </w:r>
            <w:r>
              <w:rPr>
                <w:rFonts w:hint="eastAsia"/>
                <w:color w:val="auto"/>
                <w:kern w:val="0"/>
                <w:szCs w:val="21"/>
                <w:highlight w:val="none"/>
              </w:rPr>
              <w:t xml:space="preserve">   </w:t>
            </w:r>
            <w:r>
              <w:rPr>
                <w:color w:val="auto"/>
                <w:kern w:val="0"/>
                <w:szCs w:val="21"/>
                <w:highlight w:val="none"/>
              </w:rPr>
              <w:t>  年</w:t>
            </w:r>
            <w:r>
              <w:rPr>
                <w:rFonts w:hint="eastAsia"/>
                <w:color w:val="auto"/>
                <w:kern w:val="0"/>
                <w:szCs w:val="21"/>
                <w:highlight w:val="none"/>
              </w:rPr>
              <w:t xml:space="preserve">  </w:t>
            </w:r>
            <w:r>
              <w:rPr>
                <w:color w:val="auto"/>
                <w:kern w:val="0"/>
                <w:szCs w:val="21"/>
                <w:highlight w:val="none"/>
              </w:rPr>
              <w:t> 月 </w:t>
            </w:r>
            <w:r>
              <w:rPr>
                <w:rFonts w:hint="eastAsia"/>
                <w:color w:val="auto"/>
                <w:kern w:val="0"/>
                <w:szCs w:val="21"/>
                <w:highlight w:val="none"/>
              </w:rPr>
              <w:t xml:space="preserve">  </w:t>
            </w:r>
            <w:r>
              <w:rPr>
                <w:color w:val="auto"/>
                <w:kern w:val="0"/>
                <w:szCs w:val="21"/>
                <w:highlight w:val="none"/>
              </w:rPr>
              <w:t>日</w:t>
            </w:r>
          </w:p>
          <w:p w14:paraId="686C48F0">
            <w:pPr>
              <w:widowControl/>
              <w:spacing w:before="100" w:beforeAutospacing="1" w:after="100" w:afterAutospacing="1" w:line="320" w:lineRule="exact"/>
              <w:jc w:val="left"/>
              <w:rPr>
                <w:color w:val="auto"/>
                <w:kern w:val="0"/>
                <w:szCs w:val="21"/>
                <w:highlight w:val="none"/>
              </w:rPr>
            </w:pPr>
          </w:p>
          <w:p w14:paraId="277291C7">
            <w:pPr>
              <w:widowControl/>
              <w:spacing w:before="100" w:beforeAutospacing="1" w:after="100" w:afterAutospacing="1" w:line="320" w:lineRule="exact"/>
              <w:ind w:firstLine="65" w:firstLineChars="31"/>
              <w:jc w:val="left"/>
              <w:rPr>
                <w:color w:val="auto"/>
                <w:kern w:val="0"/>
                <w:szCs w:val="21"/>
                <w:highlight w:val="none"/>
              </w:rPr>
            </w:pPr>
            <w:r>
              <w:rPr>
                <w:rFonts w:hint="eastAsia"/>
                <w:color w:val="auto"/>
                <w:kern w:val="0"/>
                <w:szCs w:val="21"/>
                <w:highlight w:val="none"/>
              </w:rPr>
              <w:t>采购人</w:t>
            </w:r>
            <w:r>
              <w:rPr>
                <w:color w:val="auto"/>
                <w:kern w:val="0"/>
                <w:szCs w:val="21"/>
                <w:highlight w:val="none"/>
              </w:rPr>
              <w:t>签字或盖章：</w:t>
            </w:r>
          </w:p>
          <w:p w14:paraId="56979E91">
            <w:pPr>
              <w:widowControl/>
              <w:spacing w:before="100" w:beforeAutospacing="1" w:after="100" w:afterAutospacing="1" w:line="320" w:lineRule="exact"/>
              <w:jc w:val="left"/>
              <w:rPr>
                <w:color w:val="auto"/>
                <w:kern w:val="0"/>
                <w:szCs w:val="21"/>
                <w:highlight w:val="none"/>
              </w:rPr>
            </w:pPr>
            <w:r>
              <w:rPr>
                <w:color w:val="auto"/>
                <w:kern w:val="0"/>
                <w:szCs w:val="21"/>
                <w:highlight w:val="none"/>
              </w:rPr>
              <w:t xml:space="preserve">联系电话：      </w:t>
            </w:r>
            <w:r>
              <w:rPr>
                <w:rFonts w:hint="eastAsia"/>
                <w:color w:val="auto"/>
                <w:kern w:val="0"/>
                <w:szCs w:val="21"/>
                <w:highlight w:val="none"/>
              </w:rPr>
              <w:t xml:space="preserve"> </w:t>
            </w:r>
            <w:r>
              <w:rPr>
                <w:color w:val="auto"/>
                <w:kern w:val="0"/>
                <w:szCs w:val="21"/>
                <w:highlight w:val="none"/>
              </w:rPr>
              <w:t>  年</w:t>
            </w:r>
            <w:r>
              <w:rPr>
                <w:rFonts w:hint="eastAsia"/>
                <w:color w:val="auto"/>
                <w:kern w:val="0"/>
                <w:szCs w:val="21"/>
                <w:highlight w:val="none"/>
              </w:rPr>
              <w:t xml:space="preserve">  </w:t>
            </w:r>
            <w:r>
              <w:rPr>
                <w:color w:val="auto"/>
                <w:kern w:val="0"/>
                <w:szCs w:val="21"/>
                <w:highlight w:val="none"/>
              </w:rPr>
              <w:t> 月 </w:t>
            </w:r>
            <w:r>
              <w:rPr>
                <w:rFonts w:hint="eastAsia"/>
                <w:color w:val="auto"/>
                <w:kern w:val="0"/>
                <w:szCs w:val="21"/>
                <w:highlight w:val="none"/>
              </w:rPr>
              <w:t xml:space="preserve">  </w:t>
            </w:r>
            <w:r>
              <w:rPr>
                <w:color w:val="auto"/>
                <w:kern w:val="0"/>
                <w:szCs w:val="21"/>
                <w:highlight w:val="none"/>
              </w:rPr>
              <w:t>日</w:t>
            </w:r>
          </w:p>
        </w:tc>
        <w:tc>
          <w:tcPr>
            <w:tcW w:w="4860" w:type="dxa"/>
            <w:gridSpan w:val="4"/>
            <w:tcBorders>
              <w:top w:val="single" w:color="auto" w:sz="8" w:space="0"/>
              <w:left w:val="nil"/>
              <w:bottom w:val="single" w:color="auto" w:sz="8" w:space="0"/>
              <w:right w:val="single" w:color="auto" w:sz="8" w:space="0"/>
            </w:tcBorders>
            <w:vAlign w:val="center"/>
          </w:tcPr>
          <w:p w14:paraId="4480D448">
            <w:pPr>
              <w:widowControl/>
              <w:spacing w:before="100" w:beforeAutospacing="1" w:after="100" w:afterAutospacing="1" w:line="320" w:lineRule="exact"/>
              <w:jc w:val="left"/>
              <w:rPr>
                <w:color w:val="auto"/>
                <w:kern w:val="0"/>
                <w:szCs w:val="21"/>
                <w:highlight w:val="none"/>
              </w:rPr>
            </w:pPr>
            <w:r>
              <w:rPr>
                <w:color w:val="auto"/>
                <w:kern w:val="0"/>
                <w:szCs w:val="21"/>
                <w:highlight w:val="none"/>
              </w:rPr>
              <w:t> 受托机构的意见（盖章）：</w:t>
            </w:r>
          </w:p>
          <w:p w14:paraId="0BB17B04">
            <w:pPr>
              <w:widowControl/>
              <w:spacing w:before="100" w:beforeAutospacing="1" w:after="100" w:afterAutospacing="1" w:line="320" w:lineRule="exact"/>
              <w:jc w:val="left"/>
              <w:rPr>
                <w:color w:val="auto"/>
                <w:kern w:val="0"/>
                <w:szCs w:val="21"/>
                <w:highlight w:val="none"/>
              </w:rPr>
            </w:pPr>
            <w:r>
              <w:rPr>
                <w:color w:val="auto"/>
                <w:kern w:val="0"/>
                <w:szCs w:val="21"/>
                <w:highlight w:val="none"/>
              </w:rPr>
              <w:t xml:space="preserve">联系电话：                 </w:t>
            </w:r>
            <w:r>
              <w:rPr>
                <w:rFonts w:hint="eastAsia"/>
                <w:color w:val="auto"/>
                <w:kern w:val="0"/>
                <w:szCs w:val="21"/>
                <w:highlight w:val="none"/>
              </w:rPr>
              <w:t xml:space="preserve">    </w:t>
            </w:r>
            <w:r>
              <w:rPr>
                <w:color w:val="auto"/>
                <w:kern w:val="0"/>
                <w:szCs w:val="21"/>
                <w:highlight w:val="none"/>
              </w:rPr>
              <w:t>年   月   日</w:t>
            </w:r>
          </w:p>
          <w:p w14:paraId="26D40EF0">
            <w:pPr>
              <w:widowControl/>
              <w:spacing w:before="100" w:beforeAutospacing="1" w:after="100" w:afterAutospacing="1" w:line="320" w:lineRule="exact"/>
              <w:jc w:val="left"/>
              <w:rPr>
                <w:color w:val="auto"/>
                <w:kern w:val="0"/>
                <w:szCs w:val="21"/>
                <w:highlight w:val="none"/>
              </w:rPr>
            </w:pPr>
          </w:p>
          <w:p w14:paraId="5BD214AC">
            <w:pPr>
              <w:widowControl/>
              <w:spacing w:before="100" w:beforeAutospacing="1" w:after="100" w:afterAutospacing="1" w:line="320" w:lineRule="exact"/>
              <w:jc w:val="left"/>
              <w:rPr>
                <w:color w:val="auto"/>
                <w:kern w:val="0"/>
                <w:szCs w:val="21"/>
                <w:highlight w:val="none"/>
              </w:rPr>
            </w:pPr>
          </w:p>
          <w:p w14:paraId="2E9A0F63">
            <w:pPr>
              <w:widowControl/>
              <w:spacing w:before="100" w:beforeAutospacing="1" w:after="100" w:afterAutospacing="1" w:line="320" w:lineRule="exact"/>
              <w:jc w:val="left"/>
              <w:rPr>
                <w:color w:val="auto"/>
                <w:kern w:val="0"/>
                <w:szCs w:val="21"/>
                <w:highlight w:val="none"/>
              </w:rPr>
            </w:pPr>
          </w:p>
        </w:tc>
      </w:tr>
    </w:tbl>
    <w:p w14:paraId="65074F7C">
      <w:pPr>
        <w:widowControl/>
        <w:jc w:val="left"/>
        <w:rPr>
          <w:rFonts w:hint="eastAsia"/>
          <w:bCs/>
          <w:color w:val="auto"/>
          <w:sz w:val="24"/>
          <w:highlight w:val="none"/>
        </w:rPr>
      </w:pPr>
      <w:r>
        <w:rPr>
          <w:color w:val="auto"/>
          <w:spacing w:val="-10"/>
          <w:kern w:val="0"/>
          <w:szCs w:val="21"/>
          <w:highlight w:val="none"/>
        </w:rPr>
        <w:t>备注：本报告单一式4份（采购单位1份、供应商1份、采购监督部门备案1份、采购代理机构1份）</w:t>
      </w:r>
    </w:p>
    <w:p w14:paraId="0E984951">
      <w:pPr>
        <w:spacing w:before="120" w:line="320" w:lineRule="atLeast"/>
        <w:rPr>
          <w:rFonts w:hint="eastAsia"/>
          <w:color w:val="auto"/>
          <w:szCs w:val="21"/>
          <w:highlight w:val="none"/>
        </w:rPr>
        <w:sectPr>
          <w:headerReference r:id="rId16" w:type="default"/>
          <w:pgSz w:w="11906" w:h="16838"/>
          <w:pgMar w:top="1418" w:right="1418" w:bottom="1246" w:left="1418" w:header="851" w:footer="992" w:gutter="0"/>
          <w:cols w:space="720" w:num="1"/>
          <w:docGrid w:linePitch="312" w:charSpace="0"/>
        </w:sectPr>
      </w:pPr>
    </w:p>
    <w:bookmarkEnd w:id="0"/>
    <w:bookmarkEnd w:id="1"/>
    <w:bookmarkEnd w:id="74"/>
    <w:bookmarkEnd w:id="75"/>
    <w:p w14:paraId="4A17FF7E">
      <w:pPr>
        <w:widowControl/>
        <w:jc w:val="center"/>
        <w:outlineLvl w:val="0"/>
        <w:rPr>
          <w:color w:val="auto"/>
          <w:sz w:val="32"/>
          <w:szCs w:val="32"/>
          <w:highlight w:val="none"/>
        </w:rPr>
      </w:pPr>
      <w:bookmarkStart w:id="84" w:name="_Toc31050"/>
      <w:r>
        <w:rPr>
          <w:color w:val="auto"/>
          <w:sz w:val="32"/>
          <w:szCs w:val="32"/>
          <w:highlight w:val="none"/>
        </w:rPr>
        <w:t>第六章  响应文件格式</w:t>
      </w:r>
      <w:bookmarkEnd w:id="84"/>
    </w:p>
    <w:p w14:paraId="26C214AD">
      <w:pPr>
        <w:rPr>
          <w:rFonts w:hint="eastAsia"/>
          <w:color w:val="auto"/>
          <w:sz w:val="28"/>
          <w:szCs w:val="28"/>
          <w:highlight w:val="none"/>
        </w:rPr>
      </w:pPr>
      <w:bookmarkStart w:id="85" w:name="_Toc254970697"/>
      <w:bookmarkStart w:id="86" w:name="_Toc254970556"/>
    </w:p>
    <w:bookmarkEnd w:id="85"/>
    <w:bookmarkEnd w:id="86"/>
    <w:p w14:paraId="012C9D88">
      <w:pPr>
        <w:rPr>
          <w:rFonts w:hint="eastAsia"/>
          <w:color w:val="auto"/>
          <w:sz w:val="28"/>
          <w:szCs w:val="28"/>
          <w:highlight w:val="none"/>
        </w:rPr>
      </w:pPr>
    </w:p>
    <w:p w14:paraId="5B810F91">
      <w:pPr>
        <w:spacing w:line="500" w:lineRule="exact"/>
        <w:ind w:firstLine="560" w:firstLineChars="200"/>
        <w:rPr>
          <w:rFonts w:ascii="宋体" w:hAnsi="宋体"/>
          <w:color w:val="auto"/>
          <w:sz w:val="24"/>
          <w:highlight w:val="none"/>
        </w:rPr>
      </w:pPr>
      <w:bookmarkStart w:id="87" w:name="_Hlk19199063"/>
      <w:r>
        <w:rPr>
          <w:rFonts w:hint="eastAsia"/>
          <w:color w:val="auto"/>
          <w:sz w:val="28"/>
          <w:szCs w:val="28"/>
          <w:highlight w:val="none"/>
        </w:rPr>
        <w:t>注：有签字、盖章要求的应按要求</w:t>
      </w:r>
      <w:bookmarkEnd w:id="87"/>
      <w:r>
        <w:rPr>
          <w:rFonts w:hint="eastAsia"/>
          <w:color w:val="auto"/>
          <w:sz w:val="28"/>
          <w:szCs w:val="28"/>
          <w:highlight w:val="none"/>
        </w:rPr>
        <w:t>签字（签章）、盖章（签章）。</w:t>
      </w:r>
      <w:r>
        <w:rPr>
          <w:bCs/>
          <w:color w:val="auto"/>
          <w:sz w:val="24"/>
          <w:highlight w:val="none"/>
        </w:rPr>
        <w:t xml:space="preserve"> </w:t>
      </w:r>
    </w:p>
    <w:p w14:paraId="52D940C2">
      <w:pPr>
        <w:snapToGrid w:val="0"/>
        <w:spacing w:before="120" w:beforeLines="50" w:after="50" w:line="440" w:lineRule="exact"/>
        <w:jc w:val="left"/>
        <w:outlineLvl w:val="1"/>
        <w:rPr>
          <w:rFonts w:ascii="Times New Roman" w:hAnsi="Times New Roman" w:eastAsia="宋体" w:cs="Times New Roman"/>
          <w:b/>
          <w:color w:val="auto"/>
          <w:sz w:val="24"/>
          <w:highlight w:val="none"/>
        </w:rPr>
      </w:pPr>
      <w:r>
        <w:rPr>
          <w:color w:val="auto"/>
          <w:sz w:val="24"/>
          <w:highlight w:val="none"/>
        </w:rPr>
        <w:br w:type="page"/>
      </w:r>
      <w:r>
        <w:rPr>
          <w:rFonts w:hint="eastAsia" w:ascii="Times New Roman" w:hAnsi="Times New Roman" w:eastAsia="宋体" w:cs="Times New Roman"/>
          <w:b w:val="0"/>
          <w:bCs w:val="0"/>
          <w:color w:val="auto"/>
          <w:sz w:val="24"/>
          <w:highlight w:val="none"/>
        </w:rPr>
        <w:t>1.</w:t>
      </w:r>
      <w:r>
        <w:rPr>
          <w:rFonts w:ascii="Times New Roman" w:hAnsi="Times New Roman" w:eastAsia="宋体" w:cs="Times New Roman"/>
          <w:b w:val="0"/>
          <w:bCs w:val="0"/>
          <w:color w:val="auto"/>
          <w:sz w:val="24"/>
          <w:highlight w:val="none"/>
        </w:rPr>
        <w:t>响应文件封面</w:t>
      </w:r>
      <w:r>
        <w:rPr>
          <w:rFonts w:hint="eastAsia" w:ascii="Times New Roman" w:hAnsi="Times New Roman" w:eastAsia="宋体" w:cs="Times New Roman"/>
          <w:b w:val="0"/>
          <w:bCs w:val="0"/>
          <w:color w:val="auto"/>
          <w:sz w:val="24"/>
          <w:highlight w:val="none"/>
          <w:lang w:val="en-US" w:eastAsia="zh-CN"/>
        </w:rPr>
        <w:t>参考</w:t>
      </w:r>
      <w:r>
        <w:rPr>
          <w:rFonts w:ascii="Times New Roman" w:hAnsi="Times New Roman" w:eastAsia="宋体" w:cs="Times New Roman"/>
          <w:b w:val="0"/>
          <w:bCs w:val="0"/>
          <w:color w:val="auto"/>
          <w:sz w:val="24"/>
          <w:highlight w:val="none"/>
        </w:rPr>
        <w:t>格式</w:t>
      </w:r>
      <w:bookmarkStart w:id="88" w:name="_Hlk92966991"/>
      <w:r>
        <w:rPr>
          <w:rFonts w:hint="eastAsia" w:ascii="Times New Roman" w:hAnsi="Times New Roman" w:eastAsia="宋体" w:cs="Times New Roman"/>
          <w:b w:val="0"/>
          <w:bCs w:val="0"/>
          <w:color w:val="auto"/>
          <w:sz w:val="24"/>
          <w:highlight w:val="none"/>
        </w:rPr>
        <w:t>（资格证明文件）</w:t>
      </w:r>
      <w:bookmarkEnd w:id="88"/>
      <w:r>
        <w:rPr>
          <w:rFonts w:ascii="Times New Roman" w:hAnsi="Times New Roman" w:eastAsia="宋体" w:cs="Times New Roman"/>
          <w:b w:val="0"/>
          <w:bCs w:val="0"/>
          <w:color w:val="auto"/>
          <w:sz w:val="24"/>
          <w:highlight w:val="none"/>
        </w:rPr>
        <w:t>：</w:t>
      </w:r>
      <w:r>
        <w:rPr>
          <w:rFonts w:ascii="Times New Roman" w:hAnsi="Times New Roman" w:eastAsia="宋体" w:cs="Times New Roman"/>
          <w:b/>
          <w:bCs/>
          <w:color w:val="auto"/>
          <w:sz w:val="24"/>
          <w:highlight w:val="none"/>
        </w:rPr>
        <w:t xml:space="preserve"> </w:t>
      </w:r>
    </w:p>
    <w:p w14:paraId="46E7699D">
      <w:pPr>
        <w:snapToGrid w:val="0"/>
        <w:spacing w:before="120" w:beforeLines="50" w:after="50" w:line="360" w:lineRule="exact"/>
        <w:rPr>
          <w:rFonts w:ascii="Times New Roman" w:hAnsi="Times New Roman" w:eastAsia="宋体" w:cs="Times New Roman"/>
          <w:color w:val="auto"/>
          <w:sz w:val="24"/>
          <w:highlight w:val="none"/>
        </w:rPr>
      </w:pPr>
    </w:p>
    <w:p w14:paraId="7C04A968">
      <w:pPr>
        <w:snapToGrid w:val="0"/>
        <w:spacing w:before="120" w:beforeLines="50" w:after="50" w:line="360" w:lineRule="exact"/>
        <w:jc w:val="right"/>
        <w:rPr>
          <w:rFonts w:hint="eastAsia" w:ascii="Times New Roman" w:hAnsi="Times New Roman" w:eastAsia="宋体" w:cs="Times New Roman"/>
          <w:bCs/>
          <w:color w:val="auto"/>
          <w:sz w:val="24"/>
          <w:highlight w:val="none"/>
        </w:rPr>
      </w:pPr>
    </w:p>
    <w:p w14:paraId="52239FBA">
      <w:pPr>
        <w:snapToGrid w:val="0"/>
        <w:spacing w:before="120" w:beforeLines="50" w:after="50" w:line="360" w:lineRule="exact"/>
        <w:jc w:val="center"/>
        <w:rPr>
          <w:rFonts w:ascii="Times New Roman" w:hAnsi="Times New Roman" w:eastAsia="宋体" w:cs="Times New Roman"/>
          <w:bCs/>
          <w:color w:val="auto"/>
          <w:sz w:val="24"/>
          <w:highlight w:val="none"/>
        </w:rPr>
      </w:pPr>
      <w:r>
        <w:rPr>
          <w:rFonts w:hint="eastAsia" w:ascii="宋体" w:hAnsi="宋体" w:eastAsia="宋体" w:cs="Times New Roman"/>
          <w:b/>
          <w:color w:val="auto"/>
          <w:sz w:val="44"/>
          <w:szCs w:val="24"/>
          <w:highlight w:val="none"/>
        </w:rPr>
        <w:t>电子响应文件</w:t>
      </w:r>
    </w:p>
    <w:p w14:paraId="04649D1C">
      <w:pPr>
        <w:snapToGrid w:val="0"/>
        <w:spacing w:before="120" w:beforeLines="50" w:after="50" w:line="360" w:lineRule="exact"/>
        <w:jc w:val="center"/>
        <w:rPr>
          <w:rFonts w:ascii="Times New Roman" w:hAnsi="Times New Roman" w:eastAsia="宋体" w:cs="Times New Roman"/>
          <w:b/>
          <w:bCs/>
          <w:color w:val="auto"/>
          <w:sz w:val="44"/>
          <w:szCs w:val="44"/>
          <w:highlight w:val="none"/>
        </w:rPr>
      </w:pPr>
    </w:p>
    <w:p w14:paraId="27CCEAB9">
      <w:pPr>
        <w:snapToGrid w:val="0"/>
        <w:spacing w:before="120" w:beforeLines="50" w:after="50" w:line="360" w:lineRule="exact"/>
        <w:jc w:val="center"/>
        <w:rPr>
          <w:rFonts w:ascii="Times New Roman" w:hAnsi="Times New Roman" w:eastAsia="宋体" w:cs="Times New Roman"/>
          <w:b/>
          <w:bCs/>
          <w:color w:val="auto"/>
          <w:sz w:val="44"/>
          <w:szCs w:val="44"/>
          <w:highlight w:val="none"/>
        </w:rPr>
      </w:pPr>
    </w:p>
    <w:p w14:paraId="61EFB2F3">
      <w:pPr>
        <w:snapToGrid w:val="0"/>
        <w:spacing w:before="120" w:beforeLines="50" w:after="50" w:line="360" w:lineRule="exact"/>
        <w:jc w:val="center"/>
        <w:rPr>
          <w:rFonts w:ascii="Times New Roman" w:hAnsi="Times New Roman" w:eastAsia="宋体" w:cs="Times New Roman"/>
          <w:b/>
          <w:bCs/>
          <w:color w:val="auto"/>
          <w:sz w:val="44"/>
          <w:szCs w:val="44"/>
          <w:highlight w:val="none"/>
        </w:rPr>
      </w:pPr>
      <w:bookmarkStart w:id="89" w:name="_Hlk92967018"/>
      <w:r>
        <w:rPr>
          <w:rFonts w:ascii="Times New Roman" w:hAnsi="Times New Roman" w:eastAsia="宋体" w:cs="Times New Roman"/>
          <w:b/>
          <w:bCs/>
          <w:color w:val="auto"/>
          <w:sz w:val="44"/>
          <w:szCs w:val="44"/>
          <w:highlight w:val="none"/>
        </w:rPr>
        <w:t>资格</w:t>
      </w:r>
      <w:r>
        <w:rPr>
          <w:rFonts w:hint="eastAsia" w:ascii="Times New Roman" w:hAnsi="Times New Roman" w:eastAsia="宋体" w:cs="Times New Roman"/>
          <w:b/>
          <w:bCs/>
          <w:color w:val="auto"/>
          <w:sz w:val="44"/>
          <w:szCs w:val="44"/>
          <w:highlight w:val="none"/>
        </w:rPr>
        <w:t>证明文件</w:t>
      </w:r>
    </w:p>
    <w:bookmarkEnd w:id="89"/>
    <w:p w14:paraId="3B74215C">
      <w:pPr>
        <w:snapToGrid w:val="0"/>
        <w:spacing w:before="120" w:beforeLines="50" w:after="50" w:line="360" w:lineRule="exact"/>
        <w:jc w:val="center"/>
        <w:rPr>
          <w:rFonts w:ascii="Times New Roman" w:hAnsi="Times New Roman" w:eastAsia="宋体" w:cs="Times New Roman"/>
          <w:b/>
          <w:bCs/>
          <w:color w:val="auto"/>
          <w:sz w:val="44"/>
          <w:szCs w:val="44"/>
          <w:highlight w:val="none"/>
        </w:rPr>
      </w:pPr>
    </w:p>
    <w:p w14:paraId="3A5284A2">
      <w:pPr>
        <w:snapToGrid w:val="0"/>
        <w:spacing w:before="120" w:beforeLines="50" w:after="50" w:line="360" w:lineRule="exact"/>
        <w:rPr>
          <w:rFonts w:ascii="Times New Roman" w:hAnsi="Times New Roman" w:eastAsia="宋体" w:cs="Times New Roman"/>
          <w:bCs/>
          <w:color w:val="auto"/>
          <w:sz w:val="24"/>
          <w:highlight w:val="none"/>
        </w:rPr>
      </w:pPr>
    </w:p>
    <w:p w14:paraId="0B89E105">
      <w:pPr>
        <w:snapToGrid w:val="0"/>
        <w:spacing w:before="120" w:beforeLines="50" w:after="50" w:line="360" w:lineRule="exact"/>
        <w:ind w:firstLine="720" w:firstLineChars="300"/>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 xml:space="preserve">项目名称： </w:t>
      </w:r>
    </w:p>
    <w:p w14:paraId="6A6DE70D">
      <w:pPr>
        <w:snapToGrid w:val="0"/>
        <w:spacing w:before="120" w:beforeLines="50" w:after="50" w:line="360" w:lineRule="exact"/>
        <w:ind w:firstLine="720" w:firstLineChars="300"/>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项目编号：</w:t>
      </w:r>
    </w:p>
    <w:p w14:paraId="15913D27">
      <w:pPr>
        <w:snapToGrid w:val="0"/>
        <w:spacing w:before="120" w:beforeLines="50" w:after="50" w:line="440" w:lineRule="exact"/>
        <w:ind w:firstLine="720" w:firstLineChars="300"/>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分标号：（若无</w:t>
      </w:r>
      <w:r>
        <w:rPr>
          <w:rFonts w:hint="eastAsia" w:ascii="Times New Roman" w:hAnsi="Times New Roman" w:eastAsia="宋体" w:cs="Times New Roman"/>
          <w:bCs/>
          <w:color w:val="auto"/>
          <w:sz w:val="24"/>
          <w:highlight w:val="none"/>
        </w:rPr>
        <w:t>留空或写</w:t>
      </w:r>
      <w:r>
        <w:rPr>
          <w:rFonts w:ascii="Times New Roman" w:hAnsi="Times New Roman" w:eastAsia="宋体" w:cs="Times New Roman"/>
          <w:bCs/>
          <w:color w:val="auto"/>
          <w:sz w:val="24"/>
          <w:highlight w:val="none"/>
        </w:rPr>
        <w:t>“/”）</w:t>
      </w:r>
    </w:p>
    <w:p w14:paraId="46BBAA45">
      <w:pPr>
        <w:snapToGrid w:val="0"/>
        <w:spacing w:before="120" w:beforeLines="50" w:after="50" w:line="360" w:lineRule="exact"/>
        <w:ind w:firstLine="720" w:firstLineChars="300"/>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供应商名称：</w:t>
      </w:r>
    </w:p>
    <w:p w14:paraId="4128817B">
      <w:pPr>
        <w:snapToGrid w:val="0"/>
        <w:spacing w:before="120" w:beforeLines="50" w:after="50" w:line="360" w:lineRule="exact"/>
        <w:ind w:firstLine="720" w:firstLineChars="300"/>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供应商地址：</w:t>
      </w:r>
    </w:p>
    <w:p w14:paraId="509DAA90">
      <w:pPr>
        <w:pStyle w:val="7"/>
        <w:snapToGrid w:val="0"/>
        <w:spacing w:before="50" w:after="50" w:line="360" w:lineRule="exact"/>
        <w:ind w:firstLine="960" w:firstLineChars="400"/>
        <w:rPr>
          <w:rFonts w:ascii="Times New Roman" w:hAnsi="Times New Roman" w:eastAsia="宋体" w:cs="Times New Roman"/>
          <w:bCs/>
          <w:color w:val="auto"/>
          <w:sz w:val="24"/>
          <w:szCs w:val="24"/>
          <w:highlight w:val="none"/>
        </w:rPr>
      </w:pPr>
    </w:p>
    <w:p w14:paraId="7869BC59">
      <w:pPr>
        <w:snapToGrid w:val="0"/>
        <w:spacing w:before="120" w:beforeLines="50" w:after="50" w:line="360" w:lineRule="exact"/>
        <w:jc w:val="center"/>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 xml:space="preserve">                        年  月  日</w:t>
      </w:r>
    </w:p>
    <w:p w14:paraId="0BB46738">
      <w:pPr>
        <w:snapToGrid w:val="0"/>
        <w:spacing w:before="50" w:after="50" w:line="440" w:lineRule="exact"/>
        <w:rPr>
          <w:rFonts w:ascii="Times New Roman" w:hAnsi="Times New Roman" w:eastAsia="宋体" w:cs="Times New Roman"/>
          <w:b/>
          <w:color w:val="auto"/>
          <w:sz w:val="24"/>
          <w:highlight w:val="none"/>
        </w:rPr>
      </w:pPr>
      <w:r>
        <w:rPr>
          <w:rFonts w:ascii="Times New Roman" w:hAnsi="Times New Roman" w:eastAsia="宋体" w:cs="Times New Roman"/>
          <w:b/>
          <w:color w:val="auto"/>
          <w:sz w:val="24"/>
          <w:highlight w:val="none"/>
        </w:rPr>
        <w:t xml:space="preserve"> </w:t>
      </w:r>
    </w:p>
    <w:p w14:paraId="113FCE6D">
      <w:pPr>
        <w:snapToGrid w:val="0"/>
        <w:spacing w:before="120" w:beforeLines="50" w:after="50" w:line="360" w:lineRule="exact"/>
        <w:jc w:val="center"/>
        <w:rPr>
          <w:color w:val="auto"/>
          <w:sz w:val="24"/>
          <w:highlight w:val="none"/>
        </w:rPr>
      </w:pPr>
    </w:p>
    <w:p w14:paraId="7B67E59D">
      <w:pPr>
        <w:snapToGrid w:val="0"/>
        <w:spacing w:before="120" w:beforeLines="50" w:after="50" w:line="440" w:lineRule="exact"/>
        <w:jc w:val="center"/>
        <w:outlineLvl w:val="9"/>
        <w:rPr>
          <w:b/>
          <w:bCs/>
          <w:color w:val="auto"/>
          <w:sz w:val="24"/>
          <w:highlight w:val="none"/>
        </w:rPr>
      </w:pPr>
      <w:bookmarkStart w:id="90" w:name="_Toc254970698"/>
      <w:bookmarkStart w:id="91" w:name="_Toc254970557"/>
      <w:r>
        <w:rPr>
          <w:color w:val="auto"/>
          <w:sz w:val="24"/>
          <w:highlight w:val="none"/>
        </w:rPr>
        <w:br w:type="page"/>
      </w:r>
      <w:bookmarkEnd w:id="90"/>
      <w:bookmarkEnd w:id="91"/>
    </w:p>
    <w:p w14:paraId="65CD6BB0">
      <w:pPr>
        <w:snapToGrid w:val="0"/>
        <w:spacing w:before="120" w:beforeLines="50" w:after="50" w:line="440" w:lineRule="exact"/>
        <w:jc w:val="center"/>
        <w:rPr>
          <w:color w:val="auto"/>
          <w:sz w:val="24"/>
          <w:highlight w:val="none"/>
        </w:rPr>
      </w:pPr>
    </w:p>
    <w:p w14:paraId="1F85F355">
      <w:pPr>
        <w:snapToGrid w:val="0"/>
        <w:spacing w:before="50" w:after="50" w:line="440" w:lineRule="exact"/>
        <w:ind w:firstLine="138" w:firstLineChars="49"/>
        <w:jc w:val="center"/>
        <w:rPr>
          <w:b/>
          <w:color w:val="auto"/>
          <w:sz w:val="28"/>
          <w:szCs w:val="28"/>
          <w:highlight w:val="none"/>
        </w:rPr>
      </w:pPr>
      <w:r>
        <w:rPr>
          <w:b/>
          <w:color w:val="auto"/>
          <w:sz w:val="28"/>
          <w:szCs w:val="28"/>
          <w:highlight w:val="none"/>
        </w:rPr>
        <w:t>目录</w:t>
      </w:r>
    </w:p>
    <w:p w14:paraId="1BEC04FE">
      <w:pPr>
        <w:jc w:val="center"/>
        <w:rPr>
          <w:b/>
          <w:color w:val="auto"/>
          <w:sz w:val="24"/>
          <w:highlight w:val="none"/>
        </w:rPr>
      </w:pPr>
      <w:r>
        <w:rPr>
          <w:b/>
          <w:color w:val="auto"/>
          <w:sz w:val="24"/>
          <w:highlight w:val="none"/>
        </w:rPr>
        <w:t>（需有页码）</w:t>
      </w:r>
    </w:p>
    <w:p w14:paraId="4A43BA7A">
      <w:pPr>
        <w:jc w:val="center"/>
        <w:outlineLvl w:val="9"/>
        <w:rPr>
          <w:rFonts w:hint="eastAsia"/>
          <w:bCs/>
          <w:vanish/>
          <w:color w:val="auto"/>
          <w:sz w:val="24"/>
          <w:highlight w:val="none"/>
        </w:rPr>
      </w:pPr>
      <w:r>
        <w:rPr>
          <w:color w:val="auto"/>
          <w:highlight w:val="none"/>
        </w:rPr>
        <w:br w:type="page"/>
      </w:r>
      <w:r>
        <w:rPr>
          <w:bCs/>
          <w:color w:val="auto"/>
          <w:sz w:val="24"/>
          <w:highlight w:val="none"/>
        </w:rPr>
        <w:t>第一部分 资格</w:t>
      </w:r>
      <w:r>
        <w:rPr>
          <w:rFonts w:hint="eastAsia"/>
          <w:bCs/>
          <w:color w:val="auto"/>
          <w:sz w:val="24"/>
          <w:highlight w:val="none"/>
        </w:rPr>
        <w:t>证明</w:t>
      </w:r>
      <w:r>
        <w:rPr>
          <w:bCs/>
          <w:color w:val="auto"/>
          <w:sz w:val="24"/>
          <w:highlight w:val="none"/>
        </w:rPr>
        <w:t>文件</w:t>
      </w:r>
    </w:p>
    <w:p w14:paraId="78BD8ABF">
      <w:pPr>
        <w:snapToGrid w:val="0"/>
        <w:spacing w:before="50" w:after="120" w:afterLines="50" w:line="400" w:lineRule="exact"/>
        <w:jc w:val="left"/>
        <w:rPr>
          <w:b/>
          <w:color w:val="auto"/>
          <w:szCs w:val="21"/>
          <w:highlight w:val="none"/>
        </w:rPr>
      </w:pPr>
      <w:bookmarkStart w:id="92" w:name="_Hlk19199154"/>
    </w:p>
    <w:p w14:paraId="1B946C1D">
      <w:pPr>
        <w:snapToGrid w:val="0"/>
        <w:spacing w:before="50" w:after="120" w:afterLines="50" w:line="400" w:lineRule="exact"/>
        <w:jc w:val="left"/>
        <w:rPr>
          <w:rFonts w:hint="eastAsia"/>
          <w:b/>
          <w:color w:val="auto"/>
          <w:szCs w:val="21"/>
          <w:highlight w:val="none"/>
        </w:rPr>
      </w:pPr>
      <w:r>
        <w:rPr>
          <w:b/>
          <w:color w:val="auto"/>
          <w:szCs w:val="21"/>
          <w:highlight w:val="none"/>
        </w:rPr>
        <w:t>1．响应声明书格式：</w:t>
      </w:r>
      <w:bookmarkEnd w:id="92"/>
    </w:p>
    <w:p w14:paraId="555E4681">
      <w:pPr>
        <w:snapToGrid w:val="0"/>
        <w:spacing w:before="120" w:beforeLines="50" w:after="50" w:line="360" w:lineRule="exact"/>
        <w:jc w:val="center"/>
        <w:rPr>
          <w:b/>
          <w:color w:val="auto"/>
          <w:szCs w:val="21"/>
          <w:highlight w:val="none"/>
        </w:rPr>
      </w:pPr>
      <w:r>
        <w:rPr>
          <w:b/>
          <w:color w:val="auto"/>
          <w:szCs w:val="21"/>
          <w:highlight w:val="none"/>
        </w:rPr>
        <w:t>响应声明书</w:t>
      </w:r>
    </w:p>
    <w:p w14:paraId="573B5A78">
      <w:pPr>
        <w:snapToGrid w:val="0"/>
        <w:spacing w:before="120" w:beforeLines="50" w:after="50" w:line="360" w:lineRule="exact"/>
        <w:jc w:val="center"/>
        <w:rPr>
          <w:color w:val="auto"/>
          <w:szCs w:val="21"/>
          <w:highlight w:val="none"/>
        </w:rPr>
      </w:pPr>
    </w:p>
    <w:p w14:paraId="4A593146">
      <w:pPr>
        <w:snapToGrid w:val="0"/>
        <w:spacing w:before="120" w:beforeLines="50" w:after="50" w:line="360" w:lineRule="exact"/>
        <w:rPr>
          <w:color w:val="auto"/>
          <w:szCs w:val="21"/>
          <w:highlight w:val="none"/>
        </w:rPr>
      </w:pPr>
      <w:bookmarkStart w:id="93" w:name="_Hlk19199166"/>
      <w:r>
        <w:rPr>
          <w:color w:val="auto"/>
          <w:szCs w:val="21"/>
          <w:highlight w:val="none"/>
        </w:rPr>
        <w:t>致：</w:t>
      </w:r>
      <w:r>
        <w:rPr>
          <w:i/>
          <w:iCs/>
          <w:color w:val="auto"/>
          <w:szCs w:val="21"/>
          <w:highlight w:val="none"/>
          <w:u w:val="single"/>
        </w:rPr>
        <w:t>（采购</w:t>
      </w:r>
      <w:r>
        <w:rPr>
          <w:rFonts w:hint="eastAsia"/>
          <w:i/>
          <w:iCs/>
          <w:color w:val="auto"/>
          <w:szCs w:val="21"/>
          <w:highlight w:val="none"/>
          <w:u w:val="single"/>
        </w:rPr>
        <w:t>人</w:t>
      </w:r>
      <w:r>
        <w:rPr>
          <w:i/>
          <w:iCs/>
          <w:color w:val="auto"/>
          <w:szCs w:val="21"/>
          <w:highlight w:val="none"/>
          <w:u w:val="single"/>
        </w:rPr>
        <w:t>名称）</w:t>
      </w:r>
      <w:r>
        <w:rPr>
          <w:color w:val="auto"/>
          <w:szCs w:val="21"/>
          <w:highlight w:val="none"/>
        </w:rPr>
        <w:t>：</w:t>
      </w:r>
    </w:p>
    <w:p w14:paraId="067BD409">
      <w:pPr>
        <w:snapToGrid w:val="0"/>
        <w:spacing w:before="120" w:beforeLines="50" w:after="50" w:line="360" w:lineRule="exact"/>
        <w:ind w:firstLine="630" w:firstLineChars="300"/>
        <w:rPr>
          <w:color w:val="auto"/>
          <w:szCs w:val="21"/>
          <w:highlight w:val="none"/>
        </w:rPr>
      </w:pPr>
      <w:r>
        <w:rPr>
          <w:i/>
          <w:iCs/>
          <w:color w:val="auto"/>
          <w:szCs w:val="21"/>
          <w:highlight w:val="none"/>
          <w:u w:val="single"/>
        </w:rPr>
        <w:t>（供应商名称）</w:t>
      </w:r>
      <w:r>
        <w:rPr>
          <w:color w:val="auto"/>
          <w:szCs w:val="21"/>
          <w:highlight w:val="none"/>
        </w:rPr>
        <w:t>系中华人民共和国合法企业，</w:t>
      </w:r>
      <w:r>
        <w:rPr>
          <w:rFonts w:hint="eastAsia"/>
          <w:color w:val="auto"/>
          <w:szCs w:val="21"/>
          <w:highlight w:val="none"/>
          <w:u w:val="single"/>
        </w:rPr>
        <w:t xml:space="preserve"> </w:t>
      </w:r>
      <w:r>
        <w:rPr>
          <w:i/>
          <w:iCs/>
          <w:color w:val="auto"/>
          <w:szCs w:val="21"/>
          <w:highlight w:val="none"/>
          <w:u w:val="single"/>
        </w:rPr>
        <w:t xml:space="preserve"> </w:t>
      </w:r>
      <w:r>
        <w:rPr>
          <w:rFonts w:hint="eastAsia"/>
          <w:i/>
          <w:iCs/>
          <w:color w:val="auto"/>
          <w:szCs w:val="21"/>
          <w:highlight w:val="none"/>
          <w:u w:val="single"/>
        </w:rPr>
        <w:t>（</w:t>
      </w:r>
      <w:r>
        <w:rPr>
          <w:i/>
          <w:iCs/>
          <w:color w:val="auto"/>
          <w:szCs w:val="21"/>
          <w:highlight w:val="none"/>
          <w:u w:val="single"/>
        </w:rPr>
        <w:t>经营地址</w:t>
      </w:r>
      <w:r>
        <w:rPr>
          <w:rFonts w:hint="eastAsia"/>
          <w:i/>
          <w:iCs/>
          <w:color w:val="auto"/>
          <w:szCs w:val="21"/>
          <w:highlight w:val="none"/>
          <w:u w:val="single"/>
        </w:rPr>
        <w:t xml:space="preserve">） </w:t>
      </w:r>
      <w:r>
        <w:rPr>
          <w:i/>
          <w:iCs/>
          <w:color w:val="auto"/>
          <w:szCs w:val="21"/>
          <w:highlight w:val="none"/>
          <w:u w:val="single"/>
        </w:rPr>
        <w:t xml:space="preserve"> </w:t>
      </w:r>
      <w:r>
        <w:rPr>
          <w:color w:val="auto"/>
          <w:szCs w:val="21"/>
          <w:highlight w:val="none"/>
          <w:u w:val="single"/>
        </w:rPr>
        <w:t xml:space="preserve">  </w:t>
      </w:r>
      <w:r>
        <w:rPr>
          <w:color w:val="auto"/>
          <w:szCs w:val="21"/>
          <w:highlight w:val="none"/>
        </w:rPr>
        <w:t>。</w:t>
      </w:r>
    </w:p>
    <w:p w14:paraId="2F5E2323">
      <w:pPr>
        <w:snapToGrid w:val="0"/>
        <w:spacing w:before="120" w:beforeLines="50" w:after="50" w:line="360" w:lineRule="exact"/>
        <w:ind w:firstLine="645"/>
        <w:rPr>
          <w:color w:val="auto"/>
          <w:szCs w:val="21"/>
          <w:highlight w:val="none"/>
        </w:rPr>
      </w:pPr>
      <w:r>
        <w:rPr>
          <w:color w:val="auto"/>
          <w:szCs w:val="21"/>
          <w:highlight w:val="none"/>
        </w:rPr>
        <w:t>我</w:t>
      </w:r>
      <w:r>
        <w:rPr>
          <w:i/>
          <w:iCs/>
          <w:color w:val="auto"/>
          <w:szCs w:val="21"/>
          <w:highlight w:val="none"/>
          <w:u w:val="single"/>
        </w:rPr>
        <w:t>（姓名）</w:t>
      </w:r>
      <w:r>
        <w:rPr>
          <w:rFonts w:hint="eastAsia"/>
          <w:i/>
          <w:iCs/>
          <w:color w:val="auto"/>
          <w:szCs w:val="21"/>
          <w:highlight w:val="none"/>
          <w:u w:val="single"/>
        </w:rPr>
        <w:t xml:space="preserve"> </w:t>
      </w:r>
      <w:r>
        <w:rPr>
          <w:color w:val="auto"/>
          <w:szCs w:val="21"/>
          <w:highlight w:val="none"/>
        </w:rPr>
        <w:t>系</w:t>
      </w:r>
      <w:r>
        <w:rPr>
          <w:i/>
          <w:iCs/>
          <w:color w:val="auto"/>
          <w:szCs w:val="21"/>
          <w:highlight w:val="none"/>
          <w:u w:val="single"/>
        </w:rPr>
        <w:t>（供应商名称）</w:t>
      </w:r>
      <w:r>
        <w:rPr>
          <w:color w:val="auto"/>
          <w:szCs w:val="21"/>
          <w:highlight w:val="none"/>
        </w:rPr>
        <w:t>的法定代表人，我方愿意参加贵方组织的</w:t>
      </w:r>
      <w:r>
        <w:rPr>
          <w:rFonts w:hint="eastAsia"/>
          <w:i/>
          <w:iCs/>
          <w:color w:val="auto"/>
          <w:szCs w:val="21"/>
          <w:highlight w:val="none"/>
          <w:u w:val="single"/>
        </w:rPr>
        <w:t>（项目名称）</w:t>
      </w:r>
      <w:r>
        <w:rPr>
          <w:color w:val="auto"/>
          <w:szCs w:val="21"/>
          <w:highlight w:val="none"/>
        </w:rPr>
        <w:t>项目的磋商，为便于贵方公正、择优地确定成交供应商及其响应产品和服务，我方就本次磋商有关事项郑重声明如下：</w:t>
      </w:r>
    </w:p>
    <w:p w14:paraId="4EB10813">
      <w:pPr>
        <w:snapToGrid w:val="0"/>
        <w:spacing w:before="120" w:beforeLines="50" w:line="360" w:lineRule="exact"/>
        <w:ind w:firstLine="420" w:firstLineChars="200"/>
        <w:rPr>
          <w:color w:val="auto"/>
          <w:szCs w:val="21"/>
          <w:highlight w:val="none"/>
        </w:rPr>
      </w:pPr>
      <w:r>
        <w:rPr>
          <w:color w:val="auto"/>
          <w:szCs w:val="21"/>
          <w:highlight w:val="none"/>
        </w:rPr>
        <w:t>（1）我方向贵方提交的所有响应文件、资料都是准确的和真实的。</w:t>
      </w:r>
    </w:p>
    <w:p w14:paraId="7CB284F1">
      <w:pPr>
        <w:snapToGrid w:val="0"/>
        <w:spacing w:before="120" w:beforeLines="50" w:line="360" w:lineRule="exact"/>
        <w:ind w:firstLine="420" w:firstLineChars="200"/>
        <w:rPr>
          <w:color w:val="auto"/>
          <w:szCs w:val="21"/>
          <w:highlight w:val="none"/>
        </w:rPr>
      </w:pPr>
      <w:r>
        <w:rPr>
          <w:color w:val="auto"/>
          <w:szCs w:val="21"/>
          <w:highlight w:val="none"/>
        </w:rPr>
        <w:t>（2）我方不是采购人的附属机构；也不是为本项目提供整体设计、规范编制或者项目管理、监理、检测等服务的供应商或其附属机构。</w:t>
      </w:r>
    </w:p>
    <w:p w14:paraId="14C9AD75">
      <w:pPr>
        <w:snapToGrid w:val="0"/>
        <w:spacing w:before="120" w:beforeLines="50" w:line="360" w:lineRule="exact"/>
        <w:ind w:firstLine="420" w:firstLineChars="200"/>
        <w:rPr>
          <w:color w:val="auto"/>
          <w:szCs w:val="21"/>
          <w:highlight w:val="none"/>
        </w:rPr>
      </w:pPr>
      <w:r>
        <w:rPr>
          <w:color w:val="auto"/>
          <w:szCs w:val="21"/>
          <w:highlight w:val="none"/>
        </w:rPr>
        <w:t>（3） 我方承诺在参加本政府采购项目活动前，没有被纳入政府部门或银行认定的失信名单，我方具有良好的商业信誉。</w:t>
      </w:r>
    </w:p>
    <w:p w14:paraId="2F264232">
      <w:pPr>
        <w:snapToGrid w:val="0"/>
        <w:spacing w:before="120" w:beforeLines="50" w:line="360" w:lineRule="exact"/>
        <w:ind w:firstLine="420" w:firstLineChars="200"/>
        <w:rPr>
          <w:rFonts w:hint="eastAsia"/>
          <w:color w:val="auto"/>
          <w:szCs w:val="21"/>
          <w:highlight w:val="none"/>
        </w:rPr>
      </w:pPr>
      <w:r>
        <w:rPr>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55F2A713">
      <w:pPr>
        <w:snapToGrid w:val="0"/>
        <w:spacing w:before="120" w:beforeLines="50" w:line="360" w:lineRule="exact"/>
        <w:ind w:firstLine="420" w:firstLineChars="200"/>
        <w:rPr>
          <w:color w:val="auto"/>
          <w:szCs w:val="21"/>
          <w:highlight w:val="none"/>
          <w:lang w:val="zh-CN"/>
        </w:rPr>
      </w:pPr>
      <w:r>
        <w:rPr>
          <w:color w:val="auto"/>
          <w:szCs w:val="21"/>
          <w:highlight w:val="none"/>
        </w:rPr>
        <w:t>（5）</w:t>
      </w:r>
      <w:r>
        <w:rPr>
          <w:color w:val="auto"/>
          <w:szCs w:val="21"/>
          <w:highlight w:val="none"/>
          <w:lang w:val="zh-CN"/>
        </w:rPr>
        <w:t>我方</w:t>
      </w:r>
      <w:r>
        <w:rPr>
          <w:color w:val="auto"/>
          <w:szCs w:val="21"/>
          <w:highlight w:val="none"/>
        </w:rPr>
        <w:t>承诺</w:t>
      </w:r>
      <w:r>
        <w:rPr>
          <w:color w:val="auto"/>
          <w:szCs w:val="21"/>
          <w:highlight w:val="none"/>
          <w:lang w:val="zh-CN"/>
        </w:rPr>
        <w:t>具有履行本项目合同所必需的设备和专业技术能力。</w:t>
      </w:r>
    </w:p>
    <w:p w14:paraId="468379B6">
      <w:pPr>
        <w:snapToGrid w:val="0"/>
        <w:spacing w:before="120" w:beforeLines="50" w:line="360" w:lineRule="exact"/>
        <w:ind w:firstLine="420" w:firstLineChars="200"/>
        <w:rPr>
          <w:color w:val="auto"/>
          <w:szCs w:val="21"/>
          <w:highlight w:val="none"/>
        </w:rPr>
      </w:pPr>
      <w:r>
        <w:rPr>
          <w:rFonts w:hint="eastAsia"/>
          <w:color w:val="auto"/>
          <w:szCs w:val="21"/>
          <w:highlight w:val="none"/>
        </w:rPr>
        <w:t>（6）我方承诺</w:t>
      </w:r>
      <w:r>
        <w:rPr>
          <w:color w:val="auto"/>
          <w:szCs w:val="21"/>
          <w:highlight w:val="none"/>
        </w:rPr>
        <w:t>未被列入失信被执行人、重大税收违法失信主体、政府采购严重违法失信行为记录名单</w:t>
      </w:r>
      <w:r>
        <w:rPr>
          <w:rFonts w:hint="eastAsia"/>
          <w:color w:val="auto"/>
          <w:szCs w:val="21"/>
          <w:highlight w:val="none"/>
        </w:rPr>
        <w:t>，如我方提供的声明不实，则接受本次响应作为响应无效的处理，</w:t>
      </w:r>
      <w:r>
        <w:rPr>
          <w:color w:val="auto"/>
          <w:szCs w:val="21"/>
          <w:highlight w:val="none"/>
        </w:rPr>
        <w:t>并根据财库〔2016〕125号《财政部关于在政府采购活动中查询及使用信用记录有关问题的通知》规定接受失信联合惩戒。</w:t>
      </w:r>
    </w:p>
    <w:p w14:paraId="6135A673">
      <w:pPr>
        <w:snapToGrid w:val="0"/>
        <w:spacing w:before="120" w:beforeLines="50" w:line="360" w:lineRule="exact"/>
        <w:ind w:firstLine="420" w:firstLineChars="200"/>
        <w:rPr>
          <w:color w:val="auto"/>
          <w:szCs w:val="21"/>
          <w:highlight w:val="none"/>
        </w:rPr>
      </w:pPr>
      <w:r>
        <w:rPr>
          <w:rFonts w:hint="eastAsia"/>
          <w:color w:val="auto"/>
          <w:szCs w:val="21"/>
          <w:highlight w:val="none"/>
        </w:rPr>
        <w:t>（7）我方承诺成交后按</w:t>
      </w:r>
      <w:r>
        <w:rPr>
          <w:color w:val="auto"/>
          <w:szCs w:val="21"/>
          <w:highlight w:val="none"/>
        </w:rPr>
        <w:t>规定缴纳代理服务费</w:t>
      </w:r>
      <w:r>
        <w:rPr>
          <w:rFonts w:hint="eastAsia"/>
          <w:color w:val="auto"/>
          <w:szCs w:val="21"/>
          <w:highlight w:val="none"/>
        </w:rPr>
        <w:t>。如未按时缴纳，</w:t>
      </w:r>
      <w:r>
        <w:rPr>
          <w:color w:val="auto"/>
          <w:szCs w:val="21"/>
          <w:highlight w:val="none"/>
        </w:rPr>
        <w:t>贵方可</w:t>
      </w:r>
      <w:r>
        <w:rPr>
          <w:rFonts w:hint="eastAsia"/>
          <w:color w:val="auto"/>
          <w:szCs w:val="21"/>
          <w:highlight w:val="none"/>
        </w:rPr>
        <w:t>不退还</w:t>
      </w:r>
      <w:r>
        <w:rPr>
          <w:color w:val="auto"/>
          <w:szCs w:val="21"/>
          <w:highlight w:val="none"/>
        </w:rPr>
        <w:t>我</w:t>
      </w:r>
      <w:r>
        <w:rPr>
          <w:rFonts w:hint="eastAsia"/>
          <w:color w:val="auto"/>
          <w:szCs w:val="21"/>
          <w:highlight w:val="none"/>
        </w:rPr>
        <w:t>方</w:t>
      </w:r>
      <w:r>
        <w:rPr>
          <w:color w:val="auto"/>
          <w:szCs w:val="21"/>
          <w:highlight w:val="none"/>
        </w:rPr>
        <w:t>提交的</w:t>
      </w:r>
      <w:r>
        <w:rPr>
          <w:rFonts w:hint="eastAsia"/>
          <w:color w:val="auto"/>
          <w:szCs w:val="21"/>
          <w:highlight w:val="none"/>
        </w:rPr>
        <w:t>磋商</w:t>
      </w:r>
      <w:r>
        <w:rPr>
          <w:color w:val="auto"/>
          <w:szCs w:val="21"/>
          <w:highlight w:val="none"/>
        </w:rPr>
        <w:t>保证金</w:t>
      </w:r>
      <w:r>
        <w:rPr>
          <w:rFonts w:hint="eastAsia"/>
          <w:color w:val="auto"/>
          <w:szCs w:val="21"/>
          <w:highlight w:val="none"/>
        </w:rPr>
        <w:t>，并从中</w:t>
      </w:r>
      <w:r>
        <w:rPr>
          <w:color w:val="auto"/>
          <w:szCs w:val="21"/>
          <w:highlight w:val="none"/>
        </w:rPr>
        <w:t>扣除</w:t>
      </w:r>
      <w:r>
        <w:rPr>
          <w:rFonts w:hint="eastAsia"/>
          <w:color w:val="auto"/>
          <w:szCs w:val="21"/>
          <w:highlight w:val="none"/>
        </w:rPr>
        <w:t>代理服务费。</w:t>
      </w:r>
    </w:p>
    <w:p w14:paraId="3503247B">
      <w:pPr>
        <w:pStyle w:val="17"/>
        <w:ind w:firstLine="420" w:firstLineChars="200"/>
        <w:rPr>
          <w:rFonts w:hint="eastAsia"/>
          <w:color w:val="auto"/>
          <w:highlight w:val="none"/>
        </w:rPr>
      </w:pPr>
    </w:p>
    <w:p w14:paraId="297F48D0">
      <w:pPr>
        <w:snapToGrid w:val="0"/>
        <w:spacing w:before="120" w:beforeLines="50" w:line="360" w:lineRule="exact"/>
        <w:ind w:firstLine="420" w:firstLineChars="200"/>
        <w:rPr>
          <w:color w:val="auto"/>
          <w:szCs w:val="21"/>
          <w:highlight w:val="none"/>
        </w:rPr>
      </w:pPr>
      <w:r>
        <w:rPr>
          <w:color w:val="auto"/>
          <w:szCs w:val="21"/>
          <w:highlight w:val="none"/>
        </w:rPr>
        <w:t>我方对以上声明负全部法律责任。如有虚假或隐瞒，我方愿意承担一切后果，并不再寻求任何旨在减轻或免除法律责任的辩解。</w:t>
      </w:r>
    </w:p>
    <w:bookmarkEnd w:id="93"/>
    <w:p w14:paraId="2D6FDFD5">
      <w:pPr>
        <w:snapToGrid w:val="0"/>
        <w:spacing w:before="120" w:beforeLines="50" w:line="360" w:lineRule="exact"/>
        <w:ind w:firstLine="420" w:firstLineChars="200"/>
        <w:rPr>
          <w:color w:val="auto"/>
          <w:szCs w:val="21"/>
          <w:highlight w:val="none"/>
        </w:rPr>
      </w:pPr>
    </w:p>
    <w:p w14:paraId="20757AC2">
      <w:pPr>
        <w:snapToGrid w:val="0"/>
        <w:spacing w:before="120" w:beforeLines="50" w:after="50" w:line="360" w:lineRule="exact"/>
        <w:ind w:firstLine="3570" w:firstLineChars="1700"/>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2867F9BD">
      <w:pPr>
        <w:snapToGrid w:val="0"/>
        <w:spacing w:before="120" w:beforeLines="50" w:after="50" w:line="360" w:lineRule="exact"/>
        <w:ind w:firstLine="210" w:firstLineChars="100"/>
        <w:rPr>
          <w:color w:val="auto"/>
          <w:szCs w:val="21"/>
          <w:highlight w:val="none"/>
        </w:rPr>
      </w:pPr>
      <w:r>
        <w:rPr>
          <w:color w:val="auto"/>
          <w:szCs w:val="21"/>
          <w:highlight w:val="none"/>
        </w:rPr>
        <w:t xml:space="preserve">                                          年    月    日</w:t>
      </w:r>
    </w:p>
    <w:p w14:paraId="409AF85F">
      <w:pPr>
        <w:snapToGrid w:val="0"/>
        <w:spacing w:before="120" w:beforeLines="50" w:after="50" w:line="360" w:lineRule="exact"/>
        <w:rPr>
          <w:color w:val="auto"/>
          <w:szCs w:val="21"/>
          <w:highlight w:val="none"/>
        </w:rPr>
      </w:pPr>
      <w:r>
        <w:rPr>
          <w:color w:val="auto"/>
          <w:szCs w:val="21"/>
          <w:highlight w:val="none"/>
        </w:rPr>
        <w:br w:type="page"/>
      </w:r>
      <w:r>
        <w:rPr>
          <w:rFonts w:hint="eastAsia"/>
          <w:color w:val="auto"/>
          <w:szCs w:val="21"/>
          <w:highlight w:val="none"/>
        </w:rPr>
        <w:t>2</w:t>
      </w:r>
      <w:r>
        <w:rPr>
          <w:color w:val="auto"/>
          <w:szCs w:val="21"/>
          <w:highlight w:val="none"/>
        </w:rPr>
        <w:t>．法人或者其他组织的营业执照等证明文件、自然人的身份证明。即供应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商不是以上所列的法人、组织、自然人的，则提供国家规定的相关证明材料。（加盖供应商</w:t>
      </w:r>
      <w:r>
        <w:rPr>
          <w:rFonts w:hint="eastAsia"/>
          <w:color w:val="auto"/>
          <w:szCs w:val="21"/>
          <w:highlight w:val="none"/>
        </w:rPr>
        <w:t>电子签章</w:t>
      </w:r>
      <w:r>
        <w:rPr>
          <w:color w:val="auto"/>
          <w:szCs w:val="21"/>
          <w:highlight w:val="none"/>
        </w:rPr>
        <w:t>）</w:t>
      </w:r>
      <w:r>
        <w:rPr>
          <w:rFonts w:hint="eastAsia"/>
          <w:color w:val="auto"/>
          <w:szCs w:val="21"/>
          <w:highlight w:val="none"/>
        </w:rPr>
        <w:t>。</w:t>
      </w:r>
    </w:p>
    <w:p w14:paraId="492AE196">
      <w:pPr>
        <w:snapToGrid w:val="0"/>
        <w:spacing w:before="120" w:beforeLines="50" w:after="50" w:line="440" w:lineRule="exact"/>
        <w:rPr>
          <w:color w:val="auto"/>
          <w:szCs w:val="21"/>
          <w:highlight w:val="none"/>
        </w:rPr>
      </w:pPr>
    </w:p>
    <w:p w14:paraId="123D1DB6">
      <w:pPr>
        <w:snapToGrid w:val="0"/>
        <w:spacing w:before="120" w:beforeLines="50" w:after="50" w:line="440" w:lineRule="exact"/>
        <w:rPr>
          <w:color w:val="auto"/>
          <w:szCs w:val="21"/>
          <w:highlight w:val="none"/>
        </w:rPr>
      </w:pPr>
      <w:r>
        <w:rPr>
          <w:rFonts w:hint="eastAsia"/>
          <w:color w:val="auto"/>
          <w:szCs w:val="21"/>
          <w:highlight w:val="none"/>
        </w:rPr>
        <w:t>3</w:t>
      </w:r>
      <w:r>
        <w:rPr>
          <w:color w:val="auto"/>
          <w:szCs w:val="21"/>
          <w:highlight w:val="none"/>
        </w:rPr>
        <w:t>．财务状况报告（表）复印件或银行出具的资信证明复印件。</w:t>
      </w:r>
      <w:r>
        <w:rPr>
          <w:color w:val="auto"/>
          <w:highlight w:val="none"/>
        </w:rPr>
        <w:t>对于从取得营业执照时间起到截标时间为止不足1年的供应商，只需提交</w:t>
      </w:r>
      <w:r>
        <w:rPr>
          <w:color w:val="auto"/>
          <w:szCs w:val="21"/>
          <w:highlight w:val="none"/>
        </w:rPr>
        <w:t>截标时间前一个月的财务状况报告（表）复印件。（按“评审方法及标准” “资格审查表”规定提供）。（加盖供应商</w:t>
      </w:r>
      <w:r>
        <w:rPr>
          <w:rFonts w:hint="eastAsia"/>
          <w:color w:val="auto"/>
          <w:szCs w:val="21"/>
          <w:highlight w:val="none"/>
        </w:rPr>
        <w:t>电子签章</w:t>
      </w:r>
      <w:r>
        <w:rPr>
          <w:color w:val="auto"/>
          <w:szCs w:val="21"/>
          <w:highlight w:val="none"/>
        </w:rPr>
        <w:t>）</w:t>
      </w:r>
      <w:r>
        <w:rPr>
          <w:rFonts w:hint="eastAsia"/>
          <w:color w:val="auto"/>
          <w:szCs w:val="21"/>
          <w:highlight w:val="none"/>
        </w:rPr>
        <w:t>。</w:t>
      </w:r>
    </w:p>
    <w:p w14:paraId="54AD1DF4">
      <w:pPr>
        <w:snapToGrid w:val="0"/>
        <w:spacing w:before="50" w:after="120" w:afterLines="50" w:line="440" w:lineRule="exact"/>
        <w:jc w:val="left"/>
        <w:rPr>
          <w:color w:val="auto"/>
          <w:szCs w:val="21"/>
          <w:highlight w:val="none"/>
        </w:rPr>
      </w:pPr>
    </w:p>
    <w:p w14:paraId="3478F924">
      <w:pPr>
        <w:snapToGrid w:val="0"/>
        <w:spacing w:before="50" w:after="120" w:afterLines="50" w:line="440" w:lineRule="exact"/>
        <w:jc w:val="left"/>
        <w:rPr>
          <w:rFonts w:hint="eastAsia"/>
          <w:b/>
          <w:color w:val="auto"/>
          <w:szCs w:val="21"/>
          <w:highlight w:val="none"/>
        </w:rPr>
      </w:pPr>
      <w:r>
        <w:rPr>
          <w:rFonts w:hint="eastAsia"/>
          <w:color w:val="auto"/>
          <w:szCs w:val="21"/>
          <w:highlight w:val="none"/>
        </w:rPr>
        <w:t>4</w:t>
      </w:r>
      <w:r>
        <w:rPr>
          <w:color w:val="auto"/>
          <w:szCs w:val="21"/>
          <w:highlight w:val="none"/>
        </w:rPr>
        <w:t>．</w:t>
      </w:r>
      <w:r>
        <w:rPr>
          <w:color w:val="auto"/>
          <w:highlight w:val="none"/>
        </w:rPr>
        <w:t>依法缴纳税费证明和社会保险缴纳证明材料</w:t>
      </w:r>
      <w:r>
        <w:rPr>
          <w:rFonts w:hint="eastAsia"/>
          <w:color w:val="auto"/>
          <w:highlight w:val="none"/>
        </w:rPr>
        <w:t>。</w:t>
      </w:r>
      <w:r>
        <w:rPr>
          <w:color w:val="auto"/>
          <w:highlight w:val="none"/>
        </w:rPr>
        <w:t>供应商成立不足</w:t>
      </w:r>
      <w:r>
        <w:rPr>
          <w:rFonts w:hint="eastAsia"/>
          <w:color w:val="auto"/>
          <w:highlight w:val="none"/>
        </w:rPr>
        <w:t>1个月的，无须提供</w:t>
      </w:r>
      <w:r>
        <w:rPr>
          <w:color w:val="auto"/>
          <w:highlight w:val="none"/>
        </w:rPr>
        <w:t>缴纳税费证明及社保缴费证明</w:t>
      </w:r>
      <w:r>
        <w:rPr>
          <w:rFonts w:hint="eastAsia"/>
          <w:color w:val="auto"/>
          <w:highlight w:val="none"/>
        </w:rPr>
        <w:t>。</w:t>
      </w:r>
      <w:r>
        <w:rPr>
          <w:color w:val="auto"/>
          <w:highlight w:val="none"/>
        </w:rPr>
        <w:t>依法免税或不需要缴纳社会保障资金的供应商，须提供相应文件证明其依法免税或不需要缴纳社会保障资金。</w:t>
      </w:r>
      <w:r>
        <w:rPr>
          <w:color w:val="auto"/>
          <w:szCs w:val="21"/>
          <w:highlight w:val="none"/>
        </w:rPr>
        <w:t>（按“评审方法及标准” “资格性检查表”规定提供）（加盖供应商</w:t>
      </w:r>
      <w:r>
        <w:rPr>
          <w:rFonts w:hint="eastAsia"/>
          <w:color w:val="auto"/>
          <w:szCs w:val="21"/>
          <w:highlight w:val="none"/>
        </w:rPr>
        <w:t>电子签章</w:t>
      </w:r>
      <w:r>
        <w:rPr>
          <w:color w:val="auto"/>
          <w:szCs w:val="21"/>
          <w:highlight w:val="none"/>
        </w:rPr>
        <w:t>）</w:t>
      </w:r>
      <w:r>
        <w:rPr>
          <w:rFonts w:hint="eastAsia"/>
          <w:color w:val="auto"/>
          <w:szCs w:val="21"/>
          <w:highlight w:val="none"/>
        </w:rPr>
        <w:t>。</w:t>
      </w:r>
    </w:p>
    <w:p w14:paraId="376B1A32">
      <w:pPr>
        <w:snapToGrid w:val="0"/>
        <w:spacing w:before="50" w:after="120" w:afterLines="50" w:line="440" w:lineRule="exact"/>
        <w:jc w:val="left"/>
        <w:rPr>
          <w:color w:val="auto"/>
          <w:highlight w:val="none"/>
        </w:rPr>
      </w:pPr>
    </w:p>
    <w:p w14:paraId="179295A3">
      <w:pPr>
        <w:snapToGrid w:val="0"/>
        <w:spacing w:before="50" w:after="120" w:afterLines="50" w:line="440" w:lineRule="exact"/>
        <w:jc w:val="left"/>
        <w:rPr>
          <w:b/>
          <w:color w:val="auto"/>
          <w:szCs w:val="21"/>
          <w:highlight w:val="none"/>
        </w:rPr>
      </w:pPr>
      <w:r>
        <w:rPr>
          <w:rFonts w:hint="eastAsia"/>
          <w:color w:val="auto"/>
          <w:szCs w:val="21"/>
          <w:highlight w:val="none"/>
        </w:rPr>
        <w:t>5</w:t>
      </w:r>
      <w:r>
        <w:rPr>
          <w:color w:val="auto"/>
          <w:szCs w:val="21"/>
          <w:highlight w:val="none"/>
        </w:rPr>
        <w:t>．具备法律、行政法规规定的其他要求的证明材料</w:t>
      </w:r>
      <w:r>
        <w:rPr>
          <w:color w:val="auto"/>
          <w:highlight w:val="none"/>
        </w:rPr>
        <w:t>（</w:t>
      </w:r>
      <w:r>
        <w:rPr>
          <w:color w:val="auto"/>
          <w:szCs w:val="21"/>
          <w:highlight w:val="none"/>
        </w:rPr>
        <w:t>按“评审方法及标准” “资格性检查表”规定提供</w:t>
      </w:r>
      <w:r>
        <w:rPr>
          <w:color w:val="auto"/>
          <w:highlight w:val="none"/>
        </w:rPr>
        <w:t>）。</w:t>
      </w:r>
      <w:r>
        <w:rPr>
          <w:rFonts w:hint="eastAsia"/>
          <w:b/>
          <w:color w:val="auto"/>
          <w:szCs w:val="21"/>
          <w:highlight w:val="none"/>
        </w:rPr>
        <w:t>（如采购文件有要求时提供）</w:t>
      </w:r>
    </w:p>
    <w:p w14:paraId="6C3B70DA">
      <w:pPr>
        <w:snapToGrid w:val="0"/>
        <w:spacing w:before="50" w:after="120" w:afterLines="50" w:line="440" w:lineRule="exact"/>
        <w:jc w:val="left"/>
        <w:rPr>
          <w:color w:val="auto"/>
          <w:szCs w:val="21"/>
          <w:highlight w:val="none"/>
        </w:rPr>
      </w:pPr>
    </w:p>
    <w:p w14:paraId="44EDAB04">
      <w:pPr>
        <w:pStyle w:val="7"/>
        <w:overflowPunct w:val="0"/>
        <w:ind w:left="0" w:leftChars="0" w:firstLine="0" w:firstLineChars="0"/>
        <w:rPr>
          <w:rFonts w:hint="eastAsia"/>
          <w:b/>
          <w:color w:val="auto"/>
          <w:szCs w:val="21"/>
          <w:highlight w:val="none"/>
        </w:rPr>
      </w:pPr>
      <w:r>
        <w:rPr>
          <w:rFonts w:hint="eastAsia"/>
          <w:color w:val="auto"/>
          <w:szCs w:val="21"/>
          <w:highlight w:val="none"/>
          <w:lang w:val="en-US" w:eastAsia="zh-CN"/>
        </w:rPr>
        <w:t>6</w:t>
      </w:r>
      <w:r>
        <w:rPr>
          <w:color w:val="auto"/>
          <w:szCs w:val="21"/>
          <w:highlight w:val="none"/>
        </w:rPr>
        <w:t>．</w:t>
      </w:r>
      <w:r>
        <w:rPr>
          <w:color w:val="auto"/>
          <w:highlight w:val="none"/>
        </w:rPr>
        <w:t>满足供应商特定资格条件的其他证明材料</w:t>
      </w:r>
      <w:r>
        <w:rPr>
          <w:color w:val="auto"/>
          <w:szCs w:val="21"/>
          <w:highlight w:val="none"/>
        </w:rPr>
        <w:t>加盖供应商</w:t>
      </w:r>
      <w:r>
        <w:rPr>
          <w:rFonts w:hint="eastAsia"/>
          <w:color w:val="auto"/>
          <w:szCs w:val="21"/>
          <w:highlight w:val="none"/>
        </w:rPr>
        <w:t>电子签章</w:t>
      </w:r>
      <w:r>
        <w:rPr>
          <w:color w:val="auto"/>
          <w:highlight w:val="none"/>
        </w:rPr>
        <w:t>（</w:t>
      </w:r>
      <w:r>
        <w:rPr>
          <w:color w:val="auto"/>
          <w:szCs w:val="21"/>
          <w:highlight w:val="none"/>
        </w:rPr>
        <w:t>按“评审方法及标准” “资格性检查表”“</w:t>
      </w:r>
      <w:r>
        <w:rPr>
          <w:color w:val="auto"/>
          <w:szCs w:val="21"/>
          <w:highlight w:val="none"/>
          <w:lang w:val="zh-CN"/>
        </w:rPr>
        <w:t xml:space="preserve"> 供应商应符合的</w:t>
      </w:r>
      <w:r>
        <w:rPr>
          <w:color w:val="auto"/>
          <w:szCs w:val="21"/>
          <w:highlight w:val="none"/>
        </w:rPr>
        <w:t>特定资格条件”规定提供</w:t>
      </w:r>
      <w:r>
        <w:rPr>
          <w:color w:val="auto"/>
          <w:highlight w:val="none"/>
        </w:rPr>
        <w:t>）。</w:t>
      </w:r>
      <w:r>
        <w:rPr>
          <w:rFonts w:hint="eastAsia"/>
          <w:b/>
          <w:color w:val="auto"/>
          <w:szCs w:val="21"/>
          <w:highlight w:val="none"/>
        </w:rPr>
        <w:t>（如采购文件有要求时提供）</w:t>
      </w:r>
    </w:p>
    <w:p w14:paraId="0DE89753">
      <w:pPr>
        <w:pStyle w:val="7"/>
        <w:overflowPunct w:val="0"/>
        <w:ind w:left="0" w:leftChars="0" w:firstLine="0" w:firstLineChars="0"/>
        <w:rPr>
          <w:color w:val="auto"/>
          <w:szCs w:val="21"/>
          <w:highlight w:val="none"/>
        </w:rPr>
      </w:pPr>
      <w:r>
        <w:rPr>
          <w:rFonts w:hint="eastAsia"/>
          <w:color w:val="auto"/>
          <w:szCs w:val="21"/>
          <w:highlight w:val="none"/>
          <w:lang w:val="en-US" w:eastAsia="zh-CN"/>
        </w:rPr>
        <w:t>6</w:t>
      </w:r>
      <w:r>
        <w:rPr>
          <w:color w:val="auto"/>
          <w:szCs w:val="21"/>
          <w:highlight w:val="none"/>
        </w:rPr>
        <w:t>.1</w:t>
      </w:r>
      <w:r>
        <w:rPr>
          <w:rFonts w:hint="eastAsia"/>
          <w:color w:val="auto"/>
          <w:szCs w:val="21"/>
          <w:highlight w:val="none"/>
        </w:rPr>
        <w:t>供应商直接控股股东信息表</w:t>
      </w:r>
    </w:p>
    <w:tbl>
      <w:tblPr>
        <w:tblStyle w:val="51"/>
        <w:tblW w:w="9476" w:type="dxa"/>
        <w:tblInd w:w="125" w:type="dxa"/>
        <w:tblLayout w:type="fixed"/>
        <w:tblCellMar>
          <w:top w:w="0" w:type="dxa"/>
          <w:left w:w="0" w:type="dxa"/>
          <w:bottom w:w="0" w:type="dxa"/>
          <w:right w:w="0" w:type="dxa"/>
        </w:tblCellMar>
      </w:tblPr>
      <w:tblGrid>
        <w:gridCol w:w="828"/>
        <w:gridCol w:w="2269"/>
        <w:gridCol w:w="1239"/>
        <w:gridCol w:w="3722"/>
        <w:gridCol w:w="1418"/>
      </w:tblGrid>
      <w:tr w14:paraId="3C1C296A">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38AABBA">
            <w:pPr>
              <w:spacing w:line="360" w:lineRule="auto"/>
              <w:jc w:val="center"/>
              <w:rPr>
                <w:color w:val="auto"/>
                <w:szCs w:val="21"/>
                <w:highlight w:val="none"/>
              </w:rPr>
            </w:pPr>
            <w:r>
              <w:rPr>
                <w:rFonts w:hint="eastAsia"/>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066EFC2">
            <w:pPr>
              <w:spacing w:line="360" w:lineRule="auto"/>
              <w:jc w:val="center"/>
              <w:rPr>
                <w:color w:val="auto"/>
                <w:szCs w:val="21"/>
                <w:highlight w:val="none"/>
              </w:rPr>
            </w:pPr>
            <w:r>
              <w:rPr>
                <w:rFonts w:hint="eastAsia"/>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F6DCF0B">
            <w:pPr>
              <w:spacing w:line="360" w:lineRule="auto"/>
              <w:jc w:val="center"/>
              <w:rPr>
                <w:color w:val="auto"/>
                <w:szCs w:val="21"/>
                <w:highlight w:val="none"/>
              </w:rPr>
            </w:pPr>
            <w:r>
              <w:rPr>
                <w:rFonts w:hint="eastAsia"/>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5E494B1">
            <w:pPr>
              <w:spacing w:line="360" w:lineRule="auto"/>
              <w:jc w:val="center"/>
              <w:rPr>
                <w:color w:val="auto"/>
                <w:szCs w:val="21"/>
                <w:highlight w:val="none"/>
              </w:rPr>
            </w:pPr>
            <w:r>
              <w:rPr>
                <w:rFonts w:hint="eastAsia"/>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F44AFEC">
            <w:pPr>
              <w:spacing w:line="360" w:lineRule="auto"/>
              <w:jc w:val="center"/>
              <w:rPr>
                <w:color w:val="auto"/>
                <w:szCs w:val="21"/>
                <w:highlight w:val="none"/>
              </w:rPr>
            </w:pPr>
            <w:r>
              <w:rPr>
                <w:rFonts w:hint="eastAsia"/>
                <w:color w:val="auto"/>
                <w:szCs w:val="21"/>
                <w:highlight w:val="none"/>
              </w:rPr>
              <w:t>备注</w:t>
            </w:r>
          </w:p>
        </w:tc>
      </w:tr>
      <w:tr w14:paraId="3874CF8A">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13D0F14">
            <w:pPr>
              <w:spacing w:line="360" w:lineRule="auto"/>
              <w:jc w:val="center"/>
              <w:rPr>
                <w:color w:val="auto"/>
                <w:szCs w:val="21"/>
                <w:highlight w:val="none"/>
              </w:rPr>
            </w:pPr>
            <w:r>
              <w:rPr>
                <w:rFonts w:hint="eastAsia"/>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A1B7CD4">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AF34B20">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0A45616">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43A4397">
            <w:pPr>
              <w:spacing w:line="360" w:lineRule="auto"/>
              <w:jc w:val="center"/>
              <w:rPr>
                <w:color w:val="auto"/>
                <w:szCs w:val="21"/>
                <w:highlight w:val="none"/>
              </w:rPr>
            </w:pPr>
          </w:p>
        </w:tc>
      </w:tr>
      <w:tr w14:paraId="4B8E4A84">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A2335A0">
            <w:pPr>
              <w:spacing w:line="360" w:lineRule="auto"/>
              <w:jc w:val="center"/>
              <w:rPr>
                <w:color w:val="auto"/>
                <w:szCs w:val="21"/>
                <w:highlight w:val="none"/>
              </w:rPr>
            </w:pPr>
            <w:r>
              <w:rPr>
                <w:rFonts w:hint="eastAsia"/>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99A49E0">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76D6CB7">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9277298">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2E008C4">
            <w:pPr>
              <w:spacing w:line="360" w:lineRule="auto"/>
              <w:jc w:val="center"/>
              <w:rPr>
                <w:color w:val="auto"/>
                <w:szCs w:val="21"/>
                <w:highlight w:val="none"/>
              </w:rPr>
            </w:pPr>
          </w:p>
        </w:tc>
      </w:tr>
      <w:tr w14:paraId="1EA9DFA4">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98C234E">
            <w:pPr>
              <w:spacing w:line="360" w:lineRule="auto"/>
              <w:jc w:val="center"/>
              <w:rPr>
                <w:color w:val="auto"/>
                <w:szCs w:val="21"/>
                <w:highlight w:val="none"/>
              </w:rPr>
            </w:pPr>
            <w:r>
              <w:rPr>
                <w:rFonts w:hint="eastAsia"/>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771DAFD">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613ED7F">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B41448B">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E63A341">
            <w:pPr>
              <w:spacing w:line="360" w:lineRule="auto"/>
              <w:jc w:val="center"/>
              <w:rPr>
                <w:color w:val="auto"/>
                <w:szCs w:val="21"/>
                <w:highlight w:val="none"/>
              </w:rPr>
            </w:pPr>
          </w:p>
        </w:tc>
      </w:tr>
      <w:tr w14:paraId="61004E8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A764FD5">
            <w:pPr>
              <w:spacing w:line="360" w:lineRule="auto"/>
              <w:jc w:val="center"/>
              <w:rPr>
                <w:color w:val="auto"/>
                <w:szCs w:val="21"/>
                <w:highlight w:val="none"/>
              </w:rPr>
            </w:pPr>
            <w:r>
              <w:rPr>
                <w:rFonts w:hint="eastAsia"/>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474818A">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EA2574E">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4551919">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60B8F16">
            <w:pPr>
              <w:spacing w:line="360" w:lineRule="auto"/>
              <w:jc w:val="center"/>
              <w:rPr>
                <w:color w:val="auto"/>
                <w:szCs w:val="21"/>
                <w:highlight w:val="none"/>
              </w:rPr>
            </w:pPr>
          </w:p>
        </w:tc>
      </w:tr>
    </w:tbl>
    <w:p w14:paraId="47A0E0DF">
      <w:pPr>
        <w:snapToGrid w:val="0"/>
        <w:spacing w:line="360" w:lineRule="auto"/>
        <w:jc w:val="left"/>
        <w:rPr>
          <w:color w:val="auto"/>
          <w:szCs w:val="21"/>
          <w:highlight w:val="none"/>
        </w:rPr>
      </w:pPr>
      <w:r>
        <w:rPr>
          <w:rFonts w:hint="eastAsia"/>
          <w:color w:val="auto"/>
          <w:szCs w:val="21"/>
          <w:highlight w:val="none"/>
        </w:rPr>
        <w:t>注：</w:t>
      </w:r>
    </w:p>
    <w:p w14:paraId="1BD24E66">
      <w:pPr>
        <w:snapToGrid w:val="0"/>
        <w:spacing w:line="360" w:lineRule="auto"/>
        <w:jc w:val="left"/>
        <w:rPr>
          <w:color w:val="auto"/>
          <w:szCs w:val="21"/>
          <w:highlight w:val="none"/>
        </w:rPr>
      </w:pPr>
      <w:r>
        <w:rPr>
          <w:rFonts w:hint="eastAsia"/>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E6CA548">
      <w:pPr>
        <w:snapToGrid w:val="0"/>
        <w:spacing w:line="360" w:lineRule="auto"/>
        <w:jc w:val="left"/>
        <w:rPr>
          <w:color w:val="auto"/>
          <w:szCs w:val="21"/>
          <w:highlight w:val="none"/>
        </w:rPr>
      </w:pPr>
      <w:r>
        <w:rPr>
          <w:rFonts w:hint="eastAsia"/>
          <w:color w:val="auto"/>
          <w:szCs w:val="21"/>
          <w:highlight w:val="none"/>
        </w:rPr>
        <w:t>2.本表所指的控股关系仅限于直接控股关系，不包括间接的控股关系。公司实际控制人与公司之间的关系不属于本表所指的直接控股关系。</w:t>
      </w:r>
    </w:p>
    <w:p w14:paraId="070935FB">
      <w:pPr>
        <w:snapToGrid w:val="0"/>
        <w:spacing w:line="360" w:lineRule="auto"/>
        <w:jc w:val="left"/>
        <w:rPr>
          <w:color w:val="auto"/>
          <w:szCs w:val="21"/>
          <w:highlight w:val="none"/>
        </w:rPr>
      </w:pPr>
      <w:r>
        <w:rPr>
          <w:rFonts w:hint="eastAsia"/>
          <w:color w:val="auto"/>
          <w:szCs w:val="21"/>
          <w:highlight w:val="none"/>
        </w:rPr>
        <w:t>3.供应商不存在直接控股股东的，则填“无”。</w:t>
      </w:r>
    </w:p>
    <w:p w14:paraId="2A248408">
      <w:pPr>
        <w:snapToGrid w:val="0"/>
        <w:spacing w:line="360" w:lineRule="auto"/>
        <w:jc w:val="left"/>
        <w:rPr>
          <w:color w:val="auto"/>
          <w:szCs w:val="21"/>
          <w:highlight w:val="none"/>
        </w:rPr>
      </w:pPr>
    </w:p>
    <w:p w14:paraId="201CC430">
      <w:pPr>
        <w:snapToGrid w:val="0"/>
        <w:spacing w:line="360" w:lineRule="auto"/>
        <w:jc w:val="left"/>
        <w:rPr>
          <w:color w:val="auto"/>
          <w:szCs w:val="21"/>
          <w:highlight w:val="none"/>
        </w:rPr>
      </w:pPr>
    </w:p>
    <w:p w14:paraId="640E7225">
      <w:pPr>
        <w:snapToGrid w:val="0"/>
        <w:spacing w:line="360" w:lineRule="auto"/>
        <w:jc w:val="left"/>
        <w:rPr>
          <w:color w:val="auto"/>
          <w:szCs w:val="21"/>
          <w:highlight w:val="none"/>
        </w:rPr>
      </w:pPr>
    </w:p>
    <w:p w14:paraId="34E47491">
      <w:pPr>
        <w:snapToGrid w:val="0"/>
        <w:spacing w:line="360" w:lineRule="auto"/>
        <w:jc w:val="left"/>
        <w:rPr>
          <w:color w:val="auto"/>
          <w:szCs w:val="21"/>
          <w:highlight w:val="none"/>
        </w:rPr>
      </w:pPr>
    </w:p>
    <w:p w14:paraId="5D09A9BF">
      <w:pPr>
        <w:snapToGrid w:val="0"/>
        <w:spacing w:line="360" w:lineRule="auto"/>
        <w:jc w:val="left"/>
        <w:rPr>
          <w:color w:val="auto"/>
          <w:szCs w:val="21"/>
          <w:highlight w:val="none"/>
        </w:rPr>
      </w:pPr>
    </w:p>
    <w:p w14:paraId="6A7E89FA">
      <w:pPr>
        <w:snapToGrid w:val="0"/>
        <w:spacing w:line="360" w:lineRule="auto"/>
        <w:ind w:firstLine="4410" w:firstLineChars="2100"/>
        <w:rPr>
          <w:color w:val="auto"/>
          <w:szCs w:val="21"/>
          <w:highlight w:val="none"/>
        </w:rPr>
      </w:pPr>
      <w:r>
        <w:rPr>
          <w:rFonts w:hint="eastAsia"/>
          <w:color w:val="auto"/>
          <w:szCs w:val="21"/>
          <w:highlight w:val="none"/>
        </w:rPr>
        <w:t>供应商名称(电子签章)：</w:t>
      </w:r>
    </w:p>
    <w:p w14:paraId="10AF7B5A">
      <w:pPr>
        <w:snapToGrid w:val="0"/>
        <w:spacing w:line="360" w:lineRule="auto"/>
        <w:ind w:firstLine="4515" w:firstLineChars="2150"/>
        <w:rPr>
          <w:color w:val="auto"/>
          <w:szCs w:val="21"/>
          <w:highlight w:val="none"/>
        </w:rPr>
      </w:pPr>
      <w:r>
        <w:rPr>
          <w:rFonts w:hint="eastAsia"/>
          <w:color w:val="auto"/>
          <w:szCs w:val="21"/>
          <w:highlight w:val="none"/>
        </w:rPr>
        <w:t>日期：  年  月   日</w:t>
      </w:r>
    </w:p>
    <w:p w14:paraId="7D1CF8F3">
      <w:pPr>
        <w:snapToGrid w:val="0"/>
        <w:jc w:val="left"/>
        <w:rPr>
          <w:color w:val="auto"/>
          <w:szCs w:val="21"/>
          <w:highlight w:val="none"/>
        </w:rPr>
      </w:pPr>
      <w:r>
        <w:rPr>
          <w:rFonts w:ascii="宋体" w:hAnsi="宋体"/>
          <w:b/>
          <w:color w:val="auto"/>
          <w:sz w:val="28"/>
          <w:szCs w:val="28"/>
          <w:highlight w:val="none"/>
        </w:rPr>
        <w:br w:type="page"/>
      </w:r>
      <w:r>
        <w:rPr>
          <w:rFonts w:hint="eastAsia"/>
          <w:color w:val="auto"/>
          <w:szCs w:val="21"/>
          <w:highlight w:val="none"/>
          <w:lang w:val="en-US" w:eastAsia="zh-CN"/>
        </w:rPr>
        <w:t>6</w:t>
      </w:r>
      <w:r>
        <w:rPr>
          <w:color w:val="auto"/>
          <w:szCs w:val="21"/>
          <w:highlight w:val="none"/>
        </w:rPr>
        <w:t>.2</w:t>
      </w:r>
      <w:r>
        <w:rPr>
          <w:rFonts w:hint="eastAsia"/>
          <w:color w:val="auto"/>
          <w:szCs w:val="21"/>
          <w:highlight w:val="none"/>
        </w:rPr>
        <w:t>供应商直接管理关系信息表</w:t>
      </w:r>
    </w:p>
    <w:tbl>
      <w:tblPr>
        <w:tblStyle w:val="51"/>
        <w:tblW w:w="9652" w:type="dxa"/>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13E7AA96">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9A40AE">
            <w:pPr>
              <w:spacing w:line="360" w:lineRule="auto"/>
              <w:jc w:val="center"/>
              <w:rPr>
                <w:color w:val="auto"/>
                <w:szCs w:val="21"/>
                <w:highlight w:val="none"/>
              </w:rPr>
            </w:pPr>
            <w:r>
              <w:rPr>
                <w:rFonts w:hint="eastAsia"/>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4B38AC">
            <w:pPr>
              <w:spacing w:line="360" w:lineRule="auto"/>
              <w:jc w:val="center"/>
              <w:rPr>
                <w:color w:val="auto"/>
                <w:szCs w:val="21"/>
                <w:highlight w:val="none"/>
              </w:rPr>
            </w:pPr>
            <w:r>
              <w:rPr>
                <w:rFonts w:hint="eastAsia"/>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6FA3E0">
            <w:pPr>
              <w:spacing w:line="360" w:lineRule="auto"/>
              <w:jc w:val="center"/>
              <w:rPr>
                <w:color w:val="auto"/>
                <w:szCs w:val="21"/>
                <w:highlight w:val="none"/>
              </w:rPr>
            </w:pPr>
            <w:r>
              <w:rPr>
                <w:rFonts w:hint="eastAsia"/>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46F4BA">
            <w:pPr>
              <w:spacing w:line="360" w:lineRule="auto"/>
              <w:jc w:val="center"/>
              <w:rPr>
                <w:color w:val="auto"/>
                <w:szCs w:val="21"/>
                <w:highlight w:val="none"/>
              </w:rPr>
            </w:pPr>
            <w:r>
              <w:rPr>
                <w:rFonts w:hint="eastAsia"/>
                <w:color w:val="auto"/>
                <w:szCs w:val="21"/>
                <w:highlight w:val="none"/>
              </w:rPr>
              <w:t>备注</w:t>
            </w:r>
          </w:p>
        </w:tc>
      </w:tr>
      <w:tr w14:paraId="1FA5A54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B603FE4">
            <w:pPr>
              <w:spacing w:line="360" w:lineRule="auto"/>
              <w:jc w:val="center"/>
              <w:rPr>
                <w:color w:val="auto"/>
                <w:szCs w:val="21"/>
                <w:highlight w:val="none"/>
              </w:rPr>
            </w:pPr>
            <w:r>
              <w:rPr>
                <w:rFonts w:hint="eastAsia"/>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76AAD9">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24735E1">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03BE2EB">
            <w:pPr>
              <w:spacing w:line="360" w:lineRule="auto"/>
              <w:jc w:val="center"/>
              <w:rPr>
                <w:color w:val="auto"/>
                <w:szCs w:val="21"/>
                <w:highlight w:val="none"/>
              </w:rPr>
            </w:pPr>
          </w:p>
        </w:tc>
      </w:tr>
      <w:tr w14:paraId="5CB03048">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6366E0">
            <w:pPr>
              <w:spacing w:line="360" w:lineRule="auto"/>
              <w:jc w:val="center"/>
              <w:rPr>
                <w:color w:val="auto"/>
                <w:szCs w:val="21"/>
                <w:highlight w:val="none"/>
              </w:rPr>
            </w:pPr>
            <w:r>
              <w:rPr>
                <w:rFonts w:hint="eastAsia"/>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9216904">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8D74EF">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995512E">
            <w:pPr>
              <w:spacing w:line="360" w:lineRule="auto"/>
              <w:jc w:val="center"/>
              <w:rPr>
                <w:color w:val="auto"/>
                <w:szCs w:val="21"/>
                <w:highlight w:val="none"/>
              </w:rPr>
            </w:pPr>
          </w:p>
        </w:tc>
      </w:tr>
      <w:tr w14:paraId="32FF865A">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C56524">
            <w:pPr>
              <w:spacing w:line="360" w:lineRule="auto"/>
              <w:jc w:val="center"/>
              <w:rPr>
                <w:color w:val="auto"/>
                <w:szCs w:val="21"/>
                <w:highlight w:val="none"/>
              </w:rPr>
            </w:pPr>
            <w:r>
              <w:rPr>
                <w:rFonts w:hint="eastAsia"/>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B1C09F">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DE5D4B">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E4083AA">
            <w:pPr>
              <w:spacing w:line="360" w:lineRule="auto"/>
              <w:jc w:val="center"/>
              <w:rPr>
                <w:color w:val="auto"/>
                <w:szCs w:val="21"/>
                <w:highlight w:val="none"/>
              </w:rPr>
            </w:pPr>
          </w:p>
        </w:tc>
      </w:tr>
      <w:tr w14:paraId="217FD9F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FE2E11">
            <w:pPr>
              <w:spacing w:line="360" w:lineRule="auto"/>
              <w:jc w:val="center"/>
              <w:rPr>
                <w:color w:val="auto"/>
                <w:szCs w:val="21"/>
                <w:highlight w:val="none"/>
              </w:rPr>
            </w:pPr>
            <w:r>
              <w:rPr>
                <w:rFonts w:hint="eastAsia"/>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D1FD45B">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EA4A1DE">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942030">
            <w:pPr>
              <w:spacing w:line="360" w:lineRule="auto"/>
              <w:jc w:val="center"/>
              <w:rPr>
                <w:color w:val="auto"/>
                <w:szCs w:val="21"/>
                <w:highlight w:val="none"/>
              </w:rPr>
            </w:pPr>
          </w:p>
        </w:tc>
      </w:tr>
    </w:tbl>
    <w:p w14:paraId="0E638B02">
      <w:pPr>
        <w:snapToGrid w:val="0"/>
        <w:spacing w:line="360" w:lineRule="auto"/>
        <w:jc w:val="left"/>
        <w:rPr>
          <w:color w:val="auto"/>
          <w:szCs w:val="21"/>
          <w:highlight w:val="none"/>
        </w:rPr>
      </w:pPr>
      <w:r>
        <w:rPr>
          <w:rFonts w:hint="eastAsia"/>
          <w:color w:val="auto"/>
          <w:szCs w:val="21"/>
          <w:highlight w:val="none"/>
        </w:rPr>
        <w:t>注：</w:t>
      </w:r>
    </w:p>
    <w:p w14:paraId="77D0A4D4">
      <w:pPr>
        <w:snapToGrid w:val="0"/>
        <w:spacing w:line="360" w:lineRule="auto"/>
        <w:ind w:firstLine="420" w:firstLineChars="200"/>
        <w:jc w:val="left"/>
        <w:rPr>
          <w:color w:val="auto"/>
          <w:szCs w:val="21"/>
          <w:highlight w:val="none"/>
        </w:rPr>
      </w:pPr>
      <w:r>
        <w:rPr>
          <w:rFonts w:hint="eastAsia"/>
          <w:color w:val="auto"/>
          <w:szCs w:val="21"/>
          <w:highlight w:val="none"/>
        </w:rPr>
        <w:t>1.管理关系：是指不具有出资持股关系的其他单位之间存在的管理与被管理关系，如一些上下级关系的事业单位和团体组织。</w:t>
      </w:r>
    </w:p>
    <w:p w14:paraId="5961C322">
      <w:pPr>
        <w:snapToGrid w:val="0"/>
        <w:spacing w:line="360" w:lineRule="auto"/>
        <w:ind w:firstLine="420" w:firstLineChars="200"/>
        <w:jc w:val="left"/>
        <w:rPr>
          <w:color w:val="auto"/>
          <w:szCs w:val="21"/>
          <w:highlight w:val="none"/>
        </w:rPr>
      </w:pPr>
      <w:r>
        <w:rPr>
          <w:rFonts w:hint="eastAsia"/>
          <w:color w:val="auto"/>
          <w:szCs w:val="21"/>
          <w:highlight w:val="none"/>
        </w:rPr>
        <w:t>2.本表所指的管理关系仅限于直接管理关系，不包括间接的管理关系。</w:t>
      </w:r>
    </w:p>
    <w:p w14:paraId="1BDBA284">
      <w:pPr>
        <w:snapToGrid w:val="0"/>
        <w:spacing w:line="360" w:lineRule="auto"/>
        <w:ind w:firstLine="420" w:firstLineChars="200"/>
        <w:jc w:val="left"/>
        <w:rPr>
          <w:color w:val="auto"/>
          <w:szCs w:val="21"/>
          <w:highlight w:val="none"/>
        </w:rPr>
      </w:pPr>
      <w:r>
        <w:rPr>
          <w:rFonts w:hint="eastAsia"/>
          <w:color w:val="auto"/>
          <w:szCs w:val="21"/>
          <w:highlight w:val="none"/>
        </w:rPr>
        <w:t>3.供应商不存在直接管理关系的，则填“无”。</w:t>
      </w:r>
    </w:p>
    <w:p w14:paraId="2022BD10">
      <w:pPr>
        <w:snapToGrid w:val="0"/>
        <w:spacing w:line="360" w:lineRule="auto"/>
        <w:jc w:val="left"/>
        <w:rPr>
          <w:color w:val="auto"/>
          <w:szCs w:val="21"/>
          <w:highlight w:val="none"/>
        </w:rPr>
      </w:pPr>
    </w:p>
    <w:p w14:paraId="0AD17066">
      <w:pPr>
        <w:snapToGrid w:val="0"/>
        <w:spacing w:line="360" w:lineRule="auto"/>
        <w:jc w:val="left"/>
        <w:rPr>
          <w:color w:val="auto"/>
          <w:szCs w:val="21"/>
          <w:highlight w:val="none"/>
        </w:rPr>
      </w:pPr>
    </w:p>
    <w:p w14:paraId="066ED862">
      <w:pPr>
        <w:snapToGrid w:val="0"/>
        <w:spacing w:line="360" w:lineRule="auto"/>
        <w:jc w:val="left"/>
        <w:rPr>
          <w:color w:val="auto"/>
          <w:szCs w:val="21"/>
          <w:highlight w:val="none"/>
        </w:rPr>
      </w:pPr>
    </w:p>
    <w:p w14:paraId="6C1DB11F">
      <w:pPr>
        <w:snapToGrid w:val="0"/>
        <w:spacing w:line="360" w:lineRule="auto"/>
        <w:jc w:val="left"/>
        <w:rPr>
          <w:color w:val="auto"/>
          <w:szCs w:val="21"/>
          <w:highlight w:val="none"/>
        </w:rPr>
      </w:pPr>
    </w:p>
    <w:p w14:paraId="0A1D9FB5">
      <w:pPr>
        <w:snapToGrid w:val="0"/>
        <w:spacing w:line="360" w:lineRule="auto"/>
        <w:jc w:val="left"/>
        <w:rPr>
          <w:color w:val="auto"/>
          <w:szCs w:val="21"/>
          <w:highlight w:val="none"/>
        </w:rPr>
      </w:pPr>
    </w:p>
    <w:p w14:paraId="4171E716">
      <w:pPr>
        <w:snapToGrid w:val="0"/>
        <w:spacing w:line="360" w:lineRule="auto"/>
        <w:jc w:val="left"/>
        <w:rPr>
          <w:color w:val="auto"/>
          <w:szCs w:val="21"/>
          <w:highlight w:val="none"/>
        </w:rPr>
      </w:pPr>
    </w:p>
    <w:p w14:paraId="05926C4D">
      <w:pPr>
        <w:snapToGrid w:val="0"/>
        <w:spacing w:line="360" w:lineRule="auto"/>
        <w:jc w:val="left"/>
        <w:rPr>
          <w:color w:val="auto"/>
          <w:szCs w:val="21"/>
          <w:highlight w:val="none"/>
        </w:rPr>
      </w:pPr>
    </w:p>
    <w:p w14:paraId="0332A0E0">
      <w:pPr>
        <w:snapToGrid w:val="0"/>
        <w:spacing w:line="360" w:lineRule="auto"/>
        <w:jc w:val="left"/>
        <w:rPr>
          <w:color w:val="auto"/>
          <w:szCs w:val="21"/>
          <w:highlight w:val="none"/>
        </w:rPr>
      </w:pPr>
    </w:p>
    <w:p w14:paraId="0372C394">
      <w:pPr>
        <w:snapToGrid w:val="0"/>
        <w:spacing w:line="360" w:lineRule="auto"/>
        <w:ind w:firstLine="4410" w:firstLineChars="2100"/>
        <w:rPr>
          <w:color w:val="auto"/>
          <w:szCs w:val="21"/>
          <w:highlight w:val="none"/>
        </w:rPr>
      </w:pPr>
      <w:r>
        <w:rPr>
          <w:rFonts w:hint="eastAsia"/>
          <w:color w:val="auto"/>
          <w:szCs w:val="21"/>
          <w:highlight w:val="none"/>
        </w:rPr>
        <w:t>供应商名称(电子签章)：</w:t>
      </w:r>
    </w:p>
    <w:p w14:paraId="048F03A1">
      <w:pPr>
        <w:snapToGrid w:val="0"/>
        <w:spacing w:line="360" w:lineRule="auto"/>
        <w:ind w:firstLine="4515" w:firstLineChars="2150"/>
        <w:rPr>
          <w:color w:val="auto"/>
          <w:szCs w:val="21"/>
          <w:highlight w:val="none"/>
        </w:rPr>
      </w:pPr>
      <w:r>
        <w:rPr>
          <w:rFonts w:hint="eastAsia"/>
          <w:color w:val="auto"/>
          <w:szCs w:val="21"/>
          <w:highlight w:val="none"/>
        </w:rPr>
        <w:t>日期：  年  月   日</w:t>
      </w:r>
    </w:p>
    <w:p w14:paraId="4BCE3EE7">
      <w:pPr>
        <w:pStyle w:val="26"/>
        <w:tabs>
          <w:tab w:val="left" w:pos="2127"/>
        </w:tabs>
        <w:spacing w:line="340" w:lineRule="exact"/>
        <w:rPr>
          <w:rFonts w:ascii="Times New Roman" w:hAnsi="Times New Roman" w:cs="Times New Roman"/>
          <w:color w:val="auto"/>
          <w:highlight w:val="none"/>
        </w:rPr>
      </w:pPr>
    </w:p>
    <w:p w14:paraId="3B436CE9">
      <w:pPr>
        <w:snapToGrid w:val="0"/>
        <w:spacing w:before="50" w:after="120" w:afterLines="50" w:line="440" w:lineRule="exact"/>
        <w:jc w:val="left"/>
        <w:rPr>
          <w:rFonts w:hint="eastAsia"/>
          <w:b/>
          <w:color w:val="auto"/>
          <w:szCs w:val="21"/>
          <w:highlight w:val="none"/>
        </w:rPr>
      </w:pPr>
      <w:r>
        <w:rPr>
          <w:color w:val="auto"/>
          <w:highlight w:val="none"/>
        </w:rPr>
        <w:br w:type="page"/>
      </w:r>
      <w:r>
        <w:rPr>
          <w:rFonts w:hint="eastAsia"/>
          <w:color w:val="auto"/>
          <w:szCs w:val="21"/>
          <w:highlight w:val="none"/>
          <w:lang w:val="en-US" w:eastAsia="zh-CN"/>
        </w:rPr>
        <w:t>7</w:t>
      </w:r>
      <w:r>
        <w:rPr>
          <w:color w:val="auto"/>
          <w:szCs w:val="21"/>
          <w:highlight w:val="none"/>
        </w:rPr>
        <w:t>．</w:t>
      </w:r>
      <w:r>
        <w:rPr>
          <w:rFonts w:hint="eastAsia"/>
          <w:color w:val="auto"/>
          <w:szCs w:val="21"/>
          <w:highlight w:val="none"/>
        </w:rPr>
        <w:t>磋商</w:t>
      </w:r>
      <w:r>
        <w:rPr>
          <w:color w:val="auto"/>
          <w:szCs w:val="21"/>
          <w:highlight w:val="none"/>
        </w:rPr>
        <w:t>保证金缴纳证明</w:t>
      </w:r>
      <w:r>
        <w:rPr>
          <w:rFonts w:hint="eastAsia"/>
          <w:color w:val="auto"/>
          <w:szCs w:val="21"/>
          <w:highlight w:val="none"/>
        </w:rPr>
        <w:t>。</w:t>
      </w:r>
      <w:r>
        <w:rPr>
          <w:rFonts w:hint="eastAsia"/>
          <w:b/>
          <w:color w:val="auto"/>
          <w:szCs w:val="21"/>
          <w:highlight w:val="none"/>
        </w:rPr>
        <w:t>（如采购文件有要求时提供）</w:t>
      </w:r>
    </w:p>
    <w:p w14:paraId="34C583E4">
      <w:pPr>
        <w:snapToGrid w:val="0"/>
        <w:spacing w:before="50" w:after="120" w:afterLines="50" w:line="440" w:lineRule="exact"/>
        <w:jc w:val="left"/>
        <w:rPr>
          <w:color w:val="auto"/>
          <w:highlight w:val="none"/>
        </w:rPr>
      </w:pPr>
      <w:r>
        <w:rPr>
          <w:rFonts w:hint="eastAsia"/>
          <w:color w:val="auto"/>
          <w:highlight w:val="none"/>
        </w:rPr>
        <w:t>（1）以转账、电汇形式缴纳的，提供转账、电汇凭证扫描件或复印件（网银可提供截图）</w:t>
      </w:r>
      <w:r>
        <w:rPr>
          <w:color w:val="auto"/>
          <w:highlight w:val="none"/>
        </w:rPr>
        <w:t>加盖</w:t>
      </w:r>
      <w:r>
        <w:rPr>
          <w:color w:val="auto"/>
          <w:szCs w:val="21"/>
          <w:highlight w:val="none"/>
        </w:rPr>
        <w:t>供应商</w:t>
      </w:r>
      <w:r>
        <w:rPr>
          <w:rFonts w:hint="eastAsia"/>
          <w:color w:val="auto"/>
          <w:szCs w:val="21"/>
          <w:highlight w:val="none"/>
        </w:rPr>
        <w:t>电子签章</w:t>
      </w:r>
      <w:r>
        <w:rPr>
          <w:rFonts w:hint="eastAsia"/>
          <w:color w:val="auto"/>
          <w:highlight w:val="none"/>
        </w:rPr>
        <w:t>；</w:t>
      </w:r>
    </w:p>
    <w:p w14:paraId="1DAE8A16">
      <w:pPr>
        <w:snapToGrid w:val="0"/>
        <w:spacing w:before="50" w:after="120" w:afterLines="50" w:line="440" w:lineRule="exact"/>
        <w:jc w:val="left"/>
        <w:rPr>
          <w:color w:val="auto"/>
          <w:highlight w:val="none"/>
        </w:rPr>
      </w:pPr>
      <w:r>
        <w:rPr>
          <w:rFonts w:hint="eastAsia"/>
          <w:color w:val="auto"/>
          <w:highlight w:val="none"/>
        </w:rPr>
        <w:t>（2）以支票、汇票、本票或金融机构、担保机构出具的保函等非现金形式缴纳的，提供原件扫描件或复印件并加盖供应商电子签章。响应保函参考如下格式开具：</w:t>
      </w:r>
    </w:p>
    <w:p w14:paraId="51F2BD5F">
      <w:pPr>
        <w:spacing w:line="360" w:lineRule="auto"/>
        <w:jc w:val="center"/>
        <w:rPr>
          <w:b/>
          <w:bCs/>
          <w:color w:val="auto"/>
          <w:sz w:val="28"/>
          <w:szCs w:val="36"/>
          <w:highlight w:val="none"/>
        </w:rPr>
      </w:pPr>
    </w:p>
    <w:p w14:paraId="0A8E64CA">
      <w:pPr>
        <w:spacing w:line="360" w:lineRule="auto"/>
        <w:jc w:val="center"/>
        <w:rPr>
          <w:b/>
          <w:bCs/>
          <w:color w:val="auto"/>
          <w:sz w:val="28"/>
          <w:szCs w:val="36"/>
          <w:highlight w:val="none"/>
        </w:rPr>
      </w:pPr>
      <w:r>
        <w:rPr>
          <w:rFonts w:hint="eastAsia"/>
          <w:b/>
          <w:bCs/>
          <w:color w:val="auto"/>
          <w:sz w:val="28"/>
          <w:szCs w:val="36"/>
          <w:highlight w:val="none"/>
        </w:rPr>
        <w:t>响应保函格式</w:t>
      </w:r>
    </w:p>
    <w:p w14:paraId="717AAF6E">
      <w:pPr>
        <w:snapToGrid w:val="0"/>
        <w:spacing w:before="50" w:after="120" w:afterLines="50"/>
        <w:jc w:val="left"/>
        <w:rPr>
          <w:color w:val="auto"/>
          <w:highlight w:val="none"/>
        </w:rPr>
      </w:pPr>
      <w:r>
        <w:rPr>
          <w:rFonts w:hint="eastAsia"/>
          <w:color w:val="auto"/>
          <w:highlight w:val="none"/>
        </w:rPr>
        <w:t xml:space="preserve">编号：           </w:t>
      </w:r>
    </w:p>
    <w:p w14:paraId="6AA4E681">
      <w:pPr>
        <w:snapToGrid w:val="0"/>
        <w:spacing w:before="50" w:after="120" w:afterLines="50"/>
        <w:jc w:val="left"/>
        <w:rPr>
          <w:color w:val="auto"/>
          <w:highlight w:val="none"/>
        </w:rPr>
      </w:pPr>
      <w:r>
        <w:rPr>
          <w:rFonts w:hint="eastAsia"/>
          <w:color w:val="auto"/>
          <w:highlight w:val="none"/>
        </w:rPr>
        <w:t>申请人：</w:t>
      </w:r>
    </w:p>
    <w:p w14:paraId="343097AB">
      <w:pPr>
        <w:snapToGrid w:val="0"/>
        <w:spacing w:before="50" w:after="120" w:afterLines="50"/>
        <w:jc w:val="left"/>
        <w:rPr>
          <w:color w:val="auto"/>
          <w:highlight w:val="none"/>
        </w:rPr>
      </w:pPr>
      <w:r>
        <w:rPr>
          <w:rFonts w:hint="eastAsia"/>
          <w:color w:val="auto"/>
          <w:highlight w:val="none"/>
        </w:rPr>
        <w:t>地址：</w:t>
      </w:r>
    </w:p>
    <w:p w14:paraId="3C27E62A">
      <w:pPr>
        <w:snapToGrid w:val="0"/>
        <w:spacing w:before="50" w:after="120" w:afterLines="50"/>
        <w:jc w:val="left"/>
        <w:rPr>
          <w:color w:val="auto"/>
          <w:highlight w:val="none"/>
        </w:rPr>
      </w:pPr>
      <w:r>
        <w:rPr>
          <w:rFonts w:hint="eastAsia"/>
          <w:color w:val="auto"/>
          <w:highlight w:val="none"/>
        </w:rPr>
        <w:t xml:space="preserve">受益人：广西机电设备招标有限公司 </w:t>
      </w:r>
    </w:p>
    <w:p w14:paraId="182FBE3D">
      <w:pPr>
        <w:snapToGrid w:val="0"/>
        <w:spacing w:before="50" w:after="120" w:afterLines="50"/>
        <w:jc w:val="left"/>
        <w:rPr>
          <w:color w:val="auto"/>
          <w:highlight w:val="none"/>
        </w:rPr>
      </w:pPr>
      <w:r>
        <w:rPr>
          <w:rFonts w:hint="eastAsia"/>
          <w:color w:val="auto"/>
          <w:highlight w:val="none"/>
        </w:rPr>
        <w:t>地址：</w:t>
      </w:r>
    </w:p>
    <w:p w14:paraId="75FFB0D4">
      <w:pPr>
        <w:snapToGrid w:val="0"/>
        <w:spacing w:before="50" w:after="120" w:afterLines="50"/>
        <w:jc w:val="left"/>
        <w:rPr>
          <w:color w:val="auto"/>
          <w:highlight w:val="none"/>
        </w:rPr>
      </w:pPr>
      <w:r>
        <w:rPr>
          <w:rFonts w:hint="eastAsia"/>
          <w:color w:val="auto"/>
          <w:highlight w:val="none"/>
        </w:rPr>
        <w:t>开立人：</w:t>
      </w:r>
    </w:p>
    <w:p w14:paraId="3DCB3B3E">
      <w:pPr>
        <w:snapToGrid w:val="0"/>
        <w:spacing w:before="50" w:after="120" w:afterLines="50"/>
        <w:jc w:val="left"/>
        <w:rPr>
          <w:color w:val="auto"/>
          <w:highlight w:val="none"/>
        </w:rPr>
      </w:pPr>
      <w:r>
        <w:rPr>
          <w:rFonts w:hint="eastAsia"/>
          <w:color w:val="auto"/>
          <w:highlight w:val="none"/>
        </w:rPr>
        <w:t>地址：</w:t>
      </w:r>
    </w:p>
    <w:p w14:paraId="46410606">
      <w:pPr>
        <w:snapToGrid w:val="0"/>
        <w:spacing w:before="50" w:after="120" w:afterLines="50" w:line="440" w:lineRule="exact"/>
        <w:jc w:val="left"/>
        <w:rPr>
          <w:color w:val="auto"/>
          <w:highlight w:val="none"/>
        </w:rPr>
      </w:pPr>
    </w:p>
    <w:p w14:paraId="52FB5489">
      <w:pPr>
        <w:snapToGrid w:val="0"/>
        <w:spacing w:before="50" w:after="120" w:afterLines="50" w:line="276" w:lineRule="auto"/>
        <w:jc w:val="left"/>
        <w:rPr>
          <w:color w:val="auto"/>
          <w:highlight w:val="none"/>
        </w:rPr>
      </w:pPr>
      <w:r>
        <w:rPr>
          <w:rFonts w:hint="eastAsia"/>
          <w:color w:val="auto"/>
          <w:highlight w:val="none"/>
        </w:rPr>
        <w:t>致：广西机电设备招标有限公司</w:t>
      </w:r>
    </w:p>
    <w:p w14:paraId="34A4386E">
      <w:pPr>
        <w:snapToGrid w:val="0"/>
        <w:spacing w:before="50" w:after="120" w:afterLines="50" w:line="276" w:lineRule="auto"/>
        <w:ind w:firstLine="420" w:firstLineChars="200"/>
        <w:jc w:val="left"/>
        <w:rPr>
          <w:color w:val="auto"/>
          <w:highlight w:val="none"/>
        </w:rPr>
      </w:pPr>
      <w:r>
        <w:rPr>
          <w:rFonts w:hint="eastAsia"/>
          <w:color w:val="auto"/>
          <w:highlight w:val="none"/>
        </w:rPr>
        <w:t>我方（即“开立人”）已获得通知，本保函申请人（即“供应商”）已响应贵方于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 xml:space="preserve"> 日就 </w:t>
      </w:r>
      <w:r>
        <w:rPr>
          <w:rFonts w:hint="eastAsia"/>
          <w:color w:val="auto"/>
          <w:highlight w:val="none"/>
          <w:u w:val="single"/>
        </w:rPr>
        <w:t xml:space="preserve">                                          </w:t>
      </w:r>
      <w:r>
        <w:rPr>
          <w:rFonts w:hint="eastAsia"/>
          <w:color w:val="auto"/>
          <w:highlight w:val="none"/>
        </w:rPr>
        <w:t>（以下简称“本项目”）发出的招标文件，并已向采购代理机构（即“受益人”）提交了投标文件。</w:t>
      </w:r>
    </w:p>
    <w:p w14:paraId="569DB44E">
      <w:pPr>
        <w:snapToGrid w:val="0"/>
        <w:spacing w:before="50" w:after="120" w:afterLines="50" w:line="276" w:lineRule="auto"/>
        <w:ind w:firstLine="420" w:firstLineChars="200"/>
        <w:jc w:val="left"/>
        <w:rPr>
          <w:color w:val="auto"/>
          <w:highlight w:val="none"/>
        </w:rPr>
      </w:pPr>
      <w:r>
        <w:rPr>
          <w:rFonts w:hint="eastAsia"/>
          <w:color w:val="auto"/>
          <w:highlight w:val="none"/>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Pr>
          <w:rFonts w:hint="eastAsia"/>
          <w:color w:val="auto"/>
          <w:highlight w:val="none"/>
          <w:u w:val="single"/>
        </w:rPr>
        <w:t xml:space="preserve">                            </w:t>
      </w:r>
      <w:r>
        <w:rPr>
          <w:rFonts w:hint="eastAsia"/>
          <w:color w:val="auto"/>
          <w:highlight w:val="none"/>
        </w:rPr>
        <w:t>元（¥</w:t>
      </w:r>
      <w:r>
        <w:rPr>
          <w:rFonts w:hint="eastAsia"/>
          <w:color w:val="auto"/>
          <w:highlight w:val="none"/>
          <w:u w:val="single"/>
        </w:rPr>
        <w:t xml:space="preserve">                         </w:t>
      </w:r>
      <w:r>
        <w:rPr>
          <w:rFonts w:hint="eastAsia"/>
          <w:color w:val="auto"/>
          <w:highlight w:val="none"/>
        </w:rPr>
        <w:t>）。</w:t>
      </w:r>
    </w:p>
    <w:p w14:paraId="23ED8D26">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二、我方在供应商发生以下情形时承担保证担保责任： </w:t>
      </w:r>
    </w:p>
    <w:p w14:paraId="24F6DF80">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（1）投标人在开标后和投标有效期满之前撤销投标文件的； </w:t>
      </w:r>
    </w:p>
    <w:p w14:paraId="74FFA411">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（2）投标人在收到中标通知书后，不能或拒绝按招标文件规定的时间内与采购人签订合同； </w:t>
      </w:r>
    </w:p>
    <w:p w14:paraId="2D1BCC19">
      <w:pPr>
        <w:snapToGrid w:val="0"/>
        <w:spacing w:before="50" w:after="120" w:afterLines="50" w:line="276" w:lineRule="auto"/>
        <w:ind w:firstLine="420" w:firstLineChars="200"/>
        <w:jc w:val="left"/>
        <w:rPr>
          <w:color w:val="auto"/>
          <w:highlight w:val="none"/>
        </w:rPr>
      </w:pPr>
      <w:r>
        <w:rPr>
          <w:rFonts w:hint="eastAsia"/>
          <w:color w:val="auto"/>
          <w:highlight w:val="none"/>
        </w:rPr>
        <w:t>（3）投标人在与采购人签订合同后，未在规定的时间内提交符合招标文件要求的履约担保；</w:t>
      </w:r>
    </w:p>
    <w:p w14:paraId="02E17F08">
      <w:pPr>
        <w:snapToGrid w:val="0"/>
        <w:spacing w:before="50" w:after="120" w:afterLines="50" w:line="276" w:lineRule="auto"/>
        <w:ind w:firstLine="420" w:firstLineChars="200"/>
        <w:jc w:val="left"/>
        <w:rPr>
          <w:color w:val="auto"/>
          <w:highlight w:val="none"/>
        </w:rPr>
      </w:pPr>
      <w:r>
        <w:rPr>
          <w:rFonts w:hint="eastAsia"/>
          <w:color w:val="auto"/>
          <w:highlight w:val="none"/>
        </w:rPr>
        <w:t>（4）投标人在中标通知书发出之日起5个工作日内，未缴纳本项目代理服务费的；</w:t>
      </w:r>
    </w:p>
    <w:p w14:paraId="74DE1E40">
      <w:pPr>
        <w:snapToGrid w:val="0"/>
        <w:spacing w:before="50" w:after="120" w:afterLines="50" w:line="276" w:lineRule="auto"/>
        <w:ind w:firstLine="420" w:firstLineChars="200"/>
        <w:jc w:val="left"/>
        <w:rPr>
          <w:color w:val="auto"/>
          <w:highlight w:val="none"/>
        </w:rPr>
      </w:pPr>
      <w:r>
        <w:rPr>
          <w:rFonts w:hint="eastAsia"/>
          <w:color w:val="auto"/>
          <w:highlight w:val="none"/>
        </w:rPr>
        <w:t>（5）投标人违反招标文件规定的其他情形。</w:t>
      </w:r>
    </w:p>
    <w:p w14:paraId="5DFBD0A0">
      <w:pPr>
        <w:snapToGrid w:val="0"/>
        <w:spacing w:before="50" w:after="120" w:afterLines="50" w:line="276" w:lineRule="auto"/>
        <w:ind w:firstLine="210" w:firstLineChars="100"/>
        <w:jc w:val="left"/>
        <w:rPr>
          <w:color w:val="auto"/>
          <w:highlight w:val="none"/>
        </w:rPr>
      </w:pPr>
      <w:r>
        <w:rPr>
          <w:rFonts w:hint="eastAsia"/>
          <w:color w:val="auto"/>
          <w:highlight w:val="none"/>
        </w:rPr>
        <w:t xml:space="preserve">    三、本保函为不可撤销、不可转让的见索即付独立保函。本保函有效期自开立之日起至投标有效期届满之日后的</w:t>
      </w:r>
      <w:r>
        <w:rPr>
          <w:rFonts w:hint="eastAsia"/>
          <w:color w:val="auto"/>
          <w:highlight w:val="none"/>
          <w:u w:val="single"/>
        </w:rPr>
        <w:t xml:space="preserve">  28  </w:t>
      </w:r>
      <w:r>
        <w:rPr>
          <w:rFonts w:hint="eastAsia"/>
          <w:color w:val="auto"/>
          <w:highlight w:val="none"/>
        </w:rPr>
        <w:t>日。投标有效期延长的，本保函有效期相应顺延。</w:t>
      </w:r>
    </w:p>
    <w:p w14:paraId="32B0918A">
      <w:pPr>
        <w:snapToGrid w:val="0"/>
        <w:spacing w:before="50" w:after="120" w:afterLines="50" w:line="276" w:lineRule="auto"/>
        <w:ind w:firstLine="420" w:firstLineChars="200"/>
        <w:jc w:val="left"/>
        <w:rPr>
          <w:color w:val="auto"/>
          <w:highlight w:val="none"/>
        </w:rPr>
      </w:pPr>
      <w:r>
        <w:rPr>
          <w:rFonts w:hint="eastAsia"/>
          <w:color w:val="auto"/>
          <w:highlight w:val="none"/>
        </w:rPr>
        <w:t>四、我方承诺，在收到受益人发来的书面付款通知后的</w:t>
      </w:r>
      <w:r>
        <w:rPr>
          <w:rFonts w:hint="eastAsia"/>
          <w:color w:val="auto"/>
          <w:highlight w:val="none"/>
          <w:u w:val="single"/>
        </w:rPr>
        <w:t xml:space="preserve">   5    </w:t>
      </w:r>
      <w:r>
        <w:rPr>
          <w:rFonts w:hint="eastAsia"/>
          <w:color w:val="auto"/>
          <w:highlight w:val="none"/>
        </w:rPr>
        <w:t>日内无条件支付，前述书面付款通知即为付款要求之单据，且应满足以下要求：</w:t>
      </w:r>
    </w:p>
    <w:p w14:paraId="52106DB3">
      <w:pPr>
        <w:snapToGrid w:val="0"/>
        <w:spacing w:before="50" w:after="120" w:afterLines="50" w:line="276" w:lineRule="auto"/>
        <w:ind w:firstLine="420" w:firstLineChars="200"/>
        <w:jc w:val="left"/>
        <w:rPr>
          <w:color w:val="auto"/>
          <w:highlight w:val="none"/>
        </w:rPr>
      </w:pPr>
      <w:r>
        <w:rPr>
          <w:rFonts w:hint="eastAsia"/>
          <w:color w:val="auto"/>
          <w:highlight w:val="none"/>
        </w:rPr>
        <w:t>（1）付款通知到达的日期在本保函的有效期内；</w:t>
      </w:r>
    </w:p>
    <w:p w14:paraId="6371F282">
      <w:pPr>
        <w:snapToGrid w:val="0"/>
        <w:spacing w:before="50" w:after="120" w:afterLines="50" w:line="276" w:lineRule="auto"/>
        <w:ind w:firstLine="420" w:firstLineChars="200"/>
        <w:jc w:val="left"/>
        <w:rPr>
          <w:color w:val="auto"/>
          <w:highlight w:val="none"/>
        </w:rPr>
      </w:pPr>
      <w:r>
        <w:rPr>
          <w:rFonts w:hint="eastAsia"/>
          <w:color w:val="auto"/>
          <w:highlight w:val="none"/>
        </w:rPr>
        <w:t>（2）载明要求支付的金额；</w:t>
      </w:r>
    </w:p>
    <w:p w14:paraId="20E7A4CB">
      <w:pPr>
        <w:snapToGrid w:val="0"/>
        <w:spacing w:before="50" w:after="120" w:afterLines="50" w:line="276" w:lineRule="auto"/>
        <w:ind w:firstLine="420" w:firstLineChars="200"/>
        <w:jc w:val="left"/>
        <w:rPr>
          <w:color w:val="auto"/>
          <w:highlight w:val="none"/>
        </w:rPr>
      </w:pPr>
      <w:r>
        <w:rPr>
          <w:rFonts w:hint="eastAsia"/>
          <w:color w:val="auto"/>
          <w:highlight w:val="none"/>
        </w:rPr>
        <w:t>（3）载明申请人违反采购文件规定的义务内容和具体条款；</w:t>
      </w:r>
    </w:p>
    <w:p w14:paraId="0958A372">
      <w:pPr>
        <w:snapToGrid w:val="0"/>
        <w:spacing w:before="50" w:after="120" w:afterLines="50" w:line="276" w:lineRule="auto"/>
        <w:ind w:firstLine="420" w:firstLineChars="200"/>
        <w:jc w:val="left"/>
        <w:rPr>
          <w:color w:val="auto"/>
          <w:highlight w:val="none"/>
        </w:rPr>
      </w:pPr>
      <w:r>
        <w:rPr>
          <w:rFonts w:hint="eastAsia"/>
          <w:color w:val="auto"/>
          <w:highlight w:val="none"/>
        </w:rPr>
        <w:t>（4）声明不存在采购文件规定或我国法律规定免除申请人或我方支付责任的情形；</w:t>
      </w:r>
    </w:p>
    <w:p w14:paraId="20BB2681">
      <w:pPr>
        <w:snapToGrid w:val="0"/>
        <w:spacing w:before="50" w:after="120" w:afterLines="50" w:line="276" w:lineRule="auto"/>
        <w:ind w:firstLine="420" w:firstLineChars="200"/>
        <w:jc w:val="left"/>
        <w:rPr>
          <w:color w:val="auto"/>
          <w:highlight w:val="none"/>
        </w:rPr>
      </w:pPr>
      <w:r>
        <w:rPr>
          <w:rFonts w:hint="eastAsia"/>
          <w:color w:val="auto"/>
          <w:highlight w:val="none"/>
        </w:rPr>
        <w:t>（5）书面付款通知应在本保函有效期内到达的地址是：</w:t>
      </w:r>
      <w:r>
        <w:rPr>
          <w:rFonts w:hint="eastAsia"/>
          <w:color w:val="auto"/>
          <w:highlight w:val="none"/>
          <w:u w:val="single"/>
        </w:rPr>
        <w:t xml:space="preserve">                                     </w:t>
      </w:r>
      <w:r>
        <w:rPr>
          <w:rFonts w:hint="eastAsia"/>
          <w:color w:val="auto"/>
          <w:highlight w:val="none"/>
        </w:rPr>
        <w:t>。</w:t>
      </w:r>
    </w:p>
    <w:p w14:paraId="6DA9E3FA">
      <w:pPr>
        <w:snapToGrid w:val="0"/>
        <w:spacing w:before="50" w:after="120" w:afterLines="50" w:line="276" w:lineRule="auto"/>
        <w:jc w:val="left"/>
        <w:rPr>
          <w:color w:val="auto"/>
          <w:highlight w:val="none"/>
        </w:rPr>
      </w:pPr>
      <w:r>
        <w:rPr>
          <w:rFonts w:hint="eastAsia"/>
          <w:color w:val="auto"/>
          <w:highlight w:val="none"/>
        </w:rPr>
        <w:t xml:space="preserve">        受益人发出的书面付款通知应由其为鉴明受益人法定代表人（负责人）或授权代理人签字并加盖公章。</w:t>
      </w:r>
    </w:p>
    <w:p w14:paraId="46191911">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五、本保函项下的权利不得转让，不得设定担保。贵方未经我方书面同意转让本保函或其项下任何权利，对我方不发生法律效力。 </w:t>
      </w:r>
    </w:p>
    <w:p w14:paraId="75EB9D03">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六、本保函项下的基础交易不成立、不生效、无效、被撤销、被解除，不影响本保函的独立有效。 </w:t>
      </w:r>
    </w:p>
    <w:p w14:paraId="1FE40828">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302531C6">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八、本保函适用的法律为中华人民共和国法律，争议裁判管辖地为中华人民共和国。 </w:t>
      </w:r>
    </w:p>
    <w:p w14:paraId="4335855D">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九、本保函自我方法定代表人或授权代表签字并加盖公章之日起生效。 </w:t>
      </w:r>
    </w:p>
    <w:p w14:paraId="4276863A">
      <w:pPr>
        <w:snapToGrid w:val="0"/>
        <w:spacing w:before="50" w:after="120" w:afterLines="50" w:line="276" w:lineRule="auto"/>
        <w:jc w:val="left"/>
        <w:rPr>
          <w:color w:val="auto"/>
          <w:highlight w:val="none"/>
        </w:rPr>
      </w:pPr>
    </w:p>
    <w:p w14:paraId="4F649675">
      <w:pPr>
        <w:snapToGrid w:val="0"/>
        <w:spacing w:before="50" w:after="120" w:afterLines="50" w:line="276" w:lineRule="auto"/>
        <w:jc w:val="left"/>
        <w:rPr>
          <w:color w:val="auto"/>
          <w:highlight w:val="none"/>
        </w:rPr>
      </w:pPr>
      <w:r>
        <w:rPr>
          <w:rFonts w:hint="eastAsia"/>
          <w:color w:val="auto"/>
          <w:highlight w:val="none"/>
        </w:rPr>
        <w:t xml:space="preserve">开 立 人：                                                  （公章） </w:t>
      </w:r>
    </w:p>
    <w:p w14:paraId="7803EBB7">
      <w:pPr>
        <w:snapToGrid w:val="0"/>
        <w:spacing w:before="50" w:after="120" w:afterLines="50" w:line="276" w:lineRule="auto"/>
        <w:jc w:val="left"/>
        <w:rPr>
          <w:color w:val="auto"/>
          <w:highlight w:val="none"/>
        </w:rPr>
      </w:pPr>
      <w:r>
        <w:rPr>
          <w:rFonts w:hint="eastAsia"/>
          <w:color w:val="auto"/>
          <w:highlight w:val="none"/>
        </w:rPr>
        <w:t xml:space="preserve">法定代表人（或授权代表） ：               （签字） </w:t>
      </w:r>
    </w:p>
    <w:p w14:paraId="3E50A1EF">
      <w:pPr>
        <w:snapToGrid w:val="0"/>
        <w:spacing w:before="50" w:after="120" w:afterLines="50" w:line="276" w:lineRule="auto"/>
        <w:jc w:val="left"/>
        <w:rPr>
          <w:color w:val="auto"/>
          <w:highlight w:val="none"/>
        </w:rPr>
      </w:pPr>
      <w:r>
        <w:rPr>
          <w:rFonts w:hint="eastAsia"/>
          <w:color w:val="auto"/>
          <w:highlight w:val="none"/>
        </w:rPr>
        <w:t xml:space="preserve">地    址：                                       </w:t>
      </w:r>
    </w:p>
    <w:p w14:paraId="76FE721C">
      <w:pPr>
        <w:snapToGrid w:val="0"/>
        <w:spacing w:before="50" w:after="120" w:afterLines="50" w:line="276" w:lineRule="auto"/>
        <w:jc w:val="left"/>
        <w:rPr>
          <w:color w:val="auto"/>
          <w:highlight w:val="none"/>
        </w:rPr>
      </w:pPr>
      <w:r>
        <w:rPr>
          <w:rFonts w:hint="eastAsia"/>
          <w:color w:val="auto"/>
          <w:highlight w:val="none"/>
        </w:rPr>
        <w:t xml:space="preserve">邮政编码：                 </w:t>
      </w:r>
    </w:p>
    <w:p w14:paraId="23AF42A6">
      <w:pPr>
        <w:snapToGrid w:val="0"/>
        <w:spacing w:before="50" w:after="120" w:afterLines="50" w:line="276" w:lineRule="auto"/>
        <w:jc w:val="left"/>
        <w:rPr>
          <w:color w:val="auto"/>
          <w:highlight w:val="none"/>
        </w:rPr>
      </w:pPr>
      <w:r>
        <w:rPr>
          <w:rFonts w:hint="eastAsia"/>
          <w:color w:val="auto"/>
          <w:highlight w:val="none"/>
        </w:rPr>
        <w:t xml:space="preserve">电    话：                 </w:t>
      </w:r>
    </w:p>
    <w:p w14:paraId="4845030C">
      <w:pPr>
        <w:snapToGrid w:val="0"/>
        <w:spacing w:before="50" w:after="120" w:afterLines="50" w:line="276" w:lineRule="auto"/>
        <w:jc w:val="left"/>
        <w:rPr>
          <w:color w:val="auto"/>
          <w:highlight w:val="none"/>
        </w:rPr>
      </w:pPr>
      <w:r>
        <w:rPr>
          <w:rFonts w:hint="eastAsia"/>
          <w:color w:val="auto"/>
          <w:highlight w:val="none"/>
        </w:rPr>
        <w:t xml:space="preserve">传    真：                 </w:t>
      </w:r>
    </w:p>
    <w:p w14:paraId="62A109F8">
      <w:pPr>
        <w:snapToGrid w:val="0"/>
        <w:spacing w:before="50" w:after="120" w:afterLines="50" w:line="276" w:lineRule="auto"/>
        <w:jc w:val="left"/>
        <w:rPr>
          <w:color w:val="auto"/>
          <w:highlight w:val="none"/>
        </w:rPr>
      </w:pPr>
      <w:r>
        <w:rPr>
          <w:rFonts w:hint="eastAsia"/>
          <w:color w:val="auto"/>
          <w:highlight w:val="none"/>
        </w:rPr>
        <w:t>开立时间：      年       月        日</w:t>
      </w:r>
    </w:p>
    <w:p w14:paraId="5CB79F56">
      <w:pPr>
        <w:snapToGrid w:val="0"/>
        <w:spacing w:before="50" w:after="120" w:afterLines="50" w:line="440" w:lineRule="exact"/>
        <w:jc w:val="left"/>
        <w:rPr>
          <w:color w:val="auto"/>
          <w:highlight w:val="none"/>
        </w:rPr>
      </w:pPr>
      <w:r>
        <w:rPr>
          <w:color w:val="auto"/>
          <w:highlight w:val="none"/>
        </w:rPr>
        <w:br w:type="page"/>
      </w:r>
      <w:r>
        <w:rPr>
          <w:rFonts w:hint="eastAsia"/>
          <w:color w:val="auto"/>
          <w:szCs w:val="21"/>
          <w:highlight w:val="none"/>
          <w:lang w:val="en-US" w:eastAsia="zh-CN"/>
        </w:rPr>
        <w:t>8</w:t>
      </w:r>
      <w:r>
        <w:rPr>
          <w:color w:val="auto"/>
          <w:szCs w:val="21"/>
          <w:highlight w:val="none"/>
        </w:rPr>
        <w:t>．供应商认为应当要提交的资格证明材料。</w:t>
      </w:r>
    </w:p>
    <w:p w14:paraId="779517F2">
      <w:pPr>
        <w:spacing w:line="276" w:lineRule="auto"/>
        <w:rPr>
          <w:color w:val="auto"/>
          <w:szCs w:val="21"/>
          <w:highlight w:val="none"/>
        </w:rPr>
      </w:pPr>
    </w:p>
    <w:p w14:paraId="197B50E1">
      <w:pPr>
        <w:pStyle w:val="7"/>
        <w:overflowPunct w:val="0"/>
        <w:ind w:firstLine="0"/>
        <w:rPr>
          <w:rFonts w:hint="eastAsia"/>
          <w:color w:val="auto"/>
          <w:highlight w:val="none"/>
        </w:rPr>
      </w:pPr>
    </w:p>
    <w:p w14:paraId="63D38881">
      <w:pPr>
        <w:snapToGrid w:val="0"/>
        <w:spacing w:before="50" w:after="120" w:afterLines="50" w:line="400" w:lineRule="exact"/>
        <w:jc w:val="left"/>
        <w:rPr>
          <w:bCs/>
          <w:color w:val="auto"/>
          <w:sz w:val="24"/>
          <w:highlight w:val="none"/>
        </w:rPr>
      </w:pPr>
    </w:p>
    <w:p w14:paraId="7F915205">
      <w:pPr>
        <w:snapToGrid w:val="0"/>
        <w:spacing w:before="120" w:beforeLines="50" w:after="50" w:afterLines="0" w:line="440" w:lineRule="exact"/>
        <w:jc w:val="left"/>
        <w:outlineLvl w:val="1"/>
        <w:rPr>
          <w:rFonts w:hint="default" w:ascii="Times New Roman" w:hAnsi="Times New Roman" w:eastAsia="宋体" w:cs="Times New Roman"/>
          <w:b/>
          <w:color w:val="auto"/>
          <w:sz w:val="24"/>
          <w:szCs w:val="24"/>
          <w:highlight w:val="none"/>
        </w:rPr>
      </w:pPr>
      <w:r>
        <w:rPr>
          <w:color w:val="auto"/>
          <w:highlight w:val="none"/>
        </w:rPr>
        <w:br w:type="page"/>
      </w:r>
      <w:r>
        <w:rPr>
          <w:rFonts w:hint="eastAsia"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rPr>
        <w:t>.</w:t>
      </w:r>
      <w:r>
        <w:rPr>
          <w:rFonts w:hint="eastAsia" w:ascii="宋体" w:hAnsi="宋体" w:eastAsia="宋体" w:cs="Times New Roman"/>
          <w:b w:val="0"/>
          <w:bCs w:val="0"/>
          <w:color w:val="auto"/>
          <w:sz w:val="24"/>
          <w:szCs w:val="24"/>
          <w:highlight w:val="none"/>
        </w:rPr>
        <w:t xml:space="preserve">响应文件封面参考格式（商务技术文件）： </w:t>
      </w:r>
    </w:p>
    <w:p w14:paraId="665DF033">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067AB48C">
      <w:pPr>
        <w:snapToGrid w:val="0"/>
        <w:spacing w:before="120" w:beforeLines="50" w:after="50" w:afterLines="0" w:line="360" w:lineRule="exact"/>
        <w:jc w:val="right"/>
        <w:rPr>
          <w:rFonts w:hint="default" w:ascii="Times New Roman" w:hAnsi="Times New Roman" w:eastAsia="宋体" w:cs="Times New Roman"/>
          <w:color w:val="auto"/>
          <w:sz w:val="24"/>
          <w:szCs w:val="24"/>
          <w:highlight w:val="none"/>
        </w:rPr>
      </w:pPr>
    </w:p>
    <w:p w14:paraId="00AB1DB2">
      <w:pPr>
        <w:snapToGrid w:val="0"/>
        <w:spacing w:before="120" w:beforeLines="50" w:after="50" w:afterLines="0" w:line="360" w:lineRule="exact"/>
        <w:jc w:val="center"/>
        <w:rPr>
          <w:rFonts w:hint="default" w:ascii="Times New Roman" w:hAnsi="Times New Roman" w:eastAsia="宋体" w:cs="Times New Roman"/>
          <w:color w:val="auto"/>
          <w:sz w:val="24"/>
          <w:szCs w:val="24"/>
          <w:highlight w:val="none"/>
        </w:rPr>
      </w:pPr>
      <w:r>
        <w:rPr>
          <w:rFonts w:hint="eastAsia" w:ascii="宋体" w:hAnsi="宋体" w:eastAsia="宋体" w:cs="Times New Roman"/>
          <w:b/>
          <w:color w:val="auto"/>
          <w:sz w:val="44"/>
          <w:szCs w:val="24"/>
          <w:highlight w:val="none"/>
        </w:rPr>
        <w:t>电子响应文件</w:t>
      </w:r>
    </w:p>
    <w:p w14:paraId="7A94A963">
      <w:pPr>
        <w:snapToGrid w:val="0"/>
        <w:spacing w:before="120" w:beforeLines="50" w:after="50" w:afterLines="0" w:line="360" w:lineRule="exact"/>
        <w:jc w:val="center"/>
        <w:rPr>
          <w:rFonts w:hint="default" w:ascii="Times New Roman" w:hAnsi="Times New Roman" w:eastAsia="宋体" w:cs="Times New Roman"/>
          <w:b/>
          <w:color w:val="auto"/>
          <w:sz w:val="44"/>
          <w:szCs w:val="24"/>
          <w:highlight w:val="none"/>
        </w:rPr>
      </w:pPr>
    </w:p>
    <w:p w14:paraId="1AE6D004">
      <w:pPr>
        <w:snapToGrid w:val="0"/>
        <w:spacing w:before="120" w:beforeLines="50" w:after="50" w:afterLines="0" w:line="360" w:lineRule="exact"/>
        <w:jc w:val="center"/>
        <w:rPr>
          <w:rFonts w:hint="default" w:ascii="Times New Roman" w:hAnsi="Times New Roman" w:eastAsia="宋体" w:cs="Times New Roman"/>
          <w:b/>
          <w:color w:val="auto"/>
          <w:sz w:val="44"/>
          <w:szCs w:val="24"/>
          <w:highlight w:val="none"/>
        </w:rPr>
      </w:pPr>
    </w:p>
    <w:p w14:paraId="4A85DBF8">
      <w:pPr>
        <w:snapToGrid w:val="0"/>
        <w:spacing w:before="120" w:beforeLines="50" w:after="50" w:afterLines="0" w:line="360" w:lineRule="exact"/>
        <w:jc w:val="center"/>
        <w:rPr>
          <w:rFonts w:hint="default" w:ascii="Times New Roman" w:hAnsi="Times New Roman" w:eastAsia="宋体" w:cs="Times New Roman"/>
          <w:b/>
          <w:color w:val="auto"/>
          <w:sz w:val="44"/>
          <w:szCs w:val="24"/>
          <w:highlight w:val="none"/>
        </w:rPr>
      </w:pPr>
      <w:r>
        <w:rPr>
          <w:rFonts w:hint="eastAsia" w:ascii="Times New Roman" w:hAnsi="Times New Roman" w:eastAsia="宋体" w:cs="Times New Roman"/>
          <w:b/>
          <w:color w:val="auto"/>
          <w:sz w:val="44"/>
          <w:szCs w:val="24"/>
          <w:highlight w:val="none"/>
          <w:lang w:val="en-US" w:eastAsia="zh-CN"/>
        </w:rPr>
        <w:t>商</w:t>
      </w:r>
      <w:r>
        <w:rPr>
          <w:rFonts w:hint="eastAsia" w:ascii="Times New Roman" w:hAnsi="Times New Roman" w:eastAsia="宋体" w:cs="Times New Roman"/>
          <w:b/>
          <w:color w:val="auto"/>
          <w:sz w:val="44"/>
          <w:szCs w:val="24"/>
          <w:highlight w:val="none"/>
        </w:rPr>
        <w:t>务技术文件</w:t>
      </w:r>
    </w:p>
    <w:p w14:paraId="0C23DDCC">
      <w:pPr>
        <w:snapToGrid w:val="0"/>
        <w:spacing w:before="120" w:beforeLines="50" w:after="50" w:afterLines="0" w:line="360" w:lineRule="exact"/>
        <w:jc w:val="center"/>
        <w:rPr>
          <w:rFonts w:hint="default" w:ascii="Times New Roman" w:hAnsi="Times New Roman" w:eastAsia="宋体" w:cs="Times New Roman"/>
          <w:b/>
          <w:color w:val="auto"/>
          <w:sz w:val="44"/>
          <w:szCs w:val="24"/>
          <w:highlight w:val="none"/>
        </w:rPr>
      </w:pPr>
    </w:p>
    <w:p w14:paraId="27F7BB04">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0CF9698A">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项目名称： </w:t>
      </w:r>
    </w:p>
    <w:p w14:paraId="188060C8">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项目编号：</w:t>
      </w:r>
    </w:p>
    <w:p w14:paraId="15659B0F">
      <w:pPr>
        <w:snapToGrid w:val="0"/>
        <w:spacing w:before="120" w:beforeLines="50" w:after="50" w:afterLines="0" w:line="44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分标号：（若无留空或写</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w:t>
      </w:r>
    </w:p>
    <w:p w14:paraId="7F9DE451">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供应商名称：</w:t>
      </w:r>
    </w:p>
    <w:p w14:paraId="7CA4EED2">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供应商地址：</w:t>
      </w:r>
    </w:p>
    <w:p w14:paraId="02102359">
      <w:pPr>
        <w:pStyle w:val="7"/>
        <w:snapToGrid w:val="0"/>
        <w:spacing w:before="50" w:beforeLines="0" w:after="50" w:afterLines="0" w:line="360" w:lineRule="exact"/>
        <w:ind w:firstLine="960" w:firstLineChars="400"/>
        <w:rPr>
          <w:rFonts w:hint="default" w:ascii="Times New Roman" w:hAnsi="Times New Roman" w:eastAsia="宋体" w:cs="Times New Roman"/>
          <w:color w:val="auto"/>
          <w:sz w:val="24"/>
          <w:szCs w:val="24"/>
          <w:highlight w:val="none"/>
        </w:rPr>
      </w:pPr>
    </w:p>
    <w:p w14:paraId="00A65BBA">
      <w:pPr>
        <w:snapToGrid w:val="0"/>
        <w:spacing w:before="120" w:beforeLines="50" w:after="50" w:afterLines="0" w:line="360" w:lineRule="exact"/>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w:t>
      </w:r>
      <w:r>
        <w:rPr>
          <w:rFonts w:hint="eastAsia" w:ascii="Times New Roman" w:hAnsi="Times New Roman" w:eastAsia="宋体" w:cs="Times New Roman"/>
          <w:color w:val="auto"/>
          <w:sz w:val="24"/>
          <w:szCs w:val="24"/>
          <w:highlight w:val="none"/>
        </w:rPr>
        <w:t>年  月  日</w:t>
      </w:r>
    </w:p>
    <w:p w14:paraId="1D3CE845">
      <w:pPr>
        <w:snapToGrid w:val="0"/>
        <w:spacing w:before="120" w:beforeLines="50" w:after="50" w:line="440" w:lineRule="exact"/>
        <w:jc w:val="center"/>
        <w:outlineLvl w:val="1"/>
        <w:rPr>
          <w:bCs/>
          <w:color w:val="auto"/>
          <w:sz w:val="24"/>
          <w:highlight w:val="none"/>
        </w:rPr>
        <w:sectPr>
          <w:headerReference r:id="rId17" w:type="default"/>
          <w:footerReference r:id="rId18" w:type="default"/>
          <w:pgSz w:w="11906" w:h="16838"/>
          <w:pgMar w:top="1418" w:right="1274" w:bottom="1418" w:left="1418" w:header="851" w:footer="992" w:gutter="0"/>
          <w:cols w:space="720" w:num="1"/>
          <w:docGrid w:linePitch="312" w:charSpace="0"/>
        </w:sectPr>
      </w:pPr>
    </w:p>
    <w:p w14:paraId="087153D2">
      <w:pPr>
        <w:snapToGrid w:val="0"/>
        <w:spacing w:before="120" w:beforeLines="50" w:after="50" w:line="440" w:lineRule="exact"/>
        <w:jc w:val="center"/>
        <w:outlineLvl w:val="9"/>
        <w:rPr>
          <w:rFonts w:ascii="Times New Roman" w:hAnsi="Times New Roman" w:eastAsia="宋体" w:cs="Times New Roman"/>
          <w:b/>
          <w:bCs/>
          <w:color w:val="auto"/>
          <w:sz w:val="24"/>
          <w:highlight w:val="none"/>
        </w:rPr>
      </w:pPr>
    </w:p>
    <w:p w14:paraId="0887C307">
      <w:pPr>
        <w:snapToGrid w:val="0"/>
        <w:spacing w:before="120" w:beforeLines="50" w:after="50" w:line="440" w:lineRule="exact"/>
        <w:jc w:val="center"/>
        <w:rPr>
          <w:rFonts w:ascii="Times New Roman" w:hAnsi="Times New Roman" w:eastAsia="宋体" w:cs="Times New Roman"/>
          <w:color w:val="auto"/>
          <w:sz w:val="24"/>
          <w:highlight w:val="none"/>
        </w:rPr>
      </w:pPr>
    </w:p>
    <w:p w14:paraId="79058540">
      <w:pPr>
        <w:snapToGrid w:val="0"/>
        <w:spacing w:before="50" w:after="50" w:line="440" w:lineRule="exact"/>
        <w:ind w:firstLine="138" w:firstLineChars="49"/>
        <w:jc w:val="center"/>
        <w:rPr>
          <w:rFonts w:ascii="Times New Roman" w:hAnsi="Times New Roman" w:eastAsia="宋体" w:cs="Times New Roman"/>
          <w:b/>
          <w:color w:val="auto"/>
          <w:sz w:val="28"/>
          <w:szCs w:val="28"/>
          <w:highlight w:val="none"/>
        </w:rPr>
      </w:pPr>
      <w:r>
        <w:rPr>
          <w:rFonts w:ascii="Times New Roman" w:hAnsi="Times New Roman" w:eastAsia="宋体" w:cs="Times New Roman"/>
          <w:b/>
          <w:color w:val="auto"/>
          <w:sz w:val="28"/>
          <w:szCs w:val="28"/>
          <w:highlight w:val="none"/>
        </w:rPr>
        <w:t>目录</w:t>
      </w:r>
    </w:p>
    <w:p w14:paraId="19FA5784">
      <w:pPr>
        <w:jc w:val="center"/>
        <w:rPr>
          <w:rFonts w:ascii="Times New Roman" w:hAnsi="Times New Roman" w:eastAsia="宋体" w:cs="Times New Roman"/>
          <w:b/>
          <w:color w:val="auto"/>
          <w:sz w:val="24"/>
          <w:highlight w:val="none"/>
        </w:rPr>
      </w:pPr>
      <w:r>
        <w:rPr>
          <w:rFonts w:ascii="Times New Roman" w:hAnsi="Times New Roman" w:eastAsia="宋体" w:cs="Times New Roman"/>
          <w:b/>
          <w:color w:val="auto"/>
          <w:sz w:val="24"/>
          <w:highlight w:val="none"/>
        </w:rPr>
        <w:t>（需有页码）</w:t>
      </w:r>
    </w:p>
    <w:p w14:paraId="5D0CE876">
      <w:pPr>
        <w:snapToGrid w:val="0"/>
        <w:spacing w:before="120" w:beforeLines="50" w:after="50" w:line="440" w:lineRule="exact"/>
        <w:jc w:val="center"/>
        <w:outlineLvl w:val="9"/>
        <w:rPr>
          <w:bCs/>
          <w:color w:val="auto"/>
          <w:sz w:val="24"/>
          <w:highlight w:val="none"/>
        </w:rPr>
        <w:sectPr>
          <w:headerReference r:id="rId19" w:type="default"/>
          <w:pgSz w:w="11906" w:h="16838"/>
          <w:pgMar w:top="1304" w:right="1418" w:bottom="1304" w:left="1418" w:header="851" w:footer="992" w:gutter="0"/>
          <w:cols w:space="720" w:num="1"/>
          <w:docGrid w:linePitch="312" w:charSpace="0"/>
        </w:sectPr>
      </w:pPr>
    </w:p>
    <w:p w14:paraId="4535400A">
      <w:pPr>
        <w:snapToGrid w:val="0"/>
        <w:spacing w:before="120" w:beforeLines="50" w:after="50" w:line="440" w:lineRule="exact"/>
        <w:jc w:val="center"/>
        <w:outlineLvl w:val="9"/>
        <w:rPr>
          <w:bCs/>
          <w:color w:val="auto"/>
          <w:sz w:val="24"/>
          <w:highlight w:val="none"/>
        </w:rPr>
      </w:pPr>
      <w:r>
        <w:rPr>
          <w:bCs/>
          <w:color w:val="auto"/>
          <w:sz w:val="24"/>
          <w:highlight w:val="none"/>
        </w:rPr>
        <w:t>第二部分 商务</w:t>
      </w:r>
      <w:r>
        <w:rPr>
          <w:rFonts w:hint="eastAsia"/>
          <w:bCs/>
          <w:color w:val="auto"/>
          <w:sz w:val="24"/>
          <w:highlight w:val="none"/>
        </w:rPr>
        <w:t>技术</w:t>
      </w:r>
      <w:r>
        <w:rPr>
          <w:bCs/>
          <w:color w:val="auto"/>
          <w:sz w:val="24"/>
          <w:highlight w:val="none"/>
        </w:rPr>
        <w:t>文件</w:t>
      </w:r>
    </w:p>
    <w:p w14:paraId="59278059">
      <w:pPr>
        <w:snapToGrid w:val="0"/>
        <w:spacing w:before="120" w:beforeLines="50" w:after="50" w:line="360" w:lineRule="exact"/>
        <w:rPr>
          <w:b/>
          <w:color w:val="auto"/>
          <w:szCs w:val="21"/>
          <w:highlight w:val="none"/>
        </w:rPr>
      </w:pPr>
      <w:bookmarkStart w:id="94" w:name="_Hlk19199735"/>
      <w:r>
        <w:rPr>
          <w:rFonts w:hint="eastAsia"/>
          <w:b/>
          <w:color w:val="auto"/>
          <w:szCs w:val="21"/>
          <w:highlight w:val="none"/>
        </w:rPr>
        <w:t>1</w:t>
      </w:r>
      <w:r>
        <w:rPr>
          <w:b/>
          <w:color w:val="auto"/>
          <w:szCs w:val="21"/>
          <w:highlight w:val="none"/>
        </w:rPr>
        <w:t>．</w:t>
      </w:r>
      <w:r>
        <w:rPr>
          <w:color w:val="auto"/>
          <w:szCs w:val="21"/>
          <w:highlight w:val="none"/>
        </w:rPr>
        <w:t>法定代表人身份证明</w:t>
      </w:r>
      <w:r>
        <w:rPr>
          <w:rFonts w:hint="eastAsia"/>
          <w:b/>
          <w:color w:val="auto"/>
          <w:szCs w:val="21"/>
          <w:highlight w:val="none"/>
        </w:rPr>
        <w:t>（无授权</w:t>
      </w:r>
      <w:r>
        <w:rPr>
          <w:b/>
          <w:color w:val="auto"/>
          <w:szCs w:val="21"/>
          <w:highlight w:val="none"/>
        </w:rPr>
        <w:t>代表</w:t>
      </w:r>
      <w:r>
        <w:rPr>
          <w:rFonts w:hint="eastAsia"/>
          <w:b/>
          <w:color w:val="auto"/>
          <w:szCs w:val="21"/>
          <w:highlight w:val="none"/>
        </w:rPr>
        <w:t>时提供）</w:t>
      </w:r>
      <w:r>
        <w:rPr>
          <w:b/>
          <w:color w:val="auto"/>
          <w:szCs w:val="21"/>
          <w:highlight w:val="none"/>
        </w:rPr>
        <w:t>：</w:t>
      </w:r>
    </w:p>
    <w:bookmarkEnd w:id="94"/>
    <w:p w14:paraId="6D9E2719">
      <w:pPr>
        <w:jc w:val="center"/>
        <w:rPr>
          <w:color w:val="auto"/>
          <w:highlight w:val="none"/>
        </w:rPr>
      </w:pPr>
      <w:bookmarkStart w:id="95" w:name="_Toc455309222"/>
      <w:bookmarkStart w:id="96" w:name="_Toc462223472"/>
      <w:bookmarkStart w:id="97" w:name="_Toc462320613"/>
    </w:p>
    <w:bookmarkEnd w:id="95"/>
    <w:bookmarkEnd w:id="96"/>
    <w:bookmarkEnd w:id="97"/>
    <w:p w14:paraId="70AF6B4E">
      <w:pPr>
        <w:snapToGrid w:val="0"/>
        <w:spacing w:before="120" w:beforeLines="50" w:after="50" w:line="440" w:lineRule="exact"/>
        <w:jc w:val="center"/>
        <w:rPr>
          <w:b/>
          <w:color w:val="auto"/>
          <w:szCs w:val="21"/>
          <w:highlight w:val="none"/>
        </w:rPr>
      </w:pPr>
      <w:r>
        <w:rPr>
          <w:b/>
          <w:color w:val="auto"/>
          <w:szCs w:val="21"/>
          <w:highlight w:val="none"/>
        </w:rPr>
        <w:t>法定代表人身份证明</w:t>
      </w:r>
    </w:p>
    <w:p w14:paraId="03BFA88C">
      <w:pPr>
        <w:spacing w:line="360" w:lineRule="auto"/>
        <w:rPr>
          <w:color w:val="auto"/>
          <w:highlight w:val="none"/>
        </w:rPr>
      </w:pPr>
    </w:p>
    <w:p w14:paraId="4E003FB9">
      <w:pPr>
        <w:spacing w:line="360" w:lineRule="auto"/>
        <w:rPr>
          <w:color w:val="auto"/>
          <w:highlight w:val="none"/>
        </w:rPr>
      </w:pPr>
    </w:p>
    <w:p w14:paraId="0B9D369E">
      <w:pPr>
        <w:spacing w:line="540" w:lineRule="exact"/>
        <w:rPr>
          <w:color w:val="auto"/>
          <w:szCs w:val="21"/>
          <w:highlight w:val="none"/>
        </w:rPr>
      </w:pPr>
      <w:r>
        <w:rPr>
          <w:color w:val="auto"/>
          <w:szCs w:val="21"/>
          <w:highlight w:val="none"/>
        </w:rPr>
        <w:t>供应商名称：</w:t>
      </w:r>
      <w:r>
        <w:rPr>
          <w:color w:val="auto"/>
          <w:szCs w:val="21"/>
          <w:highlight w:val="none"/>
          <w:u w:val="single"/>
        </w:rPr>
        <w:t xml:space="preserve">                                         </w:t>
      </w:r>
    </w:p>
    <w:p w14:paraId="54B19293">
      <w:pPr>
        <w:spacing w:line="540" w:lineRule="exact"/>
        <w:rPr>
          <w:color w:val="auto"/>
          <w:szCs w:val="21"/>
          <w:highlight w:val="none"/>
        </w:rPr>
      </w:pPr>
      <w:r>
        <w:rPr>
          <w:color w:val="auto"/>
          <w:szCs w:val="21"/>
          <w:highlight w:val="none"/>
        </w:rPr>
        <w:t>单位性质：</w:t>
      </w:r>
      <w:r>
        <w:rPr>
          <w:color w:val="auto"/>
          <w:szCs w:val="21"/>
          <w:highlight w:val="none"/>
          <w:u w:val="single"/>
        </w:rPr>
        <w:t xml:space="preserve">                                           </w:t>
      </w:r>
    </w:p>
    <w:p w14:paraId="0E32012A">
      <w:pPr>
        <w:spacing w:line="540" w:lineRule="exact"/>
        <w:rPr>
          <w:color w:val="auto"/>
          <w:szCs w:val="21"/>
          <w:highlight w:val="none"/>
        </w:rPr>
      </w:pPr>
      <w:r>
        <w:rPr>
          <w:color w:val="auto"/>
          <w:szCs w:val="21"/>
          <w:highlight w:val="none"/>
        </w:rPr>
        <w:t>地址：</w:t>
      </w:r>
      <w:r>
        <w:rPr>
          <w:color w:val="auto"/>
          <w:szCs w:val="21"/>
          <w:highlight w:val="none"/>
          <w:u w:val="single"/>
        </w:rPr>
        <w:t xml:space="preserve">                                               </w:t>
      </w:r>
    </w:p>
    <w:p w14:paraId="26B0FA16">
      <w:pPr>
        <w:spacing w:line="540" w:lineRule="exact"/>
        <w:rPr>
          <w:color w:val="auto"/>
          <w:szCs w:val="21"/>
          <w:highlight w:val="none"/>
          <w:u w:val="single"/>
        </w:rPr>
      </w:pPr>
      <w:r>
        <w:rPr>
          <w:color w:val="auto"/>
          <w:szCs w:val="21"/>
          <w:highlight w:val="none"/>
        </w:rPr>
        <w:t>成立时间：</w:t>
      </w:r>
      <w:r>
        <w:rPr>
          <w:color w:val="auto"/>
          <w:szCs w:val="21"/>
          <w:highlight w:val="none"/>
          <w:u w:val="single"/>
        </w:rPr>
        <w:t xml:space="preserve">          年        月        日</w:t>
      </w:r>
    </w:p>
    <w:p w14:paraId="51E5E550">
      <w:pPr>
        <w:spacing w:line="540" w:lineRule="exact"/>
        <w:rPr>
          <w:color w:val="auto"/>
          <w:szCs w:val="21"/>
          <w:highlight w:val="none"/>
        </w:rPr>
      </w:pPr>
      <w:r>
        <w:rPr>
          <w:color w:val="auto"/>
          <w:szCs w:val="21"/>
          <w:highlight w:val="none"/>
        </w:rPr>
        <w:t>经营期限：</w:t>
      </w:r>
      <w:r>
        <w:rPr>
          <w:color w:val="auto"/>
          <w:szCs w:val="21"/>
          <w:highlight w:val="none"/>
          <w:u w:val="single"/>
        </w:rPr>
        <w:t xml:space="preserve">                                           </w:t>
      </w:r>
    </w:p>
    <w:p w14:paraId="743EC15C">
      <w:pPr>
        <w:spacing w:line="540" w:lineRule="exact"/>
        <w:rPr>
          <w:color w:val="auto"/>
          <w:szCs w:val="21"/>
          <w:highlight w:val="none"/>
        </w:rPr>
      </w:pPr>
      <w:r>
        <w:rPr>
          <w:color w:val="auto"/>
          <w:szCs w:val="21"/>
          <w:highlight w:val="none"/>
        </w:rPr>
        <w:t>姓名：</w:t>
      </w:r>
      <w:r>
        <w:rPr>
          <w:color w:val="auto"/>
          <w:szCs w:val="21"/>
          <w:highlight w:val="none"/>
          <w:u w:val="single"/>
        </w:rPr>
        <w:t xml:space="preserve">                   </w:t>
      </w:r>
      <w:r>
        <w:rPr>
          <w:color w:val="auto"/>
          <w:szCs w:val="21"/>
          <w:highlight w:val="none"/>
        </w:rPr>
        <w:t>；性别：</w:t>
      </w:r>
      <w:r>
        <w:rPr>
          <w:color w:val="auto"/>
          <w:szCs w:val="21"/>
          <w:highlight w:val="none"/>
          <w:u w:val="single"/>
        </w:rPr>
        <w:t xml:space="preserve">              </w:t>
      </w:r>
      <w:r>
        <w:rPr>
          <w:color w:val="auto"/>
          <w:szCs w:val="21"/>
          <w:highlight w:val="none"/>
        </w:rPr>
        <w:t xml:space="preserve">        </w:t>
      </w:r>
    </w:p>
    <w:p w14:paraId="6C7E50B3">
      <w:pPr>
        <w:spacing w:line="540" w:lineRule="exact"/>
        <w:rPr>
          <w:color w:val="auto"/>
          <w:szCs w:val="21"/>
          <w:highlight w:val="none"/>
        </w:rPr>
      </w:pPr>
      <w:r>
        <w:rPr>
          <w:color w:val="auto"/>
          <w:szCs w:val="21"/>
          <w:highlight w:val="none"/>
        </w:rPr>
        <w:t>年龄：</w:t>
      </w:r>
      <w:r>
        <w:rPr>
          <w:color w:val="auto"/>
          <w:szCs w:val="21"/>
          <w:highlight w:val="none"/>
          <w:u w:val="single"/>
        </w:rPr>
        <w:t xml:space="preserve">         </w:t>
      </w:r>
      <w:r>
        <w:rPr>
          <w:color w:val="auto"/>
          <w:szCs w:val="21"/>
          <w:highlight w:val="none"/>
        </w:rPr>
        <w:t>；职务：</w:t>
      </w:r>
      <w:r>
        <w:rPr>
          <w:color w:val="auto"/>
          <w:szCs w:val="21"/>
          <w:highlight w:val="none"/>
          <w:u w:val="single"/>
        </w:rPr>
        <w:t xml:space="preserve">              </w:t>
      </w:r>
      <w:r>
        <w:rPr>
          <w:color w:val="auto"/>
          <w:szCs w:val="21"/>
          <w:highlight w:val="none"/>
        </w:rPr>
        <w:t>；身份证：</w:t>
      </w:r>
      <w:r>
        <w:rPr>
          <w:color w:val="auto"/>
          <w:szCs w:val="21"/>
          <w:highlight w:val="none"/>
          <w:u w:val="single"/>
        </w:rPr>
        <w:t xml:space="preserve">                                      </w:t>
      </w:r>
    </w:p>
    <w:p w14:paraId="5D47B294">
      <w:pPr>
        <w:spacing w:line="540" w:lineRule="exact"/>
        <w:rPr>
          <w:color w:val="auto"/>
          <w:szCs w:val="21"/>
          <w:highlight w:val="none"/>
        </w:rPr>
      </w:pPr>
      <w:r>
        <w:rPr>
          <w:color w:val="auto"/>
          <w:szCs w:val="21"/>
          <w:highlight w:val="none"/>
        </w:rPr>
        <w:t>系</w:t>
      </w:r>
      <w:r>
        <w:rPr>
          <w:color w:val="auto"/>
          <w:szCs w:val="21"/>
          <w:highlight w:val="none"/>
          <w:u w:val="single"/>
        </w:rPr>
        <w:t xml:space="preserve">                                      （ 供应商名称）</w:t>
      </w:r>
      <w:r>
        <w:rPr>
          <w:color w:val="auto"/>
          <w:szCs w:val="21"/>
          <w:highlight w:val="none"/>
        </w:rPr>
        <w:t>的法定代表人。</w:t>
      </w:r>
    </w:p>
    <w:p w14:paraId="6F1DD101">
      <w:pPr>
        <w:spacing w:line="540" w:lineRule="exact"/>
        <w:rPr>
          <w:rFonts w:hint="eastAsia"/>
          <w:color w:val="auto"/>
          <w:szCs w:val="21"/>
          <w:highlight w:val="none"/>
        </w:rPr>
      </w:pPr>
    </w:p>
    <w:p w14:paraId="290E5D40">
      <w:pPr>
        <w:spacing w:line="540" w:lineRule="exact"/>
        <w:ind w:firstLine="420" w:firstLineChars="200"/>
        <w:rPr>
          <w:color w:val="auto"/>
          <w:szCs w:val="21"/>
          <w:highlight w:val="none"/>
        </w:rPr>
      </w:pPr>
      <w:r>
        <w:rPr>
          <w:color w:val="auto"/>
          <w:szCs w:val="21"/>
          <w:highlight w:val="none"/>
        </w:rPr>
        <w:t>特此证明。</w:t>
      </w:r>
    </w:p>
    <w:p w14:paraId="2E8215BC">
      <w:pPr>
        <w:spacing w:line="540" w:lineRule="exact"/>
        <w:rPr>
          <w:rFonts w:hint="eastAsia"/>
          <w:color w:val="auto"/>
          <w:szCs w:val="21"/>
          <w:highlight w:val="none"/>
        </w:rPr>
      </w:pPr>
    </w:p>
    <w:p w14:paraId="05DA69FA">
      <w:pPr>
        <w:spacing w:line="360" w:lineRule="auto"/>
        <w:ind w:firstLine="4830" w:firstLineChars="2300"/>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5D85884B">
      <w:pPr>
        <w:spacing w:line="360" w:lineRule="auto"/>
        <w:rPr>
          <w:color w:val="auto"/>
          <w:szCs w:val="21"/>
          <w:highlight w:val="none"/>
        </w:rPr>
      </w:pPr>
      <w:r>
        <w:rPr>
          <w:color w:val="auto"/>
          <w:szCs w:val="21"/>
          <w:highlight w:val="none"/>
        </w:rPr>
        <w:t xml:space="preserve">                                                   年       月       日 </w:t>
      </w:r>
    </w:p>
    <w:p w14:paraId="7405A930">
      <w:pPr>
        <w:spacing w:line="540" w:lineRule="exact"/>
        <w:rPr>
          <w:rFonts w:hint="eastAsia"/>
          <w:color w:val="auto"/>
          <w:szCs w:val="21"/>
          <w:highlight w:val="none"/>
        </w:rPr>
      </w:pPr>
    </w:p>
    <w:p w14:paraId="139FB521">
      <w:pPr>
        <w:spacing w:line="360" w:lineRule="auto"/>
        <w:rPr>
          <w:color w:val="auto"/>
          <w:szCs w:val="21"/>
          <w:highlight w:val="none"/>
        </w:rPr>
      </w:pPr>
      <w:bookmarkStart w:id="98" w:name="_Hlk19199756"/>
      <w:r>
        <w:rPr>
          <w:color w:val="auto"/>
          <w:szCs w:val="21"/>
          <w:highlight w:val="none"/>
        </w:rPr>
        <w:t>附件：法定代表人身份证复印件</w:t>
      </w:r>
    </w:p>
    <w:p w14:paraId="38314B48">
      <w:pPr>
        <w:spacing w:line="360" w:lineRule="auto"/>
        <w:rPr>
          <w:color w:val="auto"/>
          <w:szCs w:val="21"/>
          <w:highlight w:val="none"/>
        </w:rPr>
      </w:pPr>
    </w:p>
    <w:bookmarkEnd w:id="98"/>
    <w:p w14:paraId="73FDA14D">
      <w:pPr>
        <w:snapToGrid w:val="0"/>
        <w:spacing w:before="120" w:beforeLines="50" w:after="50" w:line="360" w:lineRule="exact"/>
        <w:jc w:val="left"/>
        <w:rPr>
          <w:rFonts w:hint="eastAsia"/>
          <w:color w:val="auto"/>
          <w:highlight w:val="none"/>
        </w:rPr>
      </w:pPr>
      <w:r>
        <w:rPr>
          <w:b/>
          <w:color w:val="auto"/>
          <w:szCs w:val="21"/>
          <w:highlight w:val="none"/>
        </w:rPr>
        <w:br w:type="page"/>
      </w:r>
      <w:bookmarkStart w:id="99" w:name="_Hlk19199766"/>
      <w:r>
        <w:rPr>
          <w:rFonts w:hint="eastAsia"/>
          <w:b/>
          <w:color w:val="auto"/>
          <w:szCs w:val="21"/>
          <w:highlight w:val="none"/>
        </w:rPr>
        <w:t>1</w:t>
      </w:r>
      <w:r>
        <w:rPr>
          <w:b/>
          <w:color w:val="auto"/>
          <w:szCs w:val="21"/>
          <w:highlight w:val="none"/>
        </w:rPr>
        <w:t>．</w:t>
      </w:r>
      <w:r>
        <w:rPr>
          <w:rFonts w:hint="eastAsia"/>
          <w:b/>
          <w:color w:val="auto"/>
          <w:szCs w:val="21"/>
          <w:highlight w:val="none"/>
        </w:rPr>
        <w:t>授权</w:t>
      </w:r>
      <w:r>
        <w:rPr>
          <w:b/>
          <w:color w:val="auto"/>
          <w:szCs w:val="21"/>
          <w:highlight w:val="none"/>
        </w:rPr>
        <w:t>委托书</w:t>
      </w:r>
      <w:r>
        <w:rPr>
          <w:rFonts w:hint="eastAsia"/>
          <w:b/>
          <w:color w:val="auto"/>
          <w:szCs w:val="21"/>
          <w:highlight w:val="none"/>
        </w:rPr>
        <w:t>（有授权</w:t>
      </w:r>
      <w:r>
        <w:rPr>
          <w:b/>
          <w:color w:val="auto"/>
          <w:szCs w:val="21"/>
          <w:highlight w:val="none"/>
        </w:rPr>
        <w:t>代表</w:t>
      </w:r>
      <w:r>
        <w:rPr>
          <w:rFonts w:hint="eastAsia"/>
          <w:b/>
          <w:color w:val="auto"/>
          <w:szCs w:val="21"/>
          <w:highlight w:val="none"/>
        </w:rPr>
        <w:t>时提供）</w:t>
      </w:r>
      <w:r>
        <w:rPr>
          <w:b/>
          <w:color w:val="auto"/>
          <w:szCs w:val="21"/>
          <w:highlight w:val="none"/>
        </w:rPr>
        <w:t>：</w:t>
      </w:r>
    </w:p>
    <w:bookmarkEnd w:id="99"/>
    <w:p w14:paraId="2133C760">
      <w:pPr>
        <w:snapToGrid w:val="0"/>
        <w:spacing w:before="120" w:beforeLines="50" w:after="50" w:line="360" w:lineRule="exact"/>
        <w:jc w:val="center"/>
        <w:rPr>
          <w:b/>
          <w:color w:val="auto"/>
          <w:szCs w:val="21"/>
          <w:highlight w:val="none"/>
        </w:rPr>
      </w:pPr>
      <w:r>
        <w:rPr>
          <w:b/>
          <w:color w:val="auto"/>
          <w:szCs w:val="21"/>
          <w:highlight w:val="none"/>
        </w:rPr>
        <w:t>法定代表人授权委托书</w:t>
      </w:r>
    </w:p>
    <w:p w14:paraId="54814C18">
      <w:pPr>
        <w:snapToGrid w:val="0"/>
        <w:spacing w:before="120" w:beforeLines="50" w:after="50" w:line="440" w:lineRule="exact"/>
        <w:rPr>
          <w:rFonts w:hint="eastAsia"/>
          <w:b/>
          <w:bCs/>
          <w:color w:val="auto"/>
          <w:szCs w:val="21"/>
          <w:highlight w:val="none"/>
        </w:rPr>
      </w:pPr>
      <w:r>
        <w:rPr>
          <w:bCs/>
          <w:color w:val="auto"/>
          <w:szCs w:val="21"/>
          <w:highlight w:val="none"/>
        </w:rPr>
        <w:t>致：</w:t>
      </w:r>
      <w:r>
        <w:rPr>
          <w:i/>
          <w:iCs/>
          <w:color w:val="auto"/>
          <w:szCs w:val="21"/>
          <w:highlight w:val="none"/>
          <w:u w:val="single"/>
        </w:rPr>
        <w:t>（采购人名称）</w:t>
      </w:r>
    </w:p>
    <w:p w14:paraId="4E4F7B13">
      <w:pPr>
        <w:snapToGrid w:val="0"/>
        <w:spacing w:before="120" w:beforeLines="50" w:after="50" w:line="440" w:lineRule="exact"/>
        <w:ind w:firstLine="420" w:firstLineChars="200"/>
        <w:rPr>
          <w:color w:val="auto"/>
          <w:szCs w:val="21"/>
          <w:highlight w:val="none"/>
        </w:rPr>
      </w:pPr>
      <w:r>
        <w:rPr>
          <w:color w:val="auto"/>
          <w:szCs w:val="21"/>
          <w:highlight w:val="none"/>
        </w:rPr>
        <w:t>我</w:t>
      </w:r>
      <w:r>
        <w:rPr>
          <w:rFonts w:hint="eastAsia"/>
          <w:color w:val="auto"/>
          <w:szCs w:val="21"/>
          <w:highlight w:val="none"/>
        </w:rPr>
        <w:t xml:space="preserve"> </w:t>
      </w:r>
      <w:r>
        <w:rPr>
          <w:i/>
          <w:iCs/>
          <w:color w:val="auto"/>
          <w:szCs w:val="21"/>
          <w:highlight w:val="none"/>
          <w:u w:val="single"/>
        </w:rPr>
        <w:t>（姓名）</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系</w:t>
      </w:r>
      <w:r>
        <w:rPr>
          <w:i/>
          <w:iCs/>
          <w:color w:val="auto"/>
          <w:szCs w:val="21"/>
          <w:highlight w:val="none"/>
          <w:u w:val="single"/>
        </w:rPr>
        <w:t>（供应商名称）</w:t>
      </w:r>
      <w:r>
        <w:rPr>
          <w:color w:val="auto"/>
          <w:szCs w:val="21"/>
          <w:highlight w:val="none"/>
        </w:rPr>
        <w:t>的法定代表人，现授权委托本单位在职职工</w:t>
      </w:r>
      <w:r>
        <w:rPr>
          <w:i/>
          <w:iCs/>
          <w:color w:val="auto"/>
          <w:szCs w:val="21"/>
          <w:highlight w:val="none"/>
          <w:u w:val="single"/>
        </w:rPr>
        <w:t>（姓名）</w:t>
      </w:r>
      <w:r>
        <w:rPr>
          <w:color w:val="auto"/>
          <w:szCs w:val="21"/>
          <w:highlight w:val="none"/>
        </w:rPr>
        <w:t>以我方的名义参加</w:t>
      </w:r>
      <w:r>
        <w:rPr>
          <w:rFonts w:hint="eastAsia"/>
          <w:i/>
          <w:iCs/>
          <w:color w:val="auto"/>
          <w:szCs w:val="21"/>
          <w:highlight w:val="none"/>
          <w:u w:val="single"/>
        </w:rPr>
        <w:t>（项目名称 ）</w:t>
      </w:r>
      <w:r>
        <w:rPr>
          <w:color w:val="auto"/>
          <w:szCs w:val="21"/>
          <w:highlight w:val="none"/>
        </w:rPr>
        <w:t>项目的磋商活动，并代表我方全权办理针对上述项目的磋商、截标、评审、签约等具体事务和签署相关文件。</w:t>
      </w:r>
    </w:p>
    <w:p w14:paraId="355B5237">
      <w:pPr>
        <w:snapToGrid w:val="0"/>
        <w:spacing w:before="120" w:beforeLines="50" w:after="50" w:line="440" w:lineRule="exact"/>
        <w:rPr>
          <w:color w:val="auto"/>
          <w:szCs w:val="21"/>
          <w:highlight w:val="none"/>
        </w:rPr>
      </w:pPr>
      <w:r>
        <w:rPr>
          <w:color w:val="auto"/>
          <w:szCs w:val="21"/>
          <w:highlight w:val="none"/>
        </w:rPr>
        <w:t xml:space="preserve">    我方对被授权人的签名事项负全部责任。</w:t>
      </w:r>
    </w:p>
    <w:p w14:paraId="4A57F1EE">
      <w:pPr>
        <w:snapToGrid w:val="0"/>
        <w:spacing w:before="120" w:beforeLines="50" w:after="50" w:line="440" w:lineRule="exact"/>
        <w:ind w:firstLine="480"/>
        <w:rPr>
          <w:color w:val="auto"/>
          <w:szCs w:val="21"/>
          <w:highlight w:val="none"/>
        </w:rPr>
      </w:pPr>
      <w:r>
        <w:rPr>
          <w:color w:val="auto"/>
          <w:szCs w:val="21"/>
          <w:highlight w:val="none"/>
        </w:rPr>
        <w:t>在撤销授权的书面通知以前，本授权书一直有效。被授权人在授权书有效期内签署的所有文件不因授权的撤销而失效。</w:t>
      </w:r>
    </w:p>
    <w:p w14:paraId="008F5EAD">
      <w:pPr>
        <w:snapToGrid w:val="0"/>
        <w:spacing w:before="120" w:beforeLines="50" w:after="50" w:line="440" w:lineRule="exact"/>
        <w:ind w:firstLine="480"/>
        <w:rPr>
          <w:color w:val="auto"/>
          <w:szCs w:val="21"/>
          <w:highlight w:val="none"/>
        </w:rPr>
      </w:pPr>
      <w:r>
        <w:rPr>
          <w:color w:val="auto"/>
          <w:szCs w:val="21"/>
          <w:highlight w:val="none"/>
        </w:rPr>
        <w:t>被授权人无转委托权，特此委托。</w:t>
      </w:r>
    </w:p>
    <w:p w14:paraId="10F57A81">
      <w:pPr>
        <w:snapToGrid w:val="0"/>
        <w:spacing w:before="120" w:beforeLines="50" w:after="50" w:line="440" w:lineRule="exact"/>
        <w:rPr>
          <w:color w:val="auto"/>
          <w:szCs w:val="21"/>
          <w:highlight w:val="none"/>
          <w:u w:val="single"/>
        </w:rPr>
      </w:pPr>
      <w:r>
        <w:rPr>
          <w:color w:val="auto"/>
          <w:szCs w:val="21"/>
          <w:highlight w:val="none"/>
        </w:rPr>
        <w:t>被授权人签名或</w:t>
      </w:r>
      <w:r>
        <w:rPr>
          <w:rFonts w:hint="eastAsia"/>
          <w:color w:val="auto"/>
          <w:szCs w:val="21"/>
          <w:highlight w:val="none"/>
        </w:rPr>
        <w:t>签章</w:t>
      </w:r>
      <w:r>
        <w:rPr>
          <w:color w:val="auto"/>
          <w:szCs w:val="21"/>
          <w:highlight w:val="none"/>
        </w:rPr>
        <w:t>：</w:t>
      </w:r>
      <w:r>
        <w:rPr>
          <w:color w:val="auto"/>
          <w:szCs w:val="21"/>
          <w:highlight w:val="none"/>
          <w:u w:val="single"/>
        </w:rPr>
        <w:t xml:space="preserve">          </w:t>
      </w:r>
      <w:r>
        <w:rPr>
          <w:color w:val="auto"/>
          <w:szCs w:val="21"/>
          <w:highlight w:val="none"/>
        </w:rPr>
        <w:t xml:space="preserve">                     法定代表人签名或</w:t>
      </w:r>
      <w:r>
        <w:rPr>
          <w:rFonts w:hint="eastAsia"/>
          <w:color w:val="auto"/>
          <w:szCs w:val="21"/>
          <w:highlight w:val="none"/>
        </w:rPr>
        <w:t>签章</w:t>
      </w:r>
      <w:r>
        <w:rPr>
          <w:color w:val="auto"/>
          <w:szCs w:val="21"/>
          <w:highlight w:val="none"/>
        </w:rPr>
        <w:t>：</w:t>
      </w:r>
      <w:r>
        <w:rPr>
          <w:color w:val="auto"/>
          <w:szCs w:val="21"/>
          <w:highlight w:val="none"/>
          <w:u w:val="single"/>
        </w:rPr>
        <w:t xml:space="preserve">          </w:t>
      </w:r>
    </w:p>
    <w:p w14:paraId="3A688428">
      <w:pPr>
        <w:snapToGrid w:val="0"/>
        <w:spacing w:before="120" w:beforeLines="50" w:after="50" w:line="440" w:lineRule="exact"/>
        <w:rPr>
          <w:color w:val="auto"/>
          <w:szCs w:val="21"/>
          <w:highlight w:val="none"/>
        </w:rPr>
      </w:pPr>
      <w:r>
        <w:rPr>
          <w:color w:val="auto"/>
          <w:szCs w:val="21"/>
          <w:highlight w:val="none"/>
        </w:rPr>
        <w:t>职务：</w:t>
      </w:r>
      <w:r>
        <w:rPr>
          <w:color w:val="auto"/>
          <w:szCs w:val="21"/>
          <w:highlight w:val="none"/>
          <w:u w:val="single"/>
        </w:rPr>
        <w:t xml:space="preserve">           </w:t>
      </w:r>
      <w:r>
        <w:rPr>
          <w:color w:val="auto"/>
          <w:szCs w:val="21"/>
          <w:highlight w:val="none"/>
        </w:rPr>
        <w:t xml:space="preserve"> </w:t>
      </w:r>
    </w:p>
    <w:p w14:paraId="5B22ABFD">
      <w:pPr>
        <w:snapToGrid w:val="0"/>
        <w:spacing w:before="120" w:beforeLines="50" w:after="50" w:line="440" w:lineRule="exact"/>
        <w:rPr>
          <w:color w:val="auto"/>
          <w:szCs w:val="21"/>
          <w:highlight w:val="none"/>
        </w:rPr>
      </w:pPr>
      <w:r>
        <w:rPr>
          <w:color w:val="auto"/>
          <w:szCs w:val="21"/>
          <w:highlight w:val="none"/>
        </w:rPr>
        <w:t>被授权人身份证号码：</w:t>
      </w:r>
      <w:r>
        <w:rPr>
          <w:color w:val="auto"/>
          <w:szCs w:val="21"/>
          <w:highlight w:val="none"/>
          <w:u w:val="single"/>
        </w:rPr>
        <w:t xml:space="preserve">                   </w:t>
      </w:r>
      <w:r>
        <w:rPr>
          <w:color w:val="auto"/>
          <w:szCs w:val="21"/>
          <w:highlight w:val="none"/>
        </w:rPr>
        <w:t xml:space="preserve">                                   职务：</w:t>
      </w:r>
      <w:r>
        <w:rPr>
          <w:color w:val="auto"/>
          <w:szCs w:val="21"/>
          <w:highlight w:val="none"/>
          <w:u w:val="single"/>
        </w:rPr>
        <w:t xml:space="preserve">           </w:t>
      </w:r>
    </w:p>
    <w:p w14:paraId="6C160463">
      <w:pPr>
        <w:snapToGrid w:val="0"/>
        <w:spacing w:before="120" w:beforeLines="50" w:after="50" w:line="440" w:lineRule="exact"/>
        <w:rPr>
          <w:color w:val="auto"/>
          <w:szCs w:val="21"/>
          <w:highlight w:val="none"/>
        </w:rPr>
      </w:pPr>
      <w:r>
        <w:rPr>
          <w:rFonts w:hint="eastAsia"/>
          <w:color w:val="auto"/>
          <w:szCs w:val="21"/>
          <w:highlight w:val="none"/>
        </w:rPr>
        <w:t>被授权人手机号码及邮箱</w:t>
      </w:r>
      <w:r>
        <w:rPr>
          <w:color w:val="auto"/>
          <w:szCs w:val="21"/>
          <w:highlight w:val="none"/>
        </w:rPr>
        <w:t>：</w:t>
      </w:r>
      <w:r>
        <w:rPr>
          <w:color w:val="auto"/>
          <w:szCs w:val="21"/>
          <w:highlight w:val="none"/>
          <w:u w:val="single"/>
        </w:rPr>
        <w:t xml:space="preserve">                   </w:t>
      </w:r>
      <w:r>
        <w:rPr>
          <w:color w:val="auto"/>
          <w:szCs w:val="21"/>
          <w:highlight w:val="none"/>
        </w:rPr>
        <w:t xml:space="preserve">            授权人身份证号码：</w:t>
      </w:r>
      <w:r>
        <w:rPr>
          <w:color w:val="auto"/>
          <w:szCs w:val="21"/>
          <w:highlight w:val="none"/>
          <w:u w:val="single"/>
        </w:rPr>
        <w:t xml:space="preserve">                 </w:t>
      </w:r>
    </w:p>
    <w:p w14:paraId="4FDB52F4">
      <w:pPr>
        <w:snapToGrid w:val="0"/>
        <w:spacing w:before="120" w:beforeLines="50" w:after="50" w:line="440" w:lineRule="exact"/>
        <w:rPr>
          <w:rFonts w:hint="eastAsia"/>
          <w:color w:val="auto"/>
          <w:szCs w:val="21"/>
          <w:highlight w:val="none"/>
        </w:rPr>
      </w:pPr>
      <w:r>
        <w:rPr>
          <w:color w:val="auto"/>
          <w:szCs w:val="21"/>
          <w:highlight w:val="none"/>
        </w:rPr>
        <w:t xml:space="preserve">                                </w:t>
      </w:r>
    </w:p>
    <w:p w14:paraId="59A08885">
      <w:pPr>
        <w:snapToGrid w:val="0"/>
        <w:spacing w:before="120" w:beforeLines="50" w:after="50" w:line="440" w:lineRule="exact"/>
        <w:ind w:firstLine="5670" w:firstLineChars="2700"/>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7F425B97">
      <w:pPr>
        <w:snapToGrid w:val="0"/>
        <w:spacing w:before="120" w:beforeLines="50" w:after="50" w:line="440" w:lineRule="exact"/>
        <w:jc w:val="center"/>
        <w:rPr>
          <w:color w:val="auto"/>
          <w:szCs w:val="21"/>
          <w:highlight w:val="none"/>
        </w:rPr>
      </w:pPr>
      <w:r>
        <w:rPr>
          <w:color w:val="auto"/>
          <w:szCs w:val="21"/>
          <w:highlight w:val="none"/>
        </w:rPr>
        <w:t xml:space="preserve">                                        年    月    日</w:t>
      </w:r>
    </w:p>
    <w:p w14:paraId="4443E4FF">
      <w:pPr>
        <w:spacing w:line="360" w:lineRule="auto"/>
        <w:rPr>
          <w:color w:val="auto"/>
          <w:szCs w:val="21"/>
          <w:highlight w:val="none"/>
        </w:rPr>
      </w:pPr>
      <w:r>
        <w:rPr>
          <w:color w:val="auto"/>
          <w:szCs w:val="21"/>
          <w:highlight w:val="none"/>
        </w:rPr>
        <w:t>附件：法定代表人身份证复印件及授权代表身份证复印件</w:t>
      </w:r>
    </w:p>
    <w:p w14:paraId="060B41F2">
      <w:pPr>
        <w:jc w:val="center"/>
        <w:rPr>
          <w:bCs/>
          <w:color w:val="auto"/>
          <w:sz w:val="24"/>
          <w:highlight w:val="none"/>
        </w:rPr>
      </w:pPr>
      <w:r>
        <w:rPr>
          <w:color w:val="auto"/>
          <w:highlight w:val="none"/>
        </w:rPr>
        <w:br w:type="page"/>
      </w:r>
      <w:r>
        <w:rPr>
          <w:color w:val="auto"/>
          <w:highlight w:val="none"/>
        </w:rPr>
        <w:t>（本商务文件供应商可自行编写，也可参照下述提纲编写）</w:t>
      </w:r>
    </w:p>
    <w:p w14:paraId="02F69F71">
      <w:pPr>
        <w:snapToGrid w:val="0"/>
        <w:spacing w:before="50" w:after="120" w:afterLines="50"/>
        <w:jc w:val="left"/>
        <w:rPr>
          <w:rFonts w:hint="eastAsia"/>
          <w:color w:val="auto"/>
          <w:szCs w:val="21"/>
          <w:highlight w:val="none"/>
        </w:rPr>
      </w:pPr>
    </w:p>
    <w:p w14:paraId="4E8B237A">
      <w:pPr>
        <w:rPr>
          <w:color w:val="auto"/>
          <w:szCs w:val="21"/>
          <w:highlight w:val="none"/>
        </w:rPr>
      </w:pPr>
      <w:r>
        <w:rPr>
          <w:rFonts w:hint="eastAsia"/>
          <w:color w:val="auto"/>
          <w:szCs w:val="21"/>
          <w:highlight w:val="none"/>
        </w:rPr>
        <w:t>1</w:t>
      </w:r>
      <w:r>
        <w:rPr>
          <w:color w:val="auto"/>
          <w:szCs w:val="21"/>
          <w:highlight w:val="none"/>
        </w:rPr>
        <w:t>．</w:t>
      </w:r>
      <w:r>
        <w:rPr>
          <w:rFonts w:hint="eastAsia"/>
          <w:color w:val="auto"/>
          <w:szCs w:val="21"/>
          <w:highlight w:val="none"/>
        </w:rPr>
        <w:t>对</w:t>
      </w:r>
      <w:r>
        <w:rPr>
          <w:color w:val="auto"/>
          <w:szCs w:val="21"/>
          <w:highlight w:val="none"/>
        </w:rPr>
        <w:t>本项目第</w:t>
      </w:r>
      <w:r>
        <w:rPr>
          <w:rFonts w:hint="eastAsia"/>
          <w:color w:val="auto"/>
          <w:szCs w:val="21"/>
          <w:highlight w:val="none"/>
        </w:rPr>
        <w:t>二</w:t>
      </w:r>
      <w:r>
        <w:rPr>
          <w:color w:val="auto"/>
          <w:szCs w:val="21"/>
          <w:highlight w:val="none"/>
        </w:rPr>
        <w:t>章</w:t>
      </w:r>
      <w:r>
        <w:rPr>
          <w:rFonts w:hint="eastAsia"/>
          <w:color w:val="auto"/>
          <w:szCs w:val="21"/>
          <w:highlight w:val="none"/>
        </w:rPr>
        <w:t>《</w:t>
      </w:r>
      <w:r>
        <w:rPr>
          <w:color w:val="auto"/>
          <w:szCs w:val="21"/>
          <w:highlight w:val="none"/>
        </w:rPr>
        <w:t>采购需求</w:t>
      </w:r>
      <w:r>
        <w:rPr>
          <w:rFonts w:hint="eastAsia"/>
          <w:color w:val="auto"/>
          <w:szCs w:val="21"/>
          <w:highlight w:val="none"/>
        </w:rPr>
        <w:t>》技术</w:t>
      </w:r>
      <w:r>
        <w:rPr>
          <w:color w:val="auto"/>
          <w:szCs w:val="21"/>
          <w:highlight w:val="none"/>
        </w:rPr>
        <w:t>要求的</w:t>
      </w:r>
      <w:r>
        <w:rPr>
          <w:rFonts w:hint="eastAsia"/>
          <w:color w:val="auto"/>
          <w:szCs w:val="21"/>
          <w:highlight w:val="none"/>
        </w:rPr>
        <w:t>响应表</w:t>
      </w:r>
      <w:r>
        <w:rPr>
          <w:color w:val="auto"/>
          <w:szCs w:val="21"/>
          <w:highlight w:val="none"/>
        </w:rPr>
        <w:t>：</w:t>
      </w:r>
    </w:p>
    <w:tbl>
      <w:tblPr>
        <w:tblStyle w:val="51"/>
        <w:tblW w:w="8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6A4DC1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60CE3127">
            <w:pPr>
              <w:snapToGrid w:val="0"/>
              <w:spacing w:before="120" w:beforeLines="50"/>
              <w:jc w:val="center"/>
              <w:rPr>
                <w:color w:val="auto"/>
                <w:szCs w:val="21"/>
                <w:highlight w:val="none"/>
              </w:rPr>
            </w:pPr>
            <w:r>
              <w:rPr>
                <w:color w:val="auto"/>
                <w:szCs w:val="21"/>
                <w:highlight w:val="none"/>
              </w:rPr>
              <w:t>序号</w:t>
            </w:r>
          </w:p>
        </w:tc>
        <w:tc>
          <w:tcPr>
            <w:tcW w:w="3595" w:type="dxa"/>
            <w:tcBorders>
              <w:top w:val="single" w:color="auto" w:sz="4" w:space="0"/>
              <w:left w:val="single" w:color="auto" w:sz="4" w:space="0"/>
              <w:bottom w:val="single" w:color="auto" w:sz="4" w:space="0"/>
              <w:right w:val="single" w:color="auto" w:sz="4" w:space="0"/>
            </w:tcBorders>
            <w:vAlign w:val="center"/>
          </w:tcPr>
          <w:p w14:paraId="66DDCFAE">
            <w:pPr>
              <w:snapToGrid w:val="0"/>
              <w:spacing w:before="120" w:beforeLines="50"/>
              <w:jc w:val="center"/>
              <w:rPr>
                <w:color w:val="auto"/>
                <w:szCs w:val="21"/>
                <w:highlight w:val="none"/>
              </w:rPr>
            </w:pPr>
            <w:r>
              <w:rPr>
                <w:rFonts w:hint="eastAsia"/>
                <w:color w:val="auto"/>
                <w:szCs w:val="21"/>
                <w:highlight w:val="none"/>
              </w:rPr>
              <w:t>采购文件</w:t>
            </w:r>
            <w:r>
              <w:rPr>
                <w:color w:val="auto"/>
                <w:szCs w:val="21"/>
                <w:highlight w:val="none"/>
              </w:rPr>
              <w:t>要求（注明章节及条款号）</w:t>
            </w:r>
          </w:p>
        </w:tc>
        <w:tc>
          <w:tcPr>
            <w:tcW w:w="3405" w:type="dxa"/>
            <w:tcBorders>
              <w:top w:val="single" w:color="auto" w:sz="4" w:space="0"/>
              <w:left w:val="single" w:color="auto" w:sz="4" w:space="0"/>
              <w:bottom w:val="single" w:color="auto" w:sz="4" w:space="0"/>
              <w:right w:val="single" w:color="auto" w:sz="4" w:space="0"/>
            </w:tcBorders>
            <w:vAlign w:val="center"/>
          </w:tcPr>
          <w:p w14:paraId="74036968">
            <w:pPr>
              <w:snapToGrid w:val="0"/>
              <w:spacing w:before="120" w:beforeLines="50"/>
              <w:jc w:val="center"/>
              <w:rPr>
                <w:color w:val="auto"/>
                <w:szCs w:val="21"/>
                <w:highlight w:val="none"/>
              </w:rPr>
            </w:pPr>
            <w:r>
              <w:rPr>
                <w:rFonts w:hint="eastAsia"/>
                <w:color w:val="auto"/>
                <w:szCs w:val="21"/>
                <w:highlight w:val="none"/>
              </w:rPr>
              <w:t>响应</w:t>
            </w:r>
            <w:r>
              <w:rPr>
                <w:color w:val="auto"/>
                <w:szCs w:val="21"/>
                <w:highlight w:val="none"/>
              </w:rPr>
              <w:t>文件响应内容</w:t>
            </w:r>
          </w:p>
        </w:tc>
        <w:tc>
          <w:tcPr>
            <w:tcW w:w="1082" w:type="dxa"/>
            <w:tcBorders>
              <w:top w:val="single" w:color="auto" w:sz="4" w:space="0"/>
              <w:left w:val="single" w:color="auto" w:sz="4" w:space="0"/>
              <w:bottom w:val="single" w:color="auto" w:sz="4" w:space="0"/>
              <w:right w:val="single" w:color="auto" w:sz="4" w:space="0"/>
            </w:tcBorders>
            <w:vAlign w:val="center"/>
          </w:tcPr>
          <w:p w14:paraId="7DCDBC83">
            <w:pPr>
              <w:snapToGrid w:val="0"/>
              <w:spacing w:before="120" w:beforeLines="50"/>
              <w:jc w:val="center"/>
              <w:rPr>
                <w:color w:val="auto"/>
                <w:szCs w:val="21"/>
                <w:highlight w:val="none"/>
              </w:rPr>
            </w:pPr>
            <w:r>
              <w:rPr>
                <w:color w:val="auto"/>
                <w:highlight w:val="none"/>
              </w:rPr>
              <w:t>偏离</w:t>
            </w:r>
            <w:r>
              <w:rPr>
                <w:color w:val="auto"/>
                <w:szCs w:val="21"/>
                <w:highlight w:val="none"/>
              </w:rPr>
              <w:t>说明</w:t>
            </w:r>
          </w:p>
        </w:tc>
      </w:tr>
      <w:tr w14:paraId="35CF81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7B492547">
            <w:pPr>
              <w:snapToGrid w:val="0"/>
              <w:spacing w:before="120" w:beforeLines="50"/>
              <w:jc w:val="center"/>
              <w:rPr>
                <w:color w:val="auto"/>
                <w:szCs w:val="21"/>
                <w:highlight w:val="none"/>
              </w:rPr>
            </w:pPr>
          </w:p>
        </w:tc>
        <w:tc>
          <w:tcPr>
            <w:tcW w:w="3595" w:type="dxa"/>
            <w:tcBorders>
              <w:top w:val="single" w:color="auto" w:sz="4" w:space="0"/>
              <w:left w:val="single" w:color="auto" w:sz="4" w:space="0"/>
              <w:bottom w:val="single" w:color="auto" w:sz="4" w:space="0"/>
              <w:right w:val="single" w:color="auto" w:sz="4" w:space="0"/>
            </w:tcBorders>
            <w:vAlign w:val="center"/>
          </w:tcPr>
          <w:p w14:paraId="3CD02749">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1F1F59D4">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73B56F2E">
            <w:pPr>
              <w:snapToGrid w:val="0"/>
              <w:spacing w:before="120" w:beforeLines="50"/>
              <w:jc w:val="center"/>
              <w:rPr>
                <w:color w:val="auto"/>
                <w:szCs w:val="21"/>
                <w:highlight w:val="none"/>
              </w:rPr>
            </w:pPr>
          </w:p>
        </w:tc>
      </w:tr>
      <w:tr w14:paraId="5F2FE7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63F78722">
            <w:pPr>
              <w:snapToGrid w:val="0"/>
              <w:spacing w:before="120" w:beforeLines="50"/>
              <w:jc w:val="center"/>
              <w:rPr>
                <w:color w:val="auto"/>
                <w:szCs w:val="21"/>
                <w:highlight w:val="none"/>
              </w:rPr>
            </w:pPr>
          </w:p>
        </w:tc>
        <w:tc>
          <w:tcPr>
            <w:tcW w:w="3595" w:type="dxa"/>
            <w:tcBorders>
              <w:top w:val="single" w:color="auto" w:sz="4" w:space="0"/>
              <w:left w:val="single" w:color="auto" w:sz="4" w:space="0"/>
              <w:bottom w:val="single" w:color="auto" w:sz="4" w:space="0"/>
              <w:right w:val="single" w:color="auto" w:sz="4" w:space="0"/>
            </w:tcBorders>
            <w:vAlign w:val="center"/>
          </w:tcPr>
          <w:p w14:paraId="60B0ED6B">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241EA873">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3AD90FD6">
            <w:pPr>
              <w:snapToGrid w:val="0"/>
              <w:spacing w:before="120" w:beforeLines="50"/>
              <w:jc w:val="center"/>
              <w:rPr>
                <w:color w:val="auto"/>
                <w:szCs w:val="21"/>
                <w:highlight w:val="none"/>
              </w:rPr>
            </w:pPr>
          </w:p>
        </w:tc>
      </w:tr>
      <w:tr w14:paraId="7A2A27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00410E6E">
            <w:pPr>
              <w:snapToGrid w:val="0"/>
              <w:spacing w:before="120" w:beforeLines="50"/>
              <w:jc w:val="center"/>
              <w:rPr>
                <w:color w:val="auto"/>
                <w:szCs w:val="21"/>
                <w:highlight w:val="none"/>
              </w:rPr>
            </w:pPr>
            <w:r>
              <w:rPr>
                <w:color w:val="auto"/>
                <w:szCs w:val="21"/>
                <w:highlight w:val="none"/>
              </w:rPr>
              <w:t>……</w:t>
            </w:r>
          </w:p>
        </w:tc>
        <w:tc>
          <w:tcPr>
            <w:tcW w:w="3595" w:type="dxa"/>
            <w:tcBorders>
              <w:top w:val="single" w:color="auto" w:sz="4" w:space="0"/>
              <w:left w:val="single" w:color="auto" w:sz="4" w:space="0"/>
              <w:bottom w:val="single" w:color="auto" w:sz="4" w:space="0"/>
              <w:right w:val="single" w:color="auto" w:sz="4" w:space="0"/>
            </w:tcBorders>
            <w:vAlign w:val="center"/>
          </w:tcPr>
          <w:p w14:paraId="0E5FDF94">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78DC9B7E">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433B0BE6">
            <w:pPr>
              <w:snapToGrid w:val="0"/>
              <w:spacing w:before="120" w:beforeLines="50"/>
              <w:jc w:val="center"/>
              <w:rPr>
                <w:color w:val="auto"/>
                <w:szCs w:val="21"/>
                <w:highlight w:val="none"/>
              </w:rPr>
            </w:pPr>
          </w:p>
        </w:tc>
      </w:tr>
      <w:tr w14:paraId="5F9B73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52F8873B">
            <w:pPr>
              <w:snapToGrid w:val="0"/>
              <w:spacing w:before="120" w:beforeLines="50"/>
              <w:jc w:val="center"/>
              <w:rPr>
                <w:color w:val="auto"/>
                <w:szCs w:val="21"/>
                <w:highlight w:val="none"/>
              </w:rPr>
            </w:pPr>
            <w:r>
              <w:rPr>
                <w:color w:val="auto"/>
                <w:szCs w:val="21"/>
                <w:highlight w:val="none"/>
              </w:rPr>
              <w:t>……</w:t>
            </w:r>
          </w:p>
        </w:tc>
        <w:tc>
          <w:tcPr>
            <w:tcW w:w="3595" w:type="dxa"/>
            <w:tcBorders>
              <w:top w:val="single" w:color="auto" w:sz="4" w:space="0"/>
              <w:left w:val="single" w:color="auto" w:sz="4" w:space="0"/>
              <w:bottom w:val="single" w:color="auto" w:sz="4" w:space="0"/>
              <w:right w:val="single" w:color="auto" w:sz="4" w:space="0"/>
            </w:tcBorders>
            <w:vAlign w:val="center"/>
          </w:tcPr>
          <w:p w14:paraId="02E433E7">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4BD09950">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2D58DE1A">
            <w:pPr>
              <w:snapToGrid w:val="0"/>
              <w:spacing w:before="120" w:beforeLines="50"/>
              <w:jc w:val="center"/>
              <w:rPr>
                <w:color w:val="auto"/>
                <w:szCs w:val="21"/>
                <w:highlight w:val="none"/>
              </w:rPr>
            </w:pPr>
          </w:p>
        </w:tc>
      </w:tr>
    </w:tbl>
    <w:p w14:paraId="6E18503F">
      <w:pPr>
        <w:rPr>
          <w:color w:val="auto"/>
          <w:szCs w:val="21"/>
          <w:highlight w:val="none"/>
        </w:rPr>
      </w:pPr>
    </w:p>
    <w:p w14:paraId="7D569594">
      <w:pPr>
        <w:pStyle w:val="26"/>
        <w:tabs>
          <w:tab w:val="left" w:pos="2127"/>
        </w:tabs>
        <w:spacing w:line="340" w:lineRule="exact"/>
        <w:jc w:val="left"/>
        <w:rPr>
          <w:rFonts w:ascii="Times New Roman" w:hAnsi="Times New Roman" w:cs="Times New Roman"/>
          <w:color w:val="auto"/>
          <w:highlight w:val="none"/>
        </w:rPr>
      </w:pPr>
      <w:r>
        <w:rPr>
          <w:color w:val="auto"/>
          <w:highlight w:val="none"/>
        </w:rPr>
        <w:t>注：（1）</w:t>
      </w:r>
      <w:r>
        <w:rPr>
          <w:rFonts w:ascii="Times New Roman" w:hAnsi="Times New Roman" w:cs="Times New Roman"/>
          <w:color w:val="auto"/>
          <w:highlight w:val="none"/>
        </w:rPr>
        <w:t>本表应对采购文件</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w:t>
      </w:r>
      <w:r>
        <w:rPr>
          <w:rFonts w:ascii="Times New Roman" w:hAnsi="Times New Roman" w:cs="Times New Roman"/>
          <w:color w:val="auto"/>
          <w:highlight w:val="none"/>
        </w:rPr>
        <w:t>中所列</w:t>
      </w:r>
      <w:r>
        <w:rPr>
          <w:rFonts w:hint="eastAsia" w:ascii="Times New Roman" w:hAnsi="Times New Roman" w:cs="Times New Roman"/>
          <w:color w:val="auto"/>
          <w:highlight w:val="none"/>
        </w:rPr>
        <w:t>技术</w:t>
      </w:r>
      <w:r>
        <w:rPr>
          <w:rFonts w:ascii="Times New Roman" w:hAnsi="Times New Roman" w:cs="Times New Roman"/>
          <w:color w:val="auto"/>
          <w:highlight w:val="none"/>
        </w:rPr>
        <w:t>要求进行响应，并根据响应情况在“偏离说明”栏填写正偏离或负偏离及原因，完全符合的填写</w:t>
      </w:r>
      <w:r>
        <w:rPr>
          <w:rFonts w:hint="eastAsia" w:ascii="Times New Roman" w:hAnsi="Times New Roman" w:cs="Times New Roman"/>
          <w:color w:val="auto"/>
          <w:highlight w:val="none"/>
        </w:rPr>
        <w:t>“</w:t>
      </w:r>
      <w:r>
        <w:rPr>
          <w:rFonts w:ascii="Times New Roman" w:hAnsi="Times New Roman" w:cs="Times New Roman"/>
          <w:color w:val="auto"/>
          <w:highlight w:val="none"/>
        </w:rPr>
        <w:t>无偏离</w:t>
      </w:r>
      <w:r>
        <w:rPr>
          <w:rFonts w:hint="eastAsia" w:ascii="Times New Roman" w:hAnsi="Times New Roman" w:cs="Times New Roman"/>
          <w:color w:val="auto"/>
          <w:highlight w:val="none"/>
        </w:rPr>
        <w:t>”</w:t>
      </w:r>
      <w:r>
        <w:rPr>
          <w:rFonts w:ascii="Times New Roman" w:hAnsi="Times New Roman" w:cs="Times New Roman"/>
          <w:color w:val="auto"/>
          <w:highlight w:val="none"/>
        </w:rPr>
        <w:t>。</w:t>
      </w:r>
    </w:p>
    <w:p w14:paraId="015A8D90">
      <w:pPr>
        <w:rPr>
          <w:color w:val="auto"/>
          <w:highlight w:val="none"/>
        </w:rPr>
      </w:pPr>
      <w:r>
        <w:rPr>
          <w:rFonts w:hint="eastAsia"/>
          <w:color w:val="auto"/>
          <w:highlight w:val="none"/>
        </w:rPr>
        <w:t>（2）</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《采购需求》中的总体要求无需响应。</w:t>
      </w:r>
    </w:p>
    <w:p w14:paraId="0F5A350C">
      <w:pPr>
        <w:rPr>
          <w:color w:val="auto"/>
          <w:highlight w:val="none"/>
        </w:rPr>
      </w:pPr>
      <w:r>
        <w:rPr>
          <w:rFonts w:hint="eastAsia"/>
          <w:color w:val="auto"/>
          <w:highlight w:val="none"/>
        </w:rPr>
        <w:t>（</w:t>
      </w:r>
      <w:r>
        <w:rPr>
          <w:color w:val="auto"/>
          <w:highlight w:val="none"/>
        </w:rPr>
        <w:t>3</w:t>
      </w:r>
      <w:r>
        <w:rPr>
          <w:rFonts w:hint="eastAsia"/>
          <w:color w:val="auto"/>
          <w:highlight w:val="none"/>
        </w:rPr>
        <w:t>）偏离认定说明详见评审方法及标准。</w:t>
      </w:r>
    </w:p>
    <w:p w14:paraId="767FF291">
      <w:pPr>
        <w:rPr>
          <w:color w:val="auto"/>
          <w:highlight w:val="none"/>
        </w:rPr>
      </w:pPr>
      <w:r>
        <w:rPr>
          <w:color w:val="auto"/>
          <w:highlight w:val="none"/>
        </w:rPr>
        <w:t>（4）本表可扩展。</w:t>
      </w:r>
    </w:p>
    <w:p w14:paraId="39A3445F">
      <w:pPr>
        <w:rPr>
          <w:color w:val="auto"/>
          <w:szCs w:val="21"/>
          <w:highlight w:val="none"/>
        </w:rPr>
      </w:pPr>
    </w:p>
    <w:p w14:paraId="01146C8A">
      <w:pPr>
        <w:rPr>
          <w:color w:val="auto"/>
          <w:spacing w:val="20"/>
          <w:szCs w:val="21"/>
          <w:highlight w:val="none"/>
          <w:u w:val="single"/>
        </w:rPr>
      </w:pPr>
    </w:p>
    <w:p w14:paraId="73DD6EDB">
      <w:pPr>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pacing w:val="20"/>
          <w:szCs w:val="21"/>
          <w:highlight w:val="none"/>
        </w:rPr>
        <w:t>：</w:t>
      </w:r>
      <w:r>
        <w:rPr>
          <w:color w:val="auto"/>
          <w:spacing w:val="20"/>
          <w:szCs w:val="21"/>
          <w:highlight w:val="none"/>
          <w:u w:val="single"/>
        </w:rPr>
        <w:t xml:space="preserve">            </w:t>
      </w:r>
      <w:r>
        <w:rPr>
          <w:color w:val="auto"/>
          <w:spacing w:val="20"/>
          <w:szCs w:val="21"/>
          <w:highlight w:val="none"/>
        </w:rPr>
        <w:t xml:space="preserve">              日 期：</w:t>
      </w:r>
      <w:r>
        <w:rPr>
          <w:color w:val="auto"/>
          <w:spacing w:val="20"/>
          <w:szCs w:val="21"/>
          <w:highlight w:val="none"/>
          <w:u w:val="single"/>
        </w:rPr>
        <w:t xml:space="preserve">            </w:t>
      </w:r>
    </w:p>
    <w:p w14:paraId="13940592">
      <w:pPr>
        <w:rPr>
          <w:color w:val="auto"/>
          <w:spacing w:val="20"/>
          <w:szCs w:val="21"/>
          <w:highlight w:val="none"/>
          <w:u w:val="single"/>
        </w:rPr>
      </w:pPr>
    </w:p>
    <w:p w14:paraId="6CBEB0B8">
      <w:pPr>
        <w:rPr>
          <w:color w:val="auto"/>
          <w:spacing w:val="20"/>
          <w:szCs w:val="21"/>
          <w:highlight w:val="none"/>
          <w:u w:val="single"/>
        </w:rPr>
      </w:pPr>
    </w:p>
    <w:p w14:paraId="2CD1B795">
      <w:pPr>
        <w:rPr>
          <w:rFonts w:hint="eastAsia"/>
          <w:color w:val="auto"/>
          <w:szCs w:val="21"/>
          <w:highlight w:val="none"/>
        </w:rPr>
      </w:pPr>
    </w:p>
    <w:p w14:paraId="4E9F1F9C">
      <w:pPr>
        <w:snapToGrid w:val="0"/>
        <w:spacing w:before="50" w:after="120" w:afterLines="50"/>
        <w:jc w:val="left"/>
        <w:rPr>
          <w:rFonts w:hint="eastAsia"/>
          <w:color w:val="auto"/>
          <w:szCs w:val="21"/>
          <w:highlight w:val="none"/>
        </w:rPr>
      </w:pPr>
    </w:p>
    <w:p w14:paraId="237A6E8D">
      <w:pPr>
        <w:snapToGrid w:val="0"/>
        <w:spacing w:before="50" w:after="120" w:afterLines="50"/>
        <w:jc w:val="left"/>
        <w:rPr>
          <w:rFonts w:hint="eastAsia" w:eastAsia="宋体"/>
          <w:color w:val="auto"/>
          <w:szCs w:val="21"/>
          <w:highlight w:val="none"/>
          <w:lang w:eastAsia="zh-CN"/>
        </w:rPr>
      </w:pPr>
      <w:r>
        <w:rPr>
          <w:color w:val="auto"/>
          <w:szCs w:val="21"/>
          <w:highlight w:val="none"/>
        </w:rPr>
        <w:t>2．</w:t>
      </w:r>
      <w:r>
        <w:rPr>
          <w:rFonts w:hint="eastAsia"/>
          <w:color w:val="auto"/>
          <w:szCs w:val="21"/>
          <w:highlight w:val="none"/>
        </w:rPr>
        <w:t>项目宣传策划方案</w:t>
      </w:r>
      <w:r>
        <w:rPr>
          <w:rFonts w:hint="eastAsia"/>
          <w:color w:val="auto"/>
          <w:szCs w:val="21"/>
          <w:highlight w:val="none"/>
          <w:lang w:eastAsia="zh-CN"/>
        </w:rPr>
        <w:t>、项目实施方案、服务质量承诺（</w:t>
      </w:r>
      <w:r>
        <w:rPr>
          <w:rFonts w:hint="eastAsia"/>
          <w:color w:val="auto"/>
          <w:szCs w:val="21"/>
          <w:highlight w:val="none"/>
          <w:lang w:val="en-US" w:eastAsia="zh-CN"/>
        </w:rPr>
        <w:t>如有请提供</w:t>
      </w:r>
      <w:r>
        <w:rPr>
          <w:rFonts w:hint="eastAsia"/>
          <w:color w:val="auto"/>
          <w:szCs w:val="21"/>
          <w:highlight w:val="none"/>
          <w:lang w:eastAsia="zh-CN"/>
        </w:rPr>
        <w:t>）</w:t>
      </w:r>
    </w:p>
    <w:p w14:paraId="151E90FD">
      <w:pPr>
        <w:snapToGrid w:val="0"/>
        <w:spacing w:before="50" w:after="120" w:afterLines="50"/>
        <w:jc w:val="left"/>
        <w:rPr>
          <w:rFonts w:hint="eastAsia"/>
          <w:color w:val="auto"/>
          <w:szCs w:val="21"/>
          <w:highlight w:val="none"/>
        </w:rPr>
      </w:pPr>
    </w:p>
    <w:p w14:paraId="60DBF2EA">
      <w:pPr>
        <w:snapToGrid w:val="0"/>
        <w:spacing w:before="50" w:after="120" w:afterLines="50"/>
        <w:jc w:val="left"/>
        <w:rPr>
          <w:rFonts w:hint="eastAsia" w:eastAsia="宋体"/>
          <w:color w:val="auto"/>
          <w:szCs w:val="21"/>
          <w:highlight w:val="none"/>
          <w:lang w:eastAsia="zh-CN"/>
        </w:rPr>
      </w:pPr>
      <w:r>
        <w:rPr>
          <w:color w:val="auto"/>
          <w:szCs w:val="21"/>
          <w:highlight w:val="none"/>
        </w:rPr>
        <w:t>3．</w:t>
      </w:r>
      <w:r>
        <w:rPr>
          <w:rFonts w:hint="eastAsia"/>
          <w:color w:val="auto"/>
          <w:szCs w:val="21"/>
          <w:highlight w:val="none"/>
        </w:rPr>
        <w:t>内容安全方案技术设计（服务）方案</w:t>
      </w:r>
      <w:r>
        <w:rPr>
          <w:rFonts w:hint="eastAsia"/>
          <w:color w:val="auto"/>
          <w:szCs w:val="21"/>
          <w:highlight w:val="none"/>
          <w:lang w:eastAsia="zh-CN"/>
        </w:rPr>
        <w:t>、网站提质增效实施方案、售后服务方案（</w:t>
      </w:r>
      <w:r>
        <w:rPr>
          <w:rFonts w:hint="eastAsia"/>
          <w:color w:val="auto"/>
          <w:szCs w:val="21"/>
          <w:highlight w:val="none"/>
          <w:lang w:val="en-US" w:eastAsia="zh-CN"/>
        </w:rPr>
        <w:t>如有请提供</w:t>
      </w:r>
      <w:r>
        <w:rPr>
          <w:rFonts w:hint="eastAsia"/>
          <w:color w:val="auto"/>
          <w:szCs w:val="21"/>
          <w:highlight w:val="none"/>
          <w:lang w:eastAsia="zh-CN"/>
        </w:rPr>
        <w:t>）</w:t>
      </w:r>
    </w:p>
    <w:p w14:paraId="6379904C">
      <w:pPr>
        <w:snapToGrid w:val="0"/>
        <w:spacing w:before="50" w:after="120" w:afterLines="50"/>
        <w:jc w:val="left"/>
        <w:rPr>
          <w:color w:val="auto"/>
          <w:szCs w:val="21"/>
          <w:highlight w:val="none"/>
        </w:rPr>
      </w:pPr>
    </w:p>
    <w:p w14:paraId="56F96342">
      <w:pPr>
        <w:snapToGrid w:val="0"/>
        <w:spacing w:before="50" w:after="120" w:afterLines="50"/>
        <w:jc w:val="left"/>
        <w:rPr>
          <w:color w:val="auto"/>
          <w:szCs w:val="21"/>
          <w:highlight w:val="none"/>
        </w:rPr>
      </w:pPr>
      <w:r>
        <w:rPr>
          <w:color w:val="auto"/>
          <w:szCs w:val="21"/>
          <w:highlight w:val="none"/>
        </w:rPr>
        <w:t>4．项目拟投入服务团队人员结构表（包括但不限于学历、证书情况、职称、年龄等）</w:t>
      </w:r>
    </w:p>
    <w:p w14:paraId="44D109CE">
      <w:pPr>
        <w:snapToGrid w:val="0"/>
        <w:spacing w:before="120" w:beforeLines="50" w:after="50" w:line="400" w:lineRule="exact"/>
        <w:jc w:val="center"/>
        <w:rPr>
          <w:color w:val="auto"/>
          <w:szCs w:val="21"/>
          <w:highlight w:val="none"/>
        </w:rPr>
      </w:pPr>
      <w:r>
        <w:rPr>
          <w:color w:val="auto"/>
          <w:szCs w:val="21"/>
          <w:highlight w:val="none"/>
        </w:rPr>
        <w:t>项目拟投入服务团队人员（含项目负责人）一览表</w:t>
      </w:r>
    </w:p>
    <w:tbl>
      <w:tblPr>
        <w:tblStyle w:val="51"/>
        <w:tblW w:w="914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1"/>
        <w:gridCol w:w="1260"/>
        <w:gridCol w:w="1440"/>
        <w:gridCol w:w="1516"/>
        <w:gridCol w:w="1620"/>
        <w:gridCol w:w="1980"/>
      </w:tblGrid>
      <w:tr w14:paraId="23B715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vAlign w:val="center"/>
          </w:tcPr>
          <w:p w14:paraId="46F5544C">
            <w:pPr>
              <w:snapToGrid w:val="0"/>
              <w:spacing w:before="120" w:beforeLines="50" w:after="50"/>
              <w:jc w:val="center"/>
              <w:rPr>
                <w:color w:val="auto"/>
                <w:szCs w:val="21"/>
                <w:highlight w:val="none"/>
              </w:rPr>
            </w:pPr>
            <w:r>
              <w:rPr>
                <w:color w:val="auto"/>
                <w:szCs w:val="21"/>
                <w:highlight w:val="none"/>
              </w:rPr>
              <w:t>姓名</w:t>
            </w:r>
          </w:p>
        </w:tc>
        <w:tc>
          <w:tcPr>
            <w:tcW w:w="1260" w:type="dxa"/>
            <w:tcBorders>
              <w:top w:val="single" w:color="auto" w:sz="4" w:space="0"/>
              <w:left w:val="single" w:color="auto" w:sz="4" w:space="0"/>
              <w:bottom w:val="single" w:color="auto" w:sz="4" w:space="0"/>
              <w:right w:val="single" w:color="auto" w:sz="4" w:space="0"/>
            </w:tcBorders>
            <w:vAlign w:val="center"/>
          </w:tcPr>
          <w:p w14:paraId="60A28A53">
            <w:pPr>
              <w:snapToGrid w:val="0"/>
              <w:spacing w:before="120" w:beforeLines="50" w:after="50"/>
              <w:jc w:val="center"/>
              <w:rPr>
                <w:color w:val="auto"/>
                <w:szCs w:val="21"/>
                <w:highlight w:val="none"/>
              </w:rPr>
            </w:pPr>
            <w:r>
              <w:rPr>
                <w:color w:val="auto"/>
                <w:szCs w:val="21"/>
                <w:highlight w:val="none"/>
              </w:rPr>
              <w:t>职务</w:t>
            </w:r>
          </w:p>
        </w:tc>
        <w:tc>
          <w:tcPr>
            <w:tcW w:w="1440" w:type="dxa"/>
            <w:tcBorders>
              <w:top w:val="single" w:color="auto" w:sz="4" w:space="0"/>
              <w:left w:val="single" w:color="auto" w:sz="4" w:space="0"/>
              <w:bottom w:val="single" w:color="auto" w:sz="4" w:space="0"/>
              <w:right w:val="single" w:color="auto" w:sz="4" w:space="0"/>
            </w:tcBorders>
            <w:vAlign w:val="center"/>
          </w:tcPr>
          <w:p w14:paraId="35501434">
            <w:pPr>
              <w:snapToGrid w:val="0"/>
              <w:spacing w:before="120" w:beforeLines="50" w:after="50"/>
              <w:jc w:val="center"/>
              <w:rPr>
                <w:color w:val="auto"/>
                <w:szCs w:val="21"/>
                <w:highlight w:val="none"/>
              </w:rPr>
            </w:pPr>
            <w:r>
              <w:rPr>
                <w:color w:val="auto"/>
                <w:szCs w:val="21"/>
                <w:highlight w:val="none"/>
              </w:rPr>
              <w:t>分配岗位</w:t>
            </w:r>
          </w:p>
        </w:tc>
        <w:tc>
          <w:tcPr>
            <w:tcW w:w="1516" w:type="dxa"/>
            <w:tcBorders>
              <w:top w:val="single" w:color="auto" w:sz="4" w:space="0"/>
              <w:left w:val="single" w:color="auto" w:sz="4" w:space="0"/>
              <w:bottom w:val="single" w:color="auto" w:sz="4" w:space="0"/>
              <w:right w:val="single" w:color="auto" w:sz="4" w:space="0"/>
            </w:tcBorders>
            <w:vAlign w:val="center"/>
          </w:tcPr>
          <w:p w14:paraId="4A2E2860">
            <w:pPr>
              <w:snapToGrid w:val="0"/>
              <w:spacing w:before="120" w:beforeLines="50" w:after="50"/>
              <w:jc w:val="center"/>
              <w:rPr>
                <w:color w:val="auto"/>
                <w:szCs w:val="21"/>
                <w:highlight w:val="none"/>
              </w:rPr>
            </w:pPr>
            <w:r>
              <w:rPr>
                <w:color w:val="auto"/>
                <w:szCs w:val="21"/>
                <w:highlight w:val="none"/>
              </w:rPr>
              <w:t>持证情况</w:t>
            </w:r>
          </w:p>
        </w:tc>
        <w:tc>
          <w:tcPr>
            <w:tcW w:w="1620" w:type="dxa"/>
            <w:tcBorders>
              <w:top w:val="single" w:color="auto" w:sz="4" w:space="0"/>
              <w:left w:val="single" w:color="auto" w:sz="4" w:space="0"/>
              <w:bottom w:val="single" w:color="auto" w:sz="4" w:space="0"/>
              <w:right w:val="single" w:color="auto" w:sz="4" w:space="0"/>
            </w:tcBorders>
            <w:vAlign w:val="center"/>
          </w:tcPr>
          <w:p w14:paraId="544BA78E">
            <w:pPr>
              <w:snapToGrid w:val="0"/>
              <w:spacing w:before="120" w:beforeLines="50" w:after="50"/>
              <w:jc w:val="center"/>
              <w:rPr>
                <w:color w:val="auto"/>
                <w:szCs w:val="21"/>
                <w:highlight w:val="none"/>
              </w:rPr>
            </w:pPr>
            <w:r>
              <w:rPr>
                <w:color w:val="auto"/>
                <w:szCs w:val="21"/>
                <w:highlight w:val="none"/>
              </w:rPr>
              <w:t>年龄</w:t>
            </w:r>
          </w:p>
        </w:tc>
        <w:tc>
          <w:tcPr>
            <w:tcW w:w="1980" w:type="dxa"/>
            <w:tcBorders>
              <w:top w:val="single" w:color="auto" w:sz="4" w:space="0"/>
              <w:left w:val="single" w:color="auto" w:sz="4" w:space="0"/>
              <w:bottom w:val="single" w:color="auto" w:sz="4" w:space="0"/>
              <w:right w:val="single" w:color="auto" w:sz="4" w:space="0"/>
            </w:tcBorders>
            <w:vAlign w:val="center"/>
          </w:tcPr>
          <w:p w14:paraId="594F7D92">
            <w:pPr>
              <w:snapToGrid w:val="0"/>
              <w:spacing w:before="120" w:beforeLines="50" w:after="50"/>
              <w:jc w:val="center"/>
              <w:rPr>
                <w:bCs/>
                <w:color w:val="auto"/>
                <w:szCs w:val="21"/>
                <w:highlight w:val="none"/>
              </w:rPr>
            </w:pPr>
            <w:r>
              <w:rPr>
                <w:bCs/>
                <w:color w:val="auto"/>
                <w:szCs w:val="21"/>
                <w:highlight w:val="none"/>
              </w:rPr>
              <w:t>劳动合同编号</w:t>
            </w:r>
          </w:p>
        </w:tc>
      </w:tr>
      <w:tr w14:paraId="4FC3C8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vAlign w:val="top"/>
          </w:tcPr>
          <w:p w14:paraId="645E4D43">
            <w:pPr>
              <w:snapToGrid w:val="0"/>
              <w:spacing w:before="120" w:beforeLines="50" w:after="50"/>
              <w:rPr>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top"/>
          </w:tcPr>
          <w:p w14:paraId="3AF1B4C5">
            <w:pPr>
              <w:snapToGrid w:val="0"/>
              <w:spacing w:before="120" w:beforeLines="50" w:after="50"/>
              <w:rPr>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vAlign w:val="top"/>
          </w:tcPr>
          <w:p w14:paraId="178137A3">
            <w:pPr>
              <w:snapToGrid w:val="0"/>
              <w:spacing w:before="120" w:beforeLines="50" w:after="50"/>
              <w:rPr>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vAlign w:val="top"/>
          </w:tcPr>
          <w:p w14:paraId="1C67C145">
            <w:pPr>
              <w:snapToGrid w:val="0"/>
              <w:spacing w:before="120" w:beforeLines="50" w:after="50"/>
              <w:rPr>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top"/>
          </w:tcPr>
          <w:p w14:paraId="3CA3765B">
            <w:pPr>
              <w:snapToGrid w:val="0"/>
              <w:spacing w:before="120" w:beforeLines="50" w:after="50"/>
              <w:rPr>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vAlign w:val="top"/>
          </w:tcPr>
          <w:p w14:paraId="384CDDDB">
            <w:pPr>
              <w:snapToGrid w:val="0"/>
              <w:spacing w:before="120" w:beforeLines="50" w:after="50"/>
              <w:rPr>
                <w:color w:val="auto"/>
                <w:szCs w:val="21"/>
                <w:highlight w:val="none"/>
              </w:rPr>
            </w:pPr>
          </w:p>
        </w:tc>
      </w:tr>
      <w:tr w14:paraId="263800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vAlign w:val="top"/>
          </w:tcPr>
          <w:p w14:paraId="79830EB8">
            <w:pPr>
              <w:snapToGrid w:val="0"/>
              <w:spacing w:before="120" w:beforeLines="50" w:after="50"/>
              <w:rPr>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top"/>
          </w:tcPr>
          <w:p w14:paraId="0AF48B64">
            <w:pPr>
              <w:snapToGrid w:val="0"/>
              <w:spacing w:before="120" w:beforeLines="50" w:after="50"/>
              <w:rPr>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vAlign w:val="top"/>
          </w:tcPr>
          <w:p w14:paraId="3EF9C554">
            <w:pPr>
              <w:snapToGrid w:val="0"/>
              <w:spacing w:before="120" w:beforeLines="50" w:after="50"/>
              <w:rPr>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vAlign w:val="top"/>
          </w:tcPr>
          <w:p w14:paraId="399CCA10">
            <w:pPr>
              <w:snapToGrid w:val="0"/>
              <w:spacing w:before="120" w:beforeLines="50" w:after="50"/>
              <w:rPr>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top"/>
          </w:tcPr>
          <w:p w14:paraId="05B6D42A">
            <w:pPr>
              <w:snapToGrid w:val="0"/>
              <w:spacing w:before="120" w:beforeLines="50" w:after="50"/>
              <w:rPr>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vAlign w:val="top"/>
          </w:tcPr>
          <w:p w14:paraId="717DAD5E">
            <w:pPr>
              <w:snapToGrid w:val="0"/>
              <w:spacing w:before="120" w:beforeLines="50" w:after="50"/>
              <w:rPr>
                <w:color w:val="auto"/>
                <w:szCs w:val="21"/>
                <w:highlight w:val="none"/>
              </w:rPr>
            </w:pPr>
          </w:p>
        </w:tc>
      </w:tr>
    </w:tbl>
    <w:p w14:paraId="49CF349D">
      <w:pPr>
        <w:snapToGrid w:val="0"/>
        <w:spacing w:before="50" w:after="120" w:afterLines="50" w:line="440" w:lineRule="exact"/>
        <w:jc w:val="left"/>
        <w:rPr>
          <w:color w:val="auto"/>
          <w:szCs w:val="21"/>
          <w:highlight w:val="none"/>
        </w:rPr>
      </w:pPr>
      <w:r>
        <w:rPr>
          <w:color w:val="auto"/>
          <w:szCs w:val="21"/>
          <w:highlight w:val="none"/>
        </w:rPr>
        <w:t>注：在填写时，如本表格不适合供应商的实际情况，可根据本表格式自行划表填写。</w:t>
      </w:r>
    </w:p>
    <w:p w14:paraId="6D1F0555">
      <w:pPr>
        <w:snapToGrid w:val="0"/>
        <w:spacing w:before="50" w:after="50" w:line="440" w:lineRule="exact"/>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pacing w:val="20"/>
          <w:szCs w:val="21"/>
          <w:highlight w:val="none"/>
        </w:rPr>
        <w:t>：</w:t>
      </w:r>
      <w:r>
        <w:rPr>
          <w:color w:val="auto"/>
          <w:spacing w:val="20"/>
          <w:szCs w:val="21"/>
          <w:highlight w:val="none"/>
          <w:u w:val="single"/>
        </w:rPr>
        <w:t xml:space="preserve">            </w:t>
      </w:r>
      <w:r>
        <w:rPr>
          <w:color w:val="auto"/>
          <w:spacing w:val="20"/>
          <w:szCs w:val="21"/>
          <w:highlight w:val="none"/>
        </w:rPr>
        <w:t xml:space="preserve">              日  期：</w:t>
      </w:r>
      <w:r>
        <w:rPr>
          <w:color w:val="auto"/>
          <w:spacing w:val="20"/>
          <w:szCs w:val="21"/>
          <w:highlight w:val="none"/>
          <w:u w:val="single"/>
        </w:rPr>
        <w:t xml:space="preserve">          </w:t>
      </w:r>
    </w:p>
    <w:p w14:paraId="2010A9DE">
      <w:pPr>
        <w:rPr>
          <w:rFonts w:hint="eastAsia"/>
          <w:color w:val="auto"/>
          <w:spacing w:val="20"/>
          <w:szCs w:val="21"/>
          <w:highlight w:val="none"/>
          <w:u w:val="single"/>
        </w:rPr>
      </w:pPr>
    </w:p>
    <w:p w14:paraId="50DE9967">
      <w:pPr>
        <w:rPr>
          <w:rFonts w:hint="eastAsia"/>
          <w:color w:val="auto"/>
          <w:szCs w:val="21"/>
          <w:highlight w:val="none"/>
        </w:rPr>
      </w:pPr>
    </w:p>
    <w:p w14:paraId="7726AB9A">
      <w:pPr>
        <w:rPr>
          <w:rFonts w:hint="eastAsia"/>
          <w:color w:val="auto"/>
          <w:szCs w:val="21"/>
          <w:highlight w:val="none"/>
        </w:rPr>
      </w:pPr>
    </w:p>
    <w:p w14:paraId="5D14F5D7">
      <w:pPr>
        <w:snapToGrid w:val="0"/>
        <w:spacing w:before="50" w:after="120" w:afterLines="50"/>
        <w:jc w:val="left"/>
        <w:rPr>
          <w:color w:val="auto"/>
          <w:szCs w:val="21"/>
          <w:highlight w:val="none"/>
        </w:rPr>
      </w:pPr>
      <w:r>
        <w:rPr>
          <w:color w:val="auto"/>
          <w:szCs w:val="21"/>
          <w:highlight w:val="none"/>
        </w:rPr>
        <w:t>5．企业管理体系认证或资质证明材料。</w:t>
      </w:r>
    </w:p>
    <w:p w14:paraId="015D1BB4">
      <w:pPr>
        <w:snapToGrid w:val="0"/>
        <w:spacing w:before="50" w:after="120" w:afterLines="50"/>
        <w:jc w:val="left"/>
        <w:rPr>
          <w:rFonts w:hint="eastAsia"/>
          <w:color w:val="auto"/>
          <w:szCs w:val="21"/>
          <w:highlight w:val="none"/>
        </w:rPr>
      </w:pPr>
    </w:p>
    <w:p w14:paraId="43E2C69D">
      <w:pPr>
        <w:snapToGrid w:val="0"/>
        <w:spacing w:before="50" w:after="120" w:afterLines="50"/>
        <w:jc w:val="left"/>
        <w:rPr>
          <w:color w:val="auto"/>
          <w:szCs w:val="21"/>
          <w:highlight w:val="none"/>
        </w:rPr>
      </w:pPr>
      <w:r>
        <w:rPr>
          <w:color w:val="auto"/>
          <w:szCs w:val="21"/>
          <w:highlight w:val="none"/>
        </w:rPr>
        <w:t>6．技术服务、技术培训、售后服务的内容和措施。</w:t>
      </w:r>
    </w:p>
    <w:p w14:paraId="497574EF">
      <w:pPr>
        <w:snapToGrid w:val="0"/>
        <w:spacing w:before="50" w:after="120" w:afterLines="50"/>
        <w:jc w:val="left"/>
        <w:rPr>
          <w:rFonts w:hint="eastAsia"/>
          <w:color w:val="auto"/>
          <w:szCs w:val="21"/>
          <w:highlight w:val="none"/>
        </w:rPr>
      </w:pPr>
    </w:p>
    <w:p w14:paraId="304B7F06">
      <w:pPr>
        <w:snapToGrid w:val="0"/>
        <w:spacing w:before="50" w:after="120" w:afterLines="50"/>
        <w:jc w:val="left"/>
        <w:rPr>
          <w:color w:val="auto"/>
          <w:szCs w:val="21"/>
          <w:highlight w:val="none"/>
        </w:rPr>
      </w:pPr>
      <w:r>
        <w:rPr>
          <w:color w:val="auto"/>
          <w:szCs w:val="21"/>
          <w:highlight w:val="none"/>
        </w:rPr>
        <w:t>7．为本项目提供的其他优惠服务。</w:t>
      </w:r>
    </w:p>
    <w:p w14:paraId="55D29690">
      <w:pPr>
        <w:snapToGrid w:val="0"/>
        <w:spacing w:before="50" w:after="120" w:afterLines="50"/>
        <w:jc w:val="left"/>
        <w:rPr>
          <w:rFonts w:hint="eastAsia"/>
          <w:color w:val="auto"/>
          <w:szCs w:val="21"/>
          <w:highlight w:val="none"/>
        </w:rPr>
      </w:pPr>
    </w:p>
    <w:p w14:paraId="763C47F1">
      <w:pPr>
        <w:snapToGrid w:val="0"/>
        <w:spacing w:before="50" w:after="120" w:afterLines="50"/>
        <w:jc w:val="left"/>
        <w:rPr>
          <w:color w:val="auto"/>
          <w:szCs w:val="21"/>
          <w:highlight w:val="none"/>
        </w:rPr>
      </w:pPr>
      <w:r>
        <w:rPr>
          <w:color w:val="auto"/>
          <w:szCs w:val="21"/>
          <w:highlight w:val="none"/>
        </w:rPr>
        <w:t>8. 供应商对本项目的合理化建议和改进措施。</w:t>
      </w:r>
    </w:p>
    <w:p w14:paraId="54FE8F2A">
      <w:pPr>
        <w:snapToGrid w:val="0"/>
        <w:spacing w:before="50" w:after="120" w:afterLines="50"/>
        <w:jc w:val="left"/>
        <w:rPr>
          <w:rFonts w:hint="eastAsia"/>
          <w:color w:val="auto"/>
          <w:szCs w:val="21"/>
          <w:highlight w:val="none"/>
        </w:rPr>
      </w:pPr>
    </w:p>
    <w:p w14:paraId="456FE487">
      <w:pPr>
        <w:rPr>
          <w:color w:val="auto"/>
          <w:szCs w:val="21"/>
          <w:highlight w:val="none"/>
        </w:rPr>
      </w:pPr>
      <w:r>
        <w:rPr>
          <w:color w:val="auto"/>
          <w:szCs w:val="21"/>
          <w:highlight w:val="none"/>
        </w:rPr>
        <w:t>9．供应商需要说明的其他文件和说明。</w:t>
      </w:r>
    </w:p>
    <w:p w14:paraId="234D5AC0">
      <w:pPr>
        <w:snapToGrid w:val="0"/>
        <w:spacing w:before="50" w:after="120" w:afterLines="50" w:line="440" w:lineRule="exact"/>
        <w:rPr>
          <w:color w:val="auto"/>
          <w:highlight w:val="none"/>
        </w:rPr>
      </w:pPr>
      <w:r>
        <w:rPr>
          <w:color w:val="auto"/>
          <w:highlight w:val="none"/>
        </w:rPr>
        <w:br w:type="page"/>
      </w:r>
      <w:r>
        <w:rPr>
          <w:color w:val="auto"/>
          <w:szCs w:val="21"/>
          <w:highlight w:val="none"/>
        </w:rPr>
        <w:t>10．</w:t>
      </w:r>
      <w:r>
        <w:rPr>
          <w:rFonts w:hint="eastAsia"/>
          <w:color w:val="auto"/>
          <w:szCs w:val="21"/>
          <w:highlight w:val="none"/>
        </w:rPr>
        <w:t>对</w:t>
      </w:r>
      <w:r>
        <w:rPr>
          <w:color w:val="auto"/>
          <w:szCs w:val="21"/>
          <w:highlight w:val="none"/>
        </w:rPr>
        <w:t>本项目第</w:t>
      </w:r>
      <w:r>
        <w:rPr>
          <w:rFonts w:hint="eastAsia"/>
          <w:color w:val="auto"/>
          <w:szCs w:val="21"/>
          <w:highlight w:val="none"/>
        </w:rPr>
        <w:t>二</w:t>
      </w:r>
      <w:r>
        <w:rPr>
          <w:color w:val="auto"/>
          <w:szCs w:val="21"/>
          <w:highlight w:val="none"/>
        </w:rPr>
        <w:t>章</w:t>
      </w:r>
      <w:r>
        <w:rPr>
          <w:rFonts w:hint="eastAsia"/>
          <w:color w:val="auto"/>
          <w:szCs w:val="21"/>
          <w:highlight w:val="none"/>
        </w:rPr>
        <w:t>《</w:t>
      </w:r>
      <w:r>
        <w:rPr>
          <w:color w:val="auto"/>
          <w:szCs w:val="21"/>
          <w:highlight w:val="none"/>
        </w:rPr>
        <w:t>采购需求</w:t>
      </w:r>
      <w:r>
        <w:rPr>
          <w:rFonts w:hint="eastAsia"/>
          <w:color w:val="auto"/>
          <w:szCs w:val="21"/>
          <w:highlight w:val="none"/>
        </w:rPr>
        <w:t>》</w:t>
      </w:r>
      <w:r>
        <w:rPr>
          <w:color w:val="auto"/>
          <w:szCs w:val="21"/>
          <w:highlight w:val="none"/>
        </w:rPr>
        <w:t>商务要求的</w:t>
      </w:r>
      <w:r>
        <w:rPr>
          <w:rFonts w:hint="eastAsia"/>
          <w:color w:val="auto"/>
          <w:szCs w:val="21"/>
          <w:highlight w:val="none"/>
        </w:rPr>
        <w:t>响应表</w:t>
      </w:r>
      <w:r>
        <w:rPr>
          <w:color w:val="auto"/>
          <w:szCs w:val="21"/>
          <w:highlight w:val="none"/>
        </w:rPr>
        <w:t>：</w:t>
      </w:r>
    </w:p>
    <w:tbl>
      <w:tblPr>
        <w:tblStyle w:val="51"/>
        <w:tblW w:w="8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06EF41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7BD58CE5">
            <w:pPr>
              <w:snapToGrid w:val="0"/>
              <w:spacing w:before="120" w:beforeLines="50"/>
              <w:jc w:val="center"/>
              <w:rPr>
                <w:color w:val="auto"/>
                <w:szCs w:val="21"/>
                <w:highlight w:val="none"/>
              </w:rPr>
            </w:pPr>
            <w:r>
              <w:rPr>
                <w:color w:val="auto"/>
                <w:szCs w:val="21"/>
                <w:highlight w:val="none"/>
              </w:rPr>
              <w:t>序号</w:t>
            </w:r>
          </w:p>
        </w:tc>
        <w:tc>
          <w:tcPr>
            <w:tcW w:w="3595" w:type="dxa"/>
            <w:tcBorders>
              <w:top w:val="single" w:color="auto" w:sz="4" w:space="0"/>
              <w:left w:val="single" w:color="auto" w:sz="4" w:space="0"/>
              <w:bottom w:val="single" w:color="auto" w:sz="4" w:space="0"/>
              <w:right w:val="single" w:color="auto" w:sz="4" w:space="0"/>
            </w:tcBorders>
            <w:vAlign w:val="center"/>
          </w:tcPr>
          <w:p w14:paraId="64122180">
            <w:pPr>
              <w:snapToGrid w:val="0"/>
              <w:spacing w:before="120" w:beforeLines="50"/>
              <w:jc w:val="center"/>
              <w:rPr>
                <w:color w:val="auto"/>
                <w:szCs w:val="21"/>
                <w:highlight w:val="none"/>
              </w:rPr>
            </w:pPr>
            <w:r>
              <w:rPr>
                <w:color w:val="auto"/>
                <w:szCs w:val="21"/>
                <w:highlight w:val="none"/>
              </w:rPr>
              <w:t>采购文件要求（注明章节及条款号）</w:t>
            </w:r>
          </w:p>
        </w:tc>
        <w:tc>
          <w:tcPr>
            <w:tcW w:w="3405" w:type="dxa"/>
            <w:tcBorders>
              <w:top w:val="single" w:color="auto" w:sz="4" w:space="0"/>
              <w:left w:val="single" w:color="auto" w:sz="4" w:space="0"/>
              <w:bottom w:val="single" w:color="auto" w:sz="4" w:space="0"/>
              <w:right w:val="single" w:color="auto" w:sz="4" w:space="0"/>
            </w:tcBorders>
            <w:vAlign w:val="center"/>
          </w:tcPr>
          <w:p w14:paraId="45BC39D8">
            <w:pPr>
              <w:snapToGrid w:val="0"/>
              <w:spacing w:before="120" w:beforeLines="50"/>
              <w:jc w:val="center"/>
              <w:rPr>
                <w:color w:val="auto"/>
                <w:szCs w:val="21"/>
                <w:highlight w:val="none"/>
              </w:rPr>
            </w:pPr>
            <w:r>
              <w:rPr>
                <w:color w:val="auto"/>
                <w:szCs w:val="21"/>
                <w:highlight w:val="none"/>
              </w:rPr>
              <w:t>响应文件响应内容（</w:t>
            </w:r>
            <w:r>
              <w:rPr>
                <w:rFonts w:hint="eastAsia"/>
                <w:color w:val="auto"/>
                <w:szCs w:val="21"/>
                <w:highlight w:val="none"/>
              </w:rPr>
              <w:t>可</w:t>
            </w:r>
            <w:r>
              <w:rPr>
                <w:color w:val="auto"/>
                <w:szCs w:val="21"/>
                <w:highlight w:val="none"/>
              </w:rPr>
              <w:t>注明所在页码）</w:t>
            </w:r>
          </w:p>
        </w:tc>
        <w:tc>
          <w:tcPr>
            <w:tcW w:w="1082" w:type="dxa"/>
            <w:tcBorders>
              <w:top w:val="single" w:color="auto" w:sz="4" w:space="0"/>
              <w:left w:val="single" w:color="auto" w:sz="4" w:space="0"/>
              <w:bottom w:val="single" w:color="auto" w:sz="4" w:space="0"/>
              <w:right w:val="single" w:color="auto" w:sz="4" w:space="0"/>
            </w:tcBorders>
            <w:vAlign w:val="center"/>
          </w:tcPr>
          <w:p w14:paraId="2C0D7B8A">
            <w:pPr>
              <w:snapToGrid w:val="0"/>
              <w:spacing w:before="120" w:beforeLines="50"/>
              <w:jc w:val="center"/>
              <w:rPr>
                <w:color w:val="auto"/>
                <w:szCs w:val="21"/>
                <w:highlight w:val="none"/>
              </w:rPr>
            </w:pPr>
            <w:r>
              <w:rPr>
                <w:color w:val="auto"/>
                <w:highlight w:val="none"/>
              </w:rPr>
              <w:t>偏离</w:t>
            </w:r>
            <w:r>
              <w:rPr>
                <w:color w:val="auto"/>
                <w:szCs w:val="21"/>
                <w:highlight w:val="none"/>
              </w:rPr>
              <w:t>说明</w:t>
            </w:r>
          </w:p>
        </w:tc>
      </w:tr>
      <w:tr w14:paraId="0FED4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08221A54">
            <w:pPr>
              <w:snapToGrid w:val="0"/>
              <w:spacing w:before="120" w:beforeLines="50"/>
              <w:jc w:val="center"/>
              <w:rPr>
                <w:color w:val="auto"/>
                <w:szCs w:val="21"/>
                <w:highlight w:val="none"/>
              </w:rPr>
            </w:pPr>
          </w:p>
        </w:tc>
        <w:tc>
          <w:tcPr>
            <w:tcW w:w="3595" w:type="dxa"/>
            <w:tcBorders>
              <w:top w:val="single" w:color="auto" w:sz="4" w:space="0"/>
              <w:left w:val="single" w:color="auto" w:sz="4" w:space="0"/>
              <w:bottom w:val="single" w:color="auto" w:sz="4" w:space="0"/>
              <w:right w:val="single" w:color="auto" w:sz="4" w:space="0"/>
            </w:tcBorders>
            <w:vAlign w:val="center"/>
          </w:tcPr>
          <w:p w14:paraId="40DA98F9">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50A5D935">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08491516">
            <w:pPr>
              <w:snapToGrid w:val="0"/>
              <w:spacing w:before="120" w:beforeLines="50"/>
              <w:jc w:val="center"/>
              <w:rPr>
                <w:color w:val="auto"/>
                <w:szCs w:val="21"/>
                <w:highlight w:val="none"/>
              </w:rPr>
            </w:pPr>
          </w:p>
        </w:tc>
      </w:tr>
      <w:tr w14:paraId="7F2A29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0F38A50B">
            <w:pPr>
              <w:snapToGrid w:val="0"/>
              <w:spacing w:before="120" w:beforeLines="50"/>
              <w:jc w:val="center"/>
              <w:rPr>
                <w:color w:val="auto"/>
                <w:szCs w:val="21"/>
                <w:highlight w:val="none"/>
              </w:rPr>
            </w:pPr>
            <w:r>
              <w:rPr>
                <w:color w:val="auto"/>
                <w:szCs w:val="21"/>
                <w:highlight w:val="none"/>
              </w:rPr>
              <w:t>……</w:t>
            </w:r>
          </w:p>
        </w:tc>
        <w:tc>
          <w:tcPr>
            <w:tcW w:w="3595" w:type="dxa"/>
            <w:tcBorders>
              <w:top w:val="single" w:color="auto" w:sz="4" w:space="0"/>
              <w:left w:val="single" w:color="auto" w:sz="4" w:space="0"/>
              <w:bottom w:val="single" w:color="auto" w:sz="4" w:space="0"/>
              <w:right w:val="single" w:color="auto" w:sz="4" w:space="0"/>
            </w:tcBorders>
            <w:vAlign w:val="center"/>
          </w:tcPr>
          <w:p w14:paraId="01D441B4">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vAlign w:val="center"/>
          </w:tcPr>
          <w:p w14:paraId="359405F9">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3CCB9B34">
            <w:pPr>
              <w:snapToGrid w:val="0"/>
              <w:spacing w:before="120" w:beforeLines="50"/>
              <w:jc w:val="center"/>
              <w:rPr>
                <w:color w:val="auto"/>
                <w:szCs w:val="21"/>
                <w:highlight w:val="none"/>
              </w:rPr>
            </w:pPr>
          </w:p>
        </w:tc>
      </w:tr>
    </w:tbl>
    <w:p w14:paraId="6A26A947">
      <w:pPr>
        <w:pStyle w:val="26"/>
        <w:tabs>
          <w:tab w:val="left" w:pos="2127"/>
        </w:tabs>
        <w:spacing w:line="340" w:lineRule="exact"/>
        <w:ind w:firstLine="420" w:firstLineChars="200"/>
        <w:jc w:val="left"/>
        <w:rPr>
          <w:rFonts w:ascii="Times New Roman" w:hAnsi="Times New Roman" w:cs="Times New Roman"/>
          <w:color w:val="auto"/>
          <w:highlight w:val="none"/>
        </w:rPr>
      </w:pPr>
      <w:bookmarkStart w:id="100" w:name="_Hlk48144603"/>
      <w:r>
        <w:rPr>
          <w:rFonts w:ascii="Times New Roman" w:hAnsi="Times New Roman" w:cs="Times New Roman"/>
          <w:color w:val="auto"/>
          <w:highlight w:val="none"/>
        </w:rPr>
        <w:t>注：</w:t>
      </w:r>
      <w:bookmarkStart w:id="101" w:name="_Hlk19049081"/>
      <w:r>
        <w:rPr>
          <w:rFonts w:ascii="Times New Roman" w:hAnsi="Times New Roman" w:cs="Times New Roman"/>
          <w:color w:val="auto"/>
          <w:highlight w:val="none"/>
        </w:rPr>
        <w:t>（1）本表应对采购文件</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w:t>
      </w:r>
      <w:r>
        <w:rPr>
          <w:rFonts w:ascii="Times New Roman" w:hAnsi="Times New Roman" w:cs="Times New Roman"/>
          <w:color w:val="auto"/>
          <w:highlight w:val="none"/>
        </w:rPr>
        <w:t>中所列商务要求进行响应，并根据响应情况在“偏离说明”栏填写正偏离或负偏离及原因，完全符合的填写</w:t>
      </w:r>
      <w:r>
        <w:rPr>
          <w:rFonts w:hint="eastAsia" w:ascii="Times New Roman" w:hAnsi="Times New Roman" w:cs="Times New Roman"/>
          <w:color w:val="auto"/>
          <w:highlight w:val="none"/>
        </w:rPr>
        <w:t>“</w:t>
      </w:r>
      <w:r>
        <w:rPr>
          <w:rFonts w:ascii="Times New Roman" w:hAnsi="Times New Roman" w:cs="Times New Roman"/>
          <w:color w:val="auto"/>
          <w:highlight w:val="none"/>
        </w:rPr>
        <w:t>无偏离</w:t>
      </w:r>
      <w:r>
        <w:rPr>
          <w:rFonts w:hint="eastAsia" w:ascii="Times New Roman" w:hAnsi="Times New Roman" w:cs="Times New Roman"/>
          <w:color w:val="auto"/>
          <w:highlight w:val="none"/>
        </w:rPr>
        <w:t>”</w:t>
      </w:r>
      <w:r>
        <w:rPr>
          <w:rFonts w:ascii="Times New Roman" w:hAnsi="Times New Roman" w:cs="Times New Roman"/>
          <w:color w:val="auto"/>
          <w:highlight w:val="none"/>
        </w:rPr>
        <w:t>。</w:t>
      </w:r>
    </w:p>
    <w:p w14:paraId="4B978C7E">
      <w:pPr>
        <w:pStyle w:val="26"/>
        <w:tabs>
          <w:tab w:val="left" w:pos="2127"/>
        </w:tabs>
        <w:spacing w:line="340" w:lineRule="exact"/>
        <w:ind w:firstLine="420" w:firstLineChars="200"/>
        <w:jc w:val="left"/>
        <w:rPr>
          <w:rFonts w:ascii="Times New Roman" w:hAnsi="Times New Roman" w:cs="Times New Roman"/>
          <w:color w:val="auto"/>
          <w:highlight w:val="none"/>
        </w:rPr>
      </w:pPr>
      <w:r>
        <w:rPr>
          <w:rFonts w:hint="eastAsia" w:ascii="Times New Roman" w:hAnsi="Times New Roman" w:cs="Times New Roman"/>
          <w:color w:val="auto"/>
          <w:highlight w:val="none"/>
        </w:rPr>
        <w:t>（2）</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w:t>
      </w:r>
      <w:r>
        <w:rPr>
          <w:rFonts w:hint="eastAsia" w:ascii="Times New Roman" w:hAnsi="Times New Roman" w:cs="Times New Roman"/>
          <w:color w:val="auto"/>
          <w:highlight w:val="none"/>
        </w:rPr>
        <w:t>中的总体要求无需响应。</w:t>
      </w:r>
    </w:p>
    <w:p w14:paraId="362B3723">
      <w:pPr>
        <w:ind w:firstLine="420" w:firstLineChars="200"/>
        <w:rPr>
          <w:color w:val="auto"/>
          <w:highlight w:val="none"/>
        </w:rPr>
      </w:pPr>
      <w:r>
        <w:rPr>
          <w:rFonts w:hint="eastAsia"/>
          <w:color w:val="auto"/>
          <w:highlight w:val="none"/>
        </w:rPr>
        <w:t>（</w:t>
      </w:r>
      <w:r>
        <w:rPr>
          <w:color w:val="auto"/>
          <w:highlight w:val="none"/>
        </w:rPr>
        <w:t>3</w:t>
      </w:r>
      <w:r>
        <w:rPr>
          <w:rFonts w:hint="eastAsia"/>
          <w:color w:val="auto"/>
          <w:highlight w:val="none"/>
        </w:rPr>
        <w:t>）偏离认定说明详见评审方法及标准。</w:t>
      </w:r>
    </w:p>
    <w:bookmarkEnd w:id="101"/>
    <w:p w14:paraId="2CB46D9B">
      <w:pPr>
        <w:pStyle w:val="26"/>
        <w:tabs>
          <w:tab w:val="left" w:pos="2127"/>
        </w:tabs>
        <w:spacing w:line="340" w:lineRule="exact"/>
        <w:ind w:firstLine="420" w:firstLineChars="200"/>
        <w:jc w:val="left"/>
        <w:rPr>
          <w:rFonts w:ascii="Times New Roman" w:hAnsi="Times New Roman" w:cs="Times New Roman"/>
          <w:color w:val="auto"/>
          <w:highlight w:val="none"/>
        </w:rPr>
      </w:pPr>
      <w:r>
        <w:rPr>
          <w:rFonts w:ascii="Times New Roman" w:hAnsi="Times New Roman" w:cs="Times New Roman"/>
          <w:color w:val="auto"/>
          <w:highlight w:val="none"/>
        </w:rPr>
        <w:t>（4）本表可扩展。</w:t>
      </w:r>
    </w:p>
    <w:bookmarkEnd w:id="100"/>
    <w:p w14:paraId="3831655C">
      <w:pPr>
        <w:snapToGrid w:val="0"/>
        <w:spacing w:before="50" w:after="120" w:afterLines="50" w:line="440" w:lineRule="exact"/>
        <w:jc w:val="left"/>
        <w:rPr>
          <w:color w:val="auto"/>
          <w:spacing w:val="20"/>
          <w:szCs w:val="21"/>
          <w:highlight w:val="none"/>
          <w:u w:val="singl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pacing w:val="20"/>
          <w:szCs w:val="21"/>
          <w:highlight w:val="none"/>
        </w:rPr>
        <w:t>：</w:t>
      </w:r>
      <w:r>
        <w:rPr>
          <w:color w:val="auto"/>
          <w:spacing w:val="20"/>
          <w:szCs w:val="21"/>
          <w:highlight w:val="none"/>
          <w:u w:val="single"/>
        </w:rPr>
        <w:t xml:space="preserve">            </w:t>
      </w:r>
      <w:r>
        <w:rPr>
          <w:color w:val="auto"/>
          <w:spacing w:val="20"/>
          <w:szCs w:val="21"/>
          <w:highlight w:val="none"/>
        </w:rPr>
        <w:t xml:space="preserve">             日  期：</w:t>
      </w:r>
      <w:r>
        <w:rPr>
          <w:color w:val="auto"/>
          <w:spacing w:val="20"/>
          <w:szCs w:val="21"/>
          <w:highlight w:val="none"/>
          <w:u w:val="single"/>
        </w:rPr>
        <w:t xml:space="preserve">        </w:t>
      </w:r>
    </w:p>
    <w:p w14:paraId="4863515C">
      <w:pPr>
        <w:snapToGrid w:val="0"/>
        <w:spacing w:before="50" w:after="120" w:afterLines="50" w:line="440" w:lineRule="exact"/>
        <w:jc w:val="left"/>
        <w:rPr>
          <w:rFonts w:hint="eastAsia"/>
          <w:color w:val="auto"/>
          <w:spacing w:val="20"/>
          <w:szCs w:val="21"/>
          <w:highlight w:val="none"/>
          <w:u w:val="single"/>
        </w:rPr>
      </w:pPr>
    </w:p>
    <w:p w14:paraId="1FBB39CA">
      <w:pPr>
        <w:pStyle w:val="26"/>
        <w:tabs>
          <w:tab w:val="left" w:pos="2127"/>
        </w:tabs>
        <w:spacing w:line="340" w:lineRule="exact"/>
        <w:ind w:firstLine="420" w:firstLineChars="200"/>
        <w:jc w:val="left"/>
        <w:rPr>
          <w:rFonts w:ascii="Times New Roman" w:hAnsi="Times New Roman" w:cs="Times New Roman"/>
          <w:color w:val="auto"/>
          <w:highlight w:val="none"/>
        </w:rPr>
      </w:pPr>
    </w:p>
    <w:p w14:paraId="053EE41D">
      <w:pPr>
        <w:snapToGrid w:val="0"/>
        <w:spacing w:before="50" w:after="120" w:afterLines="50" w:line="440" w:lineRule="exact"/>
        <w:jc w:val="left"/>
        <w:rPr>
          <w:rFonts w:hint="eastAsia"/>
          <w:color w:val="auto"/>
          <w:szCs w:val="21"/>
          <w:highlight w:val="none"/>
        </w:rPr>
      </w:pPr>
      <w:r>
        <w:rPr>
          <w:color w:val="auto"/>
          <w:szCs w:val="21"/>
          <w:highlight w:val="none"/>
        </w:rPr>
        <w:t>11．商务方案（供应商自行编写）</w:t>
      </w:r>
    </w:p>
    <w:p w14:paraId="412A091A">
      <w:pPr>
        <w:snapToGrid w:val="0"/>
        <w:spacing w:before="50" w:after="120" w:afterLines="50" w:line="440" w:lineRule="exact"/>
        <w:jc w:val="left"/>
        <w:rPr>
          <w:rFonts w:hint="eastAsia"/>
          <w:color w:val="auto"/>
          <w:szCs w:val="21"/>
          <w:highlight w:val="none"/>
        </w:rPr>
      </w:pPr>
    </w:p>
    <w:p w14:paraId="69DADFBF">
      <w:pPr>
        <w:snapToGrid w:val="0"/>
        <w:spacing w:before="50" w:after="120" w:afterLines="50"/>
        <w:jc w:val="left"/>
        <w:rPr>
          <w:color w:val="auto"/>
          <w:szCs w:val="21"/>
          <w:highlight w:val="none"/>
        </w:rPr>
      </w:pPr>
      <w:r>
        <w:rPr>
          <w:color w:val="auto"/>
          <w:szCs w:val="21"/>
          <w:highlight w:val="none"/>
        </w:rPr>
        <w:t>12．供应商认为需提供的其他材料（根据采购文件编写）</w:t>
      </w:r>
    </w:p>
    <w:p w14:paraId="7FA3F1DF">
      <w:pPr>
        <w:snapToGrid w:val="0"/>
        <w:spacing w:before="50"/>
        <w:jc w:val="left"/>
        <w:rPr>
          <w:rFonts w:hint="eastAsia"/>
          <w:color w:val="auto"/>
          <w:szCs w:val="21"/>
          <w:highlight w:val="none"/>
        </w:rPr>
        <w:sectPr>
          <w:pgSz w:w="11906" w:h="16838"/>
          <w:pgMar w:top="1304" w:right="1418" w:bottom="1304" w:left="1418" w:header="851" w:footer="992" w:gutter="0"/>
          <w:cols w:space="720" w:num="1"/>
          <w:docGrid w:linePitch="312" w:charSpace="0"/>
        </w:sectPr>
      </w:pPr>
      <w:bookmarkStart w:id="102" w:name="_Hlk33625589"/>
      <w:r>
        <w:rPr>
          <w:rFonts w:hint="eastAsia"/>
          <w:color w:val="auto"/>
          <w:szCs w:val="21"/>
          <w:highlight w:val="none"/>
        </w:rPr>
        <w:t>（如：绩效评价结果）【备注：如不属于政采购买服务，则删除】</w:t>
      </w:r>
    </w:p>
    <w:bookmarkEnd w:id="102"/>
    <w:p w14:paraId="3CCF0F4C">
      <w:pPr>
        <w:snapToGrid w:val="0"/>
        <w:spacing w:before="50" w:after="120" w:afterLines="50"/>
        <w:jc w:val="left"/>
        <w:rPr>
          <w:rFonts w:hint="eastAsia"/>
          <w:b/>
          <w:color w:val="auto"/>
          <w:szCs w:val="21"/>
          <w:highlight w:val="none"/>
        </w:rPr>
      </w:pPr>
      <w:r>
        <w:rPr>
          <w:color w:val="auto"/>
          <w:szCs w:val="21"/>
          <w:highlight w:val="none"/>
        </w:rPr>
        <w:t>13．近年供应商类似成功案例的业绩证明</w:t>
      </w:r>
    </w:p>
    <w:p w14:paraId="7C2C8BBB">
      <w:pPr>
        <w:snapToGrid w:val="0"/>
        <w:spacing w:before="50" w:after="120" w:afterLines="50"/>
        <w:jc w:val="center"/>
        <w:rPr>
          <w:color w:val="auto"/>
          <w:szCs w:val="21"/>
          <w:highlight w:val="none"/>
        </w:rPr>
      </w:pPr>
      <w:r>
        <w:rPr>
          <w:b/>
          <w:color w:val="auto"/>
          <w:szCs w:val="21"/>
          <w:highlight w:val="none"/>
        </w:rPr>
        <w:t>类似成功案例业绩一览表</w:t>
      </w:r>
    </w:p>
    <w:tbl>
      <w:tblPr>
        <w:tblStyle w:val="51"/>
        <w:tblW w:w="137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95"/>
        <w:gridCol w:w="4974"/>
        <w:gridCol w:w="4210"/>
        <w:gridCol w:w="1327"/>
        <w:gridCol w:w="1772"/>
      </w:tblGrid>
      <w:tr w14:paraId="6E3C5C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26" w:hRule="atLeast"/>
        </w:trPr>
        <w:tc>
          <w:tcPr>
            <w:tcW w:w="1495" w:type="dxa"/>
            <w:tcBorders>
              <w:top w:val="single" w:color="auto" w:sz="4" w:space="0"/>
              <w:left w:val="single" w:color="auto" w:sz="4" w:space="0"/>
              <w:right w:val="single" w:color="auto" w:sz="4" w:space="0"/>
            </w:tcBorders>
            <w:vAlign w:val="top"/>
          </w:tcPr>
          <w:p w14:paraId="0B3D7DC5">
            <w:pPr>
              <w:snapToGrid w:val="0"/>
              <w:spacing w:line="240" w:lineRule="exact"/>
              <w:jc w:val="center"/>
              <w:rPr>
                <w:color w:val="auto"/>
                <w:szCs w:val="21"/>
                <w:highlight w:val="none"/>
              </w:rPr>
            </w:pPr>
          </w:p>
          <w:p w14:paraId="5DDCEEE8">
            <w:pPr>
              <w:snapToGrid w:val="0"/>
              <w:spacing w:line="240" w:lineRule="exact"/>
              <w:jc w:val="center"/>
              <w:rPr>
                <w:color w:val="auto"/>
                <w:szCs w:val="21"/>
                <w:highlight w:val="none"/>
              </w:rPr>
            </w:pPr>
          </w:p>
          <w:p w14:paraId="22AD07EB">
            <w:pPr>
              <w:snapToGrid w:val="0"/>
              <w:spacing w:line="240" w:lineRule="exact"/>
              <w:jc w:val="center"/>
              <w:rPr>
                <w:color w:val="auto"/>
                <w:szCs w:val="21"/>
                <w:highlight w:val="none"/>
              </w:rPr>
            </w:pPr>
            <w:r>
              <w:rPr>
                <w:rFonts w:hint="eastAsia"/>
                <w:color w:val="auto"/>
                <w:szCs w:val="21"/>
                <w:highlight w:val="none"/>
              </w:rPr>
              <w:t>序号</w:t>
            </w:r>
          </w:p>
        </w:tc>
        <w:tc>
          <w:tcPr>
            <w:tcW w:w="4974" w:type="dxa"/>
            <w:tcBorders>
              <w:top w:val="single" w:color="auto" w:sz="4" w:space="0"/>
              <w:left w:val="single" w:color="auto" w:sz="4" w:space="0"/>
              <w:bottom w:val="single" w:color="auto" w:sz="4" w:space="0"/>
              <w:right w:val="single" w:color="auto" w:sz="4" w:space="0"/>
            </w:tcBorders>
            <w:vAlign w:val="center"/>
          </w:tcPr>
          <w:p w14:paraId="6F79D381">
            <w:pPr>
              <w:snapToGrid w:val="0"/>
              <w:spacing w:line="240" w:lineRule="exact"/>
              <w:jc w:val="center"/>
              <w:rPr>
                <w:color w:val="auto"/>
                <w:szCs w:val="21"/>
                <w:highlight w:val="none"/>
              </w:rPr>
            </w:pPr>
            <w:r>
              <w:rPr>
                <w:color w:val="auto"/>
                <w:szCs w:val="21"/>
                <w:highlight w:val="none"/>
              </w:rPr>
              <w:t>采购单位名称</w:t>
            </w:r>
          </w:p>
        </w:tc>
        <w:tc>
          <w:tcPr>
            <w:tcW w:w="4210" w:type="dxa"/>
            <w:tcBorders>
              <w:top w:val="single" w:color="auto" w:sz="4" w:space="0"/>
              <w:left w:val="single" w:color="auto" w:sz="4" w:space="0"/>
              <w:bottom w:val="single" w:color="auto" w:sz="4" w:space="0"/>
              <w:right w:val="single" w:color="auto" w:sz="4" w:space="0"/>
            </w:tcBorders>
            <w:vAlign w:val="center"/>
          </w:tcPr>
          <w:p w14:paraId="079CDF5F">
            <w:pPr>
              <w:snapToGrid w:val="0"/>
              <w:spacing w:line="240" w:lineRule="exact"/>
              <w:jc w:val="center"/>
              <w:rPr>
                <w:color w:val="auto"/>
                <w:szCs w:val="21"/>
                <w:highlight w:val="none"/>
              </w:rPr>
            </w:pPr>
            <w:r>
              <w:rPr>
                <w:color w:val="auto"/>
                <w:szCs w:val="21"/>
                <w:highlight w:val="none"/>
              </w:rPr>
              <w:t>项目名称或服务内容</w:t>
            </w:r>
          </w:p>
        </w:tc>
        <w:tc>
          <w:tcPr>
            <w:tcW w:w="1327" w:type="dxa"/>
            <w:tcBorders>
              <w:top w:val="single" w:color="auto" w:sz="4" w:space="0"/>
              <w:left w:val="single" w:color="auto" w:sz="4" w:space="0"/>
              <w:bottom w:val="single" w:color="auto" w:sz="4" w:space="0"/>
              <w:right w:val="single" w:color="auto" w:sz="4" w:space="0"/>
            </w:tcBorders>
            <w:vAlign w:val="center"/>
          </w:tcPr>
          <w:p w14:paraId="67C2BE73">
            <w:pPr>
              <w:snapToGrid w:val="0"/>
              <w:spacing w:line="240" w:lineRule="exact"/>
              <w:jc w:val="center"/>
              <w:rPr>
                <w:color w:val="auto"/>
                <w:szCs w:val="21"/>
                <w:highlight w:val="none"/>
              </w:rPr>
            </w:pPr>
            <w:r>
              <w:rPr>
                <w:color w:val="auto"/>
                <w:szCs w:val="21"/>
                <w:highlight w:val="none"/>
              </w:rPr>
              <w:t>服务</w:t>
            </w:r>
          </w:p>
          <w:p w14:paraId="2DAAE4AD">
            <w:pPr>
              <w:snapToGrid w:val="0"/>
              <w:spacing w:line="240" w:lineRule="exact"/>
              <w:jc w:val="center"/>
              <w:rPr>
                <w:color w:val="auto"/>
                <w:szCs w:val="21"/>
                <w:highlight w:val="none"/>
              </w:rPr>
            </w:pPr>
            <w:r>
              <w:rPr>
                <w:color w:val="auto"/>
                <w:szCs w:val="21"/>
                <w:highlight w:val="none"/>
              </w:rPr>
              <w:t>数量或年限</w:t>
            </w:r>
          </w:p>
        </w:tc>
        <w:tc>
          <w:tcPr>
            <w:tcW w:w="1772" w:type="dxa"/>
            <w:tcBorders>
              <w:top w:val="single" w:color="auto" w:sz="4" w:space="0"/>
              <w:left w:val="single" w:color="auto" w:sz="4" w:space="0"/>
              <w:bottom w:val="single" w:color="auto" w:sz="4" w:space="0"/>
              <w:right w:val="single" w:color="auto" w:sz="4" w:space="0"/>
            </w:tcBorders>
            <w:vAlign w:val="center"/>
          </w:tcPr>
          <w:p w14:paraId="44CA786E">
            <w:pPr>
              <w:snapToGrid w:val="0"/>
              <w:spacing w:line="240" w:lineRule="exact"/>
              <w:jc w:val="center"/>
              <w:rPr>
                <w:color w:val="auto"/>
                <w:szCs w:val="21"/>
                <w:highlight w:val="none"/>
              </w:rPr>
            </w:pPr>
            <w:r>
              <w:rPr>
                <w:color w:val="auto"/>
                <w:szCs w:val="21"/>
                <w:highlight w:val="none"/>
              </w:rPr>
              <w:t>合同</w:t>
            </w:r>
            <w:r>
              <w:rPr>
                <w:rFonts w:hint="eastAsia"/>
                <w:color w:val="auto"/>
                <w:szCs w:val="21"/>
                <w:highlight w:val="none"/>
              </w:rPr>
              <w:t>总价</w:t>
            </w:r>
          </w:p>
          <w:p w14:paraId="3F9313CA">
            <w:pPr>
              <w:snapToGrid w:val="0"/>
              <w:spacing w:line="240" w:lineRule="exact"/>
              <w:jc w:val="center"/>
              <w:rPr>
                <w:color w:val="auto"/>
                <w:szCs w:val="21"/>
                <w:highlight w:val="none"/>
              </w:rPr>
            </w:pPr>
            <w:r>
              <w:rPr>
                <w:color w:val="auto"/>
                <w:szCs w:val="21"/>
                <w:highlight w:val="none"/>
              </w:rPr>
              <w:t>（元）</w:t>
            </w:r>
          </w:p>
        </w:tc>
      </w:tr>
      <w:tr w14:paraId="6B24D0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495" w:type="dxa"/>
            <w:tcBorders>
              <w:top w:val="single" w:color="auto" w:sz="4" w:space="0"/>
              <w:left w:val="single" w:color="auto" w:sz="4" w:space="0"/>
              <w:bottom w:val="single" w:color="auto" w:sz="4" w:space="0"/>
              <w:right w:val="single" w:color="auto" w:sz="4" w:space="0"/>
            </w:tcBorders>
            <w:vAlign w:val="top"/>
          </w:tcPr>
          <w:p w14:paraId="30979424">
            <w:pPr>
              <w:snapToGrid w:val="0"/>
              <w:spacing w:line="240" w:lineRule="exact"/>
              <w:jc w:val="left"/>
              <w:rPr>
                <w:color w:val="auto"/>
                <w:szCs w:val="21"/>
                <w:highlight w:val="none"/>
              </w:rPr>
            </w:pPr>
          </w:p>
        </w:tc>
        <w:tc>
          <w:tcPr>
            <w:tcW w:w="4974" w:type="dxa"/>
            <w:tcBorders>
              <w:top w:val="single" w:color="auto" w:sz="4" w:space="0"/>
              <w:left w:val="single" w:color="auto" w:sz="4" w:space="0"/>
              <w:bottom w:val="single" w:color="auto" w:sz="4" w:space="0"/>
              <w:right w:val="single" w:color="auto" w:sz="4" w:space="0"/>
            </w:tcBorders>
            <w:vAlign w:val="top"/>
          </w:tcPr>
          <w:p w14:paraId="002DFFCB">
            <w:pPr>
              <w:snapToGrid w:val="0"/>
              <w:spacing w:line="240" w:lineRule="exact"/>
              <w:jc w:val="left"/>
              <w:rPr>
                <w:color w:val="auto"/>
                <w:szCs w:val="21"/>
                <w:highlight w:val="none"/>
              </w:rPr>
            </w:pPr>
          </w:p>
        </w:tc>
        <w:tc>
          <w:tcPr>
            <w:tcW w:w="4210" w:type="dxa"/>
            <w:tcBorders>
              <w:top w:val="single" w:color="auto" w:sz="4" w:space="0"/>
              <w:left w:val="single" w:color="auto" w:sz="4" w:space="0"/>
              <w:bottom w:val="single" w:color="auto" w:sz="4" w:space="0"/>
              <w:right w:val="single" w:color="auto" w:sz="4" w:space="0"/>
            </w:tcBorders>
            <w:vAlign w:val="top"/>
          </w:tcPr>
          <w:p w14:paraId="14DDFC8D">
            <w:pPr>
              <w:snapToGrid w:val="0"/>
              <w:spacing w:line="240" w:lineRule="exact"/>
              <w:jc w:val="left"/>
              <w:rPr>
                <w:color w:val="auto"/>
                <w:szCs w:val="21"/>
                <w:highlight w:val="none"/>
              </w:rPr>
            </w:pPr>
          </w:p>
        </w:tc>
        <w:tc>
          <w:tcPr>
            <w:tcW w:w="1327" w:type="dxa"/>
            <w:tcBorders>
              <w:top w:val="single" w:color="auto" w:sz="4" w:space="0"/>
              <w:left w:val="single" w:color="auto" w:sz="4" w:space="0"/>
              <w:bottom w:val="single" w:color="auto" w:sz="4" w:space="0"/>
              <w:right w:val="single" w:color="auto" w:sz="4" w:space="0"/>
            </w:tcBorders>
            <w:vAlign w:val="top"/>
          </w:tcPr>
          <w:p w14:paraId="70FC24D0">
            <w:pPr>
              <w:snapToGrid w:val="0"/>
              <w:spacing w:line="240" w:lineRule="exact"/>
              <w:jc w:val="left"/>
              <w:rPr>
                <w:color w:val="auto"/>
                <w:szCs w:val="21"/>
                <w:highlight w:val="none"/>
              </w:rPr>
            </w:pPr>
          </w:p>
        </w:tc>
        <w:tc>
          <w:tcPr>
            <w:tcW w:w="1772" w:type="dxa"/>
            <w:tcBorders>
              <w:top w:val="single" w:color="auto" w:sz="4" w:space="0"/>
              <w:left w:val="single" w:color="auto" w:sz="4" w:space="0"/>
              <w:bottom w:val="single" w:color="auto" w:sz="4" w:space="0"/>
              <w:right w:val="single" w:color="auto" w:sz="4" w:space="0"/>
            </w:tcBorders>
            <w:vAlign w:val="top"/>
          </w:tcPr>
          <w:p w14:paraId="4D09F79F">
            <w:pPr>
              <w:snapToGrid w:val="0"/>
              <w:spacing w:line="240" w:lineRule="exact"/>
              <w:jc w:val="left"/>
              <w:rPr>
                <w:color w:val="auto"/>
                <w:szCs w:val="21"/>
                <w:highlight w:val="none"/>
              </w:rPr>
            </w:pPr>
          </w:p>
        </w:tc>
      </w:tr>
      <w:tr w14:paraId="462215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495" w:type="dxa"/>
            <w:tcBorders>
              <w:top w:val="single" w:color="auto" w:sz="4" w:space="0"/>
              <w:left w:val="single" w:color="auto" w:sz="4" w:space="0"/>
              <w:bottom w:val="single" w:color="auto" w:sz="4" w:space="0"/>
              <w:right w:val="single" w:color="auto" w:sz="4" w:space="0"/>
            </w:tcBorders>
            <w:vAlign w:val="top"/>
          </w:tcPr>
          <w:p w14:paraId="5AE4749C">
            <w:pPr>
              <w:snapToGrid w:val="0"/>
              <w:spacing w:before="50" w:after="120" w:afterLines="50" w:line="400" w:lineRule="exact"/>
              <w:jc w:val="left"/>
              <w:rPr>
                <w:color w:val="auto"/>
                <w:szCs w:val="21"/>
                <w:highlight w:val="none"/>
              </w:rPr>
            </w:pPr>
          </w:p>
        </w:tc>
        <w:tc>
          <w:tcPr>
            <w:tcW w:w="4974" w:type="dxa"/>
            <w:tcBorders>
              <w:top w:val="single" w:color="auto" w:sz="4" w:space="0"/>
              <w:left w:val="single" w:color="auto" w:sz="4" w:space="0"/>
              <w:bottom w:val="single" w:color="auto" w:sz="4" w:space="0"/>
              <w:right w:val="single" w:color="auto" w:sz="4" w:space="0"/>
            </w:tcBorders>
            <w:vAlign w:val="top"/>
          </w:tcPr>
          <w:p w14:paraId="5D5CEC12">
            <w:pPr>
              <w:snapToGrid w:val="0"/>
              <w:spacing w:before="50" w:after="120" w:afterLines="50" w:line="400" w:lineRule="exact"/>
              <w:jc w:val="left"/>
              <w:rPr>
                <w:color w:val="auto"/>
                <w:szCs w:val="21"/>
                <w:highlight w:val="none"/>
              </w:rPr>
            </w:pPr>
          </w:p>
        </w:tc>
        <w:tc>
          <w:tcPr>
            <w:tcW w:w="4210" w:type="dxa"/>
            <w:tcBorders>
              <w:top w:val="single" w:color="auto" w:sz="4" w:space="0"/>
              <w:left w:val="single" w:color="auto" w:sz="4" w:space="0"/>
              <w:bottom w:val="single" w:color="auto" w:sz="4" w:space="0"/>
              <w:right w:val="single" w:color="auto" w:sz="4" w:space="0"/>
            </w:tcBorders>
            <w:vAlign w:val="top"/>
          </w:tcPr>
          <w:p w14:paraId="377ECE30">
            <w:pPr>
              <w:snapToGrid w:val="0"/>
              <w:spacing w:before="50" w:after="120" w:afterLines="50" w:line="400" w:lineRule="exact"/>
              <w:jc w:val="left"/>
              <w:rPr>
                <w:color w:val="auto"/>
                <w:szCs w:val="21"/>
                <w:highlight w:val="none"/>
              </w:rPr>
            </w:pPr>
          </w:p>
        </w:tc>
        <w:tc>
          <w:tcPr>
            <w:tcW w:w="1327" w:type="dxa"/>
            <w:tcBorders>
              <w:top w:val="single" w:color="auto" w:sz="4" w:space="0"/>
              <w:left w:val="single" w:color="auto" w:sz="4" w:space="0"/>
              <w:bottom w:val="single" w:color="auto" w:sz="4" w:space="0"/>
              <w:right w:val="single" w:color="auto" w:sz="4" w:space="0"/>
            </w:tcBorders>
            <w:vAlign w:val="top"/>
          </w:tcPr>
          <w:p w14:paraId="3DA91C30">
            <w:pPr>
              <w:snapToGrid w:val="0"/>
              <w:spacing w:before="50" w:after="120" w:afterLines="50" w:line="400" w:lineRule="exact"/>
              <w:jc w:val="left"/>
              <w:rPr>
                <w:color w:val="auto"/>
                <w:szCs w:val="21"/>
                <w:highlight w:val="none"/>
              </w:rPr>
            </w:pPr>
          </w:p>
        </w:tc>
        <w:tc>
          <w:tcPr>
            <w:tcW w:w="1772" w:type="dxa"/>
            <w:tcBorders>
              <w:top w:val="single" w:color="auto" w:sz="4" w:space="0"/>
              <w:left w:val="single" w:color="auto" w:sz="4" w:space="0"/>
              <w:bottom w:val="single" w:color="auto" w:sz="4" w:space="0"/>
              <w:right w:val="single" w:color="auto" w:sz="4" w:space="0"/>
            </w:tcBorders>
            <w:vAlign w:val="top"/>
          </w:tcPr>
          <w:p w14:paraId="054F38EE">
            <w:pPr>
              <w:snapToGrid w:val="0"/>
              <w:spacing w:before="50" w:after="120" w:afterLines="50" w:line="400" w:lineRule="exact"/>
              <w:jc w:val="left"/>
              <w:rPr>
                <w:color w:val="auto"/>
                <w:szCs w:val="21"/>
                <w:highlight w:val="none"/>
              </w:rPr>
            </w:pPr>
          </w:p>
        </w:tc>
      </w:tr>
      <w:tr w14:paraId="138821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1" w:hRule="atLeast"/>
        </w:trPr>
        <w:tc>
          <w:tcPr>
            <w:tcW w:w="1495" w:type="dxa"/>
            <w:tcBorders>
              <w:top w:val="single" w:color="auto" w:sz="4" w:space="0"/>
              <w:left w:val="single" w:color="auto" w:sz="4" w:space="0"/>
              <w:bottom w:val="single" w:color="auto" w:sz="4" w:space="0"/>
              <w:right w:val="single" w:color="auto" w:sz="4" w:space="0"/>
            </w:tcBorders>
            <w:vAlign w:val="top"/>
          </w:tcPr>
          <w:p w14:paraId="0771596F">
            <w:pPr>
              <w:snapToGrid w:val="0"/>
              <w:spacing w:before="50" w:after="120" w:afterLines="50" w:line="400" w:lineRule="exact"/>
              <w:jc w:val="left"/>
              <w:rPr>
                <w:color w:val="auto"/>
                <w:szCs w:val="21"/>
                <w:highlight w:val="none"/>
              </w:rPr>
            </w:pPr>
          </w:p>
        </w:tc>
        <w:tc>
          <w:tcPr>
            <w:tcW w:w="4974" w:type="dxa"/>
            <w:tcBorders>
              <w:top w:val="single" w:color="auto" w:sz="4" w:space="0"/>
              <w:left w:val="single" w:color="auto" w:sz="4" w:space="0"/>
              <w:bottom w:val="single" w:color="auto" w:sz="4" w:space="0"/>
              <w:right w:val="single" w:color="auto" w:sz="4" w:space="0"/>
            </w:tcBorders>
            <w:vAlign w:val="top"/>
          </w:tcPr>
          <w:p w14:paraId="301E560D">
            <w:pPr>
              <w:snapToGrid w:val="0"/>
              <w:spacing w:before="50" w:after="120" w:afterLines="50" w:line="400" w:lineRule="exact"/>
              <w:jc w:val="left"/>
              <w:rPr>
                <w:color w:val="auto"/>
                <w:szCs w:val="21"/>
                <w:highlight w:val="none"/>
              </w:rPr>
            </w:pPr>
          </w:p>
        </w:tc>
        <w:tc>
          <w:tcPr>
            <w:tcW w:w="4210" w:type="dxa"/>
            <w:tcBorders>
              <w:top w:val="single" w:color="auto" w:sz="4" w:space="0"/>
              <w:left w:val="single" w:color="auto" w:sz="4" w:space="0"/>
              <w:bottom w:val="single" w:color="auto" w:sz="4" w:space="0"/>
              <w:right w:val="single" w:color="auto" w:sz="4" w:space="0"/>
            </w:tcBorders>
            <w:vAlign w:val="top"/>
          </w:tcPr>
          <w:p w14:paraId="5B3A3BD8">
            <w:pPr>
              <w:snapToGrid w:val="0"/>
              <w:spacing w:before="50" w:after="120" w:afterLines="50" w:line="400" w:lineRule="exact"/>
              <w:jc w:val="left"/>
              <w:rPr>
                <w:color w:val="auto"/>
                <w:szCs w:val="21"/>
                <w:highlight w:val="none"/>
              </w:rPr>
            </w:pPr>
          </w:p>
        </w:tc>
        <w:tc>
          <w:tcPr>
            <w:tcW w:w="1327" w:type="dxa"/>
            <w:tcBorders>
              <w:top w:val="single" w:color="auto" w:sz="4" w:space="0"/>
              <w:left w:val="single" w:color="auto" w:sz="4" w:space="0"/>
              <w:bottom w:val="single" w:color="auto" w:sz="4" w:space="0"/>
              <w:right w:val="single" w:color="auto" w:sz="4" w:space="0"/>
            </w:tcBorders>
            <w:vAlign w:val="top"/>
          </w:tcPr>
          <w:p w14:paraId="0F28F13C">
            <w:pPr>
              <w:snapToGrid w:val="0"/>
              <w:spacing w:before="50" w:after="120" w:afterLines="50" w:line="400" w:lineRule="exact"/>
              <w:jc w:val="left"/>
              <w:rPr>
                <w:color w:val="auto"/>
                <w:szCs w:val="21"/>
                <w:highlight w:val="none"/>
              </w:rPr>
            </w:pPr>
          </w:p>
        </w:tc>
        <w:tc>
          <w:tcPr>
            <w:tcW w:w="1772" w:type="dxa"/>
            <w:tcBorders>
              <w:top w:val="single" w:color="auto" w:sz="4" w:space="0"/>
              <w:left w:val="single" w:color="auto" w:sz="4" w:space="0"/>
              <w:bottom w:val="single" w:color="auto" w:sz="4" w:space="0"/>
              <w:right w:val="single" w:color="auto" w:sz="4" w:space="0"/>
            </w:tcBorders>
            <w:vAlign w:val="top"/>
          </w:tcPr>
          <w:p w14:paraId="3349FDD5">
            <w:pPr>
              <w:snapToGrid w:val="0"/>
              <w:spacing w:before="50" w:after="120" w:afterLines="50" w:line="400" w:lineRule="exact"/>
              <w:jc w:val="left"/>
              <w:rPr>
                <w:color w:val="auto"/>
                <w:szCs w:val="21"/>
                <w:highlight w:val="none"/>
              </w:rPr>
            </w:pPr>
          </w:p>
        </w:tc>
      </w:tr>
      <w:tr w14:paraId="1F90CD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495" w:type="dxa"/>
            <w:tcBorders>
              <w:top w:val="single" w:color="auto" w:sz="4" w:space="0"/>
              <w:left w:val="single" w:color="auto" w:sz="4" w:space="0"/>
              <w:bottom w:val="single" w:color="auto" w:sz="4" w:space="0"/>
              <w:right w:val="single" w:color="auto" w:sz="4" w:space="0"/>
            </w:tcBorders>
            <w:vAlign w:val="top"/>
          </w:tcPr>
          <w:p w14:paraId="32D6CAF5">
            <w:pPr>
              <w:snapToGrid w:val="0"/>
              <w:spacing w:before="50" w:after="120" w:afterLines="50" w:line="400" w:lineRule="exact"/>
              <w:jc w:val="left"/>
              <w:rPr>
                <w:color w:val="auto"/>
                <w:szCs w:val="21"/>
                <w:highlight w:val="none"/>
              </w:rPr>
            </w:pPr>
          </w:p>
        </w:tc>
        <w:tc>
          <w:tcPr>
            <w:tcW w:w="4974" w:type="dxa"/>
            <w:tcBorders>
              <w:top w:val="single" w:color="auto" w:sz="4" w:space="0"/>
              <w:left w:val="single" w:color="auto" w:sz="4" w:space="0"/>
              <w:bottom w:val="single" w:color="auto" w:sz="4" w:space="0"/>
              <w:right w:val="single" w:color="auto" w:sz="4" w:space="0"/>
            </w:tcBorders>
            <w:vAlign w:val="top"/>
          </w:tcPr>
          <w:p w14:paraId="76A1CCF0">
            <w:pPr>
              <w:snapToGrid w:val="0"/>
              <w:spacing w:before="50" w:after="120" w:afterLines="50" w:line="400" w:lineRule="exact"/>
              <w:jc w:val="left"/>
              <w:rPr>
                <w:color w:val="auto"/>
                <w:szCs w:val="21"/>
                <w:highlight w:val="none"/>
              </w:rPr>
            </w:pPr>
          </w:p>
        </w:tc>
        <w:tc>
          <w:tcPr>
            <w:tcW w:w="4210" w:type="dxa"/>
            <w:tcBorders>
              <w:top w:val="single" w:color="auto" w:sz="4" w:space="0"/>
              <w:left w:val="single" w:color="auto" w:sz="4" w:space="0"/>
              <w:bottom w:val="single" w:color="auto" w:sz="4" w:space="0"/>
              <w:right w:val="single" w:color="auto" w:sz="4" w:space="0"/>
            </w:tcBorders>
            <w:vAlign w:val="top"/>
          </w:tcPr>
          <w:p w14:paraId="48B9907C">
            <w:pPr>
              <w:snapToGrid w:val="0"/>
              <w:spacing w:before="50" w:after="120" w:afterLines="50" w:line="400" w:lineRule="exact"/>
              <w:jc w:val="left"/>
              <w:rPr>
                <w:color w:val="auto"/>
                <w:szCs w:val="21"/>
                <w:highlight w:val="none"/>
              </w:rPr>
            </w:pPr>
          </w:p>
        </w:tc>
        <w:tc>
          <w:tcPr>
            <w:tcW w:w="1327" w:type="dxa"/>
            <w:tcBorders>
              <w:top w:val="single" w:color="auto" w:sz="4" w:space="0"/>
              <w:left w:val="single" w:color="auto" w:sz="4" w:space="0"/>
              <w:bottom w:val="single" w:color="auto" w:sz="4" w:space="0"/>
              <w:right w:val="single" w:color="auto" w:sz="4" w:space="0"/>
            </w:tcBorders>
            <w:vAlign w:val="top"/>
          </w:tcPr>
          <w:p w14:paraId="4D3A84F8">
            <w:pPr>
              <w:snapToGrid w:val="0"/>
              <w:spacing w:before="50" w:after="120" w:afterLines="50" w:line="400" w:lineRule="exact"/>
              <w:jc w:val="left"/>
              <w:rPr>
                <w:color w:val="auto"/>
                <w:szCs w:val="21"/>
                <w:highlight w:val="none"/>
              </w:rPr>
            </w:pPr>
          </w:p>
        </w:tc>
        <w:tc>
          <w:tcPr>
            <w:tcW w:w="1772" w:type="dxa"/>
            <w:tcBorders>
              <w:top w:val="single" w:color="auto" w:sz="4" w:space="0"/>
              <w:left w:val="single" w:color="auto" w:sz="4" w:space="0"/>
              <w:bottom w:val="single" w:color="auto" w:sz="4" w:space="0"/>
              <w:right w:val="single" w:color="auto" w:sz="4" w:space="0"/>
            </w:tcBorders>
            <w:vAlign w:val="top"/>
          </w:tcPr>
          <w:p w14:paraId="2E82E5B7">
            <w:pPr>
              <w:snapToGrid w:val="0"/>
              <w:spacing w:before="50" w:after="120" w:afterLines="50" w:line="400" w:lineRule="exact"/>
              <w:jc w:val="left"/>
              <w:rPr>
                <w:color w:val="auto"/>
                <w:szCs w:val="21"/>
                <w:highlight w:val="none"/>
              </w:rPr>
            </w:pPr>
          </w:p>
        </w:tc>
      </w:tr>
      <w:tr w14:paraId="641EFA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1495" w:type="dxa"/>
            <w:tcBorders>
              <w:top w:val="single" w:color="auto" w:sz="4" w:space="0"/>
              <w:left w:val="single" w:color="auto" w:sz="4" w:space="0"/>
              <w:bottom w:val="single" w:color="auto" w:sz="4" w:space="0"/>
              <w:right w:val="single" w:color="auto" w:sz="4" w:space="0"/>
            </w:tcBorders>
            <w:vAlign w:val="top"/>
          </w:tcPr>
          <w:p w14:paraId="10AB3332">
            <w:pPr>
              <w:snapToGrid w:val="0"/>
              <w:spacing w:before="50" w:after="120" w:afterLines="50" w:line="400" w:lineRule="exact"/>
              <w:jc w:val="left"/>
              <w:rPr>
                <w:color w:val="auto"/>
                <w:szCs w:val="21"/>
                <w:highlight w:val="none"/>
              </w:rPr>
            </w:pPr>
          </w:p>
        </w:tc>
        <w:tc>
          <w:tcPr>
            <w:tcW w:w="4974" w:type="dxa"/>
            <w:tcBorders>
              <w:top w:val="single" w:color="auto" w:sz="4" w:space="0"/>
              <w:left w:val="single" w:color="auto" w:sz="4" w:space="0"/>
              <w:bottom w:val="single" w:color="auto" w:sz="4" w:space="0"/>
              <w:right w:val="single" w:color="auto" w:sz="4" w:space="0"/>
            </w:tcBorders>
            <w:vAlign w:val="top"/>
          </w:tcPr>
          <w:p w14:paraId="7F08238D">
            <w:pPr>
              <w:snapToGrid w:val="0"/>
              <w:spacing w:before="50" w:after="120" w:afterLines="50" w:line="400" w:lineRule="exact"/>
              <w:jc w:val="left"/>
              <w:rPr>
                <w:color w:val="auto"/>
                <w:szCs w:val="21"/>
                <w:highlight w:val="none"/>
              </w:rPr>
            </w:pPr>
          </w:p>
        </w:tc>
        <w:tc>
          <w:tcPr>
            <w:tcW w:w="4210" w:type="dxa"/>
            <w:tcBorders>
              <w:top w:val="single" w:color="auto" w:sz="4" w:space="0"/>
              <w:left w:val="single" w:color="auto" w:sz="4" w:space="0"/>
              <w:bottom w:val="single" w:color="auto" w:sz="4" w:space="0"/>
              <w:right w:val="single" w:color="auto" w:sz="4" w:space="0"/>
            </w:tcBorders>
            <w:vAlign w:val="top"/>
          </w:tcPr>
          <w:p w14:paraId="05D4AFFB">
            <w:pPr>
              <w:snapToGrid w:val="0"/>
              <w:spacing w:before="50" w:after="120" w:afterLines="50" w:line="400" w:lineRule="exact"/>
              <w:jc w:val="left"/>
              <w:rPr>
                <w:color w:val="auto"/>
                <w:szCs w:val="21"/>
                <w:highlight w:val="none"/>
              </w:rPr>
            </w:pPr>
          </w:p>
        </w:tc>
        <w:tc>
          <w:tcPr>
            <w:tcW w:w="1327" w:type="dxa"/>
            <w:tcBorders>
              <w:top w:val="single" w:color="auto" w:sz="4" w:space="0"/>
              <w:left w:val="single" w:color="auto" w:sz="4" w:space="0"/>
              <w:bottom w:val="single" w:color="auto" w:sz="4" w:space="0"/>
              <w:right w:val="single" w:color="auto" w:sz="4" w:space="0"/>
            </w:tcBorders>
            <w:vAlign w:val="top"/>
          </w:tcPr>
          <w:p w14:paraId="77AC04C5">
            <w:pPr>
              <w:snapToGrid w:val="0"/>
              <w:spacing w:before="50" w:after="120" w:afterLines="50" w:line="400" w:lineRule="exact"/>
              <w:jc w:val="left"/>
              <w:rPr>
                <w:color w:val="auto"/>
                <w:szCs w:val="21"/>
                <w:highlight w:val="none"/>
              </w:rPr>
            </w:pPr>
          </w:p>
        </w:tc>
        <w:tc>
          <w:tcPr>
            <w:tcW w:w="1772" w:type="dxa"/>
            <w:tcBorders>
              <w:top w:val="single" w:color="auto" w:sz="4" w:space="0"/>
              <w:left w:val="single" w:color="auto" w:sz="4" w:space="0"/>
              <w:bottom w:val="single" w:color="auto" w:sz="4" w:space="0"/>
              <w:right w:val="single" w:color="auto" w:sz="4" w:space="0"/>
            </w:tcBorders>
            <w:vAlign w:val="top"/>
          </w:tcPr>
          <w:p w14:paraId="04FF4878">
            <w:pPr>
              <w:snapToGrid w:val="0"/>
              <w:spacing w:before="50" w:after="120" w:afterLines="50" w:line="400" w:lineRule="exact"/>
              <w:jc w:val="left"/>
              <w:rPr>
                <w:color w:val="auto"/>
                <w:szCs w:val="21"/>
                <w:highlight w:val="none"/>
              </w:rPr>
            </w:pPr>
          </w:p>
        </w:tc>
      </w:tr>
    </w:tbl>
    <w:p w14:paraId="2A66B01A">
      <w:pPr>
        <w:pStyle w:val="15"/>
        <w:snapToGrid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注：</w:t>
      </w:r>
    </w:p>
    <w:p w14:paraId="48954EE1">
      <w:pPr>
        <w:pStyle w:val="15"/>
        <w:snapToGrid w:val="0"/>
        <w:rPr>
          <w:rFonts w:hint="eastAsia" w:ascii="Times New Roman" w:hAnsi="Times New Roman" w:eastAsia="宋体" w:cs="Times New Roman"/>
          <w:color w:val="auto"/>
          <w:sz w:val="21"/>
          <w:szCs w:val="21"/>
          <w:highlight w:val="none"/>
        </w:rPr>
      </w:pPr>
      <w:r>
        <w:rPr>
          <w:rFonts w:ascii="Times New Roman" w:hAnsi="Times New Roman" w:eastAsia="宋体" w:cs="Times New Roman"/>
          <w:color w:val="auto"/>
          <w:szCs w:val="21"/>
          <w:highlight w:val="none"/>
        </w:rPr>
        <w:t>（1）</w:t>
      </w:r>
      <w:r>
        <w:rPr>
          <w:rFonts w:ascii="Times New Roman" w:hAnsi="Times New Roman" w:eastAsia="宋体" w:cs="Times New Roman"/>
          <w:color w:val="auto"/>
          <w:sz w:val="21"/>
          <w:szCs w:val="21"/>
          <w:highlight w:val="none"/>
        </w:rPr>
        <w:t>未附</w:t>
      </w:r>
      <w:r>
        <w:rPr>
          <w:rFonts w:hint="eastAsia" w:ascii="Times New Roman" w:hAnsi="Times New Roman" w:eastAsia="宋体" w:cs="Times New Roman"/>
          <w:color w:val="auto"/>
          <w:sz w:val="21"/>
          <w:szCs w:val="21"/>
          <w:highlight w:val="none"/>
        </w:rPr>
        <w:t>证明材料</w:t>
      </w:r>
      <w:r>
        <w:rPr>
          <w:rFonts w:ascii="Times New Roman" w:hAnsi="Times New Roman" w:eastAsia="宋体" w:cs="Times New Roman"/>
          <w:color w:val="auto"/>
          <w:sz w:val="21"/>
          <w:szCs w:val="21"/>
          <w:highlight w:val="none"/>
        </w:rPr>
        <w:t>的业绩无效</w:t>
      </w:r>
      <w:r>
        <w:rPr>
          <w:rFonts w:hint="eastAsia" w:ascii="Times New Roman" w:hAnsi="Times New Roman" w:eastAsia="宋体" w:cs="Times New Roman"/>
          <w:color w:val="auto"/>
          <w:sz w:val="21"/>
          <w:szCs w:val="21"/>
          <w:highlight w:val="none"/>
        </w:rPr>
        <w:t>，证明材料</w:t>
      </w:r>
      <w:r>
        <w:rPr>
          <w:rFonts w:ascii="Times New Roman" w:hAnsi="Times New Roman" w:eastAsia="宋体" w:cs="Times New Roman"/>
          <w:color w:val="auto"/>
          <w:sz w:val="21"/>
          <w:szCs w:val="21"/>
          <w:highlight w:val="none"/>
        </w:rPr>
        <w:t>见第四章《评审方法及标准》规定</w:t>
      </w:r>
      <w:r>
        <w:rPr>
          <w:rFonts w:hint="eastAsia" w:ascii="Times New Roman" w:hAnsi="Times New Roman" w:eastAsia="宋体" w:cs="Times New Roman"/>
          <w:color w:val="auto"/>
          <w:sz w:val="21"/>
          <w:szCs w:val="21"/>
          <w:highlight w:val="none"/>
        </w:rPr>
        <w:t>。</w:t>
      </w:r>
    </w:p>
    <w:p w14:paraId="5EA1772F">
      <w:pPr>
        <w:pStyle w:val="15"/>
        <w:snapToGrid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Cs w:val="21"/>
          <w:highlight w:val="none"/>
        </w:rPr>
        <w:t>（2）</w:t>
      </w:r>
      <w:r>
        <w:rPr>
          <w:rFonts w:ascii="Times New Roman" w:hAnsi="Times New Roman" w:eastAsia="宋体" w:cs="Times New Roman"/>
          <w:color w:val="auto"/>
          <w:sz w:val="21"/>
          <w:szCs w:val="21"/>
          <w:highlight w:val="none"/>
        </w:rPr>
        <w:t>类似项目的定义见第四章《评审方法及标准》规定。</w:t>
      </w:r>
    </w:p>
    <w:p w14:paraId="1A1ED080">
      <w:pPr>
        <w:rPr>
          <w:color w:val="auto"/>
          <w:highlight w:val="none"/>
        </w:rPr>
      </w:pPr>
      <w:r>
        <w:rPr>
          <w:color w:val="auto"/>
          <w:szCs w:val="21"/>
          <w:highlight w:val="none"/>
        </w:rPr>
        <w:t>（3）</w:t>
      </w:r>
      <w:r>
        <w:rPr>
          <w:color w:val="auto"/>
          <w:highlight w:val="none"/>
        </w:rPr>
        <w:t>本表可拓展</w:t>
      </w:r>
    </w:p>
    <w:p w14:paraId="284E5888">
      <w:pPr>
        <w:snapToGrid w:val="0"/>
        <w:spacing w:before="50"/>
        <w:jc w:val="left"/>
        <w:rPr>
          <w:color w:val="auto"/>
          <w:szCs w:val="21"/>
          <w:highlight w:val="none"/>
        </w:rPr>
      </w:pPr>
    </w:p>
    <w:p w14:paraId="6C1100E2">
      <w:pPr>
        <w:snapToGrid w:val="0"/>
        <w:spacing w:before="50"/>
        <w:jc w:val="left"/>
        <w:rPr>
          <w:rFonts w:hint="eastAsia"/>
          <w:color w:val="auto"/>
          <w:szCs w:val="21"/>
          <w:highlight w:val="none"/>
        </w:rPr>
        <w:sectPr>
          <w:headerReference r:id="rId20" w:type="default"/>
          <w:footerReference r:id="rId21" w:type="default"/>
          <w:pgSz w:w="16838" w:h="11906" w:orient="landscape"/>
          <w:pgMar w:top="1274" w:right="1418" w:bottom="1418" w:left="1418" w:header="851" w:footer="992" w:gutter="0"/>
          <w:cols w:space="720" w:num="1"/>
          <w:docGrid w:linePitch="312" w:charSpace="0"/>
        </w:sect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r>
        <w:rPr>
          <w:color w:val="auto"/>
          <w:szCs w:val="21"/>
          <w:highlight w:val="none"/>
        </w:rPr>
        <w:t xml:space="preserve">                                          年    月   </w:t>
      </w:r>
    </w:p>
    <w:p w14:paraId="5CEF9A05">
      <w:pPr>
        <w:snapToGrid w:val="0"/>
        <w:spacing w:before="50" w:after="120" w:afterLines="50"/>
        <w:jc w:val="left"/>
        <w:rPr>
          <w:color w:val="auto"/>
          <w:szCs w:val="21"/>
          <w:highlight w:val="none"/>
        </w:rPr>
      </w:pPr>
      <w:bookmarkStart w:id="103" w:name="_Hlk93046716"/>
      <w:bookmarkStart w:id="104" w:name="_Hlk19110561"/>
      <w:r>
        <w:rPr>
          <w:bCs/>
          <w:color w:val="auto"/>
          <w:sz w:val="24"/>
          <w:highlight w:val="none"/>
        </w:rPr>
        <w:t>14．</w:t>
      </w:r>
      <w:r>
        <w:rPr>
          <w:rFonts w:hint="eastAsia"/>
          <w:bCs/>
          <w:color w:val="auto"/>
          <w:sz w:val="24"/>
          <w:highlight w:val="none"/>
        </w:rPr>
        <w:t>符合政府采购政策的证明材料。</w:t>
      </w:r>
    </w:p>
    <w:p w14:paraId="685A18B4">
      <w:pPr>
        <w:rPr>
          <w:color w:val="auto"/>
          <w:szCs w:val="21"/>
          <w:highlight w:val="none"/>
        </w:rPr>
      </w:pPr>
      <w:r>
        <w:rPr>
          <w:color w:val="auto"/>
          <w:szCs w:val="21"/>
          <w:highlight w:val="none"/>
        </w:rPr>
        <w:t>14.1</w:t>
      </w:r>
      <w:r>
        <w:rPr>
          <w:rFonts w:hint="eastAsia"/>
          <w:bCs/>
          <w:color w:val="auto"/>
          <w:szCs w:val="21"/>
          <w:highlight w:val="none"/>
        </w:rPr>
        <w:t>中小企业声明函</w:t>
      </w:r>
      <w:r>
        <w:rPr>
          <w:color w:val="auto"/>
          <w:szCs w:val="21"/>
          <w:highlight w:val="none"/>
        </w:rPr>
        <w:t>。</w:t>
      </w:r>
    </w:p>
    <w:p w14:paraId="1849721C">
      <w:pPr>
        <w:spacing w:line="360" w:lineRule="auto"/>
        <w:ind w:firstLine="3584" w:firstLineChars="1700"/>
        <w:rPr>
          <w:b/>
          <w:color w:val="auto"/>
          <w:szCs w:val="21"/>
          <w:highlight w:val="none"/>
        </w:rPr>
      </w:pPr>
      <w:bookmarkStart w:id="105" w:name="_Hlk60649458"/>
    </w:p>
    <w:bookmarkEnd w:id="105"/>
    <w:p w14:paraId="2657C9B3">
      <w:pPr>
        <w:spacing w:line="360" w:lineRule="auto"/>
        <w:ind w:firstLine="3584" w:firstLineChars="1700"/>
        <w:rPr>
          <w:b/>
          <w:color w:val="auto"/>
          <w:szCs w:val="21"/>
          <w:highlight w:val="none"/>
        </w:rPr>
      </w:pPr>
      <w:r>
        <w:rPr>
          <w:rFonts w:hint="eastAsia"/>
          <w:b/>
          <w:color w:val="auto"/>
          <w:szCs w:val="21"/>
          <w:highlight w:val="none"/>
        </w:rPr>
        <w:t>中小企业声明函（服务）</w:t>
      </w:r>
    </w:p>
    <w:p w14:paraId="6CFB7AD7">
      <w:pPr>
        <w:spacing w:line="360" w:lineRule="auto"/>
        <w:ind w:firstLine="420"/>
        <w:rPr>
          <w:bCs/>
          <w:color w:val="auto"/>
          <w:szCs w:val="21"/>
          <w:highlight w:val="none"/>
        </w:rPr>
      </w:pPr>
      <w:r>
        <w:rPr>
          <w:rFonts w:hint="eastAsia"/>
          <w:bCs/>
          <w:color w:val="auto"/>
          <w:szCs w:val="21"/>
          <w:highlight w:val="none"/>
        </w:rPr>
        <w:t>本公司（联合体）郑重声明，根据《政府采购促进中小企业发展管理办法》（财库﹝2020﹞46 号）的规定，本公司（联合体）参加</w:t>
      </w:r>
      <w:r>
        <w:rPr>
          <w:rFonts w:hint="eastAsia"/>
          <w:bCs/>
          <w:color w:val="auto"/>
          <w:szCs w:val="21"/>
          <w:highlight w:val="none"/>
          <w:u w:val="single"/>
        </w:rPr>
        <w:t>（单位名称）</w:t>
      </w:r>
      <w:r>
        <w:rPr>
          <w:rFonts w:hint="eastAsia"/>
          <w:bCs/>
          <w:color w:val="auto"/>
          <w:szCs w:val="21"/>
          <w:highlight w:val="none"/>
        </w:rPr>
        <w:t>的</w:t>
      </w:r>
      <w:r>
        <w:rPr>
          <w:rFonts w:hint="eastAsia"/>
          <w:bCs/>
          <w:color w:val="auto"/>
          <w:szCs w:val="21"/>
          <w:highlight w:val="none"/>
          <w:u w:val="single"/>
        </w:rPr>
        <w:t>（项目名称）</w:t>
      </w:r>
      <w:r>
        <w:rPr>
          <w:rFonts w:hint="eastAsia"/>
          <w:bCs/>
          <w:color w:val="auto"/>
          <w:szCs w:val="21"/>
          <w:highlight w:val="none"/>
        </w:rPr>
        <w:t>采购活动，服务全部由符合政策要求的中小企业承接。相关企业（含联合体中的中小企业、签订分包意向协议的中小企业） 的具体情况如下：</w:t>
      </w:r>
    </w:p>
    <w:p w14:paraId="1AE586B0">
      <w:pPr>
        <w:spacing w:line="360" w:lineRule="auto"/>
        <w:ind w:firstLine="420"/>
        <w:rPr>
          <w:bCs/>
          <w:color w:val="auto"/>
          <w:szCs w:val="21"/>
          <w:highlight w:val="none"/>
        </w:rPr>
      </w:pPr>
      <w:r>
        <w:rPr>
          <w:bCs/>
          <w:color w:val="auto"/>
          <w:szCs w:val="21"/>
          <w:highlight w:val="none"/>
        </w:rPr>
        <w:t>1.</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行业；承接企业为</w:t>
      </w:r>
      <w:r>
        <w:rPr>
          <w:rFonts w:hint="eastAsia"/>
          <w:bCs/>
          <w:color w:val="auto"/>
          <w:szCs w:val="21"/>
          <w:highlight w:val="none"/>
          <w:u w:val="single"/>
        </w:rPr>
        <w:t>（企业名称）</w:t>
      </w:r>
      <w:r>
        <w:rPr>
          <w:rFonts w:hint="eastAsia"/>
          <w:bCs/>
          <w:color w:val="auto"/>
          <w:szCs w:val="21"/>
          <w:highlight w:val="none"/>
        </w:rPr>
        <w:t>，从业人员</w:t>
      </w:r>
      <w:r>
        <w:rPr>
          <w:bCs/>
          <w:color w:val="auto"/>
          <w:szCs w:val="21"/>
          <w:highlight w:val="none"/>
          <w:u w:val="single"/>
        </w:rPr>
        <w:t xml:space="preserve">    </w:t>
      </w:r>
      <w:r>
        <w:rPr>
          <w:rFonts w:hint="eastAsia"/>
          <w:bCs/>
          <w:color w:val="auto"/>
          <w:szCs w:val="21"/>
          <w:highlight w:val="none"/>
        </w:rPr>
        <w:t>人，营业收入为</w:t>
      </w:r>
      <w:r>
        <w:rPr>
          <w:rFonts w:hint="eastAsia"/>
          <w:bCs/>
          <w:color w:val="auto"/>
          <w:szCs w:val="21"/>
          <w:highlight w:val="none"/>
          <w:u w:val="single"/>
        </w:rPr>
        <w:t xml:space="preserve"> </w:t>
      </w:r>
      <w:r>
        <w:rPr>
          <w:bCs/>
          <w:color w:val="auto"/>
          <w:szCs w:val="21"/>
          <w:highlight w:val="none"/>
          <w:u w:val="single"/>
        </w:rPr>
        <w:t xml:space="preserve">  </w:t>
      </w:r>
      <w:r>
        <w:rPr>
          <w:rFonts w:hint="eastAsia"/>
          <w:bCs/>
          <w:color w:val="auto"/>
          <w:szCs w:val="21"/>
          <w:highlight w:val="none"/>
          <w:u w:val="single"/>
        </w:rPr>
        <w:t xml:space="preserve"> </w:t>
      </w:r>
      <w:r>
        <w:rPr>
          <w:rFonts w:hint="eastAsia"/>
          <w:bCs/>
          <w:color w:val="auto"/>
          <w:szCs w:val="21"/>
          <w:highlight w:val="none"/>
        </w:rPr>
        <w:t>万元，资产总额为</w:t>
      </w:r>
      <w:r>
        <w:rPr>
          <w:rFonts w:hint="eastAsia"/>
          <w:bCs/>
          <w:color w:val="auto"/>
          <w:szCs w:val="21"/>
          <w:highlight w:val="none"/>
          <w:u w:val="single"/>
        </w:rPr>
        <w:t xml:space="preserve">    </w:t>
      </w:r>
      <w:r>
        <w:rPr>
          <w:rFonts w:hint="eastAsia"/>
          <w:bCs/>
          <w:color w:val="auto"/>
          <w:szCs w:val="21"/>
          <w:highlight w:val="none"/>
        </w:rPr>
        <w:t>万元，属于</w:t>
      </w:r>
      <w:r>
        <w:rPr>
          <w:rFonts w:hint="eastAsia"/>
          <w:bCs/>
          <w:color w:val="auto"/>
          <w:szCs w:val="21"/>
          <w:highlight w:val="none"/>
          <w:u w:val="single"/>
        </w:rPr>
        <w:t>（中型企业、小型企业、微型企业）</w:t>
      </w:r>
      <w:r>
        <w:rPr>
          <w:rFonts w:hint="eastAsia"/>
          <w:bCs/>
          <w:color w:val="auto"/>
          <w:szCs w:val="21"/>
          <w:highlight w:val="none"/>
        </w:rPr>
        <w:t>；</w:t>
      </w:r>
    </w:p>
    <w:p w14:paraId="4B83621D">
      <w:pPr>
        <w:spacing w:line="360" w:lineRule="auto"/>
        <w:ind w:firstLine="420"/>
        <w:rPr>
          <w:bCs/>
          <w:color w:val="auto"/>
          <w:szCs w:val="21"/>
          <w:highlight w:val="none"/>
        </w:rPr>
      </w:pPr>
      <w:r>
        <w:rPr>
          <w:bCs/>
          <w:color w:val="auto"/>
          <w:szCs w:val="21"/>
          <w:highlight w:val="none"/>
        </w:rPr>
        <w:t>2.</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行业；承接企业为</w:t>
      </w:r>
      <w:r>
        <w:rPr>
          <w:rFonts w:hint="eastAsia"/>
          <w:bCs/>
          <w:color w:val="auto"/>
          <w:szCs w:val="21"/>
          <w:highlight w:val="none"/>
          <w:u w:val="single"/>
        </w:rPr>
        <w:t>（企业名称）</w:t>
      </w:r>
      <w:r>
        <w:rPr>
          <w:rFonts w:hint="eastAsia"/>
          <w:bCs/>
          <w:color w:val="auto"/>
          <w:szCs w:val="21"/>
          <w:highlight w:val="none"/>
        </w:rPr>
        <w:t>，从业人员</w:t>
      </w:r>
      <w:r>
        <w:rPr>
          <w:rFonts w:hint="eastAsia"/>
          <w:bCs/>
          <w:color w:val="auto"/>
          <w:szCs w:val="21"/>
          <w:highlight w:val="none"/>
          <w:u w:val="single"/>
        </w:rPr>
        <w:t xml:space="preserve">       </w:t>
      </w:r>
      <w:r>
        <w:rPr>
          <w:rFonts w:hint="eastAsia"/>
          <w:bCs/>
          <w:color w:val="auto"/>
          <w:szCs w:val="21"/>
          <w:highlight w:val="none"/>
        </w:rPr>
        <w:t>人，营业收入为</w:t>
      </w:r>
      <w:r>
        <w:rPr>
          <w:rFonts w:hint="eastAsia"/>
          <w:bCs/>
          <w:color w:val="auto"/>
          <w:szCs w:val="21"/>
          <w:highlight w:val="none"/>
          <w:u w:val="single"/>
        </w:rPr>
        <w:t xml:space="preserve">     </w:t>
      </w:r>
      <w:r>
        <w:rPr>
          <w:rFonts w:hint="eastAsia"/>
          <w:bCs/>
          <w:color w:val="auto"/>
          <w:szCs w:val="21"/>
          <w:highlight w:val="none"/>
        </w:rPr>
        <w:t>万元，资产总额为</w:t>
      </w:r>
      <w:r>
        <w:rPr>
          <w:rFonts w:hint="eastAsia"/>
          <w:bCs/>
          <w:color w:val="auto"/>
          <w:szCs w:val="21"/>
          <w:highlight w:val="none"/>
          <w:u w:val="single"/>
        </w:rPr>
        <w:t xml:space="preserve"> </w:t>
      </w:r>
      <w:r>
        <w:rPr>
          <w:bCs/>
          <w:color w:val="auto"/>
          <w:szCs w:val="21"/>
          <w:highlight w:val="none"/>
          <w:u w:val="single"/>
        </w:rPr>
        <w:t xml:space="preserve">     </w:t>
      </w:r>
      <w:r>
        <w:rPr>
          <w:rFonts w:hint="eastAsia"/>
          <w:bCs/>
          <w:color w:val="auto"/>
          <w:szCs w:val="21"/>
          <w:highlight w:val="none"/>
          <w:u w:val="single"/>
        </w:rPr>
        <w:t xml:space="preserve"> </w:t>
      </w:r>
      <w:r>
        <w:rPr>
          <w:rFonts w:hint="eastAsia"/>
          <w:bCs/>
          <w:color w:val="auto"/>
          <w:szCs w:val="21"/>
          <w:highlight w:val="none"/>
        </w:rPr>
        <w:t>万元，属于</w:t>
      </w:r>
      <w:r>
        <w:rPr>
          <w:rFonts w:hint="eastAsia"/>
          <w:bCs/>
          <w:color w:val="auto"/>
          <w:szCs w:val="21"/>
          <w:highlight w:val="none"/>
          <w:u w:val="single"/>
        </w:rPr>
        <w:t>（中型企业、小型企业、微型企业）</w:t>
      </w:r>
      <w:r>
        <w:rPr>
          <w:rFonts w:hint="eastAsia"/>
          <w:bCs/>
          <w:color w:val="auto"/>
          <w:szCs w:val="21"/>
          <w:highlight w:val="none"/>
        </w:rPr>
        <w:t>；</w:t>
      </w:r>
    </w:p>
    <w:p w14:paraId="4410AE6C">
      <w:pPr>
        <w:spacing w:line="360" w:lineRule="auto"/>
        <w:ind w:firstLine="420"/>
        <w:rPr>
          <w:bCs/>
          <w:color w:val="auto"/>
          <w:szCs w:val="21"/>
          <w:highlight w:val="none"/>
        </w:rPr>
      </w:pPr>
      <w:r>
        <w:rPr>
          <w:rFonts w:hint="eastAsia"/>
          <w:bCs/>
          <w:color w:val="auto"/>
          <w:szCs w:val="21"/>
          <w:highlight w:val="none"/>
        </w:rPr>
        <w:t>……</w:t>
      </w:r>
    </w:p>
    <w:p w14:paraId="3DE05643">
      <w:pPr>
        <w:spacing w:line="360" w:lineRule="auto"/>
        <w:ind w:firstLine="420"/>
        <w:rPr>
          <w:bCs/>
          <w:color w:val="auto"/>
          <w:szCs w:val="21"/>
          <w:highlight w:val="none"/>
        </w:rPr>
      </w:pPr>
      <w:r>
        <w:rPr>
          <w:rFonts w:hint="eastAsia"/>
          <w:bCs/>
          <w:color w:val="auto"/>
          <w:szCs w:val="21"/>
          <w:highlight w:val="none"/>
        </w:rPr>
        <w:t>以上企业，不属于大企业的分支机构，不存在控股股东为大企业的情形，也不存在与大企业的负责人为同一人的情形。</w:t>
      </w:r>
    </w:p>
    <w:p w14:paraId="2EAFE2B8">
      <w:pPr>
        <w:spacing w:line="360" w:lineRule="auto"/>
        <w:ind w:firstLine="420"/>
        <w:rPr>
          <w:bCs/>
          <w:color w:val="auto"/>
          <w:szCs w:val="21"/>
          <w:highlight w:val="none"/>
        </w:rPr>
      </w:pPr>
      <w:r>
        <w:rPr>
          <w:rFonts w:hint="eastAsia"/>
          <w:bCs/>
          <w:color w:val="auto"/>
          <w:szCs w:val="21"/>
          <w:highlight w:val="none"/>
        </w:rPr>
        <w:t>本企业对上述声明内容的真实性负责。如有虚假，将依法承担相应责任。</w:t>
      </w:r>
    </w:p>
    <w:p w14:paraId="0D941C8A">
      <w:pPr>
        <w:spacing w:line="360" w:lineRule="auto"/>
        <w:ind w:firstLine="3150" w:firstLineChars="1500"/>
        <w:rPr>
          <w:bCs/>
          <w:color w:val="auto"/>
          <w:szCs w:val="21"/>
          <w:highlight w:val="none"/>
        </w:rPr>
      </w:pPr>
      <w:r>
        <w:rPr>
          <w:rFonts w:hint="eastAsia"/>
          <w:bCs/>
          <w:color w:val="auto"/>
          <w:szCs w:val="21"/>
          <w:highlight w:val="none"/>
        </w:rPr>
        <w:t xml:space="preserve">企业名称（电子签章）： </w:t>
      </w:r>
      <w:r>
        <w:rPr>
          <w:bCs/>
          <w:color w:val="auto"/>
          <w:szCs w:val="21"/>
          <w:highlight w:val="none"/>
        </w:rPr>
        <w:t xml:space="preserve"> </w:t>
      </w:r>
      <w:r>
        <w:rPr>
          <w:rFonts w:hint="eastAsia"/>
          <w:bCs/>
          <w:color w:val="auto"/>
          <w:szCs w:val="21"/>
          <w:highlight w:val="none"/>
        </w:rPr>
        <w:t>日期：</w:t>
      </w:r>
    </w:p>
    <w:p w14:paraId="779EE124">
      <w:pPr>
        <w:spacing w:line="360" w:lineRule="auto"/>
        <w:jc w:val="left"/>
        <w:rPr>
          <w:bCs/>
          <w:color w:val="auto"/>
          <w:szCs w:val="21"/>
          <w:highlight w:val="none"/>
        </w:rPr>
      </w:pPr>
      <w:r>
        <w:rPr>
          <w:rFonts w:hint="eastAsia"/>
          <w:bCs/>
          <w:color w:val="auto"/>
          <w:szCs w:val="21"/>
          <w:highlight w:val="none"/>
        </w:rPr>
        <w:t>（1）标的名称按照第二章采购需求一览表中的名称填写，</w:t>
      </w:r>
      <w:r>
        <w:rPr>
          <w:color w:val="auto"/>
          <w:szCs w:val="21"/>
          <w:highlight w:val="none"/>
        </w:rPr>
        <w:t>所属行业标明“/”的</w:t>
      </w:r>
      <w:r>
        <w:rPr>
          <w:rFonts w:hint="eastAsia"/>
          <w:bCs/>
          <w:color w:val="auto"/>
          <w:szCs w:val="21"/>
          <w:highlight w:val="none"/>
        </w:rPr>
        <w:t>，无需在上表填写。</w:t>
      </w:r>
    </w:p>
    <w:p w14:paraId="65B6230D">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2</w:t>
      </w:r>
      <w:r>
        <w:rPr>
          <w:rFonts w:hint="eastAsia"/>
          <w:bCs/>
          <w:color w:val="auto"/>
          <w:szCs w:val="21"/>
          <w:highlight w:val="none"/>
        </w:rPr>
        <w:t>）如供应商为联合体或分包的，声明函中“项目名称”应填写联合体中小微企业承担的具体内容或者小微企业具体分包内容。</w:t>
      </w:r>
    </w:p>
    <w:p w14:paraId="7AD89CB9">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3</w:t>
      </w:r>
      <w:r>
        <w:rPr>
          <w:rFonts w:hint="eastAsia"/>
          <w:bCs/>
          <w:color w:val="auto"/>
          <w:szCs w:val="21"/>
          <w:highlight w:val="none"/>
        </w:rPr>
        <w:t>）从业人员、营业收入、资产总额填报上一年度数据，无上一年度数据的新成立企业参照国务院批准的中小企业划分标准，根据企业自身情况如实判断。</w:t>
      </w:r>
    </w:p>
    <w:p w14:paraId="29759D41">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4</w:t>
      </w:r>
      <w:r>
        <w:rPr>
          <w:rFonts w:hint="eastAsia"/>
          <w:bCs/>
          <w:color w:val="auto"/>
          <w:szCs w:val="21"/>
          <w:highlight w:val="none"/>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24510277">
      <w:pPr>
        <w:spacing w:line="360" w:lineRule="auto"/>
        <w:jc w:val="left"/>
        <w:rPr>
          <w:rFonts w:hint="eastAsia"/>
          <w:bCs/>
          <w:color w:val="auto"/>
          <w:szCs w:val="21"/>
          <w:highlight w:val="none"/>
        </w:rPr>
      </w:pPr>
      <w:r>
        <w:rPr>
          <w:rFonts w:hint="eastAsia"/>
          <w:bCs/>
          <w:color w:val="auto"/>
          <w:szCs w:val="21"/>
          <w:highlight w:val="none"/>
        </w:rPr>
        <w:t>（5）根据</w:t>
      </w:r>
      <w:r>
        <w:rPr>
          <w:rFonts w:hint="eastAsia"/>
          <w:bCs/>
          <w:color w:val="auto"/>
          <w:szCs w:val="21"/>
          <w:highlight w:val="none"/>
          <w:lang w:eastAsia="zh-CN"/>
        </w:rPr>
        <w:t>国家统计局</w:t>
      </w:r>
      <w:r>
        <w:rPr>
          <w:rFonts w:hint="eastAsia"/>
          <w:bCs/>
          <w:color w:val="auto"/>
          <w:szCs w:val="21"/>
          <w:highlight w:val="none"/>
        </w:rPr>
        <w:t>《劳动工资统计报表制度》，从业人员数是指本单位工作，并取得工资或其他形式劳动报酬的人员数，是在岗职工、劳务派遣人员及其他从业人员之和。</w:t>
      </w:r>
    </w:p>
    <w:p w14:paraId="0DA6F661">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6</w:t>
      </w:r>
      <w:r>
        <w:rPr>
          <w:rFonts w:hint="eastAsia"/>
          <w:bCs/>
          <w:color w:val="auto"/>
          <w:szCs w:val="21"/>
          <w:highlight w:val="none"/>
        </w:rPr>
        <w:t>）本声明函由供应商填写，供应商应按中小企业划分标准《关于印发中小企业划型标准规定的通知》（工信部联企业〔2011〕300号</w:t>
      </w:r>
      <w:r>
        <w:rPr>
          <w:rFonts w:hint="eastAsia"/>
          <w:color w:val="auto"/>
          <w:szCs w:val="21"/>
          <w:highlight w:val="none"/>
        </w:rPr>
        <w:t>以及《金融业企业划型标准规定》（银发〔2015〕309号）</w:t>
      </w:r>
      <w:r>
        <w:rPr>
          <w:rFonts w:hint="eastAsia"/>
          <w:bCs/>
          <w:color w:val="auto"/>
          <w:szCs w:val="21"/>
          <w:highlight w:val="none"/>
        </w:rPr>
        <w:t>）判断是否为中小企业。</w:t>
      </w:r>
    </w:p>
    <w:p w14:paraId="65D7E154">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7</w:t>
      </w:r>
      <w:r>
        <w:rPr>
          <w:rFonts w:hint="eastAsia"/>
          <w:bCs/>
          <w:color w:val="auto"/>
          <w:szCs w:val="21"/>
          <w:highlight w:val="none"/>
        </w:rPr>
        <w:t>）供应商对《中小企业声明函》的真实性负责，如有虚假则需承担不利后果。依法享受中小企业优惠政策的，采购人或采购代理机构在公告成交结果时，同时公告其《中小企业声明函》，接受社会监督。</w:t>
      </w:r>
    </w:p>
    <w:p w14:paraId="626FF1BE">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8</w:t>
      </w:r>
      <w:r>
        <w:rPr>
          <w:rFonts w:hint="eastAsia"/>
          <w:bCs/>
          <w:color w:val="auto"/>
          <w:szCs w:val="21"/>
          <w:highlight w:val="none"/>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027788A8">
      <w:pPr>
        <w:snapToGrid w:val="0"/>
        <w:spacing w:before="50" w:after="120" w:afterLines="50"/>
        <w:jc w:val="left"/>
        <w:rPr>
          <w:rFonts w:hint="eastAsia"/>
          <w:color w:val="auto"/>
          <w:szCs w:val="21"/>
          <w:highlight w:val="none"/>
        </w:rPr>
      </w:pPr>
    </w:p>
    <w:p w14:paraId="4326617B">
      <w:pPr>
        <w:snapToGrid w:val="0"/>
        <w:spacing w:before="50" w:after="120" w:afterLines="50"/>
        <w:jc w:val="left"/>
        <w:rPr>
          <w:color w:val="auto"/>
          <w:szCs w:val="21"/>
          <w:highlight w:val="none"/>
        </w:rPr>
      </w:pPr>
      <w:r>
        <w:rPr>
          <w:color w:val="auto"/>
          <w:szCs w:val="21"/>
          <w:highlight w:val="none"/>
        </w:rPr>
        <w:t>14.2监狱企业须提供最新一期《XX省监狱企业产品目录》或其他监狱企业证明材料。（非监狱企业无需提供）</w:t>
      </w:r>
    </w:p>
    <w:p w14:paraId="318B887A">
      <w:pPr>
        <w:snapToGrid w:val="0"/>
        <w:spacing w:before="50" w:after="120" w:afterLines="50"/>
        <w:jc w:val="left"/>
        <w:rPr>
          <w:color w:val="auto"/>
          <w:szCs w:val="21"/>
          <w:highlight w:val="none"/>
        </w:rPr>
      </w:pPr>
    </w:p>
    <w:p w14:paraId="32EBD14A">
      <w:pPr>
        <w:snapToGrid w:val="0"/>
        <w:spacing w:before="50" w:after="120" w:afterLines="50"/>
        <w:jc w:val="left"/>
        <w:rPr>
          <w:color w:val="auto"/>
          <w:highlight w:val="none"/>
        </w:rPr>
      </w:pPr>
      <w:r>
        <w:rPr>
          <w:color w:val="auto"/>
          <w:szCs w:val="21"/>
          <w:highlight w:val="none"/>
        </w:rPr>
        <w:t>14.3</w:t>
      </w:r>
      <w:bookmarkStart w:id="106" w:name="_Hlk19051624"/>
      <w:r>
        <w:rPr>
          <w:color w:val="auto"/>
          <w:highlight w:val="none"/>
        </w:rPr>
        <w:t>残疾人福利性单位须提供《残疾人福利性单位声明函》，格式如下。</w:t>
      </w:r>
      <w:r>
        <w:rPr>
          <w:color w:val="auto"/>
          <w:szCs w:val="21"/>
          <w:highlight w:val="none"/>
        </w:rPr>
        <w:t>（非残疾人福利性单位无需提供）</w:t>
      </w:r>
    </w:p>
    <w:bookmarkEnd w:id="106"/>
    <w:p w14:paraId="642D8FC0">
      <w:pPr>
        <w:spacing w:line="360" w:lineRule="auto"/>
        <w:jc w:val="center"/>
        <w:rPr>
          <w:b/>
          <w:color w:val="auto"/>
          <w:szCs w:val="21"/>
          <w:highlight w:val="none"/>
        </w:rPr>
      </w:pPr>
      <w:bookmarkStart w:id="107" w:name="OLE_LINK13"/>
      <w:bookmarkStart w:id="108" w:name="OLE_LINK14"/>
      <w:r>
        <w:rPr>
          <w:b/>
          <w:color w:val="auto"/>
          <w:szCs w:val="21"/>
          <w:highlight w:val="none"/>
        </w:rPr>
        <w:t>残疾人福利性单位声明函</w:t>
      </w:r>
      <w:bookmarkEnd w:id="107"/>
      <w:bookmarkEnd w:id="108"/>
    </w:p>
    <w:p w14:paraId="300522D0">
      <w:pPr>
        <w:spacing w:line="360" w:lineRule="auto"/>
        <w:ind w:firstLine="420"/>
        <w:jc w:val="left"/>
        <w:rPr>
          <w:color w:val="auto"/>
          <w:szCs w:val="21"/>
          <w:highlight w:val="none"/>
        </w:rPr>
      </w:pPr>
      <w:r>
        <w:rPr>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color w:val="auto"/>
          <w:szCs w:val="21"/>
          <w:highlight w:val="none"/>
          <w:u w:val="single"/>
        </w:rPr>
        <w:t xml:space="preserve">        </w:t>
      </w:r>
      <w:r>
        <w:rPr>
          <w:color w:val="auto"/>
          <w:szCs w:val="21"/>
          <w:highlight w:val="none"/>
        </w:rPr>
        <w:t>单位的</w:t>
      </w:r>
      <w:r>
        <w:rPr>
          <w:color w:val="auto"/>
          <w:szCs w:val="21"/>
          <w:highlight w:val="none"/>
          <w:u w:val="single"/>
        </w:rPr>
        <w:t xml:space="preserve">           </w:t>
      </w:r>
      <w:r>
        <w:rPr>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60BE7446">
      <w:pPr>
        <w:spacing w:line="360" w:lineRule="auto"/>
        <w:ind w:firstLine="420"/>
        <w:rPr>
          <w:rFonts w:hint="eastAsia"/>
          <w:color w:val="auto"/>
          <w:szCs w:val="21"/>
          <w:highlight w:val="none"/>
        </w:rPr>
      </w:pPr>
      <w:r>
        <w:rPr>
          <w:color w:val="auto"/>
          <w:szCs w:val="21"/>
          <w:highlight w:val="none"/>
        </w:rPr>
        <w:t>本单位对上述声明的真实性负责。如有虚假，将依法承担相应责任。</w:t>
      </w:r>
    </w:p>
    <w:p w14:paraId="5C59251B">
      <w:pPr>
        <w:spacing w:line="360" w:lineRule="auto"/>
        <w:ind w:firstLine="420"/>
        <w:rPr>
          <w:color w:val="auto"/>
          <w:spacing w:val="6"/>
          <w:szCs w:val="21"/>
          <w:highlight w:val="none"/>
        </w:rPr>
      </w:pPr>
      <w:r>
        <w:rPr>
          <w:color w:val="auto"/>
          <w:spacing w:val="6"/>
          <w:sz w:val="30"/>
          <w:szCs w:val="30"/>
          <w:highlight w:val="none"/>
        </w:rPr>
        <w:t xml:space="preserve"> </w:t>
      </w:r>
      <w:r>
        <w:rPr>
          <w:color w:val="auto"/>
          <w:spacing w:val="6"/>
          <w:szCs w:val="21"/>
          <w:highlight w:val="none"/>
        </w:rPr>
        <w:t xml:space="preserve"> </w:t>
      </w:r>
      <w:r>
        <w:rPr>
          <w:rFonts w:hint="eastAsia"/>
          <w:color w:val="auto"/>
          <w:spacing w:val="6"/>
          <w:szCs w:val="21"/>
          <w:highlight w:val="none"/>
        </w:rPr>
        <w:t xml:space="preserve">                                            </w:t>
      </w:r>
    </w:p>
    <w:p w14:paraId="7F82D124">
      <w:pPr>
        <w:spacing w:line="360" w:lineRule="auto"/>
        <w:ind w:firstLine="420"/>
        <w:jc w:val="right"/>
        <w:rPr>
          <w:rFonts w:hint="eastAsia"/>
          <w:color w:val="auto"/>
          <w:spacing w:val="6"/>
          <w:szCs w:val="21"/>
          <w:highlight w:val="none"/>
        </w:rPr>
      </w:pPr>
      <w:r>
        <w:rPr>
          <w:color w:val="auto"/>
          <w:spacing w:val="6"/>
          <w:szCs w:val="21"/>
          <w:highlight w:val="none"/>
        </w:rPr>
        <w:t>单位名称（</w:t>
      </w:r>
      <w:r>
        <w:rPr>
          <w:rFonts w:hint="eastAsia"/>
          <w:color w:val="auto"/>
          <w:spacing w:val="6"/>
          <w:szCs w:val="21"/>
          <w:highlight w:val="none"/>
        </w:rPr>
        <w:t>电子签章</w:t>
      </w:r>
      <w:r>
        <w:rPr>
          <w:color w:val="auto"/>
          <w:spacing w:val="6"/>
          <w:szCs w:val="21"/>
          <w:highlight w:val="none"/>
        </w:rPr>
        <w:t xml:space="preserve">）：          </w:t>
      </w:r>
    </w:p>
    <w:p w14:paraId="67899A7A">
      <w:pPr>
        <w:spacing w:line="360" w:lineRule="auto"/>
        <w:ind w:firstLine="420"/>
        <w:rPr>
          <w:color w:val="auto"/>
          <w:szCs w:val="21"/>
          <w:highlight w:val="none"/>
        </w:rPr>
      </w:pPr>
      <w:r>
        <w:rPr>
          <w:color w:val="auto"/>
          <w:spacing w:val="6"/>
          <w:szCs w:val="21"/>
          <w:highlight w:val="none"/>
        </w:rPr>
        <w:t xml:space="preserve"> </w:t>
      </w:r>
      <w:r>
        <w:rPr>
          <w:rFonts w:hint="eastAsia"/>
          <w:color w:val="auto"/>
          <w:spacing w:val="6"/>
          <w:szCs w:val="21"/>
          <w:highlight w:val="none"/>
        </w:rPr>
        <w:t xml:space="preserve">                                                      </w:t>
      </w:r>
      <w:r>
        <w:rPr>
          <w:color w:val="auto"/>
          <w:spacing w:val="6"/>
          <w:szCs w:val="21"/>
          <w:highlight w:val="none"/>
        </w:rPr>
        <w:t>日  期：</w:t>
      </w:r>
    </w:p>
    <w:p w14:paraId="3EA6E627">
      <w:pPr>
        <w:rPr>
          <w:color w:val="auto"/>
          <w:highlight w:val="none"/>
        </w:rPr>
      </w:pPr>
    </w:p>
    <w:p w14:paraId="403A725D">
      <w:pPr>
        <w:spacing w:line="360" w:lineRule="auto"/>
        <w:rPr>
          <w:color w:val="auto"/>
          <w:spacing w:val="6"/>
          <w:szCs w:val="21"/>
          <w:highlight w:val="none"/>
        </w:rPr>
      </w:pPr>
    </w:p>
    <w:p w14:paraId="2E1A1FCC">
      <w:pPr>
        <w:snapToGrid w:val="0"/>
        <w:spacing w:before="50" w:after="120" w:afterLines="50"/>
        <w:jc w:val="left"/>
        <w:rPr>
          <w:rFonts w:hint="eastAsia"/>
          <w:color w:val="auto"/>
          <w:szCs w:val="21"/>
          <w:highlight w:val="none"/>
        </w:rPr>
        <w:sectPr>
          <w:headerReference r:id="rId22" w:type="default"/>
          <w:pgSz w:w="11906" w:h="16838"/>
          <w:pgMar w:top="1418" w:right="1274" w:bottom="1418" w:left="1418" w:header="851" w:footer="992" w:gutter="0"/>
          <w:cols w:space="720" w:num="1"/>
          <w:docGrid w:linePitch="312" w:charSpace="0"/>
        </w:sectPr>
      </w:pPr>
    </w:p>
    <w:p w14:paraId="2EF16B2E">
      <w:pPr>
        <w:snapToGrid w:val="0"/>
        <w:spacing w:before="50" w:after="120" w:afterLines="50"/>
        <w:jc w:val="left"/>
        <w:rPr>
          <w:color w:val="auto"/>
          <w:szCs w:val="21"/>
          <w:highlight w:val="none"/>
        </w:rPr>
      </w:pPr>
      <w:r>
        <w:rPr>
          <w:color w:val="auto"/>
          <w:szCs w:val="21"/>
          <w:highlight w:val="none"/>
        </w:rPr>
        <w:t>15.</w:t>
      </w:r>
      <w:r>
        <w:rPr>
          <w:rFonts w:hint="eastAsia"/>
          <w:color w:val="auto"/>
          <w:highlight w:val="none"/>
        </w:rPr>
        <w:t xml:space="preserve"> </w:t>
      </w:r>
      <w:r>
        <w:rPr>
          <w:rFonts w:hint="eastAsia"/>
          <w:color w:val="auto"/>
          <w:szCs w:val="21"/>
          <w:highlight w:val="none"/>
        </w:rPr>
        <w:t>无串标行为承诺函</w:t>
      </w:r>
    </w:p>
    <w:p w14:paraId="569AE707">
      <w:pPr>
        <w:snapToGrid w:val="0"/>
        <w:spacing w:before="50" w:after="120" w:afterLines="50"/>
        <w:jc w:val="center"/>
        <w:rPr>
          <w:color w:val="auto"/>
          <w:szCs w:val="21"/>
          <w:highlight w:val="none"/>
        </w:rPr>
      </w:pPr>
    </w:p>
    <w:p w14:paraId="698E1507">
      <w:pPr>
        <w:snapToGrid w:val="0"/>
        <w:spacing w:before="50" w:after="120" w:afterLines="50"/>
        <w:jc w:val="center"/>
        <w:rPr>
          <w:color w:val="auto"/>
          <w:szCs w:val="21"/>
          <w:highlight w:val="none"/>
        </w:rPr>
      </w:pPr>
      <w:r>
        <w:rPr>
          <w:rFonts w:hint="eastAsia"/>
          <w:color w:val="auto"/>
          <w:szCs w:val="21"/>
          <w:highlight w:val="none"/>
        </w:rPr>
        <w:t>供应商参加本项目无围标串标行为的承诺函</w:t>
      </w:r>
    </w:p>
    <w:p w14:paraId="179CC4D0">
      <w:pPr>
        <w:snapToGrid w:val="0"/>
        <w:spacing w:before="50" w:after="120" w:afterLines="50"/>
        <w:jc w:val="left"/>
        <w:rPr>
          <w:color w:val="auto"/>
          <w:szCs w:val="21"/>
          <w:highlight w:val="none"/>
        </w:rPr>
      </w:pPr>
    </w:p>
    <w:p w14:paraId="103867E8">
      <w:pPr>
        <w:snapToGrid w:val="0"/>
        <w:spacing w:before="50" w:after="120" w:afterLines="50"/>
        <w:jc w:val="left"/>
        <w:rPr>
          <w:color w:val="auto"/>
          <w:szCs w:val="21"/>
          <w:highlight w:val="none"/>
        </w:rPr>
      </w:pPr>
      <w:r>
        <w:rPr>
          <w:rFonts w:hint="eastAsia"/>
          <w:color w:val="auto"/>
          <w:szCs w:val="21"/>
          <w:highlight w:val="none"/>
        </w:rPr>
        <w:t>一、我方承诺无下列相互串通投标的情形：</w:t>
      </w:r>
    </w:p>
    <w:p w14:paraId="242E2E65">
      <w:pPr>
        <w:snapToGrid w:val="0"/>
        <w:spacing w:before="50" w:after="120" w:afterLines="50"/>
        <w:jc w:val="left"/>
        <w:rPr>
          <w:color w:val="auto"/>
          <w:szCs w:val="21"/>
          <w:highlight w:val="none"/>
        </w:rPr>
      </w:pPr>
      <w:r>
        <w:rPr>
          <w:rFonts w:hint="eastAsia"/>
          <w:color w:val="auto"/>
          <w:szCs w:val="21"/>
          <w:highlight w:val="none"/>
        </w:rPr>
        <w:t>1.不同供应商的响应文件由同一单位或者个人编制；或者不同供应商报名的IP地址一致的；</w:t>
      </w:r>
    </w:p>
    <w:p w14:paraId="07E2AC94">
      <w:pPr>
        <w:snapToGrid w:val="0"/>
        <w:spacing w:before="50" w:after="120" w:afterLines="50"/>
        <w:jc w:val="left"/>
        <w:rPr>
          <w:color w:val="auto"/>
          <w:szCs w:val="21"/>
          <w:highlight w:val="none"/>
        </w:rPr>
      </w:pPr>
      <w:r>
        <w:rPr>
          <w:rFonts w:hint="eastAsia"/>
          <w:color w:val="auto"/>
          <w:szCs w:val="21"/>
          <w:highlight w:val="none"/>
        </w:rPr>
        <w:t>2.不同供应商委托同一单位或者个人办理投标事宜；</w:t>
      </w:r>
    </w:p>
    <w:p w14:paraId="36A41839">
      <w:pPr>
        <w:snapToGrid w:val="0"/>
        <w:spacing w:before="50" w:after="120" w:afterLines="50"/>
        <w:jc w:val="left"/>
        <w:rPr>
          <w:color w:val="auto"/>
          <w:szCs w:val="21"/>
          <w:highlight w:val="none"/>
        </w:rPr>
      </w:pPr>
      <w:r>
        <w:rPr>
          <w:rFonts w:hint="eastAsia"/>
          <w:color w:val="auto"/>
          <w:szCs w:val="21"/>
          <w:highlight w:val="none"/>
        </w:rPr>
        <w:t>3.不同的供应商的响应文件载明的项目管理员为同一个人；</w:t>
      </w:r>
    </w:p>
    <w:p w14:paraId="2AD2E0C9">
      <w:pPr>
        <w:snapToGrid w:val="0"/>
        <w:spacing w:before="50" w:after="120" w:afterLines="50"/>
        <w:jc w:val="left"/>
        <w:rPr>
          <w:color w:val="auto"/>
          <w:szCs w:val="21"/>
          <w:highlight w:val="none"/>
        </w:rPr>
      </w:pPr>
      <w:r>
        <w:rPr>
          <w:rFonts w:hint="eastAsia"/>
          <w:color w:val="auto"/>
          <w:szCs w:val="21"/>
          <w:highlight w:val="none"/>
        </w:rPr>
        <w:t>4.不同供应商的响应文件异常一致或者投标报价呈规律性差异；</w:t>
      </w:r>
    </w:p>
    <w:p w14:paraId="007696DF">
      <w:pPr>
        <w:snapToGrid w:val="0"/>
        <w:spacing w:before="50" w:after="120" w:afterLines="50"/>
        <w:jc w:val="left"/>
        <w:rPr>
          <w:color w:val="auto"/>
          <w:szCs w:val="21"/>
          <w:highlight w:val="none"/>
        </w:rPr>
      </w:pPr>
      <w:r>
        <w:rPr>
          <w:rFonts w:hint="eastAsia"/>
          <w:color w:val="auto"/>
          <w:szCs w:val="21"/>
          <w:highlight w:val="none"/>
        </w:rPr>
        <w:t>5.不同供应商的响应文件相互混装；</w:t>
      </w:r>
    </w:p>
    <w:p w14:paraId="09A552CC">
      <w:pPr>
        <w:snapToGrid w:val="0"/>
        <w:spacing w:before="50" w:after="120" w:afterLines="50"/>
        <w:jc w:val="left"/>
        <w:rPr>
          <w:color w:val="auto"/>
          <w:szCs w:val="21"/>
          <w:highlight w:val="none"/>
        </w:rPr>
      </w:pPr>
      <w:r>
        <w:rPr>
          <w:rFonts w:hint="eastAsia"/>
          <w:color w:val="auto"/>
          <w:szCs w:val="21"/>
          <w:highlight w:val="none"/>
        </w:rPr>
        <w:t>6.不同供应商的磋商保证金从同一单位或者个人账户转出。</w:t>
      </w:r>
    </w:p>
    <w:p w14:paraId="566857B8">
      <w:pPr>
        <w:snapToGrid w:val="0"/>
        <w:spacing w:before="50" w:after="120" w:afterLines="50"/>
        <w:jc w:val="left"/>
        <w:rPr>
          <w:color w:val="auto"/>
          <w:szCs w:val="21"/>
          <w:highlight w:val="none"/>
        </w:rPr>
      </w:pPr>
      <w:r>
        <w:rPr>
          <w:rFonts w:hint="eastAsia"/>
          <w:color w:val="auto"/>
          <w:szCs w:val="21"/>
          <w:highlight w:val="none"/>
        </w:rPr>
        <w:t>二、我方承诺无下列恶意串通的情形：</w:t>
      </w:r>
    </w:p>
    <w:p w14:paraId="168ECAD1">
      <w:pPr>
        <w:snapToGrid w:val="0"/>
        <w:spacing w:before="50" w:after="120" w:afterLines="50"/>
        <w:jc w:val="left"/>
        <w:rPr>
          <w:color w:val="auto"/>
          <w:szCs w:val="21"/>
          <w:highlight w:val="none"/>
        </w:rPr>
      </w:pPr>
      <w:r>
        <w:rPr>
          <w:rFonts w:hint="eastAsia"/>
          <w:color w:val="auto"/>
          <w:szCs w:val="21"/>
          <w:highlight w:val="none"/>
        </w:rPr>
        <w:t>1.供应商直接或者间接从采购人或者采购代理机构处获得其他供应商的相关信息并修改其响应文件或者响应文件；</w:t>
      </w:r>
    </w:p>
    <w:p w14:paraId="4063F5B5">
      <w:pPr>
        <w:snapToGrid w:val="0"/>
        <w:spacing w:before="50" w:after="120" w:afterLines="50"/>
        <w:jc w:val="left"/>
        <w:rPr>
          <w:color w:val="auto"/>
          <w:szCs w:val="21"/>
          <w:highlight w:val="none"/>
        </w:rPr>
      </w:pPr>
      <w:r>
        <w:rPr>
          <w:rFonts w:hint="eastAsia"/>
          <w:color w:val="auto"/>
          <w:szCs w:val="21"/>
          <w:highlight w:val="none"/>
        </w:rPr>
        <w:t>2.供应商按照采购人或者采购代理机构的授意撤换、修改响应文件或者响应文件；</w:t>
      </w:r>
    </w:p>
    <w:p w14:paraId="42A6E4D8">
      <w:pPr>
        <w:snapToGrid w:val="0"/>
        <w:spacing w:before="50" w:after="120" w:afterLines="50"/>
        <w:jc w:val="left"/>
        <w:rPr>
          <w:color w:val="auto"/>
          <w:szCs w:val="21"/>
          <w:highlight w:val="none"/>
        </w:rPr>
      </w:pPr>
      <w:r>
        <w:rPr>
          <w:rFonts w:hint="eastAsia"/>
          <w:color w:val="auto"/>
          <w:szCs w:val="21"/>
          <w:highlight w:val="none"/>
        </w:rPr>
        <w:t>3.供应商之间协商报价、技术方案等响应文件或者响应文件的实质性内容；</w:t>
      </w:r>
    </w:p>
    <w:p w14:paraId="2C97D2FE">
      <w:pPr>
        <w:snapToGrid w:val="0"/>
        <w:spacing w:before="50" w:after="120" w:afterLines="50"/>
        <w:jc w:val="left"/>
        <w:rPr>
          <w:color w:val="auto"/>
          <w:szCs w:val="21"/>
          <w:highlight w:val="none"/>
        </w:rPr>
      </w:pPr>
      <w:r>
        <w:rPr>
          <w:rFonts w:hint="eastAsia"/>
          <w:color w:val="auto"/>
          <w:szCs w:val="21"/>
          <w:highlight w:val="none"/>
        </w:rPr>
        <w:t>4.属于同一集团、协会、商会等组织成员的供应商按照该组织要求协同参加政府采购活动；</w:t>
      </w:r>
    </w:p>
    <w:p w14:paraId="05CDBB47">
      <w:pPr>
        <w:snapToGrid w:val="0"/>
        <w:spacing w:before="50" w:after="120" w:afterLines="50"/>
        <w:jc w:val="left"/>
        <w:rPr>
          <w:color w:val="auto"/>
          <w:szCs w:val="21"/>
          <w:highlight w:val="none"/>
        </w:rPr>
      </w:pPr>
      <w:r>
        <w:rPr>
          <w:rFonts w:hint="eastAsia"/>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013DB3D2">
      <w:pPr>
        <w:snapToGrid w:val="0"/>
        <w:spacing w:before="50" w:after="120" w:afterLines="50"/>
        <w:jc w:val="left"/>
        <w:rPr>
          <w:color w:val="auto"/>
          <w:szCs w:val="21"/>
          <w:highlight w:val="none"/>
        </w:rPr>
      </w:pPr>
      <w:r>
        <w:rPr>
          <w:rFonts w:hint="eastAsia"/>
          <w:color w:val="auto"/>
          <w:szCs w:val="21"/>
          <w:highlight w:val="none"/>
        </w:rPr>
        <w:t>6.供应商之间商定部分供应商放弃参加政府采购活动或者放弃中标；</w:t>
      </w:r>
    </w:p>
    <w:p w14:paraId="606183E8">
      <w:pPr>
        <w:snapToGrid w:val="0"/>
        <w:spacing w:before="50" w:after="120" w:afterLines="50"/>
        <w:jc w:val="left"/>
        <w:rPr>
          <w:color w:val="auto"/>
          <w:szCs w:val="21"/>
          <w:highlight w:val="none"/>
        </w:rPr>
      </w:pPr>
      <w:r>
        <w:rPr>
          <w:rFonts w:hint="eastAsia"/>
          <w:color w:val="auto"/>
          <w:szCs w:val="21"/>
          <w:highlight w:val="none"/>
        </w:rPr>
        <w:t>7.供应商与采购人或者采购代理机构之间、供应商相互之间，为谋求特定供应商中标或者排斥其他供应商的其他串通行为。</w:t>
      </w:r>
    </w:p>
    <w:p w14:paraId="0975CF99">
      <w:pPr>
        <w:snapToGrid w:val="0"/>
        <w:spacing w:before="50" w:after="120" w:afterLines="50"/>
        <w:jc w:val="left"/>
        <w:rPr>
          <w:color w:val="auto"/>
          <w:szCs w:val="21"/>
          <w:highlight w:val="none"/>
        </w:rPr>
      </w:pPr>
      <w:r>
        <w:rPr>
          <w:rFonts w:hint="eastAsia"/>
          <w:color w:val="auto"/>
          <w:szCs w:val="21"/>
          <w:highlight w:val="none"/>
        </w:rPr>
        <w:t>以上情形一经核查属实，我方愿意承担一切后果，并不再寻求任何旨在减轻或者免除法律责任的辩解。</w:t>
      </w:r>
    </w:p>
    <w:p w14:paraId="09D81F78">
      <w:pPr>
        <w:snapToGrid w:val="0"/>
        <w:spacing w:before="50" w:after="120" w:afterLines="50"/>
        <w:jc w:val="center"/>
        <w:rPr>
          <w:color w:val="auto"/>
          <w:szCs w:val="21"/>
          <w:highlight w:val="none"/>
        </w:rPr>
      </w:pPr>
      <w:r>
        <w:rPr>
          <w:rFonts w:hint="eastAsia"/>
          <w:color w:val="auto"/>
          <w:szCs w:val="21"/>
          <w:highlight w:val="none"/>
        </w:rPr>
        <w:t xml:space="preserve"> </w:t>
      </w:r>
      <w:r>
        <w:rPr>
          <w:color w:val="auto"/>
          <w:szCs w:val="21"/>
          <w:highlight w:val="none"/>
        </w:rPr>
        <w:t xml:space="preserve"> </w:t>
      </w:r>
    </w:p>
    <w:p w14:paraId="2C240EE7">
      <w:pPr>
        <w:snapToGrid w:val="0"/>
        <w:spacing w:before="50" w:after="120" w:afterLines="50"/>
        <w:jc w:val="center"/>
        <w:rPr>
          <w:color w:val="auto"/>
          <w:szCs w:val="21"/>
          <w:highlight w:val="none"/>
        </w:rPr>
      </w:pPr>
    </w:p>
    <w:p w14:paraId="071DCED5">
      <w:pPr>
        <w:snapToGrid w:val="0"/>
        <w:spacing w:before="50" w:after="120" w:afterLines="50"/>
        <w:jc w:val="center"/>
        <w:rPr>
          <w:color w:val="auto"/>
          <w:szCs w:val="21"/>
          <w:highlight w:val="none"/>
        </w:rPr>
      </w:pPr>
    </w:p>
    <w:p w14:paraId="0BACBFFB">
      <w:pPr>
        <w:snapToGrid w:val="0"/>
        <w:spacing w:before="50" w:after="120" w:afterLines="50"/>
        <w:jc w:val="center"/>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rFonts w:hint="eastAsia"/>
          <w:color w:val="auto"/>
          <w:szCs w:val="21"/>
          <w:highlight w:val="none"/>
        </w:rPr>
        <w:t>：</w:t>
      </w:r>
    </w:p>
    <w:p w14:paraId="7F0857C1">
      <w:pPr>
        <w:snapToGrid w:val="0"/>
        <w:spacing w:before="50" w:after="120" w:afterLines="50"/>
        <w:jc w:val="center"/>
        <w:rPr>
          <w:color w:val="auto"/>
          <w:szCs w:val="21"/>
          <w:highlight w:val="none"/>
        </w:rPr>
      </w:pPr>
      <w:r>
        <w:rPr>
          <w:rFonts w:hint="eastAsia"/>
          <w:color w:val="auto"/>
          <w:szCs w:val="21"/>
          <w:highlight w:val="none"/>
        </w:rPr>
        <w:t>日期：  年  月   日</w:t>
      </w:r>
    </w:p>
    <w:p w14:paraId="42F8E3A3">
      <w:pPr>
        <w:snapToGrid w:val="0"/>
        <w:spacing w:before="50" w:after="120" w:afterLines="50"/>
        <w:jc w:val="left"/>
        <w:rPr>
          <w:color w:val="auto"/>
          <w:szCs w:val="21"/>
          <w:highlight w:val="none"/>
        </w:rPr>
        <w:sectPr>
          <w:pgSz w:w="11906" w:h="16838"/>
          <w:pgMar w:top="1418" w:right="1274" w:bottom="1418" w:left="1418" w:header="851" w:footer="992" w:gutter="0"/>
          <w:cols w:space="720" w:num="1"/>
          <w:docGrid w:linePitch="312" w:charSpace="0"/>
        </w:sectPr>
      </w:pPr>
    </w:p>
    <w:bookmarkEnd w:id="103"/>
    <w:p w14:paraId="46F9C6C1">
      <w:pPr>
        <w:snapToGrid w:val="0"/>
        <w:spacing w:before="50" w:after="120" w:afterLines="50"/>
        <w:jc w:val="left"/>
        <w:rPr>
          <w:color w:val="auto"/>
          <w:szCs w:val="21"/>
          <w:highlight w:val="none"/>
        </w:rPr>
      </w:pPr>
      <w:r>
        <w:rPr>
          <w:color w:val="auto"/>
          <w:szCs w:val="21"/>
          <w:highlight w:val="none"/>
        </w:rPr>
        <w:t>16．代理服务费承诺书</w:t>
      </w:r>
      <w:bookmarkEnd w:id="104"/>
    </w:p>
    <w:p w14:paraId="7F551D89">
      <w:pPr>
        <w:spacing w:line="360" w:lineRule="exact"/>
        <w:rPr>
          <w:color w:val="auto"/>
          <w:szCs w:val="21"/>
          <w:highlight w:val="none"/>
        </w:rPr>
      </w:pPr>
      <w:bookmarkStart w:id="109" w:name="_Hlk19110490"/>
      <w:r>
        <w:rPr>
          <w:color w:val="auto"/>
          <w:szCs w:val="21"/>
          <w:highlight w:val="none"/>
        </w:rPr>
        <w:t>致：广西机电设备招标有限公司</w:t>
      </w:r>
    </w:p>
    <w:p w14:paraId="1F6F45C2">
      <w:pPr>
        <w:spacing w:line="360" w:lineRule="exact"/>
        <w:ind w:firstLine="420" w:firstLineChars="200"/>
        <w:rPr>
          <w:color w:val="auto"/>
          <w:szCs w:val="21"/>
          <w:highlight w:val="none"/>
        </w:rPr>
      </w:pPr>
      <w:r>
        <w:rPr>
          <w:color w:val="auto"/>
          <w:szCs w:val="21"/>
          <w:highlight w:val="none"/>
        </w:rPr>
        <w:t>我单位参加了贵方组织的磋商项目编号为</w:t>
      </w:r>
      <w:r>
        <w:rPr>
          <w:b/>
          <w:color w:val="auto"/>
          <w:szCs w:val="21"/>
          <w:highlight w:val="none"/>
        </w:rPr>
        <w:t>（</w:t>
      </w:r>
      <w:r>
        <w:rPr>
          <w:color w:val="auto"/>
          <w:szCs w:val="21"/>
          <w:highlight w:val="none"/>
          <w:u w:val="single"/>
        </w:rPr>
        <w:t xml:space="preserve">                    )</w:t>
      </w:r>
      <w:r>
        <w:rPr>
          <w:color w:val="auto"/>
          <w:szCs w:val="21"/>
          <w:highlight w:val="none"/>
        </w:rPr>
        <w:t>的响应，并递交了磋商保证金</w:t>
      </w:r>
      <w:r>
        <w:rPr>
          <w:color w:val="auto"/>
          <w:szCs w:val="21"/>
          <w:highlight w:val="none"/>
          <w:u w:val="single"/>
        </w:rPr>
        <w:t xml:space="preserve">                  </w:t>
      </w:r>
      <w:r>
        <w:rPr>
          <w:color w:val="auto"/>
          <w:szCs w:val="21"/>
          <w:highlight w:val="none"/>
        </w:rPr>
        <w:t>（</w:t>
      </w:r>
      <w:r>
        <w:rPr>
          <w:color w:val="auto"/>
          <w:kern w:val="0"/>
          <w:szCs w:val="21"/>
          <w:highlight w:val="none"/>
        </w:rPr>
        <w:t>¥</w:t>
      </w:r>
      <w:r>
        <w:rPr>
          <w:color w:val="auto"/>
          <w:szCs w:val="21"/>
          <w:highlight w:val="none"/>
          <w:u w:val="single"/>
        </w:rPr>
        <w:t xml:space="preserve">       </w:t>
      </w:r>
      <w:r>
        <w:rPr>
          <w:color w:val="auto"/>
          <w:szCs w:val="21"/>
          <w:highlight w:val="none"/>
        </w:rPr>
        <w:t>），在此我方说明如下：</w:t>
      </w:r>
    </w:p>
    <w:p w14:paraId="7E9247C2">
      <w:pPr>
        <w:spacing w:line="360" w:lineRule="exact"/>
        <w:ind w:firstLine="420" w:firstLineChars="200"/>
        <w:rPr>
          <w:color w:val="auto"/>
          <w:szCs w:val="21"/>
          <w:highlight w:val="none"/>
        </w:rPr>
      </w:pPr>
      <w:r>
        <w:rPr>
          <w:color w:val="auto"/>
          <w:szCs w:val="21"/>
          <w:highlight w:val="none"/>
        </w:rPr>
        <w:t>1．我方承诺，若我单位</w:t>
      </w:r>
      <w:r>
        <w:rPr>
          <w:rFonts w:hint="eastAsia"/>
          <w:color w:val="auto"/>
          <w:szCs w:val="21"/>
          <w:highlight w:val="none"/>
        </w:rPr>
        <w:t>成交</w:t>
      </w:r>
      <w:r>
        <w:rPr>
          <w:color w:val="auto"/>
          <w:szCs w:val="21"/>
          <w:highlight w:val="none"/>
        </w:rPr>
        <w:t>，保证在领取</w:t>
      </w:r>
      <w:r>
        <w:rPr>
          <w:rFonts w:hint="eastAsia"/>
          <w:color w:val="auto"/>
          <w:szCs w:val="21"/>
          <w:highlight w:val="none"/>
        </w:rPr>
        <w:t>成交</w:t>
      </w:r>
      <w:r>
        <w:rPr>
          <w:color w:val="auto"/>
          <w:szCs w:val="21"/>
          <w:highlight w:val="none"/>
        </w:rPr>
        <w:t>通知书之前，按本项目</w:t>
      </w:r>
      <w:r>
        <w:rPr>
          <w:rFonts w:hint="eastAsia"/>
          <w:color w:val="auto"/>
          <w:szCs w:val="21"/>
          <w:highlight w:val="none"/>
        </w:rPr>
        <w:t>采购文件</w:t>
      </w:r>
      <w:r>
        <w:rPr>
          <w:color w:val="auto"/>
          <w:szCs w:val="21"/>
          <w:highlight w:val="none"/>
        </w:rPr>
        <w:t>的规定标准向贵单位支付代理服务费。如我单位未按规定缴纳代理服务费，贵方可</w:t>
      </w:r>
      <w:r>
        <w:rPr>
          <w:rFonts w:hint="eastAsia"/>
          <w:color w:val="auto"/>
          <w:szCs w:val="21"/>
          <w:highlight w:val="none"/>
        </w:rPr>
        <w:t>不退还</w:t>
      </w:r>
      <w:r>
        <w:rPr>
          <w:color w:val="auto"/>
          <w:szCs w:val="21"/>
          <w:highlight w:val="none"/>
        </w:rPr>
        <w:t>我单位提交的</w:t>
      </w:r>
      <w:r>
        <w:rPr>
          <w:rFonts w:hint="eastAsia"/>
          <w:color w:val="auto"/>
          <w:szCs w:val="21"/>
          <w:highlight w:val="none"/>
        </w:rPr>
        <w:t>磋商</w:t>
      </w:r>
      <w:r>
        <w:rPr>
          <w:color w:val="auto"/>
          <w:szCs w:val="21"/>
          <w:highlight w:val="none"/>
        </w:rPr>
        <w:t>保证金</w:t>
      </w:r>
      <w:r>
        <w:rPr>
          <w:rFonts w:hint="eastAsia"/>
          <w:color w:val="auto"/>
          <w:szCs w:val="21"/>
          <w:highlight w:val="none"/>
        </w:rPr>
        <w:t>，并从中</w:t>
      </w:r>
      <w:r>
        <w:rPr>
          <w:color w:val="auto"/>
          <w:szCs w:val="21"/>
          <w:highlight w:val="none"/>
        </w:rPr>
        <w:t>扣除</w:t>
      </w:r>
      <w:r>
        <w:rPr>
          <w:rFonts w:hint="eastAsia"/>
          <w:color w:val="auto"/>
          <w:szCs w:val="21"/>
          <w:highlight w:val="none"/>
        </w:rPr>
        <w:t>代理服务费</w:t>
      </w:r>
      <w:r>
        <w:rPr>
          <w:color w:val="auto"/>
          <w:szCs w:val="21"/>
          <w:highlight w:val="none"/>
        </w:rPr>
        <w:t>，余款按下列账户退回。</w:t>
      </w:r>
    </w:p>
    <w:bookmarkEnd w:id="109"/>
    <w:p w14:paraId="5119B352">
      <w:pPr>
        <w:spacing w:line="360" w:lineRule="exact"/>
        <w:ind w:firstLine="420" w:firstLineChars="200"/>
        <w:rPr>
          <w:color w:val="auto"/>
          <w:szCs w:val="21"/>
          <w:highlight w:val="none"/>
        </w:rPr>
      </w:pPr>
      <w:r>
        <w:rPr>
          <w:color w:val="auto"/>
          <w:szCs w:val="21"/>
          <w:highlight w:val="none"/>
        </w:rPr>
        <w:t>我公司选择第</w:t>
      </w:r>
      <w:r>
        <w:rPr>
          <w:color w:val="auto"/>
          <w:szCs w:val="21"/>
          <w:highlight w:val="none"/>
          <w:u w:val="single"/>
        </w:rPr>
        <w:t xml:space="preserve">     </w:t>
      </w:r>
      <w:r>
        <w:rPr>
          <w:color w:val="auto"/>
          <w:szCs w:val="21"/>
          <w:highlight w:val="none"/>
        </w:rPr>
        <w:t>种方式缴纳代理服务费。</w:t>
      </w:r>
    </w:p>
    <w:p w14:paraId="721AA3B5">
      <w:pPr>
        <w:spacing w:line="360" w:lineRule="exact"/>
        <w:ind w:firstLine="420" w:firstLineChars="200"/>
        <w:rPr>
          <w:color w:val="auto"/>
          <w:szCs w:val="21"/>
          <w:highlight w:val="none"/>
        </w:rPr>
      </w:pPr>
      <w:r>
        <w:rPr>
          <w:color w:val="auto"/>
          <w:szCs w:val="21"/>
          <w:highlight w:val="none"/>
        </w:rPr>
        <w:t>第一种方式：一次性足额缴纳代理服务费。</w:t>
      </w:r>
    </w:p>
    <w:p w14:paraId="162E1ADF">
      <w:pPr>
        <w:spacing w:line="360" w:lineRule="exact"/>
        <w:ind w:firstLine="420" w:firstLineChars="200"/>
        <w:rPr>
          <w:rFonts w:hint="eastAsia"/>
          <w:color w:val="auto"/>
          <w:szCs w:val="21"/>
          <w:highlight w:val="none"/>
        </w:rPr>
      </w:pPr>
      <w:r>
        <w:rPr>
          <w:color w:val="auto"/>
          <w:szCs w:val="21"/>
          <w:highlight w:val="none"/>
        </w:rPr>
        <w:t>第二种方式：从</w:t>
      </w:r>
      <w:r>
        <w:rPr>
          <w:rFonts w:hint="eastAsia"/>
          <w:color w:val="auto"/>
          <w:szCs w:val="21"/>
          <w:highlight w:val="none"/>
        </w:rPr>
        <w:t>磋商</w:t>
      </w:r>
      <w:r>
        <w:rPr>
          <w:color w:val="auto"/>
          <w:szCs w:val="21"/>
          <w:highlight w:val="none"/>
        </w:rPr>
        <w:t>保证金中抵扣代理服务费，不足部分补交。</w:t>
      </w:r>
    </w:p>
    <w:p w14:paraId="368A05FA">
      <w:pPr>
        <w:spacing w:line="360" w:lineRule="exact"/>
        <w:ind w:firstLine="420" w:firstLineChars="200"/>
        <w:rPr>
          <w:color w:val="auto"/>
          <w:szCs w:val="21"/>
          <w:highlight w:val="none"/>
        </w:rPr>
      </w:pPr>
      <w:r>
        <w:rPr>
          <w:color w:val="auto"/>
          <w:szCs w:val="21"/>
          <w:highlight w:val="none"/>
        </w:rPr>
        <w:t>2．如我单位磋商保证金无法原路返回，请按下表账户信息无息退还。</w:t>
      </w:r>
    </w:p>
    <w:tbl>
      <w:tblPr>
        <w:tblStyle w:val="51"/>
        <w:tblW w:w="89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4DF9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0DC6FE05">
            <w:pPr>
              <w:spacing w:line="360" w:lineRule="exact"/>
              <w:jc w:val="center"/>
              <w:rPr>
                <w:color w:val="auto"/>
                <w:szCs w:val="21"/>
                <w:highlight w:val="none"/>
              </w:rPr>
            </w:pPr>
            <w:r>
              <w:rPr>
                <w:color w:val="auto"/>
                <w:szCs w:val="21"/>
                <w:highlight w:val="none"/>
              </w:rPr>
              <w:t>收款户名</w:t>
            </w:r>
          </w:p>
        </w:tc>
        <w:tc>
          <w:tcPr>
            <w:tcW w:w="5431" w:type="dxa"/>
            <w:vAlign w:val="center"/>
          </w:tcPr>
          <w:p w14:paraId="2B459819">
            <w:pPr>
              <w:spacing w:line="360" w:lineRule="exact"/>
              <w:jc w:val="center"/>
              <w:rPr>
                <w:color w:val="auto"/>
                <w:szCs w:val="21"/>
                <w:highlight w:val="none"/>
              </w:rPr>
            </w:pPr>
          </w:p>
        </w:tc>
      </w:tr>
      <w:tr w14:paraId="0E0C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12DD293B">
            <w:pPr>
              <w:spacing w:line="360" w:lineRule="exact"/>
              <w:jc w:val="center"/>
              <w:rPr>
                <w:color w:val="auto"/>
                <w:szCs w:val="21"/>
                <w:highlight w:val="none"/>
              </w:rPr>
            </w:pPr>
            <w:r>
              <w:rPr>
                <w:color w:val="auto"/>
                <w:szCs w:val="21"/>
                <w:highlight w:val="none"/>
              </w:rPr>
              <w:t>账    号</w:t>
            </w:r>
          </w:p>
        </w:tc>
        <w:tc>
          <w:tcPr>
            <w:tcW w:w="5431" w:type="dxa"/>
            <w:vAlign w:val="center"/>
          </w:tcPr>
          <w:p w14:paraId="50A5C118">
            <w:pPr>
              <w:spacing w:line="360" w:lineRule="exact"/>
              <w:jc w:val="center"/>
              <w:rPr>
                <w:color w:val="auto"/>
                <w:szCs w:val="21"/>
                <w:highlight w:val="none"/>
              </w:rPr>
            </w:pPr>
          </w:p>
        </w:tc>
      </w:tr>
      <w:tr w14:paraId="1FE7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40D27FEA">
            <w:pPr>
              <w:spacing w:line="360" w:lineRule="exact"/>
              <w:jc w:val="center"/>
              <w:rPr>
                <w:color w:val="auto"/>
                <w:szCs w:val="21"/>
                <w:highlight w:val="none"/>
              </w:rPr>
            </w:pPr>
            <w:r>
              <w:rPr>
                <w:color w:val="auto"/>
                <w:szCs w:val="21"/>
                <w:highlight w:val="none"/>
              </w:rPr>
              <w:t>开户银行</w:t>
            </w:r>
          </w:p>
        </w:tc>
        <w:tc>
          <w:tcPr>
            <w:tcW w:w="5431" w:type="dxa"/>
            <w:vAlign w:val="center"/>
          </w:tcPr>
          <w:p w14:paraId="4D32DC68">
            <w:pPr>
              <w:spacing w:line="360" w:lineRule="exact"/>
              <w:jc w:val="center"/>
              <w:rPr>
                <w:color w:val="auto"/>
                <w:szCs w:val="21"/>
                <w:highlight w:val="none"/>
              </w:rPr>
            </w:pPr>
          </w:p>
        </w:tc>
      </w:tr>
      <w:tr w14:paraId="35BB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2CA3CFE8">
            <w:pPr>
              <w:spacing w:line="360" w:lineRule="exact"/>
              <w:jc w:val="center"/>
              <w:rPr>
                <w:color w:val="auto"/>
                <w:szCs w:val="21"/>
                <w:highlight w:val="none"/>
              </w:rPr>
            </w:pPr>
            <w:r>
              <w:rPr>
                <w:color w:val="auto"/>
                <w:szCs w:val="21"/>
                <w:highlight w:val="none"/>
              </w:rPr>
              <w:t>银行行号</w:t>
            </w:r>
          </w:p>
        </w:tc>
        <w:tc>
          <w:tcPr>
            <w:tcW w:w="5431" w:type="dxa"/>
            <w:vAlign w:val="center"/>
          </w:tcPr>
          <w:p w14:paraId="401734C6">
            <w:pPr>
              <w:spacing w:line="360" w:lineRule="exact"/>
              <w:jc w:val="center"/>
              <w:rPr>
                <w:color w:val="auto"/>
                <w:szCs w:val="21"/>
                <w:highlight w:val="none"/>
              </w:rPr>
            </w:pPr>
          </w:p>
        </w:tc>
      </w:tr>
    </w:tbl>
    <w:p w14:paraId="5F8500C5">
      <w:pPr>
        <w:spacing w:line="360" w:lineRule="exact"/>
        <w:ind w:firstLine="420" w:firstLineChars="200"/>
        <w:rPr>
          <w:color w:val="auto"/>
          <w:szCs w:val="21"/>
          <w:highlight w:val="none"/>
        </w:rPr>
      </w:pPr>
      <w:r>
        <w:rPr>
          <w:color w:val="auto"/>
          <w:szCs w:val="21"/>
          <w:highlight w:val="none"/>
        </w:rPr>
        <w:t>3．如果我单位未遵守有关采购文件关于磋商保证金的规定，贵方可以没收我单位磋商保证金。</w:t>
      </w:r>
    </w:p>
    <w:p w14:paraId="73048C0B">
      <w:pPr>
        <w:spacing w:line="360" w:lineRule="exact"/>
        <w:ind w:firstLine="420" w:firstLineChars="200"/>
        <w:rPr>
          <w:color w:val="auto"/>
          <w:szCs w:val="21"/>
          <w:highlight w:val="none"/>
        </w:rPr>
      </w:pPr>
      <w:r>
        <w:rPr>
          <w:color w:val="auto"/>
          <w:szCs w:val="21"/>
          <w:highlight w:val="none"/>
        </w:rPr>
        <w:t>4. 我单位选择第</w:t>
      </w:r>
      <w:r>
        <w:rPr>
          <w:color w:val="auto"/>
          <w:szCs w:val="21"/>
          <w:highlight w:val="none"/>
          <w:u w:val="single"/>
        </w:rPr>
        <w:t xml:space="preserve">     </w:t>
      </w:r>
      <w:r>
        <w:rPr>
          <w:color w:val="auto"/>
          <w:szCs w:val="21"/>
          <w:highlight w:val="none"/>
        </w:rPr>
        <w:t>种方式作为代理服务费开票类型：</w:t>
      </w:r>
    </w:p>
    <w:p w14:paraId="108834E3">
      <w:pPr>
        <w:spacing w:line="360" w:lineRule="exact"/>
        <w:ind w:firstLine="420" w:firstLineChars="200"/>
        <w:rPr>
          <w:color w:val="auto"/>
          <w:szCs w:val="21"/>
          <w:highlight w:val="none"/>
        </w:rPr>
      </w:pPr>
      <w:r>
        <w:rPr>
          <w:color w:val="auto"/>
          <w:szCs w:val="21"/>
          <w:highlight w:val="none"/>
        </w:rPr>
        <w:t>第一种方式：开具收据。</w:t>
      </w:r>
    </w:p>
    <w:p w14:paraId="5B7ECF08">
      <w:pPr>
        <w:spacing w:line="360" w:lineRule="exact"/>
        <w:ind w:firstLine="420" w:firstLineChars="200"/>
        <w:rPr>
          <w:color w:val="auto"/>
          <w:szCs w:val="21"/>
          <w:highlight w:val="none"/>
        </w:rPr>
      </w:pPr>
      <w:r>
        <w:rPr>
          <w:color w:val="auto"/>
          <w:szCs w:val="21"/>
          <w:highlight w:val="none"/>
        </w:rPr>
        <w:t>第二种方式：开具增值税普通发票。 1.公司名称</w:t>
      </w:r>
      <w:r>
        <w:rPr>
          <w:color w:val="auto"/>
          <w:szCs w:val="21"/>
          <w:highlight w:val="none"/>
          <w:u w:val="single"/>
        </w:rPr>
        <w:t xml:space="preserve">                      </w:t>
      </w:r>
      <w:r>
        <w:rPr>
          <w:color w:val="auto"/>
          <w:szCs w:val="21"/>
          <w:highlight w:val="none"/>
        </w:rPr>
        <w:t>；2.纳税人识别号</w:t>
      </w:r>
      <w:r>
        <w:rPr>
          <w:color w:val="auto"/>
          <w:szCs w:val="21"/>
          <w:highlight w:val="none"/>
          <w:u w:val="single"/>
        </w:rPr>
        <w:t xml:space="preserve">                     </w:t>
      </w:r>
      <w:r>
        <w:rPr>
          <w:color w:val="auto"/>
          <w:szCs w:val="21"/>
          <w:highlight w:val="none"/>
        </w:rPr>
        <w:t>；</w:t>
      </w:r>
    </w:p>
    <w:p w14:paraId="19400B9A">
      <w:pPr>
        <w:spacing w:line="360" w:lineRule="exact"/>
        <w:ind w:firstLine="420" w:firstLineChars="200"/>
        <w:rPr>
          <w:color w:val="auto"/>
          <w:szCs w:val="21"/>
          <w:highlight w:val="none"/>
        </w:rPr>
      </w:pPr>
      <w:r>
        <w:rPr>
          <w:color w:val="auto"/>
          <w:szCs w:val="21"/>
          <w:highlight w:val="none"/>
        </w:rPr>
        <w:t>第三种方式：开具增值税专用发票，开票信息如下：1.公司名称</w:t>
      </w:r>
      <w:r>
        <w:rPr>
          <w:color w:val="auto"/>
          <w:szCs w:val="21"/>
          <w:highlight w:val="none"/>
          <w:u w:val="single"/>
        </w:rPr>
        <w:t xml:space="preserve">                      </w:t>
      </w:r>
      <w:r>
        <w:rPr>
          <w:color w:val="auto"/>
          <w:szCs w:val="21"/>
          <w:highlight w:val="none"/>
        </w:rPr>
        <w:t>；2.纳税人识别号</w:t>
      </w:r>
      <w:r>
        <w:rPr>
          <w:color w:val="auto"/>
          <w:szCs w:val="21"/>
          <w:highlight w:val="none"/>
          <w:u w:val="single"/>
        </w:rPr>
        <w:t xml:space="preserve">                     </w:t>
      </w:r>
      <w:r>
        <w:rPr>
          <w:color w:val="auto"/>
          <w:szCs w:val="21"/>
          <w:highlight w:val="none"/>
        </w:rPr>
        <w:t>；3.税局登记地址</w:t>
      </w:r>
      <w:r>
        <w:rPr>
          <w:color w:val="auto"/>
          <w:szCs w:val="21"/>
          <w:highlight w:val="none"/>
          <w:u w:val="single"/>
        </w:rPr>
        <w:t xml:space="preserve">                     </w:t>
      </w:r>
      <w:r>
        <w:rPr>
          <w:color w:val="auto"/>
          <w:szCs w:val="21"/>
          <w:highlight w:val="none"/>
        </w:rPr>
        <w:t>；4.税局登记电话</w:t>
      </w:r>
      <w:r>
        <w:rPr>
          <w:color w:val="auto"/>
          <w:szCs w:val="21"/>
          <w:highlight w:val="none"/>
          <w:u w:val="single"/>
        </w:rPr>
        <w:t xml:space="preserve">             </w:t>
      </w:r>
      <w:r>
        <w:rPr>
          <w:color w:val="auto"/>
          <w:szCs w:val="21"/>
          <w:highlight w:val="none"/>
        </w:rPr>
        <w:t>；5.开户银行</w:t>
      </w:r>
      <w:r>
        <w:rPr>
          <w:color w:val="auto"/>
          <w:szCs w:val="21"/>
          <w:highlight w:val="none"/>
          <w:u w:val="single"/>
        </w:rPr>
        <w:t xml:space="preserve">                 </w:t>
      </w:r>
      <w:r>
        <w:rPr>
          <w:color w:val="auto"/>
          <w:szCs w:val="21"/>
          <w:highlight w:val="none"/>
        </w:rPr>
        <w:t>；6.银行账户</w:t>
      </w:r>
      <w:r>
        <w:rPr>
          <w:color w:val="auto"/>
          <w:szCs w:val="21"/>
          <w:highlight w:val="none"/>
          <w:u w:val="single"/>
        </w:rPr>
        <w:t xml:space="preserve">                         </w:t>
      </w:r>
      <w:r>
        <w:rPr>
          <w:color w:val="auto"/>
          <w:szCs w:val="21"/>
          <w:highlight w:val="none"/>
        </w:rPr>
        <w:t>。</w:t>
      </w:r>
    </w:p>
    <w:p w14:paraId="2CCBD645">
      <w:pPr>
        <w:spacing w:before="120" w:beforeLines="50" w:line="360" w:lineRule="auto"/>
        <w:jc w:val="left"/>
        <w:rPr>
          <w:color w:val="auto"/>
          <w:szCs w:val="21"/>
          <w:highlight w:val="none"/>
        </w:rPr>
      </w:pPr>
    </w:p>
    <w:p w14:paraId="218CEAA8">
      <w:pPr>
        <w:spacing w:before="120" w:beforeLines="50" w:line="360" w:lineRule="auto"/>
        <w:jc w:val="left"/>
        <w:rPr>
          <w:color w:val="auto"/>
          <w:szCs w:val="21"/>
          <w:highlight w:val="none"/>
          <w:u w:val="singl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6E21F7C2">
      <w:pPr>
        <w:spacing w:before="120" w:beforeLines="50" w:line="360" w:lineRule="auto"/>
        <w:jc w:val="left"/>
        <w:rPr>
          <w:color w:val="auto"/>
          <w:szCs w:val="21"/>
          <w:highlight w:val="none"/>
        </w:rPr>
      </w:pPr>
      <w:r>
        <w:rPr>
          <w:color w:val="auto"/>
          <w:szCs w:val="21"/>
          <w:highlight w:val="none"/>
        </w:rPr>
        <w:t>供应商地址：</w:t>
      </w:r>
      <w:r>
        <w:rPr>
          <w:color w:val="auto"/>
          <w:szCs w:val="21"/>
          <w:highlight w:val="none"/>
          <w:u w:val="single"/>
        </w:rPr>
        <w:t xml:space="preserve">                                     </w:t>
      </w:r>
    </w:p>
    <w:p w14:paraId="40AD89D4">
      <w:pPr>
        <w:spacing w:before="120" w:beforeLines="50" w:line="360" w:lineRule="auto"/>
        <w:jc w:val="left"/>
        <w:rPr>
          <w:color w:val="auto"/>
          <w:szCs w:val="21"/>
          <w:highlight w:val="none"/>
          <w:u w:val="single"/>
        </w:rPr>
      </w:pPr>
    </w:p>
    <w:p w14:paraId="5D2E024F">
      <w:pPr>
        <w:wordWrap w:val="0"/>
        <w:spacing w:before="120" w:beforeLines="50" w:line="360" w:lineRule="auto"/>
        <w:jc w:val="right"/>
        <w:rPr>
          <w:color w:val="auto"/>
          <w:szCs w:val="21"/>
          <w:highlight w:val="none"/>
        </w:rPr>
      </w:pPr>
      <w:r>
        <w:rPr>
          <w:color w:val="auto"/>
          <w:szCs w:val="21"/>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26321AA5">
      <w:pPr>
        <w:spacing w:before="120" w:beforeLines="50"/>
        <w:rPr>
          <w:color w:val="auto"/>
          <w:szCs w:val="21"/>
          <w:highlight w:val="none"/>
        </w:rPr>
      </w:pPr>
      <w:r>
        <w:rPr>
          <w:color w:val="auto"/>
          <w:szCs w:val="21"/>
          <w:highlight w:val="none"/>
        </w:rPr>
        <w:t>说明：</w:t>
      </w:r>
    </w:p>
    <w:p w14:paraId="1EEEB7D4">
      <w:pPr>
        <w:spacing w:line="340" w:lineRule="exact"/>
        <w:ind w:firstLine="420" w:firstLineChars="200"/>
        <w:rPr>
          <w:color w:val="auto"/>
          <w:szCs w:val="21"/>
          <w:highlight w:val="none"/>
        </w:rPr>
      </w:pPr>
      <w:r>
        <w:rPr>
          <w:color w:val="auto"/>
          <w:szCs w:val="21"/>
          <w:highlight w:val="none"/>
        </w:rPr>
        <w:t>（1）为保障资金安全，上述账户不能为私人账户。</w:t>
      </w:r>
    </w:p>
    <w:p w14:paraId="60CE419C">
      <w:pPr>
        <w:spacing w:line="340" w:lineRule="exact"/>
        <w:ind w:firstLine="420" w:firstLineChars="200"/>
        <w:rPr>
          <w:color w:val="auto"/>
          <w:szCs w:val="21"/>
          <w:highlight w:val="none"/>
        </w:rPr>
      </w:pPr>
      <w:r>
        <w:rPr>
          <w:color w:val="auto"/>
          <w:szCs w:val="21"/>
          <w:highlight w:val="none"/>
        </w:rPr>
        <w:t>（2）如因未按要求缴纳磋商保证金，导致磋商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4E21A2CE">
      <w:pPr>
        <w:spacing w:line="340" w:lineRule="exact"/>
        <w:ind w:firstLine="420" w:firstLineChars="200"/>
        <w:rPr>
          <w:color w:val="auto"/>
          <w:szCs w:val="21"/>
          <w:highlight w:val="none"/>
        </w:rPr>
      </w:pPr>
      <w:r>
        <w:rPr>
          <w:color w:val="auto"/>
          <w:szCs w:val="21"/>
          <w:highlight w:val="none"/>
        </w:rPr>
        <w:t>（3）如供应商未及时收到退回款项，请与广西机电设备招标有限公司财务部联系。广西机电设备招标有限公司财务部联系方式：联系人：吴茜；电话：0771-2821398；传真：0771-2843545。</w:t>
      </w:r>
    </w:p>
    <w:p w14:paraId="0D558A09">
      <w:pPr>
        <w:snapToGrid w:val="0"/>
        <w:spacing w:before="120" w:beforeLines="50" w:after="50" w:afterLines="0" w:line="440" w:lineRule="exact"/>
        <w:jc w:val="left"/>
        <w:outlineLvl w:val="1"/>
        <w:rPr>
          <w:rFonts w:hint="default" w:ascii="Times New Roman" w:hAnsi="Times New Roman" w:eastAsia="宋体" w:cs="Times New Roman"/>
          <w:color w:val="auto"/>
          <w:sz w:val="24"/>
          <w:szCs w:val="24"/>
          <w:highlight w:val="none"/>
        </w:rPr>
      </w:pPr>
      <w:r>
        <w:rPr>
          <w:color w:val="auto"/>
          <w:szCs w:val="21"/>
          <w:highlight w:val="none"/>
        </w:rPr>
        <w:br w:type="page"/>
      </w:r>
      <w:r>
        <w:rPr>
          <w:rFonts w:hint="default" w:ascii="Times New Roman" w:hAnsi="Times New Roman" w:eastAsia="宋体" w:cs="Times New Roman"/>
          <w:color w:val="auto"/>
          <w:sz w:val="24"/>
          <w:szCs w:val="24"/>
          <w:highlight w:val="none"/>
        </w:rPr>
        <w:t>3</w:t>
      </w:r>
      <w:r>
        <w:rPr>
          <w:rFonts w:hint="eastAsia" w:ascii="Times New Roman" w:hAnsi="Times New Roman" w:eastAsia="宋体" w:cs="Times New Roman"/>
          <w:color w:val="auto"/>
          <w:sz w:val="24"/>
          <w:szCs w:val="24"/>
          <w:highlight w:val="none"/>
          <w:lang w:val="en-US" w:eastAsia="zh-CN"/>
        </w:rPr>
        <w:t>.响应</w:t>
      </w:r>
      <w:r>
        <w:rPr>
          <w:rFonts w:hint="eastAsia" w:ascii="Times New Roman" w:hAnsi="Times New Roman" w:eastAsia="宋体" w:cs="Times New Roman"/>
          <w:color w:val="auto"/>
          <w:sz w:val="24"/>
          <w:szCs w:val="24"/>
          <w:highlight w:val="none"/>
        </w:rPr>
        <w:t xml:space="preserve">文件封面参考格式（报价文件）： </w:t>
      </w:r>
    </w:p>
    <w:p w14:paraId="518E40FC">
      <w:pPr>
        <w:snapToGrid w:val="0"/>
        <w:spacing w:before="50" w:beforeLines="0" w:after="120" w:afterLines="50" w:line="400" w:lineRule="exact"/>
        <w:jc w:val="left"/>
        <w:rPr>
          <w:rFonts w:hint="default" w:ascii="Times New Roman" w:hAnsi="Times New Roman" w:eastAsia="宋体" w:cs="Times New Roman"/>
          <w:color w:val="auto"/>
          <w:sz w:val="24"/>
          <w:szCs w:val="24"/>
          <w:highlight w:val="none"/>
        </w:rPr>
      </w:pPr>
    </w:p>
    <w:p w14:paraId="17DC1DA5">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0A25106A">
      <w:pPr>
        <w:snapToGrid w:val="0"/>
        <w:spacing w:before="120" w:beforeLines="50" w:after="50" w:afterLines="0" w:line="360" w:lineRule="exact"/>
        <w:jc w:val="center"/>
        <w:rPr>
          <w:rFonts w:hint="default" w:ascii="Times New Roman" w:hAnsi="Times New Roman" w:eastAsia="宋体" w:cs="Times New Roman"/>
          <w:color w:val="auto"/>
          <w:sz w:val="24"/>
          <w:szCs w:val="24"/>
          <w:highlight w:val="none"/>
        </w:rPr>
      </w:pPr>
    </w:p>
    <w:p w14:paraId="53C4A266">
      <w:pPr>
        <w:snapToGrid w:val="0"/>
        <w:spacing w:before="120" w:beforeLines="50" w:after="50" w:afterLines="0" w:line="360" w:lineRule="exact"/>
        <w:jc w:val="center"/>
        <w:rPr>
          <w:rFonts w:hint="default" w:ascii="Times New Roman" w:hAnsi="Times New Roman" w:eastAsia="宋体" w:cs="Times New Roman"/>
          <w:b/>
          <w:color w:val="auto"/>
          <w:sz w:val="44"/>
          <w:szCs w:val="44"/>
          <w:highlight w:val="none"/>
        </w:rPr>
      </w:pPr>
      <w:r>
        <w:rPr>
          <w:rFonts w:hint="eastAsia" w:ascii="Times New Roman" w:hAnsi="Times New Roman" w:eastAsia="宋体" w:cs="Times New Roman"/>
          <w:b/>
          <w:color w:val="auto"/>
          <w:sz w:val="44"/>
          <w:szCs w:val="44"/>
          <w:highlight w:val="none"/>
        </w:rPr>
        <w:t>电子</w:t>
      </w:r>
      <w:r>
        <w:rPr>
          <w:rFonts w:hint="eastAsia" w:ascii="Times New Roman" w:hAnsi="Times New Roman" w:eastAsia="宋体" w:cs="Times New Roman"/>
          <w:b/>
          <w:color w:val="auto"/>
          <w:sz w:val="44"/>
          <w:szCs w:val="44"/>
          <w:highlight w:val="none"/>
          <w:lang w:val="en-US" w:eastAsia="zh-CN"/>
        </w:rPr>
        <w:t>响应</w:t>
      </w:r>
      <w:r>
        <w:rPr>
          <w:rFonts w:hint="eastAsia" w:ascii="Times New Roman" w:hAnsi="Times New Roman" w:eastAsia="宋体" w:cs="Times New Roman"/>
          <w:b/>
          <w:color w:val="auto"/>
          <w:sz w:val="44"/>
          <w:szCs w:val="44"/>
          <w:highlight w:val="none"/>
        </w:rPr>
        <w:t>文件</w:t>
      </w:r>
    </w:p>
    <w:p w14:paraId="105B0D4C">
      <w:pPr>
        <w:snapToGrid w:val="0"/>
        <w:spacing w:before="120" w:beforeLines="50" w:after="50" w:afterLines="0" w:line="360" w:lineRule="exact"/>
        <w:jc w:val="center"/>
        <w:rPr>
          <w:rFonts w:hint="default" w:ascii="Times New Roman" w:hAnsi="Times New Roman" w:eastAsia="宋体" w:cs="Times New Roman"/>
          <w:b/>
          <w:color w:val="auto"/>
          <w:sz w:val="44"/>
          <w:szCs w:val="44"/>
          <w:highlight w:val="none"/>
        </w:rPr>
      </w:pPr>
    </w:p>
    <w:p w14:paraId="17840D16">
      <w:pPr>
        <w:snapToGrid w:val="0"/>
        <w:spacing w:before="120" w:beforeLines="50" w:after="50" w:afterLines="0" w:line="360" w:lineRule="exact"/>
        <w:jc w:val="center"/>
        <w:rPr>
          <w:rFonts w:hint="default" w:ascii="Times New Roman" w:hAnsi="Times New Roman" w:eastAsia="宋体" w:cs="Times New Roman"/>
          <w:b/>
          <w:color w:val="auto"/>
          <w:sz w:val="44"/>
          <w:szCs w:val="44"/>
          <w:highlight w:val="none"/>
        </w:rPr>
      </w:pPr>
    </w:p>
    <w:p w14:paraId="203F348B">
      <w:pPr>
        <w:snapToGrid w:val="0"/>
        <w:spacing w:before="120" w:beforeLines="50" w:after="50" w:afterLines="0" w:line="360" w:lineRule="exact"/>
        <w:jc w:val="center"/>
        <w:rPr>
          <w:rFonts w:hint="default" w:ascii="Times New Roman" w:hAnsi="Times New Roman" w:eastAsia="宋体" w:cs="Times New Roman"/>
          <w:b/>
          <w:color w:val="auto"/>
          <w:sz w:val="44"/>
          <w:szCs w:val="44"/>
          <w:highlight w:val="none"/>
        </w:rPr>
      </w:pPr>
      <w:r>
        <w:rPr>
          <w:rFonts w:hint="eastAsia" w:ascii="Times New Roman" w:hAnsi="Times New Roman" w:eastAsia="宋体" w:cs="Times New Roman"/>
          <w:b/>
          <w:color w:val="auto"/>
          <w:sz w:val="44"/>
          <w:szCs w:val="44"/>
          <w:highlight w:val="none"/>
        </w:rPr>
        <w:t>报价文件</w:t>
      </w:r>
    </w:p>
    <w:p w14:paraId="2B6F7805">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183FB2C0">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384F3223">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600A6762">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项目名称： </w:t>
      </w:r>
    </w:p>
    <w:p w14:paraId="1B9EEDE6">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项目编号：</w:t>
      </w:r>
    </w:p>
    <w:p w14:paraId="681C34E3">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分标号：（若无留空或写</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w:t>
      </w:r>
    </w:p>
    <w:p w14:paraId="60C5E40C">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供应商名称：</w:t>
      </w:r>
    </w:p>
    <w:p w14:paraId="76267713">
      <w:pPr>
        <w:snapToGrid w:val="0"/>
        <w:spacing w:before="120" w:beforeLines="50" w:after="50" w:afterLines="0" w:line="360" w:lineRule="exact"/>
        <w:ind w:firstLine="720" w:firstLineChars="3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供应商地址：</w:t>
      </w:r>
    </w:p>
    <w:p w14:paraId="3F922BF7">
      <w:pPr>
        <w:snapToGrid w:val="0"/>
        <w:spacing w:before="120" w:beforeLines="50" w:after="50" w:afterLines="0" w:line="360" w:lineRule="exact"/>
        <w:ind w:firstLine="720" w:firstLineChars="300"/>
        <w:rPr>
          <w:rFonts w:hint="eastAsia" w:ascii="Times New Roman" w:hAnsi="Times New Roman" w:eastAsia="宋体" w:cs="Times New Roman"/>
          <w:color w:val="auto"/>
          <w:sz w:val="24"/>
          <w:szCs w:val="24"/>
          <w:highlight w:val="none"/>
        </w:rPr>
      </w:pPr>
    </w:p>
    <w:p w14:paraId="1AEC2C56">
      <w:pPr>
        <w:snapToGrid w:val="0"/>
        <w:spacing w:before="120" w:beforeLines="50" w:after="50" w:afterLines="0" w:line="360" w:lineRule="exact"/>
        <w:ind w:firstLine="3600" w:firstLineChars="15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                        年  月  日</w:t>
      </w:r>
    </w:p>
    <w:p w14:paraId="0C385269">
      <w:pPr>
        <w:snapToGrid w:val="0"/>
        <w:spacing w:before="120" w:beforeLines="50" w:after="50" w:afterLines="0" w:line="360" w:lineRule="exact"/>
        <w:ind w:firstLine="720" w:firstLineChars="300"/>
        <w:rPr>
          <w:rFonts w:hint="eastAsia" w:ascii="Times New Roman" w:hAnsi="Times New Roman" w:eastAsia="宋体" w:cs="Times New Roman"/>
          <w:color w:val="auto"/>
          <w:sz w:val="24"/>
          <w:szCs w:val="24"/>
          <w:highlight w:val="none"/>
        </w:rPr>
        <w:sectPr>
          <w:pgSz w:w="11906" w:h="16838"/>
          <w:pgMar w:top="1418" w:right="1274" w:bottom="1418" w:left="1418" w:header="851" w:footer="992" w:gutter="0"/>
          <w:cols w:space="720" w:num="1"/>
          <w:docGrid w:linePitch="312" w:charSpace="0"/>
        </w:sectPr>
      </w:pPr>
    </w:p>
    <w:p w14:paraId="0C1CED46">
      <w:pPr>
        <w:snapToGrid w:val="0"/>
        <w:spacing w:before="120" w:beforeLines="50" w:after="50" w:line="440" w:lineRule="exact"/>
        <w:jc w:val="center"/>
        <w:outlineLvl w:val="9"/>
        <w:rPr>
          <w:bCs/>
          <w:color w:val="auto"/>
          <w:sz w:val="24"/>
          <w:highlight w:val="none"/>
        </w:rPr>
      </w:pPr>
      <w:r>
        <w:rPr>
          <w:bCs/>
          <w:color w:val="auto"/>
          <w:sz w:val="24"/>
          <w:highlight w:val="none"/>
        </w:rPr>
        <w:t>第</w:t>
      </w:r>
      <w:r>
        <w:rPr>
          <w:rFonts w:hint="eastAsia"/>
          <w:bCs/>
          <w:color w:val="auto"/>
          <w:sz w:val="24"/>
          <w:highlight w:val="none"/>
        </w:rPr>
        <w:t>三</w:t>
      </w:r>
      <w:r>
        <w:rPr>
          <w:bCs/>
          <w:color w:val="auto"/>
          <w:sz w:val="24"/>
          <w:highlight w:val="none"/>
        </w:rPr>
        <w:t>部分 报价文件</w:t>
      </w:r>
    </w:p>
    <w:p w14:paraId="3CAC2CEE">
      <w:pPr>
        <w:jc w:val="center"/>
        <w:rPr>
          <w:b/>
          <w:bCs/>
          <w:color w:val="auto"/>
          <w:szCs w:val="21"/>
          <w:highlight w:val="none"/>
        </w:rPr>
      </w:pPr>
    </w:p>
    <w:p w14:paraId="27FF1AE0">
      <w:pPr>
        <w:rPr>
          <w:rFonts w:hint="eastAsia"/>
          <w:b/>
          <w:color w:val="auto"/>
          <w:szCs w:val="21"/>
          <w:highlight w:val="none"/>
        </w:rPr>
      </w:pPr>
      <w:r>
        <w:rPr>
          <w:b/>
          <w:color w:val="auto"/>
          <w:szCs w:val="21"/>
          <w:highlight w:val="none"/>
        </w:rPr>
        <w:t>1．响应函格式：</w:t>
      </w:r>
    </w:p>
    <w:p w14:paraId="0697251C">
      <w:pPr>
        <w:rPr>
          <w:b/>
          <w:color w:val="auto"/>
          <w:szCs w:val="21"/>
          <w:highlight w:val="none"/>
        </w:rPr>
      </w:pPr>
    </w:p>
    <w:p w14:paraId="6D60766E">
      <w:pPr>
        <w:jc w:val="center"/>
        <w:rPr>
          <w:b/>
          <w:color w:val="auto"/>
          <w:szCs w:val="21"/>
          <w:highlight w:val="none"/>
        </w:rPr>
      </w:pPr>
      <w:r>
        <w:rPr>
          <w:b/>
          <w:color w:val="auto"/>
          <w:szCs w:val="21"/>
          <w:highlight w:val="none"/>
        </w:rPr>
        <w:t>响 应 函</w:t>
      </w:r>
    </w:p>
    <w:p w14:paraId="5FC80031">
      <w:pPr>
        <w:rPr>
          <w:b/>
          <w:color w:val="auto"/>
          <w:szCs w:val="21"/>
          <w:highlight w:val="none"/>
        </w:rPr>
      </w:pPr>
    </w:p>
    <w:p w14:paraId="010FEFF1">
      <w:pPr>
        <w:spacing w:line="360" w:lineRule="auto"/>
        <w:rPr>
          <w:color w:val="auto"/>
          <w:szCs w:val="21"/>
          <w:highlight w:val="none"/>
        </w:rPr>
      </w:pPr>
      <w:bookmarkStart w:id="110" w:name="_Hlk19110643"/>
      <w:r>
        <w:rPr>
          <w:color w:val="auto"/>
          <w:szCs w:val="21"/>
          <w:highlight w:val="none"/>
        </w:rPr>
        <w:t>致：_</w:t>
      </w:r>
      <w:r>
        <w:rPr>
          <w:i/>
          <w:iCs/>
          <w:color w:val="auto"/>
          <w:szCs w:val="21"/>
          <w:highlight w:val="none"/>
          <w:u w:val="single"/>
        </w:rPr>
        <w:t>（采购</w:t>
      </w:r>
      <w:r>
        <w:rPr>
          <w:rFonts w:hint="eastAsia"/>
          <w:i/>
          <w:iCs/>
          <w:color w:val="auto"/>
          <w:szCs w:val="21"/>
          <w:highlight w:val="none"/>
          <w:u w:val="single"/>
        </w:rPr>
        <w:t>人</w:t>
      </w:r>
      <w:r>
        <w:rPr>
          <w:i/>
          <w:iCs/>
          <w:color w:val="auto"/>
          <w:szCs w:val="21"/>
          <w:highlight w:val="none"/>
          <w:u w:val="single"/>
        </w:rPr>
        <w:t>名称）</w:t>
      </w:r>
      <w:r>
        <w:rPr>
          <w:i/>
          <w:iCs/>
          <w:color w:val="auto"/>
          <w:szCs w:val="21"/>
          <w:highlight w:val="none"/>
        </w:rPr>
        <w:t>_</w:t>
      </w:r>
    </w:p>
    <w:p w14:paraId="50D7A62A">
      <w:pPr>
        <w:spacing w:line="360" w:lineRule="auto"/>
        <w:ind w:firstLine="420" w:firstLineChars="200"/>
        <w:rPr>
          <w:color w:val="auto"/>
          <w:szCs w:val="21"/>
          <w:highlight w:val="none"/>
        </w:rPr>
      </w:pPr>
      <w:r>
        <w:rPr>
          <w:color w:val="auto"/>
          <w:szCs w:val="21"/>
          <w:highlight w:val="none"/>
        </w:rPr>
        <w:t>我方已仔细研究了</w:t>
      </w:r>
      <w:r>
        <w:rPr>
          <w:rFonts w:hint="eastAsia"/>
          <w:i/>
          <w:iCs/>
          <w:color w:val="auto"/>
          <w:szCs w:val="21"/>
          <w:highlight w:val="none"/>
          <w:u w:val="single"/>
        </w:rPr>
        <w:t>（项目名称）</w:t>
      </w:r>
      <w:r>
        <w:rPr>
          <w:color w:val="auto"/>
          <w:szCs w:val="21"/>
          <w:highlight w:val="none"/>
        </w:rPr>
        <w:t>的</w:t>
      </w:r>
      <w:r>
        <w:rPr>
          <w:rFonts w:hint="eastAsia"/>
          <w:color w:val="auto"/>
          <w:szCs w:val="21"/>
          <w:highlight w:val="none"/>
        </w:rPr>
        <w:t>采购文件</w:t>
      </w:r>
      <w:r>
        <w:rPr>
          <w:color w:val="auto"/>
          <w:szCs w:val="21"/>
          <w:highlight w:val="none"/>
        </w:rPr>
        <w:t>的全部内容</w:t>
      </w:r>
      <w:r>
        <w:rPr>
          <w:rFonts w:hint="eastAsia"/>
          <w:color w:val="auto"/>
          <w:szCs w:val="21"/>
          <w:highlight w:val="none"/>
        </w:rPr>
        <w:t>，</w:t>
      </w:r>
      <w:r>
        <w:rPr>
          <w:color w:val="auto"/>
          <w:szCs w:val="21"/>
          <w:highlight w:val="none"/>
        </w:rPr>
        <w:t>签字代表</w:t>
      </w:r>
      <w:r>
        <w:rPr>
          <w:rFonts w:hint="eastAsia"/>
          <w:i/>
          <w:iCs/>
          <w:color w:val="auto"/>
          <w:szCs w:val="21"/>
          <w:highlight w:val="none"/>
          <w:u w:val="single"/>
        </w:rPr>
        <w:t>（授权代表姓名）</w:t>
      </w:r>
      <w:r>
        <w:rPr>
          <w:color w:val="auto"/>
          <w:szCs w:val="21"/>
          <w:highlight w:val="none"/>
        </w:rPr>
        <w:t>经正式授权并代表供应商</w:t>
      </w:r>
      <w:r>
        <w:rPr>
          <w:color w:val="auto"/>
          <w:szCs w:val="21"/>
          <w:highlight w:val="none"/>
          <w:u w:val="single"/>
        </w:rPr>
        <w:t xml:space="preserve"> </w:t>
      </w:r>
      <w:r>
        <w:rPr>
          <w:i/>
          <w:iCs/>
          <w:color w:val="auto"/>
          <w:szCs w:val="21"/>
          <w:highlight w:val="none"/>
          <w:u w:val="single"/>
        </w:rPr>
        <w:t>（供应商名称）</w:t>
      </w:r>
      <w:r>
        <w:rPr>
          <w:rFonts w:hint="eastAsia"/>
          <w:i/>
          <w:iCs/>
          <w:color w:val="auto"/>
          <w:szCs w:val="21"/>
          <w:highlight w:val="none"/>
          <w:u w:val="single"/>
        </w:rPr>
        <w:t xml:space="preserve"> </w:t>
      </w:r>
      <w:r>
        <w:rPr>
          <w:color w:val="auto"/>
          <w:szCs w:val="21"/>
          <w:highlight w:val="none"/>
        </w:rPr>
        <w:t>提交响应文件。</w:t>
      </w:r>
    </w:p>
    <w:bookmarkEnd w:id="110"/>
    <w:p w14:paraId="315C969E">
      <w:pPr>
        <w:spacing w:line="360" w:lineRule="auto"/>
        <w:ind w:firstLine="420" w:firstLineChars="200"/>
        <w:rPr>
          <w:color w:val="auto"/>
          <w:szCs w:val="21"/>
          <w:highlight w:val="none"/>
        </w:rPr>
      </w:pPr>
      <w:r>
        <w:rPr>
          <w:color w:val="auto"/>
          <w:szCs w:val="21"/>
          <w:highlight w:val="none"/>
        </w:rPr>
        <w:t>据此函，签字代表宣布同意如下：</w:t>
      </w:r>
    </w:p>
    <w:p w14:paraId="6C64BDAE">
      <w:pPr>
        <w:spacing w:line="360" w:lineRule="auto"/>
        <w:rPr>
          <w:color w:val="auto"/>
          <w:szCs w:val="21"/>
          <w:highlight w:val="none"/>
        </w:rPr>
      </w:pPr>
      <w:r>
        <w:rPr>
          <w:color w:val="auto"/>
          <w:szCs w:val="21"/>
          <w:highlight w:val="none"/>
        </w:rPr>
        <w:t>（1）供应商已详细审查全部“采购文件”，包括修改文件（如有的话）以及全部参考资料和有关附件，已经了解我方对于采购文件、采购过程、采购结果有依法进行询问、质疑、投诉的权利及相关渠道和要求。</w:t>
      </w:r>
    </w:p>
    <w:p w14:paraId="193EC827">
      <w:pPr>
        <w:spacing w:line="360" w:lineRule="auto"/>
        <w:rPr>
          <w:color w:val="auto"/>
          <w:szCs w:val="21"/>
          <w:highlight w:val="none"/>
        </w:rPr>
      </w:pPr>
      <w:r>
        <w:rPr>
          <w:color w:val="auto"/>
          <w:szCs w:val="21"/>
          <w:highlight w:val="none"/>
        </w:rPr>
        <w:t>（2）供应商在响应之前已经与贵方进行了充分的沟通，完全理解并接受采购文件的各项规定和要求，对采购文件的合理性、合法性不再有异议。</w:t>
      </w:r>
    </w:p>
    <w:p w14:paraId="773B635B">
      <w:pPr>
        <w:spacing w:line="360" w:lineRule="auto"/>
        <w:rPr>
          <w:color w:val="auto"/>
          <w:szCs w:val="21"/>
          <w:highlight w:val="none"/>
        </w:rPr>
      </w:pPr>
      <w:r>
        <w:rPr>
          <w:rFonts w:hint="eastAsia"/>
          <w:color w:val="auto"/>
          <w:szCs w:val="21"/>
          <w:highlight w:val="none"/>
        </w:rPr>
        <w:t>（3）我方承诺本响应有效期为第三章供应商须知规定的期限。</w:t>
      </w:r>
    </w:p>
    <w:p w14:paraId="586ECDE0">
      <w:pPr>
        <w:spacing w:line="360" w:lineRule="auto"/>
        <w:rPr>
          <w:color w:val="auto"/>
          <w:szCs w:val="21"/>
          <w:highlight w:val="none"/>
        </w:rPr>
      </w:pPr>
      <w:r>
        <w:rPr>
          <w:color w:val="auto"/>
          <w:szCs w:val="21"/>
          <w:highlight w:val="none"/>
        </w:rPr>
        <w:t>（4）如成交，本响应文件至本项目合同履行完毕止均保持有效，本供应商将按“采购文件”及政府采购法律、法规的规定履行合同责任和义务</w:t>
      </w:r>
      <w:r>
        <w:rPr>
          <w:rFonts w:hint="eastAsia"/>
          <w:color w:val="auto"/>
          <w:szCs w:val="21"/>
          <w:highlight w:val="none"/>
        </w:rPr>
        <w:t>，并承诺</w:t>
      </w:r>
      <w:r>
        <w:rPr>
          <w:color w:val="auto"/>
          <w:szCs w:val="21"/>
          <w:highlight w:val="none"/>
        </w:rPr>
        <w:t>不分包及转包他人。</w:t>
      </w:r>
    </w:p>
    <w:p w14:paraId="38C72F76">
      <w:pPr>
        <w:spacing w:line="360" w:lineRule="auto"/>
        <w:rPr>
          <w:color w:val="auto"/>
          <w:szCs w:val="21"/>
          <w:highlight w:val="none"/>
        </w:rPr>
      </w:pPr>
      <w:r>
        <w:rPr>
          <w:color w:val="auto"/>
          <w:szCs w:val="21"/>
          <w:highlight w:val="none"/>
        </w:rPr>
        <w:t>（5）供应商同意按照贵方要求提供与响应有关的一切数据或资料。</w:t>
      </w:r>
    </w:p>
    <w:p w14:paraId="23FB930E">
      <w:pPr>
        <w:spacing w:line="360" w:lineRule="auto"/>
        <w:rPr>
          <w:color w:val="auto"/>
          <w:szCs w:val="21"/>
          <w:highlight w:val="none"/>
        </w:rPr>
      </w:pPr>
      <w:r>
        <w:rPr>
          <w:color w:val="auto"/>
          <w:szCs w:val="21"/>
          <w:highlight w:val="none"/>
        </w:rPr>
        <w:t>（</w:t>
      </w:r>
      <w:r>
        <w:rPr>
          <w:rFonts w:hint="eastAsia"/>
          <w:color w:val="auto"/>
          <w:szCs w:val="21"/>
          <w:highlight w:val="none"/>
        </w:rPr>
        <w:t>6</w:t>
      </w:r>
      <w:r>
        <w:rPr>
          <w:color w:val="auto"/>
          <w:szCs w:val="21"/>
          <w:highlight w:val="none"/>
        </w:rPr>
        <w:t>）与本项目有关的一切正式往来信函请寄：</w:t>
      </w:r>
    </w:p>
    <w:p w14:paraId="65A1410B">
      <w:pPr>
        <w:spacing w:line="360" w:lineRule="auto"/>
        <w:rPr>
          <w:color w:val="auto"/>
          <w:szCs w:val="21"/>
          <w:highlight w:val="none"/>
        </w:rPr>
      </w:pPr>
      <w:r>
        <w:rPr>
          <w:color w:val="auto"/>
          <w:szCs w:val="21"/>
          <w:highlight w:val="none"/>
        </w:rPr>
        <w:t>地址：</w:t>
      </w:r>
      <w:r>
        <w:rPr>
          <w:color w:val="auto"/>
          <w:szCs w:val="21"/>
          <w:highlight w:val="none"/>
          <w:u w:val="single"/>
        </w:rPr>
        <w:t xml:space="preserve">                      </w:t>
      </w:r>
      <w:r>
        <w:rPr>
          <w:color w:val="auto"/>
          <w:szCs w:val="21"/>
          <w:highlight w:val="none"/>
        </w:rPr>
        <w:t>邮编：</w:t>
      </w:r>
      <w:r>
        <w:rPr>
          <w:color w:val="auto"/>
          <w:szCs w:val="21"/>
          <w:highlight w:val="none"/>
          <w:u w:val="single"/>
        </w:rPr>
        <w:t xml:space="preserve">         </w:t>
      </w:r>
      <w:r>
        <w:rPr>
          <w:color w:val="auto"/>
          <w:szCs w:val="21"/>
          <w:highlight w:val="none"/>
        </w:rPr>
        <w:t xml:space="preserve">  电话：</w:t>
      </w:r>
      <w:r>
        <w:rPr>
          <w:color w:val="auto"/>
          <w:szCs w:val="21"/>
          <w:highlight w:val="none"/>
          <w:u w:val="single"/>
        </w:rPr>
        <w:t xml:space="preserve">            </w:t>
      </w:r>
    </w:p>
    <w:p w14:paraId="21CBBCC2">
      <w:pPr>
        <w:spacing w:line="360" w:lineRule="auto"/>
        <w:rPr>
          <w:color w:val="auto"/>
          <w:szCs w:val="21"/>
          <w:highlight w:val="none"/>
        </w:rPr>
      </w:pPr>
      <w:r>
        <w:rPr>
          <w:color w:val="auto"/>
          <w:szCs w:val="21"/>
          <w:highlight w:val="none"/>
        </w:rPr>
        <w:t>传真：</w:t>
      </w:r>
      <w:r>
        <w:rPr>
          <w:color w:val="auto"/>
          <w:szCs w:val="21"/>
          <w:highlight w:val="none"/>
          <w:u w:val="single"/>
        </w:rPr>
        <w:t xml:space="preserve">           </w:t>
      </w:r>
      <w:r>
        <w:rPr>
          <w:color w:val="auto"/>
          <w:szCs w:val="21"/>
          <w:highlight w:val="none"/>
        </w:rPr>
        <w:t xml:space="preserve"> </w:t>
      </w:r>
    </w:p>
    <w:p w14:paraId="210870D0">
      <w:pPr>
        <w:spacing w:line="360" w:lineRule="auto"/>
        <w:rPr>
          <w:color w:val="auto"/>
          <w:szCs w:val="21"/>
          <w:highlight w:val="none"/>
        </w:rPr>
      </w:pPr>
      <w:r>
        <w:rPr>
          <w:color w:val="auto"/>
          <w:szCs w:val="21"/>
          <w:highlight w:val="none"/>
        </w:rPr>
        <w:t>供应商代表姓名</w:t>
      </w:r>
      <w:r>
        <w:rPr>
          <w:color w:val="auto"/>
          <w:szCs w:val="21"/>
          <w:highlight w:val="none"/>
          <w:u w:val="single"/>
        </w:rPr>
        <w:t xml:space="preserve">         </w:t>
      </w:r>
      <w:r>
        <w:rPr>
          <w:color w:val="auto"/>
          <w:szCs w:val="21"/>
          <w:highlight w:val="none"/>
        </w:rPr>
        <w:t xml:space="preserve">  职务：</w:t>
      </w:r>
      <w:r>
        <w:rPr>
          <w:color w:val="auto"/>
          <w:szCs w:val="21"/>
          <w:highlight w:val="none"/>
          <w:u w:val="single"/>
        </w:rPr>
        <w:t xml:space="preserve">             </w:t>
      </w:r>
      <w:r>
        <w:rPr>
          <w:rFonts w:hint="eastAsia"/>
          <w:color w:val="auto"/>
          <w:szCs w:val="21"/>
          <w:highlight w:val="none"/>
        </w:rPr>
        <w:t>邮箱：</w:t>
      </w:r>
      <w:r>
        <w:rPr>
          <w:rFonts w:hint="eastAsia"/>
          <w:color w:val="auto"/>
          <w:szCs w:val="21"/>
          <w:highlight w:val="none"/>
          <w:u w:val="single"/>
        </w:rPr>
        <w:t xml:space="preserve"> </w:t>
      </w:r>
      <w:r>
        <w:rPr>
          <w:color w:val="auto"/>
          <w:szCs w:val="21"/>
          <w:highlight w:val="none"/>
          <w:u w:val="single"/>
        </w:rPr>
        <w:t xml:space="preserve">             </w:t>
      </w:r>
    </w:p>
    <w:p w14:paraId="18E094FB">
      <w:pPr>
        <w:spacing w:line="360" w:lineRule="auto"/>
        <w:rPr>
          <w:rFonts w:hint="eastAsia"/>
          <w:color w:val="auto"/>
          <w:szCs w:val="21"/>
          <w:highlight w:val="none"/>
        </w:rPr>
      </w:pPr>
    </w:p>
    <w:p w14:paraId="7EA07188">
      <w:pPr>
        <w:spacing w:line="360" w:lineRule="auto"/>
        <w:rPr>
          <w:rFonts w:hint="eastAsia"/>
          <w:color w:val="auto"/>
          <w:szCs w:val="21"/>
          <w:highlight w:val="none"/>
        </w:rPr>
      </w:pPr>
    </w:p>
    <w:p w14:paraId="4FE653D7">
      <w:pPr>
        <w:spacing w:line="360" w:lineRule="auto"/>
        <w:rPr>
          <w:rFonts w:hint="eastAsia"/>
          <w:color w:val="auto"/>
          <w:szCs w:val="21"/>
          <w:highlight w:val="none"/>
          <w:u w:val="singl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rFonts w:hint="eastAsia"/>
          <w:color w:val="auto"/>
          <w:szCs w:val="21"/>
          <w:highlight w:val="none"/>
          <w:lang w:eastAsia="zh-CN"/>
        </w:rPr>
        <w:t>：</w:t>
      </w:r>
      <w:r>
        <w:rPr>
          <w:color w:val="auto"/>
          <w:szCs w:val="21"/>
          <w:highlight w:val="none"/>
          <w:u w:val="single"/>
        </w:rPr>
        <w:t xml:space="preserve">                  </w:t>
      </w:r>
    </w:p>
    <w:p w14:paraId="7475CBAA">
      <w:pPr>
        <w:spacing w:line="360" w:lineRule="auto"/>
        <w:rPr>
          <w:color w:val="auto"/>
          <w:szCs w:val="21"/>
          <w:highlight w:val="none"/>
        </w:rPr>
      </w:pPr>
    </w:p>
    <w:p w14:paraId="2FCE59F4">
      <w:pPr>
        <w:spacing w:line="360" w:lineRule="auto"/>
        <w:rPr>
          <w:rFonts w:hint="eastAsia"/>
          <w:color w:val="auto"/>
          <w:szCs w:val="21"/>
          <w:highlight w:val="none"/>
        </w:rPr>
      </w:pPr>
    </w:p>
    <w:p w14:paraId="1ED645D6">
      <w:pPr>
        <w:spacing w:line="360" w:lineRule="auto"/>
        <w:rPr>
          <w:color w:val="auto"/>
          <w:szCs w:val="21"/>
          <w:highlight w:val="none"/>
        </w:rPr>
      </w:pPr>
      <w:r>
        <w:rPr>
          <w:color w:val="auto"/>
          <w:szCs w:val="21"/>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0AD71D66">
      <w:pPr>
        <w:rPr>
          <w:b/>
          <w:color w:val="auto"/>
          <w:szCs w:val="21"/>
          <w:highlight w:val="none"/>
        </w:rPr>
      </w:pPr>
      <w:r>
        <w:rPr>
          <w:b/>
          <w:color w:val="auto"/>
          <w:szCs w:val="21"/>
          <w:highlight w:val="none"/>
        </w:rPr>
        <w:br w:type="page"/>
      </w:r>
      <w:r>
        <w:rPr>
          <w:rFonts w:hint="eastAsia"/>
          <w:b/>
          <w:color w:val="auto"/>
          <w:szCs w:val="21"/>
          <w:highlight w:val="none"/>
          <w:lang w:val="en-US" w:eastAsia="zh-CN"/>
        </w:rPr>
        <w:t>2.</w:t>
      </w:r>
      <w:r>
        <w:rPr>
          <w:b/>
          <w:color w:val="auto"/>
          <w:szCs w:val="21"/>
          <w:highlight w:val="none"/>
        </w:rPr>
        <w:t>响应报价明细表格式：</w:t>
      </w:r>
    </w:p>
    <w:p w14:paraId="0DAF5D52">
      <w:pPr>
        <w:jc w:val="center"/>
        <w:rPr>
          <w:b/>
          <w:color w:val="auto"/>
          <w:szCs w:val="21"/>
          <w:highlight w:val="none"/>
        </w:rPr>
      </w:pPr>
      <w:r>
        <w:rPr>
          <w:b/>
          <w:color w:val="auto"/>
          <w:szCs w:val="21"/>
          <w:highlight w:val="none"/>
        </w:rPr>
        <w:t>响应报价明细表</w:t>
      </w:r>
    </w:p>
    <w:p w14:paraId="0D18AFD6">
      <w:pPr>
        <w:ind w:firstLine="2415" w:firstLineChars="1150"/>
        <w:rPr>
          <w:color w:val="auto"/>
          <w:szCs w:val="21"/>
          <w:highlight w:val="none"/>
        </w:rPr>
      </w:pPr>
      <w:r>
        <w:rPr>
          <w:color w:val="auto"/>
          <w:szCs w:val="21"/>
          <w:highlight w:val="none"/>
        </w:rPr>
        <w:t xml:space="preserve">                            金额单位：人民币（元）</w:t>
      </w:r>
    </w:p>
    <w:tbl>
      <w:tblPr>
        <w:tblStyle w:val="51"/>
        <w:tblW w:w="743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8"/>
        <w:gridCol w:w="1783"/>
        <w:gridCol w:w="1783"/>
        <w:gridCol w:w="1387"/>
        <w:gridCol w:w="1585"/>
      </w:tblGrid>
      <w:tr w14:paraId="4BCCB7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3" w:hRule="exact"/>
          <w:jc w:val="center"/>
        </w:trPr>
        <w:tc>
          <w:tcPr>
            <w:tcW w:w="898" w:type="dxa"/>
            <w:tcBorders>
              <w:top w:val="single" w:color="auto" w:sz="4" w:space="0"/>
              <w:left w:val="single" w:color="auto" w:sz="4" w:space="0"/>
              <w:bottom w:val="single" w:color="auto" w:sz="4" w:space="0"/>
              <w:right w:val="single" w:color="auto" w:sz="4" w:space="0"/>
            </w:tcBorders>
            <w:vAlign w:val="center"/>
          </w:tcPr>
          <w:p w14:paraId="3DC658AF">
            <w:pPr>
              <w:jc w:val="center"/>
              <w:rPr>
                <w:color w:val="auto"/>
                <w:spacing w:val="20"/>
                <w:szCs w:val="21"/>
                <w:highlight w:val="none"/>
              </w:rPr>
            </w:pPr>
            <w:r>
              <w:rPr>
                <w:color w:val="auto"/>
                <w:szCs w:val="21"/>
                <w:highlight w:val="none"/>
              </w:rPr>
              <w:t>序号</w:t>
            </w:r>
          </w:p>
        </w:tc>
        <w:tc>
          <w:tcPr>
            <w:tcW w:w="1783" w:type="dxa"/>
            <w:tcBorders>
              <w:top w:val="single" w:color="auto" w:sz="4" w:space="0"/>
              <w:left w:val="single" w:color="auto" w:sz="4" w:space="0"/>
              <w:bottom w:val="single" w:color="auto" w:sz="4" w:space="0"/>
              <w:right w:val="single" w:color="auto" w:sz="4" w:space="0"/>
            </w:tcBorders>
            <w:vAlign w:val="center"/>
          </w:tcPr>
          <w:p w14:paraId="050C7C9D">
            <w:pPr>
              <w:jc w:val="center"/>
              <w:rPr>
                <w:color w:val="auto"/>
                <w:szCs w:val="21"/>
                <w:highlight w:val="none"/>
              </w:rPr>
            </w:pPr>
            <w:r>
              <w:rPr>
                <w:color w:val="auto"/>
                <w:szCs w:val="21"/>
                <w:highlight w:val="none"/>
              </w:rPr>
              <w:t>服务名称</w:t>
            </w:r>
          </w:p>
        </w:tc>
        <w:tc>
          <w:tcPr>
            <w:tcW w:w="1783" w:type="dxa"/>
            <w:tcBorders>
              <w:top w:val="single" w:color="auto" w:sz="4" w:space="0"/>
              <w:left w:val="single" w:color="auto" w:sz="4" w:space="0"/>
              <w:bottom w:val="single" w:color="auto" w:sz="4" w:space="0"/>
              <w:right w:val="single" w:color="auto" w:sz="4" w:space="0"/>
            </w:tcBorders>
            <w:vAlign w:val="center"/>
          </w:tcPr>
          <w:p w14:paraId="1AE516A4">
            <w:pPr>
              <w:jc w:val="center"/>
              <w:rPr>
                <w:color w:val="auto"/>
                <w:szCs w:val="21"/>
                <w:highlight w:val="none"/>
              </w:rPr>
            </w:pPr>
            <w:r>
              <w:rPr>
                <w:color w:val="auto"/>
                <w:szCs w:val="21"/>
                <w:highlight w:val="none"/>
              </w:rPr>
              <w:t>单位及数量</w:t>
            </w:r>
          </w:p>
        </w:tc>
        <w:tc>
          <w:tcPr>
            <w:tcW w:w="1387" w:type="dxa"/>
            <w:tcBorders>
              <w:top w:val="single" w:color="auto" w:sz="4" w:space="0"/>
              <w:left w:val="single" w:color="auto" w:sz="4" w:space="0"/>
              <w:bottom w:val="single" w:color="auto" w:sz="4" w:space="0"/>
              <w:right w:val="single" w:color="auto" w:sz="4" w:space="0"/>
            </w:tcBorders>
            <w:vAlign w:val="center"/>
          </w:tcPr>
          <w:p w14:paraId="1165DF00">
            <w:pPr>
              <w:jc w:val="center"/>
              <w:rPr>
                <w:color w:val="auto"/>
                <w:szCs w:val="21"/>
                <w:highlight w:val="none"/>
              </w:rPr>
            </w:pPr>
            <w:r>
              <w:rPr>
                <w:color w:val="auto"/>
                <w:szCs w:val="21"/>
                <w:highlight w:val="none"/>
              </w:rPr>
              <w:t>单价</w:t>
            </w:r>
          </w:p>
        </w:tc>
        <w:tc>
          <w:tcPr>
            <w:tcW w:w="1585" w:type="dxa"/>
            <w:tcBorders>
              <w:top w:val="single" w:color="auto" w:sz="4" w:space="0"/>
              <w:left w:val="single" w:color="auto" w:sz="4" w:space="0"/>
              <w:bottom w:val="single" w:color="auto" w:sz="4" w:space="0"/>
              <w:right w:val="single" w:color="auto" w:sz="4" w:space="0"/>
            </w:tcBorders>
            <w:vAlign w:val="center"/>
          </w:tcPr>
          <w:p w14:paraId="1CC61562">
            <w:pPr>
              <w:jc w:val="center"/>
              <w:rPr>
                <w:color w:val="auto"/>
                <w:szCs w:val="21"/>
                <w:highlight w:val="none"/>
              </w:rPr>
            </w:pPr>
            <w:r>
              <w:rPr>
                <w:rFonts w:hint="eastAsia"/>
                <w:color w:val="auto"/>
                <w:szCs w:val="21"/>
                <w:highlight w:val="none"/>
              </w:rPr>
              <w:t>合计</w:t>
            </w:r>
          </w:p>
        </w:tc>
      </w:tr>
      <w:tr w14:paraId="77317A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3" w:hRule="exact"/>
          <w:jc w:val="center"/>
        </w:trPr>
        <w:tc>
          <w:tcPr>
            <w:tcW w:w="898" w:type="dxa"/>
            <w:tcBorders>
              <w:top w:val="single" w:color="auto" w:sz="4" w:space="0"/>
              <w:left w:val="single" w:color="auto" w:sz="4" w:space="0"/>
              <w:bottom w:val="single" w:color="auto" w:sz="4" w:space="0"/>
              <w:right w:val="single" w:color="auto" w:sz="4" w:space="0"/>
            </w:tcBorders>
            <w:vAlign w:val="center"/>
          </w:tcPr>
          <w:p w14:paraId="14A22234">
            <w:pPr>
              <w:jc w:val="center"/>
              <w:rPr>
                <w:color w:val="auto"/>
                <w:spacing w:val="20"/>
                <w:szCs w:val="21"/>
                <w:highlight w:val="none"/>
              </w:rPr>
            </w:pPr>
          </w:p>
        </w:tc>
        <w:tc>
          <w:tcPr>
            <w:tcW w:w="1783" w:type="dxa"/>
            <w:tcBorders>
              <w:top w:val="single" w:color="auto" w:sz="4" w:space="0"/>
              <w:left w:val="single" w:color="auto" w:sz="4" w:space="0"/>
              <w:bottom w:val="single" w:color="auto" w:sz="4" w:space="0"/>
              <w:right w:val="single" w:color="auto" w:sz="4" w:space="0"/>
            </w:tcBorders>
            <w:vAlign w:val="center"/>
          </w:tcPr>
          <w:p w14:paraId="66417205">
            <w:pPr>
              <w:jc w:val="center"/>
              <w:rPr>
                <w:color w:val="auto"/>
                <w:spacing w:val="20"/>
                <w:szCs w:val="21"/>
                <w:highlight w:val="none"/>
              </w:rPr>
            </w:pPr>
          </w:p>
        </w:tc>
        <w:tc>
          <w:tcPr>
            <w:tcW w:w="1783" w:type="dxa"/>
            <w:tcBorders>
              <w:top w:val="single" w:color="auto" w:sz="4" w:space="0"/>
              <w:left w:val="single" w:color="auto" w:sz="4" w:space="0"/>
              <w:bottom w:val="single" w:color="auto" w:sz="4" w:space="0"/>
              <w:right w:val="single" w:color="auto" w:sz="4" w:space="0"/>
            </w:tcBorders>
            <w:vAlign w:val="center"/>
          </w:tcPr>
          <w:p w14:paraId="109AD1A9">
            <w:pPr>
              <w:jc w:val="center"/>
              <w:rPr>
                <w:color w:val="auto"/>
                <w:spacing w:val="20"/>
                <w:szCs w:val="21"/>
                <w:highlight w:val="none"/>
              </w:rPr>
            </w:pPr>
          </w:p>
        </w:tc>
        <w:tc>
          <w:tcPr>
            <w:tcW w:w="1387" w:type="dxa"/>
            <w:tcBorders>
              <w:top w:val="single" w:color="auto" w:sz="4" w:space="0"/>
              <w:left w:val="single" w:color="auto" w:sz="4" w:space="0"/>
              <w:bottom w:val="single" w:color="auto" w:sz="4" w:space="0"/>
              <w:right w:val="single" w:color="auto" w:sz="4" w:space="0"/>
            </w:tcBorders>
            <w:vAlign w:val="center"/>
          </w:tcPr>
          <w:p w14:paraId="625F7FDD">
            <w:pPr>
              <w:jc w:val="center"/>
              <w:rPr>
                <w:color w:val="auto"/>
                <w:spacing w:val="20"/>
                <w:szCs w:val="21"/>
                <w:highlight w:val="none"/>
              </w:rPr>
            </w:pPr>
          </w:p>
        </w:tc>
        <w:tc>
          <w:tcPr>
            <w:tcW w:w="1585" w:type="dxa"/>
            <w:tcBorders>
              <w:top w:val="single" w:color="auto" w:sz="4" w:space="0"/>
              <w:left w:val="single" w:color="auto" w:sz="4" w:space="0"/>
              <w:bottom w:val="single" w:color="auto" w:sz="4" w:space="0"/>
              <w:right w:val="single" w:color="auto" w:sz="4" w:space="0"/>
            </w:tcBorders>
            <w:vAlign w:val="center"/>
          </w:tcPr>
          <w:p w14:paraId="51CDEA22">
            <w:pPr>
              <w:jc w:val="center"/>
              <w:rPr>
                <w:color w:val="auto"/>
                <w:spacing w:val="20"/>
                <w:szCs w:val="21"/>
                <w:highlight w:val="none"/>
              </w:rPr>
            </w:pPr>
          </w:p>
        </w:tc>
      </w:tr>
      <w:tr w14:paraId="7362F7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3" w:hRule="exact"/>
          <w:jc w:val="center"/>
        </w:trPr>
        <w:tc>
          <w:tcPr>
            <w:tcW w:w="898" w:type="dxa"/>
            <w:tcBorders>
              <w:top w:val="single" w:color="auto" w:sz="4" w:space="0"/>
              <w:left w:val="single" w:color="auto" w:sz="4" w:space="0"/>
              <w:bottom w:val="single" w:color="auto" w:sz="4" w:space="0"/>
              <w:right w:val="single" w:color="auto" w:sz="4" w:space="0"/>
            </w:tcBorders>
            <w:vAlign w:val="center"/>
          </w:tcPr>
          <w:p w14:paraId="76611631">
            <w:pPr>
              <w:jc w:val="center"/>
              <w:rPr>
                <w:color w:val="auto"/>
                <w:spacing w:val="20"/>
                <w:szCs w:val="21"/>
                <w:highlight w:val="none"/>
              </w:rPr>
            </w:pPr>
          </w:p>
        </w:tc>
        <w:tc>
          <w:tcPr>
            <w:tcW w:w="1783" w:type="dxa"/>
            <w:tcBorders>
              <w:top w:val="single" w:color="auto" w:sz="4" w:space="0"/>
              <w:left w:val="single" w:color="auto" w:sz="4" w:space="0"/>
              <w:bottom w:val="single" w:color="auto" w:sz="4" w:space="0"/>
              <w:right w:val="single" w:color="auto" w:sz="4" w:space="0"/>
            </w:tcBorders>
            <w:vAlign w:val="center"/>
          </w:tcPr>
          <w:p w14:paraId="097B5715">
            <w:pPr>
              <w:jc w:val="center"/>
              <w:rPr>
                <w:color w:val="auto"/>
                <w:spacing w:val="20"/>
                <w:szCs w:val="21"/>
                <w:highlight w:val="none"/>
              </w:rPr>
            </w:pPr>
          </w:p>
        </w:tc>
        <w:tc>
          <w:tcPr>
            <w:tcW w:w="1783" w:type="dxa"/>
            <w:tcBorders>
              <w:top w:val="single" w:color="auto" w:sz="4" w:space="0"/>
              <w:left w:val="single" w:color="auto" w:sz="4" w:space="0"/>
              <w:bottom w:val="single" w:color="auto" w:sz="4" w:space="0"/>
              <w:right w:val="single" w:color="auto" w:sz="4" w:space="0"/>
            </w:tcBorders>
            <w:vAlign w:val="center"/>
          </w:tcPr>
          <w:p w14:paraId="05BAB607">
            <w:pPr>
              <w:jc w:val="center"/>
              <w:rPr>
                <w:color w:val="auto"/>
                <w:spacing w:val="20"/>
                <w:szCs w:val="21"/>
                <w:highlight w:val="none"/>
              </w:rPr>
            </w:pPr>
          </w:p>
        </w:tc>
        <w:tc>
          <w:tcPr>
            <w:tcW w:w="1387" w:type="dxa"/>
            <w:tcBorders>
              <w:top w:val="single" w:color="auto" w:sz="4" w:space="0"/>
              <w:left w:val="single" w:color="auto" w:sz="4" w:space="0"/>
              <w:bottom w:val="single" w:color="auto" w:sz="4" w:space="0"/>
              <w:right w:val="single" w:color="auto" w:sz="4" w:space="0"/>
            </w:tcBorders>
            <w:vAlign w:val="center"/>
          </w:tcPr>
          <w:p w14:paraId="6604552D">
            <w:pPr>
              <w:jc w:val="center"/>
              <w:rPr>
                <w:color w:val="auto"/>
                <w:spacing w:val="20"/>
                <w:szCs w:val="21"/>
                <w:highlight w:val="none"/>
              </w:rPr>
            </w:pPr>
          </w:p>
        </w:tc>
        <w:tc>
          <w:tcPr>
            <w:tcW w:w="1585" w:type="dxa"/>
            <w:tcBorders>
              <w:top w:val="single" w:color="auto" w:sz="4" w:space="0"/>
              <w:left w:val="single" w:color="auto" w:sz="4" w:space="0"/>
              <w:bottom w:val="single" w:color="auto" w:sz="4" w:space="0"/>
              <w:right w:val="single" w:color="auto" w:sz="4" w:space="0"/>
            </w:tcBorders>
            <w:vAlign w:val="center"/>
          </w:tcPr>
          <w:p w14:paraId="63BE543B">
            <w:pPr>
              <w:jc w:val="center"/>
              <w:rPr>
                <w:color w:val="auto"/>
                <w:spacing w:val="20"/>
                <w:szCs w:val="21"/>
                <w:highlight w:val="none"/>
              </w:rPr>
            </w:pPr>
          </w:p>
        </w:tc>
      </w:tr>
      <w:tr w14:paraId="38E26F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3" w:hRule="exact"/>
          <w:jc w:val="center"/>
        </w:trPr>
        <w:tc>
          <w:tcPr>
            <w:tcW w:w="898" w:type="dxa"/>
            <w:tcBorders>
              <w:top w:val="single" w:color="auto" w:sz="4" w:space="0"/>
              <w:left w:val="single" w:color="auto" w:sz="4" w:space="0"/>
              <w:bottom w:val="single" w:color="auto" w:sz="4" w:space="0"/>
              <w:right w:val="single" w:color="auto" w:sz="4" w:space="0"/>
            </w:tcBorders>
            <w:vAlign w:val="center"/>
          </w:tcPr>
          <w:p w14:paraId="2B698B43">
            <w:pPr>
              <w:jc w:val="center"/>
              <w:rPr>
                <w:color w:val="auto"/>
                <w:spacing w:val="20"/>
                <w:szCs w:val="21"/>
                <w:highlight w:val="none"/>
              </w:rPr>
            </w:pPr>
          </w:p>
        </w:tc>
        <w:tc>
          <w:tcPr>
            <w:tcW w:w="1783" w:type="dxa"/>
            <w:tcBorders>
              <w:top w:val="single" w:color="auto" w:sz="4" w:space="0"/>
              <w:left w:val="single" w:color="auto" w:sz="4" w:space="0"/>
              <w:bottom w:val="single" w:color="auto" w:sz="4" w:space="0"/>
              <w:right w:val="single" w:color="auto" w:sz="4" w:space="0"/>
            </w:tcBorders>
            <w:vAlign w:val="center"/>
          </w:tcPr>
          <w:p w14:paraId="5E8DE32C">
            <w:pPr>
              <w:jc w:val="center"/>
              <w:rPr>
                <w:color w:val="auto"/>
                <w:spacing w:val="20"/>
                <w:szCs w:val="21"/>
                <w:highlight w:val="none"/>
              </w:rPr>
            </w:pPr>
            <w:r>
              <w:rPr>
                <w:color w:val="auto"/>
                <w:spacing w:val="20"/>
                <w:szCs w:val="21"/>
                <w:highlight w:val="none"/>
              </w:rPr>
              <w:t>……</w:t>
            </w:r>
          </w:p>
        </w:tc>
        <w:tc>
          <w:tcPr>
            <w:tcW w:w="1783" w:type="dxa"/>
            <w:tcBorders>
              <w:top w:val="single" w:color="auto" w:sz="4" w:space="0"/>
              <w:left w:val="single" w:color="auto" w:sz="4" w:space="0"/>
              <w:bottom w:val="single" w:color="auto" w:sz="4" w:space="0"/>
              <w:right w:val="single" w:color="auto" w:sz="4" w:space="0"/>
            </w:tcBorders>
            <w:vAlign w:val="center"/>
          </w:tcPr>
          <w:p w14:paraId="662B3534">
            <w:pPr>
              <w:jc w:val="center"/>
              <w:rPr>
                <w:color w:val="auto"/>
                <w:spacing w:val="20"/>
                <w:szCs w:val="21"/>
                <w:highlight w:val="none"/>
              </w:rPr>
            </w:pPr>
          </w:p>
        </w:tc>
        <w:tc>
          <w:tcPr>
            <w:tcW w:w="1387" w:type="dxa"/>
            <w:tcBorders>
              <w:top w:val="single" w:color="auto" w:sz="4" w:space="0"/>
              <w:left w:val="single" w:color="auto" w:sz="4" w:space="0"/>
              <w:bottom w:val="single" w:color="auto" w:sz="4" w:space="0"/>
              <w:right w:val="single" w:color="auto" w:sz="4" w:space="0"/>
            </w:tcBorders>
            <w:vAlign w:val="center"/>
          </w:tcPr>
          <w:p w14:paraId="1F98D2B4">
            <w:pPr>
              <w:jc w:val="center"/>
              <w:rPr>
                <w:color w:val="auto"/>
                <w:spacing w:val="20"/>
                <w:szCs w:val="21"/>
                <w:highlight w:val="none"/>
              </w:rPr>
            </w:pPr>
          </w:p>
        </w:tc>
        <w:tc>
          <w:tcPr>
            <w:tcW w:w="1585" w:type="dxa"/>
            <w:tcBorders>
              <w:top w:val="single" w:color="auto" w:sz="4" w:space="0"/>
              <w:left w:val="single" w:color="auto" w:sz="4" w:space="0"/>
              <w:bottom w:val="single" w:color="auto" w:sz="4" w:space="0"/>
              <w:right w:val="single" w:color="auto" w:sz="4" w:space="0"/>
            </w:tcBorders>
            <w:vAlign w:val="center"/>
          </w:tcPr>
          <w:p w14:paraId="3C4561B9">
            <w:pPr>
              <w:jc w:val="center"/>
              <w:rPr>
                <w:color w:val="auto"/>
                <w:spacing w:val="20"/>
                <w:szCs w:val="21"/>
                <w:highlight w:val="none"/>
              </w:rPr>
            </w:pPr>
          </w:p>
        </w:tc>
      </w:tr>
    </w:tbl>
    <w:p w14:paraId="514DF9B2">
      <w:pPr>
        <w:rPr>
          <w:color w:val="auto"/>
          <w:spacing w:val="20"/>
          <w:szCs w:val="21"/>
          <w:highlight w:val="none"/>
          <w:u w:val="single"/>
        </w:rPr>
      </w:pPr>
    </w:p>
    <w:p w14:paraId="58B4A9DC">
      <w:pPr>
        <w:spacing w:line="360" w:lineRule="auto"/>
        <w:rPr>
          <w:color w:val="auto"/>
          <w:spacing w:val="20"/>
          <w:szCs w:val="21"/>
          <w:highlight w:val="none"/>
        </w:rPr>
      </w:pPr>
    </w:p>
    <w:p w14:paraId="7D2E0D48">
      <w:pPr>
        <w:pStyle w:val="17"/>
        <w:rPr>
          <w:color w:val="auto"/>
          <w:highlight w:val="none"/>
        </w:rPr>
      </w:pPr>
      <w:r>
        <w:rPr>
          <w:color w:val="auto"/>
          <w:szCs w:val="21"/>
          <w:highlight w:val="none"/>
        </w:rPr>
        <w:t>注：</w:t>
      </w:r>
      <w:r>
        <w:rPr>
          <w:rFonts w:hint="eastAsia"/>
          <w:color w:val="auto"/>
          <w:szCs w:val="21"/>
          <w:highlight w:val="none"/>
        </w:rPr>
        <w:t>本表如</w:t>
      </w:r>
      <w:r>
        <w:rPr>
          <w:rFonts w:hint="eastAsia"/>
          <w:color w:val="auto"/>
          <w:highlight w:val="none"/>
        </w:rPr>
        <w:t>与广西政府采购云平台不一致的，以广西政府采购云平台为准。</w:t>
      </w:r>
    </w:p>
    <w:p w14:paraId="2CC1EA74">
      <w:pPr>
        <w:jc w:val="left"/>
        <w:rPr>
          <w:color w:val="auto"/>
          <w:szCs w:val="21"/>
          <w:highlight w:val="none"/>
        </w:rPr>
      </w:pPr>
    </w:p>
    <w:p w14:paraId="24DD4919">
      <w:pPr>
        <w:spacing w:line="360" w:lineRule="auto"/>
        <w:rPr>
          <w:color w:val="auto"/>
          <w:spacing w:val="20"/>
          <w:szCs w:val="21"/>
          <w:highlight w:val="none"/>
        </w:rPr>
      </w:pPr>
    </w:p>
    <w:p w14:paraId="6147EF6D">
      <w:pPr>
        <w:spacing w:line="360" w:lineRule="auto"/>
        <w:rPr>
          <w:color w:val="auto"/>
          <w:szCs w:val="21"/>
          <w:highlight w:val="none"/>
        </w:rPr>
      </w:pPr>
      <w:r>
        <w:rPr>
          <w:color w:val="auto"/>
          <w:szCs w:val="21"/>
          <w:highlight w:val="none"/>
        </w:rPr>
        <w:t>供应商名称（</w:t>
      </w:r>
      <w:r>
        <w:rPr>
          <w:rFonts w:hint="eastAsia"/>
          <w:color w:val="auto"/>
          <w:szCs w:val="21"/>
          <w:highlight w:val="none"/>
        </w:rPr>
        <w:t>电子签章</w:t>
      </w:r>
      <w:r>
        <w:rPr>
          <w:color w:val="auto"/>
          <w:szCs w:val="21"/>
          <w:highlight w:val="none"/>
        </w:rPr>
        <w:t>）：</w:t>
      </w:r>
      <w:r>
        <w:rPr>
          <w:color w:val="auto"/>
          <w:szCs w:val="21"/>
          <w:highlight w:val="none"/>
          <w:u w:val="single"/>
        </w:rPr>
        <w:t xml:space="preserve">                          </w:t>
      </w:r>
    </w:p>
    <w:p w14:paraId="4C627E02">
      <w:pPr>
        <w:spacing w:line="360" w:lineRule="auto"/>
        <w:rPr>
          <w:color w:val="auto"/>
          <w:spacing w:val="20"/>
          <w:szCs w:val="21"/>
          <w:highlight w:val="none"/>
          <w:u w:val="single"/>
        </w:rPr>
      </w:pPr>
      <w:r>
        <w:rPr>
          <w:color w:val="auto"/>
          <w:szCs w:val="21"/>
          <w:highlight w:val="none"/>
        </w:rPr>
        <w:t>日  期</w:t>
      </w:r>
      <w:r>
        <w:rPr>
          <w:rFonts w:hint="eastAsia"/>
          <w:color w:val="auto"/>
          <w:szCs w:val="21"/>
          <w:highlight w:val="none"/>
          <w:lang w:eastAsia="zh-CN"/>
        </w:rPr>
        <w:t>：</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日 </w:t>
      </w:r>
    </w:p>
    <w:p w14:paraId="58903181">
      <w:pPr>
        <w:snapToGrid w:val="0"/>
        <w:spacing w:before="50" w:after="120" w:afterLines="50"/>
        <w:jc w:val="left"/>
        <w:outlineLvl w:val="1"/>
        <w:rPr>
          <w:color w:val="auto"/>
          <w:szCs w:val="21"/>
          <w:highlight w:val="none"/>
        </w:rPr>
        <w:sectPr>
          <w:headerReference r:id="rId23" w:type="default"/>
          <w:pgSz w:w="11906" w:h="16838"/>
          <w:pgMar w:top="1418" w:right="1133" w:bottom="1246" w:left="1418" w:header="851" w:footer="992" w:gutter="0"/>
          <w:cols w:space="720" w:num="1"/>
          <w:docGrid w:linePitch="312" w:charSpace="0"/>
        </w:sectPr>
      </w:pPr>
    </w:p>
    <w:p w14:paraId="515E2541">
      <w:pPr>
        <w:snapToGrid w:val="0"/>
        <w:spacing w:before="50" w:after="120" w:afterLines="50"/>
        <w:jc w:val="left"/>
        <w:rPr>
          <w:color w:val="auto"/>
          <w:szCs w:val="21"/>
          <w:highlight w:val="none"/>
        </w:rPr>
      </w:pPr>
      <w:bookmarkStart w:id="111" w:name="_Hlk65852042"/>
      <w:r>
        <w:rPr>
          <w:rFonts w:hint="eastAsia"/>
          <w:color w:val="auto"/>
          <w:szCs w:val="21"/>
          <w:highlight w:val="none"/>
          <w:lang w:val="en-US" w:eastAsia="zh-CN"/>
        </w:rPr>
        <w:t>3.</w:t>
      </w:r>
      <w:r>
        <w:rPr>
          <w:color w:val="auto"/>
          <w:szCs w:val="21"/>
          <w:highlight w:val="none"/>
        </w:rPr>
        <w:t>过低报价合理性的说明。（如有）</w:t>
      </w:r>
    </w:p>
    <w:p w14:paraId="1A3033CB">
      <w:pPr>
        <w:spacing w:line="360" w:lineRule="auto"/>
        <w:ind w:firstLine="420" w:firstLineChars="200"/>
        <w:rPr>
          <w:rFonts w:hint="eastAsia"/>
          <w:color w:val="auto"/>
          <w:szCs w:val="21"/>
          <w:highlight w:val="none"/>
        </w:rPr>
      </w:pPr>
      <w:r>
        <w:rPr>
          <w:color w:val="auto"/>
          <w:szCs w:val="21"/>
          <w:highlight w:val="none"/>
        </w:rPr>
        <w:t>评审委员会认为的报价</w:t>
      </w:r>
      <w:r>
        <w:rPr>
          <w:rFonts w:hint="eastAsia"/>
          <w:color w:val="auto"/>
          <w:szCs w:val="21"/>
          <w:highlight w:val="none"/>
          <w:lang w:val="en-US" w:eastAsia="zh-CN"/>
        </w:rPr>
        <w:t>存在异常低价问题的情形</w:t>
      </w:r>
      <w:r>
        <w:rPr>
          <w:color w:val="auto"/>
          <w:szCs w:val="21"/>
          <w:highlight w:val="none"/>
        </w:rPr>
        <w:t>，供应商将被要求以书面方式提供</w:t>
      </w:r>
      <w:r>
        <w:rPr>
          <w:rFonts w:hint="eastAsia"/>
          <w:color w:val="auto"/>
          <w:szCs w:val="21"/>
          <w:highlight w:val="none"/>
          <w:lang w:val="en-US" w:eastAsia="zh-CN"/>
        </w:rPr>
        <w:t>项目具体成本测算等与报价合理性相关的书面说明及必要的证明材料</w:t>
      </w:r>
      <w:r>
        <w:rPr>
          <w:color w:val="auto"/>
          <w:szCs w:val="21"/>
          <w:highlight w:val="none"/>
        </w:rPr>
        <w:t>。为避免在评审现场因未能及时提供说明而导致被评审委员会作为无效</w:t>
      </w:r>
      <w:r>
        <w:rPr>
          <w:rFonts w:hint="eastAsia"/>
          <w:color w:val="auto"/>
          <w:szCs w:val="21"/>
          <w:highlight w:val="none"/>
          <w:lang w:eastAsia="zh-CN"/>
        </w:rPr>
        <w:t>响应</w:t>
      </w:r>
      <w:r>
        <w:rPr>
          <w:color w:val="auto"/>
          <w:szCs w:val="21"/>
          <w:highlight w:val="none"/>
        </w:rPr>
        <w:t>，供应商</w:t>
      </w:r>
      <w:r>
        <w:rPr>
          <w:rFonts w:hint="eastAsia"/>
          <w:color w:val="auto"/>
          <w:highlight w:val="none"/>
        </w:rPr>
        <w:t>自行决定是否</w:t>
      </w:r>
      <w:r>
        <w:rPr>
          <w:color w:val="auto"/>
          <w:kern w:val="1"/>
          <w:szCs w:val="21"/>
          <w:highlight w:val="none"/>
        </w:rPr>
        <w:t>直接在</w:t>
      </w:r>
      <w:r>
        <w:rPr>
          <w:color w:val="auto"/>
          <w:szCs w:val="21"/>
          <w:highlight w:val="none"/>
        </w:rPr>
        <w:t>此处</w:t>
      </w:r>
      <w:r>
        <w:rPr>
          <w:rFonts w:hint="eastAsia"/>
          <w:color w:val="auto"/>
          <w:szCs w:val="21"/>
          <w:highlight w:val="none"/>
        </w:rPr>
        <w:t>进行陈述</w:t>
      </w:r>
      <w:r>
        <w:rPr>
          <w:color w:val="auto"/>
          <w:szCs w:val="21"/>
          <w:highlight w:val="none"/>
        </w:rPr>
        <w:t>。格式自拟。</w:t>
      </w:r>
      <w:r>
        <w:rPr>
          <w:rFonts w:hint="eastAsia"/>
          <w:color w:val="auto"/>
          <w:szCs w:val="21"/>
          <w:highlight w:val="none"/>
        </w:rPr>
        <w:t>（</w:t>
      </w:r>
      <w:r>
        <w:rPr>
          <w:rFonts w:hint="eastAsia"/>
          <w:color w:val="auto"/>
          <w:kern w:val="1"/>
          <w:szCs w:val="21"/>
          <w:highlight w:val="none"/>
        </w:rPr>
        <w:t>具体要求详见第四章评审方法及标准“过低报价合理性的审查”</w:t>
      </w:r>
      <w:r>
        <w:rPr>
          <w:rFonts w:hint="eastAsia"/>
          <w:color w:val="auto"/>
          <w:szCs w:val="21"/>
          <w:highlight w:val="none"/>
        </w:rPr>
        <w:t>）</w:t>
      </w:r>
    </w:p>
    <w:p w14:paraId="00A60FF9">
      <w:pPr>
        <w:pStyle w:val="132"/>
        <w:jc w:val="center"/>
        <w:rPr>
          <w:b/>
          <w:bCs/>
          <w:color w:val="auto"/>
          <w:highlight w:val="none"/>
        </w:rPr>
      </w:pPr>
      <w:bookmarkStart w:id="112" w:name="_Hlk211331823"/>
    </w:p>
    <w:p w14:paraId="2F157C6C">
      <w:pPr>
        <w:pStyle w:val="132"/>
        <w:jc w:val="center"/>
        <w:rPr>
          <w:color w:val="auto"/>
          <w:highlight w:val="none"/>
        </w:rPr>
      </w:pPr>
      <w:r>
        <w:rPr>
          <w:rFonts w:hint="eastAsia"/>
          <w:b/>
          <w:bCs/>
          <w:color w:val="auto"/>
          <w:highlight w:val="none"/>
          <w:lang w:val="en-US" w:eastAsia="zh-CN"/>
        </w:rPr>
        <w:t>产品成本测算表（参考格式）</w:t>
      </w:r>
    </w:p>
    <w:p w14:paraId="01F1FF3F">
      <w:pPr>
        <w:spacing w:line="360" w:lineRule="auto"/>
        <w:rPr>
          <w:color w:val="auto"/>
          <w:highlight w:val="none"/>
        </w:rPr>
      </w:pPr>
    </w:p>
    <w:bookmarkEnd w:id="112"/>
    <w:tbl>
      <w:tblPr>
        <w:tblStyle w:val="51"/>
        <w:tblW w:w="866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426"/>
        <w:gridCol w:w="348"/>
        <w:gridCol w:w="660"/>
        <w:gridCol w:w="490"/>
        <w:gridCol w:w="830"/>
        <w:gridCol w:w="1202"/>
        <w:gridCol w:w="972"/>
        <w:gridCol w:w="887"/>
        <w:gridCol w:w="1052"/>
        <w:gridCol w:w="780"/>
        <w:gridCol w:w="1019"/>
      </w:tblGrid>
      <w:tr w14:paraId="5C0FAE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98" w:hRule="atLeast"/>
          <w:jc w:val="center"/>
        </w:trPr>
        <w:tc>
          <w:tcPr>
            <w:tcW w:w="426" w:type="dxa"/>
            <w:shd w:val="clear" w:color="C3BD96" w:themeColor="background2" w:themeShade="BF" w:fill="auto"/>
            <w:vAlign w:val="center"/>
          </w:tcPr>
          <w:p w14:paraId="2D1966BC">
            <w:pPr>
              <w:ind w:left="-105" w:leftChars="-50" w:right="-105" w:rightChars="-50"/>
              <w:jc w:val="center"/>
              <w:rPr>
                <w:rFonts w:cs="宋体"/>
                <w:b/>
                <w:color w:val="auto"/>
                <w:highlight w:val="none"/>
              </w:rPr>
            </w:pPr>
            <w:r>
              <w:rPr>
                <w:rFonts w:hint="eastAsia" w:cs="仿宋_GB2312"/>
                <w:b/>
                <w:color w:val="auto"/>
                <w:szCs w:val="24"/>
                <w:highlight w:val="none"/>
              </w:rPr>
              <w:t>序号</w:t>
            </w:r>
          </w:p>
        </w:tc>
        <w:tc>
          <w:tcPr>
            <w:tcW w:w="348" w:type="dxa"/>
            <w:shd w:val="clear" w:color="C3BD96" w:themeColor="background2" w:themeShade="BF" w:fill="auto"/>
            <w:vAlign w:val="center"/>
          </w:tcPr>
          <w:p w14:paraId="759B27FD">
            <w:pPr>
              <w:spacing w:line="360" w:lineRule="auto"/>
              <w:ind w:left="-48" w:leftChars="-23" w:right="-65" w:rightChars="-31"/>
              <w:jc w:val="center"/>
              <w:rPr>
                <w:rFonts w:cs="宋体"/>
                <w:b/>
                <w:color w:val="auto"/>
                <w:highlight w:val="none"/>
              </w:rPr>
            </w:pPr>
            <w:r>
              <w:rPr>
                <w:rFonts w:hint="eastAsia" w:cs="宋体"/>
                <w:b/>
                <w:color w:val="auto"/>
                <w:highlight w:val="none"/>
              </w:rPr>
              <w:t>名称</w:t>
            </w:r>
          </w:p>
        </w:tc>
        <w:tc>
          <w:tcPr>
            <w:tcW w:w="660" w:type="dxa"/>
            <w:shd w:val="clear" w:color="C3BD96" w:themeColor="background2" w:themeShade="BF" w:fill="auto"/>
            <w:vAlign w:val="center"/>
          </w:tcPr>
          <w:p w14:paraId="17029108">
            <w:pPr>
              <w:spacing w:line="360" w:lineRule="auto"/>
              <w:ind w:left="-48" w:leftChars="-23" w:right="-65" w:rightChars="-31"/>
              <w:jc w:val="center"/>
              <w:rPr>
                <w:rFonts w:cs="宋体"/>
                <w:b/>
                <w:color w:val="auto"/>
                <w:highlight w:val="none"/>
              </w:rPr>
            </w:pPr>
            <w:r>
              <w:rPr>
                <w:rFonts w:hint="eastAsia"/>
                <w:b/>
                <w:color w:val="auto"/>
                <w:highlight w:val="none"/>
              </w:rPr>
              <w:t>品牌规格型号</w:t>
            </w:r>
          </w:p>
        </w:tc>
        <w:tc>
          <w:tcPr>
            <w:tcW w:w="490" w:type="dxa"/>
            <w:tcBorders>
              <w:left w:val="single" w:color="auto" w:sz="4" w:space="0"/>
            </w:tcBorders>
            <w:shd w:val="clear" w:color="C3BD96" w:themeColor="background2" w:themeShade="BF" w:fill="auto"/>
            <w:vAlign w:val="center"/>
          </w:tcPr>
          <w:p w14:paraId="52463D6E">
            <w:pPr>
              <w:spacing w:line="360" w:lineRule="auto"/>
              <w:ind w:left="-48" w:leftChars="-23" w:right="-65" w:rightChars="-31"/>
              <w:jc w:val="center"/>
              <w:rPr>
                <w:rFonts w:cs="宋体"/>
                <w:b/>
                <w:color w:val="auto"/>
                <w:highlight w:val="none"/>
              </w:rPr>
            </w:pPr>
            <w:r>
              <w:rPr>
                <w:rFonts w:hint="eastAsia" w:cs="宋体"/>
                <w:b/>
                <w:color w:val="auto"/>
                <w:highlight w:val="none"/>
              </w:rPr>
              <w:t>单位</w:t>
            </w:r>
          </w:p>
        </w:tc>
        <w:tc>
          <w:tcPr>
            <w:tcW w:w="830" w:type="dxa"/>
            <w:tcBorders>
              <w:right w:val="single" w:color="auto" w:sz="4" w:space="0"/>
            </w:tcBorders>
            <w:shd w:val="clear" w:color="C3BD96" w:themeColor="background2" w:themeShade="BF" w:fill="auto"/>
            <w:vAlign w:val="center"/>
          </w:tcPr>
          <w:p w14:paraId="1B4E6AF3">
            <w:pPr>
              <w:spacing w:line="360" w:lineRule="auto"/>
              <w:ind w:left="-48" w:leftChars="-23" w:right="-65" w:rightChars="-31"/>
              <w:jc w:val="center"/>
              <w:rPr>
                <w:rFonts w:cs="宋体"/>
                <w:b/>
                <w:color w:val="auto"/>
                <w:highlight w:val="none"/>
              </w:rPr>
            </w:pPr>
            <w:r>
              <w:rPr>
                <w:rFonts w:hint="eastAsia" w:cs="宋体"/>
                <w:b/>
                <w:color w:val="auto"/>
                <w:highlight w:val="none"/>
                <w:lang w:val="en-US" w:eastAsia="zh-CN"/>
              </w:rPr>
              <w:t>报价</w:t>
            </w:r>
            <w:r>
              <w:rPr>
                <w:rFonts w:hint="eastAsia" w:cs="宋体"/>
                <w:b/>
                <w:color w:val="auto"/>
                <w:highlight w:val="none"/>
              </w:rPr>
              <w:t>单价（</w:t>
            </w:r>
            <w:r>
              <w:rPr>
                <w:rFonts w:cs="宋体"/>
                <w:b/>
                <w:color w:val="auto"/>
                <w:highlight w:val="none"/>
              </w:rPr>
              <w:t>元）</w:t>
            </w:r>
          </w:p>
        </w:tc>
        <w:tc>
          <w:tcPr>
            <w:tcW w:w="1202" w:type="dxa"/>
            <w:shd w:val="clear" w:color="C3BD96" w:themeColor="background2" w:themeShade="BF" w:fill="auto"/>
            <w:vAlign w:val="center"/>
          </w:tcPr>
          <w:p w14:paraId="20B24A4E">
            <w:pPr>
              <w:spacing w:line="360" w:lineRule="auto"/>
              <w:ind w:left="-48" w:leftChars="-23" w:right="-65" w:rightChars="-31"/>
              <w:jc w:val="center"/>
              <w:rPr>
                <w:rFonts w:hint="default" w:eastAsia="宋体" w:cs="宋体"/>
                <w:b/>
                <w:color w:val="auto"/>
                <w:highlight w:val="none"/>
                <w:lang w:val="en-US" w:eastAsia="zh-CN"/>
              </w:rPr>
            </w:pPr>
            <w:r>
              <w:rPr>
                <w:rFonts w:hint="eastAsia" w:cs="宋体"/>
                <w:b/>
                <w:color w:val="auto"/>
                <w:highlight w:val="none"/>
                <w:lang w:val="en-US" w:eastAsia="zh-CN"/>
              </w:rPr>
              <w:t>成本项目</w:t>
            </w:r>
          </w:p>
          <w:p w14:paraId="1157B029">
            <w:pPr>
              <w:spacing w:line="360" w:lineRule="auto"/>
              <w:ind w:right="-65" w:rightChars="-31"/>
              <w:jc w:val="both"/>
              <w:rPr>
                <w:rFonts w:hint="default" w:cs="宋体"/>
                <w:b/>
                <w:color w:val="auto"/>
                <w:highlight w:val="none"/>
                <w:lang w:val="en-US" w:eastAsia="zh-CN"/>
              </w:rPr>
            </w:pPr>
          </w:p>
        </w:tc>
        <w:tc>
          <w:tcPr>
            <w:tcW w:w="972" w:type="dxa"/>
            <w:shd w:val="clear" w:color="C3BD96" w:themeColor="background2" w:themeShade="BF" w:fill="auto"/>
            <w:vAlign w:val="center"/>
          </w:tcPr>
          <w:p w14:paraId="5EAAFA7D">
            <w:pPr>
              <w:spacing w:line="360" w:lineRule="auto"/>
              <w:ind w:left="-48" w:leftChars="-23" w:right="-65" w:rightChars="-31"/>
              <w:jc w:val="center"/>
              <w:rPr>
                <w:rFonts w:hint="eastAsia" w:cs="宋体"/>
                <w:b/>
                <w:color w:val="auto"/>
                <w:highlight w:val="none"/>
                <w:lang w:val="en-US" w:eastAsia="zh-CN"/>
              </w:rPr>
            </w:pPr>
            <w:r>
              <w:rPr>
                <w:rFonts w:hint="eastAsia" w:cs="宋体"/>
                <w:b/>
                <w:color w:val="auto"/>
                <w:highlight w:val="none"/>
                <w:lang w:val="en-US" w:eastAsia="zh-CN"/>
              </w:rPr>
              <w:t>具体明细</w:t>
            </w:r>
          </w:p>
          <w:p w14:paraId="35958FE8">
            <w:pPr>
              <w:spacing w:line="360" w:lineRule="auto"/>
              <w:ind w:left="-48" w:leftChars="-23" w:right="-65" w:rightChars="-31"/>
              <w:jc w:val="center"/>
              <w:rPr>
                <w:rFonts w:hint="eastAsia" w:cs="宋体"/>
                <w:b/>
                <w:color w:val="auto"/>
                <w:highlight w:val="none"/>
                <w:lang w:val="en-US" w:eastAsia="zh-CN"/>
              </w:rPr>
            </w:pPr>
          </w:p>
        </w:tc>
        <w:tc>
          <w:tcPr>
            <w:tcW w:w="887" w:type="dxa"/>
            <w:shd w:val="clear" w:color="C3BD96" w:themeColor="background2" w:themeShade="BF" w:fill="auto"/>
            <w:vAlign w:val="center"/>
          </w:tcPr>
          <w:p w14:paraId="302AE860">
            <w:pPr>
              <w:spacing w:line="360" w:lineRule="auto"/>
              <w:ind w:left="-48" w:leftChars="-23" w:right="-65" w:rightChars="-31"/>
              <w:jc w:val="center"/>
              <w:rPr>
                <w:rFonts w:hint="eastAsia" w:cs="宋体"/>
                <w:b/>
                <w:color w:val="auto"/>
                <w:highlight w:val="none"/>
                <w:lang w:val="en-US" w:eastAsia="zh-CN"/>
              </w:rPr>
            </w:pPr>
            <w:r>
              <w:rPr>
                <w:rFonts w:hint="eastAsia" w:cs="宋体"/>
                <w:b/>
                <w:color w:val="auto"/>
                <w:highlight w:val="none"/>
                <w:lang w:val="en-US" w:eastAsia="zh-CN"/>
              </w:rPr>
              <w:t>单位产品用量</w:t>
            </w:r>
          </w:p>
          <w:p w14:paraId="5601881E">
            <w:pPr>
              <w:spacing w:line="360" w:lineRule="auto"/>
              <w:ind w:left="-48" w:leftChars="-23" w:right="-65" w:rightChars="-31"/>
              <w:jc w:val="center"/>
              <w:rPr>
                <w:rFonts w:hint="eastAsia" w:cs="宋体"/>
                <w:b/>
                <w:color w:val="auto"/>
                <w:highlight w:val="none"/>
                <w:lang w:val="en-US" w:eastAsia="zh-CN"/>
              </w:rPr>
            </w:pPr>
          </w:p>
        </w:tc>
        <w:tc>
          <w:tcPr>
            <w:tcW w:w="1052" w:type="dxa"/>
            <w:shd w:val="clear" w:color="C3BD96" w:themeColor="background2" w:themeShade="BF" w:fill="auto"/>
            <w:vAlign w:val="center"/>
          </w:tcPr>
          <w:p w14:paraId="2822FF72">
            <w:pPr>
              <w:spacing w:line="360" w:lineRule="auto"/>
              <w:ind w:left="-48" w:leftChars="-23" w:right="-65" w:rightChars="-31"/>
              <w:jc w:val="center"/>
              <w:rPr>
                <w:rFonts w:hint="eastAsia" w:cs="宋体"/>
                <w:b/>
                <w:color w:val="auto"/>
                <w:highlight w:val="none"/>
                <w:lang w:val="en-US" w:eastAsia="zh-CN"/>
              </w:rPr>
            </w:pPr>
            <w:r>
              <w:rPr>
                <w:rFonts w:hint="eastAsia" w:cs="宋体"/>
                <w:b/>
                <w:color w:val="auto"/>
                <w:highlight w:val="none"/>
                <w:lang w:val="en-US" w:eastAsia="zh-CN"/>
              </w:rPr>
              <w:t>单位成本（元）</w:t>
            </w:r>
          </w:p>
        </w:tc>
        <w:tc>
          <w:tcPr>
            <w:tcW w:w="780" w:type="dxa"/>
            <w:tcBorders>
              <w:left w:val="single" w:color="auto" w:sz="4" w:space="0"/>
            </w:tcBorders>
            <w:shd w:val="clear" w:color="C3BD96" w:themeColor="background2" w:themeShade="BF" w:fill="auto"/>
            <w:vAlign w:val="center"/>
          </w:tcPr>
          <w:p w14:paraId="1E3CA876">
            <w:pPr>
              <w:spacing w:line="360" w:lineRule="auto"/>
              <w:ind w:left="-48" w:leftChars="-23" w:right="-65" w:rightChars="-31"/>
              <w:jc w:val="center"/>
              <w:rPr>
                <w:rFonts w:cs="宋体"/>
                <w:b/>
                <w:color w:val="auto"/>
                <w:highlight w:val="none"/>
              </w:rPr>
            </w:pPr>
            <w:r>
              <w:rPr>
                <w:rFonts w:hint="eastAsia" w:cs="宋体"/>
                <w:b/>
                <w:color w:val="auto"/>
                <w:highlight w:val="none"/>
              </w:rPr>
              <w:t>成本</w:t>
            </w:r>
            <w:r>
              <w:rPr>
                <w:rFonts w:cs="宋体"/>
                <w:b/>
                <w:color w:val="auto"/>
                <w:highlight w:val="none"/>
              </w:rPr>
              <w:t>合计（元）</w:t>
            </w:r>
          </w:p>
        </w:tc>
        <w:tc>
          <w:tcPr>
            <w:tcW w:w="1019" w:type="dxa"/>
            <w:tcBorders>
              <w:left w:val="single" w:color="auto" w:sz="4" w:space="0"/>
            </w:tcBorders>
            <w:shd w:val="clear" w:color="C3BD96" w:themeColor="background2" w:themeShade="BF" w:fill="auto"/>
            <w:vAlign w:val="center"/>
          </w:tcPr>
          <w:p w14:paraId="3B1F844B">
            <w:pPr>
              <w:spacing w:line="360" w:lineRule="auto"/>
              <w:ind w:left="-48" w:leftChars="-23" w:right="-65" w:rightChars="-31"/>
              <w:jc w:val="center"/>
              <w:rPr>
                <w:rFonts w:hint="eastAsia" w:cs="宋体"/>
                <w:b/>
                <w:color w:val="auto"/>
                <w:highlight w:val="none"/>
              </w:rPr>
            </w:pPr>
            <w:r>
              <w:rPr>
                <w:rFonts w:hint="eastAsia" w:cs="宋体"/>
                <w:b/>
                <w:color w:val="auto"/>
                <w:highlight w:val="none"/>
                <w:lang w:val="en-US" w:eastAsia="zh-CN"/>
              </w:rPr>
              <w:t>备注（测算依据/证明材料）</w:t>
            </w:r>
          </w:p>
        </w:tc>
      </w:tr>
      <w:tr w14:paraId="7D0C9D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6" w:type="dxa"/>
            <w:vMerge w:val="restart"/>
            <w:shd w:val="clear" w:color="auto" w:fill="auto"/>
            <w:vAlign w:val="center"/>
          </w:tcPr>
          <w:p w14:paraId="6576500F">
            <w:pPr>
              <w:numPr>
                <w:ilvl w:val="0"/>
                <w:numId w:val="2"/>
              </w:numPr>
              <w:tabs>
                <w:tab w:val="left" w:pos="61"/>
              </w:tabs>
              <w:jc w:val="center"/>
              <w:rPr>
                <w:color w:val="auto"/>
                <w:highlight w:val="none"/>
              </w:rPr>
            </w:pPr>
          </w:p>
        </w:tc>
        <w:tc>
          <w:tcPr>
            <w:tcW w:w="348" w:type="dxa"/>
            <w:vMerge w:val="restart"/>
            <w:shd w:val="clear" w:color="auto" w:fill="auto"/>
            <w:vAlign w:val="center"/>
          </w:tcPr>
          <w:p w14:paraId="5EB047E8">
            <w:pPr>
              <w:tabs>
                <w:tab w:val="left" w:pos="0"/>
                <w:tab w:val="left" w:pos="56"/>
              </w:tabs>
              <w:ind w:left="547" w:hanging="478" w:hangingChars="228"/>
              <w:jc w:val="center"/>
              <w:rPr>
                <w:color w:val="auto"/>
                <w:highlight w:val="none"/>
              </w:rPr>
            </w:pPr>
          </w:p>
        </w:tc>
        <w:tc>
          <w:tcPr>
            <w:tcW w:w="660" w:type="dxa"/>
            <w:vMerge w:val="restart"/>
            <w:shd w:val="clear" w:color="auto" w:fill="auto"/>
            <w:vAlign w:val="center"/>
          </w:tcPr>
          <w:p w14:paraId="55F300A0">
            <w:pPr>
              <w:spacing w:line="240" w:lineRule="atLeast"/>
              <w:ind w:left="-48" w:leftChars="-23" w:right="-65" w:rightChars="-31"/>
              <w:jc w:val="left"/>
              <w:rPr>
                <w:rFonts w:cs="宋体"/>
                <w:color w:val="auto"/>
                <w:szCs w:val="24"/>
                <w:highlight w:val="none"/>
              </w:rPr>
            </w:pPr>
          </w:p>
        </w:tc>
        <w:tc>
          <w:tcPr>
            <w:tcW w:w="490" w:type="dxa"/>
            <w:vMerge w:val="restart"/>
            <w:tcBorders>
              <w:left w:val="single" w:color="auto" w:sz="4" w:space="0"/>
            </w:tcBorders>
            <w:shd w:val="clear" w:color="auto" w:fill="auto"/>
            <w:vAlign w:val="center"/>
          </w:tcPr>
          <w:p w14:paraId="5AD78FB7">
            <w:pPr>
              <w:spacing w:line="240" w:lineRule="atLeast"/>
              <w:ind w:left="-48" w:leftChars="-23" w:right="-65" w:rightChars="-31"/>
              <w:jc w:val="left"/>
              <w:rPr>
                <w:rFonts w:cs="宋体"/>
                <w:color w:val="auto"/>
                <w:szCs w:val="24"/>
                <w:highlight w:val="none"/>
              </w:rPr>
            </w:pPr>
          </w:p>
        </w:tc>
        <w:tc>
          <w:tcPr>
            <w:tcW w:w="830" w:type="dxa"/>
            <w:vMerge w:val="restart"/>
            <w:tcBorders>
              <w:left w:val="single" w:color="auto" w:sz="4" w:space="0"/>
              <w:right w:val="single" w:color="auto" w:sz="4" w:space="0"/>
            </w:tcBorders>
            <w:shd w:val="clear" w:color="auto" w:fill="auto"/>
            <w:vAlign w:val="center"/>
          </w:tcPr>
          <w:p w14:paraId="1B28E3D0">
            <w:pPr>
              <w:spacing w:line="240" w:lineRule="atLeast"/>
              <w:ind w:left="-48" w:leftChars="-23" w:right="-65" w:rightChars="-31"/>
              <w:jc w:val="left"/>
              <w:rPr>
                <w:rFonts w:cs="宋体"/>
                <w:color w:val="auto"/>
                <w:szCs w:val="24"/>
                <w:highlight w:val="none"/>
              </w:rPr>
            </w:pPr>
          </w:p>
        </w:tc>
        <w:tc>
          <w:tcPr>
            <w:tcW w:w="1202" w:type="dxa"/>
            <w:vMerge w:val="restart"/>
            <w:tcBorders>
              <w:left w:val="single" w:color="auto" w:sz="4" w:space="0"/>
              <w:right w:val="single" w:color="auto" w:sz="4" w:space="0"/>
            </w:tcBorders>
            <w:vAlign w:val="center"/>
          </w:tcPr>
          <w:p w14:paraId="7E2DD9D1">
            <w:pPr>
              <w:spacing w:line="240" w:lineRule="atLeast"/>
              <w:ind w:left="-48" w:leftChars="-23" w:right="-65" w:rightChars="-31"/>
              <w:jc w:val="left"/>
              <w:rPr>
                <w:rFonts w:cs="宋体"/>
                <w:color w:val="auto"/>
                <w:szCs w:val="24"/>
                <w:highlight w:val="none"/>
              </w:rPr>
            </w:pPr>
            <w:r>
              <w:rPr>
                <w:rFonts w:hint="eastAsia" w:cs="宋体"/>
                <w:color w:val="auto"/>
                <w:szCs w:val="24"/>
                <w:highlight w:val="none"/>
              </w:rPr>
              <w:t>原材料成本</w:t>
            </w:r>
          </w:p>
        </w:tc>
        <w:tc>
          <w:tcPr>
            <w:tcW w:w="972" w:type="dxa"/>
            <w:tcBorders>
              <w:left w:val="single" w:color="auto" w:sz="4" w:space="0"/>
            </w:tcBorders>
            <w:shd w:val="clear" w:color="auto" w:fill="auto"/>
            <w:vAlign w:val="center"/>
          </w:tcPr>
          <w:p w14:paraId="6639BFE6">
            <w:pPr>
              <w:spacing w:line="240" w:lineRule="atLeast"/>
              <w:ind w:left="-48" w:leftChars="-23" w:right="-65" w:rightChars="-31"/>
              <w:jc w:val="left"/>
              <w:rPr>
                <w:rFonts w:cs="宋体"/>
                <w:color w:val="auto"/>
                <w:szCs w:val="24"/>
                <w:highlight w:val="none"/>
              </w:rPr>
            </w:pPr>
            <w:r>
              <w:rPr>
                <w:rFonts w:cs="宋体"/>
                <w:color w:val="auto"/>
                <w:szCs w:val="24"/>
                <w:highlight w:val="none"/>
                <w:lang w:val="en-US" w:eastAsia="zh-CN"/>
              </w:rPr>
              <w:t>原材料1</w:t>
            </w:r>
          </w:p>
        </w:tc>
        <w:tc>
          <w:tcPr>
            <w:tcW w:w="887" w:type="dxa"/>
            <w:tcBorders>
              <w:left w:val="single" w:color="auto" w:sz="4" w:space="0"/>
            </w:tcBorders>
            <w:shd w:val="clear" w:color="auto" w:fill="auto"/>
            <w:vAlign w:val="center"/>
          </w:tcPr>
          <w:p w14:paraId="2DB3861F">
            <w:pPr>
              <w:spacing w:line="240" w:lineRule="atLeast"/>
              <w:ind w:left="-48" w:leftChars="-23" w:right="-65" w:rightChars="-31"/>
              <w:jc w:val="left"/>
              <w:rPr>
                <w:rFonts w:cs="宋体"/>
                <w:color w:val="auto"/>
                <w:szCs w:val="24"/>
                <w:highlight w:val="none"/>
              </w:rPr>
            </w:pPr>
          </w:p>
        </w:tc>
        <w:tc>
          <w:tcPr>
            <w:tcW w:w="1052" w:type="dxa"/>
            <w:tcBorders>
              <w:left w:val="single" w:color="auto" w:sz="4" w:space="0"/>
            </w:tcBorders>
            <w:shd w:val="clear" w:color="auto" w:fill="auto"/>
            <w:vAlign w:val="center"/>
          </w:tcPr>
          <w:p w14:paraId="4B814065">
            <w:pPr>
              <w:spacing w:line="240" w:lineRule="atLeast"/>
              <w:ind w:left="-48" w:leftChars="-23" w:right="-65" w:rightChars="-31"/>
              <w:jc w:val="left"/>
              <w:rPr>
                <w:rFonts w:cs="宋体"/>
                <w:color w:val="auto"/>
                <w:szCs w:val="24"/>
                <w:highlight w:val="none"/>
              </w:rPr>
            </w:pPr>
          </w:p>
        </w:tc>
        <w:tc>
          <w:tcPr>
            <w:tcW w:w="780" w:type="dxa"/>
            <w:vMerge w:val="restart"/>
            <w:tcBorders>
              <w:left w:val="single" w:color="auto" w:sz="4" w:space="0"/>
            </w:tcBorders>
            <w:shd w:val="clear" w:color="auto" w:fill="auto"/>
            <w:vAlign w:val="center"/>
          </w:tcPr>
          <w:p w14:paraId="0DACFF51">
            <w:pPr>
              <w:spacing w:line="240" w:lineRule="atLeast"/>
              <w:ind w:left="-48" w:leftChars="-23" w:right="-65" w:rightChars="-31"/>
              <w:jc w:val="left"/>
              <w:rPr>
                <w:rFonts w:cs="宋体"/>
                <w:color w:val="auto"/>
                <w:szCs w:val="24"/>
                <w:highlight w:val="none"/>
              </w:rPr>
            </w:pPr>
          </w:p>
        </w:tc>
        <w:tc>
          <w:tcPr>
            <w:tcW w:w="1019" w:type="dxa"/>
            <w:tcBorders>
              <w:left w:val="single" w:color="auto" w:sz="4" w:space="0"/>
            </w:tcBorders>
            <w:shd w:val="clear" w:color="auto" w:fill="auto"/>
            <w:vAlign w:val="center"/>
          </w:tcPr>
          <w:p w14:paraId="6333204B">
            <w:pPr>
              <w:spacing w:line="240" w:lineRule="atLeast"/>
              <w:ind w:left="-48" w:leftChars="-23" w:right="-65" w:rightChars="-31"/>
              <w:jc w:val="left"/>
              <w:rPr>
                <w:rFonts w:cs="宋体"/>
                <w:color w:val="auto"/>
                <w:szCs w:val="24"/>
                <w:highlight w:val="none"/>
              </w:rPr>
            </w:pPr>
          </w:p>
        </w:tc>
      </w:tr>
      <w:tr w14:paraId="3DFAB8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6" w:type="dxa"/>
            <w:vMerge w:val="continue"/>
            <w:shd w:val="clear" w:color="auto" w:fill="auto"/>
            <w:vAlign w:val="center"/>
          </w:tcPr>
          <w:p w14:paraId="7AE5CC7C">
            <w:pPr>
              <w:numPr>
                <w:ilvl w:val="0"/>
                <w:numId w:val="2"/>
              </w:numPr>
              <w:tabs>
                <w:tab w:val="left" w:pos="61"/>
              </w:tabs>
              <w:jc w:val="center"/>
              <w:rPr>
                <w:color w:val="auto"/>
                <w:highlight w:val="none"/>
              </w:rPr>
            </w:pPr>
          </w:p>
        </w:tc>
        <w:tc>
          <w:tcPr>
            <w:tcW w:w="348" w:type="dxa"/>
            <w:vMerge w:val="continue"/>
            <w:shd w:val="clear" w:color="auto" w:fill="auto"/>
            <w:vAlign w:val="center"/>
          </w:tcPr>
          <w:p w14:paraId="79C56E40">
            <w:pPr>
              <w:tabs>
                <w:tab w:val="left" w:pos="0"/>
                <w:tab w:val="left" w:pos="56"/>
              </w:tabs>
              <w:ind w:left="547" w:hanging="478" w:hangingChars="228"/>
              <w:jc w:val="center"/>
              <w:rPr>
                <w:color w:val="auto"/>
                <w:highlight w:val="none"/>
              </w:rPr>
            </w:pPr>
          </w:p>
        </w:tc>
        <w:tc>
          <w:tcPr>
            <w:tcW w:w="660" w:type="dxa"/>
            <w:vMerge w:val="continue"/>
            <w:shd w:val="clear" w:color="auto" w:fill="auto"/>
            <w:vAlign w:val="center"/>
          </w:tcPr>
          <w:p w14:paraId="65108B66">
            <w:pPr>
              <w:spacing w:line="240" w:lineRule="atLeast"/>
              <w:ind w:left="-48" w:leftChars="-23" w:right="-65" w:rightChars="-31"/>
              <w:jc w:val="left"/>
              <w:rPr>
                <w:rFonts w:cs="宋体"/>
                <w:color w:val="auto"/>
                <w:szCs w:val="24"/>
                <w:highlight w:val="none"/>
              </w:rPr>
            </w:pPr>
          </w:p>
        </w:tc>
        <w:tc>
          <w:tcPr>
            <w:tcW w:w="490" w:type="dxa"/>
            <w:vMerge w:val="continue"/>
            <w:tcBorders>
              <w:left w:val="single" w:color="auto" w:sz="4" w:space="0"/>
            </w:tcBorders>
            <w:shd w:val="clear" w:color="auto" w:fill="auto"/>
            <w:vAlign w:val="center"/>
          </w:tcPr>
          <w:p w14:paraId="1C9E3D75">
            <w:pPr>
              <w:spacing w:line="240" w:lineRule="atLeast"/>
              <w:ind w:left="-48" w:leftChars="-23" w:right="-65" w:rightChars="-31"/>
              <w:jc w:val="left"/>
              <w:rPr>
                <w:rFonts w:cs="宋体"/>
                <w:color w:val="auto"/>
                <w:szCs w:val="24"/>
                <w:highlight w:val="none"/>
              </w:rPr>
            </w:pPr>
          </w:p>
        </w:tc>
        <w:tc>
          <w:tcPr>
            <w:tcW w:w="830" w:type="dxa"/>
            <w:vMerge w:val="continue"/>
            <w:tcBorders>
              <w:left w:val="single" w:color="auto" w:sz="4" w:space="0"/>
              <w:right w:val="single" w:color="auto" w:sz="4" w:space="0"/>
            </w:tcBorders>
            <w:shd w:val="clear" w:color="auto" w:fill="auto"/>
            <w:vAlign w:val="center"/>
          </w:tcPr>
          <w:p w14:paraId="7ED85279">
            <w:pPr>
              <w:spacing w:line="240" w:lineRule="atLeast"/>
              <w:ind w:left="-48" w:leftChars="-23" w:right="-65" w:rightChars="-31"/>
              <w:jc w:val="left"/>
              <w:rPr>
                <w:rFonts w:cs="宋体"/>
                <w:color w:val="auto"/>
                <w:szCs w:val="24"/>
                <w:highlight w:val="none"/>
              </w:rPr>
            </w:pPr>
          </w:p>
        </w:tc>
        <w:tc>
          <w:tcPr>
            <w:tcW w:w="1202" w:type="dxa"/>
            <w:vMerge w:val="continue"/>
            <w:tcBorders>
              <w:left w:val="single" w:color="auto" w:sz="4" w:space="0"/>
              <w:right w:val="single" w:color="auto" w:sz="4" w:space="0"/>
            </w:tcBorders>
            <w:vAlign w:val="center"/>
          </w:tcPr>
          <w:p w14:paraId="45726596">
            <w:pPr>
              <w:spacing w:line="240" w:lineRule="atLeast"/>
              <w:ind w:left="-48" w:leftChars="-23" w:right="-65" w:rightChars="-31"/>
              <w:jc w:val="left"/>
              <w:rPr>
                <w:rFonts w:hint="eastAsia" w:cs="宋体"/>
                <w:color w:val="auto"/>
                <w:szCs w:val="24"/>
                <w:highlight w:val="none"/>
              </w:rPr>
            </w:pPr>
          </w:p>
        </w:tc>
        <w:tc>
          <w:tcPr>
            <w:tcW w:w="972" w:type="dxa"/>
            <w:tcBorders>
              <w:left w:val="single" w:color="auto" w:sz="4" w:space="0"/>
            </w:tcBorders>
            <w:shd w:val="clear" w:color="auto" w:fill="auto"/>
            <w:vAlign w:val="center"/>
          </w:tcPr>
          <w:p w14:paraId="09007ACB">
            <w:pPr>
              <w:spacing w:line="240" w:lineRule="atLeast"/>
              <w:ind w:left="-48" w:leftChars="-23" w:right="-65" w:rightChars="-31"/>
              <w:jc w:val="left"/>
              <w:rPr>
                <w:rFonts w:hint="default" w:eastAsia="宋体" w:cs="宋体"/>
                <w:color w:val="auto"/>
                <w:szCs w:val="24"/>
                <w:highlight w:val="none"/>
                <w:lang w:val="en-US" w:eastAsia="zh-CN"/>
              </w:rPr>
            </w:pPr>
            <w:r>
              <w:rPr>
                <w:rFonts w:hint="eastAsia" w:cs="宋体"/>
                <w:color w:val="auto"/>
                <w:szCs w:val="24"/>
                <w:highlight w:val="none"/>
                <w:lang w:val="en-US" w:eastAsia="zh-CN"/>
              </w:rPr>
              <w:t>...</w:t>
            </w:r>
          </w:p>
        </w:tc>
        <w:tc>
          <w:tcPr>
            <w:tcW w:w="887" w:type="dxa"/>
            <w:tcBorders>
              <w:left w:val="single" w:color="auto" w:sz="4" w:space="0"/>
            </w:tcBorders>
            <w:shd w:val="clear" w:color="auto" w:fill="auto"/>
            <w:vAlign w:val="center"/>
          </w:tcPr>
          <w:p w14:paraId="27E9E80A">
            <w:pPr>
              <w:spacing w:line="240" w:lineRule="atLeast"/>
              <w:ind w:left="-48" w:leftChars="-23" w:right="-65" w:rightChars="-31"/>
              <w:jc w:val="left"/>
              <w:rPr>
                <w:rFonts w:cs="宋体"/>
                <w:color w:val="auto"/>
                <w:szCs w:val="24"/>
                <w:highlight w:val="none"/>
              </w:rPr>
            </w:pPr>
          </w:p>
        </w:tc>
        <w:tc>
          <w:tcPr>
            <w:tcW w:w="1052" w:type="dxa"/>
            <w:tcBorders>
              <w:left w:val="single" w:color="auto" w:sz="4" w:space="0"/>
            </w:tcBorders>
            <w:shd w:val="clear" w:color="auto" w:fill="auto"/>
            <w:vAlign w:val="center"/>
          </w:tcPr>
          <w:p w14:paraId="75ABA38C">
            <w:pPr>
              <w:spacing w:line="240" w:lineRule="atLeast"/>
              <w:ind w:left="-48" w:leftChars="-23" w:right="-65" w:rightChars="-31"/>
              <w:jc w:val="left"/>
              <w:rPr>
                <w:rFonts w:cs="宋体"/>
                <w:color w:val="auto"/>
                <w:szCs w:val="24"/>
                <w:highlight w:val="none"/>
              </w:rPr>
            </w:pPr>
          </w:p>
        </w:tc>
        <w:tc>
          <w:tcPr>
            <w:tcW w:w="780" w:type="dxa"/>
            <w:vMerge w:val="continue"/>
            <w:tcBorders>
              <w:left w:val="single" w:color="auto" w:sz="4" w:space="0"/>
            </w:tcBorders>
            <w:shd w:val="clear" w:color="auto" w:fill="auto"/>
            <w:vAlign w:val="center"/>
          </w:tcPr>
          <w:p w14:paraId="154DFA78">
            <w:pPr>
              <w:spacing w:line="240" w:lineRule="atLeast"/>
              <w:ind w:left="-48" w:leftChars="-23" w:right="-65" w:rightChars="-31"/>
              <w:jc w:val="left"/>
              <w:rPr>
                <w:rFonts w:cs="宋体"/>
                <w:color w:val="auto"/>
                <w:szCs w:val="24"/>
                <w:highlight w:val="none"/>
              </w:rPr>
            </w:pPr>
          </w:p>
        </w:tc>
        <w:tc>
          <w:tcPr>
            <w:tcW w:w="1019" w:type="dxa"/>
            <w:tcBorders>
              <w:left w:val="single" w:color="auto" w:sz="4" w:space="0"/>
            </w:tcBorders>
            <w:shd w:val="clear" w:color="auto" w:fill="auto"/>
            <w:vAlign w:val="center"/>
          </w:tcPr>
          <w:p w14:paraId="536D5E09">
            <w:pPr>
              <w:spacing w:line="240" w:lineRule="atLeast"/>
              <w:ind w:left="-48" w:leftChars="-23" w:right="-65" w:rightChars="-31"/>
              <w:jc w:val="left"/>
              <w:rPr>
                <w:rFonts w:cs="宋体"/>
                <w:color w:val="auto"/>
                <w:szCs w:val="24"/>
                <w:highlight w:val="none"/>
              </w:rPr>
            </w:pPr>
          </w:p>
        </w:tc>
      </w:tr>
      <w:tr w14:paraId="565736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6" w:type="dxa"/>
            <w:vMerge w:val="continue"/>
            <w:shd w:val="clear" w:color="auto" w:fill="auto"/>
            <w:vAlign w:val="center"/>
          </w:tcPr>
          <w:p w14:paraId="663C961F">
            <w:pPr>
              <w:tabs>
                <w:tab w:val="left" w:pos="61"/>
              </w:tabs>
              <w:jc w:val="center"/>
              <w:rPr>
                <w:color w:val="auto"/>
                <w:highlight w:val="none"/>
              </w:rPr>
            </w:pPr>
          </w:p>
        </w:tc>
        <w:tc>
          <w:tcPr>
            <w:tcW w:w="348" w:type="dxa"/>
            <w:vMerge w:val="continue"/>
            <w:shd w:val="clear" w:color="auto" w:fill="auto"/>
            <w:vAlign w:val="center"/>
          </w:tcPr>
          <w:p w14:paraId="44354634">
            <w:pPr>
              <w:tabs>
                <w:tab w:val="left" w:pos="0"/>
                <w:tab w:val="left" w:pos="56"/>
              </w:tabs>
              <w:ind w:left="547" w:hanging="478" w:hangingChars="228"/>
              <w:jc w:val="center"/>
              <w:rPr>
                <w:color w:val="auto"/>
                <w:highlight w:val="none"/>
              </w:rPr>
            </w:pPr>
          </w:p>
        </w:tc>
        <w:tc>
          <w:tcPr>
            <w:tcW w:w="660" w:type="dxa"/>
            <w:vMerge w:val="continue"/>
            <w:shd w:val="clear" w:color="auto" w:fill="auto"/>
            <w:vAlign w:val="center"/>
          </w:tcPr>
          <w:p w14:paraId="664867A8">
            <w:pPr>
              <w:spacing w:line="240" w:lineRule="atLeast"/>
              <w:ind w:left="-48" w:leftChars="-23" w:right="-65" w:rightChars="-31"/>
              <w:jc w:val="left"/>
              <w:rPr>
                <w:rFonts w:cs="宋体"/>
                <w:color w:val="auto"/>
                <w:szCs w:val="24"/>
                <w:highlight w:val="none"/>
              </w:rPr>
            </w:pPr>
          </w:p>
        </w:tc>
        <w:tc>
          <w:tcPr>
            <w:tcW w:w="490" w:type="dxa"/>
            <w:vMerge w:val="continue"/>
            <w:tcBorders>
              <w:left w:val="single" w:color="auto" w:sz="4" w:space="0"/>
            </w:tcBorders>
            <w:shd w:val="clear" w:color="auto" w:fill="auto"/>
            <w:vAlign w:val="center"/>
          </w:tcPr>
          <w:p w14:paraId="0E70E272">
            <w:pPr>
              <w:spacing w:line="240" w:lineRule="atLeast"/>
              <w:ind w:left="-48" w:leftChars="-23" w:right="-65" w:rightChars="-31"/>
              <w:jc w:val="left"/>
              <w:rPr>
                <w:rFonts w:cs="宋体"/>
                <w:color w:val="auto"/>
                <w:szCs w:val="24"/>
                <w:highlight w:val="none"/>
              </w:rPr>
            </w:pPr>
          </w:p>
        </w:tc>
        <w:tc>
          <w:tcPr>
            <w:tcW w:w="830" w:type="dxa"/>
            <w:vMerge w:val="continue"/>
            <w:tcBorders>
              <w:left w:val="single" w:color="auto" w:sz="4" w:space="0"/>
              <w:right w:val="single" w:color="auto" w:sz="4" w:space="0"/>
            </w:tcBorders>
            <w:shd w:val="clear" w:color="auto" w:fill="auto"/>
            <w:vAlign w:val="center"/>
          </w:tcPr>
          <w:p w14:paraId="35624BD1">
            <w:pPr>
              <w:spacing w:line="240" w:lineRule="atLeast"/>
              <w:ind w:left="-48" w:leftChars="-23" w:right="-65" w:rightChars="-31"/>
              <w:jc w:val="left"/>
              <w:rPr>
                <w:rFonts w:cs="宋体"/>
                <w:color w:val="auto"/>
                <w:szCs w:val="24"/>
                <w:highlight w:val="none"/>
              </w:rPr>
            </w:pPr>
          </w:p>
        </w:tc>
        <w:tc>
          <w:tcPr>
            <w:tcW w:w="1202" w:type="dxa"/>
            <w:vMerge w:val="restart"/>
            <w:tcBorders>
              <w:left w:val="single" w:color="auto" w:sz="4" w:space="0"/>
              <w:right w:val="single" w:color="auto" w:sz="4" w:space="0"/>
            </w:tcBorders>
            <w:vAlign w:val="center"/>
          </w:tcPr>
          <w:p w14:paraId="46CCECB7">
            <w:pPr>
              <w:spacing w:line="240" w:lineRule="atLeast"/>
              <w:ind w:left="-48" w:leftChars="-23" w:right="-65" w:rightChars="-31"/>
              <w:jc w:val="left"/>
              <w:rPr>
                <w:rFonts w:cs="宋体"/>
                <w:color w:val="auto"/>
                <w:szCs w:val="24"/>
                <w:highlight w:val="none"/>
              </w:rPr>
            </w:pPr>
            <w:r>
              <w:rPr>
                <w:rFonts w:hint="eastAsia" w:cs="宋体"/>
                <w:color w:val="auto"/>
                <w:szCs w:val="24"/>
                <w:highlight w:val="none"/>
              </w:rPr>
              <w:t>人工成本</w:t>
            </w:r>
          </w:p>
        </w:tc>
        <w:tc>
          <w:tcPr>
            <w:tcW w:w="972" w:type="dxa"/>
            <w:tcBorders>
              <w:left w:val="single" w:color="auto" w:sz="4" w:space="0"/>
            </w:tcBorders>
            <w:shd w:val="clear" w:color="auto" w:fill="auto"/>
            <w:vAlign w:val="center"/>
          </w:tcPr>
          <w:p w14:paraId="0B2D4D60">
            <w:pPr>
              <w:spacing w:line="240" w:lineRule="atLeast"/>
              <w:ind w:left="-48" w:leftChars="-23" w:right="-65" w:rightChars="-31"/>
              <w:jc w:val="left"/>
              <w:rPr>
                <w:rFonts w:cs="宋体"/>
                <w:color w:val="auto"/>
                <w:szCs w:val="24"/>
                <w:highlight w:val="none"/>
              </w:rPr>
            </w:pPr>
            <w:r>
              <w:rPr>
                <w:rFonts w:cs="宋体"/>
                <w:color w:val="auto"/>
                <w:szCs w:val="24"/>
                <w:highlight w:val="none"/>
                <w:lang w:val="en-US" w:eastAsia="zh-CN"/>
              </w:rPr>
              <w:t>生产工人工资</w:t>
            </w:r>
          </w:p>
        </w:tc>
        <w:tc>
          <w:tcPr>
            <w:tcW w:w="887" w:type="dxa"/>
            <w:tcBorders>
              <w:left w:val="single" w:color="auto" w:sz="4" w:space="0"/>
            </w:tcBorders>
            <w:shd w:val="clear" w:color="auto" w:fill="auto"/>
            <w:vAlign w:val="center"/>
          </w:tcPr>
          <w:p w14:paraId="20D13126">
            <w:pPr>
              <w:spacing w:line="240" w:lineRule="atLeast"/>
              <w:ind w:left="-48" w:leftChars="-23" w:right="-65" w:rightChars="-31"/>
              <w:jc w:val="left"/>
              <w:rPr>
                <w:rFonts w:cs="宋体"/>
                <w:color w:val="auto"/>
                <w:szCs w:val="24"/>
                <w:highlight w:val="none"/>
              </w:rPr>
            </w:pPr>
          </w:p>
        </w:tc>
        <w:tc>
          <w:tcPr>
            <w:tcW w:w="1052" w:type="dxa"/>
            <w:tcBorders>
              <w:left w:val="single" w:color="auto" w:sz="4" w:space="0"/>
            </w:tcBorders>
            <w:shd w:val="clear" w:color="auto" w:fill="auto"/>
            <w:vAlign w:val="center"/>
          </w:tcPr>
          <w:p w14:paraId="2649819A">
            <w:pPr>
              <w:spacing w:line="240" w:lineRule="atLeast"/>
              <w:ind w:left="-48" w:leftChars="-23" w:right="-65" w:rightChars="-31"/>
              <w:jc w:val="left"/>
              <w:rPr>
                <w:rFonts w:cs="宋体"/>
                <w:color w:val="auto"/>
                <w:szCs w:val="24"/>
                <w:highlight w:val="none"/>
              </w:rPr>
            </w:pPr>
          </w:p>
        </w:tc>
        <w:tc>
          <w:tcPr>
            <w:tcW w:w="780" w:type="dxa"/>
            <w:vMerge w:val="continue"/>
            <w:tcBorders>
              <w:left w:val="single" w:color="auto" w:sz="4" w:space="0"/>
            </w:tcBorders>
            <w:shd w:val="clear" w:color="auto" w:fill="auto"/>
            <w:vAlign w:val="center"/>
          </w:tcPr>
          <w:p w14:paraId="564B2FA4">
            <w:pPr>
              <w:spacing w:line="240" w:lineRule="atLeast"/>
              <w:ind w:left="-48" w:leftChars="-23" w:right="-65" w:rightChars="-31"/>
              <w:jc w:val="left"/>
              <w:rPr>
                <w:rFonts w:cs="宋体"/>
                <w:color w:val="auto"/>
                <w:szCs w:val="24"/>
                <w:highlight w:val="none"/>
              </w:rPr>
            </w:pPr>
          </w:p>
        </w:tc>
        <w:tc>
          <w:tcPr>
            <w:tcW w:w="1019" w:type="dxa"/>
            <w:tcBorders>
              <w:left w:val="single" w:color="auto" w:sz="4" w:space="0"/>
            </w:tcBorders>
            <w:shd w:val="clear" w:color="auto" w:fill="auto"/>
            <w:vAlign w:val="center"/>
          </w:tcPr>
          <w:p w14:paraId="27DF90AB">
            <w:pPr>
              <w:spacing w:line="240" w:lineRule="atLeast"/>
              <w:ind w:left="-48" w:leftChars="-23" w:right="-65" w:rightChars="-31"/>
              <w:jc w:val="left"/>
              <w:rPr>
                <w:rFonts w:cs="宋体"/>
                <w:color w:val="auto"/>
                <w:szCs w:val="24"/>
                <w:highlight w:val="none"/>
              </w:rPr>
            </w:pPr>
          </w:p>
        </w:tc>
      </w:tr>
      <w:tr w14:paraId="0EFF6F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6" w:type="dxa"/>
            <w:vMerge w:val="continue"/>
            <w:shd w:val="clear" w:color="auto" w:fill="auto"/>
            <w:vAlign w:val="center"/>
          </w:tcPr>
          <w:p w14:paraId="3B3738E8">
            <w:pPr>
              <w:tabs>
                <w:tab w:val="left" w:pos="61"/>
              </w:tabs>
              <w:jc w:val="center"/>
              <w:rPr>
                <w:color w:val="auto"/>
                <w:highlight w:val="none"/>
              </w:rPr>
            </w:pPr>
          </w:p>
        </w:tc>
        <w:tc>
          <w:tcPr>
            <w:tcW w:w="348" w:type="dxa"/>
            <w:vMerge w:val="continue"/>
            <w:shd w:val="clear" w:color="auto" w:fill="auto"/>
            <w:vAlign w:val="center"/>
          </w:tcPr>
          <w:p w14:paraId="44A40CB1">
            <w:pPr>
              <w:tabs>
                <w:tab w:val="left" w:pos="0"/>
                <w:tab w:val="left" w:pos="56"/>
              </w:tabs>
              <w:ind w:left="547" w:hanging="478" w:hangingChars="228"/>
              <w:jc w:val="center"/>
              <w:rPr>
                <w:color w:val="auto"/>
                <w:highlight w:val="none"/>
              </w:rPr>
            </w:pPr>
          </w:p>
        </w:tc>
        <w:tc>
          <w:tcPr>
            <w:tcW w:w="660" w:type="dxa"/>
            <w:vMerge w:val="continue"/>
            <w:shd w:val="clear" w:color="auto" w:fill="auto"/>
            <w:vAlign w:val="center"/>
          </w:tcPr>
          <w:p w14:paraId="78A86C67">
            <w:pPr>
              <w:spacing w:line="240" w:lineRule="atLeast"/>
              <w:ind w:left="-48" w:leftChars="-23" w:right="-65" w:rightChars="-31"/>
              <w:jc w:val="left"/>
              <w:rPr>
                <w:rFonts w:cs="宋体"/>
                <w:color w:val="auto"/>
                <w:szCs w:val="24"/>
                <w:highlight w:val="none"/>
              </w:rPr>
            </w:pPr>
          </w:p>
        </w:tc>
        <w:tc>
          <w:tcPr>
            <w:tcW w:w="490" w:type="dxa"/>
            <w:vMerge w:val="continue"/>
            <w:tcBorders>
              <w:left w:val="single" w:color="auto" w:sz="4" w:space="0"/>
            </w:tcBorders>
            <w:shd w:val="clear" w:color="auto" w:fill="auto"/>
            <w:vAlign w:val="center"/>
          </w:tcPr>
          <w:p w14:paraId="26C0314E">
            <w:pPr>
              <w:spacing w:line="240" w:lineRule="atLeast"/>
              <w:ind w:left="-48" w:leftChars="-23" w:right="-65" w:rightChars="-31"/>
              <w:jc w:val="left"/>
              <w:rPr>
                <w:rFonts w:cs="宋体"/>
                <w:color w:val="auto"/>
                <w:szCs w:val="24"/>
                <w:highlight w:val="none"/>
              </w:rPr>
            </w:pPr>
          </w:p>
        </w:tc>
        <w:tc>
          <w:tcPr>
            <w:tcW w:w="830" w:type="dxa"/>
            <w:vMerge w:val="continue"/>
            <w:tcBorders>
              <w:left w:val="single" w:color="auto" w:sz="4" w:space="0"/>
              <w:right w:val="single" w:color="auto" w:sz="4" w:space="0"/>
            </w:tcBorders>
            <w:shd w:val="clear" w:color="auto" w:fill="auto"/>
            <w:vAlign w:val="center"/>
          </w:tcPr>
          <w:p w14:paraId="69F2A5A8">
            <w:pPr>
              <w:spacing w:line="240" w:lineRule="atLeast"/>
              <w:ind w:left="-48" w:leftChars="-23" w:right="-65" w:rightChars="-31"/>
              <w:jc w:val="left"/>
              <w:rPr>
                <w:rFonts w:cs="宋体"/>
                <w:color w:val="auto"/>
                <w:szCs w:val="24"/>
                <w:highlight w:val="none"/>
              </w:rPr>
            </w:pPr>
          </w:p>
        </w:tc>
        <w:tc>
          <w:tcPr>
            <w:tcW w:w="1202" w:type="dxa"/>
            <w:vMerge w:val="continue"/>
            <w:tcBorders>
              <w:left w:val="single" w:color="auto" w:sz="4" w:space="0"/>
              <w:right w:val="single" w:color="auto" w:sz="4" w:space="0"/>
            </w:tcBorders>
            <w:vAlign w:val="center"/>
          </w:tcPr>
          <w:p w14:paraId="31913965">
            <w:pPr>
              <w:spacing w:line="240" w:lineRule="atLeast"/>
              <w:ind w:left="-48" w:leftChars="-23" w:right="-65" w:rightChars="-31"/>
              <w:jc w:val="left"/>
              <w:rPr>
                <w:rFonts w:hint="eastAsia" w:cs="宋体"/>
                <w:color w:val="auto"/>
                <w:szCs w:val="24"/>
                <w:highlight w:val="none"/>
              </w:rPr>
            </w:pPr>
          </w:p>
        </w:tc>
        <w:tc>
          <w:tcPr>
            <w:tcW w:w="972" w:type="dxa"/>
            <w:tcBorders>
              <w:left w:val="single" w:color="auto" w:sz="4" w:space="0"/>
            </w:tcBorders>
            <w:shd w:val="clear" w:color="auto" w:fill="auto"/>
            <w:vAlign w:val="center"/>
          </w:tcPr>
          <w:p w14:paraId="2594756D">
            <w:pPr>
              <w:spacing w:line="240" w:lineRule="atLeast"/>
              <w:ind w:left="-48" w:leftChars="-23" w:right="-65" w:rightChars="-31"/>
              <w:jc w:val="left"/>
              <w:rPr>
                <w:rFonts w:hint="default" w:eastAsia="宋体" w:cs="宋体"/>
                <w:color w:val="auto"/>
                <w:szCs w:val="24"/>
                <w:highlight w:val="none"/>
                <w:lang w:val="en-US" w:eastAsia="zh-CN"/>
              </w:rPr>
            </w:pPr>
            <w:r>
              <w:rPr>
                <w:rFonts w:hint="eastAsia" w:cs="宋体"/>
                <w:color w:val="auto"/>
                <w:szCs w:val="24"/>
                <w:highlight w:val="none"/>
                <w:lang w:val="en-US" w:eastAsia="zh-CN"/>
              </w:rPr>
              <w:t>....</w:t>
            </w:r>
          </w:p>
        </w:tc>
        <w:tc>
          <w:tcPr>
            <w:tcW w:w="887" w:type="dxa"/>
            <w:tcBorders>
              <w:left w:val="single" w:color="auto" w:sz="4" w:space="0"/>
            </w:tcBorders>
            <w:shd w:val="clear" w:color="auto" w:fill="auto"/>
            <w:vAlign w:val="center"/>
          </w:tcPr>
          <w:p w14:paraId="39A6375B">
            <w:pPr>
              <w:spacing w:line="240" w:lineRule="atLeast"/>
              <w:ind w:left="-48" w:leftChars="-23" w:right="-65" w:rightChars="-31"/>
              <w:jc w:val="left"/>
              <w:rPr>
                <w:rFonts w:cs="宋体"/>
                <w:color w:val="auto"/>
                <w:szCs w:val="24"/>
                <w:highlight w:val="none"/>
              </w:rPr>
            </w:pPr>
          </w:p>
        </w:tc>
        <w:tc>
          <w:tcPr>
            <w:tcW w:w="1052" w:type="dxa"/>
            <w:tcBorders>
              <w:left w:val="single" w:color="auto" w:sz="4" w:space="0"/>
            </w:tcBorders>
            <w:shd w:val="clear" w:color="auto" w:fill="auto"/>
            <w:vAlign w:val="center"/>
          </w:tcPr>
          <w:p w14:paraId="2559831D">
            <w:pPr>
              <w:spacing w:line="240" w:lineRule="atLeast"/>
              <w:ind w:left="-48" w:leftChars="-23" w:right="-65" w:rightChars="-31"/>
              <w:jc w:val="left"/>
              <w:rPr>
                <w:rFonts w:cs="宋体"/>
                <w:color w:val="auto"/>
                <w:szCs w:val="24"/>
                <w:highlight w:val="none"/>
              </w:rPr>
            </w:pPr>
          </w:p>
        </w:tc>
        <w:tc>
          <w:tcPr>
            <w:tcW w:w="780" w:type="dxa"/>
            <w:vMerge w:val="continue"/>
            <w:tcBorders>
              <w:left w:val="single" w:color="auto" w:sz="4" w:space="0"/>
            </w:tcBorders>
            <w:shd w:val="clear" w:color="auto" w:fill="auto"/>
            <w:vAlign w:val="center"/>
          </w:tcPr>
          <w:p w14:paraId="635380C3">
            <w:pPr>
              <w:spacing w:line="240" w:lineRule="atLeast"/>
              <w:ind w:left="-48" w:leftChars="-23" w:right="-65" w:rightChars="-31"/>
              <w:jc w:val="left"/>
              <w:rPr>
                <w:rFonts w:cs="宋体"/>
                <w:color w:val="auto"/>
                <w:szCs w:val="24"/>
                <w:highlight w:val="none"/>
              </w:rPr>
            </w:pPr>
          </w:p>
        </w:tc>
        <w:tc>
          <w:tcPr>
            <w:tcW w:w="1019" w:type="dxa"/>
            <w:tcBorders>
              <w:left w:val="single" w:color="auto" w:sz="4" w:space="0"/>
            </w:tcBorders>
            <w:shd w:val="clear" w:color="auto" w:fill="auto"/>
            <w:vAlign w:val="center"/>
          </w:tcPr>
          <w:p w14:paraId="20689B2A">
            <w:pPr>
              <w:spacing w:line="240" w:lineRule="atLeast"/>
              <w:ind w:left="-48" w:leftChars="-23" w:right="-65" w:rightChars="-31"/>
              <w:jc w:val="left"/>
              <w:rPr>
                <w:rFonts w:cs="宋体"/>
                <w:color w:val="auto"/>
                <w:szCs w:val="24"/>
                <w:highlight w:val="none"/>
              </w:rPr>
            </w:pPr>
          </w:p>
        </w:tc>
      </w:tr>
      <w:tr w14:paraId="106F68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6" w:type="dxa"/>
            <w:vMerge w:val="continue"/>
            <w:shd w:val="clear" w:color="auto" w:fill="auto"/>
            <w:vAlign w:val="center"/>
          </w:tcPr>
          <w:p w14:paraId="27895C2C">
            <w:pPr>
              <w:tabs>
                <w:tab w:val="left" w:pos="61"/>
              </w:tabs>
              <w:jc w:val="center"/>
              <w:rPr>
                <w:color w:val="auto"/>
                <w:highlight w:val="none"/>
              </w:rPr>
            </w:pPr>
          </w:p>
        </w:tc>
        <w:tc>
          <w:tcPr>
            <w:tcW w:w="348" w:type="dxa"/>
            <w:vMerge w:val="continue"/>
            <w:shd w:val="clear" w:color="auto" w:fill="auto"/>
            <w:vAlign w:val="center"/>
          </w:tcPr>
          <w:p w14:paraId="6DF8B125">
            <w:pPr>
              <w:tabs>
                <w:tab w:val="left" w:pos="0"/>
                <w:tab w:val="left" w:pos="56"/>
              </w:tabs>
              <w:ind w:left="547" w:hanging="478" w:hangingChars="228"/>
              <w:jc w:val="center"/>
              <w:rPr>
                <w:color w:val="auto"/>
                <w:highlight w:val="none"/>
              </w:rPr>
            </w:pPr>
          </w:p>
        </w:tc>
        <w:tc>
          <w:tcPr>
            <w:tcW w:w="660" w:type="dxa"/>
            <w:vMerge w:val="continue"/>
            <w:shd w:val="clear" w:color="auto" w:fill="auto"/>
            <w:vAlign w:val="center"/>
          </w:tcPr>
          <w:p w14:paraId="71A94FA0">
            <w:pPr>
              <w:spacing w:line="240" w:lineRule="atLeast"/>
              <w:ind w:left="-48" w:leftChars="-23" w:right="-65" w:rightChars="-31"/>
              <w:jc w:val="left"/>
              <w:rPr>
                <w:rFonts w:cs="宋体"/>
                <w:color w:val="auto"/>
                <w:szCs w:val="24"/>
                <w:highlight w:val="none"/>
              </w:rPr>
            </w:pPr>
          </w:p>
        </w:tc>
        <w:tc>
          <w:tcPr>
            <w:tcW w:w="490" w:type="dxa"/>
            <w:vMerge w:val="continue"/>
            <w:tcBorders>
              <w:left w:val="single" w:color="auto" w:sz="4" w:space="0"/>
            </w:tcBorders>
            <w:shd w:val="clear" w:color="auto" w:fill="auto"/>
            <w:vAlign w:val="center"/>
          </w:tcPr>
          <w:p w14:paraId="140BC068">
            <w:pPr>
              <w:spacing w:line="240" w:lineRule="atLeast"/>
              <w:ind w:left="-48" w:leftChars="-23" w:right="-65" w:rightChars="-31"/>
              <w:jc w:val="left"/>
              <w:rPr>
                <w:rFonts w:cs="宋体"/>
                <w:color w:val="auto"/>
                <w:szCs w:val="24"/>
                <w:highlight w:val="none"/>
              </w:rPr>
            </w:pPr>
          </w:p>
        </w:tc>
        <w:tc>
          <w:tcPr>
            <w:tcW w:w="830" w:type="dxa"/>
            <w:vMerge w:val="continue"/>
            <w:tcBorders>
              <w:left w:val="single" w:color="auto" w:sz="4" w:space="0"/>
              <w:right w:val="single" w:color="auto" w:sz="4" w:space="0"/>
            </w:tcBorders>
            <w:shd w:val="clear" w:color="auto" w:fill="auto"/>
            <w:vAlign w:val="center"/>
          </w:tcPr>
          <w:p w14:paraId="5C06FA84">
            <w:pPr>
              <w:spacing w:line="240" w:lineRule="atLeast"/>
              <w:ind w:left="-48" w:leftChars="-23" w:right="-65" w:rightChars="-31"/>
              <w:jc w:val="left"/>
              <w:rPr>
                <w:rFonts w:cs="宋体"/>
                <w:color w:val="auto"/>
                <w:szCs w:val="24"/>
                <w:highlight w:val="none"/>
              </w:rPr>
            </w:pPr>
          </w:p>
        </w:tc>
        <w:tc>
          <w:tcPr>
            <w:tcW w:w="1202" w:type="dxa"/>
            <w:vMerge w:val="restart"/>
            <w:tcBorders>
              <w:left w:val="single" w:color="auto" w:sz="4" w:space="0"/>
              <w:right w:val="single" w:color="auto" w:sz="4" w:space="0"/>
            </w:tcBorders>
            <w:vAlign w:val="center"/>
          </w:tcPr>
          <w:p w14:paraId="4F54D27B">
            <w:pPr>
              <w:spacing w:line="240" w:lineRule="atLeast"/>
              <w:ind w:left="-48" w:leftChars="-23" w:right="-65" w:rightChars="-31"/>
              <w:jc w:val="left"/>
              <w:rPr>
                <w:rFonts w:hint="eastAsia" w:cs="宋体"/>
                <w:color w:val="auto"/>
                <w:szCs w:val="24"/>
                <w:highlight w:val="none"/>
              </w:rPr>
            </w:pPr>
            <w:r>
              <w:rPr>
                <w:rFonts w:hint="eastAsia" w:cs="宋体"/>
                <w:color w:val="auto"/>
                <w:szCs w:val="24"/>
                <w:highlight w:val="none"/>
              </w:rPr>
              <w:t>制造费用</w:t>
            </w:r>
          </w:p>
        </w:tc>
        <w:tc>
          <w:tcPr>
            <w:tcW w:w="972" w:type="dxa"/>
            <w:tcBorders>
              <w:left w:val="single" w:color="auto" w:sz="4" w:space="0"/>
            </w:tcBorders>
            <w:shd w:val="clear" w:color="auto" w:fill="auto"/>
            <w:vAlign w:val="center"/>
          </w:tcPr>
          <w:p w14:paraId="0BB5997A">
            <w:pPr>
              <w:spacing w:line="240" w:lineRule="atLeast"/>
              <w:ind w:left="-48" w:leftChars="-23" w:right="-65" w:rightChars="-31"/>
              <w:jc w:val="left"/>
              <w:rPr>
                <w:rFonts w:cs="宋体"/>
                <w:color w:val="auto"/>
                <w:szCs w:val="24"/>
                <w:highlight w:val="none"/>
              </w:rPr>
            </w:pPr>
            <w:r>
              <w:rPr>
                <w:rFonts w:cs="宋体"/>
                <w:color w:val="auto"/>
                <w:szCs w:val="24"/>
                <w:highlight w:val="none"/>
                <w:lang w:val="en-US" w:eastAsia="zh-CN"/>
              </w:rPr>
              <w:t>设备折旧费</w:t>
            </w:r>
          </w:p>
        </w:tc>
        <w:tc>
          <w:tcPr>
            <w:tcW w:w="887" w:type="dxa"/>
            <w:tcBorders>
              <w:left w:val="single" w:color="auto" w:sz="4" w:space="0"/>
            </w:tcBorders>
            <w:shd w:val="clear" w:color="auto" w:fill="auto"/>
            <w:vAlign w:val="center"/>
          </w:tcPr>
          <w:p w14:paraId="6ACFCE33">
            <w:pPr>
              <w:spacing w:line="240" w:lineRule="atLeast"/>
              <w:ind w:left="-48" w:leftChars="-23" w:right="-65" w:rightChars="-31"/>
              <w:jc w:val="left"/>
              <w:rPr>
                <w:rFonts w:hint="eastAsia" w:eastAsia="宋体" w:cs="宋体"/>
                <w:color w:val="auto"/>
                <w:szCs w:val="24"/>
                <w:highlight w:val="none"/>
                <w:lang w:val="en-US" w:eastAsia="zh-CN"/>
              </w:rPr>
            </w:pPr>
          </w:p>
        </w:tc>
        <w:tc>
          <w:tcPr>
            <w:tcW w:w="1052" w:type="dxa"/>
            <w:tcBorders>
              <w:left w:val="single" w:color="auto" w:sz="4" w:space="0"/>
            </w:tcBorders>
            <w:shd w:val="clear" w:color="auto" w:fill="auto"/>
            <w:vAlign w:val="center"/>
          </w:tcPr>
          <w:p w14:paraId="45219A80">
            <w:pPr>
              <w:spacing w:line="240" w:lineRule="atLeast"/>
              <w:ind w:left="-48" w:leftChars="-23" w:right="-65" w:rightChars="-31"/>
              <w:jc w:val="left"/>
              <w:rPr>
                <w:rFonts w:cs="宋体"/>
                <w:color w:val="auto"/>
                <w:szCs w:val="24"/>
                <w:highlight w:val="none"/>
              </w:rPr>
            </w:pPr>
          </w:p>
        </w:tc>
        <w:tc>
          <w:tcPr>
            <w:tcW w:w="780" w:type="dxa"/>
            <w:vMerge w:val="continue"/>
            <w:tcBorders>
              <w:left w:val="single" w:color="auto" w:sz="4" w:space="0"/>
            </w:tcBorders>
            <w:shd w:val="clear" w:color="auto" w:fill="auto"/>
            <w:vAlign w:val="center"/>
          </w:tcPr>
          <w:p w14:paraId="0CF60A3E">
            <w:pPr>
              <w:spacing w:line="240" w:lineRule="atLeast"/>
              <w:ind w:left="-48" w:leftChars="-23" w:right="-65" w:rightChars="-31"/>
              <w:jc w:val="left"/>
              <w:rPr>
                <w:rFonts w:cs="宋体"/>
                <w:color w:val="auto"/>
                <w:szCs w:val="24"/>
                <w:highlight w:val="none"/>
              </w:rPr>
            </w:pPr>
          </w:p>
        </w:tc>
        <w:tc>
          <w:tcPr>
            <w:tcW w:w="1019" w:type="dxa"/>
            <w:tcBorders>
              <w:left w:val="single" w:color="auto" w:sz="4" w:space="0"/>
            </w:tcBorders>
            <w:shd w:val="clear" w:color="auto" w:fill="auto"/>
            <w:vAlign w:val="center"/>
          </w:tcPr>
          <w:p w14:paraId="4D8D6B9A">
            <w:pPr>
              <w:spacing w:line="240" w:lineRule="atLeast"/>
              <w:ind w:left="-48" w:leftChars="-23" w:right="-65" w:rightChars="-31"/>
              <w:jc w:val="left"/>
              <w:rPr>
                <w:rFonts w:cs="宋体"/>
                <w:color w:val="auto"/>
                <w:szCs w:val="24"/>
                <w:highlight w:val="none"/>
              </w:rPr>
            </w:pPr>
          </w:p>
        </w:tc>
      </w:tr>
      <w:tr w14:paraId="354AE8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6" w:type="dxa"/>
            <w:vMerge w:val="continue"/>
            <w:shd w:val="clear" w:color="auto" w:fill="auto"/>
            <w:vAlign w:val="center"/>
          </w:tcPr>
          <w:p w14:paraId="56519FB7">
            <w:pPr>
              <w:tabs>
                <w:tab w:val="left" w:pos="61"/>
              </w:tabs>
              <w:jc w:val="center"/>
              <w:rPr>
                <w:color w:val="auto"/>
                <w:highlight w:val="none"/>
              </w:rPr>
            </w:pPr>
          </w:p>
        </w:tc>
        <w:tc>
          <w:tcPr>
            <w:tcW w:w="348" w:type="dxa"/>
            <w:vMerge w:val="continue"/>
            <w:shd w:val="clear" w:color="auto" w:fill="auto"/>
            <w:vAlign w:val="center"/>
          </w:tcPr>
          <w:p w14:paraId="2672A604">
            <w:pPr>
              <w:tabs>
                <w:tab w:val="left" w:pos="0"/>
                <w:tab w:val="left" w:pos="56"/>
              </w:tabs>
              <w:ind w:left="547" w:hanging="478" w:hangingChars="228"/>
              <w:jc w:val="center"/>
              <w:rPr>
                <w:color w:val="auto"/>
                <w:highlight w:val="none"/>
              </w:rPr>
            </w:pPr>
          </w:p>
        </w:tc>
        <w:tc>
          <w:tcPr>
            <w:tcW w:w="660" w:type="dxa"/>
            <w:vMerge w:val="continue"/>
            <w:shd w:val="clear" w:color="auto" w:fill="auto"/>
            <w:vAlign w:val="center"/>
          </w:tcPr>
          <w:p w14:paraId="0C6F6ECF">
            <w:pPr>
              <w:spacing w:line="240" w:lineRule="atLeast"/>
              <w:ind w:left="-48" w:leftChars="-23" w:right="-65" w:rightChars="-31"/>
              <w:jc w:val="left"/>
              <w:rPr>
                <w:rFonts w:cs="宋体"/>
                <w:color w:val="auto"/>
                <w:szCs w:val="24"/>
                <w:highlight w:val="none"/>
              </w:rPr>
            </w:pPr>
          </w:p>
        </w:tc>
        <w:tc>
          <w:tcPr>
            <w:tcW w:w="490" w:type="dxa"/>
            <w:vMerge w:val="continue"/>
            <w:tcBorders>
              <w:left w:val="single" w:color="auto" w:sz="4" w:space="0"/>
            </w:tcBorders>
            <w:shd w:val="clear" w:color="auto" w:fill="auto"/>
            <w:vAlign w:val="center"/>
          </w:tcPr>
          <w:p w14:paraId="31177B0C">
            <w:pPr>
              <w:spacing w:line="240" w:lineRule="atLeast"/>
              <w:ind w:left="-48" w:leftChars="-23" w:right="-65" w:rightChars="-31"/>
              <w:jc w:val="left"/>
              <w:rPr>
                <w:rFonts w:cs="宋体"/>
                <w:color w:val="auto"/>
                <w:szCs w:val="24"/>
                <w:highlight w:val="none"/>
              </w:rPr>
            </w:pPr>
          </w:p>
        </w:tc>
        <w:tc>
          <w:tcPr>
            <w:tcW w:w="830" w:type="dxa"/>
            <w:vMerge w:val="continue"/>
            <w:tcBorders>
              <w:left w:val="single" w:color="auto" w:sz="4" w:space="0"/>
              <w:right w:val="single" w:color="auto" w:sz="4" w:space="0"/>
            </w:tcBorders>
            <w:shd w:val="clear" w:color="auto" w:fill="auto"/>
            <w:vAlign w:val="center"/>
          </w:tcPr>
          <w:p w14:paraId="3A8BD96A">
            <w:pPr>
              <w:spacing w:line="240" w:lineRule="atLeast"/>
              <w:ind w:left="-48" w:leftChars="-23" w:right="-65" w:rightChars="-31"/>
              <w:jc w:val="left"/>
              <w:rPr>
                <w:rFonts w:cs="宋体"/>
                <w:color w:val="auto"/>
                <w:szCs w:val="24"/>
                <w:highlight w:val="none"/>
              </w:rPr>
            </w:pPr>
          </w:p>
        </w:tc>
        <w:tc>
          <w:tcPr>
            <w:tcW w:w="1202" w:type="dxa"/>
            <w:vMerge w:val="continue"/>
            <w:tcBorders>
              <w:left w:val="single" w:color="auto" w:sz="4" w:space="0"/>
              <w:right w:val="single" w:color="auto" w:sz="4" w:space="0"/>
            </w:tcBorders>
            <w:vAlign w:val="center"/>
          </w:tcPr>
          <w:p w14:paraId="63567583">
            <w:pPr>
              <w:spacing w:line="240" w:lineRule="atLeast"/>
              <w:ind w:left="-48" w:leftChars="-23" w:right="-65" w:rightChars="-31"/>
              <w:jc w:val="left"/>
              <w:rPr>
                <w:rFonts w:hint="eastAsia" w:cs="宋体"/>
                <w:color w:val="auto"/>
                <w:szCs w:val="24"/>
                <w:highlight w:val="none"/>
              </w:rPr>
            </w:pPr>
          </w:p>
        </w:tc>
        <w:tc>
          <w:tcPr>
            <w:tcW w:w="972" w:type="dxa"/>
            <w:tcBorders>
              <w:left w:val="single" w:color="auto" w:sz="4" w:space="0"/>
            </w:tcBorders>
            <w:shd w:val="clear" w:color="auto" w:fill="auto"/>
            <w:vAlign w:val="center"/>
          </w:tcPr>
          <w:p w14:paraId="194041DF">
            <w:pPr>
              <w:spacing w:line="240" w:lineRule="atLeast"/>
              <w:ind w:left="-48" w:leftChars="-23" w:right="-65" w:rightChars="-31"/>
              <w:jc w:val="left"/>
              <w:rPr>
                <w:rFonts w:hint="default" w:eastAsia="宋体" w:cs="宋体"/>
                <w:color w:val="auto"/>
                <w:szCs w:val="24"/>
                <w:highlight w:val="none"/>
                <w:lang w:val="en-US" w:eastAsia="zh-CN"/>
              </w:rPr>
            </w:pPr>
            <w:r>
              <w:rPr>
                <w:rFonts w:hint="eastAsia" w:cs="宋体"/>
                <w:color w:val="auto"/>
                <w:szCs w:val="24"/>
                <w:highlight w:val="none"/>
                <w:lang w:val="en-US" w:eastAsia="zh-CN"/>
              </w:rPr>
              <w:t>...</w:t>
            </w:r>
          </w:p>
        </w:tc>
        <w:tc>
          <w:tcPr>
            <w:tcW w:w="887" w:type="dxa"/>
            <w:tcBorders>
              <w:left w:val="single" w:color="auto" w:sz="4" w:space="0"/>
            </w:tcBorders>
            <w:shd w:val="clear" w:color="auto" w:fill="auto"/>
            <w:vAlign w:val="center"/>
          </w:tcPr>
          <w:p w14:paraId="17155495">
            <w:pPr>
              <w:spacing w:line="240" w:lineRule="atLeast"/>
              <w:ind w:left="-48" w:leftChars="-23" w:right="-65" w:rightChars="-31"/>
              <w:jc w:val="left"/>
              <w:rPr>
                <w:rFonts w:hint="eastAsia" w:eastAsia="宋体" w:cs="宋体"/>
                <w:color w:val="auto"/>
                <w:szCs w:val="24"/>
                <w:highlight w:val="none"/>
                <w:lang w:val="en-US" w:eastAsia="zh-CN"/>
              </w:rPr>
            </w:pPr>
          </w:p>
        </w:tc>
        <w:tc>
          <w:tcPr>
            <w:tcW w:w="1052" w:type="dxa"/>
            <w:tcBorders>
              <w:left w:val="single" w:color="auto" w:sz="4" w:space="0"/>
            </w:tcBorders>
            <w:shd w:val="clear" w:color="auto" w:fill="auto"/>
            <w:vAlign w:val="center"/>
          </w:tcPr>
          <w:p w14:paraId="3BA5F09A">
            <w:pPr>
              <w:spacing w:line="240" w:lineRule="atLeast"/>
              <w:ind w:left="-48" w:leftChars="-23" w:right="-65" w:rightChars="-31"/>
              <w:jc w:val="left"/>
              <w:rPr>
                <w:rFonts w:cs="宋体"/>
                <w:color w:val="auto"/>
                <w:szCs w:val="24"/>
                <w:highlight w:val="none"/>
              </w:rPr>
            </w:pPr>
          </w:p>
        </w:tc>
        <w:tc>
          <w:tcPr>
            <w:tcW w:w="780" w:type="dxa"/>
            <w:vMerge w:val="continue"/>
            <w:tcBorders>
              <w:left w:val="single" w:color="auto" w:sz="4" w:space="0"/>
            </w:tcBorders>
            <w:shd w:val="clear" w:color="auto" w:fill="auto"/>
            <w:vAlign w:val="center"/>
          </w:tcPr>
          <w:p w14:paraId="09298458">
            <w:pPr>
              <w:spacing w:line="240" w:lineRule="atLeast"/>
              <w:ind w:left="-48" w:leftChars="-23" w:right="-65" w:rightChars="-31"/>
              <w:jc w:val="left"/>
              <w:rPr>
                <w:rFonts w:cs="宋体"/>
                <w:color w:val="auto"/>
                <w:szCs w:val="24"/>
                <w:highlight w:val="none"/>
              </w:rPr>
            </w:pPr>
          </w:p>
        </w:tc>
        <w:tc>
          <w:tcPr>
            <w:tcW w:w="1019" w:type="dxa"/>
            <w:tcBorders>
              <w:left w:val="single" w:color="auto" w:sz="4" w:space="0"/>
            </w:tcBorders>
            <w:shd w:val="clear" w:color="auto" w:fill="auto"/>
            <w:vAlign w:val="center"/>
          </w:tcPr>
          <w:p w14:paraId="25FD0374">
            <w:pPr>
              <w:spacing w:line="240" w:lineRule="atLeast"/>
              <w:ind w:left="-48" w:leftChars="-23" w:right="-65" w:rightChars="-31"/>
              <w:jc w:val="left"/>
              <w:rPr>
                <w:rFonts w:cs="宋体"/>
                <w:color w:val="auto"/>
                <w:szCs w:val="24"/>
                <w:highlight w:val="none"/>
              </w:rPr>
            </w:pPr>
          </w:p>
        </w:tc>
      </w:tr>
      <w:tr w14:paraId="3B5ABA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6" w:type="dxa"/>
            <w:vMerge w:val="continue"/>
            <w:shd w:val="clear" w:color="auto" w:fill="auto"/>
            <w:vAlign w:val="center"/>
          </w:tcPr>
          <w:p w14:paraId="4D3417B0">
            <w:pPr>
              <w:tabs>
                <w:tab w:val="left" w:pos="61"/>
              </w:tabs>
              <w:jc w:val="center"/>
              <w:rPr>
                <w:color w:val="auto"/>
                <w:highlight w:val="none"/>
              </w:rPr>
            </w:pPr>
          </w:p>
        </w:tc>
        <w:tc>
          <w:tcPr>
            <w:tcW w:w="348" w:type="dxa"/>
            <w:vMerge w:val="continue"/>
            <w:shd w:val="clear" w:color="auto" w:fill="auto"/>
            <w:vAlign w:val="center"/>
          </w:tcPr>
          <w:p w14:paraId="1004572F">
            <w:pPr>
              <w:tabs>
                <w:tab w:val="left" w:pos="0"/>
                <w:tab w:val="left" w:pos="56"/>
              </w:tabs>
              <w:ind w:left="547" w:hanging="478" w:hangingChars="228"/>
              <w:jc w:val="center"/>
              <w:rPr>
                <w:color w:val="auto"/>
                <w:highlight w:val="none"/>
              </w:rPr>
            </w:pPr>
          </w:p>
        </w:tc>
        <w:tc>
          <w:tcPr>
            <w:tcW w:w="660" w:type="dxa"/>
            <w:vMerge w:val="continue"/>
            <w:shd w:val="clear" w:color="auto" w:fill="auto"/>
            <w:vAlign w:val="center"/>
          </w:tcPr>
          <w:p w14:paraId="0F652559">
            <w:pPr>
              <w:spacing w:line="240" w:lineRule="atLeast"/>
              <w:ind w:left="-48" w:leftChars="-23" w:right="-65" w:rightChars="-31"/>
              <w:jc w:val="left"/>
              <w:rPr>
                <w:rFonts w:cs="宋体"/>
                <w:color w:val="auto"/>
                <w:szCs w:val="24"/>
                <w:highlight w:val="none"/>
              </w:rPr>
            </w:pPr>
          </w:p>
        </w:tc>
        <w:tc>
          <w:tcPr>
            <w:tcW w:w="490" w:type="dxa"/>
            <w:vMerge w:val="continue"/>
            <w:tcBorders>
              <w:left w:val="single" w:color="auto" w:sz="4" w:space="0"/>
            </w:tcBorders>
            <w:shd w:val="clear" w:color="auto" w:fill="auto"/>
            <w:vAlign w:val="center"/>
          </w:tcPr>
          <w:p w14:paraId="206B1371">
            <w:pPr>
              <w:spacing w:line="240" w:lineRule="atLeast"/>
              <w:ind w:left="-48" w:leftChars="-23" w:right="-65" w:rightChars="-31"/>
              <w:jc w:val="left"/>
              <w:rPr>
                <w:rFonts w:cs="宋体"/>
                <w:color w:val="auto"/>
                <w:szCs w:val="24"/>
                <w:highlight w:val="none"/>
              </w:rPr>
            </w:pPr>
          </w:p>
        </w:tc>
        <w:tc>
          <w:tcPr>
            <w:tcW w:w="830" w:type="dxa"/>
            <w:vMerge w:val="continue"/>
            <w:tcBorders>
              <w:left w:val="single" w:color="auto" w:sz="4" w:space="0"/>
              <w:right w:val="single" w:color="auto" w:sz="4" w:space="0"/>
            </w:tcBorders>
            <w:shd w:val="clear" w:color="auto" w:fill="auto"/>
            <w:vAlign w:val="center"/>
          </w:tcPr>
          <w:p w14:paraId="4E18E8AD">
            <w:pPr>
              <w:spacing w:line="240" w:lineRule="atLeast"/>
              <w:ind w:left="-48" w:leftChars="-23" w:right="-65" w:rightChars="-31"/>
              <w:jc w:val="left"/>
              <w:rPr>
                <w:rFonts w:cs="宋体"/>
                <w:color w:val="auto"/>
                <w:szCs w:val="24"/>
                <w:highlight w:val="none"/>
              </w:rPr>
            </w:pPr>
          </w:p>
        </w:tc>
        <w:tc>
          <w:tcPr>
            <w:tcW w:w="1202" w:type="dxa"/>
            <w:tcBorders>
              <w:left w:val="single" w:color="auto" w:sz="4" w:space="0"/>
              <w:right w:val="single" w:color="auto" w:sz="4" w:space="0"/>
            </w:tcBorders>
            <w:vAlign w:val="center"/>
          </w:tcPr>
          <w:p w14:paraId="3640E66F">
            <w:pPr>
              <w:spacing w:line="240" w:lineRule="atLeast"/>
              <w:ind w:left="-48" w:leftChars="-23" w:right="-65" w:rightChars="-31"/>
              <w:jc w:val="left"/>
              <w:rPr>
                <w:rFonts w:hint="default" w:eastAsia="宋体" w:cs="宋体"/>
                <w:color w:val="auto"/>
                <w:szCs w:val="24"/>
                <w:highlight w:val="none"/>
                <w:lang w:val="en-US" w:eastAsia="zh-CN"/>
              </w:rPr>
            </w:pPr>
            <w:r>
              <w:rPr>
                <w:rFonts w:hint="eastAsia" w:cs="宋体"/>
                <w:color w:val="auto"/>
                <w:szCs w:val="24"/>
                <w:highlight w:val="none"/>
                <w:lang w:val="en-US" w:eastAsia="zh-CN"/>
              </w:rPr>
              <w:t>其他成本</w:t>
            </w:r>
          </w:p>
        </w:tc>
        <w:tc>
          <w:tcPr>
            <w:tcW w:w="972" w:type="dxa"/>
            <w:tcBorders>
              <w:left w:val="single" w:color="auto" w:sz="4" w:space="0"/>
            </w:tcBorders>
            <w:shd w:val="clear" w:color="auto" w:fill="auto"/>
            <w:vAlign w:val="center"/>
          </w:tcPr>
          <w:p w14:paraId="613D549D">
            <w:pPr>
              <w:spacing w:line="240" w:lineRule="atLeast"/>
              <w:ind w:left="-48" w:leftChars="-23" w:right="-65" w:rightChars="-31"/>
              <w:jc w:val="left"/>
              <w:rPr>
                <w:rFonts w:hint="eastAsia" w:eastAsia="宋体" w:cs="宋体"/>
                <w:color w:val="auto"/>
                <w:szCs w:val="24"/>
                <w:highlight w:val="none"/>
                <w:lang w:val="en-US" w:eastAsia="zh-CN"/>
              </w:rPr>
            </w:pPr>
          </w:p>
        </w:tc>
        <w:tc>
          <w:tcPr>
            <w:tcW w:w="887" w:type="dxa"/>
            <w:tcBorders>
              <w:left w:val="single" w:color="auto" w:sz="4" w:space="0"/>
            </w:tcBorders>
            <w:shd w:val="clear" w:color="auto" w:fill="auto"/>
            <w:vAlign w:val="center"/>
          </w:tcPr>
          <w:p w14:paraId="79BB732D">
            <w:pPr>
              <w:spacing w:line="240" w:lineRule="atLeast"/>
              <w:ind w:left="-48" w:leftChars="-23" w:right="-65" w:rightChars="-31"/>
              <w:jc w:val="left"/>
              <w:rPr>
                <w:rFonts w:hint="eastAsia" w:eastAsia="宋体" w:cs="宋体"/>
                <w:color w:val="auto"/>
                <w:szCs w:val="24"/>
                <w:highlight w:val="none"/>
                <w:lang w:val="en-US" w:eastAsia="zh-CN"/>
              </w:rPr>
            </w:pPr>
          </w:p>
        </w:tc>
        <w:tc>
          <w:tcPr>
            <w:tcW w:w="1052" w:type="dxa"/>
            <w:tcBorders>
              <w:left w:val="single" w:color="auto" w:sz="4" w:space="0"/>
            </w:tcBorders>
            <w:shd w:val="clear" w:color="auto" w:fill="auto"/>
            <w:vAlign w:val="center"/>
          </w:tcPr>
          <w:p w14:paraId="05F07820">
            <w:pPr>
              <w:spacing w:line="240" w:lineRule="atLeast"/>
              <w:ind w:left="-48" w:leftChars="-23" w:right="-65" w:rightChars="-31"/>
              <w:jc w:val="left"/>
              <w:rPr>
                <w:rFonts w:cs="宋体"/>
                <w:color w:val="auto"/>
                <w:szCs w:val="24"/>
                <w:highlight w:val="none"/>
              </w:rPr>
            </w:pPr>
          </w:p>
        </w:tc>
        <w:tc>
          <w:tcPr>
            <w:tcW w:w="780" w:type="dxa"/>
            <w:vMerge w:val="continue"/>
            <w:tcBorders>
              <w:left w:val="single" w:color="auto" w:sz="4" w:space="0"/>
            </w:tcBorders>
            <w:shd w:val="clear" w:color="auto" w:fill="auto"/>
            <w:vAlign w:val="center"/>
          </w:tcPr>
          <w:p w14:paraId="23972D73">
            <w:pPr>
              <w:spacing w:line="240" w:lineRule="atLeast"/>
              <w:ind w:left="-48" w:leftChars="-23" w:right="-65" w:rightChars="-31"/>
              <w:jc w:val="left"/>
              <w:rPr>
                <w:rFonts w:cs="宋体"/>
                <w:color w:val="auto"/>
                <w:szCs w:val="24"/>
                <w:highlight w:val="none"/>
              </w:rPr>
            </w:pPr>
          </w:p>
        </w:tc>
        <w:tc>
          <w:tcPr>
            <w:tcW w:w="1019" w:type="dxa"/>
            <w:tcBorders>
              <w:left w:val="single" w:color="auto" w:sz="4" w:space="0"/>
            </w:tcBorders>
            <w:shd w:val="clear" w:color="auto" w:fill="auto"/>
            <w:vAlign w:val="center"/>
          </w:tcPr>
          <w:p w14:paraId="7D88B071">
            <w:pPr>
              <w:spacing w:line="240" w:lineRule="atLeast"/>
              <w:ind w:left="-48" w:leftChars="-23" w:right="-65" w:rightChars="-31"/>
              <w:jc w:val="left"/>
              <w:rPr>
                <w:rFonts w:cs="宋体"/>
                <w:color w:val="auto"/>
                <w:szCs w:val="24"/>
                <w:highlight w:val="none"/>
              </w:rPr>
            </w:pPr>
          </w:p>
        </w:tc>
      </w:tr>
      <w:tr w14:paraId="2DDE3B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426" w:type="dxa"/>
            <w:shd w:val="clear" w:color="auto" w:fill="auto"/>
            <w:vAlign w:val="center"/>
          </w:tcPr>
          <w:p w14:paraId="74A749C9">
            <w:pPr>
              <w:tabs>
                <w:tab w:val="left" w:pos="61"/>
              </w:tabs>
              <w:jc w:val="center"/>
              <w:rPr>
                <w:rFonts w:hint="eastAsia" w:eastAsia="宋体"/>
                <w:color w:val="auto"/>
                <w:highlight w:val="none"/>
                <w:lang w:val="en-US" w:eastAsia="zh-CN"/>
              </w:rPr>
            </w:pPr>
            <w:r>
              <w:rPr>
                <w:rFonts w:hint="eastAsia"/>
                <w:color w:val="auto"/>
                <w:highlight w:val="none"/>
                <w:lang w:val="en-US" w:eastAsia="zh-CN"/>
              </w:rPr>
              <w:t>2</w:t>
            </w:r>
          </w:p>
        </w:tc>
        <w:tc>
          <w:tcPr>
            <w:tcW w:w="348" w:type="dxa"/>
            <w:shd w:val="clear" w:color="auto" w:fill="auto"/>
            <w:vAlign w:val="center"/>
          </w:tcPr>
          <w:p w14:paraId="457925D4">
            <w:pPr>
              <w:tabs>
                <w:tab w:val="left" w:pos="0"/>
                <w:tab w:val="left" w:pos="56"/>
              </w:tabs>
              <w:ind w:left="547" w:hanging="478" w:hangingChars="228"/>
              <w:jc w:val="center"/>
              <w:rPr>
                <w:color w:val="auto"/>
                <w:highlight w:val="none"/>
              </w:rPr>
            </w:pPr>
          </w:p>
        </w:tc>
        <w:tc>
          <w:tcPr>
            <w:tcW w:w="660" w:type="dxa"/>
            <w:shd w:val="clear" w:color="auto" w:fill="auto"/>
            <w:vAlign w:val="center"/>
          </w:tcPr>
          <w:p w14:paraId="7BA23C50">
            <w:pPr>
              <w:spacing w:line="240" w:lineRule="atLeast"/>
              <w:ind w:left="-48" w:leftChars="-23" w:right="-65" w:rightChars="-31"/>
              <w:jc w:val="left"/>
              <w:rPr>
                <w:rFonts w:cs="宋体"/>
                <w:color w:val="auto"/>
                <w:szCs w:val="24"/>
                <w:highlight w:val="none"/>
              </w:rPr>
            </w:pPr>
          </w:p>
        </w:tc>
        <w:tc>
          <w:tcPr>
            <w:tcW w:w="490" w:type="dxa"/>
            <w:tcBorders>
              <w:left w:val="single" w:color="auto" w:sz="4" w:space="0"/>
            </w:tcBorders>
            <w:shd w:val="clear" w:color="auto" w:fill="auto"/>
            <w:vAlign w:val="center"/>
          </w:tcPr>
          <w:p w14:paraId="35895D9F">
            <w:pPr>
              <w:spacing w:line="240" w:lineRule="atLeast"/>
              <w:ind w:left="-48" w:leftChars="-23" w:right="-65" w:rightChars="-31"/>
              <w:jc w:val="left"/>
              <w:rPr>
                <w:rFonts w:cs="宋体"/>
                <w:color w:val="auto"/>
                <w:szCs w:val="24"/>
                <w:highlight w:val="none"/>
              </w:rPr>
            </w:pPr>
          </w:p>
        </w:tc>
        <w:tc>
          <w:tcPr>
            <w:tcW w:w="830" w:type="dxa"/>
            <w:tcBorders>
              <w:left w:val="single" w:color="auto" w:sz="4" w:space="0"/>
              <w:right w:val="single" w:color="auto" w:sz="4" w:space="0"/>
            </w:tcBorders>
            <w:shd w:val="clear" w:color="auto" w:fill="auto"/>
            <w:vAlign w:val="center"/>
          </w:tcPr>
          <w:p w14:paraId="2E721AD4">
            <w:pPr>
              <w:spacing w:line="240" w:lineRule="atLeast"/>
              <w:ind w:left="-48" w:leftChars="-23" w:right="-65" w:rightChars="-31"/>
              <w:jc w:val="left"/>
              <w:rPr>
                <w:rFonts w:cs="宋体"/>
                <w:color w:val="auto"/>
                <w:szCs w:val="24"/>
                <w:highlight w:val="none"/>
              </w:rPr>
            </w:pPr>
          </w:p>
        </w:tc>
        <w:tc>
          <w:tcPr>
            <w:tcW w:w="1202" w:type="dxa"/>
            <w:tcBorders>
              <w:left w:val="single" w:color="auto" w:sz="4" w:space="0"/>
              <w:right w:val="single" w:color="auto" w:sz="4" w:space="0"/>
            </w:tcBorders>
          </w:tcPr>
          <w:p w14:paraId="67F07FE3">
            <w:pPr>
              <w:spacing w:line="240" w:lineRule="atLeast"/>
              <w:ind w:left="-48" w:leftChars="-23" w:right="-65" w:rightChars="-31"/>
              <w:jc w:val="left"/>
              <w:rPr>
                <w:rFonts w:hint="eastAsia" w:cs="宋体"/>
                <w:color w:val="auto"/>
                <w:szCs w:val="24"/>
                <w:highlight w:val="none"/>
              </w:rPr>
            </w:pPr>
          </w:p>
        </w:tc>
        <w:tc>
          <w:tcPr>
            <w:tcW w:w="972" w:type="dxa"/>
            <w:tcBorders>
              <w:left w:val="single" w:color="auto" w:sz="4" w:space="0"/>
            </w:tcBorders>
            <w:shd w:val="clear" w:color="auto" w:fill="auto"/>
            <w:vAlign w:val="center"/>
          </w:tcPr>
          <w:p w14:paraId="3B280940">
            <w:pPr>
              <w:spacing w:line="240" w:lineRule="atLeast"/>
              <w:ind w:left="-48" w:leftChars="-23" w:right="-65" w:rightChars="-31"/>
              <w:jc w:val="left"/>
              <w:rPr>
                <w:rFonts w:cs="宋体"/>
                <w:color w:val="auto"/>
                <w:szCs w:val="24"/>
                <w:highlight w:val="none"/>
              </w:rPr>
            </w:pPr>
          </w:p>
        </w:tc>
        <w:tc>
          <w:tcPr>
            <w:tcW w:w="887" w:type="dxa"/>
            <w:tcBorders>
              <w:left w:val="single" w:color="auto" w:sz="4" w:space="0"/>
            </w:tcBorders>
            <w:shd w:val="clear" w:color="auto" w:fill="auto"/>
            <w:vAlign w:val="center"/>
          </w:tcPr>
          <w:p w14:paraId="474173C9">
            <w:pPr>
              <w:spacing w:line="240" w:lineRule="atLeast"/>
              <w:ind w:left="-48" w:leftChars="-23" w:right="-65" w:rightChars="-31"/>
              <w:jc w:val="left"/>
              <w:rPr>
                <w:rFonts w:cs="宋体"/>
                <w:color w:val="auto"/>
                <w:szCs w:val="24"/>
                <w:highlight w:val="none"/>
              </w:rPr>
            </w:pPr>
          </w:p>
        </w:tc>
        <w:tc>
          <w:tcPr>
            <w:tcW w:w="1052" w:type="dxa"/>
            <w:tcBorders>
              <w:left w:val="single" w:color="auto" w:sz="4" w:space="0"/>
            </w:tcBorders>
            <w:shd w:val="clear" w:color="auto" w:fill="auto"/>
            <w:vAlign w:val="center"/>
          </w:tcPr>
          <w:p w14:paraId="7C4C379C">
            <w:pPr>
              <w:spacing w:line="240" w:lineRule="atLeast"/>
              <w:ind w:left="-48" w:leftChars="-23" w:right="-65" w:rightChars="-31"/>
              <w:jc w:val="left"/>
              <w:rPr>
                <w:rFonts w:cs="宋体"/>
                <w:color w:val="auto"/>
                <w:szCs w:val="24"/>
                <w:highlight w:val="none"/>
              </w:rPr>
            </w:pPr>
          </w:p>
        </w:tc>
        <w:tc>
          <w:tcPr>
            <w:tcW w:w="780" w:type="dxa"/>
            <w:tcBorders>
              <w:left w:val="single" w:color="auto" w:sz="4" w:space="0"/>
            </w:tcBorders>
            <w:shd w:val="clear" w:color="auto" w:fill="auto"/>
            <w:vAlign w:val="center"/>
          </w:tcPr>
          <w:p w14:paraId="042A37B4">
            <w:pPr>
              <w:spacing w:line="240" w:lineRule="atLeast"/>
              <w:ind w:left="-48" w:leftChars="-23" w:right="-65" w:rightChars="-31"/>
              <w:jc w:val="left"/>
              <w:rPr>
                <w:rFonts w:cs="宋体"/>
                <w:color w:val="auto"/>
                <w:szCs w:val="24"/>
                <w:highlight w:val="none"/>
              </w:rPr>
            </w:pPr>
          </w:p>
        </w:tc>
        <w:tc>
          <w:tcPr>
            <w:tcW w:w="1019" w:type="dxa"/>
            <w:tcBorders>
              <w:left w:val="single" w:color="auto" w:sz="4" w:space="0"/>
            </w:tcBorders>
            <w:shd w:val="clear" w:color="auto" w:fill="auto"/>
            <w:vAlign w:val="center"/>
          </w:tcPr>
          <w:p w14:paraId="797A91C2">
            <w:pPr>
              <w:spacing w:line="240" w:lineRule="atLeast"/>
              <w:ind w:left="-48" w:leftChars="-23" w:right="-65" w:rightChars="-31"/>
              <w:jc w:val="left"/>
              <w:rPr>
                <w:rFonts w:cs="宋体"/>
                <w:color w:val="auto"/>
                <w:szCs w:val="24"/>
                <w:highlight w:val="none"/>
              </w:rPr>
            </w:pPr>
          </w:p>
        </w:tc>
      </w:tr>
      <w:tr w14:paraId="3942E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4" w:hRule="atLeast"/>
          <w:jc w:val="center"/>
        </w:trPr>
        <w:tc>
          <w:tcPr>
            <w:tcW w:w="426" w:type="dxa"/>
            <w:tcBorders>
              <w:bottom w:val="single" w:color="auto" w:sz="4" w:space="0"/>
            </w:tcBorders>
            <w:shd w:val="clear" w:color="auto" w:fill="auto"/>
            <w:vAlign w:val="center"/>
          </w:tcPr>
          <w:p w14:paraId="168BAC3E">
            <w:pPr>
              <w:tabs>
                <w:tab w:val="left" w:pos="82"/>
              </w:tabs>
              <w:jc w:val="center"/>
              <w:rPr>
                <w:color w:val="auto"/>
                <w:highlight w:val="none"/>
              </w:rPr>
            </w:pPr>
            <w:r>
              <w:rPr>
                <w:rFonts w:hint="eastAsia"/>
                <w:color w:val="auto"/>
                <w:highlight w:val="none"/>
              </w:rPr>
              <w:t>…</w:t>
            </w:r>
          </w:p>
        </w:tc>
        <w:tc>
          <w:tcPr>
            <w:tcW w:w="348" w:type="dxa"/>
            <w:tcBorders>
              <w:bottom w:val="single" w:color="auto" w:sz="4" w:space="0"/>
            </w:tcBorders>
            <w:shd w:val="clear" w:color="auto" w:fill="auto"/>
            <w:vAlign w:val="center"/>
          </w:tcPr>
          <w:p w14:paraId="5D09BC7D">
            <w:pPr>
              <w:spacing w:line="240" w:lineRule="atLeast"/>
              <w:ind w:left="-48" w:leftChars="-23" w:right="-65" w:rightChars="-31"/>
              <w:jc w:val="left"/>
              <w:rPr>
                <w:rFonts w:cs="宋体"/>
                <w:color w:val="auto"/>
                <w:szCs w:val="24"/>
                <w:highlight w:val="none"/>
              </w:rPr>
            </w:pPr>
          </w:p>
        </w:tc>
        <w:tc>
          <w:tcPr>
            <w:tcW w:w="660" w:type="dxa"/>
            <w:tcBorders>
              <w:bottom w:val="single" w:color="auto" w:sz="4" w:space="0"/>
            </w:tcBorders>
            <w:shd w:val="clear" w:color="auto" w:fill="auto"/>
            <w:vAlign w:val="center"/>
          </w:tcPr>
          <w:p w14:paraId="4BB010B3">
            <w:pPr>
              <w:spacing w:line="240" w:lineRule="atLeast"/>
              <w:ind w:left="-48" w:leftChars="-23" w:right="-65" w:rightChars="-31"/>
              <w:jc w:val="left"/>
              <w:rPr>
                <w:rFonts w:cs="宋体"/>
                <w:color w:val="auto"/>
                <w:szCs w:val="24"/>
                <w:highlight w:val="none"/>
              </w:rPr>
            </w:pPr>
          </w:p>
        </w:tc>
        <w:tc>
          <w:tcPr>
            <w:tcW w:w="490" w:type="dxa"/>
            <w:tcBorders>
              <w:left w:val="single" w:color="auto" w:sz="4" w:space="0"/>
              <w:bottom w:val="single" w:color="auto" w:sz="4" w:space="0"/>
            </w:tcBorders>
            <w:shd w:val="clear" w:color="auto" w:fill="auto"/>
            <w:vAlign w:val="center"/>
          </w:tcPr>
          <w:p w14:paraId="198F73AF">
            <w:pPr>
              <w:spacing w:line="240" w:lineRule="atLeast"/>
              <w:ind w:left="-48" w:leftChars="-23" w:right="-65" w:rightChars="-31"/>
              <w:jc w:val="left"/>
              <w:rPr>
                <w:rFonts w:cs="宋体"/>
                <w:color w:val="auto"/>
                <w:szCs w:val="24"/>
                <w:highlight w:val="none"/>
              </w:rPr>
            </w:pPr>
          </w:p>
        </w:tc>
        <w:tc>
          <w:tcPr>
            <w:tcW w:w="830" w:type="dxa"/>
            <w:tcBorders>
              <w:left w:val="single" w:color="auto" w:sz="4" w:space="0"/>
              <w:bottom w:val="single" w:color="auto" w:sz="4" w:space="0"/>
              <w:right w:val="single" w:color="auto" w:sz="4" w:space="0"/>
            </w:tcBorders>
            <w:shd w:val="clear" w:color="auto" w:fill="auto"/>
            <w:vAlign w:val="center"/>
          </w:tcPr>
          <w:p w14:paraId="35803C52">
            <w:pPr>
              <w:spacing w:line="240" w:lineRule="atLeast"/>
              <w:ind w:left="-48" w:leftChars="-23" w:right="-65" w:rightChars="-31"/>
              <w:jc w:val="left"/>
              <w:rPr>
                <w:rFonts w:cs="宋体"/>
                <w:color w:val="auto"/>
                <w:szCs w:val="24"/>
                <w:highlight w:val="none"/>
              </w:rPr>
            </w:pPr>
          </w:p>
        </w:tc>
        <w:tc>
          <w:tcPr>
            <w:tcW w:w="1202" w:type="dxa"/>
            <w:tcBorders>
              <w:left w:val="single" w:color="auto" w:sz="4" w:space="0"/>
              <w:bottom w:val="single" w:color="auto" w:sz="4" w:space="0"/>
              <w:right w:val="single" w:color="auto" w:sz="4" w:space="0"/>
            </w:tcBorders>
          </w:tcPr>
          <w:p w14:paraId="749F0FF9">
            <w:pPr>
              <w:spacing w:line="240" w:lineRule="atLeast"/>
              <w:ind w:left="-48" w:leftChars="-23" w:right="-65" w:rightChars="-31"/>
              <w:jc w:val="left"/>
              <w:rPr>
                <w:rFonts w:cs="宋体"/>
                <w:color w:val="auto"/>
                <w:szCs w:val="24"/>
                <w:highlight w:val="none"/>
              </w:rPr>
            </w:pPr>
          </w:p>
        </w:tc>
        <w:tc>
          <w:tcPr>
            <w:tcW w:w="972" w:type="dxa"/>
            <w:tcBorders>
              <w:left w:val="single" w:color="auto" w:sz="4" w:space="0"/>
              <w:bottom w:val="single" w:color="auto" w:sz="4" w:space="0"/>
            </w:tcBorders>
            <w:shd w:val="clear" w:color="auto" w:fill="auto"/>
            <w:vAlign w:val="center"/>
          </w:tcPr>
          <w:p w14:paraId="25A23D48">
            <w:pPr>
              <w:spacing w:line="240" w:lineRule="atLeast"/>
              <w:ind w:left="-48" w:leftChars="-23" w:right="-65" w:rightChars="-31"/>
              <w:jc w:val="left"/>
              <w:rPr>
                <w:rFonts w:cs="宋体"/>
                <w:color w:val="auto"/>
                <w:szCs w:val="24"/>
                <w:highlight w:val="none"/>
              </w:rPr>
            </w:pPr>
          </w:p>
        </w:tc>
        <w:tc>
          <w:tcPr>
            <w:tcW w:w="887" w:type="dxa"/>
            <w:tcBorders>
              <w:left w:val="single" w:color="auto" w:sz="4" w:space="0"/>
              <w:bottom w:val="single" w:color="auto" w:sz="4" w:space="0"/>
            </w:tcBorders>
            <w:shd w:val="clear" w:color="auto" w:fill="auto"/>
            <w:vAlign w:val="center"/>
          </w:tcPr>
          <w:p w14:paraId="1E0961C3">
            <w:pPr>
              <w:spacing w:line="240" w:lineRule="atLeast"/>
              <w:ind w:left="-48" w:leftChars="-23" w:right="-65" w:rightChars="-31"/>
              <w:jc w:val="left"/>
              <w:rPr>
                <w:rFonts w:cs="宋体"/>
                <w:color w:val="auto"/>
                <w:szCs w:val="24"/>
                <w:highlight w:val="none"/>
              </w:rPr>
            </w:pPr>
          </w:p>
          <w:p w14:paraId="58C3F985">
            <w:pPr>
              <w:rPr>
                <w:color w:val="auto"/>
                <w:highlight w:val="none"/>
              </w:rPr>
            </w:pPr>
          </w:p>
        </w:tc>
        <w:tc>
          <w:tcPr>
            <w:tcW w:w="1052" w:type="dxa"/>
            <w:tcBorders>
              <w:left w:val="single" w:color="auto" w:sz="4" w:space="0"/>
              <w:bottom w:val="single" w:color="auto" w:sz="4" w:space="0"/>
            </w:tcBorders>
            <w:shd w:val="clear" w:color="auto" w:fill="auto"/>
            <w:vAlign w:val="center"/>
          </w:tcPr>
          <w:p w14:paraId="45E78C15">
            <w:pPr>
              <w:rPr>
                <w:color w:val="auto"/>
                <w:highlight w:val="none"/>
              </w:rPr>
            </w:pPr>
          </w:p>
        </w:tc>
        <w:tc>
          <w:tcPr>
            <w:tcW w:w="780" w:type="dxa"/>
            <w:tcBorders>
              <w:left w:val="single" w:color="auto" w:sz="4" w:space="0"/>
              <w:bottom w:val="single" w:color="auto" w:sz="4" w:space="0"/>
            </w:tcBorders>
            <w:shd w:val="clear" w:color="auto" w:fill="auto"/>
            <w:vAlign w:val="center"/>
          </w:tcPr>
          <w:p w14:paraId="759207C6">
            <w:pPr>
              <w:spacing w:line="240" w:lineRule="atLeast"/>
              <w:ind w:left="-48" w:leftChars="-23" w:right="-65" w:rightChars="-31"/>
              <w:jc w:val="left"/>
              <w:rPr>
                <w:rFonts w:cs="宋体"/>
                <w:color w:val="auto"/>
                <w:szCs w:val="24"/>
                <w:highlight w:val="none"/>
              </w:rPr>
            </w:pPr>
          </w:p>
        </w:tc>
        <w:tc>
          <w:tcPr>
            <w:tcW w:w="1019" w:type="dxa"/>
            <w:tcBorders>
              <w:left w:val="single" w:color="auto" w:sz="4" w:space="0"/>
              <w:bottom w:val="single" w:color="auto" w:sz="4" w:space="0"/>
            </w:tcBorders>
            <w:shd w:val="clear" w:color="auto" w:fill="auto"/>
            <w:vAlign w:val="center"/>
          </w:tcPr>
          <w:p w14:paraId="2FF9B451">
            <w:pPr>
              <w:spacing w:line="240" w:lineRule="atLeast"/>
              <w:ind w:left="-48" w:leftChars="-23" w:right="-65" w:rightChars="-31"/>
              <w:jc w:val="left"/>
              <w:rPr>
                <w:rFonts w:cs="宋体"/>
                <w:color w:val="auto"/>
                <w:szCs w:val="24"/>
                <w:highlight w:val="none"/>
              </w:rPr>
            </w:pPr>
          </w:p>
        </w:tc>
      </w:tr>
    </w:tbl>
    <w:p w14:paraId="03C23751">
      <w:pPr>
        <w:spacing w:line="360" w:lineRule="auto"/>
        <w:jc w:val="left"/>
        <w:rPr>
          <w:color w:val="auto"/>
          <w:szCs w:val="21"/>
          <w:highlight w:val="none"/>
        </w:rPr>
      </w:pPr>
    </w:p>
    <w:p w14:paraId="24A7669D">
      <w:pPr>
        <w:spacing w:line="360" w:lineRule="auto"/>
        <w:jc w:val="left"/>
        <w:rPr>
          <w:color w:val="auto"/>
          <w:szCs w:val="21"/>
          <w:highlight w:val="none"/>
        </w:rPr>
      </w:pPr>
      <w:r>
        <w:rPr>
          <w:rFonts w:hint="eastAsia"/>
          <w:color w:val="auto"/>
          <w:szCs w:val="21"/>
          <w:highlight w:val="none"/>
          <w:lang w:val="en-US" w:eastAsia="zh-CN"/>
        </w:rPr>
        <w:t>说明：项目具体成本测算等与报价合理性相关的书面说明及必要的证明材料，包括但不限于原材料成本、人工成本、制造费用等</w:t>
      </w:r>
    </w:p>
    <w:p w14:paraId="121ED59F">
      <w:pPr>
        <w:spacing w:line="360" w:lineRule="auto"/>
        <w:ind w:firstLine="6090" w:firstLineChars="2900"/>
        <w:jc w:val="left"/>
        <w:rPr>
          <w:color w:val="auto"/>
          <w:szCs w:val="21"/>
          <w:highlight w:val="none"/>
        </w:rPr>
      </w:pPr>
      <w:r>
        <w:rPr>
          <w:color w:val="auto"/>
          <w:szCs w:val="21"/>
          <w:highlight w:val="none"/>
        </w:rPr>
        <w:t>供应商名称（</w:t>
      </w:r>
      <w:r>
        <w:rPr>
          <w:rFonts w:hint="eastAsia"/>
          <w:color w:val="auto"/>
          <w:szCs w:val="21"/>
          <w:highlight w:val="none"/>
        </w:rPr>
        <w:t>电子签章</w:t>
      </w:r>
      <w:r>
        <w:rPr>
          <w:color w:val="auto"/>
          <w:szCs w:val="21"/>
          <w:highlight w:val="none"/>
        </w:rPr>
        <w:t>）：</w:t>
      </w:r>
      <w:r>
        <w:rPr>
          <w:color w:val="auto"/>
          <w:szCs w:val="21"/>
          <w:highlight w:val="none"/>
          <w:u w:val="single"/>
        </w:rPr>
        <w:t xml:space="preserve">                          </w:t>
      </w:r>
    </w:p>
    <w:p w14:paraId="0BBAC1D1">
      <w:pPr>
        <w:spacing w:line="360" w:lineRule="auto"/>
        <w:ind w:firstLine="6090" w:firstLineChars="2900"/>
        <w:jc w:val="left"/>
        <w:rPr>
          <w:color w:val="auto"/>
          <w:szCs w:val="21"/>
          <w:highlight w:val="none"/>
        </w:rPr>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r>
        <w:rPr>
          <w:color w:val="auto"/>
          <w:szCs w:val="21"/>
          <w:highlight w:val="none"/>
        </w:rPr>
        <w:t>日  期</w:t>
      </w:r>
      <w:r>
        <w:rPr>
          <w:rFonts w:hint="eastAsia" w:eastAsia="宋体"/>
          <w:color w:val="auto"/>
          <w:szCs w:val="21"/>
          <w:highlight w:val="none"/>
          <w:lang w:eastAsia="zh-CN"/>
        </w:rPr>
        <w:t>：</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日 </w:t>
      </w:r>
    </w:p>
    <w:p w14:paraId="5A619980">
      <w:pPr>
        <w:snapToGrid w:val="0"/>
        <w:spacing w:before="50" w:after="120" w:afterLines="50"/>
        <w:jc w:val="left"/>
        <w:outlineLvl w:val="1"/>
        <w:rPr>
          <w:color w:val="auto"/>
          <w:szCs w:val="21"/>
          <w:highlight w:val="none"/>
        </w:rPr>
      </w:pPr>
      <w:r>
        <w:rPr>
          <w:rFonts w:hint="eastAsia"/>
          <w:color w:val="auto"/>
          <w:szCs w:val="21"/>
          <w:highlight w:val="none"/>
          <w:lang w:val="en-US" w:eastAsia="zh-CN"/>
        </w:rPr>
        <w:t>4</w:t>
      </w:r>
      <w:r>
        <w:rPr>
          <w:rFonts w:hint="eastAsia"/>
          <w:color w:val="auto"/>
          <w:szCs w:val="21"/>
          <w:highlight w:val="none"/>
        </w:rPr>
        <w:t>.开标一览表</w:t>
      </w:r>
    </w:p>
    <w:p w14:paraId="44E46A69">
      <w:pPr>
        <w:widowControl/>
        <w:jc w:val="left"/>
        <w:rPr>
          <w:color w:val="auto"/>
          <w:szCs w:val="21"/>
          <w:highlight w:val="none"/>
        </w:rPr>
      </w:pPr>
    </w:p>
    <w:p w14:paraId="7B804764">
      <w:pPr>
        <w:widowControl/>
        <w:jc w:val="left"/>
        <w:rPr>
          <w:color w:val="auto"/>
          <w:szCs w:val="21"/>
          <w:highlight w:val="none"/>
        </w:rPr>
      </w:pPr>
    </w:p>
    <w:p w14:paraId="703EC160">
      <w:pPr>
        <w:widowControl/>
        <w:jc w:val="left"/>
        <w:rPr>
          <w:color w:val="auto"/>
          <w:szCs w:val="21"/>
          <w:highlight w:val="none"/>
        </w:rPr>
      </w:pPr>
    </w:p>
    <w:p w14:paraId="16F34686">
      <w:pPr>
        <w:rPr>
          <w:b/>
          <w:color w:val="auto"/>
          <w:szCs w:val="21"/>
          <w:highlight w:val="none"/>
        </w:rPr>
      </w:pPr>
    </w:p>
    <w:p w14:paraId="0C844C5B">
      <w:pPr>
        <w:rPr>
          <w:b/>
          <w:color w:val="auto"/>
          <w:szCs w:val="21"/>
          <w:highlight w:val="none"/>
        </w:rPr>
      </w:pPr>
    </w:p>
    <w:p w14:paraId="2B43DE08">
      <w:pPr>
        <w:rPr>
          <w:b/>
          <w:color w:val="auto"/>
          <w:szCs w:val="21"/>
          <w:highlight w:val="none"/>
        </w:rPr>
      </w:pPr>
      <w:r>
        <w:rPr>
          <w:rFonts w:hint="eastAsia"/>
          <w:b/>
          <w:color w:val="auto"/>
          <w:szCs w:val="21"/>
          <w:highlight w:val="none"/>
        </w:rPr>
        <w:t>格式详见广西政府采购云平台，且仅在广西政府采购云平台填写即可。</w:t>
      </w:r>
    </w:p>
    <w:p w14:paraId="5ED6FEAC">
      <w:pPr>
        <w:widowControl/>
        <w:jc w:val="left"/>
        <w:rPr>
          <w:color w:val="auto"/>
          <w:szCs w:val="21"/>
          <w:highlight w:val="none"/>
        </w:rPr>
      </w:pPr>
    </w:p>
    <w:bookmarkEnd w:id="111"/>
    <w:p w14:paraId="6BB20FFB">
      <w:pPr>
        <w:spacing w:line="360" w:lineRule="auto"/>
        <w:ind w:firstLine="420"/>
        <w:rPr>
          <w:rFonts w:hint="eastAsia"/>
          <w:color w:val="auto"/>
          <w:szCs w:val="21"/>
          <w:highlight w:val="none"/>
        </w:rPr>
      </w:pPr>
    </w:p>
    <w:p w14:paraId="1955D721">
      <w:pPr>
        <w:snapToGrid w:val="0"/>
        <w:spacing w:before="120" w:beforeLines="50" w:after="50" w:line="440" w:lineRule="exact"/>
        <w:jc w:val="left"/>
        <w:outlineLvl w:val="1"/>
        <w:rPr>
          <w:rFonts w:hint="eastAsia"/>
          <w:bCs/>
          <w:color w:val="auto"/>
          <w:sz w:val="24"/>
          <w:highlight w:val="none"/>
        </w:rPr>
      </w:pPr>
      <w:r>
        <w:rPr>
          <w:bCs/>
          <w:color w:val="auto"/>
          <w:sz w:val="24"/>
          <w:highlight w:val="none"/>
        </w:rPr>
        <w:t xml:space="preserve"> </w:t>
      </w:r>
    </w:p>
    <w:sectPr>
      <w:pgSz w:w="11906" w:h="16838"/>
      <w:pgMar w:top="1418" w:right="1133" w:bottom="1246"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827FA">
    <w:pPr>
      <w:pStyle w:val="31"/>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8EAA6">
    <w:pPr>
      <w:pStyle w:val="31"/>
      <w:framePr w:wrap="around" w:vAnchor="text" w:hAnchor="margin" w:xAlign="center" w:y="1"/>
      <w:rPr>
        <w:rStyle w:val="55"/>
      </w:rPr>
    </w:pPr>
    <w:r>
      <w:fldChar w:fldCharType="begin"/>
    </w:r>
    <w:r>
      <w:rPr>
        <w:rStyle w:val="55"/>
      </w:rPr>
      <w:instrText xml:space="preserve">PAGE  </w:instrText>
    </w:r>
    <w:r>
      <w:fldChar w:fldCharType="separate"/>
    </w:r>
    <w:r>
      <w:fldChar w:fldCharType="end"/>
    </w:r>
  </w:p>
  <w:p w14:paraId="2EBA90FB">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AA25D">
    <w:pPr>
      <w:pStyle w:val="31"/>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B5A76">
    <w:pPr>
      <w:pStyle w:val="31"/>
      <w:framePr w:wrap="around" w:vAnchor="text" w:hAnchor="margin" w:xAlign="center" w:y="1"/>
      <w:rPr>
        <w:rStyle w:val="55"/>
      </w:rPr>
    </w:pPr>
    <w:r>
      <w:fldChar w:fldCharType="begin"/>
    </w:r>
    <w:r>
      <w:rPr>
        <w:rStyle w:val="55"/>
      </w:rPr>
      <w:instrText xml:space="preserve">PAGE  </w:instrText>
    </w:r>
    <w:r>
      <w:fldChar w:fldCharType="separate"/>
    </w:r>
    <w:r>
      <w:rPr>
        <w:rStyle w:val="55"/>
      </w:rPr>
      <w:t>8</w:t>
    </w:r>
    <w:r>
      <w:fldChar w:fldCharType="end"/>
    </w:r>
  </w:p>
  <w:p w14:paraId="4070A0E3">
    <w:pPr>
      <w:pStyle w:val="31"/>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FBC9D">
    <w:pPr>
      <w:pStyle w:val="31"/>
      <w:jc w:val="center"/>
      <w:rPr>
        <w:rFonts w:hint="eastAsia"/>
      </w:rPr>
    </w:pPr>
    <w:r>
      <w:fldChar w:fldCharType="begin"/>
    </w:r>
    <w:r>
      <w:instrText xml:space="preserve">PAGE   \* MERGEFORMAT</w:instrText>
    </w:r>
    <w:r>
      <w:fldChar w:fldCharType="separate"/>
    </w:r>
    <w:r>
      <w:rPr>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94C0C">
    <w:pPr>
      <w:pStyle w:val="31"/>
      <w:jc w:val="center"/>
      <w:rPr>
        <w:rFonts w:hint="eastAsia"/>
      </w:rPr>
    </w:pPr>
    <w:r>
      <w:fldChar w:fldCharType="begin"/>
    </w:r>
    <w:r>
      <w:instrText xml:space="preserve">PAGE   \* MERGEFORMAT</w:instrText>
    </w:r>
    <w:r>
      <w:fldChar w:fldCharType="separate"/>
    </w:r>
    <w:r>
      <w:rPr>
        <w:lang w:val="zh-CN"/>
      </w:rPr>
      <w:t>7</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69FD7">
    <w:pPr>
      <w:pStyle w:val="31"/>
      <w:framePr w:wrap="around" w:vAnchor="text" w:hAnchor="margin" w:xAlign="center" w:y="1"/>
      <w:rPr>
        <w:rStyle w:val="55"/>
        <w:rFonts w:ascii="Times New Roman" w:hAnsi="Times New Roman" w:eastAsia="宋体" w:cs="Times New Roman"/>
      </w:rPr>
    </w:pPr>
    <w:r>
      <w:rPr>
        <w:rFonts w:ascii="Times New Roman" w:hAnsi="Times New Roman" w:eastAsia="宋体" w:cs="Times New Roman"/>
      </w:rPr>
      <w:fldChar w:fldCharType="begin"/>
    </w:r>
    <w:r>
      <w:rPr>
        <w:rStyle w:val="55"/>
        <w:rFonts w:ascii="Times New Roman" w:hAnsi="Times New Roman" w:eastAsia="宋体" w:cs="Times New Roman"/>
        <w:sz w:val="21"/>
        <w:szCs w:val="24"/>
      </w:rPr>
      <w:instrText xml:space="preserve">PAGE  </w:instrText>
    </w:r>
    <w:r>
      <w:rPr>
        <w:rFonts w:ascii="Times New Roman" w:hAnsi="Times New Roman" w:eastAsia="宋体" w:cs="Times New Roman"/>
      </w:rPr>
      <w:fldChar w:fldCharType="separate"/>
    </w:r>
    <w:r>
      <w:rPr>
        <w:rStyle w:val="55"/>
        <w:rFonts w:ascii="Times New Roman" w:hAnsi="Times New Roman" w:eastAsia="宋体" w:cs="Times New Roman"/>
        <w:sz w:val="21"/>
        <w:szCs w:val="24"/>
      </w:rPr>
      <w:t>57</w:t>
    </w:r>
    <w:r>
      <w:rPr>
        <w:rFonts w:ascii="Times New Roman" w:hAnsi="Times New Roman" w:eastAsia="宋体" w:cs="Times New Roman"/>
      </w:rPr>
      <w:fldChar w:fldCharType="end"/>
    </w:r>
  </w:p>
  <w:p w14:paraId="21427FAE">
    <w:pPr>
      <w:pStyle w:val="31"/>
      <w:jc w:val="right"/>
      <w:rPr>
        <w:rFonts w:ascii="Times New Roman" w:hAnsi="Times New Roman" w:eastAsia="宋体" w:cs="Times New Roman"/>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A47E5">
    <w:pPr>
      <w:pStyle w:val="31"/>
      <w:framePr w:wrap="around" w:vAnchor="text" w:hAnchor="margin" w:xAlign="center" w:y="1"/>
      <w:rPr>
        <w:rStyle w:val="55"/>
      </w:rPr>
    </w:pPr>
    <w:r>
      <w:fldChar w:fldCharType="begin"/>
    </w:r>
    <w:r>
      <w:rPr>
        <w:rStyle w:val="55"/>
      </w:rPr>
      <w:instrText xml:space="preserve">PAGE  </w:instrText>
    </w:r>
    <w:r>
      <w:fldChar w:fldCharType="separate"/>
    </w:r>
    <w:r>
      <w:rPr>
        <w:rStyle w:val="55"/>
      </w:rPr>
      <w:t>57</w:t>
    </w:r>
    <w:r>
      <w:fldChar w:fldCharType="end"/>
    </w:r>
  </w:p>
  <w:p w14:paraId="002256B9">
    <w:pPr>
      <w:pStyle w:val="31"/>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C53CF">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76E08">
    <w:pPr>
      <w:pStyle w:val="32"/>
      <w:jc w:val="left"/>
    </w:pPr>
    <w:r>
      <w:rPr>
        <w:rFonts w:hint="eastAsia"/>
      </w:rPr>
      <w:t xml:space="preserve">广西机电设备招标有限公司采购文件                                                               </w:t>
    </w:r>
  </w:p>
  <w:p w14:paraId="1422B0BD">
    <w:pPr>
      <w:pStyle w:val="3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5B48A">
    <w:pPr>
      <w:pStyle w:val="32"/>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4FA0D">
    <w:pPr>
      <w:pStyle w:val="32"/>
      <w:jc w:val="left"/>
    </w:pPr>
    <w:r>
      <w:rPr>
        <w:rFonts w:hint="eastAsia"/>
      </w:rPr>
      <w:t xml:space="preserve">广西机电设备招标有限公司采购文件                                                         </w:t>
    </w:r>
  </w:p>
  <w:p w14:paraId="0DBC70C6">
    <w:pPr>
      <w:pStyle w:val="32"/>
      <w:pBdr>
        <w:bottom w:val="none" w:color="auto" w:sz="0" w:space="0"/>
      </w:pBdr>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C15A9">
    <w:pPr>
      <w:pStyle w:val="32"/>
      <w:pBdr>
        <w:bottom w:val="single" w:color="auto" w:sz="6" w:space="0"/>
      </w:pBdr>
      <w:jc w:val="left"/>
    </w:pPr>
    <w:r>
      <w:rPr>
        <w:rFonts w:hint="eastAsia"/>
      </w:rPr>
      <w:t xml:space="preserve">广西机电设备招标有限公司采购文件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3EFDF">
    <w:pPr>
      <w:pStyle w:val="32"/>
      <w:jc w:val="left"/>
    </w:pPr>
    <w:r>
      <w:rPr>
        <w:rFonts w:hint="eastAsia"/>
      </w:rPr>
      <w:t xml:space="preserve">广西机电设备招标有限公司采购文件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0A8D3">
    <w:pPr>
      <w:pStyle w:val="32"/>
      <w:jc w:val="left"/>
    </w:pPr>
    <w:r>
      <w:rPr>
        <w:rFonts w:hint="eastAsia"/>
      </w:rPr>
      <w:t xml:space="preserve">广西机电设备招标有限公司采购文件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EB9A6">
    <w:pPr>
      <w:pStyle w:val="32"/>
      <w:jc w:val="left"/>
      <w:rPr>
        <w:rFonts w:hint="eastAsia"/>
      </w:rPr>
    </w:pPr>
    <w:r>
      <w:rPr>
        <w:rFonts w:hint="eastAsia"/>
      </w:rPr>
      <w:t xml:space="preserve">广西机电设备招标有限公司采购文件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9427E">
    <w:pPr>
      <w:rPr>
        <w:rFonts w:ascii="Times New Roman" w:hAnsi="Times New Roman" w:eastAsia="宋体" w:cs="Times New Roman"/>
        <w:sz w:val="18"/>
        <w:szCs w:val="18"/>
        <w:u w:val="single"/>
      </w:rPr>
    </w:pPr>
    <w:r>
      <w:rPr>
        <w:rFonts w:hint="eastAsia" w:ascii="Times New Roman" w:hAnsi="Times New Roman" w:eastAsia="宋体" w:cs="Times New Roman"/>
        <w:sz w:val="18"/>
        <w:szCs w:val="18"/>
        <w:u w:val="single"/>
      </w:rPr>
      <w:t xml:space="preserve">广西机电设备招标有限公司采购文件                                                       </w:t>
    </w:r>
    <w:r>
      <w:rPr>
        <w:rFonts w:ascii="Times New Roman" w:hAnsi="Times New Roman" w:eastAsia="宋体" w:cs="Times New Roman"/>
        <w:sz w:val="18"/>
        <w:szCs w:val="18"/>
        <w:u w:val="single"/>
      </w:rPr>
      <w:t xml:space="preserve">                                                          </w:t>
    </w:r>
    <w:r>
      <w:rPr>
        <w:rFonts w:hint="eastAsia" w:ascii="Times New Roman" w:hAnsi="Times New Roman" w:eastAsia="宋体" w:cs="Times New Roman"/>
        <w:sz w:val="18"/>
        <w:szCs w:val="18"/>
        <w:u w:val="single"/>
      </w:rPr>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27BF6">
    <w:pPr>
      <w:pStyle w:val="32"/>
      <w:jc w:val="left"/>
      <w:rPr>
        <w:rFonts w:hint="eastAsia"/>
      </w:rPr>
    </w:pPr>
    <w:r>
      <w:rPr>
        <w:rFonts w:hint="eastAsia"/>
      </w:rPr>
      <w:t xml:space="preserve">广西机电设备招标有限公司采购文件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D20B6">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B4522">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E6D80">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B026C45"/>
    <w:multiLevelType w:val="multilevel"/>
    <w:tmpl w:val="3B026C45"/>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E209D"/>
    <w:rsid w:val="05134A4B"/>
    <w:rsid w:val="0D003A53"/>
    <w:rsid w:val="139D413C"/>
    <w:rsid w:val="148F083B"/>
    <w:rsid w:val="1BA9476B"/>
    <w:rsid w:val="26712A32"/>
    <w:rsid w:val="33A53D1B"/>
    <w:rsid w:val="3A753C21"/>
    <w:rsid w:val="3AD17B7F"/>
    <w:rsid w:val="40FF5965"/>
    <w:rsid w:val="47704453"/>
    <w:rsid w:val="4A960E28"/>
    <w:rsid w:val="4FB54E8E"/>
    <w:rsid w:val="52C6295D"/>
    <w:rsid w:val="53E1126D"/>
    <w:rsid w:val="57EB1BFC"/>
    <w:rsid w:val="58A34925"/>
    <w:rsid w:val="5CF66847"/>
    <w:rsid w:val="613C540F"/>
    <w:rsid w:val="67BA0E3C"/>
    <w:rsid w:val="69215D47"/>
    <w:rsid w:val="6ACA3A8C"/>
    <w:rsid w:val="722D120D"/>
    <w:rsid w:val="7BA8088C"/>
    <w:rsid w:val="7DB366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qFormat/>
    <w:uiPriority w:val="9"/>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0"/>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1"/>
    <w:qFormat/>
    <w:uiPriority w:val="0"/>
    <w:pPr>
      <w:keepNext/>
      <w:keepLines/>
      <w:spacing w:before="260" w:beforeLines="0" w:after="260" w:afterLines="0" w:line="413" w:lineRule="auto"/>
      <w:outlineLvl w:val="2"/>
    </w:pPr>
    <w:rPr>
      <w:b/>
      <w:bCs/>
      <w:sz w:val="32"/>
      <w:szCs w:val="32"/>
    </w:rPr>
  </w:style>
  <w:style w:type="paragraph" w:styleId="5">
    <w:name w:val="heading 4"/>
    <w:basedOn w:val="1"/>
    <w:next w:val="1"/>
    <w:link w:val="62"/>
    <w:qFormat/>
    <w:uiPriority w:val="0"/>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6">
    <w:name w:val="heading 5"/>
    <w:basedOn w:val="1"/>
    <w:next w:val="7"/>
    <w:link w:val="63"/>
    <w:qFormat/>
    <w:uiPriority w:val="0"/>
    <w:pPr>
      <w:keepNext/>
      <w:keepLines/>
      <w:spacing w:before="280" w:after="290" w:line="372" w:lineRule="auto"/>
      <w:outlineLvl w:val="4"/>
    </w:pPr>
    <w:rPr>
      <w:b/>
      <w:sz w:val="28"/>
    </w:rPr>
  </w:style>
  <w:style w:type="paragraph" w:styleId="8">
    <w:name w:val="heading 6"/>
    <w:basedOn w:val="1"/>
    <w:next w:val="7"/>
    <w:link w:val="64"/>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7"/>
    <w:link w:val="65"/>
    <w:qFormat/>
    <w:uiPriority w:val="0"/>
    <w:pPr>
      <w:keepNext/>
      <w:keepLines/>
      <w:spacing w:before="240" w:after="64" w:line="317" w:lineRule="auto"/>
      <w:outlineLvl w:val="6"/>
    </w:pPr>
    <w:rPr>
      <w:b/>
      <w:sz w:val="24"/>
    </w:rPr>
  </w:style>
  <w:style w:type="paragraph" w:styleId="10">
    <w:name w:val="heading 8"/>
    <w:basedOn w:val="1"/>
    <w:next w:val="7"/>
    <w:link w:val="66"/>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7"/>
    <w:link w:val="67"/>
    <w:qFormat/>
    <w:uiPriority w:val="0"/>
    <w:pPr>
      <w:keepNext/>
      <w:keepLines/>
      <w:spacing w:before="240" w:after="64" w:line="317" w:lineRule="auto"/>
      <w:outlineLvl w:val="8"/>
    </w:pPr>
    <w:rPr>
      <w:rFonts w:ascii="Arial" w:hAnsi="Arial" w:eastAsia="黑体"/>
    </w:rPr>
  </w:style>
  <w:style w:type="character" w:default="1" w:styleId="53">
    <w:name w:val="Default Paragraph Font"/>
    <w:qFormat/>
    <w:uiPriority w:val="0"/>
  </w:style>
  <w:style w:type="table" w:default="1" w:styleId="51">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beforeLines="0" w:after="160" w:afterLines="0"/>
    </w:pPr>
    <w:rPr>
      <w:rFonts w:ascii="Arial" w:hAnsi="Arial" w:eastAsia="黑体" w:cs="Arial"/>
      <w:sz w:val="20"/>
      <w:szCs w:val="20"/>
    </w:rPr>
  </w:style>
  <w:style w:type="paragraph" w:styleId="16">
    <w:name w:val="Document Map"/>
    <w:basedOn w:val="1"/>
    <w:link w:val="68"/>
    <w:qFormat/>
    <w:uiPriority w:val="0"/>
    <w:pPr>
      <w:shd w:val="clear" w:color="auto" w:fill="000080"/>
      <w:adjustRightInd w:val="0"/>
      <w:spacing w:line="312" w:lineRule="atLeast"/>
      <w:textAlignment w:val="baseline"/>
    </w:pPr>
    <w:rPr>
      <w:kern w:val="0"/>
      <w:szCs w:val="20"/>
    </w:rPr>
  </w:style>
  <w:style w:type="paragraph" w:styleId="17">
    <w:name w:val="annotation text"/>
    <w:basedOn w:val="1"/>
    <w:link w:val="69"/>
    <w:qFormat/>
    <w:uiPriority w:val="0"/>
    <w:pPr>
      <w:jc w:val="left"/>
    </w:pPr>
  </w:style>
  <w:style w:type="paragraph" w:styleId="18">
    <w:name w:val="Body Text 3"/>
    <w:basedOn w:val="1"/>
    <w:link w:val="70"/>
    <w:qFormat/>
    <w:uiPriority w:val="0"/>
    <w:pPr>
      <w:spacing w:line="500" w:lineRule="exact"/>
    </w:pPr>
    <w:rPr>
      <w:b/>
      <w:bCs/>
      <w:sz w:val="24"/>
    </w:rPr>
  </w:style>
  <w:style w:type="paragraph" w:styleId="19">
    <w:name w:val="Body Text"/>
    <w:basedOn w:val="1"/>
    <w:link w:val="71"/>
    <w:qFormat/>
    <w:uiPriority w:val="99"/>
    <w:pPr>
      <w:spacing w:line="380" w:lineRule="exact"/>
    </w:pPr>
    <w:rPr>
      <w:sz w:val="24"/>
    </w:rPr>
  </w:style>
  <w:style w:type="paragraph" w:styleId="20">
    <w:name w:val="Body Text Indent"/>
    <w:basedOn w:val="1"/>
    <w:link w:val="72"/>
    <w:qFormat/>
    <w:uiPriority w:val="99"/>
    <w:pPr>
      <w:ind w:firstLine="830" w:firstLineChars="352"/>
    </w:pPr>
    <w:rPr>
      <w:rFonts w:ascii="仿宋_GB2312" w:eastAsia="仿宋_GB2312"/>
      <w:sz w:val="32"/>
      <w:szCs w:val="20"/>
    </w:rPr>
  </w:style>
  <w:style w:type="paragraph" w:styleId="21">
    <w:name w:val="List Number 3"/>
    <w:basedOn w:val="1"/>
    <w:qFormat/>
    <w:uiPriority w:val="0"/>
    <w:pPr>
      <w:tabs>
        <w:tab w:val="left" w:pos="1200"/>
      </w:tabs>
      <w:ind w:left="1200" w:leftChars="400" w:hanging="360" w:hangingChars="20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5">
    <w:name w:val="toc 3"/>
    <w:basedOn w:val="1"/>
    <w:next w:val="1"/>
    <w:qFormat/>
    <w:uiPriority w:val="39"/>
    <w:pPr>
      <w:ind w:left="840" w:leftChars="400"/>
    </w:pPr>
  </w:style>
  <w:style w:type="paragraph" w:styleId="26">
    <w:name w:val="Plain Text"/>
    <w:basedOn w:val="1"/>
    <w:link w:val="73"/>
    <w:qFormat/>
    <w:uiPriority w:val="0"/>
    <w:rPr>
      <w:rFonts w:ascii="宋体" w:hAnsi="Courier New" w:cs="Courier New"/>
      <w:szCs w:val="21"/>
    </w:rPr>
  </w:style>
  <w:style w:type="paragraph" w:styleId="27">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28">
    <w:name w:val="Date"/>
    <w:basedOn w:val="1"/>
    <w:next w:val="1"/>
    <w:link w:val="74"/>
    <w:qFormat/>
    <w:uiPriority w:val="0"/>
    <w:pPr>
      <w:ind w:left="100" w:leftChars="2500"/>
    </w:pPr>
    <w:rPr>
      <w:rFonts w:ascii="宋体" w:hAnsi="Courier New"/>
      <w:szCs w:val="21"/>
    </w:rPr>
  </w:style>
  <w:style w:type="paragraph" w:styleId="29">
    <w:name w:val="Body Text Indent 2"/>
    <w:basedOn w:val="1"/>
    <w:link w:val="75"/>
    <w:qFormat/>
    <w:uiPriority w:val="0"/>
    <w:pPr>
      <w:ind w:firstLine="630"/>
    </w:pPr>
    <w:rPr>
      <w:sz w:val="32"/>
      <w:szCs w:val="20"/>
    </w:rPr>
  </w:style>
  <w:style w:type="paragraph" w:styleId="30">
    <w:name w:val="Balloon Text"/>
    <w:basedOn w:val="1"/>
    <w:link w:val="76"/>
    <w:qFormat/>
    <w:uiPriority w:val="0"/>
    <w:rPr>
      <w:sz w:val="18"/>
      <w:szCs w:val="18"/>
    </w:rPr>
  </w:style>
  <w:style w:type="paragraph" w:styleId="31">
    <w:name w:val="footer"/>
    <w:basedOn w:val="1"/>
    <w:link w:val="77"/>
    <w:qFormat/>
    <w:uiPriority w:val="0"/>
    <w:pPr>
      <w:tabs>
        <w:tab w:val="center" w:pos="4153"/>
        <w:tab w:val="right" w:pos="8306"/>
      </w:tabs>
      <w:snapToGrid w:val="0"/>
      <w:jc w:val="left"/>
    </w:pPr>
    <w:rPr>
      <w:sz w:val="18"/>
      <w:szCs w:val="18"/>
    </w:rPr>
  </w:style>
  <w:style w:type="paragraph" w:styleId="32">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398"/>
      </w:tabs>
      <w:spacing w:before="120" w:beforeLines="0" w:after="120" w:afterLines="0"/>
      <w:ind w:firstLine="240" w:firstLineChars="100"/>
      <w:jc w:val="left"/>
    </w:pPr>
    <w:rPr>
      <w:rFonts w:ascii="宋体" w:hAnsi="宋体"/>
      <w:b/>
      <w:bCs/>
      <w:caps/>
      <w:sz w:val="24"/>
    </w:rPr>
  </w:style>
  <w:style w:type="paragraph" w:styleId="34">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37">
    <w:name w:val="List 5"/>
    <w:basedOn w:val="1"/>
    <w:qFormat/>
    <w:uiPriority w:val="0"/>
    <w:pPr>
      <w:ind w:left="2100" w:hanging="420"/>
    </w:pPr>
    <w:rPr>
      <w:szCs w:val="20"/>
    </w:rPr>
  </w:style>
  <w:style w:type="paragraph" w:styleId="38">
    <w:name w:val="Body Text Indent 3"/>
    <w:basedOn w:val="1"/>
    <w:link w:val="79"/>
    <w:qFormat/>
    <w:uiPriority w:val="0"/>
    <w:pPr>
      <w:spacing w:after="120" w:afterLines="0"/>
      <w:ind w:left="420" w:leftChars="200"/>
    </w:pPr>
    <w:rPr>
      <w:sz w:val="16"/>
      <w:szCs w:val="16"/>
    </w:rPr>
  </w:style>
  <w:style w:type="paragraph" w:styleId="39">
    <w:name w:val="toc 2"/>
    <w:basedOn w:val="1"/>
    <w:next w:val="1"/>
    <w:qFormat/>
    <w:uiPriority w:val="39"/>
    <w:pPr>
      <w:ind w:left="420" w:leftChars="200"/>
    </w:pPr>
  </w:style>
  <w:style w:type="paragraph" w:styleId="40">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1">
    <w:name w:val="Body Text 2"/>
    <w:basedOn w:val="1"/>
    <w:link w:val="80"/>
    <w:qFormat/>
    <w:uiPriority w:val="0"/>
    <w:pPr>
      <w:spacing w:after="120" w:afterLines="0" w:line="480" w:lineRule="auto"/>
    </w:pPr>
  </w:style>
  <w:style w:type="paragraph" w:styleId="42">
    <w:name w:val="List 4"/>
    <w:basedOn w:val="1"/>
    <w:qFormat/>
    <w:uiPriority w:val="0"/>
    <w:pPr>
      <w:ind w:left="100" w:leftChars="600" w:hanging="200" w:hangingChars="200"/>
    </w:pPr>
  </w:style>
  <w:style w:type="paragraph" w:styleId="43">
    <w:name w:val="List Continue 2"/>
    <w:basedOn w:val="1"/>
    <w:qFormat/>
    <w:uiPriority w:val="0"/>
    <w:pPr>
      <w:spacing w:after="120" w:afterLines="0"/>
      <w:ind w:left="840" w:leftChars="400"/>
    </w:pPr>
  </w:style>
  <w:style w:type="paragraph" w:styleId="44">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5">
    <w:name w:val="Normal (Web)"/>
    <w:basedOn w:val="1"/>
    <w:qFormat/>
    <w:uiPriority w:val="99"/>
    <w:pPr>
      <w:widowControl/>
      <w:spacing w:before="100" w:beforeLines="0" w:beforeAutospacing="1" w:after="100" w:afterLines="0" w:afterAutospacing="1"/>
      <w:jc w:val="left"/>
    </w:pPr>
    <w:rPr>
      <w:rFonts w:ascii="宋体" w:hAnsi="宋体"/>
      <w:kern w:val="0"/>
      <w:sz w:val="24"/>
    </w:rPr>
  </w:style>
  <w:style w:type="paragraph" w:styleId="46">
    <w:name w:val="index 1"/>
    <w:basedOn w:val="1"/>
    <w:next w:val="1"/>
    <w:qFormat/>
    <w:uiPriority w:val="0"/>
    <w:pPr>
      <w:spacing w:line="400" w:lineRule="exact"/>
      <w:ind w:firstLine="420" w:firstLineChars="200"/>
    </w:pPr>
    <w:rPr>
      <w:rFonts w:ascii="宋体" w:hAnsi="Courier New"/>
      <w:b/>
      <w:szCs w:val="20"/>
    </w:rPr>
  </w:style>
  <w:style w:type="paragraph" w:styleId="47">
    <w:name w:val="Title"/>
    <w:basedOn w:val="1"/>
    <w:link w:val="82"/>
    <w:qFormat/>
    <w:uiPriority w:val="0"/>
    <w:pPr>
      <w:jc w:val="center"/>
    </w:pPr>
    <w:rPr>
      <w:sz w:val="30"/>
    </w:rPr>
  </w:style>
  <w:style w:type="paragraph" w:styleId="48">
    <w:name w:val="annotation subject"/>
    <w:basedOn w:val="17"/>
    <w:next w:val="17"/>
    <w:link w:val="83"/>
    <w:qFormat/>
    <w:uiPriority w:val="0"/>
    <w:rPr>
      <w:b/>
      <w:bCs/>
    </w:rPr>
  </w:style>
  <w:style w:type="paragraph" w:styleId="49">
    <w:name w:val="Body Text First Indent"/>
    <w:basedOn w:val="19"/>
    <w:link w:val="84"/>
    <w:qFormat/>
    <w:uiPriority w:val="0"/>
    <w:pPr>
      <w:spacing w:after="120" w:afterLines="0" w:line="240" w:lineRule="auto"/>
      <w:ind w:firstLine="420" w:firstLineChars="100"/>
    </w:pPr>
    <w:rPr>
      <w:sz w:val="21"/>
    </w:rPr>
  </w:style>
  <w:style w:type="paragraph" w:styleId="50">
    <w:name w:val="Body Text First Indent 2"/>
    <w:basedOn w:val="20"/>
    <w:link w:val="85"/>
    <w:qFormat/>
    <w:uiPriority w:val="0"/>
    <w:pPr>
      <w:spacing w:after="120" w:afterLines="0"/>
      <w:ind w:left="420" w:leftChars="200" w:firstLine="420" w:firstLineChars="200"/>
    </w:pPr>
    <w:rPr>
      <w:rFonts w:ascii="Times New Roman" w:eastAsia="宋体"/>
      <w:sz w:val="21"/>
      <w:szCs w:val="24"/>
    </w:r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22"/>
    <w:rPr>
      <w:b/>
      <w:bCs/>
    </w:rPr>
  </w:style>
  <w:style w:type="character" w:styleId="55">
    <w:name w:val="page number"/>
    <w:basedOn w:val="53"/>
    <w:qFormat/>
    <w:uiPriority w:val="0"/>
  </w:style>
  <w:style w:type="character" w:styleId="56">
    <w:name w:val="FollowedHyperlink"/>
    <w:qFormat/>
    <w:uiPriority w:val="99"/>
    <w:rPr>
      <w:color w:val="800080"/>
      <w:u w:val="single"/>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1 Char"/>
    <w:link w:val="2"/>
    <w:qFormat/>
    <w:uiPriority w:val="9"/>
    <w:rPr>
      <w:rFonts w:eastAsia="宋体"/>
      <w:b/>
      <w:bCs/>
      <w:kern w:val="44"/>
      <w:sz w:val="44"/>
      <w:szCs w:val="44"/>
      <w:lang w:val="en-US" w:eastAsia="zh-CN" w:bidi="ar-SA"/>
    </w:rPr>
  </w:style>
  <w:style w:type="character" w:customStyle="1" w:styleId="60">
    <w:name w:val="标题 2 Char"/>
    <w:link w:val="3"/>
    <w:qFormat/>
    <w:uiPriority w:val="0"/>
    <w:rPr>
      <w:rFonts w:ascii="Arial" w:hAnsi="Arial" w:eastAsia="黑体"/>
      <w:b/>
      <w:bCs/>
      <w:kern w:val="2"/>
      <w:sz w:val="32"/>
      <w:szCs w:val="32"/>
    </w:rPr>
  </w:style>
  <w:style w:type="character" w:customStyle="1" w:styleId="61">
    <w:name w:val="标题 3 Char"/>
    <w:link w:val="4"/>
    <w:qFormat/>
    <w:uiPriority w:val="0"/>
    <w:rPr>
      <w:b/>
      <w:bCs/>
      <w:kern w:val="2"/>
      <w:sz w:val="32"/>
      <w:szCs w:val="32"/>
    </w:rPr>
  </w:style>
  <w:style w:type="character" w:customStyle="1" w:styleId="62">
    <w:name w:val="标题 4 Char"/>
    <w:link w:val="5"/>
    <w:qFormat/>
    <w:uiPriority w:val="0"/>
    <w:rPr>
      <w:rFonts w:ascii="Arial" w:hAnsi="Arial" w:eastAsia="黑体"/>
      <w:sz w:val="28"/>
    </w:rPr>
  </w:style>
  <w:style w:type="character" w:customStyle="1" w:styleId="63">
    <w:name w:val="标题 5 Char"/>
    <w:link w:val="6"/>
    <w:qFormat/>
    <w:uiPriority w:val="0"/>
    <w:rPr>
      <w:b/>
      <w:kern w:val="2"/>
      <w:sz w:val="28"/>
      <w:szCs w:val="24"/>
    </w:rPr>
  </w:style>
  <w:style w:type="character" w:customStyle="1" w:styleId="64">
    <w:name w:val="标题 6 Char"/>
    <w:link w:val="8"/>
    <w:qFormat/>
    <w:uiPriority w:val="0"/>
    <w:rPr>
      <w:rFonts w:ascii="Arial" w:hAnsi="Arial" w:eastAsia="黑体"/>
      <w:b/>
      <w:kern w:val="2"/>
      <w:sz w:val="24"/>
      <w:szCs w:val="24"/>
    </w:rPr>
  </w:style>
  <w:style w:type="character" w:customStyle="1" w:styleId="65">
    <w:name w:val="标题 7 Char"/>
    <w:link w:val="9"/>
    <w:qFormat/>
    <w:uiPriority w:val="0"/>
    <w:rPr>
      <w:b/>
      <w:kern w:val="2"/>
      <w:sz w:val="24"/>
      <w:szCs w:val="24"/>
    </w:rPr>
  </w:style>
  <w:style w:type="character" w:customStyle="1" w:styleId="66">
    <w:name w:val="标题 8 Char"/>
    <w:link w:val="10"/>
    <w:qFormat/>
    <w:uiPriority w:val="0"/>
    <w:rPr>
      <w:rFonts w:ascii="Arial" w:hAnsi="Arial" w:eastAsia="黑体"/>
      <w:kern w:val="2"/>
      <w:sz w:val="24"/>
      <w:szCs w:val="24"/>
    </w:rPr>
  </w:style>
  <w:style w:type="character" w:customStyle="1" w:styleId="67">
    <w:name w:val="标题 9 Char"/>
    <w:link w:val="11"/>
    <w:qFormat/>
    <w:uiPriority w:val="0"/>
    <w:rPr>
      <w:rFonts w:ascii="Arial" w:hAnsi="Arial" w:eastAsia="黑体"/>
      <w:kern w:val="2"/>
      <w:sz w:val="21"/>
      <w:szCs w:val="24"/>
    </w:rPr>
  </w:style>
  <w:style w:type="character" w:customStyle="1" w:styleId="68">
    <w:name w:val="文档结构图 Char"/>
    <w:link w:val="16"/>
    <w:qFormat/>
    <w:uiPriority w:val="0"/>
    <w:rPr>
      <w:sz w:val="21"/>
      <w:shd w:val="clear" w:color="auto" w:fill="000080"/>
    </w:rPr>
  </w:style>
  <w:style w:type="character" w:customStyle="1" w:styleId="69">
    <w:name w:val="批注文字 Char"/>
    <w:link w:val="17"/>
    <w:qFormat/>
    <w:uiPriority w:val="0"/>
    <w:rPr>
      <w:kern w:val="2"/>
      <w:sz w:val="21"/>
      <w:szCs w:val="24"/>
    </w:rPr>
  </w:style>
  <w:style w:type="character" w:customStyle="1" w:styleId="70">
    <w:name w:val="正文文本 3 Char"/>
    <w:link w:val="18"/>
    <w:qFormat/>
    <w:uiPriority w:val="0"/>
    <w:rPr>
      <w:b/>
      <w:bCs/>
      <w:kern w:val="2"/>
      <w:sz w:val="24"/>
      <w:szCs w:val="24"/>
    </w:rPr>
  </w:style>
  <w:style w:type="character" w:customStyle="1" w:styleId="71">
    <w:name w:val="正文文本 Char"/>
    <w:link w:val="19"/>
    <w:qFormat/>
    <w:uiPriority w:val="99"/>
    <w:rPr>
      <w:kern w:val="2"/>
      <w:sz w:val="24"/>
      <w:szCs w:val="24"/>
    </w:rPr>
  </w:style>
  <w:style w:type="character" w:customStyle="1" w:styleId="72">
    <w:name w:val="正文文本缩进 Char"/>
    <w:link w:val="20"/>
    <w:qFormat/>
    <w:uiPriority w:val="99"/>
    <w:rPr>
      <w:rFonts w:ascii="仿宋_GB2312" w:eastAsia="仿宋_GB2312"/>
      <w:kern w:val="2"/>
      <w:sz w:val="32"/>
    </w:rPr>
  </w:style>
  <w:style w:type="character" w:customStyle="1" w:styleId="73">
    <w:name w:val="纯文本 Char"/>
    <w:link w:val="26"/>
    <w:qFormat/>
    <w:uiPriority w:val="99"/>
    <w:rPr>
      <w:rFonts w:ascii="宋体" w:hAnsi="Courier New" w:eastAsia="宋体" w:cs="Courier New"/>
      <w:kern w:val="2"/>
      <w:sz w:val="21"/>
      <w:szCs w:val="21"/>
      <w:lang w:val="en-US" w:eastAsia="zh-CN" w:bidi="ar-SA"/>
    </w:rPr>
  </w:style>
  <w:style w:type="character" w:customStyle="1" w:styleId="74">
    <w:name w:val="日期 Char"/>
    <w:link w:val="28"/>
    <w:qFormat/>
    <w:uiPriority w:val="0"/>
    <w:rPr>
      <w:rFonts w:ascii="宋体" w:hAnsi="Courier New" w:cs="Courier New"/>
      <w:kern w:val="2"/>
      <w:sz w:val="21"/>
      <w:szCs w:val="21"/>
    </w:rPr>
  </w:style>
  <w:style w:type="character" w:customStyle="1" w:styleId="75">
    <w:name w:val="正文文本缩进 2 Char"/>
    <w:link w:val="29"/>
    <w:qFormat/>
    <w:uiPriority w:val="0"/>
    <w:rPr>
      <w:kern w:val="2"/>
      <w:sz w:val="32"/>
    </w:rPr>
  </w:style>
  <w:style w:type="character" w:customStyle="1" w:styleId="76">
    <w:name w:val="批注框文本 Char"/>
    <w:link w:val="30"/>
    <w:qFormat/>
    <w:uiPriority w:val="0"/>
    <w:rPr>
      <w:kern w:val="2"/>
      <w:sz w:val="18"/>
      <w:szCs w:val="18"/>
    </w:rPr>
  </w:style>
  <w:style w:type="character" w:customStyle="1" w:styleId="77">
    <w:name w:val="页脚 Char"/>
    <w:link w:val="31"/>
    <w:qFormat/>
    <w:uiPriority w:val="0"/>
    <w:rPr>
      <w:kern w:val="2"/>
      <w:sz w:val="18"/>
      <w:szCs w:val="18"/>
    </w:rPr>
  </w:style>
  <w:style w:type="character" w:customStyle="1" w:styleId="78">
    <w:name w:val="页眉 Char"/>
    <w:link w:val="32"/>
    <w:qFormat/>
    <w:uiPriority w:val="99"/>
    <w:rPr>
      <w:kern w:val="2"/>
      <w:sz w:val="18"/>
      <w:szCs w:val="18"/>
    </w:rPr>
  </w:style>
  <w:style w:type="character" w:customStyle="1" w:styleId="79">
    <w:name w:val="正文文本缩进 3 Char"/>
    <w:link w:val="38"/>
    <w:qFormat/>
    <w:uiPriority w:val="0"/>
    <w:rPr>
      <w:kern w:val="2"/>
      <w:sz w:val="16"/>
      <w:szCs w:val="16"/>
    </w:rPr>
  </w:style>
  <w:style w:type="character" w:customStyle="1" w:styleId="80">
    <w:name w:val="正文文本 2 Char"/>
    <w:link w:val="41"/>
    <w:qFormat/>
    <w:uiPriority w:val="0"/>
    <w:rPr>
      <w:kern w:val="2"/>
      <w:sz w:val="21"/>
      <w:szCs w:val="24"/>
    </w:rPr>
  </w:style>
  <w:style w:type="character" w:customStyle="1" w:styleId="81">
    <w:name w:val="HTML 预设格式 Char"/>
    <w:link w:val="44"/>
    <w:qFormat/>
    <w:uiPriority w:val="0"/>
    <w:rPr>
      <w:rFonts w:ascii="黑体" w:hAnsi="Courier New" w:eastAsia="黑体" w:cs="Courier New"/>
    </w:rPr>
  </w:style>
  <w:style w:type="character" w:customStyle="1" w:styleId="82">
    <w:name w:val="标题 Char"/>
    <w:link w:val="47"/>
    <w:qFormat/>
    <w:uiPriority w:val="0"/>
    <w:rPr>
      <w:kern w:val="2"/>
      <w:sz w:val="30"/>
      <w:szCs w:val="24"/>
    </w:rPr>
  </w:style>
  <w:style w:type="character" w:customStyle="1" w:styleId="83">
    <w:name w:val="批注主题 Char"/>
    <w:link w:val="48"/>
    <w:qFormat/>
    <w:uiPriority w:val="0"/>
    <w:rPr>
      <w:b/>
      <w:bCs/>
      <w:kern w:val="2"/>
      <w:sz w:val="21"/>
      <w:szCs w:val="24"/>
    </w:rPr>
  </w:style>
  <w:style w:type="character" w:customStyle="1" w:styleId="84">
    <w:name w:val="正文首行缩进 Char"/>
    <w:link w:val="49"/>
    <w:qFormat/>
    <w:uiPriority w:val="0"/>
    <w:rPr>
      <w:kern w:val="2"/>
      <w:sz w:val="21"/>
      <w:szCs w:val="24"/>
    </w:rPr>
  </w:style>
  <w:style w:type="character" w:customStyle="1" w:styleId="85">
    <w:name w:val="正文首行缩进 2 Char"/>
    <w:link w:val="50"/>
    <w:qFormat/>
    <w:uiPriority w:val="0"/>
    <w:rPr>
      <w:kern w:val="2"/>
      <w:sz w:val="21"/>
      <w:szCs w:val="24"/>
    </w:rPr>
  </w:style>
  <w:style w:type="character" w:customStyle="1" w:styleId="86">
    <w:name w:val="style11"/>
    <w:qFormat/>
    <w:uiPriority w:val="0"/>
    <w:rPr>
      <w:rFonts w:hint="default" w:ascii="Arial" w:hAnsi="Arial" w:cs="Arial"/>
    </w:rPr>
  </w:style>
  <w:style w:type="character" w:customStyle="1" w:styleId="87">
    <w:name w:val="short_text1"/>
    <w:qFormat/>
    <w:uiPriority w:val="0"/>
    <w:rPr>
      <w:sz w:val="26"/>
    </w:rPr>
  </w:style>
  <w:style w:type="character" w:customStyle="1" w:styleId="88">
    <w:name w:val="white"/>
    <w:basedOn w:val="53"/>
    <w:qFormat/>
    <w:uiPriority w:val="0"/>
  </w:style>
  <w:style w:type="character" w:customStyle="1" w:styleId="89">
    <w:name w:val="text11"/>
    <w:qFormat/>
    <w:uiPriority w:val="0"/>
    <w:rPr>
      <w:rFonts w:hint="default" w:ascii="Verdana" w:hAnsi="Verdana"/>
      <w:color w:val="4E4E4E"/>
      <w:sz w:val="18"/>
      <w:szCs w:val="18"/>
    </w:rPr>
  </w:style>
  <w:style w:type="character" w:customStyle="1" w:styleId="90">
    <w:name w:val="mark8"/>
    <w:qFormat/>
    <w:uiPriority w:val="0"/>
    <w:rPr>
      <w:b/>
      <w:bCs/>
      <w:sz w:val="21"/>
      <w:szCs w:val="21"/>
    </w:rPr>
  </w:style>
  <w:style w:type="character" w:customStyle="1" w:styleId="91">
    <w:name w:val="纯文本 Char1"/>
    <w:qFormat/>
    <w:uiPriority w:val="0"/>
    <w:rPr>
      <w:rFonts w:ascii="宋体" w:hAnsi="Courier New" w:eastAsia="宋体" w:cs="Courier New"/>
      <w:kern w:val="2"/>
      <w:sz w:val="21"/>
      <w:szCs w:val="21"/>
      <w:lang w:val="en-US" w:eastAsia="zh-CN" w:bidi="ar-SA"/>
    </w:rPr>
  </w:style>
  <w:style w:type="character" w:customStyle="1" w:styleId="92">
    <w:name w:val="f151"/>
    <w:qFormat/>
    <w:uiPriority w:val="0"/>
    <w:rPr>
      <w:sz w:val="23"/>
      <w:szCs w:val="23"/>
    </w:rPr>
  </w:style>
  <w:style w:type="character" w:customStyle="1" w:styleId="93">
    <w:name w:val="062"/>
    <w:qFormat/>
    <w:uiPriority w:val="0"/>
    <w:rPr>
      <w:rFonts w:ascii="宋体" w:hAnsi="宋体"/>
      <w:b/>
      <w:bCs/>
      <w:sz w:val="32"/>
    </w:rPr>
  </w:style>
  <w:style w:type="character" w:customStyle="1" w:styleId="94">
    <w:name w:val="gray12"/>
    <w:basedOn w:val="53"/>
    <w:qFormat/>
    <w:uiPriority w:val="0"/>
  </w:style>
  <w:style w:type="character" w:customStyle="1" w:styleId="95">
    <w:name w:val="1ji Char"/>
    <w:link w:val="96"/>
    <w:qFormat/>
    <w:uiPriority w:val="0"/>
    <w:rPr>
      <w:rFonts w:ascii="宋体" w:hAnsi="宋体" w:eastAsia="宋体"/>
      <w:b/>
      <w:bCs/>
      <w:kern w:val="44"/>
      <w:sz w:val="36"/>
      <w:szCs w:val="44"/>
      <w:lang w:val="en-US" w:eastAsia="zh-CN" w:bidi="ar-SA"/>
    </w:rPr>
  </w:style>
  <w:style w:type="paragraph" w:customStyle="1" w:styleId="96">
    <w:name w:val="1ji"/>
    <w:basedOn w:val="2"/>
    <w:link w:val="95"/>
    <w:qFormat/>
    <w:uiPriority w:val="0"/>
    <w:pPr>
      <w:keepLines w:val="0"/>
      <w:widowControl/>
      <w:spacing w:before="0" w:beforeLines="0" w:after="0" w:afterLines="0" w:line="240" w:lineRule="auto"/>
      <w:jc w:val="center"/>
    </w:pPr>
    <w:rPr>
      <w:rFonts w:ascii="宋体" w:hAnsi="宋体"/>
      <w:sz w:val="36"/>
    </w:rPr>
  </w:style>
  <w:style w:type="character" w:customStyle="1" w:styleId="97">
    <w:name w:val="font01"/>
    <w:qFormat/>
    <w:uiPriority w:val="0"/>
    <w:rPr>
      <w:rFonts w:hint="eastAsia" w:ascii="宋体" w:hAnsi="宋体" w:eastAsia="宋体"/>
      <w:color w:val="000000"/>
      <w:sz w:val="22"/>
      <w:szCs w:val="22"/>
      <w:u w:val="none"/>
    </w:rPr>
  </w:style>
  <w:style w:type="character" w:customStyle="1" w:styleId="98">
    <w:name w:val="small"/>
    <w:basedOn w:val="53"/>
    <w:qFormat/>
    <w:uiPriority w:val="0"/>
  </w:style>
  <w:style w:type="character" w:customStyle="1" w:styleId="99">
    <w:name w:val="apple-converted-space"/>
    <w:qFormat/>
    <w:uiPriority w:val="0"/>
  </w:style>
  <w:style w:type="character" w:customStyle="1" w:styleId="100">
    <w:name w:val="case31"/>
    <w:qFormat/>
    <w:uiPriority w:val="0"/>
    <w:rPr>
      <w:rFonts w:hint="default" w:ascii="_x000B__x000C_" w:hAnsi="_x000B__x000C_"/>
      <w:sz w:val="21"/>
      <w:szCs w:val="21"/>
    </w:rPr>
  </w:style>
  <w:style w:type="character" w:customStyle="1" w:styleId="101">
    <w:name w:val="graytext1"/>
    <w:qFormat/>
    <w:uiPriority w:val="0"/>
    <w:rPr>
      <w:color w:val="666666"/>
    </w:rPr>
  </w:style>
  <w:style w:type="character" w:customStyle="1" w:styleId="102">
    <w:name w:val="标题3 Char"/>
    <w:link w:val="103"/>
    <w:qFormat/>
    <w:uiPriority w:val="0"/>
    <w:rPr>
      <w:rFonts w:ascii="宋体" w:hAnsi="宋体"/>
      <w:b/>
      <w:bCs/>
      <w:kern w:val="44"/>
      <w:sz w:val="24"/>
      <w:szCs w:val="24"/>
    </w:rPr>
  </w:style>
  <w:style w:type="paragraph" w:customStyle="1" w:styleId="103">
    <w:name w:val="标题3"/>
    <w:basedOn w:val="2"/>
    <w:link w:val="102"/>
    <w:qFormat/>
    <w:uiPriority w:val="0"/>
    <w:pPr>
      <w:spacing w:before="0" w:beforeLines="50" w:after="0" w:afterLines="50" w:line="400" w:lineRule="exact"/>
    </w:pPr>
    <w:rPr>
      <w:rFonts w:ascii="宋体" w:hAnsi="宋体"/>
      <w:sz w:val="24"/>
      <w:szCs w:val="24"/>
    </w:rPr>
  </w:style>
  <w:style w:type="character" w:customStyle="1" w:styleId="104">
    <w:name w:val="1051"/>
    <w:qFormat/>
    <w:uiPriority w:val="0"/>
    <w:rPr>
      <w:sz w:val="21"/>
      <w:szCs w:val="21"/>
    </w:rPr>
  </w:style>
  <w:style w:type="character" w:customStyle="1" w:styleId="105">
    <w:name w:val="content2"/>
    <w:basedOn w:val="53"/>
    <w:qFormat/>
    <w:uiPriority w:val="0"/>
  </w:style>
  <w:style w:type="character" w:customStyle="1" w:styleId="106">
    <w:name w:val="z-窗体顶端 Char"/>
    <w:link w:val="107"/>
    <w:qFormat/>
    <w:uiPriority w:val="0"/>
    <w:rPr>
      <w:rFonts w:ascii="Arial"/>
      <w:vanish/>
      <w:kern w:val="2"/>
      <w:sz w:val="16"/>
      <w:szCs w:val="24"/>
    </w:rPr>
  </w:style>
  <w:style w:type="paragraph" w:customStyle="1" w:styleId="107">
    <w:name w:val="_Style 106"/>
    <w:basedOn w:val="1"/>
    <w:next w:val="1"/>
    <w:link w:val="106"/>
    <w:qFormat/>
    <w:uiPriority w:val="0"/>
    <w:pPr>
      <w:pBdr>
        <w:bottom w:val="single" w:color="auto" w:sz="6" w:space="1"/>
      </w:pBdr>
      <w:jc w:val="center"/>
    </w:pPr>
    <w:rPr>
      <w:rFonts w:ascii="Arial"/>
      <w:vanish/>
      <w:sz w:val="16"/>
    </w:rPr>
  </w:style>
  <w:style w:type="character" w:customStyle="1" w:styleId="108">
    <w:name w:val="unnamed3"/>
    <w:basedOn w:val="53"/>
    <w:qFormat/>
    <w:uiPriority w:val="0"/>
  </w:style>
  <w:style w:type="character" w:customStyle="1" w:styleId="109">
    <w:name w:val="批注文字 Char2"/>
    <w:qFormat/>
    <w:uiPriority w:val="0"/>
    <w:rPr>
      <w:kern w:val="2"/>
      <w:sz w:val="21"/>
      <w:szCs w:val="24"/>
      <w:lang w:bidi="ar-SA"/>
    </w:rPr>
  </w:style>
  <w:style w:type="character" w:customStyle="1" w:styleId="110">
    <w:name w:val="style21"/>
    <w:qFormat/>
    <w:uiPriority w:val="0"/>
    <w:rPr>
      <w:sz w:val="17"/>
      <w:szCs w:val="17"/>
    </w:rPr>
  </w:style>
  <w:style w:type="paragraph" w:customStyle="1" w:styleId="111">
    <w:name w:val="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12">
    <w:name w:val="Char1"/>
    <w:basedOn w:val="1"/>
    <w:qFormat/>
    <w:uiPriority w:val="0"/>
    <w:rPr>
      <w:szCs w:val="21"/>
    </w:rPr>
  </w:style>
  <w:style w:type="paragraph" w:customStyle="1" w:styleId="11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
    <w:name w:val="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115">
    <w:name w:val="xl21"/>
    <w:basedOn w:val="1"/>
    <w:qFormat/>
    <w:uiPriority w:val="0"/>
    <w:pPr>
      <w:widowControl/>
      <w:spacing w:before="100" w:beforeLines="0" w:beforeAutospacing="1" w:after="100" w:afterLines="0" w:afterAutospacing="1"/>
      <w:jc w:val="center"/>
    </w:pPr>
    <w:rPr>
      <w:rFonts w:ascii="宋体" w:hAnsi="宋体"/>
      <w:b/>
      <w:bCs/>
      <w:kern w:val="0"/>
      <w:sz w:val="28"/>
      <w:szCs w:val="28"/>
    </w:rPr>
  </w:style>
  <w:style w:type="paragraph" w:customStyle="1" w:styleId="116">
    <w:name w:val="List Paragraph1"/>
    <w:basedOn w:val="1"/>
    <w:qFormat/>
    <w:uiPriority w:val="0"/>
    <w:pPr>
      <w:ind w:firstLine="420" w:firstLineChars="200"/>
    </w:pPr>
    <w:rPr>
      <w:rFonts w:ascii="Calibri" w:hAnsi="Calibri"/>
      <w:szCs w:val="22"/>
    </w:rPr>
  </w:style>
  <w:style w:type="paragraph" w:customStyle="1" w:styleId="117">
    <w:name w:val="List Paragraph"/>
    <w:basedOn w:val="1"/>
    <w:qFormat/>
    <w:uiPriority w:val="34"/>
    <w:pPr>
      <w:ind w:firstLine="420" w:firstLineChars="200"/>
    </w:pPr>
    <w:rPr>
      <w:rFonts w:ascii="Calibri" w:hAnsi="Calibri"/>
      <w:szCs w:val="22"/>
    </w:rPr>
  </w:style>
  <w:style w:type="paragraph" w:customStyle="1" w:styleId="118">
    <w:name w:val=" Char Char Char Char Char Char Char"/>
    <w:basedOn w:val="1"/>
    <w:qFormat/>
    <w:uiPriority w:val="0"/>
  </w:style>
  <w:style w:type="paragraph" w:customStyle="1" w:styleId="119">
    <w:name w:val=" Char"/>
    <w:basedOn w:val="1"/>
    <w:qFormat/>
    <w:uiPriority w:val="0"/>
    <w:pPr>
      <w:tabs>
        <w:tab w:val="left" w:pos="360"/>
      </w:tabs>
      <w:ind w:left="252" w:hanging="252" w:hangingChars="140"/>
    </w:pPr>
    <w:rPr>
      <w:rFonts w:ascii="宋体"/>
      <w:sz w:val="18"/>
      <w:szCs w:val="18"/>
    </w:rPr>
  </w:style>
  <w:style w:type="paragraph" w:customStyle="1" w:styleId="120">
    <w:name w:val="次小点说明 Char"/>
    <w:basedOn w:val="7"/>
    <w:qFormat/>
    <w:uiPriority w:val="0"/>
    <w:pPr>
      <w:ind w:firstLine="0"/>
    </w:pPr>
    <w:rPr>
      <w:sz w:val="24"/>
      <w:szCs w:val="24"/>
    </w:rPr>
  </w:style>
  <w:style w:type="paragraph" w:customStyle="1" w:styleId="121">
    <w:name w:val=" Char Char Char"/>
    <w:basedOn w:val="16"/>
    <w:qFormat/>
    <w:uiPriority w:val="0"/>
    <w:pPr>
      <w:adjustRightInd/>
      <w:spacing w:line="240" w:lineRule="auto"/>
      <w:textAlignment w:val="auto"/>
    </w:pPr>
    <w:rPr>
      <w:rFonts w:ascii="Tahoma" w:hAnsi="Tahoma"/>
      <w:kern w:val="2"/>
      <w:sz w:val="24"/>
      <w:szCs w:val="24"/>
    </w:rPr>
  </w:style>
  <w:style w:type="paragraph" w:customStyle="1" w:styleId="122">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23">
    <w:name w:val="五号正文（标准）"/>
    <w:basedOn w:val="1"/>
    <w:qFormat/>
    <w:uiPriority w:val="0"/>
    <w:pPr>
      <w:spacing w:line="360" w:lineRule="auto"/>
      <w:ind w:right="55" w:firstLine="560" w:firstLineChars="200"/>
    </w:pPr>
    <w:rPr>
      <w:rFonts w:eastAsia="仿宋_GB2312"/>
      <w:sz w:val="28"/>
      <w:szCs w:val="20"/>
    </w:rPr>
  </w:style>
  <w:style w:type="paragraph" w:customStyle="1" w:styleId="124">
    <w:name w:val="a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25">
    <w:name w:val="默认段落字体 Para Char"/>
    <w:basedOn w:val="1"/>
    <w:qFormat/>
    <w:uiPriority w:val="0"/>
    <w:pPr>
      <w:adjustRightInd w:val="0"/>
      <w:spacing w:line="360" w:lineRule="auto"/>
    </w:pPr>
    <w:rPr>
      <w:kern w:val="0"/>
      <w:sz w:val="24"/>
      <w:szCs w:val="20"/>
    </w:rPr>
  </w:style>
  <w:style w:type="paragraph" w:customStyle="1" w:styleId="126">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pPr>
    <w:rPr>
      <w:kern w:val="0"/>
      <w:szCs w:val="21"/>
    </w:rPr>
  </w:style>
  <w:style w:type="paragraph" w:customStyle="1" w:styleId="127">
    <w:name w:val="样式1"/>
    <w:basedOn w:val="1"/>
    <w:qFormat/>
    <w:uiPriority w:val="0"/>
    <w:pPr>
      <w:spacing w:before="120" w:beforeLines="0" w:after="120" w:afterLines="0" w:line="300" w:lineRule="auto"/>
    </w:pPr>
    <w:rPr>
      <w:rFonts w:ascii="宋体" w:hAnsi="宋体"/>
      <w:b/>
      <w:sz w:val="24"/>
      <w:szCs w:val="20"/>
    </w:rPr>
  </w:style>
  <w:style w:type="paragraph" w:customStyle="1" w:styleId="128">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29">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30">
    <w:name w:val="缺省文本"/>
    <w:basedOn w:val="1"/>
    <w:qFormat/>
    <w:uiPriority w:val="0"/>
    <w:pPr>
      <w:autoSpaceDE w:val="0"/>
      <w:autoSpaceDN w:val="0"/>
      <w:adjustRightInd w:val="0"/>
      <w:spacing w:line="360" w:lineRule="auto"/>
      <w:jc w:val="left"/>
    </w:pPr>
    <w:rPr>
      <w:kern w:val="0"/>
      <w:sz w:val="24"/>
      <w:szCs w:val="20"/>
    </w:rPr>
  </w:style>
  <w:style w:type="paragraph" w:customStyle="1" w:styleId="131">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32">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3">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34">
    <w:name w:val="图"/>
    <w:basedOn w:val="1"/>
    <w:qFormat/>
    <w:uiPriority w:val="0"/>
    <w:pPr>
      <w:keepNext/>
      <w:adjustRightInd w:val="0"/>
      <w:snapToGrid w:val="0"/>
      <w:spacing w:before="60" w:beforeLines="0" w:after="60" w:afterLines="0" w:line="300" w:lineRule="auto"/>
      <w:jc w:val="center"/>
    </w:pPr>
    <w:rPr>
      <w:spacing w:val="20"/>
      <w:kern w:val="0"/>
      <w:sz w:val="24"/>
      <w:szCs w:val="20"/>
    </w:rPr>
  </w:style>
  <w:style w:type="paragraph" w:customStyle="1" w:styleId="135">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136">
    <w:name w:val="正文首行缩进两字符"/>
    <w:basedOn w:val="1"/>
    <w:qFormat/>
    <w:uiPriority w:val="0"/>
    <w:pPr>
      <w:spacing w:line="360" w:lineRule="auto"/>
      <w:ind w:firstLine="200" w:firstLineChars="200"/>
    </w:pPr>
  </w:style>
  <w:style w:type="paragraph" w:customStyle="1" w:styleId="137">
    <w:name w:val="_Style 136"/>
    <w:basedOn w:val="2"/>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3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139">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140">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1">
    <w:name w:val="样式 标题 3 + (中文) 黑体 小四 非加粗 段前: 7.8 磅 段后: 0 磅 行距: 固定值 20 磅"/>
    <w:basedOn w:val="4"/>
    <w:qFormat/>
    <w:uiPriority w:val="0"/>
    <w:pPr>
      <w:spacing w:before="0" w:beforeLines="0" w:after="0" w:afterLines="0" w:line="400" w:lineRule="exact"/>
    </w:pPr>
    <w:rPr>
      <w:rFonts w:eastAsia="黑体" w:cs="宋体"/>
      <w:b w:val="0"/>
      <w:bCs w:val="0"/>
      <w:sz w:val="24"/>
      <w:szCs w:val="20"/>
    </w:rPr>
  </w:style>
  <w:style w:type="paragraph" w:customStyle="1" w:styleId="142">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b/>
      <w:bCs/>
      <w:kern w:val="0"/>
      <w:sz w:val="24"/>
    </w:rPr>
  </w:style>
  <w:style w:type="paragraph" w:customStyle="1" w:styleId="143">
    <w:name w:val="1"/>
    <w:basedOn w:val="1"/>
    <w:next w:val="26"/>
    <w:qFormat/>
    <w:uiPriority w:val="0"/>
    <w:rPr>
      <w:rFonts w:ascii="宋体" w:hAnsi="Courier New"/>
      <w:szCs w:val="20"/>
    </w:rPr>
  </w:style>
  <w:style w:type="paragraph" w:customStyle="1" w:styleId="14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5">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46">
    <w:name w:val="Char Char Char"/>
    <w:basedOn w:val="1"/>
    <w:qFormat/>
    <w:uiPriority w:val="0"/>
    <w:rPr>
      <w:rFonts w:ascii="Tahoma" w:hAnsi="Tahoma"/>
      <w:sz w:val="24"/>
      <w:szCs w:val="20"/>
    </w:rPr>
  </w:style>
  <w:style w:type="paragraph" w:customStyle="1" w:styleId="14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48">
    <w:name w:val=" 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49">
    <w:name w:val="样式 首行缩进:  2 字符"/>
    <w:basedOn w:val="1"/>
    <w:qFormat/>
    <w:uiPriority w:val="0"/>
    <w:pPr>
      <w:spacing w:line="400" w:lineRule="exact"/>
      <w:ind w:firstLine="200" w:firstLineChars="200"/>
    </w:pPr>
    <w:rPr>
      <w:rFonts w:cs="宋体"/>
      <w:sz w:val="24"/>
    </w:rPr>
  </w:style>
  <w:style w:type="paragraph" w:customStyle="1" w:styleId="150">
    <w:name w:val=" Char Char Char Char Char Char1 Char"/>
    <w:basedOn w:val="1"/>
    <w:qFormat/>
    <w:uiPriority w:val="0"/>
    <w:pPr>
      <w:widowControl/>
      <w:spacing w:after="160" w:afterLines="0" w:line="240" w:lineRule="exact"/>
      <w:jc w:val="left"/>
    </w:pPr>
    <w:rPr>
      <w:rFonts w:ascii="Arial" w:hAnsi="Arial" w:eastAsia="Times New Roman" w:cs="Verdana"/>
      <w:b/>
      <w:kern w:val="0"/>
      <w:sz w:val="24"/>
      <w:szCs w:val="20"/>
      <w:lang w:eastAsia="en-US"/>
    </w:rPr>
  </w:style>
  <w:style w:type="paragraph" w:customStyle="1" w:styleId="151">
    <w:name w:val="表格"/>
    <w:basedOn w:val="1"/>
    <w:qFormat/>
    <w:uiPriority w:val="0"/>
    <w:pPr>
      <w:spacing w:line="400" w:lineRule="exact"/>
    </w:pPr>
    <w:rPr>
      <w:sz w:val="24"/>
    </w:rPr>
  </w:style>
  <w:style w:type="paragraph" w:customStyle="1" w:styleId="152">
    <w:name w:val="默认段落字体 Para Char Char Char Char Char Char Char Char Char1 Char Char Char Char"/>
    <w:basedOn w:val="1"/>
    <w:qFormat/>
    <w:uiPriority w:val="0"/>
    <w:rPr>
      <w:rFonts w:ascii="Tahoma" w:hAnsi="Tahoma"/>
      <w:sz w:val="24"/>
      <w:szCs w:val="20"/>
    </w:rPr>
  </w:style>
  <w:style w:type="paragraph" w:customStyle="1" w:styleId="15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54">
    <w:name w:val="Char Char Char Char Char Char Char"/>
    <w:basedOn w:val="1"/>
    <w:qFormat/>
    <w:uiPriority w:val="0"/>
  </w:style>
  <w:style w:type="paragraph" w:customStyle="1" w:styleId="155">
    <w:name w:val=" 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156">
    <w:name w:val="_Style 155"/>
    <w:unhideWhenUsed/>
    <w:qFormat/>
    <w:uiPriority w:val="99"/>
    <w:rPr>
      <w:rFonts w:ascii="Times New Roman" w:hAnsi="Times New Roman" w:eastAsia="宋体" w:cs="Times New Roman"/>
      <w:kern w:val="2"/>
      <w:sz w:val="21"/>
      <w:szCs w:val="24"/>
      <w:lang w:val="en-US" w:eastAsia="zh-CN" w:bidi="ar-SA"/>
    </w:rPr>
  </w:style>
  <w:style w:type="paragraph" w:customStyle="1" w:styleId="157">
    <w:name w:val="F2"/>
    <w:basedOn w:val="1"/>
    <w:qFormat/>
    <w:uiPriority w:val="0"/>
    <w:pPr>
      <w:autoSpaceDE w:val="0"/>
      <w:autoSpaceDN w:val="0"/>
      <w:adjustRightInd w:val="0"/>
      <w:ind w:firstLine="601"/>
      <w:textAlignment w:val="baseline"/>
    </w:pPr>
    <w:rPr>
      <w:kern w:val="0"/>
      <w:sz w:val="24"/>
      <w:szCs w:val="20"/>
    </w:rPr>
  </w:style>
  <w:style w:type="paragraph" w:customStyle="1" w:styleId="158">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59">
    <w:name w:val="tgt1"/>
    <w:basedOn w:val="1"/>
    <w:qFormat/>
    <w:uiPriority w:val="0"/>
    <w:pPr>
      <w:widowControl/>
      <w:spacing w:after="150" w:afterLines="0"/>
      <w:jc w:val="left"/>
    </w:pPr>
    <w:rPr>
      <w:rFonts w:ascii="宋体" w:hAnsi="宋体" w:cs="宋体"/>
      <w:kern w:val="0"/>
      <w:sz w:val="24"/>
    </w:rPr>
  </w:style>
  <w:style w:type="paragraph" w:customStyle="1" w:styleId="160">
    <w:name w:val="正文段"/>
    <w:basedOn w:val="1"/>
    <w:qFormat/>
    <w:uiPriority w:val="0"/>
    <w:pPr>
      <w:widowControl/>
      <w:snapToGrid w:val="0"/>
      <w:spacing w:after="156" w:afterLines="50"/>
      <w:ind w:firstLine="200" w:firstLineChars="200"/>
    </w:pPr>
    <w:rPr>
      <w:kern w:val="0"/>
      <w:sz w:val="24"/>
      <w:szCs w:val="20"/>
    </w:rPr>
  </w:style>
  <w:style w:type="paragraph" w:customStyle="1" w:styleId="161">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62">
    <w:name w:val="2ji"/>
    <w:basedOn w:val="3"/>
    <w:qFormat/>
    <w:uiPriority w:val="0"/>
    <w:pPr>
      <w:adjustRightInd w:val="0"/>
      <w:spacing w:before="0" w:beforeLines="0" w:after="0" w:afterLines="0" w:line="360" w:lineRule="auto"/>
      <w:textAlignment w:val="baseline"/>
    </w:pPr>
    <w:rPr>
      <w:rFonts w:ascii="宋体" w:hAnsi="宋体" w:eastAsia="宋体"/>
      <w:kern w:val="0"/>
      <w:sz w:val="21"/>
      <w:szCs w:val="21"/>
    </w:rPr>
  </w:style>
  <w:style w:type="paragraph" w:customStyle="1" w:styleId="163">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64">
    <w:name w:val="2-2ji"/>
    <w:basedOn w:val="3"/>
    <w:qFormat/>
    <w:uiPriority w:val="0"/>
    <w:pPr>
      <w:adjustRightInd w:val="0"/>
      <w:spacing w:before="0" w:beforeLines="0" w:after="0" w:afterLines="0" w:line="360" w:lineRule="auto"/>
      <w:jc w:val="center"/>
      <w:textAlignment w:val="baseline"/>
    </w:pPr>
    <w:rPr>
      <w:rFonts w:ascii="宋体" w:hAnsi="宋体" w:eastAsia="宋体"/>
      <w:bCs w:val="0"/>
      <w:kern w:val="0"/>
      <w:sz w:val="36"/>
    </w:rPr>
  </w:style>
  <w:style w:type="paragraph" w:customStyle="1" w:styleId="165">
    <w:name w:val="444"/>
    <w:basedOn w:val="1"/>
    <w:qFormat/>
    <w:uiPriority w:val="0"/>
    <w:pPr>
      <w:adjustRightInd w:val="0"/>
      <w:spacing w:line="312" w:lineRule="atLeast"/>
      <w:jc w:val="center"/>
      <w:textAlignment w:val="baseline"/>
    </w:pPr>
    <w:rPr>
      <w:b/>
      <w:kern w:val="0"/>
      <w:sz w:val="36"/>
      <w:szCs w:val="36"/>
    </w:rPr>
  </w:style>
  <w:style w:type="paragraph" w:customStyle="1" w:styleId="166">
    <w:name w:val="Table Paragraph"/>
    <w:basedOn w:val="1"/>
    <w:qFormat/>
    <w:uiPriority w:val="1"/>
    <w:pPr>
      <w:autoSpaceDE w:val="0"/>
      <w:autoSpaceDN w:val="0"/>
      <w:adjustRightInd w:val="0"/>
      <w:jc w:val="left"/>
    </w:pPr>
    <w:rPr>
      <w:kern w:val="0"/>
      <w:sz w:val="24"/>
    </w:rPr>
  </w:style>
  <w:style w:type="character" w:customStyle="1" w:styleId="167">
    <w:name w:val="fd"/>
    <w:qFormat/>
    <w:uiPriority w:val="0"/>
  </w:style>
  <w:style w:type="paragraph" w:customStyle="1" w:styleId="168">
    <w:name w:val="paragraphindent"/>
    <w:basedOn w:val="1"/>
    <w:qFormat/>
    <w:uiPriority w:val="0"/>
    <w:pPr>
      <w:widowControl/>
      <w:spacing w:before="100" w:beforeAutospacing="1" w:after="100" w:afterAutospacing="1"/>
      <w:jc w:val="left"/>
    </w:pPr>
    <w:rPr>
      <w:rFonts w:ascii="宋体" w:hAnsi="宋体" w:cs="宋体"/>
      <w:kern w:val="0"/>
      <w:sz w:val="24"/>
    </w:rPr>
  </w:style>
  <w:style w:type="character" w:customStyle="1" w:styleId="169">
    <w:name w:val="批注文字 字符1"/>
    <w:qFormat/>
    <w:uiPriority w:val="0"/>
    <w:rPr>
      <w:kern w:val="2"/>
      <w:sz w:val="21"/>
      <w:szCs w:val="24"/>
    </w:rPr>
  </w:style>
  <w:style w:type="character" w:customStyle="1" w:styleId="170">
    <w:name w:val="_Style 169"/>
    <w:unhideWhenUsed/>
    <w:qFormat/>
    <w:uiPriority w:val="99"/>
    <w:rPr>
      <w:color w:val="605E5C"/>
      <w:shd w:val="clear" w:color="auto" w:fill="E1DFDD"/>
    </w:rPr>
  </w:style>
  <w:style w:type="character" w:customStyle="1" w:styleId="171">
    <w:name w:val="纯文本 字符1"/>
    <w:qFormat/>
    <w:uiPriority w:val="99"/>
    <w:rPr>
      <w:rFonts w:ascii="宋体" w:hAnsi="Courier New" w:eastAsia="宋体" w:cs="Courier New"/>
      <w:kern w:val="2"/>
      <w:sz w:val="21"/>
      <w:szCs w:val="21"/>
      <w:lang w:val="en-US" w:eastAsia="zh-CN" w:bidi="ar-SA"/>
    </w:rPr>
  </w:style>
  <w:style w:type="character" w:customStyle="1" w:styleId="172">
    <w:name w:val="正文文本 字符1"/>
    <w:qFormat/>
    <w:uiPriority w:val="99"/>
    <w:rPr>
      <w:kern w:val="2"/>
      <w:sz w:val="24"/>
      <w:szCs w:val="24"/>
    </w:rPr>
  </w:style>
  <w:style w:type="paragraph" w:customStyle="1" w:styleId="173">
    <w:name w:val="正文-2字符首行缩进"/>
    <w:basedOn w:val="1"/>
    <w:link w:val="174"/>
    <w:qFormat/>
    <w:uiPriority w:val="0"/>
    <w:pPr>
      <w:widowControl/>
      <w:spacing w:line="360" w:lineRule="auto"/>
      <w:ind w:firstLine="200" w:firstLineChars="200"/>
    </w:pPr>
    <w:rPr>
      <w:rFonts w:ascii="仿宋_GB2312" w:hAnsi="Calibri" w:eastAsia="仿宋_GB2312"/>
      <w:kern w:val="0"/>
      <w:sz w:val="28"/>
      <w:szCs w:val="22"/>
    </w:rPr>
  </w:style>
  <w:style w:type="character" w:customStyle="1" w:styleId="174">
    <w:name w:val="正文-2字符首行缩进 Char"/>
    <w:link w:val="173"/>
    <w:qFormat/>
    <w:uiPriority w:val="0"/>
    <w:rPr>
      <w:rFonts w:ascii="仿宋_GB2312" w:hAnsi="Calibri" w:eastAsia="仿宋_GB2312"/>
      <w:sz w:val="28"/>
      <w:szCs w:val="22"/>
    </w:rPr>
  </w:style>
  <w:style w:type="paragraph" w:customStyle="1" w:styleId="175">
    <w:name w:val="列出段落1"/>
    <w:basedOn w:val="1"/>
    <w:qFormat/>
    <w:uiPriority w:val="99"/>
    <w:pPr>
      <w:ind w:firstLine="420" w:firstLineChars="200"/>
    </w:pPr>
    <w:rPr>
      <w:rFonts w:ascii="等线" w:hAnsi="等线" w:eastAsia="等线"/>
    </w:rPr>
  </w:style>
  <w:style w:type="character" w:customStyle="1" w:styleId="176">
    <w:name w:val="正文文本 字符"/>
    <w:qFormat/>
    <w:uiPriority w:val="99"/>
    <w:rPr>
      <w:kern w:val="2"/>
      <w:sz w:val="24"/>
      <w:szCs w:val="24"/>
    </w:rPr>
  </w:style>
  <w:style w:type="character" w:customStyle="1" w:styleId="177">
    <w:name w:val="纯文本 字符"/>
    <w:qFormat/>
    <w:uiPriority w:val="99"/>
    <w:rPr>
      <w:rFonts w:ascii="宋体" w:hAnsi="Courier New" w:eastAsia="宋体" w:cs="Courier New"/>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image" Target="media/image3.emf"/><Relationship Id="rId26" Type="http://schemas.openxmlformats.org/officeDocument/2006/relationships/image" Target="media/image2.png"/><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header" Target="header13.xml"/><Relationship Id="rId22" Type="http://schemas.openxmlformats.org/officeDocument/2006/relationships/header" Target="header12.xml"/><Relationship Id="rId21" Type="http://schemas.openxmlformats.org/officeDocument/2006/relationships/footer" Target="footer8.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116</Pages>
  <Words>27630</Words>
  <Characters>29245</Characters>
  <Lines>389</Lines>
  <Paragraphs>109</Paragraphs>
  <TotalTime>28</TotalTime>
  <ScaleCrop>false</ScaleCrop>
  <LinksUpToDate>false</LinksUpToDate>
  <CharactersWithSpaces>29369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2020-09-14T17:23:00Z</dcterms:created>
  <dc:creator>微软用户</dc:creator>
  <cp:lastModifiedBy>CGZXB</cp:lastModifiedBy>
  <cp:lastPrinted>2016-03-22T15:52:00Z</cp:lastPrinted>
  <dcterms:modified xsi:type="dcterms:W3CDTF">2026-08-31T08:52:32Z</dcterms:modified>
  <dc:title>桂财采〔2009〕 号</dc:title>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KSOTemplateDocerSaveRecord">
    <vt:lpwstr>eyJoZGlkIjoiOTcwMzA4MWNkZGIzNWUxYWUyNjIwZTRmNTNmMGY5NGQiLCJ1c2VySWQiOiI0NTM0Njc2NjUifQ==</vt:lpwstr>
  </property>
  <property fmtid="{D5CDD505-2E9C-101B-9397-08002B2CF9AE}" pid="14" name="ICV">
    <vt:lpwstr>F75896D103E9497B93756546944B2873_13</vt:lpwstr>
  </property>
</Properties>
</file>