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5D0" w:rsidRDefault="009915D0" w:rsidP="009915D0">
      <w:pPr>
        <w:pStyle w:val="af8"/>
        <w:jc w:val="center"/>
        <w:outlineLvl w:val="0"/>
        <w:rPr>
          <w:rFonts w:asciiTheme="minorEastAsia" w:eastAsiaTheme="minorEastAsia" w:hAnsiTheme="minorEastAsia"/>
          <w:b/>
          <w:color w:val="000000" w:themeColor="text1"/>
          <w:sz w:val="36"/>
        </w:rPr>
      </w:pPr>
      <w:r>
        <w:rPr>
          <w:rFonts w:asciiTheme="minorEastAsia" w:eastAsiaTheme="minorEastAsia" w:hAnsiTheme="minorEastAsia" w:hint="eastAsia"/>
          <w:b/>
          <w:color w:val="000000" w:themeColor="text1"/>
          <w:sz w:val="36"/>
        </w:rPr>
        <w:t>采购需求</w:t>
      </w:r>
    </w:p>
    <w:p w:rsidR="009915D0" w:rsidRDefault="009915D0" w:rsidP="009915D0">
      <w:pPr>
        <w:spacing w:line="340" w:lineRule="exact"/>
        <w:rPr>
          <w:rFonts w:asciiTheme="minorEastAsia" w:eastAsiaTheme="minorEastAsia" w:hAnsiTheme="minorEastAsia" w:hint="eastAsia"/>
          <w:b/>
          <w:color w:val="000000" w:themeColor="text1"/>
          <w:szCs w:val="21"/>
        </w:rPr>
      </w:pPr>
    </w:p>
    <w:p w:rsidR="009915D0" w:rsidRDefault="009915D0" w:rsidP="009915D0">
      <w:pPr>
        <w:spacing w:line="400" w:lineRule="exact"/>
        <w:ind w:firstLineChars="200" w:firstLine="422"/>
        <w:rPr>
          <w:rFonts w:asciiTheme="minorEastAsia" w:eastAsiaTheme="minorEastAsia" w:hAnsiTheme="minorEastAsia" w:hint="eastAsia"/>
          <w:b/>
          <w:color w:val="000000" w:themeColor="text1"/>
          <w:szCs w:val="21"/>
        </w:rPr>
      </w:pPr>
      <w:r>
        <w:rPr>
          <w:rFonts w:asciiTheme="minorEastAsia" w:eastAsiaTheme="minorEastAsia" w:hAnsiTheme="minorEastAsia" w:hint="eastAsia"/>
          <w:b/>
          <w:color w:val="000000" w:themeColor="text1"/>
          <w:szCs w:val="21"/>
        </w:rPr>
        <w:t>说明：</w:t>
      </w:r>
    </w:p>
    <w:p w:rsidR="009915D0" w:rsidRDefault="009915D0" w:rsidP="009915D0">
      <w:pPr>
        <w:spacing w:line="400" w:lineRule="exact"/>
        <w:ind w:firstLineChars="200" w:firstLine="42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1.为落实政府采购政策需满足的要求</w:t>
      </w:r>
    </w:p>
    <w:p w:rsidR="009915D0" w:rsidRDefault="009915D0" w:rsidP="009915D0">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（1）本招标文件所称中小企业必须符合《政府采购促进中小企业发展管理办法》（财库〔2020〕46号）的规定。</w:t>
      </w:r>
    </w:p>
    <w:p w:rsidR="009915D0" w:rsidRDefault="009915D0" w:rsidP="009915D0">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评标方法和评标标准”。</w:t>
      </w:r>
    </w:p>
    <w:p w:rsidR="009915D0" w:rsidRDefault="009915D0" w:rsidP="009915D0">
      <w:pPr>
        <w:wordWrap w:val="0"/>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根据《关于调整网络安全专用产品安全管理有关事项的公告》（2023年第1号）规定，本项目采购需求中的服务伴随的产品如果包括《网络关键设备和网络安全专用产品目录》的网络安全专用产品，供应商在投标文件中应主动列明供货范围中属于网络安全专用产品的投标产品，并在投标文件（商务及技术文件）中提供由中国网信网（</w:t>
      </w:r>
      <w:hyperlink r:id="rId4" w:tooltip="http://www.cac.gov.cn/index.htm）最新发布的《网络关键设备和网络安全专用产品安全认证和安全检测结果》截图证明材料，不在《网络关键设备和网络安全专用产品安全认证和安全检测结果》中或不在有效期内或未提供有效的《" w:history="1">
        <w:r>
          <w:rPr>
            <w:rStyle w:val="a3"/>
            <w:rFonts w:asciiTheme="minorEastAsia" w:eastAsiaTheme="minorEastAsia" w:hAnsiTheme="minorEastAsia" w:cs="宋体" w:hint="eastAsia"/>
            <w:color w:val="000000" w:themeColor="text1"/>
            <w:szCs w:val="21"/>
          </w:rPr>
          <w:t>http://www.cac.gov.cn/index.htm）最新发布的《网络关键设备和网络安全专用产品安全认证和安全检测结果》截图证明材料，不在《网络关键设备和网络安全专用产品安全认证和安全检测结果》中或不在有效期内</w:t>
        </w:r>
      </w:hyperlink>
      <w:r>
        <w:rPr>
          <w:rFonts w:asciiTheme="minorEastAsia" w:eastAsiaTheme="minorEastAsia" w:hAnsiTheme="minorEastAsia" w:cs="宋体" w:hint="eastAsia"/>
          <w:color w:val="000000" w:themeColor="text1"/>
          <w:szCs w:val="21"/>
        </w:rPr>
        <w:t>的，投标无效。如属于《网络关键设备和网络安全专用产品目录》中“二、网络安全专用产品”内“产品类别”中的所描述的产品，但不属于所列“产品描述”情形的，应提供相应的说明及证明材料。</w:t>
      </w:r>
    </w:p>
    <w:p w:rsidR="009915D0" w:rsidRDefault="009915D0" w:rsidP="009915D0">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9915D0" w:rsidRDefault="009915D0" w:rsidP="009915D0">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2.“实质性要求”是指招标文件中已经指明不满足则投标无效的条款，或者不能负偏离的条款，或者采购需求中带“▲”的条款。</w:t>
      </w:r>
      <w:r>
        <w:rPr>
          <w:rFonts w:asciiTheme="minorEastAsia" w:eastAsiaTheme="minorEastAsia" w:hAnsiTheme="minorEastAsia" w:hint="eastAsia"/>
          <w:bCs/>
          <w:color w:val="000000" w:themeColor="text1"/>
          <w:szCs w:val="21"/>
        </w:rPr>
        <w:t>下表中凡标注“▲”的参数或要求，不响应或不满足或不符合要求的，投标文件即作投标无效处理。</w:t>
      </w:r>
    </w:p>
    <w:p w:rsidR="009915D0" w:rsidRDefault="009915D0" w:rsidP="009915D0">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3.不需要投标人对采购需求响应为具体数值的，此采购需求的数值后将以◆号标注。</w:t>
      </w:r>
    </w:p>
    <w:p w:rsidR="009915D0" w:rsidRDefault="009915D0" w:rsidP="009915D0">
      <w:pPr>
        <w:pStyle w:val="af2"/>
        <w:spacing w:after="0"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4.</w:t>
      </w:r>
      <w:r>
        <w:rPr>
          <w:rFonts w:asciiTheme="minorEastAsia" w:eastAsiaTheme="minorEastAsia" w:hAnsiTheme="minorEastAsia" w:hint="eastAsia"/>
          <w:b/>
          <w:color w:val="000000" w:themeColor="text1"/>
          <w:szCs w:val="21"/>
          <w:u w:val="single"/>
        </w:rPr>
        <w:t>本项目服务需求一览表中要求提供的证明文件材料的内容，请在《服务需求、技术需求偏离表》或《商务条款偏离表》中应答时，注明相关文件材料放置的页码。</w:t>
      </w:r>
    </w:p>
    <w:p w:rsidR="009915D0" w:rsidRDefault="009915D0" w:rsidP="009915D0">
      <w:pPr>
        <w:tabs>
          <w:tab w:val="left" w:pos="312"/>
        </w:tabs>
        <w:spacing w:line="400" w:lineRule="exact"/>
        <w:ind w:firstLineChars="200" w:firstLine="42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5.如投标人投标产品存在侵犯他人的知识产权或者专利成果行为的，应承担相应法律责任。</w:t>
      </w:r>
    </w:p>
    <w:p w:rsidR="009915D0" w:rsidRDefault="009915D0" w:rsidP="009915D0">
      <w:pPr>
        <w:tabs>
          <w:tab w:val="left" w:pos="312"/>
        </w:tabs>
        <w:spacing w:line="400" w:lineRule="exact"/>
        <w:ind w:firstLineChars="200" w:firstLine="420"/>
        <w:jc w:val="left"/>
        <w:rPr>
          <w:rFonts w:asciiTheme="minorEastAsia" w:eastAsiaTheme="minorEastAsia" w:hAnsiTheme="minorEastAsia" w:hint="eastAsia"/>
          <w:b/>
          <w:bCs/>
          <w:color w:val="000000" w:themeColor="text1"/>
        </w:rPr>
      </w:pPr>
      <w:r>
        <w:rPr>
          <w:rFonts w:asciiTheme="minorEastAsia" w:eastAsiaTheme="minorEastAsia" w:hAnsiTheme="minorEastAsia" w:hint="eastAsia"/>
          <w:color w:val="000000" w:themeColor="text1"/>
        </w:rPr>
        <w:lastRenderedPageBreak/>
        <w:t>6.本项目采购标的的中小企业划分标准所属行业名称（行业名称及划分见本章附件2）：</w:t>
      </w:r>
      <w:r>
        <w:rPr>
          <w:rFonts w:asciiTheme="minorEastAsia" w:eastAsiaTheme="minorEastAsia" w:hAnsiTheme="minorEastAsia" w:hint="eastAsia"/>
          <w:b/>
          <w:bCs/>
          <w:color w:val="000000" w:themeColor="text1"/>
        </w:rPr>
        <w:t>租赁和商务服务业。</w:t>
      </w:r>
    </w:p>
    <w:p w:rsidR="009915D0" w:rsidRDefault="009915D0" w:rsidP="009915D0">
      <w:pPr>
        <w:spacing w:line="400" w:lineRule="exact"/>
        <w:ind w:firstLineChars="200" w:firstLine="42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szCs w:val="21"/>
        </w:rPr>
        <w:t>7.</w:t>
      </w:r>
      <w:r>
        <w:rPr>
          <w:rFonts w:asciiTheme="minorEastAsia" w:eastAsiaTheme="minorEastAsia" w:hAnsiTheme="minorEastAsia" w:hint="eastAsia"/>
          <w:b/>
          <w:color w:val="000000" w:themeColor="text1"/>
          <w:szCs w:val="21"/>
          <w:u w:val="single"/>
        </w:rPr>
        <w:t>评标委员会认为投标人的报价明显低于其他通过符合性审查投标人的报价，有可能影响其服务或产品质量或者不能诚信履约的，应当要求其在评标现场合理的时间内提供书面说明，必要时提交相关证明材料；投标人不能证明其报价合理性的，评标委员会应当将其作为无效投标处理。</w:t>
      </w:r>
    </w:p>
    <w:tbl>
      <w:tblPr>
        <w:tblpPr w:leftFromText="180" w:rightFromText="180" w:vertAnchor="text" w:horzAnchor="page" w:tblpXSpec="center" w:tblpY="484"/>
        <w:tblOverlap w:val="never"/>
        <w:tblW w:w="5106"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tblPr>
      <w:tblGrid>
        <w:gridCol w:w="329"/>
        <w:gridCol w:w="1194"/>
        <w:gridCol w:w="764"/>
        <w:gridCol w:w="4987"/>
        <w:gridCol w:w="1408"/>
        <w:gridCol w:w="21"/>
      </w:tblGrid>
      <w:tr w:rsidR="009915D0" w:rsidTr="009915D0">
        <w:trPr>
          <w:gridAfter w:val="1"/>
          <w:wAfter w:w="11" w:type="pct"/>
        </w:trPr>
        <w:tc>
          <w:tcPr>
            <w:tcW w:w="4988" w:type="pct"/>
            <w:gridSpan w:val="5"/>
            <w:tcBorders>
              <w:top w:val="single" w:sz="8" w:space="0" w:color="000000"/>
              <w:left w:val="single" w:sz="8" w:space="0" w:color="000000"/>
              <w:bottom w:val="single" w:sz="6" w:space="0" w:color="000000"/>
              <w:right w:val="single" w:sz="8" w:space="0" w:color="000000"/>
            </w:tcBorders>
            <w:hideMark/>
          </w:tcPr>
          <w:p w:rsidR="009915D0" w:rsidRDefault="009915D0">
            <w:pPr>
              <w:spacing w:line="360" w:lineRule="auto"/>
              <w:ind w:firstLine="643"/>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服务需求一览表</w:t>
            </w:r>
          </w:p>
        </w:tc>
      </w:tr>
      <w:tr w:rsidR="009915D0" w:rsidTr="009915D0">
        <w:trPr>
          <w:gridAfter w:val="1"/>
          <w:wAfter w:w="11" w:type="pct"/>
          <w:trHeight w:val="465"/>
        </w:trPr>
        <w:tc>
          <w:tcPr>
            <w:tcW w:w="875" w:type="pct"/>
            <w:gridSpan w:val="2"/>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hideMark/>
          </w:tcPr>
          <w:p w:rsidR="009915D0" w:rsidRDefault="009915D0">
            <w:pPr>
              <w:spacing w:line="360" w:lineRule="auto"/>
              <w:ind w:firstLine="64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标段</w:t>
            </w:r>
          </w:p>
        </w:tc>
        <w:tc>
          <w:tcPr>
            <w:tcW w:w="4112" w:type="pct"/>
            <w:gridSpan w:val="3"/>
            <w:tcBorders>
              <w:top w:val="single" w:sz="8" w:space="0" w:color="000000"/>
              <w:left w:val="single" w:sz="6" w:space="0" w:color="000000"/>
              <w:bottom w:val="single" w:sz="6" w:space="0" w:color="000000"/>
              <w:right w:val="single" w:sz="8" w:space="0" w:color="000000"/>
            </w:tcBorders>
            <w:hideMark/>
          </w:tcPr>
          <w:p w:rsidR="009915D0" w:rsidRDefault="009915D0">
            <w:pPr>
              <w:spacing w:line="360" w:lineRule="auto"/>
              <w:ind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bCs/>
                <w:color w:val="000000" w:themeColor="text1"/>
                <w:szCs w:val="21"/>
                <w:u w:val="single"/>
              </w:rPr>
              <w:t>单</w:t>
            </w:r>
            <w:r>
              <w:rPr>
                <w:rFonts w:asciiTheme="minorEastAsia" w:eastAsiaTheme="minorEastAsia" w:hAnsiTheme="minorEastAsia" w:cs="宋体" w:hint="eastAsia"/>
                <w:b/>
                <w:bCs/>
                <w:color w:val="000000" w:themeColor="text1"/>
                <w:szCs w:val="21"/>
              </w:rPr>
              <w:t>分标</w:t>
            </w:r>
          </w:p>
        </w:tc>
      </w:tr>
      <w:tr w:rsidR="009915D0" w:rsidTr="009915D0">
        <w:trPr>
          <w:gridAfter w:val="1"/>
          <w:wAfter w:w="11" w:type="pct"/>
        </w:trPr>
        <w:tc>
          <w:tcPr>
            <w:tcW w:w="189"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项号</w:t>
            </w:r>
          </w:p>
        </w:tc>
        <w:tc>
          <w:tcPr>
            <w:tcW w:w="685" w:type="pct"/>
            <w:tcBorders>
              <w:top w:val="single" w:sz="8" w:space="0" w:color="000000"/>
              <w:left w:val="single" w:sz="6" w:space="0" w:color="000000"/>
              <w:bottom w:val="single" w:sz="6" w:space="0" w:color="000000"/>
              <w:right w:val="single" w:sz="6" w:space="0" w:color="000000"/>
            </w:tcBorders>
            <w:vAlign w:val="center"/>
            <w:hideMark/>
          </w:tcPr>
          <w:p w:rsidR="009915D0" w:rsidRDefault="009915D0">
            <w:pPr>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采购标的</w:t>
            </w:r>
          </w:p>
          <w:p w:rsidR="009915D0" w:rsidRDefault="009915D0">
            <w:pPr>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（服务名称）</w:t>
            </w:r>
          </w:p>
        </w:tc>
        <w:tc>
          <w:tcPr>
            <w:tcW w:w="439" w:type="pct"/>
            <w:tcBorders>
              <w:top w:val="single" w:sz="8" w:space="0" w:color="000000"/>
              <w:left w:val="single" w:sz="6" w:space="0" w:color="000000"/>
              <w:bottom w:val="single" w:sz="6" w:space="0" w:color="000000"/>
              <w:right w:val="single" w:sz="6" w:space="0" w:color="000000"/>
            </w:tcBorders>
            <w:vAlign w:val="center"/>
            <w:hideMark/>
          </w:tcPr>
          <w:p w:rsidR="009915D0" w:rsidRDefault="009915D0">
            <w:pPr>
              <w:spacing w:line="360" w:lineRule="auto"/>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数量单位</w:t>
            </w:r>
          </w:p>
        </w:tc>
        <w:tc>
          <w:tcPr>
            <w:tcW w:w="2865" w:type="pct"/>
            <w:tcBorders>
              <w:top w:val="single" w:sz="8" w:space="0" w:color="000000"/>
              <w:left w:val="single" w:sz="6" w:space="0" w:color="000000"/>
              <w:bottom w:val="single" w:sz="6" w:space="0" w:color="000000"/>
              <w:right w:val="single" w:sz="6" w:space="0" w:color="000000"/>
            </w:tcBorders>
            <w:vAlign w:val="center"/>
            <w:hideMark/>
          </w:tcPr>
          <w:p w:rsidR="009915D0" w:rsidRDefault="009915D0">
            <w:pPr>
              <w:spacing w:line="360" w:lineRule="auto"/>
              <w:ind w:firstLine="422"/>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服务参数</w:t>
            </w:r>
          </w:p>
        </w:tc>
        <w:tc>
          <w:tcPr>
            <w:tcW w:w="807" w:type="pct"/>
            <w:tcBorders>
              <w:top w:val="single" w:sz="8" w:space="0" w:color="000000"/>
              <w:left w:val="single" w:sz="6" w:space="0" w:color="000000"/>
              <w:bottom w:val="single" w:sz="6" w:space="0" w:color="000000"/>
              <w:right w:val="single" w:sz="8" w:space="0" w:color="000000"/>
            </w:tcBorders>
            <w:vAlign w:val="center"/>
            <w:hideMark/>
          </w:tcPr>
          <w:p w:rsidR="009915D0" w:rsidRDefault="009915D0">
            <w:pPr>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预算金额（元）</w:t>
            </w:r>
          </w:p>
        </w:tc>
      </w:tr>
      <w:tr w:rsidR="009915D0" w:rsidTr="009915D0">
        <w:trPr>
          <w:gridAfter w:val="1"/>
          <w:wAfter w:w="11" w:type="pct"/>
        </w:trPr>
        <w:tc>
          <w:tcPr>
            <w:tcW w:w="189"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hideMark/>
          </w:tcPr>
          <w:p w:rsidR="009915D0" w:rsidRDefault="009915D0">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w:t>
            </w:r>
          </w:p>
        </w:tc>
        <w:tc>
          <w:tcPr>
            <w:tcW w:w="685" w:type="pct"/>
            <w:tcBorders>
              <w:top w:val="single" w:sz="8" w:space="0" w:color="000000"/>
              <w:left w:val="single" w:sz="6" w:space="0" w:color="000000"/>
              <w:bottom w:val="single" w:sz="6" w:space="0" w:color="000000"/>
              <w:right w:val="single" w:sz="6" w:space="0" w:color="000000"/>
            </w:tcBorders>
            <w:vAlign w:val="center"/>
            <w:hideMark/>
          </w:tcPr>
          <w:p w:rsidR="009915D0" w:rsidRDefault="009915D0">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上林县就业服务站建设运营服务项目</w:t>
            </w:r>
          </w:p>
        </w:tc>
        <w:tc>
          <w:tcPr>
            <w:tcW w:w="439" w:type="pct"/>
            <w:tcBorders>
              <w:top w:val="single" w:sz="8" w:space="0" w:color="000000"/>
              <w:left w:val="single" w:sz="6" w:space="0" w:color="000000"/>
              <w:bottom w:val="single" w:sz="6" w:space="0" w:color="000000"/>
              <w:right w:val="single" w:sz="6" w:space="0" w:color="000000"/>
            </w:tcBorders>
            <w:vAlign w:val="center"/>
            <w:hideMark/>
          </w:tcPr>
          <w:p w:rsidR="009915D0" w:rsidRDefault="009915D0">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1项</w:t>
            </w:r>
          </w:p>
        </w:tc>
        <w:tc>
          <w:tcPr>
            <w:tcW w:w="2865" w:type="pct"/>
            <w:tcBorders>
              <w:top w:val="single" w:sz="8" w:space="0" w:color="000000"/>
              <w:left w:val="single" w:sz="6" w:space="0" w:color="000000"/>
              <w:bottom w:val="single" w:sz="6" w:space="0" w:color="000000"/>
              <w:right w:val="single" w:sz="6" w:space="0" w:color="000000"/>
            </w:tcBorders>
            <w:hideMark/>
          </w:tcPr>
          <w:p w:rsidR="009915D0" w:rsidRDefault="009915D0">
            <w:pPr>
              <w:pStyle w:val="aff0"/>
              <w:spacing w:line="360" w:lineRule="auto"/>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一、项目概况</w:t>
            </w:r>
          </w:p>
          <w:p w:rsidR="009915D0" w:rsidRDefault="009915D0">
            <w:pPr>
              <w:pStyle w:val="aff0"/>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为健全精准高效的就业公共服务体系，根据《中共中央国务院关于实施就业优先战略促进高质量充分就业的意见》（中发〔2024〕18号）、《人力资源社会保障部财政部关于推动公共就业服务下沉基层的意见》（人社部发〔2024〕30号）、《人力资源社会保障部等5部门关于进一步健全就业公共服务体系的意见》(人社部发〔2025〕21号)、《广西壮族自治区人力资源和社会保障厅等5部门关于印发&lt;广西高质量就业公共服务体系建设三年行动方案（2025—2027）&gt;的通知》（桂人社发〔2025〕25号）、《南宁市人力资源和社会保障局南宁市财政局关于印发南宁市高质量就业公共服务体系建设三年行动方案（2025-2027年）的通知》(南人社发〔2025〕18号)、《南宁市人力资源和社会保障局关于印发2026年南宁市为民办实事就业惠民工程——十五分钟就业服务（零工市场）项目实施方案的通知》等文件精神，现拟通过政府采购的方式，引进专业的第三</w:t>
            </w:r>
            <w:r>
              <w:rPr>
                <w:rFonts w:asciiTheme="minorEastAsia" w:eastAsiaTheme="minorEastAsia" w:hAnsiTheme="minorEastAsia" w:hint="eastAsia"/>
                <w:color w:val="000000" w:themeColor="text1"/>
                <w:szCs w:val="21"/>
              </w:rPr>
              <w:lastRenderedPageBreak/>
              <w:t>方服务机构提供就业服务站项目运营服务，推动形成就业公共服务常住人口全覆盖、用人主体广惠及、就业创业全贯通。</w:t>
            </w:r>
          </w:p>
          <w:p w:rsidR="009915D0" w:rsidRDefault="009915D0">
            <w:pPr>
              <w:pStyle w:val="aff0"/>
              <w:spacing w:line="360" w:lineRule="auto"/>
              <w:ind w:firstLineChars="200" w:firstLine="422"/>
              <w:rPr>
                <w:rFonts w:asciiTheme="minorEastAsia" w:eastAsiaTheme="minorEastAsia" w:hAnsiTheme="minorEastAsia" w:cs="宋体" w:hint="eastAsia"/>
                <w:color w:val="000000" w:themeColor="text1"/>
                <w:szCs w:val="21"/>
              </w:rPr>
            </w:pPr>
            <w:r>
              <w:rPr>
                <w:rFonts w:asciiTheme="minorEastAsia" w:eastAsiaTheme="minorEastAsia" w:hAnsiTheme="minorEastAsia" w:hint="eastAsia"/>
                <w:b/>
                <w:bCs/>
                <w:color w:val="000000" w:themeColor="text1"/>
                <w:szCs w:val="21"/>
              </w:rPr>
              <w:t>▲</w:t>
            </w:r>
            <w:r>
              <w:rPr>
                <w:rFonts w:asciiTheme="minorEastAsia" w:eastAsiaTheme="minorEastAsia" w:hAnsiTheme="minorEastAsia" w:cs="宋体" w:hint="eastAsia"/>
                <w:b/>
                <w:bCs/>
                <w:color w:val="000000" w:themeColor="text1"/>
                <w:szCs w:val="21"/>
              </w:rPr>
              <w:t>二、采购目标</w:t>
            </w:r>
          </w:p>
          <w:p w:rsidR="009915D0" w:rsidRDefault="009915D0">
            <w:pPr>
              <w:pStyle w:val="aff0"/>
              <w:spacing w:line="360" w:lineRule="auto"/>
              <w:ind w:firstLineChars="200" w:firstLine="422"/>
              <w:rPr>
                <w:rFonts w:asciiTheme="minorEastAsia" w:eastAsiaTheme="minorEastAsia" w:hAnsiTheme="minorEastAsia" w:hint="eastAsia"/>
                <w:color w:val="000000" w:themeColor="text1"/>
                <w:szCs w:val="21"/>
              </w:rPr>
            </w:pPr>
            <w:r>
              <w:rPr>
                <w:rFonts w:asciiTheme="minorEastAsia" w:eastAsiaTheme="minorEastAsia" w:hAnsiTheme="minorEastAsia" w:hint="eastAsia"/>
                <w:b/>
                <w:bCs/>
                <w:color w:val="000000" w:themeColor="text1"/>
                <w:szCs w:val="21"/>
              </w:rPr>
              <w:t>（一）构建全域服务网络。</w:t>
            </w:r>
            <w:r>
              <w:rPr>
                <w:rFonts w:asciiTheme="minorEastAsia" w:eastAsiaTheme="minorEastAsia" w:hAnsiTheme="minorEastAsia" w:hint="eastAsia"/>
                <w:color w:val="000000" w:themeColor="text1"/>
                <w:szCs w:val="21"/>
              </w:rPr>
              <w:t>打造10个就业服务站功能化就业服务载体，与上林县零工市场互联互通，实现就业服务覆盖全县各乡镇，为辖区用工主体和求职群众提供便捷线上线下就业服务。</w:t>
            </w:r>
          </w:p>
          <w:p w:rsidR="009915D0" w:rsidRDefault="009915D0">
            <w:pPr>
              <w:pStyle w:val="aff0"/>
              <w:spacing w:line="360" w:lineRule="auto"/>
              <w:ind w:firstLineChars="200" w:firstLine="422"/>
              <w:rPr>
                <w:rFonts w:asciiTheme="minorEastAsia" w:eastAsiaTheme="minorEastAsia" w:hAnsiTheme="minorEastAsia" w:hint="eastAsia"/>
                <w:color w:val="000000" w:themeColor="text1"/>
                <w:szCs w:val="21"/>
              </w:rPr>
            </w:pPr>
            <w:r>
              <w:rPr>
                <w:rFonts w:asciiTheme="minorEastAsia" w:eastAsiaTheme="minorEastAsia" w:hAnsiTheme="minorEastAsia" w:hint="eastAsia"/>
                <w:b/>
                <w:bCs/>
                <w:color w:val="000000" w:themeColor="text1"/>
                <w:szCs w:val="21"/>
              </w:rPr>
              <w:t>（二）精准摸排劳动力资源。</w:t>
            </w:r>
            <w:r>
              <w:rPr>
                <w:rFonts w:asciiTheme="minorEastAsia" w:eastAsiaTheme="minorEastAsia" w:hAnsiTheme="minorEastAsia" w:hint="eastAsia"/>
                <w:color w:val="000000" w:themeColor="text1"/>
                <w:szCs w:val="21"/>
              </w:rPr>
              <w:t>对辖区内城乡劳动力资源开展全面摸排和更新，掌握全县劳动力资源底数，特别是脱贫劳动力、防止返贫致贫对象、易地搬迁劳动力、返乡回流人员、离校未就业高校毕业生、就业困难人员等重点群体的基础信息与就业需求。</w:t>
            </w:r>
          </w:p>
          <w:p w:rsidR="009915D0" w:rsidRDefault="009915D0">
            <w:pPr>
              <w:pStyle w:val="aff0"/>
              <w:spacing w:line="360" w:lineRule="auto"/>
              <w:ind w:firstLineChars="200" w:firstLine="422"/>
              <w:rPr>
                <w:rFonts w:asciiTheme="minorEastAsia" w:eastAsiaTheme="minorEastAsia" w:hAnsiTheme="minorEastAsia" w:hint="eastAsia"/>
                <w:color w:val="000000" w:themeColor="text1"/>
                <w:szCs w:val="21"/>
              </w:rPr>
            </w:pPr>
            <w:r>
              <w:rPr>
                <w:rFonts w:asciiTheme="minorEastAsia" w:eastAsiaTheme="minorEastAsia" w:hAnsiTheme="minorEastAsia" w:hint="eastAsia"/>
                <w:b/>
                <w:bCs/>
                <w:color w:val="000000" w:themeColor="text1"/>
                <w:szCs w:val="21"/>
              </w:rPr>
              <w:t>（三）开展全链条免费服务。</w:t>
            </w:r>
            <w:r>
              <w:rPr>
                <w:rFonts w:asciiTheme="minorEastAsia" w:eastAsiaTheme="minorEastAsia" w:hAnsiTheme="minorEastAsia" w:hint="eastAsia"/>
                <w:color w:val="000000" w:themeColor="text1"/>
                <w:szCs w:val="21"/>
              </w:rPr>
              <w:t>基于精准摸排数据，为重点群体提供线上线下一体化求职登记、岗位推送、技能培训、政策咨询、就业援助；对用人单位提供用工登记、招聘组织、信息发布等免费公共就业服务。</w:t>
            </w:r>
          </w:p>
          <w:p w:rsidR="009915D0" w:rsidRDefault="009915D0">
            <w:pPr>
              <w:pStyle w:val="aff0"/>
              <w:spacing w:line="360" w:lineRule="auto"/>
              <w:ind w:firstLineChars="200" w:firstLine="422"/>
              <w:rPr>
                <w:rFonts w:asciiTheme="minorEastAsia" w:eastAsiaTheme="minorEastAsia" w:hAnsiTheme="minorEastAsia" w:hint="eastAsia"/>
                <w:color w:val="000000" w:themeColor="text1"/>
                <w:szCs w:val="21"/>
              </w:rPr>
            </w:pPr>
            <w:r>
              <w:rPr>
                <w:rFonts w:asciiTheme="minorEastAsia" w:eastAsiaTheme="minorEastAsia" w:hAnsiTheme="minorEastAsia" w:hint="eastAsia"/>
                <w:b/>
                <w:bCs/>
                <w:color w:val="000000" w:themeColor="text1"/>
                <w:szCs w:val="21"/>
              </w:rPr>
              <w:t>（四）融入本地服务模式。</w:t>
            </w:r>
            <w:r>
              <w:rPr>
                <w:rFonts w:asciiTheme="minorEastAsia" w:eastAsiaTheme="minorEastAsia" w:hAnsiTheme="minorEastAsia" w:hint="eastAsia"/>
                <w:color w:val="000000" w:themeColor="text1"/>
                <w:szCs w:val="21"/>
              </w:rPr>
              <w:t>推进就业服务站与“零工市场”现行模式深度融合，实现服务点与就业服务站信息互通、功能联动，针对上林以农业、轻工业为主的产业特点，双方联动开展“定向送工”等特色服务，确保就业服务精准匹配县域产业发展与群众就业需求。</w:t>
            </w:r>
          </w:p>
          <w:p w:rsidR="009915D0" w:rsidRDefault="009915D0">
            <w:pPr>
              <w:pStyle w:val="aff0"/>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三、采购目的</w:t>
            </w:r>
          </w:p>
          <w:p w:rsidR="009915D0" w:rsidRDefault="009915D0">
            <w:pPr>
              <w:pStyle w:val="aff0"/>
              <w:spacing w:line="360" w:lineRule="auto"/>
              <w:ind w:firstLineChars="200" w:firstLine="422"/>
              <w:rPr>
                <w:rFonts w:asciiTheme="minorEastAsia" w:eastAsiaTheme="minorEastAsia" w:hAnsiTheme="minorEastAsia" w:hint="eastAsia"/>
                <w:b/>
                <w:bCs/>
                <w:color w:val="000000" w:themeColor="text1"/>
                <w:szCs w:val="21"/>
              </w:rPr>
            </w:pPr>
            <w:r>
              <w:rPr>
                <w:rFonts w:asciiTheme="minorEastAsia" w:eastAsiaTheme="minorEastAsia" w:hAnsiTheme="minorEastAsia" w:hint="eastAsia"/>
                <w:b/>
                <w:bCs/>
                <w:color w:val="000000" w:themeColor="text1"/>
                <w:szCs w:val="21"/>
              </w:rPr>
              <w:t>（一）聚焦“数智赋能+品牌延伸”，筑牢就业服务精准底座</w:t>
            </w:r>
          </w:p>
          <w:p w:rsidR="009915D0" w:rsidRDefault="009915D0">
            <w:pPr>
              <w:pStyle w:val="aff0"/>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基层就业服务曾长期受“被动受理”模式局限，存在岗位供给质量不高、人岗匹配效率偏低等问题。</w:t>
            </w:r>
            <w:r>
              <w:rPr>
                <w:rFonts w:asciiTheme="minorEastAsia" w:eastAsiaTheme="minorEastAsia" w:hAnsiTheme="minorEastAsia" w:hint="eastAsia"/>
                <w:color w:val="000000" w:themeColor="text1"/>
                <w:szCs w:val="21"/>
              </w:rPr>
              <w:lastRenderedPageBreak/>
              <w:t>通过政府购买第三方服务，构建线上线下联动机制，为有用工需求的市场主体和有务工需求的劳动者提供对接平台，实现“招工有高效服务、求职有便捷岗位、培训有精准信息、创业有专项支持、困难有跟踪帮扶、维权有专业指引”六有目标，既让群众在“家门口”享受优质服务，又有效破解企业“招工难、渠道窄”问题。</w:t>
            </w:r>
          </w:p>
          <w:p w:rsidR="009915D0" w:rsidRDefault="009915D0">
            <w:pPr>
              <w:pStyle w:val="aff0"/>
              <w:spacing w:line="360" w:lineRule="auto"/>
              <w:ind w:firstLineChars="200" w:firstLine="422"/>
              <w:rPr>
                <w:rFonts w:asciiTheme="minorEastAsia" w:eastAsiaTheme="minorEastAsia" w:hAnsiTheme="minorEastAsia" w:hint="eastAsia"/>
                <w:b/>
                <w:bCs/>
                <w:color w:val="000000" w:themeColor="text1"/>
                <w:szCs w:val="21"/>
              </w:rPr>
            </w:pPr>
            <w:r>
              <w:rPr>
                <w:rFonts w:asciiTheme="minorEastAsia" w:eastAsiaTheme="minorEastAsia" w:hAnsiTheme="minorEastAsia" w:hint="eastAsia"/>
                <w:b/>
                <w:bCs/>
                <w:color w:val="000000" w:themeColor="text1"/>
                <w:szCs w:val="21"/>
              </w:rPr>
              <w:t>（二）聚焦“标准建设+阵地提质”，升级就业服务民生体验</w:t>
            </w:r>
          </w:p>
          <w:p w:rsidR="009915D0" w:rsidRDefault="009915D0">
            <w:pPr>
              <w:pStyle w:val="aff0"/>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上林县现有11个乡镇、19个社区、115个行政村，基层“七站八所”改革后，原“社保中心”并入便民服务中心，面临业务繁杂、人员不足、服务标识不清晰、服务半径过大等困境。通过项目实施，统一“命名规则、视觉识别、布局配置、服务清单、制度规范、调度监督”（简称“六统一”），推进就业服务站规范化建设，优化“零工市场”服务阵地，推广数字赋能、实地摸排、精准服务模式，实现就业事项一体化办理、精准化服务、智能化监管，以统一服务标准、舒适空间和标准化服务树形象，让群众、企业“一遇事就想起，一看到就信任，一体验就记得，一服务就常来”，提升其体验感、幸福感、获得感。同时，采购专业第三方服务，借助线上平台及第三方人员优势，扩大服务覆盖、强化质效，将就业服务延伸至基层末梢，提升基层就业服务触达率与实效性。</w:t>
            </w:r>
          </w:p>
          <w:p w:rsidR="009915D0" w:rsidRDefault="009915D0">
            <w:pPr>
              <w:pStyle w:val="aff0"/>
              <w:spacing w:line="360" w:lineRule="auto"/>
              <w:ind w:firstLineChars="200" w:firstLine="422"/>
              <w:rPr>
                <w:rFonts w:asciiTheme="minorEastAsia" w:eastAsiaTheme="minorEastAsia" w:hAnsiTheme="minorEastAsia" w:hint="eastAsia"/>
                <w:b/>
                <w:bCs/>
                <w:color w:val="000000" w:themeColor="text1"/>
                <w:szCs w:val="21"/>
              </w:rPr>
            </w:pPr>
            <w:r>
              <w:rPr>
                <w:rFonts w:asciiTheme="minorEastAsia" w:eastAsiaTheme="minorEastAsia" w:hAnsiTheme="minorEastAsia" w:hint="eastAsia"/>
                <w:b/>
                <w:bCs/>
                <w:color w:val="000000" w:themeColor="text1"/>
                <w:szCs w:val="21"/>
              </w:rPr>
              <w:t>（三）聚焦“多元协同+效能提升”，构建就业服务可持续机制</w:t>
            </w:r>
          </w:p>
          <w:p w:rsidR="009915D0" w:rsidRDefault="009915D0">
            <w:pPr>
              <w:pStyle w:val="aff0"/>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基层就业服务力量不足是我县面临的共性问题，难以满足企业、群众日益增长的服务需求。通过项目实施，以“小投入撬动大市场服务大民生”为理念，</w:t>
            </w:r>
            <w:r>
              <w:rPr>
                <w:rFonts w:asciiTheme="minorEastAsia" w:eastAsiaTheme="minorEastAsia" w:hAnsiTheme="minorEastAsia" w:hint="eastAsia"/>
                <w:color w:val="000000" w:themeColor="text1"/>
                <w:szCs w:val="21"/>
              </w:rPr>
              <w:lastRenderedPageBreak/>
              <w:t>引进具有专业服务能力和优质服务资源的第三方，探索由“政府主导推动、基层落实推进、社会力量参与、线上线下联动”的服务模式，借助其优势强化基层就业公共服务，聚力推进高校毕业生、农民工、就业困难人员等重点群体就业创业。支持第三方依规将基础数据用于重点群体职业技能、就业创业、重点企业招工送工等稳就业补贴性服务，依托政府平台拓展精细化、关联性服务，既让公共就业服务更可及、可持续，关联服务更丰富便捷，又发挥政府资金作用、减少地方财政投入，推动有为政府和有效市场有机结合。</w:t>
            </w:r>
          </w:p>
          <w:p w:rsidR="009915D0" w:rsidRDefault="009915D0">
            <w:pPr>
              <w:pStyle w:val="aff0"/>
              <w:spacing w:line="360" w:lineRule="auto"/>
              <w:ind w:firstLineChars="200" w:firstLine="422"/>
              <w:rPr>
                <w:rFonts w:asciiTheme="minorEastAsia" w:eastAsiaTheme="minorEastAsia" w:hAnsiTheme="minorEastAsia" w:hint="eastAsia"/>
                <w:b/>
                <w:bCs/>
                <w:color w:val="000000" w:themeColor="text1"/>
                <w:szCs w:val="21"/>
              </w:rPr>
            </w:pPr>
            <w:r>
              <w:rPr>
                <w:rFonts w:asciiTheme="minorEastAsia" w:eastAsiaTheme="minorEastAsia" w:hAnsiTheme="minorEastAsia" w:hint="eastAsia"/>
                <w:b/>
                <w:bCs/>
                <w:color w:val="000000" w:themeColor="text1"/>
                <w:szCs w:val="21"/>
              </w:rPr>
              <w:t>（四）聚焦“便民服务+多样驱动”，推动就业服务嵌入基层治理</w:t>
            </w:r>
          </w:p>
          <w:p w:rsidR="009915D0" w:rsidRDefault="009915D0">
            <w:pPr>
              <w:pStyle w:val="aff0"/>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针对基层就业工作“重视程度不足、落实力度弱化”的现状，通过项目实施，将基层就业公共服务融入以党建引领基层治理范畴，强化党建促就业行动，通过引入第三方作为有力抓手，与基层部门共同聚焦失业人员、农民工、脱贫劳动力等重点群体和辖区用工企业，联动开展咨询服务、求职服务、技能培训、创业指导、就业援助、劳动维权、招工服务等超10类高频服务事项。有条件的服务网点还可引入人才服务等特色服务，探索上门服务、代理服务、远程服务等便民措施，更好满足企业、群众就业服务需求，增强基层公共就业服务的便民化、多样化。</w:t>
            </w:r>
          </w:p>
          <w:p w:rsidR="009915D0" w:rsidRDefault="009915D0">
            <w:pPr>
              <w:pStyle w:val="aff0"/>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▲四、采购服务内容</w:t>
            </w:r>
          </w:p>
          <w:p w:rsidR="009915D0" w:rsidRDefault="009915D0">
            <w:pPr>
              <w:pStyle w:val="afc"/>
              <w:spacing w:line="360" w:lineRule="auto"/>
              <w:rPr>
                <w:rFonts w:asciiTheme="minorEastAsia" w:eastAsiaTheme="minorEastAsia" w:hAnsiTheme="minorEastAsia" w:hint="eastAsia"/>
                <w:b/>
                <w:bCs/>
                <w:color w:val="000000" w:themeColor="text1"/>
                <w:szCs w:val="21"/>
              </w:rPr>
            </w:pPr>
            <w:r>
              <w:rPr>
                <w:rFonts w:asciiTheme="minorEastAsia" w:eastAsiaTheme="minorEastAsia" w:hAnsiTheme="minorEastAsia" w:hint="eastAsia"/>
                <w:b/>
                <w:bCs/>
                <w:color w:val="000000" w:themeColor="text1"/>
                <w:szCs w:val="21"/>
              </w:rPr>
              <w:t>（一）一级就业服务站服务内容</w:t>
            </w:r>
          </w:p>
          <w:p w:rsidR="009915D0" w:rsidRDefault="009915D0">
            <w:pPr>
              <w:pStyle w:val="afc"/>
              <w:spacing w:line="360" w:lineRule="auto"/>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采购人为中标供应商提供协调，由相关乡镇提供就业服务站运营服务场地，中标供应商按照“六统一”的原则，参照南宁市一级就业服务站规范配备标准，配备支持包括但不限于办公服务、求职服务、便民服</w:t>
            </w:r>
            <w:r>
              <w:rPr>
                <w:rFonts w:asciiTheme="minorEastAsia" w:eastAsiaTheme="minorEastAsia" w:hAnsiTheme="minorEastAsia" w:hint="eastAsia"/>
                <w:color w:val="000000" w:themeColor="text1"/>
                <w:szCs w:val="21"/>
              </w:rPr>
              <w:lastRenderedPageBreak/>
              <w:t>务、爱心服务、安全防护等必要的服务设备。并配备开展就业服务所需的专门运营团队（不少于2人），对照一级就业服务站的服务内容，挖掘市场用工需求和掌握群众就业意向，常态化为就业服务站周边用工单位和群众提供免费的就业公共服务，对辖区重点群体开展就业帮扶服务，让更多群众实现在“家门口”就业（参考附件2.南宁市一级就业服务站规范配备标准、附件3.南宁市一级就业服务站服务内容）。</w:t>
            </w:r>
          </w:p>
          <w:p w:rsidR="009915D0" w:rsidRDefault="009915D0">
            <w:pPr>
              <w:pStyle w:val="afc"/>
              <w:spacing w:line="360" w:lineRule="auto"/>
              <w:rPr>
                <w:rFonts w:asciiTheme="minorEastAsia" w:eastAsiaTheme="minorEastAsia" w:hAnsiTheme="minorEastAsia" w:hint="eastAsia"/>
                <w:b/>
                <w:bCs/>
                <w:color w:val="000000" w:themeColor="text1"/>
                <w:szCs w:val="21"/>
              </w:rPr>
            </w:pPr>
            <w:r>
              <w:rPr>
                <w:rFonts w:asciiTheme="minorEastAsia" w:eastAsiaTheme="minorEastAsia" w:hAnsiTheme="minorEastAsia" w:hint="eastAsia"/>
                <w:b/>
                <w:bCs/>
                <w:color w:val="000000" w:themeColor="text1"/>
                <w:szCs w:val="21"/>
              </w:rPr>
              <w:t>（二）提供智能化就业平台服务</w:t>
            </w:r>
          </w:p>
          <w:p w:rsidR="009915D0" w:rsidRDefault="009915D0">
            <w:pPr>
              <w:pStyle w:val="afc"/>
              <w:spacing w:line="360" w:lineRule="auto"/>
              <w:rPr>
                <w:rFonts w:asciiTheme="minorEastAsia" w:eastAsiaTheme="minorEastAsia" w:hAnsiTheme="minorEastAsia" w:hint="eastAsia"/>
                <w:color w:val="000000" w:themeColor="text1"/>
                <w:szCs w:val="21"/>
              </w:rPr>
            </w:pPr>
            <w:r>
              <w:rPr>
                <w:rFonts w:asciiTheme="minorEastAsia" w:eastAsiaTheme="minorEastAsia" w:hAnsiTheme="minorEastAsia" w:hint="eastAsia"/>
                <w:b/>
                <w:bCs/>
                <w:color w:val="000000" w:themeColor="text1"/>
                <w:szCs w:val="21"/>
              </w:rPr>
              <w:t>1.在采购人未指定运营管理信息服务平台前，由中标供应商提供线上线下一体化信息平台（平台需按照《网络招聘服务管理规定》的规定，取得《电信业务经营许可证》等法定资质）</w:t>
            </w:r>
            <w:r>
              <w:rPr>
                <w:rFonts w:asciiTheme="minorEastAsia" w:eastAsiaTheme="minorEastAsia" w:hAnsiTheme="minorEastAsia" w:hint="eastAsia"/>
                <w:color w:val="000000" w:themeColor="text1"/>
                <w:szCs w:val="21"/>
              </w:rPr>
              <w:t>，利用大数据分析、云计算、人工智能等技术，为就业服务站项目提供集就业服务APP或微信小程序等于一体的综合智能化就业服务平台。企业、群众可通过平台在线进行“找政策、找工作、找人才、找招聘会、找零工、找创业、找培训”等服务，采购方和基层管理人可通过后台查阅、调取服务数据和资料，以及进行服务监测分析和展示，实现线上线下就业服务网点数据实时同步，相关数据应积极配合同步共享关联至广西“数智人社”系统或采购人指定的其他信息平台。如采购人指定有运营能力的信息服务平台，中标供应商应全面统一使用该平台进行日常运营管理。</w:t>
            </w:r>
          </w:p>
          <w:p w:rsidR="009915D0" w:rsidRDefault="009915D0">
            <w:pPr>
              <w:pStyle w:val="afc"/>
              <w:spacing w:line="360" w:lineRule="auto"/>
              <w:ind w:firstLine="422"/>
              <w:rPr>
                <w:rFonts w:asciiTheme="minorEastAsia" w:eastAsiaTheme="minorEastAsia" w:hAnsiTheme="minorEastAsia" w:hint="eastAsia"/>
                <w:b/>
                <w:bCs/>
                <w:color w:val="000000" w:themeColor="text1"/>
                <w:szCs w:val="21"/>
              </w:rPr>
            </w:pPr>
            <w:r>
              <w:rPr>
                <w:rFonts w:asciiTheme="minorEastAsia" w:eastAsiaTheme="minorEastAsia" w:hAnsiTheme="minorEastAsia" w:hint="eastAsia"/>
                <w:b/>
                <w:bCs/>
                <w:color w:val="000000" w:themeColor="text1"/>
                <w:szCs w:val="21"/>
              </w:rPr>
              <w:t>2.投标人具备信息化服务能力，承诺为项目运营配备专业的信息化运营团队，为本项目提供就业服务平台APP、微信小程序及PC网站于一体的综合线上智能服务，确保常态化有人在岗响应需求服务。</w:t>
            </w:r>
          </w:p>
          <w:p w:rsidR="009915D0" w:rsidRDefault="009915D0">
            <w:pPr>
              <w:pStyle w:val="afc"/>
              <w:spacing w:line="360" w:lineRule="auto"/>
              <w:ind w:firstLine="422"/>
              <w:rPr>
                <w:rFonts w:asciiTheme="minorEastAsia" w:eastAsiaTheme="minorEastAsia" w:hAnsiTheme="minorEastAsia" w:hint="eastAsia"/>
                <w:b/>
                <w:bCs/>
                <w:color w:val="000000" w:themeColor="text1"/>
                <w:szCs w:val="21"/>
              </w:rPr>
            </w:pPr>
            <w:r>
              <w:rPr>
                <w:rFonts w:asciiTheme="minorEastAsia" w:eastAsiaTheme="minorEastAsia" w:hAnsiTheme="minorEastAsia" w:hint="eastAsia"/>
                <w:b/>
                <w:bCs/>
                <w:color w:val="000000" w:themeColor="text1"/>
                <w:szCs w:val="21"/>
              </w:rPr>
              <w:t>3.投标人应承诺提供的服务平台须满足信息系</w:t>
            </w:r>
            <w:r>
              <w:rPr>
                <w:rFonts w:asciiTheme="minorEastAsia" w:eastAsiaTheme="minorEastAsia" w:hAnsiTheme="minorEastAsia" w:hint="eastAsia"/>
                <w:b/>
                <w:bCs/>
                <w:color w:val="000000" w:themeColor="text1"/>
                <w:szCs w:val="21"/>
              </w:rPr>
              <w:lastRenderedPageBreak/>
              <w:t>统网络安全二级或以上等级保护的要求。</w:t>
            </w:r>
          </w:p>
          <w:p w:rsidR="009915D0" w:rsidRDefault="009915D0">
            <w:pPr>
              <w:pStyle w:val="afc"/>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b/>
                <w:bCs/>
                <w:color w:val="000000" w:themeColor="text1"/>
                <w:szCs w:val="21"/>
              </w:rPr>
              <w:t>4.投标人应承诺在每个服务站点按照采购人要求布署“人社专线”。</w:t>
            </w:r>
          </w:p>
        </w:tc>
        <w:tc>
          <w:tcPr>
            <w:tcW w:w="807" w:type="pct"/>
            <w:tcBorders>
              <w:top w:val="single" w:sz="8" w:space="0" w:color="000000"/>
              <w:left w:val="single" w:sz="6" w:space="0" w:color="000000"/>
              <w:bottom w:val="single" w:sz="6" w:space="0" w:color="000000"/>
              <w:right w:val="single" w:sz="8" w:space="0" w:color="000000"/>
            </w:tcBorders>
            <w:vAlign w:val="center"/>
            <w:hideMark/>
          </w:tcPr>
          <w:p w:rsidR="009915D0" w:rsidRDefault="009915D0">
            <w:pPr>
              <w:spacing w:line="360" w:lineRule="auto"/>
              <w:jc w:val="center"/>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color w:val="000000" w:themeColor="text1"/>
                <w:szCs w:val="21"/>
              </w:rPr>
              <w:lastRenderedPageBreak/>
              <w:t>4500000.00</w:t>
            </w:r>
          </w:p>
        </w:tc>
      </w:tr>
      <w:tr w:rsidR="009915D0" w:rsidTr="009915D0">
        <w:trPr>
          <w:gridAfter w:val="1"/>
          <w:wAfter w:w="11" w:type="pct"/>
        </w:trPr>
        <w:tc>
          <w:tcPr>
            <w:tcW w:w="4988" w:type="pct"/>
            <w:gridSpan w:val="5"/>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lastRenderedPageBreak/>
              <w:t>一、</w:t>
            </w:r>
            <w:r>
              <w:rPr>
                <w:rFonts w:asciiTheme="minorEastAsia" w:eastAsiaTheme="minorEastAsia" w:hAnsiTheme="minorEastAsia" w:hint="eastAsia"/>
                <w:b/>
                <w:bCs/>
                <w:color w:val="000000" w:themeColor="text1"/>
                <w:szCs w:val="21"/>
              </w:rPr>
              <w:t>商务条款</w:t>
            </w:r>
          </w:p>
        </w:tc>
      </w:tr>
      <w:tr w:rsidR="009915D0" w:rsidTr="009915D0">
        <w:trPr>
          <w:gridAfter w:val="1"/>
          <w:wAfter w:w="11" w:type="pct"/>
          <w:trHeight w:val="450"/>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jc w:val="center"/>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合同签订时间</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b/>
                <w:bCs/>
                <w:color w:val="000000" w:themeColor="text1"/>
                <w:szCs w:val="21"/>
              </w:rPr>
            </w:pPr>
            <w:r>
              <w:rPr>
                <w:rFonts w:asciiTheme="minorEastAsia" w:eastAsiaTheme="minorEastAsia" w:hAnsiTheme="minorEastAsia" w:hint="eastAsia"/>
                <w:color w:val="000000" w:themeColor="text1"/>
                <w:szCs w:val="21"/>
              </w:rPr>
              <w:t>自中标通知书发出之日起</w:t>
            </w:r>
            <w:r>
              <w:rPr>
                <w:rFonts w:asciiTheme="minorEastAsia" w:eastAsiaTheme="minorEastAsia" w:hAnsiTheme="minorEastAsia" w:hint="eastAsia"/>
                <w:color w:val="000000" w:themeColor="text1"/>
                <w:szCs w:val="21"/>
                <w:u w:val="single"/>
              </w:rPr>
              <w:t>25日内</w:t>
            </w:r>
            <w:r>
              <w:rPr>
                <w:rFonts w:asciiTheme="minorEastAsia" w:eastAsiaTheme="minorEastAsia" w:hAnsiTheme="minorEastAsia" w:hint="eastAsia"/>
                <w:color w:val="000000" w:themeColor="text1"/>
                <w:szCs w:val="21"/>
              </w:rPr>
              <w:t>。</w:t>
            </w:r>
          </w:p>
        </w:tc>
      </w:tr>
      <w:tr w:rsidR="009915D0" w:rsidTr="009915D0">
        <w:trPr>
          <w:gridAfter w:val="1"/>
          <w:wAfter w:w="11" w:type="pct"/>
          <w:trHeight w:val="1615"/>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jc w:val="center"/>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▲服务期</w:t>
            </w:r>
          </w:p>
          <w:p w:rsidR="009915D0" w:rsidRDefault="009915D0">
            <w:pPr>
              <w:spacing w:line="360" w:lineRule="auto"/>
              <w:jc w:val="center"/>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及地点</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widowControl/>
              <w:shd w:val="clear" w:color="auto" w:fill="FFFFFF"/>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1.服务期</w:t>
            </w:r>
            <w:r>
              <w:rPr>
                <w:rFonts w:asciiTheme="minorEastAsia" w:eastAsiaTheme="minorEastAsia" w:hAnsiTheme="minorEastAsia" w:hint="eastAsia"/>
                <w:bCs/>
                <w:color w:val="000000" w:themeColor="text1"/>
                <w:szCs w:val="21"/>
              </w:rPr>
              <w:t>：</w:t>
            </w:r>
            <w:r>
              <w:rPr>
                <w:rFonts w:asciiTheme="minorEastAsia" w:eastAsiaTheme="minorEastAsia" w:hAnsiTheme="minorEastAsia" w:hint="eastAsia"/>
                <w:color w:val="000000" w:themeColor="text1"/>
                <w:szCs w:val="21"/>
              </w:rPr>
              <w:t>服务期分为筹备和运营两个阶段。筹备期原则上要求在2026年11月30日前完成全部站点（10个就业服务站）的规范配备并投入试运营；运营服务期自全部站点（以最后一个站点）投入试运营之日的次月1日起24个月。</w:t>
            </w:r>
          </w:p>
          <w:p w:rsidR="009915D0" w:rsidRDefault="009915D0">
            <w:pPr>
              <w:widowControl/>
              <w:shd w:val="clear" w:color="auto" w:fill="FFFFFF"/>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s="宋体" w:hint="eastAsia"/>
                <w:bCs/>
                <w:color w:val="000000" w:themeColor="text1"/>
                <w:szCs w:val="21"/>
              </w:rPr>
              <w:t>2.</w:t>
            </w:r>
            <w:r>
              <w:rPr>
                <w:rFonts w:asciiTheme="minorEastAsia" w:eastAsiaTheme="minorEastAsia" w:hAnsiTheme="minorEastAsia" w:hint="eastAsia"/>
                <w:color w:val="000000" w:themeColor="text1"/>
                <w:szCs w:val="21"/>
              </w:rPr>
              <w:t>地点：广西</w:t>
            </w:r>
            <w:r>
              <w:rPr>
                <w:rFonts w:asciiTheme="minorEastAsia" w:eastAsiaTheme="minorEastAsia" w:hAnsiTheme="minorEastAsia" w:hint="eastAsia"/>
                <w:bCs/>
                <w:color w:val="000000" w:themeColor="text1"/>
                <w:szCs w:val="21"/>
              </w:rPr>
              <w:t>南宁市采购人指定地点（南宁市上林县）。</w:t>
            </w:r>
          </w:p>
        </w:tc>
      </w:tr>
      <w:tr w:rsidR="009915D0" w:rsidTr="009915D0">
        <w:trPr>
          <w:gridAfter w:val="1"/>
          <w:wAfter w:w="11" w:type="pct"/>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jc w:val="center"/>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▲中标供应商式</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1.合同签订后，向中标方预付第一年运营服务费总额的30%；完成10个就业服务站筹备投入运营并验收合格后支付第一年运营服务费总额的30%；全部站点正式运营满一年，根据每个站点的年度考核结果等次，支付第一年度的运营费用的剩余部分。</w:t>
            </w:r>
          </w:p>
          <w:p w:rsidR="009915D0" w:rsidRDefault="009915D0">
            <w:pPr>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第二年运营服务启动一个月内，预付第二年运营服务费总额的40%；运营服务满12个月，根据每个站点的考核结果支付第二年运营服务费用的剩余部分。</w:t>
            </w:r>
          </w:p>
          <w:p w:rsidR="009915D0" w:rsidRDefault="009915D0">
            <w:pPr>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注：运营服务费用将按照最终考核等次进行结算，多退少补，全部付款规则及细节以正式合同条款为准。</w:t>
            </w:r>
          </w:p>
          <w:p w:rsidR="009915D0" w:rsidRDefault="009915D0">
            <w:pPr>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具体标准如下：</w:t>
            </w:r>
          </w:p>
          <w:p w:rsidR="009915D0" w:rsidRDefault="009915D0">
            <w:pPr>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（1）考核得分达到90分（含）以上的定为A等次，按该站点年度运营服务费的100%支付资金；</w:t>
            </w:r>
          </w:p>
          <w:p w:rsidR="009915D0" w:rsidRDefault="009915D0">
            <w:pPr>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（2）考核得分达到85分（含）—90分（不含）的定为B等次，按该站点年度运营服务费的90%支付资金；</w:t>
            </w:r>
          </w:p>
          <w:p w:rsidR="009915D0" w:rsidRDefault="009915D0">
            <w:pPr>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（3）考核得分达到80分（含）—85分（不含）的定为C等次，按该站点年度运营服务费的80%支付资金；</w:t>
            </w:r>
          </w:p>
          <w:p w:rsidR="009915D0" w:rsidRDefault="009915D0">
            <w:pPr>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（4）考核得分达到75分（含）—80分（不含）的定为D等次，按该站点年度运营服务费的70%支付资金；</w:t>
            </w:r>
          </w:p>
          <w:p w:rsidR="009915D0" w:rsidRDefault="009915D0">
            <w:pPr>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（5）考核得分达到60分（含）—75分（不含）的定为E等次，按该站点</w:t>
            </w:r>
            <w:r>
              <w:rPr>
                <w:rFonts w:asciiTheme="minorEastAsia" w:eastAsiaTheme="minorEastAsia" w:hAnsiTheme="minorEastAsia" w:hint="eastAsia"/>
                <w:color w:val="000000" w:themeColor="text1"/>
                <w:szCs w:val="21"/>
              </w:rPr>
              <w:lastRenderedPageBreak/>
              <w:t>年度运营服务费的50%支付资金；</w:t>
            </w:r>
          </w:p>
          <w:p w:rsidR="009915D0" w:rsidRDefault="009915D0">
            <w:pPr>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6）考核得分低于60分（不含）的定为F等次（不合格），不支付资金，并根据约定情况要求整改或终止与中标供应商的服务。给采购人造成经济损失或不良社会影响的，中标供应商支付合同金额的30%违约金，违约金不足以弥补损失的，采购人还有权向中标供应商追偿。</w:t>
            </w:r>
          </w:p>
          <w:p w:rsidR="009915D0" w:rsidRDefault="009915D0">
            <w:pPr>
              <w:spacing w:line="360" w:lineRule="auto"/>
              <w:ind w:firstLineChars="200" w:firstLine="422"/>
              <w:rPr>
                <w:rFonts w:asciiTheme="minorEastAsia" w:eastAsiaTheme="minorEastAsia" w:hAnsiTheme="minorEastAsia"/>
                <w:color w:val="000000" w:themeColor="text1"/>
                <w:szCs w:val="21"/>
              </w:rPr>
            </w:pPr>
            <w:r>
              <w:rPr>
                <w:rFonts w:asciiTheme="minorEastAsia" w:eastAsiaTheme="minorEastAsia" w:hAnsiTheme="minorEastAsia" w:cs="宋体" w:hint="eastAsia"/>
                <w:b/>
                <w:bCs/>
                <w:color w:val="000000" w:themeColor="text1"/>
                <w:szCs w:val="21"/>
              </w:rPr>
              <w:t>2.中标供应商在验收合格后，申请支付合同款项前5个工作日内向采购人提供等额合法有效的增值税发票，否则采购人有权延期付款且不承担逾期付款的责任</w:t>
            </w:r>
            <w:bookmarkStart w:id="0" w:name="_Hlk202205248"/>
            <w:r>
              <w:rPr>
                <w:rFonts w:asciiTheme="minorEastAsia" w:eastAsiaTheme="minorEastAsia" w:hAnsiTheme="minorEastAsia" w:cs="宋体" w:hint="eastAsia"/>
                <w:b/>
                <w:bCs/>
                <w:color w:val="000000" w:themeColor="text1"/>
                <w:szCs w:val="21"/>
              </w:rPr>
              <w:t>。</w:t>
            </w:r>
            <w:bookmarkEnd w:id="0"/>
          </w:p>
        </w:tc>
      </w:tr>
      <w:tr w:rsidR="009915D0" w:rsidTr="009915D0">
        <w:trPr>
          <w:gridAfter w:val="1"/>
          <w:wAfter w:w="11" w:type="pct"/>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jc w:val="center"/>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lastRenderedPageBreak/>
              <w:t>▲报价要求</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报价为人民币含税价，总价包干。包括但不限于：</w:t>
            </w:r>
          </w:p>
          <w:p w:rsidR="009915D0" w:rsidRDefault="009915D0">
            <w:pPr>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1）完成本次服务的价格（包括但不限于支持就业服务站公共就业服务的规范配备（全新）、运营团队人员投入、人员报酬/住宿/交通，及为群众和用人单位提供咨询服务、求职服务、零工服务、创业服务、技能培训、就业援助、劳动维权、信息平台投入等）；</w:t>
            </w:r>
          </w:p>
          <w:p w:rsidR="009915D0" w:rsidRDefault="009915D0">
            <w:pPr>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（2）必要的保险费用和各项税金；</w:t>
            </w:r>
          </w:p>
          <w:p w:rsidR="009915D0" w:rsidRDefault="009915D0">
            <w:pPr>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（3）项目验收的费用、后期的技术支持、售后服务（如有）的费用；</w:t>
            </w:r>
          </w:p>
          <w:p w:rsidR="009915D0" w:rsidRDefault="009915D0">
            <w:pPr>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（4）招标代理服务费、管理、保险、税费、利润等，以及合同的所有责任、义务和一般风险等。</w:t>
            </w:r>
          </w:p>
          <w:p w:rsidR="009915D0" w:rsidRDefault="009915D0">
            <w:pPr>
              <w:spacing w:line="360" w:lineRule="auto"/>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（5）在筹备和运营服务期产生的水电、通信、网络费用由中标供应商承担</w:t>
            </w:r>
            <w:r>
              <w:rPr>
                <w:rFonts w:asciiTheme="minorEastAsia" w:eastAsiaTheme="minorEastAsia" w:hAnsiTheme="minorEastAsia" w:cs="宋体" w:hint="eastAsia"/>
                <w:b/>
                <w:bCs/>
                <w:color w:val="000000" w:themeColor="text1"/>
                <w:szCs w:val="21"/>
              </w:rPr>
              <w:t>【县（市、区）、开发区等场地提供方或管理单位愿意提供的除外】</w:t>
            </w:r>
            <w:r>
              <w:rPr>
                <w:rFonts w:asciiTheme="minorEastAsia" w:eastAsiaTheme="minorEastAsia" w:hAnsiTheme="minorEastAsia" w:cs="宋体" w:hint="eastAsia"/>
                <w:color w:val="000000" w:themeColor="text1"/>
                <w:szCs w:val="21"/>
              </w:rPr>
              <w:t>。</w:t>
            </w:r>
          </w:p>
        </w:tc>
      </w:tr>
      <w:tr w:rsidR="009915D0" w:rsidTr="009915D0">
        <w:trPr>
          <w:gridAfter w:val="1"/>
          <w:wAfter w:w="11" w:type="pct"/>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jc w:val="center"/>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▲其他要求</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1.中标供应商所提供的相关服务，以及服务过程中，须免受第三方提出的侵犯其专利权或其它知识产权的起诉。如果第三方提出侵权指控，中标供应商应承担由此而引起的一切法律责任和费用。</w:t>
            </w:r>
          </w:p>
          <w:p w:rsidR="009915D0" w:rsidRDefault="009915D0">
            <w:pPr>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中标供应商应当严格执行保密和廉洁从业工作纪律，对在项目服务过程中的资料和获得信息要严格按保密管理，禁止与无关的人员交流或向第三方泄露其在提供服务期间获得项目涉及的相关信息、商业机密，否则须承担因此产生的全部责任。</w:t>
            </w:r>
          </w:p>
          <w:p w:rsidR="009915D0" w:rsidRDefault="009915D0">
            <w:pPr>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3.服务站筹备完成后，中标供应商须向采购人提供就业服务站规范配备的设备设施清单（含造价清单）（作为验收依据之一）。</w:t>
            </w:r>
            <w:r>
              <w:rPr>
                <w:rFonts w:asciiTheme="minorEastAsia" w:eastAsiaTheme="minorEastAsia" w:hAnsiTheme="minorEastAsia" w:cs="宋体" w:hint="eastAsia"/>
                <w:b/>
                <w:bCs/>
                <w:color w:val="000000" w:themeColor="text1"/>
                <w:szCs w:val="21"/>
              </w:rPr>
              <w:t>服务期满，所有服务站点的设备设施不允许拆卸或破坏，并全部移交经招标或评审程序重新确定或采</w:t>
            </w:r>
            <w:r>
              <w:rPr>
                <w:rFonts w:asciiTheme="minorEastAsia" w:eastAsiaTheme="minorEastAsia" w:hAnsiTheme="minorEastAsia" w:cs="宋体" w:hint="eastAsia"/>
                <w:b/>
                <w:bCs/>
                <w:color w:val="000000" w:themeColor="text1"/>
                <w:szCs w:val="21"/>
              </w:rPr>
              <w:lastRenderedPageBreak/>
              <w:t>购方确定接管的服务单位继续使用</w:t>
            </w:r>
            <w:r>
              <w:rPr>
                <w:rFonts w:asciiTheme="minorEastAsia" w:eastAsiaTheme="minorEastAsia" w:hAnsiTheme="minorEastAsia" w:cs="宋体" w:hint="eastAsia"/>
                <w:color w:val="000000" w:themeColor="text1"/>
                <w:szCs w:val="21"/>
              </w:rPr>
              <w:t>。</w:t>
            </w:r>
          </w:p>
          <w:p w:rsidR="009915D0" w:rsidRDefault="009915D0">
            <w:pPr>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4.规范配备前（含支持公共就业服务的装修、设备设施等）中标供应商须提供设计方案和设备设施配置方案供采购人审核同意后方可实施相关工作。</w:t>
            </w:r>
          </w:p>
          <w:p w:rsidR="009915D0" w:rsidRDefault="009915D0">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5.运营服务过程中，所提供服务内容涉及国家实行经营许可证制度或注册证制度的，中标供应商应按规定具备相关有效的证书，否则应承担违法责任；由此影响采购人项目服务实施工作或造成不良影响的还须承担违约责任。</w:t>
            </w:r>
          </w:p>
        </w:tc>
      </w:tr>
      <w:tr w:rsidR="009915D0" w:rsidTr="009915D0">
        <w:trPr>
          <w:gridAfter w:val="1"/>
          <w:wAfter w:w="11" w:type="pct"/>
        </w:trPr>
        <w:tc>
          <w:tcPr>
            <w:tcW w:w="4988" w:type="pct"/>
            <w:gridSpan w:val="5"/>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lastRenderedPageBreak/>
              <w:t>二、与实现项目相关的其他要求</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（一）投标人的履约能力要求</w:t>
            </w:r>
          </w:p>
        </w:tc>
      </w:tr>
      <w:tr w:rsidR="009915D0" w:rsidTr="009915D0">
        <w:tc>
          <w:tcPr>
            <w:tcW w:w="875"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政策性加分条件</w:t>
            </w:r>
          </w:p>
        </w:tc>
        <w:tc>
          <w:tcPr>
            <w:tcW w:w="4124" w:type="pct"/>
            <w:gridSpan w:val="4"/>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见本招标文件第四章“评标方法及评标标准”。</w:t>
            </w:r>
          </w:p>
        </w:tc>
      </w:tr>
      <w:tr w:rsidR="009915D0" w:rsidTr="009915D0">
        <w:tc>
          <w:tcPr>
            <w:tcW w:w="875"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质量管理体系要求</w:t>
            </w:r>
          </w:p>
        </w:tc>
        <w:tc>
          <w:tcPr>
            <w:tcW w:w="4124" w:type="pct"/>
            <w:gridSpan w:val="4"/>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如有，请于投标文件中自行提供。</w:t>
            </w:r>
          </w:p>
        </w:tc>
      </w:tr>
      <w:tr w:rsidR="009915D0" w:rsidTr="009915D0">
        <w:tc>
          <w:tcPr>
            <w:tcW w:w="875"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业绩要求</w:t>
            </w:r>
          </w:p>
        </w:tc>
        <w:tc>
          <w:tcPr>
            <w:tcW w:w="4124" w:type="pct"/>
            <w:gridSpan w:val="4"/>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如有，请于投标文件中自行提供。</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bCs/>
                <w:color w:val="000000" w:themeColor="text1"/>
                <w:szCs w:val="21"/>
              </w:rPr>
              <w:t>▲</w:t>
            </w:r>
            <w:r>
              <w:rPr>
                <w:rFonts w:asciiTheme="minorEastAsia" w:eastAsiaTheme="minorEastAsia" w:hAnsiTheme="minorEastAsia" w:cs="宋体" w:hint="eastAsia"/>
                <w:b/>
                <w:color w:val="000000" w:themeColor="text1"/>
                <w:szCs w:val="21"/>
              </w:rPr>
              <w:t>（二）验收标准</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ind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验收依据：本项目招标文件、中标供应商的投标文件、合同书及《关于印发广西壮族自治区政府采购项目履约验收管理办法的通知》（桂财采〔2015〕22号）、《财政部关于进一步加强政府采购需求和履约验收管理的指导意见》（财库〔2016〕205号）。</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2.验收所需交付的材料：</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（1）</w:t>
            </w:r>
            <w:r>
              <w:rPr>
                <w:rFonts w:asciiTheme="minorEastAsia" w:eastAsiaTheme="minorEastAsia" w:hAnsiTheme="minorEastAsia" w:cs="宋体" w:hint="eastAsia"/>
                <w:bCs/>
                <w:color w:val="000000" w:themeColor="text1"/>
                <w:szCs w:val="21"/>
              </w:rPr>
              <w:t>筹备：</w:t>
            </w:r>
            <w:r>
              <w:rPr>
                <w:rFonts w:asciiTheme="minorEastAsia" w:eastAsiaTheme="minorEastAsia" w:hAnsiTheme="minorEastAsia" w:cs="宋体" w:hint="eastAsia"/>
                <w:color w:val="000000" w:themeColor="text1"/>
                <w:szCs w:val="21"/>
              </w:rPr>
              <w:t>就业服务站规范配备的设备设施清单（含造价清单），各站点运营团队人员投入名录及人员基本信息（含本地应届大学生投入情况）等。</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（2）运营：满足就业服务站服务内容、考核标准的运营服务成果资料等。</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3.验收事项</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3.1采购人可以根据采购项目具体情况自行组织验收，或者委托第三方机构或部门开展采购项目履约验收工作，中标供应商应予以全力配合。</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3.2在验收过程中发现中标供应商有违约问题，可暂缓资金结算，待违约问题解决后，方可办理资金结算事宜。</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3.3提供的服务内容与采购合同及投标承诺一致；中标供应商根据本项目两个阶段，需按采购人要求提交相关技术或服务成果资料。由于中标供应商原因，未能按本合同规定的内容、时间及相关要求向采购人交付服务成果的，中标供应商承担违约责任，支付违约金。每逾期一天交付，按合同总费用的千分之三支付违约金。</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lastRenderedPageBreak/>
              <w:t>3.4中标供应商按时间结点完成服务站点的筹备和运营服务，并应及时整理筹备和运营服务成果资料并作出全面检查和整理，列出清单（包括但不限于涉及投入到服务所需的软硬件设备），作为采购人验收和使用的条件依据，清单应交给采购人；同时以书面形式通知采购人进行验收，采购人在收到通知后7个工作日内进行验收。中标供应商必须到场配合，验收合格后双方在验收记录上签字确认。</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3.5本项目服务涉及的软硬件设备应对应服务站罗列清单（包括货物名称、品牌、产地、规格型号、数量及产品附件、设备价格、设备售后服务并附购置票据等内容），采购人或采购人委托的第三方机构等多方组成验收小组，将同时对中标供应商承诺配备的所有软硬件进行核实和验收。</w:t>
            </w:r>
          </w:p>
          <w:p w:rsidR="009915D0" w:rsidRDefault="009915D0">
            <w:pPr>
              <w:spacing w:line="360" w:lineRule="auto"/>
              <w:ind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3.6在项目验收过程中，如项目验收不合格，有关返工、再行验收产生相关成本费用，以及给采购人造成的损失等费用由中标供应商承担。连续两次项目验收不合格的，或存在弄虚作假行为的，采购人将不予验收，采购人有权解除合同，并追究中标供应商的责任，由此带来的一切责任由中标供应商自行承担。</w:t>
            </w:r>
          </w:p>
          <w:p w:rsidR="009915D0" w:rsidRDefault="009915D0">
            <w:pPr>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4.其他未尽事宜应严格按照《关于南宁市本级启用政府采购履约验收系统有关事项的通知》（南财采〔2024〕34号）以及《南宁市政府采购供应商履约验收评价管理办法》（南财采[2019]217号）规定执行。</w:t>
            </w:r>
          </w:p>
          <w:p w:rsidR="009915D0" w:rsidRDefault="009915D0">
            <w:pPr>
              <w:spacing w:line="360" w:lineRule="auto"/>
              <w:ind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5.其他未尽事宜由双方签订补充协议进行约定。</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bCs/>
                <w:color w:val="000000" w:themeColor="text1"/>
                <w:szCs w:val="21"/>
              </w:rPr>
              <w:lastRenderedPageBreak/>
              <w:t>▲</w:t>
            </w:r>
            <w:r>
              <w:rPr>
                <w:rFonts w:asciiTheme="minorEastAsia" w:eastAsiaTheme="minorEastAsia" w:hAnsiTheme="minorEastAsia" w:cs="宋体" w:hint="eastAsia"/>
                <w:b/>
                <w:color w:val="000000" w:themeColor="text1"/>
                <w:szCs w:val="21"/>
              </w:rPr>
              <w:t>（三）违约责任</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ind w:firstLineChars="200" w:firstLine="422"/>
              <w:rPr>
                <w:rFonts w:asciiTheme="minorEastAsia" w:eastAsiaTheme="minorEastAsia" w:hAnsiTheme="minorEastAsia" w:cs="宋体"/>
                <w:b/>
                <w:bCs/>
                <w:color w:val="000000" w:themeColor="text1"/>
                <w:szCs w:val="21"/>
              </w:rPr>
            </w:pPr>
            <w:bookmarkStart w:id="1" w:name="_Hlk205828460"/>
            <w:r>
              <w:rPr>
                <w:rFonts w:asciiTheme="minorEastAsia" w:eastAsiaTheme="minorEastAsia" w:hAnsiTheme="minorEastAsia" w:cs="宋体" w:hint="eastAsia"/>
                <w:b/>
                <w:bCs/>
                <w:color w:val="000000" w:themeColor="text1"/>
                <w:szCs w:val="21"/>
              </w:rPr>
              <w:t>1.若因中标供应商原因而未能履行合同，或未按招标文件规定及投标文件承诺履行合同及义务的，采购人有权书面敦促中标供应商履行合同及承诺，中标供应商应在收到采购人书面通知之日起7日内给予书面答复并进行整改；如中标供应商在上述时间未予答复，或无故拖延履行合同超过7日，或经2次整改后仍未达到采购人要求，采购人有权书面通知中标供应商解除本项目服务合同，且无需支付合同解除后的合同后续费用。同时，中标供应商必须退还采购人已付出的所有服务费用，并赔偿由此给采购人造成的全部损失。</w:t>
            </w:r>
          </w:p>
          <w:p w:rsidR="009915D0" w:rsidRDefault="009915D0">
            <w:pPr>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2.中标供应商未得到采购人同意，擅自更换项目负责人及服务团队成员时，每更换一人应当向采购人支付合同金额的5‰作为违约金，未经同意更换人数达到5人的，采购人有权书面通知中标供应商解除服务合同，且无需支付合同解除后的合同后续费用。同时，中标供应商必须退还采购人已付出的所有服务费用，并赔偿由此给采购人造成的全部损失。</w:t>
            </w:r>
          </w:p>
          <w:p w:rsidR="009915D0" w:rsidRDefault="009915D0">
            <w:pPr>
              <w:spacing w:line="360" w:lineRule="auto"/>
              <w:ind w:firstLineChars="200" w:firstLine="422"/>
              <w:rPr>
                <w:rFonts w:asciiTheme="minorEastAsia" w:eastAsiaTheme="minorEastAsia" w:hAnsiTheme="minorEastAsia" w:cs="宋体" w:hint="eastAsia"/>
                <w:b/>
                <w:bCs/>
                <w:color w:val="000000" w:themeColor="text1"/>
                <w:szCs w:val="21"/>
              </w:rPr>
            </w:pPr>
            <w:bookmarkStart w:id="2" w:name="_Hlk205829234"/>
            <w:r>
              <w:rPr>
                <w:rFonts w:asciiTheme="minorEastAsia" w:eastAsiaTheme="minorEastAsia" w:hAnsiTheme="minorEastAsia" w:cs="宋体" w:hint="eastAsia"/>
                <w:b/>
                <w:bCs/>
                <w:color w:val="000000" w:themeColor="text1"/>
                <w:szCs w:val="21"/>
              </w:rPr>
              <w:t>3.中标供应商未按期限完成项目工作或者没在采购人通知的期限内整改完毕的，按违约处</w:t>
            </w:r>
            <w:r>
              <w:rPr>
                <w:rFonts w:asciiTheme="minorEastAsia" w:eastAsiaTheme="minorEastAsia" w:hAnsiTheme="minorEastAsia" w:cs="宋体" w:hint="eastAsia"/>
                <w:b/>
                <w:bCs/>
                <w:color w:val="000000" w:themeColor="text1"/>
                <w:szCs w:val="21"/>
              </w:rPr>
              <w:lastRenderedPageBreak/>
              <w:t>理，每逾期一天，供应商需按照合同金额的1%支付违约金，超过10天，采购人有权解除合同，且无需支付合同解除后的合同后续费用。同时，中标供应商必须退还采购人已付出的所有服务费用，并赔偿由此给采购人造成的全部损失</w:t>
            </w:r>
            <w:bookmarkEnd w:id="2"/>
            <w:r>
              <w:rPr>
                <w:rFonts w:asciiTheme="minorEastAsia" w:eastAsiaTheme="minorEastAsia" w:hAnsiTheme="minorEastAsia" w:cs="宋体" w:hint="eastAsia"/>
                <w:b/>
                <w:bCs/>
                <w:color w:val="000000" w:themeColor="text1"/>
                <w:szCs w:val="21"/>
              </w:rPr>
              <w:t>。</w:t>
            </w:r>
          </w:p>
          <w:p w:rsidR="009915D0" w:rsidRDefault="009915D0">
            <w:pPr>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4.本项目合同签订及履行过程中，未经采购人书面同意，中标供应商不得将本合同的权利义务以任何方式转让给第三方，否则采购人有权选择单方解除本合同，中标供应商必须退还采购人已付出的所有服务费用，向采购人支付合同总金额30%的违约金，造成采购人损失的，应全部予以赔偿。</w:t>
            </w:r>
          </w:p>
          <w:p w:rsidR="009915D0" w:rsidRDefault="009915D0">
            <w:pPr>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5.</w:t>
            </w:r>
            <w:bookmarkStart w:id="3" w:name="_Hlk205840880"/>
            <w:r>
              <w:rPr>
                <w:rFonts w:asciiTheme="minorEastAsia" w:eastAsiaTheme="minorEastAsia" w:hAnsiTheme="minorEastAsia" w:cs="宋体" w:hint="eastAsia"/>
                <w:b/>
                <w:bCs/>
                <w:color w:val="000000" w:themeColor="text1"/>
                <w:szCs w:val="21"/>
              </w:rPr>
              <w:t>中标供应商应当支付给采购人的违约金、赔偿金，采购人有权从已支付的合同款中追回或从未支付的合同款中扣除，违约金不足以赔偿给采购人造成损失的，采购人仍有权向中标供应商进行追偿。</w:t>
            </w:r>
            <w:bookmarkEnd w:id="3"/>
          </w:p>
          <w:p w:rsidR="009915D0" w:rsidRDefault="009915D0">
            <w:pPr>
              <w:spacing w:line="360" w:lineRule="auto"/>
              <w:ind w:firstLineChars="200" w:firstLine="422"/>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b/>
                <w:bCs/>
                <w:color w:val="000000" w:themeColor="text1"/>
                <w:szCs w:val="21"/>
              </w:rPr>
              <w:t>6.按本项目合同约定采购人选择解除合同的，自采购人解除合同的书面通知送达中标供应商之日起合同解除，中标供应商应赔偿由此给采购人造成的全部损失。中标供应商应当在合同解除后5日内退还采购人支付的所有费用（如有），自费运回所交付的产品（如有），付清违约金、赔偿金。</w:t>
            </w:r>
          </w:p>
          <w:p w:rsidR="009915D0" w:rsidRDefault="009915D0">
            <w:pPr>
              <w:spacing w:line="360" w:lineRule="auto"/>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bCs/>
                <w:color w:val="000000" w:themeColor="text1"/>
                <w:szCs w:val="21"/>
              </w:rPr>
              <w:t>7.中标供应商违反本合同约定或法律规定的，应当赔偿给采购人造成的全部损失，包括但不限于直接损失、预期利益损失、采购人向第三方支付的违约金、赔偿金及采购人为索赔或应对第三方索赔而支出的诉讼费、律师费、公证费、保全费、担保费、鉴定费、评估费等全部费用。</w:t>
            </w:r>
            <w:bookmarkEnd w:id="1"/>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lastRenderedPageBreak/>
              <w:t>（四）进口产品及核心产品说明</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ind w:firstLine="435"/>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本项目为服务类项目，无进口产品和核心产品。</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（五）投标要求</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ind w:firstLine="435"/>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1.投标人认为有利于采购人的采购要求之外的优惠条款应单独列明。</w:t>
            </w:r>
          </w:p>
          <w:p w:rsidR="009915D0" w:rsidRDefault="009915D0">
            <w:pPr>
              <w:spacing w:line="360" w:lineRule="auto"/>
              <w:ind w:firstLine="435"/>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投标人结合本项目服务需求及本招标文件第四章“评标方法及评分标准”评审因素于投标文件中提供针对本项目的筹备方案、运营服务方案、本地就业服务体系落地方案、培训方案等（格式自拟）；并明确支持就业服务站提供公共就业服务的规范配备，满足办公服务、求职服务、便民服务、安全防护等设施设备清单，并列明各项设备配置明细（含设备名称、品牌、型号、性能配置信息等）。提供筹备设计方案（包括明确的分区功能，包括但不限于柜面服务区、信息发布区、数智求职区、等候休息区、便民服务区等），及建设效果图（含平面布置图、室外效果图、室内效果图），实现风格统一，且体现就业服务特点。</w:t>
            </w:r>
          </w:p>
          <w:p w:rsidR="009915D0" w:rsidRDefault="009915D0">
            <w:pPr>
              <w:spacing w:line="360" w:lineRule="auto"/>
              <w:ind w:firstLine="435"/>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lastRenderedPageBreak/>
              <w:t>3.投标人具备招聘服务能力。有稳定的招聘服务团队，具有较强的招聘服务和吸纳就业的能力，求职招聘信息归集和发布能力；并承诺为该项目组建一支不少于24人的专属团队，提供针对性的公共就业服务，且日常驻站人员应具备大学专科以上学历，工资待遇不低于上林县编外聘用人员工资标准。</w:t>
            </w:r>
          </w:p>
          <w:p w:rsidR="009915D0" w:rsidRDefault="009915D0">
            <w:pPr>
              <w:spacing w:line="360" w:lineRule="auto"/>
              <w:ind w:firstLine="435"/>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4.投标人具备运营服务能力。具备跨区域、多层级资源整合能力和市场运营服务能力，能依托搭建的线上线下平台影响，拓展市场延伸性服务、精细化服务、关联性服务，保障上林县就业服务站建设运营服务项目长期稳定运行，实现“政府资金小投入，撬动就业大市场”的目标。</w:t>
            </w:r>
          </w:p>
          <w:p w:rsidR="009915D0" w:rsidRDefault="009915D0">
            <w:pPr>
              <w:spacing w:line="360" w:lineRule="auto"/>
              <w:ind w:firstLine="435"/>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5.投标人具有技能培训服务能力。自主（控股或参股）经营有符合规定的职业技能培训机构，或承诺中标后与南宁市的职业技能培训机构签订合作协议（合同），具备为全市常态化提供“岗位需求+技能培训+技能评价+就业服务”四位一体的培训模式服务能力。</w:t>
            </w:r>
          </w:p>
          <w:p w:rsidR="009915D0" w:rsidRDefault="009915D0">
            <w:pPr>
              <w:spacing w:line="360" w:lineRule="auto"/>
              <w:ind w:firstLine="435"/>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6.投标人根据项目投入运营管理服务团队，统筹并管理各就业服务点，确保常态化有人在岗响应需求服务，并能提供专业就业指导及服务管理。（如有），并附人员人力资源管理师或企业人力资源管理师证书，复印件。</w:t>
            </w:r>
          </w:p>
          <w:p w:rsidR="009915D0" w:rsidRDefault="009915D0">
            <w:pPr>
              <w:spacing w:line="360" w:lineRule="auto"/>
              <w:ind w:firstLine="435"/>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7.（如有），请提供就业服务站建设运营服务、就业服务或零工市场服务业绩证明、奖项情况等。</w:t>
            </w:r>
          </w:p>
          <w:p w:rsidR="009915D0" w:rsidRDefault="009915D0">
            <w:pPr>
              <w:spacing w:line="360" w:lineRule="auto"/>
              <w:ind w:firstLine="435"/>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8.证明投标人资信相关证明材料。</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lastRenderedPageBreak/>
              <w:t>（六）其他说明</w:t>
            </w:r>
          </w:p>
        </w:tc>
      </w:tr>
      <w:tr w:rsidR="009915D0" w:rsidTr="009915D0">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hideMark/>
          </w:tcPr>
          <w:p w:rsidR="009915D0" w:rsidRDefault="009915D0">
            <w:pPr>
              <w:spacing w:line="360" w:lineRule="auto"/>
              <w:ind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▲1.除招标文件另有规定外，若出现有关法律、法规和规章有强制性规定但招标文件未列明的情形，则投标人应按照有关法律、法规和规章强制性规定执行。</w:t>
            </w:r>
          </w:p>
          <w:p w:rsidR="009915D0" w:rsidRDefault="009915D0">
            <w:pPr>
              <w:widowControl/>
              <w:shd w:val="clear" w:color="auto" w:fill="FFFFFF"/>
              <w:spacing w:line="360" w:lineRule="auto"/>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2.本项目合同文本中的条款如与项目需求不一致的，以采购文件项目需求表、中标供应商响应条款为准。</w:t>
            </w:r>
          </w:p>
          <w:p w:rsidR="009915D0" w:rsidRDefault="009915D0">
            <w:pPr>
              <w:spacing w:line="360" w:lineRule="auto"/>
              <w:ind w:firstLine="420"/>
              <w:rPr>
                <w:rFonts w:asciiTheme="minorEastAsia" w:eastAsiaTheme="minorEastAsia" w:hAnsiTheme="minorEastAsia" w:cs="宋体" w:hint="eastAsia"/>
                <w:b/>
                <w:bCs/>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hint="eastAsia"/>
                <w:b/>
                <w:bCs/>
                <w:color w:val="000000" w:themeColor="text1"/>
                <w:szCs w:val="21"/>
              </w:rPr>
              <w:t>3.本项目采购预算（含分项预算）为最高限价，投标人的投标报价不得超出最高限价，否则投标无效。</w:t>
            </w:r>
          </w:p>
          <w:p w:rsidR="009915D0" w:rsidRDefault="009915D0">
            <w:pPr>
              <w:spacing w:line="360" w:lineRule="auto"/>
              <w:ind w:firstLine="420"/>
              <w:rPr>
                <w:rFonts w:asciiTheme="minorEastAsia" w:eastAsiaTheme="minorEastAsia" w:hAnsiTheme="minorEastAsia" w:hint="eastAsia"/>
                <w:b/>
                <w:color w:val="000000" w:themeColor="text1"/>
                <w:szCs w:val="21"/>
              </w:rPr>
            </w:pPr>
            <w:r>
              <w:rPr>
                <w:rFonts w:asciiTheme="minorEastAsia" w:eastAsiaTheme="minorEastAsia" w:hAnsiTheme="minorEastAsia" w:hint="eastAsia"/>
                <w:b/>
                <w:color w:val="000000" w:themeColor="text1"/>
                <w:szCs w:val="21"/>
              </w:rPr>
              <w:t>▲4.投标人对本项目任何一个服务项只能有一个报价，采购人不接受有选择的报价，否则投标无效。</w:t>
            </w:r>
          </w:p>
          <w:p w:rsidR="009915D0" w:rsidRDefault="009915D0">
            <w:pPr>
              <w:spacing w:line="360" w:lineRule="auto"/>
              <w:ind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5.本项目不组织考察，由各投标人根据采购需求附件站点分布情况自行考察。</w:t>
            </w:r>
          </w:p>
        </w:tc>
      </w:tr>
    </w:tbl>
    <w:p w:rsidR="009915D0" w:rsidRDefault="009915D0" w:rsidP="009915D0">
      <w:pPr>
        <w:spacing w:line="360" w:lineRule="auto"/>
        <w:rPr>
          <w:rFonts w:asciiTheme="minorEastAsia" w:eastAsiaTheme="minorEastAsia" w:hAnsiTheme="minorEastAsia" w:cs="微软雅黑" w:hint="eastAsia"/>
          <w:color w:val="000000" w:themeColor="text1"/>
          <w:sz w:val="32"/>
          <w:szCs w:val="32"/>
        </w:rPr>
      </w:pPr>
      <w:r>
        <w:rPr>
          <w:rFonts w:asciiTheme="minorEastAsia" w:eastAsiaTheme="minorEastAsia" w:hAnsiTheme="minorEastAsia" w:cs="微软雅黑" w:hint="eastAsia"/>
          <w:color w:val="000000" w:themeColor="text1"/>
          <w:sz w:val="32"/>
          <w:szCs w:val="32"/>
        </w:rPr>
        <w:br w:type="page"/>
      </w:r>
    </w:p>
    <w:p w:rsidR="009915D0" w:rsidRDefault="009915D0" w:rsidP="009915D0">
      <w:pPr>
        <w:pStyle w:val="a8"/>
        <w:widowControl/>
        <w:kinsoku w:val="0"/>
        <w:autoSpaceDE w:val="0"/>
        <w:autoSpaceDN w:val="0"/>
        <w:adjustRightInd w:val="0"/>
        <w:snapToGrid w:val="0"/>
        <w:spacing w:line="360" w:lineRule="auto"/>
        <w:ind w:firstLine="0"/>
        <w:textAlignment w:val="baseline"/>
        <w:rPr>
          <w:rFonts w:asciiTheme="minorEastAsia" w:eastAsiaTheme="minorEastAsia" w:hAnsiTheme="minorEastAsia" w:cs="Arial" w:hint="eastAsia"/>
          <w:snapToGrid w:val="0"/>
          <w:color w:val="000000" w:themeColor="text1"/>
          <w:kern w:val="2"/>
          <w:sz w:val="32"/>
          <w:szCs w:val="32"/>
        </w:rPr>
      </w:pPr>
      <w:r>
        <w:rPr>
          <w:rFonts w:asciiTheme="minorEastAsia" w:eastAsiaTheme="minorEastAsia" w:hAnsiTheme="minorEastAsia" w:cs="Arial" w:hint="eastAsia"/>
          <w:snapToGrid w:val="0"/>
          <w:color w:val="000000" w:themeColor="text1"/>
          <w:kern w:val="2"/>
          <w:sz w:val="32"/>
          <w:szCs w:val="32"/>
        </w:rPr>
        <w:lastRenderedPageBreak/>
        <w:t>附件1</w:t>
      </w:r>
    </w:p>
    <w:p w:rsidR="009915D0" w:rsidRDefault="009915D0" w:rsidP="009915D0">
      <w:pPr>
        <w:pStyle w:val="a8"/>
        <w:spacing w:line="360" w:lineRule="auto"/>
        <w:rPr>
          <w:rFonts w:asciiTheme="minorEastAsia" w:eastAsiaTheme="minorEastAsia" w:hAnsiTheme="minorEastAsia" w:hint="eastAsia"/>
          <w:color w:val="000000" w:themeColor="text1"/>
        </w:rPr>
      </w:pPr>
    </w:p>
    <w:p w:rsidR="009915D0" w:rsidRDefault="009915D0" w:rsidP="009915D0">
      <w:pPr>
        <w:spacing w:line="360" w:lineRule="auto"/>
        <w:jc w:val="center"/>
        <w:rPr>
          <w:rFonts w:asciiTheme="minorEastAsia" w:eastAsiaTheme="minorEastAsia" w:hAnsiTheme="minorEastAsia" w:hint="eastAsia"/>
          <w:color w:val="000000" w:themeColor="text1"/>
        </w:rPr>
      </w:pPr>
      <w:r>
        <w:rPr>
          <w:rFonts w:asciiTheme="minorEastAsia" w:eastAsiaTheme="minorEastAsia" w:hAnsiTheme="minorEastAsia" w:cs="仿宋_GB2312" w:hint="eastAsia"/>
          <w:color w:val="000000" w:themeColor="text1"/>
          <w:kern w:val="2"/>
          <w:sz w:val="44"/>
          <w:szCs w:val="44"/>
        </w:rPr>
        <w:t>上林县就业服务站建设运营服务项目站点分布及经费预算明细表</w:t>
      </w:r>
    </w:p>
    <w:tbl>
      <w:tblPr>
        <w:tblpPr w:leftFromText="135" w:rightFromText="135" w:vertAnchor="text" w:horzAnchor="page" w:tblpX="1377" w:tblpY="123"/>
        <w:tblOverlap w:val="never"/>
        <w:tblW w:w="9465" w:type="dxa"/>
        <w:tblLayout w:type="fixed"/>
        <w:tblCellMar>
          <w:left w:w="0" w:type="dxa"/>
          <w:right w:w="0" w:type="dxa"/>
        </w:tblCellMar>
        <w:tblLook w:val="04A0"/>
      </w:tblPr>
      <w:tblGrid>
        <w:gridCol w:w="513"/>
        <w:gridCol w:w="836"/>
        <w:gridCol w:w="1717"/>
        <w:gridCol w:w="1774"/>
        <w:gridCol w:w="1275"/>
        <w:gridCol w:w="900"/>
        <w:gridCol w:w="2450"/>
      </w:tblGrid>
      <w:tr w:rsidR="009915D0" w:rsidTr="009915D0">
        <w:trPr>
          <w:cantSplit/>
          <w:trHeight w:val="960"/>
        </w:trPr>
        <w:tc>
          <w:tcPr>
            <w:tcW w:w="51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序号</w:t>
            </w:r>
          </w:p>
        </w:tc>
        <w:tc>
          <w:tcPr>
            <w:tcW w:w="83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乡镇</w:t>
            </w:r>
          </w:p>
        </w:tc>
        <w:tc>
          <w:tcPr>
            <w:tcW w:w="17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站点名称</w:t>
            </w:r>
          </w:p>
        </w:tc>
        <w:tc>
          <w:tcPr>
            <w:tcW w:w="177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站点位置</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站点类型</w:t>
            </w:r>
          </w:p>
        </w:tc>
        <w:tc>
          <w:tcPr>
            <w:tcW w:w="900"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经费预算</w:t>
            </w:r>
          </w:p>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（万元）</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备注</w:t>
            </w:r>
          </w:p>
        </w:tc>
      </w:tr>
      <w:tr w:rsidR="009915D0" w:rsidTr="009915D0">
        <w:trPr>
          <w:cantSplit/>
          <w:trHeight w:val="2135"/>
        </w:trPr>
        <w:tc>
          <w:tcPr>
            <w:tcW w:w="512" w:type="dxa"/>
            <w:tcBorders>
              <w:top w:val="single" w:sz="4" w:space="0" w:color="auto"/>
              <w:left w:val="single" w:sz="4" w:space="0" w:color="auto"/>
              <w:bottom w:val="nil"/>
              <w:right w:val="nil"/>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1</w:t>
            </w:r>
          </w:p>
        </w:tc>
        <w:tc>
          <w:tcPr>
            <w:tcW w:w="836"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明亮镇</w:t>
            </w:r>
          </w:p>
        </w:tc>
        <w:tc>
          <w:tcPr>
            <w:tcW w:w="1717"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上林县明亮镇</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auto"/>
              <w:left w:val="nil"/>
              <w:bottom w:val="nil"/>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明亮镇明澄社区建材市场25-1-11</w:t>
            </w:r>
          </w:p>
        </w:tc>
        <w:tc>
          <w:tcPr>
            <w:tcW w:w="1275"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第1年30万元（含南宁为民办实事资金5.5万元，粤桂东西部协作资金20万元，剩余部分为上级下达的就业补助资金）；</w:t>
            </w:r>
          </w:p>
          <w:p w:rsidR="009915D0" w:rsidRDefault="009915D0">
            <w:pPr>
              <w:pStyle w:val="20"/>
              <w:spacing w:before="100" w:after="100" w:line="360" w:lineRule="auto"/>
              <w:rPr>
                <w:rFonts w:asciiTheme="minorEastAsia" w:eastAsiaTheme="minorEastAsia" w:hAnsiTheme="minorEastAsia" w:cs="仿宋_GB2312"/>
                <w:b w:val="0"/>
                <w:color w:val="000000" w:themeColor="text1"/>
                <w:sz w:val="24"/>
                <w:szCs w:val="24"/>
              </w:rPr>
            </w:pPr>
            <w:r>
              <w:rPr>
                <w:rFonts w:asciiTheme="minorEastAsia" w:eastAsiaTheme="minorEastAsia" w:hAnsiTheme="minorEastAsia" w:cs="仿宋_GB2312" w:hint="eastAsia"/>
                <w:b w:val="0"/>
                <w:color w:val="000000" w:themeColor="text1"/>
                <w:sz w:val="24"/>
                <w:szCs w:val="24"/>
              </w:rPr>
              <w:t>第2年15万元。</w:t>
            </w:r>
          </w:p>
        </w:tc>
      </w:tr>
      <w:tr w:rsidR="009915D0" w:rsidTr="009915D0">
        <w:trPr>
          <w:cantSplit/>
          <w:trHeight w:val="1860"/>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autoSpaceDE w:val="0"/>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2</w:t>
            </w:r>
          </w:p>
        </w:tc>
        <w:tc>
          <w:tcPr>
            <w:tcW w:w="836"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巷贤镇</w:t>
            </w:r>
          </w:p>
        </w:tc>
        <w:tc>
          <w:tcPr>
            <w:tcW w:w="1717"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上林县巷贤镇</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巷贤镇北街A2号（原财政所）</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auto"/>
              <w:left w:val="nil"/>
              <w:bottom w:val="nil"/>
              <w:right w:val="nil"/>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cantSplit/>
          <w:trHeight w:val="2160"/>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3</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澄泰乡</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上林县澄泰乡（象山工业园区）就业服务站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澄泰乡福林产业园1期一栋1楼</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第1年30万元（含南宁为民办实事资金5.5万元，粤桂东西部协作资金20万元，剩余部分为上级下达的就业补助资金）；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trHeight w:val="1800"/>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lastRenderedPageBreak/>
              <w:t>4</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白圩镇</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上林县白圩镇</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白圩镇拜堂街6号（原白圩水利站）</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trHeight w:val="1685"/>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5</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三里镇</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上林县三里镇</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三里镇三里社区朝阳街160-1号</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trHeight w:val="1740"/>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6</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乔贤镇</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上林县乔贤镇</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乔贤镇乔贤北街45号</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trHeight w:val="1195"/>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Pr>
                <w:rFonts w:asciiTheme="minorEastAsia" w:eastAsiaTheme="minorEastAsia" w:hAnsiTheme="minorEastAsia" w:cs="黑体" w:hint="eastAsia"/>
                <w:bCs/>
                <w:color w:val="000000" w:themeColor="text1"/>
                <w:szCs w:val="21"/>
              </w:rPr>
              <w:t>序号</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Pr>
                <w:rFonts w:asciiTheme="minorEastAsia" w:eastAsiaTheme="minorEastAsia" w:hAnsiTheme="minorEastAsia" w:cs="黑体" w:hint="eastAsia"/>
                <w:bCs/>
                <w:color w:val="000000" w:themeColor="text1"/>
                <w:szCs w:val="21"/>
              </w:rPr>
              <w:t>乡镇</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Pr>
                <w:rFonts w:asciiTheme="minorEastAsia" w:eastAsiaTheme="minorEastAsia" w:hAnsiTheme="minorEastAsia" w:cs="黑体" w:hint="eastAsia"/>
                <w:bCs/>
                <w:color w:val="000000" w:themeColor="text1"/>
                <w:szCs w:val="21"/>
              </w:rPr>
              <w:t>站点名称</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Pr>
                <w:rFonts w:asciiTheme="minorEastAsia" w:eastAsiaTheme="minorEastAsia" w:hAnsiTheme="minorEastAsia" w:cs="黑体" w:hint="eastAsia"/>
                <w:bCs/>
                <w:color w:val="000000" w:themeColor="text1"/>
                <w:szCs w:val="21"/>
              </w:rPr>
              <w:t>站点位置</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Pr>
                <w:rFonts w:asciiTheme="minorEastAsia" w:eastAsiaTheme="minorEastAsia" w:hAnsiTheme="minorEastAsia" w:cs="黑体" w:hint="eastAsia"/>
                <w:bCs/>
                <w:color w:val="000000" w:themeColor="text1"/>
                <w:szCs w:val="21"/>
              </w:rPr>
              <w:t>站点类型</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经费预算</w:t>
            </w:r>
          </w:p>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Pr>
                <w:rFonts w:asciiTheme="minorEastAsia" w:eastAsiaTheme="minorEastAsia" w:hAnsiTheme="minorEastAsia" w:cs="黑体" w:hint="eastAsia"/>
                <w:bCs/>
                <w:color w:val="000000" w:themeColor="text1"/>
                <w:szCs w:val="21"/>
              </w:rPr>
              <w:t>（万元）</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Pr>
                <w:rFonts w:asciiTheme="minorEastAsia" w:eastAsiaTheme="minorEastAsia" w:hAnsiTheme="minorEastAsia" w:cs="黑体" w:hint="eastAsia"/>
                <w:bCs/>
                <w:color w:val="000000" w:themeColor="text1"/>
                <w:szCs w:val="21"/>
              </w:rPr>
              <w:t>备注</w:t>
            </w:r>
          </w:p>
        </w:tc>
      </w:tr>
      <w:tr w:rsidR="009915D0" w:rsidTr="009915D0">
        <w:trPr>
          <w:trHeight w:val="1945"/>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7</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木山乡</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上林县木山乡</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木山乡木山街</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5号</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trHeight w:val="1955"/>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8</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塘红乡</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上林县塘红乡</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塘红乡易地搬迁安置点</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trHeight w:val="2150"/>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lastRenderedPageBreak/>
              <w:t>9</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镇圩瑶族乡</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kern w:val="2"/>
                <w:sz w:val="24"/>
              </w:rPr>
            </w:pPr>
            <w:r>
              <w:rPr>
                <w:rFonts w:asciiTheme="minorEastAsia" w:eastAsiaTheme="minorEastAsia" w:hAnsiTheme="minorEastAsia" w:cs="仿宋_GB2312" w:hint="eastAsia"/>
                <w:bCs/>
                <w:color w:val="000000" w:themeColor="text1"/>
                <w:sz w:val="24"/>
              </w:rPr>
              <w:t>上林县镇圩瑶族乡就业服务站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kern w:val="2"/>
                <w:sz w:val="24"/>
              </w:rPr>
            </w:pPr>
            <w:r>
              <w:rPr>
                <w:rFonts w:asciiTheme="minorEastAsia" w:eastAsiaTheme="minorEastAsia" w:hAnsiTheme="minorEastAsia" w:cs="仿宋_GB2312" w:hint="eastAsia"/>
                <w:bCs/>
                <w:color w:val="000000" w:themeColor="text1"/>
                <w:sz w:val="24"/>
              </w:rPr>
              <w:t>镇圩乡镇马社区镇马街2号</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trHeight w:val="1965"/>
        </w:trPr>
        <w:tc>
          <w:tcPr>
            <w:tcW w:w="5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10</w:t>
            </w:r>
          </w:p>
        </w:tc>
        <w:tc>
          <w:tcPr>
            <w:tcW w:w="836"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西燕镇</w:t>
            </w:r>
          </w:p>
        </w:tc>
        <w:tc>
          <w:tcPr>
            <w:tcW w:w="1717"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上林县西燕镇</w:t>
            </w:r>
          </w:p>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Pr>
                <w:rFonts w:asciiTheme="minorEastAsia" w:eastAsiaTheme="minorEastAsia" w:hAnsiTheme="minorEastAsia" w:cs="仿宋_GB2312" w:hint="eastAsia"/>
                <w:bCs/>
                <w:color w:val="000000" w:themeColor="text1"/>
                <w:sz w:val="24"/>
              </w:rPr>
              <w:t>西燕镇政府大门左侧</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9915D0" w:rsidRDefault="009915D0">
            <w:pPr>
              <w:widowControl/>
              <w:spacing w:line="360" w:lineRule="auto"/>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第2年15万元。</w:t>
            </w:r>
          </w:p>
        </w:tc>
      </w:tr>
      <w:tr w:rsidR="009915D0" w:rsidTr="009915D0">
        <w:trPr>
          <w:trHeight w:val="847"/>
        </w:trPr>
        <w:tc>
          <w:tcPr>
            <w:tcW w:w="6114"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合计</w:t>
            </w: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450</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915D0" w:rsidRDefault="009915D0">
            <w:pPr>
              <w:widowControl/>
              <w:spacing w:line="360" w:lineRule="auto"/>
              <w:jc w:val="center"/>
              <w:textAlignment w:val="center"/>
              <w:rPr>
                <w:rFonts w:asciiTheme="minorEastAsia" w:eastAsiaTheme="minorEastAsia" w:hAnsiTheme="minorEastAsia" w:cs="仿宋_GB2312"/>
                <w:b/>
                <w:snapToGrid w:val="0"/>
                <w:color w:val="000000" w:themeColor="text1"/>
                <w:kern w:val="2"/>
                <w:sz w:val="24"/>
              </w:rPr>
            </w:pPr>
          </w:p>
        </w:tc>
      </w:tr>
    </w:tbl>
    <w:p w:rsidR="009915D0" w:rsidRDefault="009915D0" w:rsidP="009915D0">
      <w:pPr>
        <w:spacing w:line="360" w:lineRule="auto"/>
        <w:rPr>
          <w:rFonts w:asciiTheme="minorEastAsia" w:eastAsiaTheme="minorEastAsia" w:hAnsiTheme="minorEastAsia" w:cs="黑体" w:hint="eastAsia"/>
          <w:color w:val="000000" w:themeColor="text1"/>
          <w:sz w:val="32"/>
          <w:szCs w:val="32"/>
        </w:rPr>
      </w:pPr>
    </w:p>
    <w:p w:rsidR="009915D0" w:rsidRDefault="009915D0" w:rsidP="009915D0">
      <w:pPr>
        <w:spacing w:line="360" w:lineRule="auto"/>
        <w:rPr>
          <w:rFonts w:asciiTheme="minorEastAsia" w:eastAsiaTheme="minorEastAsia" w:hAnsiTheme="minorEastAsia" w:cs="黑体" w:hint="eastAsia"/>
          <w:color w:val="000000" w:themeColor="text1"/>
          <w:sz w:val="32"/>
          <w:szCs w:val="32"/>
        </w:rPr>
      </w:pPr>
    </w:p>
    <w:p w:rsidR="009915D0" w:rsidRDefault="009915D0" w:rsidP="009915D0">
      <w:pPr>
        <w:spacing w:line="360" w:lineRule="auto"/>
        <w:rPr>
          <w:rFonts w:asciiTheme="minorEastAsia" w:eastAsiaTheme="minorEastAsia" w:hAnsiTheme="minorEastAsia" w:cs="黑体" w:hint="eastAsia"/>
          <w:color w:val="000000" w:themeColor="text1"/>
          <w:sz w:val="32"/>
          <w:szCs w:val="32"/>
        </w:rPr>
      </w:pPr>
    </w:p>
    <w:p w:rsidR="009915D0" w:rsidRDefault="009915D0" w:rsidP="009915D0">
      <w:pPr>
        <w:spacing w:line="360" w:lineRule="auto"/>
        <w:rPr>
          <w:rFonts w:asciiTheme="minorEastAsia" w:eastAsiaTheme="minorEastAsia" w:hAnsiTheme="minorEastAsia" w:cs="黑体" w:hint="eastAsia"/>
          <w:color w:val="000000" w:themeColor="text1"/>
          <w:sz w:val="32"/>
          <w:szCs w:val="32"/>
        </w:rPr>
      </w:pPr>
    </w:p>
    <w:p w:rsidR="009915D0" w:rsidRDefault="009915D0" w:rsidP="009915D0">
      <w:pPr>
        <w:spacing w:line="360" w:lineRule="auto"/>
        <w:rPr>
          <w:rFonts w:asciiTheme="minorEastAsia" w:eastAsiaTheme="minorEastAsia" w:hAnsiTheme="minorEastAsia" w:cs="黑体" w:hint="eastAsia"/>
          <w:color w:val="000000" w:themeColor="text1"/>
          <w:sz w:val="32"/>
          <w:szCs w:val="32"/>
        </w:rPr>
      </w:pPr>
    </w:p>
    <w:p w:rsidR="009915D0" w:rsidRDefault="009915D0" w:rsidP="009915D0">
      <w:pPr>
        <w:spacing w:line="360" w:lineRule="auto"/>
        <w:rPr>
          <w:rFonts w:asciiTheme="minorEastAsia" w:eastAsiaTheme="minorEastAsia" w:hAnsiTheme="minorEastAsia" w:cs="黑体" w:hint="eastAsia"/>
          <w:color w:val="000000" w:themeColor="text1"/>
          <w:sz w:val="32"/>
          <w:szCs w:val="32"/>
        </w:rPr>
      </w:pPr>
    </w:p>
    <w:p w:rsidR="009915D0" w:rsidRDefault="009915D0" w:rsidP="009915D0">
      <w:pPr>
        <w:spacing w:line="360" w:lineRule="auto"/>
        <w:rPr>
          <w:rFonts w:asciiTheme="minorEastAsia" w:eastAsiaTheme="minorEastAsia" w:hAnsiTheme="minorEastAsia" w:cs="黑体" w:hint="eastAsia"/>
          <w:color w:val="000000" w:themeColor="text1"/>
          <w:sz w:val="32"/>
          <w:szCs w:val="32"/>
        </w:rPr>
      </w:pPr>
    </w:p>
    <w:p w:rsidR="009915D0" w:rsidRDefault="009915D0" w:rsidP="009915D0">
      <w:pPr>
        <w:spacing w:line="360" w:lineRule="auto"/>
        <w:rPr>
          <w:rFonts w:asciiTheme="minorEastAsia" w:eastAsiaTheme="minorEastAsia" w:hAnsiTheme="minorEastAsia" w:cs="仿宋_GB2312" w:hint="eastAsia"/>
          <w:color w:val="000000" w:themeColor="text1"/>
          <w:sz w:val="32"/>
          <w:szCs w:val="32"/>
        </w:rPr>
      </w:pPr>
      <w:r>
        <w:rPr>
          <w:rFonts w:asciiTheme="minorEastAsia" w:eastAsiaTheme="minorEastAsia" w:hAnsiTheme="minorEastAsia" w:cs="仿宋_GB2312" w:hint="eastAsia"/>
          <w:color w:val="000000" w:themeColor="text1"/>
          <w:sz w:val="32"/>
          <w:szCs w:val="32"/>
        </w:rPr>
        <w:t>附件2</w:t>
      </w:r>
    </w:p>
    <w:p w:rsidR="009915D0" w:rsidRDefault="009915D0" w:rsidP="009915D0">
      <w:pPr>
        <w:spacing w:line="360" w:lineRule="auto"/>
        <w:jc w:val="center"/>
        <w:rPr>
          <w:rFonts w:asciiTheme="minorEastAsia" w:eastAsiaTheme="minorEastAsia" w:hAnsiTheme="minorEastAsia" w:cs="宋体" w:hint="eastAsia"/>
          <w:color w:val="000000" w:themeColor="text1"/>
          <w:szCs w:val="21"/>
        </w:rPr>
      </w:pPr>
    </w:p>
    <w:p w:rsidR="009915D0" w:rsidRDefault="009915D0" w:rsidP="009915D0">
      <w:pPr>
        <w:spacing w:line="360" w:lineRule="auto"/>
        <w:jc w:val="center"/>
        <w:rPr>
          <w:rFonts w:asciiTheme="minorEastAsia" w:eastAsiaTheme="minorEastAsia" w:hAnsiTheme="minorEastAsia" w:cs="方正小标宋简体" w:hint="eastAsia"/>
          <w:color w:val="000000" w:themeColor="text1"/>
          <w:sz w:val="44"/>
          <w:szCs w:val="44"/>
        </w:rPr>
      </w:pPr>
      <w:r>
        <w:rPr>
          <w:rFonts w:asciiTheme="minorEastAsia" w:eastAsiaTheme="minorEastAsia" w:hAnsiTheme="minorEastAsia" w:cs="方正小标宋简体" w:hint="eastAsia"/>
          <w:color w:val="000000" w:themeColor="text1"/>
          <w:sz w:val="44"/>
          <w:szCs w:val="44"/>
        </w:rPr>
        <w:t>南宁市一级就业服务站规范配备标准</w:t>
      </w:r>
    </w:p>
    <w:p w:rsidR="009915D0" w:rsidRDefault="009915D0" w:rsidP="009915D0">
      <w:pPr>
        <w:spacing w:line="360" w:lineRule="auto"/>
        <w:jc w:val="center"/>
        <w:rPr>
          <w:rFonts w:asciiTheme="minorEastAsia" w:eastAsiaTheme="minorEastAsia" w:hAnsiTheme="minorEastAsia" w:cs="宋体" w:hint="eastAsia"/>
          <w:color w:val="000000" w:themeColor="text1"/>
          <w:szCs w:val="21"/>
        </w:rPr>
      </w:pPr>
    </w:p>
    <w:tbl>
      <w:tblPr>
        <w:tblStyle w:val="afff3"/>
        <w:tblW w:w="981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4"/>
        <w:gridCol w:w="960"/>
        <w:gridCol w:w="1831"/>
        <w:gridCol w:w="3898"/>
        <w:gridCol w:w="2347"/>
      </w:tblGrid>
      <w:tr w:rsidR="009915D0" w:rsidTr="009915D0">
        <w:trPr>
          <w:trHeight w:val="538"/>
          <w:tblHeader/>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color w:val="000000" w:themeColor="text1"/>
                <w:sz w:val="24"/>
              </w:rPr>
            </w:pPr>
            <w:r>
              <w:rPr>
                <w:rFonts w:asciiTheme="minorEastAsia" w:eastAsiaTheme="minorEastAsia" w:hAnsiTheme="minorEastAsia" w:cs="黑体" w:hint="eastAsia"/>
                <w:color w:val="000000" w:themeColor="text1"/>
                <w:sz w:val="24"/>
              </w:rPr>
              <w:t>序号</w:t>
            </w:r>
          </w:p>
        </w:tc>
        <w:tc>
          <w:tcPr>
            <w:tcW w:w="96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color w:val="000000" w:themeColor="text1"/>
                <w:sz w:val="24"/>
              </w:rPr>
            </w:pPr>
            <w:r>
              <w:rPr>
                <w:rFonts w:asciiTheme="minorEastAsia" w:eastAsiaTheme="minorEastAsia" w:hAnsiTheme="minorEastAsia" w:cs="黑体" w:hint="eastAsia"/>
                <w:color w:val="000000" w:themeColor="text1"/>
                <w:sz w:val="24"/>
              </w:rPr>
              <w:t>配备运营标准</w:t>
            </w:r>
          </w:p>
        </w:tc>
        <w:tc>
          <w:tcPr>
            <w:tcW w:w="1832"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color w:val="000000" w:themeColor="text1"/>
                <w:sz w:val="24"/>
              </w:rPr>
            </w:pPr>
            <w:r>
              <w:rPr>
                <w:rFonts w:asciiTheme="minorEastAsia" w:eastAsiaTheme="minorEastAsia" w:hAnsiTheme="minorEastAsia" w:cs="黑体" w:hint="eastAsia"/>
                <w:color w:val="000000" w:themeColor="text1"/>
                <w:sz w:val="24"/>
              </w:rPr>
              <w:t>配备运营要求</w:t>
            </w:r>
          </w:p>
        </w:tc>
        <w:tc>
          <w:tcPr>
            <w:tcW w:w="390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color w:val="000000" w:themeColor="text1"/>
                <w:sz w:val="24"/>
              </w:rPr>
            </w:pPr>
            <w:r>
              <w:rPr>
                <w:rFonts w:asciiTheme="minorEastAsia" w:eastAsiaTheme="minorEastAsia" w:hAnsiTheme="minorEastAsia" w:cs="黑体" w:hint="eastAsia"/>
                <w:color w:val="000000" w:themeColor="text1"/>
                <w:sz w:val="24"/>
              </w:rPr>
              <w:t>基本配备</w:t>
            </w:r>
          </w:p>
        </w:tc>
        <w:tc>
          <w:tcPr>
            <w:tcW w:w="234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color w:val="000000" w:themeColor="text1"/>
                <w:sz w:val="24"/>
              </w:rPr>
            </w:pPr>
            <w:r>
              <w:rPr>
                <w:rFonts w:asciiTheme="minorEastAsia" w:eastAsiaTheme="minorEastAsia" w:hAnsiTheme="minorEastAsia" w:cs="黑体" w:hint="eastAsia"/>
                <w:color w:val="000000" w:themeColor="text1"/>
                <w:sz w:val="24"/>
              </w:rPr>
              <w:t>可选配备</w:t>
            </w:r>
          </w:p>
        </w:tc>
      </w:tr>
      <w:tr w:rsidR="009915D0" w:rsidTr="009915D0">
        <w:trPr>
          <w:trHeight w:val="2650"/>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有服务</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场所</w:t>
            </w:r>
          </w:p>
        </w:tc>
        <w:tc>
          <w:tcPr>
            <w:tcW w:w="1832"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有固定、独立的服务场所，面积符合服务功能需求，选址位于人员集中居住区、人流密集区等便于服务对象到达的地方</w:t>
            </w:r>
          </w:p>
        </w:tc>
        <w:tc>
          <w:tcPr>
            <w:tcW w:w="390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1.原则上场地面积不少于30平方米；</w:t>
            </w:r>
            <w:r>
              <w:rPr>
                <w:rFonts w:asciiTheme="minorEastAsia" w:eastAsiaTheme="minorEastAsia" w:hAnsiTheme="minorEastAsia" w:cs="仿宋_GB2312" w:hint="eastAsia"/>
                <w:color w:val="000000" w:themeColor="text1"/>
                <w:sz w:val="24"/>
              </w:rPr>
              <w:br/>
              <w:t>2.场地能满足设置柜面服务区、信息发布区、数智求职区、等候休息区、便民服务区等基本功能区域。</w:t>
            </w:r>
          </w:p>
        </w:tc>
        <w:tc>
          <w:tcPr>
            <w:tcW w:w="234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1.根据场地实际，可增设求职招聘区、职业培训区、线上直播间、视频面试区以及24小时人社自助服务区等功能区域；</w:t>
            </w:r>
          </w:p>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2.场所可使用面积（含延展面积）超50平方米的，可结合实际加挂零工市场。</w:t>
            </w:r>
          </w:p>
        </w:tc>
      </w:tr>
      <w:tr w:rsidR="009915D0" w:rsidTr="009915D0">
        <w:trPr>
          <w:trHeight w:val="6770"/>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2</w:t>
            </w:r>
          </w:p>
        </w:tc>
        <w:tc>
          <w:tcPr>
            <w:tcW w:w="96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有服务</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设施</w:t>
            </w:r>
          </w:p>
        </w:tc>
        <w:tc>
          <w:tcPr>
            <w:tcW w:w="1832"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配备有必要的办公服务、求职服务、便民服务、安全防护等设施设备</w:t>
            </w:r>
          </w:p>
        </w:tc>
        <w:tc>
          <w:tcPr>
            <w:tcW w:w="390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1.办公服务：</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（1）服务前台及座椅（可容纳2人）;</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（2）办公电脑（不少于2台）；</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（3）打印复印一体机；</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（4）文件柜；</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（5）人社专网；</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2.求职服务：</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（6）求职招聘信息发布大屏（或可触摸查询信息大屏）；</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（7）求职招聘自助服务机；</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（8）资料取阅架；</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3.便民服务：</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（9）等候休息桌椅（不少于2套，可容纳6人以上）；</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（10）室内空调；</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（11）自助饮水机或茶吧机（配一次性水杯）；</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lastRenderedPageBreak/>
              <w:t>4.爱心服务设备</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（12）应急药箱、微波炉、储物柜、充电宝、手机充电、便民雨伞及老花镜等；</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5.安全防护：</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（13）监控设备；</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（14）灭火器（不少于2支）；</w:t>
            </w:r>
          </w:p>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（15）反恐防暴装备。</w:t>
            </w:r>
          </w:p>
        </w:tc>
        <w:tc>
          <w:tcPr>
            <w:tcW w:w="2348" w:type="dxa"/>
            <w:tcBorders>
              <w:top w:val="single" w:sz="4" w:space="0" w:color="auto"/>
              <w:left w:val="single" w:sz="4" w:space="0" w:color="auto"/>
              <w:bottom w:val="single" w:sz="4" w:space="0" w:color="auto"/>
              <w:right w:val="single" w:sz="4" w:space="0" w:color="auto"/>
            </w:tcBorders>
            <w:vAlign w:val="center"/>
          </w:tcPr>
          <w:p w:rsidR="009915D0" w:rsidRDefault="009915D0">
            <w:pPr>
              <w:widowControl/>
              <w:spacing w:line="360" w:lineRule="auto"/>
              <w:jc w:val="left"/>
              <w:rPr>
                <w:rFonts w:asciiTheme="minorEastAsia" w:eastAsiaTheme="minorEastAsia" w:hAnsiTheme="minorEastAsia"/>
                <w:color w:val="000000" w:themeColor="text1"/>
                <w:sz w:val="21"/>
              </w:rPr>
            </w:pPr>
            <w:r>
              <w:rPr>
                <w:rFonts w:asciiTheme="minorEastAsia" w:eastAsiaTheme="minorEastAsia" w:hAnsiTheme="minorEastAsia" w:cs="仿宋_GB2312" w:hint="eastAsia"/>
                <w:snapToGrid w:val="0"/>
                <w:color w:val="000000" w:themeColor="text1"/>
                <w:sz w:val="24"/>
              </w:rPr>
              <w:lastRenderedPageBreak/>
              <w:t>根据需要增设有关</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cs="仿宋_GB2312" w:hint="eastAsia"/>
                <w:snapToGrid w:val="0"/>
                <w:color w:val="000000" w:themeColor="text1"/>
                <w:sz w:val="24"/>
              </w:rPr>
              <w:t>设施设备，包括但不</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cs="仿宋_GB2312" w:hint="eastAsia"/>
                <w:snapToGrid w:val="0"/>
                <w:color w:val="000000" w:themeColor="text1"/>
                <w:sz w:val="24"/>
              </w:rPr>
              <w:t>限于：</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hint="eastAsia"/>
                <w:snapToGrid w:val="0"/>
                <w:color w:val="000000" w:themeColor="text1"/>
                <w:sz w:val="24"/>
              </w:rPr>
              <w:t>1.</w:t>
            </w:r>
            <w:r>
              <w:rPr>
                <w:rFonts w:asciiTheme="minorEastAsia" w:eastAsiaTheme="minorEastAsia" w:hAnsiTheme="minorEastAsia" w:cs="仿宋_GB2312" w:hint="eastAsia"/>
                <w:snapToGrid w:val="0"/>
                <w:color w:val="000000" w:themeColor="text1"/>
                <w:sz w:val="24"/>
              </w:rPr>
              <w:t>自助服务设备：招</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cs="仿宋_GB2312" w:hint="eastAsia"/>
                <w:snapToGrid w:val="0"/>
                <w:color w:val="000000" w:themeColor="text1"/>
                <w:sz w:val="24"/>
              </w:rPr>
              <w:t>聘直播机、智能</w:t>
            </w:r>
            <w:r>
              <w:rPr>
                <w:rFonts w:asciiTheme="minorEastAsia" w:eastAsiaTheme="minorEastAsia" w:hAnsiTheme="minorEastAsia" w:hint="eastAsia"/>
                <w:snapToGrid w:val="0"/>
                <w:color w:val="000000" w:themeColor="text1"/>
                <w:sz w:val="24"/>
              </w:rPr>
              <w:t>AI</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cs="仿宋_GB2312" w:hint="eastAsia"/>
                <w:snapToGrid w:val="0"/>
                <w:color w:val="000000" w:themeColor="text1"/>
                <w:sz w:val="24"/>
              </w:rPr>
              <w:t>招聘设备等；</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hint="eastAsia"/>
                <w:snapToGrid w:val="0"/>
                <w:color w:val="000000" w:themeColor="text1"/>
                <w:sz w:val="24"/>
              </w:rPr>
              <w:t>2.</w:t>
            </w:r>
            <w:r>
              <w:rPr>
                <w:rFonts w:asciiTheme="minorEastAsia" w:eastAsiaTheme="minorEastAsia" w:hAnsiTheme="minorEastAsia" w:cs="仿宋_GB2312" w:hint="eastAsia"/>
                <w:snapToGrid w:val="0"/>
                <w:color w:val="000000" w:themeColor="text1"/>
                <w:sz w:val="24"/>
              </w:rPr>
              <w:t>增设区域配套设</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cs="仿宋_GB2312" w:hint="eastAsia"/>
                <w:snapToGrid w:val="0"/>
                <w:color w:val="000000" w:themeColor="text1"/>
                <w:sz w:val="24"/>
              </w:rPr>
              <w:t>备：加挂零工市场和设有职业培训区、求职指导区（创业指导区）、线上直播区、视频面试区以及</w:t>
            </w:r>
            <w:r>
              <w:rPr>
                <w:rFonts w:asciiTheme="minorEastAsia" w:eastAsiaTheme="minorEastAsia" w:hAnsiTheme="minorEastAsia" w:hint="eastAsia"/>
                <w:snapToGrid w:val="0"/>
                <w:color w:val="000000" w:themeColor="text1"/>
                <w:sz w:val="24"/>
              </w:rPr>
              <w:t>24</w:t>
            </w:r>
            <w:r>
              <w:rPr>
                <w:rFonts w:asciiTheme="minorEastAsia" w:eastAsiaTheme="minorEastAsia" w:hAnsiTheme="minorEastAsia" w:cs="仿宋_GB2312" w:hint="eastAsia"/>
                <w:snapToGrid w:val="0"/>
                <w:color w:val="000000" w:themeColor="text1"/>
                <w:sz w:val="24"/>
              </w:rPr>
              <w:t>小时人社自助服务区等所需桌椅、设施设备等。</w:t>
            </w:r>
          </w:p>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p>
        </w:tc>
      </w:tr>
      <w:tr w:rsidR="009915D0" w:rsidTr="009915D0">
        <w:trPr>
          <w:trHeight w:val="2300"/>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lastRenderedPageBreak/>
              <w:t>3</w:t>
            </w:r>
          </w:p>
        </w:tc>
        <w:tc>
          <w:tcPr>
            <w:tcW w:w="96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有服务</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团队</w:t>
            </w:r>
          </w:p>
        </w:tc>
        <w:tc>
          <w:tcPr>
            <w:tcW w:w="1832"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配备专业的运营队伍，熟悉就业政策和业务流程，在购买服务方和属地的监督指导下充分实现服务要求</w:t>
            </w:r>
          </w:p>
        </w:tc>
        <w:tc>
          <w:tcPr>
            <w:tcW w:w="390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1.第一站长：当地党委政府或所属机构安排1名在职在编干部负责服务站的日常联络和监督指导工作；</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2.站长：运营机构设置有专门的驻站负责人，对服务站日常运营负责；</w:t>
            </w:r>
          </w:p>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3.服务专员：前台常态至少1人在岗服务。</w:t>
            </w:r>
          </w:p>
        </w:tc>
        <w:tc>
          <w:tcPr>
            <w:tcW w:w="234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运营机构在履行购买服务约定的基础上，可根据需要增加人员配备或管理运营力量。</w:t>
            </w:r>
          </w:p>
        </w:tc>
      </w:tr>
      <w:tr w:rsidR="009915D0" w:rsidTr="009915D0">
        <w:trPr>
          <w:trHeight w:val="6610"/>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lastRenderedPageBreak/>
              <w:t>4</w:t>
            </w:r>
          </w:p>
        </w:tc>
        <w:tc>
          <w:tcPr>
            <w:tcW w:w="96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有服务</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标识</w:t>
            </w:r>
          </w:p>
        </w:tc>
        <w:tc>
          <w:tcPr>
            <w:tcW w:w="1832"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统一命名规则、统一视觉识别，统一服务清单、统一制度规范</w:t>
            </w:r>
          </w:p>
        </w:tc>
        <w:tc>
          <w:tcPr>
            <w:tcW w:w="390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1.使用统一的标识标牌字体和徽标图案，室内装修以蓝底白色为主基调，形成整洁统一的视觉识别效果；</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2.门口上方按规范悬挂“就业服务站”牌匾；服务前台后方设置背景墙，明显标识“就业服务站”和主要服务内容；</w:t>
            </w:r>
            <w:r>
              <w:rPr>
                <w:rFonts w:asciiTheme="minorEastAsia" w:eastAsiaTheme="minorEastAsia" w:hAnsiTheme="minorEastAsia" w:cs="仿宋_GB2312" w:hint="eastAsia"/>
                <w:color w:val="000000" w:themeColor="text1"/>
                <w:sz w:val="24"/>
              </w:rPr>
              <w:br/>
              <w:t>3.服务场所内张贴服务站简介、服务网点分布图等，张贴或悬挂服务事项清单，对各功能区域规范服务标识、标语和服务指引；</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4.服务场所门口张贴《服务时间》，实行服务时间告知和服务监督电话公开；</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5.服务场所内张贴《服务团队》，实行服务人员身份和电话公开；张贴《管理服务规范》,公开服务要求，接受群众监督；</w:t>
            </w:r>
          </w:p>
          <w:p w:rsidR="009915D0" w:rsidRDefault="009915D0">
            <w:pPr>
              <w:widowControl/>
              <w:spacing w:line="360" w:lineRule="auto"/>
              <w:textAlignment w:val="center"/>
              <w:rPr>
                <w:rFonts w:asciiTheme="minorEastAsia" w:eastAsiaTheme="minorEastAsia" w:hAnsiTheme="minorEastAsia" w:cs="仿宋_GB2312" w:hint="eastAsia"/>
                <w:color w:val="000000" w:themeColor="text1"/>
                <w:sz w:val="24"/>
              </w:rPr>
            </w:pPr>
            <w:r>
              <w:rPr>
                <w:rFonts w:asciiTheme="minorEastAsia" w:eastAsiaTheme="minorEastAsia" w:hAnsiTheme="minorEastAsia" w:cs="仿宋_GB2312" w:hint="eastAsia"/>
                <w:color w:val="000000" w:themeColor="text1"/>
                <w:sz w:val="24"/>
              </w:rPr>
              <w:t>6.在显眼位置张贴服务二维码（包括指定或认可的就业服务平台小程序或APP的服务二维码），引导企业或群众直接线上业务登记或办理；</w:t>
            </w:r>
          </w:p>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7.工作人员统一着装，配置统一的服务马甲或服务服装，配挂统一服务工牌。</w:t>
            </w:r>
          </w:p>
        </w:tc>
        <w:tc>
          <w:tcPr>
            <w:tcW w:w="234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kern w:val="2"/>
                <w:sz w:val="24"/>
              </w:rPr>
              <w:t>可结合实际加挂“零工市场”标识或牌匾。</w:t>
            </w:r>
          </w:p>
        </w:tc>
      </w:tr>
      <w:tr w:rsidR="009915D0" w:rsidTr="009915D0">
        <w:trPr>
          <w:trHeight w:val="2349"/>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lastRenderedPageBreak/>
              <w:t>5</w:t>
            </w:r>
          </w:p>
        </w:tc>
        <w:tc>
          <w:tcPr>
            <w:tcW w:w="96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有服务</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台账</w:t>
            </w:r>
          </w:p>
        </w:tc>
        <w:tc>
          <w:tcPr>
            <w:tcW w:w="1832"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建立服务站日常管理运营服务台账，做好全程服务记录</w:t>
            </w:r>
          </w:p>
        </w:tc>
        <w:tc>
          <w:tcPr>
            <w:tcW w:w="390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1.《求职/培训登记册》（前台接待或走访服务或回访服务使用）；</w:t>
            </w:r>
            <w:r>
              <w:rPr>
                <w:rFonts w:asciiTheme="minorEastAsia" w:eastAsiaTheme="minorEastAsia" w:hAnsiTheme="minorEastAsia" w:cs="仿宋_GB2312" w:hint="eastAsia"/>
                <w:color w:val="000000" w:themeColor="text1"/>
                <w:sz w:val="24"/>
              </w:rPr>
              <w:br/>
              <w:t>2.《用工招聘登记册》（前台接待或走访服务或回访服务使用）；</w:t>
            </w:r>
            <w:r>
              <w:rPr>
                <w:rFonts w:asciiTheme="minorEastAsia" w:eastAsiaTheme="minorEastAsia" w:hAnsiTheme="minorEastAsia" w:cs="仿宋_GB2312" w:hint="eastAsia"/>
                <w:color w:val="000000" w:themeColor="text1"/>
                <w:sz w:val="24"/>
              </w:rPr>
              <w:br/>
              <w:t>3.《服务评价及意见建议册》（前台接待使用）；</w:t>
            </w:r>
            <w:r>
              <w:rPr>
                <w:rFonts w:asciiTheme="minorEastAsia" w:eastAsiaTheme="minorEastAsia" w:hAnsiTheme="minorEastAsia" w:cs="仿宋_GB2312" w:hint="eastAsia"/>
                <w:color w:val="000000" w:themeColor="text1"/>
                <w:sz w:val="24"/>
              </w:rPr>
              <w:br/>
              <w:t>4.服务台账及时登记或梳理入库，做好全程服务记录、服务跟踪。</w:t>
            </w:r>
          </w:p>
        </w:tc>
        <w:tc>
          <w:tcPr>
            <w:tcW w:w="2348" w:type="dxa"/>
            <w:tcBorders>
              <w:top w:val="single" w:sz="4" w:space="0" w:color="auto"/>
              <w:left w:val="single" w:sz="4" w:space="0" w:color="auto"/>
              <w:bottom w:val="single" w:sz="4" w:space="0" w:color="auto"/>
              <w:right w:val="single" w:sz="4" w:space="0" w:color="auto"/>
            </w:tcBorders>
            <w:vAlign w:val="center"/>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p>
        </w:tc>
      </w:tr>
      <w:tr w:rsidR="009915D0" w:rsidTr="009915D0">
        <w:trPr>
          <w:trHeight w:val="4304"/>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6</w:t>
            </w:r>
          </w:p>
        </w:tc>
        <w:tc>
          <w:tcPr>
            <w:tcW w:w="96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有服务</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系统</w:t>
            </w:r>
          </w:p>
        </w:tc>
        <w:tc>
          <w:tcPr>
            <w:tcW w:w="1832"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r>
              <w:rPr>
                <w:rFonts w:asciiTheme="minorEastAsia" w:eastAsiaTheme="minorEastAsia" w:hAnsiTheme="minorEastAsia" w:cs="仿宋_GB2312" w:hint="eastAsia"/>
                <w:color w:val="000000" w:themeColor="text1"/>
                <w:sz w:val="24"/>
              </w:rPr>
              <w:t>统一接入南宁市人力资源和社会保障局指定或认可的线上公共就业服务平台并实现就业“一库一平台”数据互联互通</w:t>
            </w:r>
          </w:p>
        </w:tc>
        <w:tc>
          <w:tcPr>
            <w:tcW w:w="3900" w:type="dxa"/>
            <w:tcBorders>
              <w:top w:val="single" w:sz="4" w:space="0" w:color="auto"/>
              <w:left w:val="single" w:sz="4" w:space="0" w:color="auto"/>
              <w:bottom w:val="single" w:sz="4" w:space="0" w:color="auto"/>
              <w:right w:val="single" w:sz="4" w:space="0" w:color="auto"/>
            </w:tcBorders>
            <w:vAlign w:val="center"/>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1.服务站统一接入南宁市人力资源和社会保障局指定或认可的线上公共就业服务平台，实时收集、更新、发布及跟踪招聘求职培训创业信息，并实现就业“一库一平台”数据互联互通。</w:t>
            </w:r>
          </w:p>
          <w:p w:rsidR="009915D0" w:rsidRDefault="009915D0">
            <w:pPr>
              <w:widowControl/>
              <w:spacing w:line="360" w:lineRule="auto"/>
              <w:jc w:val="left"/>
              <w:rPr>
                <w:rFonts w:asciiTheme="minorEastAsia" w:eastAsiaTheme="minorEastAsia" w:hAnsiTheme="minorEastAsia" w:hint="eastAsia"/>
                <w:color w:val="000000" w:themeColor="text1"/>
                <w:sz w:val="21"/>
              </w:rPr>
            </w:pPr>
            <w:r>
              <w:rPr>
                <w:rFonts w:asciiTheme="minorEastAsia" w:eastAsiaTheme="minorEastAsia" w:hAnsiTheme="minorEastAsia" w:hint="eastAsia"/>
                <w:snapToGrid w:val="0"/>
                <w:color w:val="000000" w:themeColor="text1"/>
                <w:sz w:val="24"/>
              </w:rPr>
              <w:t>2.</w:t>
            </w:r>
            <w:r>
              <w:rPr>
                <w:rFonts w:asciiTheme="minorEastAsia" w:eastAsiaTheme="minorEastAsia" w:hAnsiTheme="minorEastAsia" w:cs="仿宋_GB2312" w:hint="eastAsia"/>
                <w:snapToGrid w:val="0"/>
                <w:color w:val="000000" w:themeColor="text1"/>
                <w:sz w:val="24"/>
              </w:rPr>
              <w:t>建立多级调度监测机制，能远程监测和科学直观了解辖区服务网点的运营数据，实现分站点、分时段、分类型等服务数据的监测、分析、统计、调度、展示等；</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hint="eastAsia"/>
                <w:snapToGrid w:val="0"/>
                <w:color w:val="000000" w:themeColor="text1"/>
                <w:sz w:val="24"/>
              </w:rPr>
              <w:t>3.</w:t>
            </w:r>
            <w:r>
              <w:rPr>
                <w:rFonts w:asciiTheme="minorEastAsia" w:eastAsiaTheme="minorEastAsia" w:hAnsiTheme="minorEastAsia" w:cs="仿宋_GB2312" w:hint="eastAsia"/>
                <w:snapToGrid w:val="0"/>
                <w:color w:val="000000" w:themeColor="text1"/>
                <w:sz w:val="24"/>
              </w:rPr>
              <w:t>能远程实时监控和调度本辖区服</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cs="仿宋_GB2312" w:hint="eastAsia"/>
                <w:snapToGrid w:val="0"/>
                <w:color w:val="000000" w:themeColor="text1"/>
                <w:sz w:val="24"/>
              </w:rPr>
              <w:t>务站点运营方工作人员的服务状况</w:t>
            </w:r>
          </w:p>
          <w:p w:rsidR="009915D0" w:rsidRDefault="009915D0">
            <w:pPr>
              <w:widowControl/>
              <w:spacing w:line="360" w:lineRule="auto"/>
              <w:jc w:val="left"/>
              <w:rPr>
                <w:rFonts w:asciiTheme="minorEastAsia" w:eastAsiaTheme="minorEastAsia" w:hAnsiTheme="minorEastAsia" w:hint="eastAsia"/>
                <w:color w:val="000000" w:themeColor="text1"/>
              </w:rPr>
            </w:pPr>
            <w:r>
              <w:rPr>
                <w:rFonts w:asciiTheme="minorEastAsia" w:eastAsiaTheme="minorEastAsia" w:hAnsiTheme="minorEastAsia" w:cs="仿宋_GB2312" w:hint="eastAsia"/>
                <w:snapToGrid w:val="0"/>
                <w:color w:val="000000" w:themeColor="text1"/>
                <w:sz w:val="24"/>
              </w:rPr>
              <w:t>和站点运行情况，并能接受上级（或中枢性）网点监控和调度。</w:t>
            </w:r>
          </w:p>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p>
        </w:tc>
        <w:tc>
          <w:tcPr>
            <w:tcW w:w="2348" w:type="dxa"/>
            <w:tcBorders>
              <w:top w:val="single" w:sz="4" w:space="0" w:color="auto"/>
              <w:left w:val="single" w:sz="4" w:space="0" w:color="auto"/>
              <w:bottom w:val="single" w:sz="4" w:space="0" w:color="auto"/>
              <w:right w:val="single" w:sz="4" w:space="0" w:color="auto"/>
            </w:tcBorders>
            <w:vAlign w:val="center"/>
          </w:tcPr>
          <w:p w:rsidR="009915D0" w:rsidRDefault="009915D0">
            <w:pPr>
              <w:widowControl/>
              <w:spacing w:line="360" w:lineRule="auto"/>
              <w:textAlignment w:val="center"/>
              <w:rPr>
                <w:rFonts w:asciiTheme="minorEastAsia" w:eastAsiaTheme="minorEastAsia" w:hAnsiTheme="minorEastAsia" w:cs="仿宋_GB2312"/>
                <w:color w:val="000000" w:themeColor="text1"/>
                <w:kern w:val="2"/>
                <w:sz w:val="24"/>
              </w:rPr>
            </w:pPr>
          </w:p>
        </w:tc>
      </w:tr>
    </w:tbl>
    <w:p w:rsidR="009915D0" w:rsidRDefault="009915D0" w:rsidP="009915D0">
      <w:pPr>
        <w:spacing w:line="360" w:lineRule="auto"/>
        <w:rPr>
          <w:rFonts w:asciiTheme="minorEastAsia" w:eastAsiaTheme="minorEastAsia" w:hAnsiTheme="minorEastAsia" w:cs="黑体" w:hint="eastAsia"/>
          <w:color w:val="000000" w:themeColor="text1"/>
          <w:sz w:val="32"/>
          <w:szCs w:val="32"/>
        </w:rPr>
      </w:pPr>
      <w:r>
        <w:rPr>
          <w:rFonts w:asciiTheme="minorEastAsia" w:eastAsiaTheme="minorEastAsia" w:hAnsiTheme="minorEastAsia" w:cs="黑体" w:hint="eastAsia"/>
          <w:color w:val="000000" w:themeColor="text1"/>
          <w:sz w:val="32"/>
          <w:szCs w:val="32"/>
        </w:rPr>
        <w:t>附件3</w:t>
      </w:r>
    </w:p>
    <w:p w:rsidR="009915D0" w:rsidRDefault="009915D0" w:rsidP="009915D0">
      <w:pPr>
        <w:spacing w:line="360" w:lineRule="auto"/>
        <w:jc w:val="center"/>
        <w:rPr>
          <w:rFonts w:asciiTheme="minorEastAsia" w:eastAsiaTheme="minorEastAsia" w:hAnsiTheme="minorEastAsia" w:cs="宋体" w:hint="eastAsia"/>
          <w:color w:val="000000" w:themeColor="text1"/>
          <w:szCs w:val="21"/>
        </w:rPr>
      </w:pPr>
    </w:p>
    <w:p w:rsidR="009915D0" w:rsidRDefault="009915D0" w:rsidP="009915D0">
      <w:pPr>
        <w:spacing w:line="360" w:lineRule="auto"/>
        <w:jc w:val="center"/>
        <w:rPr>
          <w:rFonts w:asciiTheme="minorEastAsia" w:eastAsiaTheme="minorEastAsia" w:hAnsiTheme="minorEastAsia" w:cs="方正小标宋简体" w:hint="eastAsia"/>
          <w:color w:val="000000" w:themeColor="text1"/>
          <w:sz w:val="44"/>
          <w:szCs w:val="44"/>
        </w:rPr>
      </w:pPr>
      <w:r>
        <w:rPr>
          <w:rFonts w:asciiTheme="minorEastAsia" w:eastAsiaTheme="minorEastAsia" w:hAnsiTheme="minorEastAsia" w:cs="方正小标宋简体" w:hint="eastAsia"/>
          <w:color w:val="000000" w:themeColor="text1"/>
          <w:sz w:val="44"/>
          <w:szCs w:val="44"/>
        </w:rPr>
        <w:t>南宁市一级就业服务站服务内容</w:t>
      </w:r>
    </w:p>
    <w:p w:rsidR="009915D0" w:rsidRDefault="009915D0" w:rsidP="009915D0">
      <w:pPr>
        <w:spacing w:line="360" w:lineRule="auto"/>
        <w:rPr>
          <w:rFonts w:asciiTheme="minorEastAsia" w:eastAsiaTheme="minorEastAsia" w:hAnsiTheme="minorEastAsia" w:hint="eastAsia"/>
          <w:color w:val="000000" w:themeColor="text1"/>
        </w:rPr>
      </w:pPr>
    </w:p>
    <w:tbl>
      <w:tblPr>
        <w:tblStyle w:val="afff3"/>
        <w:tblW w:w="91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9"/>
        <w:gridCol w:w="858"/>
        <w:gridCol w:w="1306"/>
        <w:gridCol w:w="5602"/>
      </w:tblGrid>
      <w:tr w:rsidR="009915D0" w:rsidTr="009915D0">
        <w:trPr>
          <w:trHeight w:hRule="exact" w:val="1020"/>
          <w:tblHeader/>
          <w:jc w:val="center"/>
        </w:trPr>
        <w:tc>
          <w:tcPr>
            <w:tcW w:w="1430"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b/>
                <w:bCs/>
                <w:color w:val="000000" w:themeColor="text1"/>
                <w:sz w:val="24"/>
              </w:rPr>
            </w:pPr>
            <w:r>
              <w:rPr>
                <w:rFonts w:asciiTheme="minorEastAsia" w:eastAsiaTheme="minorEastAsia" w:hAnsiTheme="minorEastAsia" w:cs="黑体" w:hint="eastAsia"/>
                <w:b/>
                <w:bCs/>
                <w:color w:val="000000" w:themeColor="text1"/>
                <w:sz w:val="24"/>
              </w:rPr>
              <w:t>服务类别</w:t>
            </w: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b/>
                <w:bCs/>
                <w:color w:val="000000" w:themeColor="text1"/>
                <w:sz w:val="24"/>
              </w:rPr>
            </w:pPr>
            <w:r>
              <w:rPr>
                <w:rFonts w:asciiTheme="minorEastAsia" w:eastAsiaTheme="minorEastAsia" w:hAnsiTheme="minorEastAsia" w:cs="黑体" w:hint="eastAsia"/>
                <w:b/>
                <w:bCs/>
                <w:color w:val="000000" w:themeColor="text1"/>
                <w:sz w:val="24"/>
              </w:rPr>
              <w:t>序号</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b/>
                <w:bCs/>
                <w:color w:val="000000" w:themeColor="text1"/>
                <w:sz w:val="24"/>
              </w:rPr>
            </w:pPr>
            <w:r>
              <w:rPr>
                <w:rFonts w:asciiTheme="minorEastAsia" w:eastAsiaTheme="minorEastAsia" w:hAnsiTheme="minorEastAsia" w:cs="黑体" w:hint="eastAsia"/>
                <w:b/>
                <w:bCs/>
                <w:color w:val="000000" w:themeColor="text1"/>
                <w:sz w:val="24"/>
              </w:rPr>
              <w:t>服务事项</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黑体"/>
                <w:b/>
                <w:bCs/>
                <w:color w:val="000000" w:themeColor="text1"/>
                <w:sz w:val="24"/>
              </w:rPr>
            </w:pPr>
            <w:r>
              <w:rPr>
                <w:rFonts w:asciiTheme="minorEastAsia" w:eastAsiaTheme="minorEastAsia" w:hAnsiTheme="minorEastAsia" w:cs="黑体" w:hint="eastAsia"/>
                <w:b/>
                <w:bCs/>
                <w:color w:val="000000" w:themeColor="text1"/>
                <w:sz w:val="24"/>
              </w:rPr>
              <w:t>服务内容</w:t>
            </w:r>
          </w:p>
        </w:tc>
      </w:tr>
      <w:tr w:rsidR="009915D0" w:rsidTr="009915D0">
        <w:trPr>
          <w:trHeight w:hRule="exact" w:val="1176"/>
          <w:jc w:val="center"/>
        </w:trPr>
        <w:tc>
          <w:tcPr>
            <w:tcW w:w="1430" w:type="dxa"/>
            <w:vMerge w:val="restart"/>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楷体_GB2312"/>
                <w:b/>
                <w:bCs/>
                <w:color w:val="000000" w:themeColor="text1"/>
                <w:sz w:val="24"/>
              </w:rPr>
            </w:pPr>
            <w:r>
              <w:rPr>
                <w:rFonts w:asciiTheme="minorEastAsia" w:eastAsiaTheme="minorEastAsia" w:hAnsiTheme="minorEastAsia" w:cs="楷体_GB2312" w:hint="eastAsia"/>
                <w:b/>
                <w:bCs/>
                <w:color w:val="000000" w:themeColor="text1"/>
                <w:sz w:val="24"/>
              </w:rPr>
              <w:t>劳动者</w:t>
            </w:r>
          </w:p>
          <w:p w:rsidR="009915D0" w:rsidRDefault="009915D0">
            <w:pPr>
              <w:widowControl/>
              <w:spacing w:line="360" w:lineRule="auto"/>
              <w:jc w:val="center"/>
              <w:textAlignment w:val="center"/>
              <w:rPr>
                <w:rFonts w:asciiTheme="minorEastAsia" w:eastAsiaTheme="minorEastAsia" w:hAnsiTheme="minorEastAsia" w:cs="楷体_GB2312"/>
                <w:b/>
                <w:bCs/>
                <w:color w:val="000000" w:themeColor="text1"/>
                <w:sz w:val="24"/>
              </w:rPr>
            </w:pPr>
            <w:r>
              <w:rPr>
                <w:rFonts w:asciiTheme="minorEastAsia" w:eastAsiaTheme="minorEastAsia" w:hAnsiTheme="minorEastAsia" w:cs="楷体_GB2312" w:hint="eastAsia"/>
                <w:b/>
                <w:bCs/>
                <w:color w:val="000000" w:themeColor="text1"/>
                <w:spacing w:val="-11"/>
                <w:sz w:val="24"/>
              </w:rPr>
              <w:t>（对外公开）</w:t>
            </w: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咨询服务</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就业创业政策宣传、服务咨询、信息查询；</w:t>
            </w:r>
          </w:p>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就业失业登记、就业困难人员认定、就业创业补贴申领等业务办理指引</w:t>
            </w:r>
          </w:p>
        </w:tc>
      </w:tr>
      <w:tr w:rsidR="009915D0" w:rsidTr="009915D0">
        <w:trPr>
          <w:trHeight w:hRule="exact" w:val="928"/>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楷体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求职服务</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求职登记（含“找零工”登记）、职业指导、岗位推荐、招聘会信息推送</w:t>
            </w:r>
          </w:p>
        </w:tc>
      </w:tr>
      <w:tr w:rsidR="009915D0" w:rsidTr="009915D0">
        <w:trPr>
          <w:trHeight w:hRule="exact" w:val="1156"/>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楷体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技能培训</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培训需求登记、培训机构信息查询、培训项目推荐、培训开班计划查询、组织参加补贴性技能培训、培训补贴申领指引</w:t>
            </w:r>
          </w:p>
        </w:tc>
      </w:tr>
      <w:tr w:rsidR="009915D0" w:rsidTr="009915D0">
        <w:trPr>
          <w:trHeight w:hRule="exact" w:val="1019"/>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楷体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创业指导</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创业担保贷款申请指导、创业项目推介、创业孵化基地入驻指导、创业扶持补贴申领指引</w:t>
            </w:r>
          </w:p>
        </w:tc>
      </w:tr>
      <w:tr w:rsidR="009915D0" w:rsidTr="009915D0">
        <w:trPr>
          <w:trHeight w:hRule="exact" w:val="1053"/>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楷体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5</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就业援助</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对城镇零就业家庭劳动者、防止返贫监测对象家庭劳动者等特殊困难人群开展就业跟踪帮扶</w:t>
            </w:r>
          </w:p>
        </w:tc>
      </w:tr>
      <w:tr w:rsidR="009915D0" w:rsidTr="009915D0">
        <w:trPr>
          <w:trHeight w:hRule="exact" w:val="1072"/>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楷体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6</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劳动维权</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劳动者工资、社保等合法权益侵害维权指引</w:t>
            </w:r>
          </w:p>
        </w:tc>
      </w:tr>
      <w:tr w:rsidR="009915D0" w:rsidTr="009915D0">
        <w:trPr>
          <w:trHeight w:hRule="exact" w:val="1210"/>
          <w:jc w:val="center"/>
        </w:trPr>
        <w:tc>
          <w:tcPr>
            <w:tcW w:w="1430" w:type="dxa"/>
            <w:vMerge w:val="restart"/>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楷体_GB2312"/>
                <w:b/>
                <w:bCs/>
                <w:color w:val="000000" w:themeColor="text1"/>
                <w:sz w:val="24"/>
              </w:rPr>
            </w:pPr>
            <w:r>
              <w:rPr>
                <w:rFonts w:asciiTheme="minorEastAsia" w:eastAsiaTheme="minorEastAsia" w:hAnsiTheme="minorEastAsia" w:cs="楷体_GB2312" w:hint="eastAsia"/>
                <w:b/>
                <w:bCs/>
                <w:color w:val="000000" w:themeColor="text1"/>
                <w:sz w:val="24"/>
              </w:rPr>
              <w:t>用人单位</w:t>
            </w:r>
          </w:p>
          <w:p w:rsidR="009915D0" w:rsidRDefault="009915D0">
            <w:pPr>
              <w:widowControl/>
              <w:spacing w:line="360" w:lineRule="auto"/>
              <w:textAlignment w:val="center"/>
              <w:rPr>
                <w:rFonts w:asciiTheme="minorEastAsia" w:eastAsiaTheme="minorEastAsia" w:hAnsiTheme="minorEastAsia" w:cs="楷体_GB2312"/>
                <w:b/>
                <w:bCs/>
                <w:color w:val="000000" w:themeColor="text1"/>
                <w:sz w:val="24"/>
              </w:rPr>
            </w:pPr>
            <w:r>
              <w:rPr>
                <w:rFonts w:asciiTheme="minorEastAsia" w:eastAsiaTheme="minorEastAsia" w:hAnsiTheme="minorEastAsia" w:cs="楷体_GB2312" w:hint="eastAsia"/>
                <w:b/>
                <w:bCs/>
                <w:color w:val="000000" w:themeColor="text1"/>
                <w:spacing w:val="-11"/>
                <w:sz w:val="24"/>
              </w:rPr>
              <w:t>（对外公开）</w:t>
            </w: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7</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咨询服务</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政策宣传、服务咨询、信息查询；</w:t>
            </w:r>
          </w:p>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吸纳重点人群就业有关稳岗、培训、社保等补贴申领指引</w:t>
            </w:r>
          </w:p>
        </w:tc>
      </w:tr>
      <w:tr w:rsidR="009915D0" w:rsidTr="009915D0">
        <w:trPr>
          <w:trHeight w:hRule="exact" w:val="1304"/>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楷体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8</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招工服务</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用工信息登记（含“招零工”登记）、用工信息发布、求职人员推荐、求职简历代收、面试洽谈辅助、招聘会等公共就业服务活动推荐</w:t>
            </w:r>
          </w:p>
        </w:tc>
      </w:tr>
      <w:tr w:rsidR="009915D0" w:rsidTr="009915D0">
        <w:trPr>
          <w:trHeight w:hRule="exact" w:val="960"/>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楷体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9</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创业服务</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创业担保贷款办理指引、创业孵化基地入驻指导、创业扶持补贴申领指引</w:t>
            </w:r>
          </w:p>
        </w:tc>
      </w:tr>
      <w:tr w:rsidR="009915D0" w:rsidTr="009915D0">
        <w:trPr>
          <w:trHeight w:hRule="exact" w:val="1411"/>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楷体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10</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技能培训</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培训需求登记、培训机构信息查询、培训项目推荐、培训开班计划查询、组织参加补贴性技能培训、培训补贴申领指引；</w:t>
            </w:r>
          </w:p>
        </w:tc>
      </w:tr>
      <w:tr w:rsidR="009915D0" w:rsidTr="009915D0">
        <w:trPr>
          <w:trHeight w:hRule="exact" w:val="700"/>
          <w:jc w:val="center"/>
        </w:trPr>
        <w:tc>
          <w:tcPr>
            <w:tcW w:w="1430" w:type="dxa"/>
            <w:vMerge w:val="restart"/>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b/>
                <w:bCs/>
                <w:color w:val="000000" w:themeColor="text1"/>
                <w:sz w:val="24"/>
              </w:rPr>
            </w:pPr>
            <w:r>
              <w:rPr>
                <w:rFonts w:asciiTheme="minorEastAsia" w:eastAsiaTheme="minorEastAsia" w:hAnsiTheme="minorEastAsia" w:cs="仿宋_GB2312" w:hint="eastAsia"/>
                <w:b/>
                <w:bCs/>
                <w:color w:val="000000" w:themeColor="text1"/>
                <w:sz w:val="24"/>
              </w:rPr>
              <w:t>基础运行</w:t>
            </w:r>
            <w:r>
              <w:rPr>
                <w:rFonts w:asciiTheme="minorEastAsia" w:eastAsiaTheme="minorEastAsia" w:hAnsiTheme="minorEastAsia" w:cs="仿宋_GB2312" w:hint="eastAsia"/>
                <w:b/>
                <w:bCs/>
                <w:color w:val="000000" w:themeColor="text1"/>
                <w:sz w:val="24"/>
              </w:rPr>
              <w:lastRenderedPageBreak/>
              <w:t>(不对外公开）</w:t>
            </w: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11</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就业摸排</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对辖区城乡劳动力资源摸排登记</w:t>
            </w:r>
          </w:p>
        </w:tc>
      </w:tr>
      <w:tr w:rsidR="009915D0" w:rsidTr="009915D0">
        <w:trPr>
          <w:trHeight w:hRule="exact" w:val="1325"/>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12</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就业服务</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对辖区登记失业人员、就业困难人员、退役军人、离校未就业高校毕业生、脱贫劳动力、防返贫监测户、农村返乡回流人员、雨露计划毕业生等重点群体提供就业跟踪帮扶</w:t>
            </w:r>
          </w:p>
        </w:tc>
      </w:tr>
      <w:tr w:rsidR="009915D0" w:rsidTr="009915D0">
        <w:trPr>
          <w:trHeight w:hRule="exact" w:val="880"/>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13</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培训跟踪</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对前来登记培训需求及推荐培训项目的服务对象进行培训、就业情况跟踪登记</w:t>
            </w:r>
          </w:p>
        </w:tc>
      </w:tr>
      <w:tr w:rsidR="009915D0" w:rsidTr="009915D0">
        <w:trPr>
          <w:trHeight w:hRule="exact" w:val="745"/>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14</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用工摸排</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对用人单位用工需求摸排登记</w:t>
            </w:r>
          </w:p>
        </w:tc>
      </w:tr>
      <w:tr w:rsidR="009915D0" w:rsidTr="009915D0">
        <w:trPr>
          <w:trHeight w:hRule="exact" w:val="1157"/>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15</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用工服务</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对本县（市、区）、开发区承接的市级重点企业送工任务提供送工服务；</w:t>
            </w:r>
          </w:p>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对本县（市、区）、开发区重点企业送工任务提供送工服务</w:t>
            </w:r>
          </w:p>
        </w:tc>
      </w:tr>
      <w:tr w:rsidR="009915D0" w:rsidTr="009915D0">
        <w:trPr>
          <w:trHeight w:hRule="exact" w:val="835"/>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16</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活动组织</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定期组织招聘会、公益性技能培训、补贴性技能培训、政策宣传等活动</w:t>
            </w:r>
          </w:p>
        </w:tc>
      </w:tr>
      <w:tr w:rsidR="009915D0" w:rsidTr="009915D0">
        <w:trPr>
          <w:trHeight w:hRule="exact" w:val="895"/>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17</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社会宣传</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资料配备、宣传推广</w:t>
            </w:r>
          </w:p>
        </w:tc>
      </w:tr>
      <w:tr w:rsidR="009915D0" w:rsidTr="009915D0">
        <w:trPr>
          <w:trHeight w:hRule="exact" w:val="985"/>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18</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规范配备</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按照《规范配备标准》做好服务场所、服务设施、服务团队、服务标识、服务台账、服务系统等服务配备</w:t>
            </w:r>
          </w:p>
        </w:tc>
      </w:tr>
      <w:tr w:rsidR="009915D0" w:rsidTr="009915D0">
        <w:trPr>
          <w:trHeight w:hRule="exact" w:val="1020"/>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19</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品牌建设</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经验推广、正面报道、肯定表扬、现场观摩</w:t>
            </w:r>
          </w:p>
        </w:tc>
      </w:tr>
      <w:tr w:rsidR="009915D0" w:rsidTr="009915D0">
        <w:trPr>
          <w:trHeight w:hRule="exact" w:val="1020"/>
          <w:jc w:val="center"/>
        </w:trPr>
        <w:tc>
          <w:tcPr>
            <w:tcW w:w="1430"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b/>
                <w:bCs/>
                <w:color w:val="000000" w:themeColor="text1"/>
                <w:sz w:val="24"/>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20</w:t>
            </w:r>
          </w:p>
        </w:tc>
        <w:tc>
          <w:tcPr>
            <w:tcW w:w="1307"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风险管控</w:t>
            </w:r>
          </w:p>
        </w:tc>
        <w:tc>
          <w:tcPr>
            <w:tcW w:w="5605"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spacing w:line="360" w:lineRule="auto"/>
              <w:textAlignment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安全生产、违法乱纪、数据安全、负面舆情、违规收费</w:t>
            </w:r>
          </w:p>
        </w:tc>
      </w:tr>
    </w:tbl>
    <w:p w:rsidR="009915D0" w:rsidRDefault="009915D0" w:rsidP="009915D0">
      <w:pPr>
        <w:spacing w:line="360" w:lineRule="auto"/>
        <w:rPr>
          <w:rFonts w:asciiTheme="minorEastAsia" w:eastAsiaTheme="minorEastAsia" w:hAnsiTheme="minorEastAsia" w:hint="eastAsia"/>
          <w:color w:val="000000" w:themeColor="text1"/>
        </w:rPr>
      </w:pPr>
    </w:p>
    <w:p w:rsidR="009915D0" w:rsidRDefault="009915D0" w:rsidP="009915D0">
      <w:pPr>
        <w:spacing w:line="360" w:lineRule="auto"/>
        <w:rPr>
          <w:rFonts w:asciiTheme="minorEastAsia" w:eastAsiaTheme="minorEastAsia" w:hAnsiTheme="minorEastAsia" w:cs="黑体" w:hint="eastAsia"/>
          <w:color w:val="000000" w:themeColor="text1"/>
          <w:sz w:val="32"/>
          <w:szCs w:val="32"/>
        </w:rPr>
      </w:pPr>
      <w:r>
        <w:rPr>
          <w:rFonts w:asciiTheme="minorEastAsia" w:eastAsiaTheme="minorEastAsia" w:hAnsiTheme="minorEastAsia" w:cs="仿宋_GB2312" w:hint="eastAsia"/>
          <w:color w:val="000000" w:themeColor="text1"/>
          <w:sz w:val="32"/>
          <w:szCs w:val="32"/>
        </w:rPr>
        <w:br w:type="page"/>
      </w:r>
      <w:r>
        <w:rPr>
          <w:rFonts w:asciiTheme="minorEastAsia" w:eastAsiaTheme="minorEastAsia" w:hAnsiTheme="minorEastAsia" w:cs="仿宋_GB2312" w:hint="eastAsia"/>
          <w:color w:val="000000" w:themeColor="text1"/>
          <w:sz w:val="32"/>
          <w:szCs w:val="32"/>
        </w:rPr>
        <w:lastRenderedPageBreak/>
        <w:t>附件4</w:t>
      </w:r>
    </w:p>
    <w:p w:rsidR="009915D0" w:rsidRDefault="009915D0" w:rsidP="009915D0">
      <w:pPr>
        <w:spacing w:line="360" w:lineRule="auto"/>
        <w:jc w:val="center"/>
        <w:rPr>
          <w:rFonts w:asciiTheme="minorEastAsia" w:eastAsiaTheme="minorEastAsia" w:hAnsiTheme="minorEastAsia" w:cs="宋体" w:hint="eastAsia"/>
          <w:color w:val="000000" w:themeColor="text1"/>
          <w:szCs w:val="21"/>
        </w:rPr>
      </w:pPr>
    </w:p>
    <w:p w:rsidR="009915D0" w:rsidRDefault="009915D0" w:rsidP="009915D0">
      <w:pPr>
        <w:spacing w:line="360" w:lineRule="auto"/>
        <w:jc w:val="center"/>
        <w:rPr>
          <w:rFonts w:asciiTheme="minorEastAsia" w:eastAsiaTheme="minorEastAsia" w:hAnsiTheme="minorEastAsia" w:cs="方正小标宋简体" w:hint="eastAsia"/>
          <w:color w:val="000000" w:themeColor="text1"/>
          <w:sz w:val="44"/>
          <w:szCs w:val="44"/>
        </w:rPr>
      </w:pPr>
      <w:r>
        <w:rPr>
          <w:rFonts w:asciiTheme="minorEastAsia" w:eastAsiaTheme="minorEastAsia" w:hAnsiTheme="minorEastAsia" w:cs="方正小标宋简体" w:hint="eastAsia"/>
          <w:color w:val="000000" w:themeColor="text1"/>
          <w:sz w:val="44"/>
          <w:szCs w:val="44"/>
        </w:rPr>
        <w:t>上林县一级就业服务站服务考核标准</w:t>
      </w:r>
    </w:p>
    <w:p w:rsidR="009915D0" w:rsidRDefault="009915D0" w:rsidP="009915D0">
      <w:pPr>
        <w:spacing w:line="360" w:lineRule="auto"/>
        <w:jc w:val="center"/>
        <w:rPr>
          <w:rFonts w:asciiTheme="minorEastAsia" w:eastAsiaTheme="minorEastAsia" w:hAnsiTheme="minorEastAsia" w:cs="宋体" w:hint="eastAsia"/>
          <w:color w:val="000000" w:themeColor="text1"/>
          <w:szCs w:val="21"/>
        </w:rPr>
      </w:pPr>
    </w:p>
    <w:tbl>
      <w:tblPr>
        <w:tblW w:w="9330" w:type="dxa"/>
        <w:tblLayout w:type="fixed"/>
        <w:tblCellMar>
          <w:left w:w="0" w:type="dxa"/>
          <w:right w:w="0" w:type="dxa"/>
        </w:tblCellMar>
        <w:tblLook w:val="04A0"/>
      </w:tblPr>
      <w:tblGrid>
        <w:gridCol w:w="935"/>
        <w:gridCol w:w="643"/>
        <w:gridCol w:w="941"/>
        <w:gridCol w:w="2358"/>
        <w:gridCol w:w="4453"/>
      </w:tblGrid>
      <w:tr w:rsidR="009915D0" w:rsidTr="009915D0">
        <w:trPr>
          <w:trHeight w:val="483"/>
          <w:tblHeader/>
        </w:trPr>
        <w:tc>
          <w:tcPr>
            <w:tcW w:w="936"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服务类别</w:t>
            </w:r>
          </w:p>
        </w:tc>
        <w:tc>
          <w:tcPr>
            <w:tcW w:w="643" w:type="dxa"/>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序号</w:t>
            </w:r>
          </w:p>
        </w:tc>
        <w:tc>
          <w:tcPr>
            <w:tcW w:w="941" w:type="dxa"/>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考核事项</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考核内容</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黑体"/>
                <w:bCs/>
                <w:color w:val="000000" w:themeColor="text1"/>
                <w:szCs w:val="21"/>
              </w:rPr>
            </w:pPr>
            <w:r>
              <w:rPr>
                <w:rFonts w:asciiTheme="minorEastAsia" w:eastAsiaTheme="minorEastAsia" w:hAnsiTheme="minorEastAsia" w:cs="黑体" w:hint="eastAsia"/>
                <w:bCs/>
                <w:color w:val="000000" w:themeColor="text1"/>
                <w:szCs w:val="21"/>
              </w:rPr>
              <w:t>评分标准</w:t>
            </w:r>
          </w:p>
        </w:tc>
      </w:tr>
      <w:tr w:rsidR="009915D0" w:rsidTr="009915D0">
        <w:trPr>
          <w:trHeight w:val="2140"/>
        </w:trPr>
        <w:tc>
          <w:tcPr>
            <w:tcW w:w="936"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kern w:val="2"/>
                <w:szCs w:val="21"/>
              </w:rPr>
            </w:pPr>
          </w:p>
          <w:p w:rsidR="009915D0" w:rsidRDefault="009915D0">
            <w:pPr>
              <w:widowControl/>
              <w:spacing w:line="360" w:lineRule="auto"/>
              <w:jc w:val="center"/>
              <w:rPr>
                <w:rFonts w:asciiTheme="minorEastAsia" w:eastAsiaTheme="minorEastAsia" w:hAnsiTheme="minorEastAsia" w:cs="仿宋_GB2312" w:hint="eastAsia"/>
                <w:color w:val="000000" w:themeColor="text1"/>
                <w:kern w:val="2"/>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kern w:val="2"/>
                <w:szCs w:val="21"/>
              </w:rPr>
            </w:pPr>
            <w:r>
              <w:rPr>
                <w:rFonts w:asciiTheme="minorEastAsia" w:eastAsiaTheme="minorEastAsia" w:hAnsiTheme="minorEastAsia" w:cs="仿宋_GB2312" w:hint="eastAsia"/>
                <w:b/>
                <w:bCs/>
                <w:color w:val="000000" w:themeColor="text1"/>
                <w:szCs w:val="21"/>
              </w:rPr>
              <w:t>劳动者</w:t>
            </w:r>
            <w:r>
              <w:rPr>
                <w:rFonts w:asciiTheme="minorEastAsia" w:eastAsiaTheme="minorEastAsia" w:hAnsiTheme="minorEastAsia" w:cs="仿宋_GB2312" w:hint="eastAsia"/>
                <w:b/>
                <w:bCs/>
                <w:color w:val="000000" w:themeColor="text1"/>
                <w:szCs w:val="21"/>
              </w:rPr>
              <w:br/>
              <w:t>（15分）</w:t>
            </w:r>
          </w:p>
          <w:p w:rsidR="009915D0" w:rsidRDefault="009915D0">
            <w:pPr>
              <w:widowControl/>
              <w:spacing w:line="360" w:lineRule="auto"/>
              <w:jc w:val="center"/>
              <w:rPr>
                <w:rFonts w:asciiTheme="minorEastAsia" w:eastAsiaTheme="minorEastAsia" w:hAnsiTheme="minorEastAsia" w:cs="仿宋_GB2312"/>
                <w:color w:val="000000" w:themeColor="text1"/>
                <w:szCs w:val="21"/>
              </w:rPr>
            </w:pPr>
          </w:p>
        </w:tc>
        <w:tc>
          <w:tcPr>
            <w:tcW w:w="643"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w:t>
            </w:r>
          </w:p>
        </w:tc>
        <w:tc>
          <w:tcPr>
            <w:tcW w:w="941" w:type="dxa"/>
            <w:tcBorders>
              <w:top w:val="single" w:sz="4" w:space="0" w:color="auto"/>
              <w:left w:val="single" w:sz="4" w:space="0" w:color="000000"/>
              <w:bottom w:val="single" w:sz="4" w:space="0" w:color="000000"/>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咨询服务</w:t>
            </w:r>
            <w:r>
              <w:rPr>
                <w:rFonts w:asciiTheme="minorEastAsia" w:eastAsiaTheme="minorEastAsia" w:hAnsiTheme="minorEastAsia" w:cs="仿宋_GB2312" w:hint="eastAsia"/>
                <w:color w:val="000000" w:themeColor="text1"/>
                <w:szCs w:val="21"/>
              </w:rPr>
              <w:br/>
              <w:t>（2分）</w:t>
            </w: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就业创业政策宣传、服务咨询、信息查询；就业失业登记、就业困难人员认定、就业创业补贴申领等业务办理指引（含序号6“劳动维权”的劳动者工资、社保等合法权益维权指引）（2分）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对前来咨询的人员，每发现（服务对象来电来信来访投诉且经核查属实的；或者管理方监督发现并确认的，下同）1次服务不到位的，扣0.1分，最高扣2分。</w:t>
            </w:r>
          </w:p>
        </w:tc>
      </w:tr>
      <w:tr w:rsidR="009915D0" w:rsidTr="009915D0">
        <w:trPr>
          <w:trHeight w:val="2125"/>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w:t>
            </w:r>
          </w:p>
        </w:tc>
        <w:tc>
          <w:tcPr>
            <w:tcW w:w="941" w:type="dxa"/>
            <w:vMerge w:val="restar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求职服务（10分）</w:t>
            </w: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求职登记</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（含“找零工”登记）</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（4分）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1.对前来求职并有登记需求的人员，引导做好求职登记，每发现1人未引导登记的，扣0.1分；</w:t>
            </w:r>
            <w:r>
              <w:rPr>
                <w:rFonts w:asciiTheme="minorEastAsia" w:eastAsiaTheme="minorEastAsia" w:hAnsiTheme="minorEastAsia" w:cs="仿宋_GB2312" w:hint="eastAsia"/>
                <w:color w:val="000000" w:themeColor="text1"/>
                <w:szCs w:val="21"/>
              </w:rPr>
              <w:br/>
              <w:t>2.对已做求职登记的人员，每发现1人关键信息（姓名、身份证号、联系电话、就业需求、登记时间）登记不全或存在信息质量问题的，扣0.1分。</w:t>
            </w:r>
            <w:r>
              <w:rPr>
                <w:rFonts w:asciiTheme="minorEastAsia" w:eastAsiaTheme="minorEastAsia" w:hAnsiTheme="minorEastAsia" w:cs="仿宋_GB2312" w:hint="eastAsia"/>
                <w:color w:val="000000" w:themeColor="text1"/>
                <w:szCs w:val="21"/>
              </w:rPr>
              <w:br/>
              <w:t>本项合计最高扣4分。</w:t>
            </w:r>
          </w:p>
        </w:tc>
      </w:tr>
      <w:tr w:rsidR="009915D0" w:rsidTr="009915D0">
        <w:trPr>
          <w:trHeight w:val="1145"/>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职业指导</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对前来求职且有求职指导需求的人员，根据其实际情况，提供有针对性的就业方向及就业预期指导，每发现1名未按要求开展求职指导的，扣0.1分，最高扣1分。</w:t>
            </w:r>
          </w:p>
        </w:tc>
      </w:tr>
      <w:tr w:rsidR="009915D0" w:rsidTr="009915D0">
        <w:trPr>
          <w:trHeight w:val="4580"/>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岗位推荐</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（4分）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对已做求职登记的人员，按照就业意愿每月推荐不少于3个就业岗位（不同用人单位），直至实现就业（或本人表示不再接受岗位推荐），并做好服务记录台账；在同一年度内向同一个求职人员推荐同一用人单位同一岗位不超过3次，每发现1次不符合要求的，扣0.1分；</w:t>
            </w:r>
          </w:p>
          <w:p w:rsidR="009915D0" w:rsidRDefault="009915D0">
            <w:pPr>
              <w:widowControl/>
              <w:spacing w:line="360" w:lineRule="auto"/>
              <w:jc w:val="left"/>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2.全年推荐并成功实现就业，站点 服务片区常住人口1-2万人的乡镇（木山乡、镇圩瑶族乡）不少于50人次、站点服务片区常住人口2-3万人的乡镇（明亮镇、巷贤镇、乔贤镇、塘红乡、西燕镇）不少于100人次、站点服务片区常住人口3-4万人的乡镇（三里镇）不少于150人次、站点服务片区常住人口4万人以上的乡镇（白圩镇）不少于200人次，澄泰乡（象山工业园区）不少于300人次，每少1个百分点扣0.1分。</w:t>
            </w:r>
          </w:p>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本项合计最高扣4分。</w:t>
            </w:r>
          </w:p>
        </w:tc>
      </w:tr>
      <w:tr w:rsidR="009915D0" w:rsidTr="009915D0">
        <w:trPr>
          <w:trHeight w:val="1345"/>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招聘会信息推送</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对已做求职登记的人员，按照就业意愿每月推荐不少于1场招聘会信息或直播带岗活动信息，每发现1次未做推荐的，扣0.1分，最高扣1分。</w:t>
            </w:r>
          </w:p>
        </w:tc>
      </w:tr>
      <w:tr w:rsidR="009915D0" w:rsidTr="009915D0">
        <w:trPr>
          <w:trHeight w:val="2319"/>
        </w:trPr>
        <w:tc>
          <w:tcPr>
            <w:tcW w:w="936"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15D0" w:rsidRDefault="009915D0">
            <w:pPr>
              <w:widowControl/>
              <w:spacing w:line="360" w:lineRule="auto"/>
              <w:jc w:val="center"/>
              <w:rPr>
                <w:rFonts w:asciiTheme="minorEastAsia" w:eastAsiaTheme="minorEastAsia" w:hAnsiTheme="minorEastAsia" w:cs="仿宋_GB2312"/>
                <w:color w:val="000000" w:themeColor="text1"/>
                <w:kern w:val="2"/>
                <w:szCs w:val="21"/>
              </w:rPr>
            </w:pPr>
          </w:p>
          <w:p w:rsidR="009915D0" w:rsidRDefault="009915D0">
            <w:pPr>
              <w:widowControl/>
              <w:spacing w:line="360" w:lineRule="auto"/>
              <w:jc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b/>
                <w:bCs/>
                <w:color w:val="000000" w:themeColor="text1"/>
                <w:szCs w:val="21"/>
              </w:rPr>
              <w:t>劳动者</w:t>
            </w:r>
            <w:r>
              <w:rPr>
                <w:rFonts w:asciiTheme="minorEastAsia" w:eastAsiaTheme="minorEastAsia" w:hAnsiTheme="minorEastAsia" w:cs="仿宋_GB2312" w:hint="eastAsia"/>
                <w:b/>
                <w:bCs/>
                <w:color w:val="000000" w:themeColor="text1"/>
                <w:szCs w:val="21"/>
              </w:rPr>
              <w:br/>
              <w:t>（15分）</w:t>
            </w:r>
          </w:p>
        </w:tc>
        <w:tc>
          <w:tcPr>
            <w:tcW w:w="643" w:type="dxa"/>
            <w:vMerge w:val="restart"/>
            <w:tcBorders>
              <w:top w:val="single" w:sz="4" w:space="0" w:color="000000"/>
              <w:left w:val="single" w:sz="4" w:space="0" w:color="auto"/>
              <w:bottom w:val="single" w:sz="4" w:space="0" w:color="auto"/>
              <w:right w:val="single" w:sz="4" w:space="0" w:color="000000"/>
            </w:tcBorders>
            <w:noWrap/>
            <w:tcMar>
              <w:top w:w="15" w:type="dxa"/>
              <w:left w:w="15" w:type="dxa"/>
              <w:bottom w:w="0" w:type="dxa"/>
              <w:right w:w="15" w:type="dxa"/>
            </w:tcMar>
            <w:vAlign w:val="center"/>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3</w:t>
            </w:r>
          </w:p>
          <w:p w:rsidR="009915D0" w:rsidRDefault="009915D0">
            <w:pPr>
              <w:widowControl/>
              <w:spacing w:line="360" w:lineRule="auto"/>
              <w:jc w:val="center"/>
              <w:rPr>
                <w:rFonts w:asciiTheme="minorEastAsia" w:eastAsiaTheme="minorEastAsia" w:hAnsiTheme="minorEastAsia" w:cs="仿宋_GB2312"/>
                <w:color w:val="000000" w:themeColor="text1"/>
                <w:szCs w:val="21"/>
              </w:rPr>
            </w:pPr>
          </w:p>
        </w:tc>
        <w:tc>
          <w:tcPr>
            <w:tcW w:w="941" w:type="dxa"/>
            <w:vMerge w:val="restart"/>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技能培训</w:t>
            </w:r>
            <w:r>
              <w:rPr>
                <w:rFonts w:asciiTheme="minorEastAsia" w:eastAsiaTheme="minorEastAsia" w:hAnsiTheme="minorEastAsia" w:cs="仿宋_GB2312" w:hint="eastAsia"/>
                <w:color w:val="000000" w:themeColor="text1"/>
                <w:szCs w:val="21"/>
              </w:rPr>
              <w:br/>
              <w:t>（1.5分）</w:t>
            </w: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培训需求登记</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1.对前来且有培训需求并愿意登记的人员，每发现1人未引导登记的，扣0.1分；</w:t>
            </w:r>
            <w:r>
              <w:rPr>
                <w:rFonts w:asciiTheme="minorEastAsia" w:eastAsiaTheme="minorEastAsia" w:hAnsiTheme="minorEastAsia" w:cs="仿宋_GB2312" w:hint="eastAsia"/>
                <w:color w:val="000000" w:themeColor="text1"/>
                <w:szCs w:val="21"/>
              </w:rPr>
              <w:br/>
              <w:t>2.对已做培训需求登记的人员，每发现1人关键信息（姓名、身份证号、联系电话、培训意向、登记时间）登记不全或存在信息质量问题的，扣0.1分；</w:t>
            </w:r>
            <w:r>
              <w:rPr>
                <w:rFonts w:asciiTheme="minorEastAsia" w:eastAsiaTheme="minorEastAsia" w:hAnsiTheme="minorEastAsia" w:cs="仿宋_GB2312" w:hint="eastAsia"/>
                <w:color w:val="000000" w:themeColor="text1"/>
                <w:szCs w:val="21"/>
              </w:rPr>
              <w:br/>
              <w:t>3.全年服务量不少于50人次，每少1个百分点扣0.1分。</w:t>
            </w:r>
            <w:r>
              <w:rPr>
                <w:rFonts w:asciiTheme="minorEastAsia" w:eastAsiaTheme="minorEastAsia" w:hAnsiTheme="minorEastAsia" w:cs="仿宋_GB2312" w:hint="eastAsia"/>
                <w:color w:val="000000" w:themeColor="text1"/>
                <w:szCs w:val="21"/>
              </w:rPr>
              <w:br/>
              <w:t>本项合计最高扣1.5分。</w:t>
            </w:r>
          </w:p>
        </w:tc>
      </w:tr>
      <w:tr w:rsidR="009915D0" w:rsidTr="009915D0">
        <w:trPr>
          <w:trHeight w:val="934"/>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培训机构信息查询</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对前来查询的人员提供培训机构信息查询服务，每发现1人次未提供服务的，扣0.1分，最高扣0.5分。</w:t>
            </w:r>
          </w:p>
        </w:tc>
      </w:tr>
      <w:tr w:rsidR="009915D0" w:rsidTr="009915D0">
        <w:trPr>
          <w:trHeight w:val="1153"/>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培训项目推荐</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对已做培训需求登记的人员，按照培训需求半年内至少推荐1个纳入开班计划的培训项目，并做好服务记录台账，每发现1人次未推荐的，扣0.1分，最高扣1.5分。</w:t>
            </w:r>
          </w:p>
        </w:tc>
      </w:tr>
      <w:tr w:rsidR="009915D0" w:rsidTr="009915D0">
        <w:trPr>
          <w:trHeight w:val="857"/>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培训开班计划查询</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对前来查询的人员提供培训开班计划查询服务，每发现1人未提供服务的，扣0.1分，最高扣0.5分。</w:t>
            </w:r>
          </w:p>
        </w:tc>
      </w:tr>
      <w:tr w:rsidR="009915D0" w:rsidTr="009915D0">
        <w:trPr>
          <w:trHeight w:val="675"/>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组织参加补贴性</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技能培训</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统筹到考核事项（序号16）的“活动组织”进行考核。</w:t>
            </w:r>
          </w:p>
        </w:tc>
      </w:tr>
      <w:tr w:rsidR="009915D0" w:rsidTr="009915D0">
        <w:trPr>
          <w:trHeight w:val="905"/>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培训补贴申领指引</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对前来咨询的人员提供培训补贴申领指引服务，每发现1人未提供服务的，扣0.1分，最高扣0.5分。</w:t>
            </w:r>
          </w:p>
        </w:tc>
      </w:tr>
      <w:tr w:rsidR="009915D0" w:rsidTr="009915D0">
        <w:trPr>
          <w:trHeight w:val="1158"/>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val="restart"/>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4</w:t>
            </w:r>
          </w:p>
        </w:tc>
        <w:tc>
          <w:tcPr>
            <w:tcW w:w="941" w:type="dxa"/>
            <w:vMerge w:val="restart"/>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创业指导</w:t>
            </w:r>
            <w:r>
              <w:rPr>
                <w:rFonts w:asciiTheme="minorEastAsia" w:eastAsiaTheme="minorEastAsia" w:hAnsiTheme="minorEastAsia" w:cs="仿宋_GB2312" w:hint="eastAsia"/>
                <w:color w:val="000000" w:themeColor="text1"/>
                <w:szCs w:val="21"/>
              </w:rPr>
              <w:br/>
              <w:t>（1.5分）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创业担保贷款</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申请指导（1分）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对前来咨询且有创业意愿的人员指引办理创业担保贷款申请，每发现1人未提供指导服务的，扣0.1分；</w:t>
            </w:r>
          </w:p>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本项合计最高扣1分。</w:t>
            </w:r>
          </w:p>
        </w:tc>
      </w:tr>
      <w:tr w:rsidR="009915D0" w:rsidTr="009915D0">
        <w:trPr>
          <w:trHeight w:val="971"/>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创业项目推介</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对前来咨询且有创业意愿的人员提供创业项目推介服务，每发现1人未提供服务的，扣0.1分，最高扣0.1分。</w:t>
            </w:r>
          </w:p>
        </w:tc>
      </w:tr>
      <w:tr w:rsidR="009915D0" w:rsidTr="009915D0">
        <w:trPr>
          <w:trHeight w:val="942"/>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创业孵化基地</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入驻指导</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对前来咨询且有创业意愿的人员提供创业孵化基地入驻指导服务，每发现1人未提供服务的，扣0.1分，最高扣0.2分。</w:t>
            </w:r>
          </w:p>
        </w:tc>
      </w:tr>
      <w:tr w:rsidR="009915D0" w:rsidTr="009915D0">
        <w:trPr>
          <w:trHeight w:val="851"/>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创业扶持补贴</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申领指引</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对前来咨询且有创业意愿的人员提供创业扶持补贴申领指引服务，每发现1人未提供服务的，扣0.1分，最高扣0.2分。</w:t>
            </w:r>
          </w:p>
        </w:tc>
      </w:tr>
      <w:tr w:rsidR="009915D0" w:rsidTr="009915D0">
        <w:trPr>
          <w:trHeight w:val="1123"/>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5</w:t>
            </w:r>
          </w:p>
        </w:tc>
        <w:tc>
          <w:tcPr>
            <w:tcW w:w="941"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就业援助</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对城镇零就业家庭劳动者、防止返贫监测对象家庭劳动者等特殊困难人群开展就业跟踪帮扶</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统筹到考核事项（序号12）的“就业服务”进行考核。</w:t>
            </w:r>
          </w:p>
        </w:tc>
      </w:tr>
      <w:tr w:rsidR="009915D0" w:rsidTr="009915D0">
        <w:trPr>
          <w:trHeight w:val="1055"/>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6</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劳动维权</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劳动者工资、社保等合法权益维权指引</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统筹到考核事项（序号1）的“咨询服务”进行考核。</w:t>
            </w:r>
          </w:p>
        </w:tc>
      </w:tr>
      <w:tr w:rsidR="009915D0" w:rsidTr="009915D0">
        <w:trPr>
          <w:trHeight w:val="1423"/>
        </w:trPr>
        <w:tc>
          <w:tcPr>
            <w:tcW w:w="936" w:type="dxa"/>
            <w:vMerge w:val="restart"/>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b/>
                <w:bCs/>
                <w:color w:val="000000" w:themeColor="text1"/>
                <w:szCs w:val="21"/>
              </w:rPr>
              <w:t>用人单位</w:t>
            </w:r>
            <w:r>
              <w:rPr>
                <w:rFonts w:asciiTheme="minorEastAsia" w:eastAsiaTheme="minorEastAsia" w:hAnsiTheme="minorEastAsia" w:cs="仿宋_GB2312" w:hint="eastAsia"/>
                <w:b/>
                <w:bCs/>
                <w:color w:val="000000" w:themeColor="text1"/>
                <w:szCs w:val="21"/>
              </w:rPr>
              <w:br/>
              <w:t>（15分）</w:t>
            </w:r>
          </w:p>
        </w:tc>
        <w:tc>
          <w:tcPr>
            <w:tcW w:w="643"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Cs w:val="21"/>
              </w:rPr>
            </w:pPr>
            <w:r>
              <w:rPr>
                <w:rFonts w:asciiTheme="minorEastAsia" w:eastAsiaTheme="minorEastAsia" w:hAnsiTheme="minorEastAsia" w:cs="仿宋_GB2312" w:hint="eastAsia"/>
                <w:color w:val="000000" w:themeColor="text1"/>
                <w:szCs w:val="21"/>
              </w:rPr>
              <w:t>7</w:t>
            </w:r>
          </w:p>
        </w:tc>
        <w:tc>
          <w:tcPr>
            <w:tcW w:w="941"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Cs w:val="21"/>
              </w:rPr>
            </w:pPr>
            <w:r>
              <w:rPr>
                <w:rFonts w:asciiTheme="minorEastAsia" w:eastAsiaTheme="minorEastAsia" w:hAnsiTheme="minorEastAsia" w:cs="仿宋_GB2312" w:hint="eastAsia"/>
                <w:color w:val="000000" w:themeColor="text1"/>
                <w:szCs w:val="21"/>
              </w:rPr>
              <w:t>咨询服务</w:t>
            </w:r>
            <w:r>
              <w:rPr>
                <w:rFonts w:asciiTheme="minorEastAsia" w:eastAsiaTheme="minorEastAsia" w:hAnsiTheme="minorEastAsia" w:cs="仿宋_GB2312" w:hint="eastAsia"/>
                <w:color w:val="000000" w:themeColor="text1"/>
                <w:szCs w:val="21"/>
              </w:rPr>
              <w:br/>
              <w:t>（2分）</w:t>
            </w:r>
          </w:p>
        </w:tc>
        <w:tc>
          <w:tcPr>
            <w:tcW w:w="2358"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就业创业政策宣传、服务咨询、信息查询；吸纳重点人群就业有关稳岗、培训、社保等补贴申领指引</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kern w:val="2"/>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kern w:val="2"/>
                <w:szCs w:val="21"/>
              </w:rPr>
            </w:pPr>
            <w:r>
              <w:rPr>
                <w:rFonts w:asciiTheme="minorEastAsia" w:eastAsiaTheme="minorEastAsia" w:hAnsiTheme="minorEastAsia" w:cs="仿宋_GB2312" w:hint="eastAsia"/>
                <w:color w:val="000000" w:themeColor="text1"/>
                <w:szCs w:val="21"/>
              </w:rPr>
              <w:t>对前来咨询的用人单位，每发现1次服务不到位的，扣0.1分，最高扣2分。</w:t>
            </w:r>
          </w:p>
        </w:tc>
      </w:tr>
      <w:tr w:rsidR="009915D0" w:rsidTr="009915D0">
        <w:trPr>
          <w:trHeight w:val="1865"/>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val="restart"/>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8</w:t>
            </w:r>
          </w:p>
        </w:tc>
        <w:tc>
          <w:tcPr>
            <w:tcW w:w="941" w:type="dxa"/>
            <w:vMerge w:val="restart"/>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招工服务</w:t>
            </w:r>
            <w:r>
              <w:rPr>
                <w:rFonts w:asciiTheme="minorEastAsia" w:eastAsiaTheme="minorEastAsia" w:hAnsiTheme="minorEastAsia" w:cs="仿宋_GB2312" w:hint="eastAsia"/>
                <w:color w:val="000000" w:themeColor="text1"/>
                <w:szCs w:val="21"/>
              </w:rPr>
              <w:br/>
              <w:t>（10分）</w:t>
            </w:r>
          </w:p>
        </w:tc>
        <w:tc>
          <w:tcPr>
            <w:tcW w:w="2358"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用工信息登记</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（含招零工登记）</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（3分）</w:t>
            </w:r>
          </w:p>
        </w:tc>
        <w:tc>
          <w:tcPr>
            <w:tcW w:w="4453"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1.对前来招工并愿意登记的用人单位，每发现1家未引导登记的，扣0.1分；</w:t>
            </w:r>
            <w:r>
              <w:rPr>
                <w:rFonts w:asciiTheme="minorEastAsia" w:eastAsiaTheme="minorEastAsia" w:hAnsiTheme="minorEastAsia" w:cs="仿宋_GB2312" w:hint="eastAsia"/>
                <w:color w:val="000000" w:themeColor="text1"/>
                <w:szCs w:val="21"/>
              </w:rPr>
              <w:br/>
              <w:t>2.对已做用工信息登记的用人单位，每发现1家关键信息（单位名称、统一社会信用代码、联系人、联系方式、招工意向、登记时间）登记不全或信息质量问题的，扣0.1分。</w:t>
            </w:r>
            <w:r>
              <w:rPr>
                <w:rFonts w:asciiTheme="minorEastAsia" w:eastAsiaTheme="minorEastAsia" w:hAnsiTheme="minorEastAsia" w:cs="仿宋_GB2312" w:hint="eastAsia"/>
                <w:color w:val="000000" w:themeColor="text1"/>
                <w:szCs w:val="21"/>
              </w:rPr>
              <w:br/>
              <w:t>本项合计最高扣3分。</w:t>
            </w:r>
          </w:p>
        </w:tc>
      </w:tr>
      <w:tr w:rsidR="009915D0" w:rsidTr="009915D0">
        <w:trPr>
          <w:trHeight w:val="1216"/>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用工信息发布</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对已做用工信息登记且有发布需求的用人单位，每发现1次未开展用工信息发布服务的，扣0.1分，最高扣1分。</w:t>
            </w:r>
          </w:p>
        </w:tc>
      </w:tr>
      <w:tr w:rsidR="009915D0" w:rsidTr="009915D0">
        <w:trPr>
          <w:trHeight w:val="3425"/>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求职人员推荐</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已做用工信息登记的用人单位，按照招工需求开展求职人员推荐，站点服务片区常住人口1-2万人的乡镇（木山乡、镇圩瑶族乡）全年推荐不少于100人，站点服务片区常住人口2-3万人的乡镇（明亮镇、巷贤镇、乔贤镇、塘红乡、西燕镇）全年推荐不少于200人，站点服务片区常住人口3-4万人的乡镇（三里镇）全年推荐不少于300人，站点服务片区常住人口4万人以上的乡镇（白圩镇）全年推荐不少于400人，澄泰乡（象山工业园区）全年推荐不少于600人，并做好服务记录台账，每少1个百分点，扣0.1分，最高扣10分。</w:t>
            </w:r>
          </w:p>
        </w:tc>
      </w:tr>
      <w:tr w:rsidR="009915D0" w:rsidTr="009915D0">
        <w:trPr>
          <w:trHeight w:val="1411"/>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求职简历代收</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对已做用工信息登记且有简历代收需求的用人单位，每发现1次未开展代收服务的，扣0.1分，最高扣1分。</w:t>
            </w:r>
          </w:p>
        </w:tc>
      </w:tr>
      <w:tr w:rsidR="009915D0" w:rsidTr="009915D0">
        <w:trPr>
          <w:trHeight w:val="1120"/>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面试洽谈辅助</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对已做用工信息登记且有面试洽谈辅助需求的用人单位，每发现1次未开展面试洽谈辅助服务的，扣0.1分，最高扣1分。</w:t>
            </w:r>
          </w:p>
        </w:tc>
      </w:tr>
      <w:tr w:rsidR="009915D0" w:rsidTr="009915D0">
        <w:trPr>
          <w:trHeight w:val="2582"/>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招聘会等公共就业</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服务活动推荐</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对已做用工信息登记的用人单位，按照招工需求每月推荐不少于1场招聘会信息或直播带岗活动信息，每发现1次未做推荐的，扣0.1分，最高扣1分。</w:t>
            </w:r>
          </w:p>
        </w:tc>
      </w:tr>
      <w:tr w:rsidR="009915D0" w:rsidTr="009915D0">
        <w:trPr>
          <w:trHeight w:val="1785"/>
        </w:trPr>
        <w:tc>
          <w:tcPr>
            <w:tcW w:w="936" w:type="dxa"/>
            <w:vMerge w:val="restart"/>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b/>
                <w:bCs/>
                <w:color w:val="000000" w:themeColor="text1"/>
                <w:szCs w:val="21"/>
              </w:rPr>
              <w:t>用人单位</w:t>
            </w:r>
            <w:r>
              <w:rPr>
                <w:rFonts w:asciiTheme="minorEastAsia" w:eastAsiaTheme="minorEastAsia" w:hAnsiTheme="minorEastAsia" w:cs="仿宋_GB2312" w:hint="eastAsia"/>
                <w:b/>
                <w:bCs/>
                <w:color w:val="000000" w:themeColor="text1"/>
                <w:szCs w:val="21"/>
              </w:rPr>
              <w:br/>
              <w:t>（15分）</w:t>
            </w:r>
          </w:p>
        </w:tc>
        <w:tc>
          <w:tcPr>
            <w:tcW w:w="643" w:type="dxa"/>
            <w:vMerge w:val="restart"/>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9</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创业服务</w:t>
            </w:r>
            <w:r>
              <w:rPr>
                <w:rFonts w:asciiTheme="minorEastAsia" w:eastAsiaTheme="minorEastAsia" w:hAnsiTheme="minorEastAsia" w:cs="仿宋_GB2312" w:hint="eastAsia"/>
                <w:color w:val="000000" w:themeColor="text1"/>
                <w:szCs w:val="21"/>
              </w:rPr>
              <w:br/>
              <w:t>（1.5分）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创业担保贷款</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办理指引</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对前来咨询且有贷款意愿的小微企业，指引办理创业担保贷款申请，每发现1家未提供指导服务的，扣0.1分；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本项合计最高扣1分。</w:t>
            </w:r>
          </w:p>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p>
        </w:tc>
      </w:tr>
      <w:tr w:rsidR="009915D0" w:rsidTr="009915D0">
        <w:trPr>
          <w:trHeight w:val="930"/>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创业孵化基地</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入驻指导</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对前来咨询且有入驻需求的用人单位，提供入驻指导服务，每发现1家未提供服务的，扣0.1分，最高扣0.2分。</w:t>
            </w:r>
          </w:p>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p>
        </w:tc>
      </w:tr>
      <w:tr w:rsidR="009915D0" w:rsidTr="009915D0">
        <w:trPr>
          <w:trHeight w:val="90"/>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创业扶持补贴</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申领指引</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对前来咨询且有补贴申领需求的用人单位，提供补贴申领指引服务，每发现1家未提供服务的，扣0.1分，最高扣0.3分。</w:t>
            </w:r>
          </w:p>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p>
        </w:tc>
      </w:tr>
      <w:tr w:rsidR="009915D0" w:rsidTr="009915D0">
        <w:trPr>
          <w:trHeight w:val="2816"/>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10</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技能培训</w:t>
            </w:r>
            <w:r>
              <w:rPr>
                <w:rFonts w:asciiTheme="minorEastAsia" w:eastAsiaTheme="minorEastAsia" w:hAnsiTheme="minorEastAsia" w:cs="仿宋_GB2312" w:hint="eastAsia"/>
                <w:color w:val="000000" w:themeColor="text1"/>
                <w:szCs w:val="21"/>
              </w:rPr>
              <w:br/>
              <w:t>（1.5分）</w:t>
            </w:r>
          </w:p>
          <w:p w:rsidR="009915D0" w:rsidRDefault="009915D0">
            <w:pPr>
              <w:widowControl/>
              <w:spacing w:line="360" w:lineRule="auto"/>
              <w:jc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br/>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培训需求登记</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1.对前来咨询且有培训需求并愿意登记的用人单位，每发现1家未引导登记的，扣0.5分；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2.对已做培训需求登记的用人单位，每发现1家关键信息（单位名称、联系人、联系方式、培训意向、登记时间）登记不全或信息质量问题的，扣0.1分。</w:t>
            </w:r>
          </w:p>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本项合计最高扣1.5分。</w:t>
            </w:r>
          </w:p>
        </w:tc>
      </w:tr>
      <w:tr w:rsidR="009915D0" w:rsidTr="009915D0">
        <w:trPr>
          <w:trHeight w:val="1262"/>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培训机构信息查询</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对前来查询的用人单位提供培训机构信息查询服务，每发现1次未提供服务的，扣0.1分，最高扣0.5分。</w:t>
            </w:r>
          </w:p>
        </w:tc>
      </w:tr>
      <w:tr w:rsidR="009915D0" w:rsidTr="009915D0">
        <w:trPr>
          <w:trHeight w:val="1512"/>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培训项目推荐</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对已做培训需求登记的用人单位，按照培训需求半年内至少推荐1个纳入开班计划的培训项目，并做好服务记录台账，每发现1家未推荐的，扣0.1分，最高扣1.5分。</w:t>
            </w:r>
          </w:p>
        </w:tc>
      </w:tr>
      <w:tr w:rsidR="009915D0" w:rsidTr="009915D0">
        <w:trPr>
          <w:trHeight w:val="1102"/>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培训开班计划查询</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对前来咨询且有需求的用人单位，提供开班计划查询服务，每发现1家未提供服务的，扣0.1分，</w:t>
            </w:r>
            <w:r>
              <w:rPr>
                <w:rFonts w:asciiTheme="minorEastAsia" w:eastAsiaTheme="minorEastAsia" w:hAnsiTheme="minorEastAsia" w:cs="仿宋_GB2312" w:hint="eastAsia"/>
                <w:color w:val="000000" w:themeColor="text1"/>
                <w:szCs w:val="21"/>
              </w:rPr>
              <w:lastRenderedPageBreak/>
              <w:t>最高扣0.5分。</w:t>
            </w:r>
          </w:p>
        </w:tc>
      </w:tr>
      <w:tr w:rsidR="009915D0" w:rsidTr="009915D0">
        <w:trPr>
          <w:trHeight w:val="879"/>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组织参加补贴性</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技能培训</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统筹到考核事项（序号16）的“活动组织”进行考核。</w:t>
            </w:r>
          </w:p>
        </w:tc>
      </w:tr>
      <w:tr w:rsidR="009915D0" w:rsidTr="009915D0">
        <w:trPr>
          <w:trHeight w:val="1170"/>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培训补贴申领指引</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（0.3分）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对前来咨询且有需求的用人单位，提供指引服务，每发现1家未提供服务的，扣0.1分，最高扣0.5分。</w:t>
            </w:r>
          </w:p>
        </w:tc>
      </w:tr>
      <w:tr w:rsidR="009915D0" w:rsidTr="009915D0">
        <w:trPr>
          <w:trHeight w:val="1330"/>
        </w:trPr>
        <w:tc>
          <w:tcPr>
            <w:tcW w:w="936"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15D0" w:rsidRDefault="009915D0">
            <w:pPr>
              <w:widowControl/>
              <w:spacing w:line="360" w:lineRule="auto"/>
              <w:jc w:val="center"/>
              <w:rPr>
                <w:rFonts w:asciiTheme="minorEastAsia" w:eastAsiaTheme="minorEastAsia" w:hAnsiTheme="minorEastAsia" w:cs="仿宋_GB2312"/>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p>
          <w:p w:rsidR="009915D0" w:rsidRDefault="009915D0">
            <w:pPr>
              <w:widowControl/>
              <w:spacing w:line="360" w:lineRule="auto"/>
              <w:jc w:val="center"/>
              <w:rPr>
                <w:rFonts w:asciiTheme="minorEastAsia" w:eastAsiaTheme="minorEastAsia" w:hAnsiTheme="minorEastAsia" w:cs="仿宋_GB2312" w:hint="eastAsia"/>
                <w:b/>
                <w:bCs/>
                <w:color w:val="000000" w:themeColor="text1"/>
                <w:szCs w:val="21"/>
              </w:rPr>
            </w:pPr>
            <w:r>
              <w:rPr>
                <w:rFonts w:asciiTheme="minorEastAsia" w:eastAsiaTheme="minorEastAsia" w:hAnsiTheme="minorEastAsia" w:cs="仿宋_GB2312" w:hint="eastAsia"/>
                <w:b/>
                <w:bCs/>
                <w:color w:val="000000" w:themeColor="text1"/>
                <w:szCs w:val="21"/>
              </w:rPr>
              <w:t>基础运行（70-80分）</w:t>
            </w:r>
          </w:p>
          <w:p w:rsidR="009915D0" w:rsidRDefault="009915D0">
            <w:pPr>
              <w:widowControl/>
              <w:spacing w:line="360" w:lineRule="auto"/>
              <w:jc w:val="center"/>
              <w:rPr>
                <w:rFonts w:asciiTheme="minorEastAsia" w:eastAsiaTheme="minorEastAsia" w:hAnsiTheme="minorEastAsia" w:cs="仿宋_GB2312"/>
                <w:color w:val="000000" w:themeColor="text1"/>
                <w:szCs w:val="21"/>
              </w:rPr>
            </w:pPr>
          </w:p>
        </w:tc>
        <w:tc>
          <w:tcPr>
            <w:tcW w:w="643" w:type="dxa"/>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lastRenderedPageBreak/>
              <w:t>11</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就业摸排</w:t>
            </w:r>
            <w:r>
              <w:rPr>
                <w:rFonts w:asciiTheme="minorEastAsia" w:eastAsiaTheme="minorEastAsia" w:hAnsiTheme="minorEastAsia" w:cs="仿宋_GB2312" w:hint="eastAsia"/>
                <w:color w:val="000000" w:themeColor="text1"/>
                <w:szCs w:val="21"/>
              </w:rPr>
              <w:br/>
              <w:t>（10分）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对辖区城乡劳动力资源摸排登记</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（10分）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乡镇全年摸排辖区内农村劳动力就业信息，完成农村劳动力数据更新率达90%以上，每少1个百分点，扣0.5分，最高扣10分。</w:t>
            </w:r>
          </w:p>
        </w:tc>
      </w:tr>
      <w:tr w:rsidR="009915D0" w:rsidTr="009915D0">
        <w:trPr>
          <w:trHeight w:val="4595"/>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12</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就业服务</w:t>
            </w:r>
            <w:r>
              <w:rPr>
                <w:rFonts w:asciiTheme="minorEastAsia" w:eastAsiaTheme="minorEastAsia" w:hAnsiTheme="minorEastAsia" w:cs="仿宋_GB2312" w:hint="eastAsia"/>
                <w:color w:val="000000" w:themeColor="text1"/>
                <w:szCs w:val="21"/>
              </w:rPr>
              <w:br/>
              <w:t>（10分）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辖区登记失业人员、就业困难人员、退役军人、离校未就业高校毕业生、脱贫劳动力、防止返贫致贫对象、农村返乡回流人员、雨露计划毕业生等重点群体提供就业跟踪帮扶（含序号5“就业援助”的对城镇零就业家庭劳动者、防止返贫监测对象家庭劳动者等特殊困难人群开展就业跟踪帮扶）</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（10分）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乡镇对摸排收集和前来登记的辖区内登记失业人员、就业困难人员(大龄失业、长期失业、低保家庭、残疾人员、零就业家庭、失地人员、易地搬迁)、退役军人、离校未就业高校毕业生、脱贫劳动力、防止返贫致贫对象、农村返乡回流人员、雨露计划毕业生等重点群体进行身份标识，标识率达100%，每少1个百分点，扣0.1分；并按要求对重点群体开展“251”“1131”就业帮扶，就业帮扶率达100%，每少1个百分点，扣0.1分；</w:t>
            </w:r>
          </w:p>
          <w:p w:rsidR="009915D0" w:rsidRDefault="009915D0">
            <w:pPr>
              <w:widowControl/>
              <w:spacing w:line="360" w:lineRule="auto"/>
              <w:jc w:val="left"/>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2.辖区内脱贫劳动力就业率60%以上，登记失业人员再就业率70%以上，就业困难人员就业率80%以上，离校未就业高校毕业生和雨露计划毕业生就业率90%以上。以上每一项任务每少1个百分点，扣0.1分。</w:t>
            </w:r>
          </w:p>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本项合计最高扣10分。</w:t>
            </w:r>
          </w:p>
        </w:tc>
      </w:tr>
      <w:tr w:rsidR="009915D0" w:rsidTr="009915D0">
        <w:trPr>
          <w:trHeight w:val="5170"/>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tcBorders>
              <w:top w:val="nil"/>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13</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用工摸排</w:t>
            </w:r>
            <w:r>
              <w:rPr>
                <w:rFonts w:asciiTheme="minorEastAsia" w:eastAsiaTheme="minorEastAsia" w:hAnsiTheme="minorEastAsia" w:cs="仿宋_GB2312" w:hint="eastAsia"/>
                <w:color w:val="000000" w:themeColor="text1"/>
                <w:szCs w:val="21"/>
              </w:rPr>
              <w:br/>
              <w:t>（8分）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对用人单位用工需求</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摸排登记</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（8分）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1.全年新增登记的用人单位不少于300家(含辖区外)，每少1个百分点，扣0.1分;有用工需求的用人单位不少于300家次(含辖区外)，每少1个百分点，扣0.1分;</w:t>
            </w:r>
          </w:p>
          <w:p w:rsidR="009915D0" w:rsidRDefault="009915D0">
            <w:pPr>
              <w:widowControl/>
              <w:spacing w:line="360" w:lineRule="auto"/>
              <w:jc w:val="left"/>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2.全年园区辖区内新增登记的用人单位不少于20家，每少1个百分点，扣0.1分;其中有用工需求的用人单位不少于20家次，每少1个百分点，扣0.1分;</w:t>
            </w:r>
          </w:p>
          <w:p w:rsidR="009915D0" w:rsidRDefault="009915D0">
            <w:pPr>
              <w:widowControl/>
              <w:spacing w:line="360" w:lineRule="auto"/>
              <w:jc w:val="left"/>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3.乡镇辖区内新增登记的用人单位不少于10家，每少1个百分点，扣0.1分;其中有用工需求的用人单位不少于10家次，每少1个百分点，扣0.1分。</w:t>
            </w:r>
          </w:p>
          <w:p w:rsidR="009915D0" w:rsidRDefault="009915D0">
            <w:pPr>
              <w:widowControl/>
              <w:spacing w:line="360" w:lineRule="auto"/>
              <w:jc w:val="left"/>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4.全年登记的用工需求不少于3000人次(含辖区外)，每少1个百分点，扣0.1分。其中园区辖区内用工需求不少于300人次，每少1个百分点，扣0.1分;乡镇辖区内用工需求不少于100人次，每少1个百分点，扣0.1分。</w:t>
            </w:r>
          </w:p>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本项合计最高扣8分。</w:t>
            </w:r>
          </w:p>
        </w:tc>
      </w:tr>
      <w:tr w:rsidR="009915D0" w:rsidTr="009915D0">
        <w:trPr>
          <w:trHeight w:val="944"/>
        </w:trPr>
        <w:tc>
          <w:tcPr>
            <w:tcW w:w="936" w:type="dxa"/>
            <w:vMerge w:val="restart"/>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9915D0" w:rsidRDefault="009915D0">
            <w:pPr>
              <w:widowControl/>
              <w:spacing w:line="360" w:lineRule="auto"/>
              <w:jc w:val="center"/>
              <w:rPr>
                <w:rFonts w:asciiTheme="minorEastAsia" w:eastAsiaTheme="minorEastAsia" w:hAnsiTheme="minorEastAsia" w:cs="仿宋_GB2312"/>
                <w:b/>
                <w:bCs/>
                <w:color w:val="000000" w:themeColor="text1"/>
                <w:szCs w:val="21"/>
              </w:rPr>
            </w:pPr>
            <w:r>
              <w:rPr>
                <w:rFonts w:asciiTheme="minorEastAsia" w:eastAsiaTheme="minorEastAsia" w:hAnsiTheme="minorEastAsia" w:cs="仿宋_GB2312" w:hint="eastAsia"/>
                <w:b/>
                <w:bCs/>
                <w:color w:val="000000" w:themeColor="text1"/>
                <w:szCs w:val="21"/>
              </w:rPr>
              <w:lastRenderedPageBreak/>
              <w:t>基础运行（70-80分）</w:t>
            </w:r>
          </w:p>
          <w:p w:rsidR="009915D0" w:rsidRDefault="009915D0">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14</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用工服务</w:t>
            </w:r>
            <w:r>
              <w:rPr>
                <w:rFonts w:asciiTheme="minorEastAsia" w:eastAsiaTheme="minorEastAsia" w:hAnsiTheme="minorEastAsia" w:cs="仿宋_GB2312" w:hint="eastAsia"/>
                <w:color w:val="000000" w:themeColor="text1"/>
                <w:szCs w:val="21"/>
              </w:rPr>
              <w:br/>
              <w:t>（8分）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对本县承接的市级重点企业送工任务提供送工服务</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（6分）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对本县承接的市级重点企业送工任务提供送工服务，完成年度送工任务，每少1个百分点，扣0.1分，最高扣6分。</w:t>
            </w:r>
          </w:p>
        </w:tc>
      </w:tr>
      <w:tr w:rsidR="009915D0" w:rsidTr="009915D0">
        <w:trPr>
          <w:trHeight w:val="1007"/>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对本县重点企业送工任务提供送工服务</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对本县重点企业送工任务提供送工服务，完成年度送工任务，每少1个百分点，扣0.1分，最高扣2分。</w:t>
            </w:r>
          </w:p>
        </w:tc>
      </w:tr>
      <w:tr w:rsidR="009915D0" w:rsidTr="009915D0">
        <w:trPr>
          <w:trHeight w:val="1321"/>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15</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培训跟踪</w:t>
            </w:r>
            <w:r>
              <w:rPr>
                <w:rFonts w:asciiTheme="minorEastAsia" w:eastAsiaTheme="minorEastAsia" w:hAnsiTheme="minorEastAsia" w:cs="仿宋_GB2312" w:hint="eastAsia"/>
                <w:color w:val="000000" w:themeColor="text1"/>
                <w:szCs w:val="21"/>
              </w:rPr>
              <w:br/>
              <w:t>（1分）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对前来登记培训需求并推荐培训项目的服务对象进行培训、就业情况跟踪登记（1分）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对前来登记培训需求并推荐培训项目的服务对象进行培训、就业情况跟踪登记，半年内跟踪率达100%，每少1个百分点，扣0.1分，最高扣1分。</w:t>
            </w:r>
          </w:p>
        </w:tc>
      </w:tr>
      <w:tr w:rsidR="009915D0" w:rsidTr="009915D0">
        <w:trPr>
          <w:trHeight w:val="1072"/>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16</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活动组织</w:t>
            </w:r>
            <w:r>
              <w:rPr>
                <w:rFonts w:asciiTheme="minorEastAsia" w:eastAsiaTheme="minorEastAsia" w:hAnsiTheme="minorEastAsia" w:cs="仿宋_GB2312" w:hint="eastAsia"/>
                <w:color w:val="000000" w:themeColor="text1"/>
                <w:szCs w:val="21"/>
              </w:rPr>
              <w:br/>
              <w:t>（9分）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组织招聘会</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915D0" w:rsidRDefault="009915D0">
            <w:pPr>
              <w:pStyle w:val="TableText"/>
              <w:spacing w:line="360" w:lineRule="auto"/>
              <w:ind w:firstLine="4"/>
              <w:rPr>
                <w:rFonts w:asciiTheme="minorEastAsia" w:eastAsiaTheme="minorEastAsia" w:hAnsiTheme="minorEastAsia" w:cs="仿宋_GB2312"/>
                <w:color w:val="000000" w:themeColor="text1"/>
                <w:lang w:eastAsia="zh-CN"/>
              </w:rPr>
            </w:pPr>
            <w:r>
              <w:rPr>
                <w:rFonts w:asciiTheme="minorEastAsia" w:eastAsiaTheme="minorEastAsia" w:hAnsiTheme="minorEastAsia" w:cs="仿宋_GB2312" w:hint="eastAsia"/>
                <w:color w:val="000000" w:themeColor="text1"/>
                <w:spacing w:val="8"/>
                <w:lang w:eastAsia="zh-CN"/>
              </w:rPr>
              <w:t>按当地人社部门要求，定期举行招聘会活动，全年</w:t>
            </w:r>
            <w:r>
              <w:rPr>
                <w:rFonts w:asciiTheme="minorEastAsia" w:eastAsiaTheme="minorEastAsia" w:hAnsiTheme="minorEastAsia" w:cs="仿宋_GB2312" w:hint="eastAsia"/>
                <w:color w:val="000000" w:themeColor="text1"/>
                <w:spacing w:val="5"/>
                <w:lang w:eastAsia="zh-CN"/>
              </w:rPr>
              <w:t>举行招聘会活动不少于12次，每少1场扣0.5分，</w:t>
            </w:r>
            <w:r>
              <w:rPr>
                <w:rFonts w:asciiTheme="minorEastAsia" w:eastAsiaTheme="minorEastAsia" w:hAnsiTheme="minorEastAsia" w:cs="仿宋_GB2312" w:hint="eastAsia"/>
                <w:color w:val="000000" w:themeColor="text1"/>
                <w:spacing w:val="2"/>
                <w:lang w:eastAsia="zh-CN"/>
              </w:rPr>
              <w:t>最高扣6分。</w:t>
            </w:r>
          </w:p>
        </w:tc>
      </w:tr>
      <w:tr w:rsidR="009915D0" w:rsidTr="009915D0">
        <w:trPr>
          <w:trHeight w:val="1289"/>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举办公益性技能培训</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915D0" w:rsidRDefault="009915D0">
            <w:pPr>
              <w:pStyle w:val="TableText"/>
              <w:spacing w:line="360" w:lineRule="auto"/>
              <w:ind w:firstLine="1"/>
              <w:rPr>
                <w:rFonts w:asciiTheme="minorEastAsia" w:eastAsiaTheme="minorEastAsia" w:hAnsiTheme="minorEastAsia" w:cs="仿宋_GB2312"/>
                <w:color w:val="000000" w:themeColor="text1"/>
                <w:lang w:eastAsia="zh-CN"/>
              </w:rPr>
            </w:pPr>
            <w:r>
              <w:rPr>
                <w:rFonts w:asciiTheme="minorEastAsia" w:eastAsiaTheme="minorEastAsia" w:hAnsiTheme="minorEastAsia" w:cs="仿宋_GB2312" w:hint="eastAsia"/>
                <w:color w:val="000000" w:themeColor="text1"/>
                <w:spacing w:val="7"/>
                <w:lang w:eastAsia="zh-CN"/>
              </w:rPr>
              <w:t>按当地人社部门要求，举办公益性技能培训活动，全年举办公益性技能培训活动不少于2期，每少1</w:t>
            </w:r>
            <w:r>
              <w:rPr>
                <w:rFonts w:asciiTheme="minorEastAsia" w:eastAsiaTheme="minorEastAsia" w:hAnsiTheme="minorEastAsia" w:cs="仿宋_GB2312" w:hint="eastAsia"/>
                <w:color w:val="000000" w:themeColor="text1"/>
                <w:spacing w:val="5"/>
                <w:lang w:eastAsia="zh-CN"/>
              </w:rPr>
              <w:t>期扣0.5分，最高扣2分。</w:t>
            </w:r>
          </w:p>
        </w:tc>
      </w:tr>
      <w:tr w:rsidR="009915D0" w:rsidTr="009915D0">
        <w:trPr>
          <w:trHeight w:val="2466"/>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组织参加补贴性技能培训（含序号3“技能培训”的组织参加补贴性</w:t>
            </w:r>
          </w:p>
          <w:p w:rsidR="009915D0" w:rsidRDefault="009915D0">
            <w:pPr>
              <w:widowControl/>
              <w:spacing w:line="360" w:lineRule="auto"/>
              <w:jc w:val="center"/>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技能培训）</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（4分）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915D0" w:rsidRDefault="009915D0">
            <w:pPr>
              <w:pStyle w:val="TableText"/>
              <w:spacing w:line="360" w:lineRule="auto"/>
              <w:ind w:left="-5"/>
              <w:rPr>
                <w:rFonts w:asciiTheme="minorEastAsia" w:eastAsiaTheme="minorEastAsia" w:hAnsiTheme="minorEastAsia" w:cs="仿宋_GB2312"/>
                <w:color w:val="000000" w:themeColor="text1"/>
                <w:lang w:eastAsia="zh-CN"/>
              </w:rPr>
            </w:pPr>
            <w:r>
              <w:rPr>
                <w:rFonts w:asciiTheme="minorEastAsia" w:eastAsiaTheme="minorEastAsia" w:hAnsiTheme="minorEastAsia" w:cs="仿宋_GB2312" w:hint="eastAsia"/>
                <w:color w:val="000000" w:themeColor="text1"/>
                <w:lang w:eastAsia="zh-CN"/>
              </w:rPr>
              <w:t>1.协助组织已在本站登记有培训需求且在法定劳动年龄内的“五类人员”推荐参加人社部门补贴性培训，全年组织人数不少于30人，每少1个百分点扣0.1分，最高扣3分；</w:t>
            </w:r>
          </w:p>
          <w:p w:rsidR="009915D0" w:rsidRDefault="009915D0">
            <w:pPr>
              <w:pStyle w:val="TableText"/>
              <w:spacing w:line="360" w:lineRule="auto"/>
              <w:rPr>
                <w:rFonts w:asciiTheme="minorEastAsia" w:eastAsiaTheme="minorEastAsia" w:hAnsiTheme="minorEastAsia" w:cs="仿宋_GB2312"/>
                <w:color w:val="000000" w:themeColor="text1"/>
                <w:lang w:eastAsia="zh-CN"/>
              </w:rPr>
            </w:pPr>
            <w:r>
              <w:rPr>
                <w:rFonts w:asciiTheme="minorEastAsia" w:eastAsiaTheme="minorEastAsia" w:hAnsiTheme="minorEastAsia" w:cs="仿宋_GB2312" w:hint="eastAsia"/>
                <w:color w:val="000000" w:themeColor="text1"/>
                <w:spacing w:val="10"/>
                <w:lang w:eastAsia="zh-CN"/>
              </w:rPr>
              <w:t>2.严禁联合培训机构等主体，引导已在培训机构明</w:t>
            </w:r>
            <w:r>
              <w:rPr>
                <w:rFonts w:asciiTheme="minorEastAsia" w:eastAsiaTheme="minorEastAsia" w:hAnsiTheme="minorEastAsia" w:cs="仿宋_GB2312" w:hint="eastAsia"/>
                <w:color w:val="000000" w:themeColor="text1"/>
                <w:spacing w:val="8"/>
                <w:lang w:eastAsia="zh-CN"/>
              </w:rPr>
              <w:t>确参训意向的人员，转移至本站完成培训需求登记后再组织其参训。经属地人社部门抽查确认的，每</w:t>
            </w:r>
            <w:r>
              <w:rPr>
                <w:rFonts w:asciiTheme="minorEastAsia" w:eastAsiaTheme="minorEastAsia" w:hAnsiTheme="minorEastAsia" w:cs="仿宋_GB2312" w:hint="eastAsia"/>
                <w:color w:val="000000" w:themeColor="text1"/>
                <w:spacing w:val="1"/>
                <w:lang w:eastAsia="zh-CN"/>
              </w:rPr>
              <w:t>发现1例扣1分，最高扣5分。</w:t>
            </w:r>
          </w:p>
        </w:tc>
      </w:tr>
      <w:tr w:rsidR="009915D0" w:rsidTr="009915D0">
        <w:trPr>
          <w:trHeight w:val="1125"/>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开展政策宣传活动</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915D0" w:rsidRDefault="009915D0">
            <w:pPr>
              <w:pStyle w:val="TableText"/>
              <w:spacing w:line="360" w:lineRule="auto"/>
              <w:ind w:hanging="4"/>
              <w:rPr>
                <w:rFonts w:asciiTheme="minorEastAsia" w:eastAsiaTheme="minorEastAsia" w:hAnsiTheme="minorEastAsia" w:cs="仿宋_GB2312"/>
                <w:color w:val="000000" w:themeColor="text1"/>
                <w:lang w:eastAsia="zh-CN"/>
              </w:rPr>
            </w:pPr>
            <w:r>
              <w:rPr>
                <w:rFonts w:asciiTheme="minorEastAsia" w:eastAsiaTheme="minorEastAsia" w:hAnsiTheme="minorEastAsia" w:cs="仿宋_GB2312" w:hint="eastAsia"/>
                <w:color w:val="000000" w:themeColor="text1"/>
                <w:spacing w:val="8"/>
                <w:lang w:eastAsia="zh-CN"/>
              </w:rPr>
              <w:t>按当地人社部门要求，举办政策宣传活动，全年举</w:t>
            </w:r>
            <w:r>
              <w:rPr>
                <w:rFonts w:asciiTheme="minorEastAsia" w:eastAsiaTheme="minorEastAsia" w:hAnsiTheme="minorEastAsia" w:cs="仿宋_GB2312" w:hint="eastAsia"/>
                <w:color w:val="000000" w:themeColor="text1"/>
                <w:spacing w:val="7"/>
                <w:lang w:eastAsia="zh-CN"/>
              </w:rPr>
              <w:t>办政策宣传活动不少于4场，每少1场扣0.5分，</w:t>
            </w:r>
            <w:r>
              <w:rPr>
                <w:rFonts w:asciiTheme="minorEastAsia" w:eastAsiaTheme="minorEastAsia" w:hAnsiTheme="minorEastAsia" w:cs="仿宋_GB2312" w:hint="eastAsia"/>
                <w:color w:val="000000" w:themeColor="text1"/>
                <w:spacing w:val="12"/>
                <w:lang w:eastAsia="zh-CN"/>
              </w:rPr>
              <w:t>最高扣2分。</w:t>
            </w:r>
          </w:p>
        </w:tc>
      </w:tr>
      <w:tr w:rsidR="009915D0" w:rsidTr="009915D0">
        <w:trPr>
          <w:trHeight w:val="1385"/>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17</w:t>
            </w:r>
          </w:p>
        </w:tc>
        <w:tc>
          <w:tcPr>
            <w:tcW w:w="941" w:type="dxa"/>
            <w:vMerge w:val="restart"/>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社会宣传</w:t>
            </w:r>
            <w:r>
              <w:rPr>
                <w:rFonts w:asciiTheme="minorEastAsia" w:eastAsiaTheme="minorEastAsia" w:hAnsiTheme="minorEastAsia" w:cs="仿宋_GB2312" w:hint="eastAsia"/>
                <w:color w:val="000000" w:themeColor="text1"/>
                <w:szCs w:val="21"/>
              </w:rPr>
              <w:br/>
              <w:t>（4分）</w:t>
            </w:r>
          </w:p>
        </w:tc>
        <w:tc>
          <w:tcPr>
            <w:tcW w:w="2358"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资料配备</w:t>
            </w:r>
            <w:r>
              <w:rPr>
                <w:rFonts w:asciiTheme="minorEastAsia" w:eastAsiaTheme="minorEastAsia" w:hAnsiTheme="minorEastAsia" w:cs="仿宋_GB2312" w:hint="eastAsia"/>
                <w:color w:val="000000" w:themeColor="text1"/>
                <w:szCs w:val="21"/>
              </w:rPr>
              <w:br/>
              <w:t>（1分）</w:t>
            </w:r>
          </w:p>
        </w:tc>
        <w:tc>
          <w:tcPr>
            <w:tcW w:w="4453"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在服务站内公告栏、政策取阅架等地方定期放置就业创业政策宣传材料，全年印制各类宣传材料不少于2000份，每少1个百分点，扣0.1分，最高扣1分。</w:t>
            </w:r>
          </w:p>
        </w:tc>
      </w:tr>
      <w:tr w:rsidR="009915D0" w:rsidTr="009915D0">
        <w:trPr>
          <w:trHeight w:val="4225"/>
        </w:trPr>
        <w:tc>
          <w:tcPr>
            <w:tcW w:w="936"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宣传推广</w:t>
            </w:r>
            <w:r>
              <w:rPr>
                <w:rFonts w:asciiTheme="minorEastAsia" w:eastAsiaTheme="minorEastAsia" w:hAnsiTheme="minorEastAsia" w:cs="仿宋_GB2312" w:hint="eastAsia"/>
                <w:color w:val="000000" w:themeColor="text1"/>
                <w:szCs w:val="21"/>
              </w:rPr>
              <w:br/>
              <w:t>（3分）</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44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1.通过广播、电视、报纸等新闻媒介及官方网站、微信公众号、抖音等各类网络媒体，开展服务站相关服务宣传。全年在各类新闻媒介和网络媒体发布宣传视频、宣传文章不少于8篇，每少1篇，扣0.1分；</w:t>
            </w:r>
          </w:p>
          <w:p w:rsidR="009915D0" w:rsidRDefault="009915D0">
            <w:pPr>
              <w:widowControl/>
              <w:spacing w:line="360" w:lineRule="auto"/>
              <w:jc w:val="left"/>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2.全年在辖区全部村(社区)和其他人员密集场所、电子屏、移动宣传载体等发放或张贴服务二维码或宣传海报等大力宣传服务站不少于30处，每发现少1处未开展的，扣0.1分；</w:t>
            </w:r>
          </w:p>
          <w:p w:rsidR="009915D0" w:rsidRDefault="009915D0">
            <w:pPr>
              <w:widowControl/>
              <w:spacing w:line="360" w:lineRule="auto"/>
              <w:jc w:val="left"/>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3.全年制作服务站经验类、推广类宣传视频不少于1条，每条视频时长不少于1分钟，无宣传视频或视频不符合要求的，扣1分。</w:t>
            </w:r>
          </w:p>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本项合计最高扣3分。</w:t>
            </w:r>
          </w:p>
        </w:tc>
      </w:tr>
      <w:tr w:rsidR="009915D0" w:rsidTr="009915D0">
        <w:trPr>
          <w:trHeight w:val="2253"/>
        </w:trPr>
        <w:tc>
          <w:tcPr>
            <w:tcW w:w="936" w:type="dxa"/>
            <w:vMerge w:val="restart"/>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9915D0" w:rsidRDefault="009915D0">
            <w:pPr>
              <w:widowControl/>
              <w:spacing w:line="360" w:lineRule="auto"/>
              <w:jc w:val="center"/>
              <w:rPr>
                <w:rFonts w:asciiTheme="minorEastAsia" w:eastAsiaTheme="minorEastAsia" w:hAnsiTheme="minorEastAsia" w:cs="仿宋_GB2312"/>
                <w:b/>
                <w:bCs/>
                <w:color w:val="000000" w:themeColor="text1"/>
                <w:szCs w:val="21"/>
              </w:rPr>
            </w:pPr>
            <w:r>
              <w:rPr>
                <w:rFonts w:asciiTheme="minorEastAsia" w:eastAsiaTheme="minorEastAsia" w:hAnsiTheme="minorEastAsia" w:cs="仿宋_GB2312" w:hint="eastAsia"/>
                <w:b/>
                <w:bCs/>
                <w:color w:val="000000" w:themeColor="text1"/>
                <w:szCs w:val="21"/>
              </w:rPr>
              <w:t>基础运行（70-80分）</w:t>
            </w:r>
          </w:p>
          <w:p w:rsidR="009915D0" w:rsidRDefault="009915D0">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18</w:t>
            </w:r>
          </w:p>
        </w:tc>
        <w:tc>
          <w:tcPr>
            <w:tcW w:w="941" w:type="dxa"/>
            <w:vMerge w:val="restart"/>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规范配备</w:t>
            </w:r>
            <w:r>
              <w:rPr>
                <w:rFonts w:asciiTheme="minorEastAsia" w:eastAsiaTheme="minorEastAsia" w:hAnsiTheme="minorEastAsia" w:cs="仿宋_GB2312" w:hint="eastAsia"/>
                <w:color w:val="000000" w:themeColor="text1"/>
                <w:szCs w:val="21"/>
              </w:rPr>
              <w:br/>
              <w:t>（基础分20分，可+5分）</w:t>
            </w:r>
          </w:p>
        </w:tc>
        <w:tc>
          <w:tcPr>
            <w:tcW w:w="2358"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服务场所</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（1分，可+2分）</w:t>
            </w:r>
          </w:p>
        </w:tc>
        <w:tc>
          <w:tcPr>
            <w:tcW w:w="4453" w:type="dxa"/>
            <w:tcBorders>
              <w:top w:val="single" w:sz="4" w:space="0" w:color="auto"/>
              <w:left w:val="single" w:sz="4" w:space="0" w:color="000000"/>
              <w:bottom w:val="single" w:sz="4" w:space="0" w:color="000000"/>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按照《南宁市一级就业服务站规范配备标准》，常态设置柜面服务区、信息发布区、数智求职区、等候休息区、便民服务区等基本功能区域。</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1.基本功能区域每发现少1项或设置不合理的，扣1分；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2.每增设1个功能区域（求职招聘区、职业培训区、线上直播区、视频面试区、24小时人社自助服务区等）的，加0.5分。</w:t>
            </w:r>
          </w:p>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本项合计最高加2分，最高扣5分。</w:t>
            </w:r>
          </w:p>
        </w:tc>
      </w:tr>
      <w:tr w:rsidR="009915D0" w:rsidTr="009915D0">
        <w:trPr>
          <w:trHeight w:val="3565"/>
        </w:trPr>
        <w:tc>
          <w:tcPr>
            <w:tcW w:w="936" w:type="dxa"/>
            <w:vMerge/>
            <w:tcBorders>
              <w:top w:val="single" w:sz="4" w:space="0" w:color="auto"/>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服务设施</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（3分，可+1分）</w:t>
            </w:r>
          </w:p>
        </w:tc>
        <w:tc>
          <w:tcPr>
            <w:tcW w:w="4453"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按照《南宁市一级就业服务站规范配备标准》，常态配备必要的办公服务、求职服务、便民服务、安全防护等设施设备，满足日常服务需要。</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1.对照规范配备标准，每发现1项配备不达标，扣1分；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2.每增加1台服务设备[求职招聘自助服务机、求职招聘信息发布一体机（含展示分析服务）]，或每增加1个直播带岗区域（含直播带岗设备），加0.5分；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3.每发现1次服务设备（办公服务、求职服务、便民服务、安全防护等设施设备）不能正常运行的，扣0.1分；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4.每发现1次统一标识损坏且不及时维修更换的，扣0.5分。</w:t>
            </w:r>
          </w:p>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本项合计最高加1分，最高扣20分。</w:t>
            </w:r>
          </w:p>
        </w:tc>
      </w:tr>
      <w:tr w:rsidR="009915D0" w:rsidTr="009915D0">
        <w:trPr>
          <w:trHeight w:val="3565"/>
        </w:trPr>
        <w:tc>
          <w:tcPr>
            <w:tcW w:w="936" w:type="dxa"/>
            <w:vMerge/>
            <w:tcBorders>
              <w:top w:val="single" w:sz="4" w:space="0" w:color="auto"/>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服务团队</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（5分，可+2分）</w:t>
            </w:r>
          </w:p>
        </w:tc>
        <w:tc>
          <w:tcPr>
            <w:tcW w:w="4453" w:type="dxa"/>
            <w:tcBorders>
              <w:top w:val="single" w:sz="4" w:space="0" w:color="000000"/>
              <w:left w:val="single" w:sz="4" w:space="0" w:color="000000"/>
              <w:bottom w:val="nil"/>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按照《南宁市一级就业服务站规范配备标准》常态配备专业的运营服务队伍，驻站站长1人，常态化在岗专职服务人员不少于1人，在购买服务方和属地的监督指导下，站点每周服务不少于5天、每天服务时长不少于8小时的服务要求，并根据实际需求，在早晚高峰、节假日等特殊时段和节点安排专人值班。</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1.每多配1人，加1分；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2.站点常态化运营时间全年平均每天多1个小时的，加0.5分；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3.每发现1次站长未履职的，扣0.5分；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4.每发现1次专职人员不在岗的，扣0.5分；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5.每发现服务天数少1天的，扣0.2分；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lastRenderedPageBreak/>
              <w:t>6.每发现服务时长少1个小时，扣0.1分。</w:t>
            </w:r>
          </w:p>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本项合计最高加2分，最高扣20分。</w:t>
            </w:r>
          </w:p>
        </w:tc>
      </w:tr>
      <w:tr w:rsidR="009915D0" w:rsidTr="009915D0">
        <w:trPr>
          <w:trHeight w:val="4063"/>
        </w:trPr>
        <w:tc>
          <w:tcPr>
            <w:tcW w:w="936" w:type="dxa"/>
            <w:vMerge/>
            <w:tcBorders>
              <w:top w:val="single" w:sz="4" w:space="0" w:color="auto"/>
              <w:left w:val="single" w:sz="4" w:space="0" w:color="auto"/>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服务标识</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（4分）</w:t>
            </w:r>
          </w:p>
        </w:tc>
        <w:tc>
          <w:tcPr>
            <w:tcW w:w="4453" w:type="dxa"/>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hideMark/>
          </w:tcPr>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统一命名规则、统一视觉识别、统一服务清单、统一服务规范。</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1.每发现1次标识标牌、徽标图案等损坏且不及时维修更换的，扣0.5分；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2.每发现1次命名规则、服务站简介、服务背景、服务网点分布图、服务事项清单、服务标语、服务指引、服务时间、服务团队、管理服务规范等不符合要求或未及时更新内容的，扣0.1分；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3.制定管理服务规范（含首问负责制、限时办结制、一次性告知制等）、安全生产管理、卫生管理、人员管理、设施设备管理、保密管理等制度并遵照执行，每发现1项不符合要求的，扣0.1分；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4.每发现1次未在显眼位置张贴服务二维码的，扣0.1分；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5.每发现1次工作人员未统一着装或配挂工牌的，扣0.1分。</w:t>
            </w:r>
          </w:p>
          <w:p w:rsidR="009915D0" w:rsidRDefault="009915D0">
            <w:pPr>
              <w:widowControl/>
              <w:spacing w:line="360" w:lineRule="auto"/>
              <w:jc w:val="left"/>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本项合计最高扣4分。</w:t>
            </w:r>
          </w:p>
        </w:tc>
      </w:tr>
      <w:tr w:rsidR="009915D0" w:rsidTr="009915D0">
        <w:trPr>
          <w:trHeight w:val="2016"/>
        </w:trPr>
        <w:tc>
          <w:tcPr>
            <w:tcW w:w="936"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15D0" w:rsidRDefault="009915D0">
            <w:pPr>
              <w:widowControl/>
              <w:spacing w:line="360" w:lineRule="auto"/>
              <w:jc w:val="center"/>
              <w:rPr>
                <w:rFonts w:asciiTheme="minorEastAsia" w:eastAsiaTheme="minorEastAsia" w:hAnsiTheme="minorEastAsia" w:cs="仿宋_GB2312"/>
                <w:b/>
                <w:bCs/>
                <w:color w:val="000000" w:themeColor="text1"/>
                <w:szCs w:val="21"/>
              </w:rPr>
            </w:pPr>
            <w:r>
              <w:rPr>
                <w:rFonts w:asciiTheme="minorEastAsia" w:eastAsiaTheme="minorEastAsia" w:hAnsiTheme="minorEastAsia" w:cs="仿宋_GB2312" w:hint="eastAsia"/>
                <w:b/>
                <w:bCs/>
                <w:color w:val="000000" w:themeColor="text1"/>
                <w:szCs w:val="21"/>
              </w:rPr>
              <w:lastRenderedPageBreak/>
              <w:t>基础运行（70-80分）</w:t>
            </w:r>
          </w:p>
          <w:p w:rsidR="009915D0" w:rsidRDefault="009915D0">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18</w:t>
            </w:r>
          </w:p>
        </w:tc>
        <w:tc>
          <w:tcPr>
            <w:tcW w:w="941" w:type="dxa"/>
            <w:vMerge w:val="restart"/>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规范配备</w:t>
            </w:r>
            <w:r>
              <w:rPr>
                <w:rFonts w:asciiTheme="minorEastAsia" w:eastAsiaTheme="minorEastAsia" w:hAnsiTheme="minorEastAsia" w:cs="仿宋_GB2312" w:hint="eastAsia"/>
                <w:color w:val="000000" w:themeColor="text1"/>
                <w:szCs w:val="21"/>
              </w:rPr>
              <w:br/>
              <w:t>（基础分20分，可+5分）</w:t>
            </w:r>
          </w:p>
        </w:tc>
        <w:tc>
          <w:tcPr>
            <w:tcW w:w="2358" w:type="dxa"/>
            <w:tcBorders>
              <w:top w:val="single" w:sz="4" w:space="0" w:color="auto"/>
              <w:left w:val="single" w:sz="4" w:space="0" w:color="000000"/>
              <w:bottom w:val="nil"/>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服务台账</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auto"/>
              <w:left w:val="single" w:sz="4" w:space="0" w:color="000000"/>
              <w:bottom w:val="nil"/>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Style w:val="font41"/>
                <w:rFonts w:asciiTheme="minorEastAsia" w:eastAsiaTheme="minorEastAsia" w:hAnsiTheme="minorEastAsia" w:cs="仿宋_GB2312" w:hint="default"/>
                <w:color w:val="000000" w:themeColor="text1"/>
              </w:rPr>
            </w:pPr>
            <w:r>
              <w:rPr>
                <w:rStyle w:val="font21"/>
                <w:rFonts w:asciiTheme="minorEastAsia" w:eastAsiaTheme="minorEastAsia" w:hAnsiTheme="minorEastAsia" w:cs="仿宋_GB2312" w:hint="default"/>
                <w:color w:val="000000" w:themeColor="text1"/>
                <w:szCs w:val="21"/>
              </w:rPr>
              <w:t>通过信息平台（无信息平台的通过纸质材料）对业务开展过程中产生的求职人员、用人单位的服务台账（包括但不限于</w:t>
            </w:r>
            <w:r>
              <w:rPr>
                <w:rStyle w:val="font51"/>
                <w:rFonts w:asciiTheme="minorEastAsia" w:eastAsiaTheme="minorEastAsia" w:hAnsiTheme="minorEastAsia" w:cs="仿宋_GB2312" w:hint="default"/>
                <w:bCs/>
                <w:color w:val="000000" w:themeColor="text1"/>
                <w:szCs w:val="21"/>
              </w:rPr>
              <w:t>咨询、求职、用工、就业服务和活动组织等内容</w:t>
            </w:r>
            <w:r>
              <w:rPr>
                <w:rStyle w:val="font21"/>
                <w:rFonts w:asciiTheme="minorEastAsia" w:eastAsiaTheme="minorEastAsia" w:hAnsiTheme="minorEastAsia" w:cs="仿宋_GB2312" w:hint="default"/>
                <w:color w:val="000000" w:themeColor="text1"/>
                <w:szCs w:val="21"/>
              </w:rPr>
              <w:t>）进行及时、分类归档（关键档案需提供原始纸质或影像材料支撑），每发现1项不符合要求的，扣0.5分，最高扣2分。</w:t>
            </w:r>
          </w:p>
        </w:tc>
      </w:tr>
      <w:tr w:rsidR="009915D0" w:rsidTr="009915D0">
        <w:trPr>
          <w:trHeight w:val="4001"/>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auto"/>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服务系统</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1.能统一接入南宁市人力资源和社会保障局指定或认可的线上公共就业服务平台，实时收集、更新、发布及跟踪招聘求职培训创业信息，未能接入的扣3分；</w:t>
            </w:r>
          </w:p>
          <w:p w:rsidR="009915D0" w:rsidRDefault="009915D0">
            <w:pPr>
              <w:widowControl/>
              <w:spacing w:line="360" w:lineRule="auto"/>
              <w:jc w:val="left"/>
              <w:textAlignment w:val="center"/>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2.实现就业“一库一平台”数据互联互通，未能实现的扣3分；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3.建立多级调度监测机制，能远程监测和科学直观了解本辖区服务网点的运营数据，实现分站点、分时段、分类型等服务数据监测、分析、统计、调度、展示等，未能实现的扣3分；</w:t>
            </w:r>
          </w:p>
          <w:p w:rsidR="009915D0" w:rsidRDefault="009915D0">
            <w:pPr>
              <w:widowControl/>
              <w:spacing w:line="360" w:lineRule="auto"/>
              <w:jc w:val="left"/>
              <w:rPr>
                <w:rFonts w:asciiTheme="minorEastAsia" w:eastAsiaTheme="minorEastAsia" w:hAnsiTheme="minorEastAsia" w:cs="仿宋_GB2312" w:hint="eastAsia"/>
                <w:color w:val="000000" w:themeColor="text1"/>
                <w:szCs w:val="21"/>
              </w:rPr>
            </w:pPr>
            <w:r>
              <w:rPr>
                <w:rFonts w:asciiTheme="minorEastAsia" w:eastAsiaTheme="minorEastAsia" w:hAnsiTheme="minorEastAsia" w:cs="仿宋_GB2312" w:hint="eastAsia"/>
                <w:color w:val="000000" w:themeColor="text1"/>
                <w:szCs w:val="21"/>
              </w:rPr>
              <w:t>4.能远程实时监控和调度本辖区服务站点运营方工作人员的服务状况和站点运行情况，并能接受上级（或中枢性）网点监控和调度，未能实现的扣3分。</w:t>
            </w:r>
          </w:p>
          <w:p w:rsidR="009915D0" w:rsidRDefault="009915D0">
            <w:pPr>
              <w:widowControl/>
              <w:spacing w:line="360" w:lineRule="auto"/>
              <w:jc w:val="left"/>
              <w:rPr>
                <w:rStyle w:val="font21"/>
                <w:rFonts w:asciiTheme="minorEastAsia" w:eastAsiaTheme="minorEastAsia" w:hAnsiTheme="minorEastAsia" w:cs="仿宋_GB2312" w:hint="default"/>
                <w:bCs/>
                <w:color w:val="000000" w:themeColor="text1"/>
                <w:szCs w:val="21"/>
              </w:rPr>
            </w:pPr>
            <w:r>
              <w:rPr>
                <w:rFonts w:asciiTheme="minorEastAsia" w:eastAsiaTheme="minorEastAsia" w:hAnsiTheme="minorEastAsia" w:cs="仿宋_GB2312" w:hint="eastAsia"/>
                <w:color w:val="000000" w:themeColor="text1"/>
                <w:szCs w:val="21"/>
              </w:rPr>
              <w:t>本项合计最高扣12分。</w:t>
            </w:r>
          </w:p>
        </w:tc>
      </w:tr>
      <w:tr w:rsidR="009915D0" w:rsidTr="009915D0">
        <w:trPr>
          <w:trHeight w:val="960"/>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19</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品牌建设（+5分）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经验推广</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在市级以上培训、会议、简报、文件做经验介绍或推广，国家级，加1分；省级，加0.5分；市级，加0.1分，最高加2分。</w:t>
            </w:r>
          </w:p>
        </w:tc>
      </w:tr>
      <w:tr w:rsidR="009915D0" w:rsidTr="009915D0">
        <w:trPr>
          <w:trHeight w:val="1220"/>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正面报道</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获得市级以上主流媒体（包括但不限于报刊、杂志、电视、广播、网络）正面报道的，国家级，加0.5分；省级，加0.2分；市级，加0.1分，最高加1分。</w:t>
            </w:r>
          </w:p>
        </w:tc>
      </w:tr>
      <w:tr w:rsidR="009915D0" w:rsidTr="009915D0">
        <w:trPr>
          <w:trHeight w:val="1045"/>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肯定表扬</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获得上级部门主要领导肯定表扬的，国家级，加1分；省级，加0.5分；市级，加0.1分，最高加1分。</w:t>
            </w:r>
          </w:p>
        </w:tc>
      </w:tr>
      <w:tr w:rsidR="009915D0" w:rsidTr="009915D0">
        <w:trPr>
          <w:trHeight w:val="960"/>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现场观摩</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接待市级以上单位现场观摩的，国家级，加1分；省级，加0.2分；市级，加0.1分，最高加1分。</w:t>
            </w:r>
          </w:p>
        </w:tc>
      </w:tr>
      <w:tr w:rsidR="009915D0" w:rsidTr="009915D0">
        <w:trPr>
          <w:trHeight w:val="1560"/>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auto"/>
              <w:bottom w:val="single" w:sz="4" w:space="0" w:color="000000"/>
              <w:right w:val="single" w:sz="4" w:space="0" w:color="000000"/>
            </w:tcBorders>
            <w:noWrap/>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20</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风险管控（-10分）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安全生产</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经应急管理部门、行业主管安全生产监管部门定性为安全生产责任事故的，实行一票否决制（当年度考核不合格，下同）；一般安全生产隐患或轻微责任事故，视整改及时性和造成影响程度，扣1-2分。</w:t>
            </w:r>
          </w:p>
        </w:tc>
      </w:tr>
      <w:tr w:rsidR="009915D0" w:rsidTr="009915D0">
        <w:trPr>
          <w:trHeight w:val="1300"/>
        </w:trPr>
        <w:tc>
          <w:tcPr>
            <w:tcW w:w="936" w:type="dxa"/>
            <w:vMerge/>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违法乱纪</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经公安等部门定性存在违法犯罪行为或严重违法违规问题的，实行一票否决制；存在轻微违规行为且被相关部门通报批评的，视情节严重程度，扣1-2分。</w:t>
            </w:r>
          </w:p>
        </w:tc>
      </w:tr>
      <w:tr w:rsidR="009915D0" w:rsidTr="009915D0">
        <w:trPr>
          <w:trHeight w:val="1860"/>
        </w:trPr>
        <w:tc>
          <w:tcPr>
            <w:tcW w:w="936" w:type="dxa"/>
            <w:vMerge w:val="restart"/>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9915D0" w:rsidRDefault="009915D0">
            <w:pPr>
              <w:widowControl/>
              <w:spacing w:line="360" w:lineRule="auto"/>
              <w:jc w:val="center"/>
              <w:rPr>
                <w:rFonts w:asciiTheme="minorEastAsia" w:eastAsiaTheme="minorEastAsia" w:hAnsiTheme="minorEastAsia" w:cs="仿宋_GB2312"/>
                <w:b/>
                <w:bCs/>
                <w:color w:val="000000" w:themeColor="text1"/>
                <w:szCs w:val="21"/>
              </w:rPr>
            </w:pPr>
            <w:r>
              <w:rPr>
                <w:rFonts w:asciiTheme="minorEastAsia" w:eastAsiaTheme="minorEastAsia" w:hAnsiTheme="minorEastAsia" w:cs="仿宋_GB2312" w:hint="eastAsia"/>
                <w:b/>
                <w:bCs/>
                <w:color w:val="000000" w:themeColor="text1"/>
                <w:szCs w:val="21"/>
              </w:rPr>
              <w:t>基础运行（70-80分）</w:t>
            </w:r>
          </w:p>
          <w:p w:rsidR="009915D0" w:rsidRDefault="009915D0">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hideMark/>
          </w:tcPr>
          <w:p w:rsidR="009915D0" w:rsidRDefault="009915D0">
            <w:pPr>
              <w:widowControl/>
              <w:spacing w:line="360" w:lineRule="auto"/>
              <w:jc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20</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风险管控（-10分）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数据安全</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经网信部门、公安部门等定性存在重大数据泄露、违规处理数据等违反《数据安全法》《个人信息保护法》行为的，实行一票否决制；存在一般数据安全问题且被相关部门责令整改的，视数据敏感程度和影响范围，扣1-2分。</w:t>
            </w:r>
          </w:p>
        </w:tc>
      </w:tr>
      <w:tr w:rsidR="009915D0" w:rsidTr="009915D0">
        <w:trPr>
          <w:trHeight w:val="1620"/>
        </w:trPr>
        <w:tc>
          <w:tcPr>
            <w:tcW w:w="936"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负面舆情</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经宣传部门、网信部门等定性因自身原因引发重大负面舆情，造成恶劣社会影响且处置不力的，实行一票否决制；引发一般负面舆情但及时有效处置的，视舆情传播范围和影响程度，扣1-2分。</w:t>
            </w:r>
          </w:p>
        </w:tc>
      </w:tr>
      <w:tr w:rsidR="009915D0" w:rsidTr="009915D0">
        <w:trPr>
          <w:trHeight w:val="1620"/>
        </w:trPr>
        <w:tc>
          <w:tcPr>
            <w:tcW w:w="936" w:type="dxa"/>
            <w:vMerge/>
            <w:tcBorders>
              <w:top w:val="single" w:sz="4" w:space="0" w:color="auto"/>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违规收费</w:t>
            </w:r>
          </w:p>
          <w:p w:rsidR="009915D0" w:rsidRDefault="009915D0">
            <w:pPr>
              <w:widowControl/>
              <w:spacing w:line="360" w:lineRule="auto"/>
              <w:jc w:val="center"/>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915D0" w:rsidRDefault="009915D0">
            <w:pPr>
              <w:widowControl/>
              <w:spacing w:line="360" w:lineRule="auto"/>
              <w:jc w:val="left"/>
              <w:textAlignment w:val="center"/>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经人社部门定性存在超范围收费、超标准收费、乱收费等严重违规收费行为的，实行一票否决制；存在轻微违规收费行为且已整改的，视违规收费金额和涉及范围，扣1-2分。</w:t>
            </w:r>
          </w:p>
        </w:tc>
      </w:tr>
    </w:tbl>
    <w:p w:rsidR="009915D0" w:rsidRDefault="009915D0" w:rsidP="009915D0">
      <w:pPr>
        <w:spacing w:line="360" w:lineRule="auto"/>
        <w:rPr>
          <w:rFonts w:asciiTheme="minorEastAsia" w:eastAsiaTheme="minorEastAsia" w:hAnsiTheme="minorEastAsia" w:cs="仿宋_GB2312" w:hint="eastAsia"/>
          <w:color w:val="000000" w:themeColor="text1"/>
        </w:rPr>
      </w:pPr>
    </w:p>
    <w:p w:rsidR="009915D0" w:rsidRDefault="009915D0" w:rsidP="009915D0">
      <w:pPr>
        <w:spacing w:line="360" w:lineRule="auto"/>
        <w:rPr>
          <w:rFonts w:asciiTheme="minorEastAsia" w:eastAsiaTheme="minorEastAsia" w:hAnsiTheme="minorEastAsia" w:cs="仿宋_GB2312" w:hint="eastAsia"/>
          <w:color w:val="000000" w:themeColor="text1"/>
        </w:rPr>
      </w:pPr>
    </w:p>
    <w:p w:rsidR="009915D0" w:rsidRDefault="009915D0" w:rsidP="009915D0">
      <w:pP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br w:type="page"/>
      </w:r>
    </w:p>
    <w:p w:rsidR="009915D0" w:rsidRDefault="009915D0" w:rsidP="009915D0">
      <w:pPr>
        <w:spacing w:line="560" w:lineRule="exact"/>
        <w:rPr>
          <w:rFonts w:asciiTheme="minorEastAsia" w:eastAsiaTheme="minorEastAsia" w:hAnsiTheme="minorEastAsia" w:cs="仿宋_GB2312" w:hint="eastAsia"/>
          <w:color w:val="000000" w:themeColor="text1"/>
          <w:sz w:val="32"/>
          <w:szCs w:val="32"/>
        </w:rPr>
      </w:pPr>
      <w:r>
        <w:rPr>
          <w:rFonts w:asciiTheme="minorEastAsia" w:eastAsiaTheme="minorEastAsia" w:hAnsiTheme="minorEastAsia" w:cs="仿宋_GB2312" w:hint="eastAsia"/>
          <w:color w:val="000000" w:themeColor="text1"/>
          <w:sz w:val="32"/>
          <w:szCs w:val="32"/>
        </w:rPr>
        <w:lastRenderedPageBreak/>
        <w:t>附件5</w:t>
      </w:r>
    </w:p>
    <w:p w:rsidR="009915D0" w:rsidRDefault="009915D0" w:rsidP="009915D0">
      <w:pPr>
        <w:spacing w:before="7"/>
        <w:rPr>
          <w:rFonts w:asciiTheme="minorEastAsia" w:eastAsiaTheme="minorEastAsia" w:hAnsiTheme="minorEastAsia" w:cs="Arial Unicode MS" w:hint="eastAsia"/>
          <w:color w:val="000000" w:themeColor="text1"/>
          <w:sz w:val="17"/>
          <w:szCs w:val="17"/>
        </w:rPr>
      </w:pPr>
    </w:p>
    <w:p w:rsidR="009915D0" w:rsidRDefault="009915D0" w:rsidP="009915D0">
      <w:pPr>
        <w:spacing w:line="528" w:lineRule="exact"/>
        <w:ind w:left="1871"/>
        <w:rPr>
          <w:rFonts w:asciiTheme="minorEastAsia" w:eastAsiaTheme="minorEastAsia" w:hAnsiTheme="minorEastAsia" w:cs="Arial Unicode MS" w:hint="eastAsia"/>
          <w:color w:val="000000" w:themeColor="text1"/>
          <w:sz w:val="40"/>
          <w:szCs w:val="40"/>
        </w:rPr>
      </w:pPr>
      <w:r>
        <w:rPr>
          <w:rFonts w:asciiTheme="minorEastAsia" w:eastAsiaTheme="minorEastAsia" w:hAnsiTheme="minorEastAsia" w:cs="方正小标宋简体" w:hint="eastAsia"/>
          <w:color w:val="000000" w:themeColor="text1"/>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3"/>
        <w:gridCol w:w="1330"/>
        <w:gridCol w:w="1387"/>
        <w:gridCol w:w="1564"/>
        <w:gridCol w:w="3628"/>
      </w:tblGrid>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Cs w:val="22"/>
              </w:rPr>
            </w:pPr>
            <w:r>
              <w:rPr>
                <w:rFonts w:asciiTheme="minorEastAsia" w:eastAsiaTheme="minorEastAsia" w:hAnsiTheme="minorEastAsia" w:cs="宋体" w:hint="eastAsia"/>
                <w:b/>
                <w:bCs/>
                <w:color w:val="000000" w:themeColor="text1"/>
              </w:rPr>
              <w:t>品目序号</w:t>
            </w:r>
          </w:p>
        </w:tc>
        <w:tc>
          <w:tcPr>
            <w:tcW w:w="4591" w:type="dxa"/>
            <w:gridSpan w:val="3"/>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Cs w:val="22"/>
              </w:rPr>
            </w:pPr>
            <w:r>
              <w:rPr>
                <w:rFonts w:asciiTheme="minorEastAsia" w:eastAsiaTheme="minorEastAsia" w:hAnsiTheme="minorEastAsia" w:cs="宋体" w:hint="eastAsia"/>
                <w:b/>
                <w:bCs/>
                <w:color w:val="000000" w:themeColor="text1"/>
              </w:rPr>
              <w:t>名称</w:t>
            </w:r>
          </w:p>
        </w:tc>
        <w:tc>
          <w:tcPr>
            <w:tcW w:w="41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Cs w:val="22"/>
              </w:rPr>
            </w:pPr>
            <w:r>
              <w:rPr>
                <w:rFonts w:asciiTheme="minorEastAsia" w:eastAsiaTheme="minorEastAsia" w:hAnsiTheme="minorEastAsia" w:cs="宋体" w:hint="eastAsia"/>
                <w:b/>
                <w:bCs/>
                <w:color w:val="000000" w:themeColor="text1"/>
              </w:rPr>
              <w:t>依据的标准</w:t>
            </w:r>
          </w:p>
        </w:tc>
      </w:tr>
      <w:tr w:rsidR="009915D0" w:rsidTr="009915D0">
        <w:trPr>
          <w:trHeight w:val="582"/>
        </w:trPr>
        <w:tc>
          <w:tcPr>
            <w:tcW w:w="671"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cs="方正仿宋_GB2312" w:hint="eastAsia"/>
                <w:color w:val="000000" w:themeColor="text1"/>
                <w:sz w:val="18"/>
                <w:szCs w:val="18"/>
              </w:rPr>
              <w:t>A02010100</w:t>
            </w:r>
            <w:r>
              <w:rPr>
                <w:rFonts w:asciiTheme="minorEastAsia" w:eastAsiaTheme="minorEastAsia" w:hAnsiTheme="minorEastAsia" w:cs="宋体" w:hint="eastAsia"/>
                <w:color w:val="000000" w:themeColor="text1"/>
                <w:sz w:val="18"/>
                <w:szCs w:val="18"/>
              </w:rPr>
              <w:t>计算机</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93"/>
              <w:ind w:left="7" w:right="5"/>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cs="方正仿宋_GB2312" w:hint="eastAsia"/>
                <w:color w:val="000000" w:themeColor="text1"/>
                <w:sz w:val="18"/>
                <w:szCs w:val="18"/>
              </w:rPr>
              <w:t>A02010105</w:t>
            </w:r>
            <w:r>
              <w:rPr>
                <w:rFonts w:asciiTheme="minorEastAsia" w:eastAsiaTheme="minorEastAsia" w:hAnsiTheme="minorEastAsia" w:cs="宋体" w:hint="eastAsia"/>
                <w:color w:val="000000" w:themeColor="text1"/>
                <w:sz w:val="18"/>
                <w:szCs w:val="18"/>
              </w:rPr>
              <w:t>台式计算机</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《微型计算机能效限定值及能效等级》（GB28380）</w:t>
            </w:r>
          </w:p>
        </w:tc>
      </w:tr>
      <w:tr w:rsidR="009915D0" w:rsidTr="009915D0">
        <w:trPr>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44"/>
              <w:ind w:left="7" w:right="5"/>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cs="方正仿宋_GB2312" w:hint="eastAsia"/>
                <w:color w:val="000000" w:themeColor="text1"/>
                <w:sz w:val="18"/>
                <w:szCs w:val="18"/>
              </w:rPr>
              <w:t>A02010108</w:t>
            </w:r>
            <w:r>
              <w:rPr>
                <w:rFonts w:asciiTheme="minorEastAsia" w:eastAsiaTheme="minorEastAsia" w:hAnsiTheme="minorEastAsia" w:cs="宋体" w:hint="eastAsia"/>
                <w:color w:val="000000" w:themeColor="text1"/>
                <w:sz w:val="18"/>
                <w:szCs w:val="18"/>
              </w:rPr>
              <w:t>便携式计算机</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《微型计算机能效限定值及能效等级》（GB28380）</w:t>
            </w:r>
          </w:p>
        </w:tc>
      </w:tr>
      <w:tr w:rsidR="009915D0" w:rsidTr="009915D0">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64"/>
              <w:ind w:left="7" w:right="5"/>
              <w:jc w:val="center"/>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w:t>
            </w:r>
            <w:r>
              <w:rPr>
                <w:rFonts w:asciiTheme="minorEastAsia" w:eastAsiaTheme="minorEastAsia" w:hAnsiTheme="minorEastAsia" w:cs="方正仿宋_GB2312" w:hint="eastAsia"/>
                <w:color w:val="000000" w:themeColor="text1"/>
                <w:sz w:val="18"/>
                <w:szCs w:val="18"/>
                <w:lang w:eastAsia="zh-CN"/>
              </w:rPr>
              <w:t>A02010109平板式计算机</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《微型计算机能效限定值及能效等级》（GB28380）</w:t>
            </w:r>
          </w:p>
        </w:tc>
      </w:tr>
      <w:tr w:rsidR="009915D0" w:rsidTr="009915D0">
        <w:tc>
          <w:tcPr>
            <w:tcW w:w="671"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A02020000</w:t>
            </w:r>
            <w:r>
              <w:rPr>
                <w:rFonts w:asciiTheme="minorEastAsia" w:eastAsiaTheme="minorEastAsia" w:hAnsiTheme="minorEastAsia" w:cs="宋体" w:hint="eastAsia"/>
                <w:color w:val="000000" w:themeColor="text1"/>
                <w:sz w:val="18"/>
                <w:szCs w:val="18"/>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cs="宋体" w:hint="eastAsia"/>
                <w:color w:val="000000" w:themeColor="text1"/>
                <w:spacing w:val="1"/>
                <w:sz w:val="18"/>
                <w:szCs w:val="18"/>
              </w:rPr>
              <w:t>A02021000</w:t>
            </w:r>
            <w:r>
              <w:rPr>
                <w:rFonts w:asciiTheme="minorEastAsia" w:eastAsiaTheme="minorEastAsia" w:hAnsiTheme="minorEastAsia" w:cs="Arial" w:hint="eastAsia"/>
                <w:color w:val="000000" w:themeColor="text1"/>
                <w:sz w:val="18"/>
                <w:szCs w:val="18"/>
              </w:rPr>
              <w:t>打印机</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A02021001A3黑白打印机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A02021002A3彩色打印机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A02021003A4黑白打印机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A02021004A4彩色打印机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A020210053D打印机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A02021006票据打印机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A02021007条码打印机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A02021008地址打印机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A02021099其他打印机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A02021100输入输出设备</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hint="eastAsia"/>
                <w:color w:val="000000" w:themeColor="text1"/>
                <w:sz w:val="18"/>
                <w:szCs w:val="18"/>
              </w:rPr>
              <w:t>A02021104液晶显示器</w:t>
            </w:r>
          </w:p>
        </w:tc>
        <w:tc>
          <w:tcPr>
            <w:tcW w:w="41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《计算机显示器能效限定值及能效等级》（GB21520）</w:t>
            </w:r>
          </w:p>
        </w:tc>
      </w:tr>
      <w:tr w:rsidR="009915D0" w:rsidTr="009915D0">
        <w:trPr>
          <w:trHeight w:val="109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A02021118扫描仪</w:t>
            </w:r>
          </w:p>
        </w:tc>
        <w:tc>
          <w:tcPr>
            <w:tcW w:w="41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参照《复印机、打印机和传真机能效限定值及能效等级》（GB21521）中打印速度为15页/分的针式打印机相关要求</w:t>
            </w:r>
          </w:p>
        </w:tc>
      </w:tr>
      <w:tr w:rsidR="009915D0" w:rsidTr="009915D0">
        <w:trPr>
          <w:trHeight w:val="656"/>
        </w:trPr>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《投影机能效限定值及能效等级》（GB32028）</w:t>
            </w:r>
          </w:p>
        </w:tc>
      </w:tr>
      <w:tr w:rsidR="009915D0" w:rsidTr="009915D0">
        <w:trPr>
          <w:trHeight w:val="872"/>
        </w:trPr>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66"/>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A02020400</w:t>
            </w:r>
            <w:r>
              <w:rPr>
                <w:rFonts w:asciiTheme="minorEastAsia" w:eastAsiaTheme="minorEastAsia" w:hAnsiTheme="minorEastAsia" w:cs="宋体" w:hint="eastAsia"/>
                <w:color w:val="000000" w:themeColor="text1"/>
                <w:sz w:val="18"/>
                <w:szCs w:val="18"/>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9915D0" w:rsidTr="009915D0">
        <w:trPr>
          <w:trHeight w:val="732"/>
        </w:trPr>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60"/>
              <w:ind w:right="1"/>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z w:val="18"/>
                <w:szCs w:val="18"/>
              </w:rPr>
              <w:t>5</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60"/>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A02051900</w:t>
            </w:r>
            <w:r>
              <w:rPr>
                <w:rFonts w:asciiTheme="minorEastAsia" w:eastAsiaTheme="minorEastAsia" w:hAnsiTheme="minorEastAsia" w:cs="宋体" w:hint="eastAsia"/>
                <w:color w:val="000000" w:themeColor="text1"/>
                <w:sz w:val="18"/>
                <w:szCs w:val="18"/>
              </w:rPr>
              <w:t>泵</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60"/>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pacing w:val="1"/>
                <w:sz w:val="18"/>
                <w:szCs w:val="18"/>
              </w:rPr>
              <w:t>A02</w:t>
            </w:r>
            <w:r>
              <w:rPr>
                <w:rFonts w:asciiTheme="minorEastAsia" w:eastAsiaTheme="minorEastAsia" w:hAnsiTheme="minorEastAsia" w:cs="宋体" w:hint="eastAsia"/>
                <w:color w:val="000000" w:themeColor="text1"/>
                <w:sz w:val="18"/>
                <w:szCs w:val="18"/>
              </w:rPr>
              <w:t>05</w:t>
            </w:r>
            <w:r>
              <w:rPr>
                <w:rFonts w:asciiTheme="minorEastAsia" w:eastAsiaTheme="minorEastAsia" w:hAnsiTheme="minorEastAsia" w:cs="宋体" w:hint="eastAsia"/>
                <w:color w:val="000000" w:themeColor="text1"/>
                <w:spacing w:val="1"/>
                <w:sz w:val="18"/>
                <w:szCs w:val="18"/>
              </w:rPr>
              <w:t>1</w:t>
            </w:r>
            <w:r>
              <w:rPr>
                <w:rFonts w:asciiTheme="minorEastAsia" w:eastAsiaTheme="minorEastAsia" w:hAnsiTheme="minorEastAsia" w:cs="宋体" w:hint="eastAsia"/>
                <w:color w:val="000000" w:themeColor="text1"/>
                <w:sz w:val="18"/>
                <w:szCs w:val="18"/>
              </w:rPr>
              <w:t>901离心泵</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《清水离心泵能效限定值及节能评价值》（GB19762）</w:t>
            </w:r>
          </w:p>
        </w:tc>
      </w:tr>
      <w:tr w:rsidR="009915D0" w:rsidTr="009915D0">
        <w:tc>
          <w:tcPr>
            <w:tcW w:w="671"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A02052300</w:t>
            </w:r>
            <w:r>
              <w:rPr>
                <w:rFonts w:asciiTheme="minorEastAsia" w:eastAsiaTheme="minorEastAsia" w:hAnsiTheme="minorEastAsia" w:cs="宋体" w:hint="eastAsia"/>
                <w:color w:val="000000" w:themeColor="text1"/>
                <w:sz w:val="18"/>
                <w:szCs w:val="18"/>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line="276" w:lineRule="auto"/>
              <w:ind w:right="5"/>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cs="宋体" w:hint="eastAsia"/>
                <w:color w:val="000000" w:themeColor="text1"/>
                <w:spacing w:val="1"/>
                <w:sz w:val="18"/>
                <w:szCs w:val="18"/>
              </w:rPr>
              <w:t>A020</w:t>
            </w:r>
            <w:r>
              <w:rPr>
                <w:rFonts w:asciiTheme="minorEastAsia" w:eastAsiaTheme="minorEastAsia" w:hAnsiTheme="minorEastAsia" w:cs="宋体" w:hint="eastAsia"/>
                <w:color w:val="000000" w:themeColor="text1"/>
                <w:sz w:val="18"/>
                <w:szCs w:val="18"/>
              </w:rPr>
              <w:t>52</w:t>
            </w:r>
            <w:r>
              <w:rPr>
                <w:rFonts w:asciiTheme="minorEastAsia" w:eastAsiaTheme="minorEastAsia" w:hAnsiTheme="minorEastAsia" w:cs="宋体" w:hint="eastAsia"/>
                <w:color w:val="000000" w:themeColor="text1"/>
                <w:spacing w:val="1"/>
                <w:sz w:val="18"/>
                <w:szCs w:val="18"/>
              </w:rPr>
              <w:t>3</w:t>
            </w:r>
            <w:r>
              <w:rPr>
                <w:rFonts w:asciiTheme="minorEastAsia" w:eastAsiaTheme="minorEastAsia" w:hAnsiTheme="minorEastAsia" w:cs="宋体" w:hint="eastAsia"/>
                <w:color w:val="000000" w:themeColor="text1"/>
                <w:sz w:val="18"/>
                <w:szCs w:val="18"/>
              </w:rPr>
              <w:t>01制冷压缩机</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冷水机组</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《冷水机组能效限定值及能效等级》（GB19577），《低环境温度空气源热泵（冷水）机组能效限定值及能效等级》（GB37480）</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溴化锂吸收式冷水机组</w:t>
            </w:r>
          </w:p>
        </w:tc>
        <w:tc>
          <w:tcPr>
            <w:tcW w:w="41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《溴化锂吸收式冷水机组能效限</w:t>
            </w:r>
          </w:p>
          <w:p w:rsidR="009915D0" w:rsidRDefault="009915D0">
            <w:pPr>
              <w:spacing w:before="131" w:line="276" w:lineRule="auto"/>
              <w:ind w:right="4"/>
              <w:rPr>
                <w:rFonts w:asciiTheme="minorEastAsia" w:eastAsiaTheme="minorEastAsia" w:hAnsiTheme="minorEastAsia" w:cs="宋体"/>
                <w:color w:val="000000" w:themeColor="text1"/>
                <w:spacing w:val="10"/>
                <w:sz w:val="18"/>
                <w:szCs w:val="18"/>
              </w:rPr>
            </w:pPr>
            <w:r>
              <w:rPr>
                <w:rFonts w:asciiTheme="minorEastAsia" w:eastAsiaTheme="minorEastAsia" w:hAnsiTheme="minorEastAsia" w:cs="宋体" w:hint="eastAsia"/>
                <w:color w:val="000000" w:themeColor="text1"/>
                <w:spacing w:val="10"/>
                <w:sz w:val="18"/>
                <w:szCs w:val="18"/>
              </w:rPr>
              <w:t>定值及能效等级》（GB29540）</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line="276" w:lineRule="auto"/>
              <w:ind w:right="5"/>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★A02052305空调机组</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4" w:line="276" w:lineRule="auto"/>
              <w:ind w:left="7" w:right="7"/>
              <w:jc w:val="center"/>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多联式空调（热泵）机组（制冷量&gt;14000W）</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《多联式空调（热泵）机组能效限定值及能源效率等级》（GB21454）</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cs="宋体" w:hint="eastAsia"/>
                <w:color w:val="000000" w:themeColor="text1"/>
                <w:sz w:val="18"/>
                <w:szCs w:val="18"/>
              </w:rPr>
              <w:t>单元式空气调节机</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《单元式空气调节机能效限定值及能效等级》（GB19576）《风管送风式空调机组能效限定值及能效等级》（GB37479）</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83"/>
              <w:ind w:left="7"/>
              <w:jc w:val="center"/>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★A02052309专用制冷、空调设备</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机房空调</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《单元式空气调节机能效限定值</w:t>
            </w:r>
          </w:p>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及能效等级》（GB19576）</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line="254" w:lineRule="exact"/>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A02052399其他制冷空调设备</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center"/>
              <w:rPr>
                <w:rFonts w:asciiTheme="minorEastAsia" w:eastAsiaTheme="minorEastAsia" w:hAnsiTheme="minorEastAsia" w:cs="宋体"/>
                <w:color w:val="000000" w:themeColor="text1"/>
                <w:sz w:val="18"/>
                <w:szCs w:val="18"/>
                <w:lang w:eastAsia="en-US"/>
              </w:rPr>
            </w:pPr>
            <w:r>
              <w:rPr>
                <w:rFonts w:asciiTheme="minorEastAsia" w:eastAsiaTheme="minorEastAsia" w:hAnsiTheme="minorEastAsia" w:cs="宋体" w:hint="eastAsia"/>
                <w:color w:val="000000" w:themeColor="text1"/>
                <w:sz w:val="18"/>
                <w:szCs w:val="18"/>
              </w:rPr>
              <w:t>冷却塔</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《机械通风冷却塔第1部分：中小型开式冷却塔》（GB/T7190.1）</w:t>
            </w:r>
          </w:p>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《机械通风冷却塔第2部分：大型开式冷却塔》（GB/T7190.2）</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ind w:right="1"/>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z w:val="18"/>
                <w:szCs w:val="18"/>
              </w:rPr>
              <w:t>7</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A02060100</w:t>
            </w:r>
            <w:r>
              <w:rPr>
                <w:rFonts w:asciiTheme="minorEastAsia" w:eastAsiaTheme="minorEastAsia" w:hAnsiTheme="minorEastAsia" w:cs="宋体" w:hint="eastAsia"/>
                <w:color w:val="000000" w:themeColor="text1"/>
                <w:sz w:val="18"/>
                <w:szCs w:val="18"/>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《中小型三相异步电动机能效限定值及能效等级》（GB18613）</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ind w:right="1"/>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z w:val="18"/>
                <w:szCs w:val="18"/>
              </w:rPr>
              <w:t>8</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30"/>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A02060200</w:t>
            </w:r>
            <w:r>
              <w:rPr>
                <w:rFonts w:asciiTheme="minorEastAsia" w:eastAsiaTheme="minorEastAsia" w:hAnsiTheme="minorEastAsia" w:cs="宋体" w:hint="eastAsia"/>
                <w:color w:val="000000" w:themeColor="text1"/>
                <w:sz w:val="18"/>
                <w:szCs w:val="18"/>
              </w:rPr>
              <w:t>变压</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配电变压器</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《三相配电变压器能效限定值及能效等级》（GB20052）</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ind w:right="1"/>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z w:val="18"/>
                <w:szCs w:val="18"/>
              </w:rPr>
              <w:t>9</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26"/>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管型荧光灯镇流器</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《管形荧光灯镇流器能效限定值及能效</w:t>
            </w:r>
            <w:r>
              <w:rPr>
                <w:rFonts w:asciiTheme="minorEastAsia" w:eastAsiaTheme="minorEastAsia" w:hAnsiTheme="minorEastAsia" w:cs="宋体" w:hint="eastAsia"/>
                <w:color w:val="000000" w:themeColor="text1"/>
                <w:spacing w:val="10"/>
                <w:sz w:val="18"/>
                <w:szCs w:val="18"/>
                <w:lang w:eastAsia="zh-CN"/>
              </w:rPr>
              <w:lastRenderedPageBreak/>
              <w:t>等级》（GB17896）</w:t>
            </w:r>
          </w:p>
        </w:tc>
      </w:tr>
      <w:tr w:rsidR="009915D0" w:rsidTr="009915D0">
        <w:tc>
          <w:tcPr>
            <w:tcW w:w="671"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z w:val="18"/>
                <w:szCs w:val="18"/>
              </w:rPr>
              <w:lastRenderedPageBreak/>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A02061801电冰箱</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《家用电冰箱耗电量限定值及能效等级》（GB12021.2）</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71"/>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cs="方正仿宋_GB2312" w:hint="eastAsia"/>
                <w:color w:val="000000" w:themeColor="text1"/>
                <w:sz w:val="18"/>
                <w:szCs w:val="18"/>
              </w:rPr>
              <w:t>A02061804</w:t>
            </w:r>
            <w:r>
              <w:rPr>
                <w:rFonts w:asciiTheme="minorEastAsia" w:eastAsiaTheme="minorEastAsia" w:hAnsiTheme="minorEastAsia" w:cs="宋体" w:hint="eastAsia"/>
                <w:color w:val="000000" w:themeColor="text1"/>
                <w:sz w:val="18"/>
                <w:szCs w:val="18"/>
              </w:rPr>
              <w:t>空调机</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房间空气调节器</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《房间空气调节器能效限定值及能效等级》（GB21455-2019）</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4" w:line="276" w:lineRule="auto"/>
              <w:ind w:left="7" w:right="7"/>
              <w:jc w:val="center"/>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多联式空调（热泵）机组（制冷量≤14000W）</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《多联式空调（热泵）机组能效限定值及能源效率等级》（GB21454）</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单元式空气调节机（制冷量≤14000W）</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《单元式空气调节机能效限定值及能源效率等级》（GB19576）《风管送风式空调机组能效限定值及能效等级》（GB37479）</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62"/>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A02061810</w:t>
            </w:r>
            <w:r>
              <w:rPr>
                <w:rFonts w:asciiTheme="minorEastAsia" w:eastAsiaTheme="minorEastAsia" w:hAnsiTheme="minorEastAsia" w:cs="宋体" w:hint="eastAsia"/>
                <w:color w:val="000000" w:themeColor="text1"/>
                <w:sz w:val="18"/>
                <w:szCs w:val="18"/>
              </w:rPr>
              <w:t>洗衣机</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《电动洗衣机能效水效限定值及等级》（GB12021.4）</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61"/>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A02061819</w:t>
            </w:r>
            <w:r>
              <w:rPr>
                <w:rFonts w:asciiTheme="minorEastAsia" w:eastAsiaTheme="minorEastAsia" w:hAnsiTheme="minorEastAsia" w:cs="宋体" w:hint="eastAsia"/>
                <w:color w:val="000000" w:themeColor="text1"/>
                <w:sz w:val="18"/>
                <w:szCs w:val="18"/>
              </w:rPr>
              <w:t>热水器</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★电热</w:t>
            </w:r>
            <w:r>
              <w:rPr>
                <w:rFonts w:asciiTheme="minorEastAsia" w:eastAsiaTheme="minorEastAsia" w:hAnsiTheme="minorEastAsia" w:cs="宋体" w:hint="eastAsia"/>
                <w:color w:val="000000" w:themeColor="text1"/>
                <w:spacing w:val="2"/>
                <w:sz w:val="18"/>
                <w:szCs w:val="18"/>
              </w:rPr>
              <w:t>水</w:t>
            </w:r>
            <w:r>
              <w:rPr>
                <w:rFonts w:asciiTheme="minorEastAsia" w:eastAsiaTheme="minorEastAsia" w:hAnsiTheme="minorEastAsia" w:cs="宋体" w:hint="eastAsia"/>
                <w:color w:val="000000" w:themeColor="text1"/>
                <w:sz w:val="18"/>
                <w:szCs w:val="18"/>
              </w:rPr>
              <w:t>器</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《储水式电热水器能效限定值及能效等级》（GB21519）</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燃气热</w:t>
            </w:r>
            <w:r>
              <w:rPr>
                <w:rFonts w:asciiTheme="minorEastAsia" w:eastAsiaTheme="minorEastAsia" w:hAnsiTheme="minorEastAsia" w:cs="宋体" w:hint="eastAsia"/>
                <w:color w:val="000000" w:themeColor="text1"/>
                <w:spacing w:val="2"/>
                <w:sz w:val="18"/>
                <w:szCs w:val="18"/>
              </w:rPr>
              <w:t>水</w:t>
            </w:r>
            <w:r>
              <w:rPr>
                <w:rFonts w:asciiTheme="minorEastAsia" w:eastAsiaTheme="minorEastAsia" w:hAnsiTheme="minorEastAsia" w:cs="宋体" w:hint="eastAsia"/>
                <w:color w:val="000000" w:themeColor="text1"/>
                <w:sz w:val="18"/>
                <w:szCs w:val="18"/>
              </w:rPr>
              <w:t>器</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《家用燃气快速热水器和燃气采暖热水炉能效限定值及能效等级》（GB20665）</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热泵热</w:t>
            </w:r>
            <w:r>
              <w:rPr>
                <w:rFonts w:asciiTheme="minorEastAsia" w:eastAsiaTheme="minorEastAsia" w:hAnsiTheme="minorEastAsia" w:cs="宋体" w:hint="eastAsia"/>
                <w:color w:val="000000" w:themeColor="text1"/>
                <w:spacing w:val="2"/>
                <w:sz w:val="18"/>
                <w:szCs w:val="18"/>
              </w:rPr>
              <w:t>水</w:t>
            </w:r>
            <w:r>
              <w:rPr>
                <w:rFonts w:asciiTheme="minorEastAsia" w:eastAsiaTheme="minorEastAsia" w:hAnsiTheme="minorEastAsia" w:cs="宋体" w:hint="eastAsia"/>
                <w:color w:val="000000" w:themeColor="text1"/>
                <w:sz w:val="18"/>
                <w:szCs w:val="18"/>
              </w:rPr>
              <w:t>器</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《热泵热水机（器）能效限定值及能效等级》（GB29541）</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太阳能</w:t>
            </w:r>
            <w:r>
              <w:rPr>
                <w:rFonts w:asciiTheme="minorEastAsia" w:eastAsiaTheme="minorEastAsia" w:hAnsiTheme="minorEastAsia" w:cs="宋体" w:hint="eastAsia"/>
                <w:color w:val="000000" w:themeColor="text1"/>
                <w:spacing w:val="2"/>
                <w:sz w:val="18"/>
                <w:szCs w:val="18"/>
              </w:rPr>
              <w:t>热</w:t>
            </w:r>
            <w:r>
              <w:rPr>
                <w:rFonts w:asciiTheme="minorEastAsia" w:eastAsiaTheme="minorEastAsia" w:hAnsiTheme="minorEastAsia" w:cs="宋体" w:hint="eastAsia"/>
                <w:color w:val="000000" w:themeColor="text1"/>
                <w:sz w:val="18"/>
                <w:szCs w:val="18"/>
              </w:rPr>
              <w:t>水系统</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《家用太阳能热水系统能效限定值及能效等级》（GB26969）</w:t>
            </w:r>
          </w:p>
        </w:tc>
      </w:tr>
      <w:tr w:rsidR="009915D0" w:rsidTr="009915D0">
        <w:tc>
          <w:tcPr>
            <w:tcW w:w="671"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pacing w:val="1"/>
                <w:sz w:val="18"/>
                <w:szCs w:val="18"/>
              </w:rPr>
              <w:t>1</w:t>
            </w:r>
            <w:r>
              <w:rPr>
                <w:rFonts w:asciiTheme="minorEastAsia" w:eastAsiaTheme="minorEastAsia" w:hAnsiTheme="minorEastAsia" w:hint="eastAsia"/>
                <w:color w:val="000000" w:themeColor="text1"/>
                <w:sz w:val="18"/>
                <w:szCs w:val="18"/>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5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pacing w:val="1"/>
                <w:sz w:val="18"/>
                <w:szCs w:val="18"/>
              </w:rPr>
              <w:t>A02</w:t>
            </w:r>
            <w:r>
              <w:rPr>
                <w:rFonts w:asciiTheme="minorEastAsia" w:eastAsiaTheme="minorEastAsia" w:hAnsiTheme="minorEastAsia" w:cs="宋体" w:hint="eastAsia"/>
                <w:color w:val="000000" w:themeColor="text1"/>
                <w:sz w:val="18"/>
                <w:szCs w:val="18"/>
              </w:rPr>
              <w:t>06</w:t>
            </w:r>
            <w:r>
              <w:rPr>
                <w:rFonts w:asciiTheme="minorEastAsia" w:eastAsiaTheme="minorEastAsia" w:hAnsiTheme="minorEastAsia" w:cs="宋体" w:hint="eastAsia"/>
                <w:color w:val="000000" w:themeColor="text1"/>
                <w:spacing w:val="1"/>
                <w:sz w:val="18"/>
                <w:szCs w:val="18"/>
              </w:rPr>
              <w:t>1</w:t>
            </w:r>
            <w:r>
              <w:rPr>
                <w:rFonts w:asciiTheme="minorEastAsia" w:eastAsiaTheme="minorEastAsia" w:hAnsiTheme="minorEastAsia" w:cs="宋体" w:hint="eastAsia"/>
                <w:color w:val="000000" w:themeColor="text1"/>
                <w:sz w:val="18"/>
                <w:szCs w:val="18"/>
              </w:rPr>
              <w:t>900照明设备</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33" w:line="276" w:lineRule="auto"/>
              <w:ind w:left="7" w:right="7"/>
              <w:jc w:val="center"/>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★普通照明用双端荧光灯</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《普通照明用双端荧光灯能效限定值及能效等级》（GB19043）</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92" w:line="276" w:lineRule="auto"/>
              <w:ind w:left="7" w:right="2"/>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pacing w:val="1"/>
                <w:sz w:val="18"/>
                <w:szCs w:val="18"/>
              </w:rPr>
              <w:t>LE</w:t>
            </w:r>
            <w:r>
              <w:rPr>
                <w:rFonts w:asciiTheme="minorEastAsia" w:eastAsiaTheme="minorEastAsia" w:hAnsiTheme="minorEastAsia" w:cs="宋体" w:hint="eastAsia"/>
                <w:color w:val="000000" w:themeColor="text1"/>
                <w:sz w:val="18"/>
                <w:szCs w:val="18"/>
              </w:rPr>
              <w:t>D</w:t>
            </w:r>
            <w:r>
              <w:rPr>
                <w:rFonts w:asciiTheme="minorEastAsia" w:eastAsiaTheme="minorEastAsia" w:hAnsiTheme="minorEastAsia" w:cs="宋体" w:hint="eastAsia"/>
                <w:color w:val="000000" w:themeColor="text1"/>
                <w:spacing w:val="12"/>
                <w:sz w:val="18"/>
                <w:szCs w:val="18"/>
              </w:rPr>
              <w:t>道</w:t>
            </w:r>
            <w:r>
              <w:rPr>
                <w:rFonts w:asciiTheme="minorEastAsia" w:eastAsiaTheme="minorEastAsia" w:hAnsiTheme="minorEastAsia" w:cs="宋体" w:hint="eastAsia"/>
                <w:color w:val="000000" w:themeColor="text1"/>
                <w:spacing w:val="9"/>
                <w:sz w:val="18"/>
                <w:szCs w:val="18"/>
              </w:rPr>
              <w:t>路</w:t>
            </w:r>
            <w:r>
              <w:rPr>
                <w:rFonts w:asciiTheme="minorEastAsia" w:eastAsiaTheme="minorEastAsia" w:hAnsiTheme="minorEastAsia" w:cs="宋体" w:hint="eastAsia"/>
                <w:color w:val="000000" w:themeColor="text1"/>
                <w:spacing w:val="13"/>
                <w:sz w:val="18"/>
                <w:szCs w:val="18"/>
              </w:rPr>
              <w:t>/</w:t>
            </w:r>
            <w:r>
              <w:rPr>
                <w:rFonts w:asciiTheme="minorEastAsia" w:eastAsiaTheme="minorEastAsia" w:hAnsiTheme="minorEastAsia" w:cs="宋体" w:hint="eastAsia"/>
                <w:color w:val="000000" w:themeColor="text1"/>
                <w:spacing w:val="12"/>
                <w:sz w:val="18"/>
                <w:szCs w:val="18"/>
              </w:rPr>
              <w:t>隧道照</w:t>
            </w:r>
            <w:r>
              <w:rPr>
                <w:rFonts w:asciiTheme="minorEastAsia" w:eastAsiaTheme="minorEastAsia" w:hAnsiTheme="minorEastAsia" w:cs="宋体" w:hint="eastAsia"/>
                <w:color w:val="000000" w:themeColor="text1"/>
                <w:sz w:val="18"/>
                <w:szCs w:val="18"/>
              </w:rPr>
              <w:t>明产品</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《道路和隧道照明用LED灯具能效限定值及能效等级》（GB37478）</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pacing w:val="1"/>
                <w:sz w:val="18"/>
                <w:szCs w:val="18"/>
              </w:rPr>
              <w:t>LE</w:t>
            </w:r>
            <w:r>
              <w:rPr>
                <w:rFonts w:asciiTheme="minorEastAsia" w:eastAsiaTheme="minorEastAsia" w:hAnsiTheme="minorEastAsia" w:cs="宋体" w:hint="eastAsia"/>
                <w:color w:val="000000" w:themeColor="text1"/>
                <w:sz w:val="18"/>
                <w:szCs w:val="18"/>
              </w:rPr>
              <w:t>D筒灯</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《室内照明用LED产品能效限定值及能效等级》（GB30255）</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line="276" w:lineRule="auto"/>
              <w:ind w:right="7"/>
              <w:jc w:val="center"/>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普</w:t>
            </w:r>
            <w:r>
              <w:rPr>
                <w:rFonts w:asciiTheme="minorEastAsia" w:eastAsiaTheme="minorEastAsia" w:hAnsiTheme="minorEastAsia" w:cs="宋体" w:hint="eastAsia"/>
                <w:color w:val="000000" w:themeColor="text1"/>
                <w:spacing w:val="24"/>
                <w:sz w:val="18"/>
                <w:szCs w:val="18"/>
                <w:lang w:eastAsia="zh-CN"/>
              </w:rPr>
              <w:t>通</w:t>
            </w:r>
            <w:r>
              <w:rPr>
                <w:rFonts w:asciiTheme="minorEastAsia" w:eastAsiaTheme="minorEastAsia" w:hAnsiTheme="minorEastAsia" w:cs="宋体" w:hint="eastAsia"/>
                <w:color w:val="000000" w:themeColor="text1"/>
                <w:sz w:val="18"/>
                <w:szCs w:val="18"/>
                <w:lang w:eastAsia="zh-CN"/>
              </w:rPr>
              <w:t>照明用非</w:t>
            </w:r>
            <w:r>
              <w:rPr>
                <w:rFonts w:asciiTheme="minorEastAsia" w:eastAsiaTheme="minorEastAsia" w:hAnsiTheme="minorEastAsia" w:cs="宋体" w:hint="eastAsia"/>
                <w:color w:val="000000" w:themeColor="text1"/>
                <w:spacing w:val="24"/>
                <w:sz w:val="18"/>
                <w:szCs w:val="18"/>
                <w:lang w:eastAsia="zh-CN"/>
              </w:rPr>
              <w:t>定</w:t>
            </w:r>
            <w:r>
              <w:rPr>
                <w:rFonts w:asciiTheme="minorEastAsia" w:eastAsiaTheme="minorEastAsia" w:hAnsiTheme="minorEastAsia" w:cs="宋体" w:hint="eastAsia"/>
                <w:color w:val="000000" w:themeColor="text1"/>
                <w:sz w:val="18"/>
                <w:szCs w:val="18"/>
                <w:lang w:eastAsia="zh-CN"/>
              </w:rPr>
              <w:t>向自镇流</w:t>
            </w:r>
            <w:r>
              <w:rPr>
                <w:rFonts w:asciiTheme="minorEastAsia" w:eastAsiaTheme="minorEastAsia" w:hAnsiTheme="minorEastAsia" w:cs="宋体" w:hint="eastAsia"/>
                <w:color w:val="000000" w:themeColor="text1"/>
                <w:spacing w:val="1"/>
                <w:sz w:val="18"/>
                <w:szCs w:val="18"/>
                <w:lang w:eastAsia="zh-CN"/>
              </w:rPr>
              <w:t>LE</w:t>
            </w:r>
            <w:r>
              <w:rPr>
                <w:rFonts w:asciiTheme="minorEastAsia" w:eastAsiaTheme="minorEastAsia" w:hAnsiTheme="minorEastAsia" w:cs="宋体" w:hint="eastAsia"/>
                <w:color w:val="000000" w:themeColor="text1"/>
                <w:sz w:val="18"/>
                <w:szCs w:val="18"/>
                <w:lang w:eastAsia="zh-CN"/>
              </w:rPr>
              <w:t>D灯</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《室内照明用LED产品能效限定值及能效等级》（GB30255）</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pacing w:val="1"/>
                <w:sz w:val="18"/>
                <w:szCs w:val="18"/>
              </w:rPr>
              <w:t>1</w:t>
            </w:r>
            <w:r>
              <w:rPr>
                <w:rFonts w:asciiTheme="minorEastAsia" w:eastAsiaTheme="minorEastAsia" w:hAnsiTheme="minorEastAsia" w:hint="eastAsia"/>
                <w:color w:val="000000" w:themeColor="text1"/>
                <w:sz w:val="18"/>
                <w:szCs w:val="18"/>
              </w:rPr>
              <w:t>2</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81"/>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cs="宋体" w:hint="eastAsia"/>
                <w:color w:val="000000" w:themeColor="text1"/>
                <w:spacing w:val="1"/>
                <w:sz w:val="18"/>
                <w:szCs w:val="18"/>
              </w:rPr>
              <w:t>A020</w:t>
            </w:r>
            <w:r>
              <w:rPr>
                <w:rFonts w:asciiTheme="minorEastAsia" w:eastAsiaTheme="minorEastAsia" w:hAnsiTheme="minorEastAsia" w:cs="宋体" w:hint="eastAsia"/>
                <w:color w:val="000000" w:themeColor="text1"/>
                <w:sz w:val="18"/>
                <w:szCs w:val="18"/>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81" w:line="276" w:lineRule="auto"/>
              <w:ind w:left="7" w:right="5"/>
              <w:jc w:val="center"/>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pacing w:val="1"/>
                <w:sz w:val="18"/>
                <w:szCs w:val="18"/>
                <w:lang w:eastAsia="zh-CN"/>
              </w:rPr>
              <w:t>A02</w:t>
            </w:r>
            <w:r>
              <w:rPr>
                <w:rFonts w:asciiTheme="minorEastAsia" w:eastAsiaTheme="minorEastAsia" w:hAnsiTheme="minorEastAsia" w:cs="宋体" w:hint="eastAsia"/>
                <w:color w:val="000000" w:themeColor="text1"/>
                <w:sz w:val="18"/>
                <w:szCs w:val="18"/>
                <w:lang w:eastAsia="zh-CN"/>
              </w:rPr>
              <w:t>09</w:t>
            </w:r>
            <w:r>
              <w:rPr>
                <w:rFonts w:asciiTheme="minorEastAsia" w:eastAsiaTheme="minorEastAsia" w:hAnsiTheme="minorEastAsia" w:cs="宋体" w:hint="eastAsia"/>
                <w:color w:val="000000" w:themeColor="text1"/>
                <w:spacing w:val="1"/>
                <w:sz w:val="18"/>
                <w:szCs w:val="18"/>
                <w:lang w:eastAsia="zh-CN"/>
              </w:rPr>
              <w:t>1</w:t>
            </w:r>
            <w:r>
              <w:rPr>
                <w:rFonts w:asciiTheme="minorEastAsia" w:eastAsiaTheme="minorEastAsia" w:hAnsiTheme="minorEastAsia" w:cs="宋体" w:hint="eastAsia"/>
                <w:color w:val="000000" w:themeColor="text1"/>
                <w:sz w:val="18"/>
                <w:szCs w:val="18"/>
                <w:lang w:eastAsia="zh-CN"/>
              </w:rPr>
              <w:t>001普通电视设备（</w:t>
            </w:r>
            <w:r>
              <w:rPr>
                <w:rFonts w:asciiTheme="minorEastAsia" w:eastAsiaTheme="minorEastAsia" w:hAnsiTheme="minorEastAsia" w:cs="宋体" w:hint="eastAsia"/>
                <w:color w:val="000000" w:themeColor="text1"/>
                <w:spacing w:val="2"/>
                <w:sz w:val="18"/>
                <w:szCs w:val="18"/>
                <w:lang w:eastAsia="zh-CN"/>
              </w:rPr>
              <w:t>电</w:t>
            </w:r>
            <w:r>
              <w:rPr>
                <w:rFonts w:asciiTheme="minorEastAsia" w:eastAsiaTheme="minorEastAsia" w:hAnsiTheme="minorEastAsia" w:cs="宋体" w:hint="eastAsia"/>
                <w:color w:val="000000" w:themeColor="text1"/>
                <w:sz w:val="18"/>
                <w:szCs w:val="18"/>
                <w:lang w:eastAsia="zh-CN"/>
              </w:rPr>
              <w:t>视机）</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（GB24850）</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pacing w:val="1"/>
                <w:sz w:val="18"/>
                <w:szCs w:val="18"/>
              </w:rPr>
              <w:lastRenderedPageBreak/>
              <w:t>1</w:t>
            </w:r>
            <w:r>
              <w:rPr>
                <w:rFonts w:asciiTheme="minorEastAsia" w:eastAsiaTheme="minorEastAsia" w:hAnsiTheme="minorEastAsia" w:hint="eastAsia"/>
                <w:color w:val="000000" w:themeColor="text1"/>
                <w:sz w:val="18"/>
                <w:szCs w:val="18"/>
              </w:rPr>
              <w:t>3</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cs="宋体" w:hint="eastAsia"/>
                <w:color w:val="000000" w:themeColor="text1"/>
                <w:spacing w:val="1"/>
                <w:sz w:val="18"/>
                <w:szCs w:val="18"/>
              </w:rPr>
              <w:t>A020</w:t>
            </w:r>
            <w:r>
              <w:rPr>
                <w:rFonts w:asciiTheme="minorEastAsia" w:eastAsiaTheme="minorEastAsia" w:hAnsiTheme="minorEastAsia" w:cs="宋体" w:hint="eastAsia"/>
                <w:color w:val="000000" w:themeColor="text1"/>
                <w:sz w:val="18"/>
                <w:szCs w:val="18"/>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line="276" w:lineRule="auto"/>
              <w:ind w:right="5"/>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pacing w:val="1"/>
                <w:sz w:val="18"/>
                <w:szCs w:val="18"/>
              </w:rPr>
              <w:t>A02</w:t>
            </w:r>
            <w:r>
              <w:rPr>
                <w:rFonts w:asciiTheme="minorEastAsia" w:eastAsiaTheme="minorEastAsia" w:hAnsiTheme="minorEastAsia" w:cs="宋体" w:hint="eastAsia"/>
                <w:color w:val="000000" w:themeColor="text1"/>
                <w:sz w:val="18"/>
                <w:szCs w:val="18"/>
              </w:rPr>
              <w:t>09</w:t>
            </w:r>
            <w:r>
              <w:rPr>
                <w:rFonts w:asciiTheme="minorEastAsia" w:eastAsiaTheme="minorEastAsia" w:hAnsiTheme="minorEastAsia" w:cs="宋体" w:hint="eastAsia"/>
                <w:color w:val="000000" w:themeColor="text1"/>
                <w:spacing w:val="1"/>
                <w:sz w:val="18"/>
                <w:szCs w:val="18"/>
              </w:rPr>
              <w:t>1</w:t>
            </w:r>
            <w:r>
              <w:rPr>
                <w:rFonts w:asciiTheme="minorEastAsia" w:eastAsiaTheme="minorEastAsia" w:hAnsiTheme="minorEastAsia" w:cs="宋体" w:hint="eastAsia"/>
                <w:color w:val="000000" w:themeColor="text1"/>
                <w:sz w:val="18"/>
                <w:szCs w:val="18"/>
              </w:rPr>
              <w:t>107视频监控设备</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监视器</w:t>
            </w: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Pr>
                <w:rFonts w:asciiTheme="minorEastAsia" w:eastAsiaTheme="minorEastAsia" w:hAnsiTheme="minorEastAsia" w:cs="宋体" w:hint="eastAsia"/>
                <w:color w:val="000000" w:themeColor="text1"/>
                <w:spacing w:val="10"/>
                <w:sz w:val="18"/>
                <w:szCs w:val="18"/>
                <w:lang w:eastAsia="zh-CN"/>
              </w:rPr>
              <w:t>以射频信号为主要信号输入的监视器应符合（GB24850），以数字信号为主要信号输入的监视器应符合《计算机显示器能效限定值及能效等级》（GB21520）</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pacing w:val="1"/>
                <w:sz w:val="18"/>
                <w:szCs w:val="18"/>
              </w:rPr>
              <w:t>1</w:t>
            </w:r>
            <w:r>
              <w:rPr>
                <w:rFonts w:asciiTheme="minorEastAsia" w:eastAsiaTheme="minorEastAsia" w:hAnsiTheme="minorEastAsia" w:hint="eastAsia"/>
                <w:color w:val="000000" w:themeColor="text1"/>
                <w:sz w:val="18"/>
                <w:szCs w:val="18"/>
              </w:rPr>
              <w:t>4</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76"/>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A02241000</w:t>
            </w:r>
            <w:r>
              <w:rPr>
                <w:rFonts w:asciiTheme="minorEastAsia" w:eastAsiaTheme="minorEastAsia" w:hAnsiTheme="minorEastAsia" w:cs="宋体" w:hint="eastAsia"/>
                <w:color w:val="000000" w:themeColor="text1"/>
                <w:sz w:val="18"/>
                <w:szCs w:val="18"/>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商用燃</w:t>
            </w:r>
            <w:r>
              <w:rPr>
                <w:rFonts w:asciiTheme="minorEastAsia" w:eastAsiaTheme="minorEastAsia" w:hAnsiTheme="minorEastAsia" w:cs="宋体" w:hint="eastAsia"/>
                <w:color w:val="000000" w:themeColor="text1"/>
                <w:spacing w:val="2"/>
                <w:sz w:val="18"/>
                <w:szCs w:val="18"/>
              </w:rPr>
              <w:t>气</w:t>
            </w:r>
            <w:r>
              <w:rPr>
                <w:rFonts w:asciiTheme="minorEastAsia" w:eastAsiaTheme="minorEastAsia" w:hAnsiTheme="minorEastAsia" w:cs="宋体" w:hint="eastAsia"/>
                <w:color w:val="000000" w:themeColor="text1"/>
                <w:sz w:val="18"/>
                <w:szCs w:val="18"/>
              </w:rPr>
              <w:t>灶具</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《商用燃气灶具能效限定值及能效等级》（GB30531）</w:t>
            </w:r>
          </w:p>
        </w:tc>
      </w:tr>
      <w:tr w:rsidR="009915D0" w:rsidTr="009915D0">
        <w:tc>
          <w:tcPr>
            <w:tcW w:w="671"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cs="方正仿宋_GB2312" w:hint="eastAsia"/>
                <w:color w:val="000000" w:themeColor="text1"/>
                <w:sz w:val="18"/>
                <w:szCs w:val="18"/>
              </w:rPr>
              <w:t>A05020105</w:t>
            </w:r>
            <w:r>
              <w:rPr>
                <w:rFonts w:asciiTheme="minorEastAsia" w:eastAsiaTheme="minorEastAsia" w:hAnsiTheme="minorEastAsia" w:cs="宋体" w:hint="eastAsia"/>
                <w:color w:val="000000" w:themeColor="text1"/>
                <w:sz w:val="18"/>
                <w:szCs w:val="18"/>
              </w:rPr>
              <w:t>便器</w:t>
            </w: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坐便器</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《坐便器水效限定值及水效等级》</w:t>
            </w:r>
          </w:p>
          <w:p w:rsidR="009915D0" w:rsidRDefault="009915D0">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（GB25502）</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蹲便器</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《蹲便器用水效率限定值及用水效率等级》（GB30717）</w:t>
            </w:r>
          </w:p>
        </w:tc>
      </w:tr>
      <w:tr w:rsidR="009915D0" w:rsidTr="009915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小便器</w:t>
            </w: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z w:val="18"/>
                <w:szCs w:val="18"/>
                <w:lang w:eastAsia="zh-CN"/>
              </w:rPr>
              <w:t>《小便器用水效率限定值及用水效率等级》（GB28377）</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z w:val="18"/>
                <w:szCs w:val="18"/>
              </w:rPr>
              <w:t>16</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53"/>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w:t>
            </w:r>
            <w:r>
              <w:rPr>
                <w:rFonts w:asciiTheme="minorEastAsia" w:eastAsiaTheme="minorEastAsia" w:hAnsiTheme="minorEastAsia" w:cs="方正仿宋_GB2312" w:hint="eastAsia"/>
                <w:color w:val="000000" w:themeColor="text1"/>
                <w:sz w:val="18"/>
                <w:szCs w:val="18"/>
              </w:rPr>
              <w:t>A05020106</w:t>
            </w:r>
            <w:r>
              <w:rPr>
                <w:rFonts w:asciiTheme="minorEastAsia" w:eastAsiaTheme="minorEastAsia" w:hAnsiTheme="minorEastAsia" w:cs="宋体" w:hint="eastAsia"/>
                <w:color w:val="000000" w:themeColor="text1"/>
                <w:sz w:val="18"/>
                <w:szCs w:val="18"/>
              </w:rPr>
              <w:t>水嘴</w:t>
            </w:r>
          </w:p>
        </w:tc>
        <w:tc>
          <w:tcPr>
            <w:tcW w:w="1496"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lang w:eastAsia="en-US"/>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53" w:line="276" w:lineRule="auto"/>
              <w:ind w:left="7" w:right="4"/>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pacing w:val="10"/>
                <w:sz w:val="18"/>
                <w:szCs w:val="18"/>
                <w:lang w:eastAsia="zh-CN"/>
              </w:rPr>
              <w:t>《水嘴用水效率限定值及用水效</w:t>
            </w:r>
            <w:r>
              <w:rPr>
                <w:rFonts w:asciiTheme="minorEastAsia" w:eastAsiaTheme="minorEastAsia" w:hAnsiTheme="minorEastAsia" w:cs="宋体" w:hint="eastAsia"/>
                <w:color w:val="000000" w:themeColor="text1"/>
                <w:sz w:val="18"/>
                <w:szCs w:val="18"/>
                <w:lang w:eastAsia="zh-CN"/>
              </w:rPr>
              <w:t>率等级》（GB25501）</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z w:val="18"/>
                <w:szCs w:val="18"/>
              </w:rPr>
              <w:t>17</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12"/>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A05020107</w:t>
            </w:r>
            <w:r>
              <w:rPr>
                <w:rFonts w:asciiTheme="minorEastAsia" w:eastAsiaTheme="minorEastAsia" w:hAnsiTheme="minorEastAsia" w:cs="宋体" w:hint="eastAsia"/>
                <w:color w:val="000000" w:themeColor="text1"/>
                <w:sz w:val="18"/>
                <w:szCs w:val="18"/>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lang w:eastAsia="en-US"/>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12" w:line="276" w:lineRule="auto"/>
              <w:ind w:left="7" w:right="4"/>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pacing w:val="10"/>
                <w:sz w:val="18"/>
                <w:szCs w:val="18"/>
                <w:lang w:eastAsia="zh-CN"/>
              </w:rPr>
              <w:t>《便器冲洗阀用水效率限定值及</w:t>
            </w:r>
            <w:r>
              <w:rPr>
                <w:rFonts w:asciiTheme="minorEastAsia" w:eastAsiaTheme="minorEastAsia" w:hAnsiTheme="minorEastAsia" w:cs="宋体" w:hint="eastAsia"/>
                <w:color w:val="000000" w:themeColor="text1"/>
                <w:sz w:val="18"/>
                <w:szCs w:val="18"/>
                <w:lang w:eastAsia="zh-CN"/>
              </w:rPr>
              <w:t>用水效率等级》（GB28379）</w:t>
            </w:r>
          </w:p>
        </w:tc>
      </w:tr>
      <w:tr w:rsidR="009915D0" w:rsidTr="009915D0">
        <w:tc>
          <w:tcPr>
            <w:tcW w:w="671"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hint="eastAsia"/>
                <w:color w:val="000000" w:themeColor="text1"/>
                <w:sz w:val="18"/>
                <w:szCs w:val="18"/>
              </w:rPr>
              <w:t>18</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9915D0" w:rsidRDefault="009915D0">
            <w:pPr>
              <w:pStyle w:val="TableParagraph"/>
              <w:spacing w:before="131"/>
              <w:ind w:left="7"/>
              <w:jc w:val="center"/>
              <w:rPr>
                <w:rFonts w:asciiTheme="minorEastAsia" w:eastAsiaTheme="minorEastAsia" w:hAnsiTheme="minorEastAsia" w:cs="宋体"/>
                <w:color w:val="000000" w:themeColor="text1"/>
                <w:sz w:val="18"/>
                <w:szCs w:val="18"/>
              </w:rPr>
            </w:pPr>
            <w:r>
              <w:rPr>
                <w:rFonts w:asciiTheme="minorEastAsia" w:eastAsiaTheme="minorEastAsia" w:hAnsiTheme="minorEastAsia" w:cs="方正仿宋_GB2312" w:hint="eastAsia"/>
                <w:color w:val="000000" w:themeColor="text1"/>
                <w:sz w:val="18"/>
                <w:szCs w:val="18"/>
              </w:rPr>
              <w:t>A05020110</w:t>
            </w:r>
            <w:r>
              <w:rPr>
                <w:rFonts w:asciiTheme="minorEastAsia" w:eastAsiaTheme="minorEastAsia" w:hAnsiTheme="minorEastAsia" w:cs="宋体" w:hint="eastAsia"/>
                <w:color w:val="000000" w:themeColor="text1"/>
                <w:sz w:val="18"/>
                <w:szCs w:val="18"/>
              </w:rPr>
              <w:t>淋浴器</w:t>
            </w:r>
          </w:p>
        </w:tc>
        <w:tc>
          <w:tcPr>
            <w:tcW w:w="1496"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9915D0" w:rsidRDefault="009915D0">
            <w:pPr>
              <w:jc w:val="center"/>
              <w:rPr>
                <w:rFonts w:asciiTheme="minorEastAsia" w:eastAsiaTheme="minorEastAsia" w:hAnsiTheme="minorEastAsia"/>
                <w:color w:val="000000" w:themeColor="text1"/>
                <w:sz w:val="18"/>
                <w:szCs w:val="18"/>
                <w:lang w:eastAsia="en-US"/>
              </w:rPr>
            </w:pPr>
          </w:p>
        </w:tc>
        <w:tc>
          <w:tcPr>
            <w:tcW w:w="4196" w:type="dxa"/>
            <w:tcBorders>
              <w:top w:val="single" w:sz="4" w:space="0" w:color="000000"/>
              <w:left w:val="single" w:sz="4" w:space="0" w:color="000000"/>
              <w:bottom w:val="single" w:sz="4" w:space="0" w:color="000000"/>
              <w:right w:val="single" w:sz="4" w:space="0" w:color="000000"/>
            </w:tcBorders>
            <w:hideMark/>
          </w:tcPr>
          <w:p w:rsidR="009915D0" w:rsidRDefault="009915D0">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Pr>
                <w:rFonts w:asciiTheme="minorEastAsia" w:eastAsiaTheme="minorEastAsia" w:hAnsiTheme="minorEastAsia" w:cs="宋体" w:hint="eastAsia"/>
                <w:color w:val="000000" w:themeColor="text1"/>
                <w:spacing w:val="10"/>
                <w:sz w:val="18"/>
                <w:szCs w:val="18"/>
                <w:lang w:eastAsia="zh-CN"/>
              </w:rPr>
              <w:t>《淋浴器用水效率限定值及用水</w:t>
            </w:r>
            <w:r>
              <w:rPr>
                <w:rFonts w:asciiTheme="minorEastAsia" w:eastAsiaTheme="minorEastAsia" w:hAnsiTheme="minorEastAsia" w:cs="宋体" w:hint="eastAsia"/>
                <w:color w:val="000000" w:themeColor="text1"/>
                <w:sz w:val="18"/>
                <w:szCs w:val="18"/>
                <w:lang w:eastAsia="zh-CN"/>
              </w:rPr>
              <w:t>效率等级》（GB28378）</w:t>
            </w:r>
          </w:p>
        </w:tc>
      </w:tr>
    </w:tbl>
    <w:p w:rsidR="009915D0" w:rsidRDefault="009915D0" w:rsidP="009915D0">
      <w:pPr>
        <w:pStyle w:val="af2"/>
        <w:spacing w:line="360" w:lineRule="auto"/>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pacing w:val="-3"/>
          <w:szCs w:val="21"/>
        </w:rPr>
        <w:t>注：1.节能产品认证应依据相关国家标准的最新版本，依据国家标准中二级能效（水效）</w:t>
      </w:r>
      <w:r>
        <w:rPr>
          <w:rFonts w:asciiTheme="minorEastAsia" w:eastAsiaTheme="minorEastAsia" w:hAnsiTheme="minorEastAsia" w:hint="eastAsia"/>
          <w:color w:val="000000" w:themeColor="text1"/>
          <w:szCs w:val="21"/>
        </w:rPr>
        <w:t>指标。</w:t>
      </w:r>
    </w:p>
    <w:p w:rsidR="009915D0" w:rsidRDefault="009915D0" w:rsidP="009915D0">
      <w:pPr>
        <w:pStyle w:val="af2"/>
        <w:spacing w:line="360" w:lineRule="auto"/>
        <w:ind w:firstLine="465"/>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2.以“★”标注的为政府强制采购产品。</w:t>
      </w:r>
    </w:p>
    <w:p w:rsidR="009915D0" w:rsidRDefault="009915D0" w:rsidP="009915D0">
      <w:pPr>
        <w:pStyle w:val="af2"/>
        <w:spacing w:line="360" w:lineRule="auto"/>
        <w:ind w:firstLine="465"/>
        <w:rPr>
          <w:rFonts w:asciiTheme="minorEastAsia" w:eastAsiaTheme="minorEastAsia" w:hAnsiTheme="minorEastAsia" w:cs="Arial Unicode MS" w:hint="eastAsia"/>
          <w:color w:val="000000" w:themeColor="text1"/>
          <w:sz w:val="32"/>
          <w:szCs w:val="32"/>
        </w:rPr>
      </w:pPr>
      <w:r>
        <w:rPr>
          <w:rFonts w:asciiTheme="minorEastAsia" w:eastAsiaTheme="minorEastAsia" w:hAnsiTheme="minorEastAsia" w:hint="eastAsia"/>
          <w:color w:val="000000" w:themeColor="text1"/>
          <w:szCs w:val="21"/>
        </w:rPr>
        <w:t>3.本表格原为《关于印发节能产品政府采购品目清单的通知》（财库〔2019〕19号）规定的表格附件，其中名称及编码已根据《财政部关于印发〈政府采购品目分类目录〉的通知》（财库〔2022〕31号）修改。</w:t>
      </w:r>
      <w:r>
        <w:rPr>
          <w:rFonts w:asciiTheme="minorEastAsia" w:eastAsiaTheme="minorEastAsia" w:hAnsiTheme="minorEastAsia" w:hint="eastAsia"/>
          <w:color w:val="000000" w:themeColor="text1"/>
        </w:rPr>
        <w:br w:type="page"/>
      </w:r>
      <w:r>
        <w:rPr>
          <w:rFonts w:asciiTheme="minorEastAsia" w:eastAsiaTheme="minorEastAsia" w:hAnsiTheme="minorEastAsia" w:cs="仿宋_GB2312" w:hint="eastAsia"/>
          <w:color w:val="000000" w:themeColor="text1"/>
          <w:sz w:val="32"/>
          <w:szCs w:val="32"/>
        </w:rPr>
        <w:lastRenderedPageBreak/>
        <w:t>附件6</w:t>
      </w:r>
    </w:p>
    <w:p w:rsidR="009915D0" w:rsidRDefault="009915D0" w:rsidP="009915D0">
      <w:pPr>
        <w:spacing w:line="528" w:lineRule="exact"/>
        <w:jc w:val="center"/>
        <w:rPr>
          <w:rFonts w:asciiTheme="minorEastAsia" w:eastAsiaTheme="minorEastAsia" w:hAnsiTheme="minorEastAsia" w:cs="Arial Unicode MS" w:hint="eastAsia"/>
          <w:color w:val="000000" w:themeColor="text1"/>
          <w:sz w:val="40"/>
          <w:szCs w:val="40"/>
        </w:rPr>
      </w:pPr>
      <w:r>
        <w:rPr>
          <w:rFonts w:asciiTheme="minorEastAsia" w:eastAsiaTheme="minorEastAsia" w:hAnsiTheme="minorEastAsia" w:cs="微软雅黑" w:hint="eastAsia"/>
          <w:color w:val="000000" w:themeColor="text1"/>
          <w:sz w:val="40"/>
          <w:szCs w:val="40"/>
        </w:rPr>
        <w:t>中小微企业划型标准</w:t>
      </w:r>
    </w:p>
    <w:tbl>
      <w:tblPr>
        <w:tblW w:w="9075" w:type="dxa"/>
        <w:tblInd w:w="250" w:type="dxa"/>
        <w:tblLayout w:type="fixed"/>
        <w:tblLook w:val="04A0"/>
      </w:tblPr>
      <w:tblGrid>
        <w:gridCol w:w="1700"/>
        <w:gridCol w:w="1382"/>
        <w:gridCol w:w="913"/>
        <w:gridCol w:w="1619"/>
        <w:gridCol w:w="1439"/>
        <w:gridCol w:w="2022"/>
      </w:tblGrid>
      <w:tr w:rsidR="009915D0" w:rsidTr="009915D0">
        <w:trPr>
          <w:trHeight w:val="285"/>
        </w:trPr>
        <w:tc>
          <w:tcPr>
            <w:tcW w:w="1701" w:type="dxa"/>
            <w:tcBorders>
              <w:top w:val="single" w:sz="4" w:space="0" w:color="auto"/>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color w:val="000000" w:themeColor="text1"/>
                <w:sz w:val="24"/>
              </w:rPr>
            </w:pPr>
            <w:r>
              <w:rPr>
                <w:rFonts w:asciiTheme="minorEastAsia" w:eastAsiaTheme="minorEastAsia" w:hAnsiTheme="minorEastAsia" w:cs="宋体" w:hint="eastAsia"/>
                <w:b/>
                <w:color w:val="000000" w:themeColor="text1"/>
                <w:sz w:val="24"/>
              </w:rPr>
              <w:t>行业名称</w:t>
            </w:r>
          </w:p>
        </w:tc>
        <w:tc>
          <w:tcPr>
            <w:tcW w:w="1383" w:type="dxa"/>
            <w:tcBorders>
              <w:top w:val="single" w:sz="4" w:space="0" w:color="auto"/>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color w:val="000000" w:themeColor="text1"/>
                <w:sz w:val="24"/>
              </w:rPr>
            </w:pPr>
            <w:r>
              <w:rPr>
                <w:rFonts w:asciiTheme="minorEastAsia" w:eastAsiaTheme="minorEastAsia" w:hAnsiTheme="minorEastAsia" w:cs="宋体" w:hint="eastAsia"/>
                <w:b/>
                <w:color w:val="000000" w:themeColor="text1"/>
                <w:sz w:val="24"/>
              </w:rPr>
              <w:t>指标名称</w:t>
            </w:r>
          </w:p>
        </w:tc>
        <w:tc>
          <w:tcPr>
            <w:tcW w:w="913" w:type="dxa"/>
            <w:tcBorders>
              <w:top w:val="single" w:sz="4" w:space="0" w:color="auto"/>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color w:val="000000" w:themeColor="text1"/>
                <w:sz w:val="24"/>
              </w:rPr>
            </w:pPr>
            <w:r>
              <w:rPr>
                <w:rFonts w:asciiTheme="minorEastAsia" w:eastAsiaTheme="minorEastAsia" w:hAnsiTheme="minorEastAsia" w:cs="宋体" w:hint="eastAsia"/>
                <w:b/>
                <w:color w:val="000000" w:themeColor="text1"/>
                <w:sz w:val="24"/>
              </w:rPr>
              <w:t>计量单位</w:t>
            </w:r>
          </w:p>
        </w:tc>
        <w:tc>
          <w:tcPr>
            <w:tcW w:w="1619" w:type="dxa"/>
            <w:tcBorders>
              <w:top w:val="single" w:sz="4" w:space="0" w:color="auto"/>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color w:val="000000" w:themeColor="text1"/>
                <w:sz w:val="24"/>
              </w:rPr>
            </w:pPr>
            <w:r>
              <w:rPr>
                <w:rFonts w:asciiTheme="minorEastAsia" w:eastAsiaTheme="minorEastAsia" w:hAnsiTheme="minorEastAsia" w:cs="宋体" w:hint="eastAsia"/>
                <w:b/>
                <w:color w:val="000000" w:themeColor="text1"/>
                <w:sz w:val="24"/>
              </w:rPr>
              <w:t>中型</w:t>
            </w:r>
          </w:p>
        </w:tc>
        <w:tc>
          <w:tcPr>
            <w:tcW w:w="1439" w:type="dxa"/>
            <w:tcBorders>
              <w:top w:val="single" w:sz="4" w:space="0" w:color="auto"/>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color w:val="000000" w:themeColor="text1"/>
                <w:sz w:val="24"/>
              </w:rPr>
            </w:pPr>
            <w:r>
              <w:rPr>
                <w:rFonts w:asciiTheme="minorEastAsia" w:eastAsiaTheme="minorEastAsia" w:hAnsiTheme="minorEastAsia" w:cs="宋体" w:hint="eastAsia"/>
                <w:b/>
                <w:color w:val="000000" w:themeColor="text1"/>
                <w:sz w:val="24"/>
              </w:rPr>
              <w:t>小型</w:t>
            </w:r>
          </w:p>
        </w:tc>
        <w:tc>
          <w:tcPr>
            <w:tcW w:w="2022" w:type="dxa"/>
            <w:tcBorders>
              <w:top w:val="single" w:sz="4" w:space="0" w:color="auto"/>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color w:val="000000" w:themeColor="text1"/>
                <w:sz w:val="24"/>
              </w:rPr>
            </w:pPr>
            <w:r>
              <w:rPr>
                <w:rFonts w:asciiTheme="minorEastAsia" w:eastAsiaTheme="minorEastAsia" w:hAnsiTheme="minorEastAsia" w:cs="宋体" w:hint="eastAsia"/>
                <w:b/>
                <w:color w:val="000000" w:themeColor="text1"/>
                <w:sz w:val="24"/>
              </w:rPr>
              <w:t>微型</w:t>
            </w:r>
          </w:p>
        </w:tc>
      </w:tr>
      <w:tr w:rsidR="009915D0" w:rsidTr="009915D0">
        <w:trPr>
          <w:trHeight w:val="225"/>
        </w:trPr>
        <w:tc>
          <w:tcPr>
            <w:tcW w:w="1701" w:type="dxa"/>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农、林、牧、渔</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500≤Y＜20000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50≤Y＜500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Y＜50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工业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300≤X＜1000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20≤X＜300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X＜20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2000≤Y＜40000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300≤Y＜2000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Y＜300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建筑业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6000≤Y＜80000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300≤Y＜6000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Y＜300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资产总额（Z）</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5000≤Z＜80000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300≤Z＜5000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Z＜300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批发业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20≤X＜200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5≤X＜20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X＜5</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5000≤Y＜40000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1000≤Y＜5000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Y＜1000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零售业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50≤X＜300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10≤X＜50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500≤Y＜20000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100≤Y＜500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Y＜100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交通运输业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300≤X＜1000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20≤X＜300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X＜20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3000≤Y＜30000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200≤Y＜3000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Y＜200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仓储业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100≤X＜200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20≤X＜100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X＜20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1000≤Y＜30000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100≤Y＜1000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Y＜100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邮政业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300≤X＜1000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20≤X＜300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X＜20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2000≤Y＜30000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100≤Y＜2000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Y＜100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住宿业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2000≤Y＜10000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100≤Y＜2000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Y＜100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餐饮业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2000≤Y＜10000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100≤Y＜2000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Y＜100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信息传输业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100≤X＜2000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1000≤Y＜100000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100≤Y＜1000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Y＜100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软件和信息技术服务业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1000≤Y＜10000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50≤Y＜1000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Y＜50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房地产开发经营</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1000≤Y＜200000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100≤X＜1000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资产总额（Z）</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5000≤Z＜10000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2000≤Y＜5000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Y＜2000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物业管理</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300≤X＜1000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100≤X＜300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1000≤Y＜5000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500≤Y＜1000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Y＜500</w:t>
            </w:r>
          </w:p>
        </w:tc>
      </w:tr>
      <w:tr w:rsidR="009915D0" w:rsidTr="009915D0">
        <w:trPr>
          <w:trHeight w:val="225"/>
        </w:trPr>
        <w:tc>
          <w:tcPr>
            <w:tcW w:w="1701" w:type="dxa"/>
            <w:vMerge w:val="restart"/>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租赁和商务服务业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w:t>
            </w:r>
          </w:p>
        </w:tc>
      </w:tr>
      <w:tr w:rsidR="009915D0" w:rsidTr="009915D0">
        <w:trPr>
          <w:trHeight w:val="225"/>
        </w:trPr>
        <w:tc>
          <w:tcPr>
            <w:tcW w:w="1701" w:type="dxa"/>
            <w:vMerge/>
            <w:tcBorders>
              <w:top w:val="nil"/>
              <w:left w:val="single" w:sz="4" w:space="0" w:color="auto"/>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资产总额（Z）</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8000≤Z＜120000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100≤Z＜8000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Y＜100</w:t>
            </w:r>
          </w:p>
        </w:tc>
      </w:tr>
      <w:tr w:rsidR="009915D0" w:rsidTr="009915D0">
        <w:trPr>
          <w:trHeight w:val="225"/>
        </w:trPr>
        <w:tc>
          <w:tcPr>
            <w:tcW w:w="1701" w:type="dxa"/>
            <w:tcBorders>
              <w:top w:val="nil"/>
              <w:left w:val="single" w:sz="4" w:space="0" w:color="auto"/>
              <w:bottom w:val="single" w:sz="4" w:space="0" w:color="auto"/>
              <w:right w:val="single" w:sz="4" w:space="0" w:color="auto"/>
            </w:tcBorders>
            <w:vAlign w:val="bottom"/>
            <w:hideMark/>
          </w:tcPr>
          <w:p w:rsidR="009915D0" w:rsidRDefault="009915D0">
            <w:pPr>
              <w:widowControl/>
              <w:jc w:val="center"/>
              <w:rPr>
                <w:rFonts w:asciiTheme="minorEastAsia" w:eastAsiaTheme="minorEastAsia" w:hAnsiTheme="minorEastAsia" w:cs="宋体"/>
                <w:b/>
                <w:bCs/>
                <w:color w:val="000000" w:themeColor="text1"/>
                <w:sz w:val="18"/>
                <w:szCs w:val="18"/>
              </w:rPr>
            </w:pPr>
            <w:r>
              <w:rPr>
                <w:rFonts w:asciiTheme="minorEastAsia" w:eastAsiaTheme="minorEastAsia" w:hAnsiTheme="minorEastAsia" w:cs="宋体" w:hint="eastAsia"/>
                <w:b/>
                <w:bCs/>
                <w:color w:val="000000" w:themeColor="text1"/>
                <w:sz w:val="18"/>
                <w:szCs w:val="18"/>
              </w:rPr>
              <w:t>其他未列明行业</w:t>
            </w:r>
          </w:p>
        </w:tc>
        <w:tc>
          <w:tcPr>
            <w:tcW w:w="138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hideMark/>
          </w:tcPr>
          <w:p w:rsidR="009915D0" w:rsidRDefault="009915D0">
            <w:pPr>
              <w:widowControl/>
              <w:jc w:val="left"/>
              <w:rPr>
                <w:rFonts w:asciiTheme="minorEastAsia" w:eastAsiaTheme="minorEastAsia" w:hAnsiTheme="minorEastAsia" w:cs="宋体"/>
                <w:color w:val="000000" w:themeColor="text1"/>
                <w:sz w:val="18"/>
                <w:szCs w:val="18"/>
              </w:rPr>
            </w:pPr>
            <w:r>
              <w:rPr>
                <w:rFonts w:asciiTheme="minorEastAsia" w:eastAsiaTheme="minorEastAsia" w:hAnsiTheme="minorEastAsia" w:cs="宋体" w:hint="eastAsia"/>
                <w:color w:val="000000" w:themeColor="text1"/>
                <w:sz w:val="18"/>
                <w:szCs w:val="18"/>
              </w:rPr>
              <w:t>X＜10</w:t>
            </w:r>
          </w:p>
        </w:tc>
      </w:tr>
    </w:tbl>
    <w:p w:rsidR="009915D0" w:rsidRDefault="009915D0" w:rsidP="009915D0">
      <w:pPr>
        <w:spacing w:line="360" w:lineRule="auto"/>
        <w:ind w:firstLine="525"/>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rsidR="00302C6C" w:rsidRDefault="00302C6C">
      <w:pPr>
        <w:rPr>
          <w:rFonts w:hint="eastAsia"/>
        </w:rPr>
      </w:pPr>
    </w:p>
    <w:sectPr w:rsidR="00302C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ExtB">
    <w:panose1 w:val="02020500000000000000"/>
    <w:charset w:val="88"/>
    <w:family w:val="roman"/>
    <w:pitch w:val="variable"/>
    <w:sig w:usb0="8000002F" w:usb1="0A080008" w:usb2="00000010" w:usb3="00000000" w:csb0="00100001" w:csb1="00000000"/>
  </w:font>
  <w:font w:name="方正仿宋_GB2312">
    <w:charset w:val="86"/>
    <w:family w:val="auto"/>
    <w:pitch w:val="default"/>
    <w:sig w:usb0="A00002BF" w:usb1="184F6CFA" w:usb2="00000012"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915D0"/>
    <w:rsid w:val="00302C6C"/>
    <w:rsid w:val="009915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8"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endnote reference" w:qFormat="1"/>
    <w:lsdException w:name="endnote text" w:qFormat="1"/>
    <w:lsdException w:name="List" w:qFormat="1"/>
    <w:lsdException w:name="Title" w:semiHidden="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3" w:qFormat="1"/>
    <w:lsdException w:name="Body Text Indent 2"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5D0"/>
    <w:pPr>
      <w:widowControl w:val="0"/>
      <w:jc w:val="both"/>
    </w:pPr>
    <w:rPr>
      <w:rFonts w:ascii="Times New Roman" w:eastAsia="宋体" w:hAnsi="Times New Roman" w:cs="Times New Roman"/>
      <w:kern w:val="0"/>
      <w:szCs w:val="24"/>
    </w:rPr>
  </w:style>
  <w:style w:type="paragraph" w:styleId="1">
    <w:name w:val="heading 1"/>
    <w:basedOn w:val="a"/>
    <w:next w:val="a"/>
    <w:link w:val="1Char"/>
    <w:qFormat/>
    <w:rsid w:val="009915D0"/>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9915D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9915D0"/>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9915D0"/>
    <w:pPr>
      <w:tabs>
        <w:tab w:val="left" w:pos="2155"/>
      </w:tabs>
      <w:spacing w:before="120" w:line="360" w:lineRule="auto"/>
      <w:ind w:left="2155" w:hanging="1078"/>
      <w:outlineLvl w:val="3"/>
    </w:pPr>
    <w:rPr>
      <w:rFonts w:ascii="Arial" w:eastAsia="黑体"/>
      <w:sz w:val="28"/>
      <w:szCs w:val="20"/>
    </w:rPr>
  </w:style>
  <w:style w:type="paragraph" w:styleId="5">
    <w:name w:val="heading 5"/>
    <w:basedOn w:val="a"/>
    <w:next w:val="a"/>
    <w:link w:val="5Char"/>
    <w:uiPriority w:val="9"/>
    <w:semiHidden/>
    <w:unhideWhenUsed/>
    <w:qFormat/>
    <w:rsid w:val="009915D0"/>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915D0"/>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semiHidden/>
    <w:unhideWhenUsed/>
    <w:qFormat/>
    <w:rsid w:val="009915D0"/>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semiHidden/>
    <w:unhideWhenUsed/>
    <w:qFormat/>
    <w:rsid w:val="009915D0"/>
    <w:pPr>
      <w:keepNext/>
      <w:keepLines/>
      <w:outlineLvl w:val="7"/>
    </w:pPr>
    <w:rPr>
      <w:rFonts w:ascii="Arial" w:eastAsia="Arial" w:hAnsi="Arial" w:cs="Arial"/>
      <w:i/>
      <w:iCs/>
      <w:color w:val="262626" w:themeColor="text1" w:themeTint="D9"/>
    </w:rPr>
  </w:style>
  <w:style w:type="paragraph" w:styleId="9">
    <w:name w:val="heading 9"/>
    <w:basedOn w:val="a"/>
    <w:next w:val="a"/>
    <w:link w:val="9Char"/>
    <w:uiPriority w:val="9"/>
    <w:semiHidden/>
    <w:unhideWhenUsed/>
    <w:qFormat/>
    <w:rsid w:val="009915D0"/>
    <w:pPr>
      <w:keepNext/>
      <w:keepLines/>
      <w:outlineLvl w:val="8"/>
    </w:pPr>
    <w:rPr>
      <w:rFonts w:ascii="Arial" w:eastAsia="Arial" w:hAnsi="Arial" w:cs="Arial"/>
      <w:i/>
      <w:iCs/>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9915D0"/>
    <w:rPr>
      <w:rFonts w:ascii="Times New Roman" w:eastAsia="宋体" w:hAnsi="Times New Roman" w:cs="Times New Roman"/>
      <w:b/>
      <w:bCs/>
      <w:kern w:val="44"/>
      <w:sz w:val="44"/>
      <w:szCs w:val="44"/>
    </w:rPr>
  </w:style>
  <w:style w:type="character" w:customStyle="1" w:styleId="2Char">
    <w:name w:val="标题 2 Char"/>
    <w:basedOn w:val="a0"/>
    <w:link w:val="2"/>
    <w:semiHidden/>
    <w:qFormat/>
    <w:rsid w:val="009915D0"/>
    <w:rPr>
      <w:rFonts w:asciiTheme="majorHAnsi" w:eastAsiaTheme="majorEastAsia" w:hAnsiTheme="majorHAnsi" w:cstheme="majorBidi"/>
      <w:b/>
      <w:bCs/>
      <w:kern w:val="0"/>
      <w:sz w:val="32"/>
      <w:szCs w:val="32"/>
    </w:rPr>
  </w:style>
  <w:style w:type="character" w:customStyle="1" w:styleId="3Char">
    <w:name w:val="标题 3 Char"/>
    <w:basedOn w:val="a0"/>
    <w:link w:val="3"/>
    <w:semiHidden/>
    <w:qFormat/>
    <w:rsid w:val="009915D0"/>
    <w:rPr>
      <w:rFonts w:ascii="Times New Roman" w:eastAsia="宋体" w:hAnsi="Times New Roman" w:cs="Times New Roman"/>
      <w:b/>
      <w:bCs/>
      <w:kern w:val="0"/>
      <w:sz w:val="32"/>
      <w:szCs w:val="32"/>
    </w:rPr>
  </w:style>
  <w:style w:type="character" w:customStyle="1" w:styleId="4Char">
    <w:name w:val="标题 4 Char"/>
    <w:basedOn w:val="a0"/>
    <w:link w:val="4"/>
    <w:semiHidden/>
    <w:qFormat/>
    <w:rsid w:val="009915D0"/>
    <w:rPr>
      <w:rFonts w:ascii="Arial" w:eastAsia="黑体" w:hAnsi="Times New Roman" w:cs="Times New Roman"/>
      <w:kern w:val="0"/>
      <w:sz w:val="28"/>
      <w:szCs w:val="20"/>
    </w:rPr>
  </w:style>
  <w:style w:type="character" w:customStyle="1" w:styleId="5Char">
    <w:name w:val="标题 5 Char"/>
    <w:basedOn w:val="a0"/>
    <w:link w:val="5"/>
    <w:uiPriority w:val="9"/>
    <w:semiHidden/>
    <w:qFormat/>
    <w:rsid w:val="009915D0"/>
    <w:rPr>
      <w:rFonts w:ascii="Times New Roman" w:eastAsia="宋体" w:hAnsi="Times New Roman" w:cs="Times New Roman"/>
      <w:b/>
      <w:bCs/>
      <w:kern w:val="0"/>
      <w:sz w:val="28"/>
      <w:szCs w:val="28"/>
    </w:rPr>
  </w:style>
  <w:style w:type="character" w:customStyle="1" w:styleId="6Char">
    <w:name w:val="标题 6 Char"/>
    <w:basedOn w:val="a0"/>
    <w:link w:val="6"/>
    <w:uiPriority w:val="9"/>
    <w:semiHidden/>
    <w:qFormat/>
    <w:rsid w:val="009915D0"/>
    <w:rPr>
      <w:rFonts w:ascii="Arial" w:eastAsia="Arial" w:hAnsi="Arial" w:cs="Arial"/>
      <w:i/>
      <w:iCs/>
      <w:color w:val="595959" w:themeColor="text1" w:themeTint="A6"/>
      <w:kern w:val="0"/>
      <w:szCs w:val="24"/>
    </w:rPr>
  </w:style>
  <w:style w:type="character" w:customStyle="1" w:styleId="7Char">
    <w:name w:val="标题 7 Char"/>
    <w:basedOn w:val="a0"/>
    <w:link w:val="7"/>
    <w:uiPriority w:val="9"/>
    <w:semiHidden/>
    <w:qFormat/>
    <w:rsid w:val="009915D0"/>
    <w:rPr>
      <w:rFonts w:ascii="Arial" w:eastAsia="Arial" w:hAnsi="Arial" w:cs="Arial"/>
      <w:color w:val="595959" w:themeColor="text1" w:themeTint="A6"/>
      <w:kern w:val="0"/>
      <w:szCs w:val="24"/>
    </w:rPr>
  </w:style>
  <w:style w:type="character" w:customStyle="1" w:styleId="8Char">
    <w:name w:val="标题 8 Char"/>
    <w:basedOn w:val="a0"/>
    <w:link w:val="8"/>
    <w:uiPriority w:val="9"/>
    <w:semiHidden/>
    <w:qFormat/>
    <w:rsid w:val="009915D0"/>
    <w:rPr>
      <w:rFonts w:ascii="Arial" w:eastAsia="Arial" w:hAnsi="Arial" w:cs="Arial"/>
      <w:i/>
      <w:iCs/>
      <w:color w:val="262626" w:themeColor="text1" w:themeTint="D9"/>
      <w:kern w:val="0"/>
      <w:szCs w:val="24"/>
    </w:rPr>
  </w:style>
  <w:style w:type="character" w:customStyle="1" w:styleId="9Char">
    <w:name w:val="标题 9 Char"/>
    <w:basedOn w:val="a0"/>
    <w:link w:val="9"/>
    <w:uiPriority w:val="9"/>
    <w:semiHidden/>
    <w:qFormat/>
    <w:rsid w:val="009915D0"/>
    <w:rPr>
      <w:rFonts w:ascii="Arial" w:eastAsia="Arial" w:hAnsi="Arial" w:cs="Arial"/>
      <w:i/>
      <w:iCs/>
      <w:color w:val="262626" w:themeColor="text1" w:themeTint="D9"/>
      <w:kern w:val="0"/>
      <w:szCs w:val="24"/>
    </w:rPr>
  </w:style>
  <w:style w:type="character" w:styleId="a3">
    <w:name w:val="Hyperlink"/>
    <w:uiPriority w:val="99"/>
    <w:semiHidden/>
    <w:unhideWhenUsed/>
    <w:qFormat/>
    <w:rsid w:val="009915D0"/>
    <w:rPr>
      <w:color w:val="0000FF"/>
      <w:u w:val="single"/>
    </w:rPr>
  </w:style>
  <w:style w:type="character" w:styleId="a4">
    <w:name w:val="FollowedHyperlink"/>
    <w:basedOn w:val="a0"/>
    <w:uiPriority w:val="99"/>
    <w:semiHidden/>
    <w:unhideWhenUsed/>
    <w:qFormat/>
    <w:rsid w:val="009915D0"/>
    <w:rPr>
      <w:color w:val="800080"/>
      <w:u w:val="single"/>
    </w:rPr>
  </w:style>
  <w:style w:type="character" w:styleId="a5">
    <w:name w:val="Emphasis"/>
    <w:basedOn w:val="a0"/>
    <w:uiPriority w:val="20"/>
    <w:qFormat/>
    <w:rsid w:val="009915D0"/>
    <w:rPr>
      <w:i/>
      <w:iCs w:val="0"/>
    </w:rPr>
  </w:style>
  <w:style w:type="character" w:styleId="a6">
    <w:name w:val="Strong"/>
    <w:basedOn w:val="a0"/>
    <w:uiPriority w:val="22"/>
    <w:qFormat/>
    <w:rsid w:val="009915D0"/>
    <w:rPr>
      <w:b/>
      <w:bCs w:val="0"/>
    </w:rPr>
  </w:style>
  <w:style w:type="paragraph" w:styleId="a7">
    <w:name w:val="Normal (Web)"/>
    <w:basedOn w:val="a"/>
    <w:uiPriority w:val="99"/>
    <w:semiHidden/>
    <w:unhideWhenUsed/>
    <w:qFormat/>
    <w:rsid w:val="009915D0"/>
    <w:rPr>
      <w:sz w:val="24"/>
    </w:rPr>
  </w:style>
  <w:style w:type="paragraph" w:styleId="80">
    <w:name w:val="index 8"/>
    <w:basedOn w:val="a"/>
    <w:next w:val="a"/>
    <w:autoRedefine/>
    <w:uiPriority w:val="99"/>
    <w:semiHidden/>
    <w:unhideWhenUsed/>
    <w:qFormat/>
    <w:rsid w:val="009915D0"/>
    <w:pPr>
      <w:ind w:left="2940"/>
    </w:pPr>
  </w:style>
  <w:style w:type="paragraph" w:styleId="10">
    <w:name w:val="toc 1"/>
    <w:basedOn w:val="a"/>
    <w:next w:val="a"/>
    <w:autoRedefine/>
    <w:uiPriority w:val="39"/>
    <w:semiHidden/>
    <w:unhideWhenUsed/>
    <w:qFormat/>
    <w:rsid w:val="009915D0"/>
    <w:pPr>
      <w:spacing w:before="360" w:after="360"/>
      <w:jc w:val="left"/>
    </w:pPr>
    <w:rPr>
      <w:rFonts w:ascii="Calibri" w:hAnsi="Calibri"/>
      <w:b/>
      <w:bCs/>
      <w:caps/>
      <w:sz w:val="22"/>
      <w:szCs w:val="22"/>
      <w:u w:val="single"/>
    </w:rPr>
  </w:style>
  <w:style w:type="paragraph" w:styleId="20">
    <w:name w:val="toc 2"/>
    <w:basedOn w:val="a"/>
    <w:next w:val="a"/>
    <w:autoRedefine/>
    <w:uiPriority w:val="39"/>
    <w:unhideWhenUsed/>
    <w:qFormat/>
    <w:rsid w:val="009915D0"/>
    <w:pPr>
      <w:jc w:val="left"/>
    </w:pPr>
    <w:rPr>
      <w:rFonts w:ascii="Calibri" w:hAnsi="Calibri"/>
      <w:b/>
      <w:bCs/>
      <w:smallCaps/>
      <w:sz w:val="22"/>
      <w:szCs w:val="22"/>
    </w:rPr>
  </w:style>
  <w:style w:type="paragraph" w:styleId="30">
    <w:name w:val="toc 3"/>
    <w:basedOn w:val="a"/>
    <w:next w:val="a"/>
    <w:autoRedefine/>
    <w:uiPriority w:val="39"/>
    <w:semiHidden/>
    <w:unhideWhenUsed/>
    <w:qFormat/>
    <w:rsid w:val="009915D0"/>
    <w:pPr>
      <w:jc w:val="left"/>
    </w:pPr>
    <w:rPr>
      <w:rFonts w:ascii="Calibri" w:hAnsi="Calibri"/>
      <w:smallCaps/>
      <w:sz w:val="22"/>
      <w:szCs w:val="22"/>
    </w:rPr>
  </w:style>
  <w:style w:type="paragraph" w:styleId="40">
    <w:name w:val="toc 4"/>
    <w:basedOn w:val="a"/>
    <w:next w:val="a"/>
    <w:autoRedefine/>
    <w:uiPriority w:val="39"/>
    <w:semiHidden/>
    <w:unhideWhenUsed/>
    <w:qFormat/>
    <w:rsid w:val="009915D0"/>
    <w:pPr>
      <w:jc w:val="left"/>
    </w:pPr>
    <w:rPr>
      <w:rFonts w:ascii="Calibri" w:hAnsi="Calibri"/>
      <w:sz w:val="22"/>
      <w:szCs w:val="22"/>
    </w:rPr>
  </w:style>
  <w:style w:type="paragraph" w:styleId="50">
    <w:name w:val="toc 5"/>
    <w:basedOn w:val="a"/>
    <w:next w:val="a"/>
    <w:autoRedefine/>
    <w:uiPriority w:val="39"/>
    <w:semiHidden/>
    <w:unhideWhenUsed/>
    <w:qFormat/>
    <w:rsid w:val="009915D0"/>
    <w:pPr>
      <w:jc w:val="left"/>
    </w:pPr>
    <w:rPr>
      <w:rFonts w:ascii="Calibri" w:hAnsi="Calibri"/>
      <w:sz w:val="22"/>
      <w:szCs w:val="22"/>
    </w:rPr>
  </w:style>
  <w:style w:type="paragraph" w:styleId="60">
    <w:name w:val="toc 6"/>
    <w:basedOn w:val="a"/>
    <w:next w:val="a"/>
    <w:autoRedefine/>
    <w:uiPriority w:val="39"/>
    <w:semiHidden/>
    <w:unhideWhenUsed/>
    <w:qFormat/>
    <w:rsid w:val="009915D0"/>
    <w:pPr>
      <w:jc w:val="left"/>
    </w:pPr>
    <w:rPr>
      <w:rFonts w:ascii="Calibri" w:hAnsi="Calibri"/>
      <w:sz w:val="22"/>
      <w:szCs w:val="22"/>
    </w:rPr>
  </w:style>
  <w:style w:type="paragraph" w:styleId="70">
    <w:name w:val="toc 7"/>
    <w:basedOn w:val="a"/>
    <w:next w:val="a"/>
    <w:autoRedefine/>
    <w:uiPriority w:val="39"/>
    <w:semiHidden/>
    <w:unhideWhenUsed/>
    <w:qFormat/>
    <w:rsid w:val="009915D0"/>
    <w:pPr>
      <w:jc w:val="left"/>
    </w:pPr>
    <w:rPr>
      <w:rFonts w:ascii="Calibri" w:hAnsi="Calibri"/>
      <w:sz w:val="22"/>
      <w:szCs w:val="22"/>
    </w:rPr>
  </w:style>
  <w:style w:type="paragraph" w:styleId="81">
    <w:name w:val="toc 8"/>
    <w:basedOn w:val="a"/>
    <w:next w:val="a"/>
    <w:autoRedefine/>
    <w:uiPriority w:val="39"/>
    <w:semiHidden/>
    <w:unhideWhenUsed/>
    <w:qFormat/>
    <w:rsid w:val="009915D0"/>
    <w:pPr>
      <w:jc w:val="left"/>
    </w:pPr>
    <w:rPr>
      <w:rFonts w:ascii="Calibri" w:hAnsi="Calibri"/>
      <w:sz w:val="22"/>
      <w:szCs w:val="22"/>
    </w:rPr>
  </w:style>
  <w:style w:type="paragraph" w:styleId="90">
    <w:name w:val="toc 9"/>
    <w:basedOn w:val="a"/>
    <w:next w:val="a"/>
    <w:autoRedefine/>
    <w:uiPriority w:val="39"/>
    <w:semiHidden/>
    <w:unhideWhenUsed/>
    <w:qFormat/>
    <w:rsid w:val="009915D0"/>
    <w:pPr>
      <w:jc w:val="left"/>
    </w:pPr>
    <w:rPr>
      <w:rFonts w:ascii="Calibri" w:hAnsi="Calibri"/>
      <w:sz w:val="22"/>
      <w:szCs w:val="22"/>
    </w:rPr>
  </w:style>
  <w:style w:type="paragraph" w:styleId="a8">
    <w:name w:val="Normal Indent"/>
    <w:basedOn w:val="a"/>
    <w:uiPriority w:val="99"/>
    <w:semiHidden/>
    <w:unhideWhenUsed/>
    <w:qFormat/>
    <w:rsid w:val="009915D0"/>
    <w:pPr>
      <w:ind w:firstLine="420"/>
    </w:pPr>
    <w:rPr>
      <w:szCs w:val="20"/>
    </w:rPr>
  </w:style>
  <w:style w:type="paragraph" w:styleId="a9">
    <w:name w:val="footnote text"/>
    <w:basedOn w:val="a"/>
    <w:link w:val="Char"/>
    <w:uiPriority w:val="99"/>
    <w:semiHidden/>
    <w:unhideWhenUsed/>
    <w:qFormat/>
    <w:rsid w:val="009915D0"/>
    <w:rPr>
      <w:sz w:val="20"/>
      <w:szCs w:val="20"/>
    </w:rPr>
  </w:style>
  <w:style w:type="character" w:customStyle="1" w:styleId="Char">
    <w:name w:val="脚注文本 Char"/>
    <w:basedOn w:val="a0"/>
    <w:link w:val="a9"/>
    <w:uiPriority w:val="99"/>
    <w:semiHidden/>
    <w:qFormat/>
    <w:rsid w:val="009915D0"/>
    <w:rPr>
      <w:rFonts w:ascii="Times New Roman" w:eastAsia="宋体" w:hAnsi="Times New Roman" w:cs="Times New Roman"/>
      <w:kern w:val="0"/>
      <w:sz w:val="20"/>
      <w:szCs w:val="20"/>
    </w:rPr>
  </w:style>
  <w:style w:type="paragraph" w:styleId="aa">
    <w:name w:val="annotation text"/>
    <w:basedOn w:val="a"/>
    <w:link w:val="Char0"/>
    <w:uiPriority w:val="99"/>
    <w:semiHidden/>
    <w:unhideWhenUsed/>
    <w:qFormat/>
    <w:rsid w:val="009915D0"/>
    <w:pPr>
      <w:jc w:val="left"/>
    </w:pPr>
    <w:rPr>
      <w:szCs w:val="21"/>
    </w:rPr>
  </w:style>
  <w:style w:type="character" w:customStyle="1" w:styleId="Char0">
    <w:name w:val="批注文字 Char"/>
    <w:basedOn w:val="a0"/>
    <w:link w:val="aa"/>
    <w:uiPriority w:val="99"/>
    <w:semiHidden/>
    <w:qFormat/>
    <w:rsid w:val="009915D0"/>
    <w:rPr>
      <w:rFonts w:ascii="Times New Roman" w:eastAsia="宋体" w:hAnsi="Times New Roman" w:cs="Times New Roman"/>
      <w:kern w:val="0"/>
      <w:szCs w:val="21"/>
    </w:rPr>
  </w:style>
  <w:style w:type="paragraph" w:styleId="ab">
    <w:name w:val="header"/>
    <w:basedOn w:val="a"/>
    <w:link w:val="Char1"/>
    <w:uiPriority w:val="99"/>
    <w:semiHidden/>
    <w:unhideWhenUsed/>
    <w:qFormat/>
    <w:rsid w:val="009915D0"/>
    <w:pPr>
      <w:pBdr>
        <w:bottom w:val="single" w:sz="6" w:space="1" w:color="000000"/>
      </w:pBdr>
      <w:tabs>
        <w:tab w:val="center" w:pos="4153"/>
        <w:tab w:val="right" w:pos="8306"/>
      </w:tabs>
      <w:jc w:val="center"/>
    </w:pPr>
    <w:rPr>
      <w:sz w:val="18"/>
      <w:szCs w:val="18"/>
    </w:rPr>
  </w:style>
  <w:style w:type="character" w:customStyle="1" w:styleId="Char1">
    <w:name w:val="页眉 Char"/>
    <w:basedOn w:val="a0"/>
    <w:link w:val="ab"/>
    <w:uiPriority w:val="99"/>
    <w:semiHidden/>
    <w:qFormat/>
    <w:rsid w:val="009915D0"/>
    <w:rPr>
      <w:rFonts w:ascii="Times New Roman" w:eastAsia="宋体" w:hAnsi="Times New Roman" w:cs="Times New Roman"/>
      <w:kern w:val="0"/>
      <w:sz w:val="18"/>
      <w:szCs w:val="18"/>
    </w:rPr>
  </w:style>
  <w:style w:type="paragraph" w:styleId="ac">
    <w:name w:val="footer"/>
    <w:basedOn w:val="a"/>
    <w:link w:val="Char2"/>
    <w:uiPriority w:val="99"/>
    <w:semiHidden/>
    <w:unhideWhenUsed/>
    <w:qFormat/>
    <w:rsid w:val="009915D0"/>
    <w:pPr>
      <w:tabs>
        <w:tab w:val="center" w:pos="4153"/>
        <w:tab w:val="right" w:pos="8306"/>
      </w:tabs>
      <w:ind w:firstLine="420"/>
      <w:jc w:val="center"/>
    </w:pPr>
    <w:rPr>
      <w:rFonts w:ascii="宋体" w:hAnsi="宋体" w:cs="宋体"/>
      <w:szCs w:val="21"/>
    </w:rPr>
  </w:style>
  <w:style w:type="character" w:customStyle="1" w:styleId="Char2">
    <w:name w:val="页脚 Char"/>
    <w:basedOn w:val="a0"/>
    <w:link w:val="ac"/>
    <w:uiPriority w:val="99"/>
    <w:semiHidden/>
    <w:qFormat/>
    <w:rsid w:val="009915D0"/>
    <w:rPr>
      <w:rFonts w:ascii="宋体" w:eastAsia="宋体" w:hAnsi="宋体" w:cs="宋体"/>
      <w:kern w:val="0"/>
      <w:szCs w:val="21"/>
    </w:rPr>
  </w:style>
  <w:style w:type="paragraph" w:styleId="ad">
    <w:name w:val="caption"/>
    <w:basedOn w:val="a"/>
    <w:next w:val="a"/>
    <w:uiPriority w:val="99"/>
    <w:semiHidden/>
    <w:unhideWhenUsed/>
    <w:qFormat/>
    <w:rsid w:val="009915D0"/>
    <w:pPr>
      <w:spacing w:before="152" w:after="160"/>
    </w:pPr>
    <w:rPr>
      <w:rFonts w:ascii="Arial" w:eastAsia="黑体" w:hAnsi="Arial" w:cs="Arial"/>
      <w:sz w:val="20"/>
      <w:szCs w:val="20"/>
    </w:rPr>
  </w:style>
  <w:style w:type="paragraph" w:styleId="ae">
    <w:name w:val="table of figures"/>
    <w:basedOn w:val="a"/>
    <w:next w:val="a"/>
    <w:uiPriority w:val="99"/>
    <w:semiHidden/>
    <w:unhideWhenUsed/>
    <w:qFormat/>
    <w:rsid w:val="009915D0"/>
  </w:style>
  <w:style w:type="paragraph" w:styleId="af">
    <w:name w:val="endnote text"/>
    <w:basedOn w:val="a"/>
    <w:link w:val="Char3"/>
    <w:uiPriority w:val="99"/>
    <w:semiHidden/>
    <w:unhideWhenUsed/>
    <w:qFormat/>
    <w:rsid w:val="009915D0"/>
    <w:rPr>
      <w:sz w:val="20"/>
      <w:szCs w:val="20"/>
    </w:rPr>
  </w:style>
  <w:style w:type="character" w:customStyle="1" w:styleId="Char3">
    <w:name w:val="尾注文本 Char"/>
    <w:basedOn w:val="a0"/>
    <w:link w:val="af"/>
    <w:uiPriority w:val="99"/>
    <w:semiHidden/>
    <w:qFormat/>
    <w:rsid w:val="009915D0"/>
    <w:rPr>
      <w:rFonts w:ascii="Times New Roman" w:eastAsia="宋体" w:hAnsi="Times New Roman" w:cs="Times New Roman"/>
      <w:kern w:val="0"/>
      <w:sz w:val="20"/>
      <w:szCs w:val="20"/>
    </w:rPr>
  </w:style>
  <w:style w:type="paragraph" w:styleId="af0">
    <w:name w:val="List"/>
    <w:basedOn w:val="a"/>
    <w:uiPriority w:val="99"/>
    <w:semiHidden/>
    <w:unhideWhenUsed/>
    <w:qFormat/>
    <w:rsid w:val="009915D0"/>
    <w:pPr>
      <w:ind w:left="200" w:hanging="200"/>
    </w:pPr>
    <w:rPr>
      <w:sz w:val="28"/>
    </w:rPr>
  </w:style>
  <w:style w:type="paragraph" w:styleId="af1">
    <w:name w:val="Title"/>
    <w:basedOn w:val="a"/>
    <w:next w:val="a"/>
    <w:link w:val="Char4"/>
    <w:uiPriority w:val="99"/>
    <w:qFormat/>
    <w:rsid w:val="009915D0"/>
    <w:pPr>
      <w:widowControl/>
      <w:spacing w:before="240" w:after="60"/>
      <w:jc w:val="center"/>
      <w:outlineLvl w:val="0"/>
    </w:pPr>
    <w:rPr>
      <w:rFonts w:ascii="Cambria" w:hAnsi="Cambria"/>
      <w:b/>
      <w:bCs/>
      <w:sz w:val="32"/>
      <w:szCs w:val="32"/>
    </w:rPr>
  </w:style>
  <w:style w:type="character" w:customStyle="1" w:styleId="Char4">
    <w:name w:val="标题 Char"/>
    <w:basedOn w:val="a0"/>
    <w:link w:val="af1"/>
    <w:uiPriority w:val="99"/>
    <w:rsid w:val="009915D0"/>
    <w:rPr>
      <w:rFonts w:ascii="Cambria" w:eastAsia="宋体" w:hAnsi="Cambria" w:cs="Times New Roman"/>
      <w:b/>
      <w:bCs/>
      <w:kern w:val="0"/>
      <w:sz w:val="32"/>
      <w:szCs w:val="32"/>
    </w:rPr>
  </w:style>
  <w:style w:type="paragraph" w:styleId="af2">
    <w:name w:val="Body Text"/>
    <w:basedOn w:val="a"/>
    <w:link w:val="Char5"/>
    <w:uiPriority w:val="99"/>
    <w:semiHidden/>
    <w:unhideWhenUsed/>
    <w:qFormat/>
    <w:rsid w:val="009915D0"/>
    <w:pPr>
      <w:spacing w:after="120"/>
    </w:pPr>
  </w:style>
  <w:style w:type="character" w:customStyle="1" w:styleId="Char5">
    <w:name w:val="正文文本 Char"/>
    <w:basedOn w:val="a0"/>
    <w:link w:val="af2"/>
    <w:uiPriority w:val="99"/>
    <w:semiHidden/>
    <w:qFormat/>
    <w:rsid w:val="009915D0"/>
    <w:rPr>
      <w:rFonts w:ascii="Times New Roman" w:eastAsia="宋体" w:hAnsi="Times New Roman" w:cs="Times New Roman"/>
      <w:kern w:val="0"/>
      <w:szCs w:val="24"/>
    </w:rPr>
  </w:style>
  <w:style w:type="paragraph" w:styleId="af3">
    <w:name w:val="Body Text Indent"/>
    <w:basedOn w:val="a"/>
    <w:link w:val="Char6"/>
    <w:uiPriority w:val="99"/>
    <w:semiHidden/>
    <w:unhideWhenUsed/>
    <w:qFormat/>
    <w:rsid w:val="009915D0"/>
    <w:pPr>
      <w:spacing w:line="200" w:lineRule="exact"/>
      <w:ind w:firstLine="301"/>
    </w:pPr>
    <w:rPr>
      <w:rFonts w:ascii="宋体" w:hAnsi="Courier New"/>
      <w:spacing w:val="-4"/>
      <w:sz w:val="18"/>
      <w:szCs w:val="20"/>
    </w:rPr>
  </w:style>
  <w:style w:type="character" w:customStyle="1" w:styleId="Char6">
    <w:name w:val="正文文本缩进 Char"/>
    <w:basedOn w:val="a0"/>
    <w:link w:val="af3"/>
    <w:uiPriority w:val="99"/>
    <w:semiHidden/>
    <w:qFormat/>
    <w:rsid w:val="009915D0"/>
    <w:rPr>
      <w:rFonts w:ascii="宋体" w:eastAsia="宋体" w:hAnsi="Courier New" w:cs="Times New Roman"/>
      <w:spacing w:val="-4"/>
      <w:kern w:val="0"/>
      <w:sz w:val="18"/>
      <w:szCs w:val="20"/>
    </w:rPr>
  </w:style>
  <w:style w:type="paragraph" w:styleId="af4">
    <w:name w:val="Subtitle"/>
    <w:basedOn w:val="a"/>
    <w:next w:val="a"/>
    <w:link w:val="Char7"/>
    <w:uiPriority w:val="11"/>
    <w:qFormat/>
    <w:rsid w:val="009915D0"/>
    <w:rPr>
      <w:color w:val="595959" w:themeColor="text1" w:themeTint="A6"/>
      <w:spacing w:val="15"/>
      <w:sz w:val="28"/>
      <w:szCs w:val="28"/>
    </w:rPr>
  </w:style>
  <w:style w:type="character" w:customStyle="1" w:styleId="Char7">
    <w:name w:val="副标题 Char"/>
    <w:basedOn w:val="a0"/>
    <w:link w:val="af4"/>
    <w:uiPriority w:val="11"/>
    <w:qFormat/>
    <w:rsid w:val="009915D0"/>
    <w:rPr>
      <w:rFonts w:ascii="Times New Roman" w:eastAsia="宋体" w:hAnsi="Times New Roman" w:cs="Times New Roman"/>
      <w:color w:val="595959" w:themeColor="text1" w:themeTint="A6"/>
      <w:spacing w:val="15"/>
      <w:kern w:val="0"/>
      <w:sz w:val="28"/>
      <w:szCs w:val="28"/>
    </w:rPr>
  </w:style>
  <w:style w:type="paragraph" w:styleId="af5">
    <w:name w:val="Date"/>
    <w:basedOn w:val="a"/>
    <w:next w:val="a"/>
    <w:link w:val="Char8"/>
    <w:uiPriority w:val="99"/>
    <w:semiHidden/>
    <w:unhideWhenUsed/>
    <w:qFormat/>
    <w:rsid w:val="009915D0"/>
    <w:pPr>
      <w:ind w:left="100"/>
    </w:pPr>
  </w:style>
  <w:style w:type="character" w:customStyle="1" w:styleId="Char8">
    <w:name w:val="日期 Char"/>
    <w:basedOn w:val="a0"/>
    <w:link w:val="af5"/>
    <w:uiPriority w:val="99"/>
    <w:semiHidden/>
    <w:qFormat/>
    <w:rsid w:val="009915D0"/>
    <w:rPr>
      <w:rFonts w:ascii="Times New Roman" w:eastAsia="宋体" w:hAnsi="Times New Roman" w:cs="Times New Roman"/>
      <w:kern w:val="0"/>
      <w:szCs w:val="24"/>
    </w:rPr>
  </w:style>
  <w:style w:type="paragraph" w:styleId="af6">
    <w:name w:val="Body Text First Indent"/>
    <w:basedOn w:val="af2"/>
    <w:next w:val="a"/>
    <w:link w:val="Char9"/>
    <w:uiPriority w:val="99"/>
    <w:semiHidden/>
    <w:unhideWhenUsed/>
    <w:qFormat/>
    <w:rsid w:val="009915D0"/>
    <w:pPr>
      <w:ind w:firstLine="420"/>
    </w:pPr>
    <w:rPr>
      <w:rFonts w:ascii="Calibri" w:hAnsi="Calibri"/>
    </w:rPr>
  </w:style>
  <w:style w:type="character" w:customStyle="1" w:styleId="Char9">
    <w:name w:val="正文首行缩进 Char"/>
    <w:basedOn w:val="Char5"/>
    <w:link w:val="af6"/>
    <w:uiPriority w:val="99"/>
    <w:semiHidden/>
    <w:rsid w:val="009915D0"/>
    <w:rPr>
      <w:rFonts w:ascii="Calibri" w:hAnsi="Calibri"/>
    </w:rPr>
  </w:style>
  <w:style w:type="paragraph" w:styleId="21">
    <w:name w:val="Body Text First Indent 2"/>
    <w:basedOn w:val="af3"/>
    <w:link w:val="2Char0"/>
    <w:uiPriority w:val="99"/>
    <w:semiHidden/>
    <w:unhideWhenUsed/>
    <w:qFormat/>
    <w:rsid w:val="009915D0"/>
    <w:pPr>
      <w:spacing w:after="120"/>
      <w:ind w:left="420" w:firstLine="420"/>
    </w:pPr>
    <w:rPr>
      <w:rFonts w:ascii="Calibri" w:hAnsi="Calibri"/>
      <w:sz w:val="21"/>
      <w:szCs w:val="24"/>
    </w:rPr>
  </w:style>
  <w:style w:type="character" w:customStyle="1" w:styleId="2Char0">
    <w:name w:val="正文首行缩进 2 Char"/>
    <w:basedOn w:val="Char6"/>
    <w:link w:val="21"/>
    <w:uiPriority w:val="99"/>
    <w:semiHidden/>
    <w:rsid w:val="009915D0"/>
    <w:rPr>
      <w:rFonts w:ascii="Calibri" w:hAnsi="Calibri"/>
      <w:szCs w:val="24"/>
    </w:rPr>
  </w:style>
  <w:style w:type="paragraph" w:styleId="31">
    <w:name w:val="Body Text 3"/>
    <w:basedOn w:val="a"/>
    <w:link w:val="3Char0"/>
    <w:uiPriority w:val="99"/>
    <w:semiHidden/>
    <w:unhideWhenUsed/>
    <w:qFormat/>
    <w:rsid w:val="009915D0"/>
    <w:pPr>
      <w:spacing w:after="120"/>
    </w:pPr>
    <w:rPr>
      <w:sz w:val="16"/>
      <w:szCs w:val="16"/>
    </w:rPr>
  </w:style>
  <w:style w:type="character" w:customStyle="1" w:styleId="3Char0">
    <w:name w:val="正文文本 3 Char"/>
    <w:basedOn w:val="a0"/>
    <w:link w:val="31"/>
    <w:uiPriority w:val="99"/>
    <w:semiHidden/>
    <w:qFormat/>
    <w:rsid w:val="009915D0"/>
    <w:rPr>
      <w:rFonts w:ascii="Times New Roman" w:eastAsia="宋体" w:hAnsi="Times New Roman" w:cs="Times New Roman"/>
      <w:kern w:val="0"/>
      <w:sz w:val="16"/>
      <w:szCs w:val="16"/>
    </w:rPr>
  </w:style>
  <w:style w:type="paragraph" w:styleId="22">
    <w:name w:val="Body Text Indent 2"/>
    <w:basedOn w:val="a"/>
    <w:link w:val="2Char1"/>
    <w:uiPriority w:val="99"/>
    <w:semiHidden/>
    <w:unhideWhenUsed/>
    <w:qFormat/>
    <w:rsid w:val="009915D0"/>
    <w:pPr>
      <w:spacing w:after="120" w:line="480" w:lineRule="auto"/>
      <w:ind w:left="420"/>
    </w:pPr>
  </w:style>
  <w:style w:type="character" w:customStyle="1" w:styleId="2Char1">
    <w:name w:val="正文文本缩进 2 Char"/>
    <w:basedOn w:val="a0"/>
    <w:link w:val="22"/>
    <w:uiPriority w:val="99"/>
    <w:semiHidden/>
    <w:qFormat/>
    <w:rsid w:val="009915D0"/>
    <w:rPr>
      <w:rFonts w:ascii="Times New Roman" w:eastAsia="宋体" w:hAnsi="Times New Roman" w:cs="Times New Roman"/>
      <w:kern w:val="0"/>
      <w:szCs w:val="24"/>
    </w:rPr>
  </w:style>
  <w:style w:type="paragraph" w:styleId="af7">
    <w:name w:val="Document Map"/>
    <w:basedOn w:val="a"/>
    <w:link w:val="Chara"/>
    <w:uiPriority w:val="99"/>
    <w:semiHidden/>
    <w:unhideWhenUsed/>
    <w:qFormat/>
    <w:rsid w:val="009915D0"/>
    <w:rPr>
      <w:rFonts w:ascii="宋体"/>
      <w:sz w:val="18"/>
      <w:szCs w:val="18"/>
    </w:rPr>
  </w:style>
  <w:style w:type="character" w:customStyle="1" w:styleId="Chara">
    <w:name w:val="文档结构图 Char"/>
    <w:basedOn w:val="a0"/>
    <w:link w:val="af7"/>
    <w:uiPriority w:val="99"/>
    <w:semiHidden/>
    <w:qFormat/>
    <w:rsid w:val="009915D0"/>
    <w:rPr>
      <w:rFonts w:ascii="宋体" w:eastAsia="宋体" w:hAnsi="Times New Roman" w:cs="Times New Roman"/>
      <w:kern w:val="0"/>
      <w:sz w:val="18"/>
      <w:szCs w:val="18"/>
    </w:rPr>
  </w:style>
  <w:style w:type="paragraph" w:styleId="af8">
    <w:name w:val="Plain Text"/>
    <w:basedOn w:val="a"/>
    <w:link w:val="Charb"/>
    <w:uiPriority w:val="99"/>
    <w:semiHidden/>
    <w:unhideWhenUsed/>
    <w:qFormat/>
    <w:rsid w:val="009915D0"/>
    <w:rPr>
      <w:rFonts w:ascii="宋体" w:hAnsi="Courier New"/>
      <w:szCs w:val="20"/>
    </w:rPr>
  </w:style>
  <w:style w:type="character" w:customStyle="1" w:styleId="Charb">
    <w:name w:val="纯文本 Char"/>
    <w:basedOn w:val="a0"/>
    <w:link w:val="af8"/>
    <w:uiPriority w:val="99"/>
    <w:semiHidden/>
    <w:qFormat/>
    <w:rsid w:val="009915D0"/>
    <w:rPr>
      <w:rFonts w:ascii="宋体" w:eastAsia="宋体" w:hAnsi="Courier New" w:cs="Times New Roman"/>
      <w:kern w:val="0"/>
      <w:szCs w:val="20"/>
    </w:rPr>
  </w:style>
  <w:style w:type="paragraph" w:styleId="af9">
    <w:name w:val="annotation subject"/>
    <w:basedOn w:val="aa"/>
    <w:next w:val="aa"/>
    <w:link w:val="Charc"/>
    <w:uiPriority w:val="99"/>
    <w:semiHidden/>
    <w:unhideWhenUsed/>
    <w:qFormat/>
    <w:rsid w:val="009915D0"/>
    <w:rPr>
      <w:b/>
      <w:bCs/>
    </w:rPr>
  </w:style>
  <w:style w:type="character" w:customStyle="1" w:styleId="Charc">
    <w:name w:val="批注主题 Char"/>
    <w:basedOn w:val="Char0"/>
    <w:link w:val="af9"/>
    <w:uiPriority w:val="99"/>
    <w:semiHidden/>
    <w:qFormat/>
    <w:rsid w:val="009915D0"/>
    <w:rPr>
      <w:b/>
      <w:bCs/>
    </w:rPr>
  </w:style>
  <w:style w:type="paragraph" w:styleId="afa">
    <w:name w:val="Balloon Text"/>
    <w:basedOn w:val="a"/>
    <w:link w:val="Chard"/>
    <w:uiPriority w:val="99"/>
    <w:semiHidden/>
    <w:unhideWhenUsed/>
    <w:qFormat/>
    <w:rsid w:val="009915D0"/>
    <w:rPr>
      <w:sz w:val="18"/>
      <w:szCs w:val="18"/>
    </w:rPr>
  </w:style>
  <w:style w:type="character" w:customStyle="1" w:styleId="Chard">
    <w:name w:val="批注框文本 Char"/>
    <w:basedOn w:val="a0"/>
    <w:link w:val="afa"/>
    <w:uiPriority w:val="99"/>
    <w:semiHidden/>
    <w:qFormat/>
    <w:rsid w:val="009915D0"/>
    <w:rPr>
      <w:rFonts w:ascii="Times New Roman" w:eastAsia="宋体" w:hAnsi="Times New Roman" w:cs="Times New Roman"/>
      <w:kern w:val="0"/>
      <w:sz w:val="18"/>
      <w:szCs w:val="18"/>
    </w:rPr>
  </w:style>
  <w:style w:type="paragraph" w:styleId="afb">
    <w:name w:val="No Spacing"/>
    <w:basedOn w:val="a"/>
    <w:uiPriority w:val="1"/>
    <w:qFormat/>
    <w:rsid w:val="009915D0"/>
  </w:style>
  <w:style w:type="paragraph" w:styleId="afc">
    <w:name w:val="List Paragraph"/>
    <w:basedOn w:val="a"/>
    <w:uiPriority w:val="34"/>
    <w:qFormat/>
    <w:rsid w:val="009915D0"/>
    <w:pPr>
      <w:ind w:firstLine="420"/>
    </w:pPr>
  </w:style>
  <w:style w:type="paragraph" w:styleId="afd">
    <w:name w:val="Quote"/>
    <w:basedOn w:val="a"/>
    <w:next w:val="a"/>
    <w:link w:val="Chare"/>
    <w:uiPriority w:val="29"/>
    <w:qFormat/>
    <w:rsid w:val="009915D0"/>
    <w:pPr>
      <w:spacing w:before="160"/>
      <w:jc w:val="center"/>
    </w:pPr>
    <w:rPr>
      <w:i/>
      <w:iCs/>
      <w:color w:val="404040" w:themeColor="text1" w:themeTint="BF"/>
    </w:rPr>
  </w:style>
  <w:style w:type="character" w:customStyle="1" w:styleId="Chare">
    <w:name w:val="引用 Char"/>
    <w:basedOn w:val="a0"/>
    <w:link w:val="afd"/>
    <w:uiPriority w:val="29"/>
    <w:qFormat/>
    <w:rsid w:val="009915D0"/>
    <w:rPr>
      <w:rFonts w:ascii="Times New Roman" w:eastAsia="宋体" w:hAnsi="Times New Roman" w:cs="Times New Roman"/>
      <w:i/>
      <w:iCs/>
      <w:color w:val="404040" w:themeColor="text1" w:themeTint="BF"/>
      <w:kern w:val="0"/>
      <w:szCs w:val="24"/>
    </w:rPr>
  </w:style>
  <w:style w:type="paragraph" w:styleId="afe">
    <w:name w:val="Intense Quote"/>
    <w:basedOn w:val="a"/>
    <w:next w:val="a"/>
    <w:link w:val="Charf"/>
    <w:uiPriority w:val="30"/>
    <w:qFormat/>
    <w:rsid w:val="009915D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f">
    <w:name w:val="明显引用 Char"/>
    <w:basedOn w:val="a0"/>
    <w:link w:val="afe"/>
    <w:uiPriority w:val="30"/>
    <w:qFormat/>
    <w:rsid w:val="009915D0"/>
    <w:rPr>
      <w:rFonts w:ascii="Times New Roman" w:eastAsia="宋体" w:hAnsi="Times New Roman" w:cs="Times New Roman"/>
      <w:i/>
      <w:iCs/>
      <w:color w:val="365F91" w:themeColor="accent1" w:themeShade="BF"/>
      <w:kern w:val="0"/>
      <w:szCs w:val="24"/>
    </w:rPr>
  </w:style>
  <w:style w:type="paragraph" w:customStyle="1" w:styleId="aff">
    <w:name w:val="无缩进正文"/>
    <w:basedOn w:val="a"/>
    <w:next w:val="a"/>
    <w:uiPriority w:val="99"/>
    <w:qFormat/>
    <w:rsid w:val="009915D0"/>
    <w:pPr>
      <w:spacing w:after="60"/>
      <w:jc w:val="left"/>
    </w:pPr>
    <w:rPr>
      <w:rFonts w:ascii="仿宋" w:hAnsi="仿宋" w:cstheme="minorBidi"/>
    </w:rPr>
  </w:style>
  <w:style w:type="paragraph" w:customStyle="1" w:styleId="aff0">
    <w:name w:val="缩进正文"/>
    <w:basedOn w:val="a"/>
    <w:uiPriority w:val="99"/>
    <w:qFormat/>
    <w:rsid w:val="009915D0"/>
  </w:style>
  <w:style w:type="paragraph" w:customStyle="1" w:styleId="TOC1">
    <w:name w:val="TOC 标题1"/>
    <w:uiPriority w:val="39"/>
    <w:qFormat/>
    <w:rsid w:val="009915D0"/>
    <w:rPr>
      <w:rFonts w:ascii="Times New Roman" w:eastAsia="宋体" w:hAnsi="Times New Roman" w:cs="Times New Roman"/>
      <w:kern w:val="0"/>
      <w:sz w:val="20"/>
      <w:szCs w:val="20"/>
    </w:rPr>
  </w:style>
  <w:style w:type="paragraph" w:customStyle="1" w:styleId="CharCharCharChar">
    <w:name w:val="标准正文 Char Char Char Char"/>
    <w:basedOn w:val="a"/>
    <w:next w:val="a"/>
    <w:uiPriority w:val="99"/>
    <w:qFormat/>
    <w:rsid w:val="009915D0"/>
    <w:pPr>
      <w:spacing w:after="60"/>
      <w:ind w:firstLine="482"/>
    </w:pPr>
    <w:rPr>
      <w:sz w:val="20"/>
      <w:szCs w:val="20"/>
    </w:rPr>
  </w:style>
  <w:style w:type="character" w:customStyle="1" w:styleId="aff1">
    <w:name w:val="正文文本_"/>
    <w:link w:val="11"/>
    <w:qFormat/>
    <w:locked/>
    <w:rsid w:val="009915D0"/>
    <w:rPr>
      <w:rFonts w:ascii="PMingLiU-ExtB" w:eastAsia="PMingLiU-ExtB" w:hAnsi="PMingLiU-ExtB" w:cs="PMingLiU-ExtB"/>
      <w:spacing w:val="9"/>
      <w:sz w:val="19"/>
      <w:szCs w:val="19"/>
      <w:shd w:val="clear" w:color="auto" w:fill="FFFFFF"/>
    </w:rPr>
  </w:style>
  <w:style w:type="paragraph" w:customStyle="1" w:styleId="11">
    <w:name w:val="正文文本1"/>
    <w:basedOn w:val="a"/>
    <w:link w:val="aff1"/>
    <w:qFormat/>
    <w:rsid w:val="009915D0"/>
    <w:pPr>
      <w:shd w:val="clear" w:color="auto" w:fill="FFFFFF"/>
      <w:spacing w:line="302" w:lineRule="exact"/>
      <w:ind w:firstLine="460"/>
      <w:jc w:val="left"/>
    </w:pPr>
    <w:rPr>
      <w:rFonts w:ascii="PMingLiU-ExtB" w:eastAsia="PMingLiU-ExtB" w:hAnsi="PMingLiU-ExtB" w:cs="PMingLiU-ExtB"/>
      <w:spacing w:val="9"/>
      <w:kern w:val="2"/>
      <w:sz w:val="19"/>
      <w:szCs w:val="19"/>
    </w:rPr>
  </w:style>
  <w:style w:type="character" w:customStyle="1" w:styleId="Char10">
    <w:name w:val="纯文本 Char1"/>
    <w:link w:val="12"/>
    <w:qFormat/>
    <w:locked/>
    <w:rsid w:val="009915D0"/>
    <w:rPr>
      <w:rFonts w:ascii="宋体" w:eastAsia="宋体" w:hAnsi="Courier New"/>
    </w:rPr>
  </w:style>
  <w:style w:type="paragraph" w:customStyle="1" w:styleId="12">
    <w:name w:val="纯文本1"/>
    <w:basedOn w:val="a"/>
    <w:link w:val="Char10"/>
    <w:qFormat/>
    <w:rsid w:val="009915D0"/>
    <w:rPr>
      <w:rFonts w:ascii="宋体" w:hAnsi="Courier New" w:cstheme="minorBidi"/>
      <w:kern w:val="2"/>
      <w:szCs w:val="22"/>
    </w:rPr>
  </w:style>
  <w:style w:type="character" w:customStyle="1" w:styleId="2CharChar">
    <w:name w:val="正文2 Char Char"/>
    <w:link w:val="23"/>
    <w:qFormat/>
    <w:locked/>
    <w:rsid w:val="009915D0"/>
    <w:rPr>
      <w:sz w:val="24"/>
    </w:rPr>
  </w:style>
  <w:style w:type="paragraph" w:customStyle="1" w:styleId="23">
    <w:name w:val="正文2"/>
    <w:basedOn w:val="a"/>
    <w:link w:val="2CharChar"/>
    <w:qFormat/>
    <w:rsid w:val="009915D0"/>
    <w:pPr>
      <w:spacing w:before="156" w:line="360" w:lineRule="auto"/>
      <w:ind w:firstLine="510"/>
    </w:pPr>
    <w:rPr>
      <w:rFonts w:asciiTheme="minorHAnsi" w:eastAsiaTheme="minorEastAsia" w:hAnsiTheme="minorHAnsi" w:cstheme="minorBidi"/>
      <w:kern w:val="2"/>
      <w:sz w:val="24"/>
      <w:szCs w:val="22"/>
    </w:rPr>
  </w:style>
  <w:style w:type="character" w:customStyle="1" w:styleId="Char00">
    <w:name w:val="纯文本 Char_0"/>
    <w:link w:val="00"/>
    <w:qFormat/>
    <w:locked/>
    <w:rsid w:val="009915D0"/>
    <w:rPr>
      <w:rFonts w:ascii="宋体" w:eastAsia="宋体" w:hAnsi="Courier New"/>
      <w:szCs w:val="21"/>
    </w:rPr>
  </w:style>
  <w:style w:type="paragraph" w:customStyle="1" w:styleId="00">
    <w:name w:val="纯文本_0_0"/>
    <w:basedOn w:val="a"/>
    <w:link w:val="Char00"/>
    <w:qFormat/>
    <w:rsid w:val="009915D0"/>
    <w:rPr>
      <w:rFonts w:ascii="宋体" w:hAnsi="Courier New" w:cstheme="minorBidi"/>
      <w:kern w:val="2"/>
      <w:szCs w:val="21"/>
    </w:rPr>
  </w:style>
  <w:style w:type="paragraph" w:customStyle="1" w:styleId="CharCharChar1CharCharCharCharCharCharChar">
    <w:name w:val="Char Char Char1 Char Char Char Char Char Char Char"/>
    <w:basedOn w:val="a"/>
    <w:uiPriority w:val="99"/>
    <w:qFormat/>
    <w:rsid w:val="009915D0"/>
  </w:style>
  <w:style w:type="paragraph" w:customStyle="1" w:styleId="CharCharChar">
    <w:name w:val="Char Char Char"/>
    <w:basedOn w:val="a"/>
    <w:uiPriority w:val="99"/>
    <w:qFormat/>
    <w:rsid w:val="009915D0"/>
    <w:rPr>
      <w:szCs w:val="20"/>
    </w:rPr>
  </w:style>
  <w:style w:type="paragraph" w:customStyle="1" w:styleId="CharCharCharCharCharCharCharCharCharCharCharChar">
    <w:name w:val="Char Char Char Char Char Char Char Char Char Char Char Char"/>
    <w:basedOn w:val="a"/>
    <w:uiPriority w:val="99"/>
    <w:qFormat/>
    <w:rsid w:val="009915D0"/>
    <w:pPr>
      <w:widowControl/>
      <w:spacing w:after="160" w:line="240" w:lineRule="exact"/>
      <w:jc w:val="left"/>
    </w:pPr>
  </w:style>
  <w:style w:type="paragraph" w:customStyle="1" w:styleId="13">
    <w:name w:val="列出段落1"/>
    <w:basedOn w:val="a"/>
    <w:uiPriority w:val="34"/>
    <w:qFormat/>
    <w:rsid w:val="009915D0"/>
    <w:pPr>
      <w:spacing w:before="100" w:beforeAutospacing="1" w:after="100" w:afterAutospacing="1" w:line="360" w:lineRule="auto"/>
      <w:ind w:firstLine="420"/>
    </w:pPr>
  </w:style>
  <w:style w:type="paragraph" w:customStyle="1" w:styleId="TOC11">
    <w:name w:val="TOC 标题11"/>
    <w:basedOn w:val="1"/>
    <w:next w:val="a"/>
    <w:uiPriority w:val="39"/>
    <w:qFormat/>
    <w:rsid w:val="009915D0"/>
    <w:pPr>
      <w:widowControl/>
      <w:spacing w:before="480" w:after="0" w:line="276" w:lineRule="auto"/>
      <w:jc w:val="left"/>
      <w:outlineLvl w:val="9"/>
    </w:pPr>
    <w:rPr>
      <w:rFonts w:ascii="Cambria" w:hAnsi="Cambria" w:cstheme="minorBidi"/>
      <w:color w:val="365F91"/>
      <w:kern w:val="0"/>
      <w:sz w:val="28"/>
      <w:szCs w:val="28"/>
    </w:rPr>
  </w:style>
  <w:style w:type="paragraph" w:customStyle="1" w:styleId="220">
    <w:name w:val="样式 标题 2 + 非加粗 首行缩进:  2 字符"/>
    <w:basedOn w:val="2"/>
    <w:uiPriority w:val="99"/>
    <w:qFormat/>
    <w:rsid w:val="009915D0"/>
    <w:pPr>
      <w:spacing w:before="0" w:after="0" w:line="600" w:lineRule="exact"/>
      <w:ind w:firstLine="640"/>
      <w:jc w:val="left"/>
    </w:pPr>
    <w:rPr>
      <w:rFonts w:ascii="Arial" w:eastAsia="黑体" w:hAnsi="Arial" w:cs="宋体"/>
      <w:b w:val="0"/>
      <w:bCs w:val="0"/>
      <w:szCs w:val="20"/>
    </w:rPr>
  </w:style>
  <w:style w:type="paragraph" w:customStyle="1" w:styleId="TableParagraph">
    <w:name w:val="Table Paragraph"/>
    <w:basedOn w:val="a"/>
    <w:uiPriority w:val="1"/>
    <w:qFormat/>
    <w:rsid w:val="009915D0"/>
    <w:pPr>
      <w:jc w:val="left"/>
    </w:pPr>
    <w:rPr>
      <w:rFonts w:ascii="Calibri" w:hAnsi="Calibri"/>
      <w:sz w:val="22"/>
      <w:szCs w:val="22"/>
      <w:lang w:eastAsia="en-US"/>
    </w:rPr>
  </w:style>
  <w:style w:type="paragraph" w:customStyle="1" w:styleId="Charf0">
    <w:name w:val="Char"/>
    <w:basedOn w:val="a"/>
    <w:uiPriority w:val="99"/>
    <w:qFormat/>
    <w:rsid w:val="009915D0"/>
    <w:rPr>
      <w:szCs w:val="21"/>
    </w:rPr>
  </w:style>
  <w:style w:type="paragraph" w:customStyle="1" w:styleId="CharCharCharCharCharCharChar">
    <w:name w:val="Char Char Char Char Char Char Char"/>
    <w:basedOn w:val="a"/>
    <w:uiPriority w:val="99"/>
    <w:qFormat/>
    <w:rsid w:val="009915D0"/>
  </w:style>
  <w:style w:type="paragraph" w:customStyle="1" w:styleId="CharCharCharCharCharCharChar1">
    <w:name w:val="Char Char Char Char Char Char Char1"/>
    <w:basedOn w:val="a"/>
    <w:uiPriority w:val="99"/>
    <w:qFormat/>
    <w:rsid w:val="009915D0"/>
  </w:style>
  <w:style w:type="paragraph" w:customStyle="1" w:styleId="51">
    <w:name w:val="样式5"/>
    <w:basedOn w:val="a"/>
    <w:uiPriority w:val="99"/>
    <w:qFormat/>
    <w:rsid w:val="009915D0"/>
    <w:pPr>
      <w:spacing w:line="440" w:lineRule="exact"/>
      <w:ind w:left="2" w:firstLine="480"/>
    </w:pPr>
    <w:rPr>
      <w:rFonts w:ascii="方正仿宋_GB2312" w:eastAsia="方正仿宋_GB2312" w:hAnsi="仿宋"/>
      <w:sz w:val="24"/>
    </w:rPr>
  </w:style>
  <w:style w:type="paragraph" w:customStyle="1" w:styleId="CharCharCharCharCharCharCharCharCharCharCharChar1">
    <w:name w:val="Char Char Char Char Char Char Char Char Char Char Char Char1"/>
    <w:basedOn w:val="a"/>
    <w:uiPriority w:val="99"/>
    <w:qFormat/>
    <w:rsid w:val="009915D0"/>
    <w:pPr>
      <w:widowControl/>
      <w:spacing w:after="160" w:line="240" w:lineRule="exact"/>
      <w:jc w:val="left"/>
    </w:pPr>
  </w:style>
  <w:style w:type="paragraph" w:customStyle="1" w:styleId="aff2">
    <w:name w:val="表格文字"/>
    <w:basedOn w:val="af3"/>
    <w:next w:val="af2"/>
    <w:uiPriority w:val="99"/>
    <w:qFormat/>
    <w:rsid w:val="009915D0"/>
    <w:pPr>
      <w:spacing w:line="420" w:lineRule="atLeast"/>
      <w:jc w:val="left"/>
    </w:pPr>
  </w:style>
  <w:style w:type="paragraph" w:customStyle="1" w:styleId="14">
    <w:name w:val="修订1"/>
    <w:uiPriority w:val="99"/>
    <w:qFormat/>
    <w:rsid w:val="009915D0"/>
    <w:rPr>
      <w:rFonts w:ascii="Times New Roman" w:eastAsia="宋体" w:hAnsi="Times New Roman" w:cs="Times New Roman"/>
      <w:kern w:val="0"/>
      <w:szCs w:val="24"/>
    </w:rPr>
  </w:style>
  <w:style w:type="paragraph" w:customStyle="1" w:styleId="aff3">
    <w:name w:val="正文段"/>
    <w:basedOn w:val="a"/>
    <w:uiPriority w:val="99"/>
    <w:qFormat/>
    <w:rsid w:val="009915D0"/>
    <w:pPr>
      <w:widowControl/>
      <w:ind w:firstLine="200"/>
    </w:pPr>
    <w:rPr>
      <w:sz w:val="24"/>
      <w:szCs w:val="20"/>
    </w:rPr>
  </w:style>
  <w:style w:type="paragraph" w:customStyle="1" w:styleId="CharCharCharChar0">
    <w:name w:val="Char Char Char Char"/>
    <w:basedOn w:val="a"/>
    <w:uiPriority w:val="99"/>
    <w:qFormat/>
    <w:rsid w:val="009915D0"/>
    <w:pPr>
      <w:widowControl/>
      <w:spacing w:after="160" w:line="240" w:lineRule="exact"/>
      <w:jc w:val="left"/>
    </w:pPr>
  </w:style>
  <w:style w:type="paragraph" w:customStyle="1" w:styleId="Char11">
    <w:name w:val="Char1"/>
    <w:basedOn w:val="a"/>
    <w:uiPriority w:val="99"/>
    <w:qFormat/>
    <w:rsid w:val="009915D0"/>
  </w:style>
  <w:style w:type="paragraph" w:customStyle="1" w:styleId="CharCharCharChar1">
    <w:name w:val="Char Char Char Char1"/>
    <w:basedOn w:val="a"/>
    <w:uiPriority w:val="99"/>
    <w:qFormat/>
    <w:rsid w:val="009915D0"/>
    <w:pPr>
      <w:widowControl/>
      <w:spacing w:after="160" w:line="240" w:lineRule="exact"/>
      <w:jc w:val="left"/>
    </w:pPr>
  </w:style>
  <w:style w:type="paragraph" w:customStyle="1" w:styleId="10030">
    <w:name w:val="样式 标题 1 + 居中 段前: 0 磅 段后: 0 磅 行距: 固定值 30 磅"/>
    <w:basedOn w:val="1"/>
    <w:uiPriority w:val="99"/>
    <w:qFormat/>
    <w:rsid w:val="009915D0"/>
    <w:pPr>
      <w:spacing w:before="0" w:after="0" w:line="600" w:lineRule="exact"/>
      <w:jc w:val="center"/>
    </w:pPr>
    <w:rPr>
      <w:rFonts w:ascii="仿宋" w:hAnsi="仿宋" w:cs="宋体"/>
      <w:kern w:val="0"/>
      <w:szCs w:val="20"/>
    </w:rPr>
  </w:style>
  <w:style w:type="paragraph" w:customStyle="1" w:styleId="15">
    <w:name w:val="正文缩进1"/>
    <w:basedOn w:val="a"/>
    <w:next w:val="af3"/>
    <w:uiPriority w:val="99"/>
    <w:qFormat/>
    <w:rsid w:val="009915D0"/>
    <w:pPr>
      <w:spacing w:after="120" w:line="360" w:lineRule="auto"/>
      <w:ind w:left="420" w:firstLine="480"/>
    </w:pPr>
    <w:rPr>
      <w:sz w:val="24"/>
      <w:szCs w:val="21"/>
    </w:rPr>
  </w:style>
  <w:style w:type="paragraph" w:customStyle="1" w:styleId="p0">
    <w:name w:val="p0"/>
    <w:basedOn w:val="a"/>
    <w:uiPriority w:val="99"/>
    <w:qFormat/>
    <w:rsid w:val="009915D0"/>
    <w:pPr>
      <w:widowControl/>
    </w:pPr>
    <w:rPr>
      <w:szCs w:val="21"/>
    </w:rPr>
  </w:style>
  <w:style w:type="paragraph" w:customStyle="1" w:styleId="ParaCharCharCharCharCharCharCharCharChar1CharCharCharChar">
    <w:name w:val="默认段落字体 Para Char Char Char Char Char Char Char Char Char1 Char Char Char Char"/>
    <w:basedOn w:val="a"/>
    <w:uiPriority w:val="99"/>
    <w:qFormat/>
    <w:rsid w:val="009915D0"/>
    <w:rPr>
      <w:rFonts w:ascii="Tahoma" w:hAnsi="Tahoma"/>
      <w:sz w:val="24"/>
      <w:szCs w:val="20"/>
    </w:rPr>
  </w:style>
  <w:style w:type="paragraph" w:customStyle="1" w:styleId="Style117">
    <w:name w:val="_Style 117"/>
    <w:uiPriority w:val="99"/>
    <w:qFormat/>
    <w:rsid w:val="009915D0"/>
    <w:pPr>
      <w:widowControl w:val="0"/>
      <w:jc w:val="both"/>
    </w:pPr>
    <w:rPr>
      <w:rFonts w:ascii="Times New Roman" w:eastAsia="宋体" w:hAnsi="Times New Roman" w:cs="Times New Roman"/>
      <w:kern w:val="0"/>
      <w:szCs w:val="24"/>
    </w:rPr>
  </w:style>
  <w:style w:type="paragraph" w:customStyle="1" w:styleId="msonormal0">
    <w:name w:val="msonormal"/>
    <w:basedOn w:val="a"/>
    <w:uiPriority w:val="99"/>
    <w:qFormat/>
    <w:rsid w:val="009915D0"/>
    <w:pPr>
      <w:widowControl/>
      <w:spacing w:before="100" w:beforeAutospacing="1" w:after="100" w:afterAutospacing="1"/>
      <w:jc w:val="left"/>
    </w:pPr>
    <w:rPr>
      <w:rFonts w:ascii="宋体" w:hAnsi="宋体" w:cs="宋体"/>
      <w:sz w:val="24"/>
    </w:rPr>
  </w:style>
  <w:style w:type="paragraph" w:customStyle="1" w:styleId="Default">
    <w:name w:val="Default"/>
    <w:basedOn w:val="af1"/>
    <w:uiPriority w:val="99"/>
    <w:qFormat/>
    <w:rsid w:val="009915D0"/>
    <w:pPr>
      <w:widowControl w:val="0"/>
    </w:pPr>
    <w:rPr>
      <w:rFonts w:ascii="宋体" w:hAnsi="Calibri" w:cs="宋体"/>
      <w:color w:val="000000"/>
      <w:sz w:val="24"/>
      <w:szCs w:val="24"/>
    </w:rPr>
  </w:style>
  <w:style w:type="paragraph" w:customStyle="1" w:styleId="16">
    <w:name w:val="列表段落1"/>
    <w:basedOn w:val="a"/>
    <w:uiPriority w:val="34"/>
    <w:qFormat/>
    <w:rsid w:val="009915D0"/>
    <w:pPr>
      <w:ind w:firstLine="420"/>
    </w:pPr>
    <w:rPr>
      <w:rFonts w:ascii="Calibri" w:hAnsi="Calibri"/>
    </w:rPr>
  </w:style>
  <w:style w:type="paragraph" w:customStyle="1" w:styleId="New">
    <w:name w:val="正文 New"/>
    <w:uiPriority w:val="99"/>
    <w:qFormat/>
    <w:rsid w:val="009915D0"/>
    <w:pPr>
      <w:widowControl w:val="0"/>
      <w:jc w:val="both"/>
    </w:pPr>
    <w:rPr>
      <w:rFonts w:ascii="Times New Roman" w:eastAsia="宋体" w:hAnsi="Times New Roman" w:cs="Times New Roman"/>
      <w:kern w:val="0"/>
      <w:szCs w:val="21"/>
    </w:rPr>
  </w:style>
  <w:style w:type="paragraph" w:customStyle="1" w:styleId="New0">
    <w:name w:val="页眉 New"/>
    <w:basedOn w:val="New"/>
    <w:uiPriority w:val="99"/>
    <w:qFormat/>
    <w:rsid w:val="009915D0"/>
    <w:pPr>
      <w:pBdr>
        <w:bottom w:val="single" w:sz="6" w:space="1" w:color="000000"/>
      </w:pBdr>
      <w:tabs>
        <w:tab w:val="center" w:pos="4153"/>
        <w:tab w:val="right" w:pos="8306"/>
      </w:tabs>
      <w:jc w:val="center"/>
    </w:pPr>
    <w:rPr>
      <w:sz w:val="18"/>
      <w:szCs w:val="18"/>
    </w:rPr>
  </w:style>
  <w:style w:type="paragraph" w:customStyle="1" w:styleId="font5">
    <w:name w:val="font5"/>
    <w:basedOn w:val="a"/>
    <w:uiPriority w:val="99"/>
    <w:qFormat/>
    <w:rsid w:val="009915D0"/>
    <w:pPr>
      <w:widowControl/>
      <w:spacing w:before="100" w:beforeAutospacing="1" w:after="100" w:afterAutospacing="1"/>
      <w:jc w:val="left"/>
    </w:pPr>
    <w:rPr>
      <w:rFonts w:ascii="宋体" w:hAnsi="宋体" w:cs="宋体"/>
      <w:color w:val="000000"/>
      <w:sz w:val="20"/>
      <w:szCs w:val="20"/>
    </w:rPr>
  </w:style>
  <w:style w:type="paragraph" w:customStyle="1" w:styleId="font6">
    <w:name w:val="font6"/>
    <w:basedOn w:val="a"/>
    <w:uiPriority w:val="99"/>
    <w:qFormat/>
    <w:rsid w:val="009915D0"/>
    <w:pPr>
      <w:widowControl/>
      <w:spacing w:before="100" w:beforeAutospacing="1" w:after="100" w:afterAutospacing="1"/>
      <w:jc w:val="left"/>
    </w:pPr>
    <w:rPr>
      <w:rFonts w:ascii="宋体" w:hAnsi="宋体" w:cs="宋体"/>
      <w:color w:val="FF0000"/>
      <w:sz w:val="20"/>
      <w:szCs w:val="20"/>
    </w:rPr>
  </w:style>
  <w:style w:type="paragraph" w:customStyle="1" w:styleId="xl65">
    <w:name w:val="xl65"/>
    <w:basedOn w:val="a"/>
    <w:uiPriority w:val="99"/>
    <w:qFormat/>
    <w:rsid w:val="009915D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sz w:val="20"/>
      <w:szCs w:val="20"/>
    </w:rPr>
  </w:style>
  <w:style w:type="paragraph" w:customStyle="1" w:styleId="xl66">
    <w:name w:val="xl66"/>
    <w:basedOn w:val="a"/>
    <w:uiPriority w:val="99"/>
    <w:qFormat/>
    <w:rsid w:val="009915D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sz w:val="20"/>
      <w:szCs w:val="20"/>
    </w:rPr>
  </w:style>
  <w:style w:type="paragraph" w:customStyle="1" w:styleId="xl67">
    <w:name w:val="xl67"/>
    <w:basedOn w:val="a"/>
    <w:uiPriority w:val="99"/>
    <w:qFormat/>
    <w:rsid w:val="009915D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0"/>
      <w:szCs w:val="20"/>
    </w:rPr>
  </w:style>
  <w:style w:type="paragraph" w:customStyle="1" w:styleId="xl68">
    <w:name w:val="xl68"/>
    <w:basedOn w:val="a"/>
    <w:uiPriority w:val="99"/>
    <w:qFormat/>
    <w:rsid w:val="009915D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0"/>
      <w:szCs w:val="20"/>
    </w:rPr>
  </w:style>
  <w:style w:type="paragraph" w:customStyle="1" w:styleId="xl69">
    <w:name w:val="xl69"/>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jc w:val="center"/>
    </w:pPr>
    <w:rPr>
      <w:rFonts w:ascii="宋体" w:hAnsi="宋体" w:cs="宋体"/>
      <w:color w:val="000000"/>
      <w:sz w:val="20"/>
      <w:szCs w:val="20"/>
    </w:rPr>
  </w:style>
  <w:style w:type="paragraph" w:customStyle="1" w:styleId="xl70">
    <w:name w:val="xl70"/>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0"/>
      <w:szCs w:val="20"/>
    </w:rPr>
  </w:style>
  <w:style w:type="paragraph" w:customStyle="1" w:styleId="xl71">
    <w:name w:val="xl71"/>
    <w:basedOn w:val="a"/>
    <w:uiPriority w:val="99"/>
    <w:qFormat/>
    <w:rsid w:val="009915D0"/>
    <w:pPr>
      <w:widowControl/>
      <w:spacing w:before="100" w:beforeAutospacing="1" w:after="100" w:afterAutospacing="1"/>
      <w:jc w:val="left"/>
    </w:pPr>
    <w:rPr>
      <w:rFonts w:ascii="宋体" w:hAnsi="宋体" w:cs="宋体"/>
      <w:sz w:val="20"/>
      <w:szCs w:val="20"/>
    </w:rPr>
  </w:style>
  <w:style w:type="paragraph" w:customStyle="1" w:styleId="xl72">
    <w:name w:val="xl72"/>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C9E4B4"/>
      <w:spacing w:before="100" w:beforeAutospacing="1" w:after="100" w:afterAutospacing="1"/>
      <w:jc w:val="center"/>
    </w:pPr>
    <w:rPr>
      <w:rFonts w:ascii="宋体" w:hAnsi="宋体" w:cs="宋体"/>
      <w:sz w:val="20"/>
      <w:szCs w:val="20"/>
    </w:rPr>
  </w:style>
  <w:style w:type="paragraph" w:customStyle="1" w:styleId="xl73">
    <w:name w:val="xl73"/>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C9E4B4"/>
      <w:spacing w:before="100" w:beforeAutospacing="1" w:after="100" w:afterAutospacing="1"/>
      <w:jc w:val="center"/>
    </w:pPr>
    <w:rPr>
      <w:rFonts w:ascii="宋体" w:hAnsi="宋体" w:cs="宋体"/>
      <w:sz w:val="20"/>
      <w:szCs w:val="20"/>
    </w:rPr>
  </w:style>
  <w:style w:type="paragraph" w:customStyle="1" w:styleId="xl74">
    <w:name w:val="xl74"/>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C9E4B4"/>
      <w:spacing w:before="100" w:beforeAutospacing="1" w:after="100" w:afterAutospacing="1"/>
      <w:jc w:val="center"/>
    </w:pPr>
    <w:rPr>
      <w:rFonts w:ascii="宋体" w:hAnsi="宋体" w:cs="宋体"/>
      <w:color w:val="000000"/>
      <w:sz w:val="20"/>
      <w:szCs w:val="20"/>
    </w:rPr>
  </w:style>
  <w:style w:type="paragraph" w:customStyle="1" w:styleId="xl75">
    <w:name w:val="xl75"/>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C9E4B4"/>
      <w:spacing w:before="100" w:beforeAutospacing="1" w:after="100" w:afterAutospacing="1"/>
      <w:jc w:val="center"/>
    </w:pPr>
    <w:rPr>
      <w:rFonts w:ascii="宋体" w:hAnsi="宋体" w:cs="宋体"/>
      <w:color w:val="000000"/>
      <w:sz w:val="20"/>
      <w:szCs w:val="20"/>
    </w:rPr>
  </w:style>
  <w:style w:type="paragraph" w:customStyle="1" w:styleId="xl76">
    <w:name w:val="xl76"/>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B5C6EA"/>
      <w:spacing w:before="100" w:beforeAutospacing="1" w:after="100" w:afterAutospacing="1"/>
      <w:jc w:val="center"/>
    </w:pPr>
    <w:rPr>
      <w:rFonts w:ascii="宋体" w:hAnsi="宋体" w:cs="宋体"/>
      <w:color w:val="000000"/>
      <w:sz w:val="20"/>
      <w:szCs w:val="20"/>
    </w:rPr>
  </w:style>
  <w:style w:type="paragraph" w:customStyle="1" w:styleId="xl77">
    <w:name w:val="xl77"/>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B5C6EA"/>
      <w:spacing w:before="100" w:beforeAutospacing="1" w:after="100" w:afterAutospacing="1"/>
      <w:jc w:val="center"/>
    </w:pPr>
    <w:rPr>
      <w:rFonts w:ascii="宋体" w:hAnsi="宋体" w:cs="宋体"/>
      <w:color w:val="000000"/>
      <w:sz w:val="20"/>
      <w:szCs w:val="20"/>
    </w:rPr>
  </w:style>
  <w:style w:type="paragraph" w:customStyle="1" w:styleId="xl78">
    <w:name w:val="xl78"/>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B5C6EA"/>
      <w:spacing w:before="100" w:beforeAutospacing="1" w:after="100" w:afterAutospacing="1"/>
      <w:jc w:val="center"/>
    </w:pPr>
    <w:rPr>
      <w:rFonts w:ascii="宋体" w:hAnsi="宋体" w:cs="宋体"/>
      <w:sz w:val="20"/>
      <w:szCs w:val="20"/>
    </w:rPr>
  </w:style>
  <w:style w:type="paragraph" w:customStyle="1" w:styleId="xl79">
    <w:name w:val="xl79"/>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B5C6EA"/>
      <w:spacing w:before="100" w:beforeAutospacing="1" w:after="100" w:afterAutospacing="1"/>
      <w:jc w:val="center"/>
    </w:pPr>
    <w:rPr>
      <w:rFonts w:ascii="宋体" w:hAnsi="宋体" w:cs="宋体"/>
      <w:sz w:val="20"/>
      <w:szCs w:val="20"/>
    </w:rPr>
  </w:style>
  <w:style w:type="paragraph" w:customStyle="1" w:styleId="xl80">
    <w:name w:val="xl80"/>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B5C6EA"/>
      <w:spacing w:before="100" w:beforeAutospacing="1" w:after="100" w:afterAutospacing="1"/>
      <w:jc w:val="center"/>
    </w:pPr>
    <w:rPr>
      <w:rFonts w:ascii="宋体" w:hAnsi="宋体" w:cs="宋体"/>
      <w:szCs w:val="21"/>
    </w:rPr>
  </w:style>
  <w:style w:type="paragraph" w:customStyle="1" w:styleId="xl81">
    <w:name w:val="xl81"/>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FADADE"/>
      <w:spacing w:before="100" w:beforeAutospacing="1" w:after="100" w:afterAutospacing="1"/>
      <w:jc w:val="center"/>
    </w:pPr>
    <w:rPr>
      <w:rFonts w:ascii="宋体" w:hAnsi="宋体" w:cs="宋体"/>
      <w:color w:val="000000"/>
      <w:sz w:val="20"/>
      <w:szCs w:val="20"/>
    </w:rPr>
  </w:style>
  <w:style w:type="paragraph" w:customStyle="1" w:styleId="xl82">
    <w:name w:val="xl82"/>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FADADE"/>
      <w:spacing w:before="100" w:beforeAutospacing="1" w:after="100" w:afterAutospacing="1"/>
      <w:jc w:val="center"/>
    </w:pPr>
    <w:rPr>
      <w:rFonts w:ascii="宋体" w:hAnsi="宋体" w:cs="宋体"/>
      <w:color w:val="000000"/>
      <w:sz w:val="20"/>
      <w:szCs w:val="20"/>
    </w:rPr>
  </w:style>
  <w:style w:type="paragraph" w:customStyle="1" w:styleId="xl83">
    <w:name w:val="xl83"/>
    <w:basedOn w:val="a"/>
    <w:uiPriority w:val="99"/>
    <w:qFormat/>
    <w:rsid w:val="009915D0"/>
    <w:pPr>
      <w:widowControl/>
      <w:pBdr>
        <w:top w:val="single" w:sz="4" w:space="0" w:color="000000"/>
        <w:left w:val="single" w:sz="4" w:space="0" w:color="000000"/>
        <w:bottom w:val="single" w:sz="4" w:space="0" w:color="000000"/>
        <w:right w:val="single" w:sz="4" w:space="0" w:color="000000"/>
      </w:pBdr>
      <w:shd w:val="clear" w:color="auto" w:fill="FADADE"/>
      <w:spacing w:before="100" w:beforeAutospacing="1" w:after="100" w:afterAutospacing="1"/>
      <w:jc w:val="center"/>
    </w:pPr>
    <w:rPr>
      <w:rFonts w:ascii="宋体" w:hAnsi="宋体" w:cs="宋体"/>
      <w:color w:val="000000"/>
      <w:sz w:val="20"/>
      <w:szCs w:val="20"/>
    </w:rPr>
  </w:style>
  <w:style w:type="paragraph" w:customStyle="1" w:styleId="24">
    <w:name w:val="样式 正文缩进 + 首行缩进:  2 字符"/>
    <w:basedOn w:val="a8"/>
    <w:uiPriority w:val="99"/>
    <w:qFormat/>
    <w:rsid w:val="009915D0"/>
    <w:pPr>
      <w:spacing w:line="360" w:lineRule="auto"/>
      <w:ind w:firstLine="200"/>
    </w:pPr>
    <w:rPr>
      <w:rFonts w:ascii="宋体" w:hAnsi="宋体"/>
      <w:color w:val="000000"/>
      <w:sz w:val="24"/>
    </w:rPr>
  </w:style>
  <w:style w:type="paragraph" w:customStyle="1" w:styleId="NormalIndent">
    <w:name w:val="NormalIndent"/>
    <w:basedOn w:val="a"/>
    <w:uiPriority w:val="99"/>
    <w:qFormat/>
    <w:rsid w:val="009915D0"/>
    <w:pPr>
      <w:ind w:firstLineChars="200" w:firstLine="200"/>
    </w:pPr>
    <w:rPr>
      <w:szCs w:val="21"/>
    </w:rPr>
  </w:style>
  <w:style w:type="paragraph" w:customStyle="1" w:styleId="aff4">
    <w:name w:val="列表段落"/>
    <w:basedOn w:val="a"/>
    <w:uiPriority w:val="99"/>
    <w:qFormat/>
    <w:rsid w:val="009915D0"/>
    <w:pPr>
      <w:ind w:firstLineChars="200" w:firstLine="420"/>
    </w:pPr>
    <w:rPr>
      <w:kern w:val="2"/>
      <w:szCs w:val="21"/>
    </w:rPr>
  </w:style>
  <w:style w:type="paragraph" w:customStyle="1" w:styleId="TableText">
    <w:name w:val="Table Text"/>
    <w:basedOn w:val="a"/>
    <w:uiPriority w:val="99"/>
    <w:qFormat/>
    <w:rsid w:val="009915D0"/>
    <w:rPr>
      <w:rFonts w:ascii="宋体" w:hAnsi="宋体" w:cs="宋体"/>
      <w:szCs w:val="21"/>
      <w:lang w:eastAsia="en-US"/>
    </w:rPr>
  </w:style>
  <w:style w:type="character" w:styleId="aff5">
    <w:name w:val="footnote reference"/>
    <w:basedOn w:val="a0"/>
    <w:uiPriority w:val="99"/>
    <w:semiHidden/>
    <w:unhideWhenUsed/>
    <w:qFormat/>
    <w:rsid w:val="009915D0"/>
    <w:rPr>
      <w:vertAlign w:val="superscript"/>
    </w:rPr>
  </w:style>
  <w:style w:type="character" w:styleId="aff6">
    <w:name w:val="annotation reference"/>
    <w:uiPriority w:val="99"/>
    <w:semiHidden/>
    <w:unhideWhenUsed/>
    <w:qFormat/>
    <w:rsid w:val="009915D0"/>
    <w:rPr>
      <w:sz w:val="21"/>
      <w:szCs w:val="21"/>
    </w:rPr>
  </w:style>
  <w:style w:type="character" w:styleId="aff7">
    <w:name w:val="endnote reference"/>
    <w:basedOn w:val="a0"/>
    <w:uiPriority w:val="99"/>
    <w:semiHidden/>
    <w:unhideWhenUsed/>
    <w:qFormat/>
    <w:rsid w:val="009915D0"/>
    <w:rPr>
      <w:vertAlign w:val="superscript"/>
    </w:rPr>
  </w:style>
  <w:style w:type="character" w:styleId="aff8">
    <w:name w:val="Placeholder Text"/>
    <w:basedOn w:val="a0"/>
    <w:uiPriority w:val="99"/>
    <w:semiHidden/>
    <w:qFormat/>
    <w:rsid w:val="009915D0"/>
    <w:rPr>
      <w:color w:val="666666"/>
    </w:rPr>
  </w:style>
  <w:style w:type="character" w:customStyle="1" w:styleId="Heading1Char">
    <w:name w:val="Heading 1 Char"/>
    <w:basedOn w:val="a0"/>
    <w:uiPriority w:val="9"/>
    <w:qFormat/>
    <w:rsid w:val="009915D0"/>
    <w:rPr>
      <w:rFonts w:ascii="Arial" w:eastAsia="Arial" w:hAnsi="Arial" w:cs="Arial" w:hint="default"/>
      <w:color w:val="365F91" w:themeColor="accent1" w:themeShade="BF"/>
      <w:sz w:val="40"/>
      <w:szCs w:val="40"/>
    </w:rPr>
  </w:style>
  <w:style w:type="character" w:customStyle="1" w:styleId="Heading2Char">
    <w:name w:val="Heading 2 Char"/>
    <w:basedOn w:val="a0"/>
    <w:uiPriority w:val="9"/>
    <w:qFormat/>
    <w:rsid w:val="009915D0"/>
    <w:rPr>
      <w:rFonts w:ascii="Arial" w:eastAsia="Arial" w:hAnsi="Arial" w:cs="Arial" w:hint="default"/>
      <w:color w:val="365F91" w:themeColor="accent1" w:themeShade="BF"/>
      <w:sz w:val="32"/>
      <w:szCs w:val="32"/>
    </w:rPr>
  </w:style>
  <w:style w:type="character" w:customStyle="1" w:styleId="Heading3Char">
    <w:name w:val="Heading 3 Char"/>
    <w:basedOn w:val="a0"/>
    <w:uiPriority w:val="9"/>
    <w:qFormat/>
    <w:rsid w:val="009915D0"/>
    <w:rPr>
      <w:rFonts w:ascii="Arial" w:eastAsia="Arial" w:hAnsi="Arial" w:cs="Arial" w:hint="default"/>
      <w:color w:val="365F91" w:themeColor="accent1" w:themeShade="BF"/>
      <w:sz w:val="28"/>
      <w:szCs w:val="28"/>
    </w:rPr>
  </w:style>
  <w:style w:type="character" w:customStyle="1" w:styleId="Heading4Char">
    <w:name w:val="Heading 4 Char"/>
    <w:basedOn w:val="a0"/>
    <w:uiPriority w:val="9"/>
    <w:qFormat/>
    <w:rsid w:val="009915D0"/>
    <w:rPr>
      <w:rFonts w:ascii="Arial" w:eastAsia="Arial" w:hAnsi="Arial" w:cs="Arial" w:hint="default"/>
      <w:i/>
      <w:iCs/>
      <w:color w:val="365F91" w:themeColor="accent1" w:themeShade="BF"/>
    </w:rPr>
  </w:style>
  <w:style w:type="character" w:customStyle="1" w:styleId="Heading5Char">
    <w:name w:val="Heading 5 Char"/>
    <w:basedOn w:val="a0"/>
    <w:uiPriority w:val="9"/>
    <w:qFormat/>
    <w:rsid w:val="009915D0"/>
    <w:rPr>
      <w:rFonts w:ascii="Arial" w:eastAsia="Arial" w:hAnsi="Arial" w:cs="Arial" w:hint="default"/>
      <w:color w:val="365F91" w:themeColor="accent1" w:themeShade="BF"/>
    </w:rPr>
  </w:style>
  <w:style w:type="character" w:customStyle="1" w:styleId="TitleChar">
    <w:name w:val="Title Char"/>
    <w:basedOn w:val="a0"/>
    <w:uiPriority w:val="10"/>
    <w:qFormat/>
    <w:rsid w:val="009915D0"/>
    <w:rPr>
      <w:rFonts w:ascii="Arial" w:eastAsia="Arial" w:hAnsi="Arial" w:cs="Arial" w:hint="default"/>
      <w:spacing w:val="-10"/>
      <w:sz w:val="56"/>
      <w:szCs w:val="56"/>
    </w:rPr>
  </w:style>
  <w:style w:type="character" w:customStyle="1" w:styleId="17">
    <w:name w:val="明显强调1"/>
    <w:basedOn w:val="a0"/>
    <w:uiPriority w:val="21"/>
    <w:qFormat/>
    <w:rsid w:val="009915D0"/>
    <w:rPr>
      <w:i/>
      <w:iCs/>
      <w:color w:val="365F91" w:themeColor="accent1" w:themeShade="BF"/>
    </w:rPr>
  </w:style>
  <w:style w:type="character" w:customStyle="1" w:styleId="18">
    <w:name w:val="明显参考1"/>
    <w:basedOn w:val="a0"/>
    <w:uiPriority w:val="32"/>
    <w:qFormat/>
    <w:rsid w:val="009915D0"/>
    <w:rPr>
      <w:b/>
      <w:bCs/>
      <w:smallCaps/>
      <w:color w:val="365F91" w:themeColor="accent1" w:themeShade="BF"/>
      <w:spacing w:val="5"/>
    </w:rPr>
  </w:style>
  <w:style w:type="character" w:customStyle="1" w:styleId="19">
    <w:name w:val="不明显强调1"/>
    <w:basedOn w:val="a0"/>
    <w:uiPriority w:val="19"/>
    <w:qFormat/>
    <w:rsid w:val="009915D0"/>
    <w:rPr>
      <w:i/>
      <w:iCs/>
      <w:color w:val="404040" w:themeColor="text1" w:themeTint="BF"/>
    </w:rPr>
  </w:style>
  <w:style w:type="character" w:customStyle="1" w:styleId="1a">
    <w:name w:val="不明显参考1"/>
    <w:basedOn w:val="a0"/>
    <w:uiPriority w:val="31"/>
    <w:qFormat/>
    <w:rsid w:val="009915D0"/>
    <w:rPr>
      <w:smallCaps/>
      <w:color w:val="595959" w:themeColor="text1" w:themeTint="A6"/>
    </w:rPr>
  </w:style>
  <w:style w:type="character" w:customStyle="1" w:styleId="1b">
    <w:name w:val="书籍标题1"/>
    <w:basedOn w:val="a0"/>
    <w:uiPriority w:val="33"/>
    <w:qFormat/>
    <w:rsid w:val="009915D0"/>
    <w:rPr>
      <w:b/>
      <w:bCs/>
      <w:i/>
      <w:iCs/>
      <w:spacing w:val="5"/>
    </w:rPr>
  </w:style>
  <w:style w:type="character" w:customStyle="1" w:styleId="HeaderChar">
    <w:name w:val="Header Char"/>
    <w:basedOn w:val="a0"/>
    <w:uiPriority w:val="99"/>
    <w:qFormat/>
    <w:rsid w:val="009915D0"/>
  </w:style>
  <w:style w:type="character" w:customStyle="1" w:styleId="FooterChar">
    <w:name w:val="Footer Char"/>
    <w:basedOn w:val="a0"/>
    <w:uiPriority w:val="99"/>
    <w:qFormat/>
    <w:rsid w:val="009915D0"/>
  </w:style>
  <w:style w:type="character" w:customStyle="1" w:styleId="32">
    <w:name w:val="标题 3 字符2"/>
    <w:qFormat/>
    <w:rsid w:val="009915D0"/>
    <w:rPr>
      <w:b/>
      <w:bCs/>
      <w:sz w:val="32"/>
      <w:szCs w:val="32"/>
    </w:rPr>
  </w:style>
  <w:style w:type="character" w:customStyle="1" w:styleId="42">
    <w:name w:val="标题 4 字符2"/>
    <w:qFormat/>
    <w:rsid w:val="009915D0"/>
    <w:rPr>
      <w:rFonts w:ascii="Arial" w:eastAsia="黑体" w:hAnsi="Arial" w:cs="Arial" w:hint="default"/>
      <w:sz w:val="28"/>
    </w:rPr>
  </w:style>
  <w:style w:type="character" w:customStyle="1" w:styleId="25">
    <w:name w:val="正文文本 字符2"/>
    <w:uiPriority w:val="99"/>
    <w:qFormat/>
    <w:rsid w:val="009915D0"/>
    <w:rPr>
      <w:sz w:val="21"/>
      <w:szCs w:val="24"/>
    </w:rPr>
  </w:style>
  <w:style w:type="character" w:customStyle="1" w:styleId="41">
    <w:name w:val="纯文本 字符4"/>
    <w:qFormat/>
    <w:rsid w:val="009915D0"/>
    <w:rPr>
      <w:rFonts w:ascii="宋体" w:eastAsia="宋体" w:hAnsi="Courier New" w:hint="eastAsia"/>
      <w:sz w:val="21"/>
      <w:lang w:val="en-US" w:eastAsia="zh-CN" w:bidi="ar-SA"/>
    </w:rPr>
  </w:style>
  <w:style w:type="character" w:customStyle="1" w:styleId="1c">
    <w:name w:val="访问过的超链接1"/>
    <w:uiPriority w:val="99"/>
    <w:qFormat/>
    <w:rsid w:val="009915D0"/>
    <w:rPr>
      <w:color w:val="800080"/>
      <w:u w:val="single"/>
    </w:rPr>
  </w:style>
  <w:style w:type="character" w:customStyle="1" w:styleId="aff9">
    <w:name w:val="页眉 字符"/>
    <w:uiPriority w:val="99"/>
    <w:qFormat/>
    <w:rsid w:val="009915D0"/>
    <w:rPr>
      <w:rFonts w:ascii="Times New Roman" w:hAnsi="Times New Roman" w:cs="Times New Roman" w:hint="default"/>
      <w:sz w:val="18"/>
      <w:szCs w:val="18"/>
    </w:rPr>
  </w:style>
  <w:style w:type="character" w:customStyle="1" w:styleId="CharChar1">
    <w:name w:val="Char Char1"/>
    <w:qFormat/>
    <w:rsid w:val="009915D0"/>
    <w:rPr>
      <w:rFonts w:ascii="宋体" w:eastAsia="宋体" w:hAnsi="Courier New" w:hint="eastAsia"/>
      <w:sz w:val="21"/>
      <w:lang w:val="en-US" w:eastAsia="zh-CN" w:bidi="ar-SA"/>
    </w:rPr>
  </w:style>
  <w:style w:type="character" w:customStyle="1" w:styleId="26">
    <w:name w:val="纯文本 字符2"/>
    <w:qFormat/>
    <w:rsid w:val="009915D0"/>
    <w:rPr>
      <w:rFonts w:ascii="宋体" w:eastAsia="宋体" w:hAnsi="Courier New" w:cs="Courier New" w:hint="eastAsia"/>
      <w:szCs w:val="21"/>
    </w:rPr>
  </w:style>
  <w:style w:type="character" w:customStyle="1" w:styleId="10pt">
    <w:name w:val="正文文本 + 10 pt"/>
    <w:qFormat/>
    <w:rsid w:val="009915D0"/>
    <w:rPr>
      <w:rFonts w:ascii="PMingLiU-ExtB" w:eastAsia="PMingLiU-ExtB" w:hAnsi="PMingLiU-ExtB" w:cs="PMingLiU-ExtB" w:hint="eastAsia"/>
      <w:color w:val="000000"/>
      <w:spacing w:val="8"/>
      <w:position w:val="0"/>
      <w:sz w:val="20"/>
      <w:szCs w:val="20"/>
      <w:shd w:val="clear" w:color="auto" w:fill="FFFFFF"/>
      <w:lang w:val="zh-TW"/>
    </w:rPr>
  </w:style>
  <w:style w:type="character" w:customStyle="1" w:styleId="260pt">
    <w:name w:val="正文文本 (26) + 间距 0 pt"/>
    <w:qFormat/>
    <w:rsid w:val="009915D0"/>
    <w:rPr>
      <w:rFonts w:ascii="宋体" w:eastAsia="宋体" w:hAnsi="宋体" w:cs="宋体" w:hint="eastAsia"/>
      <w:strike w:val="0"/>
      <w:dstrike w:val="0"/>
      <w:color w:val="000000"/>
      <w:spacing w:val="0"/>
      <w:position w:val="0"/>
      <w:sz w:val="22"/>
      <w:szCs w:val="22"/>
      <w:u w:val="none"/>
      <w:effect w:val="none"/>
      <w:lang w:val="zh-CN" w:eastAsia="zh-CN" w:bidi="zh-CN"/>
    </w:rPr>
  </w:style>
  <w:style w:type="character" w:customStyle="1" w:styleId="affa">
    <w:name w:val="页脚 字符"/>
    <w:uiPriority w:val="99"/>
    <w:qFormat/>
    <w:rsid w:val="009915D0"/>
    <w:rPr>
      <w:sz w:val="18"/>
      <w:szCs w:val="18"/>
    </w:rPr>
  </w:style>
  <w:style w:type="character" w:customStyle="1" w:styleId="1d">
    <w:name w:val="批注文字 字符1"/>
    <w:uiPriority w:val="99"/>
    <w:qFormat/>
    <w:rsid w:val="009915D0"/>
    <w:rPr>
      <w:rFonts w:ascii="Times New Roman" w:hAnsi="Times New Roman" w:cs="Times New Roman" w:hint="default"/>
      <w:sz w:val="21"/>
      <w:szCs w:val="24"/>
    </w:rPr>
  </w:style>
  <w:style w:type="character" w:customStyle="1" w:styleId="Char12">
    <w:name w:val="批注文字 Char1"/>
    <w:qFormat/>
    <w:rsid w:val="009915D0"/>
    <w:rPr>
      <w:rFonts w:ascii="Times New Roman" w:hAnsi="Times New Roman" w:cs="Times New Roman" w:hint="default"/>
      <w:sz w:val="21"/>
      <w:szCs w:val="24"/>
    </w:rPr>
  </w:style>
  <w:style w:type="character" w:customStyle="1" w:styleId="affb">
    <w:name w:val="正文文本 字符"/>
    <w:qFormat/>
    <w:rsid w:val="009915D0"/>
    <w:rPr>
      <w:sz w:val="21"/>
      <w:szCs w:val="24"/>
    </w:rPr>
  </w:style>
  <w:style w:type="character" w:customStyle="1" w:styleId="affc">
    <w:name w:val="纯文本 字符"/>
    <w:qFormat/>
    <w:rsid w:val="009915D0"/>
    <w:rPr>
      <w:rFonts w:ascii="宋体" w:eastAsia="宋体" w:hAnsi="Courier New" w:hint="eastAsia"/>
      <w:sz w:val="21"/>
    </w:rPr>
  </w:style>
  <w:style w:type="character" w:customStyle="1" w:styleId="1e">
    <w:name w:val="标题 1 字符"/>
    <w:qFormat/>
    <w:rsid w:val="009915D0"/>
    <w:rPr>
      <w:b/>
      <w:bCs/>
      <w:sz w:val="44"/>
      <w:szCs w:val="44"/>
    </w:rPr>
  </w:style>
  <w:style w:type="character" w:customStyle="1" w:styleId="27">
    <w:name w:val="标题 2 字符"/>
    <w:qFormat/>
    <w:rsid w:val="009915D0"/>
    <w:rPr>
      <w:rFonts w:ascii="Arial" w:eastAsia="黑体" w:hAnsi="Arial" w:cs="Arial" w:hint="default"/>
      <w:b/>
      <w:bCs/>
      <w:sz w:val="32"/>
      <w:szCs w:val="32"/>
    </w:rPr>
  </w:style>
  <w:style w:type="character" w:customStyle="1" w:styleId="52">
    <w:name w:val="标题 5 字符"/>
    <w:uiPriority w:val="9"/>
    <w:qFormat/>
    <w:rsid w:val="009915D0"/>
    <w:rPr>
      <w:b/>
      <w:bCs/>
      <w:sz w:val="28"/>
      <w:szCs w:val="28"/>
    </w:rPr>
  </w:style>
  <w:style w:type="character" w:customStyle="1" w:styleId="affd">
    <w:name w:val="文档结构图 字符"/>
    <w:qFormat/>
    <w:rsid w:val="009915D0"/>
    <w:rPr>
      <w:rFonts w:ascii="宋体" w:eastAsia="宋体" w:hAnsi="宋体" w:hint="eastAsia"/>
      <w:sz w:val="18"/>
      <w:szCs w:val="18"/>
    </w:rPr>
  </w:style>
  <w:style w:type="character" w:customStyle="1" w:styleId="affe">
    <w:name w:val="批注文字 字符"/>
    <w:qFormat/>
    <w:rsid w:val="009915D0"/>
    <w:rPr>
      <w:sz w:val="21"/>
      <w:szCs w:val="24"/>
    </w:rPr>
  </w:style>
  <w:style w:type="character" w:customStyle="1" w:styleId="33">
    <w:name w:val="正文文本 3 字符"/>
    <w:uiPriority w:val="99"/>
    <w:qFormat/>
    <w:rsid w:val="009915D0"/>
    <w:rPr>
      <w:sz w:val="16"/>
      <w:szCs w:val="16"/>
    </w:rPr>
  </w:style>
  <w:style w:type="character" w:customStyle="1" w:styleId="afff">
    <w:name w:val="正文文本缩进 字符"/>
    <w:qFormat/>
    <w:rsid w:val="009915D0"/>
    <w:rPr>
      <w:rFonts w:ascii="宋体" w:eastAsia="宋体" w:hAnsi="Courier New" w:hint="eastAsia"/>
      <w:spacing w:val="-4"/>
      <w:sz w:val="18"/>
    </w:rPr>
  </w:style>
  <w:style w:type="character" w:customStyle="1" w:styleId="afff0">
    <w:name w:val="日期 字符"/>
    <w:qFormat/>
    <w:rsid w:val="009915D0"/>
    <w:rPr>
      <w:sz w:val="21"/>
      <w:szCs w:val="24"/>
    </w:rPr>
  </w:style>
  <w:style w:type="character" w:customStyle="1" w:styleId="28">
    <w:name w:val="正文文本缩进 2 字符"/>
    <w:qFormat/>
    <w:rsid w:val="009915D0"/>
    <w:rPr>
      <w:sz w:val="21"/>
      <w:szCs w:val="24"/>
    </w:rPr>
  </w:style>
  <w:style w:type="character" w:customStyle="1" w:styleId="afff1">
    <w:name w:val="批注框文本 字符"/>
    <w:qFormat/>
    <w:rsid w:val="009915D0"/>
    <w:rPr>
      <w:sz w:val="18"/>
      <w:szCs w:val="18"/>
    </w:rPr>
  </w:style>
  <w:style w:type="character" w:customStyle="1" w:styleId="1f">
    <w:name w:val="页脚 字符1"/>
    <w:uiPriority w:val="99"/>
    <w:qFormat/>
    <w:rsid w:val="009915D0"/>
    <w:rPr>
      <w:sz w:val="18"/>
      <w:szCs w:val="18"/>
    </w:rPr>
  </w:style>
  <w:style w:type="character" w:customStyle="1" w:styleId="1f0">
    <w:name w:val="页眉 字符1"/>
    <w:uiPriority w:val="99"/>
    <w:qFormat/>
    <w:rsid w:val="009915D0"/>
    <w:rPr>
      <w:sz w:val="18"/>
      <w:szCs w:val="18"/>
    </w:rPr>
  </w:style>
  <w:style w:type="character" w:customStyle="1" w:styleId="afff2">
    <w:name w:val="批注主题 字符"/>
    <w:uiPriority w:val="99"/>
    <w:qFormat/>
    <w:rsid w:val="009915D0"/>
    <w:rPr>
      <w:b/>
      <w:bCs/>
      <w:sz w:val="21"/>
      <w:szCs w:val="24"/>
    </w:rPr>
  </w:style>
  <w:style w:type="character" w:customStyle="1" w:styleId="1f1">
    <w:name w:val="纯文本 字符1"/>
    <w:semiHidden/>
    <w:qFormat/>
    <w:rsid w:val="009915D0"/>
    <w:rPr>
      <w:rFonts w:ascii="宋体" w:eastAsia="宋体" w:hAnsi="Courier New" w:hint="eastAsia"/>
      <w:sz w:val="21"/>
    </w:rPr>
  </w:style>
  <w:style w:type="character" w:customStyle="1" w:styleId="110">
    <w:name w:val="标题 1 字符1"/>
    <w:qFormat/>
    <w:rsid w:val="009915D0"/>
    <w:rPr>
      <w:b/>
      <w:bCs/>
      <w:sz w:val="44"/>
      <w:szCs w:val="44"/>
    </w:rPr>
  </w:style>
  <w:style w:type="character" w:customStyle="1" w:styleId="210">
    <w:name w:val="标题 2 字符1"/>
    <w:semiHidden/>
    <w:qFormat/>
    <w:rsid w:val="009915D0"/>
    <w:rPr>
      <w:rFonts w:ascii="Arial" w:eastAsia="黑体" w:hAnsi="Arial" w:cs="Arial" w:hint="default"/>
      <w:b/>
      <w:bCs/>
      <w:sz w:val="32"/>
      <w:szCs w:val="32"/>
    </w:rPr>
  </w:style>
  <w:style w:type="character" w:customStyle="1" w:styleId="310">
    <w:name w:val="标题 3 字符1"/>
    <w:semiHidden/>
    <w:qFormat/>
    <w:rsid w:val="009915D0"/>
    <w:rPr>
      <w:b/>
      <w:bCs/>
      <w:sz w:val="32"/>
      <w:szCs w:val="32"/>
    </w:rPr>
  </w:style>
  <w:style w:type="character" w:customStyle="1" w:styleId="410">
    <w:name w:val="标题 4 字符1"/>
    <w:semiHidden/>
    <w:qFormat/>
    <w:rsid w:val="009915D0"/>
    <w:rPr>
      <w:rFonts w:ascii="Arial" w:eastAsia="黑体" w:hAnsi="Arial" w:cs="Arial" w:hint="default"/>
      <w:sz w:val="28"/>
    </w:rPr>
  </w:style>
  <w:style w:type="character" w:customStyle="1" w:styleId="510">
    <w:name w:val="标题 5 字符1"/>
    <w:uiPriority w:val="9"/>
    <w:semiHidden/>
    <w:qFormat/>
    <w:rsid w:val="009915D0"/>
    <w:rPr>
      <w:b/>
      <w:bCs/>
      <w:sz w:val="28"/>
      <w:szCs w:val="28"/>
    </w:rPr>
  </w:style>
  <w:style w:type="character" w:customStyle="1" w:styleId="1f2">
    <w:name w:val="文档结构图 字符1"/>
    <w:semiHidden/>
    <w:qFormat/>
    <w:rsid w:val="009915D0"/>
    <w:rPr>
      <w:rFonts w:ascii="宋体" w:eastAsia="宋体" w:hAnsi="宋体" w:hint="eastAsia"/>
      <w:sz w:val="18"/>
      <w:szCs w:val="18"/>
    </w:rPr>
  </w:style>
  <w:style w:type="character" w:customStyle="1" w:styleId="29">
    <w:name w:val="批注文字 字符2"/>
    <w:semiHidden/>
    <w:qFormat/>
    <w:rsid w:val="009915D0"/>
    <w:rPr>
      <w:sz w:val="21"/>
      <w:szCs w:val="24"/>
    </w:rPr>
  </w:style>
  <w:style w:type="character" w:customStyle="1" w:styleId="311">
    <w:name w:val="正文文本 3 字符1"/>
    <w:uiPriority w:val="99"/>
    <w:semiHidden/>
    <w:qFormat/>
    <w:rsid w:val="009915D0"/>
    <w:rPr>
      <w:sz w:val="16"/>
      <w:szCs w:val="16"/>
    </w:rPr>
  </w:style>
  <w:style w:type="character" w:customStyle="1" w:styleId="1f3">
    <w:name w:val="正文文本 字符1"/>
    <w:uiPriority w:val="99"/>
    <w:semiHidden/>
    <w:qFormat/>
    <w:rsid w:val="009915D0"/>
    <w:rPr>
      <w:sz w:val="21"/>
      <w:szCs w:val="24"/>
    </w:rPr>
  </w:style>
  <w:style w:type="character" w:customStyle="1" w:styleId="1f4">
    <w:name w:val="正文文本缩进 字符1"/>
    <w:semiHidden/>
    <w:qFormat/>
    <w:rsid w:val="009915D0"/>
    <w:rPr>
      <w:rFonts w:ascii="宋体" w:eastAsia="宋体" w:hAnsi="Courier New" w:hint="eastAsia"/>
      <w:spacing w:val="-4"/>
      <w:sz w:val="18"/>
    </w:rPr>
  </w:style>
  <w:style w:type="character" w:customStyle="1" w:styleId="34">
    <w:name w:val="纯文本 字符3"/>
    <w:semiHidden/>
    <w:qFormat/>
    <w:rsid w:val="009915D0"/>
    <w:rPr>
      <w:rFonts w:ascii="宋体" w:eastAsia="宋体" w:hAnsi="Courier New" w:hint="eastAsia"/>
      <w:sz w:val="21"/>
    </w:rPr>
  </w:style>
  <w:style w:type="character" w:customStyle="1" w:styleId="1f5">
    <w:name w:val="日期 字符1"/>
    <w:semiHidden/>
    <w:qFormat/>
    <w:rsid w:val="009915D0"/>
    <w:rPr>
      <w:sz w:val="21"/>
      <w:szCs w:val="24"/>
    </w:rPr>
  </w:style>
  <w:style w:type="character" w:customStyle="1" w:styleId="211">
    <w:name w:val="正文文本缩进 2 字符1"/>
    <w:semiHidden/>
    <w:qFormat/>
    <w:rsid w:val="009915D0"/>
    <w:rPr>
      <w:sz w:val="21"/>
      <w:szCs w:val="24"/>
    </w:rPr>
  </w:style>
  <w:style w:type="character" w:customStyle="1" w:styleId="1f6">
    <w:name w:val="批注框文本 字符1"/>
    <w:semiHidden/>
    <w:qFormat/>
    <w:rsid w:val="009915D0"/>
    <w:rPr>
      <w:sz w:val="18"/>
      <w:szCs w:val="18"/>
    </w:rPr>
  </w:style>
  <w:style w:type="character" w:customStyle="1" w:styleId="2a">
    <w:name w:val="页脚 字符2"/>
    <w:uiPriority w:val="99"/>
    <w:semiHidden/>
    <w:qFormat/>
    <w:rsid w:val="009915D0"/>
    <w:rPr>
      <w:sz w:val="18"/>
      <w:szCs w:val="18"/>
    </w:rPr>
  </w:style>
  <w:style w:type="character" w:customStyle="1" w:styleId="2b">
    <w:name w:val="页眉 字符2"/>
    <w:uiPriority w:val="99"/>
    <w:semiHidden/>
    <w:qFormat/>
    <w:rsid w:val="009915D0"/>
    <w:rPr>
      <w:sz w:val="18"/>
      <w:szCs w:val="18"/>
    </w:rPr>
  </w:style>
  <w:style w:type="character" w:customStyle="1" w:styleId="1f7">
    <w:name w:val="批注主题 字符1"/>
    <w:uiPriority w:val="99"/>
    <w:semiHidden/>
    <w:qFormat/>
    <w:rsid w:val="009915D0"/>
    <w:rPr>
      <w:b/>
      <w:bCs/>
      <w:sz w:val="21"/>
      <w:szCs w:val="24"/>
    </w:rPr>
  </w:style>
  <w:style w:type="character" w:customStyle="1" w:styleId="font21">
    <w:name w:val="font21"/>
    <w:basedOn w:val="a0"/>
    <w:qFormat/>
    <w:rsid w:val="009915D0"/>
    <w:rPr>
      <w:rFonts w:ascii="宋体" w:eastAsia="宋体" w:hAnsi="宋体" w:cs="宋体" w:hint="eastAsia"/>
      <w:strike w:val="0"/>
      <w:dstrike w:val="0"/>
      <w:color w:val="000000"/>
      <w:sz w:val="20"/>
      <w:szCs w:val="20"/>
      <w:u w:val="none"/>
      <w:effect w:val="none"/>
    </w:rPr>
  </w:style>
  <w:style w:type="character" w:customStyle="1" w:styleId="font31">
    <w:name w:val="font31"/>
    <w:basedOn w:val="a0"/>
    <w:qFormat/>
    <w:rsid w:val="009915D0"/>
    <w:rPr>
      <w:rFonts w:ascii="宋体" w:eastAsia="宋体" w:hAnsi="宋体" w:cs="宋体" w:hint="eastAsia"/>
      <w:strike w:val="0"/>
      <w:dstrike w:val="0"/>
      <w:color w:val="FF0000"/>
      <w:sz w:val="20"/>
      <w:szCs w:val="20"/>
      <w:u w:val="none"/>
      <w:effect w:val="none"/>
    </w:rPr>
  </w:style>
  <w:style w:type="character" w:customStyle="1" w:styleId="font41">
    <w:name w:val="font41"/>
    <w:basedOn w:val="a0"/>
    <w:qFormat/>
    <w:rsid w:val="009915D0"/>
    <w:rPr>
      <w:rFonts w:ascii="宋体" w:eastAsia="宋体" w:hAnsi="宋体" w:cs="宋体" w:hint="eastAsia"/>
      <w:strike w:val="0"/>
      <w:dstrike w:val="0"/>
      <w:color w:val="000000"/>
      <w:sz w:val="20"/>
      <w:szCs w:val="20"/>
      <w:u w:val="none"/>
      <w:effect w:val="none"/>
    </w:rPr>
  </w:style>
  <w:style w:type="character" w:customStyle="1" w:styleId="font51">
    <w:name w:val="font51"/>
    <w:basedOn w:val="a0"/>
    <w:qFormat/>
    <w:rsid w:val="009915D0"/>
    <w:rPr>
      <w:rFonts w:ascii="宋体" w:eastAsia="宋体" w:hAnsi="宋体" w:cs="宋体" w:hint="eastAsia"/>
      <w:strike w:val="0"/>
      <w:dstrike w:val="0"/>
      <w:color w:val="FF0000"/>
      <w:sz w:val="20"/>
      <w:szCs w:val="20"/>
      <w:u w:val="none"/>
      <w:effect w:val="none"/>
    </w:rPr>
  </w:style>
  <w:style w:type="table" w:styleId="afff3">
    <w:name w:val="Table Grid"/>
    <w:basedOn w:val="a1"/>
    <w:uiPriority w:val="59"/>
    <w:qFormat/>
    <w:rsid w:val="009915D0"/>
    <w:pPr>
      <w:widowControl w:val="0"/>
      <w:jc w:val="both"/>
    </w:pPr>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qFormat/>
    <w:rsid w:val="009915D0"/>
    <w:rPr>
      <w:rFonts w:ascii="Times New Roman" w:eastAsia="宋体" w:hAnsi="Times New Roman" w:cs="Times New Roman"/>
      <w:kern w:val="0"/>
      <w:sz w:val="20"/>
      <w:szCs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无格式表格 11"/>
    <w:basedOn w:val="a1"/>
    <w:uiPriority w:val="59"/>
    <w:qFormat/>
    <w:rsid w:val="009915D0"/>
    <w:rPr>
      <w:rFonts w:ascii="Times New Roman" w:eastAsia="宋体" w:hAnsi="Times New Roman" w:cs="Times New Roman"/>
      <w:kern w:val="0"/>
      <w:sz w:val="20"/>
      <w:szCs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212">
    <w:name w:val="无格式表格 21"/>
    <w:basedOn w:val="a1"/>
    <w:uiPriority w:val="59"/>
    <w:qFormat/>
    <w:rsid w:val="009915D0"/>
    <w:rPr>
      <w:rFonts w:ascii="Times New Roman" w:eastAsia="宋体" w:hAnsi="Times New Roman" w:cs="Times New Roman"/>
      <w:kern w:val="0"/>
      <w:sz w:val="20"/>
      <w:szCs w:val="20"/>
    </w:rPr>
    <w:tblPr>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无格式表格 31"/>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D"/>
      </w:tcPr>
    </w:tblStylePr>
    <w:tblStylePr w:type="band1Horz">
      <w:rPr>
        <w:rFonts w:ascii="Arial" w:hAnsi="Arial" w:cs="Arial" w:hint="default"/>
        <w:color w:val="404040"/>
        <w:sz w:val="22"/>
        <w:szCs w:val="22"/>
      </w:rPr>
      <w:tblPr/>
      <w:tcPr>
        <w:shd w:val="clear" w:color="auto" w:fill="F2F2F2" w:themeFill="text1" w:themeFillTint="D"/>
      </w:tcPr>
    </w:tblStylePr>
  </w:style>
  <w:style w:type="table" w:customStyle="1" w:styleId="411">
    <w:name w:val="无格式表格 41"/>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D"/>
      </w:tcPr>
    </w:tblStylePr>
    <w:tblStylePr w:type="band1Horz">
      <w:rPr>
        <w:rFonts w:ascii="Arial" w:hAnsi="Arial" w:cs="Arial" w:hint="default"/>
        <w:color w:val="404040"/>
        <w:sz w:val="22"/>
        <w:szCs w:val="22"/>
      </w:rPr>
      <w:tblPr/>
      <w:tcPr>
        <w:shd w:val="clear" w:color="auto" w:fill="F2F2F2" w:themeFill="text1" w:themeFillTint="D"/>
      </w:tcPr>
    </w:tblStylePr>
  </w:style>
  <w:style w:type="table" w:customStyle="1" w:styleId="511">
    <w:name w:val="无格式表格 51"/>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auto"/>
      </w:tcPr>
    </w:tblStylePr>
    <w:tblStylePr w:type="lastRow">
      <w:rPr>
        <w:i/>
        <w:color w:val="404040"/>
      </w:rPr>
      <w:tblPr/>
      <w:tcPr>
        <w:tcBorders>
          <w:top w:val="single" w:sz="4" w:space="0" w:color="404040"/>
          <w:left w:val="nil"/>
          <w:right w:val="nil"/>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D"/>
      </w:tcPr>
    </w:tblStylePr>
    <w:tblStylePr w:type="band1Horz">
      <w:rPr>
        <w:rFonts w:ascii="Arial" w:hAnsi="Arial" w:cs="Arial" w:hint="default"/>
        <w:color w:val="404040"/>
        <w:sz w:val="22"/>
        <w:szCs w:val="22"/>
      </w:rPr>
      <w:tblPr/>
      <w:tcPr>
        <w:shd w:val="clear" w:color="auto" w:fill="F2F2F2" w:themeFill="text1" w:themeFillTint="D"/>
      </w:tcPr>
    </w:tblStylePr>
  </w:style>
  <w:style w:type="table" w:customStyle="1" w:styleId="112">
    <w:name w:val="网格表 1 浅色1"/>
    <w:basedOn w:val="a1"/>
    <w:uiPriority w:val="99"/>
    <w:qFormat/>
    <w:rsid w:val="009915D0"/>
    <w:rPr>
      <w:rFonts w:ascii="Times New Roman" w:eastAsia="宋体" w:hAnsi="Times New Roman" w:cs="Times New Roman"/>
      <w:kern w:val="0"/>
      <w:sz w:val="20"/>
      <w:szCs w:val="20"/>
    </w:r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rsid w:val="009915D0"/>
    <w:rPr>
      <w:rFonts w:ascii="Times New Roman" w:eastAsia="宋体" w:hAnsi="Times New Roman" w:cs="Times New Roman"/>
      <w:kern w:val="0"/>
      <w:sz w:val="20"/>
      <w:szCs w:val="20"/>
    </w:rPr>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rsid w:val="009915D0"/>
    <w:rPr>
      <w:rFonts w:ascii="Times New Roman" w:eastAsia="宋体" w:hAnsi="Times New Roman" w:cs="Times New Roman"/>
      <w:kern w:val="0"/>
      <w:sz w:val="20"/>
      <w:szCs w:val="20"/>
    </w:rPr>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rsid w:val="009915D0"/>
    <w:rPr>
      <w:rFonts w:ascii="Times New Roman" w:eastAsia="宋体" w:hAnsi="Times New Roman" w:cs="Times New Roman"/>
      <w:kern w:val="0"/>
      <w:sz w:val="20"/>
      <w:szCs w:val="20"/>
    </w:rPr>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rsid w:val="009915D0"/>
    <w:rPr>
      <w:rFonts w:ascii="Times New Roman" w:eastAsia="宋体" w:hAnsi="Times New Roman" w:cs="Times New Roman"/>
      <w:kern w:val="0"/>
      <w:sz w:val="20"/>
      <w:szCs w:val="20"/>
    </w:rPr>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rsid w:val="009915D0"/>
    <w:rPr>
      <w:rFonts w:ascii="Times New Roman" w:eastAsia="宋体" w:hAnsi="Times New Roman" w:cs="Times New Roman"/>
      <w:kern w:val="0"/>
      <w:sz w:val="20"/>
      <w:szCs w:val="20"/>
    </w:rPr>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rsid w:val="009915D0"/>
    <w:rPr>
      <w:rFonts w:ascii="Times New Roman" w:eastAsia="宋体" w:hAnsi="Times New Roman" w:cs="Times New Roman"/>
      <w:kern w:val="0"/>
      <w:sz w:val="20"/>
      <w:szCs w:val="20"/>
    </w:rPr>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3">
    <w:name w:val="网格表 21"/>
    <w:basedOn w:val="a1"/>
    <w:uiPriority w:val="99"/>
    <w:qFormat/>
    <w:rsid w:val="009915D0"/>
    <w:rPr>
      <w:rFonts w:ascii="Times New Roman" w:eastAsia="宋体" w:hAnsi="Times New Roman" w:cs="Times New Roman"/>
      <w:kern w:val="0"/>
      <w:sz w:val="20"/>
      <w:szCs w:val="20"/>
    </w:rPr>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auto" w:fill="auto"/>
      </w:tcPr>
    </w:tblStylePr>
    <w:tblStylePr w:type="lastRow">
      <w:rPr>
        <w:b/>
        <w:color w:val="404040"/>
      </w:rPr>
      <w:tblPr/>
      <w:tcPr>
        <w:tcBorders>
          <w:top w:val="single" w:sz="4" w:space="0" w:color="6A6A6A" w:themeColor="text1" w:themeTint="95"/>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2-Accent1">
    <w:name w:val="Grid Table 2 - Accent 1"/>
    <w:basedOn w:val="a1"/>
    <w:uiPriority w:val="99"/>
    <w:qFormat/>
    <w:rsid w:val="009915D0"/>
    <w:rPr>
      <w:rFonts w:ascii="Times New Roman" w:eastAsia="宋体" w:hAnsi="Times New Roman" w:cs="Times New Roman"/>
      <w:kern w:val="0"/>
      <w:sz w:val="20"/>
      <w:szCs w:val="20"/>
    </w:rPr>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auto" w:fill="auto"/>
      </w:tcPr>
    </w:tblStylePr>
    <w:tblStylePr w:type="lastRow">
      <w:rPr>
        <w:b/>
        <w:color w:val="404040"/>
      </w:rPr>
      <w:tblPr/>
      <w:tcPr>
        <w:tcBorders>
          <w:top w:val="single" w:sz="4" w:space="0" w:color="5D8AC2" w:themeColor="accent1" w:themeTint="EA"/>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hemeFill="accent1" w:themeFillTint="34"/>
      </w:tcPr>
    </w:tblStylePr>
    <w:tblStylePr w:type="band1Horz">
      <w:rPr>
        <w:rFonts w:ascii="Arial" w:hAnsi="Arial" w:cs="Arial" w:hint="default"/>
        <w:color w:val="404040"/>
        <w:sz w:val="22"/>
        <w:szCs w:val="22"/>
      </w:rPr>
      <w:tblPr/>
      <w:tcPr>
        <w:shd w:val="clear" w:color="auto" w:fill="DAE5F1" w:themeFill="accent1" w:themeFillTint="34"/>
      </w:tcPr>
    </w:tblStylePr>
  </w:style>
  <w:style w:type="table" w:customStyle="1" w:styleId="GridTable2-Accent2">
    <w:name w:val="Grid Table 2 - Accent 2"/>
    <w:basedOn w:val="a1"/>
    <w:uiPriority w:val="99"/>
    <w:qFormat/>
    <w:rsid w:val="009915D0"/>
    <w:rPr>
      <w:rFonts w:ascii="Times New Roman" w:eastAsia="宋体" w:hAnsi="Times New Roman" w:cs="Times New Roman"/>
      <w:kern w:val="0"/>
      <w:sz w:val="20"/>
      <w:szCs w:val="20"/>
    </w:rPr>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auto" w:fill="auto"/>
      </w:tcPr>
    </w:tblStylePr>
    <w:tblStylePr w:type="lastRow">
      <w:rPr>
        <w:b/>
        <w:color w:val="404040"/>
      </w:rPr>
      <w:tblPr/>
      <w:tcPr>
        <w:tcBorders>
          <w:top w:val="single" w:sz="4" w:space="0" w:color="D99695" w:themeColor="accent2" w:themeTint="97"/>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2-Accent3">
    <w:name w:val="Grid Table 2 - Accent 3"/>
    <w:basedOn w:val="a1"/>
    <w:uiPriority w:val="99"/>
    <w:qFormat/>
    <w:rsid w:val="009915D0"/>
    <w:rPr>
      <w:rFonts w:ascii="Times New Roman" w:eastAsia="宋体" w:hAnsi="Times New Roman" w:cs="Times New Roman"/>
      <w:kern w:val="0"/>
      <w:sz w:val="20"/>
      <w:szCs w:val="20"/>
    </w:rPr>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auto" w:fill="auto"/>
      </w:tcPr>
    </w:tblStylePr>
    <w:tblStylePr w:type="lastRow">
      <w:rPr>
        <w:b/>
        <w:color w:val="404040"/>
      </w:rPr>
      <w:tblPr/>
      <w:tcPr>
        <w:tcBorders>
          <w:top w:val="single" w:sz="4" w:space="0" w:color="9ABB59" w:themeColor="accent3" w:themeTint="FE"/>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2-Accent4">
    <w:name w:val="Grid Table 2 - Accent 4"/>
    <w:basedOn w:val="a1"/>
    <w:uiPriority w:val="99"/>
    <w:qFormat/>
    <w:rsid w:val="009915D0"/>
    <w:rPr>
      <w:rFonts w:ascii="Times New Roman" w:eastAsia="宋体" w:hAnsi="Times New Roman" w:cs="Times New Roman"/>
      <w:kern w:val="0"/>
      <w:sz w:val="20"/>
      <w:szCs w:val="20"/>
    </w:rPr>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auto" w:fill="auto"/>
      </w:tcPr>
    </w:tblStylePr>
    <w:tblStylePr w:type="lastRow">
      <w:rPr>
        <w:b/>
        <w:color w:val="404040"/>
      </w:rPr>
      <w:tblPr/>
      <w:tcPr>
        <w:tcBorders>
          <w:top w:val="single" w:sz="4" w:space="0" w:color="B2A1C6" w:themeColor="accent4" w:themeTint="9A"/>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2-Accent5">
    <w:name w:val="Grid Table 2 - Accent 5"/>
    <w:basedOn w:val="a1"/>
    <w:uiPriority w:val="99"/>
    <w:qFormat/>
    <w:rsid w:val="009915D0"/>
    <w:rPr>
      <w:rFonts w:ascii="Times New Roman" w:eastAsia="宋体" w:hAnsi="Times New Roman" w:cs="Times New Roman"/>
      <w:kern w:val="0"/>
      <w:sz w:val="20"/>
      <w:szCs w:val="20"/>
    </w:rPr>
    <w:tblPr>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auto" w:fill="auto"/>
      </w:tcPr>
    </w:tblStylePr>
    <w:tblStylePr w:type="lastRow">
      <w:rPr>
        <w:b/>
        <w:color w:val="404040"/>
      </w:rPr>
      <w:tblPr/>
      <w:tcPr>
        <w:tcBorders>
          <w:top w:val="single" w:sz="4" w:space="0" w:color="4BACC6" w:themeColor="accent5"/>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2-Accent6">
    <w:name w:val="Grid Table 2 - Accent 6"/>
    <w:basedOn w:val="a1"/>
    <w:uiPriority w:val="99"/>
    <w:qFormat/>
    <w:rsid w:val="009915D0"/>
    <w:rPr>
      <w:rFonts w:ascii="Times New Roman" w:eastAsia="宋体" w:hAnsi="Times New Roman" w:cs="Times New Roman"/>
      <w:kern w:val="0"/>
      <w:sz w:val="20"/>
      <w:szCs w:val="20"/>
    </w:rPr>
    <w:tblPr>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auto" w:fill="auto"/>
      </w:tcPr>
    </w:tblStylePr>
    <w:tblStylePr w:type="lastRow">
      <w:rPr>
        <w:b/>
        <w:color w:val="404040"/>
      </w:rPr>
      <w:tblPr/>
      <w:tcPr>
        <w:tcBorders>
          <w:top w:val="single" w:sz="4" w:space="0" w:color="F79646" w:themeColor="accent6"/>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313">
    <w:name w:val="网格表 31"/>
    <w:basedOn w:val="a1"/>
    <w:uiPriority w:val="99"/>
    <w:qFormat/>
    <w:rsid w:val="009915D0"/>
    <w:rPr>
      <w:rFonts w:ascii="Times New Roman" w:eastAsia="宋体" w:hAnsi="Times New Roman" w:cs="Times New Roman"/>
      <w:kern w:val="0"/>
      <w:sz w:val="20"/>
      <w:szCs w:val="20"/>
    </w:rPr>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3-Accent1">
    <w:name w:val="Grid Table 3 - Accent 1"/>
    <w:basedOn w:val="a1"/>
    <w:uiPriority w:val="99"/>
    <w:qFormat/>
    <w:rsid w:val="009915D0"/>
    <w:rPr>
      <w:rFonts w:ascii="Times New Roman" w:eastAsia="宋体" w:hAnsi="Times New Roman" w:cs="Times New Roman"/>
      <w:kern w:val="0"/>
      <w:sz w:val="20"/>
      <w:szCs w:val="20"/>
    </w:rPr>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DAE5F1" w:themeFill="accent1" w:themeFillTint="34"/>
      </w:tcPr>
    </w:tblStylePr>
    <w:tblStylePr w:type="band1Horz">
      <w:rPr>
        <w:rFonts w:ascii="Arial" w:hAnsi="Arial" w:cs="Arial" w:hint="default"/>
        <w:color w:val="404040"/>
        <w:sz w:val="22"/>
        <w:szCs w:val="22"/>
      </w:rPr>
      <w:tblPr/>
      <w:tcPr>
        <w:shd w:val="clear" w:color="auto" w:fill="DAE5F1" w:themeFill="accent1" w:themeFillTint="34"/>
      </w:tcPr>
    </w:tblStylePr>
  </w:style>
  <w:style w:type="table" w:customStyle="1" w:styleId="GridTable3-Accent2">
    <w:name w:val="Grid Table 3 - Accent 2"/>
    <w:basedOn w:val="a1"/>
    <w:uiPriority w:val="99"/>
    <w:qFormat/>
    <w:rsid w:val="009915D0"/>
    <w:rPr>
      <w:rFonts w:ascii="Times New Roman" w:eastAsia="宋体" w:hAnsi="Times New Roman" w:cs="Times New Roman"/>
      <w:kern w:val="0"/>
      <w:sz w:val="20"/>
      <w:szCs w:val="20"/>
    </w:rPr>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3-Accent3">
    <w:name w:val="Grid Table 3 - Accent 3"/>
    <w:basedOn w:val="a1"/>
    <w:uiPriority w:val="99"/>
    <w:qFormat/>
    <w:rsid w:val="009915D0"/>
    <w:rPr>
      <w:rFonts w:ascii="Times New Roman" w:eastAsia="宋体" w:hAnsi="Times New Roman" w:cs="Times New Roman"/>
      <w:kern w:val="0"/>
      <w:sz w:val="20"/>
      <w:szCs w:val="20"/>
    </w:rPr>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3-Accent4">
    <w:name w:val="Grid Table 3 - Accent 4"/>
    <w:basedOn w:val="a1"/>
    <w:uiPriority w:val="99"/>
    <w:qFormat/>
    <w:rsid w:val="009915D0"/>
    <w:rPr>
      <w:rFonts w:ascii="Times New Roman" w:eastAsia="宋体" w:hAnsi="Times New Roman" w:cs="Times New Roman"/>
      <w:kern w:val="0"/>
      <w:sz w:val="20"/>
      <w:szCs w:val="20"/>
    </w:rPr>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3-Accent5">
    <w:name w:val="Grid Table 3 - Accent 5"/>
    <w:basedOn w:val="a1"/>
    <w:uiPriority w:val="99"/>
    <w:qFormat/>
    <w:rsid w:val="009915D0"/>
    <w:rPr>
      <w:rFonts w:ascii="Times New Roman" w:eastAsia="宋体" w:hAnsi="Times New Roman" w:cs="Times New Roman"/>
      <w:kern w:val="0"/>
      <w:sz w:val="20"/>
      <w:szCs w:val="20"/>
    </w:rPr>
    <w:tblPr>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3-Accent6">
    <w:name w:val="Grid Table 3 - Accent 6"/>
    <w:basedOn w:val="a1"/>
    <w:uiPriority w:val="99"/>
    <w:qFormat/>
    <w:rsid w:val="009915D0"/>
    <w:rPr>
      <w:rFonts w:ascii="Times New Roman" w:eastAsia="宋体" w:hAnsi="Times New Roman" w:cs="Times New Roman"/>
      <w:kern w:val="0"/>
      <w:sz w:val="20"/>
      <w:szCs w:val="20"/>
    </w:rPr>
    <w:tblPr>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412">
    <w:name w:val="网格表 41"/>
    <w:basedOn w:val="a1"/>
    <w:uiPriority w:val="59"/>
    <w:qFormat/>
    <w:rsid w:val="009915D0"/>
    <w:rPr>
      <w:rFonts w:ascii="Times New Roman" w:eastAsia="宋体" w:hAnsi="Times New Roman" w:cs="Times New Roman"/>
      <w:kern w:val="0"/>
      <w:sz w:val="20"/>
      <w:szCs w:val="20"/>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4-Accent1">
    <w:name w:val="Grid Table 4 - Accent 1"/>
    <w:basedOn w:val="a1"/>
    <w:uiPriority w:val="59"/>
    <w:qFormat/>
    <w:rsid w:val="009915D0"/>
    <w:rPr>
      <w:rFonts w:ascii="Times New Roman" w:eastAsia="宋体" w:hAnsi="Times New Roman" w:cs="Times New Roman"/>
      <w:kern w:val="0"/>
      <w:sz w:val="20"/>
      <w:szCs w:val="20"/>
    </w:rPr>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hemeFill="accent1" w:themeFillTint="32"/>
      </w:tcPr>
    </w:tblStylePr>
    <w:tblStylePr w:type="band1Horz">
      <w:rPr>
        <w:rFonts w:ascii="Arial" w:hAnsi="Arial" w:cs="Arial" w:hint="default"/>
        <w:color w:val="404040"/>
        <w:sz w:val="22"/>
        <w:szCs w:val="22"/>
      </w:rPr>
      <w:tblPr/>
      <w:tcPr>
        <w:shd w:val="clear" w:color="auto" w:fill="DCE6F2" w:themeFill="accent1" w:themeFillTint="32"/>
      </w:tcPr>
    </w:tblStylePr>
  </w:style>
  <w:style w:type="table" w:customStyle="1" w:styleId="GridTable4-Accent2">
    <w:name w:val="Grid Table 4 - Accent 2"/>
    <w:basedOn w:val="a1"/>
    <w:uiPriority w:val="59"/>
    <w:qFormat/>
    <w:rsid w:val="009915D0"/>
    <w:rPr>
      <w:rFonts w:ascii="Times New Roman" w:eastAsia="宋体" w:hAnsi="Times New Roman" w:cs="Times New Roman"/>
      <w:kern w:val="0"/>
      <w:sz w:val="20"/>
      <w:szCs w:val="20"/>
    </w:rPr>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4-Accent3">
    <w:name w:val="Grid Table 4 - Accent 3"/>
    <w:basedOn w:val="a1"/>
    <w:uiPriority w:val="59"/>
    <w:qFormat/>
    <w:rsid w:val="009915D0"/>
    <w:rPr>
      <w:rFonts w:ascii="Times New Roman" w:eastAsia="宋体" w:hAnsi="Times New Roman" w:cs="Times New Roman"/>
      <w:kern w:val="0"/>
      <w:sz w:val="20"/>
      <w:szCs w:val="20"/>
    </w:rPr>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4-Accent4">
    <w:name w:val="Grid Table 4 - Accent 4"/>
    <w:basedOn w:val="a1"/>
    <w:uiPriority w:val="59"/>
    <w:qFormat/>
    <w:rsid w:val="009915D0"/>
    <w:rPr>
      <w:rFonts w:ascii="Times New Roman" w:eastAsia="宋体" w:hAnsi="Times New Roman" w:cs="Times New Roman"/>
      <w:kern w:val="0"/>
      <w:sz w:val="20"/>
      <w:szCs w:val="20"/>
    </w:rPr>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4-Accent5">
    <w:name w:val="Grid Table 4 - Accent 5"/>
    <w:basedOn w:val="a1"/>
    <w:uiPriority w:val="59"/>
    <w:qFormat/>
    <w:rsid w:val="009915D0"/>
    <w:rPr>
      <w:rFonts w:ascii="Times New Roman" w:eastAsia="宋体" w:hAnsi="Times New Roman" w:cs="Times New Roman"/>
      <w:kern w:val="0"/>
      <w:sz w:val="20"/>
      <w:szCs w:val="20"/>
    </w:rPr>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4-Accent6">
    <w:name w:val="Grid Table 4 - Accent 6"/>
    <w:basedOn w:val="a1"/>
    <w:uiPriority w:val="59"/>
    <w:qFormat/>
    <w:rsid w:val="009915D0"/>
    <w:rPr>
      <w:rFonts w:ascii="Times New Roman" w:eastAsia="宋体" w:hAnsi="Times New Roman" w:cs="Times New Roman"/>
      <w:kern w:val="0"/>
      <w:sz w:val="20"/>
      <w:szCs w:val="20"/>
    </w:rPr>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512">
    <w:name w:val="网格表 5 深色1"/>
    <w:basedOn w:val="a1"/>
    <w:uiPriority w:val="99"/>
    <w:qFormat/>
    <w:rsid w:val="009915D0"/>
    <w:rPr>
      <w:rFonts w:ascii="Times New Roman" w:eastAsia="宋体" w:hAnsi="Times New Roman" w:cs="Times New Roman"/>
      <w:kern w:val="0"/>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qFormat/>
    <w:rsid w:val="009915D0"/>
    <w:rPr>
      <w:rFonts w:ascii="Times New Roman" w:eastAsia="宋体" w:hAnsi="Times New Roman" w:cs="Times New Roman"/>
      <w:kern w:val="0"/>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F81BD" w:themeFill="accent1"/>
      </w:tcPr>
    </w:tblStylePr>
    <w:tblStylePr w:type="firstCol">
      <w:rPr>
        <w:rFonts w:ascii="Arial" w:hAnsi="Arial" w:cs="Arial" w:hint="default"/>
        <w:b/>
        <w:color w:val="FFFFFF"/>
        <w:sz w:val="22"/>
        <w:szCs w:val="22"/>
      </w:rPr>
      <w:tblPr/>
      <w:tcPr>
        <w:shd w:val="clear" w:color="auto" w:fill="4F81BD" w:themeFill="accent1"/>
      </w:tcPr>
    </w:tblStylePr>
    <w:tblStylePr w:type="lastCol">
      <w:rPr>
        <w:rFonts w:ascii="Arial" w:hAnsi="Arial" w:cs="Arial" w:hint="default"/>
        <w:b/>
        <w:color w:val="FFFFFF"/>
        <w:sz w:val="22"/>
        <w:szCs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qFormat/>
    <w:rsid w:val="009915D0"/>
    <w:rPr>
      <w:rFonts w:ascii="Times New Roman" w:eastAsia="宋体" w:hAnsi="Times New Roman" w:cs="Times New Roman"/>
      <w:kern w:val="0"/>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0504D"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C0504D" w:themeFill="accent2"/>
      </w:tcPr>
    </w:tblStylePr>
    <w:tblStylePr w:type="firstCol">
      <w:rPr>
        <w:rFonts w:ascii="Arial" w:hAnsi="Arial" w:cs="Arial" w:hint="default"/>
        <w:b/>
        <w:color w:val="FFFFFF"/>
        <w:sz w:val="22"/>
        <w:szCs w:val="22"/>
      </w:rPr>
      <w:tblPr/>
      <w:tcPr>
        <w:shd w:val="clear" w:color="auto" w:fill="C0504D" w:themeFill="accent2"/>
      </w:tcPr>
    </w:tblStylePr>
    <w:tblStylePr w:type="lastCol">
      <w:rPr>
        <w:rFonts w:ascii="Arial" w:hAnsi="Arial" w:cs="Arial" w:hint="default"/>
        <w:b/>
        <w:color w:val="FFFFFF"/>
        <w:sz w:val="22"/>
        <w:szCs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qFormat/>
    <w:rsid w:val="009915D0"/>
    <w:rPr>
      <w:rFonts w:ascii="Times New Roman" w:eastAsia="宋体" w:hAnsi="Times New Roman" w:cs="Times New Roman"/>
      <w:kern w:val="0"/>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BBB59"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9BBB59" w:themeFill="accent3"/>
      </w:tcPr>
    </w:tblStylePr>
    <w:tblStylePr w:type="firstCol">
      <w:rPr>
        <w:rFonts w:ascii="Arial" w:hAnsi="Arial" w:cs="Arial" w:hint="default"/>
        <w:b/>
        <w:color w:val="FFFFFF"/>
        <w:sz w:val="22"/>
        <w:szCs w:val="22"/>
      </w:rPr>
      <w:tblPr/>
      <w:tcPr>
        <w:shd w:val="clear" w:color="auto" w:fill="9BBB59" w:themeFill="accent3"/>
      </w:tcPr>
    </w:tblStylePr>
    <w:tblStylePr w:type="lastCol">
      <w:rPr>
        <w:rFonts w:ascii="Arial" w:hAnsi="Arial" w:cs="Arial" w:hint="default"/>
        <w:b/>
        <w:color w:val="FFFFFF"/>
        <w:sz w:val="22"/>
        <w:szCs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qFormat/>
    <w:rsid w:val="009915D0"/>
    <w:rPr>
      <w:rFonts w:ascii="Times New Roman" w:eastAsia="宋体" w:hAnsi="Times New Roman" w:cs="Times New Roman"/>
      <w:kern w:val="0"/>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8064A2"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8064A2" w:themeFill="accent4"/>
      </w:tcPr>
    </w:tblStylePr>
    <w:tblStylePr w:type="firstCol">
      <w:rPr>
        <w:rFonts w:ascii="Arial" w:hAnsi="Arial" w:cs="Arial" w:hint="default"/>
        <w:b/>
        <w:color w:val="FFFFFF"/>
        <w:sz w:val="22"/>
        <w:szCs w:val="22"/>
      </w:rPr>
      <w:tblPr/>
      <w:tcPr>
        <w:shd w:val="clear" w:color="auto" w:fill="8064A2" w:themeFill="accent4"/>
      </w:tcPr>
    </w:tblStylePr>
    <w:tblStylePr w:type="lastCol">
      <w:rPr>
        <w:rFonts w:ascii="Arial" w:hAnsi="Arial" w:cs="Arial" w:hint="default"/>
        <w:b/>
        <w:color w:val="FFFFFF"/>
        <w:sz w:val="22"/>
        <w:szCs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qFormat/>
    <w:rsid w:val="009915D0"/>
    <w:rPr>
      <w:rFonts w:ascii="Times New Roman" w:eastAsia="宋体" w:hAnsi="Times New Roman" w:cs="Times New Roman"/>
      <w:kern w:val="0"/>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BACC6"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BACC6" w:themeFill="accent5"/>
      </w:tcPr>
    </w:tblStylePr>
    <w:tblStylePr w:type="firstCol">
      <w:rPr>
        <w:rFonts w:ascii="Arial" w:hAnsi="Arial" w:cs="Arial" w:hint="default"/>
        <w:b/>
        <w:color w:val="FFFFFF"/>
        <w:sz w:val="22"/>
        <w:szCs w:val="22"/>
      </w:rPr>
      <w:tblPr/>
      <w:tcPr>
        <w:shd w:val="clear" w:color="auto" w:fill="4BACC6" w:themeFill="accent5"/>
      </w:tcPr>
    </w:tblStylePr>
    <w:tblStylePr w:type="lastCol">
      <w:rPr>
        <w:rFonts w:ascii="Arial" w:hAnsi="Arial" w:cs="Arial" w:hint="default"/>
        <w:b/>
        <w:color w:val="FFFFFF"/>
        <w:sz w:val="22"/>
        <w:szCs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qFormat/>
    <w:rsid w:val="009915D0"/>
    <w:rPr>
      <w:rFonts w:ascii="Times New Roman" w:eastAsia="宋体" w:hAnsi="Times New Roman" w:cs="Times New Roman"/>
      <w:kern w:val="0"/>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79646"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F79646" w:themeFill="accent6"/>
      </w:tcPr>
    </w:tblStylePr>
    <w:tblStylePr w:type="firstCol">
      <w:rPr>
        <w:rFonts w:ascii="Arial" w:hAnsi="Arial" w:cs="Arial" w:hint="default"/>
        <w:b/>
        <w:color w:val="FFFFFF"/>
        <w:sz w:val="22"/>
        <w:szCs w:val="22"/>
      </w:rPr>
      <w:tblPr/>
      <w:tcPr>
        <w:shd w:val="clear" w:color="auto" w:fill="F79646" w:themeFill="accent6"/>
      </w:tcPr>
    </w:tblStylePr>
    <w:tblStylePr w:type="lastCol">
      <w:rPr>
        <w:rFonts w:ascii="Arial" w:hAnsi="Arial" w:cs="Arial" w:hint="default"/>
        <w:b/>
        <w:color w:val="FFFFFF"/>
        <w:sz w:val="22"/>
        <w:szCs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网格表 6 彩色1"/>
    <w:basedOn w:val="a1"/>
    <w:uiPriority w:val="99"/>
    <w:qFormat/>
    <w:rsid w:val="009915D0"/>
    <w:rPr>
      <w:rFonts w:ascii="Times New Roman" w:eastAsia="宋体" w:hAnsi="Times New Roman" w:cs="Times New Roman"/>
      <w:kern w:val="0"/>
      <w:sz w:val="20"/>
      <w:szCs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sz w:val="22"/>
        <w:szCs w:val="22"/>
      </w:rPr>
      <w:tblPr/>
      <w:tcPr>
        <w:shd w:val="clear" w:color="auto" w:fill="CBCBCB" w:themeFill="text1" w:themeFillTint="34"/>
      </w:tcPr>
    </w:tblStylePr>
    <w:tblStylePr w:type="band2Horz">
      <w:rPr>
        <w:rFonts w:ascii="Arial" w:hAnsi="Arial" w:cs="Arial" w:hint="default"/>
        <w:color w:val="7F7F7F" w:themeColor="text1" w:themeTint="80"/>
        <w:sz w:val="22"/>
        <w:szCs w:val="22"/>
      </w:rPr>
    </w:tblStylePr>
  </w:style>
  <w:style w:type="table" w:customStyle="1" w:styleId="GridTable6Colorful-Accent1">
    <w:name w:val="Grid Table 6 Colorful - Accent 1"/>
    <w:basedOn w:val="a1"/>
    <w:uiPriority w:val="99"/>
    <w:qFormat/>
    <w:rsid w:val="009915D0"/>
    <w:rPr>
      <w:rFonts w:ascii="Times New Roman" w:eastAsia="宋体" w:hAnsi="Times New Roman" w:cs="Times New Roman"/>
      <w:kern w:val="0"/>
      <w:sz w:val="20"/>
      <w:szCs w:val="20"/>
    </w:rPr>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s="Arial" w:hint="default"/>
        <w:color w:val="A6BFDD" w:themeColor="accent1" w:themeTint="80"/>
        <w:sz w:val="22"/>
        <w:szCs w:val="22"/>
      </w:rPr>
      <w:tblPr/>
      <w:tcPr>
        <w:shd w:val="clear" w:color="auto" w:fill="DAE5F1" w:themeFill="accent1" w:themeFillTint="34"/>
      </w:tcPr>
    </w:tblStylePr>
    <w:tblStylePr w:type="band2Horz">
      <w:rPr>
        <w:rFonts w:ascii="Arial" w:hAnsi="Arial" w:cs="Arial" w:hint="default"/>
        <w:color w:val="A6BFDD" w:themeColor="accent1" w:themeTint="80"/>
        <w:sz w:val="22"/>
        <w:szCs w:val="22"/>
      </w:rPr>
    </w:tblStylePr>
  </w:style>
  <w:style w:type="table" w:customStyle="1" w:styleId="GridTable6Colorful-Accent2">
    <w:name w:val="Grid Table 6 Colorful - Accent 2"/>
    <w:basedOn w:val="a1"/>
    <w:uiPriority w:val="99"/>
    <w:qFormat/>
    <w:rsid w:val="009915D0"/>
    <w:rPr>
      <w:rFonts w:ascii="Times New Roman" w:eastAsia="宋体" w:hAnsi="Times New Roman" w:cs="Times New Roman"/>
      <w:kern w:val="0"/>
      <w:sz w:val="20"/>
      <w:szCs w:val="20"/>
    </w:rPr>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s="Arial" w:hint="default"/>
        <w:color w:val="DA9796" w:themeColor="accent2" w:themeTint="96"/>
        <w:sz w:val="22"/>
        <w:szCs w:val="22"/>
      </w:rPr>
      <w:tblPr/>
      <w:tcPr>
        <w:shd w:val="clear" w:color="auto" w:fill="F2DCDC" w:themeFill="accent2" w:themeFillTint="32"/>
      </w:tcPr>
    </w:tblStylePr>
    <w:tblStylePr w:type="band2Horz">
      <w:rPr>
        <w:rFonts w:ascii="Arial" w:hAnsi="Arial" w:cs="Arial" w:hint="default"/>
        <w:color w:val="DA9796" w:themeColor="accent2" w:themeTint="96"/>
        <w:sz w:val="22"/>
        <w:szCs w:val="22"/>
      </w:rPr>
    </w:tblStylePr>
  </w:style>
  <w:style w:type="table" w:customStyle="1" w:styleId="GridTable6Colorful-Accent3">
    <w:name w:val="Grid Table 6 Colorful - Accent 3"/>
    <w:basedOn w:val="a1"/>
    <w:uiPriority w:val="99"/>
    <w:qFormat/>
    <w:rsid w:val="009915D0"/>
    <w:rPr>
      <w:rFonts w:ascii="Times New Roman" w:eastAsia="宋体" w:hAnsi="Times New Roman" w:cs="Times New Roman"/>
      <w:kern w:val="0"/>
      <w:sz w:val="20"/>
      <w:szCs w:val="20"/>
    </w:rPr>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s="Arial" w:hint="default"/>
        <w:color w:val="9BBB59" w:themeColor="accent3"/>
        <w:sz w:val="22"/>
        <w:szCs w:val="22"/>
      </w:rPr>
      <w:tblPr/>
      <w:tcPr>
        <w:shd w:val="clear" w:color="auto" w:fill="EAF1DC" w:themeFill="accent3" w:themeFillTint="34"/>
      </w:tcPr>
    </w:tblStylePr>
    <w:tblStylePr w:type="band2Horz">
      <w:rPr>
        <w:rFonts w:ascii="Arial" w:hAnsi="Arial" w:cs="Arial" w:hint="default"/>
        <w:color w:val="9BBB59" w:themeColor="accent3"/>
        <w:sz w:val="22"/>
        <w:szCs w:val="22"/>
      </w:rPr>
    </w:tblStylePr>
  </w:style>
  <w:style w:type="table" w:customStyle="1" w:styleId="GridTable6Colorful-Accent4">
    <w:name w:val="Grid Table 6 Colorful - Accent 4"/>
    <w:basedOn w:val="a1"/>
    <w:uiPriority w:val="99"/>
    <w:qFormat/>
    <w:rsid w:val="009915D0"/>
    <w:rPr>
      <w:rFonts w:ascii="Times New Roman" w:eastAsia="宋体" w:hAnsi="Times New Roman" w:cs="Times New Roman"/>
      <w:kern w:val="0"/>
      <w:sz w:val="20"/>
      <w:szCs w:val="20"/>
    </w:rPr>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s="Arial" w:hint="default"/>
        <w:color w:val="B2A1C7" w:themeColor="accent4" w:themeTint="99"/>
        <w:sz w:val="22"/>
        <w:szCs w:val="22"/>
      </w:rPr>
      <w:tblPr/>
      <w:tcPr>
        <w:shd w:val="clear" w:color="auto" w:fill="E5DFEC" w:themeFill="accent4" w:themeFillTint="34"/>
      </w:tcPr>
    </w:tblStylePr>
    <w:tblStylePr w:type="band2Horz">
      <w:rPr>
        <w:rFonts w:ascii="Arial" w:hAnsi="Arial" w:cs="Arial" w:hint="default"/>
        <w:color w:val="B2A1C7" w:themeColor="accent4" w:themeTint="99"/>
        <w:sz w:val="22"/>
        <w:szCs w:val="22"/>
      </w:rPr>
    </w:tblStylePr>
  </w:style>
  <w:style w:type="table" w:customStyle="1" w:styleId="GridTable6Colorful-Accent5">
    <w:name w:val="Grid Table 6 Colorful - Accent 5"/>
    <w:basedOn w:val="a1"/>
    <w:uiPriority w:val="99"/>
    <w:qFormat/>
    <w:rsid w:val="009915D0"/>
    <w:rPr>
      <w:rFonts w:ascii="Times New Roman" w:eastAsia="宋体" w:hAnsi="Times New Roman" w:cs="Times New Roman"/>
      <w:kern w:val="0"/>
      <w:sz w:val="20"/>
      <w:szCs w:val="20"/>
    </w:rPr>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s="Arial" w:hint="default"/>
        <w:color w:val="266678" w:themeColor="accent5" w:themeShade="94"/>
        <w:sz w:val="22"/>
        <w:szCs w:val="22"/>
      </w:rPr>
      <w:tblPr/>
      <w:tcPr>
        <w:shd w:val="clear" w:color="auto" w:fill="DAEEF3" w:themeFill="accent5" w:themeFillTint="34"/>
      </w:tcPr>
    </w:tblStylePr>
    <w:tblStylePr w:type="band2Horz">
      <w:rPr>
        <w:rFonts w:ascii="Arial" w:hAnsi="Arial" w:cs="Arial" w:hint="default"/>
        <w:color w:val="266678" w:themeColor="accent5" w:themeShade="94"/>
        <w:sz w:val="22"/>
        <w:szCs w:val="22"/>
      </w:rPr>
    </w:tblStylePr>
  </w:style>
  <w:style w:type="table" w:customStyle="1" w:styleId="GridTable6Colorful-Accent6">
    <w:name w:val="Grid Table 6 Colorful - Accent 6"/>
    <w:basedOn w:val="a1"/>
    <w:uiPriority w:val="99"/>
    <w:qFormat/>
    <w:rsid w:val="009915D0"/>
    <w:rPr>
      <w:rFonts w:ascii="Times New Roman" w:eastAsia="宋体" w:hAnsi="Times New Roman" w:cs="Times New Roman"/>
      <w:kern w:val="0"/>
      <w:sz w:val="20"/>
      <w:szCs w:val="20"/>
    </w:rPr>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s="Arial" w:hint="default"/>
        <w:color w:val="266678" w:themeColor="accent5" w:themeShade="94"/>
        <w:sz w:val="22"/>
        <w:szCs w:val="22"/>
      </w:rPr>
      <w:tblPr/>
      <w:tcPr>
        <w:shd w:val="clear" w:color="auto" w:fill="FDE9D8" w:themeFill="accent6" w:themeFillTint="34"/>
      </w:tcPr>
    </w:tblStylePr>
    <w:tblStylePr w:type="band2Horz">
      <w:rPr>
        <w:rFonts w:ascii="Arial" w:hAnsi="Arial" w:cs="Arial" w:hint="default"/>
        <w:color w:val="266678" w:themeColor="accent5" w:themeShade="94"/>
        <w:sz w:val="22"/>
        <w:szCs w:val="22"/>
      </w:rPr>
    </w:tblStylePr>
  </w:style>
  <w:style w:type="table" w:customStyle="1" w:styleId="71">
    <w:name w:val="网格表 7 彩色1"/>
    <w:basedOn w:val="a1"/>
    <w:uiPriority w:val="99"/>
    <w:qFormat/>
    <w:rsid w:val="009915D0"/>
    <w:rPr>
      <w:rFonts w:ascii="Times New Roman" w:eastAsia="宋体" w:hAnsi="Times New Roman" w:cs="Times New Roman"/>
      <w:kern w:val="0"/>
      <w:sz w:val="20"/>
      <w:szCs w:val="20"/>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cs="Arial" w:hint="default"/>
        <w:b/>
        <w:color w:val="7F7F7F" w:themeColor="text1" w:themeTint="80"/>
        <w:sz w:val="22"/>
        <w:szCs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cs="Arial" w:hint="default"/>
        <w:b/>
        <w:color w:val="7F7F7F" w:themeColor="text1" w:themeTint="80"/>
        <w:sz w:val="22"/>
        <w:szCs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cs="Arial" w:hint="default"/>
        <w:i/>
        <w:color w:val="7F7F7F" w:themeColor="text1" w:themeTint="80"/>
        <w:sz w:val="22"/>
        <w:szCs w:val="22"/>
      </w:rPr>
      <w:tblPr/>
      <w:tcPr>
        <w:tcBorders>
          <w:top w:val="nil"/>
          <w:left w:val="nil"/>
          <w:bottom w:val="nil"/>
          <w:right w:val="single" w:sz="4" w:space="0" w:color="7F7F7F" w:themeColor="text1" w:themeTint="80"/>
        </w:tcBorders>
        <w:shd w:val="clear" w:color="auto" w:fill="auto"/>
      </w:tcPr>
    </w:tblStylePr>
    <w:tblStylePr w:type="lastCol">
      <w:rPr>
        <w:rFonts w:ascii="Arial" w:hAnsi="Arial" w:cs="Arial" w:hint="default"/>
        <w:i/>
        <w:color w:val="7F7F7F" w:themeColor="text1" w:themeTint="80"/>
        <w:sz w:val="22"/>
        <w:szCs w:val="22"/>
      </w:rPr>
      <w:tblPr/>
      <w:tcPr>
        <w:tcBorders>
          <w:top w:val="nil"/>
          <w:left w:val="single" w:sz="4" w:space="0" w:color="7F7F7F" w:themeColor="text1" w:themeTint="80"/>
          <w:bottom w:val="nil"/>
          <w:right w:val="nil"/>
        </w:tcBorders>
        <w:shd w:val="clear" w:color="auto" w:fill="auto"/>
      </w:tcPr>
    </w:tblStylePr>
    <w:tblStylePr w:type="band1Vert">
      <w:tblPr/>
      <w:tcPr>
        <w:shd w:val="clear" w:color="auto" w:fill="F2F2F2" w:themeFill="text1" w:themeFillTint="D"/>
      </w:tcPr>
    </w:tblStylePr>
    <w:tblStylePr w:type="band1Horz">
      <w:rPr>
        <w:rFonts w:ascii="Arial" w:hAnsi="Arial" w:cs="Arial" w:hint="default"/>
        <w:color w:val="7F7F7F" w:themeColor="text1" w:themeTint="80"/>
        <w:sz w:val="22"/>
        <w:szCs w:val="22"/>
      </w:rPr>
      <w:tblPr/>
      <w:tcPr>
        <w:shd w:val="clear" w:color="auto" w:fill="F2F2F2" w:themeFill="text1" w:themeFillTint="D"/>
      </w:tcPr>
    </w:tblStylePr>
    <w:tblStylePr w:type="band2Horz">
      <w:rPr>
        <w:rFonts w:ascii="Arial" w:hAnsi="Arial" w:cs="Arial" w:hint="default"/>
        <w:color w:val="7F7F7F" w:themeColor="text1" w:themeTint="80"/>
        <w:sz w:val="22"/>
        <w:szCs w:val="22"/>
      </w:rPr>
    </w:tblStylePr>
  </w:style>
  <w:style w:type="table" w:customStyle="1" w:styleId="GridTable7Colorful-Accent1">
    <w:name w:val="Grid Table 7 Colorful - Accent 1"/>
    <w:basedOn w:val="a1"/>
    <w:uiPriority w:val="99"/>
    <w:qFormat/>
    <w:rsid w:val="009915D0"/>
    <w:rPr>
      <w:rFonts w:ascii="Times New Roman" w:eastAsia="宋体" w:hAnsi="Times New Roman" w:cs="Times New Roman"/>
      <w:kern w:val="0"/>
      <w:sz w:val="20"/>
      <w:szCs w:val="20"/>
    </w:rPr>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cs="Arial" w:hint="default"/>
        <w:b/>
        <w:color w:val="A6BFDD" w:themeColor="accent1" w:themeTint="80"/>
        <w:sz w:val="22"/>
        <w:szCs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cs="Arial" w:hint="default"/>
        <w:b/>
        <w:color w:val="A6BFDD" w:themeColor="accent1" w:themeTint="80"/>
        <w:sz w:val="22"/>
        <w:szCs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cs="Arial" w:hint="default"/>
        <w:i/>
        <w:color w:val="A6BFDD" w:themeColor="accent1" w:themeTint="80"/>
        <w:sz w:val="22"/>
        <w:szCs w:val="22"/>
      </w:rPr>
      <w:tblPr/>
      <w:tcPr>
        <w:tcBorders>
          <w:top w:val="nil"/>
          <w:left w:val="nil"/>
          <w:bottom w:val="nil"/>
          <w:right w:val="single" w:sz="4" w:space="0" w:color="A6BFDD" w:themeColor="accent1" w:themeTint="80"/>
        </w:tcBorders>
        <w:shd w:val="clear" w:color="auto" w:fill="auto"/>
      </w:tcPr>
    </w:tblStylePr>
    <w:tblStylePr w:type="lastCol">
      <w:rPr>
        <w:rFonts w:ascii="Arial" w:hAnsi="Arial" w:cs="Arial" w:hint="default"/>
        <w:i/>
        <w:color w:val="A6BFDD" w:themeColor="accent1" w:themeTint="80"/>
        <w:sz w:val="22"/>
        <w:szCs w:val="22"/>
      </w:rPr>
      <w:tblPr/>
      <w:tcPr>
        <w:tcBorders>
          <w:top w:val="nil"/>
          <w:left w:val="single" w:sz="4" w:space="0" w:color="A6BFDD" w:themeColor="accent1" w:themeTint="80"/>
          <w:bottom w:val="nil"/>
          <w:right w:val="nil"/>
        </w:tcBorders>
        <w:shd w:val="clear" w:color="auto" w:fill="auto"/>
      </w:tcPr>
    </w:tblStylePr>
    <w:tblStylePr w:type="band1Vert">
      <w:tblPr/>
      <w:tcPr>
        <w:shd w:val="clear" w:color="auto" w:fill="DAE5F1" w:themeFill="accent1" w:themeFillTint="34"/>
      </w:tcPr>
    </w:tblStylePr>
    <w:tblStylePr w:type="band1Horz">
      <w:rPr>
        <w:rFonts w:ascii="Arial" w:hAnsi="Arial" w:cs="Arial" w:hint="default"/>
        <w:color w:val="A6BFDD" w:themeColor="accent1" w:themeTint="80"/>
        <w:sz w:val="22"/>
        <w:szCs w:val="22"/>
      </w:rPr>
      <w:tblPr/>
      <w:tcPr>
        <w:shd w:val="clear" w:color="auto" w:fill="DAE5F1" w:themeFill="accent1" w:themeFillTint="34"/>
      </w:tcPr>
    </w:tblStylePr>
    <w:tblStylePr w:type="band2Horz">
      <w:rPr>
        <w:rFonts w:ascii="Arial" w:hAnsi="Arial" w:cs="Arial" w:hint="default"/>
        <w:color w:val="A6BFDD" w:themeColor="accent1" w:themeTint="80"/>
        <w:sz w:val="22"/>
        <w:szCs w:val="22"/>
      </w:rPr>
    </w:tblStylePr>
  </w:style>
  <w:style w:type="table" w:customStyle="1" w:styleId="GridTable7Colorful-Accent2">
    <w:name w:val="Grid Table 7 Colorful - Accent 2"/>
    <w:basedOn w:val="a1"/>
    <w:uiPriority w:val="99"/>
    <w:qFormat/>
    <w:rsid w:val="009915D0"/>
    <w:rPr>
      <w:rFonts w:ascii="Times New Roman" w:eastAsia="宋体" w:hAnsi="Times New Roman" w:cs="Times New Roman"/>
      <w:kern w:val="0"/>
      <w:sz w:val="20"/>
      <w:szCs w:val="20"/>
    </w:rPr>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b/>
        <w:color w:val="DA9796" w:themeColor="accent2" w:themeTint="96"/>
        <w:sz w:val="22"/>
        <w:szCs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cs="Arial" w:hint="default"/>
        <w:b/>
        <w:color w:val="DA9796" w:themeColor="accent2" w:themeTint="96"/>
        <w:sz w:val="22"/>
        <w:szCs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cs="Arial" w:hint="default"/>
        <w:i/>
        <w:color w:val="DA9796" w:themeColor="accent2" w:themeTint="96"/>
        <w:sz w:val="22"/>
        <w:szCs w:val="22"/>
      </w:rPr>
      <w:tblPr/>
      <w:tcPr>
        <w:tcBorders>
          <w:top w:val="nil"/>
          <w:left w:val="nil"/>
          <w:bottom w:val="nil"/>
          <w:right w:val="single" w:sz="4" w:space="0" w:color="D99695" w:themeColor="accent2" w:themeTint="97"/>
        </w:tcBorders>
        <w:shd w:val="clear" w:color="auto" w:fill="auto"/>
      </w:tcPr>
    </w:tblStylePr>
    <w:tblStylePr w:type="lastCol">
      <w:rPr>
        <w:rFonts w:ascii="Arial" w:hAnsi="Arial" w:cs="Arial" w:hint="default"/>
        <w:i/>
        <w:color w:val="DA9796" w:themeColor="accent2" w:themeTint="96"/>
        <w:sz w:val="22"/>
        <w:szCs w:val="22"/>
      </w:rPr>
      <w:tblPr/>
      <w:tcPr>
        <w:tcBorders>
          <w:top w:val="nil"/>
          <w:left w:val="single" w:sz="4" w:space="0" w:color="D99695" w:themeColor="accent2" w:themeTint="97"/>
          <w:bottom w:val="nil"/>
          <w:right w:val="nil"/>
        </w:tcBorders>
        <w:shd w:val="clear" w:color="auto" w:fill="auto"/>
      </w:tcPr>
    </w:tblStylePr>
    <w:tblStylePr w:type="band1Vert">
      <w:tblPr/>
      <w:tcPr>
        <w:shd w:val="clear" w:color="auto" w:fill="F2DCDC" w:themeFill="accent2" w:themeFillTint="32"/>
      </w:tcPr>
    </w:tblStylePr>
    <w:tblStylePr w:type="band1Horz">
      <w:rPr>
        <w:rFonts w:ascii="Arial" w:hAnsi="Arial" w:cs="Arial" w:hint="default"/>
        <w:color w:val="DA9796" w:themeColor="accent2" w:themeTint="96"/>
        <w:sz w:val="22"/>
        <w:szCs w:val="22"/>
      </w:rPr>
      <w:tblPr/>
      <w:tcPr>
        <w:shd w:val="clear" w:color="auto" w:fill="F2DCDC" w:themeFill="accent2" w:themeFillTint="32"/>
      </w:tcPr>
    </w:tblStylePr>
    <w:tblStylePr w:type="band2Horz">
      <w:rPr>
        <w:rFonts w:ascii="Arial" w:hAnsi="Arial" w:cs="Arial" w:hint="default"/>
        <w:color w:val="DA9796" w:themeColor="accent2" w:themeTint="96"/>
        <w:sz w:val="22"/>
        <w:szCs w:val="22"/>
      </w:rPr>
    </w:tblStylePr>
  </w:style>
  <w:style w:type="table" w:customStyle="1" w:styleId="GridTable7Colorful-Accent3">
    <w:name w:val="Grid Table 7 Colorful - Accent 3"/>
    <w:basedOn w:val="a1"/>
    <w:uiPriority w:val="99"/>
    <w:qFormat/>
    <w:rsid w:val="009915D0"/>
    <w:rPr>
      <w:rFonts w:ascii="Times New Roman" w:eastAsia="宋体" w:hAnsi="Times New Roman" w:cs="Times New Roman"/>
      <w:kern w:val="0"/>
      <w:sz w:val="20"/>
      <w:szCs w:val="20"/>
    </w:rPr>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cs="Arial" w:hint="default"/>
        <w:b/>
        <w:color w:val="9BBB59" w:themeColor="accent3"/>
        <w:sz w:val="22"/>
        <w:szCs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cs="Arial" w:hint="default"/>
        <w:b/>
        <w:color w:val="9BBB59" w:themeColor="accent3"/>
        <w:sz w:val="22"/>
        <w:szCs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cs="Arial" w:hint="default"/>
        <w:i/>
        <w:color w:val="9BBB59" w:themeColor="accent3"/>
        <w:sz w:val="22"/>
        <w:szCs w:val="22"/>
      </w:rPr>
      <w:tblPr/>
      <w:tcPr>
        <w:tcBorders>
          <w:top w:val="nil"/>
          <w:left w:val="nil"/>
          <w:bottom w:val="nil"/>
          <w:right w:val="single" w:sz="4" w:space="0" w:color="9ABB59" w:themeColor="accent3" w:themeTint="FE"/>
        </w:tcBorders>
        <w:shd w:val="clear" w:color="auto" w:fill="auto"/>
      </w:tcPr>
    </w:tblStylePr>
    <w:tblStylePr w:type="lastCol">
      <w:rPr>
        <w:rFonts w:ascii="Arial" w:hAnsi="Arial" w:cs="Arial" w:hint="default"/>
        <w:i/>
        <w:color w:val="9BBB59" w:themeColor="accent3"/>
        <w:sz w:val="22"/>
        <w:szCs w:val="22"/>
      </w:rPr>
      <w:tblPr/>
      <w:tcPr>
        <w:tcBorders>
          <w:top w:val="nil"/>
          <w:left w:val="single" w:sz="4" w:space="0" w:color="9ABB59" w:themeColor="accent3" w:themeTint="FE"/>
          <w:bottom w:val="nil"/>
          <w:right w:val="nil"/>
        </w:tcBorders>
        <w:shd w:val="clear" w:color="auto" w:fill="auto"/>
      </w:tcPr>
    </w:tblStylePr>
    <w:tblStylePr w:type="band1Vert">
      <w:tblPr/>
      <w:tcPr>
        <w:shd w:val="clear" w:color="auto" w:fill="EAF1DC" w:themeFill="accent3" w:themeFillTint="34"/>
      </w:tcPr>
    </w:tblStylePr>
    <w:tblStylePr w:type="band1Horz">
      <w:rPr>
        <w:rFonts w:ascii="Arial" w:hAnsi="Arial" w:cs="Arial" w:hint="default"/>
        <w:color w:val="9BBB59" w:themeColor="accent3"/>
        <w:sz w:val="22"/>
        <w:szCs w:val="22"/>
      </w:rPr>
      <w:tblPr/>
      <w:tcPr>
        <w:shd w:val="clear" w:color="auto" w:fill="EAF1DC" w:themeFill="accent3" w:themeFillTint="34"/>
      </w:tcPr>
    </w:tblStylePr>
    <w:tblStylePr w:type="band2Horz">
      <w:rPr>
        <w:rFonts w:ascii="Arial" w:hAnsi="Arial" w:cs="Arial" w:hint="default"/>
        <w:color w:val="9BBB59" w:themeColor="accent3"/>
        <w:sz w:val="22"/>
        <w:szCs w:val="22"/>
      </w:rPr>
    </w:tblStylePr>
  </w:style>
  <w:style w:type="table" w:customStyle="1" w:styleId="GridTable7Colorful-Accent4">
    <w:name w:val="Grid Table 7 Colorful - Accent 4"/>
    <w:basedOn w:val="a1"/>
    <w:uiPriority w:val="99"/>
    <w:qFormat/>
    <w:rsid w:val="009915D0"/>
    <w:rPr>
      <w:rFonts w:ascii="Times New Roman" w:eastAsia="宋体" w:hAnsi="Times New Roman" w:cs="Times New Roman"/>
      <w:kern w:val="0"/>
      <w:sz w:val="20"/>
      <w:szCs w:val="20"/>
    </w:rPr>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b/>
        <w:color w:val="B2A1C7" w:themeColor="accent4" w:themeTint="99"/>
        <w:sz w:val="22"/>
        <w:szCs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cs="Arial" w:hint="default"/>
        <w:b/>
        <w:color w:val="B2A1C7" w:themeColor="accent4" w:themeTint="99"/>
        <w:sz w:val="22"/>
        <w:szCs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cs="Arial" w:hint="default"/>
        <w:i/>
        <w:color w:val="B2A1C7" w:themeColor="accent4" w:themeTint="99"/>
        <w:sz w:val="22"/>
        <w:szCs w:val="22"/>
      </w:rPr>
      <w:tblPr/>
      <w:tcPr>
        <w:tcBorders>
          <w:top w:val="nil"/>
          <w:left w:val="nil"/>
          <w:bottom w:val="nil"/>
          <w:right w:val="single" w:sz="4" w:space="0" w:color="B2A1C6" w:themeColor="accent4" w:themeTint="9A"/>
        </w:tcBorders>
        <w:shd w:val="clear" w:color="auto" w:fill="auto"/>
      </w:tcPr>
    </w:tblStylePr>
    <w:tblStylePr w:type="lastCol">
      <w:rPr>
        <w:rFonts w:ascii="Arial" w:hAnsi="Arial" w:cs="Arial" w:hint="default"/>
        <w:i/>
        <w:color w:val="B2A1C7" w:themeColor="accent4" w:themeTint="99"/>
        <w:sz w:val="22"/>
        <w:szCs w:val="22"/>
      </w:rPr>
      <w:tblPr/>
      <w:tcPr>
        <w:tcBorders>
          <w:top w:val="nil"/>
          <w:left w:val="single" w:sz="4" w:space="0" w:color="B2A1C6" w:themeColor="accent4" w:themeTint="9A"/>
          <w:bottom w:val="nil"/>
          <w:right w:val="nil"/>
        </w:tcBorders>
        <w:shd w:val="clear" w:color="auto" w:fill="auto"/>
      </w:tcPr>
    </w:tblStylePr>
    <w:tblStylePr w:type="band1Vert">
      <w:tblPr/>
      <w:tcPr>
        <w:shd w:val="clear" w:color="auto" w:fill="E5DFEC" w:themeFill="accent4" w:themeFillTint="34"/>
      </w:tcPr>
    </w:tblStylePr>
    <w:tblStylePr w:type="band1Horz">
      <w:rPr>
        <w:rFonts w:ascii="Arial" w:hAnsi="Arial" w:cs="Arial" w:hint="default"/>
        <w:color w:val="B2A1C7" w:themeColor="accent4" w:themeTint="99"/>
        <w:sz w:val="22"/>
        <w:szCs w:val="22"/>
      </w:rPr>
      <w:tblPr/>
      <w:tcPr>
        <w:shd w:val="clear" w:color="auto" w:fill="E5DFEC" w:themeFill="accent4" w:themeFillTint="34"/>
      </w:tcPr>
    </w:tblStylePr>
    <w:tblStylePr w:type="band2Horz">
      <w:rPr>
        <w:rFonts w:ascii="Arial" w:hAnsi="Arial" w:cs="Arial" w:hint="default"/>
        <w:color w:val="B2A1C7" w:themeColor="accent4" w:themeTint="99"/>
        <w:sz w:val="22"/>
        <w:szCs w:val="22"/>
      </w:rPr>
    </w:tblStylePr>
  </w:style>
  <w:style w:type="table" w:customStyle="1" w:styleId="GridTable7Colorful-Accent5">
    <w:name w:val="Grid Table 7 Colorful - Accent 5"/>
    <w:basedOn w:val="a1"/>
    <w:uiPriority w:val="99"/>
    <w:qFormat/>
    <w:rsid w:val="009915D0"/>
    <w:rPr>
      <w:rFonts w:ascii="Times New Roman" w:eastAsia="宋体" w:hAnsi="Times New Roman" w:cs="Times New Roman"/>
      <w:kern w:val="0"/>
      <w:sz w:val="20"/>
      <w:szCs w:val="20"/>
    </w:rPr>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266678" w:themeColor="accent5" w:themeShade="94"/>
        <w:sz w:val="22"/>
        <w:szCs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cs="Arial" w:hint="default"/>
        <w:b/>
        <w:color w:val="266678" w:themeColor="accent5" w:themeShade="94"/>
        <w:sz w:val="22"/>
        <w:szCs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cs="Arial" w:hint="default"/>
        <w:i/>
        <w:color w:val="266678" w:themeColor="accent5" w:themeShade="94"/>
        <w:sz w:val="22"/>
        <w:szCs w:val="22"/>
      </w:rPr>
      <w:tblPr/>
      <w:tcPr>
        <w:tcBorders>
          <w:top w:val="nil"/>
          <w:left w:val="nil"/>
          <w:bottom w:val="nil"/>
          <w:right w:val="single" w:sz="4" w:space="0" w:color="99D0DE" w:themeColor="accent5" w:themeTint="90"/>
        </w:tcBorders>
        <w:shd w:val="clear" w:color="auto" w:fill="auto"/>
      </w:tcPr>
    </w:tblStylePr>
    <w:tblStylePr w:type="lastCol">
      <w:rPr>
        <w:rFonts w:ascii="Arial" w:hAnsi="Arial" w:cs="Arial" w:hint="default"/>
        <w:i/>
        <w:color w:val="266678" w:themeColor="accent5" w:themeShade="94"/>
        <w:sz w:val="22"/>
        <w:szCs w:val="22"/>
      </w:rPr>
      <w:tblPr/>
      <w:tcPr>
        <w:tcBorders>
          <w:top w:val="nil"/>
          <w:left w:val="single" w:sz="4" w:space="0" w:color="99D0DE" w:themeColor="accent5" w:themeTint="90"/>
          <w:bottom w:val="nil"/>
          <w:right w:val="nil"/>
        </w:tcBorders>
        <w:shd w:val="clear" w:color="auto" w:fill="auto"/>
      </w:tcPr>
    </w:tblStylePr>
    <w:tblStylePr w:type="band1Vert">
      <w:tblPr/>
      <w:tcPr>
        <w:shd w:val="clear" w:color="auto" w:fill="DAEEF3" w:themeFill="accent5" w:themeFillTint="34"/>
      </w:tcPr>
    </w:tblStylePr>
    <w:tblStylePr w:type="band1Horz">
      <w:rPr>
        <w:rFonts w:ascii="Arial" w:hAnsi="Arial" w:cs="Arial" w:hint="default"/>
        <w:color w:val="266678" w:themeColor="accent5" w:themeShade="94"/>
        <w:sz w:val="22"/>
        <w:szCs w:val="22"/>
      </w:rPr>
      <w:tblPr/>
      <w:tcPr>
        <w:shd w:val="clear" w:color="auto" w:fill="DAEEF3" w:themeFill="accent5" w:themeFillTint="34"/>
      </w:tcPr>
    </w:tblStylePr>
    <w:tblStylePr w:type="band2Horz">
      <w:rPr>
        <w:rFonts w:ascii="Arial" w:hAnsi="Arial" w:cs="Arial" w:hint="default"/>
        <w:color w:val="266678" w:themeColor="accent5" w:themeShade="94"/>
        <w:sz w:val="22"/>
        <w:szCs w:val="22"/>
      </w:rPr>
    </w:tblStylePr>
  </w:style>
  <w:style w:type="table" w:customStyle="1" w:styleId="GridTable7Colorful-Accent6">
    <w:name w:val="Grid Table 7 Colorful - Accent 6"/>
    <w:basedOn w:val="a1"/>
    <w:uiPriority w:val="99"/>
    <w:qFormat/>
    <w:rsid w:val="009915D0"/>
    <w:rPr>
      <w:rFonts w:ascii="Times New Roman" w:eastAsia="宋体" w:hAnsi="Times New Roman" w:cs="Times New Roman"/>
      <w:kern w:val="0"/>
      <w:sz w:val="20"/>
      <w:szCs w:val="20"/>
    </w:rPr>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B05307" w:themeColor="accent6" w:themeShade="94"/>
        <w:sz w:val="22"/>
        <w:szCs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cs="Arial" w:hint="default"/>
        <w:b/>
        <w:color w:val="B05307" w:themeColor="accent6" w:themeShade="94"/>
        <w:sz w:val="22"/>
        <w:szCs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cs="Arial" w:hint="default"/>
        <w:i/>
        <w:color w:val="B05307" w:themeColor="accent6" w:themeShade="94"/>
        <w:sz w:val="22"/>
        <w:szCs w:val="22"/>
      </w:rPr>
      <w:tblPr/>
      <w:tcPr>
        <w:tcBorders>
          <w:top w:val="nil"/>
          <w:left w:val="nil"/>
          <w:bottom w:val="nil"/>
          <w:right w:val="single" w:sz="4" w:space="0" w:color="FAC396" w:themeColor="accent6" w:themeTint="90"/>
        </w:tcBorders>
        <w:shd w:val="clear" w:color="auto" w:fill="auto"/>
      </w:tcPr>
    </w:tblStylePr>
    <w:tblStylePr w:type="lastCol">
      <w:rPr>
        <w:rFonts w:ascii="Arial" w:hAnsi="Arial" w:cs="Arial" w:hint="default"/>
        <w:i/>
        <w:color w:val="B05307" w:themeColor="accent6" w:themeShade="94"/>
        <w:sz w:val="22"/>
        <w:szCs w:val="22"/>
      </w:rPr>
      <w:tblPr/>
      <w:tcPr>
        <w:tcBorders>
          <w:top w:val="nil"/>
          <w:left w:val="single" w:sz="4" w:space="0" w:color="FAC396" w:themeColor="accent6" w:themeTint="90"/>
          <w:bottom w:val="nil"/>
          <w:right w:val="nil"/>
        </w:tcBorders>
        <w:shd w:val="clear" w:color="auto" w:fill="auto"/>
      </w:tcPr>
    </w:tblStylePr>
    <w:tblStylePr w:type="band1Vert">
      <w:tblPr/>
      <w:tcPr>
        <w:shd w:val="clear" w:color="auto" w:fill="FDE9D8" w:themeFill="accent6" w:themeFillTint="34"/>
      </w:tcPr>
    </w:tblStylePr>
    <w:tblStylePr w:type="band1Horz">
      <w:rPr>
        <w:rFonts w:ascii="Arial" w:hAnsi="Arial" w:cs="Arial" w:hint="default"/>
        <w:color w:val="B05307" w:themeColor="accent6" w:themeShade="94"/>
        <w:sz w:val="22"/>
        <w:szCs w:val="22"/>
      </w:rPr>
      <w:tblPr/>
      <w:tcPr>
        <w:shd w:val="clear" w:color="auto" w:fill="FDE9D8" w:themeFill="accent6" w:themeFillTint="34"/>
      </w:tcPr>
    </w:tblStylePr>
    <w:tblStylePr w:type="band2Horz">
      <w:rPr>
        <w:rFonts w:ascii="Arial" w:hAnsi="Arial" w:cs="Arial" w:hint="default"/>
        <w:color w:val="B05307" w:themeColor="accent6" w:themeShade="94"/>
        <w:sz w:val="22"/>
        <w:szCs w:val="22"/>
      </w:rPr>
    </w:tblStylePr>
  </w:style>
  <w:style w:type="table" w:customStyle="1" w:styleId="113">
    <w:name w:val="清单表 1 浅色1"/>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qFormat/>
    <w:rsid w:val="009915D0"/>
    <w:rPr>
      <w:rFonts w:ascii="Times New Roman" w:eastAsia="宋体" w:hAnsi="Times New Roman" w:cs="Times New Roman"/>
      <w:kern w:val="0"/>
      <w:sz w:val="20"/>
      <w:szCs w:val="20"/>
    </w:rPr>
    <w:tblPr>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4">
    <w:name w:val="清单表 21"/>
    <w:basedOn w:val="a1"/>
    <w:uiPriority w:val="99"/>
    <w:qFormat/>
    <w:rsid w:val="009915D0"/>
    <w:rPr>
      <w:rFonts w:ascii="Times New Roman" w:eastAsia="宋体" w:hAnsi="Times New Roman" w:cs="Times New Roman"/>
      <w:kern w:val="0"/>
      <w:sz w:val="20"/>
      <w:szCs w:val="20"/>
    </w:rPr>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cs="Arial" w:hint="default"/>
        <w:b/>
        <w:color w:val="404040"/>
        <w:sz w:val="22"/>
        <w:szCs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2-Accent1">
    <w:name w:val="List Table 2 - Accent 1"/>
    <w:basedOn w:val="a1"/>
    <w:uiPriority w:val="99"/>
    <w:qFormat/>
    <w:rsid w:val="009915D0"/>
    <w:rPr>
      <w:rFonts w:ascii="Times New Roman" w:eastAsia="宋体" w:hAnsi="Times New Roman" w:cs="Times New Roman"/>
      <w:kern w:val="0"/>
      <w:sz w:val="20"/>
      <w:szCs w:val="20"/>
    </w:rPr>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cs="Arial" w:hint="default"/>
        <w:b/>
        <w:color w:val="404040"/>
        <w:sz w:val="22"/>
        <w:szCs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hemeFill="accent1" w:themeFillTint="40"/>
      </w:tcPr>
    </w:tblStylePr>
    <w:tblStylePr w:type="band1Horz">
      <w:rPr>
        <w:rFonts w:ascii="Arial" w:hAnsi="Arial" w:cs="Arial" w:hint="default"/>
        <w:color w:val="404040"/>
        <w:sz w:val="22"/>
        <w:szCs w:val="22"/>
      </w:rPr>
      <w:tblPr/>
      <w:tcPr>
        <w:shd w:val="clear" w:color="auto" w:fill="D2DFEE" w:themeFill="accent1" w:themeFillTint="40"/>
      </w:tcPr>
    </w:tblStylePr>
  </w:style>
  <w:style w:type="table" w:customStyle="1" w:styleId="ListTable2-Accent2">
    <w:name w:val="List Table 2 - Accent 2"/>
    <w:basedOn w:val="a1"/>
    <w:uiPriority w:val="99"/>
    <w:qFormat/>
    <w:rsid w:val="009915D0"/>
    <w:rPr>
      <w:rFonts w:ascii="Times New Roman" w:eastAsia="宋体" w:hAnsi="Times New Roman" w:cs="Times New Roman"/>
      <w:kern w:val="0"/>
      <w:sz w:val="20"/>
      <w:szCs w:val="20"/>
    </w:rPr>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cs="Arial" w:hint="default"/>
        <w:b/>
        <w:color w:val="404040"/>
        <w:sz w:val="22"/>
        <w:szCs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hemeFill="accent2" w:themeFillTint="40"/>
      </w:tcPr>
    </w:tblStylePr>
    <w:tblStylePr w:type="band1Horz">
      <w:rPr>
        <w:rFonts w:ascii="Arial" w:hAnsi="Arial" w:cs="Arial" w:hint="default"/>
        <w:color w:val="404040"/>
        <w:sz w:val="22"/>
        <w:szCs w:val="22"/>
      </w:rPr>
      <w:tblPr/>
      <w:tcPr>
        <w:shd w:val="clear" w:color="auto" w:fill="EFD2D2" w:themeFill="accent2" w:themeFillTint="40"/>
      </w:tcPr>
    </w:tblStylePr>
  </w:style>
  <w:style w:type="table" w:customStyle="1" w:styleId="ListTable2-Accent3">
    <w:name w:val="List Table 2 - Accent 3"/>
    <w:basedOn w:val="a1"/>
    <w:uiPriority w:val="99"/>
    <w:qFormat/>
    <w:rsid w:val="009915D0"/>
    <w:rPr>
      <w:rFonts w:ascii="Times New Roman" w:eastAsia="宋体" w:hAnsi="Times New Roman" w:cs="Times New Roman"/>
      <w:kern w:val="0"/>
      <w:sz w:val="20"/>
      <w:szCs w:val="20"/>
    </w:rPr>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cs="Arial" w:hint="default"/>
        <w:b/>
        <w:color w:val="404040"/>
        <w:sz w:val="22"/>
        <w:szCs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hemeFill="accent3" w:themeFillTint="40"/>
      </w:tcPr>
    </w:tblStylePr>
    <w:tblStylePr w:type="band1Horz">
      <w:rPr>
        <w:rFonts w:ascii="Arial" w:hAnsi="Arial" w:cs="Arial" w:hint="default"/>
        <w:color w:val="404040"/>
        <w:sz w:val="22"/>
        <w:szCs w:val="22"/>
      </w:rPr>
      <w:tblPr/>
      <w:tcPr>
        <w:shd w:val="clear" w:color="auto" w:fill="E5EED5" w:themeFill="accent3" w:themeFillTint="40"/>
      </w:tcPr>
    </w:tblStylePr>
  </w:style>
  <w:style w:type="table" w:customStyle="1" w:styleId="ListTable2-Accent4">
    <w:name w:val="List Table 2 - Accent 4"/>
    <w:basedOn w:val="a1"/>
    <w:uiPriority w:val="99"/>
    <w:qFormat/>
    <w:rsid w:val="009915D0"/>
    <w:rPr>
      <w:rFonts w:ascii="Times New Roman" w:eastAsia="宋体" w:hAnsi="Times New Roman" w:cs="Times New Roman"/>
      <w:kern w:val="0"/>
      <w:sz w:val="20"/>
      <w:szCs w:val="20"/>
    </w:rPr>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cs="Arial" w:hint="default"/>
        <w:b/>
        <w:color w:val="404040"/>
        <w:sz w:val="22"/>
        <w:szCs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hemeFill="accent4" w:themeFillTint="40"/>
      </w:tcPr>
    </w:tblStylePr>
    <w:tblStylePr w:type="band1Horz">
      <w:rPr>
        <w:rFonts w:ascii="Arial" w:hAnsi="Arial" w:cs="Arial" w:hint="default"/>
        <w:color w:val="404040"/>
        <w:sz w:val="22"/>
        <w:szCs w:val="22"/>
      </w:rPr>
      <w:tblPr/>
      <w:tcPr>
        <w:shd w:val="clear" w:color="auto" w:fill="DFD8E7" w:themeFill="accent4" w:themeFillTint="40"/>
      </w:tcPr>
    </w:tblStylePr>
  </w:style>
  <w:style w:type="table" w:customStyle="1" w:styleId="ListTable2-Accent5">
    <w:name w:val="List Table 2 - Accent 5"/>
    <w:basedOn w:val="a1"/>
    <w:uiPriority w:val="99"/>
    <w:qFormat/>
    <w:rsid w:val="009915D0"/>
    <w:rPr>
      <w:rFonts w:ascii="Times New Roman" w:eastAsia="宋体" w:hAnsi="Times New Roman" w:cs="Times New Roman"/>
      <w:kern w:val="0"/>
      <w:sz w:val="20"/>
      <w:szCs w:val="20"/>
    </w:rPr>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cs="Arial" w:hint="default"/>
        <w:b/>
        <w:color w:val="404040"/>
        <w:sz w:val="22"/>
        <w:szCs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hemeFill="accent5" w:themeFillTint="40"/>
      </w:tcPr>
    </w:tblStylePr>
    <w:tblStylePr w:type="band1Horz">
      <w:rPr>
        <w:rFonts w:ascii="Arial" w:hAnsi="Arial" w:cs="Arial" w:hint="default"/>
        <w:color w:val="404040"/>
        <w:sz w:val="22"/>
        <w:szCs w:val="22"/>
      </w:rPr>
      <w:tblPr/>
      <w:tcPr>
        <w:shd w:val="clear" w:color="auto" w:fill="D1EAF0" w:themeFill="accent5" w:themeFillTint="40"/>
      </w:tcPr>
    </w:tblStylePr>
  </w:style>
  <w:style w:type="table" w:customStyle="1" w:styleId="ListTable2-Accent6">
    <w:name w:val="List Table 2 - Accent 6"/>
    <w:basedOn w:val="a1"/>
    <w:uiPriority w:val="99"/>
    <w:qFormat/>
    <w:rsid w:val="009915D0"/>
    <w:rPr>
      <w:rFonts w:ascii="Times New Roman" w:eastAsia="宋体" w:hAnsi="Times New Roman" w:cs="Times New Roman"/>
      <w:kern w:val="0"/>
      <w:sz w:val="20"/>
      <w:szCs w:val="20"/>
    </w:rPr>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cs="Arial" w:hint="default"/>
        <w:b/>
        <w:color w:val="404040"/>
        <w:sz w:val="22"/>
        <w:szCs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hemeFill="accent6" w:themeFillTint="40"/>
      </w:tcPr>
    </w:tblStylePr>
    <w:tblStylePr w:type="band1Horz">
      <w:rPr>
        <w:rFonts w:ascii="Arial" w:hAnsi="Arial" w:cs="Arial" w:hint="default"/>
        <w:color w:val="404040"/>
        <w:sz w:val="22"/>
        <w:szCs w:val="22"/>
      </w:rPr>
      <w:tblPr/>
      <w:tcPr>
        <w:shd w:val="clear" w:color="auto" w:fill="FDE4D0" w:themeFill="accent6" w:themeFillTint="40"/>
      </w:tcPr>
    </w:tblStylePr>
  </w:style>
  <w:style w:type="table" w:customStyle="1" w:styleId="314">
    <w:name w:val="清单表 31"/>
    <w:basedOn w:val="a1"/>
    <w:uiPriority w:val="99"/>
    <w:qFormat/>
    <w:rsid w:val="009915D0"/>
    <w:rPr>
      <w:rFonts w:ascii="Times New Roman" w:eastAsia="宋体" w:hAnsi="Times New Roman"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rsid w:val="009915D0"/>
    <w:rPr>
      <w:rFonts w:ascii="Times New Roman" w:eastAsia="宋体" w:hAnsi="Times New Roman" w:cs="Times New Roman"/>
      <w:kern w:val="0"/>
      <w:sz w:val="20"/>
      <w:szCs w:val="20"/>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themeColor="accent1"/>
          <w:right w:val="single" w:sz="4" w:space="0" w:color="4F81BD" w:themeColor="accent1"/>
        </w:tcBorders>
      </w:tcPr>
    </w:tblStylePr>
    <w:tblStylePr w:type="band1Horz">
      <w:rPr>
        <w:rFonts w:ascii="Arial" w:hAnsi="Arial" w:cs="Arial" w:hint="default"/>
        <w:color w:val="404040"/>
        <w:sz w:val="22"/>
        <w:szCs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rsid w:val="009915D0"/>
    <w:rPr>
      <w:rFonts w:ascii="Times New Roman" w:eastAsia="宋体" w:hAnsi="Times New Roman" w:cs="Times New Roman"/>
      <w:kern w:val="0"/>
      <w:sz w:val="20"/>
      <w:szCs w:val="20"/>
    </w:rPr>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s="Arial" w:hint="default"/>
        <w:color w:val="404040"/>
        <w:sz w:val="22"/>
        <w:szCs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rsid w:val="009915D0"/>
    <w:rPr>
      <w:rFonts w:ascii="Times New Roman" w:eastAsia="宋体" w:hAnsi="Times New Roman" w:cs="Times New Roman"/>
      <w:kern w:val="0"/>
      <w:sz w:val="20"/>
      <w:szCs w:val="20"/>
    </w:rPr>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s="Arial" w:hint="default"/>
        <w:color w:val="404040"/>
        <w:sz w:val="22"/>
        <w:szCs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rsid w:val="009915D0"/>
    <w:rPr>
      <w:rFonts w:ascii="Times New Roman" w:eastAsia="宋体" w:hAnsi="Times New Roman" w:cs="Times New Roman"/>
      <w:kern w:val="0"/>
      <w:sz w:val="20"/>
      <w:szCs w:val="20"/>
    </w:rPr>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s="Arial" w:hint="default"/>
        <w:color w:val="404040"/>
        <w:sz w:val="22"/>
        <w:szCs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rsid w:val="009915D0"/>
    <w:rPr>
      <w:rFonts w:ascii="Times New Roman" w:eastAsia="宋体" w:hAnsi="Times New Roman" w:cs="Times New Roman"/>
      <w:kern w:val="0"/>
      <w:sz w:val="20"/>
      <w:szCs w:val="20"/>
    </w:rPr>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s="Arial" w:hint="default"/>
        <w:color w:val="404040"/>
        <w:sz w:val="22"/>
        <w:szCs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rsid w:val="009915D0"/>
    <w:rPr>
      <w:rFonts w:ascii="Times New Roman" w:eastAsia="宋体" w:hAnsi="Times New Roman" w:cs="Times New Roman"/>
      <w:kern w:val="0"/>
      <w:sz w:val="20"/>
      <w:szCs w:val="20"/>
    </w:rPr>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s="Arial" w:hint="default"/>
        <w:color w:val="404040"/>
        <w:sz w:val="22"/>
        <w:szCs w:val="22"/>
      </w:rPr>
      <w:tblPr/>
      <w:tcPr>
        <w:tcBorders>
          <w:top w:val="single" w:sz="4" w:space="0" w:color="FAC090" w:themeColor="accent6" w:themeTint="98"/>
          <w:bottom w:val="single" w:sz="4" w:space="0" w:color="FAC090" w:themeColor="accent6" w:themeTint="98"/>
        </w:tcBorders>
      </w:tcPr>
    </w:tblStylePr>
  </w:style>
  <w:style w:type="table" w:customStyle="1" w:styleId="413">
    <w:name w:val="清单表 41"/>
    <w:basedOn w:val="a1"/>
    <w:uiPriority w:val="99"/>
    <w:qFormat/>
    <w:rsid w:val="009915D0"/>
    <w:rPr>
      <w:rFonts w:ascii="Times New Roman" w:eastAsia="宋体" w:hAnsi="Times New Roman"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4-Accent1">
    <w:name w:val="List Table 4 - Accent 1"/>
    <w:basedOn w:val="a1"/>
    <w:uiPriority w:val="99"/>
    <w:qFormat/>
    <w:rsid w:val="009915D0"/>
    <w:rPr>
      <w:rFonts w:ascii="Times New Roman" w:eastAsia="宋体" w:hAnsi="Times New Roman" w:cs="Times New Roman"/>
      <w:kern w:val="0"/>
      <w:sz w:val="20"/>
      <w:szCs w:val="20"/>
    </w:rPr>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hemeFill="accent1" w:themeFillTint="40"/>
      </w:tcPr>
    </w:tblStylePr>
    <w:tblStylePr w:type="band1Horz">
      <w:rPr>
        <w:rFonts w:ascii="Arial" w:hAnsi="Arial" w:cs="Arial" w:hint="default"/>
        <w:color w:val="404040"/>
        <w:sz w:val="22"/>
        <w:szCs w:val="22"/>
      </w:rPr>
      <w:tblPr/>
      <w:tcPr>
        <w:shd w:val="clear" w:color="auto" w:fill="D2DFEE" w:themeFill="accent1" w:themeFillTint="40"/>
      </w:tcPr>
    </w:tblStylePr>
  </w:style>
  <w:style w:type="table" w:customStyle="1" w:styleId="ListTable4-Accent2">
    <w:name w:val="List Table 4 - Accent 2"/>
    <w:basedOn w:val="a1"/>
    <w:uiPriority w:val="99"/>
    <w:qFormat/>
    <w:rsid w:val="009915D0"/>
    <w:rPr>
      <w:rFonts w:ascii="Times New Roman" w:eastAsia="宋体" w:hAnsi="Times New Roman" w:cs="Times New Roman"/>
      <w:kern w:val="0"/>
      <w:sz w:val="20"/>
      <w:szCs w:val="20"/>
    </w:rPr>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hemeFill="accent2" w:themeFillTint="40"/>
      </w:tcPr>
    </w:tblStylePr>
    <w:tblStylePr w:type="band1Horz">
      <w:rPr>
        <w:rFonts w:ascii="Arial" w:hAnsi="Arial" w:cs="Arial" w:hint="default"/>
        <w:color w:val="404040"/>
        <w:sz w:val="22"/>
        <w:szCs w:val="22"/>
      </w:rPr>
      <w:tblPr/>
      <w:tcPr>
        <w:shd w:val="clear" w:color="auto" w:fill="EFD2D2" w:themeFill="accent2" w:themeFillTint="40"/>
      </w:tcPr>
    </w:tblStylePr>
  </w:style>
  <w:style w:type="table" w:customStyle="1" w:styleId="ListTable4-Accent3">
    <w:name w:val="List Table 4 - Accent 3"/>
    <w:basedOn w:val="a1"/>
    <w:uiPriority w:val="99"/>
    <w:qFormat/>
    <w:rsid w:val="009915D0"/>
    <w:rPr>
      <w:rFonts w:ascii="Times New Roman" w:eastAsia="宋体" w:hAnsi="Times New Roman" w:cs="Times New Roman"/>
      <w:kern w:val="0"/>
      <w:sz w:val="20"/>
      <w:szCs w:val="20"/>
    </w:rPr>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hemeFill="accent3" w:themeFillTint="40"/>
      </w:tcPr>
    </w:tblStylePr>
    <w:tblStylePr w:type="band1Horz">
      <w:rPr>
        <w:rFonts w:ascii="Arial" w:hAnsi="Arial" w:cs="Arial" w:hint="default"/>
        <w:color w:val="404040"/>
        <w:sz w:val="22"/>
        <w:szCs w:val="22"/>
      </w:rPr>
      <w:tblPr/>
      <w:tcPr>
        <w:shd w:val="clear" w:color="auto" w:fill="E5EED5" w:themeFill="accent3" w:themeFillTint="40"/>
      </w:tcPr>
    </w:tblStylePr>
  </w:style>
  <w:style w:type="table" w:customStyle="1" w:styleId="ListTable4-Accent4">
    <w:name w:val="List Table 4 - Accent 4"/>
    <w:basedOn w:val="a1"/>
    <w:uiPriority w:val="99"/>
    <w:qFormat/>
    <w:rsid w:val="009915D0"/>
    <w:rPr>
      <w:rFonts w:ascii="Times New Roman" w:eastAsia="宋体" w:hAnsi="Times New Roman" w:cs="Times New Roman"/>
      <w:kern w:val="0"/>
      <w:sz w:val="20"/>
      <w:szCs w:val="20"/>
    </w:rPr>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hemeFill="accent4" w:themeFillTint="40"/>
      </w:tcPr>
    </w:tblStylePr>
    <w:tblStylePr w:type="band1Horz">
      <w:rPr>
        <w:rFonts w:ascii="Arial" w:hAnsi="Arial" w:cs="Arial" w:hint="default"/>
        <w:color w:val="404040"/>
        <w:sz w:val="22"/>
        <w:szCs w:val="22"/>
      </w:rPr>
      <w:tblPr/>
      <w:tcPr>
        <w:shd w:val="clear" w:color="auto" w:fill="DFD8E7" w:themeFill="accent4" w:themeFillTint="40"/>
      </w:tcPr>
    </w:tblStylePr>
  </w:style>
  <w:style w:type="table" w:customStyle="1" w:styleId="ListTable4-Accent5">
    <w:name w:val="List Table 4 - Accent 5"/>
    <w:basedOn w:val="a1"/>
    <w:uiPriority w:val="99"/>
    <w:qFormat/>
    <w:rsid w:val="009915D0"/>
    <w:rPr>
      <w:rFonts w:ascii="Times New Roman" w:eastAsia="宋体" w:hAnsi="Times New Roman" w:cs="Times New Roman"/>
      <w:kern w:val="0"/>
      <w:sz w:val="20"/>
      <w:szCs w:val="20"/>
    </w:rPr>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hemeFill="accent5" w:themeFillTint="40"/>
      </w:tcPr>
    </w:tblStylePr>
    <w:tblStylePr w:type="band1Horz">
      <w:rPr>
        <w:rFonts w:ascii="Arial" w:hAnsi="Arial" w:cs="Arial" w:hint="default"/>
        <w:color w:val="404040"/>
        <w:sz w:val="22"/>
        <w:szCs w:val="22"/>
      </w:rPr>
      <w:tblPr/>
      <w:tcPr>
        <w:shd w:val="clear" w:color="auto" w:fill="D1EAF0" w:themeFill="accent5" w:themeFillTint="40"/>
      </w:tcPr>
    </w:tblStylePr>
  </w:style>
  <w:style w:type="table" w:customStyle="1" w:styleId="ListTable4-Accent6">
    <w:name w:val="List Table 4 - Accent 6"/>
    <w:basedOn w:val="a1"/>
    <w:uiPriority w:val="99"/>
    <w:qFormat/>
    <w:rsid w:val="009915D0"/>
    <w:rPr>
      <w:rFonts w:ascii="Times New Roman" w:eastAsia="宋体" w:hAnsi="Times New Roman" w:cs="Times New Roman"/>
      <w:kern w:val="0"/>
      <w:sz w:val="20"/>
      <w:szCs w:val="20"/>
    </w:rPr>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hemeFill="accent6" w:themeFillTint="40"/>
      </w:tcPr>
    </w:tblStylePr>
    <w:tblStylePr w:type="band1Horz">
      <w:rPr>
        <w:rFonts w:ascii="Arial" w:hAnsi="Arial" w:cs="Arial" w:hint="default"/>
        <w:color w:val="404040"/>
        <w:sz w:val="22"/>
        <w:szCs w:val="22"/>
      </w:rPr>
      <w:tblPr/>
      <w:tcPr>
        <w:shd w:val="clear" w:color="auto" w:fill="FDE4D0" w:themeFill="accent6" w:themeFillTint="40"/>
      </w:tcPr>
    </w:tblStylePr>
  </w:style>
  <w:style w:type="table" w:customStyle="1" w:styleId="513">
    <w:name w:val="清单表 5 深色1"/>
    <w:basedOn w:val="a1"/>
    <w:uiPriority w:val="99"/>
    <w:qFormat/>
    <w:rsid w:val="009915D0"/>
    <w:rPr>
      <w:rFonts w:ascii="Times New Roman" w:eastAsia="宋体" w:hAnsi="Times New Roman" w:cs="Times New Roman"/>
      <w:kern w:val="0"/>
      <w:sz w:val="20"/>
      <w:szCs w:val="20"/>
    </w:rPr>
    <w:tblPr>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qFormat/>
    <w:rsid w:val="009915D0"/>
    <w:rPr>
      <w:rFonts w:ascii="Times New Roman" w:eastAsia="宋体" w:hAnsi="Times New Roman" w:cs="Times New Roman"/>
      <w:kern w:val="0"/>
      <w:sz w:val="20"/>
      <w:szCs w:val="20"/>
    </w:rPr>
    <w:tblPr>
      <w:tblBorders>
        <w:top w:val="single" w:sz="36" w:space="0" w:color="4F81BD" w:themeColor="accent1"/>
        <w:left w:val="single" w:sz="36" w:space="0" w:color="4F81BD" w:themeColor="accent1"/>
        <w:bottom w:val="single" w:sz="36" w:space="0" w:color="4F81BD" w:themeColor="accent1"/>
        <w:right w:val="single" w:sz="36" w:space="0" w:color="4F81BD" w:themeColor="accent1"/>
      </w:tblBorders>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4F81BD" w:themeColor="accent1"/>
          <w:bottom w:val="single" w:sz="12" w:space="0" w:color="FFFFFF" w:themeColor="light1"/>
        </w:tcBorders>
        <w:shd w:val="clear" w:color="auto" w:fill="4F81BD"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4F81BD" w:themeColor="accent1"/>
          <w:right w:val="single" w:sz="4" w:space="0" w:color="FFFFFF" w:themeColor="light1"/>
        </w:tcBorders>
      </w:tcPr>
    </w:tblStylePr>
    <w:tblStylePr w:type="lastCol">
      <w:tblPr/>
      <w:tcPr>
        <w:tcBorders>
          <w:left w:val="single" w:sz="4" w:space="0" w:color="FFFFFF" w:themeColor="light1"/>
          <w:right w:val="single" w:sz="36"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qFormat/>
    <w:rsid w:val="009915D0"/>
    <w:rPr>
      <w:rFonts w:ascii="Times New Roman" w:eastAsia="宋体" w:hAnsi="Times New Roman" w:cs="Times New Roman"/>
      <w:kern w:val="0"/>
      <w:sz w:val="20"/>
      <w:szCs w:val="20"/>
    </w:rPr>
    <w:tblPr>
      <w:tblBorders>
        <w:top w:val="single" w:sz="36" w:space="0" w:color="D99695" w:themeColor="accent2" w:themeTint="97"/>
        <w:left w:val="single" w:sz="36" w:space="0" w:color="D99695" w:themeColor="accent2" w:themeTint="97"/>
        <w:bottom w:val="single" w:sz="36" w:space="0" w:color="D99695" w:themeColor="accent2" w:themeTint="97"/>
        <w:right w:val="single" w:sz="36" w:space="0" w:color="D99695" w:themeColor="accent2" w:themeTint="97"/>
      </w:tblBorders>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D99695" w:themeColor="accent2" w:themeTint="97"/>
          <w:right w:val="single" w:sz="4" w:space="0" w:color="FFFFFF" w:themeColor="light1"/>
        </w:tcBorders>
      </w:tcPr>
    </w:tblStylePr>
    <w:tblStylePr w:type="lastCol">
      <w:tblPr/>
      <w:tcPr>
        <w:tcBorders>
          <w:left w:val="single" w:sz="4" w:space="0" w:color="FFFFFF" w:themeColor="light1"/>
          <w:right w:val="single" w:sz="36"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qFormat/>
    <w:rsid w:val="009915D0"/>
    <w:rPr>
      <w:rFonts w:ascii="Times New Roman" w:eastAsia="宋体" w:hAnsi="Times New Roman" w:cs="Times New Roman"/>
      <w:kern w:val="0"/>
      <w:sz w:val="20"/>
      <w:szCs w:val="20"/>
    </w:rPr>
    <w:tblPr>
      <w:tblBorders>
        <w:top w:val="single" w:sz="36" w:space="0" w:color="C3D69B" w:themeColor="accent3" w:themeTint="98"/>
        <w:left w:val="single" w:sz="36" w:space="0" w:color="C3D69B" w:themeColor="accent3" w:themeTint="98"/>
        <w:bottom w:val="single" w:sz="36" w:space="0" w:color="C3D69B" w:themeColor="accent3" w:themeTint="98"/>
        <w:right w:val="single" w:sz="36" w:space="0" w:color="C3D69B" w:themeColor="accent3" w:themeTint="98"/>
      </w:tblBorders>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3D69B" w:themeColor="accent3" w:themeTint="98"/>
          <w:right w:val="single" w:sz="4" w:space="0" w:color="FFFFFF" w:themeColor="light1"/>
        </w:tcBorders>
      </w:tcPr>
    </w:tblStylePr>
    <w:tblStylePr w:type="lastCol">
      <w:tblPr/>
      <w:tcPr>
        <w:tcBorders>
          <w:left w:val="single" w:sz="4" w:space="0" w:color="FFFFFF" w:themeColor="light1"/>
          <w:right w:val="single" w:sz="36"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qFormat/>
    <w:rsid w:val="009915D0"/>
    <w:rPr>
      <w:rFonts w:ascii="Times New Roman" w:eastAsia="宋体" w:hAnsi="Times New Roman" w:cs="Times New Roman"/>
      <w:kern w:val="0"/>
      <w:sz w:val="20"/>
      <w:szCs w:val="20"/>
    </w:rPr>
    <w:tblPr>
      <w:tblBorders>
        <w:top w:val="single" w:sz="36" w:space="0" w:color="B2A1C6" w:themeColor="accent4" w:themeTint="9A"/>
        <w:left w:val="single" w:sz="36" w:space="0" w:color="B2A1C6" w:themeColor="accent4" w:themeTint="9A"/>
        <w:bottom w:val="single" w:sz="36" w:space="0" w:color="B2A1C6" w:themeColor="accent4" w:themeTint="9A"/>
        <w:right w:val="single" w:sz="36" w:space="0" w:color="B2A1C6" w:themeColor="accent4" w:themeTint="9A"/>
      </w:tblBorders>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B2A1C6" w:themeColor="accent4" w:themeTint="9A"/>
          <w:right w:val="single" w:sz="4" w:space="0" w:color="FFFFFF" w:themeColor="light1"/>
        </w:tcBorders>
      </w:tcPr>
    </w:tblStylePr>
    <w:tblStylePr w:type="lastCol">
      <w:tblPr/>
      <w:tcPr>
        <w:tcBorders>
          <w:left w:val="single" w:sz="4" w:space="0" w:color="FFFFFF" w:themeColor="light1"/>
          <w:right w:val="single" w:sz="36"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qFormat/>
    <w:rsid w:val="009915D0"/>
    <w:rPr>
      <w:rFonts w:ascii="Times New Roman" w:eastAsia="宋体" w:hAnsi="Times New Roman" w:cs="Times New Roman"/>
      <w:kern w:val="0"/>
      <w:sz w:val="20"/>
      <w:szCs w:val="20"/>
    </w:rPr>
    <w:tblPr>
      <w:tblBorders>
        <w:top w:val="single" w:sz="36" w:space="0" w:color="92CCDC" w:themeColor="accent5" w:themeTint="9A"/>
        <w:left w:val="single" w:sz="36" w:space="0" w:color="92CCDC" w:themeColor="accent5" w:themeTint="9A"/>
        <w:bottom w:val="single" w:sz="36" w:space="0" w:color="92CCDC" w:themeColor="accent5" w:themeTint="9A"/>
        <w:right w:val="single" w:sz="36" w:space="0" w:color="92CCDC" w:themeColor="accent5" w:themeTint="9A"/>
      </w:tblBorders>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92CCDC" w:themeColor="accent5" w:themeTint="9A"/>
          <w:right w:val="single" w:sz="4" w:space="0" w:color="FFFFFF" w:themeColor="light1"/>
        </w:tcBorders>
      </w:tcPr>
    </w:tblStylePr>
    <w:tblStylePr w:type="lastCol">
      <w:tblPr/>
      <w:tcPr>
        <w:tcBorders>
          <w:left w:val="single" w:sz="4" w:space="0" w:color="FFFFFF" w:themeColor="light1"/>
          <w:right w:val="single" w:sz="36"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qFormat/>
    <w:rsid w:val="009915D0"/>
    <w:rPr>
      <w:rFonts w:ascii="Times New Roman" w:eastAsia="宋体" w:hAnsi="Times New Roman" w:cs="Times New Roman"/>
      <w:kern w:val="0"/>
      <w:sz w:val="20"/>
      <w:szCs w:val="20"/>
    </w:rPr>
    <w:tblPr>
      <w:tblBorders>
        <w:top w:val="single" w:sz="36" w:space="0" w:color="FAC090" w:themeColor="accent6" w:themeTint="98"/>
        <w:left w:val="single" w:sz="36" w:space="0" w:color="FAC090" w:themeColor="accent6" w:themeTint="98"/>
        <w:bottom w:val="single" w:sz="36" w:space="0" w:color="FAC090" w:themeColor="accent6" w:themeTint="98"/>
        <w:right w:val="single" w:sz="36" w:space="0" w:color="FAC090" w:themeColor="accent6" w:themeTint="98"/>
      </w:tblBorders>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AC090" w:themeColor="accent6" w:themeTint="98"/>
          <w:right w:val="single" w:sz="4" w:space="0" w:color="FFFFFF" w:themeColor="light1"/>
        </w:tcBorders>
      </w:tcPr>
    </w:tblStylePr>
    <w:tblStylePr w:type="lastCol">
      <w:tblPr/>
      <w:tcPr>
        <w:tcBorders>
          <w:left w:val="single" w:sz="4" w:space="0" w:color="FFFFFF" w:themeColor="light1"/>
          <w:right w:val="single" w:sz="36"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清单表 6 彩色1"/>
    <w:basedOn w:val="a1"/>
    <w:uiPriority w:val="99"/>
    <w:qFormat/>
    <w:rsid w:val="009915D0"/>
    <w:rPr>
      <w:rFonts w:ascii="Times New Roman" w:eastAsia="宋体" w:hAnsi="Times New Roman" w:cs="Times New Roman"/>
      <w:kern w:val="0"/>
      <w:sz w:val="20"/>
      <w:szCs w:val="20"/>
    </w:rPr>
    <w:tblPr>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ListTable6Colorful-Accent1">
    <w:name w:val="List Table 6 Colorful - Accent 1"/>
    <w:basedOn w:val="a1"/>
    <w:uiPriority w:val="99"/>
    <w:qFormat/>
    <w:rsid w:val="009915D0"/>
    <w:rPr>
      <w:rFonts w:ascii="Times New Roman" w:eastAsia="宋体" w:hAnsi="Times New Roman" w:cs="Times New Roman"/>
      <w:kern w:val="0"/>
      <w:sz w:val="20"/>
      <w:szCs w:val="20"/>
    </w:rPr>
    <w:tblPr>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s="Arial" w:hint="default"/>
        <w:color w:val="2A4A70" w:themeColor="accent1" w:themeShade="94"/>
        <w:sz w:val="22"/>
        <w:szCs w:val="22"/>
      </w:rPr>
      <w:tblPr/>
      <w:tcPr>
        <w:shd w:val="clear" w:color="auto" w:fill="D2DFEE" w:themeFill="accent1" w:themeFillTint="40"/>
      </w:tcPr>
    </w:tblStylePr>
    <w:tblStylePr w:type="band2Horz">
      <w:rPr>
        <w:rFonts w:ascii="Arial" w:hAnsi="Arial" w:cs="Arial" w:hint="default"/>
        <w:color w:val="2A4A70" w:themeColor="accent1" w:themeShade="94"/>
        <w:sz w:val="22"/>
        <w:szCs w:val="22"/>
      </w:rPr>
    </w:tblStylePr>
  </w:style>
  <w:style w:type="table" w:customStyle="1" w:styleId="ListTable6Colorful-Accent2">
    <w:name w:val="List Table 6 Colorful - Accent 2"/>
    <w:basedOn w:val="a1"/>
    <w:uiPriority w:val="99"/>
    <w:qFormat/>
    <w:rsid w:val="009915D0"/>
    <w:rPr>
      <w:rFonts w:ascii="Times New Roman" w:eastAsia="宋体" w:hAnsi="Times New Roman" w:cs="Times New Roman"/>
      <w:kern w:val="0"/>
      <w:sz w:val="20"/>
      <w:szCs w:val="20"/>
    </w:rPr>
    <w:tblPr>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s="Arial" w:hint="default"/>
        <w:color w:val="DA9796" w:themeColor="accent2" w:themeTint="96"/>
        <w:sz w:val="22"/>
        <w:szCs w:val="22"/>
      </w:rPr>
      <w:tblPr/>
      <w:tcPr>
        <w:shd w:val="clear" w:color="auto" w:fill="EFD2D2" w:themeFill="accent2" w:themeFillTint="40"/>
      </w:tcPr>
    </w:tblStylePr>
    <w:tblStylePr w:type="band2Horz">
      <w:rPr>
        <w:rFonts w:ascii="Arial" w:hAnsi="Arial" w:cs="Arial" w:hint="default"/>
        <w:color w:val="DA9796" w:themeColor="accent2" w:themeTint="96"/>
        <w:sz w:val="22"/>
        <w:szCs w:val="22"/>
      </w:rPr>
    </w:tblStylePr>
  </w:style>
  <w:style w:type="table" w:customStyle="1" w:styleId="ListTable6Colorful-Accent3">
    <w:name w:val="List Table 6 Colorful - Accent 3"/>
    <w:basedOn w:val="a1"/>
    <w:uiPriority w:val="99"/>
    <w:qFormat/>
    <w:rsid w:val="009915D0"/>
    <w:rPr>
      <w:rFonts w:ascii="Times New Roman" w:eastAsia="宋体" w:hAnsi="Times New Roman" w:cs="Times New Roman"/>
      <w:kern w:val="0"/>
      <w:sz w:val="20"/>
      <w:szCs w:val="20"/>
    </w:rPr>
    <w:tblPr>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s="Arial" w:hint="default"/>
        <w:color w:val="C2D69B" w:themeColor="accent3" w:themeTint="99"/>
        <w:sz w:val="22"/>
        <w:szCs w:val="22"/>
      </w:rPr>
      <w:tblPr/>
      <w:tcPr>
        <w:shd w:val="clear" w:color="auto" w:fill="E5EED5" w:themeFill="accent3" w:themeFillTint="40"/>
      </w:tcPr>
    </w:tblStylePr>
    <w:tblStylePr w:type="band2Horz">
      <w:rPr>
        <w:rFonts w:ascii="Arial" w:hAnsi="Arial" w:cs="Arial" w:hint="default"/>
        <w:color w:val="C2D69B" w:themeColor="accent3" w:themeTint="99"/>
        <w:sz w:val="22"/>
        <w:szCs w:val="22"/>
      </w:rPr>
    </w:tblStylePr>
  </w:style>
  <w:style w:type="table" w:customStyle="1" w:styleId="ListTable6Colorful-Accent4">
    <w:name w:val="List Table 6 Colorful - Accent 4"/>
    <w:basedOn w:val="a1"/>
    <w:uiPriority w:val="99"/>
    <w:qFormat/>
    <w:rsid w:val="009915D0"/>
    <w:rPr>
      <w:rFonts w:ascii="Times New Roman" w:eastAsia="宋体" w:hAnsi="Times New Roman" w:cs="Times New Roman"/>
      <w:kern w:val="0"/>
      <w:sz w:val="20"/>
      <w:szCs w:val="20"/>
    </w:rPr>
    <w:tblPr>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s="Arial" w:hint="default"/>
        <w:color w:val="B2A1C7" w:themeColor="accent4" w:themeTint="99"/>
        <w:sz w:val="22"/>
        <w:szCs w:val="22"/>
      </w:rPr>
      <w:tblPr/>
      <w:tcPr>
        <w:shd w:val="clear" w:color="auto" w:fill="DFD8E7" w:themeFill="accent4" w:themeFillTint="40"/>
      </w:tcPr>
    </w:tblStylePr>
    <w:tblStylePr w:type="band2Horz">
      <w:rPr>
        <w:rFonts w:ascii="Arial" w:hAnsi="Arial" w:cs="Arial" w:hint="default"/>
        <w:color w:val="B2A1C7" w:themeColor="accent4" w:themeTint="99"/>
        <w:sz w:val="22"/>
        <w:szCs w:val="22"/>
      </w:rPr>
    </w:tblStylePr>
  </w:style>
  <w:style w:type="table" w:customStyle="1" w:styleId="ListTable6Colorful-Accent5">
    <w:name w:val="List Table 6 Colorful - Accent 5"/>
    <w:basedOn w:val="a1"/>
    <w:uiPriority w:val="99"/>
    <w:qFormat/>
    <w:rsid w:val="009915D0"/>
    <w:rPr>
      <w:rFonts w:ascii="Times New Roman" w:eastAsia="宋体" w:hAnsi="Times New Roman" w:cs="Times New Roman"/>
      <w:kern w:val="0"/>
      <w:sz w:val="20"/>
      <w:szCs w:val="20"/>
    </w:rPr>
    <w:tblPr>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s="Arial" w:hint="default"/>
        <w:color w:val="92CDDC" w:themeColor="accent5" w:themeTint="99"/>
        <w:sz w:val="22"/>
        <w:szCs w:val="22"/>
      </w:rPr>
      <w:tblPr/>
      <w:tcPr>
        <w:shd w:val="clear" w:color="auto" w:fill="D1EAF0" w:themeFill="accent5" w:themeFillTint="40"/>
      </w:tcPr>
    </w:tblStylePr>
    <w:tblStylePr w:type="band2Horz">
      <w:rPr>
        <w:rFonts w:ascii="Arial" w:hAnsi="Arial" w:cs="Arial" w:hint="default"/>
        <w:color w:val="92CDDC" w:themeColor="accent5" w:themeTint="99"/>
        <w:sz w:val="22"/>
        <w:szCs w:val="22"/>
      </w:rPr>
    </w:tblStylePr>
  </w:style>
  <w:style w:type="table" w:customStyle="1" w:styleId="ListTable6Colorful-Accent6">
    <w:name w:val="List Table 6 Colorful - Accent 6"/>
    <w:basedOn w:val="a1"/>
    <w:uiPriority w:val="99"/>
    <w:qFormat/>
    <w:rsid w:val="009915D0"/>
    <w:rPr>
      <w:rFonts w:ascii="Times New Roman" w:eastAsia="宋体" w:hAnsi="Times New Roman" w:cs="Times New Roman"/>
      <w:kern w:val="0"/>
      <w:sz w:val="20"/>
      <w:szCs w:val="20"/>
    </w:rPr>
    <w:tblPr>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s="Arial" w:hint="default"/>
        <w:color w:val="FABF8F" w:themeColor="accent6" w:themeTint="99"/>
        <w:sz w:val="22"/>
        <w:szCs w:val="22"/>
      </w:rPr>
      <w:tblPr/>
      <w:tcPr>
        <w:shd w:val="clear" w:color="auto" w:fill="FDE4D0" w:themeFill="accent6" w:themeFillTint="40"/>
      </w:tcPr>
    </w:tblStylePr>
    <w:tblStylePr w:type="band2Horz">
      <w:rPr>
        <w:rFonts w:ascii="Arial" w:hAnsi="Arial" w:cs="Arial" w:hint="default"/>
        <w:color w:val="FABF8F" w:themeColor="accent6" w:themeTint="99"/>
        <w:sz w:val="22"/>
        <w:szCs w:val="22"/>
      </w:rPr>
    </w:tblStylePr>
  </w:style>
  <w:style w:type="table" w:customStyle="1" w:styleId="710">
    <w:name w:val="清单表 7 彩色1"/>
    <w:basedOn w:val="a1"/>
    <w:uiPriority w:val="99"/>
    <w:qFormat/>
    <w:rsid w:val="009915D0"/>
    <w:rPr>
      <w:rFonts w:ascii="Times New Roman" w:eastAsia="宋体" w:hAnsi="Times New Roman" w:cs="Times New Roman"/>
      <w:kern w:val="0"/>
      <w:sz w:val="20"/>
      <w:szCs w:val="20"/>
    </w:rPr>
    <w:tblPr>
      <w:tblBorders>
        <w:right w:val="single" w:sz="4" w:space="0" w:color="7F7F7F" w:themeColor="text1" w:themeTint="80"/>
      </w:tblBorders>
      <w:tblCellMar>
        <w:top w:w="0" w:type="dxa"/>
        <w:left w:w="108" w:type="dxa"/>
        <w:bottom w:w="0" w:type="dxa"/>
        <w:right w:w="108" w:type="dxa"/>
      </w:tblCellMar>
    </w:tblPr>
    <w:tblStylePr w:type="firstRow">
      <w:rPr>
        <w:rFonts w:ascii="Arial" w:hAnsi="Arial" w:cs="Arial" w:hint="default"/>
        <w:i/>
        <w:color w:val="7F7F7F" w:themeColor="text1" w:themeTint="80"/>
        <w:sz w:val="22"/>
        <w:szCs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cs="Arial" w:hint="default"/>
        <w:i/>
        <w:color w:val="7F7F7F" w:themeColor="text1" w:themeTint="80"/>
        <w:sz w:val="22"/>
        <w:szCs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cs="Arial" w:hint="default"/>
        <w:i/>
        <w:color w:val="7F7F7F" w:themeColor="text1" w:themeTint="80"/>
        <w:sz w:val="22"/>
        <w:szCs w:val="22"/>
      </w:rPr>
      <w:tblPr/>
      <w:tcPr>
        <w:tcBorders>
          <w:top w:val="nil"/>
          <w:left w:val="nil"/>
          <w:bottom w:val="nil"/>
          <w:right w:val="single" w:sz="4" w:space="0" w:color="7F7F7F" w:themeColor="text1" w:themeTint="80"/>
        </w:tcBorders>
        <w:shd w:val="clear" w:color="auto" w:fill="auto"/>
      </w:tcPr>
    </w:tblStylePr>
    <w:tblStylePr w:type="lastCol">
      <w:rPr>
        <w:rFonts w:ascii="Arial" w:hAnsi="Arial" w:cs="Arial" w:hint="default"/>
        <w:i/>
        <w:color w:val="7F7F7F" w:themeColor="text1" w:themeTint="80"/>
        <w:sz w:val="22"/>
        <w:szCs w:val="22"/>
      </w:rPr>
      <w:tblPr/>
      <w:tcPr>
        <w:tcBorders>
          <w:top w:val="nil"/>
          <w:left w:val="single" w:sz="4" w:space="0" w:color="7F7F7F" w:themeColor="text1" w:themeTint="80"/>
          <w:bottom w:val="nil"/>
          <w:right w:val="nil"/>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sz w:val="22"/>
        <w:szCs w:val="22"/>
      </w:rPr>
      <w:tblPr/>
      <w:tcPr>
        <w:shd w:val="clear" w:color="auto" w:fill="BFBFBF" w:themeFill="text1" w:themeFillTint="40"/>
      </w:tcPr>
    </w:tblStylePr>
    <w:tblStylePr w:type="band2Horz">
      <w:rPr>
        <w:rFonts w:ascii="Arial" w:hAnsi="Arial" w:cs="Arial" w:hint="default"/>
        <w:color w:val="7F7F7F" w:themeColor="text1" w:themeTint="80"/>
        <w:sz w:val="22"/>
        <w:szCs w:val="22"/>
      </w:rPr>
    </w:tblStylePr>
  </w:style>
  <w:style w:type="table" w:customStyle="1" w:styleId="ListTable7Colorful-Accent1">
    <w:name w:val="List Table 7 Colorful - Accent 1"/>
    <w:basedOn w:val="a1"/>
    <w:uiPriority w:val="99"/>
    <w:qFormat/>
    <w:rsid w:val="009915D0"/>
    <w:rPr>
      <w:rFonts w:ascii="Times New Roman" w:eastAsia="宋体" w:hAnsi="Times New Roman" w:cs="Times New Roman"/>
      <w:kern w:val="0"/>
      <w:sz w:val="20"/>
      <w:szCs w:val="20"/>
    </w:rPr>
    <w:tblPr>
      <w:tblBorders>
        <w:right w:val="single" w:sz="4" w:space="0" w:color="4F81BD" w:themeColor="accent1"/>
      </w:tblBorders>
      <w:tblCellMar>
        <w:top w:w="0" w:type="dxa"/>
        <w:left w:w="108" w:type="dxa"/>
        <w:bottom w:w="0" w:type="dxa"/>
        <w:right w:w="108" w:type="dxa"/>
      </w:tblCellMar>
    </w:tblPr>
    <w:tblStylePr w:type="firstRow">
      <w:rPr>
        <w:rFonts w:ascii="Arial" w:hAnsi="Arial" w:cs="Arial" w:hint="default"/>
        <w:i/>
        <w:color w:val="2A4A70" w:themeColor="accent1" w:themeShade="94"/>
        <w:sz w:val="22"/>
        <w:szCs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cs="Arial" w:hint="default"/>
        <w:i/>
        <w:color w:val="2A4A70" w:themeColor="accent1" w:themeShade="94"/>
        <w:sz w:val="22"/>
        <w:szCs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cs="Arial" w:hint="default"/>
        <w:i/>
        <w:color w:val="2A4A70" w:themeColor="accent1" w:themeShade="94"/>
        <w:sz w:val="22"/>
        <w:szCs w:val="22"/>
      </w:rPr>
      <w:tblPr/>
      <w:tcPr>
        <w:tcBorders>
          <w:top w:val="nil"/>
          <w:left w:val="nil"/>
          <w:bottom w:val="nil"/>
          <w:right w:val="single" w:sz="4" w:space="0" w:color="4F81BD" w:themeColor="accent1"/>
        </w:tcBorders>
        <w:shd w:val="clear" w:color="auto" w:fill="auto"/>
      </w:tcPr>
    </w:tblStylePr>
    <w:tblStylePr w:type="lastCol">
      <w:rPr>
        <w:rFonts w:ascii="Arial" w:hAnsi="Arial" w:cs="Arial" w:hint="default"/>
        <w:i/>
        <w:color w:val="2A4A70" w:themeColor="accent1" w:themeShade="94"/>
        <w:sz w:val="22"/>
        <w:szCs w:val="22"/>
      </w:rPr>
      <w:tblPr/>
      <w:tcPr>
        <w:tcBorders>
          <w:top w:val="nil"/>
          <w:left w:val="single" w:sz="4" w:space="0" w:color="4F81BD" w:themeColor="accent1"/>
          <w:bottom w:val="nil"/>
          <w:right w:val="nil"/>
        </w:tcBorders>
        <w:shd w:val="clear" w:color="auto" w:fill="auto"/>
      </w:tcPr>
    </w:tblStylePr>
    <w:tblStylePr w:type="band1Vert">
      <w:tblPr/>
      <w:tcPr>
        <w:shd w:val="clear" w:color="auto" w:fill="D2DFEE" w:themeFill="accent1" w:themeFillTint="40"/>
      </w:tcPr>
    </w:tblStylePr>
    <w:tblStylePr w:type="band1Horz">
      <w:rPr>
        <w:rFonts w:ascii="Arial" w:hAnsi="Arial" w:cs="Arial" w:hint="default"/>
        <w:color w:val="2A4A70" w:themeColor="accent1" w:themeShade="94"/>
        <w:sz w:val="22"/>
        <w:szCs w:val="22"/>
      </w:rPr>
      <w:tblPr/>
      <w:tcPr>
        <w:shd w:val="clear" w:color="auto" w:fill="D2DFEE" w:themeFill="accent1" w:themeFillTint="40"/>
      </w:tcPr>
    </w:tblStylePr>
    <w:tblStylePr w:type="band2Horz">
      <w:rPr>
        <w:rFonts w:ascii="Arial" w:hAnsi="Arial" w:cs="Arial" w:hint="default"/>
        <w:color w:val="2A4A70" w:themeColor="accent1" w:themeShade="94"/>
        <w:sz w:val="22"/>
        <w:szCs w:val="22"/>
      </w:rPr>
    </w:tblStylePr>
  </w:style>
  <w:style w:type="table" w:customStyle="1" w:styleId="ListTable7Colorful-Accent2">
    <w:name w:val="List Table 7 Colorful - Accent 2"/>
    <w:basedOn w:val="a1"/>
    <w:uiPriority w:val="99"/>
    <w:qFormat/>
    <w:rsid w:val="009915D0"/>
    <w:rPr>
      <w:rFonts w:ascii="Times New Roman" w:eastAsia="宋体" w:hAnsi="Times New Roman" w:cs="Times New Roman"/>
      <w:kern w:val="0"/>
      <w:sz w:val="20"/>
      <w:szCs w:val="20"/>
    </w:rPr>
    <w:tblPr>
      <w:tblBorders>
        <w:right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i/>
        <w:color w:val="DA9796" w:themeColor="accent2" w:themeTint="96"/>
        <w:sz w:val="22"/>
        <w:szCs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cs="Arial" w:hint="default"/>
        <w:i/>
        <w:color w:val="DA9796" w:themeColor="accent2" w:themeTint="96"/>
        <w:sz w:val="22"/>
        <w:szCs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cs="Arial" w:hint="default"/>
        <w:i/>
        <w:color w:val="DA9796" w:themeColor="accent2" w:themeTint="96"/>
        <w:sz w:val="22"/>
        <w:szCs w:val="22"/>
      </w:rPr>
      <w:tblPr/>
      <w:tcPr>
        <w:tcBorders>
          <w:top w:val="nil"/>
          <w:left w:val="nil"/>
          <w:bottom w:val="nil"/>
          <w:right w:val="single" w:sz="4" w:space="0" w:color="D99695" w:themeColor="accent2" w:themeTint="97"/>
        </w:tcBorders>
        <w:shd w:val="clear" w:color="auto" w:fill="auto"/>
      </w:tcPr>
    </w:tblStylePr>
    <w:tblStylePr w:type="lastCol">
      <w:rPr>
        <w:rFonts w:ascii="Arial" w:hAnsi="Arial" w:cs="Arial" w:hint="default"/>
        <w:i/>
        <w:color w:val="DA9796" w:themeColor="accent2" w:themeTint="96"/>
        <w:sz w:val="22"/>
        <w:szCs w:val="22"/>
      </w:rPr>
      <w:tblPr/>
      <w:tcPr>
        <w:tcBorders>
          <w:top w:val="nil"/>
          <w:left w:val="single" w:sz="4" w:space="0" w:color="D99695" w:themeColor="accent2" w:themeTint="97"/>
          <w:bottom w:val="nil"/>
          <w:right w:val="nil"/>
        </w:tcBorders>
        <w:shd w:val="clear" w:color="auto" w:fill="auto"/>
      </w:tcPr>
    </w:tblStylePr>
    <w:tblStylePr w:type="band1Vert">
      <w:tblPr/>
      <w:tcPr>
        <w:shd w:val="clear" w:color="auto" w:fill="EFD2D2" w:themeFill="accent2" w:themeFillTint="40"/>
      </w:tcPr>
    </w:tblStylePr>
    <w:tblStylePr w:type="band1Horz">
      <w:rPr>
        <w:rFonts w:ascii="Arial" w:hAnsi="Arial" w:cs="Arial" w:hint="default"/>
        <w:color w:val="DA9796" w:themeColor="accent2" w:themeTint="96"/>
        <w:sz w:val="22"/>
        <w:szCs w:val="22"/>
      </w:rPr>
      <w:tblPr/>
      <w:tcPr>
        <w:shd w:val="clear" w:color="auto" w:fill="EFD2D2" w:themeFill="accent2" w:themeFillTint="40"/>
      </w:tcPr>
    </w:tblStylePr>
    <w:tblStylePr w:type="band2Horz">
      <w:rPr>
        <w:rFonts w:ascii="Arial" w:hAnsi="Arial" w:cs="Arial" w:hint="default"/>
        <w:color w:val="DA9796" w:themeColor="accent2" w:themeTint="96"/>
        <w:sz w:val="22"/>
        <w:szCs w:val="22"/>
      </w:rPr>
    </w:tblStylePr>
  </w:style>
  <w:style w:type="table" w:customStyle="1" w:styleId="ListTable7Colorful-Accent3">
    <w:name w:val="List Table 7 Colorful - Accent 3"/>
    <w:basedOn w:val="a1"/>
    <w:uiPriority w:val="99"/>
    <w:qFormat/>
    <w:rsid w:val="009915D0"/>
    <w:rPr>
      <w:rFonts w:ascii="Times New Roman" w:eastAsia="宋体" w:hAnsi="Times New Roman" w:cs="Times New Roman"/>
      <w:kern w:val="0"/>
      <w:sz w:val="20"/>
      <w:szCs w:val="20"/>
    </w:rPr>
    <w:tblPr>
      <w:tblBorders>
        <w:right w:val="single" w:sz="4" w:space="0" w:color="C3D69B" w:themeColor="accent3" w:themeTint="98"/>
      </w:tblBorders>
      <w:tblCellMar>
        <w:top w:w="0" w:type="dxa"/>
        <w:left w:w="108" w:type="dxa"/>
        <w:bottom w:w="0" w:type="dxa"/>
        <w:right w:w="108" w:type="dxa"/>
      </w:tblCellMar>
    </w:tblPr>
    <w:tblStylePr w:type="firstRow">
      <w:rPr>
        <w:rFonts w:ascii="Arial" w:hAnsi="Arial" w:cs="Arial" w:hint="default"/>
        <w:i/>
        <w:color w:val="C2D69B" w:themeColor="accent3" w:themeTint="99"/>
        <w:sz w:val="22"/>
        <w:szCs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cs="Arial" w:hint="default"/>
        <w:i/>
        <w:color w:val="C2D69B" w:themeColor="accent3" w:themeTint="99"/>
        <w:sz w:val="22"/>
        <w:szCs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cs="Arial" w:hint="default"/>
        <w:i/>
        <w:color w:val="C2D69B" w:themeColor="accent3" w:themeTint="99"/>
        <w:sz w:val="22"/>
        <w:szCs w:val="22"/>
      </w:rPr>
      <w:tblPr/>
      <w:tcPr>
        <w:tcBorders>
          <w:top w:val="nil"/>
          <w:left w:val="nil"/>
          <w:bottom w:val="nil"/>
          <w:right w:val="single" w:sz="4" w:space="0" w:color="C3D69B" w:themeColor="accent3" w:themeTint="98"/>
        </w:tcBorders>
        <w:shd w:val="clear" w:color="auto" w:fill="auto"/>
      </w:tcPr>
    </w:tblStylePr>
    <w:tblStylePr w:type="lastCol">
      <w:rPr>
        <w:rFonts w:ascii="Arial" w:hAnsi="Arial" w:cs="Arial" w:hint="default"/>
        <w:i/>
        <w:color w:val="C2D69B" w:themeColor="accent3" w:themeTint="99"/>
        <w:sz w:val="22"/>
        <w:szCs w:val="22"/>
      </w:rPr>
      <w:tblPr/>
      <w:tcPr>
        <w:tcBorders>
          <w:top w:val="nil"/>
          <w:left w:val="single" w:sz="4" w:space="0" w:color="C3D69B" w:themeColor="accent3" w:themeTint="98"/>
          <w:bottom w:val="nil"/>
          <w:right w:val="nil"/>
        </w:tcBorders>
        <w:shd w:val="clear" w:color="auto" w:fill="auto"/>
      </w:tcPr>
    </w:tblStylePr>
    <w:tblStylePr w:type="band1Vert">
      <w:tblPr/>
      <w:tcPr>
        <w:shd w:val="clear" w:color="auto" w:fill="E5EED5" w:themeFill="accent3" w:themeFillTint="40"/>
      </w:tcPr>
    </w:tblStylePr>
    <w:tblStylePr w:type="band1Horz">
      <w:rPr>
        <w:rFonts w:ascii="Arial" w:hAnsi="Arial" w:cs="Arial" w:hint="default"/>
        <w:color w:val="C2D69B" w:themeColor="accent3" w:themeTint="99"/>
        <w:sz w:val="22"/>
        <w:szCs w:val="22"/>
      </w:rPr>
      <w:tblPr/>
      <w:tcPr>
        <w:shd w:val="clear" w:color="auto" w:fill="E5EED5" w:themeFill="accent3" w:themeFillTint="40"/>
      </w:tcPr>
    </w:tblStylePr>
    <w:tblStylePr w:type="band2Horz">
      <w:rPr>
        <w:rFonts w:ascii="Arial" w:hAnsi="Arial" w:cs="Arial" w:hint="default"/>
        <w:color w:val="C2D69B" w:themeColor="accent3" w:themeTint="99"/>
        <w:sz w:val="22"/>
        <w:szCs w:val="22"/>
      </w:rPr>
    </w:tblStylePr>
  </w:style>
  <w:style w:type="table" w:customStyle="1" w:styleId="ListTable7Colorful-Accent4">
    <w:name w:val="List Table 7 Colorful - Accent 4"/>
    <w:basedOn w:val="a1"/>
    <w:uiPriority w:val="99"/>
    <w:qFormat/>
    <w:rsid w:val="009915D0"/>
    <w:rPr>
      <w:rFonts w:ascii="Times New Roman" w:eastAsia="宋体" w:hAnsi="Times New Roman" w:cs="Times New Roman"/>
      <w:kern w:val="0"/>
      <w:sz w:val="20"/>
      <w:szCs w:val="20"/>
    </w:rPr>
    <w:tblPr>
      <w:tblBorders>
        <w:right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i/>
        <w:color w:val="B2A1C7" w:themeColor="accent4" w:themeTint="99"/>
        <w:sz w:val="22"/>
        <w:szCs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cs="Arial" w:hint="default"/>
        <w:i/>
        <w:color w:val="B2A1C7" w:themeColor="accent4" w:themeTint="99"/>
        <w:sz w:val="22"/>
        <w:szCs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cs="Arial" w:hint="default"/>
        <w:i/>
        <w:color w:val="B2A1C7" w:themeColor="accent4" w:themeTint="99"/>
        <w:sz w:val="22"/>
        <w:szCs w:val="22"/>
      </w:rPr>
      <w:tblPr/>
      <w:tcPr>
        <w:tcBorders>
          <w:top w:val="nil"/>
          <w:left w:val="nil"/>
          <w:bottom w:val="nil"/>
          <w:right w:val="single" w:sz="4" w:space="0" w:color="B2A1C6" w:themeColor="accent4" w:themeTint="9A"/>
        </w:tcBorders>
        <w:shd w:val="clear" w:color="auto" w:fill="auto"/>
      </w:tcPr>
    </w:tblStylePr>
    <w:tblStylePr w:type="lastCol">
      <w:rPr>
        <w:rFonts w:ascii="Arial" w:hAnsi="Arial" w:cs="Arial" w:hint="default"/>
        <w:i/>
        <w:color w:val="B2A1C7" w:themeColor="accent4" w:themeTint="99"/>
        <w:sz w:val="22"/>
        <w:szCs w:val="22"/>
      </w:rPr>
      <w:tblPr/>
      <w:tcPr>
        <w:tcBorders>
          <w:top w:val="nil"/>
          <w:left w:val="single" w:sz="4" w:space="0" w:color="B2A1C6" w:themeColor="accent4" w:themeTint="9A"/>
          <w:bottom w:val="nil"/>
          <w:right w:val="nil"/>
        </w:tcBorders>
        <w:shd w:val="clear" w:color="auto" w:fill="auto"/>
      </w:tcPr>
    </w:tblStylePr>
    <w:tblStylePr w:type="band1Vert">
      <w:tblPr/>
      <w:tcPr>
        <w:shd w:val="clear" w:color="auto" w:fill="DFD8E7" w:themeFill="accent4" w:themeFillTint="40"/>
      </w:tcPr>
    </w:tblStylePr>
    <w:tblStylePr w:type="band1Horz">
      <w:rPr>
        <w:rFonts w:ascii="Arial" w:hAnsi="Arial" w:cs="Arial" w:hint="default"/>
        <w:color w:val="B2A1C7" w:themeColor="accent4" w:themeTint="99"/>
        <w:sz w:val="22"/>
        <w:szCs w:val="22"/>
      </w:rPr>
      <w:tblPr/>
      <w:tcPr>
        <w:shd w:val="clear" w:color="auto" w:fill="DFD8E7" w:themeFill="accent4" w:themeFillTint="40"/>
      </w:tcPr>
    </w:tblStylePr>
    <w:tblStylePr w:type="band2Horz">
      <w:rPr>
        <w:rFonts w:ascii="Arial" w:hAnsi="Arial" w:cs="Arial" w:hint="default"/>
        <w:color w:val="B2A1C7" w:themeColor="accent4" w:themeTint="99"/>
        <w:sz w:val="22"/>
        <w:szCs w:val="22"/>
      </w:rPr>
    </w:tblStylePr>
  </w:style>
  <w:style w:type="table" w:customStyle="1" w:styleId="ListTable7Colorful-Accent5">
    <w:name w:val="List Table 7 Colorful - Accent 5"/>
    <w:basedOn w:val="a1"/>
    <w:uiPriority w:val="99"/>
    <w:qFormat/>
    <w:rsid w:val="009915D0"/>
    <w:rPr>
      <w:rFonts w:ascii="Times New Roman" w:eastAsia="宋体" w:hAnsi="Times New Roman" w:cs="Times New Roman"/>
      <w:kern w:val="0"/>
      <w:sz w:val="20"/>
      <w:szCs w:val="20"/>
    </w:rPr>
    <w:tblPr>
      <w:tblBorders>
        <w:right w:val="single" w:sz="4" w:space="0" w:color="92CCDC" w:themeColor="accent5" w:themeTint="9A"/>
      </w:tblBorders>
      <w:tblCellMar>
        <w:top w:w="0" w:type="dxa"/>
        <w:left w:w="108" w:type="dxa"/>
        <w:bottom w:w="0" w:type="dxa"/>
        <w:right w:w="108" w:type="dxa"/>
      </w:tblCellMar>
    </w:tblPr>
    <w:tblStylePr w:type="firstRow">
      <w:rPr>
        <w:rFonts w:ascii="Arial" w:hAnsi="Arial" w:cs="Arial" w:hint="default"/>
        <w:i/>
        <w:color w:val="92CDDC" w:themeColor="accent5" w:themeTint="99"/>
        <w:sz w:val="22"/>
        <w:szCs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cs="Arial" w:hint="default"/>
        <w:i/>
        <w:color w:val="92CDDC" w:themeColor="accent5" w:themeTint="99"/>
        <w:sz w:val="22"/>
        <w:szCs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cs="Arial" w:hint="default"/>
        <w:i/>
        <w:color w:val="92CDDC" w:themeColor="accent5" w:themeTint="99"/>
        <w:sz w:val="22"/>
        <w:szCs w:val="22"/>
      </w:rPr>
      <w:tblPr/>
      <w:tcPr>
        <w:tcBorders>
          <w:top w:val="nil"/>
          <w:left w:val="nil"/>
          <w:bottom w:val="nil"/>
          <w:right w:val="single" w:sz="4" w:space="0" w:color="92CCDC" w:themeColor="accent5" w:themeTint="9A"/>
        </w:tcBorders>
        <w:shd w:val="clear" w:color="auto" w:fill="auto"/>
      </w:tcPr>
    </w:tblStylePr>
    <w:tblStylePr w:type="lastCol">
      <w:rPr>
        <w:rFonts w:ascii="Arial" w:hAnsi="Arial" w:cs="Arial" w:hint="default"/>
        <w:i/>
        <w:color w:val="92CDDC" w:themeColor="accent5" w:themeTint="99"/>
        <w:sz w:val="22"/>
        <w:szCs w:val="22"/>
      </w:rPr>
      <w:tblPr/>
      <w:tcPr>
        <w:tcBorders>
          <w:top w:val="nil"/>
          <w:left w:val="single" w:sz="4" w:space="0" w:color="92CCDC" w:themeColor="accent5" w:themeTint="9A"/>
          <w:bottom w:val="nil"/>
          <w:right w:val="nil"/>
        </w:tcBorders>
        <w:shd w:val="clear" w:color="auto" w:fill="auto"/>
      </w:tcPr>
    </w:tblStylePr>
    <w:tblStylePr w:type="band1Vert">
      <w:tblPr/>
      <w:tcPr>
        <w:shd w:val="clear" w:color="auto" w:fill="D1EAF0" w:themeFill="accent5" w:themeFillTint="40"/>
      </w:tcPr>
    </w:tblStylePr>
    <w:tblStylePr w:type="band1Horz">
      <w:rPr>
        <w:rFonts w:ascii="Arial" w:hAnsi="Arial" w:cs="Arial" w:hint="default"/>
        <w:color w:val="92CDDC" w:themeColor="accent5" w:themeTint="99"/>
        <w:sz w:val="22"/>
        <w:szCs w:val="22"/>
      </w:rPr>
      <w:tblPr/>
      <w:tcPr>
        <w:shd w:val="clear" w:color="auto" w:fill="D1EAF0" w:themeFill="accent5" w:themeFillTint="40"/>
      </w:tcPr>
    </w:tblStylePr>
    <w:tblStylePr w:type="band2Horz">
      <w:rPr>
        <w:rFonts w:ascii="Arial" w:hAnsi="Arial" w:cs="Arial" w:hint="default"/>
        <w:color w:val="92CDDC" w:themeColor="accent5" w:themeTint="99"/>
        <w:sz w:val="22"/>
        <w:szCs w:val="22"/>
      </w:rPr>
    </w:tblStylePr>
  </w:style>
  <w:style w:type="table" w:customStyle="1" w:styleId="ListTable7Colorful-Accent6">
    <w:name w:val="List Table 7 Colorful - Accent 6"/>
    <w:basedOn w:val="a1"/>
    <w:uiPriority w:val="99"/>
    <w:qFormat/>
    <w:rsid w:val="009915D0"/>
    <w:rPr>
      <w:rFonts w:ascii="Times New Roman" w:eastAsia="宋体" w:hAnsi="Times New Roman" w:cs="Times New Roman"/>
      <w:kern w:val="0"/>
      <w:sz w:val="20"/>
      <w:szCs w:val="20"/>
    </w:rPr>
    <w:tblPr>
      <w:tblBorders>
        <w:right w:val="single" w:sz="4" w:space="0" w:color="FAC090" w:themeColor="accent6" w:themeTint="98"/>
      </w:tblBorders>
      <w:tblCellMar>
        <w:top w:w="0" w:type="dxa"/>
        <w:left w:w="108" w:type="dxa"/>
        <w:bottom w:w="0" w:type="dxa"/>
        <w:right w:w="108" w:type="dxa"/>
      </w:tblCellMar>
    </w:tblPr>
    <w:tblStylePr w:type="firstRow">
      <w:rPr>
        <w:rFonts w:ascii="Arial" w:hAnsi="Arial" w:cs="Arial" w:hint="default"/>
        <w:i/>
        <w:color w:val="FABF8F" w:themeColor="accent6" w:themeTint="99"/>
        <w:sz w:val="22"/>
        <w:szCs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cs="Arial" w:hint="default"/>
        <w:i/>
        <w:color w:val="FABF8F" w:themeColor="accent6" w:themeTint="99"/>
        <w:sz w:val="22"/>
        <w:szCs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cs="Arial" w:hint="default"/>
        <w:i/>
        <w:color w:val="FABF8F" w:themeColor="accent6" w:themeTint="99"/>
        <w:sz w:val="22"/>
        <w:szCs w:val="22"/>
      </w:rPr>
      <w:tblPr/>
      <w:tcPr>
        <w:tcBorders>
          <w:top w:val="nil"/>
          <w:left w:val="nil"/>
          <w:bottom w:val="nil"/>
          <w:right w:val="single" w:sz="4" w:space="0" w:color="FAC090" w:themeColor="accent6" w:themeTint="98"/>
        </w:tcBorders>
        <w:shd w:val="clear" w:color="auto" w:fill="auto"/>
      </w:tcPr>
    </w:tblStylePr>
    <w:tblStylePr w:type="lastCol">
      <w:rPr>
        <w:rFonts w:ascii="Arial" w:hAnsi="Arial" w:cs="Arial" w:hint="default"/>
        <w:i/>
        <w:color w:val="FABF8F" w:themeColor="accent6" w:themeTint="99"/>
        <w:sz w:val="22"/>
        <w:szCs w:val="22"/>
      </w:rPr>
      <w:tblPr/>
      <w:tcPr>
        <w:tcBorders>
          <w:top w:val="nil"/>
          <w:left w:val="single" w:sz="4" w:space="0" w:color="FAC090" w:themeColor="accent6" w:themeTint="98"/>
          <w:bottom w:val="nil"/>
          <w:right w:val="nil"/>
        </w:tcBorders>
        <w:shd w:val="clear" w:color="auto" w:fill="auto"/>
      </w:tcPr>
    </w:tblStylePr>
    <w:tblStylePr w:type="band1Vert">
      <w:tblPr/>
      <w:tcPr>
        <w:shd w:val="clear" w:color="auto" w:fill="FDE4D0" w:themeFill="accent6" w:themeFillTint="40"/>
      </w:tcPr>
    </w:tblStylePr>
    <w:tblStylePr w:type="band1Horz">
      <w:rPr>
        <w:rFonts w:ascii="Arial" w:hAnsi="Arial" w:cs="Arial" w:hint="default"/>
        <w:color w:val="FABF8F" w:themeColor="accent6" w:themeTint="99"/>
        <w:sz w:val="22"/>
        <w:szCs w:val="22"/>
      </w:rPr>
      <w:tblPr/>
      <w:tcPr>
        <w:shd w:val="clear" w:color="auto" w:fill="FDE4D0" w:themeFill="accent6" w:themeFillTint="40"/>
      </w:tcPr>
    </w:tblStylePr>
    <w:tblStylePr w:type="band2Horz">
      <w:rPr>
        <w:rFonts w:ascii="Arial" w:hAnsi="Arial" w:cs="Arial" w:hint="default"/>
        <w:color w:val="FABF8F" w:themeColor="accent6" w:themeTint="99"/>
        <w:sz w:val="22"/>
        <w:szCs w:val="22"/>
      </w:rPr>
    </w:tblStylePr>
  </w:style>
  <w:style w:type="table" w:customStyle="1" w:styleId="Lined-Accent">
    <w:name w:val="Lined - Accent"/>
    <w:basedOn w:val="a1"/>
    <w:uiPriority w:val="99"/>
    <w:qFormat/>
    <w:rsid w:val="009915D0"/>
    <w:rPr>
      <w:rFonts w:ascii="Times New Roman" w:eastAsia="宋体" w:hAnsi="Times New Roman" w:cs="Times New Roman"/>
      <w:color w:val="404040"/>
      <w:kern w:val="0"/>
      <w:sz w:val="20"/>
      <w:szCs w:val="20"/>
    </w:rPr>
    <w:tblPr>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D"/>
      </w:tcPr>
    </w:tblStylePr>
  </w:style>
  <w:style w:type="table" w:customStyle="1" w:styleId="Lined-Accent1">
    <w:name w:val="Lined - Accent 1"/>
    <w:basedOn w:val="a1"/>
    <w:uiPriority w:val="99"/>
    <w:qFormat/>
    <w:rsid w:val="009915D0"/>
    <w:rPr>
      <w:rFonts w:ascii="Times New Roman" w:eastAsia="宋体" w:hAnsi="Times New Roman" w:cs="Times New Roman"/>
      <w:color w:val="404040"/>
      <w:kern w:val="0"/>
      <w:sz w:val="20"/>
      <w:szCs w:val="20"/>
    </w:rPr>
    <w:tblPr>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5D8AC2" w:themeFill="accent1" w:themeFillTint="EA"/>
      </w:tcPr>
    </w:tblStylePr>
    <w:tblStylePr w:type="lastRow">
      <w:rPr>
        <w:rFonts w:ascii="Arial" w:hAnsi="Arial" w:cs="Arial" w:hint="default"/>
        <w:color w:val="F2F2F2"/>
        <w:sz w:val="22"/>
        <w:szCs w:val="22"/>
      </w:rPr>
      <w:tblPr/>
      <w:tcPr>
        <w:shd w:val="clear" w:color="auto" w:fill="5D8AC2" w:themeFill="accent1" w:themeFillTint="EA"/>
      </w:tcPr>
    </w:tblStylePr>
    <w:tblStylePr w:type="firstCol">
      <w:rPr>
        <w:rFonts w:ascii="Arial" w:hAnsi="Arial" w:cs="Arial" w:hint="default"/>
        <w:color w:val="F2F2F2"/>
        <w:sz w:val="22"/>
        <w:szCs w:val="22"/>
      </w:rPr>
      <w:tblPr/>
      <w:tcPr>
        <w:shd w:val="clear" w:color="auto" w:fill="5D8AC2" w:themeFill="accent1" w:themeFillTint="EA"/>
      </w:tcPr>
    </w:tblStylePr>
    <w:tblStylePr w:type="lastCol">
      <w:rPr>
        <w:rFonts w:ascii="Arial" w:hAnsi="Arial" w:cs="Arial" w:hint="default"/>
        <w:color w:val="F2F2F2"/>
        <w:sz w:val="22"/>
        <w:szCs w:val="22"/>
      </w:rPr>
      <w:tblPr/>
      <w:tcPr>
        <w:shd w:val="clear" w:color="auto" w:fill="5D8AC2"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hemeFill="accent1" w:themeFillTint="50"/>
      </w:tcPr>
    </w:tblStylePr>
  </w:style>
  <w:style w:type="table" w:customStyle="1" w:styleId="Lined-Accent2">
    <w:name w:val="Lined - Accent 2"/>
    <w:basedOn w:val="a1"/>
    <w:uiPriority w:val="99"/>
    <w:qFormat/>
    <w:rsid w:val="009915D0"/>
    <w:rPr>
      <w:rFonts w:ascii="Times New Roman" w:eastAsia="宋体" w:hAnsi="Times New Roman" w:cs="Times New Roman"/>
      <w:color w:val="404040"/>
      <w:kern w:val="0"/>
      <w:sz w:val="20"/>
      <w:szCs w:val="20"/>
    </w:rPr>
    <w:tblPr>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D99695" w:themeFill="accent2" w:themeFillTint="97"/>
      </w:tcPr>
    </w:tblStylePr>
    <w:tblStylePr w:type="lastRow">
      <w:rPr>
        <w:rFonts w:ascii="Arial" w:hAnsi="Arial" w:cs="Arial" w:hint="default"/>
        <w:color w:val="F2F2F2"/>
        <w:sz w:val="22"/>
        <w:szCs w:val="22"/>
      </w:rPr>
      <w:tblPr/>
      <w:tcPr>
        <w:shd w:val="clear" w:color="auto" w:fill="D99695" w:themeFill="accent2" w:themeFillTint="97"/>
      </w:tcPr>
    </w:tblStylePr>
    <w:tblStylePr w:type="firstCol">
      <w:rPr>
        <w:rFonts w:ascii="Arial" w:hAnsi="Arial" w:cs="Arial" w:hint="default"/>
        <w:color w:val="F2F2F2"/>
        <w:sz w:val="22"/>
        <w:szCs w:val="22"/>
      </w:rPr>
      <w:tblPr/>
      <w:tcPr>
        <w:shd w:val="clear" w:color="auto" w:fill="D99695" w:themeFill="accent2" w:themeFillTint="97"/>
      </w:tcPr>
    </w:tblStylePr>
    <w:tblStylePr w:type="lastCol">
      <w:rPr>
        <w:rFonts w:ascii="Arial" w:hAnsi="Arial" w:cs="Arial" w:hint="default"/>
        <w:color w:val="F2F2F2"/>
        <w:sz w:val="22"/>
        <w:szCs w:val="22"/>
      </w:rPr>
      <w:tblPr/>
      <w:tcPr>
        <w:shd w:val="clear" w:color="auto" w:fill="D9969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hemeFill="accent2" w:themeFillTint="32"/>
      </w:tcPr>
    </w:tblStylePr>
  </w:style>
  <w:style w:type="table" w:customStyle="1" w:styleId="Lined-Accent3">
    <w:name w:val="Lined - Accent 3"/>
    <w:basedOn w:val="a1"/>
    <w:uiPriority w:val="99"/>
    <w:qFormat/>
    <w:rsid w:val="009915D0"/>
    <w:rPr>
      <w:rFonts w:ascii="Times New Roman" w:eastAsia="宋体" w:hAnsi="Times New Roman" w:cs="Times New Roman"/>
      <w:color w:val="404040"/>
      <w:kern w:val="0"/>
      <w:sz w:val="20"/>
      <w:szCs w:val="20"/>
    </w:rPr>
    <w:tblPr>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9ABB59" w:themeFill="accent3" w:themeFillTint="FE"/>
      </w:tcPr>
    </w:tblStylePr>
    <w:tblStylePr w:type="lastRow">
      <w:rPr>
        <w:rFonts w:ascii="Arial" w:hAnsi="Arial" w:cs="Arial" w:hint="default"/>
        <w:color w:val="F2F2F2"/>
        <w:sz w:val="22"/>
        <w:szCs w:val="22"/>
      </w:rPr>
      <w:tblPr/>
      <w:tcPr>
        <w:shd w:val="clear" w:color="auto" w:fill="9ABB59" w:themeFill="accent3" w:themeFillTint="FE"/>
      </w:tcPr>
    </w:tblStylePr>
    <w:tblStylePr w:type="firstCol">
      <w:rPr>
        <w:rFonts w:ascii="Arial" w:hAnsi="Arial" w:cs="Arial" w:hint="default"/>
        <w:color w:val="F2F2F2"/>
        <w:sz w:val="22"/>
        <w:szCs w:val="22"/>
      </w:rPr>
      <w:tblPr/>
      <w:tcPr>
        <w:shd w:val="clear" w:color="auto" w:fill="9ABB59" w:themeFill="accent3" w:themeFillTint="FE"/>
      </w:tcPr>
    </w:tblStylePr>
    <w:tblStylePr w:type="lastCol">
      <w:rPr>
        <w:rFonts w:ascii="Arial" w:hAnsi="Arial" w:cs="Arial" w:hint="default"/>
        <w:color w:val="F2F2F2"/>
        <w:sz w:val="22"/>
        <w:szCs w:val="22"/>
      </w:rPr>
      <w:tblPr/>
      <w:tcPr>
        <w:shd w:val="clear" w:color="auto" w:fill="9ABB59"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hemeFill="accent3" w:themeFillTint="34"/>
      </w:tcPr>
    </w:tblStylePr>
  </w:style>
  <w:style w:type="table" w:customStyle="1" w:styleId="Lined-Accent4">
    <w:name w:val="Lined - Accent 4"/>
    <w:basedOn w:val="a1"/>
    <w:uiPriority w:val="99"/>
    <w:qFormat/>
    <w:rsid w:val="009915D0"/>
    <w:rPr>
      <w:rFonts w:ascii="Times New Roman" w:eastAsia="宋体" w:hAnsi="Times New Roman" w:cs="Times New Roman"/>
      <w:color w:val="404040"/>
      <w:kern w:val="0"/>
      <w:sz w:val="20"/>
      <w:szCs w:val="20"/>
    </w:rPr>
    <w:tblPr>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B2A1C6" w:themeFill="accent4" w:themeFillTint="9A"/>
      </w:tcPr>
    </w:tblStylePr>
    <w:tblStylePr w:type="lastRow">
      <w:rPr>
        <w:rFonts w:ascii="Arial" w:hAnsi="Arial" w:cs="Arial" w:hint="default"/>
        <w:color w:val="F2F2F2"/>
        <w:sz w:val="22"/>
        <w:szCs w:val="22"/>
      </w:rPr>
      <w:tblPr/>
      <w:tcPr>
        <w:shd w:val="clear" w:color="auto" w:fill="B2A1C6" w:themeFill="accent4" w:themeFillTint="9A"/>
      </w:tcPr>
    </w:tblStylePr>
    <w:tblStylePr w:type="firstCol">
      <w:rPr>
        <w:rFonts w:ascii="Arial" w:hAnsi="Arial" w:cs="Arial" w:hint="default"/>
        <w:color w:val="F2F2F2"/>
        <w:sz w:val="22"/>
        <w:szCs w:val="22"/>
      </w:rPr>
      <w:tblPr/>
      <w:tcPr>
        <w:shd w:val="clear" w:color="auto" w:fill="B2A1C6" w:themeFill="accent4" w:themeFillTint="9A"/>
      </w:tcPr>
    </w:tblStylePr>
    <w:tblStylePr w:type="lastCol">
      <w:rPr>
        <w:rFonts w:ascii="Arial" w:hAnsi="Arial" w:cs="Arial" w:hint="default"/>
        <w:color w:val="F2F2F2"/>
        <w:sz w:val="22"/>
        <w:szCs w:val="22"/>
      </w:rPr>
      <w:tblPr/>
      <w:tcPr>
        <w:shd w:val="clear" w:color="auto" w:fill="B2A1C6"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hemeFill="accent4" w:themeFillTint="34"/>
      </w:tcPr>
    </w:tblStylePr>
  </w:style>
  <w:style w:type="table" w:customStyle="1" w:styleId="Lined-Accent5">
    <w:name w:val="Lined - Accent 5"/>
    <w:basedOn w:val="a1"/>
    <w:uiPriority w:val="99"/>
    <w:qFormat/>
    <w:rsid w:val="009915D0"/>
    <w:rPr>
      <w:rFonts w:ascii="Times New Roman" w:eastAsia="宋体" w:hAnsi="Times New Roman" w:cs="Times New Roman"/>
      <w:color w:val="404040"/>
      <w:kern w:val="0"/>
      <w:sz w:val="20"/>
      <w:szCs w:val="20"/>
    </w:rPr>
    <w:tblPr>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4BACC6" w:themeFill="accent5"/>
      </w:tcPr>
    </w:tblStylePr>
    <w:tblStylePr w:type="lastRow">
      <w:rPr>
        <w:rFonts w:ascii="Arial" w:hAnsi="Arial" w:cs="Arial" w:hint="default"/>
        <w:color w:val="F2F2F2"/>
        <w:sz w:val="22"/>
        <w:szCs w:val="22"/>
      </w:rPr>
      <w:tblPr/>
      <w:tcPr>
        <w:shd w:val="clear" w:color="auto" w:fill="4BACC6" w:themeFill="accent5"/>
      </w:tcPr>
    </w:tblStylePr>
    <w:tblStylePr w:type="firstCol">
      <w:rPr>
        <w:rFonts w:ascii="Arial" w:hAnsi="Arial" w:cs="Arial" w:hint="default"/>
        <w:color w:val="F2F2F2"/>
        <w:sz w:val="22"/>
        <w:szCs w:val="22"/>
      </w:rPr>
      <w:tblPr/>
      <w:tcPr>
        <w:shd w:val="clear" w:color="auto" w:fill="4BACC6" w:themeFill="accent5"/>
      </w:tcPr>
    </w:tblStylePr>
    <w:tblStylePr w:type="lastCol">
      <w:rPr>
        <w:rFonts w:ascii="Arial" w:hAnsi="Arial" w:cs="Arial" w:hint="default"/>
        <w:color w:val="F2F2F2"/>
        <w:sz w:val="22"/>
        <w:szCs w:val="22"/>
      </w:rPr>
      <w:tblPr/>
      <w:tcPr>
        <w:shd w:val="clear" w:color="auto" w:fill="4BACC6"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hemeFill="accent5" w:themeFillTint="34"/>
      </w:tcPr>
    </w:tblStylePr>
  </w:style>
  <w:style w:type="table" w:customStyle="1" w:styleId="Lined-Accent6">
    <w:name w:val="Lined - Accent 6"/>
    <w:basedOn w:val="a1"/>
    <w:uiPriority w:val="99"/>
    <w:qFormat/>
    <w:rsid w:val="009915D0"/>
    <w:rPr>
      <w:rFonts w:ascii="Times New Roman" w:eastAsia="宋体" w:hAnsi="Times New Roman" w:cs="Times New Roman"/>
      <w:color w:val="404040"/>
      <w:kern w:val="0"/>
      <w:sz w:val="20"/>
      <w:szCs w:val="20"/>
    </w:rPr>
    <w:tblPr>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F79646" w:themeFill="accent6"/>
      </w:tcPr>
    </w:tblStylePr>
    <w:tblStylePr w:type="lastRow">
      <w:rPr>
        <w:rFonts w:ascii="Arial" w:hAnsi="Arial" w:cs="Arial" w:hint="default"/>
        <w:color w:val="F2F2F2"/>
        <w:sz w:val="22"/>
        <w:szCs w:val="22"/>
      </w:rPr>
      <w:tblPr/>
      <w:tcPr>
        <w:shd w:val="clear" w:color="auto" w:fill="F79646" w:themeFill="accent6"/>
      </w:tcPr>
    </w:tblStylePr>
    <w:tblStylePr w:type="firstCol">
      <w:rPr>
        <w:rFonts w:ascii="Arial" w:hAnsi="Arial" w:cs="Arial" w:hint="default"/>
        <w:color w:val="F2F2F2"/>
        <w:sz w:val="22"/>
        <w:szCs w:val="22"/>
      </w:rPr>
      <w:tblPr/>
      <w:tcPr>
        <w:shd w:val="clear" w:color="auto" w:fill="F79646" w:themeFill="accent6"/>
      </w:tcPr>
    </w:tblStylePr>
    <w:tblStylePr w:type="lastCol">
      <w:rPr>
        <w:rFonts w:ascii="Arial" w:hAnsi="Arial" w:cs="Arial" w:hint="default"/>
        <w:color w:val="F2F2F2"/>
        <w:sz w:val="22"/>
        <w:szCs w:val="22"/>
      </w:rPr>
      <w:tblPr/>
      <w:tcPr>
        <w:shd w:val="clear" w:color="auto" w:fill="F79646"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hemeFill="accent6" w:themeFillTint="34"/>
      </w:tcPr>
    </w:tblStylePr>
  </w:style>
  <w:style w:type="table" w:customStyle="1" w:styleId="BorderedLined-Accent">
    <w:name w:val="Bordered &amp; Lined - Accent"/>
    <w:basedOn w:val="a1"/>
    <w:uiPriority w:val="99"/>
    <w:qFormat/>
    <w:rsid w:val="009915D0"/>
    <w:rPr>
      <w:rFonts w:ascii="Times New Roman" w:eastAsia="宋体" w:hAnsi="Times New Roman" w:cs="Times New Roman"/>
      <w:color w:val="404040"/>
      <w:kern w:val="0"/>
      <w:sz w:val="20"/>
      <w:szCs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D"/>
      </w:tcPr>
    </w:tblStylePr>
  </w:style>
  <w:style w:type="table" w:customStyle="1" w:styleId="BorderedLined-Accent1">
    <w:name w:val="Bordered &amp; Lined - Accent 1"/>
    <w:basedOn w:val="a1"/>
    <w:uiPriority w:val="99"/>
    <w:qFormat/>
    <w:rsid w:val="009915D0"/>
    <w:rPr>
      <w:rFonts w:ascii="Times New Roman" w:eastAsia="宋体" w:hAnsi="Times New Roman" w:cs="Times New Roman"/>
      <w:color w:val="404040"/>
      <w:kern w:val="0"/>
      <w:sz w:val="20"/>
      <w:szCs w:val="2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5D8AC2" w:themeFill="accent1" w:themeFillTint="EA"/>
      </w:tcPr>
    </w:tblStylePr>
    <w:tblStylePr w:type="lastRow">
      <w:rPr>
        <w:rFonts w:ascii="Arial" w:hAnsi="Arial" w:cs="Arial" w:hint="default"/>
        <w:color w:val="F2F2F2"/>
        <w:sz w:val="22"/>
        <w:szCs w:val="22"/>
      </w:rPr>
      <w:tblPr/>
      <w:tcPr>
        <w:shd w:val="clear" w:color="auto" w:fill="5D8AC2" w:themeFill="accent1" w:themeFillTint="EA"/>
      </w:tcPr>
    </w:tblStylePr>
    <w:tblStylePr w:type="firstCol">
      <w:rPr>
        <w:rFonts w:ascii="Arial" w:hAnsi="Arial" w:cs="Arial" w:hint="default"/>
        <w:color w:val="F2F2F2"/>
        <w:sz w:val="22"/>
        <w:szCs w:val="22"/>
      </w:rPr>
      <w:tblPr/>
      <w:tcPr>
        <w:shd w:val="clear" w:color="auto" w:fill="5D8AC2" w:themeFill="accent1" w:themeFillTint="EA"/>
      </w:tcPr>
    </w:tblStylePr>
    <w:tblStylePr w:type="lastCol">
      <w:rPr>
        <w:rFonts w:ascii="Arial" w:hAnsi="Arial" w:cs="Arial" w:hint="default"/>
        <w:color w:val="F2F2F2"/>
        <w:sz w:val="22"/>
        <w:szCs w:val="22"/>
      </w:rPr>
      <w:tblPr/>
      <w:tcPr>
        <w:shd w:val="clear" w:color="auto" w:fill="5D8AC2"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hemeFill="accent1" w:themeFillTint="50"/>
      </w:tcPr>
    </w:tblStylePr>
  </w:style>
  <w:style w:type="table" w:customStyle="1" w:styleId="BorderedLined-Accent2">
    <w:name w:val="Bordered &amp; Lined - Accent 2"/>
    <w:basedOn w:val="a1"/>
    <w:uiPriority w:val="99"/>
    <w:qFormat/>
    <w:rsid w:val="009915D0"/>
    <w:rPr>
      <w:rFonts w:ascii="Times New Roman" w:eastAsia="宋体" w:hAnsi="Times New Roman" w:cs="Times New Roman"/>
      <w:color w:val="404040"/>
      <w:kern w:val="0"/>
      <w:sz w:val="20"/>
      <w:szCs w:val="2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D99695" w:themeFill="accent2" w:themeFillTint="97"/>
      </w:tcPr>
    </w:tblStylePr>
    <w:tblStylePr w:type="lastRow">
      <w:rPr>
        <w:rFonts w:ascii="Arial" w:hAnsi="Arial" w:cs="Arial" w:hint="default"/>
        <w:color w:val="F2F2F2"/>
        <w:sz w:val="22"/>
        <w:szCs w:val="22"/>
      </w:rPr>
      <w:tblPr/>
      <w:tcPr>
        <w:shd w:val="clear" w:color="auto" w:fill="D99695" w:themeFill="accent2" w:themeFillTint="97"/>
      </w:tcPr>
    </w:tblStylePr>
    <w:tblStylePr w:type="firstCol">
      <w:rPr>
        <w:rFonts w:ascii="Arial" w:hAnsi="Arial" w:cs="Arial" w:hint="default"/>
        <w:color w:val="F2F2F2"/>
        <w:sz w:val="22"/>
        <w:szCs w:val="22"/>
      </w:rPr>
      <w:tblPr/>
      <w:tcPr>
        <w:shd w:val="clear" w:color="auto" w:fill="D99695" w:themeFill="accent2" w:themeFillTint="97"/>
      </w:tcPr>
    </w:tblStylePr>
    <w:tblStylePr w:type="lastCol">
      <w:rPr>
        <w:rFonts w:ascii="Arial" w:hAnsi="Arial" w:cs="Arial" w:hint="default"/>
        <w:color w:val="F2F2F2"/>
        <w:sz w:val="22"/>
        <w:szCs w:val="22"/>
      </w:rPr>
      <w:tblPr/>
      <w:tcPr>
        <w:shd w:val="clear" w:color="auto" w:fill="D9969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hemeFill="accent2" w:themeFillTint="32"/>
      </w:tcPr>
    </w:tblStylePr>
  </w:style>
  <w:style w:type="table" w:customStyle="1" w:styleId="BorderedLined-Accent3">
    <w:name w:val="Bordered &amp; Lined - Accent 3"/>
    <w:basedOn w:val="a1"/>
    <w:uiPriority w:val="99"/>
    <w:qFormat/>
    <w:rsid w:val="009915D0"/>
    <w:rPr>
      <w:rFonts w:ascii="Times New Roman" w:eastAsia="宋体" w:hAnsi="Times New Roman" w:cs="Times New Roman"/>
      <w:color w:val="404040"/>
      <w:kern w:val="0"/>
      <w:sz w:val="20"/>
      <w:szCs w:val="2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9ABB59" w:themeFill="accent3" w:themeFillTint="FE"/>
      </w:tcPr>
    </w:tblStylePr>
    <w:tblStylePr w:type="lastRow">
      <w:rPr>
        <w:rFonts w:ascii="Arial" w:hAnsi="Arial" w:cs="Arial" w:hint="default"/>
        <w:color w:val="F2F2F2"/>
        <w:sz w:val="22"/>
        <w:szCs w:val="22"/>
      </w:rPr>
      <w:tblPr/>
      <w:tcPr>
        <w:shd w:val="clear" w:color="auto" w:fill="9ABB59" w:themeFill="accent3" w:themeFillTint="FE"/>
      </w:tcPr>
    </w:tblStylePr>
    <w:tblStylePr w:type="firstCol">
      <w:rPr>
        <w:rFonts w:ascii="Arial" w:hAnsi="Arial" w:cs="Arial" w:hint="default"/>
        <w:color w:val="F2F2F2"/>
        <w:sz w:val="22"/>
        <w:szCs w:val="22"/>
      </w:rPr>
      <w:tblPr/>
      <w:tcPr>
        <w:shd w:val="clear" w:color="auto" w:fill="9ABB59" w:themeFill="accent3" w:themeFillTint="FE"/>
      </w:tcPr>
    </w:tblStylePr>
    <w:tblStylePr w:type="lastCol">
      <w:rPr>
        <w:rFonts w:ascii="Arial" w:hAnsi="Arial" w:cs="Arial" w:hint="default"/>
        <w:color w:val="F2F2F2"/>
        <w:sz w:val="22"/>
        <w:szCs w:val="22"/>
      </w:rPr>
      <w:tblPr/>
      <w:tcPr>
        <w:shd w:val="clear" w:color="auto" w:fill="9ABB59"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hemeFill="accent3" w:themeFillTint="34"/>
      </w:tcPr>
    </w:tblStylePr>
  </w:style>
  <w:style w:type="table" w:customStyle="1" w:styleId="BorderedLined-Accent4">
    <w:name w:val="Bordered &amp; Lined - Accent 4"/>
    <w:basedOn w:val="a1"/>
    <w:uiPriority w:val="99"/>
    <w:qFormat/>
    <w:rsid w:val="009915D0"/>
    <w:rPr>
      <w:rFonts w:ascii="Times New Roman" w:eastAsia="宋体" w:hAnsi="Times New Roman" w:cs="Times New Roman"/>
      <w:color w:val="404040"/>
      <w:kern w:val="0"/>
      <w:sz w:val="20"/>
      <w:szCs w:val="2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B2A1C6" w:themeFill="accent4" w:themeFillTint="9A"/>
      </w:tcPr>
    </w:tblStylePr>
    <w:tblStylePr w:type="lastRow">
      <w:rPr>
        <w:rFonts w:ascii="Arial" w:hAnsi="Arial" w:cs="Arial" w:hint="default"/>
        <w:color w:val="F2F2F2"/>
        <w:sz w:val="22"/>
        <w:szCs w:val="22"/>
      </w:rPr>
      <w:tblPr/>
      <w:tcPr>
        <w:shd w:val="clear" w:color="auto" w:fill="B2A1C6" w:themeFill="accent4" w:themeFillTint="9A"/>
      </w:tcPr>
    </w:tblStylePr>
    <w:tblStylePr w:type="firstCol">
      <w:rPr>
        <w:rFonts w:ascii="Arial" w:hAnsi="Arial" w:cs="Arial" w:hint="default"/>
        <w:color w:val="F2F2F2"/>
        <w:sz w:val="22"/>
        <w:szCs w:val="22"/>
      </w:rPr>
      <w:tblPr/>
      <w:tcPr>
        <w:shd w:val="clear" w:color="auto" w:fill="B2A1C6" w:themeFill="accent4" w:themeFillTint="9A"/>
      </w:tcPr>
    </w:tblStylePr>
    <w:tblStylePr w:type="lastCol">
      <w:rPr>
        <w:rFonts w:ascii="Arial" w:hAnsi="Arial" w:cs="Arial" w:hint="default"/>
        <w:color w:val="F2F2F2"/>
        <w:sz w:val="22"/>
        <w:szCs w:val="22"/>
      </w:rPr>
      <w:tblPr/>
      <w:tcPr>
        <w:shd w:val="clear" w:color="auto" w:fill="B2A1C6"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hemeFill="accent4" w:themeFillTint="34"/>
      </w:tcPr>
    </w:tblStylePr>
  </w:style>
  <w:style w:type="table" w:customStyle="1" w:styleId="BorderedLined-Accent5">
    <w:name w:val="Bordered &amp; Lined - Accent 5"/>
    <w:basedOn w:val="a1"/>
    <w:uiPriority w:val="99"/>
    <w:qFormat/>
    <w:rsid w:val="009915D0"/>
    <w:rPr>
      <w:rFonts w:ascii="Times New Roman" w:eastAsia="宋体" w:hAnsi="Times New Roman" w:cs="Times New Roman"/>
      <w:color w:val="404040"/>
      <w:kern w:val="0"/>
      <w:sz w:val="20"/>
      <w:szCs w:val="2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4BACC6" w:themeFill="accent5"/>
      </w:tcPr>
    </w:tblStylePr>
    <w:tblStylePr w:type="lastRow">
      <w:rPr>
        <w:rFonts w:ascii="Arial" w:hAnsi="Arial" w:cs="Arial" w:hint="default"/>
        <w:color w:val="F2F2F2"/>
        <w:sz w:val="22"/>
        <w:szCs w:val="22"/>
      </w:rPr>
      <w:tblPr/>
      <w:tcPr>
        <w:shd w:val="clear" w:color="auto" w:fill="4BACC6" w:themeFill="accent5"/>
      </w:tcPr>
    </w:tblStylePr>
    <w:tblStylePr w:type="firstCol">
      <w:rPr>
        <w:rFonts w:ascii="Arial" w:hAnsi="Arial" w:cs="Arial" w:hint="default"/>
        <w:color w:val="F2F2F2"/>
        <w:sz w:val="22"/>
        <w:szCs w:val="22"/>
      </w:rPr>
      <w:tblPr/>
      <w:tcPr>
        <w:shd w:val="clear" w:color="auto" w:fill="4BACC6" w:themeFill="accent5"/>
      </w:tcPr>
    </w:tblStylePr>
    <w:tblStylePr w:type="lastCol">
      <w:rPr>
        <w:rFonts w:ascii="Arial" w:hAnsi="Arial" w:cs="Arial" w:hint="default"/>
        <w:color w:val="F2F2F2"/>
        <w:sz w:val="22"/>
        <w:szCs w:val="22"/>
      </w:rPr>
      <w:tblPr/>
      <w:tcPr>
        <w:shd w:val="clear" w:color="auto" w:fill="4BACC6"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hemeFill="accent5" w:themeFillTint="34"/>
      </w:tcPr>
    </w:tblStylePr>
  </w:style>
  <w:style w:type="table" w:customStyle="1" w:styleId="BorderedLined-Accent6">
    <w:name w:val="Bordered &amp; Lined - Accent 6"/>
    <w:basedOn w:val="a1"/>
    <w:uiPriority w:val="99"/>
    <w:qFormat/>
    <w:rsid w:val="009915D0"/>
    <w:rPr>
      <w:rFonts w:ascii="Times New Roman" w:eastAsia="宋体" w:hAnsi="Times New Roman" w:cs="Times New Roman"/>
      <w:color w:val="404040"/>
      <w:kern w:val="0"/>
      <w:sz w:val="20"/>
      <w:szCs w:val="2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F79646" w:themeFill="accent6"/>
      </w:tcPr>
    </w:tblStylePr>
    <w:tblStylePr w:type="lastRow">
      <w:rPr>
        <w:rFonts w:ascii="Arial" w:hAnsi="Arial" w:cs="Arial" w:hint="default"/>
        <w:color w:val="F2F2F2"/>
        <w:sz w:val="22"/>
        <w:szCs w:val="22"/>
      </w:rPr>
      <w:tblPr/>
      <w:tcPr>
        <w:shd w:val="clear" w:color="auto" w:fill="F79646" w:themeFill="accent6"/>
      </w:tcPr>
    </w:tblStylePr>
    <w:tblStylePr w:type="firstCol">
      <w:rPr>
        <w:rFonts w:ascii="Arial" w:hAnsi="Arial" w:cs="Arial" w:hint="default"/>
        <w:color w:val="F2F2F2"/>
        <w:sz w:val="22"/>
        <w:szCs w:val="22"/>
      </w:rPr>
      <w:tblPr/>
      <w:tcPr>
        <w:shd w:val="clear" w:color="auto" w:fill="F79646" w:themeFill="accent6"/>
      </w:tcPr>
    </w:tblStylePr>
    <w:tblStylePr w:type="lastCol">
      <w:rPr>
        <w:rFonts w:ascii="Arial" w:hAnsi="Arial" w:cs="Arial" w:hint="default"/>
        <w:color w:val="F2F2F2"/>
        <w:sz w:val="22"/>
        <w:szCs w:val="22"/>
      </w:rPr>
      <w:tblPr/>
      <w:tcPr>
        <w:shd w:val="clear" w:color="auto" w:fill="F79646"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hemeFill="accent6" w:themeFillTint="34"/>
      </w:tcPr>
    </w:tblStylePr>
  </w:style>
  <w:style w:type="table" w:customStyle="1" w:styleId="Bordered">
    <w:name w:val="Bordered"/>
    <w:basedOn w:val="a1"/>
    <w:uiPriority w:val="99"/>
    <w:qFormat/>
    <w:rsid w:val="009915D0"/>
    <w:rPr>
      <w:rFonts w:ascii="Times New Roman" w:eastAsia="宋体" w:hAnsi="Times New Roman" w:cs="Times New Roman"/>
      <w:kern w:val="0"/>
      <w:sz w:val="20"/>
      <w:szCs w:val="20"/>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rsid w:val="009915D0"/>
    <w:rPr>
      <w:rFonts w:ascii="Times New Roman" w:eastAsia="宋体" w:hAnsi="Times New Roman" w:cs="Times New Roman"/>
      <w:kern w:val="0"/>
      <w:sz w:val="20"/>
      <w:szCs w:val="20"/>
    </w:rPr>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4F81BD" w:themeColor="accent1"/>
        </w:tcBorders>
      </w:tcPr>
    </w:tblStylePr>
    <w:tblStylePr w:type="lastRow">
      <w:rPr>
        <w:rFonts w:ascii="Arial" w:hAnsi="Arial" w:cs="Arial" w:hint="default"/>
        <w:color w:val="404040"/>
        <w:sz w:val="22"/>
        <w:szCs w:val="22"/>
      </w:rPr>
      <w:tblPr/>
      <w:tcPr>
        <w:tcBorders>
          <w:top w:val="single" w:sz="12" w:space="0" w:color="4F81BD"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hemeColor="accent1"/>
        </w:tcBorders>
      </w:tcPr>
    </w:tblStylePr>
    <w:tblStylePr w:type="band1Horz">
      <w:rPr>
        <w:rFonts w:ascii="Arial" w:hAnsi="Arial" w:cs="Arial"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rsid w:val="009915D0"/>
    <w:rPr>
      <w:rFonts w:ascii="Times New Roman" w:eastAsia="宋体" w:hAnsi="Times New Roman" w:cs="Times New Roman"/>
      <w:kern w:val="0"/>
      <w:sz w:val="20"/>
      <w:szCs w:val="20"/>
    </w:rPr>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D99695" w:themeColor="accent2" w:themeTint="97"/>
        </w:tcBorders>
      </w:tcPr>
    </w:tblStylePr>
    <w:tblStylePr w:type="lastRow">
      <w:rPr>
        <w:rFonts w:ascii="Arial" w:hAnsi="Arial" w:cs="Arial" w:hint="default"/>
        <w:color w:val="404040"/>
        <w:sz w:val="22"/>
        <w:szCs w:val="22"/>
      </w:rPr>
      <w:tblPr/>
      <w:tcPr>
        <w:tcBorders>
          <w:top w:val="single" w:sz="12" w:space="0" w:color="D99695"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hemeColor="accent2" w:themeTint="97"/>
        </w:tcBorders>
      </w:tcPr>
    </w:tblStylePr>
    <w:tblStylePr w:type="band1Horz">
      <w:rPr>
        <w:rFonts w:ascii="Arial" w:hAnsi="Arial" w:cs="Arial"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rsid w:val="009915D0"/>
    <w:rPr>
      <w:rFonts w:ascii="Times New Roman" w:eastAsia="宋体" w:hAnsi="Times New Roman" w:cs="Times New Roman"/>
      <w:kern w:val="0"/>
      <w:sz w:val="20"/>
      <w:szCs w:val="20"/>
    </w:rPr>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C3D69B" w:themeColor="accent3" w:themeTint="98"/>
        </w:tcBorders>
      </w:tcPr>
    </w:tblStylePr>
    <w:tblStylePr w:type="lastRow">
      <w:rPr>
        <w:rFonts w:ascii="Arial" w:hAnsi="Arial" w:cs="Arial" w:hint="default"/>
        <w:color w:val="404040"/>
        <w:sz w:val="22"/>
        <w:szCs w:val="22"/>
      </w:rPr>
      <w:tblPr/>
      <w:tcPr>
        <w:tcBorders>
          <w:top w:val="single" w:sz="12" w:space="0" w:color="C3D69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hemeColor="accent3" w:themeTint="98"/>
        </w:tcBorders>
      </w:tc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rsid w:val="009915D0"/>
    <w:rPr>
      <w:rFonts w:ascii="Times New Roman" w:eastAsia="宋体" w:hAnsi="Times New Roman" w:cs="Times New Roman"/>
      <w:kern w:val="0"/>
      <w:sz w:val="20"/>
      <w:szCs w:val="20"/>
    </w:rPr>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B2A1C6" w:themeColor="accent4" w:themeTint="9A"/>
        </w:tcBorders>
      </w:tcPr>
    </w:tblStylePr>
    <w:tblStylePr w:type="lastRow">
      <w:rPr>
        <w:rFonts w:ascii="Arial" w:hAnsi="Arial" w:cs="Arial" w:hint="default"/>
        <w:color w:val="404040"/>
        <w:sz w:val="22"/>
        <w:szCs w:val="22"/>
      </w:rPr>
      <w:tblPr/>
      <w:tcPr>
        <w:tcBorders>
          <w:top w:val="single" w:sz="12" w:space="0" w:color="B2A1C6"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hemeColor="accent4" w:themeTint="9A"/>
        </w:tcBorders>
      </w:tcPr>
    </w:tblStylePr>
    <w:tblStylePr w:type="band1Horz">
      <w:rPr>
        <w:rFonts w:ascii="Arial" w:hAnsi="Arial" w:cs="Arial"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rsid w:val="009915D0"/>
    <w:rPr>
      <w:rFonts w:ascii="Times New Roman" w:eastAsia="宋体" w:hAnsi="Times New Roman" w:cs="Times New Roman"/>
      <w:kern w:val="0"/>
      <w:sz w:val="20"/>
      <w:szCs w:val="20"/>
    </w:rPr>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92CCDC" w:themeColor="accent5" w:themeTint="9A"/>
        </w:tcBorders>
      </w:tcPr>
    </w:tblStylePr>
    <w:tblStylePr w:type="lastRow">
      <w:rPr>
        <w:rFonts w:ascii="Arial" w:hAnsi="Arial" w:cs="Arial" w:hint="default"/>
        <w:color w:val="404040"/>
        <w:sz w:val="22"/>
        <w:szCs w:val="22"/>
      </w:rPr>
      <w:tblPr/>
      <w:tcPr>
        <w:tcBorders>
          <w:top w:val="single" w:sz="12" w:space="0" w:color="92CCDC"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hemeColor="accent5" w:themeTint="9A"/>
        </w:tcBorders>
      </w:tcPr>
    </w:tblStylePr>
    <w:tblStylePr w:type="band1Horz">
      <w:rPr>
        <w:rFonts w:ascii="Arial" w:hAnsi="Arial" w:cs="Arial"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rsid w:val="009915D0"/>
    <w:rPr>
      <w:rFonts w:ascii="Times New Roman" w:eastAsia="宋体" w:hAnsi="Times New Roman" w:cs="Times New Roman"/>
      <w:kern w:val="0"/>
      <w:sz w:val="20"/>
      <w:szCs w:val="20"/>
    </w:rPr>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FAC090" w:themeColor="accent6" w:themeTint="98"/>
        </w:tcBorders>
      </w:tcPr>
    </w:tblStylePr>
    <w:tblStylePr w:type="lastRow">
      <w:rPr>
        <w:rFonts w:ascii="Arial" w:hAnsi="Arial" w:cs="Arial" w:hint="default"/>
        <w:color w:val="404040"/>
        <w:sz w:val="22"/>
        <w:szCs w:val="22"/>
      </w:rPr>
      <w:tblPr/>
      <w:tcPr>
        <w:tcBorders>
          <w:top w:val="single" w:sz="12" w:space="0" w:color="FAC090"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hemeColor="accent6" w:themeTint="98"/>
        </w:tcBorders>
      </w:tcPr>
    </w:tblStylePr>
    <w:tblStylePr w:type="band1Horz">
      <w:rPr>
        <w:rFonts w:ascii="Arial" w:hAnsi="Arial" w:cs="Arial"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s>
</file>

<file path=word/webSettings.xml><?xml version="1.0" encoding="utf-8"?>
<w:webSettings xmlns:r="http://schemas.openxmlformats.org/officeDocument/2006/relationships" xmlns:w="http://schemas.openxmlformats.org/wordprocessingml/2006/main">
  <w:divs>
    <w:div w:id="123438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c.gov.cn/index.htm&#65289;&#26368;&#26032;&#21457;&#24067;&#30340;&#12298;&#32593;&#32476;&#20851;&#38190;&#35774;&#22791;&#21644;&#32593;&#32476;&#23433;&#20840;&#19987;&#29992;&#20135;&#21697;&#23433;&#20840;&#35748;&#35777;&#21644;&#23433;&#20840;&#26816;&#27979;&#32467;&#26524;&#12299;&#25130;&#22270;&#35777;&#26126;&#26448;&#26009;&#65292;&#19981;&#22312;&#12298;&#32593;&#32476;&#20851;&#38190;&#35774;&#22791;&#21644;&#32593;&#32476;&#23433;&#20840;&#19987;&#29992;&#20135;&#21697;&#23433;&#20840;&#35748;&#35777;&#21644;&#23433;&#20840;&#26816;&#27979;&#32467;&#26524;&#12299;&#20013;&#25110;&#19981;&#22312;&#26377;&#25928;&#26399;&#20869;&#25110;&#26410;&#25552;&#20379;&#26377;&#25928;&#30340;&#1229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3853</Words>
  <Characters>21967</Characters>
  <Application>Microsoft Office Word</Application>
  <DocSecurity>0</DocSecurity>
  <Lines>183</Lines>
  <Paragraphs>51</Paragraphs>
  <ScaleCrop>false</ScaleCrop>
  <Company/>
  <LinksUpToDate>false</LinksUpToDate>
  <CharactersWithSpaces>25769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2026-08-17T06:59:00Z</dcterms:created>
  <dcterms:modified xsi:type="dcterms:W3CDTF">2026-08-17T06:59:00Z</dcterms:modified>
</cp:coreProperties>
</file>