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E8B1A">
      <w:pPr>
        <w:pStyle w:val="2"/>
        <w:keepNext w:val="0"/>
        <w:keepLines w:val="0"/>
        <w:tabs>
          <w:tab w:val="left" w:pos="0"/>
          <w:tab w:val="left" w:pos="3165"/>
          <w:tab w:val="center" w:pos="4153"/>
        </w:tabs>
        <w:spacing w:before="0" w:after="0" w:line="360" w:lineRule="auto"/>
        <w:jc w:val="center"/>
        <w:rPr>
          <w:rFonts w:ascii="宋体" w:hAnsi="宋体" w:eastAsia="宋体"/>
          <w:color w:val="auto"/>
        </w:rPr>
      </w:pPr>
      <w:r>
        <w:rPr>
          <w:rFonts w:hint="eastAsia" w:ascii="宋体" w:hAnsi="宋体" w:eastAsia="宋体"/>
          <w:color w:val="auto"/>
        </w:rPr>
        <w:t>采购需求</w:t>
      </w:r>
    </w:p>
    <w:p w14:paraId="5F94A944">
      <w:pPr>
        <w:spacing w:line="360" w:lineRule="auto"/>
        <w:jc w:val="left"/>
        <w:rPr>
          <w:rFonts w:ascii="宋体" w:hAnsi="宋体" w:eastAsia="宋体" w:cs="宋体"/>
          <w:color w:val="auto"/>
          <w:szCs w:val="21"/>
        </w:rPr>
      </w:pPr>
    </w:p>
    <w:p w14:paraId="0D705E36">
      <w:pPr>
        <w:spacing w:line="360" w:lineRule="auto"/>
        <w:jc w:val="left"/>
        <w:rPr>
          <w:rFonts w:ascii="宋体" w:hAnsi="宋体" w:eastAsia="宋体" w:cs="宋体"/>
          <w:color w:val="auto"/>
          <w:szCs w:val="21"/>
        </w:rPr>
      </w:pPr>
      <w:r>
        <w:rPr>
          <w:rFonts w:hint="eastAsia" w:ascii="宋体" w:hAnsi="宋体" w:eastAsia="宋体" w:cs="宋体"/>
          <w:color w:val="auto"/>
          <w:szCs w:val="21"/>
        </w:rPr>
        <w:t>说明：</w:t>
      </w:r>
    </w:p>
    <w:p w14:paraId="58D10DA4">
      <w:pPr>
        <w:spacing w:line="360" w:lineRule="auto"/>
        <w:ind w:firstLine="420"/>
        <w:jc w:val="left"/>
        <w:rPr>
          <w:rFonts w:eastAsia="宋体"/>
          <w:color w:val="auto"/>
        </w:rPr>
      </w:pPr>
      <w:r>
        <w:rPr>
          <w:rFonts w:eastAsia="宋体"/>
          <w:color w:val="auto"/>
        </w:rPr>
        <w:t xml:space="preserve">1. </w:t>
      </w:r>
      <w:r>
        <w:rPr>
          <w:rFonts w:hint="eastAsia" w:eastAsia="宋体"/>
          <w:color w:val="auto"/>
        </w:rPr>
        <w:t>为落实政府采购政策需满足的要求</w:t>
      </w:r>
    </w:p>
    <w:p w14:paraId="46BC0F8D">
      <w:pPr>
        <w:spacing w:line="360" w:lineRule="auto"/>
        <w:ind w:firstLine="420"/>
        <w:jc w:val="left"/>
        <w:rPr>
          <w:rFonts w:ascii="宋体" w:hAnsi="宋体" w:eastAsia="宋体" w:cs="宋体"/>
          <w:color w:val="auto"/>
          <w:szCs w:val="21"/>
        </w:rPr>
      </w:pPr>
      <w:r>
        <w:rPr>
          <w:rFonts w:hint="eastAsia" w:ascii="宋体" w:hAnsi="宋体" w:eastAsia="宋体" w:cs="宋体"/>
          <w:color w:val="auto"/>
          <w:szCs w:val="21"/>
        </w:rPr>
        <w:t>（1）本征集文件所称中小企业必须符合《政府采购促进中小企业发展管理办法》（财库〔2020〕46号）的规定。</w:t>
      </w:r>
    </w:p>
    <w:p w14:paraId="74C10C3C">
      <w:pPr>
        <w:spacing w:line="360" w:lineRule="auto"/>
        <w:ind w:firstLine="424"/>
        <w:jc w:val="left"/>
        <w:rPr>
          <w:rFonts w:ascii="宋体" w:hAnsi="宋体" w:eastAsia="宋体" w:cs="宋体"/>
          <w:color w:val="auto"/>
          <w:szCs w:val="21"/>
        </w:rPr>
      </w:pPr>
      <w:r>
        <w:rPr>
          <w:rFonts w:hint="eastAsia" w:ascii="宋体" w:hAnsi="宋体" w:eastAsia="宋体" w:cs="宋体"/>
          <w:color w:val="auto"/>
          <w:szCs w:val="21"/>
        </w:rPr>
        <w:t>2.“实质性要求”是指响应文件中已经指明不满足则响应无效的条款，或者不能负偏离的条款，或者采购需求中带“▲”的条款。</w:t>
      </w:r>
    </w:p>
    <w:p w14:paraId="78108295">
      <w:pPr>
        <w:spacing w:line="360" w:lineRule="auto"/>
        <w:ind w:firstLine="424"/>
        <w:jc w:val="left"/>
        <w:rPr>
          <w:rFonts w:ascii="宋体" w:hAnsi="宋体" w:eastAsia="宋体" w:cs="宋体"/>
          <w:color w:val="auto"/>
          <w:szCs w:val="21"/>
        </w:rPr>
      </w:pPr>
      <w:r>
        <w:rPr>
          <w:rFonts w:hint="eastAsia" w:ascii="宋体" w:hAnsi="宋体" w:eastAsia="宋体" w:cs="宋体"/>
          <w:color w:val="auto"/>
          <w:szCs w:val="21"/>
        </w:rPr>
        <w:t>3.采购需求中出现的品牌、型号或者生产厂家仅起参考作用，不属于指定品牌、型号或者生产厂家的情形。供应商可参照或者选用其他相当的品牌、型号或者生产厂家替代。</w:t>
      </w:r>
    </w:p>
    <w:p w14:paraId="16BE812C">
      <w:pPr>
        <w:spacing w:line="360" w:lineRule="auto"/>
        <w:ind w:firstLine="424"/>
        <w:jc w:val="left"/>
        <w:rPr>
          <w:rFonts w:eastAsia="宋体"/>
          <w:color w:val="auto"/>
        </w:rPr>
      </w:pPr>
      <w:r>
        <w:rPr>
          <w:rFonts w:hint="eastAsia" w:ascii="宋体" w:hAnsi="宋体" w:eastAsia="宋体" w:cs="宋体"/>
          <w:color w:val="auto"/>
          <w:szCs w:val="21"/>
        </w:rPr>
        <w:t>4.</w:t>
      </w:r>
      <w:r>
        <w:rPr>
          <w:rFonts w:hint="eastAsia" w:eastAsia="宋体"/>
          <w:color w:val="auto"/>
        </w:rPr>
        <w:t>供应商必须自行为其投标产品侵犯他人的知识产权或者专利成果的行为承担相应法律责任。</w:t>
      </w:r>
    </w:p>
    <w:p w14:paraId="1AAA8C16">
      <w:pPr>
        <w:rPr>
          <w:rFonts w:ascii="宋体" w:hAnsi="宋体" w:eastAsia="宋体" w:cs="Arial"/>
          <w:bCs/>
          <w:color w:val="auto"/>
          <w:szCs w:val="21"/>
          <w:u w:val="single"/>
        </w:rPr>
      </w:pPr>
    </w:p>
    <w:p w14:paraId="4995D0B3">
      <w:pPr>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一、总体要求</w:t>
      </w:r>
    </w:p>
    <w:p w14:paraId="7828CE28">
      <w:pPr>
        <w:spacing w:line="440" w:lineRule="exact"/>
        <w:ind w:firstLine="422"/>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1.标的所属行业：其他未列明行业。 </w:t>
      </w:r>
    </w:p>
    <w:p w14:paraId="602DFFB1">
      <w:pPr>
        <w:spacing w:line="440" w:lineRule="exact"/>
        <w:ind w:firstLine="422"/>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2.采购需求要求未尽事宜由采购人与入围供应商在采购合同中约定。 </w:t>
      </w:r>
    </w:p>
    <w:p w14:paraId="11C62577">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3.入围供应商响应的技术、商务等条件必须满足，如存在负偏离将导致响应被否决。</w:t>
      </w:r>
    </w:p>
    <w:p w14:paraId="32A80B58">
      <w:pPr>
        <w:spacing w:line="440" w:lineRule="exact"/>
        <w:jc w:val="center"/>
        <w:rPr>
          <w:rFonts w:hint="eastAsia" w:ascii="宋体" w:hAnsi="宋体" w:eastAsia="宋体" w:cs="宋体"/>
          <w:b/>
          <w:bCs/>
          <w:color w:val="auto"/>
          <w:sz w:val="28"/>
          <w:szCs w:val="28"/>
          <w:lang w:val="en-US" w:eastAsia="zh-CN"/>
        </w:rPr>
      </w:pPr>
    </w:p>
    <w:p w14:paraId="4C8ACCCF">
      <w:pPr>
        <w:spacing w:line="44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▲二、技术要求</w:t>
      </w:r>
    </w:p>
    <w:p w14:paraId="3634D487">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本项目采购服务属于财政预算管理，协助</w:t>
      </w:r>
      <w:r>
        <w:rPr>
          <w:rFonts w:hint="eastAsia" w:ascii="宋体" w:hAnsi="宋体" w:cs="宋体"/>
          <w:color w:val="auto"/>
          <w:szCs w:val="21"/>
          <w:lang w:val="en-US" w:eastAsia="zh-CN"/>
        </w:rPr>
        <w:t>采购人</w:t>
      </w:r>
      <w:r>
        <w:rPr>
          <w:rFonts w:hint="eastAsia" w:ascii="宋体" w:hAnsi="宋体" w:eastAsia="宋体" w:cs="宋体"/>
          <w:color w:val="auto"/>
          <w:szCs w:val="21"/>
          <w:lang w:val="en-US" w:eastAsia="zh-CN"/>
        </w:rPr>
        <w:t>对财政支出项目、政府性投资项目进行技术性审核与评价，入围供应商应熟悉财政监督或审计监督政策，具备服务财政投资评审的技术能力。</w:t>
      </w:r>
    </w:p>
    <w:p w14:paraId="4E3F39EB">
      <w:pPr>
        <w:spacing w:line="440" w:lineRule="exact"/>
        <w:ind w:firstLine="422"/>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 xml:space="preserve">（一）服务内容 </w:t>
      </w:r>
    </w:p>
    <w:p w14:paraId="2C2E131F">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1.凤山县财政投资项目评审中心工程造价咨询预、（结）算评审服务框架协议采购</w:t>
      </w:r>
      <w:r>
        <w:rPr>
          <w:rFonts w:hint="eastAsia" w:ascii="宋体" w:hAnsi="宋体" w:cs="宋体"/>
          <w:color w:val="auto"/>
          <w:szCs w:val="21"/>
          <w:lang w:val="en-US" w:eastAsia="zh-CN"/>
        </w:rPr>
        <w:t>项目</w:t>
      </w:r>
      <w:r>
        <w:rPr>
          <w:rFonts w:hint="eastAsia" w:ascii="宋体" w:hAnsi="宋体" w:eastAsia="宋体" w:cs="宋体"/>
          <w:color w:val="auto"/>
          <w:szCs w:val="21"/>
          <w:lang w:val="en-US" w:eastAsia="zh-CN"/>
        </w:rPr>
        <w:t>通过公开征集程序，确定第一阶段入围供应商并订立框架协议，采购人按照框架协议约定规则，在入围供应商范围内直接选定第二阶段成交供应商并按项目签订采购合同，委托其开展相关服务工作。</w:t>
      </w:r>
    </w:p>
    <w:p w14:paraId="62A442BD">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2.适用框架协议的征集人：凤山县财政局。 </w:t>
      </w:r>
    </w:p>
    <w:p w14:paraId="49C01AE2">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本次服务内容为2026-2028年度凤山县财政投资评审服务，评审服务内容为凤山县财政投资项目评审中心工程造价咨询预、（结）算评审服务、工程量清单、招标控制价审核及竣工工程结算审核等服务，按时、保质、保量地完成评审服务工作。</w:t>
      </w:r>
    </w:p>
    <w:p w14:paraId="6CEEDF0B">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第一阶段按综合评分排名，确定入围供应商数量上限为12家，淘汰比例≥20%，且至少淘汰1家供应商。第二阶段成交供应商由采购人依据项目实际情况、入围供应商服务质量、服务便利性、用户评价等因素，从第一阶段入围供应商中直接选定。</w:t>
      </w:r>
    </w:p>
    <w:p w14:paraId="2E47E66E">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5.服务质量：符合国家规定的造价咨询服务标准和现行技术规范、规程要求。 </w:t>
      </w:r>
    </w:p>
    <w:p w14:paraId="0F17189A">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6.入围后，入围供应商可承接的评审项目具体数量及投资额以实际签订采购合同为准。 </w:t>
      </w:r>
    </w:p>
    <w:p w14:paraId="2CB81369">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7.延续安排项目：同一项目未完成内容再次送审（因建设单位原因）、变更工程等原则上由原成交供应商延续服务。</w:t>
      </w:r>
    </w:p>
    <w:p w14:paraId="606F2F5F">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8.回避原则：</w:t>
      </w:r>
    </w:p>
    <w:p w14:paraId="7C33F934">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8.1与项目建设、施工、监理、设计单位、受托第三方中介机构存在亲属关系、利害关系；</w:t>
      </w:r>
    </w:p>
    <w:p w14:paraId="05104410">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8.2参与过项目前期咨询、造价编制、招标代理、评审服务等工作；</w:t>
      </w:r>
    </w:p>
    <w:p w14:paraId="378A9649">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8.3与第三方中介机构存在合作利益、人情关系，可能影响公正派单、公正监管、公正结算、公正决策；</w:t>
      </w:r>
    </w:p>
    <w:p w14:paraId="4BBFF2B3">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8.4存在其他可能影响公正履职情形的。</w:t>
      </w:r>
    </w:p>
    <w:p w14:paraId="694F71FD">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若有违反前述规定行为，一经发现，采购人将有权终止协议并报主管部门备案，且不能参与后续年度采购事项。</w:t>
      </w:r>
    </w:p>
    <w:p w14:paraId="0AD2482C">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9.入围供应商不得将采购人委托的评审工作转交或分包给第三方完成。</w:t>
      </w:r>
    </w:p>
    <w:p w14:paraId="7EF35F3B">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10.入围供应商被采购人直接选定后，无正当理由不得拒绝采购人各类评审项目的委托。入围供应商要保证项目评审所需的造价技术人员。</w:t>
      </w:r>
    </w:p>
    <w:p w14:paraId="23A04C41">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入围供应商接到委托任务后应按时响应并安排人员主动与采购人联系做好资料接收工作，落实具体事宜，安排充足的人员在规定的时间内完成委托任务评审工作，并将安排的该委托任务的负责人及相关审核人员姓名与联系电话书面反馈给采购人，应严格按照采购人提出的评审时限及评审工作流程细则要求提供评审服务，并按时按质递交评审成果文件，及时将评审资料归档。</w:t>
      </w:r>
    </w:p>
    <w:p w14:paraId="43E21632">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入围供应商应确保评审质量，按《建设工程造价咨询成果文件质量标准》（CECA/GC7-2012）质量要求向采购人提交成果及工程量计算底稿时必须已完成内部三级审核程序，评审成果包括但不限于评审意见、审定的预算书、工程量计算资料、材料询价资料等，并提供各级审核人的书面审核意见，经采购人确认后作为支付服务费用的依据。</w:t>
      </w:r>
    </w:p>
    <w:p w14:paraId="15ED977E">
      <w:pPr>
        <w:spacing w:line="440" w:lineRule="exact"/>
        <w:ind w:firstLine="422"/>
        <w:rPr>
          <w:rFonts w:hint="default" w:ascii="宋体" w:hAnsi="宋体" w:eastAsia="宋体" w:cs="宋体"/>
          <w:color w:val="auto"/>
          <w:szCs w:val="21"/>
          <w:lang w:val="en-US" w:eastAsia="zh-CN"/>
        </w:rPr>
      </w:pPr>
      <w:r>
        <w:rPr>
          <w:rFonts w:hint="eastAsia" w:ascii="宋体" w:hAnsi="宋体" w:cs="宋体"/>
          <w:color w:val="auto"/>
          <w:szCs w:val="21"/>
          <w:lang w:val="en-US" w:eastAsia="zh-CN"/>
        </w:rPr>
        <w:t>13.审核工作模式，由采购单位从入围供应商中选取A公司进行协审，再选取B公司对A公司审核结果进行复核。</w:t>
      </w:r>
    </w:p>
    <w:p w14:paraId="66E4AF82">
      <w:pPr>
        <w:spacing w:line="440" w:lineRule="exact"/>
        <w:ind w:firstLine="422"/>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（二）服务标准</w:t>
      </w:r>
    </w:p>
    <w:p w14:paraId="76D0B59F">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1.入围供应商要严格遵守国家的法律、法规和有关规章制度，严格遵守《</w:t>
      </w:r>
      <w:r>
        <w:rPr>
          <w:rFonts w:hint="eastAsia" w:ascii="宋体" w:hAnsi="宋体" w:cs="宋体"/>
          <w:color w:val="auto"/>
          <w:szCs w:val="21"/>
          <w:lang w:val="en-US" w:eastAsia="zh-CN"/>
        </w:rPr>
        <w:t>工程造价咨询单位执业行为准则</w:t>
      </w:r>
      <w:r>
        <w:rPr>
          <w:rFonts w:hint="eastAsia" w:ascii="宋体" w:hAnsi="宋体" w:eastAsia="宋体" w:cs="宋体"/>
          <w:color w:val="auto"/>
          <w:szCs w:val="21"/>
          <w:lang w:val="en-US" w:eastAsia="zh-CN"/>
        </w:rPr>
        <w:t>》《造价工程师职业道德行为准则》、财政部办公厅印发的《财政投资项目评审操作规程》（财办建〔2002〕619号）、《广西壮族自治区财政投资评审操作规程》（桂财办〔2018〕107号）、</w:t>
      </w:r>
      <w:r>
        <w:rPr>
          <w:rFonts w:hint="eastAsia" w:ascii="宋体" w:hAnsi="宋体" w:cs="宋体"/>
          <w:color w:val="auto"/>
          <w:szCs w:val="21"/>
          <w:lang w:val="en-US" w:eastAsia="zh-CN"/>
        </w:rPr>
        <w:t>《河池市本级政府投资项目投资评审管理办法 （2024年修订）》（河政办发〔2024〕25号）、</w:t>
      </w:r>
      <w:r>
        <w:rPr>
          <w:rFonts w:hint="eastAsia" w:ascii="宋体" w:hAnsi="宋体" w:eastAsia="宋体" w:cs="宋体"/>
          <w:color w:val="auto"/>
          <w:szCs w:val="21"/>
          <w:lang w:val="en-US" w:eastAsia="zh-CN"/>
        </w:rPr>
        <w:t>《凤山县政府投资项目管理暂行办法》（凤政办发〔2021〕6号）、《</w:t>
      </w:r>
      <w:bookmarkStart w:id="0" w:name="heading_0"/>
      <w:r>
        <w:rPr>
          <w:rFonts w:hint="eastAsia" w:ascii="宋体" w:hAnsi="宋体" w:eastAsia="宋体" w:cs="宋体"/>
          <w:color w:val="auto"/>
          <w:szCs w:val="21"/>
          <w:lang w:val="en-US" w:eastAsia="zh-CN"/>
        </w:rPr>
        <w:t>凤山县财政投资项目评审内部控制管理制度</w:t>
      </w:r>
      <w:bookmarkEnd w:id="0"/>
      <w:r>
        <w:rPr>
          <w:rFonts w:hint="eastAsia" w:ascii="宋体" w:hAnsi="宋体" w:eastAsia="宋体" w:cs="宋体"/>
          <w:color w:val="auto"/>
          <w:szCs w:val="21"/>
          <w:lang w:val="en-US" w:eastAsia="zh-CN"/>
        </w:rPr>
        <w:t>》等有关规定和要求开展项目评审工作及质量控制办法规定的执行。</w:t>
      </w:r>
    </w:p>
    <w:p w14:paraId="646266C3">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2.严格按照现行的工程造价管理办法、工程结算编审规程等文件要求进行评审工作，依照相关依据发表专业意见出具成果文件，并对成果的真实性、完整性、准确性负责。 </w:t>
      </w:r>
    </w:p>
    <w:p w14:paraId="7317CECF">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评审人员在项目评审工作中，应按有关计价规则，恪守客观公正、实事求是地对项目进行评审，确保评审工作的真实完整和准确，保证评审质量。在进行工程概算、预算控制价审核时，对项目少计或漏项的内容要根据项目情况进行计算；对图纸不清或把握不准的要向采购人进行反映并沟通；对工程量清单要进行表述并表述清楚，不能含糊不清或模棱两可，对评审过程中发现的问题应及时反馈给采购人。</w:t>
      </w:r>
    </w:p>
    <w:p w14:paraId="156BE52A">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4.评审报告编制标准：评审内容完整、数据准确、依据充分，评审结论定性客观、定量准确、依据充分，核增核减原因定性准确、条理清晰，披露评审问题有理有据、分析透彻，提出评审建议措施具体、针对性强。 </w:t>
      </w:r>
    </w:p>
    <w:p w14:paraId="526AAE7E">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5.采购人将对入围供应商提交的评审报告和评审结论进行复审，复审结果因入围供应商造成严重质量问题时，采购人不支付该项目的评审费用，入围供应商必须承担由此造成的全部经济和法律责任。 </w:t>
      </w:r>
    </w:p>
    <w:p w14:paraId="5FAD550F">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6.入围供应商对所审核项目应严格保密，不得向除评审中心安排的联系人之外的人员泄露任何有关评审资料、评审人员及评审结果等信息，不得未经采购人同意擅自对外公开评审结论。入围供应商私自泄露相关信息造成的一切后果，均由入围供应商负责。 </w:t>
      </w:r>
    </w:p>
    <w:p w14:paraId="06FE31F1">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评审人员应严格遵守廉洁自律的有关规定，坚决抵制各种可能影响客观公正评审的商业贿赂，坚决不搞人情评审，避免和杜绝吃拿卡要等不良行为。如因评审人员原因出现违规违纪行为，应及时处理并承担相应法律责任，采购人有权追究其相关责任。</w:t>
      </w:r>
    </w:p>
    <w:p w14:paraId="25FF19D3">
      <w:pPr>
        <w:spacing w:line="440" w:lineRule="exact"/>
        <w:ind w:firstLine="422"/>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 xml:space="preserve">（三）服务人员组成 </w:t>
      </w:r>
    </w:p>
    <w:p w14:paraId="45B21EBE">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1.框架协议项目负责人要求</w:t>
      </w:r>
      <w:r>
        <w:rPr>
          <w:rFonts w:hint="eastAsia" w:ascii="宋体" w:hAnsi="宋体" w:eastAsia="宋体" w:cs="宋体"/>
          <w:b/>
          <w:bCs/>
          <w:color w:val="auto"/>
          <w:szCs w:val="21"/>
          <w:lang w:val="en-US" w:eastAsia="zh-CN"/>
        </w:rPr>
        <w:t>（不接受退休返聘人员）</w:t>
      </w:r>
      <w:r>
        <w:rPr>
          <w:rFonts w:hint="eastAsia" w:ascii="宋体" w:hAnsi="宋体" w:eastAsia="宋体" w:cs="宋体"/>
          <w:color w:val="auto"/>
          <w:szCs w:val="21"/>
          <w:lang w:val="en-US" w:eastAsia="zh-CN"/>
        </w:rPr>
        <w:t xml:space="preserve">： </w:t>
      </w:r>
    </w:p>
    <w:p w14:paraId="124CABA6">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入围供应商至少拟派一名框架协议项目负责人与采购人及相关单位进行有效沟通，随时向采购人汇报工作，跟进项目进度，确保审核质量并承担相应责任。组织相关评审工作，能够就评审中的重大技术问题、重大争议与纠纷提出处理建议，按规定提交采购人要求的各项意见和审核报告。</w:t>
      </w:r>
    </w:p>
    <w:p w14:paraId="152FE621">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2.项目主审和协审人员要求（</w:t>
      </w:r>
      <w:r>
        <w:rPr>
          <w:rFonts w:hint="eastAsia" w:ascii="宋体" w:hAnsi="宋体" w:eastAsia="宋体" w:cs="宋体"/>
          <w:b/>
          <w:bCs/>
          <w:color w:val="auto"/>
          <w:szCs w:val="21"/>
          <w:lang w:val="en-US" w:eastAsia="zh-CN"/>
        </w:rPr>
        <w:t>不接受退休返聘人员</w:t>
      </w:r>
      <w:r>
        <w:rPr>
          <w:rFonts w:hint="eastAsia" w:ascii="宋体" w:hAnsi="宋体" w:eastAsia="宋体" w:cs="宋体"/>
          <w:color w:val="auto"/>
          <w:szCs w:val="21"/>
          <w:lang w:val="en-US" w:eastAsia="zh-CN"/>
        </w:rPr>
        <w:t xml:space="preserve">）： </w:t>
      </w:r>
    </w:p>
    <w:p w14:paraId="0C022D1E">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（1）主审人员：要求是注册一级造价工程师，业务能力和沟通能力强，能胜任项目主审职责（项目评审对接、组织、综合复核、进度控制、质量控制及评审报告的拟写）。 </w:t>
      </w:r>
    </w:p>
    <w:p w14:paraId="45A12BC0">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（2）协审人员：要求是造价员或造价工程师，有团队意识，配合项目主审做好评审工作。</w:t>
      </w:r>
    </w:p>
    <w:p w14:paraId="222E82CE">
      <w:pPr>
        <w:spacing w:line="440" w:lineRule="exact"/>
        <w:ind w:firstLine="422"/>
        <w:rPr>
          <w:rFonts w:hint="eastAsia" w:ascii="宋体" w:hAnsi="宋体" w:eastAsia="宋体" w:cs="宋体"/>
          <w:color w:val="auto"/>
          <w:szCs w:val="21"/>
          <w:highlight w:val="red"/>
          <w:lang w:val="en-US" w:eastAsia="zh-CN"/>
        </w:rPr>
      </w:pPr>
      <w:r>
        <w:rPr>
          <w:rFonts w:hint="eastAsia" w:ascii="宋体" w:hAnsi="宋体" w:eastAsia="宋体" w:cs="宋体"/>
          <w:color w:val="auto"/>
          <w:szCs w:val="21"/>
          <w:lang w:val="en-US" w:eastAsia="zh-CN"/>
        </w:rPr>
        <w:t>（3）项目评审人员最低配置</w:t>
      </w:r>
      <w:r>
        <w:rPr>
          <w:rFonts w:hint="eastAsia" w:ascii="宋体" w:hAnsi="宋体" w:eastAsia="宋体" w:cs="宋体"/>
          <w:color w:val="auto"/>
          <w:szCs w:val="21"/>
          <w:highlight w:val="none"/>
          <w:lang w:val="en-US" w:eastAsia="zh-CN"/>
        </w:rPr>
        <w:t>要求：</w:t>
      </w:r>
      <w:r>
        <w:rPr>
          <w:rFonts w:hint="eastAsia" w:ascii="宋体" w:hAnsi="宋体" w:eastAsia="宋体" w:cs="宋体"/>
          <w:b/>
          <w:bCs/>
          <w:color w:val="auto"/>
          <w:szCs w:val="21"/>
          <w:highlight w:val="none"/>
          <w:lang w:val="en-US" w:eastAsia="zh-CN"/>
        </w:rPr>
        <w:t>拟投入团队至少包含专业技术人员6人（均须具备一级或二级造价工程师职业资格证书），其中土木建筑工程岗位2人（其中一级造价工程师不少于1人），安装工程岗位2人（一级造价工程师不少于1人），交通运输（或公路）工程岗位1人，水利工程岗位1人，以上人员必须为本单位注册人员（提供注册证书）。</w:t>
      </w:r>
    </w:p>
    <w:p w14:paraId="5329C8A0">
      <w:pPr>
        <w:spacing w:line="440" w:lineRule="exact"/>
        <w:ind w:firstLine="422"/>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注：①2018年前取得造价工程师执业资格的视为取得一级造价工程师执业资格；②协议期限内，征集人、采购人因业务需要可要求入围供应商增派相关人员，具体由双方协商；如遇国家对造价人员政策的调整，入围供应商须提供或替换国家认可的相应身份人员为采购人服务。</w:t>
      </w:r>
    </w:p>
    <w:p w14:paraId="40214DDE">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3.拟投入的评审人员替换规则： </w:t>
      </w:r>
    </w:p>
    <w:p w14:paraId="747F9AA8">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3.1 征集人对入围供应商拟投入的评审人员（包括主审、协审人员）实行登记备案管理。入围后，须将本单位拟投入所有专职评审人员（包括主审、协审人员）的名单（附上通讯方式）以及个人详细资料（附身份证、学历、社保、资格证明文件的复印件，原件备查）通过书面和电子文档形式报征集人登记备案。  </w:t>
      </w:r>
    </w:p>
    <w:p w14:paraId="09A3DC65">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在项目服务过程中，入围供应商如果发生人员变动情况，要及时向征集人提出申请并得到采购人的同意。征集人将不定期地对入围供应商拟投入的评审人员在岗情况进行检查，经查实入围供应商擅自变更评审人员数量达到总人数20%的，或实际评审人员配备达不到合同约定的最低人数时，采购人可以不对其委派项目。 </w:t>
      </w:r>
    </w:p>
    <w:p w14:paraId="07721AC6">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3.2如果入围供应商需要更换框架协议负责人和评审人员时，必须向征集人提出申请并得到采购人的同意。采购人认为入围供应商实际投入的评审人员不足以满足任务需要或认为评审人员不称职时，可向入围供应商发出要求增加或更换评审人员的通知，入围供应商应及时增加或更换符合采购人需求的评审人员，由此产生的费用由入围供应商自行承担。</w:t>
      </w:r>
    </w:p>
    <w:p w14:paraId="091C809F">
      <w:pPr>
        <w:spacing w:line="440" w:lineRule="exact"/>
        <w:ind w:firstLine="422"/>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 xml:space="preserve">（四）服务工作量的计量方式 </w:t>
      </w:r>
    </w:p>
    <w:p w14:paraId="4C1E630B">
      <w:pPr>
        <w:spacing w:line="440" w:lineRule="exact"/>
        <w:ind w:firstLine="422"/>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1.最高限制单价</w:t>
      </w:r>
    </w:p>
    <w:p w14:paraId="1B98857C">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1.1服务费的计算标准</w:t>
      </w:r>
    </w:p>
    <w:p w14:paraId="2E09AE6F">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协审服务费参考《广西建设工程造价咨询服务行业收费参考标准》（桂价协字〔2019〕15 号文）执行。</w:t>
      </w:r>
    </w:p>
    <w:p w14:paraId="50BD60DE">
      <w:pPr>
        <w:spacing w:line="44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概算</w:t>
      </w:r>
      <w:r>
        <w:rPr>
          <w:rFonts w:hint="eastAsia" w:ascii="宋体" w:hAnsi="宋体" w:eastAsia="宋体" w:cs="宋体"/>
          <w:color w:val="auto"/>
          <w:szCs w:val="21"/>
          <w:lang w:val="en-US" w:eastAsia="zh-CN"/>
        </w:rPr>
        <w:t>及招标控制价协审服务费=基本费（送审工程造价×分段基础服务费率×50%）或效益费（项目净核减/净核增额×效益费率3%）（二者选高值），效益费高于基本费的1.5倍的，按基本费的1.5倍计算，协审服务费计费标准如下表所示。</w:t>
      </w:r>
    </w:p>
    <w:p w14:paraId="53ED15B0">
      <w:pPr>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协审服务费计费标准</w:t>
      </w:r>
    </w:p>
    <w:tbl>
      <w:tblPr>
        <w:tblStyle w:val="8"/>
        <w:tblW w:w="94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862"/>
        <w:gridCol w:w="873"/>
        <w:gridCol w:w="1105"/>
        <w:gridCol w:w="903"/>
        <w:gridCol w:w="1271"/>
        <w:gridCol w:w="1271"/>
        <w:gridCol w:w="1271"/>
        <w:gridCol w:w="1284"/>
      </w:tblGrid>
      <w:tr w14:paraId="0F0FD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2358" w:type="dxa"/>
            <w:gridSpan w:val="3"/>
            <w:vMerge w:val="restart"/>
            <w:tcBorders>
              <w:top w:val="single" w:color="000000" w:sz="2" w:space="0"/>
              <w:left w:val="single" w:color="000000" w:sz="2" w:space="0"/>
              <w:bottom w:val="nil"/>
            </w:tcBorders>
            <w:vAlign w:val="center"/>
          </w:tcPr>
          <w:p w14:paraId="1CE8AC2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咨询项目名称</w:t>
            </w:r>
          </w:p>
        </w:tc>
        <w:tc>
          <w:tcPr>
            <w:tcW w:w="1105" w:type="dxa"/>
            <w:vMerge w:val="restart"/>
            <w:tcBorders>
              <w:top w:val="single" w:color="000000" w:sz="2" w:space="0"/>
              <w:bottom w:val="nil"/>
            </w:tcBorders>
            <w:vAlign w:val="center"/>
          </w:tcPr>
          <w:p w14:paraId="1264900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费用基数</w:t>
            </w:r>
          </w:p>
        </w:tc>
        <w:tc>
          <w:tcPr>
            <w:tcW w:w="6000" w:type="dxa"/>
            <w:gridSpan w:val="5"/>
            <w:tcBorders>
              <w:top w:val="single" w:color="000000" w:sz="2" w:space="0"/>
              <w:right w:val="single" w:color="000000" w:sz="2" w:space="0"/>
            </w:tcBorders>
            <w:vAlign w:val="center"/>
          </w:tcPr>
          <w:p w14:paraId="2591CB1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按差额定率分档累进方法计算（费率单位：‰）</w:t>
            </w:r>
          </w:p>
        </w:tc>
      </w:tr>
      <w:tr w14:paraId="4A0D5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2358" w:type="dxa"/>
            <w:gridSpan w:val="3"/>
            <w:vMerge w:val="continue"/>
            <w:tcBorders>
              <w:top w:val="nil"/>
              <w:left w:val="single" w:color="000000" w:sz="2" w:space="0"/>
            </w:tcBorders>
            <w:vAlign w:val="center"/>
          </w:tcPr>
          <w:p w14:paraId="454D43C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p>
        </w:tc>
        <w:tc>
          <w:tcPr>
            <w:tcW w:w="1105" w:type="dxa"/>
            <w:vMerge w:val="continue"/>
            <w:tcBorders>
              <w:top w:val="nil"/>
            </w:tcBorders>
            <w:vAlign w:val="center"/>
          </w:tcPr>
          <w:p w14:paraId="77408D6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p>
        </w:tc>
        <w:tc>
          <w:tcPr>
            <w:tcW w:w="903" w:type="dxa"/>
            <w:vAlign w:val="center"/>
          </w:tcPr>
          <w:p w14:paraId="26127EA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万元以下</w:t>
            </w:r>
          </w:p>
        </w:tc>
        <w:tc>
          <w:tcPr>
            <w:tcW w:w="1271" w:type="dxa"/>
            <w:vAlign w:val="center"/>
          </w:tcPr>
          <w:p w14:paraId="03DA535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1000-5000 万 元（含）</w:t>
            </w:r>
          </w:p>
        </w:tc>
        <w:tc>
          <w:tcPr>
            <w:tcW w:w="1271" w:type="dxa"/>
            <w:vAlign w:val="center"/>
          </w:tcPr>
          <w:p w14:paraId="36F9FB3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5000 万元-2 亿元（含）</w:t>
            </w:r>
          </w:p>
        </w:tc>
        <w:tc>
          <w:tcPr>
            <w:tcW w:w="1271" w:type="dxa"/>
            <w:vAlign w:val="center"/>
          </w:tcPr>
          <w:p w14:paraId="02C9D89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亿元-5 亿元（含）</w:t>
            </w:r>
          </w:p>
        </w:tc>
        <w:tc>
          <w:tcPr>
            <w:tcW w:w="1284" w:type="dxa"/>
            <w:tcBorders>
              <w:right w:val="single" w:color="000000" w:sz="2" w:space="0"/>
            </w:tcBorders>
            <w:vAlign w:val="center"/>
          </w:tcPr>
          <w:p w14:paraId="19C6208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 亿元以上</w:t>
            </w:r>
          </w:p>
        </w:tc>
      </w:tr>
      <w:tr w14:paraId="12148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14:paraId="241FD64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工程量清单及招标控 制价协审</w:t>
            </w:r>
          </w:p>
        </w:tc>
        <w:tc>
          <w:tcPr>
            <w:tcW w:w="862" w:type="dxa"/>
            <w:vMerge w:val="restart"/>
            <w:tcBorders>
              <w:top w:val="single" w:color="auto" w:sz="4" w:space="0"/>
              <w:left w:val="single" w:color="auto" w:sz="4" w:space="0"/>
              <w:bottom w:val="single" w:color="auto" w:sz="4" w:space="0"/>
              <w:right w:val="single" w:color="auto" w:sz="4" w:space="0"/>
            </w:tcBorders>
            <w:vAlign w:val="center"/>
          </w:tcPr>
          <w:p w14:paraId="2F8DE2F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eastAsia="zh-CN"/>
              </w:rPr>
              <w:t>基本费或效益费（二者选高值）</w:t>
            </w:r>
          </w:p>
        </w:tc>
        <w:tc>
          <w:tcPr>
            <w:tcW w:w="873" w:type="dxa"/>
            <w:tcBorders>
              <w:left w:val="single" w:color="auto" w:sz="4" w:space="0"/>
              <w:bottom w:val="single" w:color="000000" w:sz="2" w:space="0"/>
            </w:tcBorders>
            <w:vAlign w:val="center"/>
          </w:tcPr>
          <w:p w14:paraId="1B207F9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基本</w:t>
            </w:r>
            <w:r>
              <w:rPr>
                <w:rFonts w:hint="eastAsia" w:ascii="宋体" w:hAnsi="宋体" w:eastAsia="宋体" w:cs="宋体"/>
                <w:color w:val="auto"/>
                <w:sz w:val="21"/>
                <w:szCs w:val="21"/>
              </w:rPr>
              <w:t>费</w:t>
            </w:r>
          </w:p>
        </w:tc>
        <w:tc>
          <w:tcPr>
            <w:tcW w:w="1105" w:type="dxa"/>
            <w:vAlign w:val="center"/>
          </w:tcPr>
          <w:p w14:paraId="4FAC0D9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送审工程造价</w:t>
            </w:r>
          </w:p>
        </w:tc>
        <w:tc>
          <w:tcPr>
            <w:tcW w:w="903" w:type="dxa"/>
            <w:vAlign w:val="center"/>
          </w:tcPr>
          <w:p w14:paraId="367B978F">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71" w:type="dxa"/>
            <w:vAlign w:val="center"/>
          </w:tcPr>
          <w:p w14:paraId="41D3DC5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1" w:type="dxa"/>
            <w:vAlign w:val="center"/>
          </w:tcPr>
          <w:p w14:paraId="7FAC231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271" w:type="dxa"/>
            <w:vAlign w:val="center"/>
          </w:tcPr>
          <w:p w14:paraId="7F1CCA4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284" w:type="dxa"/>
            <w:tcBorders>
              <w:right w:val="single" w:color="000000" w:sz="2" w:space="0"/>
            </w:tcBorders>
            <w:vAlign w:val="center"/>
          </w:tcPr>
          <w:p w14:paraId="46D2AB0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28C86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jc w:val="center"/>
        </w:trPr>
        <w:tc>
          <w:tcPr>
            <w:tcW w:w="623" w:type="dxa"/>
            <w:vMerge w:val="continue"/>
            <w:tcBorders>
              <w:top w:val="single" w:color="auto" w:sz="4" w:space="0"/>
              <w:left w:val="single" w:color="auto" w:sz="4" w:space="0"/>
              <w:bottom w:val="single" w:color="auto" w:sz="4" w:space="0"/>
              <w:right w:val="single" w:color="000000" w:sz="2" w:space="0"/>
            </w:tcBorders>
            <w:vAlign w:val="center"/>
          </w:tcPr>
          <w:p w14:paraId="144B31F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p>
        </w:tc>
        <w:tc>
          <w:tcPr>
            <w:tcW w:w="862" w:type="dxa"/>
            <w:vMerge w:val="continue"/>
            <w:tcBorders>
              <w:top w:val="single" w:color="auto" w:sz="4" w:space="0"/>
              <w:left w:val="single" w:color="000000" w:sz="2" w:space="0"/>
              <w:bottom w:val="single" w:color="auto" w:sz="4" w:space="0"/>
              <w:right w:val="single" w:color="auto" w:sz="4" w:space="0"/>
            </w:tcBorders>
            <w:vAlign w:val="center"/>
          </w:tcPr>
          <w:p w14:paraId="158D41C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p>
        </w:tc>
        <w:tc>
          <w:tcPr>
            <w:tcW w:w="873" w:type="dxa"/>
            <w:tcBorders>
              <w:top w:val="single" w:color="000000" w:sz="2" w:space="0"/>
              <w:left w:val="single" w:color="auto" w:sz="4" w:space="0"/>
              <w:bottom w:val="single" w:color="000000" w:sz="2" w:space="0"/>
            </w:tcBorders>
            <w:textDirection w:val="tbRlV"/>
            <w:vAlign w:val="center"/>
          </w:tcPr>
          <w:p w14:paraId="6A9F142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效 益 费</w:t>
            </w:r>
          </w:p>
        </w:tc>
        <w:tc>
          <w:tcPr>
            <w:tcW w:w="1105" w:type="dxa"/>
            <w:tcBorders>
              <w:bottom w:val="single" w:color="000000" w:sz="2" w:space="0"/>
            </w:tcBorders>
            <w:vAlign w:val="center"/>
          </w:tcPr>
          <w:p w14:paraId="7E52A5A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︱核减额︱ + 核增额</w:t>
            </w:r>
          </w:p>
        </w:tc>
        <w:tc>
          <w:tcPr>
            <w:tcW w:w="6000" w:type="dxa"/>
            <w:gridSpan w:val="5"/>
            <w:tcBorders>
              <w:bottom w:val="single" w:color="000000" w:sz="2" w:space="0"/>
              <w:right w:val="single" w:color="000000" w:sz="2" w:space="0"/>
            </w:tcBorders>
            <w:vAlign w:val="center"/>
          </w:tcPr>
          <w:p w14:paraId="34F11D1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r>
    </w:tbl>
    <w:p w14:paraId="571CB59C">
      <w:pPr>
        <w:spacing w:line="440" w:lineRule="exact"/>
        <w:ind w:firstLine="482"/>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结算协审服务费＝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基本费（送审工程造价×分段基础服务费率×5</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%）+效益费</w:t>
      </w:r>
      <w:r>
        <w:rPr>
          <w:rFonts w:hint="eastAsia" w:ascii="宋体" w:hAnsi="宋体" w:eastAsia="宋体" w:cs="宋体"/>
          <w:color w:val="auto"/>
          <w:sz w:val="21"/>
          <w:szCs w:val="21"/>
          <w:lang w:eastAsia="zh-CN"/>
        </w:rPr>
        <w:t>（项目净核减/净核增额×效益费率3%）｝</w:t>
      </w:r>
      <w:r>
        <w:rPr>
          <w:rFonts w:hint="eastAsia" w:ascii="宋体" w:hAnsi="宋体" w:eastAsia="宋体" w:cs="宋体"/>
          <w:color w:val="auto"/>
          <w:sz w:val="21"/>
          <w:szCs w:val="21"/>
        </w:rPr>
        <w:t xml:space="preserve">，协审服务费计费标准如下表所示。 </w:t>
      </w:r>
    </w:p>
    <w:p w14:paraId="44AF3FEA">
      <w:pPr>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协审服务费计费标准</w:t>
      </w:r>
    </w:p>
    <w:tbl>
      <w:tblPr>
        <w:tblStyle w:val="8"/>
        <w:tblW w:w="946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882"/>
        <w:gridCol w:w="873"/>
        <w:gridCol w:w="1105"/>
        <w:gridCol w:w="903"/>
        <w:gridCol w:w="1271"/>
        <w:gridCol w:w="1271"/>
        <w:gridCol w:w="1271"/>
        <w:gridCol w:w="1284"/>
      </w:tblGrid>
      <w:tr w14:paraId="7AE12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2358" w:type="dxa"/>
            <w:gridSpan w:val="3"/>
            <w:vMerge w:val="restart"/>
            <w:tcBorders>
              <w:top w:val="single" w:color="000000" w:sz="2" w:space="0"/>
              <w:left w:val="single" w:color="000000" w:sz="2" w:space="0"/>
              <w:bottom w:val="nil"/>
            </w:tcBorders>
            <w:vAlign w:val="center"/>
          </w:tcPr>
          <w:p w14:paraId="5A05D6CB">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咨询项目名称</w:t>
            </w:r>
          </w:p>
        </w:tc>
        <w:tc>
          <w:tcPr>
            <w:tcW w:w="1105" w:type="dxa"/>
            <w:vMerge w:val="restart"/>
            <w:tcBorders>
              <w:top w:val="single" w:color="000000" w:sz="2" w:space="0"/>
              <w:bottom w:val="nil"/>
            </w:tcBorders>
            <w:vAlign w:val="center"/>
          </w:tcPr>
          <w:p w14:paraId="569404E7">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费用基数</w:t>
            </w:r>
          </w:p>
        </w:tc>
        <w:tc>
          <w:tcPr>
            <w:tcW w:w="6000" w:type="dxa"/>
            <w:gridSpan w:val="5"/>
            <w:tcBorders>
              <w:top w:val="single" w:color="000000" w:sz="2" w:space="0"/>
              <w:right w:val="single" w:color="000000" w:sz="2" w:space="0"/>
            </w:tcBorders>
            <w:vAlign w:val="center"/>
          </w:tcPr>
          <w:p w14:paraId="1E007A89">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按差额定率分档累进方法计算（费率单位：‰）</w:t>
            </w:r>
          </w:p>
        </w:tc>
      </w:tr>
      <w:tr w14:paraId="1218D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2358" w:type="dxa"/>
            <w:gridSpan w:val="3"/>
            <w:vMerge w:val="continue"/>
            <w:tcBorders>
              <w:top w:val="nil"/>
              <w:left w:val="single" w:color="000000" w:sz="2" w:space="0"/>
            </w:tcBorders>
            <w:vAlign w:val="center"/>
          </w:tcPr>
          <w:p w14:paraId="5FC1BAC9">
            <w:pPr>
              <w:spacing w:line="440" w:lineRule="exact"/>
              <w:ind w:firstLine="482"/>
              <w:jc w:val="center"/>
              <w:rPr>
                <w:rFonts w:hint="eastAsia" w:ascii="宋体" w:hAnsi="宋体" w:eastAsia="宋体" w:cs="宋体"/>
                <w:color w:val="auto"/>
                <w:sz w:val="21"/>
                <w:szCs w:val="21"/>
              </w:rPr>
            </w:pPr>
          </w:p>
        </w:tc>
        <w:tc>
          <w:tcPr>
            <w:tcW w:w="1105" w:type="dxa"/>
            <w:vMerge w:val="continue"/>
            <w:tcBorders>
              <w:top w:val="nil"/>
            </w:tcBorders>
            <w:vAlign w:val="center"/>
          </w:tcPr>
          <w:p w14:paraId="2FDFE17D">
            <w:pPr>
              <w:spacing w:line="440" w:lineRule="exact"/>
              <w:ind w:firstLine="482"/>
              <w:jc w:val="center"/>
              <w:rPr>
                <w:rFonts w:hint="eastAsia" w:ascii="宋体" w:hAnsi="宋体" w:eastAsia="宋体" w:cs="宋体"/>
                <w:color w:val="auto"/>
                <w:sz w:val="21"/>
                <w:szCs w:val="21"/>
              </w:rPr>
            </w:pPr>
          </w:p>
        </w:tc>
        <w:tc>
          <w:tcPr>
            <w:tcW w:w="903" w:type="dxa"/>
            <w:vAlign w:val="center"/>
          </w:tcPr>
          <w:p w14:paraId="1F5AE1CB">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1000万元以下</w:t>
            </w:r>
          </w:p>
        </w:tc>
        <w:tc>
          <w:tcPr>
            <w:tcW w:w="1271" w:type="dxa"/>
            <w:vAlign w:val="center"/>
          </w:tcPr>
          <w:p w14:paraId="29EAA36B">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1000-5000 万 元（含）</w:t>
            </w:r>
          </w:p>
        </w:tc>
        <w:tc>
          <w:tcPr>
            <w:tcW w:w="1271" w:type="dxa"/>
            <w:vAlign w:val="center"/>
          </w:tcPr>
          <w:p w14:paraId="5C72BD7D">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5000 万元-2 亿元（含）</w:t>
            </w:r>
          </w:p>
        </w:tc>
        <w:tc>
          <w:tcPr>
            <w:tcW w:w="1271" w:type="dxa"/>
            <w:vAlign w:val="center"/>
          </w:tcPr>
          <w:p w14:paraId="5F09E06C">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 亿元-5 亿元（含）</w:t>
            </w:r>
          </w:p>
        </w:tc>
        <w:tc>
          <w:tcPr>
            <w:tcW w:w="1284" w:type="dxa"/>
            <w:tcBorders>
              <w:right w:val="single" w:color="000000" w:sz="2" w:space="0"/>
            </w:tcBorders>
            <w:vAlign w:val="center"/>
          </w:tcPr>
          <w:p w14:paraId="490162D8">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 亿元以上</w:t>
            </w:r>
          </w:p>
        </w:tc>
      </w:tr>
      <w:tr w14:paraId="6C951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603" w:type="dxa"/>
            <w:vMerge w:val="restart"/>
            <w:tcBorders>
              <w:left w:val="single" w:color="000000" w:sz="2" w:space="0"/>
              <w:bottom w:val="nil"/>
              <w:right w:val="single" w:color="000000" w:sz="2" w:space="0"/>
            </w:tcBorders>
            <w:vAlign w:val="center"/>
          </w:tcPr>
          <w:p w14:paraId="7EE8B537">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竣工结算协审</w:t>
            </w:r>
          </w:p>
        </w:tc>
        <w:tc>
          <w:tcPr>
            <w:tcW w:w="882" w:type="dxa"/>
            <w:vMerge w:val="restart"/>
            <w:tcBorders>
              <w:left w:val="single" w:color="000000" w:sz="2" w:space="0"/>
              <w:bottom w:val="nil"/>
            </w:tcBorders>
            <w:vAlign w:val="center"/>
          </w:tcPr>
          <w:p w14:paraId="6068AEEF">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按基本费 加效益费计费</w:t>
            </w:r>
          </w:p>
        </w:tc>
        <w:tc>
          <w:tcPr>
            <w:tcW w:w="873" w:type="dxa"/>
            <w:tcBorders>
              <w:bottom w:val="single" w:color="000000" w:sz="2" w:space="0"/>
            </w:tcBorders>
            <w:vAlign w:val="center"/>
          </w:tcPr>
          <w:p w14:paraId="331E2F16">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基本</w:t>
            </w:r>
            <w:r>
              <w:rPr>
                <w:rFonts w:hint="eastAsia" w:ascii="宋体" w:hAnsi="宋体" w:eastAsia="宋体" w:cs="宋体"/>
                <w:color w:val="auto"/>
                <w:sz w:val="21"/>
                <w:szCs w:val="21"/>
              </w:rPr>
              <w:t>费</w:t>
            </w:r>
          </w:p>
        </w:tc>
        <w:tc>
          <w:tcPr>
            <w:tcW w:w="1105" w:type="dxa"/>
            <w:vAlign w:val="center"/>
          </w:tcPr>
          <w:p w14:paraId="54B7553C">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送审工程造价</w:t>
            </w:r>
          </w:p>
        </w:tc>
        <w:tc>
          <w:tcPr>
            <w:tcW w:w="903" w:type="dxa"/>
            <w:vAlign w:val="center"/>
          </w:tcPr>
          <w:p w14:paraId="11751D3C">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71" w:type="dxa"/>
            <w:vAlign w:val="center"/>
          </w:tcPr>
          <w:p w14:paraId="208FF110">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1" w:type="dxa"/>
            <w:vAlign w:val="center"/>
          </w:tcPr>
          <w:p w14:paraId="290AB13A">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271" w:type="dxa"/>
            <w:vAlign w:val="center"/>
          </w:tcPr>
          <w:p w14:paraId="32AA36E1">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284" w:type="dxa"/>
            <w:tcBorders>
              <w:right w:val="single" w:color="000000" w:sz="2" w:space="0"/>
            </w:tcBorders>
            <w:vAlign w:val="center"/>
          </w:tcPr>
          <w:p w14:paraId="1D318374">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5BFDA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603" w:type="dxa"/>
            <w:vMerge w:val="continue"/>
            <w:tcBorders>
              <w:top w:val="nil"/>
              <w:left w:val="single" w:color="000000" w:sz="2" w:space="0"/>
              <w:bottom w:val="single" w:color="000000" w:sz="2" w:space="0"/>
              <w:right w:val="single" w:color="000000" w:sz="2" w:space="0"/>
            </w:tcBorders>
            <w:vAlign w:val="center"/>
          </w:tcPr>
          <w:p w14:paraId="351BCC8F">
            <w:pPr>
              <w:spacing w:line="440" w:lineRule="exact"/>
              <w:ind w:firstLine="482"/>
              <w:jc w:val="center"/>
              <w:rPr>
                <w:rFonts w:hint="eastAsia" w:ascii="宋体" w:hAnsi="宋体" w:eastAsia="宋体" w:cs="宋体"/>
                <w:color w:val="auto"/>
                <w:sz w:val="21"/>
                <w:szCs w:val="21"/>
              </w:rPr>
            </w:pPr>
          </w:p>
        </w:tc>
        <w:tc>
          <w:tcPr>
            <w:tcW w:w="882" w:type="dxa"/>
            <w:vMerge w:val="continue"/>
            <w:tcBorders>
              <w:top w:val="nil"/>
              <w:left w:val="single" w:color="000000" w:sz="2" w:space="0"/>
              <w:bottom w:val="single" w:color="000000" w:sz="2" w:space="0"/>
            </w:tcBorders>
            <w:vAlign w:val="center"/>
          </w:tcPr>
          <w:p w14:paraId="1C326BAF">
            <w:pPr>
              <w:spacing w:line="440" w:lineRule="exact"/>
              <w:ind w:firstLine="482"/>
              <w:jc w:val="center"/>
              <w:rPr>
                <w:rFonts w:hint="eastAsia" w:ascii="宋体" w:hAnsi="宋体" w:eastAsia="宋体" w:cs="宋体"/>
                <w:color w:val="auto"/>
                <w:sz w:val="21"/>
                <w:szCs w:val="21"/>
              </w:rPr>
            </w:pPr>
          </w:p>
        </w:tc>
        <w:tc>
          <w:tcPr>
            <w:tcW w:w="873" w:type="dxa"/>
            <w:tcBorders>
              <w:top w:val="single" w:color="000000" w:sz="2" w:space="0"/>
              <w:bottom w:val="single" w:color="000000" w:sz="2" w:space="0"/>
            </w:tcBorders>
            <w:textDirection w:val="tbRlV"/>
            <w:vAlign w:val="center"/>
          </w:tcPr>
          <w:p w14:paraId="2B737DC8">
            <w:pPr>
              <w:spacing w:line="44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效 益 费</w:t>
            </w:r>
          </w:p>
        </w:tc>
        <w:tc>
          <w:tcPr>
            <w:tcW w:w="1105" w:type="dxa"/>
            <w:tcBorders>
              <w:bottom w:val="single" w:color="000000" w:sz="2" w:space="0"/>
            </w:tcBorders>
            <w:vAlign w:val="center"/>
          </w:tcPr>
          <w:p w14:paraId="0F8A3548">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︱核减额︱ + 核增额</w:t>
            </w:r>
          </w:p>
        </w:tc>
        <w:tc>
          <w:tcPr>
            <w:tcW w:w="6000" w:type="dxa"/>
            <w:gridSpan w:val="5"/>
            <w:tcBorders>
              <w:bottom w:val="single" w:color="000000" w:sz="2" w:space="0"/>
              <w:right w:val="single" w:color="000000" w:sz="2" w:space="0"/>
            </w:tcBorders>
            <w:vAlign w:val="center"/>
          </w:tcPr>
          <w:p w14:paraId="57571FCE">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r>
    </w:tbl>
    <w:p w14:paraId="06148D02">
      <w:pPr>
        <w:spacing w:line="440" w:lineRule="exact"/>
        <w:ind w:firstLine="482"/>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（3）复核服务费=项目协审服务费（无论预结算）*5%，不足500按500算</w:t>
      </w:r>
      <w:r>
        <w:rPr>
          <w:rFonts w:hint="eastAsia" w:ascii="宋体" w:hAnsi="宋体" w:cs="宋体"/>
          <w:color w:val="auto"/>
          <w:sz w:val="21"/>
          <w:szCs w:val="21"/>
          <w:lang w:val="en-US" w:eastAsia="zh-CN"/>
        </w:rPr>
        <w:t>。如</w:t>
      </w:r>
      <w:r>
        <w:rPr>
          <w:rFonts w:hint="eastAsia" w:ascii="宋体" w:hAnsi="宋体" w:eastAsia="宋体" w:cs="宋体"/>
          <w:color w:val="auto"/>
          <w:sz w:val="21"/>
          <w:szCs w:val="21"/>
          <w:lang w:val="en-US" w:eastAsia="zh-CN"/>
        </w:rPr>
        <w:t>复</w:t>
      </w:r>
      <w:r>
        <w:rPr>
          <w:rFonts w:hint="eastAsia" w:ascii="宋体" w:hAnsi="宋体" w:cs="宋体"/>
          <w:color w:val="auto"/>
          <w:sz w:val="21"/>
          <w:szCs w:val="21"/>
          <w:lang w:val="en-US" w:eastAsia="zh-CN"/>
        </w:rPr>
        <w:t>核</w:t>
      </w:r>
      <w:r>
        <w:rPr>
          <w:rFonts w:hint="eastAsia" w:ascii="宋体" w:hAnsi="宋体" w:eastAsia="宋体" w:cs="宋体"/>
          <w:color w:val="auto"/>
          <w:sz w:val="21"/>
          <w:szCs w:val="21"/>
          <w:lang w:val="en-US" w:eastAsia="zh-CN"/>
        </w:rPr>
        <w:t>结果因评审单位造成的误差（绝对值累计）超过3%（含3%）时，</w:t>
      </w:r>
      <w:r>
        <w:rPr>
          <w:rFonts w:hint="eastAsia" w:ascii="宋体" w:hAnsi="宋体" w:cs="宋体"/>
          <w:color w:val="auto"/>
          <w:sz w:val="21"/>
          <w:szCs w:val="21"/>
          <w:highlight w:val="none"/>
          <w:lang w:val="en-US" w:eastAsia="zh-CN"/>
        </w:rPr>
        <w:t>原来应支付给审核单位的费用将被扣除，扣除费用全部奖励给复核单位。</w:t>
      </w:r>
    </w:p>
    <w:p w14:paraId="18B04401">
      <w:pPr>
        <w:spacing w:line="440" w:lineRule="exact"/>
        <w:ind w:firstLine="482"/>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单项</w:t>
      </w:r>
      <w:r>
        <w:rPr>
          <w:rFonts w:hint="eastAsia" w:ascii="宋体" w:hAnsi="宋体" w:eastAsia="宋体" w:cs="宋体"/>
          <w:color w:val="auto"/>
          <w:sz w:val="21"/>
          <w:szCs w:val="21"/>
        </w:rPr>
        <w:t>工程的协审服务费少于3000元的，按3000元计；超过50万元的，按50万元计。（如单个项目送审工程造价超过1.5亿元，</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lang w:eastAsia="zh-CN"/>
        </w:rPr>
        <w:t>可根据需要</w:t>
      </w:r>
      <w:r>
        <w:rPr>
          <w:rFonts w:hint="eastAsia" w:ascii="宋体" w:hAnsi="宋体" w:eastAsia="宋体" w:cs="宋体"/>
          <w:color w:val="auto"/>
          <w:sz w:val="21"/>
          <w:szCs w:val="21"/>
        </w:rPr>
        <w:t>重新召集协审单位就审核服务费进行竞谈，并就该项目支付协审服务费另行约定）。</w:t>
      </w:r>
    </w:p>
    <w:p w14:paraId="55E44CB4">
      <w:pPr>
        <w:spacing w:line="440" w:lineRule="exact"/>
        <w:ind w:firstLine="482"/>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按半年期申请支付已结审项目评审服务费，服务费直接支付给成交供应商。成交供应商在完成评审工程后在每年6月、12月以书面形式写好请款函（附审结项目明细表及评审费计算结果），并加盖公章送采购人复核确认后，由采购人直接向成交供应商支付服务费。</w:t>
      </w:r>
    </w:p>
    <w:p w14:paraId="28C52122">
      <w:pPr>
        <w:spacing w:line="440" w:lineRule="exact"/>
        <w:ind w:firstLine="482"/>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）协议履行期间，如成交供应商存在违纪违法行为，在有关部门调查期间，被行政处罚期间内，采购人可视情况依法终止合同。涉及所承接项目的评审服务费，采购人可延期或拒绝支付服务费。</w:t>
      </w:r>
    </w:p>
    <w:p w14:paraId="40D03996">
      <w:pPr>
        <w:spacing w:line="440" w:lineRule="exact"/>
        <w:ind w:firstLine="482"/>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注：1）以上费用已包括了协审本项目所需的劳务费、技术服务费、检测、测量、交通、通讯、办公场地、保险、税费和利润等与造价咨询服务业务有关的一切费用和政策性文件规定及合同包含的所有风险、责任等各项应有的费用。</w:t>
      </w:r>
    </w:p>
    <w:p w14:paraId="40E98539">
      <w:pPr>
        <w:spacing w:line="440" w:lineRule="exact"/>
        <w:ind w:firstLine="482"/>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2）投资额中的暂列金、预备费、其他费用、建设期利息、流动资金等不属于审核范围，费用不计入费用基数额。</w:t>
      </w:r>
    </w:p>
    <w:p w14:paraId="5828C1E5">
      <w:pPr>
        <w:spacing w:line="440" w:lineRule="exact"/>
        <w:ind w:firstLine="482"/>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3）单独编制工程量清单按第3项收费的50%计算。</w:t>
      </w:r>
    </w:p>
    <w:p w14:paraId="7A76900E">
      <w:pPr>
        <w:spacing w:line="440" w:lineRule="exact"/>
        <w:ind w:firstLine="48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其他特殊情况双方另外沟通协商，并签署书面补充协议。</w:t>
      </w:r>
    </w:p>
    <w:p w14:paraId="3448256E">
      <w:pPr>
        <w:spacing w:line="440" w:lineRule="exact"/>
        <w:ind w:firstLine="48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 xml:space="preserve">（五）服务要求 </w:t>
      </w:r>
    </w:p>
    <w:p w14:paraId="144C1051">
      <w:pPr>
        <w:spacing w:line="44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1.入围供应商应当在服务期为征集人提供技术援助和咨询服务，解答征集人在项目评审遇到的问题，及时为征集人提出解决问题的建议。 </w:t>
      </w:r>
    </w:p>
    <w:p w14:paraId="4D048E3D">
      <w:pPr>
        <w:spacing w:line="44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2.入围供应商根据相关法律法规、行业准则、规范对送审资料客观、公正地开展评审，并按时出具评审结果。 </w:t>
      </w:r>
    </w:p>
    <w:p w14:paraId="49E933B2">
      <w:pPr>
        <w:spacing w:line="44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入围供应商须按照《广西壮族自治区财政厅关于印发广西壮族自治区财政投资评审操作规程的通知》（桂财办〔2018〕107号）制定的项目评审操作规程以及项目评审管理办法的有关规定和要求开展项目评审工作，接受征集人的管理、指导和监督。  </w:t>
      </w:r>
    </w:p>
    <w:p w14:paraId="3BDBD39C">
      <w:pPr>
        <w:spacing w:line="44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4.入围供应商须独立开展项目评审工作，不得擅自将评审项目转交第三方机构或人员完成。 </w:t>
      </w:r>
    </w:p>
    <w:p w14:paraId="0581C41B">
      <w:pPr>
        <w:spacing w:line="44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5.其他服务要求按本项目框架协议及采购合同要求执行。</w:t>
      </w:r>
    </w:p>
    <w:p w14:paraId="5A004A0E">
      <w:pPr>
        <w:spacing w:line="440" w:lineRule="exact"/>
        <w:ind w:firstLine="482"/>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6.提供承诺函承诺在采购人下达委托任务后或接到处理问题的通知后，3小时内响应并在24小时内到达指定地点提供相应服务；针对项目具体情况，承诺按时保质为采购人提供专业化服务。</w:t>
      </w:r>
    </w:p>
    <w:p w14:paraId="3A7D91A3">
      <w:pPr>
        <w:spacing w:line="440" w:lineRule="exact"/>
        <w:ind w:firstLine="48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 xml:space="preserve">（六）服务保障 </w:t>
      </w:r>
    </w:p>
    <w:p w14:paraId="2D5C2B27">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为保障项目评审工作正常进行，入围供应商应基于审慎原则，保障及时响应、人力资源充足、专业能力匹配，具备以下能力： </w:t>
      </w:r>
    </w:p>
    <w:p w14:paraId="7AF9F365">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1.限时办结的能力 </w:t>
      </w:r>
    </w:p>
    <w:p w14:paraId="419E7959">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项目评审实行限时办结制度，入围供应商与采购人签订项目合同后，应严格遵守项目评审时限要求，合理安排人员在合同规定的时间内完成项目工作，并向采购人提交合同规定质量数量的成果文件及电子文档，且提交的成果文件必须已完成内部审核程序。 </w:t>
      </w:r>
    </w:p>
    <w:p w14:paraId="0C4862D2">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2.提供本地服务的能力 </w:t>
      </w:r>
    </w:p>
    <w:p w14:paraId="104F42DC">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2.1项目评审过程中，入围供应商拟投入评审人员需根据采购人要求完成承接核验资料、项目对数、现场踏勘、复核争议、项目归档，到项目地【凤山县（含乡、镇）】配合采购人完成相关评审服务工作。 </w:t>
      </w:r>
    </w:p>
    <w:p w14:paraId="27069EFA">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 拟投入评审人员需熟悉广西造价信息及造价依据规则等。</w:t>
      </w:r>
    </w:p>
    <w:p w14:paraId="547C40F8">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3.承担重大、复杂项目的能力。入围供应商需提供人员充足、经验丰富的团队承担重大、复杂的项目评审工作。</w:t>
      </w:r>
    </w:p>
    <w:p w14:paraId="67C1686E">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4.开展工作的能力 </w:t>
      </w:r>
    </w:p>
    <w:p w14:paraId="4D38C1E3">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4.1保质、限时完成项目评审服务。响应文件中应提供在完成项目评审服务所执行具体措施和本地化服务能力的方案。</w:t>
      </w:r>
    </w:p>
    <w:p w14:paraId="419D478D">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5.用户反馈和评价机制</w:t>
      </w:r>
    </w:p>
    <w:p w14:paraId="7B8C2F81">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5.1本项目建立用户反馈机制。入围供应商在提交服务成果后，由采购人对入围供应商每次受委托送审项目的完成情况进行考核评价。</w:t>
      </w:r>
    </w:p>
    <w:p w14:paraId="100662B4">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采购人将对入围供应商每次受委托送审项目的完成情况实行考核评价，如出现2次不接单或未按约定时间完成评审任务且无正当理由的情况，采购人有权提出警告并要求其限期整改；累计出现3次不接单或未按约定时间完成评审任务且无正当理由的情况，采购人将启动清退程序，有权依法书面通知该供应商解除框架协议。</w:t>
      </w:r>
    </w:p>
    <w:p w14:paraId="6A84A414">
      <w:pPr>
        <w:spacing w:line="440" w:lineRule="exact"/>
        <w:ind w:firstLine="48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采购人将对入围供应商提交的评审报告和评审结论（以入围供应商盖章的定案表为准）进行复审，复审结果因入围供应商造成的误差（绝对值累计）超过3%（含3%）时，采购人不再支付该项目的评审费用，入围供应商必须承担由此造成的全部经济和法律责任。</w:t>
      </w:r>
      <w:r>
        <w:rPr>
          <w:rFonts w:hint="eastAsia" w:ascii="宋体" w:hAnsi="宋体" w:cs="宋体"/>
          <w:color w:val="auto"/>
          <w:sz w:val="21"/>
          <w:szCs w:val="21"/>
          <w:lang w:val="en-US" w:eastAsia="zh-CN"/>
        </w:rPr>
        <w:t>如</w:t>
      </w:r>
      <w:r>
        <w:rPr>
          <w:rFonts w:hint="eastAsia" w:ascii="宋体" w:hAnsi="宋体" w:eastAsia="宋体" w:cs="宋体"/>
          <w:color w:val="auto"/>
          <w:sz w:val="21"/>
          <w:szCs w:val="21"/>
          <w:lang w:val="en-US" w:eastAsia="zh-CN"/>
        </w:rPr>
        <w:t>累计出现</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 xml:space="preserve">次误差（绝对值累计）超过3%（含3%）时的情况，采购人将启动清退程序，有权依法书面通知该供应商解除框架协议。 </w:t>
      </w:r>
    </w:p>
    <w:p w14:paraId="54F7B78D">
      <w:pPr>
        <w:spacing w:line="440" w:lineRule="exact"/>
        <w:jc w:val="center"/>
        <w:rPr>
          <w:rFonts w:hint="eastAsia" w:ascii="宋体" w:hAnsi="宋体" w:eastAsia="宋体" w:cs="宋体"/>
          <w:b/>
          <w:bCs/>
          <w:color w:val="auto"/>
          <w:sz w:val="28"/>
          <w:szCs w:val="28"/>
          <w:lang w:val="en-US" w:eastAsia="zh-CN"/>
        </w:rPr>
      </w:pPr>
    </w:p>
    <w:p w14:paraId="6B0CD799">
      <w:pPr>
        <w:spacing w:line="44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三、商务要求</w:t>
      </w:r>
    </w:p>
    <w:p w14:paraId="7CE55D6C">
      <w:pPr>
        <w:spacing w:line="440" w:lineRule="exact"/>
        <w:ind w:firstLine="422" w:firstLineChars="200"/>
        <w:rPr>
          <w:rFonts w:hint="default" w:ascii="宋体" w:hAnsi="宋体" w:eastAsia="宋体" w:cs="宋体"/>
          <w:b w:val="0"/>
          <w:bCs w:val="0"/>
          <w:color w:val="auto"/>
          <w:sz w:val="21"/>
          <w:szCs w:val="21"/>
          <w:lang w:val="en-US" w:eastAsia="zh-CN"/>
        </w:rPr>
      </w:pPr>
      <w:r>
        <w:rPr>
          <w:rFonts w:hint="default" w:ascii="宋体" w:hAnsi="宋体" w:eastAsia="宋体" w:cs="宋体"/>
          <w:b/>
          <w:bCs/>
          <w:color w:val="auto"/>
          <w:sz w:val="21"/>
          <w:szCs w:val="21"/>
          <w:lang w:val="en-US" w:eastAsia="zh-CN"/>
        </w:rPr>
        <w:t>（一）框架协议签订期限：</w:t>
      </w:r>
      <w:r>
        <w:rPr>
          <w:rFonts w:hint="default" w:ascii="宋体" w:hAnsi="宋体" w:eastAsia="宋体" w:cs="宋体"/>
          <w:b w:val="0"/>
          <w:bCs w:val="0"/>
          <w:color w:val="auto"/>
          <w:sz w:val="21"/>
          <w:szCs w:val="21"/>
          <w:lang w:val="en-US" w:eastAsia="zh-CN"/>
        </w:rPr>
        <w:t>征集人自入围通知书发出后15日内和入围供应商签订框架协议。</w:t>
      </w:r>
    </w:p>
    <w:p w14:paraId="54F70558">
      <w:pPr>
        <w:spacing w:line="440" w:lineRule="exact"/>
        <w:ind w:firstLine="422"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（二）框架协议的期限：</w:t>
      </w:r>
      <w:r>
        <w:rPr>
          <w:rFonts w:hint="eastAsia" w:ascii="宋体" w:hAnsi="宋体" w:eastAsia="宋体" w:cs="宋体"/>
          <w:b w:val="0"/>
          <w:bCs w:val="0"/>
          <w:color w:val="auto"/>
          <w:sz w:val="21"/>
          <w:szCs w:val="21"/>
          <w:lang w:val="en-US" w:eastAsia="zh-CN"/>
        </w:rPr>
        <w:t>自签订框架协议之日起2年。</w:t>
      </w:r>
    </w:p>
    <w:p w14:paraId="31D658BE">
      <w:pPr>
        <w:spacing w:line="440" w:lineRule="exact"/>
        <w:ind w:firstLine="422"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（三）确定第二阶段成交供应商方式：</w:t>
      </w:r>
      <w:r>
        <w:rPr>
          <w:rFonts w:hint="eastAsia" w:ascii="宋体" w:hAnsi="宋体" w:eastAsia="宋体" w:cs="宋体"/>
          <w:b w:val="0"/>
          <w:bCs w:val="0"/>
          <w:color w:val="auto"/>
          <w:sz w:val="21"/>
          <w:szCs w:val="21"/>
          <w:lang w:val="en-US" w:eastAsia="zh-CN"/>
        </w:rPr>
        <w:t>直接选定。由采购人依据项目实际情况、入围供应商服务质量、服务便利性、用户评价等因素，从第一阶段入围供应商中直接选定。</w:t>
      </w:r>
    </w:p>
    <w:p w14:paraId="416AE7E1">
      <w:pPr>
        <w:spacing w:line="440" w:lineRule="exact"/>
        <w:ind w:firstLine="422"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（四）服务地域范围或服务交付地点 ：</w:t>
      </w:r>
      <w:r>
        <w:rPr>
          <w:rFonts w:hint="eastAsia" w:ascii="宋体" w:hAnsi="宋体" w:eastAsia="宋体" w:cs="宋体"/>
          <w:b w:val="0"/>
          <w:bCs w:val="0"/>
          <w:color w:val="auto"/>
          <w:sz w:val="21"/>
          <w:szCs w:val="21"/>
          <w:lang w:val="en-US" w:eastAsia="zh-CN"/>
        </w:rPr>
        <w:t>广西河池市凤山县内</w:t>
      </w:r>
      <w:r>
        <w:rPr>
          <w:rFonts w:hint="eastAsia" w:ascii="宋体" w:hAnsi="宋体" w:cs="宋体"/>
          <w:b w:val="0"/>
          <w:bCs w:val="0"/>
          <w:color w:val="auto"/>
          <w:sz w:val="21"/>
          <w:szCs w:val="21"/>
          <w:lang w:val="en-US" w:eastAsia="zh-CN"/>
        </w:rPr>
        <w:t>采购人指定地点</w:t>
      </w:r>
      <w:r>
        <w:rPr>
          <w:rFonts w:hint="eastAsia" w:ascii="宋体" w:hAnsi="宋体" w:eastAsia="宋体" w:cs="宋体"/>
          <w:b w:val="0"/>
          <w:bCs w:val="0"/>
          <w:color w:val="auto"/>
          <w:sz w:val="21"/>
          <w:szCs w:val="21"/>
          <w:lang w:val="en-US" w:eastAsia="zh-CN"/>
        </w:rPr>
        <w:t>。</w:t>
      </w:r>
    </w:p>
    <w:p w14:paraId="4BB99B51">
      <w:pPr>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（五）提交服务成果时间及要求</w:t>
      </w:r>
    </w:p>
    <w:p w14:paraId="1DE0EBB4">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1.评审单位出具概算、招标控制价初审报告时间要求</w:t>
      </w:r>
    </w:p>
    <w:tbl>
      <w:tblPr>
        <w:tblStyle w:val="6"/>
        <w:tblW w:w="9642" w:type="dxa"/>
        <w:tblInd w:w="-15" w:type="dxa"/>
        <w:tblLayout w:type="fixed"/>
        <w:tblCellMar>
          <w:top w:w="0" w:type="dxa"/>
          <w:left w:w="108" w:type="dxa"/>
          <w:bottom w:w="0" w:type="dxa"/>
          <w:right w:w="108" w:type="dxa"/>
        </w:tblCellMar>
      </w:tblPr>
      <w:tblGrid>
        <w:gridCol w:w="2889"/>
        <w:gridCol w:w="6753"/>
      </w:tblGrid>
      <w:tr w14:paraId="2D4D8715">
        <w:tblPrEx>
          <w:tblCellMar>
            <w:top w:w="0" w:type="dxa"/>
            <w:left w:w="108" w:type="dxa"/>
            <w:bottom w:w="0" w:type="dxa"/>
            <w:right w:w="108" w:type="dxa"/>
          </w:tblCellMar>
        </w:tblPrEx>
        <w:trPr>
          <w:trHeight w:val="486"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204A4F3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单项工程投资额</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6E8A157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出具评审报告（初稿）时间</w:t>
            </w:r>
          </w:p>
        </w:tc>
      </w:tr>
      <w:tr w14:paraId="39B0F575">
        <w:tblPrEx>
          <w:tblCellMar>
            <w:top w:w="0" w:type="dxa"/>
            <w:left w:w="108" w:type="dxa"/>
            <w:bottom w:w="0" w:type="dxa"/>
            <w:right w:w="108" w:type="dxa"/>
          </w:tblCellMar>
        </w:tblPrEx>
        <w:trPr>
          <w:trHeight w:val="498"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03937A6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500万元以下</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2F40CF9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入围供应商从接到完整评审资料之日起7个工作日内出具初审报告</w:t>
            </w:r>
          </w:p>
        </w:tc>
      </w:tr>
      <w:tr w14:paraId="23E5CFF8">
        <w:tblPrEx>
          <w:tblCellMar>
            <w:top w:w="0" w:type="dxa"/>
            <w:left w:w="108" w:type="dxa"/>
            <w:bottom w:w="0" w:type="dxa"/>
            <w:right w:w="108" w:type="dxa"/>
          </w:tblCellMar>
        </w:tblPrEx>
        <w:trPr>
          <w:trHeight w:val="473"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42FC542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500万</w:t>
            </w:r>
            <w:r>
              <w:rPr>
                <w:rFonts w:hint="eastAsia" w:ascii="宋体" w:hAnsi="宋体" w:cs="宋体"/>
                <w:b w:val="0"/>
                <w:bCs w:val="0"/>
                <w:color w:val="auto"/>
                <w:sz w:val="21"/>
                <w:szCs w:val="21"/>
                <w:lang w:val="en-US" w:eastAsia="zh-CN"/>
              </w:rPr>
              <w:t>元</w:t>
            </w:r>
            <w:r>
              <w:rPr>
                <w:rFonts w:hint="eastAsia" w:ascii="宋体" w:hAnsi="宋体" w:eastAsia="宋体" w:cs="宋体"/>
                <w:b w:val="0"/>
                <w:bCs w:val="0"/>
                <w:color w:val="auto"/>
                <w:sz w:val="21"/>
                <w:szCs w:val="21"/>
                <w:lang w:val="en-US" w:eastAsia="zh-CN"/>
              </w:rPr>
              <w:t>—2000万元（含）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4AA1266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入围供应商从接到完整评审资料之日起10个工作日内出具初审报告</w:t>
            </w:r>
          </w:p>
        </w:tc>
      </w:tr>
      <w:tr w14:paraId="2BBEECD7">
        <w:tblPrEx>
          <w:tblCellMar>
            <w:top w:w="0" w:type="dxa"/>
            <w:left w:w="108" w:type="dxa"/>
            <w:bottom w:w="0" w:type="dxa"/>
            <w:right w:w="108" w:type="dxa"/>
          </w:tblCellMar>
        </w:tblPrEx>
        <w:trPr>
          <w:trHeight w:val="448"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749F6C8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2000万元-5000万元（含）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43347F9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入围供应商从接到完整评审资料之日起15个工作日内出具初审报告</w:t>
            </w:r>
          </w:p>
        </w:tc>
      </w:tr>
      <w:tr w14:paraId="482DFD69">
        <w:tblPrEx>
          <w:tblCellMar>
            <w:top w:w="0" w:type="dxa"/>
            <w:left w:w="108" w:type="dxa"/>
            <w:bottom w:w="0" w:type="dxa"/>
            <w:right w:w="108" w:type="dxa"/>
          </w:tblCellMar>
        </w:tblPrEx>
        <w:trPr>
          <w:trHeight w:val="374"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793A2AE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5000万元-1亿元（含）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6C1C2FF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入围供应商从接到完整评审资料之日起20个工作日内出具初审报告</w:t>
            </w:r>
          </w:p>
        </w:tc>
      </w:tr>
      <w:tr w14:paraId="061AB924">
        <w:tblPrEx>
          <w:tblCellMar>
            <w:top w:w="0" w:type="dxa"/>
            <w:left w:w="108" w:type="dxa"/>
            <w:bottom w:w="0" w:type="dxa"/>
            <w:right w:w="108" w:type="dxa"/>
          </w:tblCellMar>
        </w:tblPrEx>
        <w:trPr>
          <w:trHeight w:val="474" w:hRule="atLeast"/>
        </w:trPr>
        <w:tc>
          <w:tcPr>
            <w:tcW w:w="2889" w:type="dxa"/>
            <w:tcBorders>
              <w:top w:val="single" w:color="000000" w:sz="4" w:space="0"/>
              <w:left w:val="single" w:color="000000" w:sz="4" w:space="0"/>
              <w:bottom w:val="single" w:color="000000" w:sz="4" w:space="0"/>
              <w:right w:val="single" w:color="000000" w:sz="4" w:space="0"/>
            </w:tcBorders>
            <w:noWrap/>
            <w:vAlign w:val="top"/>
          </w:tcPr>
          <w:p w14:paraId="2776196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1亿元以上</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07E0D96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入围供应商从接到完整评审资料之日起25个工作日内出具初审报告</w:t>
            </w:r>
          </w:p>
        </w:tc>
      </w:tr>
      <w:tr w14:paraId="6359D356">
        <w:tblPrEx>
          <w:tblCellMar>
            <w:top w:w="0" w:type="dxa"/>
            <w:left w:w="108" w:type="dxa"/>
            <w:bottom w:w="0" w:type="dxa"/>
            <w:right w:w="108" w:type="dxa"/>
          </w:tblCellMar>
        </w:tblPrEx>
        <w:trPr>
          <w:trHeight w:val="624" w:hRule="atLeast"/>
        </w:trPr>
        <w:tc>
          <w:tcPr>
            <w:tcW w:w="9642" w:type="dxa"/>
            <w:gridSpan w:val="2"/>
            <w:tcBorders>
              <w:top w:val="single" w:color="000000" w:sz="4" w:space="0"/>
              <w:left w:val="single" w:color="000000" w:sz="4" w:space="0"/>
              <w:bottom w:val="single" w:color="000000" w:sz="4" w:space="0"/>
              <w:right w:val="single" w:color="000000" w:sz="4" w:space="0"/>
            </w:tcBorders>
            <w:noWrap w:val="0"/>
            <w:vAlign w:val="top"/>
          </w:tcPr>
          <w:p w14:paraId="119FD07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 xml:space="preserve">注：1.对复杂项目（取证内容多、审核难度大及存在较大争议的。下同）评审时间适当顺延，具体评审时间要求，由采购人根据项目实际情况在项目安排表中明确。 </w:t>
            </w:r>
          </w:p>
          <w:p w14:paraId="11167FE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2.在评审过程中，如遇到非供应商原因影响工作进度的，供应商应及时向采购人报告，经核实后，评审时间相应顺延。</w:t>
            </w:r>
          </w:p>
          <w:p w14:paraId="547A4BE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3.个别项目因采购人或建设单位列入特急的，评审时限按委托议定的时限执行。</w:t>
            </w:r>
          </w:p>
        </w:tc>
      </w:tr>
    </w:tbl>
    <w:p w14:paraId="04FF542E">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2.评审单位出具结算初审报告时间要求</w:t>
      </w:r>
    </w:p>
    <w:tbl>
      <w:tblPr>
        <w:tblStyle w:val="6"/>
        <w:tblW w:w="9642" w:type="dxa"/>
        <w:tblInd w:w="-17" w:type="dxa"/>
        <w:tblLayout w:type="fixed"/>
        <w:tblCellMar>
          <w:top w:w="0" w:type="dxa"/>
          <w:left w:w="108" w:type="dxa"/>
          <w:bottom w:w="0" w:type="dxa"/>
          <w:right w:w="108" w:type="dxa"/>
        </w:tblCellMar>
      </w:tblPr>
      <w:tblGrid>
        <w:gridCol w:w="2889"/>
        <w:gridCol w:w="6753"/>
      </w:tblGrid>
      <w:tr w14:paraId="239A1984">
        <w:tblPrEx>
          <w:tblCellMar>
            <w:top w:w="0" w:type="dxa"/>
            <w:left w:w="108" w:type="dxa"/>
            <w:bottom w:w="0" w:type="dxa"/>
            <w:right w:w="108" w:type="dxa"/>
          </w:tblCellMar>
        </w:tblPrEx>
        <w:trPr>
          <w:trHeight w:val="486"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16443E3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单项工程投资额</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151A970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出具评审报告（初稿）时间</w:t>
            </w:r>
          </w:p>
        </w:tc>
      </w:tr>
      <w:tr w14:paraId="69CB5386">
        <w:tblPrEx>
          <w:tblCellMar>
            <w:top w:w="0" w:type="dxa"/>
            <w:left w:w="108" w:type="dxa"/>
            <w:bottom w:w="0" w:type="dxa"/>
            <w:right w:w="108" w:type="dxa"/>
          </w:tblCellMar>
        </w:tblPrEx>
        <w:trPr>
          <w:trHeight w:val="498"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45AADB0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500万元以下</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3795295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入围供应商从接到完整竣工结算资料之日起10个工作日内出具初审报告</w:t>
            </w:r>
          </w:p>
        </w:tc>
      </w:tr>
      <w:tr w14:paraId="26900755">
        <w:tblPrEx>
          <w:tblCellMar>
            <w:top w:w="0" w:type="dxa"/>
            <w:left w:w="108" w:type="dxa"/>
            <w:bottom w:w="0" w:type="dxa"/>
            <w:right w:w="108" w:type="dxa"/>
          </w:tblCellMar>
        </w:tblPrEx>
        <w:trPr>
          <w:trHeight w:val="473"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2A943DB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500万</w:t>
            </w:r>
            <w:r>
              <w:rPr>
                <w:rFonts w:hint="eastAsia" w:ascii="宋体" w:hAnsi="宋体" w:cs="宋体"/>
                <w:b w:val="0"/>
                <w:bCs w:val="0"/>
                <w:color w:val="auto"/>
                <w:sz w:val="21"/>
                <w:szCs w:val="21"/>
                <w:lang w:val="en-US" w:eastAsia="zh-CN"/>
              </w:rPr>
              <w:t>元</w:t>
            </w:r>
            <w:r>
              <w:rPr>
                <w:rFonts w:hint="eastAsia" w:ascii="宋体" w:hAnsi="宋体" w:eastAsia="宋体" w:cs="宋体"/>
                <w:b w:val="0"/>
                <w:bCs w:val="0"/>
                <w:color w:val="auto"/>
                <w:sz w:val="21"/>
                <w:szCs w:val="21"/>
                <w:lang w:val="en-US" w:eastAsia="zh-CN"/>
              </w:rPr>
              <w:t>—2000万元（含）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42243AA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入围供应商从接到完整竣工结算资料之日起1</w:t>
            </w:r>
            <w:r>
              <w:rPr>
                <w:rFonts w:hint="eastAsia" w:ascii="宋体" w:hAnsi="宋体" w:cs="宋体"/>
                <w:b w:val="0"/>
                <w:bCs w:val="0"/>
                <w:color w:val="auto"/>
                <w:spacing w:val="-6"/>
                <w:sz w:val="21"/>
                <w:szCs w:val="21"/>
                <w:lang w:val="en-US" w:eastAsia="zh-CN"/>
              </w:rPr>
              <w:t>5</w:t>
            </w:r>
            <w:r>
              <w:rPr>
                <w:rFonts w:hint="eastAsia" w:ascii="宋体" w:hAnsi="宋体" w:eastAsia="宋体" w:cs="宋体"/>
                <w:b w:val="0"/>
                <w:bCs w:val="0"/>
                <w:color w:val="auto"/>
                <w:spacing w:val="-6"/>
                <w:sz w:val="21"/>
                <w:szCs w:val="21"/>
                <w:lang w:val="en-US" w:eastAsia="zh-CN"/>
              </w:rPr>
              <w:t>个工作日内出具初审报告</w:t>
            </w:r>
          </w:p>
        </w:tc>
      </w:tr>
      <w:tr w14:paraId="570ED2CE">
        <w:tblPrEx>
          <w:tblCellMar>
            <w:top w:w="0" w:type="dxa"/>
            <w:left w:w="108" w:type="dxa"/>
            <w:bottom w:w="0" w:type="dxa"/>
            <w:right w:w="108" w:type="dxa"/>
          </w:tblCellMar>
        </w:tblPrEx>
        <w:trPr>
          <w:trHeight w:val="448"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6387964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2000万元-5000万元（含）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6DE45EF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入围供应商从接到完整竣工结算资料之日起</w:t>
            </w:r>
            <w:r>
              <w:rPr>
                <w:rFonts w:hint="eastAsia" w:ascii="宋体" w:hAnsi="宋体" w:cs="宋体"/>
                <w:b w:val="0"/>
                <w:bCs w:val="0"/>
                <w:color w:val="auto"/>
                <w:spacing w:val="-6"/>
                <w:sz w:val="21"/>
                <w:szCs w:val="21"/>
                <w:lang w:val="en-US" w:eastAsia="zh-CN"/>
              </w:rPr>
              <w:t>20</w:t>
            </w:r>
            <w:r>
              <w:rPr>
                <w:rFonts w:hint="eastAsia" w:ascii="宋体" w:hAnsi="宋体" w:eastAsia="宋体" w:cs="宋体"/>
                <w:b w:val="0"/>
                <w:bCs w:val="0"/>
                <w:color w:val="auto"/>
                <w:spacing w:val="-6"/>
                <w:sz w:val="21"/>
                <w:szCs w:val="21"/>
                <w:lang w:val="en-US" w:eastAsia="zh-CN"/>
              </w:rPr>
              <w:t>个工作日内出具初审报告</w:t>
            </w:r>
          </w:p>
        </w:tc>
      </w:tr>
      <w:tr w14:paraId="01A3C0A0">
        <w:tblPrEx>
          <w:tblCellMar>
            <w:top w:w="0" w:type="dxa"/>
            <w:left w:w="108" w:type="dxa"/>
            <w:bottom w:w="0" w:type="dxa"/>
            <w:right w:w="108" w:type="dxa"/>
          </w:tblCellMar>
        </w:tblPrEx>
        <w:trPr>
          <w:trHeight w:val="374"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77DDB6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5000万元-1亿元（含）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17FD10B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入围供应商从接到完整竣工结算资料之日起</w:t>
            </w:r>
            <w:r>
              <w:rPr>
                <w:rFonts w:hint="eastAsia" w:ascii="宋体" w:hAnsi="宋体" w:cs="宋体"/>
                <w:b w:val="0"/>
                <w:bCs w:val="0"/>
                <w:color w:val="auto"/>
                <w:spacing w:val="-6"/>
                <w:sz w:val="21"/>
                <w:szCs w:val="21"/>
                <w:lang w:val="en-US" w:eastAsia="zh-CN"/>
              </w:rPr>
              <w:t>25</w:t>
            </w:r>
            <w:r>
              <w:rPr>
                <w:rFonts w:hint="eastAsia" w:ascii="宋体" w:hAnsi="宋体" w:eastAsia="宋体" w:cs="宋体"/>
                <w:b w:val="0"/>
                <w:bCs w:val="0"/>
                <w:color w:val="auto"/>
                <w:spacing w:val="-6"/>
                <w:sz w:val="21"/>
                <w:szCs w:val="21"/>
                <w:lang w:val="en-US" w:eastAsia="zh-CN"/>
              </w:rPr>
              <w:t>个工作日内出具初审报告</w:t>
            </w:r>
          </w:p>
        </w:tc>
      </w:tr>
      <w:tr w14:paraId="4296C5BB">
        <w:tblPrEx>
          <w:tblCellMar>
            <w:top w:w="0" w:type="dxa"/>
            <w:left w:w="108" w:type="dxa"/>
            <w:bottom w:w="0" w:type="dxa"/>
            <w:right w:w="108" w:type="dxa"/>
          </w:tblCellMar>
        </w:tblPrEx>
        <w:trPr>
          <w:trHeight w:val="476"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0CD42C1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1亿元以上</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6B458C1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入围供应商从接到完整竣工结算资料之日起</w:t>
            </w:r>
            <w:r>
              <w:rPr>
                <w:rFonts w:hint="eastAsia" w:ascii="宋体" w:hAnsi="宋体" w:cs="宋体"/>
                <w:b w:val="0"/>
                <w:bCs w:val="0"/>
                <w:color w:val="auto"/>
                <w:spacing w:val="-6"/>
                <w:sz w:val="21"/>
                <w:szCs w:val="21"/>
                <w:lang w:val="en-US" w:eastAsia="zh-CN"/>
              </w:rPr>
              <w:t>30</w:t>
            </w:r>
            <w:r>
              <w:rPr>
                <w:rFonts w:hint="eastAsia" w:ascii="宋体" w:hAnsi="宋体" w:eastAsia="宋体" w:cs="宋体"/>
                <w:b w:val="0"/>
                <w:bCs w:val="0"/>
                <w:color w:val="auto"/>
                <w:spacing w:val="-6"/>
                <w:sz w:val="21"/>
                <w:szCs w:val="21"/>
                <w:lang w:val="en-US" w:eastAsia="zh-CN"/>
              </w:rPr>
              <w:t>个工作日内出具初审报告</w:t>
            </w:r>
          </w:p>
        </w:tc>
      </w:tr>
      <w:tr w14:paraId="23B6B57F">
        <w:tblPrEx>
          <w:tblCellMar>
            <w:top w:w="0" w:type="dxa"/>
            <w:left w:w="108" w:type="dxa"/>
            <w:bottom w:w="0" w:type="dxa"/>
            <w:right w:w="108" w:type="dxa"/>
          </w:tblCellMar>
        </w:tblPrEx>
        <w:trPr>
          <w:trHeight w:val="624" w:hRule="atLeast"/>
        </w:trPr>
        <w:tc>
          <w:tcPr>
            <w:tcW w:w="9642" w:type="dxa"/>
            <w:gridSpan w:val="2"/>
            <w:tcBorders>
              <w:top w:val="single" w:color="000000" w:sz="4" w:space="0"/>
              <w:left w:val="single" w:color="000000" w:sz="4" w:space="0"/>
              <w:bottom w:val="single" w:color="000000" w:sz="4" w:space="0"/>
              <w:right w:val="single" w:color="000000" w:sz="4" w:space="0"/>
            </w:tcBorders>
            <w:noWrap w:val="0"/>
            <w:vAlign w:val="top"/>
          </w:tcPr>
          <w:p w14:paraId="62D81E4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 xml:space="preserve">注：1.对复杂项目（取证内容多、审核难度大及存在较大争议的。下同）评审时间适当顺延，具体评审时间要求，由采购人根据项目实际情况在项目安排表中明确。 </w:t>
            </w:r>
          </w:p>
          <w:p w14:paraId="57F8FE9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2.在评审过程中，如遇到非供应商原因影响工作进度的，供应商应及时向采购人报告，经核实后，评审时间相应顺延。</w:t>
            </w:r>
          </w:p>
          <w:p w14:paraId="2886CA3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3.个别项目因采购人或建设单位列入特急的，评审时限按委托议定的时限执行。</w:t>
            </w:r>
          </w:p>
        </w:tc>
      </w:tr>
    </w:tbl>
    <w:p w14:paraId="023D3F09">
      <w:pPr>
        <w:spacing w:line="44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复核</w:t>
      </w:r>
      <w:r>
        <w:rPr>
          <w:rFonts w:hint="eastAsia" w:ascii="宋体" w:hAnsi="宋体" w:eastAsia="宋体" w:cs="宋体"/>
          <w:b w:val="0"/>
          <w:bCs w:val="0"/>
          <w:color w:val="auto"/>
          <w:sz w:val="21"/>
          <w:szCs w:val="21"/>
          <w:lang w:val="en-US" w:eastAsia="zh-CN"/>
        </w:rPr>
        <w:t>评审单位出具</w:t>
      </w:r>
      <w:r>
        <w:rPr>
          <w:rFonts w:hint="eastAsia" w:ascii="宋体" w:hAnsi="宋体" w:cs="宋体"/>
          <w:b w:val="0"/>
          <w:bCs w:val="0"/>
          <w:color w:val="auto"/>
          <w:sz w:val="21"/>
          <w:szCs w:val="21"/>
          <w:highlight w:val="none"/>
          <w:lang w:val="en-US" w:eastAsia="zh-CN"/>
        </w:rPr>
        <w:t>复核</w:t>
      </w:r>
      <w:r>
        <w:rPr>
          <w:rFonts w:hint="eastAsia" w:ascii="宋体" w:hAnsi="宋体" w:eastAsia="宋体" w:cs="宋体"/>
          <w:b w:val="0"/>
          <w:bCs w:val="0"/>
          <w:color w:val="auto"/>
          <w:sz w:val="21"/>
          <w:szCs w:val="21"/>
          <w:highlight w:val="none"/>
          <w:lang w:val="en-US" w:eastAsia="zh-CN"/>
        </w:rPr>
        <w:t>报告时间要求</w:t>
      </w:r>
    </w:p>
    <w:tbl>
      <w:tblPr>
        <w:tblStyle w:val="6"/>
        <w:tblW w:w="9642" w:type="dxa"/>
        <w:tblInd w:w="-17" w:type="dxa"/>
        <w:tblLayout w:type="fixed"/>
        <w:tblCellMar>
          <w:top w:w="0" w:type="dxa"/>
          <w:left w:w="108" w:type="dxa"/>
          <w:bottom w:w="0" w:type="dxa"/>
          <w:right w:w="108" w:type="dxa"/>
        </w:tblCellMar>
      </w:tblPr>
      <w:tblGrid>
        <w:gridCol w:w="2889"/>
        <w:gridCol w:w="6753"/>
      </w:tblGrid>
      <w:tr w14:paraId="523989CB">
        <w:tblPrEx>
          <w:tblCellMar>
            <w:top w:w="0" w:type="dxa"/>
            <w:left w:w="108" w:type="dxa"/>
            <w:bottom w:w="0" w:type="dxa"/>
            <w:right w:w="108" w:type="dxa"/>
          </w:tblCellMar>
        </w:tblPrEx>
        <w:trPr>
          <w:trHeight w:val="486"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2D0AF70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单项工程投资额</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487DCC3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出具</w:t>
            </w:r>
            <w:r>
              <w:rPr>
                <w:rFonts w:hint="eastAsia" w:ascii="宋体" w:hAnsi="宋体" w:cs="宋体"/>
                <w:b w:val="0"/>
                <w:bCs w:val="0"/>
                <w:color w:val="auto"/>
                <w:sz w:val="21"/>
                <w:szCs w:val="21"/>
                <w:highlight w:val="none"/>
                <w:lang w:val="en-US" w:eastAsia="zh-CN"/>
              </w:rPr>
              <w:t>复核结论的</w:t>
            </w:r>
            <w:r>
              <w:rPr>
                <w:rFonts w:hint="eastAsia" w:ascii="宋体" w:hAnsi="宋体" w:eastAsia="宋体" w:cs="宋体"/>
                <w:b w:val="0"/>
                <w:bCs w:val="0"/>
                <w:color w:val="auto"/>
                <w:sz w:val="21"/>
                <w:szCs w:val="21"/>
                <w:highlight w:val="none"/>
                <w:lang w:val="en-US" w:eastAsia="zh-CN"/>
              </w:rPr>
              <w:t>时间</w:t>
            </w:r>
          </w:p>
        </w:tc>
      </w:tr>
      <w:tr w14:paraId="6C3A1892">
        <w:tblPrEx>
          <w:tblCellMar>
            <w:top w:w="0" w:type="dxa"/>
            <w:left w:w="108" w:type="dxa"/>
            <w:bottom w:w="0" w:type="dxa"/>
            <w:right w:w="108" w:type="dxa"/>
          </w:tblCellMar>
        </w:tblPrEx>
        <w:trPr>
          <w:trHeight w:val="498"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7F02FF7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500万元以下</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08D5318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入围供应商从接到</w:t>
            </w:r>
            <w:r>
              <w:rPr>
                <w:rFonts w:hint="eastAsia" w:ascii="宋体" w:hAnsi="宋体" w:cs="宋体"/>
                <w:b w:val="0"/>
                <w:bCs w:val="0"/>
                <w:color w:val="auto"/>
                <w:sz w:val="21"/>
                <w:szCs w:val="21"/>
                <w:highlight w:val="none"/>
                <w:lang w:val="en-US" w:eastAsia="zh-CN"/>
              </w:rPr>
              <w:t>复核</w:t>
            </w:r>
            <w:r>
              <w:rPr>
                <w:rFonts w:hint="eastAsia" w:ascii="宋体" w:hAnsi="宋体" w:eastAsia="宋体" w:cs="宋体"/>
                <w:b w:val="0"/>
                <w:bCs w:val="0"/>
                <w:color w:val="auto"/>
                <w:sz w:val="21"/>
                <w:szCs w:val="21"/>
                <w:highlight w:val="none"/>
                <w:lang w:val="en-US" w:eastAsia="zh-CN"/>
              </w:rPr>
              <w:t>资料之日起</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个工作日内出具</w:t>
            </w:r>
            <w:r>
              <w:rPr>
                <w:rFonts w:hint="eastAsia" w:ascii="宋体" w:hAnsi="宋体" w:cs="宋体"/>
                <w:b w:val="0"/>
                <w:bCs w:val="0"/>
                <w:color w:val="auto"/>
                <w:sz w:val="21"/>
                <w:szCs w:val="21"/>
                <w:highlight w:val="none"/>
                <w:lang w:val="en-US" w:eastAsia="zh-CN"/>
              </w:rPr>
              <w:t>复核结论</w:t>
            </w:r>
          </w:p>
        </w:tc>
      </w:tr>
      <w:tr w14:paraId="04DC9325">
        <w:tblPrEx>
          <w:tblCellMar>
            <w:top w:w="0" w:type="dxa"/>
            <w:left w:w="108" w:type="dxa"/>
            <w:bottom w:w="0" w:type="dxa"/>
            <w:right w:w="108" w:type="dxa"/>
          </w:tblCellMar>
        </w:tblPrEx>
        <w:trPr>
          <w:trHeight w:val="473"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4E47B4C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500万—2000万元（含）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29524A5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入围供应商从接到</w:t>
            </w:r>
            <w:r>
              <w:rPr>
                <w:rFonts w:hint="eastAsia" w:ascii="宋体" w:hAnsi="宋体" w:cs="宋体"/>
                <w:b w:val="0"/>
                <w:bCs w:val="0"/>
                <w:color w:val="auto"/>
                <w:sz w:val="21"/>
                <w:szCs w:val="21"/>
                <w:highlight w:val="none"/>
                <w:lang w:val="en-US" w:eastAsia="zh-CN"/>
              </w:rPr>
              <w:t>复核</w:t>
            </w:r>
            <w:r>
              <w:rPr>
                <w:rFonts w:hint="eastAsia" w:ascii="宋体" w:hAnsi="宋体" w:eastAsia="宋体" w:cs="宋体"/>
                <w:b w:val="0"/>
                <w:bCs w:val="0"/>
                <w:color w:val="auto"/>
                <w:sz w:val="21"/>
                <w:szCs w:val="21"/>
                <w:highlight w:val="none"/>
                <w:lang w:val="en-US" w:eastAsia="zh-CN"/>
              </w:rPr>
              <w:t>资料之日起</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个工作日内出具</w:t>
            </w:r>
            <w:r>
              <w:rPr>
                <w:rFonts w:hint="eastAsia" w:ascii="宋体" w:hAnsi="宋体" w:cs="宋体"/>
                <w:b w:val="0"/>
                <w:bCs w:val="0"/>
                <w:color w:val="auto"/>
                <w:sz w:val="21"/>
                <w:szCs w:val="21"/>
                <w:highlight w:val="none"/>
                <w:lang w:val="en-US" w:eastAsia="zh-CN"/>
              </w:rPr>
              <w:t>复核结论</w:t>
            </w:r>
          </w:p>
        </w:tc>
      </w:tr>
      <w:tr w14:paraId="4F240B42">
        <w:tblPrEx>
          <w:tblCellMar>
            <w:top w:w="0" w:type="dxa"/>
            <w:left w:w="108" w:type="dxa"/>
            <w:bottom w:w="0" w:type="dxa"/>
            <w:right w:w="108" w:type="dxa"/>
          </w:tblCellMar>
        </w:tblPrEx>
        <w:trPr>
          <w:trHeight w:val="448"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321A165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2000万元-5000万元（含）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34650B1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入围供应商从接到</w:t>
            </w:r>
            <w:r>
              <w:rPr>
                <w:rFonts w:hint="eastAsia" w:ascii="宋体" w:hAnsi="宋体" w:cs="宋体"/>
                <w:b w:val="0"/>
                <w:bCs w:val="0"/>
                <w:color w:val="auto"/>
                <w:sz w:val="21"/>
                <w:szCs w:val="21"/>
                <w:highlight w:val="none"/>
                <w:lang w:val="en-US" w:eastAsia="zh-CN"/>
              </w:rPr>
              <w:t>复核</w:t>
            </w:r>
            <w:r>
              <w:rPr>
                <w:rFonts w:hint="eastAsia" w:ascii="宋体" w:hAnsi="宋体" w:eastAsia="宋体" w:cs="宋体"/>
                <w:b w:val="0"/>
                <w:bCs w:val="0"/>
                <w:color w:val="auto"/>
                <w:sz w:val="21"/>
                <w:szCs w:val="21"/>
                <w:highlight w:val="none"/>
                <w:lang w:val="en-US" w:eastAsia="zh-CN"/>
              </w:rPr>
              <w:t>资料之日起</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个工作日内出具</w:t>
            </w:r>
            <w:r>
              <w:rPr>
                <w:rFonts w:hint="eastAsia" w:ascii="宋体" w:hAnsi="宋体" w:cs="宋体"/>
                <w:b w:val="0"/>
                <w:bCs w:val="0"/>
                <w:color w:val="auto"/>
                <w:sz w:val="21"/>
                <w:szCs w:val="21"/>
                <w:highlight w:val="none"/>
                <w:lang w:val="en-US" w:eastAsia="zh-CN"/>
              </w:rPr>
              <w:t>复核结论</w:t>
            </w:r>
          </w:p>
        </w:tc>
      </w:tr>
      <w:tr w14:paraId="5CB55FFF">
        <w:tblPrEx>
          <w:tblCellMar>
            <w:top w:w="0" w:type="dxa"/>
            <w:left w:w="108" w:type="dxa"/>
            <w:bottom w:w="0" w:type="dxa"/>
            <w:right w:w="108" w:type="dxa"/>
          </w:tblCellMar>
        </w:tblPrEx>
        <w:trPr>
          <w:trHeight w:val="374"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02885FE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5000万元-1亿元（含）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056F6C7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入围供应商从接到</w:t>
            </w:r>
            <w:r>
              <w:rPr>
                <w:rFonts w:hint="eastAsia" w:ascii="宋体" w:hAnsi="宋体" w:cs="宋体"/>
                <w:b w:val="0"/>
                <w:bCs w:val="0"/>
                <w:color w:val="auto"/>
                <w:sz w:val="21"/>
                <w:szCs w:val="21"/>
                <w:highlight w:val="none"/>
                <w:lang w:val="en-US" w:eastAsia="zh-CN"/>
              </w:rPr>
              <w:t>复核</w:t>
            </w:r>
            <w:r>
              <w:rPr>
                <w:rFonts w:hint="eastAsia" w:ascii="宋体" w:hAnsi="宋体" w:eastAsia="宋体" w:cs="宋体"/>
                <w:b w:val="0"/>
                <w:bCs w:val="0"/>
                <w:color w:val="auto"/>
                <w:sz w:val="21"/>
                <w:szCs w:val="21"/>
                <w:highlight w:val="none"/>
                <w:lang w:val="en-US" w:eastAsia="zh-CN"/>
              </w:rPr>
              <w:t>资料之日起</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个工作日内出具</w:t>
            </w:r>
            <w:r>
              <w:rPr>
                <w:rFonts w:hint="eastAsia" w:ascii="宋体" w:hAnsi="宋体" w:cs="宋体"/>
                <w:b w:val="0"/>
                <w:bCs w:val="0"/>
                <w:color w:val="auto"/>
                <w:sz w:val="21"/>
                <w:szCs w:val="21"/>
                <w:highlight w:val="none"/>
                <w:lang w:val="en-US" w:eastAsia="zh-CN"/>
              </w:rPr>
              <w:t>复核结论</w:t>
            </w:r>
          </w:p>
        </w:tc>
      </w:tr>
      <w:tr w14:paraId="0A514C71">
        <w:tblPrEx>
          <w:tblCellMar>
            <w:top w:w="0" w:type="dxa"/>
            <w:left w:w="108" w:type="dxa"/>
            <w:bottom w:w="0" w:type="dxa"/>
            <w:right w:w="108" w:type="dxa"/>
          </w:tblCellMar>
        </w:tblPrEx>
        <w:trPr>
          <w:trHeight w:val="476"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14:paraId="1D48062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1亿元以上</w:t>
            </w:r>
          </w:p>
        </w:tc>
        <w:tc>
          <w:tcPr>
            <w:tcW w:w="6753" w:type="dxa"/>
            <w:tcBorders>
              <w:top w:val="single" w:color="000000" w:sz="4" w:space="0"/>
              <w:left w:val="single" w:color="000000" w:sz="4" w:space="0"/>
              <w:bottom w:val="single" w:color="000000" w:sz="4" w:space="0"/>
              <w:right w:val="single" w:color="000000" w:sz="4" w:space="0"/>
            </w:tcBorders>
            <w:noWrap/>
            <w:vAlign w:val="center"/>
          </w:tcPr>
          <w:p w14:paraId="4A979C3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入围供应商从接到</w:t>
            </w:r>
            <w:r>
              <w:rPr>
                <w:rFonts w:hint="eastAsia" w:ascii="宋体" w:hAnsi="宋体" w:cs="宋体"/>
                <w:b w:val="0"/>
                <w:bCs w:val="0"/>
                <w:color w:val="auto"/>
                <w:sz w:val="21"/>
                <w:szCs w:val="21"/>
                <w:highlight w:val="none"/>
                <w:lang w:val="en-US" w:eastAsia="zh-CN"/>
              </w:rPr>
              <w:t>复核</w:t>
            </w:r>
            <w:r>
              <w:rPr>
                <w:rFonts w:hint="eastAsia" w:ascii="宋体" w:hAnsi="宋体" w:eastAsia="宋体" w:cs="宋体"/>
                <w:b w:val="0"/>
                <w:bCs w:val="0"/>
                <w:color w:val="auto"/>
                <w:sz w:val="21"/>
                <w:szCs w:val="21"/>
                <w:highlight w:val="none"/>
                <w:lang w:val="en-US" w:eastAsia="zh-CN"/>
              </w:rPr>
              <w:t>资料之日起</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个工作日内出具</w:t>
            </w:r>
            <w:r>
              <w:rPr>
                <w:rFonts w:hint="eastAsia" w:ascii="宋体" w:hAnsi="宋体" w:cs="宋体"/>
                <w:b w:val="0"/>
                <w:bCs w:val="0"/>
                <w:color w:val="auto"/>
                <w:sz w:val="21"/>
                <w:szCs w:val="21"/>
                <w:highlight w:val="none"/>
                <w:lang w:val="en-US" w:eastAsia="zh-CN"/>
              </w:rPr>
              <w:t>复核结论</w:t>
            </w:r>
          </w:p>
        </w:tc>
      </w:tr>
      <w:tr w14:paraId="5E92B026">
        <w:tblPrEx>
          <w:tblCellMar>
            <w:top w:w="0" w:type="dxa"/>
            <w:left w:w="108" w:type="dxa"/>
            <w:bottom w:w="0" w:type="dxa"/>
            <w:right w:w="108" w:type="dxa"/>
          </w:tblCellMar>
        </w:tblPrEx>
        <w:trPr>
          <w:trHeight w:val="624" w:hRule="atLeast"/>
        </w:trPr>
        <w:tc>
          <w:tcPr>
            <w:tcW w:w="9642" w:type="dxa"/>
            <w:gridSpan w:val="2"/>
            <w:tcBorders>
              <w:top w:val="single" w:color="000000" w:sz="4" w:space="0"/>
              <w:left w:val="single" w:color="000000" w:sz="4" w:space="0"/>
              <w:bottom w:val="single" w:color="000000" w:sz="4" w:space="0"/>
              <w:right w:val="single" w:color="000000" w:sz="4" w:space="0"/>
            </w:tcBorders>
            <w:noWrap w:val="0"/>
            <w:vAlign w:val="top"/>
          </w:tcPr>
          <w:p w14:paraId="28F2C3E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.在</w:t>
            </w:r>
            <w:r>
              <w:rPr>
                <w:rFonts w:hint="eastAsia" w:ascii="宋体" w:hAnsi="宋体" w:cs="宋体"/>
                <w:b/>
                <w:bCs/>
                <w:color w:val="auto"/>
                <w:sz w:val="21"/>
                <w:szCs w:val="21"/>
                <w:highlight w:val="none"/>
                <w:lang w:val="en-US" w:eastAsia="zh-CN"/>
              </w:rPr>
              <w:t>复核</w:t>
            </w:r>
            <w:r>
              <w:rPr>
                <w:rFonts w:hint="eastAsia" w:ascii="宋体" w:hAnsi="宋体" w:eastAsia="宋体" w:cs="宋体"/>
                <w:b/>
                <w:bCs/>
                <w:color w:val="auto"/>
                <w:sz w:val="21"/>
                <w:szCs w:val="21"/>
                <w:highlight w:val="none"/>
                <w:lang w:val="en-US" w:eastAsia="zh-CN"/>
              </w:rPr>
              <w:t>过程中，如遇到非供应商原因影响工作进度的，供应商应及时向采购人报告，经核实后，</w:t>
            </w:r>
            <w:r>
              <w:rPr>
                <w:rFonts w:hint="eastAsia" w:ascii="宋体" w:hAnsi="宋体" w:cs="宋体"/>
                <w:b/>
                <w:bCs/>
                <w:color w:val="auto"/>
                <w:sz w:val="21"/>
                <w:szCs w:val="21"/>
                <w:highlight w:val="none"/>
                <w:lang w:val="en-US" w:eastAsia="zh-CN"/>
              </w:rPr>
              <w:t>复核</w:t>
            </w:r>
            <w:r>
              <w:rPr>
                <w:rFonts w:hint="eastAsia" w:ascii="宋体" w:hAnsi="宋体" w:eastAsia="宋体" w:cs="宋体"/>
                <w:b/>
                <w:bCs/>
                <w:color w:val="auto"/>
                <w:sz w:val="21"/>
                <w:szCs w:val="21"/>
                <w:highlight w:val="none"/>
                <w:lang w:val="en-US" w:eastAsia="zh-CN"/>
              </w:rPr>
              <w:t>时间相应顺延。</w:t>
            </w:r>
          </w:p>
          <w:p w14:paraId="64CC1CC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.个别项目因采购人或建设单位列入特急的，</w:t>
            </w:r>
            <w:r>
              <w:rPr>
                <w:rFonts w:hint="eastAsia" w:ascii="宋体" w:hAnsi="宋体" w:cs="宋体"/>
                <w:b/>
                <w:bCs/>
                <w:color w:val="auto"/>
                <w:sz w:val="21"/>
                <w:szCs w:val="21"/>
                <w:highlight w:val="none"/>
                <w:lang w:val="en-US" w:eastAsia="zh-CN"/>
              </w:rPr>
              <w:t>复核</w:t>
            </w:r>
            <w:r>
              <w:rPr>
                <w:rFonts w:hint="eastAsia" w:ascii="宋体" w:hAnsi="宋体" w:eastAsia="宋体" w:cs="宋体"/>
                <w:b/>
                <w:bCs/>
                <w:color w:val="auto"/>
                <w:sz w:val="21"/>
                <w:szCs w:val="21"/>
                <w:highlight w:val="none"/>
                <w:lang w:val="en-US" w:eastAsia="zh-CN"/>
              </w:rPr>
              <w:t>时限按委托议定的时限执行。</w:t>
            </w:r>
          </w:p>
        </w:tc>
      </w:tr>
    </w:tbl>
    <w:p w14:paraId="45BF9785">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要求：概算、工程招标控制价、预算、结算编审成果提交的时间和要求以采购人与入围供应商签订的采购合同约定为准。原则上入围供应商提交时，可先送一份资料，确认后再打印足额份数签认。如采购人提供的相关资料不齐全的，入围供应商向采购人提交资料的时间相应顺延。入围供应商应向采购人提供经采购人审核通过的编审成果一式伍份及电子文档（工程招标控制价编审成果按一式六份提供）。</w:t>
      </w:r>
    </w:p>
    <w:p w14:paraId="0B52AE55">
      <w:pPr>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（六）其他要求：</w:t>
      </w:r>
    </w:p>
    <w:p w14:paraId="5D2D031E">
      <w:pPr>
        <w:spacing w:line="440" w:lineRule="exact"/>
        <w:ind w:firstLine="422"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1.报价要求：</w:t>
      </w:r>
      <w:r>
        <w:rPr>
          <w:rFonts w:hint="eastAsia" w:ascii="宋体" w:hAnsi="宋体" w:eastAsia="宋体" w:cs="宋体"/>
          <w:b w:val="0"/>
          <w:bCs w:val="0"/>
          <w:color w:val="auto"/>
          <w:sz w:val="21"/>
          <w:szCs w:val="21"/>
          <w:lang w:val="en-US" w:eastAsia="zh-CN"/>
        </w:rPr>
        <w:t>本项目执行固定费率计费。供应商不需要提供报价，最高限价单价即作为入围供应商统一报价。</w:t>
      </w:r>
    </w:p>
    <w:p w14:paraId="6FBCCC4E">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bCs/>
          <w:color w:val="auto"/>
          <w:sz w:val="21"/>
          <w:szCs w:val="21"/>
          <w:lang w:val="en-US" w:eastAsia="zh-CN"/>
        </w:rPr>
        <w:t xml:space="preserve">采购资金的支付方式、时间及条件 </w:t>
      </w:r>
    </w:p>
    <w:p w14:paraId="2B2400BE">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2.1入围供应商按本项目合同履行完服务任务后，需经采购人确认； </w:t>
      </w:r>
    </w:p>
    <w:p w14:paraId="603FFD23">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2.2入围供应商向采购人开具全额发票向采购人提出付款申请； </w:t>
      </w:r>
    </w:p>
    <w:p w14:paraId="79FDA466">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2.3票据要求：入围供应商必须按照采购人要求提供真实、有效、合法的正式发票。一旦发现入围供应商提供虚假发票，除须向采购人补开合法发票外，须赔偿采购人发票票面金额一倍的违约金，且采购人有权依法解除合同，入围供应商不得提出异议，因终止合同而产生的一切损失均由入围供应商承担。 </w:t>
      </w:r>
    </w:p>
    <w:p w14:paraId="186A8091">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2.4付款方式：本项目无预付款，评审服务费按工程项目申请支付，由采购人直接支付给成交供应商。成交供应商在完成评审工程后在每年6月、12月以书面形式写好请款函（附审结项目明细表及评审费计算结果），并加盖公章送采购人复核确认后，由采购人直接向成交供应商支付服务费。</w:t>
      </w:r>
    </w:p>
    <w:p w14:paraId="2F942572">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2.5合同履行期间，如入围供应商存在违法行为，在政府采购监督管理部门调查期间、被行政处罚期间，采购人可视情况依法</w:t>
      </w:r>
      <w:r>
        <w:rPr>
          <w:rFonts w:hint="eastAsia" w:ascii="宋体" w:hAnsi="宋体" w:cs="宋体"/>
          <w:b w:val="0"/>
          <w:bCs w:val="0"/>
          <w:color w:val="auto"/>
          <w:sz w:val="21"/>
          <w:szCs w:val="21"/>
          <w:lang w:val="en-US" w:eastAsia="zh-CN"/>
        </w:rPr>
        <w:t>终止</w:t>
      </w:r>
      <w:r>
        <w:rPr>
          <w:rFonts w:hint="eastAsia" w:ascii="宋体" w:hAnsi="宋体" w:eastAsia="宋体" w:cs="宋体"/>
          <w:b w:val="0"/>
          <w:bCs w:val="0"/>
          <w:color w:val="auto"/>
          <w:sz w:val="21"/>
          <w:szCs w:val="21"/>
          <w:lang w:val="en-US" w:eastAsia="zh-CN"/>
        </w:rPr>
        <w:t>合同，并延期支付评审服务费。涉及所承接项目的审核服务费，采购人可延期或拒绝支付服务费，并对已经支付的审核服务费视违法违规情况有权追回。</w:t>
      </w:r>
    </w:p>
    <w:p w14:paraId="2D85DEB4">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2.6本项目合同使用货币币制如未作特别说明均为人民币。</w:t>
      </w:r>
    </w:p>
    <w:p w14:paraId="42F392C2">
      <w:pPr>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3.验收标准：</w:t>
      </w:r>
    </w:p>
    <w:p w14:paraId="07745619">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3.1采购人可以根据政府采购项目具体情况自行组织验收，或者委托政府采购代理机构、国家认可的质量检测机构开展采购项目履约验收工作。 </w:t>
      </w:r>
    </w:p>
    <w:p w14:paraId="6ACFF3AC">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供应商依法依规进行凤山县政府性工程概（预）算、工程量清单和招标控制价审核服务工作，按时按量完成采购人分派任务，提交的审核成果均符合国家规定的造价咨询服务标准和现行技术规范、规程要求，通过采购人复核。</w:t>
      </w:r>
    </w:p>
    <w:p w14:paraId="685D039D">
      <w:pPr>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4.其他要求</w:t>
      </w:r>
    </w:p>
    <w:p w14:paraId="5959774F">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4.1如评审项目具有涉密性质，入围供应商应当具有可参与涉密项目的专业技术能力及条件，不具备相应专业技术能力及条件的应当主动提出回避。</w:t>
      </w:r>
    </w:p>
    <w:p w14:paraId="3A56E3AC">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4.2入围产品升级换代规则：本项目为服务类项目，无入围产品升级换代。</w:t>
      </w:r>
    </w:p>
    <w:p w14:paraId="7A41627B">
      <w:pPr>
        <w:spacing w:line="44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4.3履约保证金：无。</w:t>
      </w:r>
    </w:p>
    <w:p w14:paraId="040C906B">
      <w:pPr>
        <w:ind w:firstLine="420" w:firstLineChars="200"/>
        <w:rPr>
          <w:rFonts w:eastAsia="宋体"/>
          <w:color w:val="auto"/>
        </w:rPr>
      </w:pPr>
      <w:r>
        <w:rPr>
          <w:rFonts w:hint="eastAsia" w:ascii="宋体" w:hAnsi="宋体" w:eastAsia="宋体" w:cs="宋体"/>
          <w:b w:val="0"/>
          <w:bCs w:val="0"/>
          <w:color w:val="auto"/>
          <w:sz w:val="21"/>
          <w:szCs w:val="21"/>
          <w:lang w:val="en-US" w:eastAsia="zh-CN"/>
        </w:rPr>
        <w:t>4.4供应商根据第四章评标标准提供相应材料以供评审小组评审。</w:t>
      </w:r>
    </w:p>
    <w:p w14:paraId="44C248A6">
      <w:pPr>
        <w:spacing w:line="440" w:lineRule="exact"/>
        <w:ind w:firstLine="420" w:firstLineChars="200"/>
        <w:rPr>
          <w:rFonts w:hint="default" w:ascii="宋体" w:hAnsi="宋体" w:cs="宋体"/>
          <w:b w:val="0"/>
          <w:bCs w:val="0"/>
          <w:color w:val="auto"/>
          <w:sz w:val="21"/>
          <w:szCs w:val="21"/>
          <w:lang w:val="en-US" w:eastAsia="zh-CN"/>
        </w:rPr>
      </w:pPr>
    </w:p>
    <w:p w14:paraId="5FE2957F">
      <w:pPr>
        <w:spacing w:line="440" w:lineRule="exact"/>
        <w:ind w:firstLine="420" w:firstLineChars="200"/>
        <w:rPr>
          <w:rFonts w:hint="eastAsia" w:ascii="宋体" w:hAnsi="宋体" w:cs="宋体"/>
          <w:b w:val="0"/>
          <w:bCs w:val="0"/>
          <w:color w:val="auto"/>
          <w:sz w:val="21"/>
          <w:szCs w:val="21"/>
          <w:lang w:val="en-US" w:eastAsia="zh-CN"/>
        </w:rPr>
      </w:pPr>
    </w:p>
    <w:p w14:paraId="52F48B30">
      <w:pPr>
        <w:spacing w:line="440" w:lineRule="exact"/>
        <w:ind w:firstLine="420" w:firstLineChars="200"/>
        <w:rPr>
          <w:rFonts w:hint="default" w:ascii="宋体" w:hAnsi="宋体" w:cs="宋体"/>
          <w:b w:val="0"/>
          <w:bCs w:val="0"/>
          <w:color w:val="auto"/>
          <w:sz w:val="21"/>
          <w:szCs w:val="21"/>
          <w:lang w:val="en-US" w:eastAsia="zh-CN"/>
        </w:rPr>
      </w:pPr>
    </w:p>
    <w:p w14:paraId="6023DB85">
      <w:pPr>
        <w:widowControl/>
        <w:jc w:val="left"/>
        <w:rPr>
          <w:rFonts w:ascii="黑体" w:hAnsi="黑体" w:eastAsia="黑体" w:cs="黑体"/>
          <w:color w:val="auto"/>
          <w:sz w:val="32"/>
          <w:szCs w:val="32"/>
        </w:rPr>
      </w:pPr>
      <w:r>
        <w:rPr>
          <w:rFonts w:hint="eastAsia" w:ascii="黑体" w:hAnsi="黑体" w:eastAsia="黑体" w:cs="黑体"/>
          <w:color w:val="auto"/>
          <w:sz w:val="32"/>
          <w:szCs w:val="32"/>
        </w:rPr>
        <w:t>附件1：</w:t>
      </w:r>
    </w:p>
    <w:p w14:paraId="0BA68056">
      <w:pPr>
        <w:pStyle w:val="3"/>
        <w:jc w:val="center"/>
        <w:rPr>
          <w:b/>
          <w:color w:val="auto"/>
          <w:sz w:val="28"/>
          <w:szCs w:val="28"/>
        </w:rPr>
      </w:pPr>
      <w:r>
        <w:rPr>
          <w:rFonts w:hint="eastAsia"/>
          <w:b/>
          <w:color w:val="auto"/>
          <w:sz w:val="28"/>
          <w:szCs w:val="28"/>
        </w:rPr>
        <w:t>中小企业划型标准规定</w:t>
      </w:r>
    </w:p>
    <w:p w14:paraId="79D8CD8A">
      <w:pPr>
        <w:pStyle w:val="3"/>
        <w:jc w:val="center"/>
        <w:rPr>
          <w:rFonts w:ascii="宋体" w:hAnsi="宋体"/>
          <w:color w:val="auto"/>
          <w:sz w:val="21"/>
          <w:szCs w:val="21"/>
        </w:rPr>
      </w:pPr>
      <w:r>
        <w:rPr>
          <w:rFonts w:hint="eastAsia" w:ascii="宋体" w:hAnsi="宋体"/>
          <w:color w:val="auto"/>
          <w:szCs w:val="21"/>
        </w:rPr>
        <w:t>工信部联企业〔2011〕300号</w:t>
      </w:r>
    </w:p>
    <w:p w14:paraId="70B8B879">
      <w:pPr>
        <w:pStyle w:val="3"/>
        <w:rPr>
          <w:color w:val="auto"/>
          <w:szCs w:val="21"/>
        </w:rPr>
      </w:pPr>
    </w:p>
    <w:p w14:paraId="03AA73C0">
      <w:pPr>
        <w:pStyle w:val="3"/>
        <w:rPr>
          <w:color w:val="auto"/>
          <w:szCs w:val="21"/>
        </w:rPr>
      </w:pPr>
      <w:r>
        <w:rPr>
          <w:rFonts w:hint="eastAsia"/>
          <w:color w:val="auto"/>
          <w:szCs w:val="21"/>
        </w:rPr>
        <w:t>　　一、根据《中华人民共和国中小企业促进法》和《国务院关于进一步促进中小企业发展的若干意见》</w:t>
      </w:r>
      <w:r>
        <w:rPr>
          <w:rFonts w:hint="eastAsia"/>
          <w:color w:val="auto"/>
          <w:szCs w:val="21"/>
          <w:lang w:eastAsia="zh-CN"/>
        </w:rPr>
        <w:t>（</w:t>
      </w:r>
      <w:r>
        <w:rPr>
          <w:rFonts w:hint="eastAsia"/>
          <w:color w:val="auto"/>
          <w:szCs w:val="21"/>
        </w:rPr>
        <w:t>国发〔</w:t>
      </w:r>
      <w:r>
        <w:rPr>
          <w:color w:val="auto"/>
          <w:szCs w:val="21"/>
        </w:rPr>
        <w:t>2009</w:t>
      </w:r>
      <w:r>
        <w:rPr>
          <w:rFonts w:hint="eastAsia"/>
          <w:color w:val="auto"/>
          <w:szCs w:val="21"/>
        </w:rPr>
        <w:t>〕</w:t>
      </w:r>
      <w:r>
        <w:rPr>
          <w:color w:val="auto"/>
          <w:szCs w:val="21"/>
        </w:rPr>
        <w:t>36</w:t>
      </w:r>
      <w:r>
        <w:rPr>
          <w:rFonts w:hint="eastAsia"/>
          <w:color w:val="auto"/>
          <w:szCs w:val="21"/>
        </w:rPr>
        <w:t>号</w:t>
      </w:r>
      <w:r>
        <w:rPr>
          <w:rFonts w:hint="eastAsia"/>
          <w:color w:val="auto"/>
          <w:szCs w:val="21"/>
          <w:lang w:eastAsia="zh-CN"/>
        </w:rPr>
        <w:t>）</w:t>
      </w:r>
      <w:r>
        <w:rPr>
          <w:rFonts w:hint="eastAsia"/>
          <w:color w:val="auto"/>
          <w:szCs w:val="21"/>
        </w:rPr>
        <w:t>，制定本规定。</w:t>
      </w:r>
    </w:p>
    <w:p w14:paraId="1C839708">
      <w:pPr>
        <w:pStyle w:val="3"/>
        <w:rPr>
          <w:color w:val="auto"/>
          <w:szCs w:val="21"/>
        </w:rPr>
      </w:pPr>
      <w:r>
        <w:rPr>
          <w:rFonts w:hint="eastAsia"/>
          <w:color w:val="auto"/>
          <w:szCs w:val="21"/>
        </w:rPr>
        <w:t>　　二、中小企业划分为中型、小型、微型三种类型，具体标准根据企业从业人员、营业收入、资产总额等指标，结合行业特点制定。</w:t>
      </w:r>
    </w:p>
    <w:p w14:paraId="5976AC79">
      <w:pPr>
        <w:pStyle w:val="3"/>
        <w:rPr>
          <w:color w:val="auto"/>
          <w:szCs w:val="21"/>
        </w:rPr>
      </w:pPr>
      <w:r>
        <w:rPr>
          <w:rFonts w:hint="eastAsia"/>
          <w:color w:val="auto"/>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F171BB">
      <w:pPr>
        <w:pStyle w:val="3"/>
        <w:rPr>
          <w:color w:val="auto"/>
          <w:szCs w:val="21"/>
        </w:rPr>
      </w:pPr>
      <w:r>
        <w:rPr>
          <w:rFonts w:hint="eastAsia"/>
          <w:color w:val="auto"/>
          <w:szCs w:val="21"/>
        </w:rPr>
        <w:t>　　四、各行业划型标准为：</w:t>
      </w:r>
    </w:p>
    <w:p w14:paraId="354C9C4D">
      <w:pPr>
        <w:pStyle w:val="3"/>
        <w:rPr>
          <w:color w:val="auto"/>
          <w:szCs w:val="21"/>
        </w:rPr>
      </w:pPr>
      <w:r>
        <w:rPr>
          <w:rFonts w:hint="eastAsia"/>
          <w:color w:val="auto"/>
          <w:szCs w:val="21"/>
        </w:rPr>
        <w:t>　　（一）农、林、牧、渔业。营业收入</w:t>
      </w:r>
      <w:r>
        <w:rPr>
          <w:color w:val="auto"/>
          <w:szCs w:val="21"/>
        </w:rPr>
        <w:t>20000</w:t>
      </w:r>
      <w:r>
        <w:rPr>
          <w:rFonts w:hint="eastAsia"/>
          <w:color w:val="auto"/>
          <w:szCs w:val="21"/>
        </w:rPr>
        <w:t>万元以下的为中小微型企业。其中，营业收入</w:t>
      </w:r>
      <w:r>
        <w:rPr>
          <w:color w:val="auto"/>
          <w:szCs w:val="21"/>
        </w:rPr>
        <w:t>500</w:t>
      </w:r>
      <w:r>
        <w:rPr>
          <w:rFonts w:hint="eastAsia"/>
          <w:color w:val="auto"/>
          <w:szCs w:val="21"/>
        </w:rPr>
        <w:t>万元及以上的为中型企业，营业收入</w:t>
      </w:r>
      <w:r>
        <w:rPr>
          <w:color w:val="auto"/>
          <w:szCs w:val="21"/>
        </w:rPr>
        <w:t>50</w:t>
      </w:r>
      <w:r>
        <w:rPr>
          <w:rFonts w:hint="eastAsia"/>
          <w:color w:val="auto"/>
          <w:szCs w:val="21"/>
        </w:rPr>
        <w:t>万元及以上的为小型企业，营业收入</w:t>
      </w:r>
      <w:r>
        <w:rPr>
          <w:color w:val="auto"/>
          <w:szCs w:val="21"/>
        </w:rPr>
        <w:t>50</w:t>
      </w:r>
      <w:r>
        <w:rPr>
          <w:rFonts w:hint="eastAsia"/>
          <w:color w:val="auto"/>
          <w:szCs w:val="21"/>
        </w:rPr>
        <w:t>万元以下的为微型企业。</w:t>
      </w:r>
    </w:p>
    <w:p w14:paraId="4DA20B60">
      <w:pPr>
        <w:pStyle w:val="3"/>
        <w:rPr>
          <w:color w:val="auto"/>
          <w:szCs w:val="21"/>
        </w:rPr>
      </w:pPr>
      <w:r>
        <w:rPr>
          <w:rFonts w:hint="eastAsia"/>
          <w:color w:val="auto"/>
          <w:szCs w:val="21"/>
        </w:rPr>
        <w:t>　　（二）工业。从业人员</w:t>
      </w:r>
      <w:r>
        <w:rPr>
          <w:color w:val="auto"/>
          <w:szCs w:val="21"/>
        </w:rPr>
        <w:t>1000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300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300</w:t>
      </w:r>
      <w:r>
        <w:rPr>
          <w:rFonts w:hint="eastAsia"/>
          <w:color w:val="auto"/>
          <w:szCs w:val="21"/>
        </w:rPr>
        <w:t>万元以下的为微型企业。</w:t>
      </w:r>
    </w:p>
    <w:p w14:paraId="6EBDF1C9">
      <w:pPr>
        <w:pStyle w:val="3"/>
        <w:rPr>
          <w:color w:val="auto"/>
          <w:szCs w:val="21"/>
        </w:rPr>
      </w:pPr>
      <w:r>
        <w:rPr>
          <w:rFonts w:hint="eastAsia"/>
          <w:color w:val="auto"/>
          <w:szCs w:val="21"/>
        </w:rPr>
        <w:t>　　（三）建筑业。营业收入</w:t>
      </w:r>
      <w:r>
        <w:rPr>
          <w:color w:val="auto"/>
          <w:szCs w:val="21"/>
        </w:rPr>
        <w:t>80000</w:t>
      </w:r>
      <w:r>
        <w:rPr>
          <w:rFonts w:hint="eastAsia"/>
          <w:color w:val="auto"/>
          <w:szCs w:val="21"/>
        </w:rPr>
        <w:t>万元以下或资产总额</w:t>
      </w:r>
      <w:r>
        <w:rPr>
          <w:color w:val="auto"/>
          <w:szCs w:val="21"/>
        </w:rPr>
        <w:t>80000</w:t>
      </w:r>
      <w:r>
        <w:rPr>
          <w:rFonts w:hint="eastAsia"/>
          <w:color w:val="auto"/>
          <w:szCs w:val="21"/>
        </w:rPr>
        <w:t>万元以下的为中小微型企业。其中，营业收入</w:t>
      </w:r>
      <w:r>
        <w:rPr>
          <w:color w:val="auto"/>
          <w:szCs w:val="21"/>
        </w:rPr>
        <w:t>6000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300</w:t>
      </w:r>
      <w:r>
        <w:rPr>
          <w:rFonts w:hint="eastAsia"/>
          <w:color w:val="auto"/>
          <w:szCs w:val="21"/>
        </w:rPr>
        <w:t>万元及以上，且资产总额</w:t>
      </w:r>
      <w:r>
        <w:rPr>
          <w:color w:val="auto"/>
          <w:szCs w:val="21"/>
        </w:rPr>
        <w:t>300</w:t>
      </w:r>
      <w:r>
        <w:rPr>
          <w:rFonts w:hint="eastAsia"/>
          <w:color w:val="auto"/>
          <w:szCs w:val="21"/>
        </w:rPr>
        <w:t>万元及以上的为小型企业；营业收入</w:t>
      </w:r>
      <w:r>
        <w:rPr>
          <w:color w:val="auto"/>
          <w:szCs w:val="21"/>
        </w:rPr>
        <w:t>300</w:t>
      </w:r>
      <w:r>
        <w:rPr>
          <w:rFonts w:hint="eastAsia"/>
          <w:color w:val="auto"/>
          <w:szCs w:val="21"/>
        </w:rPr>
        <w:t>万元以下或资产总额</w:t>
      </w:r>
      <w:r>
        <w:rPr>
          <w:color w:val="auto"/>
          <w:szCs w:val="21"/>
        </w:rPr>
        <w:t>300</w:t>
      </w:r>
      <w:r>
        <w:rPr>
          <w:rFonts w:hint="eastAsia"/>
          <w:color w:val="auto"/>
          <w:szCs w:val="21"/>
        </w:rPr>
        <w:t>万元以下的为微型企业。</w:t>
      </w:r>
    </w:p>
    <w:p w14:paraId="2CA6FC57">
      <w:pPr>
        <w:pStyle w:val="3"/>
        <w:rPr>
          <w:color w:val="auto"/>
          <w:szCs w:val="21"/>
        </w:rPr>
      </w:pPr>
      <w:r>
        <w:rPr>
          <w:rFonts w:hint="eastAsia"/>
          <w:color w:val="auto"/>
          <w:szCs w:val="21"/>
        </w:rPr>
        <w:t>　　（四）批发业。从业人员</w:t>
      </w:r>
      <w:r>
        <w:rPr>
          <w:color w:val="auto"/>
          <w:szCs w:val="21"/>
        </w:rPr>
        <w:t>200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20</w:t>
      </w:r>
      <w:r>
        <w:rPr>
          <w:rFonts w:hint="eastAsia"/>
          <w:color w:val="auto"/>
          <w:szCs w:val="21"/>
        </w:rPr>
        <w:t>人及以上，且营业收入</w:t>
      </w:r>
      <w:r>
        <w:rPr>
          <w:color w:val="auto"/>
          <w:szCs w:val="21"/>
        </w:rPr>
        <w:t>5000</w:t>
      </w:r>
      <w:r>
        <w:rPr>
          <w:rFonts w:hint="eastAsia"/>
          <w:color w:val="auto"/>
          <w:szCs w:val="21"/>
        </w:rPr>
        <w:t>万元及以上的为中型企业；从业人员</w:t>
      </w:r>
      <w:r>
        <w:rPr>
          <w:color w:val="auto"/>
          <w:szCs w:val="21"/>
        </w:rPr>
        <w:t>5</w:t>
      </w:r>
      <w:r>
        <w:rPr>
          <w:rFonts w:hint="eastAsia"/>
          <w:color w:val="auto"/>
          <w:szCs w:val="21"/>
        </w:rPr>
        <w:t>人及以上，且营业收入</w:t>
      </w:r>
      <w:r>
        <w:rPr>
          <w:color w:val="auto"/>
          <w:szCs w:val="21"/>
        </w:rPr>
        <w:t>1000</w:t>
      </w:r>
      <w:r>
        <w:rPr>
          <w:rFonts w:hint="eastAsia"/>
          <w:color w:val="auto"/>
          <w:szCs w:val="21"/>
        </w:rPr>
        <w:t>万元及以上的为小型企业；从业人员</w:t>
      </w:r>
      <w:r>
        <w:rPr>
          <w:color w:val="auto"/>
          <w:szCs w:val="21"/>
        </w:rPr>
        <w:t>5</w:t>
      </w:r>
      <w:r>
        <w:rPr>
          <w:rFonts w:hint="eastAsia"/>
          <w:color w:val="auto"/>
          <w:szCs w:val="21"/>
        </w:rPr>
        <w:t>人以下或营业收入</w:t>
      </w:r>
      <w:r>
        <w:rPr>
          <w:color w:val="auto"/>
          <w:szCs w:val="21"/>
        </w:rPr>
        <w:t>1000</w:t>
      </w:r>
      <w:r>
        <w:rPr>
          <w:rFonts w:hint="eastAsia"/>
          <w:color w:val="auto"/>
          <w:szCs w:val="21"/>
        </w:rPr>
        <w:t>万元以下的为微型企业。</w:t>
      </w:r>
    </w:p>
    <w:p w14:paraId="304BEB10">
      <w:pPr>
        <w:pStyle w:val="3"/>
        <w:rPr>
          <w:color w:val="auto"/>
          <w:szCs w:val="21"/>
        </w:rPr>
      </w:pPr>
      <w:r>
        <w:rPr>
          <w:rFonts w:hint="eastAsia"/>
          <w:color w:val="auto"/>
          <w:szCs w:val="21"/>
        </w:rPr>
        <w:t>　　（五）零售业。从业人员</w:t>
      </w:r>
      <w:r>
        <w:rPr>
          <w:color w:val="auto"/>
          <w:szCs w:val="21"/>
        </w:rPr>
        <w:t>300</w:t>
      </w:r>
      <w:r>
        <w:rPr>
          <w:rFonts w:hint="eastAsia"/>
          <w:color w:val="auto"/>
          <w:szCs w:val="21"/>
        </w:rPr>
        <w:t>人以下或营业收入</w:t>
      </w:r>
      <w:r>
        <w:rPr>
          <w:color w:val="auto"/>
          <w:szCs w:val="21"/>
        </w:rPr>
        <w:t>20000</w:t>
      </w:r>
      <w:r>
        <w:rPr>
          <w:rFonts w:hint="eastAsia"/>
          <w:color w:val="auto"/>
          <w:szCs w:val="21"/>
        </w:rPr>
        <w:t>万元以下的为中小微型企业。其中，从业人员</w:t>
      </w:r>
      <w:r>
        <w:rPr>
          <w:color w:val="auto"/>
          <w:szCs w:val="21"/>
        </w:rPr>
        <w:t>50</w:t>
      </w:r>
      <w:r>
        <w:rPr>
          <w:rFonts w:hint="eastAsia"/>
          <w:color w:val="auto"/>
          <w:szCs w:val="21"/>
        </w:rPr>
        <w:t>人及以上，且营业收入</w:t>
      </w:r>
      <w:r>
        <w:rPr>
          <w:color w:val="auto"/>
          <w:szCs w:val="21"/>
        </w:rPr>
        <w:t>500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5131823F">
      <w:pPr>
        <w:pStyle w:val="3"/>
        <w:rPr>
          <w:color w:val="auto"/>
          <w:szCs w:val="21"/>
        </w:rPr>
      </w:pPr>
      <w:r>
        <w:rPr>
          <w:rFonts w:hint="eastAsia"/>
          <w:color w:val="auto"/>
          <w:szCs w:val="21"/>
        </w:rPr>
        <w:t>　　（六）交通运输业。从业人员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3000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200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200</w:t>
      </w:r>
      <w:r>
        <w:rPr>
          <w:rFonts w:hint="eastAsia"/>
          <w:color w:val="auto"/>
          <w:szCs w:val="21"/>
        </w:rPr>
        <w:t>万元以下的为微型企业。</w:t>
      </w:r>
    </w:p>
    <w:p w14:paraId="6A2E307E">
      <w:pPr>
        <w:pStyle w:val="3"/>
        <w:rPr>
          <w:color w:val="auto"/>
          <w:szCs w:val="21"/>
        </w:rPr>
      </w:pPr>
      <w:r>
        <w:rPr>
          <w:rFonts w:hint="eastAsia"/>
          <w:color w:val="auto"/>
          <w:szCs w:val="21"/>
        </w:rPr>
        <w:t>　　（七）仓储业。从业人员</w:t>
      </w:r>
      <w:r>
        <w:rPr>
          <w:color w:val="auto"/>
          <w:szCs w:val="21"/>
        </w:rPr>
        <w:t>200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37EC0916">
      <w:pPr>
        <w:pStyle w:val="3"/>
        <w:rPr>
          <w:color w:val="auto"/>
          <w:szCs w:val="21"/>
        </w:rPr>
      </w:pPr>
      <w:r>
        <w:rPr>
          <w:rFonts w:hint="eastAsia"/>
          <w:color w:val="auto"/>
          <w:szCs w:val="21"/>
        </w:rPr>
        <w:t>　　（八）邮政业。从业人员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7AEB2E8B">
      <w:pPr>
        <w:pStyle w:val="3"/>
        <w:rPr>
          <w:color w:val="auto"/>
          <w:szCs w:val="21"/>
        </w:rPr>
      </w:pPr>
      <w:r>
        <w:rPr>
          <w:rFonts w:hint="eastAsia"/>
          <w:color w:val="auto"/>
          <w:szCs w:val="21"/>
        </w:rPr>
        <w:t>　　（九）住宿业。从业人员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76B57700">
      <w:pPr>
        <w:pStyle w:val="3"/>
        <w:rPr>
          <w:color w:val="auto"/>
          <w:szCs w:val="21"/>
        </w:rPr>
      </w:pPr>
      <w:r>
        <w:rPr>
          <w:rFonts w:hint="eastAsia"/>
          <w:color w:val="auto"/>
          <w:szCs w:val="21"/>
        </w:rPr>
        <w:t>　　（十）餐饮业。从业人员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4A241E7D">
      <w:pPr>
        <w:pStyle w:val="3"/>
        <w:rPr>
          <w:color w:val="auto"/>
          <w:szCs w:val="21"/>
        </w:rPr>
      </w:pPr>
      <w:r>
        <w:rPr>
          <w:rFonts w:hint="eastAsia"/>
          <w:color w:val="auto"/>
          <w:szCs w:val="21"/>
        </w:rPr>
        <w:t>　　（十一）信息传输业。从业人员</w:t>
      </w:r>
      <w:r>
        <w:rPr>
          <w:color w:val="auto"/>
          <w:szCs w:val="21"/>
        </w:rPr>
        <w:t>2000</w:t>
      </w:r>
      <w:r>
        <w:rPr>
          <w:rFonts w:hint="eastAsia"/>
          <w:color w:val="auto"/>
          <w:szCs w:val="21"/>
        </w:rPr>
        <w:t>人以下或营业收入</w:t>
      </w:r>
      <w:r>
        <w:rPr>
          <w:color w:val="auto"/>
          <w:szCs w:val="21"/>
        </w:rPr>
        <w:t>100000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04DA106B">
      <w:pPr>
        <w:pStyle w:val="3"/>
        <w:rPr>
          <w:color w:val="auto"/>
          <w:szCs w:val="21"/>
        </w:rPr>
      </w:pPr>
      <w:r>
        <w:rPr>
          <w:rFonts w:hint="eastAsia"/>
          <w:color w:val="auto"/>
          <w:szCs w:val="21"/>
        </w:rPr>
        <w:t>　　（十二）软件和信息技术服务业。从业人员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50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50</w:t>
      </w:r>
      <w:r>
        <w:rPr>
          <w:rFonts w:hint="eastAsia"/>
          <w:color w:val="auto"/>
          <w:szCs w:val="21"/>
        </w:rPr>
        <w:t>万元以下的为微型企业。</w:t>
      </w:r>
    </w:p>
    <w:p w14:paraId="0E81C3DA">
      <w:pPr>
        <w:pStyle w:val="3"/>
        <w:rPr>
          <w:color w:val="auto"/>
          <w:szCs w:val="21"/>
        </w:rPr>
      </w:pPr>
      <w:r>
        <w:rPr>
          <w:rFonts w:hint="eastAsia"/>
          <w:color w:val="auto"/>
          <w:szCs w:val="21"/>
        </w:rPr>
        <w:t>　　（十三）房地产开发经营。营业收入</w:t>
      </w:r>
      <w:r>
        <w:rPr>
          <w:color w:val="auto"/>
          <w:szCs w:val="21"/>
        </w:rPr>
        <w:t>200000</w:t>
      </w:r>
      <w:r>
        <w:rPr>
          <w:rFonts w:hint="eastAsia"/>
          <w:color w:val="auto"/>
          <w:szCs w:val="21"/>
        </w:rPr>
        <w:t>万元以下或资产总额</w:t>
      </w:r>
      <w:r>
        <w:rPr>
          <w:color w:val="auto"/>
          <w:szCs w:val="21"/>
        </w:rPr>
        <w:t>10000</w:t>
      </w:r>
      <w:r>
        <w:rPr>
          <w:rFonts w:hint="eastAsia"/>
          <w:color w:val="auto"/>
          <w:szCs w:val="21"/>
        </w:rPr>
        <w:t>万元以下的为中小微型企业。其中，营业收入</w:t>
      </w:r>
      <w:r>
        <w:rPr>
          <w:color w:val="auto"/>
          <w:szCs w:val="21"/>
        </w:rPr>
        <w:t>1000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100</w:t>
      </w:r>
      <w:r>
        <w:rPr>
          <w:rFonts w:hint="eastAsia"/>
          <w:color w:val="auto"/>
          <w:szCs w:val="21"/>
        </w:rPr>
        <w:t>万元及以上，且资产总额</w:t>
      </w:r>
      <w:r>
        <w:rPr>
          <w:color w:val="auto"/>
          <w:szCs w:val="21"/>
        </w:rPr>
        <w:t>2000</w:t>
      </w:r>
      <w:r>
        <w:rPr>
          <w:rFonts w:hint="eastAsia"/>
          <w:color w:val="auto"/>
          <w:szCs w:val="21"/>
        </w:rPr>
        <w:t>万元及以上的为小型企业；营业收入</w:t>
      </w:r>
      <w:r>
        <w:rPr>
          <w:color w:val="auto"/>
          <w:szCs w:val="21"/>
        </w:rPr>
        <w:t>100</w:t>
      </w:r>
      <w:r>
        <w:rPr>
          <w:rFonts w:hint="eastAsia"/>
          <w:color w:val="auto"/>
          <w:szCs w:val="21"/>
        </w:rPr>
        <w:t>万元以下或资产总额</w:t>
      </w:r>
      <w:r>
        <w:rPr>
          <w:color w:val="auto"/>
          <w:szCs w:val="21"/>
        </w:rPr>
        <w:t>2000</w:t>
      </w:r>
      <w:r>
        <w:rPr>
          <w:rFonts w:hint="eastAsia"/>
          <w:color w:val="auto"/>
          <w:szCs w:val="21"/>
        </w:rPr>
        <w:t>万元以下的为微型企业。</w:t>
      </w:r>
    </w:p>
    <w:p w14:paraId="5DF89ADF">
      <w:pPr>
        <w:pStyle w:val="3"/>
        <w:rPr>
          <w:color w:val="auto"/>
          <w:szCs w:val="21"/>
        </w:rPr>
      </w:pPr>
      <w:r>
        <w:rPr>
          <w:rFonts w:hint="eastAsia"/>
          <w:color w:val="auto"/>
          <w:szCs w:val="21"/>
        </w:rPr>
        <w:t>　　（十四）物业管理。从业人员</w:t>
      </w:r>
      <w:r>
        <w:rPr>
          <w:color w:val="auto"/>
          <w:szCs w:val="21"/>
        </w:rPr>
        <w:t>1000</w:t>
      </w:r>
      <w:r>
        <w:rPr>
          <w:rFonts w:hint="eastAsia"/>
          <w:color w:val="auto"/>
          <w:szCs w:val="21"/>
        </w:rPr>
        <w:t>人以下或营业收入</w:t>
      </w:r>
      <w:r>
        <w:rPr>
          <w:color w:val="auto"/>
          <w:szCs w:val="21"/>
        </w:rPr>
        <w:t>5000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100</w:t>
      </w:r>
      <w:r>
        <w:rPr>
          <w:rFonts w:hint="eastAsia"/>
          <w:color w:val="auto"/>
          <w:szCs w:val="21"/>
        </w:rPr>
        <w:t>人及以上，且营业收入</w:t>
      </w:r>
      <w:r>
        <w:rPr>
          <w:color w:val="auto"/>
          <w:szCs w:val="21"/>
        </w:rPr>
        <w:t>500</w:t>
      </w:r>
      <w:r>
        <w:rPr>
          <w:rFonts w:hint="eastAsia"/>
          <w:color w:val="auto"/>
          <w:szCs w:val="21"/>
        </w:rPr>
        <w:t>万元及以上的为小型企业；从业人员</w:t>
      </w:r>
      <w:r>
        <w:rPr>
          <w:color w:val="auto"/>
          <w:szCs w:val="21"/>
        </w:rPr>
        <w:t>100</w:t>
      </w:r>
      <w:r>
        <w:rPr>
          <w:rFonts w:hint="eastAsia"/>
          <w:color w:val="auto"/>
          <w:szCs w:val="21"/>
        </w:rPr>
        <w:t>人以下或营业收入</w:t>
      </w:r>
      <w:r>
        <w:rPr>
          <w:color w:val="auto"/>
          <w:szCs w:val="21"/>
        </w:rPr>
        <w:t>500</w:t>
      </w:r>
      <w:r>
        <w:rPr>
          <w:rFonts w:hint="eastAsia"/>
          <w:color w:val="auto"/>
          <w:szCs w:val="21"/>
        </w:rPr>
        <w:t>万元以下的为微型企业。</w:t>
      </w:r>
    </w:p>
    <w:p w14:paraId="328C53F1">
      <w:pPr>
        <w:pStyle w:val="3"/>
        <w:rPr>
          <w:color w:val="auto"/>
          <w:szCs w:val="21"/>
        </w:rPr>
      </w:pPr>
      <w:r>
        <w:rPr>
          <w:rFonts w:hint="eastAsia"/>
          <w:color w:val="auto"/>
          <w:szCs w:val="21"/>
        </w:rPr>
        <w:t>　　（十五）租赁和商务服务业。从业人员</w:t>
      </w:r>
      <w:r>
        <w:rPr>
          <w:color w:val="auto"/>
          <w:szCs w:val="21"/>
        </w:rPr>
        <w:t>300</w:t>
      </w:r>
      <w:r>
        <w:rPr>
          <w:rFonts w:hint="eastAsia"/>
          <w:color w:val="auto"/>
          <w:szCs w:val="21"/>
        </w:rPr>
        <w:t>人以下或资产总额</w:t>
      </w:r>
      <w:r>
        <w:rPr>
          <w:color w:val="auto"/>
          <w:szCs w:val="21"/>
        </w:rPr>
        <w:t>120000</w:t>
      </w:r>
      <w:r>
        <w:rPr>
          <w:rFonts w:hint="eastAsia"/>
          <w:color w:val="auto"/>
          <w:szCs w:val="21"/>
        </w:rPr>
        <w:t>万元以下的为中小微型企业。其中，从业人员</w:t>
      </w:r>
      <w:r>
        <w:rPr>
          <w:color w:val="auto"/>
          <w:szCs w:val="21"/>
        </w:rPr>
        <w:t>100</w:t>
      </w:r>
      <w:r>
        <w:rPr>
          <w:rFonts w:hint="eastAsia"/>
          <w:color w:val="auto"/>
          <w:szCs w:val="21"/>
        </w:rPr>
        <w:t>人及以上，且资产总额</w:t>
      </w:r>
      <w:r>
        <w:rPr>
          <w:color w:val="auto"/>
          <w:szCs w:val="21"/>
        </w:rPr>
        <w:t>8000</w:t>
      </w:r>
      <w:r>
        <w:rPr>
          <w:rFonts w:hint="eastAsia"/>
          <w:color w:val="auto"/>
          <w:szCs w:val="21"/>
        </w:rPr>
        <w:t>万元及以上的为中型企业；从业人员</w:t>
      </w:r>
      <w:r>
        <w:rPr>
          <w:color w:val="auto"/>
          <w:szCs w:val="21"/>
        </w:rPr>
        <w:t>10</w:t>
      </w:r>
      <w:r>
        <w:rPr>
          <w:rFonts w:hint="eastAsia"/>
          <w:color w:val="auto"/>
          <w:szCs w:val="21"/>
        </w:rPr>
        <w:t>人及以上，且资产总额</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人以下或资产总额</w:t>
      </w:r>
      <w:r>
        <w:rPr>
          <w:color w:val="auto"/>
          <w:szCs w:val="21"/>
        </w:rPr>
        <w:t>100</w:t>
      </w:r>
      <w:r>
        <w:rPr>
          <w:rFonts w:hint="eastAsia"/>
          <w:color w:val="auto"/>
          <w:szCs w:val="21"/>
        </w:rPr>
        <w:t>万元以下的为微型企业。</w:t>
      </w:r>
    </w:p>
    <w:p w14:paraId="36CAE3AD">
      <w:pPr>
        <w:pStyle w:val="3"/>
        <w:rPr>
          <w:color w:val="auto"/>
          <w:szCs w:val="21"/>
        </w:rPr>
      </w:pPr>
      <w:r>
        <w:rPr>
          <w:rFonts w:hint="eastAsia"/>
          <w:color w:val="auto"/>
          <w:szCs w:val="21"/>
        </w:rPr>
        <w:t>　　（十六）其他未列明行业。从业人员</w:t>
      </w:r>
      <w:r>
        <w:rPr>
          <w:color w:val="auto"/>
          <w:szCs w:val="21"/>
        </w:rPr>
        <w:t>300</w:t>
      </w:r>
      <w:r>
        <w:rPr>
          <w:rFonts w:hint="eastAsia"/>
          <w:color w:val="auto"/>
          <w:szCs w:val="21"/>
        </w:rPr>
        <w:t>人以下的为中小微型企业。其中，从业人员</w:t>
      </w:r>
      <w:r>
        <w:rPr>
          <w:color w:val="auto"/>
          <w:szCs w:val="21"/>
        </w:rPr>
        <w:t>100</w:t>
      </w:r>
      <w:r>
        <w:rPr>
          <w:rFonts w:hint="eastAsia"/>
          <w:color w:val="auto"/>
          <w:szCs w:val="21"/>
        </w:rPr>
        <w:t>人及以上的为中型企业；从业人员</w:t>
      </w:r>
      <w:r>
        <w:rPr>
          <w:color w:val="auto"/>
          <w:szCs w:val="21"/>
        </w:rPr>
        <w:t>10</w:t>
      </w:r>
      <w:r>
        <w:rPr>
          <w:rFonts w:hint="eastAsia"/>
          <w:color w:val="auto"/>
          <w:szCs w:val="21"/>
        </w:rPr>
        <w:t>人及以上的为小型企业；从业人员</w:t>
      </w:r>
      <w:r>
        <w:rPr>
          <w:color w:val="auto"/>
          <w:szCs w:val="21"/>
        </w:rPr>
        <w:t>10</w:t>
      </w:r>
      <w:r>
        <w:rPr>
          <w:rFonts w:hint="eastAsia"/>
          <w:color w:val="auto"/>
          <w:szCs w:val="21"/>
        </w:rPr>
        <w:t>人以下的为微型企业。</w:t>
      </w:r>
    </w:p>
    <w:p w14:paraId="5F5A5631">
      <w:pPr>
        <w:pStyle w:val="3"/>
        <w:rPr>
          <w:color w:val="auto"/>
          <w:szCs w:val="21"/>
        </w:rPr>
      </w:pPr>
      <w:r>
        <w:rPr>
          <w:rFonts w:hint="eastAsia"/>
          <w:color w:val="auto"/>
          <w:szCs w:val="21"/>
        </w:rPr>
        <w:t>　　五、企业类型的划分以统计部门的统计数据为依据。</w:t>
      </w:r>
    </w:p>
    <w:p w14:paraId="2CBDD880">
      <w:pPr>
        <w:pStyle w:val="3"/>
        <w:rPr>
          <w:color w:val="auto"/>
          <w:szCs w:val="21"/>
        </w:rPr>
      </w:pPr>
      <w:r>
        <w:rPr>
          <w:rFonts w:hint="eastAsia"/>
          <w:color w:val="auto"/>
          <w:szCs w:val="21"/>
        </w:rPr>
        <w:t>　　六、本规定适用于在中华人民共和国境内依法设立的各类所有制和各种组织形式的企业。个体工商户和本规定以外的行业，参照本规定进行划型。</w:t>
      </w:r>
    </w:p>
    <w:p w14:paraId="79E205C5">
      <w:pPr>
        <w:pStyle w:val="3"/>
        <w:rPr>
          <w:color w:val="auto"/>
          <w:szCs w:val="21"/>
        </w:rPr>
      </w:pPr>
      <w:r>
        <w:rPr>
          <w:rFonts w:hint="eastAsia"/>
          <w:color w:val="auto"/>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0BA4D11A">
      <w:pPr>
        <w:pStyle w:val="3"/>
        <w:rPr>
          <w:color w:val="auto"/>
          <w:szCs w:val="21"/>
        </w:rPr>
      </w:pPr>
      <w:r>
        <w:rPr>
          <w:rFonts w:hint="eastAsia"/>
          <w:color w:val="auto"/>
          <w:szCs w:val="21"/>
        </w:rPr>
        <w:t>　　八、本规定由工业和信息化部、国家统计局会同有关部门根据《国民经济行业分类》修订情况和企业发展变化情况适时修订。</w:t>
      </w:r>
    </w:p>
    <w:p w14:paraId="70D619AB">
      <w:pPr>
        <w:pStyle w:val="3"/>
        <w:rPr>
          <w:color w:val="auto"/>
          <w:szCs w:val="21"/>
        </w:rPr>
      </w:pPr>
      <w:r>
        <w:rPr>
          <w:rFonts w:hint="eastAsia"/>
          <w:color w:val="auto"/>
          <w:szCs w:val="21"/>
        </w:rPr>
        <w:t>　　九、本规定由工业和信息化部、国家统计局会同有关部门负责解释。</w:t>
      </w:r>
    </w:p>
    <w:p w14:paraId="17450E8B">
      <w:r>
        <w:rPr>
          <w:rFonts w:hint="eastAsia"/>
          <w:color w:val="auto"/>
          <w:szCs w:val="21"/>
        </w:rPr>
        <w:t>十、本规定自发布之日起执行，原国家经贸委、原国家计委、财政部和国家统计局</w:t>
      </w:r>
      <w:r>
        <w:rPr>
          <w:color w:val="auto"/>
          <w:szCs w:val="21"/>
        </w:rPr>
        <w:t>2003</w:t>
      </w:r>
      <w:r>
        <w:rPr>
          <w:rFonts w:hint="eastAsia"/>
          <w:color w:val="auto"/>
          <w:szCs w:val="21"/>
        </w:rPr>
        <w:t>年颁布的《中小企业标准暂行规定》同时废止。</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625EC"/>
    <w:rsid w:val="1C430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line="380" w:lineRule="exact"/>
    </w:pPr>
    <w:rPr>
      <w:sz w:val="24"/>
    </w:rPr>
  </w:style>
  <w:style w:type="paragraph" w:styleId="4">
    <w:name w:val="toc 5"/>
    <w:basedOn w:val="1"/>
    <w:next w:val="1"/>
    <w:unhideWhenUsed/>
    <w:qFormat/>
    <w:uiPriority w:val="39"/>
    <w:pPr>
      <w:ind w:left="1680"/>
    </w:pPr>
    <w:rPr>
      <w:rFonts w:ascii="Calibri" w:hAnsi="Calibri"/>
      <w:szCs w:val="22"/>
    </w:rPr>
  </w:style>
  <w:style w:type="paragraph" w:styleId="5">
    <w:name w:val="toc 1"/>
    <w:basedOn w:val="1"/>
    <w:next w:val="1"/>
    <w:uiPriority w:val="0"/>
    <w:pPr>
      <w:spacing w:line="480" w:lineRule="exact"/>
      <w:ind w:firstLine="0" w:firstLineChars="0"/>
    </w:pPr>
    <w:rPr>
      <w:rFonts w:ascii="Times New Roman" w:hAnsi="Times New Roman" w:eastAsia="仿宋" w:cs="Times New Roman"/>
      <w:sz w:val="30"/>
    </w:rPr>
  </w:style>
  <w:style w:type="table" w:customStyle="1" w:styleId="8">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2025-03-06T00:10:00Z</dcterms:created>
  <dc:creator>Administrator</dc:creator>
  <cp:lastModifiedBy>韦力</cp:lastModifiedBy>
  <dcterms:modified xsi:type="dcterms:W3CDTF">2026-07-15T01:55:28Z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57A5F75051B24957844674E03AADA21A_12</vt:lpwstr>
  </property>
  <property fmtid="{D5CDD505-2E9C-101B-9397-08002B2CF9AE}" pid="4" name="KSOTemplateDocerSaveRecord">
    <vt:lpwstr>eyJoZGlkIjoiZTQzZGNmZjgwZDhmMWY5MjIzM2U1NWRiMTBjZDRiZWEiLCJ1c2VySWQiOiI0OTYyNzM2NTAifQ==</vt:lpwstr>
  </property>
</Properties>
</file>