
<file path=[Content_Types].xml><?xml version="1.0" encoding="utf-8"?>
<Types xmlns="http://schemas.openxmlformats.org/package/2006/content-types">
  <Default Extension="xml" ContentType="application/xml"/>
  <Default Extension="png" ContentType="image/png"/>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391C6A2D">
      <w:pPr>
        <w:pStyle w:val="19"/>
        <w:kinsoku w:val="0"/>
        <w:overflowPunct w:val="0"/>
        <w:rPr>
          <w:color w:val="4472C4"/>
        </w:rPr>
      </w:pPr>
      <w:bookmarkStart w:id="0" w:name="_Toc217446030"/>
      <w:bookmarkStart w:id="1" w:name="_Toc183682338"/>
      <w:r>
        <w:rPr>
          <w:rFonts w:hint="eastAsia"/>
          <w:color w:val="4472C4"/>
          <w:lang w:eastAsia="zh-CN"/>
        </w:rPr>
        <w:drawing>
          <wp:anchor distT="0" distB="0" distL="114300" distR="114300" simplePos="0" relativeHeight="251662336" behindDoc="1" locked="0" layoutInCell="1" allowOverlap="1">
            <wp:simplePos x="0" y="0"/>
            <wp:positionH relativeFrom="column">
              <wp:posOffset>-937260</wp:posOffset>
            </wp:positionH>
            <wp:positionV relativeFrom="paragraph">
              <wp:posOffset>-1059815</wp:posOffset>
            </wp:positionV>
            <wp:extent cx="7557770" cy="11299190"/>
            <wp:effectExtent l="0" t="0" r="1270" b="8890"/>
            <wp:wrapNone/>
            <wp:docPr id="5" name="图片 5" descr="2-2-3辅助图形3白底"/>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2-2-3辅助图形3白底"/>
                    <pic:cNvPicPr>
                      <a:picLocks noChangeAspect="1"/>
                    </pic:cNvPicPr>
                  </pic:nvPicPr>
                  <pic:blipFill>
                    <a:blip r:embed="rId18"/>
                    <a:stretch>
                      <a:fillRect/>
                    </a:stretch>
                  </pic:blipFill>
                  <pic:spPr>
                    <a:xfrm>
                      <a:off x="0" y="0"/>
                      <a:ext cx="7557770" cy="11299190"/>
                    </a:xfrm>
                    <a:prstGeom prst="rect">
                      <a:avLst/>
                    </a:prstGeom>
                  </pic:spPr>
                </pic:pic>
              </a:graphicData>
            </a:graphic>
          </wp:anchor>
        </w:drawing>
      </w:r>
    </w:p>
    <w:p w14:paraId="520B3865">
      <w:pPr>
        <w:tabs>
          <w:tab w:val="left" w:pos="1710"/>
        </w:tabs>
      </w:pPr>
    </w:p>
    <w:p w14:paraId="108AB8C7">
      <w:pPr>
        <w:tabs>
          <w:tab w:val="left" w:pos="1710"/>
        </w:tabs>
      </w:pPr>
    </w:p>
    <w:p w14:paraId="2658D768">
      <w:pPr>
        <w:tabs>
          <w:tab w:val="left" w:pos="1710"/>
        </w:tabs>
      </w:pPr>
    </w:p>
    <w:p w14:paraId="7DD2E9F2">
      <w:pPr>
        <w:tabs>
          <w:tab w:val="left" w:pos="1710"/>
        </w:tabs>
      </w:pPr>
    </w:p>
    <w:p w14:paraId="0FEDE1ED">
      <w:pPr>
        <w:tabs>
          <w:tab w:val="left" w:pos="1710"/>
        </w:tabs>
      </w:pPr>
      <w:r>
        <w:rPr>
          <w:rFonts w:hint="eastAsia" w:eastAsia="宋体"/>
          <w:lang w:eastAsia="zh-CN"/>
        </w:rPr>
        <w:drawing>
          <wp:anchor distT="0" distB="0" distL="114300" distR="114300" simplePos="0" relativeHeight="251661312" behindDoc="0" locked="0" layoutInCell="1" allowOverlap="1">
            <wp:simplePos x="0" y="0"/>
            <wp:positionH relativeFrom="column">
              <wp:posOffset>534035</wp:posOffset>
            </wp:positionH>
            <wp:positionV relativeFrom="paragraph">
              <wp:posOffset>34290</wp:posOffset>
            </wp:positionV>
            <wp:extent cx="4654550" cy="584200"/>
            <wp:effectExtent l="0" t="0" r="12700" b="6350"/>
            <wp:wrapNone/>
            <wp:docPr id="7" name="图片 7" descr="1-2-1LOGO中英文全称横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1-2-1LOGO中英文全称横式"/>
                    <pic:cNvPicPr>
                      <a:picLocks noChangeAspect="1"/>
                    </pic:cNvPicPr>
                  </pic:nvPicPr>
                  <pic:blipFill>
                    <a:blip r:embed="rId19"/>
                    <a:stretch>
                      <a:fillRect/>
                    </a:stretch>
                  </pic:blipFill>
                  <pic:spPr>
                    <a:xfrm>
                      <a:off x="0" y="0"/>
                      <a:ext cx="4654550" cy="584200"/>
                    </a:xfrm>
                    <a:prstGeom prst="rect">
                      <a:avLst/>
                    </a:prstGeom>
                  </pic:spPr>
                </pic:pic>
              </a:graphicData>
            </a:graphic>
          </wp:anchor>
        </w:drawing>
      </w:r>
    </w:p>
    <w:p w14:paraId="1B003C51">
      <w:pPr>
        <w:tabs>
          <w:tab w:val="left" w:pos="1710"/>
        </w:tabs>
      </w:pPr>
    </w:p>
    <w:p w14:paraId="4361BFD2">
      <w:pPr>
        <w:tabs>
          <w:tab w:val="left" w:pos="1710"/>
        </w:tabs>
      </w:pPr>
    </w:p>
    <w:p w14:paraId="7546FB67">
      <w:pPr>
        <w:tabs>
          <w:tab w:val="left" w:pos="1710"/>
        </w:tabs>
      </w:pPr>
    </w:p>
    <w:p w14:paraId="23590435">
      <w:pPr>
        <w:tabs>
          <w:tab w:val="left" w:pos="1710"/>
        </w:tabs>
      </w:pPr>
    </w:p>
    <w:p w14:paraId="6629107B">
      <w:pPr>
        <w:tabs>
          <w:tab w:val="left" w:pos="1710"/>
        </w:tabs>
      </w:pPr>
    </w:p>
    <w:p w14:paraId="7096B151">
      <w:pPr>
        <w:tabs>
          <w:tab w:val="left" w:pos="1710"/>
        </w:tabs>
      </w:pPr>
    </w:p>
    <w:p w14:paraId="02B8E730">
      <w:pPr>
        <w:tabs>
          <w:tab w:val="left" w:pos="1710"/>
        </w:tabs>
      </w:pPr>
    </w:p>
    <w:p w14:paraId="5DDC704C">
      <w:pPr>
        <w:tabs>
          <w:tab w:val="left" w:pos="1710"/>
        </w:tabs>
      </w:pPr>
    </w:p>
    <w:p w14:paraId="37C0E993">
      <w:pPr>
        <w:tabs>
          <w:tab w:val="left" w:pos="1710"/>
        </w:tabs>
      </w:pPr>
    </w:p>
    <w:tbl>
      <w:tblPr>
        <w:tblStyle w:val="5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53"/>
        <w:gridCol w:w="4404"/>
      </w:tblGrid>
      <w:tr w14:paraId="28CB1B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9" w:hRule="atLeast"/>
          <w:jc w:val="center"/>
        </w:trPr>
        <w:tc>
          <w:tcPr>
            <w:tcW w:w="6457" w:type="dxa"/>
            <w:gridSpan w:val="2"/>
            <w:tcBorders>
              <w:top w:val="nil"/>
              <w:left w:val="nil"/>
              <w:right w:val="nil"/>
            </w:tcBorders>
            <w:noWrap w:val="0"/>
            <w:vAlign w:val="top"/>
          </w:tcPr>
          <w:p w14:paraId="47309876">
            <w:pPr>
              <w:snapToGrid w:val="0"/>
              <w:spacing w:line="240" w:lineRule="atLeast"/>
              <w:jc w:val="center"/>
              <w:rPr>
                <w:b/>
                <w:sz w:val="60"/>
                <w:szCs w:val="60"/>
              </w:rPr>
            </w:pPr>
            <w:r>
              <w:rPr>
                <w:rFonts w:hint="eastAsia"/>
                <w:b/>
                <w:sz w:val="60"/>
                <w:szCs w:val="60"/>
              </w:rPr>
              <w:t>招标</w:t>
            </w:r>
            <w:r>
              <w:rPr>
                <w:b/>
                <w:sz w:val="60"/>
                <w:szCs w:val="60"/>
              </w:rPr>
              <w:t>文件</w:t>
            </w:r>
          </w:p>
        </w:tc>
      </w:tr>
      <w:tr w14:paraId="11A3AD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jc w:val="center"/>
        </w:trPr>
        <w:tc>
          <w:tcPr>
            <w:tcW w:w="2053" w:type="dxa"/>
            <w:noWrap w:val="0"/>
            <w:vAlign w:val="center"/>
          </w:tcPr>
          <w:p w14:paraId="69C7E078">
            <w:pPr>
              <w:rPr>
                <w:b/>
                <w:color w:val="auto"/>
                <w:sz w:val="32"/>
                <w:szCs w:val="32"/>
              </w:rPr>
            </w:pPr>
            <w:r>
              <w:rPr>
                <w:b/>
                <w:color w:val="auto"/>
                <w:sz w:val="32"/>
                <w:szCs w:val="32"/>
              </w:rPr>
              <w:t>项目名称：</w:t>
            </w:r>
          </w:p>
        </w:tc>
        <w:tc>
          <w:tcPr>
            <w:tcW w:w="4404" w:type="dxa"/>
            <w:noWrap w:val="0"/>
            <w:vAlign w:val="center"/>
          </w:tcPr>
          <w:p w14:paraId="0794A5D7">
            <w:pPr>
              <w:rPr>
                <w:b/>
                <w:color w:val="auto"/>
                <w:sz w:val="32"/>
                <w:szCs w:val="32"/>
              </w:rPr>
            </w:pPr>
            <w:r>
              <w:rPr>
                <w:rFonts w:hint="eastAsia"/>
                <w:b/>
                <w:color w:val="auto"/>
                <w:sz w:val="32"/>
                <w:szCs w:val="32"/>
              </w:rPr>
              <w:t>河池市中医医院颅脑手术设备采购</w:t>
            </w:r>
          </w:p>
        </w:tc>
      </w:tr>
      <w:tr w14:paraId="00375F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jc w:val="center"/>
        </w:trPr>
        <w:tc>
          <w:tcPr>
            <w:tcW w:w="2053" w:type="dxa"/>
            <w:noWrap w:val="0"/>
            <w:vAlign w:val="center"/>
          </w:tcPr>
          <w:p w14:paraId="6112CAC4">
            <w:pPr>
              <w:rPr>
                <w:b/>
                <w:color w:val="auto"/>
                <w:sz w:val="32"/>
                <w:szCs w:val="32"/>
              </w:rPr>
            </w:pPr>
            <w:r>
              <w:rPr>
                <w:b/>
                <w:color w:val="auto"/>
                <w:sz w:val="32"/>
                <w:szCs w:val="32"/>
              </w:rPr>
              <w:t>项目编号：</w:t>
            </w:r>
          </w:p>
        </w:tc>
        <w:tc>
          <w:tcPr>
            <w:tcW w:w="4404" w:type="dxa"/>
            <w:noWrap w:val="0"/>
            <w:vAlign w:val="center"/>
          </w:tcPr>
          <w:p w14:paraId="51DCDB7A">
            <w:pPr>
              <w:rPr>
                <w:b/>
                <w:color w:val="auto"/>
                <w:sz w:val="32"/>
                <w:szCs w:val="32"/>
              </w:rPr>
            </w:pPr>
            <w:r>
              <w:rPr>
                <w:rFonts w:hint="eastAsia"/>
                <w:b/>
                <w:color w:val="auto"/>
                <w:sz w:val="32"/>
                <w:szCs w:val="32"/>
              </w:rPr>
              <w:t>HCZC2026-G1-990138-JDZB</w:t>
            </w:r>
          </w:p>
        </w:tc>
      </w:tr>
      <w:tr w14:paraId="62E194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jc w:val="center"/>
        </w:trPr>
        <w:tc>
          <w:tcPr>
            <w:tcW w:w="2053" w:type="dxa"/>
            <w:noWrap w:val="0"/>
            <w:vAlign w:val="center"/>
          </w:tcPr>
          <w:p w14:paraId="76E4E463">
            <w:pPr>
              <w:rPr>
                <w:b/>
                <w:color w:val="auto"/>
                <w:sz w:val="32"/>
                <w:szCs w:val="32"/>
              </w:rPr>
            </w:pPr>
            <w:r>
              <w:rPr>
                <w:b/>
                <w:color w:val="auto"/>
                <w:sz w:val="32"/>
                <w:szCs w:val="32"/>
              </w:rPr>
              <w:t>联系电话：</w:t>
            </w:r>
          </w:p>
        </w:tc>
        <w:tc>
          <w:tcPr>
            <w:tcW w:w="4404" w:type="dxa"/>
            <w:noWrap w:val="0"/>
            <w:vAlign w:val="center"/>
          </w:tcPr>
          <w:p w14:paraId="018683FC">
            <w:pPr>
              <w:rPr>
                <w:rFonts w:hint="default" w:eastAsia="宋体"/>
                <w:b/>
                <w:color w:val="auto"/>
                <w:sz w:val="32"/>
                <w:szCs w:val="32"/>
                <w:lang w:val="en-US" w:eastAsia="zh-CN"/>
              </w:rPr>
            </w:pPr>
            <w:r>
              <w:rPr>
                <w:b/>
                <w:color w:val="auto"/>
                <w:sz w:val="32"/>
                <w:szCs w:val="32"/>
              </w:rPr>
              <w:t>077</w:t>
            </w:r>
            <w:r>
              <w:rPr>
                <w:rFonts w:hint="eastAsia"/>
                <w:b/>
                <w:color w:val="auto"/>
                <w:sz w:val="32"/>
                <w:szCs w:val="32"/>
                <w:lang w:val="en-US" w:eastAsia="zh-CN"/>
              </w:rPr>
              <w:t>8</w:t>
            </w:r>
            <w:r>
              <w:rPr>
                <w:b/>
                <w:color w:val="auto"/>
                <w:sz w:val="32"/>
                <w:szCs w:val="32"/>
              </w:rPr>
              <w:t>-</w:t>
            </w:r>
            <w:r>
              <w:rPr>
                <w:rFonts w:hint="eastAsia"/>
                <w:b/>
                <w:color w:val="auto"/>
                <w:sz w:val="32"/>
                <w:szCs w:val="32"/>
                <w:lang w:val="en-US" w:eastAsia="zh-CN"/>
              </w:rPr>
              <w:t>7984379</w:t>
            </w:r>
          </w:p>
        </w:tc>
      </w:tr>
    </w:tbl>
    <w:p w14:paraId="4E3654C9">
      <w:pPr>
        <w:tabs>
          <w:tab w:val="left" w:pos="1710"/>
        </w:tabs>
        <w:rPr>
          <w:color w:val="auto"/>
        </w:rPr>
      </w:pPr>
    </w:p>
    <w:p w14:paraId="7D5CBD10">
      <w:pPr>
        <w:rPr>
          <w:color w:val="auto"/>
        </w:rPr>
      </w:pPr>
    </w:p>
    <w:p w14:paraId="0A04569D">
      <w:pPr>
        <w:rPr>
          <w:color w:val="auto"/>
        </w:rPr>
      </w:pPr>
    </w:p>
    <w:p w14:paraId="087EC08C">
      <w:pPr>
        <w:widowControl/>
        <w:jc w:val="left"/>
        <w:rPr>
          <w:rFonts w:hint="eastAsia" w:ascii="宋体" w:hAnsi="宋体" w:cs="宋体"/>
          <w:color w:val="auto"/>
          <w:kern w:val="0"/>
          <w:sz w:val="24"/>
        </w:rPr>
      </w:pPr>
    </w:p>
    <w:p w14:paraId="166DDBD8">
      <w:pPr>
        <w:rPr>
          <w:color w:val="auto"/>
        </w:rPr>
      </w:pPr>
    </w:p>
    <w:p w14:paraId="4312E085">
      <w:pPr>
        <w:rPr>
          <w:color w:val="auto"/>
        </w:rPr>
      </w:pPr>
    </w:p>
    <w:p w14:paraId="5C7AED42">
      <w:pPr>
        <w:rPr>
          <w:color w:val="auto"/>
        </w:rPr>
      </w:pPr>
    </w:p>
    <w:p w14:paraId="77E932FB">
      <w:pPr>
        <w:rPr>
          <w:color w:val="auto"/>
        </w:rPr>
      </w:pPr>
    </w:p>
    <w:p w14:paraId="4FA05E6B">
      <w:pPr>
        <w:rPr>
          <w:color w:val="auto"/>
        </w:rPr>
      </w:pPr>
    </w:p>
    <w:p w14:paraId="15508254">
      <w:pPr>
        <w:rPr>
          <w:color w:val="auto"/>
        </w:rPr>
      </w:pPr>
    </w:p>
    <w:p w14:paraId="53908E5C">
      <w:pPr>
        <w:rPr>
          <w:color w:val="auto"/>
        </w:rPr>
      </w:pPr>
    </w:p>
    <w:p w14:paraId="1F924E4F">
      <w:pPr>
        <w:rPr>
          <w:color w:val="auto"/>
        </w:rPr>
      </w:pPr>
    </w:p>
    <w:p w14:paraId="6BA8A424">
      <w:pPr>
        <w:rPr>
          <w:color w:val="auto"/>
        </w:rPr>
      </w:pPr>
    </w:p>
    <w:p w14:paraId="33D545C8">
      <w:pPr>
        <w:rPr>
          <w:color w:val="auto"/>
        </w:rPr>
      </w:pPr>
    </w:p>
    <w:p w14:paraId="44115DF1">
      <w:pPr>
        <w:rPr>
          <w:color w:val="auto"/>
        </w:rPr>
      </w:pPr>
    </w:p>
    <w:tbl>
      <w:tblPr>
        <w:tblStyle w:val="51"/>
        <w:tblW w:w="0" w:type="auto"/>
        <w:jc w:val="center"/>
        <w:tblLayout w:type="fixed"/>
        <w:tblCellMar>
          <w:top w:w="0" w:type="dxa"/>
          <w:left w:w="108" w:type="dxa"/>
          <w:bottom w:w="0" w:type="dxa"/>
          <w:right w:w="108" w:type="dxa"/>
        </w:tblCellMar>
      </w:tblPr>
      <w:tblGrid>
        <w:gridCol w:w="2707"/>
        <w:gridCol w:w="6"/>
        <w:gridCol w:w="5571"/>
      </w:tblGrid>
      <w:tr w14:paraId="38D754C8">
        <w:tblPrEx>
          <w:tblCellMar>
            <w:top w:w="0" w:type="dxa"/>
            <w:left w:w="108" w:type="dxa"/>
            <w:bottom w:w="0" w:type="dxa"/>
            <w:right w:w="108" w:type="dxa"/>
          </w:tblCellMar>
        </w:tblPrEx>
        <w:trPr>
          <w:trHeight w:val="703" w:hRule="atLeast"/>
          <w:jc w:val="center"/>
        </w:trPr>
        <w:tc>
          <w:tcPr>
            <w:tcW w:w="2707" w:type="dxa"/>
            <w:noWrap w:val="0"/>
            <w:vAlign w:val="center"/>
          </w:tcPr>
          <w:p w14:paraId="74875133">
            <w:pPr>
              <w:autoSpaceDE w:val="0"/>
              <w:autoSpaceDN w:val="0"/>
              <w:adjustRightInd w:val="0"/>
              <w:jc w:val="right"/>
              <w:rPr>
                <w:b/>
                <w:color w:val="auto"/>
                <w:sz w:val="32"/>
                <w:szCs w:val="32"/>
              </w:rPr>
            </w:pPr>
            <w:r>
              <w:rPr>
                <w:b/>
                <w:color w:val="auto"/>
                <w:sz w:val="32"/>
                <w:szCs w:val="32"/>
              </w:rPr>
              <w:t xml:space="preserve">  采购人：</w:t>
            </w:r>
          </w:p>
        </w:tc>
        <w:tc>
          <w:tcPr>
            <w:tcW w:w="5577" w:type="dxa"/>
            <w:gridSpan w:val="2"/>
            <w:noWrap w:val="0"/>
            <w:vAlign w:val="center"/>
          </w:tcPr>
          <w:p w14:paraId="0FD93F01">
            <w:pPr>
              <w:autoSpaceDE w:val="0"/>
              <w:autoSpaceDN w:val="0"/>
              <w:adjustRightInd w:val="0"/>
              <w:jc w:val="left"/>
              <w:rPr>
                <w:b/>
                <w:color w:val="auto"/>
                <w:sz w:val="32"/>
                <w:szCs w:val="32"/>
              </w:rPr>
            </w:pPr>
            <w:r>
              <w:rPr>
                <w:rFonts w:hint="eastAsia"/>
                <w:b/>
                <w:color w:val="auto"/>
                <w:sz w:val="32"/>
                <w:szCs w:val="32"/>
              </w:rPr>
              <w:t>河池市中医医院</w:t>
            </w:r>
          </w:p>
        </w:tc>
      </w:tr>
      <w:tr w14:paraId="05992319">
        <w:tblPrEx>
          <w:tblCellMar>
            <w:top w:w="0" w:type="dxa"/>
            <w:left w:w="108" w:type="dxa"/>
            <w:bottom w:w="0" w:type="dxa"/>
            <w:right w:w="108" w:type="dxa"/>
          </w:tblCellMar>
        </w:tblPrEx>
        <w:trPr>
          <w:trHeight w:val="703" w:hRule="atLeast"/>
          <w:jc w:val="center"/>
        </w:trPr>
        <w:tc>
          <w:tcPr>
            <w:tcW w:w="2713" w:type="dxa"/>
            <w:gridSpan w:val="2"/>
            <w:noWrap w:val="0"/>
            <w:vAlign w:val="top"/>
          </w:tcPr>
          <w:p w14:paraId="193F86D0">
            <w:pPr>
              <w:autoSpaceDE w:val="0"/>
              <w:autoSpaceDN w:val="0"/>
              <w:adjustRightInd w:val="0"/>
              <w:jc w:val="right"/>
              <w:rPr>
                <w:b/>
                <w:sz w:val="32"/>
                <w:szCs w:val="32"/>
              </w:rPr>
            </w:pPr>
            <w:r>
              <w:rPr>
                <w:b/>
                <w:sz w:val="32"/>
                <w:szCs w:val="32"/>
              </w:rPr>
              <w:t>采购代理机构：</w:t>
            </w:r>
          </w:p>
        </w:tc>
        <w:tc>
          <w:tcPr>
            <w:tcW w:w="5571" w:type="dxa"/>
            <w:noWrap w:val="0"/>
            <w:vAlign w:val="top"/>
          </w:tcPr>
          <w:p w14:paraId="366377A4">
            <w:pPr>
              <w:autoSpaceDE w:val="0"/>
              <w:autoSpaceDN w:val="0"/>
              <w:adjustRightInd w:val="0"/>
              <w:rPr>
                <w:b/>
                <w:sz w:val="32"/>
                <w:szCs w:val="32"/>
                <w:u w:val="single"/>
              </w:rPr>
            </w:pPr>
            <w:r>
              <w:rPr>
                <w:b/>
                <w:sz w:val="32"/>
                <w:szCs w:val="32"/>
              </w:rPr>
              <w:t>广西机电设备招标有限公司</w:t>
            </w:r>
          </w:p>
        </w:tc>
      </w:tr>
    </w:tbl>
    <w:p w14:paraId="77C59285">
      <w:pPr>
        <w:rPr>
          <w:color w:val="4472C4"/>
        </w:rPr>
      </w:pPr>
    </w:p>
    <w:p w14:paraId="58FEDD00">
      <w:pPr>
        <w:ind w:firstLine="321" w:firstLineChars="100"/>
        <w:jc w:val="center"/>
        <w:rPr>
          <w:b/>
          <w:color w:val="auto"/>
          <w:sz w:val="32"/>
          <w:szCs w:val="32"/>
        </w:rPr>
        <w:sectPr>
          <w:headerReference r:id="rId4" w:type="first"/>
          <w:footerReference r:id="rId6" w:type="first"/>
          <w:headerReference r:id="rId3" w:type="default"/>
          <w:footerReference r:id="rId5" w:type="default"/>
          <w:pgSz w:w="11906" w:h="16838"/>
          <w:pgMar w:top="1418" w:right="1418" w:bottom="1246" w:left="1418" w:header="851" w:footer="992" w:gutter="0"/>
          <w:pgBorders>
            <w:top w:val="none" w:sz="0" w:space="0"/>
            <w:left w:val="none" w:sz="0" w:space="0"/>
            <w:bottom w:val="none" w:sz="0" w:space="0"/>
            <w:right w:val="none" w:sz="0" w:space="0"/>
          </w:pgBorders>
          <w:pgNumType w:start="0"/>
          <w:cols w:space="720" w:num="1"/>
          <w:titlePg/>
          <w:docGrid w:linePitch="312" w:charSpace="0"/>
        </w:sectPr>
      </w:pPr>
      <w:r>
        <w:rPr>
          <w:b/>
          <w:color w:val="auto"/>
          <w:sz w:val="32"/>
          <w:szCs w:val="32"/>
        </w:rPr>
        <w:t>202</w:t>
      </w:r>
      <w:r>
        <w:rPr>
          <w:rFonts w:hint="eastAsia"/>
          <w:b/>
          <w:color w:val="auto"/>
          <w:sz w:val="32"/>
          <w:szCs w:val="32"/>
          <w:lang w:val="en-US" w:eastAsia="zh-CN"/>
        </w:rPr>
        <w:t>6</w:t>
      </w:r>
      <w:r>
        <w:rPr>
          <w:b/>
          <w:color w:val="auto"/>
          <w:sz w:val="32"/>
          <w:szCs w:val="32"/>
        </w:rPr>
        <w:t>年</w:t>
      </w:r>
      <w:r>
        <w:rPr>
          <w:rFonts w:hint="eastAsia"/>
          <w:b/>
          <w:color w:val="auto"/>
          <w:sz w:val="32"/>
          <w:szCs w:val="32"/>
          <w:lang w:val="en-US" w:eastAsia="zh-CN"/>
        </w:rPr>
        <w:t>8</w:t>
      </w:r>
      <w:r>
        <w:rPr>
          <w:b/>
          <w:color w:val="auto"/>
          <w:sz w:val="32"/>
          <w:szCs w:val="32"/>
        </w:rPr>
        <w:t>月</w:t>
      </w:r>
    </w:p>
    <w:p w14:paraId="5DC41224">
      <w:pPr>
        <w:spacing w:line="360" w:lineRule="auto"/>
        <w:rPr>
          <w:b/>
          <w:sz w:val="24"/>
        </w:rPr>
      </w:pPr>
    </w:p>
    <w:p w14:paraId="20600D61">
      <w:pPr>
        <w:pStyle w:val="26"/>
        <w:snapToGrid w:val="0"/>
        <w:spacing w:before="120" w:after="120" w:line="320" w:lineRule="exact"/>
        <w:jc w:val="center"/>
        <w:outlineLvl w:val="0"/>
        <w:rPr>
          <w:rFonts w:ascii="Times New Roman" w:hAnsi="Times New Roman" w:cs="Times New Roman"/>
          <w:sz w:val="32"/>
          <w:szCs w:val="32"/>
        </w:rPr>
      </w:pPr>
      <w:bookmarkStart w:id="2" w:name="_Toc6931"/>
      <w:bookmarkStart w:id="3" w:name="_Toc10015"/>
      <w:r>
        <w:rPr>
          <w:rFonts w:ascii="Times New Roman" w:hAnsi="Times New Roman" w:cs="Times New Roman"/>
          <w:sz w:val="32"/>
          <w:szCs w:val="32"/>
        </w:rPr>
        <w:t>目    录</w:t>
      </w:r>
      <w:bookmarkEnd w:id="2"/>
      <w:bookmarkEnd w:id="3"/>
    </w:p>
    <w:p w14:paraId="1FFD9957">
      <w:pPr>
        <w:pStyle w:val="33"/>
        <w:tabs>
          <w:tab w:val="right" w:leader="dot" w:pos="9354"/>
          <w:tab w:val="clear" w:pos="8398"/>
        </w:tabs>
      </w:pPr>
      <w:r>
        <w:rPr>
          <w:rFonts w:ascii="Times New Roman" w:hAnsi="Times New Roman"/>
        </w:rPr>
        <w:fldChar w:fldCharType="begin"/>
      </w:r>
      <w:r>
        <w:rPr>
          <w:rStyle w:val="57"/>
          <w:rFonts w:ascii="Times New Roman" w:hAnsi="Times New Roman"/>
          <w:color w:val="auto"/>
        </w:rPr>
        <w:instrText xml:space="preserve"> TOC \o "1-1" \h \z \u </w:instrText>
      </w:r>
      <w:r>
        <w:rPr>
          <w:rFonts w:ascii="Times New Roman" w:hAnsi="Times New Roman"/>
        </w:rPr>
        <w:fldChar w:fldCharType="separate"/>
      </w:r>
      <w:r>
        <w:rPr>
          <w:rFonts w:ascii="Times New Roman" w:hAnsi="Times New Roman"/>
        </w:rPr>
        <w:fldChar w:fldCharType="begin"/>
      </w:r>
      <w:r>
        <w:rPr>
          <w:rFonts w:ascii="Times New Roman" w:hAnsi="Times New Roman"/>
        </w:rPr>
        <w:instrText xml:space="preserve"> HYPERLINK \l _Toc11761 </w:instrText>
      </w:r>
      <w:r>
        <w:rPr>
          <w:rFonts w:ascii="Times New Roman" w:hAnsi="Times New Roman"/>
        </w:rPr>
        <w:fldChar w:fldCharType="separate"/>
      </w:r>
      <w:r>
        <w:rPr>
          <w:rFonts w:ascii="Times New Roman" w:hAnsi="Times New Roman" w:cs="Times New Roman"/>
          <w:szCs w:val="32"/>
        </w:rPr>
        <w:t>第</w:t>
      </w:r>
      <w:r>
        <w:rPr>
          <w:rFonts w:hint="eastAsia" w:ascii="Times New Roman" w:hAnsi="Times New Roman" w:cs="Times New Roman"/>
          <w:szCs w:val="32"/>
        </w:rPr>
        <w:t>一</w:t>
      </w:r>
      <w:r>
        <w:rPr>
          <w:rFonts w:ascii="Times New Roman" w:hAnsi="Times New Roman" w:cs="Times New Roman"/>
          <w:szCs w:val="32"/>
        </w:rPr>
        <w:t xml:space="preserve">章  </w:t>
      </w:r>
      <w:r>
        <w:rPr>
          <w:rFonts w:hint="eastAsia" w:ascii="Times New Roman" w:hAnsi="Times New Roman" w:cs="Times New Roman"/>
          <w:szCs w:val="32"/>
        </w:rPr>
        <w:t>招标公告</w:t>
      </w:r>
      <w:r>
        <w:tab/>
      </w:r>
      <w:r>
        <w:fldChar w:fldCharType="begin"/>
      </w:r>
      <w:r>
        <w:instrText xml:space="preserve"> PAGEREF _Toc11761 \h </w:instrText>
      </w:r>
      <w:r>
        <w:fldChar w:fldCharType="separate"/>
      </w:r>
      <w:r>
        <w:t>1</w:t>
      </w:r>
      <w:r>
        <w:fldChar w:fldCharType="end"/>
      </w:r>
      <w:r>
        <w:rPr>
          <w:rFonts w:ascii="Times New Roman" w:hAnsi="Times New Roman"/>
        </w:rPr>
        <w:fldChar w:fldCharType="end"/>
      </w:r>
    </w:p>
    <w:p w14:paraId="69A1F9A0">
      <w:pPr>
        <w:pStyle w:val="33"/>
        <w:tabs>
          <w:tab w:val="right" w:leader="dot" w:pos="9354"/>
          <w:tab w:val="clear" w:pos="8398"/>
        </w:tabs>
      </w:pPr>
      <w:r>
        <w:rPr>
          <w:rFonts w:ascii="Times New Roman" w:hAnsi="Times New Roman"/>
        </w:rPr>
        <w:fldChar w:fldCharType="begin"/>
      </w:r>
      <w:r>
        <w:rPr>
          <w:rFonts w:ascii="Times New Roman" w:hAnsi="Times New Roman"/>
        </w:rPr>
        <w:instrText xml:space="preserve"> HYPERLINK \l _Toc4574 </w:instrText>
      </w:r>
      <w:r>
        <w:rPr>
          <w:rFonts w:ascii="Times New Roman" w:hAnsi="Times New Roman"/>
        </w:rPr>
        <w:fldChar w:fldCharType="separate"/>
      </w:r>
      <w:r>
        <w:rPr>
          <w:rFonts w:ascii="Times New Roman" w:hAnsi="Times New Roman" w:cs="Times New Roman"/>
          <w:szCs w:val="32"/>
        </w:rPr>
        <w:t>第二章  采购需求</w:t>
      </w:r>
      <w:r>
        <w:tab/>
      </w:r>
      <w:r>
        <w:fldChar w:fldCharType="begin"/>
      </w:r>
      <w:r>
        <w:instrText xml:space="preserve"> PAGEREF _Toc4574 \h </w:instrText>
      </w:r>
      <w:r>
        <w:fldChar w:fldCharType="separate"/>
      </w:r>
      <w:r>
        <w:t>4</w:t>
      </w:r>
      <w:r>
        <w:fldChar w:fldCharType="end"/>
      </w:r>
      <w:r>
        <w:rPr>
          <w:rFonts w:ascii="Times New Roman" w:hAnsi="Times New Roman"/>
        </w:rPr>
        <w:fldChar w:fldCharType="end"/>
      </w:r>
    </w:p>
    <w:p w14:paraId="6D314873">
      <w:pPr>
        <w:pStyle w:val="33"/>
        <w:tabs>
          <w:tab w:val="right" w:leader="dot" w:pos="9354"/>
          <w:tab w:val="clear" w:pos="8398"/>
        </w:tabs>
      </w:pPr>
      <w:r>
        <w:rPr>
          <w:rFonts w:ascii="Times New Roman" w:hAnsi="Times New Roman"/>
        </w:rPr>
        <w:fldChar w:fldCharType="begin"/>
      </w:r>
      <w:r>
        <w:rPr>
          <w:rFonts w:ascii="Times New Roman" w:hAnsi="Times New Roman"/>
        </w:rPr>
        <w:instrText xml:space="preserve"> HYPERLINK \l _Toc3292 </w:instrText>
      </w:r>
      <w:r>
        <w:rPr>
          <w:rFonts w:ascii="Times New Roman" w:hAnsi="Times New Roman"/>
        </w:rPr>
        <w:fldChar w:fldCharType="separate"/>
      </w:r>
      <w:r>
        <w:rPr>
          <w:rFonts w:ascii="Times New Roman" w:hAnsi="Times New Roman" w:cs="Times New Roman"/>
          <w:szCs w:val="32"/>
        </w:rPr>
        <w:t xml:space="preserve">第三章  </w:t>
      </w:r>
      <w:r>
        <w:rPr>
          <w:rFonts w:hint="eastAsia" w:ascii="Times New Roman" w:hAnsi="Times New Roman" w:cs="Times New Roman"/>
          <w:szCs w:val="32"/>
        </w:rPr>
        <w:t>投标人</w:t>
      </w:r>
      <w:r>
        <w:rPr>
          <w:rFonts w:ascii="Times New Roman" w:hAnsi="Times New Roman" w:cs="Times New Roman"/>
          <w:szCs w:val="32"/>
        </w:rPr>
        <w:t>须知</w:t>
      </w:r>
      <w:r>
        <w:tab/>
      </w:r>
      <w:r>
        <w:fldChar w:fldCharType="begin"/>
      </w:r>
      <w:r>
        <w:instrText xml:space="preserve"> PAGEREF _Toc3292 \h </w:instrText>
      </w:r>
      <w:r>
        <w:fldChar w:fldCharType="separate"/>
      </w:r>
      <w:r>
        <w:t>24</w:t>
      </w:r>
      <w:r>
        <w:fldChar w:fldCharType="end"/>
      </w:r>
      <w:r>
        <w:rPr>
          <w:rFonts w:ascii="Times New Roman" w:hAnsi="Times New Roman"/>
        </w:rPr>
        <w:fldChar w:fldCharType="end"/>
      </w:r>
    </w:p>
    <w:p w14:paraId="7D4ED51A">
      <w:pPr>
        <w:pStyle w:val="33"/>
        <w:tabs>
          <w:tab w:val="right" w:leader="dot" w:pos="9354"/>
          <w:tab w:val="clear" w:pos="8398"/>
        </w:tabs>
      </w:pPr>
      <w:r>
        <w:rPr>
          <w:rFonts w:ascii="Times New Roman" w:hAnsi="Times New Roman"/>
        </w:rPr>
        <w:fldChar w:fldCharType="begin"/>
      </w:r>
      <w:r>
        <w:rPr>
          <w:rFonts w:ascii="Times New Roman" w:hAnsi="Times New Roman"/>
        </w:rPr>
        <w:instrText xml:space="preserve"> HYPERLINK \l _Toc14272 </w:instrText>
      </w:r>
      <w:r>
        <w:rPr>
          <w:rFonts w:ascii="Times New Roman" w:hAnsi="Times New Roman"/>
        </w:rPr>
        <w:fldChar w:fldCharType="separate"/>
      </w:r>
      <w:r>
        <w:rPr>
          <w:rFonts w:ascii="Times New Roman" w:hAnsi="Times New Roman" w:cs="Times New Roman"/>
          <w:szCs w:val="32"/>
        </w:rPr>
        <w:t>第四章  评审方法及标准</w:t>
      </w:r>
      <w:r>
        <w:tab/>
      </w:r>
      <w:r>
        <w:fldChar w:fldCharType="begin"/>
      </w:r>
      <w:r>
        <w:instrText xml:space="preserve"> PAGEREF _Toc14272 \h </w:instrText>
      </w:r>
      <w:r>
        <w:fldChar w:fldCharType="separate"/>
      </w:r>
      <w:r>
        <w:t>44</w:t>
      </w:r>
      <w:r>
        <w:fldChar w:fldCharType="end"/>
      </w:r>
      <w:r>
        <w:rPr>
          <w:rFonts w:ascii="Times New Roman" w:hAnsi="Times New Roman"/>
        </w:rPr>
        <w:fldChar w:fldCharType="end"/>
      </w:r>
    </w:p>
    <w:p w14:paraId="5B7F3EB4">
      <w:pPr>
        <w:pStyle w:val="33"/>
        <w:tabs>
          <w:tab w:val="right" w:leader="dot" w:pos="9354"/>
          <w:tab w:val="clear" w:pos="8398"/>
        </w:tabs>
        <w:rPr>
          <w:rFonts w:hint="eastAsia" w:eastAsia="宋体"/>
          <w:lang w:val="en-US" w:eastAsia="zh-CN"/>
        </w:rPr>
      </w:pPr>
      <w:r>
        <w:rPr>
          <w:rFonts w:ascii="Times New Roman" w:hAnsi="Times New Roman"/>
        </w:rPr>
        <w:fldChar w:fldCharType="begin"/>
      </w:r>
      <w:r>
        <w:rPr>
          <w:rFonts w:ascii="Times New Roman" w:hAnsi="Times New Roman"/>
        </w:rPr>
        <w:instrText xml:space="preserve"> HYPERLINK \l _Toc29421 </w:instrText>
      </w:r>
      <w:r>
        <w:rPr>
          <w:rFonts w:ascii="Times New Roman" w:hAnsi="Times New Roman"/>
        </w:rPr>
        <w:fldChar w:fldCharType="separate"/>
      </w:r>
      <w:r>
        <w:rPr>
          <w:rFonts w:ascii="Times New Roman" w:hAnsi="Times New Roman" w:cs="Times New Roman"/>
          <w:szCs w:val="32"/>
        </w:rPr>
        <w:t>第五章  合同主要条款格式</w:t>
      </w:r>
      <w:r>
        <w:tab/>
      </w:r>
      <w:r>
        <w:rPr>
          <w:rFonts w:hint="eastAsia"/>
          <w:lang w:val="en-US" w:eastAsia="zh-CN"/>
        </w:rPr>
        <w:t>4</w:t>
      </w:r>
      <w:r>
        <w:rPr>
          <w:rFonts w:ascii="Times New Roman" w:hAnsi="Times New Roman"/>
        </w:rPr>
        <w:fldChar w:fldCharType="end"/>
      </w:r>
      <w:r>
        <w:rPr>
          <w:rFonts w:hint="eastAsia" w:ascii="Times New Roman" w:hAnsi="Times New Roman"/>
          <w:lang w:val="en-US" w:eastAsia="zh-CN"/>
        </w:rPr>
        <w:t>9</w:t>
      </w:r>
    </w:p>
    <w:p w14:paraId="546B3A49">
      <w:pPr>
        <w:pStyle w:val="33"/>
        <w:tabs>
          <w:tab w:val="right" w:leader="dot" w:pos="9354"/>
          <w:tab w:val="clear" w:pos="8398"/>
        </w:tabs>
      </w:pPr>
      <w:r>
        <w:rPr>
          <w:rFonts w:ascii="Times New Roman" w:hAnsi="Times New Roman"/>
        </w:rPr>
        <w:fldChar w:fldCharType="begin"/>
      </w:r>
      <w:r>
        <w:rPr>
          <w:rFonts w:ascii="Times New Roman" w:hAnsi="Times New Roman"/>
        </w:rPr>
        <w:instrText xml:space="preserve"> HYPERLINK \l _Toc2605 </w:instrText>
      </w:r>
      <w:r>
        <w:rPr>
          <w:rFonts w:ascii="Times New Roman" w:hAnsi="Times New Roman"/>
        </w:rPr>
        <w:fldChar w:fldCharType="separate"/>
      </w:r>
      <w:r>
        <w:rPr>
          <w:rFonts w:ascii="Times New Roman" w:hAnsi="Times New Roman" w:cs="Times New Roman"/>
          <w:szCs w:val="32"/>
        </w:rPr>
        <w:t>第六章  投标文件格式</w:t>
      </w:r>
      <w:r>
        <w:tab/>
      </w:r>
      <w:r>
        <w:fldChar w:fldCharType="begin"/>
      </w:r>
      <w:r>
        <w:instrText xml:space="preserve"> PAGEREF _Toc2605 \h </w:instrText>
      </w:r>
      <w:r>
        <w:fldChar w:fldCharType="separate"/>
      </w:r>
      <w:r>
        <w:t>61</w:t>
      </w:r>
      <w:r>
        <w:fldChar w:fldCharType="end"/>
      </w:r>
      <w:r>
        <w:rPr>
          <w:rFonts w:ascii="Times New Roman" w:hAnsi="Times New Roman"/>
        </w:rPr>
        <w:fldChar w:fldCharType="end"/>
      </w:r>
    </w:p>
    <w:p w14:paraId="12F4C80E">
      <w:pPr>
        <w:pStyle w:val="33"/>
        <w:ind w:firstLine="241"/>
        <w:rPr>
          <w:rFonts w:ascii="Times New Roman" w:hAnsi="Times New Roman"/>
        </w:rPr>
      </w:pPr>
      <w:r>
        <w:rPr>
          <w:rFonts w:ascii="Times New Roman" w:hAnsi="Times New Roman"/>
        </w:rPr>
        <w:fldChar w:fldCharType="end"/>
      </w:r>
    </w:p>
    <w:p w14:paraId="0B71CEC9">
      <w:pPr>
        <w:spacing w:before="120" w:beforeLines="50" w:line="480" w:lineRule="exact"/>
        <w:rPr>
          <w:sz w:val="28"/>
          <w:szCs w:val="28"/>
        </w:rPr>
      </w:pPr>
    </w:p>
    <w:p w14:paraId="515F8FA7">
      <w:pPr>
        <w:spacing w:before="120" w:beforeLines="50" w:line="480" w:lineRule="exact"/>
        <w:rPr>
          <w:sz w:val="30"/>
        </w:rPr>
        <w:sectPr>
          <w:headerReference r:id="rId7" w:type="first"/>
          <w:footerReference r:id="rId8" w:type="first"/>
          <w:pgSz w:w="11906" w:h="16838"/>
          <w:pgMar w:top="1418" w:right="1134" w:bottom="1247" w:left="1418" w:header="851" w:footer="992" w:gutter="0"/>
          <w:pgBorders>
            <w:top w:val="none" w:sz="0" w:space="0"/>
            <w:left w:val="none" w:sz="0" w:space="0"/>
            <w:bottom w:val="none" w:sz="0" w:space="0"/>
            <w:right w:val="none" w:sz="0" w:space="0"/>
          </w:pgBorders>
          <w:pgNumType w:start="0"/>
          <w:cols w:space="720" w:num="1"/>
          <w:docGrid w:linePitch="312" w:charSpace="0"/>
        </w:sectPr>
      </w:pPr>
    </w:p>
    <w:p w14:paraId="6EC1AA30">
      <w:pPr>
        <w:pStyle w:val="26"/>
        <w:snapToGrid w:val="0"/>
        <w:spacing w:before="120" w:after="120" w:line="320" w:lineRule="exact"/>
        <w:jc w:val="center"/>
        <w:outlineLvl w:val="0"/>
        <w:rPr>
          <w:rFonts w:ascii="Times New Roman" w:hAnsi="Times New Roman" w:cs="Times New Roman"/>
          <w:sz w:val="32"/>
          <w:szCs w:val="32"/>
        </w:rPr>
      </w:pPr>
      <w:bookmarkStart w:id="4" w:name="_Toc11761"/>
      <w:bookmarkStart w:id="5" w:name="_Toc254970489"/>
      <w:bookmarkStart w:id="6" w:name="_Toc254970630"/>
      <w:r>
        <w:rPr>
          <w:rFonts w:ascii="Times New Roman" w:hAnsi="Times New Roman" w:cs="Times New Roman"/>
          <w:sz w:val="32"/>
          <w:szCs w:val="32"/>
        </w:rPr>
        <w:t>第</w:t>
      </w:r>
      <w:r>
        <w:rPr>
          <w:rFonts w:hint="eastAsia" w:ascii="Times New Roman" w:hAnsi="Times New Roman" w:cs="Times New Roman"/>
          <w:sz w:val="32"/>
          <w:szCs w:val="32"/>
        </w:rPr>
        <w:t>一</w:t>
      </w:r>
      <w:r>
        <w:rPr>
          <w:rFonts w:ascii="Times New Roman" w:hAnsi="Times New Roman" w:cs="Times New Roman"/>
          <w:sz w:val="32"/>
          <w:szCs w:val="32"/>
        </w:rPr>
        <w:t xml:space="preserve">章  </w:t>
      </w:r>
      <w:r>
        <w:rPr>
          <w:rFonts w:hint="eastAsia" w:ascii="Times New Roman" w:hAnsi="Times New Roman" w:cs="Times New Roman"/>
          <w:sz w:val="32"/>
          <w:szCs w:val="32"/>
        </w:rPr>
        <w:t>招标公告</w:t>
      </w:r>
      <w:bookmarkEnd w:id="4"/>
    </w:p>
    <w:p w14:paraId="16F71566">
      <w:pPr>
        <w:spacing w:line="400" w:lineRule="exact"/>
        <w:jc w:val="center"/>
        <w:rPr>
          <w:color w:val="4472C4"/>
          <w:kern w:val="0"/>
          <w:sz w:val="24"/>
        </w:rPr>
      </w:pPr>
      <w:r>
        <w:rPr>
          <w:kern w:val="0"/>
          <w:sz w:val="24"/>
        </w:rPr>
        <w:t>广西机电设备招标有限公司关于</w:t>
      </w:r>
      <w:bookmarkStart w:id="7" w:name="_Hlk36541082"/>
      <w:r>
        <w:rPr>
          <w:rFonts w:hint="eastAsia"/>
          <w:kern w:val="0"/>
          <w:sz w:val="24"/>
        </w:rPr>
        <w:t>河池市中医医院颅脑手术设备采购</w:t>
      </w:r>
    </w:p>
    <w:p w14:paraId="3BE8AD5B">
      <w:pPr>
        <w:spacing w:line="400" w:lineRule="exact"/>
        <w:jc w:val="center"/>
        <w:rPr>
          <w:color w:val="auto"/>
          <w:kern w:val="0"/>
          <w:sz w:val="24"/>
        </w:rPr>
      </w:pPr>
      <w:r>
        <w:rPr>
          <w:color w:val="auto"/>
          <w:sz w:val="24"/>
        </w:rPr>
        <w:t>(</w:t>
      </w:r>
      <w:r>
        <w:rPr>
          <w:rFonts w:hint="eastAsia"/>
          <w:color w:val="auto"/>
          <w:sz w:val="24"/>
          <w:lang w:val="en-US" w:eastAsia="zh-CN"/>
        </w:rPr>
        <w:t xml:space="preserve"> HCZC2026-G1-990138-JDZB</w:t>
      </w:r>
      <w:r>
        <w:rPr>
          <w:color w:val="auto"/>
          <w:sz w:val="24"/>
        </w:rPr>
        <w:t>)</w:t>
      </w:r>
      <w:bookmarkEnd w:id="7"/>
      <w:r>
        <w:rPr>
          <w:color w:val="auto"/>
          <w:kern w:val="0"/>
          <w:sz w:val="24"/>
        </w:rPr>
        <w:t>公开招标公告</w:t>
      </w:r>
    </w:p>
    <w:p w14:paraId="5171B6F2">
      <w:pPr>
        <w:spacing w:line="312" w:lineRule="auto"/>
        <w:jc w:val="left"/>
        <w:rPr>
          <w:color w:val="auto"/>
          <w:kern w:val="0"/>
          <w:szCs w:val="21"/>
        </w:rPr>
      </w:pPr>
    </w:p>
    <w:p w14:paraId="162BB86F">
      <w:pPr>
        <w:spacing w:line="312" w:lineRule="auto"/>
        <w:ind w:firstLine="420" w:firstLineChars="200"/>
        <w:jc w:val="left"/>
        <w:rPr>
          <w:b/>
          <w:bCs/>
          <w:kern w:val="0"/>
          <w:sz w:val="22"/>
          <w:szCs w:val="22"/>
        </w:rPr>
      </w:pPr>
      <w:bookmarkStart w:id="8" w:name="_Hlk132795121"/>
      <w:r>
        <w:rPr>
          <w:rFonts w:hint="eastAsia"/>
          <w:color w:val="auto"/>
          <w:szCs w:val="21"/>
        </w:rPr>
        <w:t>项目概况：河池市中医医院颅脑手术设备采购的潜在投标人应在</w:t>
      </w:r>
      <w:bookmarkStart w:id="9" w:name="_Hlk160178031"/>
      <w:r>
        <w:rPr>
          <w:rFonts w:hint="eastAsia"/>
          <w:color w:val="auto"/>
          <w:szCs w:val="21"/>
        </w:rPr>
        <w:t>广西政府采购云平台</w:t>
      </w:r>
      <w:bookmarkStart w:id="10" w:name="_Hlk160186238"/>
      <w:r>
        <w:rPr>
          <w:rFonts w:hint="eastAsia"/>
          <w:color w:val="auto"/>
          <w:szCs w:val="21"/>
        </w:rPr>
        <w:t>（</w:t>
      </w:r>
      <w:r>
        <w:rPr>
          <w:color w:val="auto"/>
          <w:szCs w:val="21"/>
        </w:rPr>
        <w:t>https://www.gcy.zfcg.gxzf.gov.cn/</w:t>
      </w:r>
      <w:r>
        <w:rPr>
          <w:rFonts w:hint="eastAsia"/>
          <w:color w:val="auto"/>
          <w:szCs w:val="21"/>
        </w:rPr>
        <w:t>）</w:t>
      </w:r>
      <w:bookmarkEnd w:id="9"/>
      <w:bookmarkEnd w:id="10"/>
      <w:r>
        <w:rPr>
          <w:rFonts w:hint="eastAsia"/>
          <w:color w:val="auto"/>
          <w:szCs w:val="21"/>
        </w:rPr>
        <w:t>获取招标文件，并于</w:t>
      </w:r>
      <w:r>
        <w:rPr>
          <w:rFonts w:hint="eastAsia"/>
          <w:color w:val="auto"/>
          <w:szCs w:val="21"/>
          <w:lang w:val="en-US" w:eastAsia="zh-CN"/>
        </w:rPr>
        <w:t>2026</w:t>
      </w:r>
      <w:r>
        <w:rPr>
          <w:rFonts w:hint="eastAsia"/>
          <w:color w:val="auto"/>
          <w:szCs w:val="21"/>
        </w:rPr>
        <w:t>年</w:t>
      </w:r>
      <w:r>
        <w:rPr>
          <w:rFonts w:hint="eastAsia"/>
          <w:color w:val="auto"/>
          <w:szCs w:val="21"/>
          <w:lang w:val="en-US" w:eastAsia="zh-CN"/>
        </w:rPr>
        <w:t>9</w:t>
      </w:r>
      <w:r>
        <w:rPr>
          <w:rFonts w:hint="eastAsia"/>
          <w:color w:val="auto"/>
          <w:szCs w:val="21"/>
        </w:rPr>
        <w:t>月</w:t>
      </w:r>
      <w:r>
        <w:rPr>
          <w:rFonts w:hint="eastAsia"/>
          <w:color w:val="auto"/>
          <w:szCs w:val="21"/>
          <w:lang w:val="en-US" w:eastAsia="zh-CN"/>
        </w:rPr>
        <w:t>20</w:t>
      </w:r>
      <w:r>
        <w:rPr>
          <w:rFonts w:hint="eastAsia"/>
          <w:color w:val="auto"/>
          <w:szCs w:val="21"/>
        </w:rPr>
        <w:t>日</w:t>
      </w:r>
      <w:r>
        <w:rPr>
          <w:rFonts w:hint="eastAsia"/>
          <w:color w:val="auto"/>
          <w:szCs w:val="21"/>
          <w:lang w:val="en-US" w:eastAsia="zh-CN"/>
        </w:rPr>
        <w:t>10</w:t>
      </w:r>
      <w:r>
        <w:rPr>
          <w:rFonts w:hint="eastAsia"/>
          <w:color w:val="auto"/>
          <w:szCs w:val="21"/>
        </w:rPr>
        <w:t>:</w:t>
      </w:r>
      <w:r>
        <w:rPr>
          <w:rFonts w:hint="eastAsia"/>
          <w:color w:val="auto"/>
          <w:szCs w:val="21"/>
          <w:lang w:val="en-US" w:eastAsia="zh-CN"/>
        </w:rPr>
        <w:t>0</w:t>
      </w:r>
      <w:r>
        <w:rPr>
          <w:rFonts w:hint="eastAsia"/>
          <w:color w:val="auto"/>
          <w:szCs w:val="21"/>
        </w:rPr>
        <w:t>0（北京</w:t>
      </w:r>
      <w:r>
        <w:rPr>
          <w:rFonts w:hint="eastAsia"/>
          <w:szCs w:val="21"/>
        </w:rPr>
        <w:t>时间）前递交投标文件。</w:t>
      </w:r>
    </w:p>
    <w:bookmarkEnd w:id="8"/>
    <w:p w14:paraId="0DE7C428">
      <w:pPr>
        <w:spacing w:line="312" w:lineRule="auto"/>
        <w:ind w:firstLine="442" w:firstLineChars="200"/>
        <w:jc w:val="left"/>
        <w:rPr>
          <w:b/>
          <w:bCs/>
          <w:kern w:val="0"/>
          <w:sz w:val="22"/>
          <w:szCs w:val="22"/>
        </w:rPr>
      </w:pPr>
      <w:r>
        <w:rPr>
          <w:rFonts w:hint="eastAsia"/>
          <w:b/>
          <w:bCs/>
          <w:kern w:val="0"/>
          <w:sz w:val="22"/>
          <w:szCs w:val="22"/>
        </w:rPr>
        <w:t>一、项目基本情况</w:t>
      </w:r>
    </w:p>
    <w:p w14:paraId="32419ADC">
      <w:pPr>
        <w:spacing w:line="312" w:lineRule="auto"/>
        <w:ind w:firstLine="420" w:firstLineChars="200"/>
        <w:jc w:val="left"/>
        <w:rPr>
          <w:color w:val="4472C4"/>
          <w:kern w:val="0"/>
          <w:szCs w:val="21"/>
        </w:rPr>
      </w:pPr>
      <w:r>
        <w:rPr>
          <w:kern w:val="0"/>
          <w:szCs w:val="21"/>
        </w:rPr>
        <w:t>项目编号：</w:t>
      </w:r>
      <w:r>
        <w:rPr>
          <w:rFonts w:hint="eastAsia"/>
          <w:kern w:val="0"/>
          <w:szCs w:val="21"/>
        </w:rPr>
        <w:t>HCZC2026-G1-990138-JDZB</w:t>
      </w:r>
    </w:p>
    <w:p w14:paraId="0084E93F">
      <w:pPr>
        <w:spacing w:line="312" w:lineRule="auto"/>
        <w:ind w:firstLine="420" w:firstLineChars="200"/>
        <w:jc w:val="left"/>
        <w:rPr>
          <w:rFonts w:hint="eastAsia" w:eastAsia="宋体"/>
          <w:color w:val="auto"/>
          <w:kern w:val="0"/>
          <w:szCs w:val="21"/>
          <w:highlight w:val="none"/>
          <w:lang w:val="en-US" w:eastAsia="zh-CN"/>
        </w:rPr>
      </w:pPr>
      <w:r>
        <w:rPr>
          <w:kern w:val="0"/>
          <w:szCs w:val="21"/>
        </w:rPr>
        <w:t>项目名称：</w:t>
      </w:r>
      <w:r>
        <w:rPr>
          <w:rFonts w:hint="eastAsia"/>
          <w:color w:val="auto"/>
          <w:kern w:val="0"/>
          <w:szCs w:val="21"/>
          <w:highlight w:val="none"/>
        </w:rPr>
        <w:t>河池市中医医院颅脑手术设备采购</w:t>
      </w:r>
    </w:p>
    <w:p w14:paraId="2C754ACC">
      <w:pPr>
        <w:spacing w:line="312" w:lineRule="auto"/>
        <w:ind w:firstLine="420" w:firstLineChars="200"/>
        <w:jc w:val="left"/>
        <w:rPr>
          <w:color w:val="auto"/>
          <w:kern w:val="0"/>
          <w:szCs w:val="21"/>
          <w:highlight w:val="none"/>
        </w:rPr>
      </w:pPr>
      <w:bookmarkStart w:id="11" w:name="_Hlk132796123"/>
      <w:r>
        <w:rPr>
          <w:color w:val="auto"/>
          <w:kern w:val="0"/>
          <w:szCs w:val="21"/>
          <w:highlight w:val="none"/>
        </w:rPr>
        <w:t>预算</w:t>
      </w:r>
      <w:r>
        <w:rPr>
          <w:rFonts w:hint="eastAsia"/>
          <w:color w:val="auto"/>
          <w:kern w:val="0"/>
          <w:szCs w:val="21"/>
          <w:highlight w:val="none"/>
        </w:rPr>
        <w:t>总</w:t>
      </w:r>
      <w:r>
        <w:rPr>
          <w:color w:val="auto"/>
          <w:kern w:val="0"/>
          <w:szCs w:val="21"/>
          <w:highlight w:val="none"/>
        </w:rPr>
        <w:t>金额</w:t>
      </w:r>
      <w:r>
        <w:rPr>
          <w:rFonts w:hint="eastAsia"/>
          <w:color w:val="auto"/>
          <w:kern w:val="0"/>
          <w:szCs w:val="21"/>
          <w:highlight w:val="none"/>
        </w:rPr>
        <w:t>（元）</w:t>
      </w:r>
      <w:r>
        <w:rPr>
          <w:color w:val="auto"/>
          <w:kern w:val="0"/>
          <w:szCs w:val="21"/>
          <w:highlight w:val="none"/>
        </w:rPr>
        <w:t>：</w:t>
      </w:r>
      <w:r>
        <w:rPr>
          <w:rFonts w:hint="eastAsia"/>
          <w:color w:val="auto"/>
          <w:kern w:val="0"/>
          <w:szCs w:val="21"/>
          <w:highlight w:val="none"/>
          <w:lang w:val="en-US" w:eastAsia="zh-CN"/>
        </w:rPr>
        <w:t>3300000</w:t>
      </w:r>
      <w:r>
        <w:rPr>
          <w:color w:val="auto"/>
          <w:kern w:val="0"/>
          <w:szCs w:val="21"/>
          <w:highlight w:val="none"/>
        </w:rPr>
        <w:t xml:space="preserve"> </w:t>
      </w:r>
    </w:p>
    <w:bookmarkEnd w:id="11"/>
    <w:p w14:paraId="0BB22A1C">
      <w:pPr>
        <w:spacing w:line="312" w:lineRule="auto"/>
        <w:ind w:firstLine="420" w:firstLineChars="200"/>
        <w:jc w:val="left"/>
        <w:rPr>
          <w:color w:val="auto"/>
          <w:kern w:val="0"/>
          <w:szCs w:val="21"/>
          <w:highlight w:val="none"/>
        </w:rPr>
      </w:pPr>
      <w:r>
        <w:rPr>
          <w:rFonts w:hint="eastAsia"/>
          <w:color w:val="auto"/>
          <w:kern w:val="0"/>
          <w:szCs w:val="21"/>
          <w:highlight w:val="none"/>
        </w:rPr>
        <w:t>采购需求</w:t>
      </w:r>
      <w:r>
        <w:rPr>
          <w:color w:val="auto"/>
          <w:kern w:val="0"/>
          <w:szCs w:val="21"/>
          <w:highlight w:val="none"/>
        </w:rPr>
        <w:t>：</w:t>
      </w:r>
    </w:p>
    <w:p w14:paraId="796E9798">
      <w:pPr>
        <w:spacing w:line="312" w:lineRule="auto"/>
        <w:ind w:firstLine="735" w:firstLineChars="350"/>
        <w:jc w:val="left"/>
        <w:rPr>
          <w:rFonts w:hint="eastAsia" w:eastAsia="宋体"/>
          <w:color w:val="auto"/>
          <w:kern w:val="0"/>
          <w:szCs w:val="21"/>
          <w:highlight w:val="none"/>
          <w:lang w:val="en-US" w:eastAsia="zh-CN"/>
        </w:rPr>
      </w:pPr>
      <w:bookmarkStart w:id="12" w:name="_Hlk77608065"/>
      <w:r>
        <w:rPr>
          <w:rFonts w:hint="eastAsia"/>
          <w:color w:val="auto"/>
          <w:kern w:val="0"/>
          <w:szCs w:val="21"/>
          <w:highlight w:val="none"/>
        </w:rPr>
        <w:t>标项名称：河池市中医医院颅脑手术设备采购</w:t>
      </w:r>
    </w:p>
    <w:p w14:paraId="2284F520">
      <w:pPr>
        <w:spacing w:line="312" w:lineRule="auto"/>
        <w:ind w:firstLine="735" w:firstLineChars="350"/>
        <w:jc w:val="left"/>
        <w:rPr>
          <w:rFonts w:hint="eastAsia" w:eastAsia="宋体"/>
          <w:color w:val="auto"/>
          <w:kern w:val="0"/>
          <w:szCs w:val="21"/>
          <w:highlight w:val="none"/>
          <w:lang w:val="en-US" w:eastAsia="zh-CN"/>
        </w:rPr>
      </w:pPr>
      <w:r>
        <w:rPr>
          <w:rFonts w:hint="eastAsia"/>
          <w:color w:val="auto"/>
          <w:kern w:val="0"/>
          <w:szCs w:val="21"/>
          <w:highlight w:val="none"/>
        </w:rPr>
        <w:t>数量：</w:t>
      </w:r>
      <w:r>
        <w:rPr>
          <w:rFonts w:hint="eastAsia"/>
          <w:color w:val="auto"/>
          <w:kern w:val="0"/>
          <w:szCs w:val="21"/>
          <w:highlight w:val="none"/>
          <w:lang w:val="en-US" w:eastAsia="zh-CN"/>
        </w:rPr>
        <w:t>1</w:t>
      </w:r>
    </w:p>
    <w:p w14:paraId="15BF77D1">
      <w:pPr>
        <w:spacing w:line="312" w:lineRule="auto"/>
        <w:ind w:firstLine="735" w:firstLineChars="350"/>
        <w:jc w:val="left"/>
        <w:rPr>
          <w:rFonts w:hint="default" w:eastAsia="宋体"/>
          <w:color w:val="auto"/>
          <w:kern w:val="0"/>
          <w:szCs w:val="21"/>
          <w:highlight w:val="none"/>
          <w:lang w:val="en-US" w:eastAsia="zh-CN"/>
        </w:rPr>
      </w:pPr>
      <w:r>
        <w:rPr>
          <w:rFonts w:hint="eastAsia"/>
          <w:color w:val="auto"/>
          <w:kern w:val="0"/>
          <w:szCs w:val="21"/>
          <w:highlight w:val="none"/>
        </w:rPr>
        <w:t>预算金额（元）：</w:t>
      </w:r>
      <w:r>
        <w:rPr>
          <w:rFonts w:hint="eastAsia"/>
          <w:color w:val="auto"/>
          <w:kern w:val="0"/>
          <w:szCs w:val="21"/>
          <w:highlight w:val="none"/>
          <w:lang w:val="en-US" w:eastAsia="zh-CN"/>
        </w:rPr>
        <w:t>3300000</w:t>
      </w:r>
    </w:p>
    <w:p w14:paraId="435B8D74">
      <w:pPr>
        <w:spacing w:line="312" w:lineRule="auto"/>
        <w:ind w:firstLine="735" w:firstLineChars="350"/>
        <w:jc w:val="left"/>
        <w:rPr>
          <w:rFonts w:hint="default" w:eastAsia="宋体"/>
          <w:color w:val="auto"/>
          <w:kern w:val="0"/>
          <w:szCs w:val="21"/>
          <w:highlight w:val="none"/>
          <w:lang w:val="en-US" w:eastAsia="zh-CN"/>
        </w:rPr>
      </w:pPr>
      <w:r>
        <w:rPr>
          <w:rFonts w:hint="eastAsia"/>
          <w:color w:val="auto"/>
          <w:kern w:val="0"/>
          <w:szCs w:val="21"/>
          <w:highlight w:val="none"/>
        </w:rPr>
        <w:t>简要规格描述或项目基本概况介绍、用途：满足医院颅脑手术需求，提升手术效率，增强手术安全性。</w:t>
      </w:r>
      <w:r>
        <w:rPr>
          <w:rFonts w:hint="eastAsia"/>
          <w:color w:val="auto"/>
          <w:kern w:val="0"/>
          <w:szCs w:val="21"/>
          <w:highlight w:val="none"/>
          <w:lang w:val="en-US" w:eastAsia="zh-CN"/>
        </w:rPr>
        <w:t>具体详见第二章 采购需求。</w:t>
      </w:r>
    </w:p>
    <w:p w14:paraId="1AF28164">
      <w:pPr>
        <w:spacing w:line="312" w:lineRule="auto"/>
        <w:ind w:firstLine="735" w:firstLineChars="350"/>
        <w:jc w:val="left"/>
        <w:rPr>
          <w:color w:val="auto"/>
          <w:kern w:val="0"/>
          <w:szCs w:val="21"/>
          <w:highlight w:val="none"/>
        </w:rPr>
      </w:pPr>
      <w:bookmarkStart w:id="13" w:name="_Hlk132796150"/>
      <w:r>
        <w:rPr>
          <w:color w:val="auto"/>
          <w:kern w:val="0"/>
          <w:szCs w:val="21"/>
          <w:highlight w:val="none"/>
        </w:rPr>
        <w:t>最高限价</w:t>
      </w:r>
      <w:r>
        <w:rPr>
          <w:rFonts w:hint="eastAsia"/>
          <w:color w:val="auto"/>
          <w:kern w:val="0"/>
          <w:szCs w:val="21"/>
          <w:highlight w:val="none"/>
        </w:rPr>
        <w:t>（如有）</w:t>
      </w:r>
      <w:r>
        <w:rPr>
          <w:color w:val="auto"/>
          <w:kern w:val="0"/>
          <w:szCs w:val="21"/>
          <w:highlight w:val="none"/>
        </w:rPr>
        <w:t>：</w:t>
      </w:r>
      <w:bookmarkEnd w:id="13"/>
      <w:r>
        <w:rPr>
          <w:color w:val="auto"/>
          <w:kern w:val="0"/>
          <w:szCs w:val="21"/>
          <w:highlight w:val="none"/>
        </w:rPr>
        <w:t xml:space="preserve"> </w:t>
      </w:r>
      <w:r>
        <w:rPr>
          <w:rFonts w:hint="eastAsia"/>
          <w:color w:val="auto"/>
          <w:kern w:val="0"/>
          <w:szCs w:val="21"/>
          <w:highlight w:val="none"/>
        </w:rPr>
        <w:t>3300000</w:t>
      </w:r>
    </w:p>
    <w:p w14:paraId="04CCE096">
      <w:pPr>
        <w:spacing w:line="312" w:lineRule="auto"/>
        <w:ind w:firstLine="735" w:firstLineChars="350"/>
        <w:jc w:val="left"/>
        <w:rPr>
          <w:color w:val="auto"/>
          <w:kern w:val="0"/>
          <w:szCs w:val="21"/>
          <w:highlight w:val="none"/>
        </w:rPr>
      </w:pPr>
      <w:r>
        <w:rPr>
          <w:rFonts w:hint="eastAsia"/>
          <w:color w:val="auto"/>
          <w:kern w:val="0"/>
          <w:szCs w:val="21"/>
          <w:highlight w:val="none"/>
        </w:rPr>
        <w:t>合同履约期限：自签订合同之日起30日历天内全部安装调试合格完毕并交付使用。</w:t>
      </w:r>
    </w:p>
    <w:p w14:paraId="3E39CB6C">
      <w:pPr>
        <w:spacing w:line="312" w:lineRule="auto"/>
        <w:ind w:firstLine="735" w:firstLineChars="350"/>
        <w:jc w:val="left"/>
        <w:rPr>
          <w:color w:val="auto"/>
          <w:kern w:val="0"/>
          <w:szCs w:val="21"/>
          <w:highlight w:val="none"/>
        </w:rPr>
      </w:pPr>
      <w:r>
        <w:rPr>
          <w:color w:val="auto"/>
          <w:kern w:val="0"/>
          <w:szCs w:val="21"/>
          <w:highlight w:val="none"/>
        </w:rPr>
        <w:t>本项目</w:t>
      </w:r>
      <w:r>
        <w:rPr>
          <w:rFonts w:hint="eastAsia"/>
          <w:color w:val="auto"/>
          <w:kern w:val="0"/>
          <w:szCs w:val="21"/>
          <w:highlight w:val="none"/>
        </w:rPr>
        <w:t>（</w:t>
      </w:r>
      <w:r>
        <w:rPr>
          <w:rFonts w:hint="eastAsia"/>
          <w:color w:val="auto"/>
          <w:szCs w:val="21"/>
          <w:highlight w:val="none"/>
        </w:rPr>
        <w:t>否</w:t>
      </w:r>
      <w:r>
        <w:rPr>
          <w:rFonts w:hint="eastAsia"/>
          <w:color w:val="auto"/>
          <w:kern w:val="0"/>
          <w:szCs w:val="21"/>
          <w:highlight w:val="none"/>
        </w:rPr>
        <w:t>）接受</w:t>
      </w:r>
      <w:r>
        <w:rPr>
          <w:color w:val="auto"/>
          <w:kern w:val="0"/>
          <w:szCs w:val="21"/>
          <w:highlight w:val="none"/>
        </w:rPr>
        <w:t>联合体投标。</w:t>
      </w:r>
    </w:p>
    <w:p w14:paraId="491CF50F">
      <w:pPr>
        <w:spacing w:line="312" w:lineRule="auto"/>
        <w:ind w:firstLine="735" w:firstLineChars="350"/>
        <w:jc w:val="left"/>
        <w:rPr>
          <w:color w:val="auto"/>
          <w:kern w:val="0"/>
          <w:szCs w:val="21"/>
          <w:highlight w:val="none"/>
        </w:rPr>
      </w:pPr>
      <w:r>
        <w:rPr>
          <w:rFonts w:hint="eastAsia"/>
          <w:color w:val="auto"/>
          <w:kern w:val="0"/>
          <w:szCs w:val="21"/>
          <w:highlight w:val="none"/>
        </w:rPr>
        <w:t>备注：</w:t>
      </w:r>
    </w:p>
    <w:bookmarkEnd w:id="12"/>
    <w:p w14:paraId="03EFA029">
      <w:pPr>
        <w:spacing w:line="312" w:lineRule="auto"/>
        <w:ind w:firstLine="442" w:firstLineChars="200"/>
        <w:jc w:val="left"/>
        <w:rPr>
          <w:b/>
          <w:bCs/>
          <w:color w:val="auto"/>
          <w:kern w:val="0"/>
          <w:sz w:val="22"/>
          <w:szCs w:val="22"/>
          <w:highlight w:val="none"/>
        </w:rPr>
      </w:pPr>
      <w:r>
        <w:rPr>
          <w:rFonts w:hint="eastAsia"/>
          <w:b/>
          <w:bCs/>
          <w:color w:val="auto"/>
          <w:kern w:val="0"/>
          <w:sz w:val="22"/>
          <w:szCs w:val="22"/>
          <w:highlight w:val="none"/>
        </w:rPr>
        <w:t>二、申请人的资格要求</w:t>
      </w:r>
    </w:p>
    <w:p w14:paraId="29B05E1A">
      <w:pPr>
        <w:spacing w:line="312" w:lineRule="auto"/>
        <w:ind w:firstLine="420" w:firstLineChars="200"/>
        <w:jc w:val="left"/>
        <w:rPr>
          <w:color w:val="auto"/>
          <w:szCs w:val="21"/>
          <w:highlight w:val="none"/>
        </w:rPr>
      </w:pPr>
      <w:r>
        <w:rPr>
          <w:color w:val="auto"/>
          <w:kern w:val="0"/>
          <w:szCs w:val="21"/>
          <w:highlight w:val="none"/>
        </w:rPr>
        <w:t>1</w:t>
      </w:r>
      <w:r>
        <w:rPr>
          <w:rFonts w:hint="eastAsia"/>
          <w:color w:val="auto"/>
          <w:kern w:val="0"/>
          <w:szCs w:val="21"/>
          <w:highlight w:val="none"/>
        </w:rPr>
        <w:t>.满足</w:t>
      </w:r>
      <w:r>
        <w:rPr>
          <w:color w:val="auto"/>
          <w:kern w:val="0"/>
          <w:szCs w:val="21"/>
          <w:highlight w:val="none"/>
        </w:rPr>
        <w:t>《中华人民共和国政府采购法》第二十二条规定；</w:t>
      </w:r>
      <w:r>
        <w:rPr>
          <w:color w:val="auto"/>
          <w:szCs w:val="21"/>
          <w:highlight w:val="none"/>
        </w:rPr>
        <w:t xml:space="preserve"> </w:t>
      </w:r>
    </w:p>
    <w:p w14:paraId="330B4DED">
      <w:pPr>
        <w:spacing w:line="312" w:lineRule="auto"/>
        <w:ind w:firstLine="420" w:firstLineChars="200"/>
        <w:jc w:val="left"/>
        <w:rPr>
          <w:rFonts w:hint="eastAsia" w:eastAsia="宋体"/>
          <w:strike/>
          <w:color w:val="0000FF"/>
          <w:kern w:val="0"/>
          <w:szCs w:val="21"/>
          <w:lang w:eastAsia="zh-CN"/>
        </w:rPr>
      </w:pPr>
      <w:r>
        <w:rPr>
          <w:rFonts w:hint="eastAsia"/>
          <w:color w:val="auto"/>
          <w:szCs w:val="21"/>
          <w:highlight w:val="none"/>
        </w:rPr>
        <w:t>2.落实政府采购政策需满足的资格要求：</w:t>
      </w:r>
      <w:bookmarkStart w:id="14" w:name="_Hlk132732708"/>
      <w:r>
        <w:rPr>
          <w:rFonts w:hint="eastAsia" w:ascii="宋体" w:hAnsi="宋体" w:cs="宋体"/>
          <w:color w:val="auto"/>
          <w:szCs w:val="21"/>
          <w:highlight w:val="none"/>
        </w:rPr>
        <w:t>本</w:t>
      </w:r>
      <w:r>
        <w:rPr>
          <w:rFonts w:hint="eastAsia" w:ascii="宋体" w:hAnsi="宋体" w:cs="宋体"/>
          <w:color w:val="auto"/>
          <w:szCs w:val="21"/>
          <w:highlight w:val="none"/>
          <w:lang w:eastAsia="zh-CN"/>
        </w:rPr>
        <w:t>项目</w:t>
      </w:r>
      <w:r>
        <w:rPr>
          <w:rFonts w:hint="eastAsia" w:ascii="宋体" w:hAnsi="宋体" w:cs="宋体"/>
          <w:color w:val="auto"/>
          <w:szCs w:val="21"/>
          <w:highlight w:val="none"/>
        </w:rPr>
        <w:t>属于专门面向中小</w:t>
      </w:r>
      <w:r>
        <w:rPr>
          <w:rFonts w:hint="eastAsia" w:ascii="宋体" w:hAnsi="宋体" w:cs="宋体"/>
          <w:color w:val="auto"/>
          <w:szCs w:val="21"/>
          <w:highlight w:val="none"/>
          <w:lang w:val="en-US" w:eastAsia="zh-CN"/>
        </w:rPr>
        <w:t>微</w:t>
      </w:r>
      <w:r>
        <w:rPr>
          <w:rFonts w:hint="eastAsia" w:ascii="宋体" w:hAnsi="宋体" w:cs="宋体"/>
          <w:color w:val="auto"/>
          <w:szCs w:val="21"/>
          <w:highlight w:val="none"/>
        </w:rPr>
        <w:t>企业采购的项目，</w:t>
      </w:r>
      <w:r>
        <w:rPr>
          <w:rFonts w:hint="eastAsia"/>
          <w:color w:val="auto"/>
          <w:szCs w:val="21"/>
        </w:rPr>
        <w:t>供应商所提供产品制造商均为中小微企业或残疾人福利企业或监狱企业</w:t>
      </w:r>
      <w:r>
        <w:rPr>
          <w:rFonts w:hint="eastAsia"/>
          <w:color w:val="auto"/>
          <w:szCs w:val="21"/>
          <w:lang w:eastAsia="zh-CN"/>
        </w:rPr>
        <w:t>。</w:t>
      </w:r>
    </w:p>
    <w:bookmarkEnd w:id="14"/>
    <w:p w14:paraId="2949B981">
      <w:pPr>
        <w:spacing w:line="312" w:lineRule="auto"/>
        <w:ind w:firstLine="420" w:firstLineChars="200"/>
        <w:jc w:val="left"/>
        <w:rPr>
          <w:color w:val="auto"/>
          <w:kern w:val="0"/>
          <w:szCs w:val="21"/>
        </w:rPr>
      </w:pPr>
      <w:r>
        <w:rPr>
          <w:color w:val="auto"/>
          <w:kern w:val="0"/>
          <w:szCs w:val="21"/>
        </w:rPr>
        <w:t>3</w:t>
      </w:r>
      <w:r>
        <w:rPr>
          <w:rFonts w:hint="eastAsia"/>
          <w:color w:val="auto"/>
          <w:kern w:val="0"/>
          <w:szCs w:val="21"/>
        </w:rPr>
        <w:t>.本项目的</w:t>
      </w:r>
      <w:r>
        <w:rPr>
          <w:color w:val="auto"/>
          <w:kern w:val="0"/>
          <w:szCs w:val="21"/>
        </w:rPr>
        <w:t>特定资格</w:t>
      </w:r>
      <w:r>
        <w:rPr>
          <w:rFonts w:hint="eastAsia"/>
          <w:color w:val="auto"/>
          <w:kern w:val="0"/>
          <w:szCs w:val="21"/>
        </w:rPr>
        <w:t>要求</w:t>
      </w:r>
      <w:r>
        <w:rPr>
          <w:color w:val="auto"/>
          <w:kern w:val="0"/>
          <w:szCs w:val="21"/>
        </w:rPr>
        <w:t>：</w:t>
      </w:r>
    </w:p>
    <w:p w14:paraId="38C60DC7">
      <w:pPr>
        <w:keepNext w:val="0"/>
        <w:keepLines w:val="0"/>
        <w:pageBreakBefore w:val="0"/>
        <w:widowControl w:val="0"/>
        <w:kinsoku/>
        <w:overflowPunct/>
        <w:topLinePunct w:val="0"/>
        <w:autoSpaceDE/>
        <w:autoSpaceDN/>
        <w:bidi w:val="0"/>
        <w:adjustRightInd/>
        <w:spacing w:line="360" w:lineRule="exact"/>
        <w:ind w:firstLine="420" w:firstLineChars="200"/>
        <w:textAlignment w:val="auto"/>
        <w:rPr>
          <w:strike w:val="0"/>
          <w:dstrike w:val="0"/>
          <w:color w:val="0000FF"/>
          <w:kern w:val="0"/>
          <w:szCs w:val="21"/>
        </w:rPr>
      </w:pPr>
      <w:r>
        <w:rPr>
          <w:color w:val="auto"/>
          <w:kern w:val="0"/>
          <w:szCs w:val="21"/>
        </w:rPr>
        <w:t>（1）资质要求：</w:t>
      </w:r>
      <w:r>
        <w:rPr>
          <w:rFonts w:ascii="宋体" w:hAnsi="宋体" w:eastAsia="宋体" w:cs="宋体"/>
          <w:color w:val="auto"/>
          <w:sz w:val="21"/>
          <w:szCs w:val="21"/>
          <w:highlight w:val="none"/>
        </w:rPr>
        <w:t>依据《医疗器械监督管理条例》（国务院令第739号）</w:t>
      </w:r>
      <w:r>
        <w:rPr>
          <w:rFonts w:hint="eastAsia" w:ascii="宋体" w:hAnsi="宋体" w:eastAsia="宋体" w:cs="宋体"/>
          <w:color w:val="auto"/>
          <w:sz w:val="21"/>
          <w:szCs w:val="21"/>
          <w:highlight w:val="none"/>
          <w:lang w:eastAsia="zh-CN"/>
        </w:rPr>
        <w:t>，</w:t>
      </w:r>
      <w:r>
        <w:rPr>
          <w:rFonts w:hint="eastAsia"/>
          <w:strike w:val="0"/>
          <w:dstrike w:val="0"/>
          <w:color w:val="auto"/>
          <w:kern w:val="0"/>
          <w:szCs w:val="21"/>
        </w:rPr>
        <w:t>投标人须按《医疗器械经营监督管理办法》（国家市场监督管理总局令第54号）医疗器械分类管理要求具有有效的医疗器械经营备案凭证或许可证；如投标产品属第二、三类医疗器械产品的，须按《医疗器械注册与备案管理办法》（国家市场监督管理总局令第47号）同时提供该设备有效的医疗器械注册证；如投标产品属第一类医疗器械产品的，须按《医疗器械注册与备案管理办法》（国家市场监督管理总局令第47号）提供该设备在负责药品监督管理的部门提交备案资料证明材料复印件</w:t>
      </w:r>
      <w:r>
        <w:rPr>
          <w:strike w:val="0"/>
          <w:dstrike w:val="0"/>
          <w:color w:val="auto"/>
          <w:kern w:val="0"/>
          <w:szCs w:val="21"/>
        </w:rPr>
        <w:t>。</w:t>
      </w:r>
    </w:p>
    <w:p w14:paraId="58CFA1AC">
      <w:pPr>
        <w:spacing w:line="312" w:lineRule="auto"/>
        <w:ind w:firstLine="420" w:firstLineChars="200"/>
        <w:jc w:val="left"/>
        <w:rPr>
          <w:color w:val="auto"/>
          <w:kern w:val="0"/>
          <w:szCs w:val="21"/>
        </w:rPr>
      </w:pPr>
      <w:r>
        <w:rPr>
          <w:color w:val="auto"/>
          <w:kern w:val="0"/>
          <w:szCs w:val="21"/>
        </w:rPr>
        <w:t>（2）业绩要求：无。</w:t>
      </w:r>
      <w:bookmarkStart w:id="15" w:name="_Hlk77608117"/>
    </w:p>
    <w:bookmarkEnd w:id="15"/>
    <w:p w14:paraId="6B54F674">
      <w:pPr>
        <w:spacing w:line="312" w:lineRule="auto"/>
        <w:ind w:firstLine="420" w:firstLineChars="200"/>
        <w:jc w:val="left"/>
        <w:rPr>
          <w:color w:val="auto"/>
          <w:kern w:val="0"/>
          <w:szCs w:val="21"/>
        </w:rPr>
      </w:pPr>
      <w:r>
        <w:rPr>
          <w:rFonts w:hint="eastAsia"/>
          <w:color w:val="auto"/>
          <w:kern w:val="0"/>
          <w:szCs w:val="21"/>
        </w:rPr>
        <w:t>（</w:t>
      </w:r>
      <w:r>
        <w:rPr>
          <w:color w:val="auto"/>
          <w:kern w:val="0"/>
          <w:szCs w:val="21"/>
        </w:rPr>
        <w:t>3</w:t>
      </w:r>
      <w:r>
        <w:rPr>
          <w:rFonts w:hint="eastAsia"/>
          <w:color w:val="auto"/>
          <w:kern w:val="0"/>
          <w:szCs w:val="21"/>
        </w:rPr>
        <w:t>）</w:t>
      </w:r>
      <w:r>
        <w:rPr>
          <w:color w:val="auto"/>
          <w:kern w:val="0"/>
          <w:szCs w:val="21"/>
        </w:rPr>
        <w:t>单位负责人为同一人或者存在直接控股、管理关系的不同供应商，不得参加本项目同一合同项下的政府采购活动。为本项目提供整体设计、规范编制或者项目管理、监理、检测等服务的供应商，不得再参加</w:t>
      </w:r>
      <w:r>
        <w:rPr>
          <w:rFonts w:hint="eastAsia"/>
          <w:color w:val="auto"/>
          <w:kern w:val="0"/>
          <w:szCs w:val="21"/>
        </w:rPr>
        <w:t>本</w:t>
      </w:r>
      <w:r>
        <w:rPr>
          <w:color w:val="auto"/>
          <w:kern w:val="0"/>
          <w:szCs w:val="21"/>
        </w:rPr>
        <w:t>项目的采购活动</w:t>
      </w:r>
      <w:r>
        <w:rPr>
          <w:rFonts w:hint="eastAsia"/>
          <w:color w:val="auto"/>
          <w:kern w:val="0"/>
          <w:szCs w:val="21"/>
        </w:rPr>
        <w:t>。</w:t>
      </w:r>
    </w:p>
    <w:p w14:paraId="3CCF5E95">
      <w:pPr>
        <w:spacing w:line="312" w:lineRule="auto"/>
        <w:ind w:firstLine="420" w:firstLineChars="200"/>
        <w:jc w:val="left"/>
        <w:rPr>
          <w:color w:val="auto"/>
          <w:kern w:val="0"/>
          <w:szCs w:val="21"/>
        </w:rPr>
      </w:pPr>
      <w:r>
        <w:rPr>
          <w:rFonts w:hint="eastAsia"/>
          <w:color w:val="auto"/>
          <w:kern w:val="0"/>
          <w:szCs w:val="21"/>
        </w:rPr>
        <w:t>（</w:t>
      </w:r>
      <w:r>
        <w:rPr>
          <w:color w:val="auto"/>
          <w:kern w:val="0"/>
          <w:szCs w:val="21"/>
        </w:rPr>
        <w:t>4</w:t>
      </w:r>
      <w:r>
        <w:rPr>
          <w:rFonts w:hint="eastAsia"/>
          <w:color w:val="auto"/>
          <w:kern w:val="0"/>
          <w:szCs w:val="21"/>
        </w:rPr>
        <w:t>）</w:t>
      </w:r>
      <w:r>
        <w:rPr>
          <w:color w:val="auto"/>
          <w:kern w:val="0"/>
          <w:szCs w:val="21"/>
        </w:rPr>
        <w:t>未被列入失信被执行人、重大税收违法失信主体、政府采购严重违法失信行为记录名单。</w:t>
      </w:r>
    </w:p>
    <w:p w14:paraId="564A9306">
      <w:pPr>
        <w:spacing w:line="312" w:lineRule="auto"/>
        <w:ind w:firstLine="420" w:firstLineChars="200"/>
        <w:jc w:val="left"/>
        <w:rPr>
          <w:color w:val="auto"/>
          <w:kern w:val="0"/>
          <w:szCs w:val="21"/>
        </w:rPr>
      </w:pPr>
      <w:r>
        <w:rPr>
          <w:rFonts w:hint="eastAsia"/>
          <w:color w:val="auto"/>
          <w:kern w:val="0"/>
          <w:szCs w:val="21"/>
        </w:rPr>
        <w:t>（5）本项目不允许分公司参与投标。</w:t>
      </w:r>
    </w:p>
    <w:p w14:paraId="296E6A37">
      <w:pPr>
        <w:spacing w:line="312" w:lineRule="auto"/>
        <w:ind w:firstLine="420" w:firstLineChars="200"/>
        <w:jc w:val="left"/>
        <w:rPr>
          <w:color w:val="auto"/>
          <w:kern w:val="0"/>
          <w:szCs w:val="21"/>
        </w:rPr>
      </w:pPr>
      <w:bookmarkStart w:id="16" w:name="_Hlk132732817"/>
      <w:r>
        <w:rPr>
          <w:rFonts w:hint="eastAsia"/>
          <w:color w:val="auto"/>
          <w:szCs w:val="21"/>
        </w:rPr>
        <w:t>（</w:t>
      </w:r>
      <w:r>
        <w:rPr>
          <w:color w:val="auto"/>
          <w:szCs w:val="21"/>
        </w:rPr>
        <w:t>6</w:t>
      </w:r>
      <w:r>
        <w:rPr>
          <w:rFonts w:hint="eastAsia"/>
          <w:color w:val="auto"/>
          <w:szCs w:val="21"/>
        </w:rPr>
        <w:t>）</w:t>
      </w:r>
      <w:r>
        <w:rPr>
          <w:rFonts w:hint="eastAsia"/>
          <w:color w:val="auto"/>
          <w:kern w:val="0"/>
          <w:szCs w:val="21"/>
        </w:rPr>
        <w:t>本项目不允许分包。</w:t>
      </w:r>
    </w:p>
    <w:p w14:paraId="1024CFF7">
      <w:pPr>
        <w:spacing w:line="312" w:lineRule="auto"/>
        <w:ind w:firstLine="420" w:firstLineChars="200"/>
        <w:jc w:val="left"/>
        <w:rPr>
          <w:color w:val="auto"/>
          <w:szCs w:val="21"/>
        </w:rPr>
      </w:pPr>
      <w:r>
        <w:rPr>
          <w:rFonts w:hint="eastAsia"/>
          <w:color w:val="auto"/>
          <w:kern w:val="0"/>
          <w:szCs w:val="21"/>
        </w:rPr>
        <w:t>（</w:t>
      </w:r>
      <w:r>
        <w:rPr>
          <w:color w:val="auto"/>
          <w:kern w:val="0"/>
          <w:szCs w:val="21"/>
        </w:rPr>
        <w:t>7</w:t>
      </w:r>
      <w:r>
        <w:rPr>
          <w:rFonts w:hint="eastAsia"/>
          <w:color w:val="auto"/>
          <w:kern w:val="0"/>
          <w:szCs w:val="21"/>
        </w:rPr>
        <w:t>）</w:t>
      </w:r>
      <w:r>
        <w:rPr>
          <w:color w:val="auto"/>
          <w:kern w:val="0"/>
          <w:szCs w:val="21"/>
        </w:rPr>
        <w:t>本项目不接受联合体投标。</w:t>
      </w:r>
    </w:p>
    <w:bookmarkEnd w:id="16"/>
    <w:p w14:paraId="64CC77AF">
      <w:pPr>
        <w:spacing w:line="312" w:lineRule="auto"/>
        <w:ind w:firstLine="420" w:firstLineChars="200"/>
        <w:jc w:val="left"/>
        <w:rPr>
          <w:kern w:val="0"/>
          <w:szCs w:val="21"/>
        </w:rPr>
      </w:pPr>
      <w:r>
        <w:rPr>
          <w:rFonts w:hint="eastAsia"/>
          <w:kern w:val="0"/>
          <w:szCs w:val="21"/>
        </w:rPr>
        <w:t>（</w:t>
      </w:r>
      <w:r>
        <w:rPr>
          <w:kern w:val="0"/>
          <w:szCs w:val="21"/>
        </w:rPr>
        <w:t>8</w:t>
      </w:r>
      <w:r>
        <w:rPr>
          <w:rFonts w:hint="eastAsia"/>
          <w:kern w:val="0"/>
          <w:szCs w:val="21"/>
        </w:rPr>
        <w:t>）</w:t>
      </w:r>
      <w:r>
        <w:rPr>
          <w:kern w:val="0"/>
          <w:szCs w:val="21"/>
        </w:rPr>
        <w:t>按照招标公告规定获得招标文件。</w:t>
      </w:r>
    </w:p>
    <w:p w14:paraId="366B822C">
      <w:pPr>
        <w:spacing w:line="312" w:lineRule="auto"/>
        <w:ind w:firstLine="442" w:firstLineChars="200"/>
        <w:jc w:val="left"/>
        <w:rPr>
          <w:b/>
          <w:bCs/>
          <w:kern w:val="0"/>
          <w:sz w:val="22"/>
          <w:szCs w:val="22"/>
        </w:rPr>
      </w:pPr>
      <w:r>
        <w:rPr>
          <w:rFonts w:hint="eastAsia"/>
          <w:b/>
          <w:bCs/>
          <w:kern w:val="0"/>
          <w:sz w:val="22"/>
          <w:szCs w:val="22"/>
        </w:rPr>
        <w:t>三、获取招标文件</w:t>
      </w:r>
    </w:p>
    <w:p w14:paraId="6A14E108">
      <w:pPr>
        <w:spacing w:line="312" w:lineRule="auto"/>
        <w:ind w:firstLine="420" w:firstLineChars="200"/>
        <w:jc w:val="left"/>
        <w:rPr>
          <w:color w:val="auto"/>
        </w:rPr>
      </w:pPr>
      <w:bookmarkStart w:id="17" w:name="_Hlk19048251"/>
      <w:r>
        <w:rPr>
          <w:rFonts w:hint="eastAsia"/>
        </w:rPr>
        <w:t>时间</w:t>
      </w:r>
      <w:r>
        <w:rPr>
          <w:rFonts w:hint="eastAsia"/>
          <w:color w:val="auto"/>
        </w:rPr>
        <w:t>：</w:t>
      </w:r>
      <w:r>
        <w:rPr>
          <w:color w:val="auto"/>
          <w:u w:val="single"/>
        </w:rPr>
        <w:t>20</w:t>
      </w:r>
      <w:r>
        <w:rPr>
          <w:rFonts w:hint="eastAsia"/>
          <w:color w:val="auto"/>
          <w:u w:val="single"/>
          <w:lang w:val="en-US" w:eastAsia="zh-CN"/>
        </w:rPr>
        <w:t>26</w:t>
      </w:r>
      <w:r>
        <w:rPr>
          <w:rFonts w:hint="eastAsia"/>
          <w:color w:val="auto"/>
          <w:u w:val="single"/>
        </w:rPr>
        <w:t>年</w:t>
      </w:r>
      <w:r>
        <w:rPr>
          <w:rFonts w:hint="eastAsia"/>
          <w:color w:val="auto"/>
          <w:u w:val="single"/>
          <w:lang w:val="en-US" w:eastAsia="zh-CN"/>
        </w:rPr>
        <w:t>8</w:t>
      </w:r>
      <w:r>
        <w:rPr>
          <w:rFonts w:hint="eastAsia"/>
          <w:color w:val="auto"/>
          <w:u w:val="single"/>
        </w:rPr>
        <w:t>月</w:t>
      </w:r>
      <w:r>
        <w:rPr>
          <w:rFonts w:hint="eastAsia"/>
          <w:color w:val="auto"/>
          <w:u w:val="single"/>
          <w:lang w:val="en-US" w:eastAsia="zh-CN"/>
        </w:rPr>
        <w:t>28</w:t>
      </w:r>
      <w:r>
        <w:rPr>
          <w:rFonts w:hint="eastAsia"/>
          <w:color w:val="auto"/>
          <w:u w:val="single"/>
        </w:rPr>
        <w:t>日起至</w:t>
      </w:r>
      <w:r>
        <w:rPr>
          <w:rFonts w:hint="eastAsia"/>
          <w:color w:val="auto"/>
          <w:u w:val="single"/>
          <w:lang w:val="en-US" w:eastAsia="zh-CN"/>
        </w:rPr>
        <w:t>投标截止时间止</w:t>
      </w:r>
      <w:bookmarkStart w:id="169" w:name="_GoBack"/>
      <w:bookmarkEnd w:id="169"/>
      <w:r>
        <w:rPr>
          <w:rFonts w:hint="eastAsia"/>
          <w:color w:val="auto"/>
        </w:rPr>
        <w:t>。</w:t>
      </w:r>
    </w:p>
    <w:p w14:paraId="2D816E03">
      <w:pPr>
        <w:spacing w:line="312" w:lineRule="auto"/>
        <w:ind w:firstLine="420" w:firstLineChars="200"/>
        <w:jc w:val="left"/>
        <w:rPr>
          <w:color w:val="auto"/>
          <w:szCs w:val="21"/>
        </w:rPr>
      </w:pPr>
      <w:r>
        <w:rPr>
          <w:rFonts w:hint="eastAsia"/>
          <w:color w:val="auto"/>
        </w:rPr>
        <w:t>地点（网址）：</w:t>
      </w:r>
      <w:bookmarkStart w:id="18" w:name="_Hlk160186293"/>
      <w:r>
        <w:rPr>
          <w:rFonts w:hint="eastAsia" w:ascii="Arial" w:hAnsi="Arial" w:cs="Arial"/>
          <w:color w:val="auto"/>
          <w:kern w:val="0"/>
          <w:szCs w:val="21"/>
        </w:rPr>
        <w:t>广西政府采购云平台（</w:t>
      </w:r>
      <w:r>
        <w:rPr>
          <w:color w:val="auto"/>
        </w:rPr>
        <w:fldChar w:fldCharType="begin"/>
      </w:r>
      <w:r>
        <w:rPr>
          <w:color w:val="auto"/>
        </w:rPr>
        <w:instrText xml:space="preserve"> HYPERLINK "https://www.gcy.zfcg.gxzf.gov.cn/" </w:instrText>
      </w:r>
      <w:r>
        <w:rPr>
          <w:color w:val="auto"/>
        </w:rPr>
        <w:fldChar w:fldCharType="separate"/>
      </w:r>
      <w:r>
        <w:rPr>
          <w:rStyle w:val="57"/>
          <w:rFonts w:hint="eastAsia" w:ascii="Arial" w:hAnsi="Arial" w:cs="Arial"/>
          <w:color w:val="auto"/>
          <w:kern w:val="0"/>
          <w:szCs w:val="21"/>
        </w:rPr>
        <w:t>https://www.gcy.zfcg.gxzf.gov.cn/</w:t>
      </w:r>
      <w:r>
        <w:rPr>
          <w:rStyle w:val="57"/>
          <w:rFonts w:hint="eastAsia" w:ascii="Arial" w:hAnsi="Arial" w:cs="Arial"/>
          <w:color w:val="auto"/>
          <w:kern w:val="0"/>
          <w:szCs w:val="21"/>
        </w:rPr>
        <w:fldChar w:fldCharType="end"/>
      </w:r>
      <w:r>
        <w:rPr>
          <w:rFonts w:hint="eastAsia" w:ascii="Arial" w:hAnsi="Arial" w:cs="Arial"/>
          <w:color w:val="auto"/>
          <w:kern w:val="0"/>
          <w:szCs w:val="21"/>
        </w:rPr>
        <w:t>）</w:t>
      </w:r>
    </w:p>
    <w:bookmarkEnd w:id="18"/>
    <w:p w14:paraId="7A323940">
      <w:pPr>
        <w:spacing w:line="312" w:lineRule="auto"/>
        <w:ind w:firstLine="420" w:firstLineChars="200"/>
        <w:jc w:val="left"/>
        <w:rPr>
          <w:color w:val="auto"/>
          <w:szCs w:val="21"/>
        </w:rPr>
      </w:pPr>
      <w:r>
        <w:rPr>
          <w:rFonts w:hint="eastAsia"/>
          <w:color w:val="auto"/>
          <w:szCs w:val="21"/>
        </w:rPr>
        <w:t>方式：</w:t>
      </w:r>
      <w:bookmarkStart w:id="19" w:name="_Hlk132732941"/>
      <w:r>
        <w:rPr>
          <w:rFonts w:hint="eastAsia"/>
          <w:color w:val="auto"/>
          <w:szCs w:val="21"/>
        </w:rPr>
        <w:t>供应商登录广西政府采购云平台在线申请获取采购文件（进入“项目采购”应用，在获取采购文件菜单中选择项目，申请获取采购文件）</w:t>
      </w:r>
    </w:p>
    <w:bookmarkEnd w:id="19"/>
    <w:p w14:paraId="3DD11E27">
      <w:pPr>
        <w:spacing w:line="312" w:lineRule="auto"/>
        <w:ind w:firstLine="420" w:firstLineChars="200"/>
        <w:jc w:val="left"/>
        <w:rPr>
          <w:color w:val="auto"/>
        </w:rPr>
      </w:pPr>
      <w:r>
        <w:rPr>
          <w:rFonts w:hint="eastAsia"/>
          <w:color w:val="auto"/>
        </w:rPr>
        <w:t>售价（元）：</w:t>
      </w:r>
      <w:r>
        <w:rPr>
          <w:color w:val="auto"/>
        </w:rPr>
        <w:t>0</w:t>
      </w:r>
    </w:p>
    <w:bookmarkEnd w:id="17"/>
    <w:p w14:paraId="6BDD6341">
      <w:pPr>
        <w:spacing w:line="312" w:lineRule="auto"/>
        <w:ind w:firstLine="442" w:firstLineChars="200"/>
        <w:jc w:val="left"/>
        <w:rPr>
          <w:b/>
          <w:bCs/>
          <w:color w:val="auto"/>
          <w:kern w:val="0"/>
          <w:sz w:val="22"/>
          <w:szCs w:val="22"/>
        </w:rPr>
      </w:pPr>
      <w:r>
        <w:rPr>
          <w:rFonts w:hint="eastAsia"/>
          <w:b/>
          <w:bCs/>
          <w:color w:val="auto"/>
          <w:kern w:val="0"/>
          <w:sz w:val="22"/>
          <w:szCs w:val="22"/>
        </w:rPr>
        <w:t>四、提交投标文件截止时间、开标时间和地点</w:t>
      </w:r>
    </w:p>
    <w:p w14:paraId="0E71AC7D">
      <w:pPr>
        <w:spacing w:line="312" w:lineRule="auto"/>
        <w:ind w:firstLine="420" w:firstLineChars="200"/>
        <w:jc w:val="left"/>
        <w:rPr>
          <w:color w:val="auto"/>
          <w:kern w:val="0"/>
          <w:szCs w:val="21"/>
        </w:rPr>
      </w:pPr>
      <w:r>
        <w:rPr>
          <w:rFonts w:hint="eastAsia"/>
          <w:color w:val="auto"/>
          <w:kern w:val="0"/>
          <w:szCs w:val="21"/>
        </w:rPr>
        <w:t>提交投标文件截止时间：</w:t>
      </w:r>
      <w:bookmarkStart w:id="20" w:name="_Hlk88997050"/>
      <w:r>
        <w:rPr>
          <w:color w:val="auto"/>
          <w:kern w:val="0"/>
          <w:szCs w:val="21"/>
          <w:u w:val="single"/>
        </w:rPr>
        <w:t>20</w:t>
      </w:r>
      <w:r>
        <w:rPr>
          <w:rFonts w:hint="eastAsia"/>
          <w:color w:val="auto"/>
          <w:kern w:val="0"/>
          <w:szCs w:val="21"/>
          <w:u w:val="single"/>
          <w:lang w:val="en-US" w:eastAsia="zh-CN"/>
        </w:rPr>
        <w:t>26</w:t>
      </w:r>
      <w:r>
        <w:rPr>
          <w:color w:val="auto"/>
          <w:kern w:val="0"/>
          <w:szCs w:val="21"/>
          <w:u w:val="single"/>
        </w:rPr>
        <w:t>年</w:t>
      </w:r>
      <w:r>
        <w:rPr>
          <w:rFonts w:hint="eastAsia"/>
          <w:color w:val="auto"/>
          <w:kern w:val="0"/>
          <w:szCs w:val="21"/>
          <w:u w:val="single"/>
          <w:lang w:val="en-US" w:eastAsia="zh-CN"/>
        </w:rPr>
        <w:t>9</w:t>
      </w:r>
      <w:r>
        <w:rPr>
          <w:color w:val="auto"/>
          <w:kern w:val="0"/>
          <w:szCs w:val="21"/>
          <w:u w:val="single"/>
        </w:rPr>
        <w:t>月</w:t>
      </w:r>
      <w:r>
        <w:rPr>
          <w:rFonts w:hint="eastAsia"/>
          <w:color w:val="auto"/>
          <w:kern w:val="0"/>
          <w:szCs w:val="21"/>
          <w:u w:val="single"/>
          <w:lang w:val="en-US" w:eastAsia="zh-CN"/>
        </w:rPr>
        <w:t>20</w:t>
      </w:r>
      <w:r>
        <w:rPr>
          <w:color w:val="auto"/>
          <w:kern w:val="0"/>
          <w:szCs w:val="21"/>
          <w:u w:val="single"/>
        </w:rPr>
        <w:t>日</w:t>
      </w:r>
      <w:bookmarkEnd w:id="20"/>
      <w:r>
        <w:rPr>
          <w:rFonts w:hint="eastAsia"/>
          <w:color w:val="auto"/>
          <w:kern w:val="0"/>
          <w:szCs w:val="21"/>
          <w:u w:val="single"/>
        </w:rPr>
        <w:t>10:00</w:t>
      </w:r>
      <w:r>
        <w:rPr>
          <w:rFonts w:hint="eastAsia"/>
          <w:color w:val="auto"/>
          <w:kern w:val="0"/>
          <w:szCs w:val="21"/>
        </w:rPr>
        <w:t>（北京时间）</w:t>
      </w:r>
    </w:p>
    <w:p w14:paraId="25B57A24">
      <w:pPr>
        <w:spacing w:line="312" w:lineRule="auto"/>
        <w:ind w:firstLine="420" w:firstLineChars="200"/>
        <w:jc w:val="left"/>
        <w:rPr>
          <w:color w:val="auto"/>
          <w:kern w:val="0"/>
          <w:szCs w:val="21"/>
        </w:rPr>
      </w:pPr>
      <w:r>
        <w:rPr>
          <w:rFonts w:hint="eastAsia"/>
          <w:color w:val="auto"/>
          <w:kern w:val="0"/>
          <w:szCs w:val="21"/>
        </w:rPr>
        <w:t>投标地点（网址）：</w:t>
      </w:r>
      <w:bookmarkStart w:id="21" w:name="_Hlk88997081"/>
      <w:r>
        <w:rPr>
          <w:rFonts w:hint="eastAsia"/>
          <w:color w:val="auto"/>
          <w:szCs w:val="21"/>
        </w:rPr>
        <w:t>本项目为全流程电子化项目，没有现场递交投标文件及现场开标环节，通过广西政府采购云平台</w:t>
      </w:r>
      <w:bookmarkStart w:id="22" w:name="_Hlk160186485"/>
      <w:r>
        <w:rPr>
          <w:rFonts w:hint="eastAsia"/>
          <w:color w:val="auto"/>
          <w:szCs w:val="21"/>
        </w:rPr>
        <w:t>（https://www.gcy.zfcg.gxzf.gov.cn/）</w:t>
      </w:r>
      <w:bookmarkEnd w:id="22"/>
      <w:r>
        <w:rPr>
          <w:rFonts w:hint="eastAsia"/>
          <w:color w:val="auto"/>
          <w:szCs w:val="21"/>
        </w:rPr>
        <w:t>实行在线电子投标，供应商应先安装</w:t>
      </w:r>
      <w:bookmarkStart w:id="23" w:name="_Hlk160186504"/>
      <w:r>
        <w:rPr>
          <w:rFonts w:hint="eastAsia"/>
          <w:color w:val="auto"/>
          <w:szCs w:val="21"/>
        </w:rPr>
        <w:t>广西政府采购云平台新版客户端（请自行前往广西政府采购网-办事服务-下载专区进行下载）</w:t>
      </w:r>
      <w:bookmarkEnd w:id="23"/>
      <w:r>
        <w:rPr>
          <w:rFonts w:hint="eastAsia"/>
          <w:color w:val="auto"/>
          <w:szCs w:val="21"/>
        </w:rPr>
        <w:t>，并按照本项目招标文件和广西政府采购云平台的要求使用C</w:t>
      </w:r>
      <w:r>
        <w:rPr>
          <w:color w:val="auto"/>
          <w:szCs w:val="21"/>
        </w:rPr>
        <w:t>A</w:t>
      </w:r>
      <w:r>
        <w:rPr>
          <w:rFonts w:hint="eastAsia"/>
          <w:color w:val="auto"/>
          <w:szCs w:val="21"/>
        </w:rPr>
        <w:t xml:space="preserve">认证编制、加密投标文件后在投标截止时间前上传至 广西政府采购云平台，供应商在广西政府采购云平台提交电子版投标文件时，请填写参加远程开标活动经办人联系方式。 </w:t>
      </w:r>
    </w:p>
    <w:bookmarkEnd w:id="21"/>
    <w:p w14:paraId="112E9ED6">
      <w:pPr>
        <w:spacing w:line="312" w:lineRule="auto"/>
        <w:ind w:firstLine="420" w:firstLineChars="200"/>
        <w:jc w:val="left"/>
        <w:rPr>
          <w:color w:val="auto"/>
          <w:kern w:val="0"/>
          <w:szCs w:val="21"/>
        </w:rPr>
      </w:pPr>
      <w:r>
        <w:rPr>
          <w:rFonts w:hint="eastAsia"/>
          <w:color w:val="auto"/>
          <w:kern w:val="0"/>
          <w:szCs w:val="21"/>
        </w:rPr>
        <w:t>开标时间：</w:t>
      </w:r>
      <w:r>
        <w:rPr>
          <w:color w:val="auto"/>
          <w:kern w:val="0"/>
          <w:szCs w:val="21"/>
          <w:u w:val="single"/>
        </w:rPr>
        <w:t>20</w:t>
      </w:r>
      <w:r>
        <w:rPr>
          <w:rFonts w:hint="eastAsia"/>
          <w:color w:val="auto"/>
          <w:kern w:val="0"/>
          <w:szCs w:val="21"/>
          <w:u w:val="single"/>
          <w:lang w:val="en-US" w:eastAsia="zh-CN"/>
        </w:rPr>
        <w:t>26</w:t>
      </w:r>
      <w:r>
        <w:rPr>
          <w:color w:val="auto"/>
          <w:kern w:val="0"/>
          <w:szCs w:val="21"/>
          <w:u w:val="single"/>
        </w:rPr>
        <w:t>年</w:t>
      </w:r>
      <w:r>
        <w:rPr>
          <w:rFonts w:hint="eastAsia"/>
          <w:color w:val="auto"/>
          <w:kern w:val="0"/>
          <w:szCs w:val="21"/>
          <w:u w:val="single"/>
          <w:lang w:val="en-US" w:eastAsia="zh-CN"/>
        </w:rPr>
        <w:t>9</w:t>
      </w:r>
      <w:r>
        <w:rPr>
          <w:color w:val="auto"/>
          <w:kern w:val="0"/>
          <w:szCs w:val="21"/>
          <w:u w:val="single"/>
        </w:rPr>
        <w:t>月</w:t>
      </w:r>
      <w:r>
        <w:rPr>
          <w:rFonts w:hint="eastAsia"/>
          <w:color w:val="auto"/>
          <w:kern w:val="0"/>
          <w:szCs w:val="21"/>
          <w:u w:val="single"/>
          <w:lang w:val="en-US" w:eastAsia="zh-CN"/>
        </w:rPr>
        <w:t>20</w:t>
      </w:r>
      <w:r>
        <w:rPr>
          <w:color w:val="auto"/>
          <w:kern w:val="0"/>
          <w:szCs w:val="21"/>
          <w:u w:val="single"/>
        </w:rPr>
        <w:t>日</w:t>
      </w:r>
      <w:r>
        <w:rPr>
          <w:rFonts w:hint="eastAsia"/>
          <w:color w:val="auto"/>
          <w:kern w:val="0"/>
          <w:szCs w:val="21"/>
          <w:u w:val="single"/>
        </w:rPr>
        <w:t>10:00</w:t>
      </w:r>
      <w:r>
        <w:rPr>
          <w:color w:val="auto"/>
          <w:kern w:val="0"/>
          <w:szCs w:val="21"/>
          <w:u w:val="single"/>
        </w:rPr>
        <w:t xml:space="preserve">   </w:t>
      </w:r>
    </w:p>
    <w:p w14:paraId="6034E219">
      <w:pPr>
        <w:spacing w:line="312" w:lineRule="auto"/>
        <w:ind w:firstLine="420" w:firstLineChars="200"/>
        <w:jc w:val="left"/>
        <w:rPr>
          <w:color w:val="FF0000"/>
          <w:szCs w:val="21"/>
        </w:rPr>
      </w:pPr>
      <w:r>
        <w:rPr>
          <w:rFonts w:hint="eastAsia"/>
          <w:kern w:val="0"/>
          <w:szCs w:val="21"/>
        </w:rPr>
        <w:t>开标地点：</w:t>
      </w:r>
      <w:bookmarkStart w:id="24" w:name="_Hlk88997106"/>
      <w:r>
        <w:rPr>
          <w:rFonts w:hint="eastAsia"/>
          <w:color w:val="auto"/>
          <w:szCs w:val="21"/>
        </w:rPr>
        <w:t>供应商登录广西政府采购云平台电子开标大厅开标。</w:t>
      </w:r>
      <w:bookmarkEnd w:id="24"/>
    </w:p>
    <w:p w14:paraId="33D4E9E1">
      <w:pPr>
        <w:spacing w:line="312" w:lineRule="auto"/>
        <w:ind w:firstLine="442" w:firstLineChars="200"/>
        <w:jc w:val="left"/>
        <w:rPr>
          <w:b/>
          <w:bCs/>
          <w:kern w:val="0"/>
          <w:sz w:val="22"/>
          <w:szCs w:val="22"/>
        </w:rPr>
      </w:pPr>
      <w:r>
        <w:rPr>
          <w:rFonts w:hint="eastAsia"/>
          <w:b/>
          <w:bCs/>
          <w:kern w:val="0"/>
          <w:sz w:val="22"/>
          <w:szCs w:val="22"/>
        </w:rPr>
        <w:t>五、公告期限</w:t>
      </w:r>
    </w:p>
    <w:p w14:paraId="20C8726F">
      <w:pPr>
        <w:spacing w:line="312" w:lineRule="auto"/>
        <w:ind w:firstLine="420" w:firstLineChars="200"/>
        <w:jc w:val="left"/>
        <w:rPr>
          <w:kern w:val="0"/>
          <w:szCs w:val="21"/>
        </w:rPr>
      </w:pPr>
      <w:r>
        <w:rPr>
          <w:rFonts w:hint="eastAsia"/>
          <w:kern w:val="0"/>
          <w:szCs w:val="21"/>
        </w:rPr>
        <w:t>自本公告发布之日起5个工作日。</w:t>
      </w:r>
    </w:p>
    <w:p w14:paraId="30D39E15">
      <w:pPr>
        <w:spacing w:line="312" w:lineRule="auto"/>
        <w:ind w:firstLine="442" w:firstLineChars="200"/>
        <w:jc w:val="left"/>
        <w:rPr>
          <w:b/>
          <w:bCs/>
          <w:kern w:val="0"/>
          <w:sz w:val="22"/>
          <w:szCs w:val="22"/>
        </w:rPr>
      </w:pPr>
      <w:r>
        <w:rPr>
          <w:rFonts w:hint="eastAsia"/>
          <w:b/>
          <w:bCs/>
          <w:kern w:val="0"/>
          <w:sz w:val="22"/>
          <w:szCs w:val="22"/>
        </w:rPr>
        <w:t>六、其他补充事宜</w:t>
      </w:r>
    </w:p>
    <w:p w14:paraId="6A07A8D2">
      <w:pPr>
        <w:spacing w:line="312" w:lineRule="auto"/>
        <w:ind w:firstLine="420" w:firstLineChars="200"/>
        <w:jc w:val="left"/>
        <w:rPr>
          <w:rFonts w:hint="eastAsia" w:eastAsia="宋体"/>
          <w:kern w:val="0"/>
          <w:szCs w:val="21"/>
          <w:lang w:eastAsia="zh-CN"/>
        </w:rPr>
      </w:pPr>
      <w:r>
        <w:rPr>
          <w:rFonts w:hint="eastAsia"/>
          <w:kern w:val="0"/>
          <w:szCs w:val="21"/>
        </w:rPr>
        <w:t>1</w:t>
      </w:r>
      <w:r>
        <w:rPr>
          <w:kern w:val="0"/>
          <w:szCs w:val="21"/>
        </w:rPr>
        <w:t>.</w:t>
      </w:r>
      <w:r>
        <w:rPr>
          <w:rFonts w:hint="eastAsia"/>
          <w:kern w:val="0"/>
          <w:szCs w:val="21"/>
        </w:rPr>
        <w:t>公告发布媒体：广西壮族自治区政府采购网、中国政府采购网</w:t>
      </w:r>
      <w:r>
        <w:rPr>
          <w:rFonts w:hint="eastAsia"/>
          <w:kern w:val="0"/>
          <w:szCs w:val="21"/>
          <w:lang w:eastAsia="zh-CN"/>
        </w:rPr>
        <w:t>、全国公共资源交易平台（广西·河池）</w:t>
      </w:r>
    </w:p>
    <w:p w14:paraId="0F4A3D5E">
      <w:pPr>
        <w:spacing w:line="312" w:lineRule="auto"/>
        <w:ind w:firstLine="420" w:firstLineChars="200"/>
        <w:jc w:val="left"/>
        <w:rPr>
          <w:kern w:val="0"/>
          <w:szCs w:val="21"/>
        </w:rPr>
      </w:pPr>
      <w:r>
        <w:rPr>
          <w:rFonts w:hint="eastAsia"/>
          <w:kern w:val="0"/>
          <w:szCs w:val="21"/>
        </w:rPr>
        <w:t>2</w:t>
      </w:r>
      <w:r>
        <w:rPr>
          <w:kern w:val="0"/>
          <w:szCs w:val="21"/>
        </w:rPr>
        <w:t>.</w:t>
      </w:r>
      <w:bookmarkStart w:id="25" w:name="_Hlk48145640"/>
      <w:r>
        <w:rPr>
          <w:rFonts w:hint="eastAsia"/>
          <w:kern w:val="0"/>
          <w:szCs w:val="21"/>
        </w:rPr>
        <w:t>需落实的政府采购政策：</w:t>
      </w:r>
      <w:bookmarkEnd w:id="25"/>
      <w:r>
        <w:rPr>
          <w:kern w:val="0"/>
          <w:szCs w:val="21"/>
        </w:rPr>
        <w:t>政府采购促进中小企业、监狱企业发展、促进残疾人就业、节能环</w:t>
      </w:r>
      <w:r>
        <w:rPr>
          <w:kern w:val="0"/>
          <w:szCs w:val="21"/>
          <w:highlight w:val="none"/>
        </w:rPr>
        <w:t>保</w:t>
      </w:r>
      <w:r>
        <w:rPr>
          <w:rFonts w:hint="eastAsia"/>
          <w:kern w:val="0"/>
          <w:szCs w:val="21"/>
          <w:highlight w:val="none"/>
          <w:lang w:eastAsia="zh-CN"/>
        </w:rPr>
        <w:t>、对本国产品的支持</w:t>
      </w:r>
      <w:r>
        <w:rPr>
          <w:kern w:val="0"/>
          <w:szCs w:val="21"/>
        </w:rPr>
        <w:t>等有关政策，具体详见招标文件。</w:t>
      </w:r>
    </w:p>
    <w:p w14:paraId="11EB5C24">
      <w:pPr>
        <w:spacing w:line="312" w:lineRule="auto"/>
        <w:ind w:firstLine="420" w:firstLineChars="200"/>
        <w:jc w:val="left"/>
        <w:rPr>
          <w:kern w:val="0"/>
          <w:szCs w:val="21"/>
        </w:rPr>
      </w:pPr>
      <w:r>
        <w:rPr>
          <w:rFonts w:hint="eastAsia" w:cs="宋体"/>
        </w:rPr>
        <w:t>3.本项目采用远程异地评审</w:t>
      </w:r>
      <w:r>
        <w:rPr>
          <w:rFonts w:hint="eastAsia"/>
          <w:kern w:val="0"/>
          <w:szCs w:val="21"/>
        </w:rPr>
        <w:t>。</w:t>
      </w:r>
    </w:p>
    <w:p w14:paraId="6E3A974C">
      <w:pPr>
        <w:spacing w:line="312" w:lineRule="auto"/>
        <w:ind w:firstLine="420" w:firstLineChars="200"/>
        <w:rPr>
          <w:kern w:val="0"/>
          <w:szCs w:val="21"/>
        </w:rPr>
      </w:pPr>
      <w:bookmarkStart w:id="26" w:name="_Hlk88997182"/>
      <w:r>
        <w:rPr>
          <w:kern w:val="0"/>
          <w:szCs w:val="21"/>
        </w:rPr>
        <w:t>4.</w:t>
      </w:r>
      <w:r>
        <w:rPr>
          <w:rFonts w:hint="eastAsia"/>
          <w:kern w:val="0"/>
          <w:szCs w:val="21"/>
        </w:rPr>
        <w:t>注意事项：</w:t>
      </w:r>
    </w:p>
    <w:p w14:paraId="5FD2E3F7">
      <w:pPr>
        <w:spacing w:line="276" w:lineRule="auto"/>
        <w:ind w:firstLine="420" w:firstLineChars="200"/>
        <w:rPr>
          <w:szCs w:val="21"/>
        </w:rPr>
      </w:pPr>
      <w:r>
        <w:rPr>
          <w:rFonts w:hint="eastAsia"/>
          <w:kern w:val="0"/>
          <w:szCs w:val="21"/>
        </w:rPr>
        <w:t>（1）</w:t>
      </w:r>
      <w:r>
        <w:rPr>
          <w:rFonts w:hint="eastAsia"/>
          <w:szCs w:val="21"/>
        </w:rPr>
        <w:t>未进行网上注册并办理数字证书（CA认证）的供应商将无法参与本项目政府采购活动，潜在投标人应当在投标截止时间前，完成广西政府采购云平台上的CA数字证书办理及投标文件的提交。完成CA数字证书办理预计7日左右，建议各供应商抓紧时间办理。</w:t>
      </w:r>
    </w:p>
    <w:p w14:paraId="66F50260">
      <w:pPr>
        <w:spacing w:line="276" w:lineRule="auto"/>
        <w:ind w:firstLine="420" w:firstLineChars="200"/>
        <w:rPr>
          <w:kern w:val="0"/>
          <w:szCs w:val="21"/>
        </w:rPr>
      </w:pPr>
      <w:r>
        <w:rPr>
          <w:rFonts w:hint="eastAsia"/>
          <w:szCs w:val="21"/>
        </w:rPr>
        <w:t>（2）为确保网上操作合法、有效和安全，请供应商确保在电子投标过程中能够对相关数据电文进行加密和使用电子签章，妥善保管CA数字证书并使用有效的CA数字证书参与整个招标活动。</w:t>
      </w:r>
    </w:p>
    <w:p w14:paraId="56573A6A">
      <w:pPr>
        <w:spacing w:line="276" w:lineRule="auto"/>
        <w:ind w:firstLine="420" w:firstLineChars="200"/>
        <w:rPr>
          <w:rFonts w:hint="eastAsia" w:ascii="宋体" w:hAnsi="宋体" w:cs="宋体"/>
          <w:kern w:val="0"/>
          <w:szCs w:val="21"/>
        </w:rPr>
      </w:pPr>
      <w:r>
        <w:rPr>
          <w:rFonts w:hint="eastAsia"/>
          <w:szCs w:val="21"/>
        </w:rPr>
        <w:t>（3）</w:t>
      </w:r>
      <w:bookmarkStart w:id="27" w:name="_Hlk160186592"/>
      <w:r>
        <w:rPr>
          <w:rFonts w:hint="eastAsia"/>
          <w:szCs w:val="21"/>
        </w:rPr>
        <w:t>若</w:t>
      </w:r>
      <w:r>
        <w:rPr>
          <w:rFonts w:hint="eastAsia" w:ascii="宋体" w:hAnsi="宋体" w:cs="宋体"/>
          <w:kern w:val="0"/>
          <w:szCs w:val="21"/>
        </w:rPr>
        <w:t>对项目采购电子交易系统操作有疑问，可登录</w:t>
      </w:r>
      <w:r>
        <w:rPr>
          <w:rFonts w:hint="eastAsia"/>
          <w:szCs w:val="21"/>
        </w:rPr>
        <w:t>广西政府采购云平台（https://www.gcy.zfcg.gxzf.gov.cn/）</w:t>
      </w:r>
      <w:r>
        <w:rPr>
          <w:rFonts w:hint="eastAsia" w:ascii="宋体" w:hAnsi="宋体" w:cs="宋体"/>
          <w:kern w:val="0"/>
          <w:szCs w:val="21"/>
        </w:rPr>
        <w:t>，点击右侧咨询小采或帮助文档或拨打客服热线</w:t>
      </w:r>
      <w:r>
        <w:rPr>
          <w:rFonts w:ascii="宋体" w:hAnsi="宋体" w:cs="宋体"/>
          <w:kern w:val="0"/>
          <w:szCs w:val="21"/>
        </w:rPr>
        <w:t xml:space="preserve">95763 </w:t>
      </w:r>
    </w:p>
    <w:bookmarkEnd w:id="26"/>
    <w:bookmarkEnd w:id="27"/>
    <w:p w14:paraId="251E1252">
      <w:pPr>
        <w:spacing w:line="312" w:lineRule="auto"/>
        <w:ind w:firstLine="442" w:firstLineChars="200"/>
        <w:jc w:val="left"/>
        <w:rPr>
          <w:b/>
          <w:bCs/>
          <w:kern w:val="0"/>
          <w:sz w:val="22"/>
          <w:szCs w:val="22"/>
        </w:rPr>
      </w:pPr>
      <w:r>
        <w:rPr>
          <w:rFonts w:hint="eastAsia"/>
          <w:b/>
          <w:bCs/>
          <w:kern w:val="0"/>
          <w:sz w:val="22"/>
          <w:szCs w:val="22"/>
        </w:rPr>
        <w:t>七、对本次招标提出询问，请按以下方式联系</w:t>
      </w:r>
    </w:p>
    <w:p w14:paraId="16101F02">
      <w:pPr>
        <w:spacing w:line="312" w:lineRule="auto"/>
        <w:ind w:firstLine="420" w:firstLineChars="200"/>
        <w:jc w:val="left"/>
        <w:rPr>
          <w:color w:val="auto"/>
          <w:kern w:val="0"/>
          <w:szCs w:val="21"/>
        </w:rPr>
      </w:pPr>
      <w:bookmarkStart w:id="28" w:name="_Hlk19048373"/>
      <w:r>
        <w:rPr>
          <w:rFonts w:hint="eastAsia"/>
          <w:color w:val="auto"/>
          <w:kern w:val="0"/>
          <w:szCs w:val="21"/>
        </w:rPr>
        <w:t>1.采购人信息</w:t>
      </w:r>
    </w:p>
    <w:p w14:paraId="56D1E8F7">
      <w:pPr>
        <w:spacing w:line="312" w:lineRule="auto"/>
        <w:ind w:firstLine="420" w:firstLineChars="200"/>
        <w:jc w:val="left"/>
        <w:rPr>
          <w:color w:val="auto"/>
          <w:kern w:val="0"/>
          <w:szCs w:val="21"/>
          <w:u w:val="single"/>
        </w:rPr>
      </w:pPr>
      <w:r>
        <w:rPr>
          <w:rFonts w:hint="eastAsia"/>
          <w:color w:val="auto"/>
          <w:kern w:val="0"/>
          <w:szCs w:val="21"/>
        </w:rPr>
        <w:t>名称</w:t>
      </w:r>
      <w:r>
        <w:rPr>
          <w:color w:val="auto"/>
          <w:kern w:val="0"/>
          <w:szCs w:val="21"/>
        </w:rPr>
        <w:t>：</w:t>
      </w:r>
      <w:r>
        <w:rPr>
          <w:rFonts w:hint="eastAsia"/>
          <w:color w:val="auto"/>
          <w:kern w:val="0"/>
          <w:szCs w:val="21"/>
        </w:rPr>
        <w:t>河池市中医医院</w:t>
      </w:r>
    </w:p>
    <w:p w14:paraId="580D60F1">
      <w:pPr>
        <w:spacing w:line="312" w:lineRule="auto"/>
        <w:ind w:firstLine="420" w:firstLineChars="200"/>
        <w:jc w:val="left"/>
        <w:rPr>
          <w:color w:val="auto"/>
          <w:kern w:val="0"/>
          <w:szCs w:val="21"/>
          <w:u w:val="single"/>
        </w:rPr>
      </w:pPr>
      <w:r>
        <w:rPr>
          <w:color w:val="auto"/>
          <w:kern w:val="0"/>
          <w:szCs w:val="21"/>
        </w:rPr>
        <w:t>地址：</w:t>
      </w:r>
      <w:r>
        <w:rPr>
          <w:rFonts w:hint="eastAsia"/>
          <w:color w:val="auto"/>
          <w:kern w:val="0"/>
          <w:szCs w:val="21"/>
        </w:rPr>
        <w:t>河池市金城江区中山路70号</w:t>
      </w:r>
    </w:p>
    <w:p w14:paraId="334FBBF2">
      <w:pPr>
        <w:spacing w:line="312" w:lineRule="auto"/>
        <w:ind w:firstLine="420" w:firstLineChars="200"/>
        <w:jc w:val="left"/>
        <w:rPr>
          <w:color w:val="auto"/>
          <w:kern w:val="0"/>
          <w:szCs w:val="21"/>
        </w:rPr>
      </w:pPr>
      <w:r>
        <w:rPr>
          <w:rFonts w:hint="eastAsia"/>
          <w:color w:val="auto"/>
          <w:kern w:val="0"/>
          <w:szCs w:val="21"/>
        </w:rPr>
        <w:t>项目联系人：廖老师</w:t>
      </w:r>
    </w:p>
    <w:p w14:paraId="0AB5267E">
      <w:pPr>
        <w:spacing w:line="312" w:lineRule="auto"/>
        <w:ind w:firstLine="420" w:firstLineChars="200"/>
        <w:jc w:val="left"/>
        <w:rPr>
          <w:rFonts w:hint="eastAsia"/>
          <w:color w:val="auto"/>
          <w:kern w:val="0"/>
          <w:szCs w:val="21"/>
          <w:lang w:val="en-US" w:eastAsia="zh-CN"/>
        </w:rPr>
      </w:pPr>
      <w:r>
        <w:rPr>
          <w:rFonts w:hint="eastAsia"/>
          <w:color w:val="auto"/>
          <w:kern w:val="0"/>
          <w:szCs w:val="21"/>
        </w:rPr>
        <w:t>项目</w:t>
      </w:r>
      <w:r>
        <w:rPr>
          <w:color w:val="auto"/>
          <w:kern w:val="0"/>
          <w:szCs w:val="21"/>
        </w:rPr>
        <w:t>联系</w:t>
      </w:r>
      <w:r>
        <w:rPr>
          <w:rFonts w:hint="eastAsia"/>
          <w:color w:val="auto"/>
          <w:kern w:val="0"/>
          <w:szCs w:val="21"/>
        </w:rPr>
        <w:t>方式</w:t>
      </w:r>
      <w:r>
        <w:rPr>
          <w:color w:val="auto"/>
          <w:kern w:val="0"/>
          <w:szCs w:val="21"/>
        </w:rPr>
        <w:t>：</w:t>
      </w:r>
      <w:r>
        <w:rPr>
          <w:rFonts w:hint="eastAsia"/>
          <w:color w:val="auto"/>
          <w:kern w:val="0"/>
          <w:szCs w:val="21"/>
        </w:rPr>
        <w:t>0778-</w:t>
      </w:r>
      <w:r>
        <w:rPr>
          <w:rFonts w:hint="eastAsia"/>
          <w:color w:val="auto"/>
          <w:kern w:val="0"/>
          <w:szCs w:val="21"/>
          <w:highlight w:val="none"/>
        </w:rPr>
        <w:t>2560</w:t>
      </w:r>
      <w:r>
        <w:rPr>
          <w:rFonts w:hint="eastAsia"/>
          <w:color w:val="auto"/>
          <w:kern w:val="0"/>
          <w:szCs w:val="21"/>
          <w:highlight w:val="none"/>
          <w:lang w:val="en-US" w:eastAsia="zh-CN"/>
        </w:rPr>
        <w:t>205</w:t>
      </w:r>
    </w:p>
    <w:p w14:paraId="2B83F829">
      <w:pPr>
        <w:spacing w:line="312" w:lineRule="auto"/>
        <w:ind w:firstLine="420" w:firstLineChars="200"/>
        <w:jc w:val="left"/>
        <w:rPr>
          <w:color w:val="auto"/>
          <w:kern w:val="0"/>
          <w:szCs w:val="21"/>
        </w:rPr>
      </w:pPr>
      <w:r>
        <w:rPr>
          <w:rFonts w:hint="eastAsia"/>
          <w:color w:val="auto"/>
          <w:kern w:val="0"/>
          <w:szCs w:val="21"/>
        </w:rPr>
        <w:t>2.采购代理机构信息</w:t>
      </w:r>
    </w:p>
    <w:p w14:paraId="4C7A38DC">
      <w:pPr>
        <w:spacing w:line="312" w:lineRule="auto"/>
        <w:ind w:firstLine="420" w:firstLineChars="200"/>
        <w:jc w:val="left"/>
        <w:rPr>
          <w:color w:val="auto"/>
          <w:kern w:val="0"/>
          <w:szCs w:val="21"/>
        </w:rPr>
      </w:pPr>
      <w:r>
        <w:rPr>
          <w:rFonts w:hint="eastAsia"/>
          <w:color w:val="auto"/>
          <w:kern w:val="0"/>
          <w:szCs w:val="21"/>
        </w:rPr>
        <w:t>名称</w:t>
      </w:r>
      <w:r>
        <w:rPr>
          <w:color w:val="auto"/>
          <w:kern w:val="0"/>
          <w:szCs w:val="21"/>
        </w:rPr>
        <w:t>：广西机电设备招标有限公司</w:t>
      </w:r>
    </w:p>
    <w:p w14:paraId="06683EC9">
      <w:pPr>
        <w:spacing w:line="312" w:lineRule="auto"/>
        <w:ind w:firstLine="420" w:firstLineChars="200"/>
        <w:jc w:val="left"/>
        <w:rPr>
          <w:color w:val="auto"/>
          <w:kern w:val="0"/>
          <w:szCs w:val="21"/>
        </w:rPr>
      </w:pPr>
      <w:r>
        <w:rPr>
          <w:color w:val="auto"/>
          <w:kern w:val="0"/>
          <w:szCs w:val="21"/>
        </w:rPr>
        <w:t>地址：</w:t>
      </w:r>
      <w:r>
        <w:rPr>
          <w:color w:val="auto"/>
        </w:rPr>
        <w:t>广西南宁市金湖路63号金源CBD现代城B座7层701</w:t>
      </w:r>
    </w:p>
    <w:p w14:paraId="21EE285D">
      <w:pPr>
        <w:spacing w:line="312" w:lineRule="auto"/>
        <w:ind w:firstLine="420" w:firstLineChars="200"/>
        <w:jc w:val="left"/>
        <w:rPr>
          <w:color w:val="auto"/>
          <w:kern w:val="0"/>
          <w:szCs w:val="21"/>
          <w:u w:val="single"/>
        </w:rPr>
      </w:pPr>
      <w:r>
        <w:rPr>
          <w:color w:val="auto"/>
          <w:kern w:val="0"/>
          <w:szCs w:val="21"/>
        </w:rPr>
        <w:t>项目联系人：</w:t>
      </w:r>
      <w:r>
        <w:rPr>
          <w:rFonts w:hint="eastAsia"/>
          <w:color w:val="auto"/>
          <w:kern w:val="0"/>
          <w:szCs w:val="21"/>
        </w:rPr>
        <w:t>柳佳惠、李柯睿</w:t>
      </w:r>
    </w:p>
    <w:p w14:paraId="2BA481C4">
      <w:pPr>
        <w:spacing w:line="312" w:lineRule="auto"/>
        <w:ind w:firstLine="420" w:firstLineChars="200"/>
        <w:jc w:val="left"/>
        <w:rPr>
          <w:kern w:val="0"/>
          <w:szCs w:val="21"/>
          <w:u w:val="single"/>
        </w:rPr>
      </w:pPr>
      <w:r>
        <w:rPr>
          <w:rFonts w:hint="eastAsia"/>
          <w:color w:val="auto"/>
          <w:kern w:val="0"/>
          <w:szCs w:val="21"/>
        </w:rPr>
        <w:t>项目联系方式</w:t>
      </w:r>
      <w:r>
        <w:rPr>
          <w:color w:val="auto"/>
          <w:kern w:val="0"/>
          <w:szCs w:val="21"/>
        </w:rPr>
        <w:t>：</w:t>
      </w:r>
      <w:r>
        <w:rPr>
          <w:rFonts w:hint="eastAsia"/>
          <w:color w:val="auto"/>
          <w:kern w:val="0"/>
          <w:szCs w:val="21"/>
        </w:rPr>
        <w:t>0778-7984379</w:t>
      </w:r>
      <w:r>
        <w:rPr>
          <w:color w:val="4472C4"/>
          <w:kern w:val="0"/>
          <w:szCs w:val="21"/>
          <w:u w:val="single"/>
        </w:rPr>
        <w:t xml:space="preserve">  </w:t>
      </w:r>
    </w:p>
    <w:bookmarkEnd w:id="28"/>
    <w:p w14:paraId="7FF59C62">
      <w:pPr>
        <w:spacing w:line="312" w:lineRule="auto"/>
        <w:ind w:firstLine="420" w:firstLineChars="200"/>
        <w:jc w:val="right"/>
        <w:rPr>
          <w:kern w:val="0"/>
          <w:szCs w:val="21"/>
        </w:rPr>
      </w:pPr>
    </w:p>
    <w:p w14:paraId="1A560AD2">
      <w:pPr>
        <w:spacing w:line="312" w:lineRule="auto"/>
        <w:ind w:firstLine="420" w:firstLineChars="200"/>
        <w:jc w:val="right"/>
        <w:rPr>
          <w:color w:val="auto"/>
          <w:kern w:val="0"/>
          <w:szCs w:val="21"/>
        </w:rPr>
      </w:pPr>
      <w:r>
        <w:rPr>
          <w:color w:val="auto"/>
          <w:kern w:val="0"/>
          <w:szCs w:val="21"/>
        </w:rPr>
        <w:t>广西机电设备招标有限公司</w:t>
      </w:r>
    </w:p>
    <w:p w14:paraId="0D7C782C">
      <w:pPr>
        <w:spacing w:line="312" w:lineRule="auto"/>
        <w:ind w:firstLine="420" w:firstLineChars="200"/>
        <w:jc w:val="right"/>
        <w:rPr>
          <w:sz w:val="32"/>
          <w:szCs w:val="32"/>
        </w:rPr>
      </w:pPr>
      <w:r>
        <w:rPr>
          <w:rFonts w:hint="eastAsia"/>
          <w:color w:val="auto"/>
          <w:kern w:val="0"/>
          <w:szCs w:val="21"/>
          <w:lang w:val="en-US" w:eastAsia="zh-CN"/>
        </w:rPr>
        <w:t>2026</w:t>
      </w:r>
      <w:r>
        <w:rPr>
          <w:color w:val="auto"/>
          <w:kern w:val="0"/>
          <w:szCs w:val="21"/>
        </w:rPr>
        <w:t>年</w:t>
      </w:r>
      <w:r>
        <w:rPr>
          <w:rFonts w:hint="eastAsia"/>
          <w:color w:val="auto"/>
          <w:kern w:val="0"/>
          <w:szCs w:val="21"/>
          <w:lang w:val="en-US" w:eastAsia="zh-CN"/>
        </w:rPr>
        <w:t>8</w:t>
      </w:r>
      <w:r>
        <w:rPr>
          <w:color w:val="auto"/>
          <w:kern w:val="0"/>
          <w:szCs w:val="21"/>
        </w:rPr>
        <w:t>月</w:t>
      </w:r>
      <w:r>
        <w:rPr>
          <w:rFonts w:hint="eastAsia"/>
          <w:color w:val="auto"/>
          <w:kern w:val="0"/>
          <w:szCs w:val="21"/>
          <w:lang w:val="en-US" w:eastAsia="zh-CN"/>
        </w:rPr>
        <w:t>28</w:t>
      </w:r>
      <w:r>
        <w:rPr>
          <w:color w:val="auto"/>
          <w:kern w:val="0"/>
          <w:szCs w:val="21"/>
        </w:rPr>
        <w:t>日</w:t>
      </w:r>
      <w:bookmarkEnd w:id="5"/>
      <w:bookmarkEnd w:id="6"/>
      <w:r>
        <w:rPr>
          <w:sz w:val="32"/>
          <w:szCs w:val="32"/>
        </w:rPr>
        <w:br w:type="page"/>
      </w:r>
    </w:p>
    <w:p w14:paraId="25607FF1">
      <w:pPr>
        <w:pStyle w:val="26"/>
        <w:snapToGrid w:val="0"/>
        <w:spacing w:before="120" w:after="120" w:line="320" w:lineRule="exact"/>
        <w:jc w:val="center"/>
        <w:outlineLvl w:val="0"/>
        <w:rPr>
          <w:rFonts w:ascii="Times New Roman" w:hAnsi="Times New Roman" w:cs="Times New Roman"/>
          <w:sz w:val="32"/>
          <w:szCs w:val="32"/>
        </w:rPr>
      </w:pPr>
      <w:bookmarkStart w:id="29" w:name="_Toc4574"/>
      <w:r>
        <w:rPr>
          <w:rFonts w:ascii="Times New Roman" w:hAnsi="Times New Roman" w:cs="Times New Roman"/>
          <w:sz w:val="32"/>
          <w:szCs w:val="32"/>
        </w:rPr>
        <w:t>第二章  采购需求</w:t>
      </w:r>
      <w:bookmarkEnd w:id="29"/>
    </w:p>
    <w:p w14:paraId="6839BB0D">
      <w:pPr>
        <w:spacing w:line="360" w:lineRule="auto"/>
        <w:rPr>
          <w:rFonts w:ascii="黑体" w:hAnsi="黑体" w:eastAsia="黑体" w:cs="Arial"/>
          <w:b/>
          <w:kern w:val="0"/>
          <w:sz w:val="28"/>
          <w:szCs w:val="28"/>
        </w:rPr>
      </w:pPr>
      <w:bookmarkStart w:id="30" w:name="_Hlk77608362"/>
    </w:p>
    <w:p w14:paraId="4DDC526A">
      <w:pPr>
        <w:spacing w:line="360" w:lineRule="auto"/>
        <w:rPr>
          <w:rFonts w:hint="eastAsia" w:ascii="黑体" w:hAnsi="黑体" w:eastAsia="黑体" w:cs="Arial"/>
          <w:b/>
          <w:kern w:val="0"/>
          <w:sz w:val="28"/>
          <w:szCs w:val="28"/>
        </w:rPr>
      </w:pPr>
      <w:r>
        <w:rPr>
          <w:rFonts w:ascii="黑体" w:hAnsi="黑体" w:eastAsia="黑体" w:cs="Arial"/>
          <w:b/>
          <w:kern w:val="0"/>
          <w:sz w:val="28"/>
          <w:szCs w:val="28"/>
        </w:rPr>
        <w:t>一、</w:t>
      </w:r>
      <w:r>
        <w:rPr>
          <w:rFonts w:hint="eastAsia" w:ascii="黑体" w:hAnsi="黑体" w:eastAsia="黑体" w:cs="Arial"/>
          <w:b/>
          <w:kern w:val="0"/>
          <w:sz w:val="28"/>
          <w:szCs w:val="28"/>
        </w:rPr>
        <w:t>总体</w:t>
      </w:r>
      <w:r>
        <w:rPr>
          <w:rFonts w:ascii="黑体" w:hAnsi="黑体" w:eastAsia="黑体" w:cs="Arial"/>
          <w:b/>
          <w:kern w:val="0"/>
          <w:sz w:val="28"/>
          <w:szCs w:val="28"/>
        </w:rPr>
        <w:t>要求</w:t>
      </w:r>
    </w:p>
    <w:p w14:paraId="750081EE">
      <w:pPr>
        <w:spacing w:line="360" w:lineRule="auto"/>
        <w:rPr>
          <w:szCs w:val="21"/>
        </w:rPr>
      </w:pPr>
      <w:r>
        <w:rPr>
          <w:szCs w:val="21"/>
        </w:rPr>
        <w:t>1</w:t>
      </w:r>
      <w:r>
        <w:rPr>
          <w:rFonts w:hint="eastAsia"/>
          <w:szCs w:val="21"/>
        </w:rPr>
        <w:t>.政府采购政策的应用</w:t>
      </w:r>
    </w:p>
    <w:p w14:paraId="4899611E">
      <w:pPr>
        <w:spacing w:line="360" w:lineRule="auto"/>
        <w:rPr>
          <w:color w:val="auto"/>
          <w:szCs w:val="21"/>
        </w:rPr>
      </w:pPr>
      <w:r>
        <w:rPr>
          <w:rFonts w:hint="eastAsia"/>
          <w:color w:val="auto"/>
          <w:szCs w:val="21"/>
        </w:rPr>
        <w:t>详见招标文件“评审方法及标准</w:t>
      </w:r>
      <w:r>
        <w:rPr>
          <w:color w:val="auto"/>
          <w:szCs w:val="21"/>
        </w:rPr>
        <w:t>/政府采购政策应用说明”。</w:t>
      </w:r>
    </w:p>
    <w:p w14:paraId="4F788C11">
      <w:pPr>
        <w:spacing w:line="360" w:lineRule="auto"/>
        <w:rPr>
          <w:color w:val="auto"/>
          <w:szCs w:val="21"/>
        </w:rPr>
      </w:pPr>
      <w:r>
        <w:rPr>
          <w:color w:val="auto"/>
          <w:szCs w:val="21"/>
        </w:rPr>
        <w:t>2</w:t>
      </w:r>
      <w:r>
        <w:rPr>
          <w:rFonts w:hint="eastAsia"/>
          <w:color w:val="auto"/>
          <w:szCs w:val="21"/>
        </w:rPr>
        <w:t>.采购需求要求未尽事宜</w:t>
      </w:r>
      <w:r>
        <w:rPr>
          <w:color w:val="auto"/>
          <w:szCs w:val="21"/>
        </w:rPr>
        <w:t>由</w:t>
      </w:r>
      <w:r>
        <w:rPr>
          <w:rFonts w:hint="eastAsia"/>
          <w:color w:val="auto"/>
          <w:szCs w:val="21"/>
        </w:rPr>
        <w:t>采购人与中标供应商</w:t>
      </w:r>
      <w:r>
        <w:rPr>
          <w:color w:val="auto"/>
          <w:szCs w:val="21"/>
        </w:rPr>
        <w:t>在采购合同中约定。</w:t>
      </w:r>
    </w:p>
    <w:p w14:paraId="605E9EAD">
      <w:pPr>
        <w:spacing w:line="360" w:lineRule="auto"/>
        <w:rPr>
          <w:rFonts w:hint="eastAsia"/>
          <w:color w:val="auto"/>
          <w:szCs w:val="21"/>
        </w:rPr>
      </w:pPr>
      <w:r>
        <w:rPr>
          <w:rFonts w:hint="eastAsia"/>
          <w:color w:val="auto"/>
          <w:szCs w:val="21"/>
        </w:rPr>
        <w:t>3.标注</w:t>
      </w:r>
      <w:r>
        <w:rPr>
          <w:rFonts w:hint="eastAsia"/>
          <w:color w:val="auto"/>
          <w:szCs w:val="21"/>
          <w:highlight w:val="none"/>
        </w:rPr>
        <w:t>“▲”</w:t>
      </w:r>
      <w:r>
        <w:rPr>
          <w:rFonts w:hint="eastAsia"/>
          <w:color w:val="auto"/>
          <w:szCs w:val="21"/>
        </w:rPr>
        <w:t>的条款或要求系指实质性条款或实质性要求，必须满足，如存在负偏离将导致投标</w:t>
      </w:r>
      <w:r>
        <w:rPr>
          <w:rFonts w:hint="eastAsia"/>
          <w:color w:val="auto"/>
          <w:szCs w:val="21"/>
          <w:lang w:val="en-US" w:eastAsia="zh-CN"/>
        </w:rPr>
        <w:t>无效</w:t>
      </w:r>
      <w:r>
        <w:rPr>
          <w:rFonts w:hint="eastAsia"/>
          <w:color w:val="auto"/>
          <w:szCs w:val="21"/>
        </w:rPr>
        <w:t>。标注</w:t>
      </w:r>
      <w:r>
        <w:rPr>
          <w:rFonts w:hint="eastAsia"/>
          <w:color w:val="auto"/>
          <w:szCs w:val="21"/>
          <w:highlight w:val="none"/>
        </w:rPr>
        <w:t>“●”</w:t>
      </w:r>
      <w:r>
        <w:rPr>
          <w:rFonts w:hint="eastAsia"/>
          <w:color w:val="auto"/>
          <w:szCs w:val="21"/>
        </w:rPr>
        <w:t>的代表重要参数，无标识则表示一般参数，重要参数和一般参数如响应为负偏离，不会导致投标被否决。</w:t>
      </w:r>
    </w:p>
    <w:p w14:paraId="70D74736">
      <w:pPr>
        <w:spacing w:line="360" w:lineRule="auto"/>
        <w:rPr>
          <w:rFonts w:hint="eastAsia" w:eastAsia="宋体"/>
          <w:b w:val="0"/>
          <w:bCs w:val="0"/>
          <w:strike w:val="0"/>
          <w:dstrike w:val="0"/>
          <w:color w:val="0000FF"/>
          <w:szCs w:val="21"/>
          <w:highlight w:val="none"/>
          <w:u w:val="none"/>
          <w:lang w:val="en-US" w:eastAsia="zh-CN"/>
        </w:rPr>
      </w:pPr>
      <w:r>
        <w:rPr>
          <w:rFonts w:hint="eastAsia"/>
          <w:color w:val="auto"/>
          <w:szCs w:val="21"/>
          <w:highlight w:val="none"/>
        </w:rPr>
        <w:t>注：</w:t>
      </w:r>
      <w:r>
        <w:rPr>
          <w:rFonts w:hint="eastAsia"/>
          <w:color w:val="auto"/>
          <w:szCs w:val="21"/>
          <w:highlight w:val="none"/>
          <w:lang w:val="en-US" w:eastAsia="zh-CN"/>
        </w:rPr>
        <w:t>技术要求中</w:t>
      </w:r>
      <w:r>
        <w:rPr>
          <w:rFonts w:hint="eastAsia"/>
          <w:color w:val="auto"/>
          <w:szCs w:val="21"/>
          <w:highlight w:val="none"/>
        </w:rPr>
        <w:t>标注“▲”</w:t>
      </w:r>
      <w:r>
        <w:rPr>
          <w:rFonts w:hint="eastAsia"/>
          <w:color w:val="auto"/>
          <w:szCs w:val="21"/>
          <w:highlight w:val="none"/>
          <w:lang w:val="en-US" w:eastAsia="zh-CN"/>
        </w:rPr>
        <w:t>及标注“●”</w:t>
      </w:r>
      <w:r>
        <w:rPr>
          <w:rFonts w:hint="eastAsia"/>
          <w:color w:val="auto"/>
          <w:szCs w:val="21"/>
          <w:highlight w:val="none"/>
        </w:rPr>
        <w:t>的</w:t>
      </w:r>
      <w:r>
        <w:rPr>
          <w:rFonts w:hint="eastAsia"/>
          <w:color w:val="auto"/>
          <w:szCs w:val="21"/>
          <w:highlight w:val="none"/>
          <w:lang w:val="en-US" w:eastAsia="zh-CN"/>
        </w:rPr>
        <w:t>参数均</w:t>
      </w:r>
      <w:r>
        <w:rPr>
          <w:rFonts w:hint="eastAsia"/>
          <w:color w:val="auto"/>
          <w:szCs w:val="21"/>
          <w:highlight w:val="none"/>
        </w:rPr>
        <w:t>要求提供佐证材料</w:t>
      </w:r>
      <w:r>
        <w:rPr>
          <w:rFonts w:hint="eastAsia"/>
          <w:color w:val="auto"/>
          <w:szCs w:val="21"/>
          <w:highlight w:val="none"/>
          <w:lang w:eastAsia="zh-CN"/>
        </w:rPr>
        <w:t>（</w:t>
      </w:r>
      <w:r>
        <w:rPr>
          <w:rFonts w:hint="eastAsia"/>
          <w:color w:val="auto"/>
          <w:szCs w:val="21"/>
          <w:highlight w:val="none"/>
          <w:lang w:val="en-US" w:eastAsia="zh-CN"/>
        </w:rPr>
        <w:t>生产厂家的</w:t>
      </w:r>
      <w:r>
        <w:rPr>
          <w:rFonts w:hint="eastAsia"/>
          <w:strike w:val="0"/>
          <w:dstrike w:val="0"/>
          <w:color w:val="auto"/>
          <w:szCs w:val="21"/>
          <w:highlight w:val="none"/>
        </w:rPr>
        <w:t>产品说明书</w:t>
      </w:r>
      <w:r>
        <w:rPr>
          <w:rFonts w:hint="eastAsia"/>
          <w:strike w:val="0"/>
          <w:dstrike w:val="0"/>
          <w:color w:val="auto"/>
          <w:szCs w:val="21"/>
          <w:highlight w:val="none"/>
          <w:lang w:val="en-US" w:eastAsia="zh-CN"/>
        </w:rPr>
        <w:t>或</w:t>
      </w:r>
      <w:r>
        <w:rPr>
          <w:rFonts w:hint="eastAsia"/>
          <w:color w:val="auto"/>
          <w:szCs w:val="21"/>
          <w:highlight w:val="none"/>
        </w:rPr>
        <w:t>国家</w:t>
      </w:r>
      <w:r>
        <w:rPr>
          <w:rFonts w:hint="eastAsia"/>
          <w:color w:val="auto"/>
          <w:szCs w:val="21"/>
          <w:highlight w:val="none"/>
          <w:lang w:val="en-US" w:eastAsia="zh-CN"/>
        </w:rPr>
        <w:t>认证</w:t>
      </w:r>
      <w:r>
        <w:rPr>
          <w:rFonts w:hint="eastAsia"/>
          <w:color w:val="auto"/>
          <w:szCs w:val="21"/>
          <w:highlight w:val="none"/>
        </w:rPr>
        <w:t>认可的有资质的第三方检测机构出具的检测报告或技术白皮书或投标产品的彩页</w:t>
      </w:r>
      <w:r>
        <w:rPr>
          <w:rFonts w:hint="eastAsia"/>
          <w:color w:val="auto"/>
          <w:szCs w:val="21"/>
          <w:highlight w:val="none"/>
          <w:lang w:eastAsia="zh-CN"/>
        </w:rPr>
        <w:t>）（</w:t>
      </w:r>
      <w:r>
        <w:rPr>
          <w:rFonts w:hint="eastAsia"/>
          <w:color w:val="auto"/>
          <w:szCs w:val="21"/>
          <w:highlight w:val="none"/>
          <w:lang w:val="en-US" w:eastAsia="zh-CN"/>
        </w:rPr>
        <w:t>除特别要求外</w:t>
      </w:r>
      <w:r>
        <w:rPr>
          <w:rFonts w:hint="eastAsia"/>
          <w:color w:val="auto"/>
          <w:szCs w:val="21"/>
          <w:highlight w:val="none"/>
          <w:lang w:eastAsia="zh-CN"/>
        </w:rPr>
        <w:t>）</w:t>
      </w:r>
      <w:r>
        <w:rPr>
          <w:rFonts w:hint="eastAsia"/>
          <w:color w:val="auto"/>
          <w:szCs w:val="21"/>
          <w:highlight w:val="none"/>
        </w:rPr>
        <w:t>，</w:t>
      </w:r>
      <w:r>
        <w:rPr>
          <w:rFonts w:hint="eastAsia" w:ascii="宋体" w:hAnsi="宋体" w:cs="宋体"/>
          <w:color w:val="auto"/>
          <w:highlight w:val="none"/>
        </w:rPr>
        <w:t>参数中提到需要提供的佐证材料均需加盖公章，如未提供或提供材料不满足要求则视为负偏离。</w:t>
      </w:r>
    </w:p>
    <w:p w14:paraId="7AE4A90E">
      <w:pPr>
        <w:spacing w:line="360" w:lineRule="auto"/>
        <w:rPr>
          <w:rFonts w:hint="eastAsia" w:ascii="黑体" w:hAnsi="黑体" w:eastAsia="黑体" w:cs="Arial"/>
          <w:b/>
          <w:color w:val="auto"/>
          <w:kern w:val="0"/>
          <w:sz w:val="28"/>
          <w:szCs w:val="28"/>
        </w:rPr>
      </w:pPr>
      <w:r>
        <w:rPr>
          <w:rFonts w:hint="eastAsia" w:ascii="黑体" w:hAnsi="黑体" w:eastAsia="黑体" w:cs="Arial"/>
          <w:b/>
          <w:color w:val="auto"/>
          <w:kern w:val="0"/>
          <w:sz w:val="28"/>
          <w:szCs w:val="28"/>
        </w:rPr>
        <w:t>二、技术要求</w:t>
      </w:r>
    </w:p>
    <w:p w14:paraId="21904043">
      <w:pPr>
        <w:spacing w:line="360" w:lineRule="auto"/>
        <w:rPr>
          <w:color w:val="auto"/>
          <w:szCs w:val="21"/>
        </w:rPr>
      </w:pPr>
      <w:r>
        <w:rPr>
          <w:rFonts w:hint="eastAsia"/>
          <w:color w:val="auto"/>
          <w:szCs w:val="21"/>
        </w:rPr>
        <w:t>1.需实现的功能、目标及应用场景</w:t>
      </w:r>
    </w:p>
    <w:p w14:paraId="00BBB6F4">
      <w:pPr>
        <w:spacing w:line="360" w:lineRule="auto"/>
        <w:rPr>
          <w:color w:val="auto"/>
          <w:szCs w:val="21"/>
        </w:rPr>
      </w:pPr>
      <w:r>
        <w:rPr>
          <w:rFonts w:hint="eastAsia"/>
          <w:color w:val="auto"/>
          <w:szCs w:val="21"/>
        </w:rPr>
        <w:t>满足招标文件要求，验收达到合格标准。</w:t>
      </w:r>
    </w:p>
    <w:p w14:paraId="75B5CDB1">
      <w:pPr>
        <w:spacing w:line="360" w:lineRule="auto"/>
        <w:rPr>
          <w:szCs w:val="21"/>
        </w:rPr>
      </w:pPr>
      <w:r>
        <w:rPr>
          <w:szCs w:val="21"/>
        </w:rPr>
        <w:t>2</w:t>
      </w:r>
      <w:r>
        <w:rPr>
          <w:rFonts w:hint="eastAsia"/>
          <w:szCs w:val="21"/>
        </w:rPr>
        <w:t>.</w:t>
      </w:r>
      <w:r>
        <w:rPr>
          <w:rFonts w:hint="eastAsia"/>
          <w:szCs w:val="21"/>
          <w:lang w:val="en-US" w:eastAsia="zh-CN"/>
        </w:rPr>
        <w:t>本项目不</w:t>
      </w:r>
      <w:r>
        <w:rPr>
          <w:rFonts w:hint="eastAsia"/>
          <w:szCs w:val="21"/>
        </w:rPr>
        <w:t>接受进口产品</w:t>
      </w:r>
      <w:r>
        <w:rPr>
          <w:szCs w:val="21"/>
        </w:rPr>
        <w:t>。</w:t>
      </w:r>
    </w:p>
    <w:p w14:paraId="45BD99C6">
      <w:pPr>
        <w:spacing w:line="360" w:lineRule="auto"/>
        <w:rPr>
          <w:szCs w:val="21"/>
        </w:rPr>
      </w:pPr>
      <w:r>
        <w:rPr>
          <w:szCs w:val="21"/>
        </w:rPr>
        <w:t>3</w:t>
      </w:r>
      <w:r>
        <w:rPr>
          <w:rFonts w:hint="eastAsia"/>
          <w:szCs w:val="21"/>
        </w:rPr>
        <w:t>.</w:t>
      </w:r>
      <w:r>
        <w:rPr>
          <w:szCs w:val="21"/>
        </w:rPr>
        <w:t>需执行的国家相关标准、行业标准、地方标准或者其他标准、规范</w:t>
      </w:r>
    </w:p>
    <w:p w14:paraId="33F42D89">
      <w:pPr>
        <w:spacing w:line="360" w:lineRule="auto"/>
        <w:rPr>
          <w:iCs/>
          <w:color w:val="FF0000"/>
          <w:szCs w:val="21"/>
        </w:rPr>
      </w:pPr>
      <w:r>
        <w:rPr>
          <w:rFonts w:hint="eastAsia"/>
          <w:szCs w:val="21"/>
        </w:rPr>
        <w:t>本项目应执行的国家相关标准、行业标准、地方标准或者其他标准、规范为：</w:t>
      </w:r>
      <w:bookmarkStart w:id="31" w:name="_Hlk88997327"/>
      <w:r>
        <w:rPr>
          <w:rFonts w:hint="eastAsia"/>
          <w:i w:val="0"/>
          <w:iCs w:val="0"/>
          <w:color w:val="auto"/>
          <w:szCs w:val="21"/>
          <w:u w:val="single"/>
        </w:rPr>
        <w:t>详见技术指标要求</w:t>
      </w:r>
      <w:r>
        <w:rPr>
          <w:rFonts w:hint="eastAsia"/>
          <w:i w:val="0"/>
          <w:iCs w:val="0"/>
          <w:color w:val="auto"/>
          <w:szCs w:val="21"/>
          <w:u w:val="none"/>
          <w:lang w:eastAsia="zh-CN"/>
        </w:rPr>
        <w:t>。</w:t>
      </w:r>
      <w:r>
        <w:rPr>
          <w:i/>
          <w:color w:val="4472C4"/>
          <w:szCs w:val="21"/>
          <w:u w:val="single"/>
        </w:rPr>
        <w:t xml:space="preserve">  </w:t>
      </w:r>
      <w:r>
        <w:rPr>
          <w:i/>
          <w:szCs w:val="21"/>
          <w:u w:val="single"/>
        </w:rPr>
        <w:t xml:space="preserve"> </w:t>
      </w:r>
      <w:bookmarkEnd w:id="31"/>
      <w:r>
        <w:rPr>
          <w:i/>
          <w:szCs w:val="21"/>
          <w:u w:val="single"/>
        </w:rPr>
        <w:t xml:space="preserve"> </w:t>
      </w:r>
    </w:p>
    <w:p w14:paraId="1B48A9F7">
      <w:pPr>
        <w:spacing w:line="360" w:lineRule="auto"/>
        <w:rPr>
          <w:szCs w:val="21"/>
        </w:rPr>
      </w:pPr>
      <w:r>
        <w:rPr>
          <w:szCs w:val="21"/>
        </w:rPr>
        <w:t>4</w:t>
      </w:r>
      <w:r>
        <w:rPr>
          <w:rFonts w:hint="eastAsia"/>
          <w:szCs w:val="21"/>
        </w:rPr>
        <w:t>.一般说明</w:t>
      </w:r>
    </w:p>
    <w:p w14:paraId="76B79ED1">
      <w:pPr>
        <w:spacing w:line="360" w:lineRule="auto"/>
        <w:rPr>
          <w:szCs w:val="21"/>
        </w:rPr>
      </w:pPr>
      <w:r>
        <w:rPr>
          <w:rFonts w:hint="eastAsia"/>
          <w:szCs w:val="21"/>
        </w:rPr>
        <w:t>（</w:t>
      </w:r>
      <w:r>
        <w:rPr>
          <w:szCs w:val="21"/>
        </w:rPr>
        <w:t>1）</w:t>
      </w:r>
      <w:r>
        <w:rPr>
          <w:rFonts w:hint="eastAsia"/>
          <w:szCs w:val="21"/>
        </w:rPr>
        <w:t>本章</w:t>
      </w:r>
      <w:r>
        <w:rPr>
          <w:szCs w:val="21"/>
        </w:rPr>
        <w:t>中如提及品牌型号，仅起参考作用。供应商可选用其他品牌型号替代，但这些替代的品牌型号要实质上参照或相当于或优于参考品牌型号及其技术参数性能（配置）要求。</w:t>
      </w:r>
    </w:p>
    <w:p w14:paraId="3278C044">
      <w:pPr>
        <w:spacing w:line="360" w:lineRule="auto"/>
        <w:rPr>
          <w:szCs w:val="21"/>
        </w:rPr>
      </w:pPr>
      <w:r>
        <w:rPr>
          <w:rFonts w:hint="eastAsia"/>
          <w:szCs w:val="21"/>
        </w:rPr>
        <w:t>（</w:t>
      </w:r>
      <w:r>
        <w:rPr>
          <w:szCs w:val="21"/>
        </w:rPr>
        <w:t>2）</w:t>
      </w:r>
      <w:bookmarkStart w:id="32" w:name="_Hlk132788003"/>
      <w:r>
        <w:rPr>
          <w:szCs w:val="21"/>
        </w:rPr>
        <w:t>如要求提供检测报告</w:t>
      </w:r>
      <w:r>
        <w:rPr>
          <w:rFonts w:hint="eastAsia"/>
          <w:szCs w:val="21"/>
        </w:rPr>
        <w:t>或其他证明材料</w:t>
      </w:r>
      <w:r>
        <w:rPr>
          <w:szCs w:val="21"/>
        </w:rPr>
        <w:t>的，检测报告或</w:t>
      </w:r>
      <w:r>
        <w:rPr>
          <w:rFonts w:hint="eastAsia"/>
          <w:szCs w:val="21"/>
        </w:rPr>
        <w:t>其他证明材料</w:t>
      </w:r>
      <w:r>
        <w:rPr>
          <w:szCs w:val="21"/>
        </w:rPr>
        <w:t>内容中若涉及外文说明，必须同时提供对应中文翻译说明，评审依据以中文翻译内容为准，外文说明仅供参考；产品</w:t>
      </w:r>
      <w:r>
        <w:rPr>
          <w:rFonts w:hint="eastAsia"/>
          <w:szCs w:val="21"/>
        </w:rPr>
        <w:t>证明材料</w:t>
      </w:r>
      <w:r>
        <w:rPr>
          <w:szCs w:val="21"/>
        </w:rPr>
        <w:t>应为报告正面、背面和附件标注的全部具体内容；产品</w:t>
      </w:r>
      <w:r>
        <w:rPr>
          <w:rFonts w:hint="eastAsia"/>
          <w:szCs w:val="21"/>
        </w:rPr>
        <w:t>证明材料</w:t>
      </w:r>
      <w:r>
        <w:rPr>
          <w:szCs w:val="21"/>
        </w:rPr>
        <w:t>的</w:t>
      </w:r>
      <w:r>
        <w:rPr>
          <w:rFonts w:hint="eastAsia"/>
          <w:szCs w:val="21"/>
        </w:rPr>
        <w:t>内容</w:t>
      </w:r>
      <w:r>
        <w:rPr>
          <w:szCs w:val="21"/>
        </w:rPr>
        <w:t>应该能够被阅读、识别和判断</w:t>
      </w:r>
      <w:bookmarkEnd w:id="32"/>
      <w:r>
        <w:rPr>
          <w:szCs w:val="21"/>
        </w:rPr>
        <w:t>。</w:t>
      </w:r>
      <w:r>
        <w:rPr>
          <w:rFonts w:hint="eastAsia"/>
          <w:szCs w:val="21"/>
        </w:rPr>
        <w:t xml:space="preserve"> </w:t>
      </w:r>
    </w:p>
    <w:p w14:paraId="1C5528DF">
      <w:pPr>
        <w:spacing w:line="360" w:lineRule="auto"/>
        <w:rPr>
          <w:szCs w:val="21"/>
        </w:rPr>
      </w:pPr>
      <w:r>
        <w:rPr>
          <w:szCs w:val="21"/>
        </w:rPr>
        <w:t>5</w:t>
      </w:r>
      <w:r>
        <w:rPr>
          <w:rFonts w:hint="eastAsia"/>
          <w:szCs w:val="21"/>
        </w:rPr>
        <w:t>.核心产品</w:t>
      </w:r>
    </w:p>
    <w:p w14:paraId="103026B0">
      <w:pPr>
        <w:spacing w:line="360" w:lineRule="auto"/>
        <w:rPr>
          <w:color w:val="auto"/>
          <w:szCs w:val="21"/>
          <w:highlight w:val="none"/>
          <w:u w:val="single"/>
        </w:rPr>
      </w:pPr>
      <w:r>
        <w:rPr>
          <w:rFonts w:hint="eastAsia"/>
          <w:szCs w:val="21"/>
        </w:rPr>
        <w:t>本项目为货物采购项目，核心产品为</w:t>
      </w:r>
      <w:r>
        <w:rPr>
          <w:rFonts w:hint="eastAsia"/>
          <w:color w:val="auto"/>
          <w:szCs w:val="21"/>
          <w:highlight w:val="none"/>
        </w:rPr>
        <w:t>：</w:t>
      </w:r>
      <w:r>
        <w:rPr>
          <w:rFonts w:hint="eastAsia"/>
          <w:color w:val="auto"/>
          <w:szCs w:val="21"/>
          <w:highlight w:val="none"/>
          <w:u w:val="single"/>
          <w:lang w:val="en-US" w:eastAsia="zh-CN"/>
        </w:rPr>
        <w:t xml:space="preserve">神经外科手术导航定位系统。     </w:t>
      </w:r>
      <w:r>
        <w:rPr>
          <w:color w:val="auto"/>
          <w:szCs w:val="21"/>
          <w:highlight w:val="none"/>
          <w:u w:val="single"/>
        </w:rPr>
        <w:t xml:space="preserve">             </w:t>
      </w:r>
    </w:p>
    <w:p w14:paraId="60779529">
      <w:pPr>
        <w:spacing w:line="360" w:lineRule="auto"/>
        <w:rPr>
          <w:color w:val="auto"/>
          <w:szCs w:val="21"/>
          <w:highlight w:val="none"/>
        </w:rPr>
      </w:pPr>
      <w:r>
        <w:rPr>
          <w:rFonts w:hint="eastAsia"/>
          <w:color w:val="auto"/>
          <w:szCs w:val="21"/>
          <w:highlight w:val="none"/>
        </w:rPr>
        <w:t>6.节能产品</w:t>
      </w:r>
    </w:p>
    <w:p w14:paraId="622E3BFA">
      <w:pPr>
        <w:spacing w:line="360" w:lineRule="auto"/>
        <w:rPr>
          <w:rFonts w:hint="eastAsia"/>
          <w:color w:val="auto"/>
          <w:highlight w:val="none"/>
          <w:u w:val="single"/>
        </w:rPr>
      </w:pPr>
      <w:r>
        <w:rPr>
          <w:rFonts w:hint="eastAsia"/>
          <w:color w:val="auto"/>
          <w:szCs w:val="21"/>
          <w:highlight w:val="none"/>
        </w:rPr>
        <w:t>本项目强制采购节能产品为：</w:t>
      </w:r>
      <w:r>
        <w:rPr>
          <w:rFonts w:hint="eastAsia"/>
          <w:color w:val="auto"/>
          <w:szCs w:val="21"/>
          <w:highlight w:val="none"/>
          <w:u w:val="single"/>
          <w:lang w:val="en-US" w:eastAsia="zh-CN"/>
        </w:rPr>
        <w:t>/</w:t>
      </w:r>
      <w:r>
        <w:rPr>
          <w:rFonts w:hint="eastAsia"/>
          <w:color w:val="auto"/>
          <w:highlight w:val="none"/>
          <w:u w:val="single"/>
        </w:rPr>
        <w:t xml:space="preserve">   </w:t>
      </w:r>
    </w:p>
    <w:p w14:paraId="5CCEF67E">
      <w:pPr>
        <w:numPr>
          <w:ilvl w:val="0"/>
          <w:numId w:val="0"/>
        </w:numPr>
        <w:spacing w:line="360" w:lineRule="auto"/>
        <w:rPr>
          <w:rFonts w:hint="eastAsia"/>
          <w:color w:val="auto"/>
          <w:highlight w:val="none"/>
          <w:u w:val="none"/>
          <w:lang w:val="en-US" w:eastAsia="zh-CN"/>
        </w:rPr>
      </w:pPr>
      <w:r>
        <w:rPr>
          <w:rFonts w:hint="eastAsia"/>
          <w:color w:val="auto"/>
          <w:kern w:val="2"/>
          <w:sz w:val="21"/>
          <w:szCs w:val="24"/>
          <w:highlight w:val="none"/>
          <w:lang w:val="en-US" w:eastAsia="zh-CN" w:bidi="ar-SA"/>
        </w:rPr>
        <w:t>7.</w:t>
      </w:r>
      <w:r>
        <w:rPr>
          <w:rFonts w:hint="eastAsia"/>
          <w:color w:val="auto"/>
          <w:highlight w:val="none"/>
          <w:u w:val="none"/>
          <w:lang w:val="en-US" w:eastAsia="zh-CN"/>
        </w:rPr>
        <w:t>网络安全专用产品</w:t>
      </w:r>
    </w:p>
    <w:p w14:paraId="377D8545">
      <w:pPr>
        <w:numPr>
          <w:ilvl w:val="0"/>
          <w:numId w:val="0"/>
        </w:numPr>
        <w:spacing w:line="360" w:lineRule="auto"/>
        <w:rPr>
          <w:color w:val="auto"/>
          <w:szCs w:val="21"/>
          <w:highlight w:val="none"/>
        </w:rPr>
      </w:pPr>
      <w:r>
        <w:rPr>
          <w:rFonts w:hint="eastAsia"/>
          <w:color w:val="auto"/>
          <w:szCs w:val="21"/>
          <w:highlight w:val="none"/>
        </w:rPr>
        <w:t>本项目</w:t>
      </w:r>
      <w:r>
        <w:rPr>
          <w:rFonts w:hint="eastAsia"/>
          <w:color w:val="auto"/>
          <w:szCs w:val="21"/>
          <w:highlight w:val="none"/>
          <w:lang w:val="en-US" w:eastAsia="zh-CN"/>
        </w:rPr>
        <w:t>网络安全专用产品</w:t>
      </w:r>
      <w:r>
        <w:rPr>
          <w:rFonts w:hint="eastAsia"/>
          <w:color w:val="auto"/>
          <w:szCs w:val="21"/>
          <w:highlight w:val="none"/>
        </w:rPr>
        <w:t>为：</w:t>
      </w:r>
      <w:r>
        <w:rPr>
          <w:rFonts w:hint="eastAsia"/>
          <w:color w:val="auto"/>
          <w:szCs w:val="21"/>
          <w:highlight w:val="none"/>
          <w:u w:val="single"/>
          <w:lang w:val="en-US" w:eastAsia="zh-CN"/>
        </w:rPr>
        <w:t>/</w:t>
      </w:r>
      <w:r>
        <w:rPr>
          <w:rFonts w:hint="eastAsia"/>
          <w:color w:val="auto"/>
          <w:highlight w:val="none"/>
          <w:u w:val="none"/>
        </w:rPr>
        <w:t xml:space="preserve"> </w:t>
      </w:r>
      <w:r>
        <w:rPr>
          <w:rFonts w:hint="eastAsia"/>
          <w:color w:val="auto"/>
          <w:highlight w:val="none"/>
          <w:u w:val="single"/>
        </w:rPr>
        <w:t xml:space="preserve">           </w:t>
      </w:r>
      <w:r>
        <w:rPr>
          <w:rFonts w:hint="eastAsia"/>
          <w:color w:val="auto"/>
          <w:highlight w:val="none"/>
        </w:rPr>
        <w:t xml:space="preserve">    </w:t>
      </w:r>
    </w:p>
    <w:p w14:paraId="304BE1C7">
      <w:pPr>
        <w:numPr>
          <w:ilvl w:val="0"/>
          <w:numId w:val="1"/>
        </w:numPr>
        <w:spacing w:line="360" w:lineRule="auto"/>
        <w:rPr>
          <w:rFonts w:hint="eastAsia"/>
          <w:szCs w:val="21"/>
        </w:rPr>
      </w:pPr>
      <w:r>
        <w:rPr>
          <w:rFonts w:hint="eastAsia"/>
          <w:szCs w:val="21"/>
        </w:rPr>
        <w:t>标的名称、数量、需满足的质量、技术规格、物理特性、性能、材料、结构、外观、安全，或者服务内容和标准一览表</w:t>
      </w:r>
    </w:p>
    <w:tbl>
      <w:tblPr>
        <w:tblStyle w:val="51"/>
        <w:tblW w:w="8738"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693"/>
        <w:gridCol w:w="1480"/>
        <w:gridCol w:w="960"/>
        <w:gridCol w:w="1227"/>
        <w:gridCol w:w="4378"/>
      </w:tblGrid>
      <w:tr w14:paraId="1839B9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57" w:hRule="atLeast"/>
        </w:trPr>
        <w:tc>
          <w:tcPr>
            <w:tcW w:w="693" w:type="dxa"/>
            <w:noWrap w:val="0"/>
            <w:vAlign w:val="center"/>
          </w:tcPr>
          <w:p w14:paraId="67E76552">
            <w:pPr>
              <w:spacing w:line="360" w:lineRule="auto"/>
              <w:jc w:val="center"/>
              <w:rPr>
                <w:szCs w:val="21"/>
              </w:rPr>
            </w:pPr>
            <w:r>
              <w:rPr>
                <w:szCs w:val="21"/>
              </w:rPr>
              <w:t>序号</w:t>
            </w:r>
          </w:p>
        </w:tc>
        <w:tc>
          <w:tcPr>
            <w:tcW w:w="1480" w:type="dxa"/>
            <w:noWrap w:val="0"/>
            <w:vAlign w:val="center"/>
          </w:tcPr>
          <w:p w14:paraId="79556DC6">
            <w:pPr>
              <w:spacing w:line="360" w:lineRule="auto"/>
              <w:jc w:val="center"/>
              <w:rPr>
                <w:szCs w:val="21"/>
              </w:rPr>
            </w:pPr>
            <w:r>
              <w:rPr>
                <w:szCs w:val="21"/>
              </w:rPr>
              <w:t>货物名称</w:t>
            </w:r>
          </w:p>
        </w:tc>
        <w:tc>
          <w:tcPr>
            <w:tcW w:w="960" w:type="dxa"/>
            <w:noWrap w:val="0"/>
            <w:vAlign w:val="center"/>
          </w:tcPr>
          <w:p w14:paraId="795DEE69">
            <w:pPr>
              <w:spacing w:line="360" w:lineRule="auto"/>
              <w:jc w:val="center"/>
              <w:rPr>
                <w:szCs w:val="21"/>
              </w:rPr>
            </w:pPr>
            <w:r>
              <w:rPr>
                <w:szCs w:val="21"/>
              </w:rPr>
              <w:t>数量</w:t>
            </w:r>
          </w:p>
        </w:tc>
        <w:tc>
          <w:tcPr>
            <w:tcW w:w="1227" w:type="dxa"/>
            <w:tcBorders>
              <w:right w:val="single" w:color="auto" w:sz="4" w:space="0"/>
            </w:tcBorders>
            <w:noWrap w:val="0"/>
            <w:vAlign w:val="center"/>
          </w:tcPr>
          <w:p w14:paraId="524DC595">
            <w:pPr>
              <w:jc w:val="center"/>
              <w:rPr>
                <w:szCs w:val="21"/>
              </w:rPr>
            </w:pPr>
            <w:r>
              <w:rPr>
                <w:rFonts w:hint="eastAsia"/>
                <w:szCs w:val="21"/>
              </w:rPr>
              <w:t>所属行业</w:t>
            </w:r>
          </w:p>
        </w:tc>
        <w:tc>
          <w:tcPr>
            <w:tcW w:w="4378" w:type="dxa"/>
            <w:tcBorders>
              <w:left w:val="single" w:color="auto" w:sz="4" w:space="0"/>
              <w:right w:val="single" w:color="auto" w:sz="4" w:space="0"/>
            </w:tcBorders>
            <w:noWrap w:val="0"/>
            <w:vAlign w:val="center"/>
          </w:tcPr>
          <w:p w14:paraId="53A4D16B">
            <w:pPr>
              <w:spacing w:line="360" w:lineRule="auto"/>
              <w:jc w:val="center"/>
              <w:rPr>
                <w:szCs w:val="21"/>
              </w:rPr>
            </w:pPr>
            <w:r>
              <w:rPr>
                <w:szCs w:val="21"/>
              </w:rPr>
              <w:t>技术</w:t>
            </w:r>
            <w:r>
              <w:rPr>
                <w:rFonts w:hint="eastAsia"/>
                <w:szCs w:val="21"/>
              </w:rPr>
              <w:t>指标要求</w:t>
            </w:r>
          </w:p>
        </w:tc>
      </w:tr>
      <w:tr w14:paraId="5F70BF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57" w:hRule="atLeast"/>
        </w:trPr>
        <w:tc>
          <w:tcPr>
            <w:tcW w:w="693" w:type="dxa"/>
            <w:noWrap w:val="0"/>
            <w:vAlign w:val="center"/>
          </w:tcPr>
          <w:p w14:paraId="1EB87A47">
            <w:pPr>
              <w:spacing w:line="360" w:lineRule="auto"/>
              <w:jc w:val="center"/>
              <w:rPr>
                <w:color w:val="auto"/>
                <w:szCs w:val="21"/>
              </w:rPr>
            </w:pPr>
            <w:r>
              <w:rPr>
                <w:color w:val="auto"/>
                <w:szCs w:val="21"/>
              </w:rPr>
              <w:t>1</w:t>
            </w:r>
          </w:p>
        </w:tc>
        <w:tc>
          <w:tcPr>
            <w:tcW w:w="1480" w:type="dxa"/>
            <w:noWrap w:val="0"/>
            <w:vAlign w:val="center"/>
          </w:tcPr>
          <w:p w14:paraId="3ABEFB02">
            <w:pPr>
              <w:spacing w:line="360" w:lineRule="auto"/>
              <w:jc w:val="center"/>
              <w:rPr>
                <w:color w:val="auto"/>
                <w:szCs w:val="21"/>
              </w:rPr>
            </w:pPr>
            <w:r>
              <w:rPr>
                <w:rFonts w:hint="eastAsia"/>
                <w:color w:val="auto"/>
                <w:szCs w:val="21"/>
              </w:rPr>
              <w:t>神经外科手术导航定位系统</w:t>
            </w:r>
          </w:p>
        </w:tc>
        <w:tc>
          <w:tcPr>
            <w:tcW w:w="960" w:type="dxa"/>
            <w:noWrap w:val="0"/>
            <w:vAlign w:val="center"/>
          </w:tcPr>
          <w:p w14:paraId="089B4E04">
            <w:pPr>
              <w:spacing w:line="360" w:lineRule="auto"/>
              <w:jc w:val="center"/>
              <w:rPr>
                <w:rFonts w:hint="eastAsia" w:eastAsia="宋体"/>
                <w:color w:val="auto"/>
                <w:szCs w:val="21"/>
                <w:lang w:eastAsia="zh-CN"/>
              </w:rPr>
            </w:pPr>
            <w:r>
              <w:rPr>
                <w:color w:val="auto"/>
                <w:szCs w:val="21"/>
              </w:rPr>
              <w:t>1</w:t>
            </w:r>
            <w:r>
              <w:rPr>
                <w:rFonts w:hint="eastAsia"/>
                <w:color w:val="auto"/>
                <w:szCs w:val="21"/>
                <w:lang w:val="en-US" w:eastAsia="zh-CN"/>
              </w:rPr>
              <w:t>套</w:t>
            </w:r>
          </w:p>
        </w:tc>
        <w:tc>
          <w:tcPr>
            <w:tcW w:w="1227" w:type="dxa"/>
            <w:tcBorders>
              <w:right w:val="single" w:color="auto" w:sz="4" w:space="0"/>
            </w:tcBorders>
            <w:noWrap w:val="0"/>
            <w:vAlign w:val="center"/>
          </w:tcPr>
          <w:p w14:paraId="6DBBB40D">
            <w:pPr>
              <w:spacing w:line="360" w:lineRule="auto"/>
              <w:jc w:val="center"/>
              <w:rPr>
                <w:color w:val="auto"/>
                <w:szCs w:val="21"/>
              </w:rPr>
            </w:pPr>
            <w:r>
              <w:rPr>
                <w:rFonts w:hint="eastAsia"/>
                <w:color w:val="auto"/>
                <w:szCs w:val="21"/>
              </w:rPr>
              <w:t>工业</w:t>
            </w:r>
          </w:p>
        </w:tc>
        <w:tc>
          <w:tcPr>
            <w:tcW w:w="4378" w:type="dxa"/>
            <w:tcBorders>
              <w:left w:val="single" w:color="auto" w:sz="4" w:space="0"/>
              <w:right w:val="single" w:color="auto" w:sz="4" w:space="0"/>
            </w:tcBorders>
            <w:noWrap w:val="0"/>
            <w:vAlign w:val="center"/>
          </w:tcPr>
          <w:p w14:paraId="32C3A92D">
            <w:pPr>
              <w:pStyle w:val="19"/>
              <w:spacing w:before="165" w:line="232" w:lineRule="auto"/>
              <w:ind w:left="36"/>
              <w:rPr>
                <w:rFonts w:hint="default" w:eastAsia="仿宋"/>
                <w:b/>
                <w:bCs/>
                <w:color w:val="auto"/>
                <w:spacing w:val="6"/>
                <w:highlight w:val="none"/>
                <w:lang w:val="en-US" w:eastAsia="zh-CN"/>
              </w:rPr>
            </w:pPr>
            <w:r>
              <w:rPr>
                <w:rFonts w:hint="eastAsia"/>
                <w:b/>
                <w:bCs/>
                <w:color w:val="auto"/>
                <w:spacing w:val="6"/>
                <w:sz w:val="24"/>
                <w:szCs w:val="24"/>
                <w:lang w:val="en-US" w:eastAsia="zh-CN"/>
              </w:rPr>
              <w:t>一</w:t>
            </w:r>
            <w:r>
              <w:rPr>
                <w:rFonts w:hint="eastAsia"/>
                <w:b/>
                <w:bCs/>
                <w:color w:val="auto"/>
                <w:spacing w:val="6"/>
                <w:sz w:val="24"/>
                <w:szCs w:val="24"/>
                <w:highlight w:val="none"/>
                <w:lang w:val="en-US" w:eastAsia="zh-CN"/>
              </w:rPr>
              <w:t>、神经外科手术导航定位系统</w:t>
            </w:r>
          </w:p>
          <w:p w14:paraId="4235068C">
            <w:pPr>
              <w:pStyle w:val="17"/>
              <w:keepNext w:val="0"/>
              <w:keepLines w:val="0"/>
              <w:pageBreakBefore w:val="0"/>
              <w:widowControl w:val="0"/>
              <w:numPr>
                <w:ilvl w:val="0"/>
                <w:numId w:val="0"/>
              </w:numPr>
              <w:kinsoku/>
              <w:wordWrap/>
              <w:overflowPunct/>
              <w:topLinePunct w:val="0"/>
              <w:autoSpaceDE/>
              <w:autoSpaceDN/>
              <w:bidi w:val="0"/>
              <w:adjustRightInd/>
              <w:snapToGrid/>
              <w:spacing w:line="360" w:lineRule="exact"/>
              <w:ind w:leftChars="0" w:firstLine="420" w:firstLineChars="200"/>
              <w:jc w:val="both"/>
              <w:textAlignment w:val="auto"/>
              <w:rPr>
                <w:rFonts w:hint="eastAsia"/>
                <w:color w:val="auto"/>
                <w:highlight w:val="none"/>
              </w:rPr>
            </w:pPr>
            <w:r>
              <w:rPr>
                <w:rFonts w:hint="eastAsia"/>
                <w:color w:val="auto"/>
                <w:highlight w:val="none"/>
              </w:rPr>
              <w:t>1、设备用途及适用范围：</w:t>
            </w:r>
          </w:p>
          <w:p w14:paraId="53A1B53F">
            <w:pPr>
              <w:pStyle w:val="17"/>
              <w:keepNext w:val="0"/>
              <w:keepLines w:val="0"/>
              <w:pageBreakBefore w:val="0"/>
              <w:widowControl w:val="0"/>
              <w:numPr>
                <w:ilvl w:val="0"/>
                <w:numId w:val="0"/>
              </w:numPr>
              <w:kinsoku/>
              <w:wordWrap/>
              <w:overflowPunct/>
              <w:topLinePunct w:val="0"/>
              <w:autoSpaceDE/>
              <w:autoSpaceDN/>
              <w:bidi w:val="0"/>
              <w:adjustRightInd/>
              <w:snapToGrid/>
              <w:spacing w:line="360" w:lineRule="exact"/>
              <w:ind w:leftChars="0" w:firstLine="420" w:firstLineChars="200"/>
              <w:jc w:val="both"/>
              <w:textAlignment w:val="auto"/>
              <w:rPr>
                <w:rFonts w:hint="eastAsia"/>
                <w:color w:val="auto"/>
                <w:highlight w:val="none"/>
              </w:rPr>
            </w:pPr>
            <w:r>
              <w:rPr>
                <w:rFonts w:hint="eastAsia"/>
                <w:color w:val="auto"/>
                <w:highlight w:val="none"/>
              </w:rPr>
              <w:t>▲1.1 设备适用范围无患者年龄限制。</w:t>
            </w:r>
          </w:p>
          <w:p w14:paraId="6B717121">
            <w:pPr>
              <w:pStyle w:val="17"/>
              <w:keepNext w:val="0"/>
              <w:keepLines w:val="0"/>
              <w:pageBreakBefore w:val="0"/>
              <w:widowControl w:val="0"/>
              <w:numPr>
                <w:ilvl w:val="0"/>
                <w:numId w:val="0"/>
              </w:numPr>
              <w:kinsoku/>
              <w:wordWrap/>
              <w:overflowPunct/>
              <w:topLinePunct w:val="0"/>
              <w:autoSpaceDE/>
              <w:autoSpaceDN/>
              <w:bidi w:val="0"/>
              <w:adjustRightInd/>
              <w:snapToGrid/>
              <w:spacing w:line="360" w:lineRule="exact"/>
              <w:ind w:leftChars="0" w:firstLine="420" w:firstLineChars="200"/>
              <w:jc w:val="both"/>
              <w:textAlignment w:val="auto"/>
              <w:rPr>
                <w:rFonts w:hint="eastAsia"/>
                <w:color w:val="auto"/>
                <w:highlight w:val="none"/>
              </w:rPr>
            </w:pPr>
            <w:r>
              <w:rPr>
                <w:rFonts w:hint="eastAsia"/>
                <w:color w:val="auto"/>
                <w:highlight w:val="none"/>
              </w:rPr>
              <w:t>▲1.2 适用于手术定位精度要求小于 1 毫米的神经外科手术。</w:t>
            </w:r>
          </w:p>
          <w:p w14:paraId="180BAEE3">
            <w:pPr>
              <w:pStyle w:val="17"/>
              <w:keepNext w:val="0"/>
              <w:keepLines w:val="0"/>
              <w:pageBreakBefore w:val="0"/>
              <w:widowControl w:val="0"/>
              <w:numPr>
                <w:ilvl w:val="0"/>
                <w:numId w:val="0"/>
              </w:numPr>
              <w:kinsoku/>
              <w:wordWrap/>
              <w:overflowPunct/>
              <w:topLinePunct w:val="0"/>
              <w:autoSpaceDE/>
              <w:autoSpaceDN/>
              <w:bidi w:val="0"/>
              <w:adjustRightInd/>
              <w:snapToGrid/>
              <w:spacing w:line="360" w:lineRule="exact"/>
              <w:ind w:leftChars="0" w:firstLine="420" w:firstLineChars="200"/>
              <w:jc w:val="both"/>
              <w:textAlignment w:val="auto"/>
              <w:rPr>
                <w:rFonts w:hint="eastAsia"/>
                <w:color w:val="auto"/>
                <w:highlight w:val="none"/>
              </w:rPr>
            </w:pPr>
            <w:r>
              <w:rPr>
                <w:rFonts w:hint="eastAsia"/>
                <w:color w:val="auto"/>
                <w:highlight w:val="none"/>
              </w:rPr>
              <w:t>2、主机系统</w:t>
            </w:r>
          </w:p>
          <w:p w14:paraId="76FE58B7">
            <w:pPr>
              <w:pStyle w:val="17"/>
              <w:keepNext w:val="0"/>
              <w:keepLines w:val="0"/>
              <w:pageBreakBefore w:val="0"/>
              <w:widowControl w:val="0"/>
              <w:numPr>
                <w:ilvl w:val="0"/>
                <w:numId w:val="0"/>
              </w:numPr>
              <w:kinsoku/>
              <w:wordWrap/>
              <w:overflowPunct/>
              <w:topLinePunct w:val="0"/>
              <w:autoSpaceDE/>
              <w:autoSpaceDN/>
              <w:bidi w:val="0"/>
              <w:adjustRightInd/>
              <w:snapToGrid/>
              <w:spacing w:line="360" w:lineRule="exact"/>
              <w:ind w:leftChars="0" w:firstLine="420" w:firstLineChars="200"/>
              <w:jc w:val="both"/>
              <w:textAlignment w:val="auto"/>
              <w:rPr>
                <w:rFonts w:hint="eastAsia"/>
                <w:color w:val="auto"/>
                <w:highlight w:val="none"/>
              </w:rPr>
            </w:pPr>
            <w:r>
              <w:rPr>
                <w:rFonts w:hint="eastAsia"/>
                <w:color w:val="auto"/>
                <w:highlight w:val="none"/>
              </w:rPr>
              <w:t>▲2.1设备一体化底盘设计：所有核心模块（包括但不限于机械臂、光学定位系统、主机和显示屏）需物理集成在同一个移动底座中，形成一个不可拆分的整机单元，无额外组件占用手术室面积。</w:t>
            </w:r>
          </w:p>
          <w:p w14:paraId="07AD8CD9">
            <w:pPr>
              <w:pStyle w:val="17"/>
              <w:keepNext w:val="0"/>
              <w:keepLines w:val="0"/>
              <w:pageBreakBefore w:val="0"/>
              <w:widowControl w:val="0"/>
              <w:numPr>
                <w:ilvl w:val="0"/>
                <w:numId w:val="0"/>
              </w:numPr>
              <w:kinsoku/>
              <w:wordWrap/>
              <w:overflowPunct/>
              <w:topLinePunct w:val="0"/>
              <w:autoSpaceDE/>
              <w:autoSpaceDN/>
              <w:bidi w:val="0"/>
              <w:adjustRightInd/>
              <w:snapToGrid/>
              <w:spacing w:line="360" w:lineRule="exact"/>
              <w:ind w:leftChars="0" w:firstLine="420" w:firstLineChars="200"/>
              <w:jc w:val="both"/>
              <w:textAlignment w:val="auto"/>
              <w:rPr>
                <w:rFonts w:hint="eastAsia"/>
                <w:color w:val="auto"/>
                <w:highlight w:val="none"/>
              </w:rPr>
            </w:pPr>
            <w:r>
              <w:rPr>
                <w:rFonts w:hint="eastAsia"/>
                <w:color w:val="auto"/>
                <w:highlight w:val="none"/>
              </w:rPr>
              <w:t>2.2 可移动式设计：集成光学定位仪与机械臂的一体化机身需具备万向脚轮，可实现多间手术室灵活移动。</w:t>
            </w:r>
          </w:p>
          <w:p w14:paraId="7545F1CB">
            <w:pPr>
              <w:pStyle w:val="17"/>
              <w:keepNext w:val="0"/>
              <w:keepLines w:val="0"/>
              <w:pageBreakBefore w:val="0"/>
              <w:widowControl w:val="0"/>
              <w:numPr>
                <w:ilvl w:val="0"/>
                <w:numId w:val="0"/>
              </w:numPr>
              <w:kinsoku/>
              <w:wordWrap/>
              <w:overflowPunct/>
              <w:topLinePunct w:val="0"/>
              <w:autoSpaceDE/>
              <w:autoSpaceDN/>
              <w:bidi w:val="0"/>
              <w:adjustRightInd/>
              <w:snapToGrid/>
              <w:spacing w:line="360" w:lineRule="exact"/>
              <w:ind w:leftChars="0" w:firstLine="420" w:firstLineChars="200"/>
              <w:jc w:val="both"/>
              <w:textAlignment w:val="auto"/>
              <w:rPr>
                <w:rFonts w:hint="eastAsia"/>
                <w:color w:val="auto"/>
                <w:highlight w:val="none"/>
              </w:rPr>
            </w:pPr>
            <w:r>
              <w:rPr>
                <w:rFonts w:hint="eastAsia"/>
                <w:color w:val="auto"/>
                <w:highlight w:val="none"/>
              </w:rPr>
              <w:t>2.3 单台车设计：单人单次即可完成整套设备的手术室内转运。</w:t>
            </w:r>
          </w:p>
          <w:p w14:paraId="0CFA5322">
            <w:pPr>
              <w:pStyle w:val="17"/>
              <w:keepNext w:val="0"/>
              <w:keepLines w:val="0"/>
              <w:pageBreakBefore w:val="0"/>
              <w:widowControl w:val="0"/>
              <w:numPr>
                <w:ilvl w:val="0"/>
                <w:numId w:val="0"/>
              </w:numPr>
              <w:kinsoku/>
              <w:wordWrap/>
              <w:overflowPunct/>
              <w:topLinePunct w:val="0"/>
              <w:autoSpaceDE/>
              <w:autoSpaceDN/>
              <w:bidi w:val="0"/>
              <w:adjustRightInd/>
              <w:snapToGrid/>
              <w:spacing w:line="360" w:lineRule="exact"/>
              <w:ind w:leftChars="0" w:firstLine="420" w:firstLineChars="200"/>
              <w:jc w:val="both"/>
              <w:textAlignment w:val="auto"/>
              <w:rPr>
                <w:rFonts w:hint="eastAsia"/>
                <w:color w:val="auto"/>
                <w:highlight w:val="none"/>
              </w:rPr>
            </w:pPr>
            <w:r>
              <w:rPr>
                <w:rFonts w:hint="eastAsia"/>
                <w:color w:val="auto"/>
                <w:highlight w:val="none"/>
              </w:rPr>
              <w:t>2.4 主机需配有用户可访问的 USB 端 口，用户可通过 USB 端口不受限制的读取和传输医学影像及手术计划数据。</w:t>
            </w:r>
          </w:p>
          <w:p w14:paraId="215DEC7E">
            <w:pPr>
              <w:pStyle w:val="17"/>
              <w:keepNext w:val="0"/>
              <w:keepLines w:val="0"/>
              <w:pageBreakBefore w:val="0"/>
              <w:widowControl w:val="0"/>
              <w:numPr>
                <w:ilvl w:val="0"/>
                <w:numId w:val="0"/>
              </w:numPr>
              <w:kinsoku/>
              <w:wordWrap/>
              <w:overflowPunct/>
              <w:topLinePunct w:val="0"/>
              <w:autoSpaceDE/>
              <w:autoSpaceDN/>
              <w:bidi w:val="0"/>
              <w:adjustRightInd/>
              <w:snapToGrid/>
              <w:spacing w:line="360" w:lineRule="exact"/>
              <w:ind w:leftChars="0" w:firstLine="420" w:firstLineChars="200"/>
              <w:jc w:val="both"/>
              <w:textAlignment w:val="auto"/>
              <w:rPr>
                <w:rFonts w:hint="eastAsia"/>
                <w:color w:val="auto"/>
                <w:highlight w:val="none"/>
              </w:rPr>
            </w:pPr>
            <w:r>
              <w:rPr>
                <w:rFonts w:hint="eastAsia"/>
                <w:color w:val="auto"/>
                <w:highlight w:val="none"/>
              </w:rPr>
              <w:t>2.5 手眼集成式设计：系统机械臂末端可通过螺丝钉固定光学定位仪，光学定位仪可跟随机 械臂运动完成扫描定位。</w:t>
            </w:r>
          </w:p>
          <w:p w14:paraId="21A1EDDB">
            <w:pPr>
              <w:pStyle w:val="17"/>
              <w:keepNext w:val="0"/>
              <w:keepLines w:val="0"/>
              <w:pageBreakBefore w:val="0"/>
              <w:widowControl w:val="0"/>
              <w:numPr>
                <w:ilvl w:val="0"/>
                <w:numId w:val="0"/>
              </w:numPr>
              <w:kinsoku/>
              <w:wordWrap/>
              <w:overflowPunct/>
              <w:topLinePunct w:val="0"/>
              <w:autoSpaceDE/>
              <w:autoSpaceDN/>
              <w:bidi w:val="0"/>
              <w:adjustRightInd/>
              <w:snapToGrid/>
              <w:spacing w:line="360" w:lineRule="exact"/>
              <w:ind w:leftChars="0" w:firstLine="420" w:firstLineChars="200"/>
              <w:jc w:val="both"/>
              <w:textAlignment w:val="auto"/>
              <w:rPr>
                <w:rFonts w:hint="eastAsia"/>
                <w:color w:val="auto"/>
                <w:highlight w:val="none"/>
              </w:rPr>
            </w:pPr>
            <w:r>
              <w:rPr>
                <w:rFonts w:hint="eastAsia"/>
                <w:color w:val="auto"/>
                <w:highlight w:val="none"/>
              </w:rPr>
              <w:t>2.6 系统配有设备连床支架组件，可将光学定位仪、机械臂、手术床形成固定连接，确保术 中稳定性和精准度。</w:t>
            </w:r>
          </w:p>
          <w:p w14:paraId="7393D71C">
            <w:pPr>
              <w:pStyle w:val="17"/>
              <w:keepNext w:val="0"/>
              <w:keepLines w:val="0"/>
              <w:pageBreakBefore w:val="0"/>
              <w:widowControl w:val="0"/>
              <w:numPr>
                <w:ilvl w:val="0"/>
                <w:numId w:val="0"/>
              </w:numPr>
              <w:kinsoku/>
              <w:wordWrap/>
              <w:overflowPunct/>
              <w:topLinePunct w:val="0"/>
              <w:autoSpaceDE/>
              <w:autoSpaceDN/>
              <w:bidi w:val="0"/>
              <w:adjustRightInd/>
              <w:snapToGrid/>
              <w:spacing w:line="360" w:lineRule="exact"/>
              <w:ind w:leftChars="0" w:firstLine="420" w:firstLineChars="200"/>
              <w:jc w:val="both"/>
              <w:textAlignment w:val="auto"/>
              <w:rPr>
                <w:rFonts w:hint="eastAsia"/>
                <w:color w:val="auto"/>
                <w:highlight w:val="none"/>
              </w:rPr>
            </w:pPr>
            <w:r>
              <w:rPr>
                <w:rFonts w:hint="eastAsia"/>
                <w:color w:val="auto"/>
                <w:highlight w:val="none"/>
              </w:rPr>
              <w:t>▲2.7 光学定位仪与机械臂集成一体的整机台车高度应≤2000mm，以便于在限高范围内实现轻松的移动和转运。</w:t>
            </w:r>
          </w:p>
          <w:p w14:paraId="5A4B1C9F">
            <w:pPr>
              <w:pStyle w:val="17"/>
              <w:keepNext w:val="0"/>
              <w:keepLines w:val="0"/>
              <w:pageBreakBefore w:val="0"/>
              <w:widowControl w:val="0"/>
              <w:numPr>
                <w:ilvl w:val="0"/>
                <w:numId w:val="0"/>
              </w:numPr>
              <w:kinsoku/>
              <w:wordWrap/>
              <w:overflowPunct/>
              <w:topLinePunct w:val="0"/>
              <w:autoSpaceDE/>
              <w:autoSpaceDN/>
              <w:bidi w:val="0"/>
              <w:adjustRightInd/>
              <w:snapToGrid/>
              <w:spacing w:line="360" w:lineRule="exact"/>
              <w:ind w:leftChars="0" w:firstLine="420" w:firstLineChars="200"/>
              <w:jc w:val="both"/>
              <w:textAlignment w:val="auto"/>
              <w:rPr>
                <w:rFonts w:hint="eastAsia"/>
                <w:color w:val="auto"/>
                <w:highlight w:val="none"/>
              </w:rPr>
            </w:pPr>
            <w:r>
              <w:rPr>
                <w:rFonts w:hint="eastAsia"/>
                <w:color w:val="auto"/>
                <w:highlight w:val="none"/>
              </w:rPr>
              <w:t>▲2.8 光学定位仪与机械臂集成一体的整机重量应≤300kg， 以便于多个手术间之间轻松转运。</w:t>
            </w:r>
          </w:p>
          <w:p w14:paraId="55EE9B72">
            <w:pPr>
              <w:pStyle w:val="17"/>
              <w:keepNext w:val="0"/>
              <w:keepLines w:val="0"/>
              <w:pageBreakBefore w:val="0"/>
              <w:widowControl w:val="0"/>
              <w:numPr>
                <w:ilvl w:val="0"/>
                <w:numId w:val="0"/>
              </w:numPr>
              <w:kinsoku/>
              <w:wordWrap/>
              <w:overflowPunct/>
              <w:topLinePunct w:val="0"/>
              <w:autoSpaceDE/>
              <w:autoSpaceDN/>
              <w:bidi w:val="0"/>
              <w:adjustRightInd/>
              <w:snapToGrid/>
              <w:spacing w:line="360" w:lineRule="exact"/>
              <w:ind w:leftChars="0" w:firstLine="420" w:firstLineChars="200"/>
              <w:jc w:val="both"/>
              <w:textAlignment w:val="auto"/>
              <w:rPr>
                <w:rFonts w:hint="eastAsia"/>
                <w:color w:val="auto"/>
                <w:highlight w:val="none"/>
              </w:rPr>
            </w:pPr>
            <w:r>
              <w:rPr>
                <w:rFonts w:hint="eastAsia"/>
                <w:color w:val="auto"/>
                <w:highlight w:val="none"/>
              </w:rPr>
              <w:t>2.9 光学定位仪需与显示屏集成在同一台车中， 以便于术中随时调整为最佳视角。</w:t>
            </w:r>
          </w:p>
          <w:p w14:paraId="38857E4A">
            <w:pPr>
              <w:pStyle w:val="17"/>
              <w:keepNext w:val="0"/>
              <w:keepLines w:val="0"/>
              <w:pageBreakBefore w:val="0"/>
              <w:widowControl w:val="0"/>
              <w:numPr>
                <w:ilvl w:val="0"/>
                <w:numId w:val="0"/>
              </w:numPr>
              <w:kinsoku/>
              <w:wordWrap/>
              <w:overflowPunct/>
              <w:topLinePunct w:val="0"/>
              <w:autoSpaceDE/>
              <w:autoSpaceDN/>
              <w:bidi w:val="0"/>
              <w:adjustRightInd/>
              <w:snapToGrid/>
              <w:spacing w:line="360" w:lineRule="exact"/>
              <w:ind w:leftChars="0" w:firstLine="420" w:firstLineChars="200"/>
              <w:jc w:val="both"/>
              <w:textAlignment w:val="auto"/>
              <w:rPr>
                <w:rFonts w:hint="eastAsia"/>
                <w:color w:val="auto"/>
                <w:highlight w:val="none"/>
              </w:rPr>
            </w:pPr>
            <w:r>
              <w:rPr>
                <w:rFonts w:hint="eastAsia"/>
                <w:color w:val="auto"/>
                <w:highlight w:val="none"/>
              </w:rPr>
              <w:t>2.10 设备具备升降系统，光学定位仪与机械臂可跟随整机同时升起至万向轮离开地面，保证手术全程设备安全稳定。</w:t>
            </w:r>
          </w:p>
          <w:p w14:paraId="3EF1EEF6">
            <w:pPr>
              <w:pStyle w:val="17"/>
              <w:keepNext w:val="0"/>
              <w:keepLines w:val="0"/>
              <w:pageBreakBefore w:val="0"/>
              <w:widowControl w:val="0"/>
              <w:numPr>
                <w:ilvl w:val="0"/>
                <w:numId w:val="0"/>
              </w:numPr>
              <w:kinsoku/>
              <w:wordWrap/>
              <w:overflowPunct/>
              <w:topLinePunct w:val="0"/>
              <w:autoSpaceDE/>
              <w:autoSpaceDN/>
              <w:bidi w:val="0"/>
              <w:adjustRightInd/>
              <w:snapToGrid/>
              <w:spacing w:line="360" w:lineRule="exact"/>
              <w:ind w:leftChars="0" w:firstLine="420" w:firstLineChars="200"/>
              <w:jc w:val="both"/>
              <w:textAlignment w:val="auto"/>
              <w:rPr>
                <w:rFonts w:hint="eastAsia"/>
                <w:color w:val="auto"/>
                <w:highlight w:val="none"/>
              </w:rPr>
            </w:pPr>
            <w:r>
              <w:rPr>
                <w:rFonts w:hint="eastAsia"/>
                <w:color w:val="auto"/>
                <w:highlight w:val="none"/>
              </w:rPr>
              <w:t>3.机械臂</w:t>
            </w:r>
          </w:p>
          <w:p w14:paraId="0DF9205A">
            <w:pPr>
              <w:pStyle w:val="17"/>
              <w:keepNext w:val="0"/>
              <w:keepLines w:val="0"/>
              <w:pageBreakBefore w:val="0"/>
              <w:widowControl w:val="0"/>
              <w:numPr>
                <w:ilvl w:val="0"/>
                <w:numId w:val="0"/>
              </w:numPr>
              <w:kinsoku/>
              <w:wordWrap/>
              <w:overflowPunct/>
              <w:topLinePunct w:val="0"/>
              <w:autoSpaceDE/>
              <w:autoSpaceDN/>
              <w:bidi w:val="0"/>
              <w:adjustRightInd/>
              <w:snapToGrid/>
              <w:spacing w:line="360" w:lineRule="exact"/>
              <w:ind w:leftChars="0" w:firstLine="420" w:firstLineChars="200"/>
              <w:jc w:val="both"/>
              <w:textAlignment w:val="auto"/>
              <w:rPr>
                <w:rFonts w:hint="eastAsia"/>
                <w:color w:val="auto"/>
                <w:highlight w:val="none"/>
              </w:rPr>
            </w:pPr>
            <w:r>
              <w:rPr>
                <w:rFonts w:hint="eastAsia"/>
                <w:color w:val="auto"/>
                <w:highlight w:val="none"/>
              </w:rPr>
              <w:t>3.1 主机系统机械臂一次摆位即可拾取全颅脑任意点坐标。</w:t>
            </w:r>
          </w:p>
          <w:p w14:paraId="1EE0085C">
            <w:pPr>
              <w:pStyle w:val="17"/>
              <w:keepNext w:val="0"/>
              <w:keepLines w:val="0"/>
              <w:pageBreakBefore w:val="0"/>
              <w:widowControl w:val="0"/>
              <w:numPr>
                <w:ilvl w:val="0"/>
                <w:numId w:val="0"/>
              </w:numPr>
              <w:kinsoku/>
              <w:wordWrap/>
              <w:overflowPunct/>
              <w:topLinePunct w:val="0"/>
              <w:autoSpaceDE/>
              <w:autoSpaceDN/>
              <w:bidi w:val="0"/>
              <w:adjustRightInd/>
              <w:snapToGrid/>
              <w:spacing w:line="360" w:lineRule="exact"/>
              <w:ind w:leftChars="0" w:firstLine="420" w:firstLineChars="200"/>
              <w:jc w:val="both"/>
              <w:textAlignment w:val="auto"/>
              <w:rPr>
                <w:rFonts w:hint="eastAsia"/>
                <w:color w:val="auto"/>
                <w:highlight w:val="none"/>
              </w:rPr>
            </w:pPr>
            <w:r>
              <w:rPr>
                <w:rFonts w:hint="eastAsia"/>
                <w:color w:val="auto"/>
                <w:highlight w:val="none"/>
              </w:rPr>
              <w:t>●3.2 机械臂可旋转关节≥4个，且可旋转关节具有摩擦式抱闸刹车结构。</w:t>
            </w:r>
          </w:p>
          <w:p w14:paraId="5AF3DFDC">
            <w:pPr>
              <w:pStyle w:val="17"/>
              <w:keepNext w:val="0"/>
              <w:keepLines w:val="0"/>
              <w:pageBreakBefore w:val="0"/>
              <w:widowControl w:val="0"/>
              <w:numPr>
                <w:ilvl w:val="0"/>
                <w:numId w:val="0"/>
              </w:numPr>
              <w:kinsoku/>
              <w:wordWrap/>
              <w:overflowPunct/>
              <w:topLinePunct w:val="0"/>
              <w:autoSpaceDE/>
              <w:autoSpaceDN/>
              <w:bidi w:val="0"/>
              <w:adjustRightInd/>
              <w:snapToGrid/>
              <w:spacing w:line="360" w:lineRule="exact"/>
              <w:ind w:leftChars="0" w:firstLine="420" w:firstLineChars="200"/>
              <w:jc w:val="both"/>
              <w:textAlignment w:val="auto"/>
              <w:rPr>
                <w:rFonts w:hint="eastAsia"/>
                <w:color w:val="auto"/>
                <w:highlight w:val="none"/>
              </w:rPr>
            </w:pPr>
            <w:r>
              <w:rPr>
                <w:rFonts w:hint="eastAsia"/>
                <w:color w:val="auto"/>
                <w:highlight w:val="none"/>
              </w:rPr>
              <w:t>3.3 用户可通过脚踏开关控制机械臂运动状态，仅需单人即可完成手动驱动模式。</w:t>
            </w:r>
          </w:p>
          <w:p w14:paraId="2DF58BDB">
            <w:pPr>
              <w:pStyle w:val="17"/>
              <w:keepNext w:val="0"/>
              <w:keepLines w:val="0"/>
              <w:pageBreakBefore w:val="0"/>
              <w:widowControl w:val="0"/>
              <w:numPr>
                <w:ilvl w:val="0"/>
                <w:numId w:val="0"/>
              </w:numPr>
              <w:kinsoku/>
              <w:wordWrap/>
              <w:overflowPunct/>
              <w:topLinePunct w:val="0"/>
              <w:autoSpaceDE/>
              <w:autoSpaceDN/>
              <w:bidi w:val="0"/>
              <w:adjustRightInd/>
              <w:snapToGrid/>
              <w:spacing w:line="360" w:lineRule="exact"/>
              <w:ind w:leftChars="0" w:firstLine="420" w:firstLineChars="200"/>
              <w:jc w:val="both"/>
              <w:textAlignment w:val="auto"/>
              <w:rPr>
                <w:rFonts w:hint="eastAsia"/>
                <w:color w:val="auto"/>
                <w:highlight w:val="none"/>
              </w:rPr>
            </w:pPr>
            <w:r>
              <w:rPr>
                <w:rFonts w:hint="eastAsia"/>
                <w:color w:val="auto"/>
                <w:highlight w:val="none"/>
              </w:rPr>
              <w:t>▲3.4 机械臂与光学定位仪需集成在同一主机台车中，术前无需手动连接和调试，可即快速 开展手术。</w:t>
            </w:r>
          </w:p>
          <w:p w14:paraId="47B29205">
            <w:pPr>
              <w:pStyle w:val="17"/>
              <w:keepNext w:val="0"/>
              <w:keepLines w:val="0"/>
              <w:pageBreakBefore w:val="0"/>
              <w:widowControl w:val="0"/>
              <w:numPr>
                <w:ilvl w:val="0"/>
                <w:numId w:val="0"/>
              </w:numPr>
              <w:kinsoku/>
              <w:wordWrap/>
              <w:overflowPunct/>
              <w:topLinePunct w:val="0"/>
              <w:autoSpaceDE/>
              <w:autoSpaceDN/>
              <w:bidi w:val="0"/>
              <w:adjustRightInd/>
              <w:snapToGrid/>
              <w:spacing w:line="360" w:lineRule="exact"/>
              <w:ind w:leftChars="0" w:firstLine="420" w:firstLineChars="200"/>
              <w:jc w:val="both"/>
              <w:textAlignment w:val="auto"/>
              <w:rPr>
                <w:rFonts w:hint="eastAsia"/>
                <w:color w:val="auto"/>
                <w:highlight w:val="none"/>
              </w:rPr>
            </w:pPr>
            <w:r>
              <w:rPr>
                <w:rFonts w:hint="eastAsia"/>
                <w:color w:val="auto"/>
                <w:highlight w:val="none"/>
              </w:rPr>
              <w:t>3.5 机械臂末端具备六维力传感器，单人即可拖动机械臂末端调整机械臂的运动姿态。</w:t>
            </w:r>
          </w:p>
          <w:p w14:paraId="479DD509">
            <w:pPr>
              <w:pStyle w:val="17"/>
              <w:keepNext w:val="0"/>
              <w:keepLines w:val="0"/>
              <w:pageBreakBefore w:val="0"/>
              <w:widowControl w:val="0"/>
              <w:numPr>
                <w:ilvl w:val="0"/>
                <w:numId w:val="0"/>
              </w:numPr>
              <w:kinsoku/>
              <w:wordWrap/>
              <w:overflowPunct/>
              <w:topLinePunct w:val="0"/>
              <w:autoSpaceDE/>
              <w:autoSpaceDN/>
              <w:bidi w:val="0"/>
              <w:adjustRightInd/>
              <w:snapToGrid/>
              <w:spacing w:line="360" w:lineRule="exact"/>
              <w:ind w:leftChars="0" w:firstLine="420" w:firstLineChars="200"/>
              <w:jc w:val="both"/>
              <w:textAlignment w:val="auto"/>
              <w:rPr>
                <w:rFonts w:hint="eastAsia"/>
                <w:color w:val="auto"/>
                <w:highlight w:val="none"/>
              </w:rPr>
            </w:pPr>
            <w:r>
              <w:rPr>
                <w:rFonts w:hint="eastAsia"/>
                <w:color w:val="auto"/>
                <w:highlight w:val="none"/>
              </w:rPr>
              <w:t>3.6 机械臂末端承载</w:t>
            </w:r>
            <w:r>
              <w:rPr>
                <w:rFonts w:hint="eastAsia"/>
                <w:color w:val="auto"/>
                <w:highlight w:val="none"/>
                <w:lang w:eastAsia="zh-CN"/>
              </w:rPr>
              <w:t>≥</w:t>
            </w:r>
            <w:r>
              <w:rPr>
                <w:rFonts w:hint="eastAsia"/>
                <w:color w:val="auto"/>
                <w:highlight w:val="none"/>
              </w:rPr>
              <w:t>5kg， 当末端承载 5kg 时机械臂末端位移应≤2mm。</w:t>
            </w:r>
          </w:p>
          <w:p w14:paraId="25200D52">
            <w:pPr>
              <w:pStyle w:val="17"/>
              <w:keepNext w:val="0"/>
              <w:keepLines w:val="0"/>
              <w:pageBreakBefore w:val="0"/>
              <w:widowControl w:val="0"/>
              <w:numPr>
                <w:ilvl w:val="0"/>
                <w:numId w:val="0"/>
              </w:numPr>
              <w:kinsoku/>
              <w:wordWrap/>
              <w:overflowPunct/>
              <w:topLinePunct w:val="0"/>
              <w:autoSpaceDE/>
              <w:autoSpaceDN/>
              <w:bidi w:val="0"/>
              <w:adjustRightInd/>
              <w:snapToGrid/>
              <w:spacing w:line="360" w:lineRule="exact"/>
              <w:ind w:leftChars="0" w:firstLine="420" w:firstLineChars="200"/>
              <w:jc w:val="both"/>
              <w:textAlignment w:val="auto"/>
              <w:rPr>
                <w:rFonts w:hint="eastAsia" w:eastAsia="宋体"/>
                <w:color w:val="auto"/>
                <w:highlight w:val="none"/>
                <w:lang w:eastAsia="zh-CN"/>
              </w:rPr>
            </w:pPr>
            <w:r>
              <w:rPr>
                <w:rFonts w:hint="eastAsia"/>
                <w:color w:val="auto"/>
                <w:highlight w:val="none"/>
              </w:rPr>
              <w:t>▲3.7 机械臂重量≤40KG</w:t>
            </w:r>
            <w:r>
              <w:rPr>
                <w:rFonts w:hint="eastAsia"/>
                <w:color w:val="auto"/>
                <w:highlight w:val="none"/>
                <w:lang w:eastAsia="zh-CN"/>
              </w:rPr>
              <w:t>；</w:t>
            </w:r>
          </w:p>
          <w:p w14:paraId="0DEDB55F">
            <w:pPr>
              <w:pStyle w:val="17"/>
              <w:keepNext w:val="0"/>
              <w:keepLines w:val="0"/>
              <w:pageBreakBefore w:val="0"/>
              <w:widowControl w:val="0"/>
              <w:numPr>
                <w:ilvl w:val="0"/>
                <w:numId w:val="0"/>
              </w:numPr>
              <w:kinsoku/>
              <w:wordWrap/>
              <w:overflowPunct/>
              <w:topLinePunct w:val="0"/>
              <w:autoSpaceDE/>
              <w:autoSpaceDN/>
              <w:bidi w:val="0"/>
              <w:adjustRightInd/>
              <w:snapToGrid/>
              <w:spacing w:line="360" w:lineRule="exact"/>
              <w:ind w:leftChars="0" w:firstLine="420" w:firstLineChars="200"/>
              <w:jc w:val="both"/>
              <w:textAlignment w:val="auto"/>
              <w:rPr>
                <w:rFonts w:hint="eastAsia"/>
                <w:color w:val="auto"/>
                <w:highlight w:val="none"/>
              </w:rPr>
            </w:pPr>
            <w:r>
              <w:rPr>
                <w:rFonts w:hint="eastAsia"/>
                <w:color w:val="auto"/>
                <w:highlight w:val="none"/>
              </w:rPr>
              <w:t>●3.8机械臂末端通过螺丝钉固定手术工具，确保安全稳定；</w:t>
            </w:r>
          </w:p>
          <w:p w14:paraId="0BA05EF9">
            <w:pPr>
              <w:pStyle w:val="17"/>
              <w:keepNext w:val="0"/>
              <w:keepLines w:val="0"/>
              <w:pageBreakBefore w:val="0"/>
              <w:widowControl w:val="0"/>
              <w:numPr>
                <w:ilvl w:val="0"/>
                <w:numId w:val="0"/>
              </w:numPr>
              <w:kinsoku/>
              <w:wordWrap/>
              <w:overflowPunct/>
              <w:topLinePunct w:val="0"/>
              <w:autoSpaceDE/>
              <w:autoSpaceDN/>
              <w:bidi w:val="0"/>
              <w:adjustRightInd/>
              <w:snapToGrid/>
              <w:spacing w:line="360" w:lineRule="exact"/>
              <w:ind w:leftChars="0" w:firstLine="420" w:firstLineChars="200"/>
              <w:jc w:val="both"/>
              <w:textAlignment w:val="auto"/>
              <w:rPr>
                <w:rFonts w:hint="eastAsia"/>
                <w:color w:val="auto"/>
                <w:highlight w:val="none"/>
              </w:rPr>
            </w:pPr>
            <w:r>
              <w:rPr>
                <w:rFonts w:hint="eastAsia"/>
                <w:color w:val="auto"/>
                <w:highlight w:val="none"/>
              </w:rPr>
              <w:t>3.9机械臂末端具备PEEK材质绝缘连接法兰，确保介质耐压可达4000V；</w:t>
            </w:r>
          </w:p>
          <w:p w14:paraId="702EC511">
            <w:pPr>
              <w:pStyle w:val="17"/>
              <w:keepNext w:val="0"/>
              <w:keepLines w:val="0"/>
              <w:pageBreakBefore w:val="0"/>
              <w:widowControl w:val="0"/>
              <w:numPr>
                <w:ilvl w:val="0"/>
                <w:numId w:val="0"/>
              </w:numPr>
              <w:kinsoku/>
              <w:wordWrap/>
              <w:overflowPunct/>
              <w:topLinePunct w:val="0"/>
              <w:autoSpaceDE/>
              <w:autoSpaceDN/>
              <w:bidi w:val="0"/>
              <w:adjustRightInd/>
              <w:snapToGrid/>
              <w:spacing w:line="360" w:lineRule="exact"/>
              <w:ind w:leftChars="0" w:firstLine="420" w:firstLineChars="200"/>
              <w:jc w:val="both"/>
              <w:textAlignment w:val="auto"/>
              <w:rPr>
                <w:rFonts w:hint="eastAsia"/>
                <w:color w:val="auto"/>
                <w:highlight w:val="none"/>
              </w:rPr>
            </w:pPr>
            <w:r>
              <w:rPr>
                <w:rFonts w:hint="eastAsia"/>
                <w:color w:val="auto"/>
                <w:highlight w:val="none"/>
              </w:rPr>
              <w:t>4、光学定位系统</w:t>
            </w:r>
          </w:p>
          <w:p w14:paraId="315B4E46">
            <w:pPr>
              <w:pStyle w:val="17"/>
              <w:keepNext w:val="0"/>
              <w:keepLines w:val="0"/>
              <w:pageBreakBefore w:val="0"/>
              <w:widowControl w:val="0"/>
              <w:numPr>
                <w:ilvl w:val="0"/>
                <w:numId w:val="0"/>
              </w:numPr>
              <w:kinsoku/>
              <w:wordWrap/>
              <w:overflowPunct/>
              <w:topLinePunct w:val="0"/>
              <w:autoSpaceDE/>
              <w:autoSpaceDN/>
              <w:bidi w:val="0"/>
              <w:adjustRightInd/>
              <w:snapToGrid/>
              <w:spacing w:line="360" w:lineRule="exact"/>
              <w:ind w:leftChars="0" w:firstLine="420" w:firstLineChars="200"/>
              <w:jc w:val="both"/>
              <w:textAlignment w:val="auto"/>
              <w:rPr>
                <w:rFonts w:hint="eastAsia"/>
                <w:color w:val="auto"/>
                <w:highlight w:val="none"/>
              </w:rPr>
            </w:pPr>
            <w:r>
              <w:rPr>
                <w:rFonts w:hint="eastAsia"/>
                <w:color w:val="auto"/>
                <w:highlight w:val="none"/>
              </w:rPr>
              <w:t>▲4.1 系统具备3D结构光光学定位仪或具备磁场发生器，即可实现对患者头面部位置和姿态进行精准定位。</w:t>
            </w:r>
          </w:p>
          <w:p w14:paraId="71AACB81">
            <w:pPr>
              <w:pStyle w:val="17"/>
              <w:keepNext w:val="0"/>
              <w:keepLines w:val="0"/>
              <w:pageBreakBefore w:val="0"/>
              <w:widowControl w:val="0"/>
              <w:numPr>
                <w:ilvl w:val="0"/>
                <w:numId w:val="0"/>
              </w:numPr>
              <w:kinsoku/>
              <w:wordWrap/>
              <w:overflowPunct/>
              <w:topLinePunct w:val="0"/>
              <w:autoSpaceDE/>
              <w:autoSpaceDN/>
              <w:bidi w:val="0"/>
              <w:adjustRightInd/>
              <w:snapToGrid/>
              <w:spacing w:line="360" w:lineRule="exact"/>
              <w:ind w:leftChars="0" w:firstLine="420" w:firstLineChars="200"/>
              <w:jc w:val="both"/>
              <w:textAlignment w:val="auto"/>
              <w:rPr>
                <w:rFonts w:hint="eastAsia"/>
                <w:color w:val="auto"/>
                <w:highlight w:val="none"/>
              </w:rPr>
            </w:pPr>
            <w:r>
              <w:rPr>
                <w:rFonts w:hint="eastAsia"/>
                <w:color w:val="auto"/>
                <w:highlight w:val="none"/>
              </w:rPr>
              <w:t xml:space="preserve">●4.2 </w:t>
            </w:r>
            <w:r>
              <w:rPr>
                <w:rFonts w:hint="eastAsia"/>
                <w:color w:val="auto"/>
                <w:highlight w:val="none"/>
                <w:lang w:val="en-US" w:eastAsia="zh-CN"/>
              </w:rPr>
              <w:t xml:space="preserve">  </w:t>
            </w:r>
            <w:r>
              <w:rPr>
                <w:rFonts w:hint="eastAsia"/>
                <w:color w:val="auto"/>
                <w:highlight w:val="none"/>
              </w:rPr>
              <w:t>3D 结构光或磁场发生器定位仪定位精度应≤0.2mm。</w:t>
            </w:r>
          </w:p>
          <w:p w14:paraId="4A6D57D4">
            <w:pPr>
              <w:pStyle w:val="17"/>
              <w:keepNext w:val="0"/>
              <w:keepLines w:val="0"/>
              <w:pageBreakBefore w:val="0"/>
              <w:widowControl w:val="0"/>
              <w:numPr>
                <w:ilvl w:val="0"/>
                <w:numId w:val="0"/>
              </w:numPr>
              <w:kinsoku/>
              <w:wordWrap/>
              <w:overflowPunct/>
              <w:topLinePunct w:val="0"/>
              <w:autoSpaceDE/>
              <w:autoSpaceDN/>
              <w:bidi w:val="0"/>
              <w:adjustRightInd/>
              <w:snapToGrid/>
              <w:spacing w:line="360" w:lineRule="exact"/>
              <w:ind w:leftChars="0" w:firstLine="420" w:firstLineChars="200"/>
              <w:jc w:val="both"/>
              <w:textAlignment w:val="auto"/>
              <w:rPr>
                <w:rFonts w:hint="eastAsia"/>
                <w:color w:val="auto"/>
                <w:highlight w:val="none"/>
              </w:rPr>
            </w:pPr>
            <w:r>
              <w:rPr>
                <w:rFonts w:hint="eastAsia"/>
                <w:color w:val="auto"/>
                <w:highlight w:val="none"/>
              </w:rPr>
              <w:t>4.3 定位仪注册扫描时间应≤3 分钟，确保急重症手术可以方便、快速的开展。</w:t>
            </w:r>
          </w:p>
          <w:p w14:paraId="74C0DCE0">
            <w:pPr>
              <w:pStyle w:val="17"/>
              <w:keepNext w:val="0"/>
              <w:keepLines w:val="0"/>
              <w:pageBreakBefore w:val="0"/>
              <w:widowControl w:val="0"/>
              <w:numPr>
                <w:ilvl w:val="0"/>
                <w:numId w:val="0"/>
              </w:numPr>
              <w:kinsoku/>
              <w:wordWrap/>
              <w:overflowPunct/>
              <w:topLinePunct w:val="0"/>
              <w:autoSpaceDE/>
              <w:autoSpaceDN/>
              <w:bidi w:val="0"/>
              <w:adjustRightInd/>
              <w:snapToGrid/>
              <w:spacing w:line="360" w:lineRule="exact"/>
              <w:ind w:leftChars="0" w:firstLine="420" w:firstLineChars="200"/>
              <w:jc w:val="both"/>
              <w:textAlignment w:val="auto"/>
              <w:rPr>
                <w:rFonts w:hint="eastAsia"/>
                <w:color w:val="auto"/>
                <w:highlight w:val="none"/>
              </w:rPr>
            </w:pPr>
            <w:r>
              <w:rPr>
                <w:rFonts w:hint="eastAsia"/>
                <w:color w:val="auto"/>
                <w:highlight w:val="none"/>
              </w:rPr>
              <w:t>▲4.4  3D结构光定位仪可通过螺丝钉安装固定于机械臂末端支持多角度自动环绕式拍摄，或支持通过磁场发生器多角度定位。</w:t>
            </w:r>
          </w:p>
          <w:p w14:paraId="1E31C19F">
            <w:pPr>
              <w:pStyle w:val="17"/>
              <w:keepNext w:val="0"/>
              <w:keepLines w:val="0"/>
              <w:pageBreakBefore w:val="0"/>
              <w:widowControl w:val="0"/>
              <w:numPr>
                <w:ilvl w:val="0"/>
                <w:numId w:val="0"/>
              </w:numPr>
              <w:kinsoku/>
              <w:wordWrap/>
              <w:overflowPunct/>
              <w:topLinePunct w:val="0"/>
              <w:autoSpaceDE/>
              <w:autoSpaceDN/>
              <w:bidi w:val="0"/>
              <w:adjustRightInd/>
              <w:snapToGrid/>
              <w:spacing w:line="360" w:lineRule="exact"/>
              <w:ind w:leftChars="0" w:firstLine="420" w:firstLineChars="200"/>
              <w:jc w:val="both"/>
              <w:textAlignment w:val="auto"/>
              <w:rPr>
                <w:rFonts w:hint="eastAsia"/>
                <w:color w:val="auto"/>
                <w:highlight w:val="none"/>
              </w:rPr>
            </w:pPr>
            <w:r>
              <w:rPr>
                <w:rFonts w:hint="eastAsia"/>
                <w:color w:val="auto"/>
                <w:highlight w:val="none"/>
              </w:rPr>
              <w:t>5、手术工具</w:t>
            </w:r>
          </w:p>
          <w:p w14:paraId="6C51D811">
            <w:pPr>
              <w:pStyle w:val="17"/>
              <w:keepNext w:val="0"/>
              <w:keepLines w:val="0"/>
              <w:pageBreakBefore w:val="0"/>
              <w:widowControl w:val="0"/>
              <w:numPr>
                <w:ilvl w:val="0"/>
                <w:numId w:val="0"/>
              </w:numPr>
              <w:kinsoku/>
              <w:wordWrap/>
              <w:overflowPunct/>
              <w:topLinePunct w:val="0"/>
              <w:autoSpaceDE/>
              <w:autoSpaceDN/>
              <w:bidi w:val="0"/>
              <w:adjustRightInd/>
              <w:snapToGrid/>
              <w:spacing w:line="360" w:lineRule="exact"/>
              <w:ind w:leftChars="0" w:firstLine="420" w:firstLineChars="200"/>
              <w:jc w:val="both"/>
              <w:textAlignment w:val="auto"/>
              <w:rPr>
                <w:rFonts w:hint="eastAsia"/>
                <w:color w:val="auto"/>
                <w:highlight w:val="none"/>
              </w:rPr>
            </w:pPr>
            <w:r>
              <w:rPr>
                <w:rFonts w:hint="eastAsia"/>
                <w:color w:val="auto"/>
                <w:highlight w:val="none"/>
              </w:rPr>
              <w:t>●5.1 设备所有手术配件均需支持高温高压消毒灭菌，全部工具可支持多次使用。</w:t>
            </w:r>
          </w:p>
          <w:p w14:paraId="6253D2EB">
            <w:pPr>
              <w:pStyle w:val="17"/>
              <w:keepNext w:val="0"/>
              <w:keepLines w:val="0"/>
              <w:pageBreakBefore w:val="0"/>
              <w:widowControl w:val="0"/>
              <w:numPr>
                <w:ilvl w:val="0"/>
                <w:numId w:val="0"/>
              </w:numPr>
              <w:kinsoku/>
              <w:wordWrap/>
              <w:overflowPunct/>
              <w:topLinePunct w:val="0"/>
              <w:autoSpaceDE/>
              <w:autoSpaceDN/>
              <w:bidi w:val="0"/>
              <w:adjustRightInd/>
              <w:snapToGrid/>
              <w:spacing w:line="360" w:lineRule="exact"/>
              <w:ind w:leftChars="0" w:firstLine="420" w:firstLineChars="200"/>
              <w:jc w:val="both"/>
              <w:textAlignment w:val="auto"/>
              <w:rPr>
                <w:rFonts w:hint="eastAsia"/>
                <w:color w:val="auto"/>
                <w:highlight w:val="none"/>
              </w:rPr>
            </w:pPr>
            <w:r>
              <w:rPr>
                <w:rFonts w:hint="eastAsia"/>
                <w:color w:val="auto"/>
                <w:highlight w:val="none"/>
              </w:rPr>
              <w:t>5.2 探针工具：所有探针工具均无需具备光学跟踪定位标志块/球，可实现不受光路遮挡的 定位注册。</w:t>
            </w:r>
          </w:p>
          <w:p w14:paraId="7FC877B1">
            <w:pPr>
              <w:pStyle w:val="17"/>
              <w:keepNext w:val="0"/>
              <w:keepLines w:val="0"/>
              <w:pageBreakBefore w:val="0"/>
              <w:widowControl w:val="0"/>
              <w:numPr>
                <w:ilvl w:val="0"/>
                <w:numId w:val="0"/>
              </w:numPr>
              <w:kinsoku/>
              <w:wordWrap/>
              <w:overflowPunct/>
              <w:topLinePunct w:val="0"/>
              <w:autoSpaceDE/>
              <w:autoSpaceDN/>
              <w:bidi w:val="0"/>
              <w:adjustRightInd/>
              <w:snapToGrid/>
              <w:spacing w:line="360" w:lineRule="exact"/>
              <w:ind w:leftChars="0" w:firstLine="420" w:firstLineChars="200"/>
              <w:jc w:val="both"/>
              <w:textAlignment w:val="auto"/>
              <w:rPr>
                <w:rFonts w:hint="eastAsia"/>
                <w:b w:val="0"/>
                <w:bCs w:val="0"/>
                <w:color w:val="auto"/>
                <w:highlight w:val="none"/>
              </w:rPr>
            </w:pPr>
            <w:r>
              <w:rPr>
                <w:rFonts w:hint="eastAsia"/>
                <w:color w:val="auto"/>
                <w:highlight w:val="none"/>
              </w:rPr>
              <w:t>▲</w:t>
            </w:r>
            <w:r>
              <w:rPr>
                <w:rFonts w:hint="eastAsia"/>
                <w:b w:val="0"/>
                <w:bCs w:val="0"/>
                <w:color w:val="auto"/>
                <w:highlight w:val="none"/>
              </w:rPr>
              <w:t>5.3需配备2套定位定向穿刺手术工具（包括不限于手术探针、穿刺定位器、各类尺寸套筒等），以满足临床可以同时开展多台导航定位穿刺手术。</w:t>
            </w:r>
          </w:p>
          <w:p w14:paraId="70D52615">
            <w:pPr>
              <w:pStyle w:val="17"/>
              <w:keepNext w:val="0"/>
              <w:keepLines w:val="0"/>
              <w:pageBreakBefore w:val="0"/>
              <w:widowControl w:val="0"/>
              <w:numPr>
                <w:ilvl w:val="0"/>
                <w:numId w:val="0"/>
              </w:numPr>
              <w:kinsoku/>
              <w:wordWrap/>
              <w:overflowPunct/>
              <w:topLinePunct w:val="0"/>
              <w:autoSpaceDE/>
              <w:autoSpaceDN/>
              <w:bidi w:val="0"/>
              <w:adjustRightInd/>
              <w:snapToGrid/>
              <w:spacing w:line="360" w:lineRule="exact"/>
              <w:ind w:leftChars="0" w:firstLine="422" w:firstLineChars="200"/>
              <w:jc w:val="both"/>
              <w:textAlignment w:val="auto"/>
              <w:rPr>
                <w:rFonts w:hint="eastAsia"/>
                <w:color w:val="auto"/>
                <w:highlight w:val="none"/>
              </w:rPr>
            </w:pPr>
            <w:r>
              <w:rPr>
                <w:rFonts w:hint="eastAsia"/>
                <w:b/>
                <w:bCs/>
                <w:color w:val="auto"/>
                <w:highlight w:val="none"/>
              </w:rPr>
              <w:t>5.</w:t>
            </w:r>
            <w:r>
              <w:rPr>
                <w:rFonts w:hint="eastAsia"/>
                <w:b/>
                <w:bCs/>
                <w:color w:val="auto"/>
                <w:highlight w:val="none"/>
                <w:lang w:val="en-US" w:eastAsia="zh-CN"/>
              </w:rPr>
              <w:t>4</w:t>
            </w:r>
            <w:r>
              <w:rPr>
                <w:rFonts w:hint="eastAsia"/>
                <w:b/>
                <w:bCs/>
                <w:color w:val="auto"/>
                <w:highlight w:val="none"/>
              </w:rPr>
              <w:t xml:space="preserve"> </w:t>
            </w:r>
            <w:r>
              <w:rPr>
                <w:rFonts w:hint="eastAsia"/>
                <w:color w:val="auto"/>
                <w:highlight w:val="none"/>
              </w:rPr>
              <w:t>为实现高精度的快速注册，系统需具备可安装于机械臂末端的3D结构光光学定位仪，或具备磁场发生器定位。</w:t>
            </w:r>
          </w:p>
          <w:p w14:paraId="372FABEF">
            <w:pPr>
              <w:pStyle w:val="17"/>
              <w:keepNext w:val="0"/>
              <w:keepLines w:val="0"/>
              <w:pageBreakBefore w:val="0"/>
              <w:widowControl w:val="0"/>
              <w:numPr>
                <w:ilvl w:val="0"/>
                <w:numId w:val="0"/>
              </w:numPr>
              <w:kinsoku/>
              <w:wordWrap/>
              <w:overflowPunct/>
              <w:topLinePunct w:val="0"/>
              <w:autoSpaceDE/>
              <w:autoSpaceDN/>
              <w:bidi w:val="0"/>
              <w:adjustRightInd/>
              <w:snapToGrid/>
              <w:spacing w:line="360" w:lineRule="exact"/>
              <w:ind w:leftChars="0" w:firstLine="420" w:firstLineChars="200"/>
              <w:jc w:val="both"/>
              <w:textAlignment w:val="auto"/>
              <w:rPr>
                <w:rFonts w:hint="eastAsia"/>
                <w:color w:val="auto"/>
                <w:highlight w:val="none"/>
              </w:rPr>
            </w:pPr>
            <w:r>
              <w:rPr>
                <w:rFonts w:hint="eastAsia"/>
                <w:color w:val="auto"/>
                <w:highlight w:val="none"/>
              </w:rPr>
              <w:t>6、注册技术</w:t>
            </w:r>
          </w:p>
          <w:p w14:paraId="1D8464C1">
            <w:pPr>
              <w:pStyle w:val="17"/>
              <w:keepNext w:val="0"/>
              <w:keepLines w:val="0"/>
              <w:pageBreakBefore w:val="0"/>
              <w:widowControl w:val="0"/>
              <w:numPr>
                <w:ilvl w:val="0"/>
                <w:numId w:val="0"/>
              </w:numPr>
              <w:kinsoku/>
              <w:wordWrap/>
              <w:overflowPunct/>
              <w:topLinePunct w:val="0"/>
              <w:autoSpaceDE/>
              <w:autoSpaceDN/>
              <w:bidi w:val="0"/>
              <w:adjustRightInd/>
              <w:snapToGrid/>
              <w:spacing w:line="360" w:lineRule="exact"/>
              <w:ind w:leftChars="0" w:firstLine="420" w:firstLineChars="200"/>
              <w:jc w:val="both"/>
              <w:textAlignment w:val="auto"/>
              <w:rPr>
                <w:rFonts w:hint="eastAsia"/>
                <w:color w:val="auto"/>
                <w:highlight w:val="none"/>
              </w:rPr>
            </w:pPr>
            <w:r>
              <w:rPr>
                <w:rFonts w:hint="eastAsia"/>
                <w:color w:val="auto"/>
                <w:highlight w:val="none"/>
              </w:rPr>
              <w:t>6.1 软件中同时支持标记点注册、面扫描注册两种注册方式。</w:t>
            </w:r>
          </w:p>
          <w:p w14:paraId="30B5773B">
            <w:pPr>
              <w:pStyle w:val="17"/>
              <w:keepNext w:val="0"/>
              <w:keepLines w:val="0"/>
              <w:pageBreakBefore w:val="0"/>
              <w:widowControl w:val="0"/>
              <w:numPr>
                <w:ilvl w:val="0"/>
                <w:numId w:val="0"/>
              </w:numPr>
              <w:kinsoku/>
              <w:wordWrap/>
              <w:overflowPunct/>
              <w:topLinePunct w:val="0"/>
              <w:autoSpaceDE/>
              <w:autoSpaceDN/>
              <w:bidi w:val="0"/>
              <w:adjustRightInd/>
              <w:snapToGrid/>
              <w:spacing w:line="360" w:lineRule="exact"/>
              <w:ind w:leftChars="0" w:firstLine="420" w:firstLineChars="200"/>
              <w:jc w:val="both"/>
              <w:textAlignment w:val="auto"/>
              <w:rPr>
                <w:rFonts w:hint="eastAsia"/>
                <w:color w:val="auto"/>
                <w:highlight w:val="none"/>
              </w:rPr>
            </w:pPr>
            <w:r>
              <w:rPr>
                <w:rFonts w:hint="eastAsia"/>
                <w:color w:val="auto"/>
                <w:highlight w:val="none"/>
              </w:rPr>
              <w:t>6.2 标记点注册功能：通过机械臂探针依次记录选取标记点注册完成后，系统可将注册精准 度结果自动呈现给用户，并支持通过自动化机械臂实现注册精度验证。</w:t>
            </w:r>
          </w:p>
          <w:p w14:paraId="42055B70">
            <w:pPr>
              <w:pStyle w:val="17"/>
              <w:keepNext w:val="0"/>
              <w:keepLines w:val="0"/>
              <w:pageBreakBefore w:val="0"/>
              <w:widowControl w:val="0"/>
              <w:numPr>
                <w:ilvl w:val="0"/>
                <w:numId w:val="0"/>
              </w:numPr>
              <w:kinsoku/>
              <w:wordWrap/>
              <w:overflowPunct/>
              <w:topLinePunct w:val="0"/>
              <w:autoSpaceDE/>
              <w:autoSpaceDN/>
              <w:bidi w:val="0"/>
              <w:adjustRightInd/>
              <w:snapToGrid/>
              <w:spacing w:line="360" w:lineRule="exact"/>
              <w:ind w:leftChars="0" w:firstLine="420" w:firstLineChars="200"/>
              <w:jc w:val="both"/>
              <w:textAlignment w:val="auto"/>
              <w:rPr>
                <w:rFonts w:hint="eastAsia"/>
                <w:color w:val="auto"/>
                <w:highlight w:val="none"/>
              </w:rPr>
            </w:pPr>
            <w:r>
              <w:rPr>
                <w:rFonts w:hint="eastAsia"/>
                <w:color w:val="auto"/>
                <w:highlight w:val="none"/>
              </w:rPr>
              <w:t>6.3 面扫描注册完成后，并支持通过3D结构光定位仪或磁场发生器实现注册精度验证。</w:t>
            </w:r>
          </w:p>
          <w:p w14:paraId="2D1D137A">
            <w:pPr>
              <w:pStyle w:val="17"/>
              <w:keepNext w:val="0"/>
              <w:keepLines w:val="0"/>
              <w:pageBreakBefore w:val="0"/>
              <w:widowControl w:val="0"/>
              <w:numPr>
                <w:ilvl w:val="0"/>
                <w:numId w:val="0"/>
              </w:numPr>
              <w:kinsoku/>
              <w:wordWrap/>
              <w:overflowPunct/>
              <w:topLinePunct w:val="0"/>
              <w:autoSpaceDE/>
              <w:autoSpaceDN/>
              <w:bidi w:val="0"/>
              <w:adjustRightInd/>
              <w:snapToGrid/>
              <w:spacing w:line="360" w:lineRule="exact"/>
              <w:ind w:leftChars="0" w:firstLine="420" w:firstLineChars="200"/>
              <w:jc w:val="both"/>
              <w:textAlignment w:val="auto"/>
              <w:rPr>
                <w:rFonts w:hint="eastAsia"/>
                <w:color w:val="auto"/>
                <w:highlight w:val="none"/>
              </w:rPr>
            </w:pPr>
            <w:r>
              <w:rPr>
                <w:rFonts w:hint="eastAsia"/>
                <w:color w:val="auto"/>
                <w:highlight w:val="none"/>
              </w:rPr>
              <w:t>7、软件系统</w:t>
            </w:r>
          </w:p>
          <w:p w14:paraId="300C52E4">
            <w:pPr>
              <w:pStyle w:val="17"/>
              <w:keepNext w:val="0"/>
              <w:keepLines w:val="0"/>
              <w:pageBreakBefore w:val="0"/>
              <w:widowControl w:val="0"/>
              <w:numPr>
                <w:ilvl w:val="0"/>
                <w:numId w:val="0"/>
              </w:numPr>
              <w:kinsoku/>
              <w:wordWrap/>
              <w:overflowPunct/>
              <w:topLinePunct w:val="0"/>
              <w:autoSpaceDE/>
              <w:autoSpaceDN/>
              <w:bidi w:val="0"/>
              <w:adjustRightInd/>
              <w:snapToGrid/>
              <w:spacing w:line="360" w:lineRule="exact"/>
              <w:ind w:leftChars="0" w:firstLine="420" w:firstLineChars="200"/>
              <w:jc w:val="both"/>
              <w:textAlignment w:val="auto"/>
              <w:rPr>
                <w:rFonts w:hint="eastAsia"/>
                <w:color w:val="auto"/>
                <w:highlight w:val="none"/>
              </w:rPr>
            </w:pPr>
            <w:r>
              <w:rPr>
                <w:rFonts w:hint="eastAsia"/>
                <w:color w:val="auto"/>
                <w:highlight w:val="none"/>
              </w:rPr>
              <w:t xml:space="preserve">7.1 处理器性能≥2.5GHz，液晶显示屏≥14 英寸，显卡显存≥2GB，内存≥8GB，硬盘≥1Tb。 </w:t>
            </w:r>
          </w:p>
          <w:p w14:paraId="5DC4B8B2">
            <w:pPr>
              <w:pStyle w:val="17"/>
              <w:keepNext w:val="0"/>
              <w:keepLines w:val="0"/>
              <w:pageBreakBefore w:val="0"/>
              <w:widowControl w:val="0"/>
              <w:numPr>
                <w:ilvl w:val="0"/>
                <w:numId w:val="0"/>
              </w:numPr>
              <w:kinsoku/>
              <w:wordWrap/>
              <w:overflowPunct/>
              <w:topLinePunct w:val="0"/>
              <w:autoSpaceDE/>
              <w:autoSpaceDN/>
              <w:bidi w:val="0"/>
              <w:adjustRightInd/>
              <w:snapToGrid/>
              <w:spacing w:line="360" w:lineRule="exact"/>
              <w:ind w:leftChars="0" w:firstLine="420" w:firstLineChars="200"/>
              <w:jc w:val="both"/>
              <w:textAlignment w:val="auto"/>
              <w:rPr>
                <w:rFonts w:hint="eastAsia"/>
                <w:color w:val="auto"/>
                <w:highlight w:val="none"/>
              </w:rPr>
            </w:pPr>
            <w:r>
              <w:rPr>
                <w:rFonts w:hint="eastAsia"/>
                <w:color w:val="auto"/>
                <w:highlight w:val="none"/>
              </w:rPr>
              <w:t>7.2 支持 MRI、CT、PET、DTI 等医学影像 DICOM 数据读取、预览和显示，可一键导入单一目 录下所有文件和子文件夹的医学影像文件。</w:t>
            </w:r>
          </w:p>
          <w:p w14:paraId="3C49398B">
            <w:pPr>
              <w:pStyle w:val="17"/>
              <w:keepNext w:val="0"/>
              <w:keepLines w:val="0"/>
              <w:pageBreakBefore w:val="0"/>
              <w:widowControl w:val="0"/>
              <w:numPr>
                <w:ilvl w:val="0"/>
                <w:numId w:val="0"/>
              </w:numPr>
              <w:kinsoku/>
              <w:wordWrap/>
              <w:overflowPunct/>
              <w:topLinePunct w:val="0"/>
              <w:autoSpaceDE/>
              <w:autoSpaceDN/>
              <w:bidi w:val="0"/>
              <w:adjustRightInd/>
              <w:snapToGrid/>
              <w:spacing w:line="360" w:lineRule="exact"/>
              <w:ind w:leftChars="0" w:firstLine="420" w:firstLineChars="200"/>
              <w:jc w:val="both"/>
              <w:textAlignment w:val="auto"/>
              <w:rPr>
                <w:rFonts w:hint="eastAsia"/>
                <w:color w:val="auto"/>
                <w:highlight w:val="none"/>
              </w:rPr>
            </w:pPr>
            <w:r>
              <w:rPr>
                <w:rFonts w:hint="eastAsia"/>
                <w:color w:val="auto"/>
                <w:highlight w:val="none"/>
              </w:rPr>
              <w:t>7.3 软件支持面扫描配准功能：支持将采集的患者面部信息与术前定位影像中的 三维模型信息进行配准，影像处理算法可完成基于面扫描技术的精度计算配准，呈现高精度 注册结果。</w:t>
            </w:r>
          </w:p>
          <w:p w14:paraId="07041DB4">
            <w:pPr>
              <w:pStyle w:val="17"/>
              <w:keepNext w:val="0"/>
              <w:keepLines w:val="0"/>
              <w:pageBreakBefore w:val="0"/>
              <w:widowControl w:val="0"/>
              <w:numPr>
                <w:ilvl w:val="0"/>
                <w:numId w:val="0"/>
              </w:numPr>
              <w:kinsoku/>
              <w:wordWrap/>
              <w:overflowPunct/>
              <w:topLinePunct w:val="0"/>
              <w:autoSpaceDE/>
              <w:autoSpaceDN/>
              <w:bidi w:val="0"/>
              <w:adjustRightInd/>
              <w:snapToGrid/>
              <w:spacing w:line="360" w:lineRule="exact"/>
              <w:ind w:leftChars="0" w:firstLine="420" w:firstLineChars="200"/>
              <w:jc w:val="both"/>
              <w:textAlignment w:val="auto"/>
              <w:rPr>
                <w:rFonts w:hint="eastAsia"/>
                <w:color w:val="auto"/>
                <w:highlight w:val="none"/>
              </w:rPr>
            </w:pPr>
            <w:r>
              <w:rPr>
                <w:rFonts w:hint="eastAsia"/>
                <w:color w:val="auto"/>
                <w:highlight w:val="none"/>
              </w:rPr>
              <w:t>7.4 可将颅内血管三维可视化显示，可将三维颅内血管叠加在三维脑皮层表面，将脑皮层血 管结构充分的展现出来，从而有效的辅助医生避开重要血管进行路径规划。</w:t>
            </w:r>
          </w:p>
          <w:p w14:paraId="540722C7">
            <w:pPr>
              <w:pStyle w:val="17"/>
              <w:keepNext w:val="0"/>
              <w:keepLines w:val="0"/>
              <w:pageBreakBefore w:val="0"/>
              <w:widowControl w:val="0"/>
              <w:numPr>
                <w:ilvl w:val="0"/>
                <w:numId w:val="0"/>
              </w:numPr>
              <w:kinsoku/>
              <w:wordWrap/>
              <w:overflowPunct/>
              <w:topLinePunct w:val="0"/>
              <w:autoSpaceDE/>
              <w:autoSpaceDN/>
              <w:bidi w:val="0"/>
              <w:adjustRightInd/>
              <w:snapToGrid/>
              <w:spacing w:line="360" w:lineRule="exact"/>
              <w:ind w:leftChars="0" w:firstLine="420" w:firstLineChars="200"/>
              <w:jc w:val="both"/>
              <w:textAlignment w:val="auto"/>
              <w:rPr>
                <w:rFonts w:hint="eastAsia"/>
                <w:color w:val="auto"/>
                <w:highlight w:val="none"/>
              </w:rPr>
            </w:pPr>
            <w:r>
              <w:rPr>
                <w:rFonts w:hint="eastAsia"/>
                <w:color w:val="auto"/>
                <w:highlight w:val="none"/>
              </w:rPr>
              <w:t>7.5 用户可通过 USB 端口高速传输影像数据，实现手术计划制定。</w:t>
            </w:r>
          </w:p>
          <w:p w14:paraId="5ED23682">
            <w:pPr>
              <w:pStyle w:val="17"/>
              <w:keepNext w:val="0"/>
              <w:keepLines w:val="0"/>
              <w:pageBreakBefore w:val="0"/>
              <w:widowControl w:val="0"/>
              <w:numPr>
                <w:ilvl w:val="0"/>
                <w:numId w:val="0"/>
              </w:numPr>
              <w:kinsoku/>
              <w:wordWrap/>
              <w:overflowPunct/>
              <w:topLinePunct w:val="0"/>
              <w:autoSpaceDE/>
              <w:autoSpaceDN/>
              <w:bidi w:val="0"/>
              <w:adjustRightInd/>
              <w:snapToGrid/>
              <w:spacing w:line="360" w:lineRule="exact"/>
              <w:ind w:leftChars="0" w:firstLine="420" w:firstLineChars="200"/>
              <w:jc w:val="both"/>
              <w:textAlignment w:val="auto"/>
              <w:rPr>
                <w:rFonts w:hint="eastAsia"/>
                <w:color w:val="auto"/>
                <w:highlight w:val="none"/>
              </w:rPr>
            </w:pPr>
            <w:r>
              <w:rPr>
                <w:rFonts w:hint="eastAsia"/>
                <w:color w:val="auto"/>
                <w:highlight w:val="none"/>
              </w:rPr>
              <w:t>7.6 能够融合DTI的影像数据重建颅脑神经纤维束，生成三维图像作为导航地图。</w:t>
            </w:r>
          </w:p>
          <w:p w14:paraId="1E5ACDB0">
            <w:pPr>
              <w:pStyle w:val="17"/>
              <w:keepNext w:val="0"/>
              <w:keepLines w:val="0"/>
              <w:pageBreakBefore w:val="0"/>
              <w:widowControl w:val="0"/>
              <w:numPr>
                <w:ilvl w:val="0"/>
                <w:numId w:val="0"/>
              </w:numPr>
              <w:kinsoku/>
              <w:wordWrap/>
              <w:overflowPunct/>
              <w:topLinePunct w:val="0"/>
              <w:autoSpaceDE/>
              <w:autoSpaceDN/>
              <w:bidi w:val="0"/>
              <w:adjustRightInd/>
              <w:snapToGrid/>
              <w:spacing w:line="360" w:lineRule="exact"/>
              <w:ind w:leftChars="0" w:firstLine="420" w:firstLineChars="200"/>
              <w:jc w:val="both"/>
              <w:textAlignment w:val="auto"/>
              <w:rPr>
                <w:rFonts w:hint="eastAsia"/>
                <w:color w:val="auto"/>
                <w:highlight w:val="none"/>
              </w:rPr>
            </w:pPr>
            <w:r>
              <w:rPr>
                <w:rFonts w:hint="eastAsia"/>
                <w:color w:val="auto"/>
                <w:highlight w:val="none"/>
              </w:rPr>
              <w:t>●7.7 具备脑组织自动分割重建功能，计划软件能够自动分割重建大脑，小脑，脑干，基底节，海马，胼胝体等颅脑重要解剖和功能组织，并生成三维图像。</w:t>
            </w:r>
          </w:p>
          <w:p w14:paraId="10771AD9">
            <w:pPr>
              <w:pStyle w:val="19"/>
              <w:spacing w:before="62" w:line="229" w:lineRule="auto"/>
              <w:ind w:left="22"/>
              <w:rPr>
                <w:rFonts w:hint="eastAsia"/>
                <w:strike w:val="0"/>
                <w:dstrike w:val="0"/>
                <w:color w:val="auto"/>
                <w:highlight w:val="none"/>
              </w:rPr>
            </w:pPr>
            <w:r>
              <w:rPr>
                <w:rFonts w:hint="eastAsia"/>
                <w:b/>
                <w:bCs/>
                <w:color w:val="auto"/>
                <w:spacing w:val="7"/>
                <w:highlight w:val="none"/>
                <w:lang w:val="en-US" w:eastAsia="zh-CN"/>
              </w:rPr>
              <w:t>二</w:t>
            </w:r>
            <w:r>
              <w:rPr>
                <w:b/>
                <w:bCs/>
                <w:color w:val="auto"/>
                <w:spacing w:val="7"/>
                <w:highlight w:val="none"/>
              </w:rPr>
              <w:t>、手术导航工作站</w:t>
            </w:r>
          </w:p>
          <w:p w14:paraId="0A396A26">
            <w:pPr>
              <w:pStyle w:val="17"/>
              <w:keepNext w:val="0"/>
              <w:keepLines w:val="0"/>
              <w:pageBreakBefore w:val="0"/>
              <w:widowControl w:val="0"/>
              <w:numPr>
                <w:ilvl w:val="0"/>
                <w:numId w:val="0"/>
              </w:numPr>
              <w:kinsoku/>
              <w:wordWrap/>
              <w:overflowPunct/>
              <w:topLinePunct w:val="0"/>
              <w:autoSpaceDE/>
              <w:autoSpaceDN/>
              <w:bidi w:val="0"/>
              <w:adjustRightInd/>
              <w:snapToGrid/>
              <w:spacing w:line="360" w:lineRule="exact"/>
              <w:ind w:leftChars="0" w:firstLine="420" w:firstLineChars="200"/>
              <w:jc w:val="both"/>
              <w:textAlignment w:val="auto"/>
              <w:rPr>
                <w:rFonts w:hint="eastAsia"/>
                <w:strike w:val="0"/>
                <w:color w:val="auto"/>
                <w:highlight w:val="none"/>
              </w:rPr>
            </w:pPr>
            <w:r>
              <w:rPr>
                <w:rFonts w:hint="eastAsia"/>
                <w:strike w:val="0"/>
                <w:dstrike w:val="0"/>
                <w:color w:val="auto"/>
                <w:highlight w:val="none"/>
              </w:rPr>
              <w:t>8.1 主机系统</w:t>
            </w:r>
          </w:p>
          <w:p w14:paraId="3F5147F9">
            <w:pPr>
              <w:pStyle w:val="17"/>
              <w:keepNext w:val="0"/>
              <w:keepLines w:val="0"/>
              <w:pageBreakBefore w:val="0"/>
              <w:widowControl w:val="0"/>
              <w:numPr>
                <w:ilvl w:val="0"/>
                <w:numId w:val="0"/>
              </w:numPr>
              <w:kinsoku/>
              <w:wordWrap/>
              <w:overflowPunct/>
              <w:topLinePunct w:val="0"/>
              <w:autoSpaceDE/>
              <w:autoSpaceDN/>
              <w:bidi w:val="0"/>
              <w:adjustRightInd/>
              <w:snapToGrid/>
              <w:spacing w:line="360" w:lineRule="exact"/>
              <w:ind w:leftChars="0" w:firstLine="420" w:firstLineChars="200"/>
              <w:jc w:val="both"/>
              <w:textAlignment w:val="auto"/>
              <w:rPr>
                <w:rFonts w:hint="eastAsia"/>
                <w:color w:val="auto"/>
                <w:highlight w:val="none"/>
              </w:rPr>
            </w:pPr>
            <w:r>
              <w:rPr>
                <w:rFonts w:hint="eastAsia"/>
                <w:color w:val="auto"/>
                <w:highlight w:val="none"/>
              </w:rPr>
              <w:t>8.2双台车设计，具备独立的主机台车和光学定位仪台车，可在手术室内自由移动和锁定。</w:t>
            </w:r>
          </w:p>
          <w:p w14:paraId="5B44D723">
            <w:pPr>
              <w:pStyle w:val="17"/>
              <w:keepNext w:val="0"/>
              <w:keepLines w:val="0"/>
              <w:pageBreakBefore w:val="0"/>
              <w:widowControl w:val="0"/>
              <w:numPr>
                <w:ilvl w:val="0"/>
                <w:numId w:val="0"/>
              </w:numPr>
              <w:kinsoku/>
              <w:wordWrap/>
              <w:overflowPunct/>
              <w:topLinePunct w:val="0"/>
              <w:autoSpaceDE/>
              <w:autoSpaceDN/>
              <w:bidi w:val="0"/>
              <w:adjustRightInd/>
              <w:snapToGrid/>
              <w:spacing w:line="360" w:lineRule="exact"/>
              <w:ind w:leftChars="0" w:firstLine="420" w:firstLineChars="200"/>
              <w:jc w:val="both"/>
              <w:textAlignment w:val="auto"/>
              <w:rPr>
                <w:rFonts w:hint="eastAsia"/>
                <w:color w:val="auto"/>
                <w:highlight w:val="none"/>
              </w:rPr>
            </w:pPr>
            <w:r>
              <w:rPr>
                <w:rFonts w:hint="eastAsia"/>
                <w:color w:val="auto"/>
                <w:highlight w:val="none"/>
              </w:rPr>
              <w:t>8.3设备整机重量≤150kg。</w:t>
            </w:r>
          </w:p>
          <w:p w14:paraId="7E069BEE">
            <w:pPr>
              <w:pStyle w:val="17"/>
              <w:keepNext w:val="0"/>
              <w:keepLines w:val="0"/>
              <w:pageBreakBefore w:val="0"/>
              <w:widowControl w:val="0"/>
              <w:numPr>
                <w:ilvl w:val="0"/>
                <w:numId w:val="0"/>
              </w:numPr>
              <w:kinsoku/>
              <w:wordWrap/>
              <w:overflowPunct/>
              <w:topLinePunct w:val="0"/>
              <w:autoSpaceDE/>
              <w:autoSpaceDN/>
              <w:bidi w:val="0"/>
              <w:adjustRightInd/>
              <w:snapToGrid/>
              <w:spacing w:line="360" w:lineRule="exact"/>
              <w:ind w:leftChars="0" w:firstLine="420" w:firstLineChars="200"/>
              <w:jc w:val="both"/>
              <w:textAlignment w:val="auto"/>
              <w:rPr>
                <w:rFonts w:hint="eastAsia"/>
                <w:color w:val="auto"/>
                <w:highlight w:val="none"/>
              </w:rPr>
            </w:pPr>
            <w:r>
              <w:rPr>
                <w:rFonts w:hint="eastAsia"/>
                <w:color w:val="auto"/>
                <w:highlight w:val="none"/>
              </w:rPr>
              <w:t>9 、追踪定位系统</w:t>
            </w:r>
          </w:p>
          <w:p w14:paraId="513BC208">
            <w:pPr>
              <w:pStyle w:val="17"/>
              <w:keepNext w:val="0"/>
              <w:keepLines w:val="0"/>
              <w:pageBreakBefore w:val="0"/>
              <w:widowControl w:val="0"/>
              <w:numPr>
                <w:ilvl w:val="0"/>
                <w:numId w:val="0"/>
              </w:numPr>
              <w:kinsoku/>
              <w:wordWrap/>
              <w:overflowPunct/>
              <w:topLinePunct w:val="0"/>
              <w:autoSpaceDE/>
              <w:autoSpaceDN/>
              <w:bidi w:val="0"/>
              <w:adjustRightInd/>
              <w:snapToGrid/>
              <w:spacing w:line="360" w:lineRule="exact"/>
              <w:ind w:leftChars="0" w:firstLine="420" w:firstLineChars="200"/>
              <w:jc w:val="both"/>
              <w:textAlignment w:val="auto"/>
              <w:rPr>
                <w:rFonts w:hint="eastAsia" w:eastAsia="宋体"/>
                <w:color w:val="auto"/>
                <w:highlight w:val="none"/>
                <w:lang w:eastAsia="zh-CN"/>
              </w:rPr>
            </w:pPr>
            <w:r>
              <w:rPr>
                <w:rFonts w:hint="eastAsia"/>
                <w:color w:val="auto"/>
                <w:highlight w:val="none"/>
              </w:rPr>
              <w:t>▲9.1 系统采用单一红外光学追踪摄像头，术中不受手术室内无影灯、显微镜等环境光源干扰</w:t>
            </w:r>
            <w:r>
              <w:rPr>
                <w:rFonts w:hint="eastAsia"/>
                <w:color w:val="auto"/>
                <w:highlight w:val="none"/>
                <w:lang w:eastAsia="zh-CN"/>
              </w:rPr>
              <w:t>。</w:t>
            </w:r>
          </w:p>
          <w:p w14:paraId="72EFD8A0">
            <w:pPr>
              <w:pStyle w:val="17"/>
              <w:keepNext w:val="0"/>
              <w:keepLines w:val="0"/>
              <w:pageBreakBefore w:val="0"/>
              <w:widowControl w:val="0"/>
              <w:numPr>
                <w:ilvl w:val="0"/>
                <w:numId w:val="0"/>
              </w:numPr>
              <w:kinsoku/>
              <w:wordWrap/>
              <w:overflowPunct/>
              <w:topLinePunct w:val="0"/>
              <w:autoSpaceDE/>
              <w:autoSpaceDN/>
              <w:bidi w:val="0"/>
              <w:adjustRightInd/>
              <w:snapToGrid/>
              <w:spacing w:line="360" w:lineRule="exact"/>
              <w:ind w:leftChars="0" w:firstLine="420" w:firstLineChars="200"/>
              <w:jc w:val="both"/>
              <w:textAlignment w:val="auto"/>
              <w:rPr>
                <w:rFonts w:hint="eastAsia"/>
                <w:color w:val="auto"/>
                <w:highlight w:val="none"/>
              </w:rPr>
            </w:pPr>
            <w:r>
              <w:rPr>
                <w:rFonts w:hint="eastAsia"/>
                <w:color w:val="auto"/>
                <w:highlight w:val="none"/>
              </w:rPr>
              <w:t>●9.2 为实现高精度定位，单一红外光源定位仪精度≤0.20mm。</w:t>
            </w:r>
          </w:p>
          <w:p w14:paraId="651B3362">
            <w:pPr>
              <w:pStyle w:val="17"/>
              <w:keepNext w:val="0"/>
              <w:keepLines w:val="0"/>
              <w:pageBreakBefore w:val="0"/>
              <w:widowControl w:val="0"/>
              <w:numPr>
                <w:ilvl w:val="0"/>
                <w:numId w:val="0"/>
              </w:numPr>
              <w:kinsoku/>
              <w:wordWrap/>
              <w:overflowPunct/>
              <w:topLinePunct w:val="0"/>
              <w:autoSpaceDE/>
              <w:autoSpaceDN/>
              <w:bidi w:val="0"/>
              <w:adjustRightInd/>
              <w:snapToGrid/>
              <w:spacing w:line="360" w:lineRule="exact"/>
              <w:ind w:leftChars="0" w:firstLine="420" w:firstLineChars="200"/>
              <w:jc w:val="both"/>
              <w:textAlignment w:val="auto"/>
              <w:rPr>
                <w:rFonts w:hint="eastAsia"/>
                <w:color w:val="auto"/>
                <w:highlight w:val="none"/>
              </w:rPr>
            </w:pPr>
            <w:r>
              <w:rPr>
                <w:rFonts w:hint="eastAsia"/>
                <w:color w:val="auto"/>
                <w:highlight w:val="none"/>
              </w:rPr>
              <w:t>9.3 为保证术野区域内灵活追踪，红外追踪摄像头视野范围最大距离≥3m。</w:t>
            </w:r>
          </w:p>
          <w:p w14:paraId="0BACCF1C">
            <w:pPr>
              <w:pStyle w:val="17"/>
              <w:keepNext w:val="0"/>
              <w:keepLines w:val="0"/>
              <w:pageBreakBefore w:val="0"/>
              <w:widowControl w:val="0"/>
              <w:numPr>
                <w:ilvl w:val="0"/>
                <w:numId w:val="0"/>
              </w:numPr>
              <w:kinsoku/>
              <w:wordWrap/>
              <w:overflowPunct/>
              <w:topLinePunct w:val="0"/>
              <w:autoSpaceDE/>
              <w:autoSpaceDN/>
              <w:bidi w:val="0"/>
              <w:adjustRightInd/>
              <w:snapToGrid/>
              <w:spacing w:line="360" w:lineRule="exact"/>
              <w:ind w:leftChars="0" w:firstLine="420" w:firstLineChars="200"/>
              <w:jc w:val="both"/>
              <w:textAlignment w:val="auto"/>
              <w:rPr>
                <w:rFonts w:hint="eastAsia"/>
                <w:color w:val="auto"/>
                <w:highlight w:val="none"/>
              </w:rPr>
            </w:pPr>
            <w:r>
              <w:rPr>
                <w:rFonts w:hint="eastAsia"/>
                <w:color w:val="auto"/>
                <w:highlight w:val="none"/>
              </w:rPr>
              <w:t>9.4 红外被动式追踪：手术器械适配工具无需电池或电线连接，依靠红外反射球即可实现 手术器械的无线导航追踪。</w:t>
            </w:r>
          </w:p>
          <w:p w14:paraId="0EDE8E5F">
            <w:pPr>
              <w:pStyle w:val="17"/>
              <w:keepNext w:val="0"/>
              <w:keepLines w:val="0"/>
              <w:pageBreakBefore w:val="0"/>
              <w:widowControl w:val="0"/>
              <w:numPr>
                <w:ilvl w:val="0"/>
                <w:numId w:val="0"/>
              </w:numPr>
              <w:kinsoku/>
              <w:wordWrap/>
              <w:overflowPunct/>
              <w:topLinePunct w:val="0"/>
              <w:autoSpaceDE/>
              <w:autoSpaceDN/>
              <w:bidi w:val="0"/>
              <w:adjustRightInd/>
              <w:snapToGrid/>
              <w:spacing w:line="360" w:lineRule="exact"/>
              <w:ind w:leftChars="0" w:firstLine="420" w:firstLineChars="200"/>
              <w:jc w:val="both"/>
              <w:textAlignment w:val="auto"/>
              <w:rPr>
                <w:rFonts w:hint="eastAsia"/>
                <w:color w:val="auto"/>
                <w:highlight w:val="none"/>
              </w:rPr>
            </w:pPr>
            <w:r>
              <w:rPr>
                <w:rFonts w:hint="eastAsia"/>
                <w:color w:val="auto"/>
                <w:highlight w:val="none"/>
              </w:rPr>
              <w:t>9.5 红外追踪系统带有激光定位装置，可辅助定位使得手术工具处于最佳位置</w:t>
            </w:r>
          </w:p>
          <w:p w14:paraId="27CFA354">
            <w:pPr>
              <w:pStyle w:val="17"/>
              <w:keepNext w:val="0"/>
              <w:keepLines w:val="0"/>
              <w:pageBreakBefore w:val="0"/>
              <w:widowControl w:val="0"/>
              <w:numPr>
                <w:ilvl w:val="0"/>
                <w:numId w:val="0"/>
              </w:numPr>
              <w:kinsoku/>
              <w:wordWrap/>
              <w:overflowPunct/>
              <w:topLinePunct w:val="0"/>
              <w:autoSpaceDE/>
              <w:autoSpaceDN/>
              <w:bidi w:val="0"/>
              <w:adjustRightInd/>
              <w:snapToGrid/>
              <w:spacing w:line="360" w:lineRule="exact"/>
              <w:ind w:leftChars="0" w:firstLine="420" w:firstLineChars="200"/>
              <w:jc w:val="both"/>
              <w:textAlignment w:val="auto"/>
              <w:rPr>
                <w:rFonts w:hint="eastAsia"/>
                <w:color w:val="auto"/>
                <w:highlight w:val="none"/>
              </w:rPr>
            </w:pPr>
            <w:r>
              <w:rPr>
                <w:rFonts w:hint="eastAsia"/>
                <w:color w:val="auto"/>
                <w:highlight w:val="none"/>
              </w:rPr>
              <w:t>10、手术器械适配工具</w:t>
            </w:r>
          </w:p>
          <w:p w14:paraId="7D5F2FEF">
            <w:pPr>
              <w:pStyle w:val="17"/>
              <w:keepNext w:val="0"/>
              <w:keepLines w:val="0"/>
              <w:pageBreakBefore w:val="0"/>
              <w:widowControl w:val="0"/>
              <w:numPr>
                <w:ilvl w:val="0"/>
                <w:numId w:val="0"/>
              </w:numPr>
              <w:kinsoku/>
              <w:wordWrap/>
              <w:overflowPunct/>
              <w:topLinePunct w:val="0"/>
              <w:autoSpaceDE/>
              <w:autoSpaceDN/>
              <w:bidi w:val="0"/>
              <w:adjustRightInd/>
              <w:snapToGrid/>
              <w:spacing w:line="360" w:lineRule="exact"/>
              <w:ind w:leftChars="0" w:firstLine="420" w:firstLineChars="200"/>
              <w:jc w:val="both"/>
              <w:textAlignment w:val="auto"/>
              <w:rPr>
                <w:rFonts w:hint="eastAsia"/>
                <w:color w:val="auto"/>
                <w:highlight w:val="none"/>
              </w:rPr>
            </w:pPr>
            <w:r>
              <w:rPr>
                <w:rFonts w:hint="eastAsia"/>
                <w:color w:val="auto"/>
                <w:highlight w:val="none"/>
              </w:rPr>
              <w:t>10.1 配备多种类型的神经外科手术器械适配工具，均为配有红外反射球的无线被动式设 计。</w:t>
            </w:r>
          </w:p>
          <w:p w14:paraId="0196C651">
            <w:pPr>
              <w:pStyle w:val="17"/>
              <w:keepNext w:val="0"/>
              <w:keepLines w:val="0"/>
              <w:pageBreakBefore w:val="0"/>
              <w:widowControl w:val="0"/>
              <w:numPr>
                <w:ilvl w:val="0"/>
                <w:numId w:val="0"/>
              </w:numPr>
              <w:kinsoku/>
              <w:wordWrap/>
              <w:overflowPunct/>
              <w:topLinePunct w:val="0"/>
              <w:autoSpaceDE/>
              <w:autoSpaceDN/>
              <w:bidi w:val="0"/>
              <w:adjustRightInd/>
              <w:snapToGrid/>
              <w:spacing w:line="360" w:lineRule="exact"/>
              <w:ind w:leftChars="0" w:firstLine="420" w:firstLineChars="200"/>
              <w:jc w:val="both"/>
              <w:textAlignment w:val="auto"/>
              <w:rPr>
                <w:rFonts w:hint="eastAsia"/>
                <w:color w:val="auto"/>
                <w:highlight w:val="none"/>
              </w:rPr>
            </w:pPr>
            <w:r>
              <w:rPr>
                <w:rFonts w:hint="eastAsia"/>
                <w:color w:val="auto"/>
                <w:highlight w:val="none"/>
              </w:rPr>
              <w:t>▲10.2 标配注册探针，红外反射球数量≥3 个。</w:t>
            </w:r>
          </w:p>
          <w:p w14:paraId="7887F2D9">
            <w:pPr>
              <w:pStyle w:val="17"/>
              <w:keepNext w:val="0"/>
              <w:keepLines w:val="0"/>
              <w:pageBreakBefore w:val="0"/>
              <w:widowControl w:val="0"/>
              <w:numPr>
                <w:ilvl w:val="0"/>
                <w:numId w:val="0"/>
              </w:numPr>
              <w:kinsoku/>
              <w:wordWrap/>
              <w:overflowPunct/>
              <w:topLinePunct w:val="0"/>
              <w:autoSpaceDE/>
              <w:autoSpaceDN/>
              <w:bidi w:val="0"/>
              <w:adjustRightInd/>
              <w:snapToGrid/>
              <w:spacing w:line="360" w:lineRule="exact"/>
              <w:ind w:leftChars="0" w:firstLine="420" w:firstLineChars="200"/>
              <w:jc w:val="both"/>
              <w:textAlignment w:val="auto"/>
              <w:rPr>
                <w:rFonts w:hint="eastAsia"/>
                <w:color w:val="auto"/>
                <w:highlight w:val="none"/>
              </w:rPr>
            </w:pPr>
            <w:r>
              <w:rPr>
                <w:rFonts w:hint="eastAsia"/>
                <w:color w:val="auto"/>
                <w:highlight w:val="none"/>
              </w:rPr>
              <w:t>10.3 标配注册参考架，红外反射球数量≥4 个。</w:t>
            </w:r>
          </w:p>
          <w:p w14:paraId="18AFD878">
            <w:pPr>
              <w:pStyle w:val="17"/>
              <w:keepNext w:val="0"/>
              <w:keepLines w:val="0"/>
              <w:pageBreakBefore w:val="0"/>
              <w:widowControl w:val="0"/>
              <w:numPr>
                <w:ilvl w:val="0"/>
                <w:numId w:val="0"/>
              </w:numPr>
              <w:kinsoku/>
              <w:wordWrap/>
              <w:overflowPunct/>
              <w:topLinePunct w:val="0"/>
              <w:autoSpaceDE/>
              <w:autoSpaceDN/>
              <w:bidi w:val="0"/>
              <w:adjustRightInd/>
              <w:snapToGrid/>
              <w:spacing w:line="360" w:lineRule="exact"/>
              <w:ind w:leftChars="0" w:firstLine="420" w:firstLineChars="200"/>
              <w:jc w:val="both"/>
              <w:textAlignment w:val="auto"/>
              <w:rPr>
                <w:rFonts w:hint="eastAsia"/>
                <w:color w:val="auto"/>
                <w:highlight w:val="none"/>
              </w:rPr>
            </w:pPr>
            <w:r>
              <w:rPr>
                <w:rFonts w:hint="eastAsia"/>
                <w:color w:val="auto"/>
                <w:highlight w:val="none"/>
              </w:rPr>
              <w:t>▲10.4 标配钳型手术器械适配器，红外反射球数量≥3 个。</w:t>
            </w:r>
          </w:p>
          <w:p w14:paraId="6A3650DB">
            <w:pPr>
              <w:pStyle w:val="17"/>
              <w:keepNext w:val="0"/>
              <w:keepLines w:val="0"/>
              <w:pageBreakBefore w:val="0"/>
              <w:widowControl w:val="0"/>
              <w:numPr>
                <w:ilvl w:val="0"/>
                <w:numId w:val="0"/>
              </w:numPr>
              <w:kinsoku/>
              <w:wordWrap/>
              <w:overflowPunct/>
              <w:topLinePunct w:val="0"/>
              <w:autoSpaceDE/>
              <w:autoSpaceDN/>
              <w:bidi w:val="0"/>
              <w:adjustRightInd/>
              <w:snapToGrid/>
              <w:spacing w:line="360" w:lineRule="exact"/>
              <w:ind w:leftChars="0" w:firstLine="420" w:firstLineChars="200"/>
              <w:jc w:val="both"/>
              <w:textAlignment w:val="auto"/>
              <w:rPr>
                <w:rFonts w:hint="eastAsia"/>
                <w:color w:val="auto"/>
                <w:highlight w:val="none"/>
              </w:rPr>
            </w:pPr>
            <w:r>
              <w:rPr>
                <w:rFonts w:hint="eastAsia"/>
                <w:color w:val="auto"/>
                <w:highlight w:val="none"/>
              </w:rPr>
              <w:t>10.5 标配孔型手术器械适配器，红外反射球数量≥3 个。</w:t>
            </w:r>
          </w:p>
          <w:p w14:paraId="352101ED">
            <w:pPr>
              <w:pStyle w:val="17"/>
              <w:keepNext w:val="0"/>
              <w:keepLines w:val="0"/>
              <w:pageBreakBefore w:val="0"/>
              <w:widowControl w:val="0"/>
              <w:numPr>
                <w:ilvl w:val="0"/>
                <w:numId w:val="0"/>
              </w:numPr>
              <w:kinsoku/>
              <w:wordWrap/>
              <w:overflowPunct/>
              <w:topLinePunct w:val="0"/>
              <w:autoSpaceDE/>
              <w:autoSpaceDN/>
              <w:bidi w:val="0"/>
              <w:adjustRightInd/>
              <w:snapToGrid/>
              <w:spacing w:line="360" w:lineRule="exact"/>
              <w:ind w:leftChars="0" w:firstLine="420" w:firstLineChars="200"/>
              <w:jc w:val="both"/>
              <w:textAlignment w:val="auto"/>
              <w:rPr>
                <w:rFonts w:hint="eastAsia"/>
                <w:b w:val="0"/>
                <w:bCs w:val="0"/>
                <w:color w:val="auto"/>
                <w:highlight w:val="none"/>
              </w:rPr>
            </w:pPr>
            <w:r>
              <w:rPr>
                <w:rFonts w:hint="eastAsia"/>
                <w:color w:val="auto"/>
                <w:highlight w:val="none"/>
              </w:rPr>
              <w:t>▲</w:t>
            </w:r>
            <w:r>
              <w:rPr>
                <w:rFonts w:hint="eastAsia"/>
                <w:b w:val="0"/>
                <w:bCs w:val="0"/>
                <w:color w:val="auto"/>
                <w:highlight w:val="none"/>
              </w:rPr>
              <w:t>10.6 需配备2套导航手术工具（包括不限于手术探针、参考架、手术器械适配器等），以满足临床同时开展多台导航手术。</w:t>
            </w:r>
          </w:p>
          <w:p w14:paraId="1AE220AF">
            <w:pPr>
              <w:pStyle w:val="17"/>
              <w:keepNext w:val="0"/>
              <w:keepLines w:val="0"/>
              <w:pageBreakBefore w:val="0"/>
              <w:widowControl w:val="0"/>
              <w:numPr>
                <w:ilvl w:val="0"/>
                <w:numId w:val="0"/>
              </w:numPr>
              <w:kinsoku/>
              <w:wordWrap/>
              <w:overflowPunct/>
              <w:topLinePunct w:val="0"/>
              <w:autoSpaceDE/>
              <w:autoSpaceDN/>
              <w:bidi w:val="0"/>
              <w:adjustRightInd/>
              <w:snapToGrid/>
              <w:spacing w:line="360" w:lineRule="exact"/>
              <w:ind w:leftChars="0" w:firstLine="420" w:firstLineChars="200"/>
              <w:jc w:val="both"/>
              <w:textAlignment w:val="auto"/>
              <w:rPr>
                <w:rFonts w:hint="default"/>
                <w:b w:val="0"/>
                <w:bCs w:val="0"/>
                <w:color w:val="auto"/>
                <w:highlight w:val="none"/>
                <w:lang w:val="en-US"/>
              </w:rPr>
            </w:pPr>
            <w:r>
              <w:rPr>
                <w:rFonts w:hint="eastAsia"/>
                <w:b w:val="0"/>
                <w:bCs w:val="0"/>
                <w:color w:val="auto"/>
                <w:highlight w:val="none"/>
              </w:rPr>
              <w:t xml:space="preserve">11. </w:t>
            </w:r>
            <w:r>
              <w:rPr>
                <w:rFonts w:hint="eastAsia"/>
                <w:b/>
                <w:bCs/>
                <w:color w:val="auto"/>
                <w:spacing w:val="7"/>
                <w:highlight w:val="none"/>
                <w:lang w:val="en-US" w:eastAsia="zh-CN"/>
              </w:rPr>
              <w:t>导航及定位计划工作站</w:t>
            </w:r>
          </w:p>
          <w:p w14:paraId="4CE91DEA">
            <w:pPr>
              <w:pStyle w:val="17"/>
              <w:keepNext w:val="0"/>
              <w:keepLines w:val="0"/>
              <w:pageBreakBefore w:val="0"/>
              <w:widowControl w:val="0"/>
              <w:numPr>
                <w:ilvl w:val="0"/>
                <w:numId w:val="0"/>
              </w:numPr>
              <w:kinsoku/>
              <w:wordWrap/>
              <w:overflowPunct/>
              <w:topLinePunct w:val="0"/>
              <w:autoSpaceDE/>
              <w:autoSpaceDN/>
              <w:bidi w:val="0"/>
              <w:adjustRightInd/>
              <w:snapToGrid/>
              <w:spacing w:line="360" w:lineRule="exact"/>
              <w:ind w:leftChars="0" w:firstLine="420" w:firstLineChars="200"/>
              <w:jc w:val="both"/>
              <w:textAlignment w:val="auto"/>
              <w:rPr>
                <w:rFonts w:hint="eastAsia"/>
                <w:b w:val="0"/>
                <w:bCs w:val="0"/>
                <w:color w:val="auto"/>
                <w:highlight w:val="none"/>
              </w:rPr>
            </w:pPr>
            <w:r>
              <w:rPr>
                <w:rFonts w:hint="eastAsia"/>
                <w:color w:val="auto"/>
                <w:highlight w:val="none"/>
              </w:rPr>
              <w:t>▲</w:t>
            </w:r>
            <w:r>
              <w:rPr>
                <w:rFonts w:hint="eastAsia"/>
                <w:b w:val="0"/>
                <w:bCs w:val="0"/>
                <w:color w:val="auto"/>
                <w:highlight w:val="none"/>
              </w:rPr>
              <w:t>11.1 配备独立的手术导航计划工作站，安装手术导航定位系统计划软件及手术导航系统计划软件。配备便携式工作站，计划软件终身</w:t>
            </w:r>
            <w:r>
              <w:rPr>
                <w:rFonts w:hint="eastAsia"/>
                <w:b w:val="0"/>
                <w:bCs w:val="0"/>
                <w:color w:val="auto"/>
                <w:highlight w:val="none"/>
                <w:lang w:val="en-US" w:eastAsia="zh-CN"/>
              </w:rPr>
              <w:t>无偿</w:t>
            </w:r>
            <w:r>
              <w:rPr>
                <w:rFonts w:hint="eastAsia"/>
                <w:b w:val="0"/>
                <w:bCs w:val="0"/>
                <w:color w:val="auto"/>
                <w:highlight w:val="none"/>
              </w:rPr>
              <w:t>升级。</w:t>
            </w:r>
          </w:p>
          <w:p w14:paraId="7D5B1543">
            <w:pPr>
              <w:pStyle w:val="17"/>
              <w:keepNext w:val="0"/>
              <w:keepLines w:val="0"/>
              <w:pageBreakBefore w:val="0"/>
              <w:widowControl w:val="0"/>
              <w:numPr>
                <w:ilvl w:val="0"/>
                <w:numId w:val="0"/>
              </w:numPr>
              <w:kinsoku/>
              <w:wordWrap/>
              <w:overflowPunct/>
              <w:topLinePunct w:val="0"/>
              <w:autoSpaceDE/>
              <w:autoSpaceDN/>
              <w:bidi w:val="0"/>
              <w:adjustRightInd/>
              <w:snapToGrid/>
              <w:spacing w:line="360" w:lineRule="exact"/>
              <w:ind w:leftChars="0" w:firstLine="420" w:firstLineChars="200"/>
              <w:jc w:val="both"/>
              <w:textAlignment w:val="auto"/>
              <w:rPr>
                <w:rFonts w:hint="eastAsia"/>
                <w:color w:val="auto"/>
                <w:highlight w:val="none"/>
                <w:lang w:val="en-US" w:eastAsia="zh-CN"/>
              </w:rPr>
            </w:pPr>
            <w:r>
              <w:rPr>
                <w:rFonts w:hint="eastAsia"/>
                <w:b w:val="0"/>
                <w:bCs w:val="0"/>
                <w:color w:val="auto"/>
                <w:highlight w:val="none"/>
              </w:rPr>
              <w:t>11.2 处理器性能≥2.5GHz， 液晶显示屏≥14英寸，独立显卡，显存≥4GB</w:t>
            </w:r>
          </w:p>
          <w:p w14:paraId="6F6C231C">
            <w:pPr>
              <w:pStyle w:val="17"/>
              <w:keepNext w:val="0"/>
              <w:keepLines w:val="0"/>
              <w:pageBreakBefore w:val="0"/>
              <w:widowControl w:val="0"/>
              <w:numPr>
                <w:ilvl w:val="0"/>
                <w:numId w:val="0"/>
              </w:numPr>
              <w:kinsoku/>
              <w:wordWrap/>
              <w:overflowPunct/>
              <w:topLinePunct w:val="0"/>
              <w:autoSpaceDE/>
              <w:autoSpaceDN/>
              <w:bidi w:val="0"/>
              <w:adjustRightInd/>
              <w:snapToGrid/>
              <w:spacing w:line="360" w:lineRule="exact"/>
              <w:ind w:leftChars="0" w:firstLine="422" w:firstLineChars="200"/>
              <w:jc w:val="both"/>
              <w:textAlignment w:val="auto"/>
              <w:rPr>
                <w:rFonts w:hint="eastAsia"/>
                <w:b/>
                <w:bCs/>
                <w:color w:val="auto"/>
                <w:highlight w:val="none"/>
              </w:rPr>
            </w:pPr>
            <w:r>
              <w:rPr>
                <w:rFonts w:hint="eastAsia"/>
                <w:b/>
                <w:bCs/>
                <w:color w:val="auto"/>
                <w:highlight w:val="none"/>
                <w:lang w:val="en-US" w:eastAsia="zh-CN"/>
              </w:rPr>
              <w:t>三、</w:t>
            </w:r>
            <w:r>
              <w:rPr>
                <w:rFonts w:hint="eastAsia"/>
                <w:b/>
                <w:bCs/>
                <w:color w:val="auto"/>
                <w:highlight w:val="none"/>
              </w:rPr>
              <w:t>售后服务</w:t>
            </w:r>
          </w:p>
          <w:p w14:paraId="3A255ABC">
            <w:pPr>
              <w:pStyle w:val="17"/>
              <w:keepNext w:val="0"/>
              <w:keepLines w:val="0"/>
              <w:pageBreakBefore w:val="0"/>
              <w:widowControl w:val="0"/>
              <w:numPr>
                <w:ilvl w:val="0"/>
                <w:numId w:val="0"/>
              </w:numPr>
              <w:kinsoku/>
              <w:wordWrap/>
              <w:overflowPunct/>
              <w:topLinePunct w:val="0"/>
              <w:autoSpaceDE/>
              <w:autoSpaceDN/>
              <w:bidi w:val="0"/>
              <w:adjustRightInd/>
              <w:snapToGrid/>
              <w:spacing w:line="360" w:lineRule="exact"/>
              <w:ind w:leftChars="0" w:firstLine="420" w:firstLineChars="200"/>
              <w:jc w:val="both"/>
              <w:textAlignment w:val="auto"/>
              <w:rPr>
                <w:rFonts w:hint="eastAsia" w:eastAsia="宋体"/>
                <w:color w:val="auto"/>
                <w:highlight w:val="none"/>
                <w:lang w:eastAsia="zh-CN"/>
              </w:rPr>
            </w:pPr>
            <w:r>
              <w:rPr>
                <w:rFonts w:hint="eastAsia"/>
                <w:color w:val="auto"/>
                <w:highlight w:val="none"/>
              </w:rPr>
              <w:t>▲1</w:t>
            </w:r>
            <w:r>
              <w:rPr>
                <w:rFonts w:hint="eastAsia"/>
                <w:color w:val="auto"/>
                <w:highlight w:val="none"/>
                <w:lang w:val="en-US" w:eastAsia="zh-CN"/>
              </w:rPr>
              <w:t>2</w:t>
            </w:r>
            <w:r>
              <w:rPr>
                <w:rFonts w:hint="eastAsia"/>
                <w:color w:val="auto"/>
                <w:highlight w:val="none"/>
              </w:rPr>
              <w:t>.1 整机</w:t>
            </w:r>
            <w:r>
              <w:rPr>
                <w:rFonts w:hint="eastAsia"/>
                <w:color w:val="auto"/>
                <w:highlight w:val="none"/>
                <w:lang w:val="en-US" w:eastAsia="zh-CN"/>
              </w:rPr>
              <w:t>质保期（保修期）</w:t>
            </w:r>
            <w:r>
              <w:rPr>
                <w:rFonts w:hint="eastAsia"/>
                <w:color w:val="auto"/>
                <w:highlight w:val="none"/>
              </w:rPr>
              <w:t>3 年</w:t>
            </w:r>
            <w:r>
              <w:rPr>
                <w:rFonts w:hint="eastAsia"/>
                <w:color w:val="auto"/>
                <w:highlight w:val="none"/>
                <w:lang w:eastAsia="zh-CN"/>
              </w:rPr>
              <w:t>（</w:t>
            </w:r>
            <w:r>
              <w:rPr>
                <w:rFonts w:hint="eastAsia"/>
                <w:color w:val="auto"/>
                <w:highlight w:val="none"/>
                <w:lang w:val="en-US" w:eastAsia="zh-CN"/>
              </w:rPr>
              <w:t>提供承诺函</w:t>
            </w:r>
            <w:r>
              <w:rPr>
                <w:rFonts w:hint="eastAsia"/>
                <w:color w:val="auto"/>
                <w:highlight w:val="none"/>
                <w:lang w:eastAsia="zh-CN"/>
              </w:rPr>
              <w:t>）。</w:t>
            </w:r>
          </w:p>
          <w:p w14:paraId="24390804">
            <w:pPr>
              <w:spacing w:line="360" w:lineRule="auto"/>
              <w:ind w:firstLine="420" w:firstLineChars="200"/>
              <w:rPr>
                <w:rFonts w:hint="eastAsia"/>
                <w:color w:val="auto"/>
                <w:highlight w:val="none"/>
              </w:rPr>
            </w:pPr>
            <w:r>
              <w:rPr>
                <w:rFonts w:hint="eastAsia"/>
                <w:color w:val="auto"/>
                <w:highlight w:val="none"/>
              </w:rPr>
              <w:t>1</w:t>
            </w:r>
            <w:r>
              <w:rPr>
                <w:rFonts w:hint="eastAsia"/>
                <w:color w:val="auto"/>
                <w:highlight w:val="none"/>
                <w:lang w:val="en-US" w:eastAsia="zh-CN"/>
              </w:rPr>
              <w:t>2</w:t>
            </w:r>
            <w:r>
              <w:rPr>
                <w:rFonts w:hint="eastAsia"/>
                <w:color w:val="auto"/>
                <w:highlight w:val="none"/>
              </w:rPr>
              <w:t>.2 厂家派遣专业的售后工程师上门跟台培训，保证临床使用科室能够独立操作设备。</w:t>
            </w:r>
          </w:p>
          <w:p w14:paraId="279EEF25">
            <w:pPr>
              <w:spacing w:line="360" w:lineRule="auto"/>
              <w:ind w:firstLine="420" w:firstLineChars="200"/>
              <w:rPr>
                <w:rFonts w:hint="eastAsia"/>
                <w:color w:val="auto"/>
                <w:highlight w:val="none"/>
                <w:lang w:val="en-US" w:eastAsia="zh-CN"/>
              </w:rPr>
            </w:pPr>
            <w:r>
              <w:rPr>
                <w:rFonts w:hint="eastAsia"/>
                <w:color w:val="auto"/>
                <w:highlight w:val="none"/>
              </w:rPr>
              <w:t>▲</w:t>
            </w:r>
            <w:r>
              <w:rPr>
                <w:rFonts w:hint="eastAsia"/>
                <w:b/>
                <w:bCs/>
                <w:color w:val="auto"/>
                <w:highlight w:val="none"/>
                <w:lang w:val="en-US" w:eastAsia="zh-CN"/>
              </w:rPr>
              <w:t>四、产品配置清单</w:t>
            </w:r>
          </w:p>
          <w:tbl>
            <w:tblPr>
              <w:tblStyle w:val="52"/>
              <w:tblW w:w="390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9"/>
              <w:gridCol w:w="1656"/>
              <w:gridCol w:w="744"/>
              <w:gridCol w:w="800"/>
            </w:tblGrid>
            <w:tr w14:paraId="4A158D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vAlign w:val="top"/>
                </w:tcPr>
                <w:p w14:paraId="6CF2BB94">
                  <w:pPr>
                    <w:pStyle w:val="212"/>
                    <w:spacing w:before="140" w:line="219" w:lineRule="auto"/>
                    <w:jc w:val="both"/>
                    <w:rPr>
                      <w:rFonts w:hint="eastAsia" w:asciiTheme="minorEastAsia" w:hAnsiTheme="minorEastAsia" w:eastAsiaTheme="minorEastAsia" w:cstheme="minorEastAsia"/>
                      <w:color w:val="auto"/>
                      <w:sz w:val="21"/>
                      <w:szCs w:val="21"/>
                      <w:highlight w:val="none"/>
                      <w:vertAlign w:val="baseline"/>
                      <w:lang w:val="en-US" w:eastAsia="zh-CN"/>
                    </w:rPr>
                  </w:pPr>
                  <w:r>
                    <w:rPr>
                      <w:rFonts w:hint="eastAsia" w:asciiTheme="minorEastAsia" w:hAnsiTheme="minorEastAsia" w:eastAsiaTheme="minorEastAsia" w:cstheme="minorEastAsia"/>
                      <w:b/>
                      <w:bCs/>
                      <w:color w:val="auto"/>
                      <w:spacing w:val="6"/>
                      <w:sz w:val="21"/>
                      <w:szCs w:val="21"/>
                      <w:highlight w:val="none"/>
                      <w:lang w:val="en-US" w:eastAsia="zh-CN"/>
                    </w:rPr>
                    <w:t>序</w:t>
                  </w:r>
                  <w:r>
                    <w:rPr>
                      <w:rFonts w:hint="eastAsia" w:asciiTheme="minorEastAsia" w:hAnsiTheme="minorEastAsia" w:eastAsiaTheme="minorEastAsia" w:cstheme="minorEastAsia"/>
                      <w:b/>
                      <w:bCs/>
                      <w:color w:val="auto"/>
                      <w:spacing w:val="6"/>
                      <w:sz w:val="21"/>
                      <w:szCs w:val="21"/>
                      <w:highlight w:val="none"/>
                    </w:rPr>
                    <w:t>号</w:t>
                  </w:r>
                </w:p>
              </w:tc>
              <w:tc>
                <w:tcPr>
                  <w:tcW w:w="1656" w:type="dxa"/>
                  <w:vAlign w:val="top"/>
                </w:tcPr>
                <w:p w14:paraId="132CEEDF">
                  <w:pPr>
                    <w:pStyle w:val="212"/>
                    <w:spacing w:before="147" w:line="217" w:lineRule="auto"/>
                    <w:jc w:val="center"/>
                    <w:rPr>
                      <w:rFonts w:hint="eastAsia" w:asciiTheme="minorEastAsia" w:hAnsiTheme="minorEastAsia" w:eastAsiaTheme="minorEastAsia" w:cstheme="minorEastAsia"/>
                      <w:color w:val="auto"/>
                      <w:sz w:val="21"/>
                      <w:szCs w:val="21"/>
                      <w:highlight w:val="none"/>
                      <w:vertAlign w:val="baseline"/>
                      <w:lang w:val="en-US" w:eastAsia="zh-CN"/>
                    </w:rPr>
                  </w:pPr>
                  <w:r>
                    <w:rPr>
                      <w:rFonts w:hint="eastAsia" w:asciiTheme="minorEastAsia" w:hAnsiTheme="minorEastAsia" w:eastAsiaTheme="minorEastAsia" w:cstheme="minorEastAsia"/>
                      <w:b/>
                      <w:bCs/>
                      <w:color w:val="auto"/>
                      <w:spacing w:val="4"/>
                      <w:sz w:val="21"/>
                      <w:szCs w:val="21"/>
                      <w:highlight w:val="none"/>
                    </w:rPr>
                    <w:t>组件名称</w:t>
                  </w:r>
                </w:p>
              </w:tc>
              <w:tc>
                <w:tcPr>
                  <w:tcW w:w="744" w:type="dxa"/>
                  <w:vAlign w:val="top"/>
                </w:tcPr>
                <w:p w14:paraId="6DBE4678">
                  <w:pPr>
                    <w:pStyle w:val="212"/>
                    <w:spacing w:before="144" w:line="218" w:lineRule="auto"/>
                    <w:jc w:val="center"/>
                    <w:rPr>
                      <w:rFonts w:hint="eastAsia" w:asciiTheme="minorEastAsia" w:hAnsiTheme="minorEastAsia" w:eastAsiaTheme="minorEastAsia" w:cstheme="minorEastAsia"/>
                      <w:color w:val="auto"/>
                      <w:sz w:val="21"/>
                      <w:szCs w:val="21"/>
                      <w:highlight w:val="none"/>
                      <w:vertAlign w:val="baseline"/>
                      <w:lang w:val="en-US" w:eastAsia="zh-CN"/>
                    </w:rPr>
                  </w:pPr>
                  <w:r>
                    <w:rPr>
                      <w:rFonts w:hint="eastAsia" w:asciiTheme="minorEastAsia" w:hAnsiTheme="minorEastAsia" w:eastAsiaTheme="minorEastAsia" w:cstheme="minorEastAsia"/>
                      <w:b/>
                      <w:bCs/>
                      <w:color w:val="auto"/>
                      <w:spacing w:val="1"/>
                      <w:sz w:val="21"/>
                      <w:szCs w:val="21"/>
                      <w:highlight w:val="none"/>
                    </w:rPr>
                    <w:t>数量</w:t>
                  </w:r>
                </w:p>
              </w:tc>
              <w:tc>
                <w:tcPr>
                  <w:tcW w:w="800" w:type="dxa"/>
                  <w:vAlign w:val="center"/>
                </w:tcPr>
                <w:p w14:paraId="1440A367">
                  <w:pPr>
                    <w:pStyle w:val="212"/>
                    <w:spacing w:before="143" w:line="219" w:lineRule="auto"/>
                    <w:jc w:val="center"/>
                    <w:rPr>
                      <w:rFonts w:hint="eastAsia" w:asciiTheme="minorEastAsia" w:hAnsiTheme="minorEastAsia" w:eastAsiaTheme="minorEastAsia" w:cstheme="minorEastAsia"/>
                      <w:color w:val="auto"/>
                      <w:sz w:val="21"/>
                      <w:szCs w:val="21"/>
                      <w:highlight w:val="none"/>
                      <w:vertAlign w:val="baseline"/>
                      <w:lang w:val="en-US" w:eastAsia="zh-CN"/>
                    </w:rPr>
                  </w:pPr>
                  <w:r>
                    <w:rPr>
                      <w:rFonts w:hint="eastAsia" w:asciiTheme="minorEastAsia" w:hAnsiTheme="minorEastAsia" w:eastAsiaTheme="minorEastAsia" w:cstheme="minorEastAsia"/>
                      <w:b/>
                      <w:bCs/>
                      <w:color w:val="auto"/>
                      <w:spacing w:val="-1"/>
                      <w:sz w:val="21"/>
                      <w:szCs w:val="21"/>
                      <w:highlight w:val="none"/>
                    </w:rPr>
                    <w:t>单位</w:t>
                  </w:r>
                </w:p>
              </w:tc>
            </w:tr>
            <w:tr w14:paraId="688ACF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vAlign w:val="center"/>
                </w:tcPr>
                <w:p w14:paraId="0C83B919">
                  <w:pPr>
                    <w:pStyle w:val="212"/>
                    <w:spacing w:before="75" w:line="306" w:lineRule="exact"/>
                    <w:jc w:val="center"/>
                    <w:rPr>
                      <w:rFonts w:hint="eastAsia" w:asciiTheme="minorEastAsia" w:hAnsiTheme="minorEastAsia" w:eastAsiaTheme="minorEastAsia" w:cstheme="minorEastAsia"/>
                      <w:color w:val="auto"/>
                      <w:sz w:val="21"/>
                      <w:szCs w:val="21"/>
                      <w:highlight w:val="none"/>
                      <w:vertAlign w:val="baseline"/>
                      <w:lang w:val="en-US" w:eastAsia="zh-CN"/>
                    </w:rPr>
                  </w:pPr>
                  <w:r>
                    <w:rPr>
                      <w:rFonts w:hint="eastAsia" w:asciiTheme="minorEastAsia" w:hAnsiTheme="minorEastAsia" w:eastAsiaTheme="minorEastAsia" w:cstheme="minorEastAsia"/>
                      <w:color w:val="auto"/>
                      <w:position w:val="3"/>
                      <w:sz w:val="21"/>
                      <w:szCs w:val="21"/>
                      <w:highlight w:val="none"/>
                    </w:rPr>
                    <w:t>1</w:t>
                  </w:r>
                </w:p>
              </w:tc>
              <w:tc>
                <w:tcPr>
                  <w:tcW w:w="1656" w:type="dxa"/>
                  <w:vAlign w:val="center"/>
                </w:tcPr>
                <w:p w14:paraId="05CB8867">
                  <w:pPr>
                    <w:pStyle w:val="212"/>
                    <w:spacing w:before="140" w:line="218" w:lineRule="auto"/>
                    <w:jc w:val="center"/>
                    <w:rPr>
                      <w:rFonts w:hint="eastAsia" w:asciiTheme="minorEastAsia" w:hAnsiTheme="minorEastAsia" w:eastAsiaTheme="minorEastAsia" w:cstheme="minorEastAsia"/>
                      <w:color w:val="auto"/>
                      <w:sz w:val="21"/>
                      <w:szCs w:val="21"/>
                      <w:highlight w:val="none"/>
                      <w:vertAlign w:val="baseline"/>
                      <w:lang w:val="en-US" w:eastAsia="zh-CN"/>
                    </w:rPr>
                  </w:pPr>
                  <w:r>
                    <w:rPr>
                      <w:rFonts w:hint="eastAsia" w:ascii="宋体" w:hAnsi="宋体" w:eastAsia="宋体" w:cs="宋体"/>
                      <w:color w:val="000000"/>
                      <w:sz w:val="21"/>
                      <w:szCs w:val="21"/>
                    </w:rPr>
                    <w:t>主机台车</w:t>
                  </w:r>
                </w:p>
              </w:tc>
              <w:tc>
                <w:tcPr>
                  <w:tcW w:w="744" w:type="dxa"/>
                  <w:vAlign w:val="center"/>
                </w:tcPr>
                <w:p w14:paraId="277E2F71">
                  <w:pPr>
                    <w:pStyle w:val="212"/>
                    <w:spacing w:before="73" w:line="306" w:lineRule="exact"/>
                    <w:jc w:val="center"/>
                    <w:rPr>
                      <w:rFonts w:hint="eastAsia" w:asciiTheme="minorEastAsia" w:hAnsiTheme="minorEastAsia" w:eastAsiaTheme="minorEastAsia" w:cstheme="minorEastAsia"/>
                      <w:color w:val="auto"/>
                      <w:sz w:val="21"/>
                      <w:szCs w:val="21"/>
                      <w:highlight w:val="none"/>
                      <w:vertAlign w:val="baseline"/>
                      <w:lang w:val="en-US" w:eastAsia="zh-CN"/>
                    </w:rPr>
                  </w:pPr>
                  <w:r>
                    <w:rPr>
                      <w:rFonts w:hint="eastAsia" w:ascii="宋体" w:hAnsi="宋体" w:eastAsia="宋体" w:cs="宋体"/>
                      <w:color w:val="000000"/>
                      <w:position w:val="3"/>
                      <w:sz w:val="21"/>
                      <w:szCs w:val="21"/>
                    </w:rPr>
                    <w:t>1</w:t>
                  </w:r>
                </w:p>
              </w:tc>
              <w:tc>
                <w:tcPr>
                  <w:tcW w:w="800" w:type="dxa"/>
                  <w:vAlign w:val="center"/>
                </w:tcPr>
                <w:p w14:paraId="5724D1A7">
                  <w:pPr>
                    <w:pStyle w:val="212"/>
                    <w:spacing w:before="141" w:line="217" w:lineRule="auto"/>
                    <w:jc w:val="center"/>
                    <w:rPr>
                      <w:rFonts w:hint="eastAsia" w:asciiTheme="minorEastAsia" w:hAnsiTheme="minorEastAsia" w:eastAsiaTheme="minorEastAsia" w:cstheme="minorEastAsia"/>
                      <w:color w:val="auto"/>
                      <w:sz w:val="21"/>
                      <w:szCs w:val="21"/>
                      <w:highlight w:val="none"/>
                      <w:vertAlign w:val="baseline"/>
                      <w:lang w:val="en-US" w:eastAsia="zh-CN"/>
                    </w:rPr>
                  </w:pPr>
                  <w:r>
                    <w:rPr>
                      <w:rFonts w:hint="eastAsia" w:ascii="宋体" w:hAnsi="宋体" w:eastAsia="宋体" w:cs="宋体"/>
                      <w:color w:val="000000"/>
                      <w:sz w:val="21"/>
                      <w:szCs w:val="21"/>
                    </w:rPr>
                    <w:t>台</w:t>
                  </w:r>
                </w:p>
              </w:tc>
            </w:tr>
            <w:tr w14:paraId="460696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vAlign w:val="center"/>
                </w:tcPr>
                <w:p w14:paraId="113056D7">
                  <w:pPr>
                    <w:pStyle w:val="212"/>
                    <w:spacing w:before="76" w:line="306" w:lineRule="exact"/>
                    <w:jc w:val="center"/>
                    <w:rPr>
                      <w:rFonts w:hint="eastAsia" w:asciiTheme="minorEastAsia" w:hAnsiTheme="minorEastAsia" w:eastAsiaTheme="minorEastAsia" w:cstheme="minorEastAsia"/>
                      <w:color w:val="auto"/>
                      <w:sz w:val="21"/>
                      <w:szCs w:val="21"/>
                      <w:highlight w:val="none"/>
                      <w:vertAlign w:val="baseline"/>
                      <w:lang w:val="en-US" w:eastAsia="zh-CN"/>
                    </w:rPr>
                  </w:pPr>
                  <w:r>
                    <w:rPr>
                      <w:rFonts w:hint="eastAsia" w:asciiTheme="minorEastAsia" w:hAnsiTheme="minorEastAsia" w:eastAsiaTheme="minorEastAsia" w:cstheme="minorEastAsia"/>
                      <w:color w:val="auto"/>
                      <w:position w:val="3"/>
                      <w:sz w:val="21"/>
                      <w:szCs w:val="21"/>
                      <w:highlight w:val="none"/>
                    </w:rPr>
                    <w:t>2</w:t>
                  </w:r>
                </w:p>
              </w:tc>
              <w:tc>
                <w:tcPr>
                  <w:tcW w:w="1656" w:type="dxa"/>
                  <w:vAlign w:val="center"/>
                </w:tcPr>
                <w:p w14:paraId="0BF7A96E">
                  <w:pPr>
                    <w:pStyle w:val="212"/>
                    <w:spacing w:before="141" w:line="217" w:lineRule="auto"/>
                    <w:jc w:val="center"/>
                    <w:rPr>
                      <w:rFonts w:hint="eastAsia" w:asciiTheme="minorEastAsia" w:hAnsiTheme="minorEastAsia" w:eastAsiaTheme="minorEastAsia" w:cstheme="minorEastAsia"/>
                      <w:color w:val="auto"/>
                      <w:sz w:val="21"/>
                      <w:szCs w:val="21"/>
                      <w:highlight w:val="none"/>
                      <w:vertAlign w:val="baseline"/>
                      <w:lang w:val="en-US" w:eastAsia="zh-CN"/>
                    </w:rPr>
                  </w:pPr>
                  <w:r>
                    <w:rPr>
                      <w:rFonts w:hint="eastAsia" w:ascii="宋体" w:hAnsi="宋体" w:eastAsia="宋体" w:cs="宋体"/>
                      <w:color w:val="000000"/>
                      <w:spacing w:val="7"/>
                      <w:sz w:val="21"/>
                      <w:szCs w:val="21"/>
                    </w:rPr>
                    <w:t>机械臂</w:t>
                  </w:r>
                </w:p>
              </w:tc>
              <w:tc>
                <w:tcPr>
                  <w:tcW w:w="744" w:type="dxa"/>
                  <w:vAlign w:val="center"/>
                </w:tcPr>
                <w:p w14:paraId="11177C1B">
                  <w:pPr>
                    <w:pStyle w:val="212"/>
                    <w:spacing w:before="76" w:line="306" w:lineRule="exact"/>
                    <w:jc w:val="center"/>
                    <w:rPr>
                      <w:rFonts w:hint="eastAsia" w:asciiTheme="minorEastAsia" w:hAnsiTheme="minorEastAsia" w:eastAsiaTheme="minorEastAsia" w:cstheme="minorEastAsia"/>
                      <w:color w:val="auto"/>
                      <w:sz w:val="21"/>
                      <w:szCs w:val="21"/>
                      <w:highlight w:val="none"/>
                      <w:vertAlign w:val="baseline"/>
                      <w:lang w:val="en-US" w:eastAsia="zh-CN"/>
                    </w:rPr>
                  </w:pPr>
                  <w:r>
                    <w:rPr>
                      <w:rFonts w:hint="eastAsia" w:ascii="宋体" w:hAnsi="宋体" w:eastAsia="宋体" w:cs="宋体"/>
                      <w:color w:val="000000"/>
                      <w:position w:val="3"/>
                      <w:sz w:val="21"/>
                      <w:szCs w:val="21"/>
                    </w:rPr>
                    <w:t>1</w:t>
                  </w:r>
                </w:p>
              </w:tc>
              <w:tc>
                <w:tcPr>
                  <w:tcW w:w="800" w:type="dxa"/>
                  <w:vAlign w:val="center"/>
                </w:tcPr>
                <w:p w14:paraId="7F1C8F1D">
                  <w:pPr>
                    <w:pStyle w:val="212"/>
                    <w:spacing w:before="145" w:line="216" w:lineRule="auto"/>
                    <w:jc w:val="center"/>
                    <w:rPr>
                      <w:rFonts w:hint="eastAsia" w:asciiTheme="minorEastAsia" w:hAnsiTheme="minorEastAsia" w:eastAsiaTheme="minorEastAsia" w:cstheme="minorEastAsia"/>
                      <w:color w:val="auto"/>
                      <w:sz w:val="21"/>
                      <w:szCs w:val="21"/>
                      <w:highlight w:val="none"/>
                      <w:vertAlign w:val="baseline"/>
                      <w:lang w:val="en-US" w:eastAsia="zh-CN"/>
                    </w:rPr>
                  </w:pPr>
                  <w:r>
                    <w:rPr>
                      <w:rFonts w:hint="eastAsia" w:ascii="宋体" w:hAnsi="宋体" w:eastAsia="宋体" w:cs="宋体"/>
                      <w:color w:val="000000"/>
                      <w:spacing w:val="3"/>
                      <w:sz w:val="21"/>
                      <w:szCs w:val="21"/>
                    </w:rPr>
                    <w:t>个</w:t>
                  </w:r>
                </w:p>
              </w:tc>
            </w:tr>
            <w:tr w14:paraId="1B559D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vAlign w:val="center"/>
                </w:tcPr>
                <w:p w14:paraId="274B9F12">
                  <w:pPr>
                    <w:pStyle w:val="212"/>
                    <w:spacing w:before="77" w:line="304" w:lineRule="exact"/>
                    <w:jc w:val="center"/>
                    <w:rPr>
                      <w:rFonts w:hint="eastAsia" w:asciiTheme="minorEastAsia" w:hAnsiTheme="minorEastAsia" w:eastAsiaTheme="minorEastAsia" w:cstheme="minorEastAsia"/>
                      <w:color w:val="auto"/>
                      <w:sz w:val="21"/>
                      <w:szCs w:val="21"/>
                      <w:highlight w:val="none"/>
                      <w:vertAlign w:val="baseline"/>
                      <w:lang w:val="en-US" w:eastAsia="zh-CN"/>
                    </w:rPr>
                  </w:pPr>
                  <w:r>
                    <w:rPr>
                      <w:rFonts w:hint="eastAsia" w:asciiTheme="minorEastAsia" w:hAnsiTheme="minorEastAsia" w:eastAsiaTheme="minorEastAsia" w:cstheme="minorEastAsia"/>
                      <w:color w:val="auto"/>
                      <w:position w:val="3"/>
                      <w:sz w:val="21"/>
                      <w:szCs w:val="21"/>
                      <w:highlight w:val="none"/>
                    </w:rPr>
                    <w:t>3</w:t>
                  </w:r>
                </w:p>
              </w:tc>
              <w:tc>
                <w:tcPr>
                  <w:tcW w:w="1656" w:type="dxa"/>
                  <w:vAlign w:val="center"/>
                </w:tcPr>
                <w:p w14:paraId="77B58686">
                  <w:pPr>
                    <w:pStyle w:val="212"/>
                    <w:spacing w:before="138" w:line="219" w:lineRule="auto"/>
                    <w:jc w:val="center"/>
                    <w:rPr>
                      <w:rFonts w:hint="eastAsia" w:asciiTheme="minorEastAsia" w:hAnsiTheme="minorEastAsia" w:eastAsiaTheme="minorEastAsia" w:cstheme="minorEastAsia"/>
                      <w:color w:val="auto"/>
                      <w:sz w:val="21"/>
                      <w:szCs w:val="21"/>
                      <w:highlight w:val="none"/>
                      <w:vertAlign w:val="baseline"/>
                      <w:lang w:val="en-US" w:eastAsia="zh-CN"/>
                    </w:rPr>
                  </w:pPr>
                  <w:r>
                    <w:rPr>
                      <w:rFonts w:hint="eastAsia" w:ascii="宋体" w:hAnsi="宋体" w:eastAsia="宋体" w:cs="宋体"/>
                      <w:color w:val="000000"/>
                      <w:spacing w:val="4"/>
                      <w:sz w:val="21"/>
                      <w:szCs w:val="21"/>
                    </w:rPr>
                    <w:t>定位器</w:t>
                  </w:r>
                </w:p>
              </w:tc>
              <w:tc>
                <w:tcPr>
                  <w:tcW w:w="744" w:type="dxa"/>
                  <w:vAlign w:val="center"/>
                </w:tcPr>
                <w:p w14:paraId="0008C8CC">
                  <w:pPr>
                    <w:pStyle w:val="212"/>
                    <w:spacing w:before="74" w:line="307" w:lineRule="exact"/>
                    <w:jc w:val="center"/>
                    <w:rPr>
                      <w:rFonts w:hint="eastAsia" w:asciiTheme="minorEastAsia" w:hAnsiTheme="minorEastAsia" w:eastAsiaTheme="minorEastAsia" w:cstheme="minorEastAsia"/>
                      <w:color w:val="auto"/>
                      <w:sz w:val="21"/>
                      <w:szCs w:val="21"/>
                      <w:highlight w:val="none"/>
                      <w:vertAlign w:val="baseline"/>
                      <w:lang w:val="en-US" w:eastAsia="zh-CN"/>
                    </w:rPr>
                  </w:pPr>
                  <w:r>
                    <w:rPr>
                      <w:rFonts w:hint="eastAsia" w:ascii="宋体" w:hAnsi="宋体" w:eastAsia="宋体" w:cs="宋体"/>
                      <w:color w:val="000000"/>
                      <w:position w:val="3"/>
                      <w:sz w:val="21"/>
                      <w:szCs w:val="21"/>
                    </w:rPr>
                    <w:t>1</w:t>
                  </w:r>
                </w:p>
              </w:tc>
              <w:tc>
                <w:tcPr>
                  <w:tcW w:w="800" w:type="dxa"/>
                  <w:vAlign w:val="center"/>
                </w:tcPr>
                <w:p w14:paraId="1F5C8DF7">
                  <w:pPr>
                    <w:pStyle w:val="212"/>
                    <w:spacing w:before="143" w:line="216" w:lineRule="auto"/>
                    <w:jc w:val="center"/>
                    <w:rPr>
                      <w:rFonts w:hint="eastAsia" w:asciiTheme="minorEastAsia" w:hAnsiTheme="minorEastAsia" w:eastAsiaTheme="minorEastAsia" w:cstheme="minorEastAsia"/>
                      <w:color w:val="auto"/>
                      <w:sz w:val="21"/>
                      <w:szCs w:val="21"/>
                      <w:highlight w:val="none"/>
                      <w:vertAlign w:val="baseline"/>
                      <w:lang w:val="en-US" w:eastAsia="zh-CN"/>
                    </w:rPr>
                  </w:pPr>
                  <w:r>
                    <w:rPr>
                      <w:rFonts w:hint="eastAsia" w:ascii="宋体" w:hAnsi="宋体" w:eastAsia="宋体" w:cs="宋体"/>
                      <w:color w:val="000000"/>
                      <w:spacing w:val="3"/>
                      <w:sz w:val="21"/>
                      <w:szCs w:val="21"/>
                    </w:rPr>
                    <w:t>个</w:t>
                  </w:r>
                </w:p>
              </w:tc>
            </w:tr>
            <w:tr w14:paraId="1EE8AA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vAlign w:val="center"/>
                </w:tcPr>
                <w:p w14:paraId="06C98F67">
                  <w:pPr>
                    <w:pStyle w:val="212"/>
                    <w:spacing w:before="79" w:line="306" w:lineRule="exact"/>
                    <w:jc w:val="center"/>
                    <w:rPr>
                      <w:rFonts w:hint="eastAsia" w:asciiTheme="minorEastAsia" w:hAnsiTheme="minorEastAsia" w:eastAsiaTheme="minorEastAsia" w:cstheme="minorEastAsia"/>
                      <w:color w:val="auto"/>
                      <w:sz w:val="21"/>
                      <w:szCs w:val="21"/>
                      <w:highlight w:val="none"/>
                      <w:vertAlign w:val="baseline"/>
                      <w:lang w:val="en-US" w:eastAsia="zh-CN"/>
                    </w:rPr>
                  </w:pPr>
                  <w:r>
                    <w:rPr>
                      <w:rFonts w:hint="eastAsia" w:asciiTheme="minorEastAsia" w:hAnsiTheme="minorEastAsia" w:eastAsiaTheme="minorEastAsia" w:cstheme="minorEastAsia"/>
                      <w:color w:val="auto"/>
                      <w:position w:val="3"/>
                      <w:sz w:val="21"/>
                      <w:szCs w:val="21"/>
                      <w:highlight w:val="none"/>
                    </w:rPr>
                    <w:t>4</w:t>
                  </w:r>
                </w:p>
              </w:tc>
              <w:tc>
                <w:tcPr>
                  <w:tcW w:w="1656" w:type="dxa"/>
                  <w:vAlign w:val="center"/>
                </w:tcPr>
                <w:p w14:paraId="54B14874">
                  <w:pPr>
                    <w:pStyle w:val="212"/>
                    <w:spacing w:before="133" w:line="218" w:lineRule="auto"/>
                    <w:jc w:val="center"/>
                    <w:rPr>
                      <w:rFonts w:hint="eastAsia" w:asciiTheme="minorEastAsia" w:hAnsiTheme="minorEastAsia" w:eastAsiaTheme="minorEastAsia" w:cstheme="minorEastAsia"/>
                      <w:color w:val="auto"/>
                      <w:sz w:val="21"/>
                      <w:szCs w:val="21"/>
                      <w:highlight w:val="none"/>
                      <w:vertAlign w:val="baseline"/>
                      <w:lang w:val="en-US" w:eastAsia="zh-CN"/>
                    </w:rPr>
                  </w:pPr>
                  <w:r>
                    <w:rPr>
                      <w:rFonts w:hint="eastAsia" w:ascii="宋体" w:hAnsi="宋体" w:eastAsia="宋体" w:cs="宋体"/>
                      <w:color w:val="000000"/>
                      <w:spacing w:val="3"/>
                      <w:sz w:val="21"/>
                      <w:szCs w:val="21"/>
                    </w:rPr>
                    <w:t>探针</w:t>
                  </w:r>
                </w:p>
              </w:tc>
              <w:tc>
                <w:tcPr>
                  <w:tcW w:w="744" w:type="dxa"/>
                  <w:vAlign w:val="center"/>
                </w:tcPr>
                <w:p w14:paraId="13A62798">
                  <w:pPr>
                    <w:pStyle w:val="212"/>
                    <w:spacing w:before="69" w:line="306" w:lineRule="exact"/>
                    <w:jc w:val="center"/>
                    <w:rPr>
                      <w:rFonts w:hint="eastAsia" w:asciiTheme="minorEastAsia" w:hAnsiTheme="minorEastAsia" w:eastAsiaTheme="minorEastAsia" w:cstheme="minorEastAsia"/>
                      <w:color w:val="auto"/>
                      <w:sz w:val="21"/>
                      <w:szCs w:val="21"/>
                      <w:highlight w:val="none"/>
                      <w:vertAlign w:val="baseline"/>
                      <w:lang w:val="en-US" w:eastAsia="zh-CN"/>
                    </w:rPr>
                  </w:pPr>
                  <w:r>
                    <w:rPr>
                      <w:rFonts w:hint="eastAsia" w:ascii="宋体" w:hAnsi="宋体" w:eastAsia="宋体" w:cs="宋体"/>
                      <w:color w:val="000000"/>
                      <w:position w:val="3"/>
                      <w:sz w:val="21"/>
                      <w:szCs w:val="21"/>
                      <w:lang w:val="en-US" w:eastAsia="zh-CN"/>
                    </w:rPr>
                    <w:t>≥</w:t>
                  </w:r>
                  <w:r>
                    <w:rPr>
                      <w:rFonts w:hint="eastAsia" w:ascii="宋体" w:hAnsi="宋体" w:eastAsia="宋体" w:cs="宋体"/>
                      <w:color w:val="000000"/>
                      <w:position w:val="3"/>
                      <w:sz w:val="21"/>
                      <w:szCs w:val="21"/>
                    </w:rPr>
                    <w:t>2</w:t>
                  </w:r>
                </w:p>
              </w:tc>
              <w:tc>
                <w:tcPr>
                  <w:tcW w:w="800" w:type="dxa"/>
                  <w:vAlign w:val="center"/>
                </w:tcPr>
                <w:p w14:paraId="57CC4F0C">
                  <w:pPr>
                    <w:pStyle w:val="212"/>
                    <w:spacing w:before="138" w:line="216" w:lineRule="auto"/>
                    <w:jc w:val="center"/>
                    <w:rPr>
                      <w:rFonts w:hint="eastAsia" w:asciiTheme="minorEastAsia" w:hAnsiTheme="minorEastAsia" w:eastAsiaTheme="minorEastAsia" w:cstheme="minorEastAsia"/>
                      <w:color w:val="auto"/>
                      <w:sz w:val="21"/>
                      <w:szCs w:val="21"/>
                      <w:highlight w:val="none"/>
                      <w:vertAlign w:val="baseline"/>
                      <w:lang w:val="en-US" w:eastAsia="zh-CN"/>
                    </w:rPr>
                  </w:pPr>
                  <w:r>
                    <w:rPr>
                      <w:rFonts w:hint="eastAsia" w:ascii="宋体" w:hAnsi="宋体" w:eastAsia="宋体" w:cs="宋体"/>
                      <w:color w:val="000000"/>
                      <w:spacing w:val="3"/>
                      <w:sz w:val="21"/>
                      <w:szCs w:val="21"/>
                    </w:rPr>
                    <w:t>个</w:t>
                  </w:r>
                </w:p>
              </w:tc>
            </w:tr>
            <w:tr w14:paraId="7FFCA1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vAlign w:val="center"/>
                </w:tcPr>
                <w:p w14:paraId="34785035">
                  <w:pPr>
                    <w:pStyle w:val="212"/>
                    <w:spacing w:before="78" w:line="305" w:lineRule="exact"/>
                    <w:jc w:val="center"/>
                    <w:rPr>
                      <w:rFonts w:hint="eastAsia" w:asciiTheme="minorEastAsia" w:hAnsiTheme="minorEastAsia" w:eastAsiaTheme="minorEastAsia" w:cstheme="minorEastAsia"/>
                      <w:color w:val="auto"/>
                      <w:sz w:val="21"/>
                      <w:szCs w:val="21"/>
                      <w:highlight w:val="none"/>
                      <w:vertAlign w:val="baseline"/>
                      <w:lang w:val="en-US" w:eastAsia="zh-CN"/>
                    </w:rPr>
                  </w:pPr>
                  <w:r>
                    <w:rPr>
                      <w:rFonts w:hint="eastAsia" w:asciiTheme="minorEastAsia" w:hAnsiTheme="minorEastAsia" w:eastAsiaTheme="minorEastAsia" w:cstheme="minorEastAsia"/>
                      <w:color w:val="auto"/>
                      <w:position w:val="3"/>
                      <w:sz w:val="21"/>
                      <w:szCs w:val="21"/>
                      <w:highlight w:val="none"/>
                    </w:rPr>
                    <w:t>5</w:t>
                  </w:r>
                </w:p>
              </w:tc>
              <w:tc>
                <w:tcPr>
                  <w:tcW w:w="1656" w:type="dxa"/>
                  <w:vAlign w:val="center"/>
                </w:tcPr>
                <w:p w14:paraId="23CFD3E5">
                  <w:pPr>
                    <w:pStyle w:val="212"/>
                    <w:spacing w:before="139" w:line="217" w:lineRule="auto"/>
                    <w:jc w:val="center"/>
                    <w:rPr>
                      <w:rFonts w:hint="eastAsia" w:asciiTheme="minorEastAsia" w:hAnsiTheme="minorEastAsia" w:eastAsiaTheme="minorEastAsia" w:cstheme="minorEastAsia"/>
                      <w:color w:val="auto"/>
                      <w:sz w:val="21"/>
                      <w:szCs w:val="21"/>
                      <w:highlight w:val="none"/>
                      <w:vertAlign w:val="baseline"/>
                      <w:lang w:val="en-US" w:eastAsia="zh-CN"/>
                    </w:rPr>
                  </w:pPr>
                  <w:r>
                    <w:rPr>
                      <w:rFonts w:hint="eastAsia" w:ascii="宋体" w:hAnsi="宋体" w:eastAsia="宋体" w:cs="宋体"/>
                      <w:color w:val="000000"/>
                      <w:spacing w:val="-8"/>
                      <w:sz w:val="21"/>
                      <w:szCs w:val="21"/>
                    </w:rPr>
                    <w:t>引导器</w:t>
                  </w:r>
                </w:p>
              </w:tc>
              <w:tc>
                <w:tcPr>
                  <w:tcW w:w="744" w:type="dxa"/>
                  <w:vAlign w:val="center"/>
                </w:tcPr>
                <w:p w14:paraId="0CBD39EF">
                  <w:pPr>
                    <w:pStyle w:val="212"/>
                    <w:spacing w:before="66" w:line="307" w:lineRule="exact"/>
                    <w:jc w:val="center"/>
                    <w:rPr>
                      <w:rFonts w:hint="eastAsia" w:asciiTheme="minorEastAsia" w:hAnsiTheme="minorEastAsia" w:eastAsiaTheme="minorEastAsia" w:cstheme="minorEastAsia"/>
                      <w:color w:val="auto"/>
                      <w:sz w:val="21"/>
                      <w:szCs w:val="21"/>
                      <w:highlight w:val="none"/>
                      <w:vertAlign w:val="baseline"/>
                      <w:lang w:val="en-US" w:eastAsia="zh-CN"/>
                    </w:rPr>
                  </w:pPr>
                  <w:r>
                    <w:rPr>
                      <w:rFonts w:hint="eastAsia" w:ascii="宋体" w:hAnsi="宋体" w:eastAsia="宋体" w:cs="宋体"/>
                      <w:color w:val="000000"/>
                      <w:position w:val="3"/>
                      <w:sz w:val="21"/>
                      <w:szCs w:val="21"/>
                      <w:lang w:val="en-US" w:eastAsia="zh-CN"/>
                    </w:rPr>
                    <w:t>≥2</w:t>
                  </w:r>
                </w:p>
              </w:tc>
              <w:tc>
                <w:tcPr>
                  <w:tcW w:w="800" w:type="dxa"/>
                  <w:vAlign w:val="center"/>
                </w:tcPr>
                <w:p w14:paraId="06AA4724">
                  <w:pPr>
                    <w:pStyle w:val="212"/>
                    <w:spacing w:before="140" w:line="216" w:lineRule="auto"/>
                    <w:jc w:val="center"/>
                    <w:rPr>
                      <w:rFonts w:hint="eastAsia" w:asciiTheme="minorEastAsia" w:hAnsiTheme="minorEastAsia" w:eastAsiaTheme="minorEastAsia" w:cstheme="minorEastAsia"/>
                      <w:color w:val="auto"/>
                      <w:sz w:val="21"/>
                      <w:szCs w:val="21"/>
                      <w:highlight w:val="none"/>
                      <w:vertAlign w:val="baseline"/>
                      <w:lang w:val="en-US" w:eastAsia="zh-CN"/>
                    </w:rPr>
                  </w:pPr>
                  <w:r>
                    <w:rPr>
                      <w:rFonts w:hint="eastAsia" w:ascii="宋体" w:hAnsi="宋体" w:eastAsia="宋体" w:cs="宋体"/>
                      <w:color w:val="000000"/>
                      <w:spacing w:val="3"/>
                      <w:sz w:val="21"/>
                      <w:szCs w:val="21"/>
                    </w:rPr>
                    <w:t>个</w:t>
                  </w:r>
                </w:p>
              </w:tc>
            </w:tr>
            <w:tr w14:paraId="251E60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vAlign w:val="center"/>
                </w:tcPr>
                <w:p w14:paraId="5C7E37E7">
                  <w:pPr>
                    <w:pStyle w:val="212"/>
                    <w:spacing w:before="81" w:line="305" w:lineRule="exact"/>
                    <w:jc w:val="center"/>
                    <w:rPr>
                      <w:rFonts w:hint="eastAsia" w:asciiTheme="minorEastAsia" w:hAnsiTheme="minorEastAsia" w:eastAsiaTheme="minorEastAsia" w:cstheme="minorEastAsia"/>
                      <w:color w:val="auto"/>
                      <w:sz w:val="21"/>
                      <w:szCs w:val="21"/>
                      <w:highlight w:val="none"/>
                      <w:vertAlign w:val="baseline"/>
                      <w:lang w:val="en-US" w:eastAsia="zh-CN"/>
                    </w:rPr>
                  </w:pPr>
                  <w:r>
                    <w:rPr>
                      <w:rFonts w:hint="eastAsia" w:asciiTheme="minorEastAsia" w:hAnsiTheme="minorEastAsia" w:eastAsiaTheme="minorEastAsia" w:cstheme="minorEastAsia"/>
                      <w:color w:val="auto"/>
                      <w:position w:val="3"/>
                      <w:sz w:val="21"/>
                      <w:szCs w:val="21"/>
                      <w:highlight w:val="none"/>
                    </w:rPr>
                    <w:t>6</w:t>
                  </w:r>
                </w:p>
              </w:tc>
              <w:tc>
                <w:tcPr>
                  <w:tcW w:w="1656" w:type="dxa"/>
                  <w:vAlign w:val="center"/>
                </w:tcPr>
                <w:p w14:paraId="3BDF6F11">
                  <w:pPr>
                    <w:pStyle w:val="212"/>
                    <w:spacing w:before="71" w:line="282" w:lineRule="exact"/>
                    <w:jc w:val="center"/>
                    <w:rPr>
                      <w:rFonts w:hint="eastAsia" w:asciiTheme="minorEastAsia" w:hAnsiTheme="minorEastAsia" w:eastAsiaTheme="minorEastAsia" w:cstheme="minorEastAsia"/>
                      <w:color w:val="auto"/>
                      <w:sz w:val="21"/>
                      <w:szCs w:val="21"/>
                      <w:highlight w:val="none"/>
                      <w:vertAlign w:val="baseline"/>
                      <w:lang w:val="en-US" w:eastAsia="zh-CN"/>
                    </w:rPr>
                  </w:pPr>
                  <w:r>
                    <w:rPr>
                      <w:rFonts w:hint="eastAsia" w:ascii="宋体" w:hAnsi="宋体" w:eastAsia="宋体" w:cs="宋体"/>
                      <w:color w:val="000000"/>
                      <w:spacing w:val="-4"/>
                      <w:position w:val="3"/>
                      <w:sz w:val="21"/>
                      <w:szCs w:val="21"/>
                    </w:rPr>
                    <w:t>引导器（OA）</w:t>
                  </w:r>
                </w:p>
              </w:tc>
              <w:tc>
                <w:tcPr>
                  <w:tcW w:w="744" w:type="dxa"/>
                  <w:vAlign w:val="center"/>
                </w:tcPr>
                <w:p w14:paraId="17BFB933">
                  <w:pPr>
                    <w:pStyle w:val="212"/>
                    <w:spacing w:before="79" w:line="306" w:lineRule="exact"/>
                    <w:jc w:val="center"/>
                    <w:rPr>
                      <w:rFonts w:hint="eastAsia" w:asciiTheme="minorEastAsia" w:hAnsiTheme="minorEastAsia" w:eastAsiaTheme="minorEastAsia" w:cstheme="minorEastAsia"/>
                      <w:color w:val="auto"/>
                      <w:sz w:val="21"/>
                      <w:szCs w:val="21"/>
                      <w:highlight w:val="none"/>
                      <w:vertAlign w:val="baseline"/>
                      <w:lang w:val="en-US" w:eastAsia="zh-CN"/>
                    </w:rPr>
                  </w:pPr>
                  <w:r>
                    <w:rPr>
                      <w:rFonts w:hint="eastAsia" w:ascii="宋体" w:hAnsi="宋体" w:eastAsia="宋体" w:cs="宋体"/>
                      <w:color w:val="000000"/>
                      <w:position w:val="3"/>
                      <w:sz w:val="21"/>
                      <w:szCs w:val="21"/>
                      <w:lang w:val="en-US" w:eastAsia="zh-CN"/>
                    </w:rPr>
                    <w:t>≥2</w:t>
                  </w:r>
                </w:p>
              </w:tc>
              <w:tc>
                <w:tcPr>
                  <w:tcW w:w="800" w:type="dxa"/>
                  <w:vAlign w:val="center"/>
                </w:tcPr>
                <w:p w14:paraId="24CC0A4C">
                  <w:pPr>
                    <w:pStyle w:val="212"/>
                    <w:spacing w:before="140" w:line="216" w:lineRule="auto"/>
                    <w:jc w:val="center"/>
                    <w:rPr>
                      <w:rFonts w:hint="eastAsia" w:asciiTheme="minorEastAsia" w:hAnsiTheme="minorEastAsia" w:eastAsiaTheme="minorEastAsia" w:cstheme="minorEastAsia"/>
                      <w:color w:val="auto"/>
                      <w:sz w:val="21"/>
                      <w:szCs w:val="21"/>
                      <w:highlight w:val="none"/>
                      <w:vertAlign w:val="baseline"/>
                      <w:lang w:val="en-US" w:eastAsia="zh-CN"/>
                    </w:rPr>
                  </w:pPr>
                  <w:r>
                    <w:rPr>
                      <w:rFonts w:hint="eastAsia" w:ascii="宋体" w:hAnsi="宋体" w:eastAsia="宋体" w:cs="宋体"/>
                      <w:color w:val="000000"/>
                      <w:spacing w:val="3"/>
                      <w:sz w:val="21"/>
                      <w:szCs w:val="21"/>
                    </w:rPr>
                    <w:t>个</w:t>
                  </w:r>
                </w:p>
              </w:tc>
            </w:tr>
            <w:tr w14:paraId="75994B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vAlign w:val="center"/>
                </w:tcPr>
                <w:p w14:paraId="1A52FE0D">
                  <w:pPr>
                    <w:pStyle w:val="212"/>
                    <w:spacing w:before="80" w:line="306" w:lineRule="exact"/>
                    <w:jc w:val="center"/>
                    <w:rPr>
                      <w:rFonts w:hint="eastAsia" w:asciiTheme="minorEastAsia" w:hAnsiTheme="minorEastAsia" w:eastAsiaTheme="minorEastAsia" w:cstheme="minorEastAsia"/>
                      <w:color w:val="auto"/>
                      <w:sz w:val="21"/>
                      <w:szCs w:val="21"/>
                      <w:highlight w:val="none"/>
                      <w:vertAlign w:val="baseline"/>
                      <w:lang w:val="en-US" w:eastAsia="zh-CN"/>
                    </w:rPr>
                  </w:pPr>
                  <w:r>
                    <w:rPr>
                      <w:rFonts w:hint="eastAsia" w:asciiTheme="minorEastAsia" w:hAnsiTheme="minorEastAsia" w:eastAsiaTheme="minorEastAsia" w:cstheme="minorEastAsia"/>
                      <w:color w:val="auto"/>
                      <w:position w:val="3"/>
                      <w:sz w:val="21"/>
                      <w:szCs w:val="21"/>
                      <w:highlight w:val="none"/>
                    </w:rPr>
                    <w:t>7</w:t>
                  </w:r>
                </w:p>
              </w:tc>
              <w:tc>
                <w:tcPr>
                  <w:tcW w:w="1656" w:type="dxa"/>
                  <w:vAlign w:val="center"/>
                </w:tcPr>
                <w:p w14:paraId="33BDAF72">
                  <w:pPr>
                    <w:pStyle w:val="212"/>
                    <w:spacing w:before="111" w:line="270" w:lineRule="exact"/>
                    <w:jc w:val="center"/>
                    <w:rPr>
                      <w:rFonts w:hint="eastAsia" w:asciiTheme="minorEastAsia" w:hAnsiTheme="minorEastAsia" w:eastAsiaTheme="minorEastAsia" w:cstheme="minorEastAsia"/>
                      <w:color w:val="auto"/>
                      <w:sz w:val="21"/>
                      <w:szCs w:val="21"/>
                      <w:highlight w:val="none"/>
                      <w:vertAlign w:val="baseline"/>
                      <w:lang w:val="en-US" w:eastAsia="zh-CN"/>
                    </w:rPr>
                  </w:pPr>
                  <w:r>
                    <w:rPr>
                      <w:rFonts w:hint="eastAsia" w:ascii="宋体" w:hAnsi="宋体" w:eastAsia="宋体" w:cs="宋体"/>
                      <w:color w:val="000000"/>
                      <w:spacing w:val="5"/>
                      <w:position w:val="3"/>
                      <w:sz w:val="21"/>
                      <w:szCs w:val="21"/>
                    </w:rPr>
                    <w:t>工具适配器（5</w:t>
                  </w:r>
                  <w:r>
                    <w:rPr>
                      <w:rFonts w:hint="eastAsia" w:ascii="宋体" w:hAnsi="宋体" w:eastAsia="宋体" w:cs="宋体"/>
                      <w:color w:val="000000"/>
                      <w:position w:val="3"/>
                      <w:sz w:val="21"/>
                      <w:szCs w:val="21"/>
                    </w:rPr>
                    <w:t>mm</w:t>
                  </w:r>
                  <w:r>
                    <w:rPr>
                      <w:rFonts w:hint="eastAsia" w:ascii="宋体" w:hAnsi="宋体" w:eastAsia="宋体" w:cs="宋体"/>
                      <w:color w:val="000000"/>
                      <w:spacing w:val="5"/>
                      <w:position w:val="3"/>
                      <w:sz w:val="21"/>
                      <w:szCs w:val="21"/>
                    </w:rPr>
                    <w:t>)</w:t>
                  </w:r>
                </w:p>
              </w:tc>
              <w:tc>
                <w:tcPr>
                  <w:tcW w:w="744" w:type="dxa"/>
                  <w:vAlign w:val="center"/>
                </w:tcPr>
                <w:p w14:paraId="5B568C40">
                  <w:pPr>
                    <w:pStyle w:val="212"/>
                    <w:spacing w:before="75" w:line="306" w:lineRule="exact"/>
                    <w:jc w:val="center"/>
                    <w:rPr>
                      <w:rFonts w:hint="eastAsia" w:asciiTheme="minorEastAsia" w:hAnsiTheme="minorEastAsia" w:eastAsiaTheme="minorEastAsia" w:cstheme="minorEastAsia"/>
                      <w:color w:val="auto"/>
                      <w:sz w:val="21"/>
                      <w:szCs w:val="21"/>
                      <w:highlight w:val="none"/>
                      <w:vertAlign w:val="baseline"/>
                      <w:lang w:val="en-US" w:eastAsia="zh-CN"/>
                    </w:rPr>
                  </w:pPr>
                  <w:r>
                    <w:rPr>
                      <w:rFonts w:hint="eastAsia" w:ascii="宋体" w:hAnsi="宋体" w:eastAsia="宋体" w:cs="宋体"/>
                      <w:color w:val="000000"/>
                      <w:position w:val="3"/>
                      <w:sz w:val="21"/>
                      <w:szCs w:val="21"/>
                      <w:lang w:val="en-US" w:eastAsia="zh-CN"/>
                    </w:rPr>
                    <w:t>≥2</w:t>
                  </w:r>
                </w:p>
              </w:tc>
              <w:tc>
                <w:tcPr>
                  <w:tcW w:w="800" w:type="dxa"/>
                  <w:vAlign w:val="center"/>
                </w:tcPr>
                <w:p w14:paraId="37D3F13F">
                  <w:pPr>
                    <w:pStyle w:val="212"/>
                    <w:spacing w:before="139" w:line="216" w:lineRule="auto"/>
                    <w:jc w:val="center"/>
                    <w:rPr>
                      <w:rFonts w:hint="eastAsia" w:asciiTheme="minorEastAsia" w:hAnsiTheme="minorEastAsia" w:eastAsiaTheme="minorEastAsia" w:cstheme="minorEastAsia"/>
                      <w:color w:val="auto"/>
                      <w:sz w:val="21"/>
                      <w:szCs w:val="21"/>
                      <w:highlight w:val="none"/>
                      <w:vertAlign w:val="baseline"/>
                      <w:lang w:val="en-US" w:eastAsia="zh-CN"/>
                    </w:rPr>
                  </w:pPr>
                  <w:r>
                    <w:rPr>
                      <w:rFonts w:hint="eastAsia" w:ascii="宋体" w:hAnsi="宋体" w:eastAsia="宋体" w:cs="宋体"/>
                      <w:color w:val="000000"/>
                      <w:spacing w:val="3"/>
                      <w:sz w:val="21"/>
                      <w:szCs w:val="21"/>
                    </w:rPr>
                    <w:t>个</w:t>
                  </w:r>
                </w:p>
              </w:tc>
            </w:tr>
            <w:tr w14:paraId="68B01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vAlign w:val="center"/>
                </w:tcPr>
                <w:p w14:paraId="5D80156F">
                  <w:pPr>
                    <w:pStyle w:val="212"/>
                    <w:spacing w:before="81" w:line="304" w:lineRule="exact"/>
                    <w:jc w:val="center"/>
                    <w:rPr>
                      <w:rFonts w:hint="eastAsia" w:asciiTheme="minorEastAsia" w:hAnsiTheme="minorEastAsia" w:eastAsiaTheme="minorEastAsia" w:cstheme="minorEastAsia"/>
                      <w:color w:val="auto"/>
                      <w:sz w:val="21"/>
                      <w:szCs w:val="21"/>
                      <w:highlight w:val="none"/>
                      <w:vertAlign w:val="baseline"/>
                      <w:lang w:val="en-US" w:eastAsia="zh-CN"/>
                    </w:rPr>
                  </w:pPr>
                  <w:r>
                    <w:rPr>
                      <w:rFonts w:hint="eastAsia" w:asciiTheme="minorEastAsia" w:hAnsiTheme="minorEastAsia" w:eastAsiaTheme="minorEastAsia" w:cstheme="minorEastAsia"/>
                      <w:color w:val="auto"/>
                      <w:position w:val="3"/>
                      <w:sz w:val="21"/>
                      <w:szCs w:val="21"/>
                      <w:highlight w:val="none"/>
                    </w:rPr>
                    <w:t>8</w:t>
                  </w:r>
                </w:p>
              </w:tc>
              <w:tc>
                <w:tcPr>
                  <w:tcW w:w="1656" w:type="dxa"/>
                  <w:vAlign w:val="center"/>
                </w:tcPr>
                <w:p w14:paraId="09EA5E2A">
                  <w:pPr>
                    <w:pStyle w:val="212"/>
                    <w:spacing w:before="71" w:line="281" w:lineRule="exact"/>
                    <w:jc w:val="center"/>
                    <w:rPr>
                      <w:rFonts w:hint="eastAsia" w:asciiTheme="minorEastAsia" w:hAnsiTheme="minorEastAsia" w:eastAsiaTheme="minorEastAsia" w:cstheme="minorEastAsia"/>
                      <w:color w:val="auto"/>
                      <w:sz w:val="21"/>
                      <w:szCs w:val="21"/>
                      <w:highlight w:val="none"/>
                      <w:vertAlign w:val="baseline"/>
                      <w:lang w:val="en-US" w:eastAsia="zh-CN"/>
                    </w:rPr>
                  </w:pPr>
                  <w:r>
                    <w:rPr>
                      <w:rFonts w:hint="eastAsia" w:ascii="宋体" w:hAnsi="宋体" w:eastAsia="宋体" w:cs="宋体"/>
                      <w:color w:val="000000"/>
                      <w:spacing w:val="4"/>
                      <w:position w:val="3"/>
                      <w:sz w:val="21"/>
                      <w:szCs w:val="21"/>
                    </w:rPr>
                    <w:t>工具适配器（2.5</w:t>
                  </w:r>
                  <w:r>
                    <w:rPr>
                      <w:rFonts w:hint="eastAsia" w:ascii="宋体" w:hAnsi="宋体" w:eastAsia="宋体" w:cs="宋体"/>
                      <w:color w:val="000000"/>
                      <w:position w:val="3"/>
                      <w:sz w:val="21"/>
                      <w:szCs w:val="21"/>
                    </w:rPr>
                    <w:t>mm</w:t>
                  </w:r>
                  <w:r>
                    <w:rPr>
                      <w:rFonts w:hint="eastAsia" w:ascii="宋体" w:hAnsi="宋体" w:eastAsia="宋体" w:cs="宋体"/>
                      <w:color w:val="000000"/>
                      <w:spacing w:val="4"/>
                      <w:position w:val="3"/>
                      <w:sz w:val="21"/>
                      <w:szCs w:val="21"/>
                    </w:rPr>
                    <w:t>）</w:t>
                  </w:r>
                </w:p>
              </w:tc>
              <w:tc>
                <w:tcPr>
                  <w:tcW w:w="744" w:type="dxa"/>
                  <w:vAlign w:val="center"/>
                </w:tcPr>
                <w:p w14:paraId="41528148">
                  <w:pPr>
                    <w:pStyle w:val="212"/>
                    <w:spacing w:before="76" w:line="306" w:lineRule="exact"/>
                    <w:jc w:val="center"/>
                    <w:rPr>
                      <w:rFonts w:hint="eastAsia" w:asciiTheme="minorEastAsia" w:hAnsiTheme="minorEastAsia" w:eastAsiaTheme="minorEastAsia" w:cstheme="minorEastAsia"/>
                      <w:color w:val="auto"/>
                      <w:sz w:val="21"/>
                      <w:szCs w:val="21"/>
                      <w:highlight w:val="none"/>
                      <w:vertAlign w:val="baseline"/>
                      <w:lang w:val="en-US" w:eastAsia="zh-CN"/>
                    </w:rPr>
                  </w:pPr>
                  <w:r>
                    <w:rPr>
                      <w:rFonts w:hint="eastAsia" w:ascii="宋体" w:hAnsi="宋体" w:eastAsia="宋体" w:cs="宋体"/>
                      <w:color w:val="000000"/>
                      <w:position w:val="3"/>
                      <w:sz w:val="21"/>
                      <w:szCs w:val="21"/>
                      <w:lang w:val="en-US" w:eastAsia="zh-CN"/>
                    </w:rPr>
                    <w:t>≥2</w:t>
                  </w:r>
                </w:p>
              </w:tc>
              <w:tc>
                <w:tcPr>
                  <w:tcW w:w="800" w:type="dxa"/>
                  <w:vAlign w:val="center"/>
                </w:tcPr>
                <w:p w14:paraId="4F9CCFDE">
                  <w:pPr>
                    <w:pStyle w:val="212"/>
                    <w:spacing w:before="140" w:line="216" w:lineRule="auto"/>
                    <w:jc w:val="center"/>
                    <w:rPr>
                      <w:rFonts w:hint="eastAsia" w:asciiTheme="minorEastAsia" w:hAnsiTheme="minorEastAsia" w:eastAsiaTheme="minorEastAsia" w:cstheme="minorEastAsia"/>
                      <w:color w:val="auto"/>
                      <w:sz w:val="21"/>
                      <w:szCs w:val="21"/>
                      <w:highlight w:val="none"/>
                      <w:vertAlign w:val="baseline"/>
                      <w:lang w:val="en-US" w:eastAsia="zh-CN"/>
                    </w:rPr>
                  </w:pPr>
                  <w:r>
                    <w:rPr>
                      <w:rFonts w:hint="eastAsia" w:ascii="宋体" w:hAnsi="宋体" w:eastAsia="宋体" w:cs="宋体"/>
                      <w:color w:val="000000"/>
                      <w:spacing w:val="3"/>
                      <w:sz w:val="21"/>
                      <w:szCs w:val="21"/>
                    </w:rPr>
                    <w:t>个</w:t>
                  </w:r>
                </w:p>
              </w:tc>
            </w:tr>
            <w:tr w14:paraId="248F9A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vAlign w:val="center"/>
                </w:tcPr>
                <w:p w14:paraId="70458324">
                  <w:pPr>
                    <w:pStyle w:val="212"/>
                    <w:spacing w:before="79" w:line="304" w:lineRule="exact"/>
                    <w:jc w:val="center"/>
                    <w:rPr>
                      <w:rFonts w:hint="eastAsia" w:asciiTheme="minorEastAsia" w:hAnsiTheme="minorEastAsia" w:eastAsiaTheme="minorEastAsia" w:cstheme="minorEastAsia"/>
                      <w:color w:val="auto"/>
                      <w:sz w:val="21"/>
                      <w:szCs w:val="21"/>
                      <w:highlight w:val="none"/>
                      <w:vertAlign w:val="baseline"/>
                      <w:lang w:val="en-US" w:eastAsia="zh-CN"/>
                    </w:rPr>
                  </w:pPr>
                  <w:r>
                    <w:rPr>
                      <w:rFonts w:hint="eastAsia" w:asciiTheme="minorEastAsia" w:hAnsiTheme="minorEastAsia" w:eastAsiaTheme="minorEastAsia" w:cstheme="minorEastAsia"/>
                      <w:color w:val="auto"/>
                      <w:position w:val="3"/>
                      <w:sz w:val="21"/>
                      <w:szCs w:val="21"/>
                      <w:highlight w:val="none"/>
                    </w:rPr>
                    <w:t>9</w:t>
                  </w:r>
                </w:p>
              </w:tc>
              <w:tc>
                <w:tcPr>
                  <w:tcW w:w="1656" w:type="dxa"/>
                  <w:vAlign w:val="center"/>
                </w:tcPr>
                <w:p w14:paraId="5682E235">
                  <w:pPr>
                    <w:pStyle w:val="212"/>
                    <w:spacing w:before="74" w:line="281" w:lineRule="exact"/>
                    <w:jc w:val="center"/>
                    <w:rPr>
                      <w:rFonts w:hint="eastAsia" w:asciiTheme="minorEastAsia" w:hAnsiTheme="minorEastAsia" w:eastAsiaTheme="minorEastAsia" w:cstheme="minorEastAsia"/>
                      <w:color w:val="auto"/>
                      <w:sz w:val="21"/>
                      <w:szCs w:val="21"/>
                      <w:highlight w:val="none"/>
                      <w:vertAlign w:val="baseline"/>
                      <w:lang w:val="en-US" w:eastAsia="zh-CN"/>
                    </w:rPr>
                  </w:pPr>
                  <w:r>
                    <w:rPr>
                      <w:rFonts w:hint="eastAsia" w:ascii="宋体" w:hAnsi="宋体" w:eastAsia="宋体" w:cs="宋体"/>
                      <w:color w:val="000000"/>
                      <w:spacing w:val="4"/>
                      <w:position w:val="3"/>
                      <w:sz w:val="21"/>
                      <w:szCs w:val="21"/>
                    </w:rPr>
                    <w:t>工具适配器（4.5</w:t>
                  </w:r>
                  <w:r>
                    <w:rPr>
                      <w:rFonts w:hint="eastAsia" w:ascii="宋体" w:hAnsi="宋体" w:eastAsia="宋体" w:cs="宋体"/>
                      <w:color w:val="000000"/>
                      <w:position w:val="3"/>
                      <w:sz w:val="21"/>
                      <w:szCs w:val="21"/>
                    </w:rPr>
                    <w:t>mm</w:t>
                  </w:r>
                  <w:r>
                    <w:rPr>
                      <w:rFonts w:hint="eastAsia" w:ascii="宋体" w:hAnsi="宋体" w:eastAsia="宋体" w:cs="宋体"/>
                      <w:color w:val="000000"/>
                      <w:spacing w:val="4"/>
                      <w:position w:val="3"/>
                      <w:sz w:val="21"/>
                      <w:szCs w:val="21"/>
                    </w:rPr>
                    <w:t>）</w:t>
                  </w:r>
                </w:p>
              </w:tc>
              <w:tc>
                <w:tcPr>
                  <w:tcW w:w="744" w:type="dxa"/>
                  <w:vAlign w:val="center"/>
                </w:tcPr>
                <w:p w14:paraId="32530F2C">
                  <w:pPr>
                    <w:pStyle w:val="212"/>
                    <w:spacing w:before="79" w:line="306" w:lineRule="exact"/>
                    <w:jc w:val="center"/>
                    <w:rPr>
                      <w:rFonts w:hint="eastAsia" w:asciiTheme="minorEastAsia" w:hAnsiTheme="minorEastAsia" w:eastAsiaTheme="minorEastAsia" w:cstheme="minorEastAsia"/>
                      <w:color w:val="auto"/>
                      <w:sz w:val="21"/>
                      <w:szCs w:val="21"/>
                      <w:highlight w:val="none"/>
                      <w:vertAlign w:val="baseline"/>
                      <w:lang w:val="en-US" w:eastAsia="zh-CN"/>
                    </w:rPr>
                  </w:pPr>
                  <w:r>
                    <w:rPr>
                      <w:rFonts w:hint="eastAsia" w:ascii="宋体" w:hAnsi="宋体" w:eastAsia="宋体" w:cs="宋体"/>
                      <w:color w:val="000000"/>
                      <w:position w:val="3"/>
                      <w:sz w:val="21"/>
                      <w:szCs w:val="21"/>
                      <w:lang w:val="en-US" w:eastAsia="zh-CN"/>
                    </w:rPr>
                    <w:t>≥2</w:t>
                  </w:r>
                </w:p>
              </w:tc>
              <w:tc>
                <w:tcPr>
                  <w:tcW w:w="800" w:type="dxa"/>
                  <w:vAlign w:val="center"/>
                </w:tcPr>
                <w:p w14:paraId="2AC777A8">
                  <w:pPr>
                    <w:pStyle w:val="212"/>
                    <w:spacing w:before="143" w:line="216" w:lineRule="auto"/>
                    <w:jc w:val="center"/>
                    <w:rPr>
                      <w:rFonts w:hint="eastAsia" w:asciiTheme="minorEastAsia" w:hAnsiTheme="minorEastAsia" w:eastAsiaTheme="minorEastAsia" w:cstheme="minorEastAsia"/>
                      <w:color w:val="auto"/>
                      <w:sz w:val="21"/>
                      <w:szCs w:val="21"/>
                      <w:highlight w:val="none"/>
                      <w:vertAlign w:val="baseline"/>
                      <w:lang w:val="en-US" w:eastAsia="zh-CN"/>
                    </w:rPr>
                  </w:pPr>
                  <w:r>
                    <w:rPr>
                      <w:rFonts w:hint="eastAsia" w:ascii="宋体" w:hAnsi="宋体" w:eastAsia="宋体" w:cs="宋体"/>
                      <w:color w:val="000000"/>
                      <w:spacing w:val="3"/>
                      <w:sz w:val="21"/>
                      <w:szCs w:val="21"/>
                    </w:rPr>
                    <w:t>个</w:t>
                  </w:r>
                </w:p>
              </w:tc>
            </w:tr>
            <w:tr w14:paraId="73944B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vAlign w:val="center"/>
                </w:tcPr>
                <w:p w14:paraId="5CB10F02">
                  <w:pPr>
                    <w:pStyle w:val="212"/>
                    <w:spacing w:before="82" w:line="304" w:lineRule="exact"/>
                    <w:jc w:val="center"/>
                    <w:rPr>
                      <w:rFonts w:hint="eastAsia" w:asciiTheme="minorEastAsia" w:hAnsiTheme="minorEastAsia" w:eastAsiaTheme="minorEastAsia" w:cstheme="minorEastAsia"/>
                      <w:color w:val="auto"/>
                      <w:sz w:val="21"/>
                      <w:szCs w:val="21"/>
                      <w:highlight w:val="none"/>
                      <w:vertAlign w:val="baseline"/>
                      <w:lang w:val="en-US" w:eastAsia="zh-CN"/>
                    </w:rPr>
                  </w:pPr>
                  <w:r>
                    <w:rPr>
                      <w:rFonts w:hint="eastAsia" w:asciiTheme="minorEastAsia" w:hAnsiTheme="minorEastAsia" w:eastAsiaTheme="minorEastAsia" w:cstheme="minorEastAsia"/>
                      <w:color w:val="auto"/>
                      <w:spacing w:val="-3"/>
                      <w:position w:val="3"/>
                      <w:sz w:val="21"/>
                      <w:szCs w:val="21"/>
                      <w:highlight w:val="none"/>
                    </w:rPr>
                    <w:t>10</w:t>
                  </w:r>
                </w:p>
              </w:tc>
              <w:tc>
                <w:tcPr>
                  <w:tcW w:w="1656" w:type="dxa"/>
                  <w:vAlign w:val="center"/>
                </w:tcPr>
                <w:p w14:paraId="6F3D1674">
                  <w:pPr>
                    <w:pStyle w:val="212"/>
                    <w:spacing w:before="143" w:line="217" w:lineRule="auto"/>
                    <w:jc w:val="center"/>
                    <w:rPr>
                      <w:rFonts w:hint="eastAsia" w:asciiTheme="minorEastAsia" w:hAnsiTheme="minorEastAsia" w:eastAsiaTheme="minorEastAsia" w:cstheme="minorEastAsia"/>
                      <w:color w:val="auto"/>
                      <w:sz w:val="21"/>
                      <w:szCs w:val="21"/>
                      <w:highlight w:val="none"/>
                      <w:vertAlign w:val="baseline"/>
                      <w:lang w:val="en-US" w:eastAsia="zh-CN"/>
                    </w:rPr>
                  </w:pPr>
                  <w:r>
                    <w:rPr>
                      <w:rFonts w:hint="eastAsia" w:ascii="宋体" w:hAnsi="宋体" w:eastAsia="宋体" w:cs="宋体"/>
                      <w:color w:val="000000"/>
                      <w:spacing w:val="2"/>
                      <w:sz w:val="21"/>
                      <w:szCs w:val="21"/>
                    </w:rPr>
                    <w:t>脚踏开关</w:t>
                  </w:r>
                </w:p>
              </w:tc>
              <w:tc>
                <w:tcPr>
                  <w:tcW w:w="744" w:type="dxa"/>
                  <w:vAlign w:val="center"/>
                </w:tcPr>
                <w:p w14:paraId="65C015F2">
                  <w:pPr>
                    <w:pStyle w:val="212"/>
                    <w:spacing w:before="79" w:line="307" w:lineRule="exact"/>
                    <w:jc w:val="center"/>
                    <w:rPr>
                      <w:rFonts w:hint="eastAsia" w:asciiTheme="minorEastAsia" w:hAnsiTheme="minorEastAsia" w:eastAsiaTheme="minorEastAsia" w:cstheme="minorEastAsia"/>
                      <w:color w:val="auto"/>
                      <w:sz w:val="21"/>
                      <w:szCs w:val="21"/>
                      <w:highlight w:val="none"/>
                      <w:vertAlign w:val="baseline"/>
                      <w:lang w:val="en-US" w:eastAsia="zh-CN"/>
                    </w:rPr>
                  </w:pPr>
                  <w:r>
                    <w:rPr>
                      <w:rFonts w:hint="eastAsia" w:ascii="宋体" w:hAnsi="宋体" w:eastAsia="宋体" w:cs="宋体"/>
                      <w:color w:val="000000"/>
                      <w:position w:val="3"/>
                      <w:sz w:val="21"/>
                      <w:szCs w:val="21"/>
                      <w:lang w:val="en-US" w:eastAsia="zh-CN"/>
                    </w:rPr>
                    <w:t>≥</w:t>
                  </w:r>
                  <w:r>
                    <w:rPr>
                      <w:rFonts w:hint="eastAsia" w:ascii="宋体" w:hAnsi="宋体" w:eastAsia="宋体" w:cs="宋体"/>
                      <w:color w:val="000000"/>
                      <w:position w:val="3"/>
                      <w:sz w:val="21"/>
                      <w:szCs w:val="21"/>
                    </w:rPr>
                    <w:t>1</w:t>
                  </w:r>
                </w:p>
              </w:tc>
              <w:tc>
                <w:tcPr>
                  <w:tcW w:w="800" w:type="dxa"/>
                  <w:vAlign w:val="center"/>
                </w:tcPr>
                <w:p w14:paraId="2ECDDE92">
                  <w:pPr>
                    <w:pStyle w:val="212"/>
                    <w:spacing w:before="143" w:line="216" w:lineRule="auto"/>
                    <w:jc w:val="center"/>
                    <w:rPr>
                      <w:rFonts w:hint="eastAsia" w:asciiTheme="minorEastAsia" w:hAnsiTheme="minorEastAsia" w:eastAsiaTheme="minorEastAsia" w:cstheme="minorEastAsia"/>
                      <w:color w:val="auto"/>
                      <w:sz w:val="21"/>
                      <w:szCs w:val="21"/>
                      <w:highlight w:val="none"/>
                      <w:vertAlign w:val="baseline"/>
                      <w:lang w:val="en-US" w:eastAsia="zh-CN"/>
                    </w:rPr>
                  </w:pPr>
                  <w:r>
                    <w:rPr>
                      <w:rFonts w:hint="eastAsia" w:ascii="宋体" w:hAnsi="宋体" w:eastAsia="宋体" w:cs="宋体"/>
                      <w:color w:val="000000"/>
                      <w:spacing w:val="3"/>
                      <w:sz w:val="21"/>
                      <w:szCs w:val="21"/>
                    </w:rPr>
                    <w:t>个</w:t>
                  </w:r>
                </w:p>
              </w:tc>
            </w:tr>
            <w:tr w14:paraId="0F254B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vAlign w:val="center"/>
                </w:tcPr>
                <w:p w14:paraId="53A7158C">
                  <w:pPr>
                    <w:pStyle w:val="212"/>
                    <w:spacing w:before="81" w:line="307" w:lineRule="exact"/>
                    <w:jc w:val="center"/>
                    <w:rPr>
                      <w:rFonts w:hint="eastAsia" w:asciiTheme="minorEastAsia" w:hAnsiTheme="minorEastAsia" w:eastAsiaTheme="minorEastAsia" w:cstheme="minorEastAsia"/>
                      <w:color w:val="auto"/>
                      <w:sz w:val="21"/>
                      <w:szCs w:val="21"/>
                      <w:highlight w:val="none"/>
                      <w:vertAlign w:val="baseline"/>
                      <w:lang w:val="en-US" w:eastAsia="zh-CN"/>
                    </w:rPr>
                  </w:pPr>
                  <w:r>
                    <w:rPr>
                      <w:rFonts w:hint="eastAsia" w:asciiTheme="minorEastAsia" w:hAnsiTheme="minorEastAsia" w:eastAsiaTheme="minorEastAsia" w:cstheme="minorEastAsia"/>
                      <w:color w:val="auto"/>
                      <w:spacing w:val="-6"/>
                      <w:position w:val="3"/>
                      <w:sz w:val="21"/>
                      <w:szCs w:val="21"/>
                      <w:highlight w:val="none"/>
                    </w:rPr>
                    <w:t>11</w:t>
                  </w:r>
                </w:p>
              </w:tc>
              <w:tc>
                <w:tcPr>
                  <w:tcW w:w="1656" w:type="dxa"/>
                  <w:vAlign w:val="center"/>
                </w:tcPr>
                <w:p w14:paraId="2C5D1561">
                  <w:pPr>
                    <w:pStyle w:val="212"/>
                    <w:spacing w:before="141" w:line="218" w:lineRule="auto"/>
                    <w:jc w:val="center"/>
                    <w:rPr>
                      <w:rFonts w:hint="eastAsia" w:asciiTheme="minorEastAsia" w:hAnsiTheme="minorEastAsia" w:eastAsiaTheme="minorEastAsia" w:cstheme="minorEastAsia"/>
                      <w:color w:val="auto"/>
                      <w:sz w:val="21"/>
                      <w:szCs w:val="21"/>
                      <w:highlight w:val="none"/>
                      <w:vertAlign w:val="baseline"/>
                      <w:lang w:val="en-US" w:eastAsia="zh-CN"/>
                    </w:rPr>
                  </w:pPr>
                  <w:r>
                    <w:rPr>
                      <w:rFonts w:hint="eastAsia" w:ascii="宋体" w:hAnsi="宋体" w:eastAsia="宋体" w:cs="宋体"/>
                      <w:color w:val="000000"/>
                      <w:spacing w:val="-8"/>
                      <w:sz w:val="21"/>
                      <w:szCs w:val="21"/>
                    </w:rPr>
                    <w:t>电源线</w:t>
                  </w:r>
                </w:p>
              </w:tc>
              <w:tc>
                <w:tcPr>
                  <w:tcW w:w="744" w:type="dxa"/>
                  <w:vAlign w:val="center"/>
                </w:tcPr>
                <w:p w14:paraId="6B9422FA">
                  <w:pPr>
                    <w:pStyle w:val="212"/>
                    <w:spacing w:before="79" w:line="306" w:lineRule="exact"/>
                    <w:jc w:val="center"/>
                    <w:rPr>
                      <w:rFonts w:hint="eastAsia" w:asciiTheme="minorEastAsia" w:hAnsiTheme="minorEastAsia" w:eastAsiaTheme="minorEastAsia" w:cstheme="minorEastAsia"/>
                      <w:color w:val="auto"/>
                      <w:sz w:val="21"/>
                      <w:szCs w:val="21"/>
                      <w:highlight w:val="none"/>
                      <w:vertAlign w:val="baseline"/>
                      <w:lang w:val="en-US" w:eastAsia="zh-CN"/>
                    </w:rPr>
                  </w:pPr>
                  <w:r>
                    <w:rPr>
                      <w:rFonts w:hint="eastAsia" w:ascii="宋体" w:hAnsi="宋体" w:eastAsia="宋体" w:cs="宋体"/>
                      <w:color w:val="000000"/>
                      <w:position w:val="3"/>
                      <w:sz w:val="21"/>
                      <w:szCs w:val="21"/>
                      <w:lang w:val="en-US" w:eastAsia="zh-CN"/>
                    </w:rPr>
                    <w:t>≥</w:t>
                  </w:r>
                  <w:r>
                    <w:rPr>
                      <w:rFonts w:hint="eastAsia" w:ascii="宋体" w:hAnsi="宋体" w:eastAsia="宋体" w:cs="宋体"/>
                      <w:color w:val="000000"/>
                      <w:position w:val="3"/>
                      <w:sz w:val="21"/>
                      <w:szCs w:val="21"/>
                    </w:rPr>
                    <w:t>1</w:t>
                  </w:r>
                </w:p>
              </w:tc>
              <w:tc>
                <w:tcPr>
                  <w:tcW w:w="800" w:type="dxa"/>
                  <w:vAlign w:val="center"/>
                </w:tcPr>
                <w:p w14:paraId="76F1B587">
                  <w:pPr>
                    <w:pStyle w:val="212"/>
                    <w:spacing w:before="145" w:line="216" w:lineRule="auto"/>
                    <w:jc w:val="center"/>
                    <w:rPr>
                      <w:rFonts w:hint="eastAsia" w:asciiTheme="minorEastAsia" w:hAnsiTheme="minorEastAsia" w:eastAsiaTheme="minorEastAsia" w:cstheme="minorEastAsia"/>
                      <w:color w:val="auto"/>
                      <w:sz w:val="21"/>
                      <w:szCs w:val="21"/>
                      <w:highlight w:val="none"/>
                      <w:vertAlign w:val="baseline"/>
                      <w:lang w:val="en-US" w:eastAsia="zh-CN"/>
                    </w:rPr>
                  </w:pPr>
                  <w:r>
                    <w:rPr>
                      <w:rFonts w:hint="eastAsia" w:ascii="宋体" w:hAnsi="宋体" w:eastAsia="宋体" w:cs="宋体"/>
                      <w:color w:val="000000"/>
                      <w:spacing w:val="3"/>
                      <w:sz w:val="21"/>
                      <w:szCs w:val="21"/>
                    </w:rPr>
                    <w:t>个</w:t>
                  </w:r>
                </w:p>
              </w:tc>
            </w:tr>
            <w:tr w14:paraId="46888C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vAlign w:val="center"/>
                </w:tcPr>
                <w:p w14:paraId="1405DC5A">
                  <w:pPr>
                    <w:pStyle w:val="212"/>
                    <w:spacing w:before="85" w:line="306" w:lineRule="exact"/>
                    <w:jc w:val="center"/>
                    <w:rPr>
                      <w:rFonts w:hint="eastAsia" w:asciiTheme="minorEastAsia" w:hAnsiTheme="minorEastAsia" w:eastAsiaTheme="minorEastAsia" w:cstheme="minorEastAsia"/>
                      <w:color w:val="auto"/>
                      <w:sz w:val="21"/>
                      <w:szCs w:val="21"/>
                      <w:highlight w:val="none"/>
                      <w:vertAlign w:val="baseline"/>
                      <w:lang w:val="en-US" w:eastAsia="zh-CN"/>
                    </w:rPr>
                  </w:pPr>
                  <w:r>
                    <w:rPr>
                      <w:rFonts w:hint="eastAsia" w:asciiTheme="minorEastAsia" w:hAnsiTheme="minorEastAsia" w:eastAsiaTheme="minorEastAsia" w:cstheme="minorEastAsia"/>
                      <w:color w:val="auto"/>
                      <w:spacing w:val="-6"/>
                      <w:position w:val="3"/>
                      <w:sz w:val="21"/>
                      <w:szCs w:val="21"/>
                      <w:highlight w:val="none"/>
                    </w:rPr>
                    <w:t>12</w:t>
                  </w:r>
                </w:p>
              </w:tc>
              <w:tc>
                <w:tcPr>
                  <w:tcW w:w="1656" w:type="dxa"/>
                  <w:vAlign w:val="center"/>
                </w:tcPr>
                <w:p w14:paraId="11C80761">
                  <w:pPr>
                    <w:pStyle w:val="212"/>
                    <w:spacing w:before="141" w:line="219" w:lineRule="auto"/>
                    <w:jc w:val="center"/>
                    <w:rPr>
                      <w:rFonts w:hint="eastAsia" w:asciiTheme="minorEastAsia" w:hAnsiTheme="minorEastAsia" w:eastAsiaTheme="minorEastAsia" w:cstheme="minorEastAsia"/>
                      <w:color w:val="auto"/>
                      <w:sz w:val="21"/>
                      <w:szCs w:val="21"/>
                      <w:highlight w:val="none"/>
                      <w:vertAlign w:val="baseline"/>
                      <w:lang w:val="en-US" w:eastAsia="zh-CN"/>
                    </w:rPr>
                  </w:pPr>
                  <w:r>
                    <w:rPr>
                      <w:rFonts w:hint="eastAsia" w:ascii="宋体" w:hAnsi="宋体" w:eastAsia="宋体" w:cs="宋体"/>
                      <w:color w:val="000000"/>
                      <w:spacing w:val="5"/>
                      <w:sz w:val="21"/>
                      <w:szCs w:val="21"/>
                    </w:rPr>
                    <w:t>键盘鼠标</w:t>
                  </w:r>
                </w:p>
              </w:tc>
              <w:tc>
                <w:tcPr>
                  <w:tcW w:w="744" w:type="dxa"/>
                  <w:vAlign w:val="center"/>
                </w:tcPr>
                <w:p w14:paraId="206881E1">
                  <w:pPr>
                    <w:pStyle w:val="212"/>
                    <w:spacing w:before="80" w:line="306" w:lineRule="exact"/>
                    <w:jc w:val="center"/>
                    <w:rPr>
                      <w:rFonts w:hint="eastAsia" w:asciiTheme="minorEastAsia" w:hAnsiTheme="minorEastAsia" w:eastAsiaTheme="minorEastAsia" w:cstheme="minorEastAsia"/>
                      <w:color w:val="auto"/>
                      <w:sz w:val="21"/>
                      <w:szCs w:val="21"/>
                      <w:highlight w:val="none"/>
                      <w:vertAlign w:val="baseline"/>
                      <w:lang w:val="en-US" w:eastAsia="zh-CN"/>
                    </w:rPr>
                  </w:pPr>
                  <w:r>
                    <w:rPr>
                      <w:rFonts w:hint="eastAsia" w:ascii="宋体" w:hAnsi="宋体" w:eastAsia="宋体" w:cs="宋体"/>
                      <w:color w:val="000000"/>
                      <w:position w:val="3"/>
                      <w:sz w:val="21"/>
                      <w:szCs w:val="21"/>
                      <w:lang w:val="en-US" w:eastAsia="zh-CN"/>
                    </w:rPr>
                    <w:t>≥</w:t>
                  </w:r>
                  <w:r>
                    <w:rPr>
                      <w:rFonts w:hint="eastAsia" w:ascii="宋体" w:hAnsi="宋体" w:eastAsia="宋体" w:cs="宋体"/>
                      <w:color w:val="000000"/>
                      <w:position w:val="3"/>
                      <w:sz w:val="21"/>
                      <w:szCs w:val="21"/>
                    </w:rPr>
                    <w:t>1</w:t>
                  </w:r>
                </w:p>
              </w:tc>
              <w:tc>
                <w:tcPr>
                  <w:tcW w:w="800" w:type="dxa"/>
                  <w:vAlign w:val="center"/>
                </w:tcPr>
                <w:p w14:paraId="03543797">
                  <w:pPr>
                    <w:pStyle w:val="212"/>
                    <w:spacing w:before="155" w:line="215" w:lineRule="auto"/>
                    <w:jc w:val="center"/>
                    <w:rPr>
                      <w:rFonts w:hint="eastAsia" w:asciiTheme="minorEastAsia" w:hAnsiTheme="minorEastAsia" w:eastAsiaTheme="minorEastAsia" w:cstheme="minorEastAsia"/>
                      <w:color w:val="auto"/>
                      <w:sz w:val="21"/>
                      <w:szCs w:val="21"/>
                      <w:highlight w:val="none"/>
                      <w:vertAlign w:val="baseline"/>
                      <w:lang w:val="en-US" w:eastAsia="zh-CN"/>
                    </w:rPr>
                  </w:pPr>
                  <w:r>
                    <w:rPr>
                      <w:rFonts w:hint="eastAsia" w:ascii="宋体" w:hAnsi="宋体" w:eastAsia="宋体" w:cs="宋体"/>
                      <w:color w:val="000000"/>
                      <w:sz w:val="21"/>
                      <w:szCs w:val="21"/>
                    </w:rPr>
                    <w:t>套</w:t>
                  </w:r>
                </w:p>
              </w:tc>
            </w:tr>
            <w:tr w14:paraId="4A95B0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vAlign w:val="center"/>
                </w:tcPr>
                <w:p w14:paraId="487751BC">
                  <w:pPr>
                    <w:pStyle w:val="212"/>
                    <w:spacing w:before="85" w:line="304" w:lineRule="exact"/>
                    <w:jc w:val="center"/>
                    <w:rPr>
                      <w:rFonts w:hint="eastAsia" w:asciiTheme="minorEastAsia" w:hAnsiTheme="minorEastAsia" w:eastAsiaTheme="minorEastAsia" w:cstheme="minorEastAsia"/>
                      <w:color w:val="auto"/>
                      <w:sz w:val="21"/>
                      <w:szCs w:val="21"/>
                      <w:highlight w:val="none"/>
                      <w:vertAlign w:val="baseline"/>
                      <w:lang w:val="en-US" w:eastAsia="zh-CN"/>
                    </w:rPr>
                  </w:pPr>
                  <w:r>
                    <w:rPr>
                      <w:rFonts w:hint="eastAsia" w:asciiTheme="minorEastAsia" w:hAnsiTheme="minorEastAsia" w:eastAsiaTheme="minorEastAsia" w:cstheme="minorEastAsia"/>
                      <w:color w:val="auto"/>
                      <w:spacing w:val="-6"/>
                      <w:position w:val="3"/>
                      <w:sz w:val="21"/>
                      <w:szCs w:val="21"/>
                      <w:highlight w:val="none"/>
                    </w:rPr>
                    <w:t>13</w:t>
                  </w:r>
                </w:p>
              </w:tc>
              <w:tc>
                <w:tcPr>
                  <w:tcW w:w="1656" w:type="dxa"/>
                  <w:vAlign w:val="center"/>
                </w:tcPr>
                <w:p w14:paraId="4243F451">
                  <w:pPr>
                    <w:pStyle w:val="212"/>
                    <w:spacing w:before="140" w:line="218" w:lineRule="auto"/>
                    <w:jc w:val="center"/>
                    <w:rPr>
                      <w:rFonts w:hint="eastAsia" w:asciiTheme="minorEastAsia" w:hAnsiTheme="minorEastAsia" w:eastAsiaTheme="minorEastAsia" w:cstheme="minorEastAsia"/>
                      <w:color w:val="auto"/>
                      <w:sz w:val="21"/>
                      <w:szCs w:val="21"/>
                      <w:highlight w:val="none"/>
                      <w:vertAlign w:val="baseline"/>
                      <w:lang w:val="en-US" w:eastAsia="zh-CN"/>
                    </w:rPr>
                  </w:pPr>
                  <w:r>
                    <w:rPr>
                      <w:rFonts w:hint="eastAsia" w:ascii="宋体" w:hAnsi="宋体" w:eastAsia="宋体" w:cs="宋体"/>
                      <w:color w:val="000000"/>
                      <w:spacing w:val="2"/>
                      <w:sz w:val="21"/>
                      <w:szCs w:val="21"/>
                    </w:rPr>
                    <w:t>连床支架</w:t>
                  </w:r>
                </w:p>
              </w:tc>
              <w:tc>
                <w:tcPr>
                  <w:tcW w:w="744" w:type="dxa"/>
                  <w:vAlign w:val="center"/>
                </w:tcPr>
                <w:p w14:paraId="2D4AFAF0">
                  <w:pPr>
                    <w:pStyle w:val="212"/>
                    <w:spacing w:before="82" w:line="307" w:lineRule="exact"/>
                    <w:jc w:val="center"/>
                    <w:rPr>
                      <w:rFonts w:hint="eastAsia" w:asciiTheme="minorEastAsia" w:hAnsiTheme="minorEastAsia" w:eastAsiaTheme="minorEastAsia" w:cstheme="minorEastAsia"/>
                      <w:color w:val="auto"/>
                      <w:sz w:val="21"/>
                      <w:szCs w:val="21"/>
                      <w:highlight w:val="none"/>
                      <w:vertAlign w:val="baseline"/>
                      <w:lang w:val="en-US" w:eastAsia="zh-CN"/>
                    </w:rPr>
                  </w:pPr>
                  <w:r>
                    <w:rPr>
                      <w:rFonts w:hint="eastAsia" w:ascii="宋体" w:hAnsi="宋体" w:eastAsia="宋体" w:cs="宋体"/>
                      <w:color w:val="000000"/>
                      <w:position w:val="3"/>
                      <w:sz w:val="21"/>
                      <w:szCs w:val="21"/>
                      <w:lang w:val="en-US" w:eastAsia="zh-CN"/>
                    </w:rPr>
                    <w:t>≥</w:t>
                  </w:r>
                  <w:r>
                    <w:rPr>
                      <w:rFonts w:hint="eastAsia" w:ascii="宋体" w:hAnsi="宋体" w:eastAsia="宋体" w:cs="宋体"/>
                      <w:color w:val="000000"/>
                      <w:position w:val="3"/>
                      <w:sz w:val="21"/>
                      <w:szCs w:val="21"/>
                    </w:rPr>
                    <w:t>1</w:t>
                  </w:r>
                </w:p>
              </w:tc>
              <w:tc>
                <w:tcPr>
                  <w:tcW w:w="800" w:type="dxa"/>
                  <w:vAlign w:val="center"/>
                </w:tcPr>
                <w:p w14:paraId="05682059">
                  <w:pPr>
                    <w:pStyle w:val="212"/>
                    <w:spacing w:before="154" w:line="216" w:lineRule="auto"/>
                    <w:jc w:val="center"/>
                    <w:rPr>
                      <w:rFonts w:hint="eastAsia" w:asciiTheme="minorEastAsia" w:hAnsiTheme="minorEastAsia" w:eastAsiaTheme="minorEastAsia" w:cstheme="minorEastAsia"/>
                      <w:color w:val="auto"/>
                      <w:sz w:val="21"/>
                      <w:szCs w:val="21"/>
                      <w:highlight w:val="none"/>
                      <w:vertAlign w:val="baseline"/>
                      <w:lang w:val="en-US" w:eastAsia="zh-CN"/>
                    </w:rPr>
                  </w:pPr>
                  <w:r>
                    <w:rPr>
                      <w:rFonts w:hint="eastAsia" w:ascii="宋体" w:hAnsi="宋体" w:eastAsia="宋体" w:cs="宋体"/>
                      <w:color w:val="000000"/>
                      <w:spacing w:val="3"/>
                      <w:sz w:val="21"/>
                      <w:szCs w:val="21"/>
                    </w:rPr>
                    <w:t>个</w:t>
                  </w:r>
                </w:p>
              </w:tc>
            </w:tr>
            <w:tr w14:paraId="2BE9A2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vAlign w:val="center"/>
                </w:tcPr>
                <w:p w14:paraId="71EA9367">
                  <w:pPr>
                    <w:pStyle w:val="212"/>
                    <w:spacing w:before="85" w:line="306" w:lineRule="exact"/>
                    <w:jc w:val="center"/>
                    <w:rPr>
                      <w:rFonts w:hint="eastAsia" w:asciiTheme="minorEastAsia" w:hAnsiTheme="minorEastAsia" w:eastAsiaTheme="minorEastAsia" w:cstheme="minorEastAsia"/>
                      <w:color w:val="auto"/>
                      <w:sz w:val="21"/>
                      <w:szCs w:val="21"/>
                      <w:highlight w:val="none"/>
                      <w:vertAlign w:val="baseline"/>
                      <w:lang w:val="en-US" w:eastAsia="zh-CN"/>
                    </w:rPr>
                  </w:pPr>
                  <w:r>
                    <w:rPr>
                      <w:rFonts w:hint="eastAsia" w:asciiTheme="minorEastAsia" w:hAnsiTheme="minorEastAsia" w:eastAsiaTheme="minorEastAsia" w:cstheme="minorEastAsia"/>
                      <w:color w:val="auto"/>
                      <w:spacing w:val="-3"/>
                      <w:position w:val="3"/>
                      <w:sz w:val="21"/>
                      <w:szCs w:val="21"/>
                      <w:highlight w:val="none"/>
                    </w:rPr>
                    <w:t>14</w:t>
                  </w:r>
                </w:p>
              </w:tc>
              <w:tc>
                <w:tcPr>
                  <w:tcW w:w="1656" w:type="dxa"/>
                  <w:vAlign w:val="center"/>
                </w:tcPr>
                <w:p w14:paraId="47A0D96F">
                  <w:pPr>
                    <w:pStyle w:val="212"/>
                    <w:spacing w:before="148" w:line="219" w:lineRule="auto"/>
                    <w:jc w:val="center"/>
                    <w:rPr>
                      <w:rFonts w:hint="eastAsia" w:asciiTheme="minorEastAsia" w:hAnsiTheme="minorEastAsia" w:eastAsiaTheme="minorEastAsia" w:cstheme="minorEastAsia"/>
                      <w:color w:val="auto"/>
                      <w:sz w:val="21"/>
                      <w:szCs w:val="21"/>
                      <w:highlight w:val="none"/>
                      <w:vertAlign w:val="baseline"/>
                      <w:lang w:val="en-US" w:eastAsia="zh-CN"/>
                    </w:rPr>
                  </w:pPr>
                  <w:r>
                    <w:rPr>
                      <w:rFonts w:hint="eastAsia" w:ascii="宋体" w:hAnsi="宋体" w:eastAsia="宋体" w:cs="宋体"/>
                      <w:color w:val="000000"/>
                      <w:spacing w:val="4"/>
                      <w:sz w:val="21"/>
                      <w:szCs w:val="21"/>
                    </w:rPr>
                    <w:t>立体定向规划系统软件</w:t>
                  </w:r>
                </w:p>
              </w:tc>
              <w:tc>
                <w:tcPr>
                  <w:tcW w:w="744" w:type="dxa"/>
                  <w:vAlign w:val="center"/>
                </w:tcPr>
                <w:p w14:paraId="3FF96153">
                  <w:pPr>
                    <w:pStyle w:val="212"/>
                    <w:spacing w:before="83" w:line="306" w:lineRule="exact"/>
                    <w:jc w:val="center"/>
                    <w:rPr>
                      <w:rFonts w:hint="eastAsia" w:asciiTheme="minorEastAsia" w:hAnsiTheme="minorEastAsia" w:eastAsiaTheme="minorEastAsia" w:cstheme="minorEastAsia"/>
                      <w:color w:val="auto"/>
                      <w:sz w:val="21"/>
                      <w:szCs w:val="21"/>
                      <w:highlight w:val="none"/>
                      <w:vertAlign w:val="baseline"/>
                      <w:lang w:val="en-US" w:eastAsia="zh-CN"/>
                    </w:rPr>
                  </w:pPr>
                  <w:r>
                    <w:rPr>
                      <w:rFonts w:hint="eastAsia" w:ascii="宋体" w:hAnsi="宋体" w:eastAsia="宋体" w:cs="宋体"/>
                      <w:color w:val="000000"/>
                      <w:position w:val="3"/>
                      <w:sz w:val="21"/>
                      <w:szCs w:val="21"/>
                      <w:lang w:val="en-US" w:eastAsia="zh-CN"/>
                    </w:rPr>
                    <w:t>≥</w:t>
                  </w:r>
                  <w:r>
                    <w:rPr>
                      <w:rFonts w:hint="eastAsia" w:ascii="宋体" w:hAnsi="宋体" w:eastAsia="宋体" w:cs="宋体"/>
                      <w:color w:val="000000"/>
                      <w:sz w:val="21"/>
                      <w:szCs w:val="21"/>
                      <w:lang w:val="en-US" w:eastAsia="zh-CN"/>
                    </w:rPr>
                    <w:t>2</w:t>
                  </w:r>
                </w:p>
              </w:tc>
              <w:tc>
                <w:tcPr>
                  <w:tcW w:w="800" w:type="dxa"/>
                  <w:vAlign w:val="center"/>
                </w:tcPr>
                <w:p w14:paraId="5ACC1111">
                  <w:pPr>
                    <w:pStyle w:val="212"/>
                    <w:spacing w:before="148" w:line="215" w:lineRule="auto"/>
                    <w:jc w:val="center"/>
                    <w:rPr>
                      <w:rFonts w:hint="eastAsia" w:asciiTheme="minorEastAsia" w:hAnsiTheme="minorEastAsia" w:eastAsiaTheme="minorEastAsia" w:cstheme="minorEastAsia"/>
                      <w:color w:val="auto"/>
                      <w:sz w:val="21"/>
                      <w:szCs w:val="21"/>
                      <w:highlight w:val="none"/>
                      <w:vertAlign w:val="baseline"/>
                      <w:lang w:val="en-US" w:eastAsia="zh-CN"/>
                    </w:rPr>
                  </w:pPr>
                  <w:r>
                    <w:rPr>
                      <w:rFonts w:hint="eastAsia" w:ascii="宋体" w:hAnsi="宋体" w:eastAsia="宋体" w:cs="宋体"/>
                      <w:color w:val="000000"/>
                      <w:sz w:val="21"/>
                      <w:szCs w:val="21"/>
                    </w:rPr>
                    <w:t>套</w:t>
                  </w:r>
                </w:p>
              </w:tc>
            </w:tr>
            <w:tr w14:paraId="75278A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vAlign w:val="center"/>
                </w:tcPr>
                <w:p w14:paraId="0901E034">
                  <w:pPr>
                    <w:pStyle w:val="212"/>
                    <w:spacing w:before="90" w:line="305" w:lineRule="exact"/>
                    <w:jc w:val="center"/>
                    <w:rPr>
                      <w:rFonts w:hint="eastAsia" w:asciiTheme="minorEastAsia" w:hAnsiTheme="minorEastAsia" w:eastAsiaTheme="minorEastAsia" w:cstheme="minorEastAsia"/>
                      <w:color w:val="auto"/>
                      <w:sz w:val="21"/>
                      <w:szCs w:val="21"/>
                      <w:highlight w:val="none"/>
                      <w:vertAlign w:val="baseline"/>
                      <w:lang w:val="en-US" w:eastAsia="zh-CN"/>
                    </w:rPr>
                  </w:pPr>
                  <w:r>
                    <w:rPr>
                      <w:rFonts w:hint="eastAsia" w:asciiTheme="minorEastAsia" w:hAnsiTheme="minorEastAsia" w:eastAsiaTheme="minorEastAsia" w:cstheme="minorEastAsia"/>
                      <w:color w:val="auto"/>
                      <w:spacing w:val="-3"/>
                      <w:position w:val="3"/>
                      <w:sz w:val="21"/>
                      <w:szCs w:val="21"/>
                      <w:highlight w:val="none"/>
                    </w:rPr>
                    <w:t>15</w:t>
                  </w:r>
                </w:p>
              </w:tc>
              <w:tc>
                <w:tcPr>
                  <w:tcW w:w="1656" w:type="dxa"/>
                  <w:vAlign w:val="top"/>
                </w:tcPr>
                <w:p w14:paraId="060C3977">
                  <w:pPr>
                    <w:pStyle w:val="212"/>
                    <w:spacing w:before="151" w:line="219" w:lineRule="auto"/>
                    <w:jc w:val="both"/>
                    <w:rPr>
                      <w:rFonts w:hint="eastAsia" w:asciiTheme="minorEastAsia" w:hAnsiTheme="minorEastAsia" w:eastAsiaTheme="minorEastAsia" w:cstheme="minorEastAsia"/>
                      <w:color w:val="auto"/>
                      <w:sz w:val="21"/>
                      <w:szCs w:val="21"/>
                      <w:highlight w:val="none"/>
                      <w:vertAlign w:val="baseline"/>
                      <w:lang w:val="en-US" w:eastAsia="zh-CN"/>
                    </w:rPr>
                  </w:pPr>
                  <w:r>
                    <w:rPr>
                      <w:rFonts w:hint="eastAsia" w:ascii="宋体" w:hAnsi="宋体" w:eastAsia="宋体" w:cs="宋体"/>
                      <w:color w:val="000000"/>
                      <w:spacing w:val="5"/>
                      <w:sz w:val="21"/>
                      <w:szCs w:val="21"/>
                      <w:lang w:val="en-US" w:eastAsia="zh-CN"/>
                    </w:rPr>
                    <w:t>导航手术计划软件（至少包括</w:t>
                  </w:r>
                  <w:r>
                    <w:rPr>
                      <w:rFonts w:hint="eastAsia" w:ascii="宋体" w:hAnsi="宋体" w:eastAsia="宋体" w:cs="宋体"/>
                      <w:color w:val="000000"/>
                      <w:spacing w:val="5"/>
                      <w:sz w:val="21"/>
                      <w:szCs w:val="21"/>
                    </w:rPr>
                    <w:t>患者序列管理</w:t>
                  </w:r>
                  <w:r>
                    <w:rPr>
                      <w:rFonts w:hint="eastAsia" w:ascii="宋体" w:hAnsi="宋体" w:eastAsia="宋体" w:cs="宋体"/>
                      <w:color w:val="000000"/>
                      <w:spacing w:val="5"/>
                      <w:sz w:val="21"/>
                      <w:szCs w:val="21"/>
                      <w:lang w:val="en-US" w:eastAsia="zh-CN"/>
                    </w:rPr>
                    <w:t>功能，</w:t>
                  </w:r>
                  <w:r>
                    <w:rPr>
                      <w:rFonts w:hint="eastAsia" w:ascii="宋体" w:hAnsi="宋体" w:eastAsia="宋体" w:cs="宋体"/>
                      <w:color w:val="000000"/>
                      <w:spacing w:val="4"/>
                      <w:sz w:val="21"/>
                      <w:szCs w:val="21"/>
                    </w:rPr>
                    <w:t>三维浏览</w:t>
                  </w:r>
                  <w:r>
                    <w:rPr>
                      <w:rFonts w:hint="eastAsia" w:ascii="宋体" w:hAnsi="宋体" w:eastAsia="宋体" w:cs="宋体"/>
                      <w:color w:val="000000"/>
                      <w:spacing w:val="4"/>
                      <w:sz w:val="21"/>
                      <w:szCs w:val="21"/>
                      <w:lang w:val="en-US" w:eastAsia="zh-CN"/>
                    </w:rPr>
                    <w:t>功能，</w:t>
                  </w:r>
                  <w:r>
                    <w:rPr>
                      <w:rFonts w:hint="eastAsia" w:ascii="宋体" w:hAnsi="宋体" w:eastAsia="宋体" w:cs="宋体"/>
                      <w:color w:val="000000"/>
                      <w:spacing w:val="-1"/>
                      <w:sz w:val="21"/>
                      <w:szCs w:val="21"/>
                    </w:rPr>
                    <w:t>图像融合</w:t>
                  </w:r>
                  <w:r>
                    <w:rPr>
                      <w:rFonts w:hint="eastAsia" w:ascii="宋体" w:hAnsi="宋体" w:eastAsia="宋体" w:cs="宋体"/>
                      <w:color w:val="000000"/>
                      <w:spacing w:val="-1"/>
                      <w:sz w:val="21"/>
                      <w:szCs w:val="21"/>
                      <w:lang w:val="en-US" w:eastAsia="zh-CN"/>
                    </w:rPr>
                    <w:t>功能，</w:t>
                  </w:r>
                  <w:r>
                    <w:rPr>
                      <w:rFonts w:hint="eastAsia" w:ascii="宋体" w:hAnsi="宋体" w:eastAsia="宋体" w:cs="宋体"/>
                      <w:color w:val="000000"/>
                      <w:spacing w:val="2"/>
                      <w:sz w:val="21"/>
                      <w:szCs w:val="21"/>
                    </w:rPr>
                    <w:t>影像配准</w:t>
                  </w:r>
                  <w:r>
                    <w:rPr>
                      <w:rFonts w:hint="eastAsia" w:ascii="宋体" w:hAnsi="宋体" w:eastAsia="宋体" w:cs="宋体"/>
                      <w:color w:val="000000"/>
                      <w:spacing w:val="2"/>
                      <w:sz w:val="21"/>
                      <w:szCs w:val="21"/>
                      <w:lang w:val="en-US" w:eastAsia="zh-CN"/>
                    </w:rPr>
                    <w:t>功能，</w:t>
                  </w:r>
                  <w:r>
                    <w:rPr>
                      <w:rFonts w:hint="eastAsia" w:ascii="宋体" w:hAnsi="宋体" w:eastAsia="宋体" w:cs="宋体"/>
                      <w:color w:val="000000"/>
                      <w:spacing w:val="7"/>
                      <w:sz w:val="21"/>
                      <w:szCs w:val="21"/>
                    </w:rPr>
                    <w:t>模型提取处理</w:t>
                  </w:r>
                  <w:r>
                    <w:rPr>
                      <w:rFonts w:hint="eastAsia" w:ascii="宋体" w:hAnsi="宋体" w:eastAsia="宋体" w:cs="宋体"/>
                      <w:color w:val="000000"/>
                      <w:spacing w:val="7"/>
                      <w:sz w:val="21"/>
                      <w:szCs w:val="21"/>
                      <w:lang w:val="en-US" w:eastAsia="zh-CN"/>
                    </w:rPr>
                    <w:t>功能</w:t>
                  </w:r>
                  <w:r>
                    <w:rPr>
                      <w:rFonts w:hint="eastAsia" w:ascii="宋体" w:hAnsi="宋体" w:eastAsia="宋体" w:cs="宋体"/>
                      <w:color w:val="000000"/>
                      <w:spacing w:val="7"/>
                      <w:sz w:val="21"/>
                      <w:szCs w:val="21"/>
                      <w:lang w:eastAsia="zh-CN"/>
                    </w:rPr>
                    <w:t>，</w:t>
                  </w:r>
                  <w:r>
                    <w:rPr>
                      <w:rFonts w:hint="eastAsia" w:ascii="宋体" w:hAnsi="宋体" w:eastAsia="宋体" w:cs="宋体"/>
                      <w:color w:val="000000"/>
                      <w:spacing w:val="5"/>
                      <w:sz w:val="21"/>
                      <w:szCs w:val="21"/>
                    </w:rPr>
                    <w:t>手术计划制定</w:t>
                  </w:r>
                  <w:r>
                    <w:rPr>
                      <w:rFonts w:hint="eastAsia" w:ascii="宋体" w:hAnsi="宋体" w:eastAsia="宋体" w:cs="宋体"/>
                      <w:color w:val="000000"/>
                      <w:spacing w:val="5"/>
                      <w:sz w:val="21"/>
                      <w:szCs w:val="21"/>
                      <w:lang w:val="en-US" w:eastAsia="zh-CN"/>
                    </w:rPr>
                    <w:t>功能</w:t>
                  </w:r>
                  <w:r>
                    <w:rPr>
                      <w:rFonts w:hint="eastAsia" w:ascii="宋体" w:hAnsi="宋体" w:eastAsia="宋体" w:cs="宋体"/>
                      <w:color w:val="000000"/>
                      <w:spacing w:val="5"/>
                      <w:sz w:val="21"/>
                      <w:szCs w:val="21"/>
                      <w:lang w:eastAsia="zh-CN"/>
                    </w:rPr>
                    <w:t>，</w:t>
                  </w:r>
                  <w:r>
                    <w:rPr>
                      <w:rFonts w:hint="eastAsia" w:ascii="宋体" w:hAnsi="宋体" w:eastAsia="宋体" w:cs="宋体"/>
                      <w:color w:val="000000"/>
                      <w:spacing w:val="7"/>
                      <w:sz w:val="21"/>
                      <w:szCs w:val="21"/>
                    </w:rPr>
                    <w:t>手术计划信息导入导出</w:t>
                  </w:r>
                  <w:r>
                    <w:rPr>
                      <w:rFonts w:hint="eastAsia" w:ascii="宋体" w:hAnsi="宋体" w:eastAsia="宋体" w:cs="宋体"/>
                      <w:color w:val="000000"/>
                      <w:spacing w:val="7"/>
                      <w:sz w:val="21"/>
                      <w:szCs w:val="21"/>
                      <w:lang w:val="en-US" w:eastAsia="zh-CN"/>
                    </w:rPr>
                    <w:t>功能</w:t>
                  </w:r>
                  <w:r>
                    <w:rPr>
                      <w:rFonts w:hint="eastAsia" w:ascii="宋体" w:hAnsi="宋体" w:eastAsia="宋体" w:cs="宋体"/>
                      <w:color w:val="000000"/>
                      <w:spacing w:val="4"/>
                      <w:sz w:val="21"/>
                      <w:szCs w:val="21"/>
                      <w:lang w:eastAsia="zh-CN"/>
                    </w:rPr>
                    <w:t>，</w:t>
                  </w:r>
                  <w:r>
                    <w:rPr>
                      <w:rFonts w:hint="eastAsia" w:ascii="宋体" w:hAnsi="宋体" w:eastAsia="宋体" w:cs="宋体"/>
                      <w:color w:val="000000"/>
                      <w:sz w:val="21"/>
                      <w:szCs w:val="21"/>
                      <w:lang w:eastAsia="zh-CN"/>
                    </w:rPr>
                    <w:t>颅脑组织自动分割重建</w:t>
                  </w:r>
                  <w:r>
                    <w:rPr>
                      <w:rFonts w:hint="eastAsia" w:ascii="宋体" w:hAnsi="宋体" w:eastAsia="宋体" w:cs="宋体"/>
                      <w:color w:val="000000"/>
                      <w:sz w:val="21"/>
                      <w:szCs w:val="21"/>
                      <w:lang w:val="en-US" w:eastAsia="zh-CN"/>
                    </w:rPr>
                    <w:t>功能</w:t>
                  </w:r>
                  <w:r>
                    <w:rPr>
                      <w:rFonts w:hint="eastAsia" w:ascii="宋体" w:hAnsi="宋体" w:eastAsia="宋体" w:cs="宋体"/>
                      <w:color w:val="000000"/>
                      <w:sz w:val="21"/>
                      <w:szCs w:val="21"/>
                      <w:lang w:eastAsia="zh-CN"/>
                    </w:rPr>
                    <w:t>，</w:t>
                  </w:r>
                  <w:r>
                    <w:rPr>
                      <w:rFonts w:hint="eastAsia" w:ascii="宋体" w:hAnsi="宋体" w:eastAsia="宋体" w:cs="宋体"/>
                      <w:color w:val="000000"/>
                      <w:sz w:val="21"/>
                      <w:szCs w:val="21"/>
                      <w:lang w:val="en-US" w:eastAsia="zh-CN"/>
                    </w:rPr>
                    <w:t>神经纤维束重建功能）</w:t>
                  </w:r>
                </w:p>
              </w:tc>
              <w:tc>
                <w:tcPr>
                  <w:tcW w:w="744" w:type="dxa"/>
                  <w:vAlign w:val="center"/>
                </w:tcPr>
                <w:p w14:paraId="0BDD7FD1">
                  <w:pPr>
                    <w:pStyle w:val="212"/>
                    <w:spacing w:before="88" w:line="306" w:lineRule="exact"/>
                    <w:jc w:val="center"/>
                    <w:rPr>
                      <w:rFonts w:hint="eastAsia" w:asciiTheme="minorEastAsia" w:hAnsiTheme="minorEastAsia" w:eastAsiaTheme="minorEastAsia" w:cstheme="minorEastAsia"/>
                      <w:color w:val="auto"/>
                      <w:sz w:val="21"/>
                      <w:szCs w:val="21"/>
                      <w:highlight w:val="none"/>
                      <w:vertAlign w:val="baseline"/>
                      <w:lang w:val="en-US" w:eastAsia="zh-CN"/>
                    </w:rPr>
                  </w:pPr>
                  <w:r>
                    <w:rPr>
                      <w:rFonts w:hint="eastAsia" w:ascii="宋体" w:hAnsi="宋体" w:eastAsia="宋体" w:cs="宋体"/>
                      <w:color w:val="000000"/>
                      <w:position w:val="3"/>
                      <w:sz w:val="21"/>
                      <w:szCs w:val="21"/>
                      <w:lang w:val="en-US" w:eastAsia="zh-CN"/>
                    </w:rPr>
                    <w:t>≥</w:t>
                  </w:r>
                  <w:r>
                    <w:rPr>
                      <w:rFonts w:hint="eastAsia" w:ascii="宋体" w:hAnsi="宋体" w:eastAsia="宋体" w:cs="宋体"/>
                      <w:color w:val="000000"/>
                      <w:sz w:val="21"/>
                      <w:szCs w:val="21"/>
                      <w:lang w:val="en-US" w:eastAsia="zh-CN"/>
                    </w:rPr>
                    <w:t>2</w:t>
                  </w:r>
                </w:p>
              </w:tc>
              <w:tc>
                <w:tcPr>
                  <w:tcW w:w="800" w:type="dxa"/>
                  <w:vAlign w:val="center"/>
                </w:tcPr>
                <w:p w14:paraId="0FE2FCFD">
                  <w:pPr>
                    <w:pStyle w:val="212"/>
                    <w:spacing w:before="150" w:line="215" w:lineRule="auto"/>
                    <w:jc w:val="center"/>
                    <w:rPr>
                      <w:rFonts w:hint="eastAsia" w:asciiTheme="minorEastAsia" w:hAnsiTheme="minorEastAsia" w:eastAsiaTheme="minorEastAsia" w:cstheme="minorEastAsia"/>
                      <w:color w:val="auto"/>
                      <w:sz w:val="21"/>
                      <w:szCs w:val="21"/>
                      <w:highlight w:val="none"/>
                      <w:vertAlign w:val="baseline"/>
                      <w:lang w:val="en-US" w:eastAsia="zh-CN"/>
                    </w:rPr>
                  </w:pPr>
                  <w:r>
                    <w:rPr>
                      <w:rFonts w:hint="eastAsia" w:ascii="宋体" w:hAnsi="宋体" w:eastAsia="宋体" w:cs="宋体"/>
                      <w:color w:val="000000"/>
                      <w:sz w:val="21"/>
                      <w:szCs w:val="21"/>
                    </w:rPr>
                    <w:t>套</w:t>
                  </w:r>
                </w:p>
              </w:tc>
            </w:tr>
            <w:tr w14:paraId="5EB8D3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vAlign w:val="center"/>
                </w:tcPr>
                <w:p w14:paraId="19DEB07D">
                  <w:pPr>
                    <w:pStyle w:val="212"/>
                    <w:spacing w:before="91" w:line="304" w:lineRule="exact"/>
                    <w:jc w:val="center"/>
                    <w:rPr>
                      <w:rFonts w:hint="eastAsia" w:asciiTheme="minorEastAsia" w:hAnsiTheme="minorEastAsia" w:eastAsiaTheme="minorEastAsia" w:cstheme="minorEastAsia"/>
                      <w:color w:val="auto"/>
                      <w:sz w:val="21"/>
                      <w:szCs w:val="21"/>
                      <w:highlight w:val="none"/>
                      <w:vertAlign w:val="baseline"/>
                      <w:lang w:val="en-US" w:eastAsia="zh-CN"/>
                    </w:rPr>
                  </w:pPr>
                  <w:r>
                    <w:rPr>
                      <w:rFonts w:hint="eastAsia" w:asciiTheme="minorEastAsia" w:hAnsiTheme="minorEastAsia" w:eastAsiaTheme="minorEastAsia" w:cstheme="minorEastAsia"/>
                      <w:color w:val="auto"/>
                      <w:spacing w:val="-3"/>
                      <w:position w:val="3"/>
                      <w:sz w:val="21"/>
                      <w:szCs w:val="21"/>
                      <w:highlight w:val="none"/>
                    </w:rPr>
                    <w:t>16</w:t>
                  </w:r>
                </w:p>
              </w:tc>
              <w:tc>
                <w:tcPr>
                  <w:tcW w:w="1656" w:type="dxa"/>
                  <w:vAlign w:val="center"/>
                </w:tcPr>
                <w:p w14:paraId="03CBDE9B">
                  <w:pPr>
                    <w:pStyle w:val="212"/>
                    <w:spacing w:before="160" w:line="217" w:lineRule="auto"/>
                    <w:jc w:val="center"/>
                    <w:rPr>
                      <w:rFonts w:hint="eastAsia" w:asciiTheme="minorEastAsia" w:hAnsiTheme="minorEastAsia" w:eastAsiaTheme="minorEastAsia" w:cstheme="minorEastAsia"/>
                      <w:color w:val="auto"/>
                      <w:sz w:val="21"/>
                      <w:szCs w:val="21"/>
                      <w:highlight w:val="none"/>
                      <w:vertAlign w:val="baseline"/>
                      <w:lang w:val="en-US" w:eastAsia="zh-CN"/>
                    </w:rPr>
                  </w:pPr>
                  <w:r>
                    <w:rPr>
                      <w:rFonts w:hint="eastAsia" w:ascii="宋体" w:hAnsi="宋体" w:eastAsia="宋体" w:cs="宋体"/>
                      <w:color w:val="000000"/>
                      <w:spacing w:val="4"/>
                      <w:sz w:val="21"/>
                      <w:szCs w:val="21"/>
                    </w:rPr>
                    <w:t>患者注册模块</w:t>
                  </w:r>
                </w:p>
              </w:tc>
              <w:tc>
                <w:tcPr>
                  <w:tcW w:w="744" w:type="dxa"/>
                  <w:vAlign w:val="center"/>
                </w:tcPr>
                <w:p w14:paraId="5026C86B">
                  <w:pPr>
                    <w:pStyle w:val="212"/>
                    <w:spacing w:before="90" w:line="306" w:lineRule="exact"/>
                    <w:jc w:val="center"/>
                    <w:rPr>
                      <w:rFonts w:hint="eastAsia" w:asciiTheme="minorEastAsia" w:hAnsiTheme="minorEastAsia" w:eastAsiaTheme="minorEastAsia" w:cstheme="minorEastAsia"/>
                      <w:color w:val="auto"/>
                      <w:sz w:val="21"/>
                      <w:szCs w:val="21"/>
                      <w:highlight w:val="none"/>
                      <w:vertAlign w:val="baseline"/>
                      <w:lang w:val="en-US" w:eastAsia="zh-CN"/>
                    </w:rPr>
                  </w:pPr>
                  <w:r>
                    <w:rPr>
                      <w:rFonts w:hint="eastAsia" w:ascii="宋体" w:hAnsi="宋体" w:eastAsia="宋体" w:cs="宋体"/>
                      <w:color w:val="000000"/>
                      <w:position w:val="3"/>
                      <w:sz w:val="21"/>
                      <w:szCs w:val="21"/>
                      <w:lang w:val="en-US" w:eastAsia="zh-CN"/>
                    </w:rPr>
                    <w:t>≥</w:t>
                  </w:r>
                  <w:r>
                    <w:rPr>
                      <w:rFonts w:hint="eastAsia" w:ascii="宋体" w:hAnsi="宋体" w:eastAsia="宋体" w:cs="宋体"/>
                      <w:color w:val="000000"/>
                      <w:sz w:val="21"/>
                      <w:szCs w:val="21"/>
                      <w:lang w:val="en-US" w:eastAsia="zh-CN"/>
                    </w:rPr>
                    <w:t>2</w:t>
                  </w:r>
                </w:p>
              </w:tc>
              <w:tc>
                <w:tcPr>
                  <w:tcW w:w="800" w:type="dxa"/>
                  <w:vAlign w:val="center"/>
                </w:tcPr>
                <w:p w14:paraId="0B1DA52D">
                  <w:pPr>
                    <w:pStyle w:val="212"/>
                    <w:spacing w:before="162" w:line="215" w:lineRule="auto"/>
                    <w:jc w:val="center"/>
                    <w:rPr>
                      <w:rFonts w:hint="eastAsia" w:asciiTheme="minorEastAsia" w:hAnsiTheme="minorEastAsia" w:eastAsiaTheme="minorEastAsia" w:cstheme="minorEastAsia"/>
                      <w:color w:val="auto"/>
                      <w:sz w:val="21"/>
                      <w:szCs w:val="21"/>
                      <w:highlight w:val="none"/>
                      <w:vertAlign w:val="baseline"/>
                      <w:lang w:val="en-US" w:eastAsia="zh-CN"/>
                    </w:rPr>
                  </w:pPr>
                  <w:r>
                    <w:rPr>
                      <w:rFonts w:hint="eastAsia" w:ascii="宋体" w:hAnsi="宋体" w:eastAsia="宋体" w:cs="宋体"/>
                      <w:color w:val="000000"/>
                      <w:sz w:val="21"/>
                      <w:szCs w:val="21"/>
                    </w:rPr>
                    <w:t>套</w:t>
                  </w:r>
                </w:p>
              </w:tc>
            </w:tr>
            <w:tr w14:paraId="2ABE9E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vAlign w:val="center"/>
                </w:tcPr>
                <w:p w14:paraId="297625D3">
                  <w:pPr>
                    <w:pStyle w:val="212"/>
                    <w:spacing w:before="90" w:line="307" w:lineRule="exact"/>
                    <w:jc w:val="center"/>
                    <w:rPr>
                      <w:rFonts w:hint="eastAsia" w:asciiTheme="minorEastAsia" w:hAnsiTheme="minorEastAsia" w:eastAsiaTheme="minorEastAsia" w:cstheme="minorEastAsia"/>
                      <w:color w:val="auto"/>
                      <w:sz w:val="21"/>
                      <w:szCs w:val="21"/>
                      <w:highlight w:val="none"/>
                      <w:vertAlign w:val="baseline"/>
                      <w:lang w:val="en-US" w:eastAsia="zh-CN"/>
                    </w:rPr>
                  </w:pPr>
                  <w:r>
                    <w:rPr>
                      <w:rFonts w:hint="eastAsia" w:asciiTheme="minorEastAsia" w:hAnsiTheme="minorEastAsia" w:eastAsiaTheme="minorEastAsia" w:cstheme="minorEastAsia"/>
                      <w:color w:val="auto"/>
                      <w:spacing w:val="-3"/>
                      <w:position w:val="3"/>
                      <w:sz w:val="21"/>
                      <w:szCs w:val="21"/>
                      <w:highlight w:val="none"/>
                    </w:rPr>
                    <w:t>17</w:t>
                  </w:r>
                </w:p>
              </w:tc>
              <w:tc>
                <w:tcPr>
                  <w:tcW w:w="1656" w:type="dxa"/>
                  <w:vAlign w:val="center"/>
                </w:tcPr>
                <w:p w14:paraId="6D21FB66">
                  <w:pPr>
                    <w:pStyle w:val="212"/>
                    <w:spacing w:before="142" w:line="210" w:lineRule="auto"/>
                    <w:jc w:val="center"/>
                    <w:rPr>
                      <w:rFonts w:hint="eastAsia" w:asciiTheme="minorEastAsia" w:hAnsiTheme="minorEastAsia" w:eastAsiaTheme="minorEastAsia" w:cstheme="minorEastAsia"/>
                      <w:color w:val="auto"/>
                      <w:sz w:val="21"/>
                      <w:szCs w:val="21"/>
                      <w:highlight w:val="none"/>
                      <w:vertAlign w:val="baseline"/>
                      <w:lang w:val="en-US" w:eastAsia="zh-CN"/>
                    </w:rPr>
                  </w:pPr>
                  <w:r>
                    <w:rPr>
                      <w:rFonts w:hint="eastAsia" w:ascii="宋体" w:hAnsi="宋体" w:eastAsia="宋体" w:cs="宋体"/>
                      <w:color w:val="000000"/>
                      <w:spacing w:val="-1"/>
                      <w:sz w:val="21"/>
                      <w:szCs w:val="21"/>
                    </w:rPr>
                    <w:t>导航工作站</w:t>
                  </w:r>
                </w:p>
              </w:tc>
              <w:tc>
                <w:tcPr>
                  <w:tcW w:w="744" w:type="dxa"/>
                  <w:vAlign w:val="center"/>
                </w:tcPr>
                <w:p w14:paraId="6BA47B28">
                  <w:pPr>
                    <w:spacing w:before="134" w:line="261" w:lineRule="exact"/>
                    <w:jc w:val="center"/>
                    <w:rPr>
                      <w:rFonts w:hint="default" w:asciiTheme="minorEastAsia" w:hAnsiTheme="minorEastAsia" w:eastAsiaTheme="minorEastAsia" w:cstheme="minorEastAsia"/>
                      <w:color w:val="auto"/>
                      <w:sz w:val="21"/>
                      <w:szCs w:val="21"/>
                      <w:highlight w:val="none"/>
                      <w:vertAlign w:val="baseline"/>
                      <w:lang w:val="en-US" w:eastAsia="zh-CN"/>
                    </w:rPr>
                  </w:pPr>
                  <w:r>
                    <w:rPr>
                      <w:rFonts w:hint="eastAsia" w:ascii="宋体" w:hAnsi="宋体" w:eastAsia="宋体" w:cs="宋体"/>
                      <w:color w:val="000000"/>
                      <w:position w:val="1"/>
                      <w:sz w:val="21"/>
                      <w:szCs w:val="21"/>
                    </w:rPr>
                    <w:t>1</w:t>
                  </w:r>
                </w:p>
              </w:tc>
              <w:tc>
                <w:tcPr>
                  <w:tcW w:w="800" w:type="dxa"/>
                  <w:vAlign w:val="center"/>
                </w:tcPr>
                <w:p w14:paraId="0A971F51">
                  <w:pPr>
                    <w:spacing w:before="134" w:line="233" w:lineRule="auto"/>
                    <w:jc w:val="center"/>
                    <w:rPr>
                      <w:rFonts w:hint="eastAsia" w:asciiTheme="minorEastAsia" w:hAnsiTheme="minorEastAsia" w:eastAsiaTheme="minorEastAsia" w:cstheme="minorEastAsia"/>
                      <w:color w:val="auto"/>
                      <w:sz w:val="21"/>
                      <w:szCs w:val="21"/>
                      <w:highlight w:val="none"/>
                      <w:vertAlign w:val="baseline"/>
                      <w:lang w:val="en-US" w:eastAsia="zh-CN"/>
                    </w:rPr>
                  </w:pPr>
                  <w:r>
                    <w:rPr>
                      <w:rFonts w:hint="eastAsia" w:ascii="宋体" w:hAnsi="宋体" w:eastAsia="宋体" w:cs="宋体"/>
                      <w:color w:val="000000"/>
                      <w:sz w:val="21"/>
                      <w:szCs w:val="21"/>
                    </w:rPr>
                    <w:t>台</w:t>
                  </w:r>
                </w:p>
              </w:tc>
            </w:tr>
            <w:tr w14:paraId="6347A3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vAlign w:val="center"/>
                </w:tcPr>
                <w:p w14:paraId="14DC71EE">
                  <w:pPr>
                    <w:pStyle w:val="212"/>
                    <w:spacing w:before="90" w:line="304" w:lineRule="exact"/>
                    <w:jc w:val="center"/>
                    <w:rPr>
                      <w:rFonts w:hint="eastAsia" w:asciiTheme="minorEastAsia" w:hAnsiTheme="minorEastAsia" w:eastAsiaTheme="minorEastAsia" w:cstheme="minorEastAsia"/>
                      <w:color w:val="auto"/>
                      <w:sz w:val="21"/>
                      <w:szCs w:val="21"/>
                      <w:highlight w:val="none"/>
                      <w:vertAlign w:val="baseline"/>
                      <w:lang w:val="en-US" w:eastAsia="zh-CN"/>
                    </w:rPr>
                  </w:pPr>
                  <w:r>
                    <w:rPr>
                      <w:rFonts w:hint="eastAsia" w:asciiTheme="minorEastAsia" w:hAnsiTheme="minorEastAsia" w:eastAsiaTheme="minorEastAsia" w:cstheme="minorEastAsia"/>
                      <w:color w:val="auto"/>
                      <w:spacing w:val="-3"/>
                      <w:position w:val="3"/>
                      <w:sz w:val="21"/>
                      <w:szCs w:val="21"/>
                      <w:highlight w:val="none"/>
                    </w:rPr>
                    <w:t>18</w:t>
                  </w:r>
                </w:p>
              </w:tc>
              <w:tc>
                <w:tcPr>
                  <w:tcW w:w="1656" w:type="dxa"/>
                  <w:vAlign w:val="center"/>
                </w:tcPr>
                <w:p w14:paraId="0E17288D">
                  <w:pPr>
                    <w:pStyle w:val="212"/>
                    <w:spacing w:before="132" w:line="218" w:lineRule="auto"/>
                    <w:jc w:val="center"/>
                    <w:rPr>
                      <w:rFonts w:hint="eastAsia" w:asciiTheme="minorEastAsia" w:hAnsiTheme="minorEastAsia" w:eastAsiaTheme="minorEastAsia" w:cstheme="minorEastAsia"/>
                      <w:color w:val="auto"/>
                      <w:sz w:val="21"/>
                      <w:szCs w:val="21"/>
                      <w:highlight w:val="none"/>
                      <w:vertAlign w:val="baseline"/>
                      <w:lang w:val="en-US" w:eastAsia="zh-CN"/>
                    </w:rPr>
                  </w:pPr>
                  <w:r>
                    <w:rPr>
                      <w:rFonts w:hint="eastAsia" w:ascii="宋体" w:hAnsi="宋体" w:eastAsia="宋体" w:cs="宋体"/>
                      <w:color w:val="000000"/>
                      <w:spacing w:val="7"/>
                      <w:sz w:val="21"/>
                      <w:szCs w:val="21"/>
                    </w:rPr>
                    <w:t>导航探针</w:t>
                  </w:r>
                </w:p>
              </w:tc>
              <w:tc>
                <w:tcPr>
                  <w:tcW w:w="744" w:type="dxa"/>
                  <w:vAlign w:val="center"/>
                </w:tcPr>
                <w:p w14:paraId="34860383">
                  <w:pPr>
                    <w:spacing w:before="134" w:line="262" w:lineRule="exact"/>
                    <w:jc w:val="center"/>
                    <w:rPr>
                      <w:rFonts w:hint="eastAsia" w:asciiTheme="minorEastAsia" w:hAnsiTheme="minorEastAsia" w:eastAsiaTheme="minorEastAsia" w:cstheme="minorEastAsia"/>
                      <w:color w:val="auto"/>
                      <w:sz w:val="21"/>
                      <w:szCs w:val="21"/>
                      <w:highlight w:val="none"/>
                      <w:vertAlign w:val="baseline"/>
                      <w:lang w:val="en-US" w:eastAsia="zh-CN"/>
                    </w:rPr>
                  </w:pPr>
                  <w:r>
                    <w:rPr>
                      <w:rFonts w:hint="eastAsia" w:ascii="宋体" w:hAnsi="宋体" w:eastAsia="宋体" w:cs="宋体"/>
                      <w:color w:val="000000"/>
                      <w:position w:val="3"/>
                      <w:sz w:val="21"/>
                      <w:szCs w:val="21"/>
                      <w:lang w:val="en-US" w:eastAsia="zh-CN"/>
                    </w:rPr>
                    <w:t>≥</w:t>
                  </w:r>
                  <w:r>
                    <w:rPr>
                      <w:rFonts w:hint="eastAsia" w:ascii="宋体" w:hAnsi="宋体" w:eastAsia="宋体" w:cs="宋体"/>
                      <w:color w:val="000000"/>
                      <w:position w:val="1"/>
                      <w:sz w:val="21"/>
                      <w:szCs w:val="21"/>
                    </w:rPr>
                    <w:t>2</w:t>
                  </w:r>
                </w:p>
              </w:tc>
              <w:tc>
                <w:tcPr>
                  <w:tcW w:w="800" w:type="dxa"/>
                  <w:vAlign w:val="center"/>
                </w:tcPr>
                <w:p w14:paraId="0D965B9C">
                  <w:pPr>
                    <w:spacing w:before="134" w:line="232" w:lineRule="auto"/>
                    <w:jc w:val="center"/>
                    <w:rPr>
                      <w:rFonts w:hint="eastAsia" w:asciiTheme="minorEastAsia" w:hAnsiTheme="minorEastAsia" w:eastAsiaTheme="minorEastAsia" w:cstheme="minorEastAsia"/>
                      <w:color w:val="auto"/>
                      <w:sz w:val="21"/>
                      <w:szCs w:val="21"/>
                      <w:highlight w:val="none"/>
                      <w:vertAlign w:val="baseline"/>
                      <w:lang w:val="en-US" w:eastAsia="zh-CN"/>
                    </w:rPr>
                  </w:pPr>
                  <w:r>
                    <w:rPr>
                      <w:rFonts w:hint="eastAsia" w:ascii="宋体" w:hAnsi="宋体" w:eastAsia="宋体" w:cs="宋体"/>
                      <w:color w:val="000000"/>
                      <w:spacing w:val="1"/>
                      <w:sz w:val="21"/>
                      <w:szCs w:val="21"/>
                    </w:rPr>
                    <w:t>个</w:t>
                  </w:r>
                </w:p>
              </w:tc>
            </w:tr>
            <w:tr w14:paraId="48E330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vAlign w:val="center"/>
                </w:tcPr>
                <w:p w14:paraId="45562F12">
                  <w:pPr>
                    <w:pStyle w:val="212"/>
                    <w:spacing w:before="90" w:line="304" w:lineRule="exact"/>
                    <w:jc w:val="center"/>
                    <w:rPr>
                      <w:rFonts w:hint="eastAsia" w:asciiTheme="minorEastAsia" w:hAnsiTheme="minorEastAsia" w:eastAsiaTheme="minorEastAsia" w:cstheme="minorEastAsia"/>
                      <w:color w:val="auto"/>
                      <w:sz w:val="21"/>
                      <w:szCs w:val="21"/>
                      <w:highlight w:val="none"/>
                      <w:vertAlign w:val="baseline"/>
                      <w:lang w:val="en-US" w:eastAsia="zh-CN"/>
                    </w:rPr>
                  </w:pPr>
                  <w:r>
                    <w:rPr>
                      <w:rFonts w:hint="eastAsia" w:asciiTheme="minorEastAsia" w:hAnsiTheme="minorEastAsia" w:eastAsiaTheme="minorEastAsia" w:cstheme="minorEastAsia"/>
                      <w:color w:val="auto"/>
                      <w:spacing w:val="-3"/>
                      <w:position w:val="3"/>
                      <w:sz w:val="21"/>
                      <w:szCs w:val="21"/>
                      <w:highlight w:val="none"/>
                    </w:rPr>
                    <w:t>19</w:t>
                  </w:r>
                </w:p>
              </w:tc>
              <w:tc>
                <w:tcPr>
                  <w:tcW w:w="1656" w:type="dxa"/>
                  <w:vAlign w:val="center"/>
                </w:tcPr>
                <w:p w14:paraId="501129C2">
                  <w:pPr>
                    <w:pStyle w:val="212"/>
                    <w:spacing w:before="102" w:line="284" w:lineRule="exact"/>
                    <w:jc w:val="center"/>
                    <w:rPr>
                      <w:rFonts w:hint="eastAsia" w:asciiTheme="minorEastAsia" w:hAnsiTheme="minorEastAsia" w:eastAsiaTheme="minorEastAsia" w:cstheme="minorEastAsia"/>
                      <w:color w:val="auto"/>
                      <w:sz w:val="21"/>
                      <w:szCs w:val="21"/>
                      <w:highlight w:val="none"/>
                      <w:vertAlign w:val="baseline"/>
                      <w:lang w:val="en-US" w:eastAsia="zh-CN"/>
                    </w:rPr>
                  </w:pPr>
                  <w:r>
                    <w:rPr>
                      <w:rFonts w:hint="eastAsia" w:ascii="宋体" w:hAnsi="宋体" w:eastAsia="宋体" w:cs="宋体"/>
                      <w:color w:val="000000"/>
                      <w:spacing w:val="7"/>
                      <w:position w:val="2"/>
                      <w:sz w:val="21"/>
                      <w:szCs w:val="21"/>
                    </w:rPr>
                    <w:t>参考架</w:t>
                  </w:r>
                </w:p>
              </w:tc>
              <w:tc>
                <w:tcPr>
                  <w:tcW w:w="744" w:type="dxa"/>
                  <w:vAlign w:val="center"/>
                </w:tcPr>
                <w:p w14:paraId="61563B5E">
                  <w:pPr>
                    <w:spacing w:before="135" w:line="262" w:lineRule="exact"/>
                    <w:jc w:val="center"/>
                    <w:rPr>
                      <w:rFonts w:hint="eastAsia" w:asciiTheme="minorEastAsia" w:hAnsiTheme="minorEastAsia" w:eastAsiaTheme="minorEastAsia" w:cstheme="minorEastAsia"/>
                      <w:color w:val="auto"/>
                      <w:sz w:val="21"/>
                      <w:szCs w:val="21"/>
                      <w:highlight w:val="none"/>
                      <w:vertAlign w:val="baseline"/>
                      <w:lang w:val="en-US" w:eastAsia="zh-CN"/>
                    </w:rPr>
                  </w:pPr>
                  <w:r>
                    <w:rPr>
                      <w:rFonts w:hint="eastAsia" w:ascii="宋体" w:hAnsi="宋体" w:eastAsia="宋体" w:cs="宋体"/>
                      <w:color w:val="000000"/>
                      <w:position w:val="3"/>
                      <w:sz w:val="21"/>
                      <w:szCs w:val="21"/>
                      <w:lang w:val="en-US" w:eastAsia="zh-CN"/>
                    </w:rPr>
                    <w:t>≥</w:t>
                  </w:r>
                  <w:r>
                    <w:rPr>
                      <w:rFonts w:hint="eastAsia" w:ascii="宋体" w:hAnsi="宋体" w:eastAsia="宋体" w:cs="宋体"/>
                      <w:color w:val="000000"/>
                      <w:sz w:val="21"/>
                      <w:szCs w:val="21"/>
                      <w:lang w:val="en-US" w:eastAsia="zh-CN"/>
                    </w:rPr>
                    <w:t>4</w:t>
                  </w:r>
                </w:p>
              </w:tc>
              <w:tc>
                <w:tcPr>
                  <w:tcW w:w="800" w:type="dxa"/>
                  <w:vAlign w:val="center"/>
                </w:tcPr>
                <w:p w14:paraId="4027A725">
                  <w:pPr>
                    <w:spacing w:before="135" w:line="232" w:lineRule="auto"/>
                    <w:jc w:val="center"/>
                    <w:rPr>
                      <w:rFonts w:hint="eastAsia" w:asciiTheme="minorEastAsia" w:hAnsiTheme="minorEastAsia" w:eastAsiaTheme="minorEastAsia" w:cstheme="minorEastAsia"/>
                      <w:color w:val="auto"/>
                      <w:sz w:val="21"/>
                      <w:szCs w:val="21"/>
                      <w:highlight w:val="none"/>
                      <w:vertAlign w:val="baseline"/>
                      <w:lang w:val="en-US" w:eastAsia="zh-CN"/>
                    </w:rPr>
                  </w:pPr>
                  <w:r>
                    <w:rPr>
                      <w:rFonts w:hint="eastAsia" w:ascii="宋体" w:hAnsi="宋体" w:eastAsia="宋体" w:cs="宋体"/>
                      <w:color w:val="000000"/>
                      <w:spacing w:val="1"/>
                      <w:sz w:val="21"/>
                      <w:szCs w:val="21"/>
                    </w:rPr>
                    <w:t>个</w:t>
                  </w:r>
                </w:p>
              </w:tc>
            </w:tr>
            <w:tr w14:paraId="658737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vAlign w:val="center"/>
                </w:tcPr>
                <w:p w14:paraId="5D843C04">
                  <w:pPr>
                    <w:pStyle w:val="212"/>
                    <w:spacing w:before="91" w:line="305" w:lineRule="exact"/>
                    <w:jc w:val="center"/>
                    <w:rPr>
                      <w:rFonts w:hint="eastAsia" w:asciiTheme="minorEastAsia" w:hAnsiTheme="minorEastAsia" w:eastAsiaTheme="minorEastAsia" w:cstheme="minorEastAsia"/>
                      <w:color w:val="auto"/>
                      <w:sz w:val="21"/>
                      <w:szCs w:val="21"/>
                      <w:highlight w:val="none"/>
                      <w:vertAlign w:val="baseline"/>
                      <w:lang w:val="en-US" w:eastAsia="zh-CN"/>
                    </w:rPr>
                  </w:pPr>
                  <w:r>
                    <w:rPr>
                      <w:rFonts w:hint="eastAsia" w:asciiTheme="minorEastAsia" w:hAnsiTheme="minorEastAsia" w:eastAsiaTheme="minorEastAsia" w:cstheme="minorEastAsia"/>
                      <w:color w:val="auto"/>
                      <w:spacing w:val="-1"/>
                      <w:position w:val="3"/>
                      <w:sz w:val="21"/>
                      <w:szCs w:val="21"/>
                      <w:highlight w:val="none"/>
                    </w:rPr>
                    <w:t>20</w:t>
                  </w:r>
                </w:p>
              </w:tc>
              <w:tc>
                <w:tcPr>
                  <w:tcW w:w="1656" w:type="dxa"/>
                  <w:vAlign w:val="center"/>
                </w:tcPr>
                <w:p w14:paraId="1FE0807A">
                  <w:pPr>
                    <w:pStyle w:val="212"/>
                    <w:spacing w:before="103" w:line="283" w:lineRule="exact"/>
                    <w:jc w:val="center"/>
                    <w:rPr>
                      <w:rFonts w:hint="eastAsia" w:asciiTheme="minorEastAsia" w:hAnsiTheme="minorEastAsia" w:eastAsiaTheme="minorEastAsia" w:cstheme="minorEastAsia"/>
                      <w:color w:val="auto"/>
                      <w:sz w:val="21"/>
                      <w:szCs w:val="21"/>
                      <w:highlight w:val="none"/>
                      <w:vertAlign w:val="baseline"/>
                      <w:lang w:val="en-US" w:eastAsia="zh-CN"/>
                    </w:rPr>
                  </w:pPr>
                  <w:r>
                    <w:rPr>
                      <w:rFonts w:hint="eastAsia" w:ascii="宋体" w:hAnsi="宋体" w:eastAsia="宋体" w:cs="宋体"/>
                      <w:color w:val="000000"/>
                      <w:spacing w:val="8"/>
                      <w:position w:val="2"/>
                      <w:sz w:val="21"/>
                      <w:szCs w:val="21"/>
                    </w:rPr>
                    <w:t>参考架连接器</w:t>
                  </w:r>
                </w:p>
              </w:tc>
              <w:tc>
                <w:tcPr>
                  <w:tcW w:w="744" w:type="dxa"/>
                  <w:vAlign w:val="center"/>
                </w:tcPr>
                <w:p w14:paraId="6CE62B03">
                  <w:pPr>
                    <w:spacing w:before="136" w:line="262" w:lineRule="exact"/>
                    <w:jc w:val="center"/>
                    <w:rPr>
                      <w:rFonts w:hint="eastAsia" w:asciiTheme="minorEastAsia" w:hAnsiTheme="minorEastAsia" w:eastAsiaTheme="minorEastAsia" w:cstheme="minorEastAsia"/>
                      <w:color w:val="auto"/>
                      <w:sz w:val="21"/>
                      <w:szCs w:val="21"/>
                      <w:highlight w:val="none"/>
                      <w:vertAlign w:val="baseline"/>
                      <w:lang w:val="en-US" w:eastAsia="zh-CN"/>
                    </w:rPr>
                  </w:pPr>
                  <w:r>
                    <w:rPr>
                      <w:rFonts w:hint="eastAsia" w:ascii="宋体" w:hAnsi="宋体" w:eastAsia="宋体" w:cs="宋体"/>
                      <w:color w:val="000000"/>
                      <w:position w:val="3"/>
                      <w:sz w:val="21"/>
                      <w:szCs w:val="21"/>
                      <w:lang w:val="en-US" w:eastAsia="zh-CN"/>
                    </w:rPr>
                    <w:t>≥</w:t>
                  </w:r>
                  <w:r>
                    <w:rPr>
                      <w:rFonts w:hint="eastAsia" w:ascii="宋体" w:hAnsi="宋体" w:eastAsia="宋体" w:cs="宋体"/>
                      <w:color w:val="000000"/>
                      <w:position w:val="1"/>
                      <w:sz w:val="21"/>
                      <w:szCs w:val="21"/>
                      <w:lang w:val="en-US" w:eastAsia="zh-CN"/>
                    </w:rPr>
                    <w:t>2</w:t>
                  </w:r>
                </w:p>
              </w:tc>
              <w:tc>
                <w:tcPr>
                  <w:tcW w:w="800" w:type="dxa"/>
                  <w:vAlign w:val="center"/>
                </w:tcPr>
                <w:p w14:paraId="6CB63898">
                  <w:pPr>
                    <w:spacing w:before="136" w:line="231" w:lineRule="auto"/>
                    <w:jc w:val="center"/>
                    <w:rPr>
                      <w:rFonts w:hint="eastAsia" w:asciiTheme="minorEastAsia" w:hAnsiTheme="minorEastAsia" w:eastAsiaTheme="minorEastAsia" w:cstheme="minorEastAsia"/>
                      <w:color w:val="auto"/>
                      <w:sz w:val="21"/>
                      <w:szCs w:val="21"/>
                      <w:highlight w:val="none"/>
                      <w:vertAlign w:val="baseline"/>
                      <w:lang w:val="en-US" w:eastAsia="zh-CN"/>
                    </w:rPr>
                  </w:pPr>
                  <w:r>
                    <w:rPr>
                      <w:rFonts w:hint="eastAsia" w:ascii="宋体" w:hAnsi="宋体" w:eastAsia="宋体" w:cs="宋体"/>
                      <w:color w:val="000000"/>
                      <w:sz w:val="21"/>
                      <w:szCs w:val="21"/>
                    </w:rPr>
                    <w:t>套</w:t>
                  </w:r>
                </w:p>
              </w:tc>
            </w:tr>
            <w:tr w14:paraId="597A23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vAlign w:val="center"/>
                </w:tcPr>
                <w:p w14:paraId="0AA16B38">
                  <w:pPr>
                    <w:pStyle w:val="212"/>
                    <w:spacing w:before="92" w:line="306" w:lineRule="exact"/>
                    <w:jc w:val="center"/>
                    <w:rPr>
                      <w:rFonts w:hint="eastAsia" w:asciiTheme="minorEastAsia" w:hAnsiTheme="minorEastAsia" w:eastAsiaTheme="minorEastAsia" w:cstheme="minorEastAsia"/>
                      <w:color w:val="auto"/>
                      <w:sz w:val="21"/>
                      <w:szCs w:val="21"/>
                      <w:highlight w:val="none"/>
                      <w:vertAlign w:val="baseline"/>
                      <w:lang w:val="en-US" w:eastAsia="zh-CN"/>
                    </w:rPr>
                  </w:pPr>
                  <w:r>
                    <w:rPr>
                      <w:rFonts w:hint="eastAsia" w:asciiTheme="minorEastAsia" w:hAnsiTheme="minorEastAsia" w:eastAsiaTheme="minorEastAsia" w:cstheme="minorEastAsia"/>
                      <w:color w:val="auto"/>
                      <w:spacing w:val="-1"/>
                      <w:position w:val="3"/>
                      <w:sz w:val="21"/>
                      <w:szCs w:val="21"/>
                      <w:highlight w:val="none"/>
                    </w:rPr>
                    <w:t>21</w:t>
                  </w:r>
                </w:p>
              </w:tc>
              <w:tc>
                <w:tcPr>
                  <w:tcW w:w="1656" w:type="dxa"/>
                  <w:vAlign w:val="center"/>
                </w:tcPr>
                <w:p w14:paraId="0C2B5934">
                  <w:pPr>
                    <w:pStyle w:val="212"/>
                    <w:spacing w:before="137" w:line="216" w:lineRule="auto"/>
                    <w:jc w:val="center"/>
                    <w:rPr>
                      <w:rFonts w:hint="eastAsia" w:asciiTheme="minorEastAsia" w:hAnsiTheme="minorEastAsia" w:eastAsiaTheme="minorEastAsia" w:cstheme="minorEastAsia"/>
                      <w:color w:val="auto"/>
                      <w:sz w:val="21"/>
                      <w:szCs w:val="21"/>
                      <w:highlight w:val="none"/>
                      <w:vertAlign w:val="baseline"/>
                      <w:lang w:val="en-US" w:eastAsia="zh-CN"/>
                    </w:rPr>
                  </w:pPr>
                  <w:r>
                    <w:rPr>
                      <w:rFonts w:hint="eastAsia" w:ascii="宋体" w:hAnsi="宋体" w:eastAsia="宋体" w:cs="宋体"/>
                      <w:color w:val="000000"/>
                      <w:spacing w:val="8"/>
                      <w:sz w:val="21"/>
                      <w:szCs w:val="21"/>
                    </w:rPr>
                    <w:t>孔型手术器械适配器</w:t>
                  </w:r>
                </w:p>
              </w:tc>
              <w:tc>
                <w:tcPr>
                  <w:tcW w:w="744" w:type="dxa"/>
                  <w:vAlign w:val="center"/>
                </w:tcPr>
                <w:p w14:paraId="0F9D5EEE">
                  <w:pPr>
                    <w:spacing w:before="137" w:line="261" w:lineRule="exact"/>
                    <w:jc w:val="center"/>
                    <w:rPr>
                      <w:rFonts w:hint="eastAsia" w:asciiTheme="minorEastAsia" w:hAnsiTheme="minorEastAsia" w:eastAsiaTheme="minorEastAsia" w:cstheme="minorEastAsia"/>
                      <w:color w:val="auto"/>
                      <w:sz w:val="21"/>
                      <w:szCs w:val="21"/>
                      <w:highlight w:val="none"/>
                      <w:vertAlign w:val="baseline"/>
                      <w:lang w:val="en-US" w:eastAsia="zh-CN"/>
                    </w:rPr>
                  </w:pPr>
                  <w:r>
                    <w:rPr>
                      <w:rFonts w:hint="eastAsia" w:ascii="宋体" w:hAnsi="宋体" w:eastAsia="宋体" w:cs="宋体"/>
                      <w:color w:val="000000"/>
                      <w:position w:val="3"/>
                      <w:sz w:val="21"/>
                      <w:szCs w:val="21"/>
                      <w:lang w:val="en-US" w:eastAsia="zh-CN"/>
                    </w:rPr>
                    <w:t>≥</w:t>
                  </w:r>
                  <w:r>
                    <w:rPr>
                      <w:rFonts w:hint="eastAsia" w:ascii="宋体" w:hAnsi="宋体" w:eastAsia="宋体" w:cs="宋体"/>
                      <w:color w:val="000000"/>
                      <w:position w:val="1"/>
                      <w:sz w:val="21"/>
                      <w:szCs w:val="21"/>
                      <w:lang w:val="en-US" w:eastAsia="zh-CN"/>
                    </w:rPr>
                    <w:t>2</w:t>
                  </w:r>
                </w:p>
              </w:tc>
              <w:tc>
                <w:tcPr>
                  <w:tcW w:w="800" w:type="dxa"/>
                  <w:vAlign w:val="center"/>
                </w:tcPr>
                <w:p w14:paraId="059BED8D">
                  <w:pPr>
                    <w:spacing w:before="137" w:line="231" w:lineRule="auto"/>
                    <w:jc w:val="center"/>
                    <w:rPr>
                      <w:rFonts w:hint="eastAsia" w:asciiTheme="minorEastAsia" w:hAnsiTheme="minorEastAsia" w:eastAsiaTheme="minorEastAsia" w:cstheme="minorEastAsia"/>
                      <w:color w:val="auto"/>
                      <w:sz w:val="21"/>
                      <w:szCs w:val="21"/>
                      <w:highlight w:val="none"/>
                      <w:vertAlign w:val="baseline"/>
                      <w:lang w:val="en-US" w:eastAsia="zh-CN"/>
                    </w:rPr>
                  </w:pPr>
                  <w:r>
                    <w:rPr>
                      <w:rFonts w:hint="eastAsia" w:ascii="宋体" w:hAnsi="宋体" w:eastAsia="宋体" w:cs="宋体"/>
                      <w:color w:val="000000"/>
                      <w:sz w:val="21"/>
                      <w:szCs w:val="21"/>
                    </w:rPr>
                    <w:t>套</w:t>
                  </w:r>
                </w:p>
              </w:tc>
            </w:tr>
            <w:tr w14:paraId="0911A8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vAlign w:val="center"/>
                </w:tcPr>
                <w:p w14:paraId="096A4D1A">
                  <w:pPr>
                    <w:pStyle w:val="212"/>
                    <w:spacing w:before="92" w:line="306" w:lineRule="exact"/>
                    <w:jc w:val="center"/>
                    <w:rPr>
                      <w:rFonts w:hint="eastAsia" w:asciiTheme="minorEastAsia" w:hAnsiTheme="minorEastAsia" w:eastAsiaTheme="minorEastAsia" w:cstheme="minorEastAsia"/>
                      <w:color w:val="auto"/>
                      <w:sz w:val="21"/>
                      <w:szCs w:val="21"/>
                      <w:highlight w:val="none"/>
                      <w:vertAlign w:val="baseline"/>
                      <w:lang w:val="en-US" w:eastAsia="zh-CN"/>
                    </w:rPr>
                  </w:pPr>
                  <w:r>
                    <w:rPr>
                      <w:rFonts w:hint="eastAsia" w:asciiTheme="minorEastAsia" w:hAnsiTheme="minorEastAsia" w:eastAsiaTheme="minorEastAsia" w:cstheme="minorEastAsia"/>
                      <w:color w:val="auto"/>
                      <w:spacing w:val="-1"/>
                      <w:position w:val="3"/>
                      <w:sz w:val="21"/>
                      <w:szCs w:val="21"/>
                      <w:highlight w:val="none"/>
                    </w:rPr>
                    <w:t>22</w:t>
                  </w:r>
                </w:p>
              </w:tc>
              <w:tc>
                <w:tcPr>
                  <w:tcW w:w="1656" w:type="dxa"/>
                  <w:vAlign w:val="center"/>
                </w:tcPr>
                <w:p w14:paraId="2382577C">
                  <w:pPr>
                    <w:pStyle w:val="212"/>
                    <w:spacing w:before="139" w:line="216" w:lineRule="auto"/>
                    <w:jc w:val="center"/>
                    <w:rPr>
                      <w:rFonts w:hint="eastAsia" w:asciiTheme="minorEastAsia" w:hAnsiTheme="minorEastAsia" w:eastAsiaTheme="minorEastAsia" w:cstheme="minorEastAsia"/>
                      <w:color w:val="auto"/>
                      <w:sz w:val="21"/>
                      <w:szCs w:val="21"/>
                      <w:highlight w:val="none"/>
                      <w:vertAlign w:val="baseline"/>
                      <w:lang w:val="en-US" w:eastAsia="zh-CN"/>
                    </w:rPr>
                  </w:pPr>
                  <w:r>
                    <w:rPr>
                      <w:rFonts w:hint="eastAsia" w:ascii="宋体" w:hAnsi="宋体" w:eastAsia="宋体" w:cs="宋体"/>
                      <w:color w:val="000000"/>
                      <w:spacing w:val="9"/>
                      <w:sz w:val="21"/>
                      <w:szCs w:val="21"/>
                    </w:rPr>
                    <w:t>钳型手术器械适配器</w:t>
                  </w:r>
                </w:p>
              </w:tc>
              <w:tc>
                <w:tcPr>
                  <w:tcW w:w="744" w:type="dxa"/>
                  <w:vAlign w:val="center"/>
                </w:tcPr>
                <w:p w14:paraId="6ED98F1B">
                  <w:pPr>
                    <w:spacing w:before="137" w:line="261" w:lineRule="exact"/>
                    <w:jc w:val="center"/>
                    <w:rPr>
                      <w:rFonts w:hint="eastAsia" w:asciiTheme="minorEastAsia" w:hAnsiTheme="minorEastAsia" w:eastAsiaTheme="minorEastAsia" w:cstheme="minorEastAsia"/>
                      <w:color w:val="auto"/>
                      <w:sz w:val="21"/>
                      <w:szCs w:val="21"/>
                      <w:highlight w:val="none"/>
                      <w:vertAlign w:val="baseline"/>
                      <w:lang w:val="en-US" w:eastAsia="zh-CN"/>
                    </w:rPr>
                  </w:pPr>
                  <w:r>
                    <w:rPr>
                      <w:rFonts w:hint="eastAsia" w:ascii="宋体" w:hAnsi="宋体" w:eastAsia="宋体" w:cs="宋体"/>
                      <w:color w:val="000000"/>
                      <w:position w:val="3"/>
                      <w:sz w:val="21"/>
                      <w:szCs w:val="21"/>
                      <w:lang w:val="en-US" w:eastAsia="zh-CN"/>
                    </w:rPr>
                    <w:t>≥</w:t>
                  </w:r>
                  <w:r>
                    <w:rPr>
                      <w:rFonts w:hint="eastAsia" w:ascii="宋体" w:hAnsi="宋体" w:eastAsia="宋体" w:cs="宋体"/>
                      <w:color w:val="000000"/>
                      <w:position w:val="1"/>
                      <w:sz w:val="21"/>
                      <w:szCs w:val="21"/>
                      <w:lang w:val="en-US" w:eastAsia="zh-CN"/>
                    </w:rPr>
                    <w:t>2</w:t>
                  </w:r>
                </w:p>
              </w:tc>
              <w:tc>
                <w:tcPr>
                  <w:tcW w:w="800" w:type="dxa"/>
                  <w:vAlign w:val="center"/>
                </w:tcPr>
                <w:p w14:paraId="669E4A23">
                  <w:pPr>
                    <w:spacing w:before="137" w:line="231" w:lineRule="auto"/>
                    <w:jc w:val="center"/>
                    <w:rPr>
                      <w:rFonts w:hint="eastAsia" w:asciiTheme="minorEastAsia" w:hAnsiTheme="minorEastAsia" w:eastAsiaTheme="minorEastAsia" w:cstheme="minorEastAsia"/>
                      <w:color w:val="auto"/>
                      <w:sz w:val="21"/>
                      <w:szCs w:val="21"/>
                      <w:highlight w:val="none"/>
                      <w:vertAlign w:val="baseline"/>
                      <w:lang w:val="en-US" w:eastAsia="zh-CN"/>
                    </w:rPr>
                  </w:pPr>
                  <w:r>
                    <w:rPr>
                      <w:rFonts w:hint="eastAsia" w:ascii="宋体" w:hAnsi="宋体" w:eastAsia="宋体" w:cs="宋体"/>
                      <w:color w:val="000000"/>
                      <w:sz w:val="21"/>
                      <w:szCs w:val="21"/>
                    </w:rPr>
                    <w:t>套</w:t>
                  </w:r>
                </w:p>
              </w:tc>
            </w:tr>
            <w:tr w14:paraId="726E20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vAlign w:val="center"/>
                </w:tcPr>
                <w:p w14:paraId="10CE8DDD">
                  <w:pPr>
                    <w:pStyle w:val="212"/>
                    <w:spacing w:before="94" w:line="304" w:lineRule="exact"/>
                    <w:jc w:val="center"/>
                    <w:rPr>
                      <w:rFonts w:hint="eastAsia" w:asciiTheme="minorEastAsia" w:hAnsiTheme="minorEastAsia" w:eastAsiaTheme="minorEastAsia" w:cstheme="minorEastAsia"/>
                      <w:color w:val="auto"/>
                      <w:sz w:val="21"/>
                      <w:szCs w:val="21"/>
                      <w:highlight w:val="none"/>
                      <w:vertAlign w:val="baseline"/>
                      <w:lang w:val="en-US" w:eastAsia="zh-CN"/>
                    </w:rPr>
                  </w:pPr>
                  <w:r>
                    <w:rPr>
                      <w:rFonts w:hint="eastAsia" w:asciiTheme="minorEastAsia" w:hAnsiTheme="minorEastAsia" w:eastAsiaTheme="minorEastAsia" w:cstheme="minorEastAsia"/>
                      <w:color w:val="auto"/>
                      <w:spacing w:val="-2"/>
                      <w:position w:val="3"/>
                      <w:sz w:val="21"/>
                      <w:szCs w:val="21"/>
                      <w:highlight w:val="none"/>
                    </w:rPr>
                    <w:t>23</w:t>
                  </w:r>
                </w:p>
              </w:tc>
              <w:tc>
                <w:tcPr>
                  <w:tcW w:w="1656" w:type="dxa"/>
                  <w:vAlign w:val="center"/>
                </w:tcPr>
                <w:p w14:paraId="479A055D">
                  <w:pPr>
                    <w:pStyle w:val="212"/>
                    <w:spacing w:before="137" w:line="218" w:lineRule="auto"/>
                    <w:jc w:val="center"/>
                    <w:rPr>
                      <w:rFonts w:hint="eastAsia" w:asciiTheme="minorEastAsia" w:hAnsiTheme="minorEastAsia" w:eastAsiaTheme="minorEastAsia" w:cstheme="minorEastAsia"/>
                      <w:color w:val="auto"/>
                      <w:sz w:val="21"/>
                      <w:szCs w:val="21"/>
                      <w:highlight w:val="none"/>
                      <w:vertAlign w:val="baseline"/>
                      <w:lang w:val="en-US" w:eastAsia="zh-CN"/>
                    </w:rPr>
                  </w:pPr>
                  <w:r>
                    <w:rPr>
                      <w:rFonts w:hint="eastAsia" w:ascii="宋体" w:hAnsi="宋体" w:eastAsia="宋体" w:cs="宋体"/>
                      <w:color w:val="000000"/>
                      <w:spacing w:val="8"/>
                      <w:sz w:val="21"/>
                      <w:szCs w:val="21"/>
                    </w:rPr>
                    <w:t>导航工具收纳箱</w:t>
                  </w:r>
                </w:p>
              </w:tc>
              <w:tc>
                <w:tcPr>
                  <w:tcW w:w="744" w:type="dxa"/>
                  <w:vAlign w:val="center"/>
                </w:tcPr>
                <w:p w14:paraId="76D51408">
                  <w:pPr>
                    <w:spacing w:before="137" w:line="262" w:lineRule="exact"/>
                    <w:jc w:val="center"/>
                    <w:rPr>
                      <w:rFonts w:hint="eastAsia" w:asciiTheme="minorEastAsia" w:hAnsiTheme="minorEastAsia" w:eastAsiaTheme="minorEastAsia" w:cstheme="minorEastAsia"/>
                      <w:color w:val="auto"/>
                      <w:sz w:val="21"/>
                      <w:szCs w:val="21"/>
                      <w:highlight w:val="none"/>
                      <w:vertAlign w:val="baseline"/>
                      <w:lang w:val="en-US" w:eastAsia="zh-CN"/>
                    </w:rPr>
                  </w:pPr>
                  <w:r>
                    <w:rPr>
                      <w:rFonts w:hint="eastAsia" w:ascii="宋体" w:hAnsi="宋体" w:eastAsia="宋体" w:cs="宋体"/>
                      <w:color w:val="000000"/>
                      <w:position w:val="3"/>
                      <w:sz w:val="21"/>
                      <w:szCs w:val="21"/>
                      <w:lang w:val="en-US" w:eastAsia="zh-CN"/>
                    </w:rPr>
                    <w:t>≥</w:t>
                  </w:r>
                  <w:r>
                    <w:rPr>
                      <w:rFonts w:hint="eastAsia" w:ascii="宋体" w:hAnsi="宋体" w:eastAsia="宋体" w:cs="宋体"/>
                      <w:color w:val="000000"/>
                      <w:position w:val="1"/>
                      <w:sz w:val="21"/>
                      <w:szCs w:val="21"/>
                    </w:rPr>
                    <w:t>1</w:t>
                  </w:r>
                </w:p>
              </w:tc>
              <w:tc>
                <w:tcPr>
                  <w:tcW w:w="800" w:type="dxa"/>
                  <w:vAlign w:val="center"/>
                </w:tcPr>
                <w:p w14:paraId="61446668">
                  <w:pPr>
                    <w:spacing w:before="137" w:line="232" w:lineRule="auto"/>
                    <w:jc w:val="center"/>
                    <w:rPr>
                      <w:rFonts w:hint="eastAsia" w:asciiTheme="minorEastAsia" w:hAnsiTheme="minorEastAsia" w:eastAsiaTheme="minorEastAsia" w:cstheme="minorEastAsia"/>
                      <w:color w:val="auto"/>
                      <w:sz w:val="21"/>
                      <w:szCs w:val="21"/>
                      <w:highlight w:val="none"/>
                      <w:vertAlign w:val="baseline"/>
                      <w:lang w:val="en-US" w:eastAsia="zh-CN"/>
                    </w:rPr>
                  </w:pPr>
                  <w:r>
                    <w:rPr>
                      <w:rFonts w:hint="eastAsia" w:ascii="宋体" w:hAnsi="宋体" w:eastAsia="宋体" w:cs="宋体"/>
                      <w:color w:val="000000"/>
                      <w:spacing w:val="1"/>
                      <w:sz w:val="21"/>
                      <w:szCs w:val="21"/>
                    </w:rPr>
                    <w:t>个</w:t>
                  </w:r>
                </w:p>
              </w:tc>
            </w:tr>
            <w:tr w14:paraId="512424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vAlign w:val="center"/>
                </w:tcPr>
                <w:p w14:paraId="13A4B055">
                  <w:pPr>
                    <w:pStyle w:val="212"/>
                    <w:spacing w:before="111" w:line="280" w:lineRule="exact"/>
                    <w:jc w:val="center"/>
                    <w:rPr>
                      <w:rFonts w:hint="eastAsia" w:asciiTheme="minorEastAsia" w:hAnsiTheme="minorEastAsia" w:eastAsiaTheme="minorEastAsia" w:cstheme="minorEastAsia"/>
                      <w:color w:val="auto"/>
                      <w:sz w:val="21"/>
                      <w:szCs w:val="21"/>
                      <w:highlight w:val="none"/>
                      <w:vertAlign w:val="baseline"/>
                      <w:lang w:val="en-US" w:eastAsia="zh-CN"/>
                    </w:rPr>
                  </w:pPr>
                  <w:r>
                    <w:rPr>
                      <w:rFonts w:hint="eastAsia" w:asciiTheme="minorEastAsia" w:hAnsiTheme="minorEastAsia" w:eastAsiaTheme="minorEastAsia" w:cstheme="minorEastAsia"/>
                      <w:color w:val="auto"/>
                      <w:spacing w:val="-5"/>
                      <w:position w:val="3"/>
                      <w:sz w:val="21"/>
                      <w:szCs w:val="21"/>
                      <w:highlight w:val="none"/>
                      <w:lang w:val="en-US" w:eastAsia="zh-CN"/>
                    </w:rPr>
                    <w:t>24</w:t>
                  </w:r>
                </w:p>
              </w:tc>
              <w:tc>
                <w:tcPr>
                  <w:tcW w:w="1656" w:type="dxa"/>
                  <w:vAlign w:val="center"/>
                </w:tcPr>
                <w:p w14:paraId="2875830B">
                  <w:pPr>
                    <w:pStyle w:val="212"/>
                    <w:spacing w:before="137" w:line="218" w:lineRule="auto"/>
                    <w:jc w:val="center"/>
                    <w:rPr>
                      <w:rFonts w:hint="eastAsia" w:asciiTheme="minorEastAsia" w:hAnsiTheme="minorEastAsia" w:eastAsiaTheme="minorEastAsia" w:cstheme="minorEastAsia"/>
                      <w:color w:val="auto"/>
                      <w:sz w:val="21"/>
                      <w:szCs w:val="21"/>
                      <w:highlight w:val="none"/>
                      <w:vertAlign w:val="baseline"/>
                      <w:lang w:val="en-US" w:eastAsia="zh-CN"/>
                    </w:rPr>
                  </w:pPr>
                  <w:r>
                    <w:rPr>
                      <w:rFonts w:hint="eastAsia" w:ascii="宋体" w:hAnsi="宋体" w:eastAsia="宋体" w:cs="宋体"/>
                      <w:color w:val="000000"/>
                      <w:spacing w:val="8"/>
                      <w:sz w:val="21"/>
                      <w:szCs w:val="21"/>
                      <w:lang w:val="en-US" w:eastAsia="zh-CN"/>
                    </w:rPr>
                    <w:t>导航手术计划工作站</w:t>
                  </w:r>
                </w:p>
              </w:tc>
              <w:tc>
                <w:tcPr>
                  <w:tcW w:w="744" w:type="dxa"/>
                  <w:vAlign w:val="center"/>
                </w:tcPr>
                <w:p w14:paraId="7F09D722">
                  <w:pPr>
                    <w:spacing w:before="137" w:line="262" w:lineRule="exact"/>
                    <w:jc w:val="center"/>
                    <w:rPr>
                      <w:rFonts w:hint="eastAsia" w:asciiTheme="minorEastAsia" w:hAnsiTheme="minorEastAsia" w:eastAsiaTheme="minorEastAsia" w:cstheme="minorEastAsia"/>
                      <w:color w:val="auto"/>
                      <w:sz w:val="21"/>
                      <w:szCs w:val="21"/>
                      <w:highlight w:val="none"/>
                      <w:vertAlign w:val="baseline"/>
                      <w:lang w:val="en-US" w:eastAsia="zh-CN"/>
                    </w:rPr>
                  </w:pPr>
                  <w:r>
                    <w:rPr>
                      <w:rFonts w:hint="eastAsia" w:ascii="宋体" w:hAnsi="宋体" w:eastAsia="宋体" w:cs="宋体"/>
                      <w:color w:val="000000"/>
                      <w:position w:val="1"/>
                      <w:sz w:val="21"/>
                      <w:szCs w:val="21"/>
                      <w:lang w:val="en-US" w:eastAsia="zh-CN"/>
                    </w:rPr>
                    <w:t>1</w:t>
                  </w:r>
                </w:p>
              </w:tc>
              <w:tc>
                <w:tcPr>
                  <w:tcW w:w="800" w:type="dxa"/>
                  <w:vAlign w:val="center"/>
                </w:tcPr>
                <w:p w14:paraId="1BA3A1C1">
                  <w:pPr>
                    <w:spacing w:before="137" w:line="232" w:lineRule="auto"/>
                    <w:jc w:val="center"/>
                    <w:rPr>
                      <w:rFonts w:hint="eastAsia" w:asciiTheme="minorEastAsia" w:hAnsiTheme="minorEastAsia" w:eastAsiaTheme="minorEastAsia" w:cstheme="minorEastAsia"/>
                      <w:color w:val="auto"/>
                      <w:sz w:val="21"/>
                      <w:szCs w:val="21"/>
                      <w:highlight w:val="none"/>
                      <w:vertAlign w:val="baseline"/>
                      <w:lang w:val="en-US" w:eastAsia="zh-CN"/>
                    </w:rPr>
                  </w:pPr>
                  <w:r>
                    <w:rPr>
                      <w:rFonts w:hint="eastAsia" w:ascii="宋体" w:hAnsi="宋体" w:eastAsia="宋体" w:cs="宋体"/>
                      <w:color w:val="000000"/>
                      <w:spacing w:val="1"/>
                      <w:sz w:val="21"/>
                      <w:szCs w:val="21"/>
                      <w:lang w:val="en-US" w:eastAsia="zh-CN"/>
                    </w:rPr>
                    <w:t>台</w:t>
                  </w:r>
                </w:p>
              </w:tc>
            </w:tr>
          </w:tbl>
          <w:p w14:paraId="2EA66229">
            <w:pPr>
              <w:spacing w:line="360" w:lineRule="auto"/>
              <w:rPr>
                <w:rFonts w:hint="default"/>
                <w:lang w:val="en-US" w:eastAsia="zh-CN"/>
              </w:rPr>
            </w:pPr>
          </w:p>
        </w:tc>
      </w:tr>
    </w:tbl>
    <w:p w14:paraId="2FD98EEB">
      <w:pPr>
        <w:spacing w:line="360" w:lineRule="auto"/>
        <w:rPr>
          <w:szCs w:val="21"/>
        </w:rPr>
      </w:pPr>
      <w:bookmarkStart w:id="33" w:name="_Hlk132815329"/>
      <w:bookmarkStart w:id="34" w:name="_Hlk132788110"/>
      <w:r>
        <w:rPr>
          <w:rFonts w:hint="eastAsia"/>
          <w:szCs w:val="21"/>
        </w:rPr>
        <w:t>注：1、</w:t>
      </w:r>
      <w:r>
        <w:rPr>
          <w:szCs w:val="21"/>
        </w:rPr>
        <w:t>所属行业标明“/”的</w:t>
      </w:r>
      <w:r>
        <w:rPr>
          <w:rFonts w:hint="eastAsia"/>
          <w:szCs w:val="21"/>
        </w:rPr>
        <w:t>采购</w:t>
      </w:r>
      <w:r>
        <w:rPr>
          <w:szCs w:val="21"/>
        </w:rPr>
        <w:t>标的，</w:t>
      </w:r>
      <w:r>
        <w:rPr>
          <w:rFonts w:hint="eastAsia"/>
          <w:szCs w:val="21"/>
        </w:rPr>
        <w:t>无需在</w:t>
      </w:r>
      <w:r>
        <w:rPr>
          <w:szCs w:val="21"/>
        </w:rPr>
        <w:t>中小企业声明函</w:t>
      </w:r>
      <w:r>
        <w:rPr>
          <w:rFonts w:hint="eastAsia"/>
          <w:szCs w:val="21"/>
        </w:rPr>
        <w:t>中填写</w:t>
      </w:r>
      <w:r>
        <w:rPr>
          <w:szCs w:val="21"/>
        </w:rPr>
        <w:t>。</w:t>
      </w:r>
    </w:p>
    <w:bookmarkEnd w:id="33"/>
    <w:p w14:paraId="5CE56CFF">
      <w:pPr>
        <w:spacing w:line="360" w:lineRule="auto"/>
        <w:ind w:firstLine="420" w:firstLineChars="200"/>
        <w:rPr>
          <w:szCs w:val="21"/>
        </w:rPr>
      </w:pPr>
      <w:r>
        <w:rPr>
          <w:rFonts w:hint="eastAsia"/>
          <w:szCs w:val="21"/>
        </w:rPr>
        <w:t>2、实质性参数要求提交证明材料的，应按照要求提供，未提供或未按要求提供的将视为响应无效。</w:t>
      </w:r>
    </w:p>
    <w:bookmarkEnd w:id="34"/>
    <w:p w14:paraId="52BE5D2A">
      <w:pPr>
        <w:spacing w:line="360" w:lineRule="auto"/>
        <w:ind w:firstLine="562" w:firstLineChars="200"/>
        <w:rPr>
          <w:rFonts w:hint="eastAsia" w:ascii="黑体" w:hAnsi="黑体" w:eastAsia="黑体" w:cs="Arial"/>
          <w:b/>
          <w:kern w:val="0"/>
          <w:sz w:val="28"/>
          <w:szCs w:val="28"/>
          <w:lang w:eastAsia="zh-CN"/>
        </w:rPr>
      </w:pPr>
      <w:r>
        <w:rPr>
          <w:rFonts w:hint="eastAsia" w:ascii="黑体" w:hAnsi="黑体" w:eastAsia="黑体" w:cs="Arial"/>
          <w:b/>
          <w:kern w:val="0"/>
          <w:sz w:val="28"/>
          <w:szCs w:val="28"/>
        </w:rPr>
        <w:t>三、商务要求</w:t>
      </w:r>
    </w:p>
    <w:tbl>
      <w:tblPr>
        <w:tblStyle w:val="5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93"/>
        <w:gridCol w:w="6829"/>
      </w:tblGrid>
      <w:tr w14:paraId="2C7621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4" w:hRule="atLeast"/>
        </w:trPr>
        <w:tc>
          <w:tcPr>
            <w:tcW w:w="1693" w:type="dxa"/>
            <w:vAlign w:val="center"/>
          </w:tcPr>
          <w:p w14:paraId="22F63EDB">
            <w:pPr>
              <w:jc w:val="center"/>
              <w:rPr>
                <w:vertAlign w:val="baseline"/>
              </w:rPr>
            </w:pPr>
            <w:r>
              <w:rPr>
                <w:rFonts w:hint="eastAsia" w:asciiTheme="minorEastAsia" w:hAnsiTheme="minorEastAsia" w:cstheme="minorEastAsia"/>
                <w:vertAlign w:val="baseline"/>
                <w:lang w:eastAsia="zh-CN"/>
              </w:rPr>
              <w:t>▲</w:t>
            </w:r>
            <w:r>
              <w:rPr>
                <w:rFonts w:hint="eastAsia"/>
                <w:b/>
                <w:bCs/>
                <w:szCs w:val="21"/>
              </w:rPr>
              <w:t>报价要求</w:t>
            </w:r>
          </w:p>
        </w:tc>
        <w:tc>
          <w:tcPr>
            <w:tcW w:w="6829" w:type="dxa"/>
          </w:tcPr>
          <w:p w14:paraId="746FDCB7">
            <w:pPr>
              <w:rPr>
                <w:rFonts w:hint="default" w:asciiTheme="minorEastAsia" w:hAnsiTheme="minorEastAsia" w:eastAsiaTheme="minorEastAsia" w:cstheme="minorEastAsia"/>
                <w:strike w:val="0"/>
                <w:dstrike w:val="0"/>
                <w:color w:val="auto"/>
                <w:highlight w:val="none"/>
                <w:vertAlign w:val="baseline"/>
                <w:lang w:val="en-US" w:eastAsia="zh-CN"/>
              </w:rPr>
            </w:pPr>
            <w:r>
              <w:rPr>
                <w:rFonts w:hint="eastAsia" w:asciiTheme="minorEastAsia" w:hAnsiTheme="minorEastAsia" w:cstheme="minorEastAsia"/>
                <w:strike w:val="0"/>
                <w:dstrike w:val="0"/>
                <w:color w:val="auto"/>
                <w:highlight w:val="none"/>
                <w:vertAlign w:val="baseline"/>
                <w:lang w:val="en-US" w:eastAsia="zh-CN"/>
              </w:rPr>
              <w:t>1.本次报价须为人民币报价，供应商应当充分考虑市场价格变动和自身实际情况进行报价，并承诺所报固定总价在合同期内有效。</w:t>
            </w:r>
          </w:p>
          <w:p w14:paraId="689D87D4">
            <w:pPr>
              <w:spacing w:line="340" w:lineRule="exact"/>
              <w:rPr>
                <w:rFonts w:hint="eastAsia" w:ascii="宋体" w:hAnsi="宋体" w:eastAsia="宋体" w:cs="Times New Roman"/>
                <w:b w:val="0"/>
                <w:bCs/>
                <w:color w:val="auto"/>
                <w:szCs w:val="21"/>
                <w:highlight w:val="none"/>
              </w:rPr>
            </w:pPr>
            <w:r>
              <w:rPr>
                <w:rFonts w:hint="eastAsia" w:ascii="宋体" w:hAnsi="宋体"/>
                <w:b w:val="0"/>
                <w:bCs/>
                <w:color w:val="auto"/>
                <w:szCs w:val="21"/>
                <w:highlight w:val="none"/>
                <w:lang w:val="en-US" w:eastAsia="zh-CN"/>
              </w:rPr>
              <w:t>2.投标</w:t>
            </w:r>
            <w:r>
              <w:rPr>
                <w:rFonts w:hint="eastAsia" w:ascii="宋体" w:hAnsi="宋体"/>
                <w:b w:val="0"/>
                <w:bCs/>
                <w:color w:val="auto"/>
                <w:szCs w:val="21"/>
                <w:highlight w:val="none"/>
              </w:rPr>
              <w:t>报价为</w:t>
            </w:r>
            <w:r>
              <w:rPr>
                <w:rFonts w:hint="eastAsia" w:ascii="宋体" w:hAnsi="宋体"/>
                <w:b w:val="0"/>
                <w:bCs/>
                <w:color w:val="auto"/>
                <w:szCs w:val="21"/>
                <w:highlight w:val="none"/>
                <w:lang w:eastAsia="zh-CN"/>
              </w:rPr>
              <w:t>货物</w:t>
            </w:r>
            <w:r>
              <w:rPr>
                <w:rFonts w:hint="eastAsia" w:ascii="宋体" w:hAnsi="宋体"/>
                <w:b w:val="0"/>
                <w:bCs/>
                <w:color w:val="auto"/>
                <w:szCs w:val="21"/>
                <w:highlight w:val="none"/>
              </w:rPr>
              <w:t>送达采购人指定地点进行安装</w:t>
            </w:r>
            <w:r>
              <w:rPr>
                <w:rFonts w:hint="eastAsia" w:ascii="宋体" w:hAnsi="宋体"/>
                <w:b w:val="0"/>
                <w:bCs/>
                <w:color w:val="auto"/>
                <w:szCs w:val="21"/>
                <w:highlight w:val="none"/>
                <w:lang w:eastAsia="zh-CN"/>
              </w:rPr>
              <w:t>等</w:t>
            </w:r>
            <w:r>
              <w:rPr>
                <w:rFonts w:hint="eastAsia" w:ascii="宋体" w:hAnsi="宋体"/>
                <w:b w:val="0"/>
                <w:bCs/>
                <w:color w:val="auto"/>
                <w:szCs w:val="21"/>
                <w:highlight w:val="none"/>
              </w:rPr>
              <w:t>，经采购人验收合格所发生的一切费用</w:t>
            </w:r>
            <w:r>
              <w:rPr>
                <w:rFonts w:hint="eastAsia" w:ascii="宋体" w:hAnsi="宋体"/>
                <w:b w:val="0"/>
                <w:bCs/>
                <w:color w:val="auto"/>
                <w:szCs w:val="21"/>
                <w:highlight w:val="none"/>
                <w:lang w:eastAsia="zh-CN"/>
              </w:rPr>
              <w:t>总和</w:t>
            </w:r>
            <w:r>
              <w:rPr>
                <w:rFonts w:hint="eastAsia" w:ascii="宋体" w:hAnsi="宋体"/>
                <w:b w:val="0"/>
                <w:bCs/>
                <w:color w:val="auto"/>
                <w:szCs w:val="21"/>
                <w:highlight w:val="none"/>
              </w:rPr>
              <w:t>，其包括但不限于以下费用</w:t>
            </w:r>
            <w:r>
              <w:rPr>
                <w:rFonts w:hint="eastAsia" w:ascii="宋体" w:hAnsi="宋体" w:eastAsia="宋体" w:cs="Times New Roman"/>
                <w:b w:val="0"/>
                <w:bCs/>
                <w:color w:val="auto"/>
                <w:szCs w:val="21"/>
                <w:highlight w:val="none"/>
              </w:rPr>
              <w:t>：</w:t>
            </w:r>
          </w:p>
          <w:p w14:paraId="653C29A9">
            <w:pPr>
              <w:spacing w:line="340" w:lineRule="exact"/>
              <w:rPr>
                <w:rFonts w:hint="eastAsia" w:ascii="宋体" w:hAnsi="宋体" w:eastAsia="宋体" w:cs="Times New Roman"/>
                <w:b w:val="0"/>
                <w:bCs/>
                <w:color w:val="auto"/>
                <w:szCs w:val="21"/>
                <w:highlight w:val="none"/>
                <w:lang w:eastAsia="zh-CN"/>
              </w:rPr>
            </w:pPr>
            <w:r>
              <w:rPr>
                <w:rFonts w:hint="eastAsia" w:ascii="宋体" w:hAnsi="宋体" w:eastAsia="宋体" w:cs="Times New Roman"/>
                <w:b w:val="0"/>
                <w:bCs/>
                <w:color w:val="auto"/>
                <w:szCs w:val="21"/>
                <w:highlight w:val="none"/>
                <w:lang w:eastAsia="zh-CN"/>
              </w:rPr>
              <w:t>（</w:t>
            </w:r>
            <w:r>
              <w:rPr>
                <w:rFonts w:hint="eastAsia" w:ascii="宋体" w:hAnsi="宋体" w:eastAsia="宋体" w:cs="Times New Roman"/>
                <w:b w:val="0"/>
                <w:bCs/>
                <w:color w:val="auto"/>
                <w:szCs w:val="21"/>
                <w:highlight w:val="none"/>
                <w:lang w:val="en-US" w:eastAsia="zh-CN"/>
              </w:rPr>
              <w:t>1</w:t>
            </w:r>
            <w:r>
              <w:rPr>
                <w:rFonts w:hint="eastAsia" w:ascii="宋体" w:hAnsi="宋体" w:eastAsia="宋体" w:cs="Times New Roman"/>
                <w:b w:val="0"/>
                <w:bCs/>
                <w:color w:val="auto"/>
                <w:szCs w:val="21"/>
                <w:highlight w:val="none"/>
                <w:lang w:eastAsia="zh-CN"/>
              </w:rPr>
              <w:t>）</w:t>
            </w:r>
            <w:r>
              <w:rPr>
                <w:rFonts w:hint="eastAsia" w:ascii="宋体" w:hAnsi="宋体" w:eastAsia="宋体" w:cs="Times New Roman"/>
                <w:b w:val="0"/>
                <w:bCs/>
                <w:color w:val="auto"/>
                <w:szCs w:val="21"/>
                <w:highlight w:val="none"/>
              </w:rPr>
              <w:t>投标报价包含货物、货物标准附件、软件、备品备件、专用工具、设备安装辅材、施工辅材、包装、运输、装卸、保险、货到就位、软件接口费用、质保期(包修期)内维护、保养、维修及设备软件更新升级的各种费用以及设备安装场地的改造、调试等本</w:t>
            </w:r>
            <w:r>
              <w:rPr>
                <w:rFonts w:hint="eastAsia" w:ascii="宋体" w:hAnsi="宋体" w:eastAsia="宋体" w:cs="Times New Roman"/>
                <w:b w:val="0"/>
                <w:bCs/>
                <w:color w:val="auto"/>
                <w:szCs w:val="21"/>
                <w:highlight w:val="none"/>
                <w:lang w:eastAsia="zh-CN"/>
              </w:rPr>
              <w:t>招标</w:t>
            </w:r>
            <w:r>
              <w:rPr>
                <w:rFonts w:hint="eastAsia" w:ascii="宋体" w:hAnsi="宋体" w:eastAsia="宋体" w:cs="Times New Roman"/>
                <w:b w:val="0"/>
                <w:bCs/>
                <w:color w:val="auto"/>
                <w:szCs w:val="21"/>
                <w:highlight w:val="none"/>
              </w:rPr>
              <w:t>文件所列设备材料需进行补充完善才能完成本项目的功能配置或实际采购中产品材料有任何遗漏的费用（含本项目需要但本文件中未列出的设备材料、功能配置）、税金、售后服务、技术培训</w:t>
            </w:r>
            <w:r>
              <w:rPr>
                <w:rFonts w:hint="eastAsia" w:ascii="宋体" w:hAnsi="宋体" w:eastAsia="宋体" w:cs="Times New Roman"/>
                <w:b w:val="0"/>
                <w:bCs/>
                <w:color w:val="auto"/>
                <w:szCs w:val="21"/>
                <w:highlight w:val="none"/>
                <w:lang w:eastAsia="zh-CN"/>
              </w:rPr>
              <w:t>、招标代理服务费</w:t>
            </w:r>
            <w:r>
              <w:rPr>
                <w:rFonts w:hint="eastAsia" w:ascii="宋体" w:hAnsi="宋体" w:eastAsia="宋体" w:cs="Times New Roman"/>
                <w:b w:val="0"/>
                <w:bCs/>
                <w:color w:val="auto"/>
                <w:szCs w:val="21"/>
                <w:highlight w:val="none"/>
              </w:rPr>
              <w:t>及其他所有成本费用，以及合同明示或暗示的所有责任、义务和一般风险等一切费用</w:t>
            </w:r>
            <w:r>
              <w:rPr>
                <w:rFonts w:hint="eastAsia" w:ascii="宋体" w:hAnsi="宋体" w:eastAsia="宋体" w:cs="Times New Roman"/>
                <w:b w:val="0"/>
                <w:bCs/>
                <w:color w:val="auto"/>
                <w:szCs w:val="21"/>
                <w:highlight w:val="none"/>
                <w:lang w:eastAsia="zh-CN"/>
              </w:rPr>
              <w:t>；</w:t>
            </w:r>
          </w:p>
          <w:p w14:paraId="2BF1BE1B">
            <w:pPr>
              <w:rPr>
                <w:rFonts w:hint="eastAsia" w:asciiTheme="minorEastAsia" w:hAnsiTheme="minorEastAsia" w:eastAsiaTheme="minorEastAsia" w:cstheme="minorEastAsia"/>
                <w:vertAlign w:val="baseline"/>
              </w:rPr>
            </w:pPr>
            <w:r>
              <w:rPr>
                <w:rFonts w:hint="eastAsia" w:ascii="宋体" w:hAnsi="宋体" w:eastAsia="宋体" w:cs="Times New Roman"/>
                <w:b w:val="0"/>
                <w:bCs/>
                <w:color w:val="auto"/>
                <w:szCs w:val="21"/>
                <w:highlight w:val="none"/>
                <w:lang w:val="en-US" w:eastAsia="zh-CN"/>
              </w:rPr>
              <w:t>（2）</w:t>
            </w:r>
            <w:r>
              <w:rPr>
                <w:rFonts w:hint="eastAsia" w:ascii="宋体" w:hAnsi="宋体" w:eastAsia="宋体" w:cs="Times New Roman"/>
                <w:b w:val="0"/>
                <w:bCs/>
                <w:color w:val="auto"/>
                <w:szCs w:val="21"/>
                <w:highlight w:val="none"/>
              </w:rPr>
              <w:t>项目验收、人员服务等费用。</w:t>
            </w:r>
          </w:p>
        </w:tc>
      </w:tr>
      <w:tr w14:paraId="477D0B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trPr>
        <w:tc>
          <w:tcPr>
            <w:tcW w:w="1693" w:type="dxa"/>
            <w:vAlign w:val="center"/>
          </w:tcPr>
          <w:p w14:paraId="758CB9CB">
            <w:pPr>
              <w:jc w:val="center"/>
              <w:rPr>
                <w:vertAlign w:val="baseline"/>
              </w:rPr>
            </w:pPr>
            <w:r>
              <w:rPr>
                <w:rFonts w:hint="eastAsia" w:asciiTheme="minorEastAsia" w:hAnsiTheme="minorEastAsia" w:cstheme="minorEastAsia"/>
                <w:vertAlign w:val="baseline"/>
                <w:lang w:eastAsia="zh-CN"/>
              </w:rPr>
              <w:t>▲</w:t>
            </w:r>
            <w:r>
              <w:rPr>
                <w:rFonts w:hint="eastAsia"/>
                <w:b/>
                <w:bCs/>
                <w:color w:val="auto"/>
                <w:szCs w:val="21"/>
              </w:rPr>
              <w:t>合同签订日期</w:t>
            </w:r>
          </w:p>
        </w:tc>
        <w:tc>
          <w:tcPr>
            <w:tcW w:w="6829" w:type="dxa"/>
            <w:vAlign w:val="center"/>
          </w:tcPr>
          <w:p w14:paraId="3272C602">
            <w:pPr>
              <w:spacing w:line="360" w:lineRule="auto"/>
              <w:jc w:val="both"/>
              <w:rPr>
                <w:rFonts w:hint="eastAsia" w:asciiTheme="minorEastAsia" w:hAnsiTheme="minorEastAsia" w:eastAsiaTheme="minorEastAsia" w:cstheme="minorEastAsia"/>
                <w:vertAlign w:val="baseline"/>
              </w:rPr>
            </w:pPr>
            <w:r>
              <w:rPr>
                <w:rFonts w:hint="eastAsia" w:asciiTheme="minorEastAsia" w:hAnsiTheme="minorEastAsia" w:eastAsiaTheme="minorEastAsia" w:cstheme="minorEastAsia"/>
                <w:szCs w:val="21"/>
              </w:rPr>
              <w:t>中标通知书发出后</w:t>
            </w:r>
            <w:r>
              <w:rPr>
                <w:rFonts w:hint="eastAsia" w:asciiTheme="minorEastAsia" w:hAnsiTheme="minorEastAsia" w:eastAsiaTheme="minorEastAsia" w:cstheme="minorEastAsia"/>
                <w:color w:val="auto"/>
                <w:szCs w:val="21"/>
              </w:rPr>
              <w:t>25日</w:t>
            </w:r>
            <w:r>
              <w:rPr>
                <w:rFonts w:hint="eastAsia" w:asciiTheme="minorEastAsia" w:hAnsiTheme="minorEastAsia" w:eastAsiaTheme="minorEastAsia" w:cstheme="minorEastAsia"/>
                <w:szCs w:val="21"/>
              </w:rPr>
              <w:t>内。</w:t>
            </w:r>
          </w:p>
        </w:tc>
      </w:tr>
      <w:tr w14:paraId="52360E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trPr>
        <w:tc>
          <w:tcPr>
            <w:tcW w:w="1693" w:type="dxa"/>
            <w:vAlign w:val="center"/>
          </w:tcPr>
          <w:p w14:paraId="2F01A651">
            <w:pPr>
              <w:jc w:val="center"/>
              <w:rPr>
                <w:rFonts w:hint="eastAsia"/>
                <w:b/>
                <w:bCs/>
                <w:color w:val="auto"/>
                <w:szCs w:val="21"/>
              </w:rPr>
            </w:pPr>
            <w:r>
              <w:rPr>
                <w:rFonts w:hint="eastAsia" w:asciiTheme="minorEastAsia" w:hAnsiTheme="minorEastAsia" w:cstheme="minorEastAsia"/>
                <w:vertAlign w:val="baseline"/>
                <w:lang w:eastAsia="zh-CN"/>
              </w:rPr>
              <w:t>▲</w:t>
            </w:r>
            <w:r>
              <w:rPr>
                <w:rFonts w:hint="eastAsia"/>
                <w:b/>
                <w:bCs/>
                <w:color w:val="auto"/>
                <w:szCs w:val="21"/>
                <w:lang w:val="en-US" w:eastAsia="zh-CN"/>
              </w:rPr>
              <w:t>设备</w:t>
            </w:r>
            <w:r>
              <w:rPr>
                <w:rFonts w:hint="eastAsia"/>
                <w:b/>
                <w:bCs/>
                <w:color w:val="auto"/>
                <w:szCs w:val="21"/>
              </w:rPr>
              <w:t>生产日期</w:t>
            </w:r>
          </w:p>
        </w:tc>
        <w:tc>
          <w:tcPr>
            <w:tcW w:w="6829" w:type="dxa"/>
          </w:tcPr>
          <w:p w14:paraId="30DF9032">
            <w:pPr>
              <w:spacing w:line="360" w:lineRule="auto"/>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1.本项目所有供货设备均为制造商全新原厂产品，非返修机、样机、停产库存积压产品；</w:t>
            </w:r>
          </w:p>
          <w:p w14:paraId="0F9CADD8">
            <w:pPr>
              <w:spacing w:line="360" w:lineRule="auto"/>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2.</w:t>
            </w:r>
            <w:r>
              <w:rPr>
                <w:rFonts w:hint="eastAsia" w:ascii="宋体" w:hAnsi="宋体" w:eastAsia="宋体" w:cs="宋体"/>
                <w:b/>
                <w:bCs/>
                <w:color w:val="auto"/>
                <w:szCs w:val="21"/>
                <w:highlight w:val="none"/>
              </w:rPr>
              <w:t>其生产日期</w:t>
            </w:r>
            <w:r>
              <w:rPr>
                <w:rFonts w:hint="eastAsia" w:ascii="宋体" w:hAnsi="宋体" w:cs="宋体"/>
                <w:b/>
                <w:bCs/>
                <w:color w:val="auto"/>
                <w:szCs w:val="21"/>
                <w:highlight w:val="none"/>
                <w:lang w:eastAsia="zh-CN"/>
              </w:rPr>
              <w:t>为</w:t>
            </w:r>
            <w:r>
              <w:rPr>
                <w:rFonts w:hint="eastAsia" w:ascii="宋体" w:hAnsi="宋体" w:eastAsia="宋体" w:cs="宋体"/>
                <w:b/>
                <w:bCs/>
                <w:color w:val="auto"/>
                <w:szCs w:val="21"/>
                <w:highlight w:val="none"/>
              </w:rPr>
              <w:t>不得早于</w:t>
            </w:r>
            <w:r>
              <w:rPr>
                <w:rFonts w:hint="eastAsia" w:ascii="宋体" w:hAnsi="宋体" w:cs="宋体"/>
                <w:b/>
                <w:bCs/>
                <w:color w:val="auto"/>
                <w:szCs w:val="21"/>
                <w:highlight w:val="none"/>
                <w:lang w:eastAsia="zh-CN"/>
              </w:rPr>
              <w:t>合同签订日期</w:t>
            </w:r>
            <w:r>
              <w:rPr>
                <w:rFonts w:hint="eastAsia" w:ascii="宋体" w:hAnsi="宋体" w:eastAsia="宋体" w:cs="宋体"/>
                <w:b/>
                <w:bCs/>
                <w:color w:val="auto"/>
                <w:szCs w:val="21"/>
                <w:highlight w:val="none"/>
              </w:rPr>
              <w:t>前6个月</w:t>
            </w:r>
            <w:r>
              <w:rPr>
                <w:rFonts w:hint="eastAsia" w:ascii="宋体" w:hAnsi="宋体" w:cs="宋体"/>
                <w:b/>
                <w:bCs/>
                <w:color w:val="auto"/>
                <w:szCs w:val="21"/>
                <w:highlight w:val="none"/>
                <w:lang w:eastAsia="zh-CN"/>
              </w:rPr>
              <w:t>的</w:t>
            </w:r>
            <w:r>
              <w:rPr>
                <w:rFonts w:hint="eastAsia" w:ascii="宋体" w:hAnsi="宋体" w:cs="宋体"/>
                <w:b/>
                <w:bCs/>
                <w:color w:val="auto"/>
                <w:szCs w:val="21"/>
                <w:highlight w:val="none"/>
                <w:lang w:val="en-US" w:eastAsia="zh-CN"/>
              </w:rPr>
              <w:t>新</w:t>
            </w:r>
            <w:r>
              <w:rPr>
                <w:rFonts w:hint="eastAsia" w:ascii="宋体" w:hAnsi="宋体" w:cs="宋体"/>
                <w:b/>
                <w:bCs/>
                <w:color w:val="auto"/>
                <w:szCs w:val="21"/>
                <w:highlight w:val="none"/>
                <w:lang w:eastAsia="zh-CN"/>
              </w:rPr>
              <w:t>设备</w:t>
            </w:r>
            <w:r>
              <w:rPr>
                <w:rFonts w:hint="eastAsia" w:asciiTheme="minorEastAsia" w:hAnsiTheme="minorEastAsia" w:eastAsiaTheme="minorEastAsia" w:cstheme="minorEastAsia"/>
                <w:color w:val="auto"/>
                <w:szCs w:val="21"/>
              </w:rPr>
              <w:t>；</w:t>
            </w:r>
          </w:p>
          <w:p w14:paraId="7B59BD98">
            <w:pPr>
              <w:spacing w:line="360" w:lineRule="auto"/>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3.验收时供应商须提供：机身铭牌照片、原厂合格证、出厂证明文件、序列号官网查询截图（加盖公章）；</w:t>
            </w:r>
          </w:p>
          <w:p w14:paraId="6948FC38">
            <w:pPr>
              <w:spacing w:line="360" w:lineRule="auto"/>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4.经核查出厂时间超出约定期限或无法有效溯源证明的，视为履约不合格，成交供应商须在7日内免费更换符合日期要求的全新设备，并承担由此产生的一切费用。</w:t>
            </w:r>
          </w:p>
        </w:tc>
      </w:tr>
      <w:tr w14:paraId="2E17D3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trPr>
        <w:tc>
          <w:tcPr>
            <w:tcW w:w="1693" w:type="dxa"/>
            <w:vAlign w:val="center"/>
          </w:tcPr>
          <w:p w14:paraId="720EDB70">
            <w:pPr>
              <w:jc w:val="center"/>
              <w:rPr>
                <w:rFonts w:hint="default" w:asciiTheme="minorEastAsia" w:hAnsiTheme="minorEastAsia" w:cstheme="minorEastAsia"/>
                <w:vertAlign w:val="baseline"/>
                <w:lang w:val="en-US" w:eastAsia="zh-CN"/>
              </w:rPr>
            </w:pPr>
            <w:r>
              <w:rPr>
                <w:rFonts w:hint="eastAsia" w:asciiTheme="minorEastAsia" w:hAnsiTheme="minorEastAsia" w:cstheme="minorEastAsia"/>
                <w:b/>
                <w:bCs/>
                <w:vertAlign w:val="baseline"/>
                <w:lang w:eastAsia="zh-CN"/>
              </w:rPr>
              <w:t>▲</w:t>
            </w:r>
            <w:r>
              <w:rPr>
                <w:rFonts w:hint="eastAsia" w:asciiTheme="minorEastAsia" w:hAnsiTheme="minorEastAsia" w:cstheme="minorEastAsia"/>
                <w:b/>
                <w:bCs/>
                <w:vertAlign w:val="baseline"/>
                <w:lang w:val="en-US" w:eastAsia="zh-CN"/>
              </w:rPr>
              <w:t>质量要求</w:t>
            </w:r>
          </w:p>
        </w:tc>
        <w:tc>
          <w:tcPr>
            <w:tcW w:w="6829" w:type="dxa"/>
          </w:tcPr>
          <w:p w14:paraId="760C504F">
            <w:pPr>
              <w:spacing w:line="360" w:lineRule="auto"/>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1.质量达到国家验收合格标准。</w:t>
            </w:r>
          </w:p>
          <w:p w14:paraId="317CD297">
            <w:pPr>
              <w:spacing w:line="360" w:lineRule="auto"/>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2.投标人所提供的货物型号、技术规格、技术参数等质量必须与招标文件、投标文件和承诺相一致。</w:t>
            </w:r>
          </w:p>
          <w:p w14:paraId="64986B22">
            <w:pPr>
              <w:spacing w:line="360" w:lineRule="auto"/>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3.投标人所提供的货物必须是全新、未使用的原装产品，且在正常安装、使用和保养条件下，其使用寿命期内各项指标均达到质量要求。</w:t>
            </w:r>
          </w:p>
          <w:p w14:paraId="7087EAF7">
            <w:pPr>
              <w:spacing w:line="360" w:lineRule="auto"/>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4.测试及检验:检验和测试在产品使用地进行；如果任何被检验或测试的产品不能满足采购要求的，采购人可以拒绝接受该产品，中标供应商需承担被采购人终止合同的一切风险和费用。</w:t>
            </w:r>
          </w:p>
        </w:tc>
      </w:tr>
      <w:tr w14:paraId="7ACD57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93" w:type="dxa"/>
            <w:vAlign w:val="center"/>
          </w:tcPr>
          <w:p w14:paraId="189184CD">
            <w:pPr>
              <w:jc w:val="center"/>
              <w:rPr>
                <w:vertAlign w:val="baseline"/>
              </w:rPr>
            </w:pPr>
            <w:r>
              <w:rPr>
                <w:rFonts w:hint="eastAsia" w:asciiTheme="minorEastAsia" w:hAnsiTheme="minorEastAsia" w:cstheme="minorEastAsia"/>
                <w:vertAlign w:val="baseline"/>
                <w:lang w:eastAsia="zh-CN"/>
              </w:rPr>
              <w:t>▲</w:t>
            </w:r>
            <w:r>
              <w:rPr>
                <w:rFonts w:hint="eastAsia"/>
                <w:b/>
                <w:bCs/>
                <w:szCs w:val="21"/>
              </w:rPr>
              <w:t>交货（实施）时间</w:t>
            </w:r>
          </w:p>
        </w:tc>
        <w:tc>
          <w:tcPr>
            <w:tcW w:w="6829" w:type="dxa"/>
          </w:tcPr>
          <w:p w14:paraId="0FDBA344">
            <w:pPr>
              <w:rPr>
                <w:rFonts w:hint="eastAsia" w:asciiTheme="minorEastAsia" w:hAnsiTheme="minorEastAsia" w:eastAsiaTheme="minorEastAsia" w:cstheme="minorEastAsia"/>
                <w:vertAlign w:val="baseline"/>
              </w:rPr>
            </w:pPr>
            <w:r>
              <w:rPr>
                <w:rFonts w:hint="eastAsia" w:asciiTheme="minorEastAsia" w:hAnsiTheme="minorEastAsia" w:eastAsiaTheme="minorEastAsia" w:cstheme="minorEastAsia"/>
                <w:color w:val="auto"/>
                <w:szCs w:val="21"/>
              </w:rPr>
              <w:t>自签订合同之日起30日历天内全部安装调试合格完毕并交付使用。</w:t>
            </w:r>
          </w:p>
        </w:tc>
      </w:tr>
      <w:tr w14:paraId="442F6D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93" w:type="dxa"/>
            <w:vAlign w:val="center"/>
          </w:tcPr>
          <w:p w14:paraId="38018A45">
            <w:pPr>
              <w:jc w:val="center"/>
              <w:rPr>
                <w:vertAlign w:val="baseline"/>
              </w:rPr>
            </w:pPr>
            <w:r>
              <w:rPr>
                <w:rFonts w:hint="eastAsia" w:asciiTheme="minorEastAsia" w:hAnsiTheme="minorEastAsia" w:cstheme="minorEastAsia"/>
                <w:vertAlign w:val="baseline"/>
                <w:lang w:eastAsia="zh-CN"/>
              </w:rPr>
              <w:t>▲</w:t>
            </w:r>
            <w:r>
              <w:rPr>
                <w:rFonts w:hint="eastAsia"/>
                <w:b/>
                <w:bCs/>
                <w:szCs w:val="21"/>
              </w:rPr>
              <w:t>交货地点或服务地点</w:t>
            </w:r>
          </w:p>
        </w:tc>
        <w:tc>
          <w:tcPr>
            <w:tcW w:w="6829" w:type="dxa"/>
          </w:tcPr>
          <w:p w14:paraId="32122C1F">
            <w:pPr>
              <w:spacing w:line="360" w:lineRule="auto"/>
              <w:rPr>
                <w:rFonts w:hint="eastAsia" w:asciiTheme="minorEastAsia" w:hAnsiTheme="minorEastAsia" w:eastAsiaTheme="minorEastAsia" w:cstheme="minorEastAsia"/>
                <w:vertAlign w:val="baseline"/>
              </w:rPr>
            </w:pPr>
            <w:r>
              <w:rPr>
                <w:rFonts w:hint="eastAsia" w:asciiTheme="minorEastAsia" w:hAnsiTheme="minorEastAsia" w:eastAsiaTheme="minorEastAsia" w:cstheme="minorEastAsia"/>
                <w:szCs w:val="21"/>
              </w:rPr>
              <w:t>广西河池市金城江区中山路70号采购人指定地点。</w:t>
            </w:r>
          </w:p>
        </w:tc>
      </w:tr>
      <w:tr w14:paraId="205756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93" w:type="dxa"/>
            <w:vAlign w:val="center"/>
          </w:tcPr>
          <w:p w14:paraId="277896DB">
            <w:pPr>
              <w:jc w:val="center"/>
              <w:rPr>
                <w:vertAlign w:val="baseline"/>
              </w:rPr>
            </w:pPr>
            <w:r>
              <w:rPr>
                <w:rFonts w:hint="eastAsia" w:asciiTheme="minorEastAsia" w:hAnsiTheme="minorEastAsia" w:cstheme="minorEastAsia"/>
                <w:vertAlign w:val="baseline"/>
                <w:lang w:eastAsia="zh-CN"/>
              </w:rPr>
              <w:t>▲</w:t>
            </w:r>
            <w:r>
              <w:rPr>
                <w:rFonts w:hint="eastAsia"/>
                <w:b/>
                <w:bCs/>
                <w:szCs w:val="21"/>
              </w:rPr>
              <w:t>验收标准</w:t>
            </w:r>
          </w:p>
        </w:tc>
        <w:tc>
          <w:tcPr>
            <w:tcW w:w="6829" w:type="dxa"/>
          </w:tcPr>
          <w:p w14:paraId="0508B218">
            <w:pPr>
              <w:rPr>
                <w:rFonts w:hint="eastAsia" w:asciiTheme="minorEastAsia" w:hAnsiTheme="minorEastAsia" w:eastAsiaTheme="minorEastAsia" w:cstheme="minorEastAsia"/>
                <w:vertAlign w:val="baseline"/>
              </w:rPr>
            </w:pPr>
            <w:r>
              <w:rPr>
                <w:rFonts w:hint="eastAsia" w:asciiTheme="minorEastAsia" w:hAnsiTheme="minorEastAsia" w:eastAsiaTheme="minorEastAsia" w:cstheme="minorEastAsia"/>
                <w:vertAlign w:val="baseline"/>
              </w:rPr>
              <w:t>1.采购人可以根据采购项目具体情况自行组织验收，或者委托第三方机构或部门开展采购项目履约验收工作，验收过程中所产生的一切费用均由成交供应商承担，投标人在投标报价时应考虑相关费用。</w:t>
            </w:r>
          </w:p>
          <w:p w14:paraId="04EE9E08">
            <w:pPr>
              <w:rPr>
                <w:rFonts w:hint="eastAsia" w:asciiTheme="minorEastAsia" w:hAnsiTheme="minorEastAsia" w:eastAsiaTheme="minorEastAsia" w:cstheme="minorEastAsia"/>
                <w:vertAlign w:val="baseline"/>
              </w:rPr>
            </w:pPr>
            <w:r>
              <w:rPr>
                <w:rFonts w:hint="eastAsia" w:asciiTheme="minorEastAsia" w:hAnsiTheme="minorEastAsia" w:eastAsiaTheme="minorEastAsia" w:cstheme="minorEastAsia"/>
                <w:vertAlign w:val="baseline"/>
              </w:rPr>
              <w:t>2.在验收过程中发现成交供应商有违约问题，可暂缓资金结算，待违约问题解决后，方可办理资金结算事宜。</w:t>
            </w:r>
          </w:p>
          <w:p w14:paraId="4A285623">
            <w:pPr>
              <w:rPr>
                <w:rFonts w:hint="eastAsia" w:asciiTheme="minorEastAsia" w:hAnsiTheme="minorEastAsia" w:eastAsiaTheme="minorEastAsia" w:cstheme="minorEastAsia"/>
                <w:vertAlign w:val="baseline"/>
              </w:rPr>
            </w:pPr>
            <w:r>
              <w:rPr>
                <w:rFonts w:hint="eastAsia" w:asciiTheme="minorEastAsia" w:hAnsiTheme="minorEastAsia" w:eastAsiaTheme="minorEastAsia" w:cstheme="minorEastAsia"/>
                <w:vertAlign w:val="baseline"/>
              </w:rPr>
              <w:t>3.验收依据：按招标文件、合同要求及国家标准进行验收。</w:t>
            </w:r>
          </w:p>
          <w:p w14:paraId="4EA36364">
            <w:pPr>
              <w:rPr>
                <w:rFonts w:hint="eastAsia" w:asciiTheme="minorEastAsia" w:hAnsiTheme="minorEastAsia" w:eastAsiaTheme="minorEastAsia" w:cstheme="minorEastAsia"/>
                <w:vertAlign w:val="baseline"/>
              </w:rPr>
            </w:pPr>
            <w:r>
              <w:rPr>
                <w:rFonts w:hint="eastAsia" w:asciiTheme="minorEastAsia" w:hAnsiTheme="minorEastAsia" w:eastAsiaTheme="minorEastAsia" w:cstheme="minorEastAsia"/>
                <w:vertAlign w:val="baseline"/>
              </w:rPr>
              <w:t>4.验收标准：</w:t>
            </w:r>
          </w:p>
          <w:p w14:paraId="0FA908B2">
            <w:pPr>
              <w:rPr>
                <w:rFonts w:hint="eastAsia" w:asciiTheme="minorEastAsia" w:hAnsiTheme="minorEastAsia" w:eastAsiaTheme="minorEastAsia" w:cstheme="minorEastAsia"/>
                <w:vertAlign w:val="baseline"/>
              </w:rPr>
            </w:pPr>
            <w:r>
              <w:rPr>
                <w:rFonts w:hint="eastAsia" w:asciiTheme="minorEastAsia" w:hAnsiTheme="minorEastAsia" w:eastAsiaTheme="minorEastAsia" w:cstheme="minorEastAsia"/>
                <w:vertAlign w:val="baseline"/>
              </w:rPr>
              <w:t>（1）验收标准：</w:t>
            </w:r>
          </w:p>
          <w:p w14:paraId="498010E4">
            <w:pPr>
              <w:rPr>
                <w:rFonts w:hint="eastAsia" w:asciiTheme="minorEastAsia" w:hAnsiTheme="minorEastAsia" w:eastAsiaTheme="minorEastAsia" w:cstheme="minorEastAsia"/>
                <w:vertAlign w:val="baseline"/>
              </w:rPr>
            </w:pPr>
            <w:r>
              <w:rPr>
                <w:rFonts w:hint="eastAsia" w:asciiTheme="minorEastAsia" w:hAnsiTheme="minorEastAsia" w:eastAsiaTheme="minorEastAsia" w:cstheme="minorEastAsia"/>
                <w:vertAlign w:val="baseline"/>
              </w:rPr>
              <w:t>1）所供产品的规格、数量、功能、材质、颜色等符合招标文件采购需求及采购合同约定的要求。</w:t>
            </w:r>
          </w:p>
          <w:p w14:paraId="372CEF86">
            <w:pPr>
              <w:rPr>
                <w:rFonts w:hint="eastAsia" w:asciiTheme="minorEastAsia" w:hAnsiTheme="minorEastAsia" w:eastAsiaTheme="minorEastAsia" w:cstheme="minorEastAsia"/>
                <w:vertAlign w:val="baseline"/>
              </w:rPr>
            </w:pPr>
            <w:r>
              <w:rPr>
                <w:rFonts w:hint="eastAsia" w:asciiTheme="minorEastAsia" w:hAnsiTheme="minorEastAsia" w:eastAsiaTheme="minorEastAsia" w:cstheme="minorEastAsia"/>
                <w:vertAlign w:val="baseline"/>
              </w:rPr>
              <w:t>2）所供产品的外观完好，无碰撞、表皮脱落、五金件生锈等明显瑕疵。</w:t>
            </w:r>
          </w:p>
          <w:p w14:paraId="1CD5AA7A">
            <w:pPr>
              <w:rPr>
                <w:rFonts w:hint="eastAsia" w:asciiTheme="minorEastAsia" w:hAnsiTheme="minorEastAsia" w:eastAsiaTheme="minorEastAsia" w:cstheme="minorEastAsia"/>
                <w:vertAlign w:val="baseline"/>
              </w:rPr>
            </w:pPr>
            <w:r>
              <w:rPr>
                <w:rFonts w:hint="eastAsia" w:asciiTheme="minorEastAsia" w:hAnsiTheme="minorEastAsia" w:eastAsiaTheme="minorEastAsia" w:cstheme="minorEastAsia"/>
                <w:vertAlign w:val="baseline"/>
              </w:rPr>
              <w:t>3）所供产品结构牢固，无安全隐患。</w:t>
            </w:r>
          </w:p>
          <w:p w14:paraId="79D4F5C1">
            <w:pPr>
              <w:rPr>
                <w:rFonts w:hint="eastAsia" w:asciiTheme="minorEastAsia" w:hAnsiTheme="minorEastAsia" w:eastAsiaTheme="minorEastAsia" w:cstheme="minorEastAsia"/>
                <w:vertAlign w:val="baseline"/>
              </w:rPr>
            </w:pPr>
            <w:r>
              <w:rPr>
                <w:rFonts w:hint="eastAsia" w:asciiTheme="minorEastAsia" w:hAnsiTheme="minorEastAsia" w:eastAsiaTheme="minorEastAsia" w:cstheme="minorEastAsia"/>
                <w:vertAlign w:val="baseline"/>
              </w:rPr>
              <w:t>4）如有抽检要求的，检测结果符合招标文件采购需求及采购合同约定的要求。</w:t>
            </w:r>
          </w:p>
          <w:p w14:paraId="0A4E03AE">
            <w:pPr>
              <w:rPr>
                <w:rFonts w:hint="eastAsia" w:asciiTheme="minorEastAsia" w:hAnsiTheme="minorEastAsia" w:eastAsiaTheme="minorEastAsia" w:cstheme="minorEastAsia"/>
                <w:vertAlign w:val="baseline"/>
              </w:rPr>
            </w:pPr>
            <w:r>
              <w:rPr>
                <w:rFonts w:hint="eastAsia" w:asciiTheme="minorEastAsia" w:hAnsiTheme="minorEastAsia" w:eastAsiaTheme="minorEastAsia" w:cstheme="minorEastAsia"/>
                <w:vertAlign w:val="baseline"/>
              </w:rPr>
              <w:t>5）所有产品均已运输至指定地点，并安装调试完毕。</w:t>
            </w:r>
          </w:p>
          <w:p w14:paraId="689BB2B8">
            <w:pPr>
              <w:rPr>
                <w:rFonts w:hint="eastAsia" w:asciiTheme="minorEastAsia" w:hAnsiTheme="minorEastAsia" w:eastAsiaTheme="minorEastAsia" w:cstheme="minorEastAsia"/>
                <w:vertAlign w:val="baseline"/>
              </w:rPr>
            </w:pPr>
            <w:r>
              <w:rPr>
                <w:rFonts w:hint="eastAsia" w:asciiTheme="minorEastAsia" w:hAnsiTheme="minorEastAsia" w:eastAsiaTheme="minorEastAsia" w:cstheme="minorEastAsia"/>
                <w:vertAlign w:val="baseline"/>
              </w:rPr>
              <w:t>6）招标文件采购需求及采购合同约定的附件、工具、技术资料等齐全；提供产品使用说明书、合格证。</w:t>
            </w:r>
          </w:p>
          <w:p w14:paraId="3231EF4E">
            <w:pPr>
              <w:rPr>
                <w:rFonts w:hint="eastAsia" w:asciiTheme="minorEastAsia" w:hAnsiTheme="minorEastAsia" w:eastAsiaTheme="minorEastAsia" w:cstheme="minorEastAsia"/>
                <w:vertAlign w:val="baseline"/>
              </w:rPr>
            </w:pPr>
            <w:r>
              <w:rPr>
                <w:rFonts w:hint="eastAsia" w:asciiTheme="minorEastAsia" w:hAnsiTheme="minorEastAsia" w:eastAsiaTheme="minorEastAsia" w:cstheme="minorEastAsia"/>
                <w:vertAlign w:val="baseline"/>
              </w:rPr>
              <w:t>（2）货物技术参数应与投标文件中响应表或证明材料一致，性能或指标达到规定的标准。否则，以实际货物或服务技术参数与响应文件响应表参数或证明材料比较，按如下情况处理：</w:t>
            </w:r>
          </w:p>
          <w:p w14:paraId="50A7164E">
            <w:pPr>
              <w:rPr>
                <w:rFonts w:hint="eastAsia" w:asciiTheme="minorEastAsia" w:hAnsiTheme="minorEastAsia" w:eastAsiaTheme="minorEastAsia" w:cstheme="minorEastAsia"/>
                <w:vertAlign w:val="baseline"/>
              </w:rPr>
            </w:pPr>
            <w:r>
              <w:rPr>
                <w:rFonts w:hint="eastAsia" w:asciiTheme="minorEastAsia" w:hAnsiTheme="minorEastAsia" w:eastAsiaTheme="minorEastAsia" w:cstheme="minorEastAsia"/>
                <w:vertAlign w:val="baseline"/>
              </w:rPr>
              <w:t>1）供应商投标文件响应表或证明材料中满足或优于的技术参数，在验收时实际不满足技术参数要求的，视为供货商违约，采购人有权终止合同拒收货物，并追究供应商责任。</w:t>
            </w:r>
          </w:p>
          <w:p w14:paraId="2F7A5B2B">
            <w:pPr>
              <w:rPr>
                <w:rFonts w:hint="eastAsia" w:asciiTheme="minorEastAsia" w:hAnsiTheme="minorEastAsia" w:eastAsiaTheme="minorEastAsia" w:cstheme="minorEastAsia"/>
                <w:vertAlign w:val="baseline"/>
              </w:rPr>
            </w:pPr>
            <w:r>
              <w:rPr>
                <w:rFonts w:hint="eastAsia" w:asciiTheme="minorEastAsia" w:hAnsiTheme="minorEastAsia" w:eastAsiaTheme="minorEastAsia" w:cstheme="minorEastAsia"/>
                <w:vertAlign w:val="baseline"/>
              </w:rPr>
              <w:t>2）供应商投标文件响应表或证明材料中优于的技术参数，在验收时实际仅满足并未优于技术参数要求的，视为供货商违约，采购人有权终止合同拒收货物，并追究供应商责任。</w:t>
            </w:r>
          </w:p>
          <w:p w14:paraId="0CE6113C">
            <w:pPr>
              <w:rPr>
                <w:rFonts w:hint="eastAsia" w:asciiTheme="minorEastAsia" w:hAnsiTheme="minorEastAsia" w:eastAsiaTheme="minorEastAsia" w:cstheme="minorEastAsia"/>
                <w:vertAlign w:val="baseline"/>
              </w:rPr>
            </w:pPr>
            <w:r>
              <w:rPr>
                <w:rFonts w:hint="eastAsia" w:asciiTheme="minorEastAsia" w:hAnsiTheme="minorEastAsia" w:eastAsiaTheme="minorEastAsia" w:cstheme="minorEastAsia"/>
                <w:vertAlign w:val="baseline"/>
              </w:rPr>
              <w:t xml:space="preserve">3）供应商投标文件响应表或证明材料中不满足的技术参数，在验收时实际满足技术参数的要求，以满足技术参数的要求验收。 </w:t>
            </w:r>
          </w:p>
          <w:p w14:paraId="63076363">
            <w:pPr>
              <w:rPr>
                <w:rFonts w:hint="eastAsia" w:asciiTheme="minorEastAsia" w:hAnsiTheme="minorEastAsia" w:eastAsiaTheme="minorEastAsia" w:cstheme="minorEastAsia"/>
                <w:vertAlign w:val="baseline"/>
              </w:rPr>
            </w:pPr>
            <w:r>
              <w:rPr>
                <w:rFonts w:hint="eastAsia" w:asciiTheme="minorEastAsia" w:hAnsiTheme="minorEastAsia" w:eastAsiaTheme="minorEastAsia" w:cstheme="minorEastAsia"/>
                <w:vertAlign w:val="baseline"/>
              </w:rPr>
              <w:t>4）供应商投标文件响应表或证明材料中满足的技术参数，在验收时实际优于技术参数的要求，以满足技术参数的要求验收。</w:t>
            </w:r>
          </w:p>
          <w:p w14:paraId="6088F584">
            <w:pPr>
              <w:rPr>
                <w:rFonts w:hint="eastAsia" w:asciiTheme="minorEastAsia" w:hAnsiTheme="minorEastAsia" w:eastAsiaTheme="minorEastAsia" w:cstheme="minorEastAsia"/>
                <w:vertAlign w:val="baseline"/>
              </w:rPr>
            </w:pPr>
            <w:r>
              <w:rPr>
                <w:rFonts w:hint="eastAsia" w:asciiTheme="minorEastAsia" w:hAnsiTheme="minorEastAsia" w:eastAsiaTheme="minorEastAsia" w:cstheme="minorEastAsia"/>
                <w:vertAlign w:val="baseline"/>
              </w:rPr>
              <w:t>5）供应商投标文件响应表或证明材料中优于的技术参数，在验收时实际也优于技术参数的要求，但没有达到响应表或证明材料中优于的程度，由采购人与供应商协商按是否满足要求验收。</w:t>
            </w:r>
          </w:p>
          <w:p w14:paraId="7F29A2F9">
            <w:pPr>
              <w:rPr>
                <w:rFonts w:hint="eastAsia" w:asciiTheme="minorEastAsia" w:hAnsiTheme="minorEastAsia" w:eastAsiaTheme="minorEastAsia" w:cstheme="minorEastAsia"/>
                <w:vertAlign w:val="baseline"/>
              </w:rPr>
            </w:pPr>
            <w:r>
              <w:rPr>
                <w:rFonts w:hint="eastAsia" w:asciiTheme="minorEastAsia" w:hAnsiTheme="minorEastAsia" w:eastAsiaTheme="minorEastAsia" w:cstheme="minorEastAsia"/>
                <w:vertAlign w:val="baseline"/>
              </w:rPr>
              <w:t>6）实际货物与响应货物型号不一致的，验收时不论实际是优于还是满足技术参数的要求，采购人均有权终止合同拒收货物，并追究供应商责任。</w:t>
            </w:r>
          </w:p>
          <w:p w14:paraId="0B3612DC">
            <w:pPr>
              <w:rPr>
                <w:rFonts w:hint="eastAsia" w:asciiTheme="minorEastAsia" w:hAnsiTheme="minorEastAsia" w:eastAsiaTheme="minorEastAsia" w:cstheme="minorEastAsia"/>
                <w:vertAlign w:val="baseline"/>
              </w:rPr>
            </w:pPr>
            <w:r>
              <w:rPr>
                <w:rFonts w:hint="eastAsia" w:asciiTheme="minorEastAsia" w:hAnsiTheme="minorEastAsia" w:eastAsiaTheme="minorEastAsia" w:cstheme="minorEastAsia"/>
                <w:vertAlign w:val="baseline"/>
              </w:rPr>
              <w:t>5.验收要求：</w:t>
            </w:r>
          </w:p>
          <w:p w14:paraId="0DD2FBC7">
            <w:pPr>
              <w:rPr>
                <w:rFonts w:hint="eastAsia" w:asciiTheme="minorEastAsia" w:hAnsiTheme="minorEastAsia" w:eastAsiaTheme="minorEastAsia" w:cstheme="minorEastAsia"/>
                <w:vertAlign w:val="baseline"/>
              </w:rPr>
            </w:pPr>
            <w:r>
              <w:rPr>
                <w:rFonts w:hint="eastAsia" w:asciiTheme="minorEastAsia" w:hAnsiTheme="minorEastAsia" w:eastAsiaTheme="minorEastAsia" w:cstheme="minorEastAsia"/>
                <w:vertAlign w:val="baseline"/>
              </w:rPr>
              <w:t>验收小组以项目采购文件及采购合同为验收依据，对供货产品技术参数核对检验，如不符合技术参数要求的，成交供应商承担所有责任和费用。采购人保留进一步追究责任的权利。</w:t>
            </w:r>
          </w:p>
          <w:p w14:paraId="64E24CF4">
            <w:pPr>
              <w:rPr>
                <w:rFonts w:hint="eastAsia" w:asciiTheme="minorEastAsia" w:hAnsiTheme="minorEastAsia" w:eastAsiaTheme="minorEastAsia" w:cstheme="minorEastAsia"/>
                <w:vertAlign w:val="baseline"/>
              </w:rPr>
            </w:pPr>
            <w:r>
              <w:rPr>
                <w:rFonts w:hint="eastAsia" w:asciiTheme="minorEastAsia" w:hAnsiTheme="minorEastAsia" w:eastAsiaTheme="minorEastAsia" w:cstheme="minorEastAsia"/>
                <w:vertAlign w:val="baseline"/>
              </w:rPr>
              <w:t>（1）成交供应商按时间结点完成货物供货后，应及时整理技术资料并作出全面检查和整理，列出清单，作为采购人验收和使用的技术条件依据，清单应交给采购人；同时以书面形式通知采购人进行验收，采购人在收到通知后五个工作日内进行验收收（如有特殊情况，按采购人指定的时间，另行验收）。</w:t>
            </w:r>
          </w:p>
          <w:p w14:paraId="698E8C41">
            <w:pPr>
              <w:rPr>
                <w:rFonts w:hint="eastAsia" w:asciiTheme="minorEastAsia" w:hAnsiTheme="minorEastAsia" w:eastAsiaTheme="minorEastAsia" w:cstheme="minorEastAsia"/>
                <w:vertAlign w:val="baseline"/>
              </w:rPr>
            </w:pPr>
            <w:r>
              <w:rPr>
                <w:rFonts w:hint="eastAsia" w:asciiTheme="minorEastAsia" w:hAnsiTheme="minorEastAsia" w:eastAsiaTheme="minorEastAsia" w:cstheme="minorEastAsia"/>
                <w:vertAlign w:val="baseline"/>
              </w:rPr>
              <w:t>（2）验收时成交供应商提供验收文档，包括但不限于：技术方案、实施方案、售后服务方案、培训方案、系统部署文档、测试文档、使用说明书、电子文档，以及对所有需要进行核查的原件等。</w:t>
            </w:r>
          </w:p>
          <w:p w14:paraId="52082E41">
            <w:pPr>
              <w:rPr>
                <w:rFonts w:hint="eastAsia" w:asciiTheme="minorEastAsia" w:hAnsiTheme="minorEastAsia" w:eastAsiaTheme="minorEastAsia" w:cstheme="minorEastAsia"/>
                <w:vertAlign w:val="baseline"/>
              </w:rPr>
            </w:pPr>
            <w:r>
              <w:rPr>
                <w:rFonts w:hint="eastAsia" w:asciiTheme="minorEastAsia" w:hAnsiTheme="minorEastAsia" w:eastAsiaTheme="minorEastAsia" w:cstheme="minorEastAsia"/>
                <w:vertAlign w:val="baseline"/>
              </w:rPr>
              <w:t>（3）如供货产品不合格或不符合技术参数要求的，由成交供应商按采购人（或者采购人委托的第三方机构或部门）要求整改，成交供应商不按要求整改或拒不整改的，采购人有权终止合同，给采购人造成的损失等费用由成交供应商承担。</w:t>
            </w:r>
          </w:p>
          <w:p w14:paraId="13DB72D3">
            <w:pPr>
              <w:rPr>
                <w:rFonts w:hint="eastAsia" w:asciiTheme="minorEastAsia" w:hAnsiTheme="minorEastAsia" w:eastAsiaTheme="minorEastAsia" w:cstheme="minorEastAsia"/>
                <w:vertAlign w:val="baseline"/>
              </w:rPr>
            </w:pPr>
            <w:r>
              <w:rPr>
                <w:rFonts w:hint="eastAsia" w:asciiTheme="minorEastAsia" w:hAnsiTheme="minorEastAsia" w:eastAsiaTheme="minorEastAsia" w:cstheme="minorEastAsia"/>
                <w:vertAlign w:val="baseline"/>
              </w:rPr>
              <w:t>（4）如成交供应商提供虚假材料的，除按相关规定做违约处理外，采购人依据相关法律规定追究成交供应商的责任，由此带来的一切责任及损失由成交供应商自行承担。</w:t>
            </w:r>
          </w:p>
          <w:p w14:paraId="6ED4FD75">
            <w:pPr>
              <w:rPr>
                <w:rFonts w:hint="eastAsia" w:asciiTheme="minorEastAsia" w:hAnsiTheme="minorEastAsia" w:eastAsiaTheme="minorEastAsia" w:cstheme="minorEastAsia"/>
                <w:vertAlign w:val="baseline"/>
              </w:rPr>
            </w:pPr>
            <w:r>
              <w:rPr>
                <w:rFonts w:hint="eastAsia" w:asciiTheme="minorEastAsia" w:hAnsiTheme="minorEastAsia" w:eastAsiaTheme="minorEastAsia" w:cstheme="minorEastAsia"/>
                <w:vertAlign w:val="baseline"/>
              </w:rPr>
              <w:t>（5）在项目验收过程中，如项目验收不合格，有关返工、再行验收产生相关成本费用，以及给采购人造成的损失等费用由成交供应商承担。连续两次项目验收不合格的，或弄虚作假的行为，采购单位将不予验收，采购人有权解除合同，并追究成交供应商的责任，由此带来的一切责任由成交供应商自行承担。</w:t>
            </w:r>
          </w:p>
          <w:p w14:paraId="516FF84F">
            <w:pPr>
              <w:rPr>
                <w:rFonts w:hint="eastAsia" w:asciiTheme="minorEastAsia" w:hAnsiTheme="minorEastAsia" w:eastAsiaTheme="minorEastAsia" w:cstheme="minorEastAsia"/>
                <w:vertAlign w:val="baseline"/>
              </w:rPr>
            </w:pPr>
            <w:r>
              <w:rPr>
                <w:rFonts w:hint="eastAsia" w:asciiTheme="minorEastAsia" w:hAnsiTheme="minorEastAsia" w:eastAsiaTheme="minorEastAsia" w:cstheme="minorEastAsia"/>
                <w:vertAlign w:val="baseline"/>
              </w:rPr>
              <w:t>（6）项目验收过程中，需委托第三方检测机构介入的，费用由成交供应商另行承担。</w:t>
            </w:r>
          </w:p>
          <w:p w14:paraId="633CFB8A">
            <w:pPr>
              <w:rPr>
                <w:rFonts w:hint="eastAsia" w:asciiTheme="minorEastAsia" w:hAnsiTheme="minorEastAsia" w:eastAsiaTheme="minorEastAsia" w:cstheme="minorEastAsia"/>
                <w:vertAlign w:val="baseline"/>
              </w:rPr>
            </w:pPr>
            <w:r>
              <w:rPr>
                <w:rFonts w:hint="eastAsia" w:asciiTheme="minorEastAsia" w:hAnsiTheme="minorEastAsia" w:eastAsiaTheme="minorEastAsia" w:cstheme="minorEastAsia"/>
                <w:vertAlign w:val="baseline"/>
              </w:rPr>
              <w:t>6.其他未尽事宜应严格按照《关于印发广西壮族自治区政府采购项目履约验收管理办法的通知》[桂财采〔2015〕22号]以及《财政部关于进一步加强政府采购需求和履约验收管理的指导意见》[财库〔2016〕205号]规定执行。</w:t>
            </w:r>
          </w:p>
        </w:tc>
      </w:tr>
      <w:tr w14:paraId="2CC623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93" w:type="dxa"/>
            <w:vAlign w:val="center"/>
          </w:tcPr>
          <w:p w14:paraId="01933D9D">
            <w:pPr>
              <w:jc w:val="center"/>
              <w:rPr>
                <w:vertAlign w:val="baseline"/>
              </w:rPr>
            </w:pPr>
            <w:r>
              <w:rPr>
                <w:rFonts w:hint="eastAsia"/>
                <w:b/>
                <w:bCs/>
                <w:szCs w:val="21"/>
              </w:rPr>
              <w:t>▲服务标准、期限、效率</w:t>
            </w:r>
          </w:p>
        </w:tc>
        <w:tc>
          <w:tcPr>
            <w:tcW w:w="6829" w:type="dxa"/>
          </w:tcPr>
          <w:p w14:paraId="63049E41">
            <w:pPr>
              <w:rPr>
                <w:rFonts w:hint="eastAsia" w:asciiTheme="minorEastAsia" w:hAnsiTheme="minorEastAsia" w:eastAsiaTheme="minorEastAsia" w:cstheme="minorEastAsia"/>
                <w:vertAlign w:val="baseline"/>
              </w:rPr>
            </w:pPr>
            <w:r>
              <w:rPr>
                <w:rFonts w:hint="eastAsia" w:asciiTheme="minorEastAsia" w:hAnsiTheme="minorEastAsia" w:eastAsiaTheme="minorEastAsia" w:cstheme="minorEastAsia"/>
                <w:vertAlign w:val="baseline"/>
              </w:rPr>
              <w:t>1.按国家有关产品“三包”规定执行“三包”，质保期按技术参数表中各项产品要求。</w:t>
            </w:r>
          </w:p>
          <w:p w14:paraId="29E3DC58">
            <w:pPr>
              <w:rPr>
                <w:rFonts w:hint="eastAsia" w:asciiTheme="minorEastAsia" w:hAnsiTheme="minorEastAsia" w:eastAsiaTheme="minorEastAsia" w:cstheme="minorEastAsia"/>
                <w:vertAlign w:val="baseline"/>
              </w:rPr>
            </w:pPr>
            <w:r>
              <w:rPr>
                <w:rFonts w:hint="eastAsia" w:asciiTheme="minorEastAsia" w:hAnsiTheme="minorEastAsia" w:eastAsiaTheme="minorEastAsia" w:cstheme="minorEastAsia"/>
                <w:vertAlign w:val="baseline"/>
              </w:rPr>
              <w:t>2.若产品</w:t>
            </w:r>
            <w:r>
              <w:rPr>
                <w:rFonts w:hint="eastAsia" w:asciiTheme="minorEastAsia" w:hAnsiTheme="minorEastAsia" w:eastAsiaTheme="minorEastAsia" w:cstheme="minorEastAsia"/>
                <w:vertAlign w:val="baseline"/>
                <w:lang w:val="en-US" w:eastAsia="zh-CN"/>
              </w:rPr>
              <w:t>出厂</w:t>
            </w:r>
            <w:r>
              <w:rPr>
                <w:rFonts w:hint="eastAsia" w:asciiTheme="minorEastAsia" w:hAnsiTheme="minorEastAsia" w:eastAsiaTheme="minorEastAsia" w:cstheme="minorEastAsia"/>
                <w:vertAlign w:val="baseline"/>
              </w:rPr>
              <w:t>的质保期或产品生</w:t>
            </w:r>
            <w:r>
              <w:rPr>
                <w:rFonts w:hint="eastAsia" w:asciiTheme="minorEastAsia" w:hAnsiTheme="minorEastAsia" w:eastAsiaTheme="minorEastAsia" w:cstheme="minorEastAsia"/>
                <w:color w:val="auto"/>
                <w:vertAlign w:val="baseline"/>
              </w:rPr>
              <w:t>产厂家承诺的质保期</w:t>
            </w:r>
            <w:r>
              <w:rPr>
                <w:rFonts w:hint="eastAsia" w:asciiTheme="minorEastAsia" w:hAnsiTheme="minorEastAsia" w:eastAsiaTheme="minorEastAsia" w:cstheme="minorEastAsia"/>
                <w:vertAlign w:val="baseline"/>
              </w:rPr>
              <w:t>超过本项目规定质保期限的，合同执行过程中按产品出产质保期限或厂家承诺期限执行；若中标人承诺的质保期限优于产品出产的质保期或产品生产厂家承诺的，以中标人承诺执行。</w:t>
            </w:r>
          </w:p>
          <w:p w14:paraId="16C5BA63">
            <w:pPr>
              <w:rPr>
                <w:rFonts w:hint="eastAsia" w:asciiTheme="minorEastAsia" w:hAnsiTheme="minorEastAsia" w:eastAsiaTheme="minorEastAsia" w:cstheme="minorEastAsia"/>
                <w:vertAlign w:val="baseline"/>
              </w:rPr>
            </w:pPr>
            <w:r>
              <w:rPr>
                <w:rFonts w:hint="eastAsia" w:asciiTheme="minorEastAsia" w:hAnsiTheme="minorEastAsia" w:eastAsiaTheme="minorEastAsia" w:cstheme="minorEastAsia"/>
                <w:vertAlign w:val="baseline"/>
              </w:rPr>
              <w:t>3.质保期内负责上门服务、维修、更换配件，不得收取任何费用；并负责无偿提供设备的系统软件及硬件的安全性改版升级和技术支持，确保设备正常运行。</w:t>
            </w:r>
          </w:p>
          <w:p w14:paraId="776D7F1C">
            <w:pPr>
              <w:rPr>
                <w:rFonts w:hint="eastAsia" w:asciiTheme="minorEastAsia" w:hAnsiTheme="minorEastAsia" w:eastAsiaTheme="minorEastAsia" w:cstheme="minorEastAsia"/>
                <w:vertAlign w:val="baseline"/>
              </w:rPr>
            </w:pPr>
            <w:r>
              <w:rPr>
                <w:rFonts w:hint="eastAsia" w:asciiTheme="minorEastAsia" w:hAnsiTheme="minorEastAsia" w:eastAsiaTheme="minorEastAsia" w:cstheme="minorEastAsia"/>
                <w:vertAlign w:val="baseline"/>
              </w:rPr>
              <w:t>4.货物如因故障维修超过2天（含2天）的，保修期相应顺延，顺延期间为实际停机时间的3倍。</w:t>
            </w:r>
          </w:p>
        </w:tc>
      </w:tr>
      <w:tr w14:paraId="095997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93" w:type="dxa"/>
            <w:vAlign w:val="center"/>
          </w:tcPr>
          <w:p w14:paraId="36E252A9">
            <w:pPr>
              <w:jc w:val="center"/>
              <w:rPr>
                <w:vertAlign w:val="baseline"/>
              </w:rPr>
            </w:pPr>
            <w:r>
              <w:rPr>
                <w:rFonts w:hint="eastAsia" w:asciiTheme="minorEastAsia" w:hAnsiTheme="minorEastAsia" w:cstheme="minorEastAsia"/>
                <w:vertAlign w:val="baseline"/>
                <w:lang w:eastAsia="zh-CN"/>
              </w:rPr>
              <w:t>▲</w:t>
            </w:r>
            <w:r>
              <w:rPr>
                <w:rFonts w:hint="eastAsia"/>
                <w:b/>
                <w:bCs/>
                <w:szCs w:val="21"/>
              </w:rPr>
              <w:t>付款方式、时间及条件</w:t>
            </w:r>
          </w:p>
        </w:tc>
        <w:tc>
          <w:tcPr>
            <w:tcW w:w="6829" w:type="dxa"/>
          </w:tcPr>
          <w:p w14:paraId="059C805E">
            <w:pPr>
              <w:spacing w:line="360" w:lineRule="exact"/>
              <w:rPr>
                <w:rFonts w:hint="eastAsia" w:asciiTheme="minorEastAsia" w:hAnsiTheme="minorEastAsia" w:eastAsiaTheme="minorEastAsia" w:cstheme="minorEastAsia"/>
                <w:vertAlign w:val="baseline"/>
              </w:rPr>
            </w:pPr>
            <w:r>
              <w:rPr>
                <w:rFonts w:hint="eastAsia" w:asciiTheme="minorEastAsia" w:hAnsiTheme="minorEastAsia" w:eastAsiaTheme="minorEastAsia" w:cstheme="minorEastAsia"/>
                <w:vertAlign w:val="baseline"/>
              </w:rPr>
              <w:t>设备安装验收合格后凭</w:t>
            </w:r>
            <w:r>
              <w:rPr>
                <w:rFonts w:hint="eastAsia" w:asciiTheme="minorEastAsia" w:hAnsiTheme="minorEastAsia" w:eastAsiaTheme="minorEastAsia" w:cstheme="minorEastAsia"/>
                <w:vertAlign w:val="baseline"/>
                <w:lang w:val="en-US" w:eastAsia="zh-CN"/>
              </w:rPr>
              <w:t>中标人</w:t>
            </w:r>
            <w:r>
              <w:rPr>
                <w:rFonts w:hint="eastAsia" w:asciiTheme="minorEastAsia" w:hAnsiTheme="minorEastAsia" w:eastAsiaTheme="minorEastAsia" w:cstheme="minorEastAsia"/>
                <w:vertAlign w:val="baseline"/>
              </w:rPr>
              <w:t>开具货款全额发票付至合同总金额的30%;设备安装验收合格满半年后，</w:t>
            </w:r>
            <w:r>
              <w:rPr>
                <w:rFonts w:hint="eastAsia" w:asciiTheme="minorEastAsia" w:hAnsiTheme="minorEastAsia" w:eastAsiaTheme="minorEastAsia" w:cstheme="minorEastAsia"/>
                <w:vertAlign w:val="baseline"/>
                <w:lang w:val="en-US" w:eastAsia="zh-CN"/>
              </w:rPr>
              <w:t>采购人</w:t>
            </w:r>
            <w:r>
              <w:rPr>
                <w:rFonts w:hint="eastAsia" w:asciiTheme="minorEastAsia" w:hAnsiTheme="minorEastAsia" w:eastAsiaTheme="minorEastAsia" w:cstheme="minorEastAsia"/>
                <w:vertAlign w:val="baseline"/>
              </w:rPr>
              <w:t>再支付合同总金额的40%;设备安装验收合格满一年后，采购人结清尾款(无息)(以验收报告日期为准)。</w:t>
            </w:r>
          </w:p>
        </w:tc>
      </w:tr>
      <w:tr w14:paraId="18ACBE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93" w:type="dxa"/>
            <w:vAlign w:val="center"/>
          </w:tcPr>
          <w:p w14:paraId="70A25EE4">
            <w:pPr>
              <w:jc w:val="center"/>
              <w:rPr>
                <w:vertAlign w:val="baseline"/>
              </w:rPr>
            </w:pPr>
            <w:r>
              <w:rPr>
                <w:rFonts w:hint="eastAsia"/>
              </w:rPr>
              <w:t>▲</w:t>
            </w:r>
            <w:r>
              <w:rPr>
                <w:rFonts w:hint="eastAsia"/>
                <w:b/>
                <w:bCs/>
                <w:color w:val="auto"/>
                <w:szCs w:val="21"/>
              </w:rPr>
              <w:t>履约保证金</w:t>
            </w:r>
          </w:p>
        </w:tc>
        <w:tc>
          <w:tcPr>
            <w:tcW w:w="6829" w:type="dxa"/>
          </w:tcPr>
          <w:p w14:paraId="529B143C">
            <w:pPr>
              <w:spacing w:line="360" w:lineRule="auto"/>
              <w:rPr>
                <w:rFonts w:hint="eastAsia" w:asciiTheme="minorEastAsia" w:hAnsiTheme="minorEastAsia" w:eastAsiaTheme="minorEastAsia" w:cstheme="minorEastAsia"/>
                <w:vertAlign w:val="baseline"/>
              </w:rPr>
            </w:pPr>
            <w:r>
              <w:rPr>
                <w:rFonts w:hint="eastAsia" w:asciiTheme="minorEastAsia" w:hAnsiTheme="minorEastAsia" w:eastAsiaTheme="minorEastAsia" w:cstheme="minorEastAsia"/>
                <w:color w:val="auto"/>
                <w:szCs w:val="21"/>
                <w:lang w:val="en-US" w:eastAsia="zh-CN"/>
              </w:rPr>
              <w:t>无</w:t>
            </w:r>
          </w:p>
        </w:tc>
      </w:tr>
      <w:tr w14:paraId="4499C7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93" w:type="dxa"/>
            <w:vAlign w:val="center"/>
          </w:tcPr>
          <w:p w14:paraId="1FBDE445">
            <w:pPr>
              <w:jc w:val="center"/>
              <w:rPr>
                <w:vertAlign w:val="baseline"/>
              </w:rPr>
            </w:pPr>
            <w:r>
              <w:rPr>
                <w:rFonts w:hint="eastAsia"/>
              </w:rPr>
              <w:t>▲</w:t>
            </w:r>
            <w:r>
              <w:rPr>
                <w:rFonts w:hint="eastAsia"/>
                <w:b/>
                <w:bCs/>
                <w:color w:val="auto"/>
                <w:szCs w:val="21"/>
              </w:rPr>
              <w:t>包装和运输要求</w:t>
            </w:r>
          </w:p>
        </w:tc>
        <w:tc>
          <w:tcPr>
            <w:tcW w:w="6829" w:type="dxa"/>
          </w:tcPr>
          <w:p w14:paraId="52472388">
            <w:pPr>
              <w:rPr>
                <w:rFonts w:hint="eastAsia" w:asciiTheme="minorEastAsia" w:hAnsiTheme="minorEastAsia" w:eastAsiaTheme="minorEastAsia" w:cstheme="minorEastAsia"/>
                <w:color w:val="auto"/>
                <w:vertAlign w:val="baseline"/>
              </w:rPr>
            </w:pPr>
            <w:r>
              <w:rPr>
                <w:rFonts w:hint="eastAsia" w:asciiTheme="minorEastAsia" w:hAnsiTheme="minorEastAsia" w:eastAsiaTheme="minorEastAsia" w:cstheme="minorEastAsia"/>
                <w:color w:val="auto"/>
                <w:vertAlign w:val="baseline"/>
              </w:rPr>
              <w:t>中标供应商应提供货物运至合同规定的最终目的地所需要的包装，以防止货物在转运中损坏或变质。这类包装应采取防潮、防晒防锈、防腐蚀、防震动及防止其他损坏的必要保护措施，从而保护货物能够经受多次搬运、装卸及内陆的长途运输。中标供应商应承担由于其包装或其防护措施不妥而引起货物锈蚀、损坏或丢失的任何损失的责任或费用。</w:t>
            </w:r>
          </w:p>
        </w:tc>
      </w:tr>
      <w:tr w14:paraId="3A881B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93" w:type="dxa"/>
            <w:vAlign w:val="center"/>
          </w:tcPr>
          <w:p w14:paraId="4AA6CB00">
            <w:pPr>
              <w:jc w:val="center"/>
              <w:rPr>
                <w:vertAlign w:val="baseline"/>
              </w:rPr>
            </w:pPr>
            <w:r>
              <w:rPr>
                <w:rFonts w:hint="eastAsia"/>
              </w:rPr>
              <w:t>▲</w:t>
            </w:r>
            <w:r>
              <w:rPr>
                <w:rFonts w:hint="eastAsia"/>
                <w:b/>
                <w:bCs/>
                <w:szCs w:val="21"/>
              </w:rPr>
              <w:t>售后服务</w:t>
            </w:r>
            <w:r>
              <w:rPr>
                <w:rFonts w:hint="eastAsia"/>
                <w:b/>
                <w:bCs/>
                <w:szCs w:val="21"/>
                <w:lang w:val="en-US" w:eastAsia="zh-CN"/>
              </w:rPr>
              <w:t>及培训</w:t>
            </w:r>
          </w:p>
        </w:tc>
        <w:tc>
          <w:tcPr>
            <w:tcW w:w="6829" w:type="dxa"/>
          </w:tcPr>
          <w:p w14:paraId="720D9617">
            <w:pPr>
              <w:rPr>
                <w:rFonts w:hint="eastAsia" w:asciiTheme="minorEastAsia" w:hAnsiTheme="minorEastAsia" w:eastAsiaTheme="minorEastAsia" w:cstheme="minorEastAsia"/>
                <w:color w:val="auto"/>
                <w:vertAlign w:val="baseline"/>
              </w:rPr>
            </w:pPr>
            <w:r>
              <w:rPr>
                <w:rFonts w:hint="eastAsia" w:asciiTheme="minorEastAsia" w:hAnsiTheme="minorEastAsia" w:eastAsiaTheme="minorEastAsia" w:cstheme="minorEastAsia"/>
                <w:color w:val="auto"/>
                <w:vertAlign w:val="baseline"/>
              </w:rPr>
              <w:t>1.负责送货上门，提供的产品必须是未使用过的全新产品。负责安装调试，负责现场培训相关人员至掌握设备操作及日常维护。</w:t>
            </w:r>
          </w:p>
          <w:p w14:paraId="4101A831">
            <w:pPr>
              <w:rPr>
                <w:rFonts w:hint="eastAsia" w:asciiTheme="minorEastAsia" w:hAnsiTheme="minorEastAsia" w:eastAsiaTheme="minorEastAsia" w:cstheme="minorEastAsia"/>
                <w:color w:val="auto"/>
                <w:vertAlign w:val="baseline"/>
              </w:rPr>
            </w:pPr>
            <w:r>
              <w:rPr>
                <w:rFonts w:hint="eastAsia" w:asciiTheme="minorEastAsia" w:hAnsiTheme="minorEastAsia" w:eastAsiaTheme="minorEastAsia" w:cstheme="minorEastAsia"/>
                <w:color w:val="auto"/>
                <w:vertAlign w:val="baseline"/>
              </w:rPr>
              <w:t>2.质保期内，中标供应商提供24小时365天</w:t>
            </w:r>
            <w:r>
              <w:rPr>
                <w:rFonts w:hint="eastAsia" w:asciiTheme="minorEastAsia" w:hAnsiTheme="minorEastAsia" w:eastAsiaTheme="minorEastAsia" w:cstheme="minorEastAsia"/>
                <w:color w:val="auto"/>
                <w:vertAlign w:val="baseline"/>
                <w:lang w:val="en-US" w:eastAsia="zh-CN"/>
              </w:rPr>
              <w:t>不间断</w:t>
            </w:r>
            <w:r>
              <w:rPr>
                <w:rFonts w:hint="eastAsia" w:asciiTheme="minorEastAsia" w:hAnsiTheme="minorEastAsia" w:eastAsiaTheme="minorEastAsia" w:cstheme="minorEastAsia"/>
                <w:color w:val="auto"/>
                <w:vertAlign w:val="baseline"/>
              </w:rPr>
              <w:t>维修服务热线支持。如设备出现问题需要紧急维修或采购人有服务需求的，中标供应商应在</w:t>
            </w:r>
            <w:r>
              <w:rPr>
                <w:rFonts w:hint="eastAsia" w:asciiTheme="minorEastAsia" w:hAnsiTheme="minorEastAsia" w:eastAsiaTheme="minorEastAsia" w:cstheme="minorEastAsia"/>
                <w:color w:val="auto"/>
                <w:vertAlign w:val="baseline"/>
                <w:lang w:val="en-US" w:eastAsia="zh-CN"/>
              </w:rPr>
              <w:t>1</w:t>
            </w:r>
            <w:r>
              <w:rPr>
                <w:rFonts w:hint="eastAsia" w:asciiTheme="minorEastAsia" w:hAnsiTheme="minorEastAsia" w:eastAsiaTheme="minorEastAsia" w:cstheme="minorEastAsia"/>
                <w:color w:val="auto"/>
                <w:vertAlign w:val="baseline"/>
              </w:rPr>
              <w:t>小时内响应，12小时内反馈处理</w:t>
            </w:r>
            <w:r>
              <w:rPr>
                <w:rFonts w:hint="eastAsia" w:asciiTheme="minorEastAsia" w:hAnsiTheme="minorEastAsia" w:eastAsiaTheme="minorEastAsia" w:cstheme="minorEastAsia"/>
                <w:color w:val="auto"/>
                <w:vertAlign w:val="baseline"/>
                <w:lang w:val="en-US" w:eastAsia="zh-CN"/>
              </w:rPr>
              <w:t>方案</w:t>
            </w:r>
            <w:r>
              <w:rPr>
                <w:rFonts w:hint="eastAsia" w:asciiTheme="minorEastAsia" w:hAnsiTheme="minorEastAsia" w:eastAsiaTheme="minorEastAsia" w:cstheme="minorEastAsia"/>
                <w:color w:val="auto"/>
                <w:vertAlign w:val="baseline"/>
              </w:rPr>
              <w:t>，24小时内派工程师到设备现场及时维修，48小时内无法修复，提供性能相同或更优的备用机，保证不影响采购人正常使用，每次维修后应提供维修报告交给采购人备案。规定时限内中标供应商未能按时响应并及时维修，采购人有权聘请第三方进行维修处理，由此产生的相关费用由中标供应商承担。</w:t>
            </w:r>
          </w:p>
          <w:p w14:paraId="0D4D34AD">
            <w:pPr>
              <w:rPr>
                <w:rFonts w:hint="eastAsia" w:asciiTheme="minorEastAsia" w:hAnsiTheme="minorEastAsia" w:eastAsiaTheme="minorEastAsia" w:cstheme="minorEastAsia"/>
                <w:color w:val="auto"/>
                <w:vertAlign w:val="baseline"/>
              </w:rPr>
            </w:pPr>
            <w:r>
              <w:rPr>
                <w:rFonts w:hint="eastAsia" w:asciiTheme="minorEastAsia" w:hAnsiTheme="minorEastAsia" w:eastAsiaTheme="minorEastAsia" w:cstheme="minorEastAsia"/>
                <w:color w:val="auto"/>
                <w:vertAlign w:val="baseline"/>
              </w:rPr>
              <w:t>3.保修期内，中标供应商所供货物1年内修理5次后，仍不能正常使用的，采购人有权要求中标供应商无偿调换同型号、同规格或优于的全新产品或者退货，因此产生的一切费用中标供应商承担。</w:t>
            </w:r>
          </w:p>
          <w:p w14:paraId="74088169">
            <w:pPr>
              <w:rPr>
                <w:rFonts w:hint="eastAsia" w:asciiTheme="minorEastAsia" w:hAnsiTheme="minorEastAsia" w:eastAsiaTheme="minorEastAsia" w:cstheme="minorEastAsia"/>
                <w:color w:val="auto"/>
                <w:vertAlign w:val="baseline"/>
              </w:rPr>
            </w:pPr>
            <w:r>
              <w:rPr>
                <w:rFonts w:hint="eastAsia" w:asciiTheme="minorEastAsia" w:hAnsiTheme="minorEastAsia" w:eastAsiaTheme="minorEastAsia" w:cstheme="minorEastAsia"/>
                <w:color w:val="auto"/>
                <w:vertAlign w:val="baseline"/>
              </w:rPr>
              <w:t>4.中标供应商所供货物在保修期起算之日起15天内出现货物质量问题，</w:t>
            </w:r>
            <w:r>
              <w:rPr>
                <w:rFonts w:hint="eastAsia" w:asciiTheme="minorEastAsia" w:hAnsiTheme="minorEastAsia" w:eastAsiaTheme="minorEastAsia" w:cstheme="minorEastAsia"/>
                <w:color w:val="auto"/>
                <w:vertAlign w:val="baseline"/>
                <w:lang w:val="en-US" w:eastAsia="zh-CN"/>
              </w:rPr>
              <w:t>采购人</w:t>
            </w:r>
            <w:r>
              <w:rPr>
                <w:rFonts w:hint="eastAsia" w:asciiTheme="minorEastAsia" w:hAnsiTheme="minorEastAsia" w:eastAsiaTheme="minorEastAsia" w:cstheme="minorEastAsia"/>
                <w:color w:val="auto"/>
                <w:vertAlign w:val="baseline"/>
              </w:rPr>
              <w:t>有权要求中标供应商无条件无偿更换全部设备。</w:t>
            </w:r>
          </w:p>
          <w:p w14:paraId="5F714C88">
            <w:pPr>
              <w:rPr>
                <w:rFonts w:hint="eastAsia" w:asciiTheme="minorEastAsia" w:hAnsiTheme="minorEastAsia" w:eastAsiaTheme="minorEastAsia" w:cstheme="minorEastAsia"/>
                <w:color w:val="auto"/>
                <w:vertAlign w:val="baseline"/>
              </w:rPr>
            </w:pPr>
            <w:r>
              <w:rPr>
                <w:rFonts w:hint="eastAsia" w:asciiTheme="minorEastAsia" w:hAnsiTheme="minorEastAsia" w:eastAsiaTheme="minorEastAsia" w:cstheme="minorEastAsia"/>
                <w:color w:val="auto"/>
                <w:vertAlign w:val="baseline"/>
              </w:rPr>
              <w:t>5.保修期内每年至少巡检保养1次。</w:t>
            </w:r>
          </w:p>
          <w:p w14:paraId="1543A1D5">
            <w:pPr>
              <w:rPr>
                <w:rFonts w:hint="eastAsia" w:asciiTheme="minorEastAsia" w:hAnsiTheme="minorEastAsia" w:eastAsiaTheme="minorEastAsia" w:cstheme="minorEastAsia"/>
                <w:color w:val="auto"/>
                <w:vertAlign w:val="baseline"/>
              </w:rPr>
            </w:pPr>
            <w:r>
              <w:rPr>
                <w:rFonts w:hint="eastAsia" w:asciiTheme="minorEastAsia" w:hAnsiTheme="minorEastAsia" w:eastAsiaTheme="minorEastAsia" w:cstheme="minorEastAsia"/>
                <w:color w:val="auto"/>
                <w:vertAlign w:val="baseline"/>
              </w:rPr>
              <w:t>6.人员培训：设备安装完毕，由中标供应商对采购人操作人员现场进行设备的应用、保养和维护培训，培训主要内容包括设备的基本结构、性能、主要部件的构造，日常使用保养与管理，常见故障的维修，使相关人员掌握常规操作规程和各种功能的使用，并能处理简单故障，由此产生的一切支出，由中标供应商承担。</w:t>
            </w:r>
          </w:p>
        </w:tc>
      </w:tr>
      <w:tr w14:paraId="55122F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93" w:type="dxa"/>
            <w:vAlign w:val="center"/>
          </w:tcPr>
          <w:p w14:paraId="75B08566">
            <w:pPr>
              <w:jc w:val="center"/>
              <w:rPr>
                <w:vertAlign w:val="baseline"/>
              </w:rPr>
            </w:pPr>
            <w:r>
              <w:rPr>
                <w:rFonts w:hint="eastAsia"/>
              </w:rPr>
              <w:t>▲</w:t>
            </w:r>
            <w:r>
              <w:rPr>
                <w:rFonts w:hint="eastAsia"/>
                <w:b/>
                <w:bCs/>
                <w:szCs w:val="21"/>
              </w:rPr>
              <w:t>保险</w:t>
            </w:r>
          </w:p>
        </w:tc>
        <w:tc>
          <w:tcPr>
            <w:tcW w:w="6829" w:type="dxa"/>
          </w:tcPr>
          <w:p w14:paraId="4AE07F64">
            <w:pPr>
              <w:rPr>
                <w:rFonts w:hint="eastAsia" w:asciiTheme="minorEastAsia" w:hAnsiTheme="minorEastAsia" w:eastAsiaTheme="minorEastAsia" w:cstheme="minorEastAsia"/>
                <w:vertAlign w:val="baseline"/>
              </w:rPr>
            </w:pPr>
            <w:r>
              <w:rPr>
                <w:rFonts w:hint="eastAsia" w:asciiTheme="minorEastAsia" w:hAnsiTheme="minorEastAsia" w:eastAsiaTheme="minorEastAsia" w:cstheme="minorEastAsia"/>
                <w:szCs w:val="21"/>
              </w:rPr>
              <w:t>供应商负责办理运输和保险，将货物运抵交货地点。与运输、保险相关的费用由供应商承担。</w:t>
            </w:r>
          </w:p>
        </w:tc>
      </w:tr>
    </w:tbl>
    <w:p w14:paraId="7F3DF8F8">
      <w:pPr>
        <w:spacing w:line="360" w:lineRule="auto"/>
        <w:rPr>
          <w:strike/>
          <w:dstrike w:val="0"/>
          <w:szCs w:val="21"/>
        </w:rPr>
      </w:pPr>
    </w:p>
    <w:p w14:paraId="4D812E57">
      <w:pPr>
        <w:spacing w:line="360" w:lineRule="auto"/>
        <w:rPr>
          <w:rFonts w:hint="eastAsia" w:ascii="黑体" w:hAnsi="黑体" w:eastAsia="黑体" w:cs="Arial"/>
          <w:b/>
          <w:kern w:val="0"/>
          <w:sz w:val="28"/>
          <w:szCs w:val="28"/>
        </w:rPr>
      </w:pPr>
      <w:r>
        <w:rPr>
          <w:rFonts w:hint="eastAsia" w:ascii="黑体" w:hAnsi="黑体" w:eastAsia="黑体" w:cs="Arial"/>
          <w:b/>
          <w:kern w:val="0"/>
          <w:sz w:val="28"/>
          <w:szCs w:val="28"/>
        </w:rPr>
        <w:t>四、其他要求</w:t>
      </w:r>
    </w:p>
    <w:p w14:paraId="1B053CE1">
      <w:pPr>
        <w:spacing w:line="360" w:lineRule="auto"/>
        <w:rPr>
          <w:color w:val="4472C4"/>
          <w:szCs w:val="21"/>
        </w:rPr>
      </w:pPr>
      <w:r>
        <w:rPr>
          <w:rFonts w:hint="eastAsia"/>
          <w:color w:val="auto"/>
          <w:szCs w:val="21"/>
        </w:rPr>
        <w:t>无</w:t>
      </w:r>
    </w:p>
    <w:p w14:paraId="476D6C34">
      <w:pPr>
        <w:spacing w:line="528" w:lineRule="exact"/>
        <w:ind w:firstLine="280" w:firstLineChars="100"/>
        <w:rPr>
          <w:rFonts w:hint="eastAsia"/>
          <w:sz w:val="28"/>
          <w:szCs w:val="28"/>
        </w:rPr>
      </w:pPr>
      <w:bookmarkStart w:id="35" w:name="_Hlk132788223"/>
    </w:p>
    <w:p w14:paraId="6AFFD45D">
      <w:pPr>
        <w:rPr>
          <w:rFonts w:hint="eastAsia"/>
          <w:sz w:val="28"/>
          <w:szCs w:val="28"/>
        </w:rPr>
      </w:pPr>
      <w:r>
        <w:rPr>
          <w:rFonts w:hint="eastAsia"/>
          <w:sz w:val="28"/>
          <w:szCs w:val="28"/>
        </w:rPr>
        <w:br w:type="page"/>
      </w:r>
    </w:p>
    <w:p w14:paraId="5E85D9CE">
      <w:pPr>
        <w:spacing w:line="528" w:lineRule="exact"/>
        <w:ind w:firstLine="280" w:firstLineChars="100"/>
        <w:rPr>
          <w:sz w:val="28"/>
          <w:szCs w:val="28"/>
        </w:rPr>
      </w:pPr>
      <w:r>
        <w:rPr>
          <w:rFonts w:hint="eastAsia"/>
          <w:sz w:val="28"/>
          <w:szCs w:val="28"/>
        </w:rPr>
        <w:t xml:space="preserve">附件1： </w:t>
      </w:r>
      <w:r>
        <w:rPr>
          <w:sz w:val="28"/>
          <w:szCs w:val="28"/>
        </w:rPr>
        <w:t xml:space="preserve">                             </w:t>
      </w:r>
    </w:p>
    <w:p w14:paraId="38DBE2AE">
      <w:pPr>
        <w:spacing w:line="528" w:lineRule="exact"/>
        <w:ind w:firstLine="280" w:firstLineChars="100"/>
        <w:jc w:val="center"/>
        <w:rPr>
          <w:sz w:val="28"/>
          <w:szCs w:val="28"/>
        </w:rPr>
      </w:pPr>
      <w:r>
        <w:rPr>
          <w:rFonts w:hint="eastAsia"/>
          <w:sz w:val="28"/>
          <w:szCs w:val="28"/>
        </w:rPr>
        <w:t>中小微企业划型标准</w:t>
      </w:r>
    </w:p>
    <w:tbl>
      <w:tblPr>
        <w:tblStyle w:val="51"/>
        <w:tblW w:w="8706" w:type="dxa"/>
        <w:tblInd w:w="250" w:type="dxa"/>
        <w:tblLayout w:type="fixed"/>
        <w:tblCellMar>
          <w:top w:w="0" w:type="dxa"/>
          <w:left w:w="108" w:type="dxa"/>
          <w:bottom w:w="0" w:type="dxa"/>
          <w:right w:w="108" w:type="dxa"/>
        </w:tblCellMar>
      </w:tblPr>
      <w:tblGrid>
        <w:gridCol w:w="1446"/>
        <w:gridCol w:w="1701"/>
        <w:gridCol w:w="1134"/>
        <w:gridCol w:w="1846"/>
        <w:gridCol w:w="1570"/>
        <w:gridCol w:w="1009"/>
      </w:tblGrid>
      <w:tr w14:paraId="73775334">
        <w:tblPrEx>
          <w:tblCellMar>
            <w:top w:w="0" w:type="dxa"/>
            <w:left w:w="108" w:type="dxa"/>
            <w:bottom w:w="0" w:type="dxa"/>
            <w:right w:w="108" w:type="dxa"/>
          </w:tblCellMar>
        </w:tblPrEx>
        <w:trPr>
          <w:trHeight w:val="279" w:hRule="atLeast"/>
        </w:trPr>
        <w:tc>
          <w:tcPr>
            <w:tcW w:w="1446" w:type="dxa"/>
            <w:tcBorders>
              <w:top w:val="single" w:color="auto" w:sz="4" w:space="0"/>
              <w:left w:val="single" w:color="auto" w:sz="4" w:space="0"/>
              <w:bottom w:val="single" w:color="auto" w:sz="4" w:space="0"/>
              <w:right w:val="single" w:color="auto" w:sz="4" w:space="0"/>
            </w:tcBorders>
            <w:noWrap w:val="0"/>
            <w:vAlign w:val="center"/>
          </w:tcPr>
          <w:p w14:paraId="6CB884EB">
            <w:pPr>
              <w:widowControl/>
              <w:jc w:val="left"/>
              <w:rPr>
                <w:szCs w:val="21"/>
              </w:rPr>
            </w:pPr>
            <w:r>
              <w:rPr>
                <w:rFonts w:hint="eastAsia"/>
                <w:szCs w:val="21"/>
              </w:rPr>
              <w:t>行业名称</w:t>
            </w:r>
          </w:p>
        </w:tc>
        <w:tc>
          <w:tcPr>
            <w:tcW w:w="1701" w:type="dxa"/>
            <w:tcBorders>
              <w:top w:val="single" w:color="auto" w:sz="4" w:space="0"/>
              <w:left w:val="nil"/>
              <w:bottom w:val="single" w:color="auto" w:sz="4" w:space="0"/>
              <w:right w:val="single" w:color="auto" w:sz="4" w:space="0"/>
            </w:tcBorders>
            <w:noWrap w:val="0"/>
            <w:vAlign w:val="center"/>
          </w:tcPr>
          <w:p w14:paraId="75DFC7F4">
            <w:pPr>
              <w:widowControl/>
              <w:jc w:val="left"/>
              <w:rPr>
                <w:szCs w:val="21"/>
              </w:rPr>
            </w:pPr>
            <w:r>
              <w:rPr>
                <w:rFonts w:hint="eastAsia"/>
                <w:szCs w:val="21"/>
              </w:rPr>
              <w:t>指标名称</w:t>
            </w:r>
          </w:p>
        </w:tc>
        <w:tc>
          <w:tcPr>
            <w:tcW w:w="1134" w:type="dxa"/>
            <w:tcBorders>
              <w:top w:val="single" w:color="auto" w:sz="4" w:space="0"/>
              <w:left w:val="nil"/>
              <w:bottom w:val="single" w:color="auto" w:sz="4" w:space="0"/>
              <w:right w:val="single" w:color="auto" w:sz="4" w:space="0"/>
            </w:tcBorders>
            <w:noWrap w:val="0"/>
            <w:vAlign w:val="center"/>
          </w:tcPr>
          <w:p w14:paraId="6CD99674">
            <w:pPr>
              <w:widowControl/>
              <w:jc w:val="left"/>
              <w:rPr>
                <w:szCs w:val="21"/>
              </w:rPr>
            </w:pPr>
            <w:r>
              <w:rPr>
                <w:rFonts w:hint="eastAsia"/>
                <w:szCs w:val="21"/>
              </w:rPr>
              <w:t>计量单位</w:t>
            </w:r>
          </w:p>
        </w:tc>
        <w:tc>
          <w:tcPr>
            <w:tcW w:w="1846" w:type="dxa"/>
            <w:tcBorders>
              <w:top w:val="single" w:color="auto" w:sz="4" w:space="0"/>
              <w:left w:val="nil"/>
              <w:bottom w:val="single" w:color="auto" w:sz="4" w:space="0"/>
              <w:right w:val="single" w:color="auto" w:sz="4" w:space="0"/>
            </w:tcBorders>
            <w:noWrap w:val="0"/>
            <w:vAlign w:val="center"/>
          </w:tcPr>
          <w:p w14:paraId="575EE5DA">
            <w:pPr>
              <w:widowControl/>
              <w:jc w:val="left"/>
              <w:rPr>
                <w:szCs w:val="21"/>
              </w:rPr>
            </w:pPr>
            <w:r>
              <w:rPr>
                <w:rFonts w:hint="eastAsia"/>
                <w:szCs w:val="21"/>
              </w:rPr>
              <w:t>中型</w:t>
            </w:r>
          </w:p>
        </w:tc>
        <w:tc>
          <w:tcPr>
            <w:tcW w:w="1570" w:type="dxa"/>
            <w:tcBorders>
              <w:top w:val="single" w:color="auto" w:sz="4" w:space="0"/>
              <w:left w:val="nil"/>
              <w:bottom w:val="single" w:color="auto" w:sz="4" w:space="0"/>
              <w:right w:val="single" w:color="auto" w:sz="4" w:space="0"/>
            </w:tcBorders>
            <w:noWrap w:val="0"/>
            <w:vAlign w:val="center"/>
          </w:tcPr>
          <w:p w14:paraId="043972FD">
            <w:pPr>
              <w:widowControl/>
              <w:jc w:val="left"/>
              <w:rPr>
                <w:szCs w:val="21"/>
              </w:rPr>
            </w:pPr>
            <w:r>
              <w:rPr>
                <w:rFonts w:hint="eastAsia"/>
                <w:szCs w:val="21"/>
              </w:rPr>
              <w:t>小型</w:t>
            </w:r>
          </w:p>
        </w:tc>
        <w:tc>
          <w:tcPr>
            <w:tcW w:w="1009" w:type="dxa"/>
            <w:tcBorders>
              <w:top w:val="single" w:color="auto" w:sz="4" w:space="0"/>
              <w:left w:val="nil"/>
              <w:bottom w:val="single" w:color="auto" w:sz="4" w:space="0"/>
              <w:right w:val="single" w:color="auto" w:sz="4" w:space="0"/>
            </w:tcBorders>
            <w:noWrap w:val="0"/>
            <w:vAlign w:val="center"/>
          </w:tcPr>
          <w:p w14:paraId="50E223AB">
            <w:pPr>
              <w:widowControl/>
              <w:jc w:val="left"/>
              <w:rPr>
                <w:szCs w:val="21"/>
              </w:rPr>
            </w:pPr>
            <w:r>
              <w:rPr>
                <w:rFonts w:hint="eastAsia"/>
                <w:szCs w:val="21"/>
              </w:rPr>
              <w:t>微型</w:t>
            </w:r>
          </w:p>
        </w:tc>
      </w:tr>
      <w:tr w14:paraId="56E26D16">
        <w:tblPrEx>
          <w:tblCellMar>
            <w:top w:w="0" w:type="dxa"/>
            <w:left w:w="108" w:type="dxa"/>
            <w:bottom w:w="0" w:type="dxa"/>
            <w:right w:w="108" w:type="dxa"/>
          </w:tblCellMar>
        </w:tblPrEx>
        <w:trPr>
          <w:trHeight w:val="220" w:hRule="atLeast"/>
        </w:trPr>
        <w:tc>
          <w:tcPr>
            <w:tcW w:w="1446" w:type="dxa"/>
            <w:tcBorders>
              <w:top w:val="nil"/>
              <w:left w:val="single" w:color="auto" w:sz="4" w:space="0"/>
              <w:bottom w:val="single" w:color="auto" w:sz="4" w:space="0"/>
              <w:right w:val="single" w:color="auto" w:sz="4" w:space="0"/>
            </w:tcBorders>
            <w:noWrap w:val="0"/>
            <w:vAlign w:val="bottom"/>
          </w:tcPr>
          <w:p w14:paraId="0C8B6067">
            <w:pPr>
              <w:widowControl/>
              <w:jc w:val="center"/>
              <w:rPr>
                <w:szCs w:val="21"/>
              </w:rPr>
            </w:pPr>
            <w:r>
              <w:rPr>
                <w:rFonts w:hint="eastAsia"/>
                <w:szCs w:val="21"/>
              </w:rPr>
              <w:t>农、林、牧、渔</w:t>
            </w:r>
          </w:p>
        </w:tc>
        <w:tc>
          <w:tcPr>
            <w:tcW w:w="1701" w:type="dxa"/>
            <w:tcBorders>
              <w:top w:val="nil"/>
              <w:left w:val="nil"/>
              <w:bottom w:val="single" w:color="auto" w:sz="4" w:space="0"/>
              <w:right w:val="single" w:color="auto" w:sz="4" w:space="0"/>
            </w:tcBorders>
            <w:noWrap w:val="0"/>
            <w:vAlign w:val="center"/>
          </w:tcPr>
          <w:p w14:paraId="59663E43">
            <w:pPr>
              <w:widowControl/>
              <w:jc w:val="left"/>
              <w:rPr>
                <w:szCs w:val="21"/>
              </w:rPr>
            </w:pPr>
            <w:r>
              <w:rPr>
                <w:rFonts w:hint="eastAsia"/>
                <w:szCs w:val="21"/>
              </w:rPr>
              <w:t>营业收入（Y）</w:t>
            </w:r>
          </w:p>
        </w:tc>
        <w:tc>
          <w:tcPr>
            <w:tcW w:w="1134" w:type="dxa"/>
            <w:tcBorders>
              <w:top w:val="nil"/>
              <w:left w:val="nil"/>
              <w:bottom w:val="single" w:color="auto" w:sz="4" w:space="0"/>
              <w:right w:val="single" w:color="auto" w:sz="4" w:space="0"/>
            </w:tcBorders>
            <w:noWrap w:val="0"/>
            <w:vAlign w:val="center"/>
          </w:tcPr>
          <w:p w14:paraId="4709ADBD">
            <w:pPr>
              <w:widowControl/>
              <w:jc w:val="left"/>
              <w:rPr>
                <w:szCs w:val="21"/>
              </w:rPr>
            </w:pPr>
            <w:r>
              <w:rPr>
                <w:rFonts w:hint="eastAsia"/>
                <w:szCs w:val="21"/>
              </w:rPr>
              <w:t>万元</w:t>
            </w:r>
          </w:p>
        </w:tc>
        <w:tc>
          <w:tcPr>
            <w:tcW w:w="1846" w:type="dxa"/>
            <w:tcBorders>
              <w:top w:val="nil"/>
              <w:left w:val="nil"/>
              <w:bottom w:val="single" w:color="auto" w:sz="4" w:space="0"/>
              <w:right w:val="single" w:color="auto" w:sz="4" w:space="0"/>
            </w:tcBorders>
            <w:noWrap w:val="0"/>
            <w:vAlign w:val="center"/>
          </w:tcPr>
          <w:p w14:paraId="47936259">
            <w:pPr>
              <w:widowControl/>
              <w:jc w:val="left"/>
              <w:rPr>
                <w:szCs w:val="21"/>
              </w:rPr>
            </w:pPr>
            <w:r>
              <w:rPr>
                <w:rFonts w:hint="eastAsia"/>
                <w:szCs w:val="21"/>
              </w:rPr>
              <w:t>500≤Y＜20000</w:t>
            </w:r>
          </w:p>
        </w:tc>
        <w:tc>
          <w:tcPr>
            <w:tcW w:w="1570" w:type="dxa"/>
            <w:tcBorders>
              <w:top w:val="nil"/>
              <w:left w:val="nil"/>
              <w:bottom w:val="single" w:color="auto" w:sz="4" w:space="0"/>
              <w:right w:val="single" w:color="auto" w:sz="4" w:space="0"/>
            </w:tcBorders>
            <w:noWrap w:val="0"/>
            <w:vAlign w:val="center"/>
          </w:tcPr>
          <w:p w14:paraId="6E22ABA7">
            <w:pPr>
              <w:widowControl/>
              <w:jc w:val="left"/>
              <w:rPr>
                <w:szCs w:val="21"/>
              </w:rPr>
            </w:pPr>
            <w:r>
              <w:rPr>
                <w:rFonts w:hint="eastAsia"/>
                <w:szCs w:val="21"/>
              </w:rPr>
              <w:t>50≤Y＜500</w:t>
            </w:r>
          </w:p>
        </w:tc>
        <w:tc>
          <w:tcPr>
            <w:tcW w:w="1009" w:type="dxa"/>
            <w:tcBorders>
              <w:top w:val="nil"/>
              <w:left w:val="nil"/>
              <w:bottom w:val="single" w:color="auto" w:sz="4" w:space="0"/>
              <w:right w:val="single" w:color="auto" w:sz="4" w:space="0"/>
            </w:tcBorders>
            <w:noWrap w:val="0"/>
            <w:vAlign w:val="center"/>
          </w:tcPr>
          <w:p w14:paraId="6F17DB8C">
            <w:pPr>
              <w:widowControl/>
              <w:jc w:val="left"/>
              <w:rPr>
                <w:szCs w:val="21"/>
              </w:rPr>
            </w:pPr>
            <w:r>
              <w:rPr>
                <w:rFonts w:hint="eastAsia"/>
                <w:szCs w:val="21"/>
              </w:rPr>
              <w:t>Y＜50</w:t>
            </w:r>
          </w:p>
        </w:tc>
      </w:tr>
      <w:tr w14:paraId="5D67ECD3">
        <w:tblPrEx>
          <w:tblCellMar>
            <w:top w:w="0" w:type="dxa"/>
            <w:left w:w="108" w:type="dxa"/>
            <w:bottom w:w="0" w:type="dxa"/>
            <w:right w:w="108" w:type="dxa"/>
          </w:tblCellMar>
        </w:tblPrEx>
        <w:trPr>
          <w:trHeight w:val="220" w:hRule="atLeast"/>
        </w:trPr>
        <w:tc>
          <w:tcPr>
            <w:tcW w:w="1446" w:type="dxa"/>
            <w:vMerge w:val="restart"/>
            <w:tcBorders>
              <w:top w:val="nil"/>
              <w:left w:val="single" w:color="auto" w:sz="4" w:space="0"/>
              <w:bottom w:val="single" w:color="auto" w:sz="4" w:space="0"/>
              <w:right w:val="single" w:color="auto" w:sz="4" w:space="0"/>
            </w:tcBorders>
            <w:noWrap w:val="0"/>
            <w:vAlign w:val="bottom"/>
          </w:tcPr>
          <w:p w14:paraId="58CB729A">
            <w:pPr>
              <w:widowControl/>
              <w:jc w:val="center"/>
              <w:rPr>
                <w:szCs w:val="21"/>
              </w:rPr>
            </w:pPr>
            <w:r>
              <w:rPr>
                <w:rFonts w:hint="eastAsia"/>
                <w:szCs w:val="21"/>
              </w:rPr>
              <w:t>工业</w:t>
            </w:r>
          </w:p>
        </w:tc>
        <w:tc>
          <w:tcPr>
            <w:tcW w:w="1701" w:type="dxa"/>
            <w:tcBorders>
              <w:top w:val="nil"/>
              <w:left w:val="nil"/>
              <w:bottom w:val="single" w:color="auto" w:sz="4" w:space="0"/>
              <w:right w:val="single" w:color="auto" w:sz="4" w:space="0"/>
            </w:tcBorders>
            <w:noWrap w:val="0"/>
            <w:vAlign w:val="center"/>
          </w:tcPr>
          <w:p w14:paraId="42A0D0CE">
            <w:pPr>
              <w:widowControl/>
              <w:jc w:val="left"/>
              <w:rPr>
                <w:szCs w:val="21"/>
              </w:rPr>
            </w:pPr>
            <w:r>
              <w:rPr>
                <w:rFonts w:hint="eastAsia"/>
                <w:szCs w:val="21"/>
              </w:rPr>
              <w:t>从业人员（X）</w:t>
            </w:r>
          </w:p>
        </w:tc>
        <w:tc>
          <w:tcPr>
            <w:tcW w:w="1134" w:type="dxa"/>
            <w:tcBorders>
              <w:top w:val="nil"/>
              <w:left w:val="nil"/>
              <w:bottom w:val="single" w:color="auto" w:sz="4" w:space="0"/>
              <w:right w:val="single" w:color="auto" w:sz="4" w:space="0"/>
            </w:tcBorders>
            <w:noWrap w:val="0"/>
            <w:vAlign w:val="center"/>
          </w:tcPr>
          <w:p w14:paraId="71FEA015">
            <w:pPr>
              <w:widowControl/>
              <w:jc w:val="left"/>
              <w:rPr>
                <w:szCs w:val="21"/>
              </w:rPr>
            </w:pPr>
            <w:r>
              <w:rPr>
                <w:rFonts w:hint="eastAsia"/>
                <w:szCs w:val="21"/>
              </w:rPr>
              <w:t>人</w:t>
            </w:r>
          </w:p>
        </w:tc>
        <w:tc>
          <w:tcPr>
            <w:tcW w:w="1846" w:type="dxa"/>
            <w:tcBorders>
              <w:top w:val="nil"/>
              <w:left w:val="nil"/>
              <w:bottom w:val="single" w:color="auto" w:sz="4" w:space="0"/>
              <w:right w:val="single" w:color="auto" w:sz="4" w:space="0"/>
            </w:tcBorders>
            <w:noWrap w:val="0"/>
            <w:vAlign w:val="center"/>
          </w:tcPr>
          <w:p w14:paraId="33CE7C90">
            <w:pPr>
              <w:widowControl/>
              <w:jc w:val="left"/>
              <w:rPr>
                <w:szCs w:val="21"/>
              </w:rPr>
            </w:pPr>
            <w:r>
              <w:rPr>
                <w:rFonts w:hint="eastAsia"/>
                <w:szCs w:val="21"/>
              </w:rPr>
              <w:t>300≤X＜1000</w:t>
            </w:r>
          </w:p>
        </w:tc>
        <w:tc>
          <w:tcPr>
            <w:tcW w:w="1570" w:type="dxa"/>
            <w:tcBorders>
              <w:top w:val="nil"/>
              <w:left w:val="nil"/>
              <w:bottom w:val="single" w:color="auto" w:sz="4" w:space="0"/>
              <w:right w:val="single" w:color="auto" w:sz="4" w:space="0"/>
            </w:tcBorders>
            <w:noWrap w:val="0"/>
            <w:vAlign w:val="center"/>
          </w:tcPr>
          <w:p w14:paraId="3E9F989C">
            <w:pPr>
              <w:widowControl/>
              <w:jc w:val="left"/>
              <w:rPr>
                <w:szCs w:val="21"/>
              </w:rPr>
            </w:pPr>
            <w:r>
              <w:rPr>
                <w:rFonts w:hint="eastAsia"/>
                <w:szCs w:val="21"/>
              </w:rPr>
              <w:t>20≤X＜300</w:t>
            </w:r>
          </w:p>
        </w:tc>
        <w:tc>
          <w:tcPr>
            <w:tcW w:w="1009" w:type="dxa"/>
            <w:tcBorders>
              <w:top w:val="nil"/>
              <w:left w:val="nil"/>
              <w:bottom w:val="single" w:color="auto" w:sz="4" w:space="0"/>
              <w:right w:val="single" w:color="auto" w:sz="4" w:space="0"/>
            </w:tcBorders>
            <w:noWrap w:val="0"/>
            <w:vAlign w:val="center"/>
          </w:tcPr>
          <w:p w14:paraId="223C614F">
            <w:pPr>
              <w:widowControl/>
              <w:jc w:val="left"/>
              <w:rPr>
                <w:szCs w:val="21"/>
              </w:rPr>
            </w:pPr>
            <w:r>
              <w:rPr>
                <w:rFonts w:hint="eastAsia"/>
                <w:szCs w:val="21"/>
              </w:rPr>
              <w:t>X＜20</w:t>
            </w:r>
          </w:p>
        </w:tc>
      </w:tr>
      <w:tr w14:paraId="15F50DAD">
        <w:tblPrEx>
          <w:tblCellMar>
            <w:top w:w="0" w:type="dxa"/>
            <w:left w:w="108" w:type="dxa"/>
            <w:bottom w:w="0" w:type="dxa"/>
            <w:right w:w="108" w:type="dxa"/>
          </w:tblCellMar>
        </w:tblPrEx>
        <w:trPr>
          <w:trHeight w:val="220" w:hRule="atLeast"/>
        </w:trPr>
        <w:tc>
          <w:tcPr>
            <w:tcW w:w="1446" w:type="dxa"/>
            <w:vMerge w:val="continue"/>
            <w:tcBorders>
              <w:top w:val="nil"/>
              <w:left w:val="single" w:color="auto" w:sz="4" w:space="0"/>
              <w:bottom w:val="single" w:color="auto" w:sz="4" w:space="0"/>
              <w:right w:val="single" w:color="auto" w:sz="4" w:space="0"/>
            </w:tcBorders>
            <w:noWrap w:val="0"/>
            <w:vAlign w:val="center"/>
          </w:tcPr>
          <w:p w14:paraId="32780D54">
            <w:pPr>
              <w:widowControl/>
              <w:jc w:val="left"/>
              <w:rPr>
                <w:szCs w:val="21"/>
              </w:rPr>
            </w:pPr>
          </w:p>
        </w:tc>
        <w:tc>
          <w:tcPr>
            <w:tcW w:w="1701" w:type="dxa"/>
            <w:tcBorders>
              <w:top w:val="nil"/>
              <w:left w:val="nil"/>
              <w:bottom w:val="single" w:color="auto" w:sz="4" w:space="0"/>
              <w:right w:val="single" w:color="auto" w:sz="4" w:space="0"/>
            </w:tcBorders>
            <w:noWrap w:val="0"/>
            <w:vAlign w:val="center"/>
          </w:tcPr>
          <w:p w14:paraId="1C35573A">
            <w:pPr>
              <w:widowControl/>
              <w:jc w:val="left"/>
              <w:rPr>
                <w:szCs w:val="21"/>
              </w:rPr>
            </w:pPr>
            <w:r>
              <w:rPr>
                <w:rFonts w:hint="eastAsia"/>
                <w:szCs w:val="21"/>
              </w:rPr>
              <w:t>营业收入（Y）</w:t>
            </w:r>
          </w:p>
        </w:tc>
        <w:tc>
          <w:tcPr>
            <w:tcW w:w="1134" w:type="dxa"/>
            <w:tcBorders>
              <w:top w:val="nil"/>
              <w:left w:val="nil"/>
              <w:bottom w:val="single" w:color="auto" w:sz="4" w:space="0"/>
              <w:right w:val="single" w:color="auto" w:sz="4" w:space="0"/>
            </w:tcBorders>
            <w:noWrap w:val="0"/>
            <w:vAlign w:val="center"/>
          </w:tcPr>
          <w:p w14:paraId="5BCA069A">
            <w:pPr>
              <w:widowControl/>
              <w:jc w:val="left"/>
              <w:rPr>
                <w:szCs w:val="21"/>
              </w:rPr>
            </w:pPr>
            <w:r>
              <w:rPr>
                <w:rFonts w:hint="eastAsia"/>
                <w:szCs w:val="21"/>
              </w:rPr>
              <w:t>万元</w:t>
            </w:r>
          </w:p>
        </w:tc>
        <w:tc>
          <w:tcPr>
            <w:tcW w:w="1846" w:type="dxa"/>
            <w:tcBorders>
              <w:top w:val="nil"/>
              <w:left w:val="nil"/>
              <w:bottom w:val="single" w:color="auto" w:sz="4" w:space="0"/>
              <w:right w:val="single" w:color="auto" w:sz="4" w:space="0"/>
            </w:tcBorders>
            <w:noWrap w:val="0"/>
            <w:vAlign w:val="center"/>
          </w:tcPr>
          <w:p w14:paraId="72842C53">
            <w:pPr>
              <w:widowControl/>
              <w:jc w:val="left"/>
              <w:rPr>
                <w:szCs w:val="21"/>
              </w:rPr>
            </w:pPr>
            <w:r>
              <w:rPr>
                <w:rFonts w:hint="eastAsia"/>
                <w:szCs w:val="21"/>
              </w:rPr>
              <w:t>2000≤Y＜40000</w:t>
            </w:r>
          </w:p>
        </w:tc>
        <w:tc>
          <w:tcPr>
            <w:tcW w:w="1570" w:type="dxa"/>
            <w:tcBorders>
              <w:top w:val="nil"/>
              <w:left w:val="nil"/>
              <w:bottom w:val="single" w:color="auto" w:sz="4" w:space="0"/>
              <w:right w:val="single" w:color="auto" w:sz="4" w:space="0"/>
            </w:tcBorders>
            <w:noWrap w:val="0"/>
            <w:vAlign w:val="center"/>
          </w:tcPr>
          <w:p w14:paraId="74E815EE">
            <w:pPr>
              <w:widowControl/>
              <w:jc w:val="left"/>
              <w:rPr>
                <w:szCs w:val="21"/>
              </w:rPr>
            </w:pPr>
            <w:r>
              <w:rPr>
                <w:rFonts w:hint="eastAsia"/>
                <w:szCs w:val="21"/>
              </w:rPr>
              <w:t>300≤Y＜2000</w:t>
            </w:r>
          </w:p>
        </w:tc>
        <w:tc>
          <w:tcPr>
            <w:tcW w:w="1009" w:type="dxa"/>
            <w:tcBorders>
              <w:top w:val="nil"/>
              <w:left w:val="nil"/>
              <w:bottom w:val="single" w:color="auto" w:sz="4" w:space="0"/>
              <w:right w:val="single" w:color="auto" w:sz="4" w:space="0"/>
            </w:tcBorders>
            <w:noWrap w:val="0"/>
            <w:vAlign w:val="center"/>
          </w:tcPr>
          <w:p w14:paraId="2F5B68A1">
            <w:pPr>
              <w:widowControl/>
              <w:jc w:val="left"/>
              <w:rPr>
                <w:szCs w:val="21"/>
              </w:rPr>
            </w:pPr>
            <w:r>
              <w:rPr>
                <w:rFonts w:hint="eastAsia"/>
                <w:szCs w:val="21"/>
              </w:rPr>
              <w:t>Y＜300</w:t>
            </w:r>
          </w:p>
        </w:tc>
      </w:tr>
      <w:tr w14:paraId="535F8D62">
        <w:tblPrEx>
          <w:tblCellMar>
            <w:top w:w="0" w:type="dxa"/>
            <w:left w:w="108" w:type="dxa"/>
            <w:bottom w:w="0" w:type="dxa"/>
            <w:right w:w="108" w:type="dxa"/>
          </w:tblCellMar>
        </w:tblPrEx>
        <w:trPr>
          <w:trHeight w:val="220" w:hRule="atLeast"/>
        </w:trPr>
        <w:tc>
          <w:tcPr>
            <w:tcW w:w="1446" w:type="dxa"/>
            <w:vMerge w:val="restart"/>
            <w:tcBorders>
              <w:top w:val="nil"/>
              <w:left w:val="single" w:color="auto" w:sz="4" w:space="0"/>
              <w:bottom w:val="single" w:color="auto" w:sz="4" w:space="0"/>
              <w:right w:val="single" w:color="auto" w:sz="4" w:space="0"/>
            </w:tcBorders>
            <w:noWrap w:val="0"/>
            <w:vAlign w:val="bottom"/>
          </w:tcPr>
          <w:p w14:paraId="050D6D2F">
            <w:pPr>
              <w:widowControl/>
              <w:jc w:val="center"/>
              <w:rPr>
                <w:szCs w:val="21"/>
              </w:rPr>
            </w:pPr>
            <w:r>
              <w:rPr>
                <w:rFonts w:hint="eastAsia"/>
                <w:szCs w:val="21"/>
              </w:rPr>
              <w:t>建筑业</w:t>
            </w:r>
          </w:p>
        </w:tc>
        <w:tc>
          <w:tcPr>
            <w:tcW w:w="1701" w:type="dxa"/>
            <w:tcBorders>
              <w:top w:val="nil"/>
              <w:left w:val="nil"/>
              <w:bottom w:val="single" w:color="auto" w:sz="4" w:space="0"/>
              <w:right w:val="single" w:color="auto" w:sz="4" w:space="0"/>
            </w:tcBorders>
            <w:noWrap w:val="0"/>
            <w:vAlign w:val="center"/>
          </w:tcPr>
          <w:p w14:paraId="1E56E068">
            <w:pPr>
              <w:widowControl/>
              <w:jc w:val="left"/>
              <w:rPr>
                <w:szCs w:val="21"/>
              </w:rPr>
            </w:pPr>
            <w:r>
              <w:rPr>
                <w:rFonts w:hint="eastAsia"/>
                <w:szCs w:val="21"/>
              </w:rPr>
              <w:t>营业收入（Y）</w:t>
            </w:r>
          </w:p>
        </w:tc>
        <w:tc>
          <w:tcPr>
            <w:tcW w:w="1134" w:type="dxa"/>
            <w:tcBorders>
              <w:top w:val="nil"/>
              <w:left w:val="nil"/>
              <w:bottom w:val="single" w:color="auto" w:sz="4" w:space="0"/>
              <w:right w:val="single" w:color="auto" w:sz="4" w:space="0"/>
            </w:tcBorders>
            <w:noWrap w:val="0"/>
            <w:vAlign w:val="center"/>
          </w:tcPr>
          <w:p w14:paraId="27A86244">
            <w:pPr>
              <w:widowControl/>
              <w:jc w:val="left"/>
              <w:rPr>
                <w:szCs w:val="21"/>
              </w:rPr>
            </w:pPr>
            <w:r>
              <w:rPr>
                <w:rFonts w:hint="eastAsia"/>
                <w:szCs w:val="21"/>
              </w:rPr>
              <w:t>万元</w:t>
            </w:r>
          </w:p>
        </w:tc>
        <w:tc>
          <w:tcPr>
            <w:tcW w:w="1846" w:type="dxa"/>
            <w:tcBorders>
              <w:top w:val="nil"/>
              <w:left w:val="nil"/>
              <w:bottom w:val="single" w:color="auto" w:sz="4" w:space="0"/>
              <w:right w:val="single" w:color="auto" w:sz="4" w:space="0"/>
            </w:tcBorders>
            <w:noWrap w:val="0"/>
            <w:vAlign w:val="center"/>
          </w:tcPr>
          <w:p w14:paraId="12C427B5">
            <w:pPr>
              <w:widowControl/>
              <w:jc w:val="left"/>
              <w:rPr>
                <w:szCs w:val="21"/>
              </w:rPr>
            </w:pPr>
            <w:r>
              <w:rPr>
                <w:rFonts w:hint="eastAsia"/>
                <w:szCs w:val="21"/>
              </w:rPr>
              <w:t>6000≤Y＜80000</w:t>
            </w:r>
          </w:p>
        </w:tc>
        <w:tc>
          <w:tcPr>
            <w:tcW w:w="1570" w:type="dxa"/>
            <w:tcBorders>
              <w:top w:val="nil"/>
              <w:left w:val="nil"/>
              <w:bottom w:val="single" w:color="auto" w:sz="4" w:space="0"/>
              <w:right w:val="single" w:color="auto" w:sz="4" w:space="0"/>
            </w:tcBorders>
            <w:noWrap w:val="0"/>
            <w:vAlign w:val="center"/>
          </w:tcPr>
          <w:p w14:paraId="5B68C529">
            <w:pPr>
              <w:widowControl/>
              <w:jc w:val="left"/>
              <w:rPr>
                <w:szCs w:val="21"/>
              </w:rPr>
            </w:pPr>
            <w:r>
              <w:rPr>
                <w:rFonts w:hint="eastAsia"/>
                <w:szCs w:val="21"/>
              </w:rPr>
              <w:t>300≤Y＜6000</w:t>
            </w:r>
          </w:p>
        </w:tc>
        <w:tc>
          <w:tcPr>
            <w:tcW w:w="1009" w:type="dxa"/>
            <w:tcBorders>
              <w:top w:val="nil"/>
              <w:left w:val="nil"/>
              <w:bottom w:val="single" w:color="auto" w:sz="4" w:space="0"/>
              <w:right w:val="single" w:color="auto" w:sz="4" w:space="0"/>
            </w:tcBorders>
            <w:noWrap w:val="0"/>
            <w:vAlign w:val="center"/>
          </w:tcPr>
          <w:p w14:paraId="15B48D3E">
            <w:pPr>
              <w:widowControl/>
              <w:jc w:val="left"/>
              <w:rPr>
                <w:szCs w:val="21"/>
              </w:rPr>
            </w:pPr>
            <w:r>
              <w:rPr>
                <w:rFonts w:hint="eastAsia"/>
                <w:szCs w:val="21"/>
              </w:rPr>
              <w:t>Y＜300</w:t>
            </w:r>
          </w:p>
        </w:tc>
      </w:tr>
      <w:tr w14:paraId="4578DF78">
        <w:tblPrEx>
          <w:tblCellMar>
            <w:top w:w="0" w:type="dxa"/>
            <w:left w:w="108" w:type="dxa"/>
            <w:bottom w:w="0" w:type="dxa"/>
            <w:right w:w="108" w:type="dxa"/>
          </w:tblCellMar>
        </w:tblPrEx>
        <w:trPr>
          <w:trHeight w:val="220" w:hRule="atLeast"/>
        </w:trPr>
        <w:tc>
          <w:tcPr>
            <w:tcW w:w="1446" w:type="dxa"/>
            <w:vMerge w:val="continue"/>
            <w:tcBorders>
              <w:top w:val="nil"/>
              <w:left w:val="single" w:color="auto" w:sz="4" w:space="0"/>
              <w:bottom w:val="single" w:color="auto" w:sz="4" w:space="0"/>
              <w:right w:val="single" w:color="auto" w:sz="4" w:space="0"/>
            </w:tcBorders>
            <w:noWrap w:val="0"/>
            <w:vAlign w:val="center"/>
          </w:tcPr>
          <w:p w14:paraId="413A3C02">
            <w:pPr>
              <w:widowControl/>
              <w:jc w:val="left"/>
              <w:rPr>
                <w:szCs w:val="21"/>
              </w:rPr>
            </w:pPr>
          </w:p>
        </w:tc>
        <w:tc>
          <w:tcPr>
            <w:tcW w:w="1701" w:type="dxa"/>
            <w:tcBorders>
              <w:top w:val="nil"/>
              <w:left w:val="nil"/>
              <w:bottom w:val="single" w:color="auto" w:sz="4" w:space="0"/>
              <w:right w:val="single" w:color="auto" w:sz="4" w:space="0"/>
            </w:tcBorders>
            <w:noWrap w:val="0"/>
            <w:vAlign w:val="center"/>
          </w:tcPr>
          <w:p w14:paraId="7FB539FD">
            <w:pPr>
              <w:widowControl/>
              <w:jc w:val="left"/>
              <w:rPr>
                <w:szCs w:val="21"/>
              </w:rPr>
            </w:pPr>
            <w:r>
              <w:rPr>
                <w:rFonts w:hint="eastAsia"/>
                <w:szCs w:val="21"/>
              </w:rPr>
              <w:t>资产总额（Z）</w:t>
            </w:r>
          </w:p>
        </w:tc>
        <w:tc>
          <w:tcPr>
            <w:tcW w:w="1134" w:type="dxa"/>
            <w:tcBorders>
              <w:top w:val="nil"/>
              <w:left w:val="nil"/>
              <w:bottom w:val="single" w:color="auto" w:sz="4" w:space="0"/>
              <w:right w:val="single" w:color="auto" w:sz="4" w:space="0"/>
            </w:tcBorders>
            <w:noWrap w:val="0"/>
            <w:vAlign w:val="center"/>
          </w:tcPr>
          <w:p w14:paraId="79DE5215">
            <w:pPr>
              <w:widowControl/>
              <w:jc w:val="left"/>
              <w:rPr>
                <w:szCs w:val="21"/>
              </w:rPr>
            </w:pPr>
            <w:r>
              <w:rPr>
                <w:rFonts w:hint="eastAsia"/>
                <w:szCs w:val="21"/>
              </w:rPr>
              <w:t>万元</w:t>
            </w:r>
          </w:p>
        </w:tc>
        <w:tc>
          <w:tcPr>
            <w:tcW w:w="1846" w:type="dxa"/>
            <w:tcBorders>
              <w:top w:val="nil"/>
              <w:left w:val="nil"/>
              <w:bottom w:val="single" w:color="auto" w:sz="4" w:space="0"/>
              <w:right w:val="single" w:color="auto" w:sz="4" w:space="0"/>
            </w:tcBorders>
            <w:noWrap w:val="0"/>
            <w:vAlign w:val="center"/>
          </w:tcPr>
          <w:p w14:paraId="0C9054B6">
            <w:pPr>
              <w:widowControl/>
              <w:jc w:val="left"/>
              <w:rPr>
                <w:szCs w:val="21"/>
              </w:rPr>
            </w:pPr>
            <w:r>
              <w:rPr>
                <w:rFonts w:hint="eastAsia"/>
                <w:szCs w:val="21"/>
              </w:rPr>
              <w:t>5000≤Z＜80000</w:t>
            </w:r>
          </w:p>
        </w:tc>
        <w:tc>
          <w:tcPr>
            <w:tcW w:w="1570" w:type="dxa"/>
            <w:tcBorders>
              <w:top w:val="nil"/>
              <w:left w:val="nil"/>
              <w:bottom w:val="single" w:color="auto" w:sz="4" w:space="0"/>
              <w:right w:val="single" w:color="auto" w:sz="4" w:space="0"/>
            </w:tcBorders>
            <w:noWrap w:val="0"/>
            <w:vAlign w:val="center"/>
          </w:tcPr>
          <w:p w14:paraId="420B5EC0">
            <w:pPr>
              <w:widowControl/>
              <w:jc w:val="left"/>
              <w:rPr>
                <w:szCs w:val="21"/>
              </w:rPr>
            </w:pPr>
            <w:r>
              <w:rPr>
                <w:rFonts w:hint="eastAsia"/>
                <w:szCs w:val="21"/>
              </w:rPr>
              <w:t>300≤Z＜5000</w:t>
            </w:r>
          </w:p>
        </w:tc>
        <w:tc>
          <w:tcPr>
            <w:tcW w:w="1009" w:type="dxa"/>
            <w:tcBorders>
              <w:top w:val="nil"/>
              <w:left w:val="nil"/>
              <w:bottom w:val="single" w:color="auto" w:sz="4" w:space="0"/>
              <w:right w:val="single" w:color="auto" w:sz="4" w:space="0"/>
            </w:tcBorders>
            <w:noWrap w:val="0"/>
            <w:vAlign w:val="center"/>
          </w:tcPr>
          <w:p w14:paraId="05793899">
            <w:pPr>
              <w:widowControl/>
              <w:jc w:val="left"/>
              <w:rPr>
                <w:szCs w:val="21"/>
              </w:rPr>
            </w:pPr>
            <w:r>
              <w:rPr>
                <w:rFonts w:hint="eastAsia"/>
                <w:szCs w:val="21"/>
              </w:rPr>
              <w:t>Z＜300</w:t>
            </w:r>
          </w:p>
        </w:tc>
      </w:tr>
      <w:tr w14:paraId="14E2A521">
        <w:tblPrEx>
          <w:tblCellMar>
            <w:top w:w="0" w:type="dxa"/>
            <w:left w:w="108" w:type="dxa"/>
            <w:bottom w:w="0" w:type="dxa"/>
            <w:right w:w="108" w:type="dxa"/>
          </w:tblCellMar>
        </w:tblPrEx>
        <w:trPr>
          <w:trHeight w:val="220" w:hRule="atLeast"/>
        </w:trPr>
        <w:tc>
          <w:tcPr>
            <w:tcW w:w="1446" w:type="dxa"/>
            <w:vMerge w:val="restart"/>
            <w:tcBorders>
              <w:top w:val="nil"/>
              <w:left w:val="single" w:color="auto" w:sz="4" w:space="0"/>
              <w:bottom w:val="single" w:color="auto" w:sz="4" w:space="0"/>
              <w:right w:val="single" w:color="auto" w:sz="4" w:space="0"/>
            </w:tcBorders>
            <w:noWrap w:val="0"/>
            <w:vAlign w:val="bottom"/>
          </w:tcPr>
          <w:p w14:paraId="271ABA94">
            <w:pPr>
              <w:widowControl/>
              <w:ind w:firstLine="315" w:firstLineChars="150"/>
              <w:rPr>
                <w:szCs w:val="21"/>
              </w:rPr>
            </w:pPr>
            <w:r>
              <w:rPr>
                <w:rFonts w:hint="eastAsia"/>
                <w:szCs w:val="21"/>
              </w:rPr>
              <w:t>批发业</w:t>
            </w:r>
          </w:p>
        </w:tc>
        <w:tc>
          <w:tcPr>
            <w:tcW w:w="1701" w:type="dxa"/>
            <w:tcBorders>
              <w:top w:val="nil"/>
              <w:left w:val="nil"/>
              <w:bottom w:val="single" w:color="auto" w:sz="4" w:space="0"/>
              <w:right w:val="single" w:color="auto" w:sz="4" w:space="0"/>
            </w:tcBorders>
            <w:noWrap w:val="0"/>
            <w:vAlign w:val="center"/>
          </w:tcPr>
          <w:p w14:paraId="3C851F0A">
            <w:pPr>
              <w:widowControl/>
              <w:jc w:val="left"/>
              <w:rPr>
                <w:szCs w:val="21"/>
              </w:rPr>
            </w:pPr>
            <w:r>
              <w:rPr>
                <w:rFonts w:hint="eastAsia"/>
                <w:szCs w:val="21"/>
              </w:rPr>
              <w:t>从业人员（X）</w:t>
            </w:r>
          </w:p>
        </w:tc>
        <w:tc>
          <w:tcPr>
            <w:tcW w:w="1134" w:type="dxa"/>
            <w:tcBorders>
              <w:top w:val="nil"/>
              <w:left w:val="nil"/>
              <w:bottom w:val="single" w:color="auto" w:sz="4" w:space="0"/>
              <w:right w:val="single" w:color="auto" w:sz="4" w:space="0"/>
            </w:tcBorders>
            <w:noWrap w:val="0"/>
            <w:vAlign w:val="center"/>
          </w:tcPr>
          <w:p w14:paraId="39DAAB59">
            <w:pPr>
              <w:widowControl/>
              <w:jc w:val="left"/>
              <w:rPr>
                <w:szCs w:val="21"/>
              </w:rPr>
            </w:pPr>
            <w:r>
              <w:rPr>
                <w:rFonts w:hint="eastAsia"/>
                <w:szCs w:val="21"/>
              </w:rPr>
              <w:t>人</w:t>
            </w:r>
          </w:p>
        </w:tc>
        <w:tc>
          <w:tcPr>
            <w:tcW w:w="1846" w:type="dxa"/>
            <w:tcBorders>
              <w:top w:val="nil"/>
              <w:left w:val="nil"/>
              <w:bottom w:val="single" w:color="auto" w:sz="4" w:space="0"/>
              <w:right w:val="single" w:color="auto" w:sz="4" w:space="0"/>
            </w:tcBorders>
            <w:noWrap w:val="0"/>
            <w:vAlign w:val="center"/>
          </w:tcPr>
          <w:p w14:paraId="5290A03A">
            <w:pPr>
              <w:widowControl/>
              <w:jc w:val="left"/>
              <w:rPr>
                <w:szCs w:val="21"/>
              </w:rPr>
            </w:pPr>
            <w:r>
              <w:rPr>
                <w:rFonts w:hint="eastAsia"/>
                <w:szCs w:val="21"/>
              </w:rPr>
              <w:t>20≤X＜200</w:t>
            </w:r>
          </w:p>
        </w:tc>
        <w:tc>
          <w:tcPr>
            <w:tcW w:w="1570" w:type="dxa"/>
            <w:tcBorders>
              <w:top w:val="nil"/>
              <w:left w:val="nil"/>
              <w:bottom w:val="single" w:color="auto" w:sz="4" w:space="0"/>
              <w:right w:val="single" w:color="auto" w:sz="4" w:space="0"/>
            </w:tcBorders>
            <w:noWrap w:val="0"/>
            <w:vAlign w:val="center"/>
          </w:tcPr>
          <w:p w14:paraId="2CC05323">
            <w:pPr>
              <w:widowControl/>
              <w:jc w:val="left"/>
              <w:rPr>
                <w:szCs w:val="21"/>
              </w:rPr>
            </w:pPr>
            <w:r>
              <w:rPr>
                <w:rFonts w:hint="eastAsia"/>
                <w:szCs w:val="21"/>
              </w:rPr>
              <w:t>5≤X＜20</w:t>
            </w:r>
          </w:p>
        </w:tc>
        <w:tc>
          <w:tcPr>
            <w:tcW w:w="1009" w:type="dxa"/>
            <w:tcBorders>
              <w:top w:val="nil"/>
              <w:left w:val="nil"/>
              <w:bottom w:val="single" w:color="auto" w:sz="4" w:space="0"/>
              <w:right w:val="single" w:color="auto" w:sz="4" w:space="0"/>
            </w:tcBorders>
            <w:noWrap w:val="0"/>
            <w:vAlign w:val="center"/>
          </w:tcPr>
          <w:p w14:paraId="1B60BCB5">
            <w:pPr>
              <w:widowControl/>
              <w:jc w:val="left"/>
              <w:rPr>
                <w:szCs w:val="21"/>
              </w:rPr>
            </w:pPr>
            <w:r>
              <w:rPr>
                <w:rFonts w:hint="eastAsia"/>
                <w:szCs w:val="21"/>
              </w:rPr>
              <w:t>X＜5</w:t>
            </w:r>
          </w:p>
        </w:tc>
      </w:tr>
      <w:tr w14:paraId="49EA3E78">
        <w:tblPrEx>
          <w:tblCellMar>
            <w:top w:w="0" w:type="dxa"/>
            <w:left w:w="108" w:type="dxa"/>
            <w:bottom w:w="0" w:type="dxa"/>
            <w:right w:w="108" w:type="dxa"/>
          </w:tblCellMar>
        </w:tblPrEx>
        <w:trPr>
          <w:trHeight w:val="220" w:hRule="atLeast"/>
        </w:trPr>
        <w:tc>
          <w:tcPr>
            <w:tcW w:w="1446" w:type="dxa"/>
            <w:vMerge w:val="continue"/>
            <w:tcBorders>
              <w:top w:val="nil"/>
              <w:left w:val="single" w:color="auto" w:sz="4" w:space="0"/>
              <w:bottom w:val="single" w:color="auto" w:sz="4" w:space="0"/>
              <w:right w:val="single" w:color="auto" w:sz="4" w:space="0"/>
            </w:tcBorders>
            <w:noWrap w:val="0"/>
            <w:vAlign w:val="center"/>
          </w:tcPr>
          <w:p w14:paraId="0545FB18">
            <w:pPr>
              <w:widowControl/>
              <w:jc w:val="left"/>
              <w:rPr>
                <w:szCs w:val="21"/>
              </w:rPr>
            </w:pPr>
          </w:p>
        </w:tc>
        <w:tc>
          <w:tcPr>
            <w:tcW w:w="1701" w:type="dxa"/>
            <w:tcBorders>
              <w:top w:val="nil"/>
              <w:left w:val="nil"/>
              <w:bottom w:val="single" w:color="auto" w:sz="4" w:space="0"/>
              <w:right w:val="single" w:color="auto" w:sz="4" w:space="0"/>
            </w:tcBorders>
            <w:noWrap w:val="0"/>
            <w:vAlign w:val="center"/>
          </w:tcPr>
          <w:p w14:paraId="7E04129D">
            <w:pPr>
              <w:widowControl/>
              <w:jc w:val="left"/>
              <w:rPr>
                <w:szCs w:val="21"/>
              </w:rPr>
            </w:pPr>
            <w:r>
              <w:rPr>
                <w:rFonts w:hint="eastAsia"/>
                <w:szCs w:val="21"/>
              </w:rPr>
              <w:t>营业收入（Y）</w:t>
            </w:r>
          </w:p>
        </w:tc>
        <w:tc>
          <w:tcPr>
            <w:tcW w:w="1134" w:type="dxa"/>
            <w:tcBorders>
              <w:top w:val="nil"/>
              <w:left w:val="nil"/>
              <w:bottom w:val="single" w:color="auto" w:sz="4" w:space="0"/>
              <w:right w:val="single" w:color="auto" w:sz="4" w:space="0"/>
            </w:tcBorders>
            <w:noWrap w:val="0"/>
            <w:vAlign w:val="center"/>
          </w:tcPr>
          <w:p w14:paraId="2555F396">
            <w:pPr>
              <w:widowControl/>
              <w:jc w:val="left"/>
              <w:rPr>
                <w:szCs w:val="21"/>
              </w:rPr>
            </w:pPr>
            <w:r>
              <w:rPr>
                <w:rFonts w:hint="eastAsia"/>
                <w:szCs w:val="21"/>
              </w:rPr>
              <w:t>万元</w:t>
            </w:r>
          </w:p>
        </w:tc>
        <w:tc>
          <w:tcPr>
            <w:tcW w:w="1846" w:type="dxa"/>
            <w:tcBorders>
              <w:top w:val="nil"/>
              <w:left w:val="nil"/>
              <w:bottom w:val="single" w:color="auto" w:sz="4" w:space="0"/>
              <w:right w:val="single" w:color="auto" w:sz="4" w:space="0"/>
            </w:tcBorders>
            <w:noWrap w:val="0"/>
            <w:vAlign w:val="center"/>
          </w:tcPr>
          <w:p w14:paraId="0D136F32">
            <w:pPr>
              <w:widowControl/>
              <w:jc w:val="left"/>
              <w:rPr>
                <w:szCs w:val="21"/>
              </w:rPr>
            </w:pPr>
            <w:r>
              <w:rPr>
                <w:rFonts w:hint="eastAsia"/>
                <w:szCs w:val="21"/>
              </w:rPr>
              <w:t>5000≤Y＜40000</w:t>
            </w:r>
          </w:p>
        </w:tc>
        <w:tc>
          <w:tcPr>
            <w:tcW w:w="1570" w:type="dxa"/>
            <w:tcBorders>
              <w:top w:val="nil"/>
              <w:left w:val="nil"/>
              <w:bottom w:val="single" w:color="auto" w:sz="4" w:space="0"/>
              <w:right w:val="single" w:color="auto" w:sz="4" w:space="0"/>
            </w:tcBorders>
            <w:noWrap w:val="0"/>
            <w:vAlign w:val="center"/>
          </w:tcPr>
          <w:p w14:paraId="3180502E">
            <w:pPr>
              <w:widowControl/>
              <w:jc w:val="left"/>
              <w:rPr>
                <w:szCs w:val="21"/>
              </w:rPr>
            </w:pPr>
            <w:r>
              <w:rPr>
                <w:rFonts w:hint="eastAsia"/>
                <w:szCs w:val="21"/>
              </w:rPr>
              <w:t>1000≤Y＜5000</w:t>
            </w:r>
          </w:p>
        </w:tc>
        <w:tc>
          <w:tcPr>
            <w:tcW w:w="1009" w:type="dxa"/>
            <w:tcBorders>
              <w:top w:val="nil"/>
              <w:left w:val="nil"/>
              <w:bottom w:val="single" w:color="auto" w:sz="4" w:space="0"/>
              <w:right w:val="single" w:color="auto" w:sz="4" w:space="0"/>
            </w:tcBorders>
            <w:noWrap w:val="0"/>
            <w:vAlign w:val="center"/>
          </w:tcPr>
          <w:p w14:paraId="52A8B24E">
            <w:pPr>
              <w:widowControl/>
              <w:jc w:val="left"/>
              <w:rPr>
                <w:szCs w:val="21"/>
              </w:rPr>
            </w:pPr>
            <w:r>
              <w:rPr>
                <w:rFonts w:hint="eastAsia"/>
                <w:szCs w:val="21"/>
              </w:rPr>
              <w:t>Y＜1000</w:t>
            </w:r>
          </w:p>
        </w:tc>
      </w:tr>
      <w:tr w14:paraId="1CB6DACF">
        <w:tblPrEx>
          <w:tblCellMar>
            <w:top w:w="0" w:type="dxa"/>
            <w:left w:w="108" w:type="dxa"/>
            <w:bottom w:w="0" w:type="dxa"/>
            <w:right w:w="108" w:type="dxa"/>
          </w:tblCellMar>
        </w:tblPrEx>
        <w:trPr>
          <w:trHeight w:val="220" w:hRule="atLeast"/>
        </w:trPr>
        <w:tc>
          <w:tcPr>
            <w:tcW w:w="1446" w:type="dxa"/>
            <w:vMerge w:val="restart"/>
            <w:tcBorders>
              <w:top w:val="nil"/>
              <w:left w:val="single" w:color="auto" w:sz="4" w:space="0"/>
              <w:bottom w:val="single" w:color="auto" w:sz="4" w:space="0"/>
              <w:right w:val="single" w:color="auto" w:sz="4" w:space="0"/>
            </w:tcBorders>
            <w:noWrap w:val="0"/>
            <w:vAlign w:val="bottom"/>
          </w:tcPr>
          <w:p w14:paraId="69615C08">
            <w:pPr>
              <w:widowControl/>
              <w:jc w:val="center"/>
              <w:rPr>
                <w:szCs w:val="21"/>
              </w:rPr>
            </w:pPr>
            <w:r>
              <w:rPr>
                <w:rFonts w:hint="eastAsia"/>
                <w:szCs w:val="21"/>
              </w:rPr>
              <w:t>零售业</w:t>
            </w:r>
          </w:p>
        </w:tc>
        <w:tc>
          <w:tcPr>
            <w:tcW w:w="1701" w:type="dxa"/>
            <w:tcBorders>
              <w:top w:val="nil"/>
              <w:left w:val="nil"/>
              <w:bottom w:val="single" w:color="auto" w:sz="4" w:space="0"/>
              <w:right w:val="single" w:color="auto" w:sz="4" w:space="0"/>
            </w:tcBorders>
            <w:noWrap w:val="0"/>
            <w:vAlign w:val="center"/>
          </w:tcPr>
          <w:p w14:paraId="788DA08E">
            <w:pPr>
              <w:widowControl/>
              <w:jc w:val="left"/>
              <w:rPr>
                <w:szCs w:val="21"/>
              </w:rPr>
            </w:pPr>
            <w:r>
              <w:rPr>
                <w:rFonts w:hint="eastAsia"/>
                <w:szCs w:val="21"/>
              </w:rPr>
              <w:t>从业人员（X）</w:t>
            </w:r>
          </w:p>
        </w:tc>
        <w:tc>
          <w:tcPr>
            <w:tcW w:w="1134" w:type="dxa"/>
            <w:tcBorders>
              <w:top w:val="nil"/>
              <w:left w:val="nil"/>
              <w:bottom w:val="single" w:color="auto" w:sz="4" w:space="0"/>
              <w:right w:val="single" w:color="auto" w:sz="4" w:space="0"/>
            </w:tcBorders>
            <w:noWrap w:val="0"/>
            <w:vAlign w:val="center"/>
          </w:tcPr>
          <w:p w14:paraId="386299B1">
            <w:pPr>
              <w:widowControl/>
              <w:jc w:val="left"/>
              <w:rPr>
                <w:szCs w:val="21"/>
              </w:rPr>
            </w:pPr>
            <w:r>
              <w:rPr>
                <w:rFonts w:hint="eastAsia"/>
                <w:szCs w:val="21"/>
              </w:rPr>
              <w:t>人</w:t>
            </w:r>
          </w:p>
        </w:tc>
        <w:tc>
          <w:tcPr>
            <w:tcW w:w="1846" w:type="dxa"/>
            <w:tcBorders>
              <w:top w:val="nil"/>
              <w:left w:val="nil"/>
              <w:bottom w:val="single" w:color="auto" w:sz="4" w:space="0"/>
              <w:right w:val="single" w:color="auto" w:sz="4" w:space="0"/>
            </w:tcBorders>
            <w:noWrap w:val="0"/>
            <w:vAlign w:val="center"/>
          </w:tcPr>
          <w:p w14:paraId="742F69FD">
            <w:pPr>
              <w:widowControl/>
              <w:jc w:val="left"/>
              <w:rPr>
                <w:szCs w:val="21"/>
              </w:rPr>
            </w:pPr>
            <w:r>
              <w:rPr>
                <w:rFonts w:hint="eastAsia"/>
                <w:szCs w:val="21"/>
              </w:rPr>
              <w:t>50≤X＜300</w:t>
            </w:r>
          </w:p>
        </w:tc>
        <w:tc>
          <w:tcPr>
            <w:tcW w:w="1570" w:type="dxa"/>
            <w:tcBorders>
              <w:top w:val="nil"/>
              <w:left w:val="nil"/>
              <w:bottom w:val="single" w:color="auto" w:sz="4" w:space="0"/>
              <w:right w:val="single" w:color="auto" w:sz="4" w:space="0"/>
            </w:tcBorders>
            <w:noWrap w:val="0"/>
            <w:vAlign w:val="center"/>
          </w:tcPr>
          <w:p w14:paraId="643E3867">
            <w:pPr>
              <w:widowControl/>
              <w:jc w:val="left"/>
              <w:rPr>
                <w:szCs w:val="21"/>
              </w:rPr>
            </w:pPr>
            <w:r>
              <w:rPr>
                <w:rFonts w:hint="eastAsia"/>
                <w:szCs w:val="21"/>
              </w:rPr>
              <w:t>10≤X＜50</w:t>
            </w:r>
          </w:p>
        </w:tc>
        <w:tc>
          <w:tcPr>
            <w:tcW w:w="1009" w:type="dxa"/>
            <w:tcBorders>
              <w:top w:val="nil"/>
              <w:left w:val="nil"/>
              <w:bottom w:val="single" w:color="auto" w:sz="4" w:space="0"/>
              <w:right w:val="single" w:color="auto" w:sz="4" w:space="0"/>
            </w:tcBorders>
            <w:noWrap w:val="0"/>
            <w:vAlign w:val="center"/>
          </w:tcPr>
          <w:p w14:paraId="40F40AB2">
            <w:pPr>
              <w:widowControl/>
              <w:jc w:val="left"/>
              <w:rPr>
                <w:szCs w:val="21"/>
              </w:rPr>
            </w:pPr>
            <w:r>
              <w:rPr>
                <w:rFonts w:hint="eastAsia"/>
                <w:szCs w:val="21"/>
              </w:rPr>
              <w:t>X＜10</w:t>
            </w:r>
          </w:p>
        </w:tc>
      </w:tr>
      <w:tr w14:paraId="678F6CA4">
        <w:tblPrEx>
          <w:tblCellMar>
            <w:top w:w="0" w:type="dxa"/>
            <w:left w:w="108" w:type="dxa"/>
            <w:bottom w:w="0" w:type="dxa"/>
            <w:right w:w="108" w:type="dxa"/>
          </w:tblCellMar>
        </w:tblPrEx>
        <w:trPr>
          <w:trHeight w:val="220" w:hRule="atLeast"/>
        </w:trPr>
        <w:tc>
          <w:tcPr>
            <w:tcW w:w="1446" w:type="dxa"/>
            <w:vMerge w:val="continue"/>
            <w:tcBorders>
              <w:top w:val="nil"/>
              <w:left w:val="single" w:color="auto" w:sz="4" w:space="0"/>
              <w:bottom w:val="single" w:color="auto" w:sz="4" w:space="0"/>
              <w:right w:val="single" w:color="auto" w:sz="4" w:space="0"/>
            </w:tcBorders>
            <w:noWrap w:val="0"/>
            <w:vAlign w:val="center"/>
          </w:tcPr>
          <w:p w14:paraId="6C0EE54A">
            <w:pPr>
              <w:widowControl/>
              <w:jc w:val="left"/>
              <w:rPr>
                <w:szCs w:val="21"/>
              </w:rPr>
            </w:pPr>
          </w:p>
        </w:tc>
        <w:tc>
          <w:tcPr>
            <w:tcW w:w="1701" w:type="dxa"/>
            <w:tcBorders>
              <w:top w:val="nil"/>
              <w:left w:val="nil"/>
              <w:bottom w:val="single" w:color="auto" w:sz="4" w:space="0"/>
              <w:right w:val="single" w:color="auto" w:sz="4" w:space="0"/>
            </w:tcBorders>
            <w:noWrap w:val="0"/>
            <w:vAlign w:val="center"/>
          </w:tcPr>
          <w:p w14:paraId="0C3A71A1">
            <w:pPr>
              <w:widowControl/>
              <w:jc w:val="left"/>
              <w:rPr>
                <w:szCs w:val="21"/>
              </w:rPr>
            </w:pPr>
            <w:r>
              <w:rPr>
                <w:rFonts w:hint="eastAsia"/>
                <w:szCs w:val="21"/>
              </w:rPr>
              <w:t>营业收入（Y）</w:t>
            </w:r>
          </w:p>
        </w:tc>
        <w:tc>
          <w:tcPr>
            <w:tcW w:w="1134" w:type="dxa"/>
            <w:tcBorders>
              <w:top w:val="nil"/>
              <w:left w:val="nil"/>
              <w:bottom w:val="single" w:color="auto" w:sz="4" w:space="0"/>
              <w:right w:val="single" w:color="auto" w:sz="4" w:space="0"/>
            </w:tcBorders>
            <w:noWrap w:val="0"/>
            <w:vAlign w:val="center"/>
          </w:tcPr>
          <w:p w14:paraId="0102FBE4">
            <w:pPr>
              <w:widowControl/>
              <w:jc w:val="left"/>
              <w:rPr>
                <w:szCs w:val="21"/>
              </w:rPr>
            </w:pPr>
            <w:r>
              <w:rPr>
                <w:rFonts w:hint="eastAsia"/>
                <w:szCs w:val="21"/>
              </w:rPr>
              <w:t>万元</w:t>
            </w:r>
          </w:p>
        </w:tc>
        <w:tc>
          <w:tcPr>
            <w:tcW w:w="1846" w:type="dxa"/>
            <w:tcBorders>
              <w:top w:val="nil"/>
              <w:left w:val="nil"/>
              <w:bottom w:val="single" w:color="auto" w:sz="4" w:space="0"/>
              <w:right w:val="single" w:color="auto" w:sz="4" w:space="0"/>
            </w:tcBorders>
            <w:noWrap w:val="0"/>
            <w:vAlign w:val="center"/>
          </w:tcPr>
          <w:p w14:paraId="3BDCB80D">
            <w:pPr>
              <w:widowControl/>
              <w:jc w:val="left"/>
              <w:rPr>
                <w:szCs w:val="21"/>
              </w:rPr>
            </w:pPr>
            <w:r>
              <w:rPr>
                <w:rFonts w:hint="eastAsia"/>
                <w:szCs w:val="21"/>
              </w:rPr>
              <w:t>500≤Y＜20000</w:t>
            </w:r>
          </w:p>
        </w:tc>
        <w:tc>
          <w:tcPr>
            <w:tcW w:w="1570" w:type="dxa"/>
            <w:tcBorders>
              <w:top w:val="nil"/>
              <w:left w:val="nil"/>
              <w:bottom w:val="single" w:color="auto" w:sz="4" w:space="0"/>
              <w:right w:val="single" w:color="auto" w:sz="4" w:space="0"/>
            </w:tcBorders>
            <w:noWrap w:val="0"/>
            <w:vAlign w:val="center"/>
          </w:tcPr>
          <w:p w14:paraId="22588A65">
            <w:pPr>
              <w:widowControl/>
              <w:jc w:val="left"/>
              <w:rPr>
                <w:szCs w:val="21"/>
              </w:rPr>
            </w:pPr>
            <w:r>
              <w:rPr>
                <w:rFonts w:hint="eastAsia"/>
                <w:szCs w:val="21"/>
              </w:rPr>
              <w:t>100≤Y＜500</w:t>
            </w:r>
          </w:p>
        </w:tc>
        <w:tc>
          <w:tcPr>
            <w:tcW w:w="1009" w:type="dxa"/>
            <w:tcBorders>
              <w:top w:val="nil"/>
              <w:left w:val="nil"/>
              <w:bottom w:val="single" w:color="auto" w:sz="4" w:space="0"/>
              <w:right w:val="single" w:color="auto" w:sz="4" w:space="0"/>
            </w:tcBorders>
            <w:noWrap w:val="0"/>
            <w:vAlign w:val="center"/>
          </w:tcPr>
          <w:p w14:paraId="141DF254">
            <w:pPr>
              <w:widowControl/>
              <w:jc w:val="left"/>
              <w:rPr>
                <w:szCs w:val="21"/>
              </w:rPr>
            </w:pPr>
            <w:r>
              <w:rPr>
                <w:rFonts w:hint="eastAsia"/>
                <w:szCs w:val="21"/>
              </w:rPr>
              <w:t>Y＜100</w:t>
            </w:r>
          </w:p>
        </w:tc>
      </w:tr>
      <w:tr w14:paraId="49EC4379">
        <w:tblPrEx>
          <w:tblCellMar>
            <w:top w:w="0" w:type="dxa"/>
            <w:left w:w="108" w:type="dxa"/>
            <w:bottom w:w="0" w:type="dxa"/>
            <w:right w:w="108" w:type="dxa"/>
          </w:tblCellMar>
        </w:tblPrEx>
        <w:trPr>
          <w:trHeight w:val="220" w:hRule="atLeast"/>
        </w:trPr>
        <w:tc>
          <w:tcPr>
            <w:tcW w:w="1446" w:type="dxa"/>
            <w:vMerge w:val="restart"/>
            <w:tcBorders>
              <w:top w:val="nil"/>
              <w:left w:val="single" w:color="auto" w:sz="4" w:space="0"/>
              <w:bottom w:val="single" w:color="auto" w:sz="4" w:space="0"/>
              <w:right w:val="single" w:color="auto" w:sz="4" w:space="0"/>
            </w:tcBorders>
            <w:noWrap w:val="0"/>
            <w:vAlign w:val="bottom"/>
          </w:tcPr>
          <w:p w14:paraId="14D951C8">
            <w:pPr>
              <w:widowControl/>
              <w:jc w:val="center"/>
              <w:rPr>
                <w:szCs w:val="21"/>
              </w:rPr>
            </w:pPr>
            <w:r>
              <w:rPr>
                <w:rFonts w:hint="eastAsia"/>
                <w:szCs w:val="21"/>
              </w:rPr>
              <w:t>交通运输业</w:t>
            </w:r>
          </w:p>
        </w:tc>
        <w:tc>
          <w:tcPr>
            <w:tcW w:w="1701" w:type="dxa"/>
            <w:tcBorders>
              <w:top w:val="nil"/>
              <w:left w:val="nil"/>
              <w:bottom w:val="single" w:color="auto" w:sz="4" w:space="0"/>
              <w:right w:val="single" w:color="auto" w:sz="4" w:space="0"/>
            </w:tcBorders>
            <w:noWrap w:val="0"/>
            <w:vAlign w:val="center"/>
          </w:tcPr>
          <w:p w14:paraId="00000E45">
            <w:pPr>
              <w:widowControl/>
              <w:jc w:val="left"/>
              <w:rPr>
                <w:szCs w:val="21"/>
              </w:rPr>
            </w:pPr>
            <w:r>
              <w:rPr>
                <w:rFonts w:hint="eastAsia"/>
                <w:szCs w:val="21"/>
              </w:rPr>
              <w:t>从业人员（X）</w:t>
            </w:r>
          </w:p>
        </w:tc>
        <w:tc>
          <w:tcPr>
            <w:tcW w:w="1134" w:type="dxa"/>
            <w:tcBorders>
              <w:top w:val="nil"/>
              <w:left w:val="nil"/>
              <w:bottom w:val="single" w:color="auto" w:sz="4" w:space="0"/>
              <w:right w:val="single" w:color="auto" w:sz="4" w:space="0"/>
            </w:tcBorders>
            <w:noWrap w:val="0"/>
            <w:vAlign w:val="center"/>
          </w:tcPr>
          <w:p w14:paraId="72B76A4F">
            <w:pPr>
              <w:widowControl/>
              <w:jc w:val="left"/>
              <w:rPr>
                <w:szCs w:val="21"/>
              </w:rPr>
            </w:pPr>
            <w:r>
              <w:rPr>
                <w:rFonts w:hint="eastAsia"/>
                <w:szCs w:val="21"/>
              </w:rPr>
              <w:t>人</w:t>
            </w:r>
          </w:p>
        </w:tc>
        <w:tc>
          <w:tcPr>
            <w:tcW w:w="1846" w:type="dxa"/>
            <w:tcBorders>
              <w:top w:val="nil"/>
              <w:left w:val="nil"/>
              <w:bottom w:val="single" w:color="auto" w:sz="4" w:space="0"/>
              <w:right w:val="single" w:color="auto" w:sz="4" w:space="0"/>
            </w:tcBorders>
            <w:noWrap w:val="0"/>
            <w:vAlign w:val="center"/>
          </w:tcPr>
          <w:p w14:paraId="6C69FB4E">
            <w:pPr>
              <w:widowControl/>
              <w:jc w:val="left"/>
              <w:rPr>
                <w:szCs w:val="21"/>
              </w:rPr>
            </w:pPr>
            <w:r>
              <w:rPr>
                <w:rFonts w:hint="eastAsia"/>
                <w:szCs w:val="21"/>
              </w:rPr>
              <w:t>300≤X＜1000</w:t>
            </w:r>
          </w:p>
        </w:tc>
        <w:tc>
          <w:tcPr>
            <w:tcW w:w="1570" w:type="dxa"/>
            <w:tcBorders>
              <w:top w:val="nil"/>
              <w:left w:val="nil"/>
              <w:bottom w:val="single" w:color="auto" w:sz="4" w:space="0"/>
              <w:right w:val="single" w:color="auto" w:sz="4" w:space="0"/>
            </w:tcBorders>
            <w:noWrap w:val="0"/>
            <w:vAlign w:val="center"/>
          </w:tcPr>
          <w:p w14:paraId="059CFDAE">
            <w:pPr>
              <w:widowControl/>
              <w:jc w:val="left"/>
              <w:rPr>
                <w:szCs w:val="21"/>
              </w:rPr>
            </w:pPr>
            <w:r>
              <w:rPr>
                <w:rFonts w:hint="eastAsia"/>
                <w:szCs w:val="21"/>
              </w:rPr>
              <w:t>20≤X＜300</w:t>
            </w:r>
          </w:p>
        </w:tc>
        <w:tc>
          <w:tcPr>
            <w:tcW w:w="1009" w:type="dxa"/>
            <w:tcBorders>
              <w:top w:val="nil"/>
              <w:left w:val="nil"/>
              <w:bottom w:val="single" w:color="auto" w:sz="4" w:space="0"/>
              <w:right w:val="single" w:color="auto" w:sz="4" w:space="0"/>
            </w:tcBorders>
            <w:noWrap w:val="0"/>
            <w:vAlign w:val="center"/>
          </w:tcPr>
          <w:p w14:paraId="33C1B0C4">
            <w:pPr>
              <w:widowControl/>
              <w:jc w:val="left"/>
              <w:rPr>
                <w:szCs w:val="21"/>
              </w:rPr>
            </w:pPr>
            <w:r>
              <w:rPr>
                <w:rFonts w:hint="eastAsia"/>
                <w:szCs w:val="21"/>
              </w:rPr>
              <w:t>X＜20</w:t>
            </w:r>
          </w:p>
        </w:tc>
      </w:tr>
      <w:tr w14:paraId="5FFC7B62">
        <w:tblPrEx>
          <w:tblCellMar>
            <w:top w:w="0" w:type="dxa"/>
            <w:left w:w="108" w:type="dxa"/>
            <w:bottom w:w="0" w:type="dxa"/>
            <w:right w:w="108" w:type="dxa"/>
          </w:tblCellMar>
        </w:tblPrEx>
        <w:trPr>
          <w:trHeight w:val="220" w:hRule="atLeast"/>
        </w:trPr>
        <w:tc>
          <w:tcPr>
            <w:tcW w:w="1446" w:type="dxa"/>
            <w:vMerge w:val="continue"/>
            <w:tcBorders>
              <w:top w:val="nil"/>
              <w:left w:val="single" w:color="auto" w:sz="4" w:space="0"/>
              <w:bottom w:val="single" w:color="auto" w:sz="4" w:space="0"/>
              <w:right w:val="single" w:color="auto" w:sz="4" w:space="0"/>
            </w:tcBorders>
            <w:noWrap w:val="0"/>
            <w:vAlign w:val="center"/>
          </w:tcPr>
          <w:p w14:paraId="1D40F0E5">
            <w:pPr>
              <w:widowControl/>
              <w:jc w:val="left"/>
              <w:rPr>
                <w:szCs w:val="21"/>
              </w:rPr>
            </w:pPr>
          </w:p>
        </w:tc>
        <w:tc>
          <w:tcPr>
            <w:tcW w:w="1701" w:type="dxa"/>
            <w:tcBorders>
              <w:top w:val="nil"/>
              <w:left w:val="nil"/>
              <w:bottom w:val="single" w:color="auto" w:sz="4" w:space="0"/>
              <w:right w:val="single" w:color="auto" w:sz="4" w:space="0"/>
            </w:tcBorders>
            <w:noWrap w:val="0"/>
            <w:vAlign w:val="center"/>
          </w:tcPr>
          <w:p w14:paraId="45A34E3A">
            <w:pPr>
              <w:widowControl/>
              <w:jc w:val="left"/>
              <w:rPr>
                <w:szCs w:val="21"/>
              </w:rPr>
            </w:pPr>
            <w:r>
              <w:rPr>
                <w:rFonts w:hint="eastAsia"/>
                <w:szCs w:val="21"/>
              </w:rPr>
              <w:t>营业收入（Y）</w:t>
            </w:r>
          </w:p>
        </w:tc>
        <w:tc>
          <w:tcPr>
            <w:tcW w:w="1134" w:type="dxa"/>
            <w:tcBorders>
              <w:top w:val="nil"/>
              <w:left w:val="nil"/>
              <w:bottom w:val="single" w:color="auto" w:sz="4" w:space="0"/>
              <w:right w:val="single" w:color="auto" w:sz="4" w:space="0"/>
            </w:tcBorders>
            <w:noWrap w:val="0"/>
            <w:vAlign w:val="center"/>
          </w:tcPr>
          <w:p w14:paraId="4C2C8377">
            <w:pPr>
              <w:widowControl/>
              <w:jc w:val="left"/>
              <w:rPr>
                <w:szCs w:val="21"/>
              </w:rPr>
            </w:pPr>
            <w:r>
              <w:rPr>
                <w:rFonts w:hint="eastAsia"/>
                <w:szCs w:val="21"/>
              </w:rPr>
              <w:t>万元</w:t>
            </w:r>
          </w:p>
        </w:tc>
        <w:tc>
          <w:tcPr>
            <w:tcW w:w="1846" w:type="dxa"/>
            <w:tcBorders>
              <w:top w:val="nil"/>
              <w:left w:val="nil"/>
              <w:bottom w:val="single" w:color="auto" w:sz="4" w:space="0"/>
              <w:right w:val="single" w:color="auto" w:sz="4" w:space="0"/>
            </w:tcBorders>
            <w:noWrap w:val="0"/>
            <w:vAlign w:val="center"/>
          </w:tcPr>
          <w:p w14:paraId="3F8EA8B1">
            <w:pPr>
              <w:widowControl/>
              <w:jc w:val="left"/>
              <w:rPr>
                <w:szCs w:val="21"/>
              </w:rPr>
            </w:pPr>
            <w:r>
              <w:rPr>
                <w:rFonts w:hint="eastAsia"/>
                <w:szCs w:val="21"/>
              </w:rPr>
              <w:t>3000≤Y＜30000</w:t>
            </w:r>
          </w:p>
        </w:tc>
        <w:tc>
          <w:tcPr>
            <w:tcW w:w="1570" w:type="dxa"/>
            <w:tcBorders>
              <w:top w:val="nil"/>
              <w:left w:val="nil"/>
              <w:bottom w:val="single" w:color="auto" w:sz="4" w:space="0"/>
              <w:right w:val="single" w:color="auto" w:sz="4" w:space="0"/>
            </w:tcBorders>
            <w:noWrap w:val="0"/>
            <w:vAlign w:val="center"/>
          </w:tcPr>
          <w:p w14:paraId="1DB98106">
            <w:pPr>
              <w:widowControl/>
              <w:jc w:val="left"/>
              <w:rPr>
                <w:szCs w:val="21"/>
              </w:rPr>
            </w:pPr>
            <w:r>
              <w:rPr>
                <w:rFonts w:hint="eastAsia"/>
                <w:szCs w:val="21"/>
              </w:rPr>
              <w:t>200≤Y＜3000</w:t>
            </w:r>
          </w:p>
        </w:tc>
        <w:tc>
          <w:tcPr>
            <w:tcW w:w="1009" w:type="dxa"/>
            <w:tcBorders>
              <w:top w:val="nil"/>
              <w:left w:val="nil"/>
              <w:bottom w:val="single" w:color="auto" w:sz="4" w:space="0"/>
              <w:right w:val="single" w:color="auto" w:sz="4" w:space="0"/>
            </w:tcBorders>
            <w:noWrap w:val="0"/>
            <w:vAlign w:val="center"/>
          </w:tcPr>
          <w:p w14:paraId="38EF4D77">
            <w:pPr>
              <w:widowControl/>
              <w:jc w:val="left"/>
              <w:rPr>
                <w:szCs w:val="21"/>
              </w:rPr>
            </w:pPr>
            <w:r>
              <w:rPr>
                <w:rFonts w:hint="eastAsia"/>
                <w:szCs w:val="21"/>
              </w:rPr>
              <w:t>Y＜200</w:t>
            </w:r>
          </w:p>
        </w:tc>
      </w:tr>
      <w:tr w14:paraId="746F275E">
        <w:tblPrEx>
          <w:tblCellMar>
            <w:top w:w="0" w:type="dxa"/>
            <w:left w:w="108" w:type="dxa"/>
            <w:bottom w:w="0" w:type="dxa"/>
            <w:right w:w="108" w:type="dxa"/>
          </w:tblCellMar>
        </w:tblPrEx>
        <w:trPr>
          <w:trHeight w:val="220" w:hRule="atLeast"/>
        </w:trPr>
        <w:tc>
          <w:tcPr>
            <w:tcW w:w="1446" w:type="dxa"/>
            <w:vMerge w:val="restart"/>
            <w:tcBorders>
              <w:top w:val="nil"/>
              <w:left w:val="single" w:color="auto" w:sz="4" w:space="0"/>
              <w:bottom w:val="single" w:color="auto" w:sz="4" w:space="0"/>
              <w:right w:val="single" w:color="auto" w:sz="4" w:space="0"/>
            </w:tcBorders>
            <w:noWrap w:val="0"/>
            <w:vAlign w:val="bottom"/>
          </w:tcPr>
          <w:p w14:paraId="08AA6279">
            <w:pPr>
              <w:widowControl/>
              <w:jc w:val="center"/>
              <w:rPr>
                <w:szCs w:val="21"/>
              </w:rPr>
            </w:pPr>
            <w:r>
              <w:rPr>
                <w:rFonts w:hint="eastAsia"/>
                <w:szCs w:val="21"/>
              </w:rPr>
              <w:t>仓储业</w:t>
            </w:r>
          </w:p>
        </w:tc>
        <w:tc>
          <w:tcPr>
            <w:tcW w:w="1701" w:type="dxa"/>
            <w:tcBorders>
              <w:top w:val="nil"/>
              <w:left w:val="nil"/>
              <w:bottom w:val="single" w:color="auto" w:sz="4" w:space="0"/>
              <w:right w:val="single" w:color="auto" w:sz="4" w:space="0"/>
            </w:tcBorders>
            <w:noWrap w:val="0"/>
            <w:vAlign w:val="center"/>
          </w:tcPr>
          <w:p w14:paraId="0676824E">
            <w:pPr>
              <w:widowControl/>
              <w:jc w:val="left"/>
              <w:rPr>
                <w:szCs w:val="21"/>
              </w:rPr>
            </w:pPr>
            <w:r>
              <w:rPr>
                <w:rFonts w:hint="eastAsia"/>
                <w:szCs w:val="21"/>
              </w:rPr>
              <w:t>从业人员（X）</w:t>
            </w:r>
          </w:p>
        </w:tc>
        <w:tc>
          <w:tcPr>
            <w:tcW w:w="1134" w:type="dxa"/>
            <w:tcBorders>
              <w:top w:val="nil"/>
              <w:left w:val="nil"/>
              <w:bottom w:val="single" w:color="auto" w:sz="4" w:space="0"/>
              <w:right w:val="single" w:color="auto" w:sz="4" w:space="0"/>
            </w:tcBorders>
            <w:noWrap w:val="0"/>
            <w:vAlign w:val="center"/>
          </w:tcPr>
          <w:p w14:paraId="1704B572">
            <w:pPr>
              <w:widowControl/>
              <w:jc w:val="left"/>
              <w:rPr>
                <w:szCs w:val="21"/>
              </w:rPr>
            </w:pPr>
            <w:r>
              <w:rPr>
                <w:rFonts w:hint="eastAsia"/>
                <w:szCs w:val="21"/>
              </w:rPr>
              <w:t>人</w:t>
            </w:r>
          </w:p>
        </w:tc>
        <w:tc>
          <w:tcPr>
            <w:tcW w:w="1846" w:type="dxa"/>
            <w:tcBorders>
              <w:top w:val="nil"/>
              <w:left w:val="nil"/>
              <w:bottom w:val="single" w:color="auto" w:sz="4" w:space="0"/>
              <w:right w:val="single" w:color="auto" w:sz="4" w:space="0"/>
            </w:tcBorders>
            <w:noWrap w:val="0"/>
            <w:vAlign w:val="center"/>
          </w:tcPr>
          <w:p w14:paraId="0C60D754">
            <w:pPr>
              <w:widowControl/>
              <w:jc w:val="left"/>
              <w:rPr>
                <w:szCs w:val="21"/>
              </w:rPr>
            </w:pPr>
            <w:r>
              <w:rPr>
                <w:rFonts w:hint="eastAsia"/>
                <w:szCs w:val="21"/>
              </w:rPr>
              <w:t>100≤X＜200</w:t>
            </w:r>
          </w:p>
        </w:tc>
        <w:tc>
          <w:tcPr>
            <w:tcW w:w="1570" w:type="dxa"/>
            <w:tcBorders>
              <w:top w:val="nil"/>
              <w:left w:val="nil"/>
              <w:bottom w:val="single" w:color="auto" w:sz="4" w:space="0"/>
              <w:right w:val="single" w:color="auto" w:sz="4" w:space="0"/>
            </w:tcBorders>
            <w:noWrap w:val="0"/>
            <w:vAlign w:val="center"/>
          </w:tcPr>
          <w:p w14:paraId="5AD3C665">
            <w:pPr>
              <w:widowControl/>
              <w:jc w:val="left"/>
              <w:rPr>
                <w:szCs w:val="21"/>
              </w:rPr>
            </w:pPr>
            <w:r>
              <w:rPr>
                <w:rFonts w:hint="eastAsia"/>
                <w:szCs w:val="21"/>
              </w:rPr>
              <w:t>20≤X＜100</w:t>
            </w:r>
          </w:p>
        </w:tc>
        <w:tc>
          <w:tcPr>
            <w:tcW w:w="1009" w:type="dxa"/>
            <w:tcBorders>
              <w:top w:val="nil"/>
              <w:left w:val="nil"/>
              <w:bottom w:val="single" w:color="auto" w:sz="4" w:space="0"/>
              <w:right w:val="single" w:color="auto" w:sz="4" w:space="0"/>
            </w:tcBorders>
            <w:noWrap w:val="0"/>
            <w:vAlign w:val="center"/>
          </w:tcPr>
          <w:p w14:paraId="0798E58B">
            <w:pPr>
              <w:widowControl/>
              <w:jc w:val="left"/>
              <w:rPr>
                <w:szCs w:val="21"/>
              </w:rPr>
            </w:pPr>
            <w:r>
              <w:rPr>
                <w:rFonts w:hint="eastAsia"/>
                <w:szCs w:val="21"/>
              </w:rPr>
              <w:t>X＜20</w:t>
            </w:r>
          </w:p>
        </w:tc>
      </w:tr>
      <w:tr w14:paraId="6A7AB50D">
        <w:tblPrEx>
          <w:tblCellMar>
            <w:top w:w="0" w:type="dxa"/>
            <w:left w:w="108" w:type="dxa"/>
            <w:bottom w:w="0" w:type="dxa"/>
            <w:right w:w="108" w:type="dxa"/>
          </w:tblCellMar>
        </w:tblPrEx>
        <w:trPr>
          <w:trHeight w:val="220" w:hRule="atLeast"/>
        </w:trPr>
        <w:tc>
          <w:tcPr>
            <w:tcW w:w="1446" w:type="dxa"/>
            <w:vMerge w:val="continue"/>
            <w:tcBorders>
              <w:top w:val="nil"/>
              <w:left w:val="single" w:color="auto" w:sz="4" w:space="0"/>
              <w:bottom w:val="single" w:color="auto" w:sz="4" w:space="0"/>
              <w:right w:val="single" w:color="auto" w:sz="4" w:space="0"/>
            </w:tcBorders>
            <w:noWrap w:val="0"/>
            <w:vAlign w:val="center"/>
          </w:tcPr>
          <w:p w14:paraId="1E9E2429">
            <w:pPr>
              <w:widowControl/>
              <w:jc w:val="left"/>
              <w:rPr>
                <w:szCs w:val="21"/>
              </w:rPr>
            </w:pPr>
          </w:p>
        </w:tc>
        <w:tc>
          <w:tcPr>
            <w:tcW w:w="1701" w:type="dxa"/>
            <w:tcBorders>
              <w:top w:val="nil"/>
              <w:left w:val="nil"/>
              <w:bottom w:val="single" w:color="auto" w:sz="4" w:space="0"/>
              <w:right w:val="single" w:color="auto" w:sz="4" w:space="0"/>
            </w:tcBorders>
            <w:noWrap w:val="0"/>
            <w:vAlign w:val="center"/>
          </w:tcPr>
          <w:p w14:paraId="0C13ABC7">
            <w:pPr>
              <w:widowControl/>
              <w:jc w:val="left"/>
              <w:rPr>
                <w:szCs w:val="21"/>
              </w:rPr>
            </w:pPr>
            <w:r>
              <w:rPr>
                <w:rFonts w:hint="eastAsia"/>
                <w:szCs w:val="21"/>
              </w:rPr>
              <w:t>营业收入（Y）</w:t>
            </w:r>
          </w:p>
        </w:tc>
        <w:tc>
          <w:tcPr>
            <w:tcW w:w="1134" w:type="dxa"/>
            <w:tcBorders>
              <w:top w:val="nil"/>
              <w:left w:val="nil"/>
              <w:bottom w:val="single" w:color="auto" w:sz="4" w:space="0"/>
              <w:right w:val="single" w:color="auto" w:sz="4" w:space="0"/>
            </w:tcBorders>
            <w:noWrap w:val="0"/>
            <w:vAlign w:val="center"/>
          </w:tcPr>
          <w:p w14:paraId="7D06CB00">
            <w:pPr>
              <w:widowControl/>
              <w:jc w:val="left"/>
              <w:rPr>
                <w:szCs w:val="21"/>
              </w:rPr>
            </w:pPr>
            <w:r>
              <w:rPr>
                <w:rFonts w:hint="eastAsia"/>
                <w:szCs w:val="21"/>
              </w:rPr>
              <w:t>万元</w:t>
            </w:r>
          </w:p>
        </w:tc>
        <w:tc>
          <w:tcPr>
            <w:tcW w:w="1846" w:type="dxa"/>
            <w:tcBorders>
              <w:top w:val="nil"/>
              <w:left w:val="nil"/>
              <w:bottom w:val="single" w:color="auto" w:sz="4" w:space="0"/>
              <w:right w:val="single" w:color="auto" w:sz="4" w:space="0"/>
            </w:tcBorders>
            <w:noWrap w:val="0"/>
            <w:vAlign w:val="center"/>
          </w:tcPr>
          <w:p w14:paraId="6A26DD04">
            <w:pPr>
              <w:widowControl/>
              <w:jc w:val="left"/>
              <w:rPr>
                <w:szCs w:val="21"/>
              </w:rPr>
            </w:pPr>
            <w:r>
              <w:rPr>
                <w:rFonts w:hint="eastAsia"/>
                <w:szCs w:val="21"/>
              </w:rPr>
              <w:t>1000≤Y＜30000</w:t>
            </w:r>
          </w:p>
        </w:tc>
        <w:tc>
          <w:tcPr>
            <w:tcW w:w="1570" w:type="dxa"/>
            <w:tcBorders>
              <w:top w:val="nil"/>
              <w:left w:val="nil"/>
              <w:bottom w:val="single" w:color="auto" w:sz="4" w:space="0"/>
              <w:right w:val="single" w:color="auto" w:sz="4" w:space="0"/>
            </w:tcBorders>
            <w:noWrap w:val="0"/>
            <w:vAlign w:val="center"/>
          </w:tcPr>
          <w:p w14:paraId="723DDEE8">
            <w:pPr>
              <w:widowControl/>
              <w:jc w:val="left"/>
              <w:rPr>
                <w:szCs w:val="21"/>
              </w:rPr>
            </w:pPr>
            <w:r>
              <w:rPr>
                <w:rFonts w:hint="eastAsia"/>
                <w:szCs w:val="21"/>
              </w:rPr>
              <w:t>100≤Y＜1000</w:t>
            </w:r>
          </w:p>
        </w:tc>
        <w:tc>
          <w:tcPr>
            <w:tcW w:w="1009" w:type="dxa"/>
            <w:tcBorders>
              <w:top w:val="nil"/>
              <w:left w:val="nil"/>
              <w:bottom w:val="single" w:color="auto" w:sz="4" w:space="0"/>
              <w:right w:val="single" w:color="auto" w:sz="4" w:space="0"/>
            </w:tcBorders>
            <w:noWrap w:val="0"/>
            <w:vAlign w:val="center"/>
          </w:tcPr>
          <w:p w14:paraId="0368B7C5">
            <w:pPr>
              <w:widowControl/>
              <w:jc w:val="left"/>
              <w:rPr>
                <w:szCs w:val="21"/>
              </w:rPr>
            </w:pPr>
            <w:r>
              <w:rPr>
                <w:rFonts w:hint="eastAsia"/>
                <w:szCs w:val="21"/>
              </w:rPr>
              <w:t>Y＜100</w:t>
            </w:r>
          </w:p>
        </w:tc>
      </w:tr>
      <w:tr w14:paraId="531B7039">
        <w:tblPrEx>
          <w:tblCellMar>
            <w:top w:w="0" w:type="dxa"/>
            <w:left w:w="108" w:type="dxa"/>
            <w:bottom w:w="0" w:type="dxa"/>
            <w:right w:w="108" w:type="dxa"/>
          </w:tblCellMar>
        </w:tblPrEx>
        <w:trPr>
          <w:trHeight w:val="220" w:hRule="atLeast"/>
        </w:trPr>
        <w:tc>
          <w:tcPr>
            <w:tcW w:w="1446" w:type="dxa"/>
            <w:vMerge w:val="restart"/>
            <w:tcBorders>
              <w:top w:val="nil"/>
              <w:left w:val="single" w:color="auto" w:sz="4" w:space="0"/>
              <w:bottom w:val="single" w:color="auto" w:sz="4" w:space="0"/>
              <w:right w:val="single" w:color="auto" w:sz="4" w:space="0"/>
            </w:tcBorders>
            <w:noWrap w:val="0"/>
            <w:vAlign w:val="bottom"/>
          </w:tcPr>
          <w:p w14:paraId="39A8455D">
            <w:pPr>
              <w:widowControl/>
              <w:jc w:val="center"/>
              <w:rPr>
                <w:szCs w:val="21"/>
              </w:rPr>
            </w:pPr>
            <w:r>
              <w:rPr>
                <w:rFonts w:hint="eastAsia"/>
                <w:szCs w:val="21"/>
              </w:rPr>
              <w:t>邮政业</w:t>
            </w:r>
          </w:p>
        </w:tc>
        <w:tc>
          <w:tcPr>
            <w:tcW w:w="1701" w:type="dxa"/>
            <w:tcBorders>
              <w:top w:val="nil"/>
              <w:left w:val="nil"/>
              <w:bottom w:val="single" w:color="auto" w:sz="4" w:space="0"/>
              <w:right w:val="single" w:color="auto" w:sz="4" w:space="0"/>
            </w:tcBorders>
            <w:noWrap w:val="0"/>
            <w:vAlign w:val="center"/>
          </w:tcPr>
          <w:p w14:paraId="6256B332">
            <w:pPr>
              <w:widowControl/>
              <w:jc w:val="left"/>
              <w:rPr>
                <w:szCs w:val="21"/>
              </w:rPr>
            </w:pPr>
            <w:r>
              <w:rPr>
                <w:rFonts w:hint="eastAsia"/>
                <w:szCs w:val="21"/>
              </w:rPr>
              <w:t>从业人员（X）</w:t>
            </w:r>
          </w:p>
        </w:tc>
        <w:tc>
          <w:tcPr>
            <w:tcW w:w="1134" w:type="dxa"/>
            <w:tcBorders>
              <w:top w:val="nil"/>
              <w:left w:val="nil"/>
              <w:bottom w:val="single" w:color="auto" w:sz="4" w:space="0"/>
              <w:right w:val="single" w:color="auto" w:sz="4" w:space="0"/>
            </w:tcBorders>
            <w:noWrap w:val="0"/>
            <w:vAlign w:val="center"/>
          </w:tcPr>
          <w:p w14:paraId="07DFB9DC">
            <w:pPr>
              <w:widowControl/>
              <w:jc w:val="left"/>
              <w:rPr>
                <w:szCs w:val="21"/>
              </w:rPr>
            </w:pPr>
            <w:r>
              <w:rPr>
                <w:rFonts w:hint="eastAsia"/>
                <w:szCs w:val="21"/>
              </w:rPr>
              <w:t>人</w:t>
            </w:r>
          </w:p>
        </w:tc>
        <w:tc>
          <w:tcPr>
            <w:tcW w:w="1846" w:type="dxa"/>
            <w:tcBorders>
              <w:top w:val="nil"/>
              <w:left w:val="nil"/>
              <w:bottom w:val="single" w:color="auto" w:sz="4" w:space="0"/>
              <w:right w:val="single" w:color="auto" w:sz="4" w:space="0"/>
            </w:tcBorders>
            <w:noWrap w:val="0"/>
            <w:vAlign w:val="center"/>
          </w:tcPr>
          <w:p w14:paraId="67304157">
            <w:pPr>
              <w:widowControl/>
              <w:jc w:val="left"/>
              <w:rPr>
                <w:szCs w:val="21"/>
              </w:rPr>
            </w:pPr>
            <w:r>
              <w:rPr>
                <w:rFonts w:hint="eastAsia"/>
                <w:szCs w:val="21"/>
              </w:rPr>
              <w:t>300≤X＜1000</w:t>
            </w:r>
          </w:p>
        </w:tc>
        <w:tc>
          <w:tcPr>
            <w:tcW w:w="1570" w:type="dxa"/>
            <w:tcBorders>
              <w:top w:val="nil"/>
              <w:left w:val="nil"/>
              <w:bottom w:val="single" w:color="auto" w:sz="4" w:space="0"/>
              <w:right w:val="single" w:color="auto" w:sz="4" w:space="0"/>
            </w:tcBorders>
            <w:noWrap w:val="0"/>
            <w:vAlign w:val="center"/>
          </w:tcPr>
          <w:p w14:paraId="4D95994B">
            <w:pPr>
              <w:widowControl/>
              <w:jc w:val="left"/>
              <w:rPr>
                <w:szCs w:val="21"/>
              </w:rPr>
            </w:pPr>
            <w:r>
              <w:rPr>
                <w:rFonts w:hint="eastAsia"/>
                <w:szCs w:val="21"/>
              </w:rPr>
              <w:t>20≤X＜300</w:t>
            </w:r>
          </w:p>
        </w:tc>
        <w:tc>
          <w:tcPr>
            <w:tcW w:w="1009" w:type="dxa"/>
            <w:tcBorders>
              <w:top w:val="nil"/>
              <w:left w:val="nil"/>
              <w:bottom w:val="single" w:color="auto" w:sz="4" w:space="0"/>
              <w:right w:val="single" w:color="auto" w:sz="4" w:space="0"/>
            </w:tcBorders>
            <w:noWrap w:val="0"/>
            <w:vAlign w:val="center"/>
          </w:tcPr>
          <w:p w14:paraId="72662A79">
            <w:pPr>
              <w:widowControl/>
              <w:jc w:val="left"/>
              <w:rPr>
                <w:szCs w:val="21"/>
              </w:rPr>
            </w:pPr>
            <w:r>
              <w:rPr>
                <w:rFonts w:hint="eastAsia"/>
                <w:szCs w:val="21"/>
              </w:rPr>
              <w:t>X＜20</w:t>
            </w:r>
          </w:p>
        </w:tc>
      </w:tr>
      <w:tr w14:paraId="38147842">
        <w:tblPrEx>
          <w:tblCellMar>
            <w:top w:w="0" w:type="dxa"/>
            <w:left w:w="108" w:type="dxa"/>
            <w:bottom w:w="0" w:type="dxa"/>
            <w:right w:w="108" w:type="dxa"/>
          </w:tblCellMar>
        </w:tblPrEx>
        <w:trPr>
          <w:trHeight w:val="220" w:hRule="atLeast"/>
        </w:trPr>
        <w:tc>
          <w:tcPr>
            <w:tcW w:w="1446" w:type="dxa"/>
            <w:vMerge w:val="continue"/>
            <w:tcBorders>
              <w:top w:val="nil"/>
              <w:left w:val="single" w:color="auto" w:sz="4" w:space="0"/>
              <w:bottom w:val="single" w:color="auto" w:sz="4" w:space="0"/>
              <w:right w:val="single" w:color="auto" w:sz="4" w:space="0"/>
            </w:tcBorders>
            <w:noWrap w:val="0"/>
            <w:vAlign w:val="center"/>
          </w:tcPr>
          <w:p w14:paraId="0E9620AE">
            <w:pPr>
              <w:widowControl/>
              <w:jc w:val="left"/>
              <w:rPr>
                <w:szCs w:val="21"/>
              </w:rPr>
            </w:pPr>
          </w:p>
        </w:tc>
        <w:tc>
          <w:tcPr>
            <w:tcW w:w="1701" w:type="dxa"/>
            <w:tcBorders>
              <w:top w:val="nil"/>
              <w:left w:val="nil"/>
              <w:bottom w:val="single" w:color="auto" w:sz="4" w:space="0"/>
              <w:right w:val="single" w:color="auto" w:sz="4" w:space="0"/>
            </w:tcBorders>
            <w:noWrap w:val="0"/>
            <w:vAlign w:val="center"/>
          </w:tcPr>
          <w:p w14:paraId="4EC1CC2A">
            <w:pPr>
              <w:widowControl/>
              <w:jc w:val="left"/>
              <w:rPr>
                <w:szCs w:val="21"/>
              </w:rPr>
            </w:pPr>
            <w:r>
              <w:rPr>
                <w:rFonts w:hint="eastAsia"/>
                <w:szCs w:val="21"/>
              </w:rPr>
              <w:t>营业收入（Y）</w:t>
            </w:r>
          </w:p>
        </w:tc>
        <w:tc>
          <w:tcPr>
            <w:tcW w:w="1134" w:type="dxa"/>
            <w:tcBorders>
              <w:top w:val="nil"/>
              <w:left w:val="nil"/>
              <w:bottom w:val="single" w:color="auto" w:sz="4" w:space="0"/>
              <w:right w:val="single" w:color="auto" w:sz="4" w:space="0"/>
            </w:tcBorders>
            <w:noWrap w:val="0"/>
            <w:vAlign w:val="center"/>
          </w:tcPr>
          <w:p w14:paraId="31DD2FC9">
            <w:pPr>
              <w:widowControl/>
              <w:jc w:val="left"/>
              <w:rPr>
                <w:szCs w:val="21"/>
              </w:rPr>
            </w:pPr>
            <w:r>
              <w:rPr>
                <w:rFonts w:hint="eastAsia"/>
                <w:szCs w:val="21"/>
              </w:rPr>
              <w:t>万元</w:t>
            </w:r>
          </w:p>
        </w:tc>
        <w:tc>
          <w:tcPr>
            <w:tcW w:w="1846" w:type="dxa"/>
            <w:tcBorders>
              <w:top w:val="nil"/>
              <w:left w:val="nil"/>
              <w:bottom w:val="single" w:color="auto" w:sz="4" w:space="0"/>
              <w:right w:val="single" w:color="auto" w:sz="4" w:space="0"/>
            </w:tcBorders>
            <w:noWrap w:val="0"/>
            <w:vAlign w:val="center"/>
          </w:tcPr>
          <w:p w14:paraId="74787E5E">
            <w:pPr>
              <w:widowControl/>
              <w:jc w:val="left"/>
              <w:rPr>
                <w:szCs w:val="21"/>
              </w:rPr>
            </w:pPr>
            <w:r>
              <w:rPr>
                <w:rFonts w:hint="eastAsia"/>
                <w:szCs w:val="21"/>
              </w:rPr>
              <w:t>2000≤Y＜30000</w:t>
            </w:r>
          </w:p>
        </w:tc>
        <w:tc>
          <w:tcPr>
            <w:tcW w:w="1570" w:type="dxa"/>
            <w:tcBorders>
              <w:top w:val="nil"/>
              <w:left w:val="nil"/>
              <w:bottom w:val="single" w:color="auto" w:sz="4" w:space="0"/>
              <w:right w:val="single" w:color="auto" w:sz="4" w:space="0"/>
            </w:tcBorders>
            <w:noWrap w:val="0"/>
            <w:vAlign w:val="center"/>
          </w:tcPr>
          <w:p w14:paraId="20E1B092">
            <w:pPr>
              <w:widowControl/>
              <w:jc w:val="left"/>
              <w:rPr>
                <w:szCs w:val="21"/>
              </w:rPr>
            </w:pPr>
            <w:r>
              <w:rPr>
                <w:rFonts w:hint="eastAsia"/>
                <w:szCs w:val="21"/>
              </w:rPr>
              <w:t>100≤Y＜2000</w:t>
            </w:r>
          </w:p>
        </w:tc>
        <w:tc>
          <w:tcPr>
            <w:tcW w:w="1009" w:type="dxa"/>
            <w:tcBorders>
              <w:top w:val="nil"/>
              <w:left w:val="nil"/>
              <w:bottom w:val="single" w:color="auto" w:sz="4" w:space="0"/>
              <w:right w:val="single" w:color="auto" w:sz="4" w:space="0"/>
            </w:tcBorders>
            <w:noWrap w:val="0"/>
            <w:vAlign w:val="center"/>
          </w:tcPr>
          <w:p w14:paraId="3B6C34BB">
            <w:pPr>
              <w:widowControl/>
              <w:jc w:val="left"/>
              <w:rPr>
                <w:szCs w:val="21"/>
              </w:rPr>
            </w:pPr>
            <w:r>
              <w:rPr>
                <w:rFonts w:hint="eastAsia"/>
                <w:szCs w:val="21"/>
              </w:rPr>
              <w:t>Y＜100</w:t>
            </w:r>
          </w:p>
        </w:tc>
      </w:tr>
      <w:tr w14:paraId="1564B1F1">
        <w:tblPrEx>
          <w:tblCellMar>
            <w:top w:w="0" w:type="dxa"/>
            <w:left w:w="108" w:type="dxa"/>
            <w:bottom w:w="0" w:type="dxa"/>
            <w:right w:w="108" w:type="dxa"/>
          </w:tblCellMar>
        </w:tblPrEx>
        <w:trPr>
          <w:trHeight w:val="220" w:hRule="atLeast"/>
        </w:trPr>
        <w:tc>
          <w:tcPr>
            <w:tcW w:w="1446" w:type="dxa"/>
            <w:vMerge w:val="restart"/>
            <w:tcBorders>
              <w:top w:val="nil"/>
              <w:left w:val="single" w:color="auto" w:sz="4" w:space="0"/>
              <w:bottom w:val="single" w:color="auto" w:sz="4" w:space="0"/>
              <w:right w:val="single" w:color="auto" w:sz="4" w:space="0"/>
            </w:tcBorders>
            <w:noWrap w:val="0"/>
            <w:vAlign w:val="bottom"/>
          </w:tcPr>
          <w:p w14:paraId="23319A70">
            <w:pPr>
              <w:widowControl/>
              <w:jc w:val="center"/>
              <w:rPr>
                <w:szCs w:val="21"/>
              </w:rPr>
            </w:pPr>
            <w:r>
              <w:rPr>
                <w:rFonts w:hint="eastAsia"/>
                <w:szCs w:val="21"/>
              </w:rPr>
              <w:t>住宿业</w:t>
            </w:r>
          </w:p>
        </w:tc>
        <w:tc>
          <w:tcPr>
            <w:tcW w:w="1701" w:type="dxa"/>
            <w:tcBorders>
              <w:top w:val="nil"/>
              <w:left w:val="nil"/>
              <w:bottom w:val="single" w:color="auto" w:sz="4" w:space="0"/>
              <w:right w:val="single" w:color="auto" w:sz="4" w:space="0"/>
            </w:tcBorders>
            <w:noWrap w:val="0"/>
            <w:vAlign w:val="center"/>
          </w:tcPr>
          <w:p w14:paraId="6E76E90A">
            <w:pPr>
              <w:widowControl/>
              <w:jc w:val="left"/>
              <w:rPr>
                <w:szCs w:val="21"/>
              </w:rPr>
            </w:pPr>
            <w:r>
              <w:rPr>
                <w:rFonts w:hint="eastAsia"/>
                <w:szCs w:val="21"/>
              </w:rPr>
              <w:t>从业人员（X）</w:t>
            </w:r>
          </w:p>
        </w:tc>
        <w:tc>
          <w:tcPr>
            <w:tcW w:w="1134" w:type="dxa"/>
            <w:tcBorders>
              <w:top w:val="nil"/>
              <w:left w:val="nil"/>
              <w:bottom w:val="single" w:color="auto" w:sz="4" w:space="0"/>
              <w:right w:val="single" w:color="auto" w:sz="4" w:space="0"/>
            </w:tcBorders>
            <w:noWrap w:val="0"/>
            <w:vAlign w:val="center"/>
          </w:tcPr>
          <w:p w14:paraId="3E029785">
            <w:pPr>
              <w:widowControl/>
              <w:jc w:val="left"/>
              <w:rPr>
                <w:szCs w:val="21"/>
              </w:rPr>
            </w:pPr>
            <w:r>
              <w:rPr>
                <w:rFonts w:hint="eastAsia"/>
                <w:szCs w:val="21"/>
              </w:rPr>
              <w:t>人</w:t>
            </w:r>
          </w:p>
        </w:tc>
        <w:tc>
          <w:tcPr>
            <w:tcW w:w="1846" w:type="dxa"/>
            <w:tcBorders>
              <w:top w:val="nil"/>
              <w:left w:val="nil"/>
              <w:bottom w:val="single" w:color="auto" w:sz="4" w:space="0"/>
              <w:right w:val="single" w:color="auto" w:sz="4" w:space="0"/>
            </w:tcBorders>
            <w:noWrap w:val="0"/>
            <w:vAlign w:val="center"/>
          </w:tcPr>
          <w:p w14:paraId="73D695BF">
            <w:pPr>
              <w:widowControl/>
              <w:jc w:val="left"/>
              <w:rPr>
                <w:szCs w:val="21"/>
              </w:rPr>
            </w:pPr>
            <w:r>
              <w:rPr>
                <w:rFonts w:hint="eastAsia"/>
                <w:szCs w:val="21"/>
              </w:rPr>
              <w:t>100≤X＜300</w:t>
            </w:r>
          </w:p>
        </w:tc>
        <w:tc>
          <w:tcPr>
            <w:tcW w:w="1570" w:type="dxa"/>
            <w:tcBorders>
              <w:top w:val="nil"/>
              <w:left w:val="nil"/>
              <w:bottom w:val="single" w:color="auto" w:sz="4" w:space="0"/>
              <w:right w:val="single" w:color="auto" w:sz="4" w:space="0"/>
            </w:tcBorders>
            <w:noWrap w:val="0"/>
            <w:vAlign w:val="center"/>
          </w:tcPr>
          <w:p w14:paraId="7EC2024D">
            <w:pPr>
              <w:widowControl/>
              <w:jc w:val="left"/>
              <w:rPr>
                <w:szCs w:val="21"/>
              </w:rPr>
            </w:pPr>
            <w:r>
              <w:rPr>
                <w:rFonts w:hint="eastAsia"/>
                <w:szCs w:val="21"/>
              </w:rPr>
              <w:t>10≤X＜100</w:t>
            </w:r>
          </w:p>
        </w:tc>
        <w:tc>
          <w:tcPr>
            <w:tcW w:w="1009" w:type="dxa"/>
            <w:tcBorders>
              <w:top w:val="nil"/>
              <w:left w:val="nil"/>
              <w:bottom w:val="single" w:color="auto" w:sz="4" w:space="0"/>
              <w:right w:val="single" w:color="auto" w:sz="4" w:space="0"/>
            </w:tcBorders>
            <w:noWrap w:val="0"/>
            <w:vAlign w:val="center"/>
          </w:tcPr>
          <w:p w14:paraId="3C9FE2CC">
            <w:pPr>
              <w:widowControl/>
              <w:jc w:val="left"/>
              <w:rPr>
                <w:szCs w:val="21"/>
              </w:rPr>
            </w:pPr>
            <w:r>
              <w:rPr>
                <w:rFonts w:hint="eastAsia"/>
                <w:szCs w:val="21"/>
              </w:rPr>
              <w:t>X＜10</w:t>
            </w:r>
          </w:p>
        </w:tc>
      </w:tr>
      <w:tr w14:paraId="47EB87C5">
        <w:tblPrEx>
          <w:tblCellMar>
            <w:top w:w="0" w:type="dxa"/>
            <w:left w:w="108" w:type="dxa"/>
            <w:bottom w:w="0" w:type="dxa"/>
            <w:right w:w="108" w:type="dxa"/>
          </w:tblCellMar>
        </w:tblPrEx>
        <w:trPr>
          <w:trHeight w:val="220" w:hRule="atLeast"/>
        </w:trPr>
        <w:tc>
          <w:tcPr>
            <w:tcW w:w="1446" w:type="dxa"/>
            <w:vMerge w:val="continue"/>
            <w:tcBorders>
              <w:top w:val="nil"/>
              <w:left w:val="single" w:color="auto" w:sz="4" w:space="0"/>
              <w:bottom w:val="single" w:color="auto" w:sz="4" w:space="0"/>
              <w:right w:val="single" w:color="auto" w:sz="4" w:space="0"/>
            </w:tcBorders>
            <w:noWrap w:val="0"/>
            <w:vAlign w:val="center"/>
          </w:tcPr>
          <w:p w14:paraId="0CD3F0D3">
            <w:pPr>
              <w:widowControl/>
              <w:jc w:val="left"/>
              <w:rPr>
                <w:szCs w:val="21"/>
              </w:rPr>
            </w:pPr>
          </w:p>
        </w:tc>
        <w:tc>
          <w:tcPr>
            <w:tcW w:w="1701" w:type="dxa"/>
            <w:tcBorders>
              <w:top w:val="nil"/>
              <w:left w:val="nil"/>
              <w:bottom w:val="single" w:color="auto" w:sz="4" w:space="0"/>
              <w:right w:val="single" w:color="auto" w:sz="4" w:space="0"/>
            </w:tcBorders>
            <w:noWrap w:val="0"/>
            <w:vAlign w:val="center"/>
          </w:tcPr>
          <w:p w14:paraId="1E7CEDEB">
            <w:pPr>
              <w:widowControl/>
              <w:jc w:val="left"/>
              <w:rPr>
                <w:szCs w:val="21"/>
              </w:rPr>
            </w:pPr>
            <w:r>
              <w:rPr>
                <w:rFonts w:hint="eastAsia"/>
                <w:szCs w:val="21"/>
              </w:rPr>
              <w:t>营业收入（Y）</w:t>
            </w:r>
          </w:p>
        </w:tc>
        <w:tc>
          <w:tcPr>
            <w:tcW w:w="1134" w:type="dxa"/>
            <w:tcBorders>
              <w:top w:val="nil"/>
              <w:left w:val="nil"/>
              <w:bottom w:val="single" w:color="auto" w:sz="4" w:space="0"/>
              <w:right w:val="single" w:color="auto" w:sz="4" w:space="0"/>
            </w:tcBorders>
            <w:noWrap w:val="0"/>
            <w:vAlign w:val="center"/>
          </w:tcPr>
          <w:p w14:paraId="5DE55EF1">
            <w:pPr>
              <w:widowControl/>
              <w:jc w:val="left"/>
              <w:rPr>
                <w:szCs w:val="21"/>
              </w:rPr>
            </w:pPr>
            <w:r>
              <w:rPr>
                <w:rFonts w:hint="eastAsia"/>
                <w:szCs w:val="21"/>
              </w:rPr>
              <w:t>万元</w:t>
            </w:r>
          </w:p>
        </w:tc>
        <w:tc>
          <w:tcPr>
            <w:tcW w:w="1846" w:type="dxa"/>
            <w:tcBorders>
              <w:top w:val="nil"/>
              <w:left w:val="nil"/>
              <w:bottom w:val="single" w:color="auto" w:sz="4" w:space="0"/>
              <w:right w:val="single" w:color="auto" w:sz="4" w:space="0"/>
            </w:tcBorders>
            <w:noWrap w:val="0"/>
            <w:vAlign w:val="center"/>
          </w:tcPr>
          <w:p w14:paraId="04B1201F">
            <w:pPr>
              <w:widowControl/>
              <w:jc w:val="left"/>
              <w:rPr>
                <w:szCs w:val="21"/>
              </w:rPr>
            </w:pPr>
            <w:r>
              <w:rPr>
                <w:rFonts w:hint="eastAsia"/>
                <w:szCs w:val="21"/>
              </w:rPr>
              <w:t>2000≤Y＜10000</w:t>
            </w:r>
          </w:p>
        </w:tc>
        <w:tc>
          <w:tcPr>
            <w:tcW w:w="1570" w:type="dxa"/>
            <w:tcBorders>
              <w:top w:val="nil"/>
              <w:left w:val="nil"/>
              <w:bottom w:val="single" w:color="auto" w:sz="4" w:space="0"/>
              <w:right w:val="single" w:color="auto" w:sz="4" w:space="0"/>
            </w:tcBorders>
            <w:noWrap w:val="0"/>
            <w:vAlign w:val="center"/>
          </w:tcPr>
          <w:p w14:paraId="69378270">
            <w:pPr>
              <w:widowControl/>
              <w:jc w:val="left"/>
              <w:rPr>
                <w:szCs w:val="21"/>
              </w:rPr>
            </w:pPr>
            <w:r>
              <w:rPr>
                <w:rFonts w:hint="eastAsia"/>
                <w:szCs w:val="21"/>
              </w:rPr>
              <w:t>100≤Y＜2000</w:t>
            </w:r>
          </w:p>
        </w:tc>
        <w:tc>
          <w:tcPr>
            <w:tcW w:w="1009" w:type="dxa"/>
            <w:tcBorders>
              <w:top w:val="nil"/>
              <w:left w:val="nil"/>
              <w:bottom w:val="single" w:color="auto" w:sz="4" w:space="0"/>
              <w:right w:val="single" w:color="auto" w:sz="4" w:space="0"/>
            </w:tcBorders>
            <w:noWrap w:val="0"/>
            <w:vAlign w:val="center"/>
          </w:tcPr>
          <w:p w14:paraId="70CEC8C1">
            <w:pPr>
              <w:widowControl/>
              <w:jc w:val="left"/>
              <w:rPr>
                <w:szCs w:val="21"/>
              </w:rPr>
            </w:pPr>
            <w:r>
              <w:rPr>
                <w:rFonts w:hint="eastAsia"/>
                <w:szCs w:val="21"/>
              </w:rPr>
              <w:t>Y＜100</w:t>
            </w:r>
          </w:p>
        </w:tc>
      </w:tr>
      <w:tr w14:paraId="12891A6E">
        <w:tblPrEx>
          <w:tblCellMar>
            <w:top w:w="0" w:type="dxa"/>
            <w:left w:w="108" w:type="dxa"/>
            <w:bottom w:w="0" w:type="dxa"/>
            <w:right w:w="108" w:type="dxa"/>
          </w:tblCellMar>
        </w:tblPrEx>
        <w:trPr>
          <w:trHeight w:val="220" w:hRule="atLeast"/>
        </w:trPr>
        <w:tc>
          <w:tcPr>
            <w:tcW w:w="1446" w:type="dxa"/>
            <w:vMerge w:val="restart"/>
            <w:tcBorders>
              <w:top w:val="nil"/>
              <w:left w:val="single" w:color="auto" w:sz="4" w:space="0"/>
              <w:bottom w:val="single" w:color="auto" w:sz="4" w:space="0"/>
              <w:right w:val="single" w:color="auto" w:sz="4" w:space="0"/>
            </w:tcBorders>
            <w:noWrap w:val="0"/>
            <w:vAlign w:val="bottom"/>
          </w:tcPr>
          <w:p w14:paraId="03667E11">
            <w:pPr>
              <w:widowControl/>
              <w:jc w:val="center"/>
              <w:rPr>
                <w:szCs w:val="21"/>
              </w:rPr>
            </w:pPr>
            <w:r>
              <w:rPr>
                <w:rFonts w:hint="eastAsia"/>
                <w:szCs w:val="21"/>
              </w:rPr>
              <w:t>餐饮业</w:t>
            </w:r>
          </w:p>
        </w:tc>
        <w:tc>
          <w:tcPr>
            <w:tcW w:w="1701" w:type="dxa"/>
            <w:tcBorders>
              <w:top w:val="nil"/>
              <w:left w:val="nil"/>
              <w:bottom w:val="single" w:color="auto" w:sz="4" w:space="0"/>
              <w:right w:val="single" w:color="auto" w:sz="4" w:space="0"/>
            </w:tcBorders>
            <w:noWrap w:val="0"/>
            <w:vAlign w:val="center"/>
          </w:tcPr>
          <w:p w14:paraId="1E6DCD43">
            <w:pPr>
              <w:widowControl/>
              <w:jc w:val="left"/>
              <w:rPr>
                <w:szCs w:val="21"/>
              </w:rPr>
            </w:pPr>
            <w:r>
              <w:rPr>
                <w:rFonts w:hint="eastAsia"/>
                <w:szCs w:val="21"/>
              </w:rPr>
              <w:t>从业人员（X）</w:t>
            </w:r>
          </w:p>
        </w:tc>
        <w:tc>
          <w:tcPr>
            <w:tcW w:w="1134" w:type="dxa"/>
            <w:tcBorders>
              <w:top w:val="nil"/>
              <w:left w:val="nil"/>
              <w:bottom w:val="single" w:color="auto" w:sz="4" w:space="0"/>
              <w:right w:val="single" w:color="auto" w:sz="4" w:space="0"/>
            </w:tcBorders>
            <w:noWrap w:val="0"/>
            <w:vAlign w:val="center"/>
          </w:tcPr>
          <w:p w14:paraId="1E2BF84A">
            <w:pPr>
              <w:widowControl/>
              <w:jc w:val="left"/>
              <w:rPr>
                <w:szCs w:val="21"/>
              </w:rPr>
            </w:pPr>
            <w:r>
              <w:rPr>
                <w:rFonts w:hint="eastAsia"/>
                <w:szCs w:val="21"/>
              </w:rPr>
              <w:t>人</w:t>
            </w:r>
          </w:p>
        </w:tc>
        <w:tc>
          <w:tcPr>
            <w:tcW w:w="1846" w:type="dxa"/>
            <w:tcBorders>
              <w:top w:val="nil"/>
              <w:left w:val="nil"/>
              <w:bottom w:val="single" w:color="auto" w:sz="4" w:space="0"/>
              <w:right w:val="single" w:color="auto" w:sz="4" w:space="0"/>
            </w:tcBorders>
            <w:noWrap w:val="0"/>
            <w:vAlign w:val="center"/>
          </w:tcPr>
          <w:p w14:paraId="0992417C">
            <w:pPr>
              <w:widowControl/>
              <w:jc w:val="left"/>
              <w:rPr>
                <w:szCs w:val="21"/>
              </w:rPr>
            </w:pPr>
            <w:r>
              <w:rPr>
                <w:rFonts w:hint="eastAsia"/>
                <w:szCs w:val="21"/>
              </w:rPr>
              <w:t>100≤X＜300</w:t>
            </w:r>
          </w:p>
        </w:tc>
        <w:tc>
          <w:tcPr>
            <w:tcW w:w="1570" w:type="dxa"/>
            <w:tcBorders>
              <w:top w:val="nil"/>
              <w:left w:val="nil"/>
              <w:bottom w:val="single" w:color="auto" w:sz="4" w:space="0"/>
              <w:right w:val="single" w:color="auto" w:sz="4" w:space="0"/>
            </w:tcBorders>
            <w:noWrap w:val="0"/>
            <w:vAlign w:val="center"/>
          </w:tcPr>
          <w:p w14:paraId="1CAF7237">
            <w:pPr>
              <w:widowControl/>
              <w:jc w:val="left"/>
              <w:rPr>
                <w:szCs w:val="21"/>
              </w:rPr>
            </w:pPr>
            <w:r>
              <w:rPr>
                <w:rFonts w:hint="eastAsia"/>
                <w:szCs w:val="21"/>
              </w:rPr>
              <w:t>10≤X＜100</w:t>
            </w:r>
          </w:p>
        </w:tc>
        <w:tc>
          <w:tcPr>
            <w:tcW w:w="1009" w:type="dxa"/>
            <w:tcBorders>
              <w:top w:val="nil"/>
              <w:left w:val="nil"/>
              <w:bottom w:val="single" w:color="auto" w:sz="4" w:space="0"/>
              <w:right w:val="single" w:color="auto" w:sz="4" w:space="0"/>
            </w:tcBorders>
            <w:noWrap w:val="0"/>
            <w:vAlign w:val="center"/>
          </w:tcPr>
          <w:p w14:paraId="2EB9F65C">
            <w:pPr>
              <w:widowControl/>
              <w:jc w:val="left"/>
              <w:rPr>
                <w:szCs w:val="21"/>
              </w:rPr>
            </w:pPr>
            <w:r>
              <w:rPr>
                <w:rFonts w:hint="eastAsia"/>
                <w:szCs w:val="21"/>
              </w:rPr>
              <w:t>X＜10</w:t>
            </w:r>
          </w:p>
        </w:tc>
      </w:tr>
      <w:tr w14:paraId="207FFF13">
        <w:tblPrEx>
          <w:tblCellMar>
            <w:top w:w="0" w:type="dxa"/>
            <w:left w:w="108" w:type="dxa"/>
            <w:bottom w:w="0" w:type="dxa"/>
            <w:right w:w="108" w:type="dxa"/>
          </w:tblCellMar>
        </w:tblPrEx>
        <w:trPr>
          <w:trHeight w:val="220" w:hRule="atLeast"/>
        </w:trPr>
        <w:tc>
          <w:tcPr>
            <w:tcW w:w="1446" w:type="dxa"/>
            <w:vMerge w:val="continue"/>
            <w:tcBorders>
              <w:top w:val="nil"/>
              <w:left w:val="single" w:color="auto" w:sz="4" w:space="0"/>
              <w:bottom w:val="single" w:color="auto" w:sz="4" w:space="0"/>
              <w:right w:val="single" w:color="auto" w:sz="4" w:space="0"/>
            </w:tcBorders>
            <w:noWrap w:val="0"/>
            <w:vAlign w:val="center"/>
          </w:tcPr>
          <w:p w14:paraId="12EF6D5A">
            <w:pPr>
              <w:widowControl/>
              <w:jc w:val="left"/>
              <w:rPr>
                <w:szCs w:val="21"/>
              </w:rPr>
            </w:pPr>
          </w:p>
        </w:tc>
        <w:tc>
          <w:tcPr>
            <w:tcW w:w="1701" w:type="dxa"/>
            <w:tcBorders>
              <w:top w:val="nil"/>
              <w:left w:val="nil"/>
              <w:bottom w:val="single" w:color="auto" w:sz="4" w:space="0"/>
              <w:right w:val="single" w:color="auto" w:sz="4" w:space="0"/>
            </w:tcBorders>
            <w:noWrap w:val="0"/>
            <w:vAlign w:val="center"/>
          </w:tcPr>
          <w:p w14:paraId="27487D52">
            <w:pPr>
              <w:widowControl/>
              <w:jc w:val="left"/>
              <w:rPr>
                <w:szCs w:val="21"/>
              </w:rPr>
            </w:pPr>
            <w:r>
              <w:rPr>
                <w:rFonts w:hint="eastAsia"/>
                <w:szCs w:val="21"/>
              </w:rPr>
              <w:t>营业收入（Y）</w:t>
            </w:r>
          </w:p>
        </w:tc>
        <w:tc>
          <w:tcPr>
            <w:tcW w:w="1134" w:type="dxa"/>
            <w:tcBorders>
              <w:top w:val="nil"/>
              <w:left w:val="nil"/>
              <w:bottom w:val="single" w:color="auto" w:sz="4" w:space="0"/>
              <w:right w:val="single" w:color="auto" w:sz="4" w:space="0"/>
            </w:tcBorders>
            <w:noWrap w:val="0"/>
            <w:vAlign w:val="center"/>
          </w:tcPr>
          <w:p w14:paraId="2B8502B5">
            <w:pPr>
              <w:widowControl/>
              <w:jc w:val="left"/>
              <w:rPr>
                <w:szCs w:val="21"/>
              </w:rPr>
            </w:pPr>
            <w:r>
              <w:rPr>
                <w:rFonts w:hint="eastAsia"/>
                <w:szCs w:val="21"/>
              </w:rPr>
              <w:t>万元</w:t>
            </w:r>
          </w:p>
        </w:tc>
        <w:tc>
          <w:tcPr>
            <w:tcW w:w="1846" w:type="dxa"/>
            <w:tcBorders>
              <w:top w:val="nil"/>
              <w:left w:val="nil"/>
              <w:bottom w:val="single" w:color="auto" w:sz="4" w:space="0"/>
              <w:right w:val="single" w:color="auto" w:sz="4" w:space="0"/>
            </w:tcBorders>
            <w:noWrap w:val="0"/>
            <w:vAlign w:val="center"/>
          </w:tcPr>
          <w:p w14:paraId="5D430CB5">
            <w:pPr>
              <w:widowControl/>
              <w:jc w:val="left"/>
              <w:rPr>
                <w:szCs w:val="21"/>
              </w:rPr>
            </w:pPr>
            <w:r>
              <w:rPr>
                <w:rFonts w:hint="eastAsia"/>
                <w:szCs w:val="21"/>
              </w:rPr>
              <w:t>2000≤Y＜10000</w:t>
            </w:r>
          </w:p>
        </w:tc>
        <w:tc>
          <w:tcPr>
            <w:tcW w:w="1570" w:type="dxa"/>
            <w:tcBorders>
              <w:top w:val="nil"/>
              <w:left w:val="nil"/>
              <w:bottom w:val="single" w:color="auto" w:sz="4" w:space="0"/>
              <w:right w:val="single" w:color="auto" w:sz="4" w:space="0"/>
            </w:tcBorders>
            <w:noWrap w:val="0"/>
            <w:vAlign w:val="center"/>
          </w:tcPr>
          <w:p w14:paraId="22D18728">
            <w:pPr>
              <w:widowControl/>
              <w:jc w:val="left"/>
              <w:rPr>
                <w:szCs w:val="21"/>
              </w:rPr>
            </w:pPr>
            <w:r>
              <w:rPr>
                <w:rFonts w:hint="eastAsia"/>
                <w:szCs w:val="21"/>
              </w:rPr>
              <w:t>100≤Y＜2000</w:t>
            </w:r>
          </w:p>
        </w:tc>
        <w:tc>
          <w:tcPr>
            <w:tcW w:w="1009" w:type="dxa"/>
            <w:tcBorders>
              <w:top w:val="nil"/>
              <w:left w:val="nil"/>
              <w:bottom w:val="single" w:color="auto" w:sz="4" w:space="0"/>
              <w:right w:val="single" w:color="auto" w:sz="4" w:space="0"/>
            </w:tcBorders>
            <w:noWrap w:val="0"/>
            <w:vAlign w:val="center"/>
          </w:tcPr>
          <w:p w14:paraId="64112596">
            <w:pPr>
              <w:widowControl/>
              <w:jc w:val="left"/>
              <w:rPr>
                <w:szCs w:val="21"/>
              </w:rPr>
            </w:pPr>
            <w:r>
              <w:rPr>
                <w:rFonts w:hint="eastAsia"/>
                <w:szCs w:val="21"/>
              </w:rPr>
              <w:t>Y＜100</w:t>
            </w:r>
          </w:p>
        </w:tc>
      </w:tr>
      <w:tr w14:paraId="09FDB12B">
        <w:tblPrEx>
          <w:tblCellMar>
            <w:top w:w="0" w:type="dxa"/>
            <w:left w:w="108" w:type="dxa"/>
            <w:bottom w:w="0" w:type="dxa"/>
            <w:right w:w="108" w:type="dxa"/>
          </w:tblCellMar>
        </w:tblPrEx>
        <w:trPr>
          <w:trHeight w:val="220" w:hRule="atLeast"/>
        </w:trPr>
        <w:tc>
          <w:tcPr>
            <w:tcW w:w="1446" w:type="dxa"/>
            <w:vMerge w:val="restart"/>
            <w:tcBorders>
              <w:top w:val="nil"/>
              <w:left w:val="single" w:color="auto" w:sz="4" w:space="0"/>
              <w:bottom w:val="single" w:color="auto" w:sz="4" w:space="0"/>
              <w:right w:val="single" w:color="auto" w:sz="4" w:space="0"/>
            </w:tcBorders>
            <w:noWrap w:val="0"/>
            <w:vAlign w:val="bottom"/>
          </w:tcPr>
          <w:p w14:paraId="440DEC34">
            <w:pPr>
              <w:widowControl/>
              <w:jc w:val="center"/>
              <w:rPr>
                <w:szCs w:val="21"/>
              </w:rPr>
            </w:pPr>
            <w:r>
              <w:rPr>
                <w:rFonts w:hint="eastAsia"/>
                <w:szCs w:val="21"/>
              </w:rPr>
              <w:t>信息传输业</w:t>
            </w:r>
          </w:p>
        </w:tc>
        <w:tc>
          <w:tcPr>
            <w:tcW w:w="1701" w:type="dxa"/>
            <w:tcBorders>
              <w:top w:val="nil"/>
              <w:left w:val="nil"/>
              <w:bottom w:val="single" w:color="auto" w:sz="4" w:space="0"/>
              <w:right w:val="single" w:color="auto" w:sz="4" w:space="0"/>
            </w:tcBorders>
            <w:noWrap w:val="0"/>
            <w:vAlign w:val="center"/>
          </w:tcPr>
          <w:p w14:paraId="0E749546">
            <w:pPr>
              <w:widowControl/>
              <w:jc w:val="left"/>
              <w:rPr>
                <w:szCs w:val="21"/>
              </w:rPr>
            </w:pPr>
            <w:r>
              <w:rPr>
                <w:rFonts w:hint="eastAsia"/>
                <w:szCs w:val="21"/>
              </w:rPr>
              <w:t>从业人员（X）</w:t>
            </w:r>
          </w:p>
        </w:tc>
        <w:tc>
          <w:tcPr>
            <w:tcW w:w="1134" w:type="dxa"/>
            <w:tcBorders>
              <w:top w:val="nil"/>
              <w:left w:val="nil"/>
              <w:bottom w:val="single" w:color="auto" w:sz="4" w:space="0"/>
              <w:right w:val="single" w:color="auto" w:sz="4" w:space="0"/>
            </w:tcBorders>
            <w:noWrap w:val="0"/>
            <w:vAlign w:val="center"/>
          </w:tcPr>
          <w:p w14:paraId="1F7A84E8">
            <w:pPr>
              <w:widowControl/>
              <w:jc w:val="left"/>
              <w:rPr>
                <w:szCs w:val="21"/>
              </w:rPr>
            </w:pPr>
            <w:r>
              <w:rPr>
                <w:rFonts w:hint="eastAsia"/>
                <w:szCs w:val="21"/>
              </w:rPr>
              <w:t>人</w:t>
            </w:r>
          </w:p>
        </w:tc>
        <w:tc>
          <w:tcPr>
            <w:tcW w:w="1846" w:type="dxa"/>
            <w:tcBorders>
              <w:top w:val="nil"/>
              <w:left w:val="nil"/>
              <w:bottom w:val="single" w:color="auto" w:sz="4" w:space="0"/>
              <w:right w:val="single" w:color="auto" w:sz="4" w:space="0"/>
            </w:tcBorders>
            <w:noWrap w:val="0"/>
            <w:vAlign w:val="center"/>
          </w:tcPr>
          <w:p w14:paraId="617C1F1E">
            <w:pPr>
              <w:widowControl/>
              <w:jc w:val="left"/>
              <w:rPr>
                <w:szCs w:val="21"/>
              </w:rPr>
            </w:pPr>
            <w:r>
              <w:rPr>
                <w:rFonts w:hint="eastAsia"/>
                <w:szCs w:val="21"/>
              </w:rPr>
              <w:t>100≤X＜2000</w:t>
            </w:r>
          </w:p>
        </w:tc>
        <w:tc>
          <w:tcPr>
            <w:tcW w:w="1570" w:type="dxa"/>
            <w:tcBorders>
              <w:top w:val="nil"/>
              <w:left w:val="nil"/>
              <w:bottom w:val="single" w:color="auto" w:sz="4" w:space="0"/>
              <w:right w:val="single" w:color="auto" w:sz="4" w:space="0"/>
            </w:tcBorders>
            <w:noWrap w:val="0"/>
            <w:vAlign w:val="center"/>
          </w:tcPr>
          <w:p w14:paraId="52008DBD">
            <w:pPr>
              <w:widowControl/>
              <w:jc w:val="left"/>
              <w:rPr>
                <w:szCs w:val="21"/>
              </w:rPr>
            </w:pPr>
            <w:r>
              <w:rPr>
                <w:rFonts w:hint="eastAsia"/>
                <w:szCs w:val="21"/>
              </w:rPr>
              <w:t>10≤X＜100</w:t>
            </w:r>
          </w:p>
        </w:tc>
        <w:tc>
          <w:tcPr>
            <w:tcW w:w="1009" w:type="dxa"/>
            <w:tcBorders>
              <w:top w:val="nil"/>
              <w:left w:val="nil"/>
              <w:bottom w:val="single" w:color="auto" w:sz="4" w:space="0"/>
              <w:right w:val="single" w:color="auto" w:sz="4" w:space="0"/>
            </w:tcBorders>
            <w:noWrap w:val="0"/>
            <w:vAlign w:val="center"/>
          </w:tcPr>
          <w:p w14:paraId="0AF99C3F">
            <w:pPr>
              <w:widowControl/>
              <w:jc w:val="left"/>
              <w:rPr>
                <w:szCs w:val="21"/>
              </w:rPr>
            </w:pPr>
            <w:r>
              <w:rPr>
                <w:rFonts w:hint="eastAsia"/>
                <w:szCs w:val="21"/>
              </w:rPr>
              <w:t>X＜10</w:t>
            </w:r>
          </w:p>
        </w:tc>
      </w:tr>
      <w:tr w14:paraId="36EF3DEE">
        <w:tblPrEx>
          <w:tblCellMar>
            <w:top w:w="0" w:type="dxa"/>
            <w:left w:w="108" w:type="dxa"/>
            <w:bottom w:w="0" w:type="dxa"/>
            <w:right w:w="108" w:type="dxa"/>
          </w:tblCellMar>
        </w:tblPrEx>
        <w:trPr>
          <w:trHeight w:val="220" w:hRule="atLeast"/>
        </w:trPr>
        <w:tc>
          <w:tcPr>
            <w:tcW w:w="1446" w:type="dxa"/>
            <w:vMerge w:val="continue"/>
            <w:tcBorders>
              <w:top w:val="nil"/>
              <w:left w:val="single" w:color="auto" w:sz="4" w:space="0"/>
              <w:bottom w:val="single" w:color="auto" w:sz="4" w:space="0"/>
              <w:right w:val="single" w:color="auto" w:sz="4" w:space="0"/>
            </w:tcBorders>
            <w:noWrap w:val="0"/>
            <w:vAlign w:val="center"/>
          </w:tcPr>
          <w:p w14:paraId="1B86B894">
            <w:pPr>
              <w:widowControl/>
              <w:jc w:val="left"/>
              <w:rPr>
                <w:szCs w:val="21"/>
              </w:rPr>
            </w:pPr>
          </w:p>
        </w:tc>
        <w:tc>
          <w:tcPr>
            <w:tcW w:w="1701" w:type="dxa"/>
            <w:tcBorders>
              <w:top w:val="nil"/>
              <w:left w:val="nil"/>
              <w:bottom w:val="single" w:color="auto" w:sz="4" w:space="0"/>
              <w:right w:val="single" w:color="auto" w:sz="4" w:space="0"/>
            </w:tcBorders>
            <w:noWrap w:val="0"/>
            <w:vAlign w:val="center"/>
          </w:tcPr>
          <w:p w14:paraId="3B9EC4E1">
            <w:pPr>
              <w:widowControl/>
              <w:jc w:val="left"/>
              <w:rPr>
                <w:szCs w:val="21"/>
              </w:rPr>
            </w:pPr>
            <w:r>
              <w:rPr>
                <w:rFonts w:hint="eastAsia"/>
                <w:szCs w:val="21"/>
              </w:rPr>
              <w:t>营业收入（Y）</w:t>
            </w:r>
          </w:p>
        </w:tc>
        <w:tc>
          <w:tcPr>
            <w:tcW w:w="1134" w:type="dxa"/>
            <w:tcBorders>
              <w:top w:val="nil"/>
              <w:left w:val="nil"/>
              <w:bottom w:val="single" w:color="auto" w:sz="4" w:space="0"/>
              <w:right w:val="single" w:color="auto" w:sz="4" w:space="0"/>
            </w:tcBorders>
            <w:noWrap w:val="0"/>
            <w:vAlign w:val="center"/>
          </w:tcPr>
          <w:p w14:paraId="0E67E4B0">
            <w:pPr>
              <w:widowControl/>
              <w:jc w:val="left"/>
              <w:rPr>
                <w:szCs w:val="21"/>
              </w:rPr>
            </w:pPr>
            <w:r>
              <w:rPr>
                <w:rFonts w:hint="eastAsia"/>
                <w:szCs w:val="21"/>
              </w:rPr>
              <w:t>万元</w:t>
            </w:r>
          </w:p>
        </w:tc>
        <w:tc>
          <w:tcPr>
            <w:tcW w:w="1846" w:type="dxa"/>
            <w:tcBorders>
              <w:top w:val="nil"/>
              <w:left w:val="nil"/>
              <w:bottom w:val="single" w:color="auto" w:sz="4" w:space="0"/>
              <w:right w:val="single" w:color="auto" w:sz="4" w:space="0"/>
            </w:tcBorders>
            <w:noWrap w:val="0"/>
            <w:vAlign w:val="center"/>
          </w:tcPr>
          <w:p w14:paraId="66F12509">
            <w:pPr>
              <w:widowControl/>
              <w:jc w:val="left"/>
              <w:rPr>
                <w:szCs w:val="21"/>
              </w:rPr>
            </w:pPr>
            <w:r>
              <w:rPr>
                <w:rFonts w:hint="eastAsia"/>
                <w:szCs w:val="21"/>
              </w:rPr>
              <w:t>1000≤Y＜100000</w:t>
            </w:r>
          </w:p>
        </w:tc>
        <w:tc>
          <w:tcPr>
            <w:tcW w:w="1570" w:type="dxa"/>
            <w:tcBorders>
              <w:top w:val="nil"/>
              <w:left w:val="nil"/>
              <w:bottom w:val="single" w:color="auto" w:sz="4" w:space="0"/>
              <w:right w:val="single" w:color="auto" w:sz="4" w:space="0"/>
            </w:tcBorders>
            <w:noWrap w:val="0"/>
            <w:vAlign w:val="center"/>
          </w:tcPr>
          <w:p w14:paraId="6A9A5D9E">
            <w:pPr>
              <w:widowControl/>
              <w:jc w:val="left"/>
              <w:rPr>
                <w:szCs w:val="21"/>
              </w:rPr>
            </w:pPr>
            <w:r>
              <w:rPr>
                <w:rFonts w:hint="eastAsia"/>
                <w:szCs w:val="21"/>
              </w:rPr>
              <w:t>100≤Y＜1000</w:t>
            </w:r>
          </w:p>
        </w:tc>
        <w:tc>
          <w:tcPr>
            <w:tcW w:w="1009" w:type="dxa"/>
            <w:tcBorders>
              <w:top w:val="nil"/>
              <w:left w:val="nil"/>
              <w:bottom w:val="single" w:color="auto" w:sz="4" w:space="0"/>
              <w:right w:val="single" w:color="auto" w:sz="4" w:space="0"/>
            </w:tcBorders>
            <w:noWrap w:val="0"/>
            <w:vAlign w:val="center"/>
          </w:tcPr>
          <w:p w14:paraId="088EE22C">
            <w:pPr>
              <w:widowControl/>
              <w:jc w:val="left"/>
              <w:rPr>
                <w:szCs w:val="21"/>
              </w:rPr>
            </w:pPr>
            <w:r>
              <w:rPr>
                <w:rFonts w:hint="eastAsia"/>
                <w:szCs w:val="21"/>
              </w:rPr>
              <w:t>Y＜100</w:t>
            </w:r>
          </w:p>
        </w:tc>
      </w:tr>
      <w:tr w14:paraId="15840E5A">
        <w:tblPrEx>
          <w:tblCellMar>
            <w:top w:w="0" w:type="dxa"/>
            <w:left w:w="108" w:type="dxa"/>
            <w:bottom w:w="0" w:type="dxa"/>
            <w:right w:w="108" w:type="dxa"/>
          </w:tblCellMar>
        </w:tblPrEx>
        <w:trPr>
          <w:trHeight w:val="220" w:hRule="atLeast"/>
        </w:trPr>
        <w:tc>
          <w:tcPr>
            <w:tcW w:w="1446" w:type="dxa"/>
            <w:vMerge w:val="restart"/>
            <w:tcBorders>
              <w:top w:val="nil"/>
              <w:left w:val="single" w:color="auto" w:sz="4" w:space="0"/>
              <w:bottom w:val="single" w:color="auto" w:sz="4" w:space="0"/>
              <w:right w:val="single" w:color="auto" w:sz="4" w:space="0"/>
            </w:tcBorders>
            <w:noWrap w:val="0"/>
            <w:vAlign w:val="bottom"/>
          </w:tcPr>
          <w:p w14:paraId="0F350130">
            <w:pPr>
              <w:widowControl/>
              <w:jc w:val="center"/>
              <w:rPr>
                <w:szCs w:val="21"/>
              </w:rPr>
            </w:pPr>
            <w:r>
              <w:rPr>
                <w:rFonts w:hint="eastAsia"/>
                <w:szCs w:val="21"/>
              </w:rPr>
              <w:t>软件和信息技术服务业</w:t>
            </w:r>
          </w:p>
        </w:tc>
        <w:tc>
          <w:tcPr>
            <w:tcW w:w="1701" w:type="dxa"/>
            <w:tcBorders>
              <w:top w:val="nil"/>
              <w:left w:val="nil"/>
              <w:bottom w:val="single" w:color="auto" w:sz="4" w:space="0"/>
              <w:right w:val="single" w:color="auto" w:sz="4" w:space="0"/>
            </w:tcBorders>
            <w:noWrap w:val="0"/>
            <w:vAlign w:val="center"/>
          </w:tcPr>
          <w:p w14:paraId="4ED7CB94">
            <w:pPr>
              <w:widowControl/>
              <w:jc w:val="left"/>
              <w:rPr>
                <w:szCs w:val="21"/>
              </w:rPr>
            </w:pPr>
            <w:r>
              <w:rPr>
                <w:rFonts w:hint="eastAsia"/>
                <w:szCs w:val="21"/>
              </w:rPr>
              <w:t>从业人员（X）</w:t>
            </w:r>
          </w:p>
        </w:tc>
        <w:tc>
          <w:tcPr>
            <w:tcW w:w="1134" w:type="dxa"/>
            <w:tcBorders>
              <w:top w:val="nil"/>
              <w:left w:val="nil"/>
              <w:bottom w:val="single" w:color="auto" w:sz="4" w:space="0"/>
              <w:right w:val="single" w:color="auto" w:sz="4" w:space="0"/>
            </w:tcBorders>
            <w:noWrap w:val="0"/>
            <w:vAlign w:val="center"/>
          </w:tcPr>
          <w:p w14:paraId="4C1CE027">
            <w:pPr>
              <w:widowControl/>
              <w:jc w:val="left"/>
              <w:rPr>
                <w:szCs w:val="21"/>
              </w:rPr>
            </w:pPr>
            <w:r>
              <w:rPr>
                <w:rFonts w:hint="eastAsia"/>
                <w:szCs w:val="21"/>
              </w:rPr>
              <w:t>人</w:t>
            </w:r>
          </w:p>
        </w:tc>
        <w:tc>
          <w:tcPr>
            <w:tcW w:w="1846" w:type="dxa"/>
            <w:tcBorders>
              <w:top w:val="nil"/>
              <w:left w:val="nil"/>
              <w:bottom w:val="single" w:color="auto" w:sz="4" w:space="0"/>
              <w:right w:val="single" w:color="auto" w:sz="4" w:space="0"/>
            </w:tcBorders>
            <w:noWrap w:val="0"/>
            <w:vAlign w:val="center"/>
          </w:tcPr>
          <w:p w14:paraId="69C57F84">
            <w:pPr>
              <w:widowControl/>
              <w:jc w:val="left"/>
              <w:rPr>
                <w:szCs w:val="21"/>
              </w:rPr>
            </w:pPr>
            <w:r>
              <w:rPr>
                <w:rFonts w:hint="eastAsia"/>
                <w:szCs w:val="21"/>
              </w:rPr>
              <w:t>100≤X＜300</w:t>
            </w:r>
          </w:p>
        </w:tc>
        <w:tc>
          <w:tcPr>
            <w:tcW w:w="1570" w:type="dxa"/>
            <w:tcBorders>
              <w:top w:val="nil"/>
              <w:left w:val="nil"/>
              <w:bottom w:val="single" w:color="auto" w:sz="4" w:space="0"/>
              <w:right w:val="single" w:color="auto" w:sz="4" w:space="0"/>
            </w:tcBorders>
            <w:noWrap w:val="0"/>
            <w:vAlign w:val="center"/>
          </w:tcPr>
          <w:p w14:paraId="0B932483">
            <w:pPr>
              <w:widowControl/>
              <w:jc w:val="left"/>
              <w:rPr>
                <w:szCs w:val="21"/>
              </w:rPr>
            </w:pPr>
            <w:r>
              <w:rPr>
                <w:rFonts w:hint="eastAsia"/>
                <w:szCs w:val="21"/>
              </w:rPr>
              <w:t>10≤X＜100</w:t>
            </w:r>
          </w:p>
        </w:tc>
        <w:tc>
          <w:tcPr>
            <w:tcW w:w="1009" w:type="dxa"/>
            <w:tcBorders>
              <w:top w:val="nil"/>
              <w:left w:val="nil"/>
              <w:bottom w:val="single" w:color="auto" w:sz="4" w:space="0"/>
              <w:right w:val="single" w:color="auto" w:sz="4" w:space="0"/>
            </w:tcBorders>
            <w:noWrap w:val="0"/>
            <w:vAlign w:val="center"/>
          </w:tcPr>
          <w:p w14:paraId="1647782C">
            <w:pPr>
              <w:widowControl/>
              <w:jc w:val="left"/>
              <w:rPr>
                <w:szCs w:val="21"/>
              </w:rPr>
            </w:pPr>
            <w:r>
              <w:rPr>
                <w:rFonts w:hint="eastAsia"/>
                <w:szCs w:val="21"/>
              </w:rPr>
              <w:t>X＜10</w:t>
            </w:r>
          </w:p>
        </w:tc>
      </w:tr>
      <w:tr w14:paraId="60E893AB">
        <w:tblPrEx>
          <w:tblCellMar>
            <w:top w:w="0" w:type="dxa"/>
            <w:left w:w="108" w:type="dxa"/>
            <w:bottom w:w="0" w:type="dxa"/>
            <w:right w:w="108" w:type="dxa"/>
          </w:tblCellMar>
        </w:tblPrEx>
        <w:trPr>
          <w:trHeight w:val="220" w:hRule="atLeast"/>
        </w:trPr>
        <w:tc>
          <w:tcPr>
            <w:tcW w:w="1446" w:type="dxa"/>
            <w:vMerge w:val="continue"/>
            <w:tcBorders>
              <w:top w:val="nil"/>
              <w:left w:val="single" w:color="auto" w:sz="4" w:space="0"/>
              <w:bottom w:val="single" w:color="auto" w:sz="4" w:space="0"/>
              <w:right w:val="single" w:color="auto" w:sz="4" w:space="0"/>
            </w:tcBorders>
            <w:noWrap w:val="0"/>
            <w:vAlign w:val="center"/>
          </w:tcPr>
          <w:p w14:paraId="1B51F71B">
            <w:pPr>
              <w:widowControl/>
              <w:jc w:val="left"/>
              <w:rPr>
                <w:szCs w:val="21"/>
              </w:rPr>
            </w:pPr>
          </w:p>
        </w:tc>
        <w:tc>
          <w:tcPr>
            <w:tcW w:w="1701" w:type="dxa"/>
            <w:tcBorders>
              <w:top w:val="nil"/>
              <w:left w:val="nil"/>
              <w:bottom w:val="single" w:color="auto" w:sz="4" w:space="0"/>
              <w:right w:val="single" w:color="auto" w:sz="4" w:space="0"/>
            </w:tcBorders>
            <w:noWrap w:val="0"/>
            <w:vAlign w:val="center"/>
          </w:tcPr>
          <w:p w14:paraId="58D3DE0F">
            <w:pPr>
              <w:widowControl/>
              <w:jc w:val="left"/>
              <w:rPr>
                <w:szCs w:val="21"/>
              </w:rPr>
            </w:pPr>
            <w:r>
              <w:rPr>
                <w:rFonts w:hint="eastAsia"/>
                <w:szCs w:val="21"/>
              </w:rPr>
              <w:t>营业收入（Y）</w:t>
            </w:r>
          </w:p>
        </w:tc>
        <w:tc>
          <w:tcPr>
            <w:tcW w:w="1134" w:type="dxa"/>
            <w:tcBorders>
              <w:top w:val="nil"/>
              <w:left w:val="nil"/>
              <w:bottom w:val="single" w:color="auto" w:sz="4" w:space="0"/>
              <w:right w:val="single" w:color="auto" w:sz="4" w:space="0"/>
            </w:tcBorders>
            <w:noWrap w:val="0"/>
            <w:vAlign w:val="center"/>
          </w:tcPr>
          <w:p w14:paraId="623F4FAB">
            <w:pPr>
              <w:widowControl/>
              <w:jc w:val="left"/>
              <w:rPr>
                <w:szCs w:val="21"/>
              </w:rPr>
            </w:pPr>
            <w:r>
              <w:rPr>
                <w:rFonts w:hint="eastAsia"/>
                <w:szCs w:val="21"/>
              </w:rPr>
              <w:t>万元</w:t>
            </w:r>
          </w:p>
        </w:tc>
        <w:tc>
          <w:tcPr>
            <w:tcW w:w="1846" w:type="dxa"/>
            <w:tcBorders>
              <w:top w:val="nil"/>
              <w:left w:val="nil"/>
              <w:bottom w:val="single" w:color="auto" w:sz="4" w:space="0"/>
              <w:right w:val="single" w:color="auto" w:sz="4" w:space="0"/>
            </w:tcBorders>
            <w:noWrap w:val="0"/>
            <w:vAlign w:val="center"/>
          </w:tcPr>
          <w:p w14:paraId="64DB6728">
            <w:pPr>
              <w:widowControl/>
              <w:jc w:val="left"/>
              <w:rPr>
                <w:szCs w:val="21"/>
              </w:rPr>
            </w:pPr>
            <w:r>
              <w:rPr>
                <w:rFonts w:hint="eastAsia"/>
                <w:szCs w:val="21"/>
              </w:rPr>
              <w:t>1000≤Y＜10000</w:t>
            </w:r>
          </w:p>
        </w:tc>
        <w:tc>
          <w:tcPr>
            <w:tcW w:w="1570" w:type="dxa"/>
            <w:tcBorders>
              <w:top w:val="nil"/>
              <w:left w:val="nil"/>
              <w:bottom w:val="single" w:color="auto" w:sz="4" w:space="0"/>
              <w:right w:val="single" w:color="auto" w:sz="4" w:space="0"/>
            </w:tcBorders>
            <w:noWrap w:val="0"/>
            <w:vAlign w:val="center"/>
          </w:tcPr>
          <w:p w14:paraId="3D924DFC">
            <w:pPr>
              <w:widowControl/>
              <w:jc w:val="left"/>
              <w:rPr>
                <w:szCs w:val="21"/>
              </w:rPr>
            </w:pPr>
            <w:r>
              <w:rPr>
                <w:rFonts w:hint="eastAsia"/>
                <w:szCs w:val="21"/>
              </w:rPr>
              <w:t>50≤Y＜1000</w:t>
            </w:r>
          </w:p>
        </w:tc>
        <w:tc>
          <w:tcPr>
            <w:tcW w:w="1009" w:type="dxa"/>
            <w:tcBorders>
              <w:top w:val="nil"/>
              <w:left w:val="nil"/>
              <w:bottom w:val="single" w:color="auto" w:sz="4" w:space="0"/>
              <w:right w:val="single" w:color="auto" w:sz="4" w:space="0"/>
            </w:tcBorders>
            <w:noWrap w:val="0"/>
            <w:vAlign w:val="center"/>
          </w:tcPr>
          <w:p w14:paraId="5AB5C8C4">
            <w:pPr>
              <w:widowControl/>
              <w:jc w:val="left"/>
              <w:rPr>
                <w:szCs w:val="21"/>
              </w:rPr>
            </w:pPr>
            <w:r>
              <w:rPr>
                <w:rFonts w:hint="eastAsia"/>
                <w:szCs w:val="21"/>
              </w:rPr>
              <w:t>Y＜50</w:t>
            </w:r>
          </w:p>
        </w:tc>
      </w:tr>
      <w:tr w14:paraId="3F89FCE8">
        <w:tblPrEx>
          <w:tblCellMar>
            <w:top w:w="0" w:type="dxa"/>
            <w:left w:w="108" w:type="dxa"/>
            <w:bottom w:w="0" w:type="dxa"/>
            <w:right w:w="108" w:type="dxa"/>
          </w:tblCellMar>
        </w:tblPrEx>
        <w:trPr>
          <w:trHeight w:val="220" w:hRule="atLeast"/>
        </w:trPr>
        <w:tc>
          <w:tcPr>
            <w:tcW w:w="1446" w:type="dxa"/>
            <w:vMerge w:val="restart"/>
            <w:tcBorders>
              <w:top w:val="nil"/>
              <w:left w:val="single" w:color="auto" w:sz="4" w:space="0"/>
              <w:bottom w:val="single" w:color="auto" w:sz="4" w:space="0"/>
              <w:right w:val="single" w:color="auto" w:sz="4" w:space="0"/>
            </w:tcBorders>
            <w:noWrap w:val="0"/>
            <w:vAlign w:val="bottom"/>
          </w:tcPr>
          <w:p w14:paraId="5936B0DC">
            <w:pPr>
              <w:widowControl/>
              <w:jc w:val="center"/>
              <w:rPr>
                <w:szCs w:val="21"/>
              </w:rPr>
            </w:pPr>
            <w:r>
              <w:rPr>
                <w:rFonts w:hint="eastAsia"/>
                <w:szCs w:val="21"/>
              </w:rPr>
              <w:t>房地产开发经营</w:t>
            </w:r>
          </w:p>
        </w:tc>
        <w:tc>
          <w:tcPr>
            <w:tcW w:w="1701" w:type="dxa"/>
            <w:tcBorders>
              <w:top w:val="nil"/>
              <w:left w:val="nil"/>
              <w:bottom w:val="single" w:color="auto" w:sz="4" w:space="0"/>
              <w:right w:val="single" w:color="auto" w:sz="4" w:space="0"/>
            </w:tcBorders>
            <w:noWrap w:val="0"/>
            <w:vAlign w:val="center"/>
          </w:tcPr>
          <w:p w14:paraId="3D1F80FF">
            <w:pPr>
              <w:widowControl/>
              <w:jc w:val="left"/>
              <w:rPr>
                <w:szCs w:val="21"/>
              </w:rPr>
            </w:pPr>
            <w:r>
              <w:rPr>
                <w:rFonts w:hint="eastAsia"/>
                <w:szCs w:val="21"/>
              </w:rPr>
              <w:t>营业收入（Y）</w:t>
            </w:r>
          </w:p>
        </w:tc>
        <w:tc>
          <w:tcPr>
            <w:tcW w:w="1134" w:type="dxa"/>
            <w:tcBorders>
              <w:top w:val="nil"/>
              <w:left w:val="nil"/>
              <w:bottom w:val="single" w:color="auto" w:sz="4" w:space="0"/>
              <w:right w:val="single" w:color="auto" w:sz="4" w:space="0"/>
            </w:tcBorders>
            <w:noWrap w:val="0"/>
            <w:vAlign w:val="center"/>
          </w:tcPr>
          <w:p w14:paraId="02412CC1">
            <w:pPr>
              <w:widowControl/>
              <w:jc w:val="left"/>
              <w:rPr>
                <w:szCs w:val="21"/>
              </w:rPr>
            </w:pPr>
            <w:r>
              <w:rPr>
                <w:rFonts w:hint="eastAsia"/>
                <w:szCs w:val="21"/>
              </w:rPr>
              <w:t>万元</w:t>
            </w:r>
          </w:p>
        </w:tc>
        <w:tc>
          <w:tcPr>
            <w:tcW w:w="1846" w:type="dxa"/>
            <w:tcBorders>
              <w:top w:val="nil"/>
              <w:left w:val="nil"/>
              <w:bottom w:val="single" w:color="auto" w:sz="4" w:space="0"/>
              <w:right w:val="single" w:color="auto" w:sz="4" w:space="0"/>
            </w:tcBorders>
            <w:noWrap w:val="0"/>
            <w:vAlign w:val="center"/>
          </w:tcPr>
          <w:p w14:paraId="37343787">
            <w:pPr>
              <w:widowControl/>
              <w:jc w:val="left"/>
              <w:rPr>
                <w:szCs w:val="21"/>
              </w:rPr>
            </w:pPr>
            <w:r>
              <w:rPr>
                <w:rFonts w:hint="eastAsia"/>
                <w:szCs w:val="21"/>
              </w:rPr>
              <w:t>1000≤Y＜200000</w:t>
            </w:r>
          </w:p>
        </w:tc>
        <w:tc>
          <w:tcPr>
            <w:tcW w:w="1570" w:type="dxa"/>
            <w:tcBorders>
              <w:top w:val="nil"/>
              <w:left w:val="nil"/>
              <w:bottom w:val="single" w:color="auto" w:sz="4" w:space="0"/>
              <w:right w:val="single" w:color="auto" w:sz="4" w:space="0"/>
            </w:tcBorders>
            <w:noWrap w:val="0"/>
            <w:vAlign w:val="center"/>
          </w:tcPr>
          <w:p w14:paraId="347F2D7E">
            <w:pPr>
              <w:widowControl/>
              <w:jc w:val="left"/>
              <w:rPr>
                <w:szCs w:val="21"/>
              </w:rPr>
            </w:pPr>
            <w:r>
              <w:rPr>
                <w:rFonts w:hint="eastAsia"/>
                <w:szCs w:val="21"/>
              </w:rPr>
              <w:t>100≤X＜1000</w:t>
            </w:r>
          </w:p>
        </w:tc>
        <w:tc>
          <w:tcPr>
            <w:tcW w:w="1009" w:type="dxa"/>
            <w:tcBorders>
              <w:top w:val="nil"/>
              <w:left w:val="nil"/>
              <w:bottom w:val="single" w:color="auto" w:sz="4" w:space="0"/>
              <w:right w:val="single" w:color="auto" w:sz="4" w:space="0"/>
            </w:tcBorders>
            <w:noWrap w:val="0"/>
            <w:vAlign w:val="center"/>
          </w:tcPr>
          <w:p w14:paraId="526C7204">
            <w:pPr>
              <w:widowControl/>
              <w:jc w:val="left"/>
              <w:rPr>
                <w:szCs w:val="21"/>
              </w:rPr>
            </w:pPr>
            <w:r>
              <w:rPr>
                <w:rFonts w:hint="eastAsia"/>
                <w:szCs w:val="21"/>
              </w:rPr>
              <w:t>X＜100</w:t>
            </w:r>
          </w:p>
        </w:tc>
      </w:tr>
      <w:tr w14:paraId="5048158A">
        <w:tblPrEx>
          <w:tblCellMar>
            <w:top w:w="0" w:type="dxa"/>
            <w:left w:w="108" w:type="dxa"/>
            <w:bottom w:w="0" w:type="dxa"/>
            <w:right w:w="108" w:type="dxa"/>
          </w:tblCellMar>
        </w:tblPrEx>
        <w:trPr>
          <w:trHeight w:val="220" w:hRule="atLeast"/>
        </w:trPr>
        <w:tc>
          <w:tcPr>
            <w:tcW w:w="1446" w:type="dxa"/>
            <w:vMerge w:val="continue"/>
            <w:tcBorders>
              <w:top w:val="nil"/>
              <w:left w:val="single" w:color="auto" w:sz="4" w:space="0"/>
              <w:bottom w:val="single" w:color="auto" w:sz="4" w:space="0"/>
              <w:right w:val="single" w:color="auto" w:sz="4" w:space="0"/>
            </w:tcBorders>
            <w:noWrap w:val="0"/>
            <w:vAlign w:val="center"/>
          </w:tcPr>
          <w:p w14:paraId="060E7982">
            <w:pPr>
              <w:widowControl/>
              <w:jc w:val="left"/>
              <w:rPr>
                <w:szCs w:val="21"/>
              </w:rPr>
            </w:pPr>
          </w:p>
        </w:tc>
        <w:tc>
          <w:tcPr>
            <w:tcW w:w="1701" w:type="dxa"/>
            <w:tcBorders>
              <w:top w:val="nil"/>
              <w:left w:val="nil"/>
              <w:bottom w:val="single" w:color="auto" w:sz="4" w:space="0"/>
              <w:right w:val="single" w:color="auto" w:sz="4" w:space="0"/>
            </w:tcBorders>
            <w:noWrap w:val="0"/>
            <w:vAlign w:val="center"/>
          </w:tcPr>
          <w:p w14:paraId="6329E22C">
            <w:pPr>
              <w:widowControl/>
              <w:jc w:val="left"/>
              <w:rPr>
                <w:szCs w:val="21"/>
              </w:rPr>
            </w:pPr>
            <w:r>
              <w:rPr>
                <w:rFonts w:hint="eastAsia"/>
                <w:szCs w:val="21"/>
              </w:rPr>
              <w:t>资产总额（Z）</w:t>
            </w:r>
          </w:p>
        </w:tc>
        <w:tc>
          <w:tcPr>
            <w:tcW w:w="1134" w:type="dxa"/>
            <w:tcBorders>
              <w:top w:val="nil"/>
              <w:left w:val="nil"/>
              <w:bottom w:val="single" w:color="auto" w:sz="4" w:space="0"/>
              <w:right w:val="single" w:color="auto" w:sz="4" w:space="0"/>
            </w:tcBorders>
            <w:noWrap w:val="0"/>
            <w:vAlign w:val="center"/>
          </w:tcPr>
          <w:p w14:paraId="03B8F41F">
            <w:pPr>
              <w:widowControl/>
              <w:jc w:val="left"/>
              <w:rPr>
                <w:szCs w:val="21"/>
              </w:rPr>
            </w:pPr>
            <w:r>
              <w:rPr>
                <w:rFonts w:hint="eastAsia"/>
                <w:szCs w:val="21"/>
              </w:rPr>
              <w:t>万元</w:t>
            </w:r>
          </w:p>
        </w:tc>
        <w:tc>
          <w:tcPr>
            <w:tcW w:w="1846" w:type="dxa"/>
            <w:tcBorders>
              <w:top w:val="nil"/>
              <w:left w:val="nil"/>
              <w:bottom w:val="single" w:color="auto" w:sz="4" w:space="0"/>
              <w:right w:val="single" w:color="auto" w:sz="4" w:space="0"/>
            </w:tcBorders>
            <w:noWrap w:val="0"/>
            <w:vAlign w:val="center"/>
          </w:tcPr>
          <w:p w14:paraId="07E98990">
            <w:pPr>
              <w:widowControl/>
              <w:jc w:val="left"/>
              <w:rPr>
                <w:szCs w:val="21"/>
              </w:rPr>
            </w:pPr>
            <w:r>
              <w:rPr>
                <w:rFonts w:hint="eastAsia"/>
                <w:szCs w:val="21"/>
              </w:rPr>
              <w:t>5000≤Z＜10000</w:t>
            </w:r>
          </w:p>
        </w:tc>
        <w:tc>
          <w:tcPr>
            <w:tcW w:w="1570" w:type="dxa"/>
            <w:tcBorders>
              <w:top w:val="nil"/>
              <w:left w:val="nil"/>
              <w:bottom w:val="single" w:color="auto" w:sz="4" w:space="0"/>
              <w:right w:val="single" w:color="auto" w:sz="4" w:space="0"/>
            </w:tcBorders>
            <w:noWrap w:val="0"/>
            <w:vAlign w:val="center"/>
          </w:tcPr>
          <w:p w14:paraId="7E9F868D">
            <w:pPr>
              <w:widowControl/>
              <w:jc w:val="left"/>
              <w:rPr>
                <w:szCs w:val="21"/>
              </w:rPr>
            </w:pPr>
            <w:r>
              <w:rPr>
                <w:rFonts w:hint="eastAsia"/>
                <w:szCs w:val="21"/>
              </w:rPr>
              <w:t>2000≤Y＜5000</w:t>
            </w:r>
          </w:p>
        </w:tc>
        <w:tc>
          <w:tcPr>
            <w:tcW w:w="1009" w:type="dxa"/>
            <w:tcBorders>
              <w:top w:val="nil"/>
              <w:left w:val="nil"/>
              <w:bottom w:val="single" w:color="auto" w:sz="4" w:space="0"/>
              <w:right w:val="single" w:color="auto" w:sz="4" w:space="0"/>
            </w:tcBorders>
            <w:noWrap w:val="0"/>
            <w:vAlign w:val="center"/>
          </w:tcPr>
          <w:p w14:paraId="7A18C581">
            <w:pPr>
              <w:widowControl/>
              <w:jc w:val="left"/>
              <w:rPr>
                <w:szCs w:val="21"/>
              </w:rPr>
            </w:pPr>
            <w:r>
              <w:rPr>
                <w:rFonts w:hint="eastAsia"/>
                <w:szCs w:val="21"/>
              </w:rPr>
              <w:t>Y＜2000</w:t>
            </w:r>
          </w:p>
        </w:tc>
      </w:tr>
      <w:tr w14:paraId="5253A359">
        <w:tblPrEx>
          <w:tblCellMar>
            <w:top w:w="0" w:type="dxa"/>
            <w:left w:w="108" w:type="dxa"/>
            <w:bottom w:w="0" w:type="dxa"/>
            <w:right w:w="108" w:type="dxa"/>
          </w:tblCellMar>
        </w:tblPrEx>
        <w:trPr>
          <w:trHeight w:val="220" w:hRule="atLeast"/>
        </w:trPr>
        <w:tc>
          <w:tcPr>
            <w:tcW w:w="1446" w:type="dxa"/>
            <w:vMerge w:val="restart"/>
            <w:tcBorders>
              <w:top w:val="nil"/>
              <w:left w:val="single" w:color="auto" w:sz="4" w:space="0"/>
              <w:bottom w:val="single" w:color="auto" w:sz="4" w:space="0"/>
              <w:right w:val="single" w:color="auto" w:sz="4" w:space="0"/>
            </w:tcBorders>
            <w:noWrap w:val="0"/>
            <w:vAlign w:val="bottom"/>
          </w:tcPr>
          <w:p w14:paraId="2F122572">
            <w:pPr>
              <w:widowControl/>
              <w:jc w:val="center"/>
              <w:rPr>
                <w:szCs w:val="21"/>
              </w:rPr>
            </w:pPr>
            <w:r>
              <w:rPr>
                <w:rFonts w:hint="eastAsia"/>
                <w:szCs w:val="21"/>
              </w:rPr>
              <w:t>物业管理</w:t>
            </w:r>
          </w:p>
        </w:tc>
        <w:tc>
          <w:tcPr>
            <w:tcW w:w="1701" w:type="dxa"/>
            <w:tcBorders>
              <w:top w:val="nil"/>
              <w:left w:val="nil"/>
              <w:bottom w:val="single" w:color="auto" w:sz="4" w:space="0"/>
              <w:right w:val="single" w:color="auto" w:sz="4" w:space="0"/>
            </w:tcBorders>
            <w:noWrap w:val="0"/>
            <w:vAlign w:val="center"/>
          </w:tcPr>
          <w:p w14:paraId="60FA198F">
            <w:pPr>
              <w:widowControl/>
              <w:jc w:val="left"/>
              <w:rPr>
                <w:szCs w:val="21"/>
              </w:rPr>
            </w:pPr>
            <w:r>
              <w:rPr>
                <w:rFonts w:hint="eastAsia"/>
                <w:szCs w:val="21"/>
              </w:rPr>
              <w:t>从业人员（X）</w:t>
            </w:r>
          </w:p>
        </w:tc>
        <w:tc>
          <w:tcPr>
            <w:tcW w:w="1134" w:type="dxa"/>
            <w:tcBorders>
              <w:top w:val="nil"/>
              <w:left w:val="nil"/>
              <w:bottom w:val="single" w:color="auto" w:sz="4" w:space="0"/>
              <w:right w:val="single" w:color="auto" w:sz="4" w:space="0"/>
            </w:tcBorders>
            <w:noWrap w:val="0"/>
            <w:vAlign w:val="center"/>
          </w:tcPr>
          <w:p w14:paraId="060B2BC4">
            <w:pPr>
              <w:widowControl/>
              <w:jc w:val="left"/>
              <w:rPr>
                <w:szCs w:val="21"/>
              </w:rPr>
            </w:pPr>
            <w:r>
              <w:rPr>
                <w:rFonts w:hint="eastAsia"/>
                <w:szCs w:val="21"/>
              </w:rPr>
              <w:t>人</w:t>
            </w:r>
          </w:p>
        </w:tc>
        <w:tc>
          <w:tcPr>
            <w:tcW w:w="1846" w:type="dxa"/>
            <w:tcBorders>
              <w:top w:val="nil"/>
              <w:left w:val="nil"/>
              <w:bottom w:val="single" w:color="auto" w:sz="4" w:space="0"/>
              <w:right w:val="single" w:color="auto" w:sz="4" w:space="0"/>
            </w:tcBorders>
            <w:noWrap w:val="0"/>
            <w:vAlign w:val="center"/>
          </w:tcPr>
          <w:p w14:paraId="7F33D04C">
            <w:pPr>
              <w:widowControl/>
              <w:jc w:val="left"/>
              <w:rPr>
                <w:szCs w:val="21"/>
              </w:rPr>
            </w:pPr>
            <w:r>
              <w:rPr>
                <w:rFonts w:hint="eastAsia"/>
                <w:szCs w:val="21"/>
              </w:rPr>
              <w:t>300≤X＜1000</w:t>
            </w:r>
          </w:p>
        </w:tc>
        <w:tc>
          <w:tcPr>
            <w:tcW w:w="1570" w:type="dxa"/>
            <w:tcBorders>
              <w:top w:val="nil"/>
              <w:left w:val="nil"/>
              <w:bottom w:val="single" w:color="auto" w:sz="4" w:space="0"/>
              <w:right w:val="single" w:color="auto" w:sz="4" w:space="0"/>
            </w:tcBorders>
            <w:noWrap w:val="0"/>
            <w:vAlign w:val="center"/>
          </w:tcPr>
          <w:p w14:paraId="74D59C39">
            <w:pPr>
              <w:widowControl/>
              <w:jc w:val="left"/>
              <w:rPr>
                <w:szCs w:val="21"/>
              </w:rPr>
            </w:pPr>
            <w:r>
              <w:rPr>
                <w:rFonts w:hint="eastAsia"/>
                <w:szCs w:val="21"/>
              </w:rPr>
              <w:t>100≤X＜300</w:t>
            </w:r>
          </w:p>
        </w:tc>
        <w:tc>
          <w:tcPr>
            <w:tcW w:w="1009" w:type="dxa"/>
            <w:tcBorders>
              <w:top w:val="nil"/>
              <w:left w:val="nil"/>
              <w:bottom w:val="single" w:color="auto" w:sz="4" w:space="0"/>
              <w:right w:val="single" w:color="auto" w:sz="4" w:space="0"/>
            </w:tcBorders>
            <w:noWrap w:val="0"/>
            <w:vAlign w:val="center"/>
          </w:tcPr>
          <w:p w14:paraId="13491D59">
            <w:pPr>
              <w:widowControl/>
              <w:jc w:val="left"/>
              <w:rPr>
                <w:szCs w:val="21"/>
              </w:rPr>
            </w:pPr>
            <w:r>
              <w:rPr>
                <w:rFonts w:hint="eastAsia"/>
                <w:szCs w:val="21"/>
              </w:rPr>
              <w:t>X＜100</w:t>
            </w:r>
          </w:p>
        </w:tc>
      </w:tr>
      <w:tr w14:paraId="5C5FACB0">
        <w:tblPrEx>
          <w:tblCellMar>
            <w:top w:w="0" w:type="dxa"/>
            <w:left w:w="108" w:type="dxa"/>
            <w:bottom w:w="0" w:type="dxa"/>
            <w:right w:w="108" w:type="dxa"/>
          </w:tblCellMar>
        </w:tblPrEx>
        <w:trPr>
          <w:trHeight w:val="220" w:hRule="atLeast"/>
        </w:trPr>
        <w:tc>
          <w:tcPr>
            <w:tcW w:w="1446" w:type="dxa"/>
            <w:vMerge w:val="continue"/>
            <w:tcBorders>
              <w:top w:val="nil"/>
              <w:left w:val="single" w:color="auto" w:sz="4" w:space="0"/>
              <w:bottom w:val="single" w:color="auto" w:sz="4" w:space="0"/>
              <w:right w:val="single" w:color="auto" w:sz="4" w:space="0"/>
            </w:tcBorders>
            <w:noWrap w:val="0"/>
            <w:vAlign w:val="center"/>
          </w:tcPr>
          <w:p w14:paraId="54DCB806">
            <w:pPr>
              <w:widowControl/>
              <w:jc w:val="left"/>
              <w:rPr>
                <w:szCs w:val="21"/>
              </w:rPr>
            </w:pPr>
          </w:p>
        </w:tc>
        <w:tc>
          <w:tcPr>
            <w:tcW w:w="1701" w:type="dxa"/>
            <w:tcBorders>
              <w:top w:val="nil"/>
              <w:left w:val="nil"/>
              <w:bottom w:val="single" w:color="auto" w:sz="4" w:space="0"/>
              <w:right w:val="single" w:color="auto" w:sz="4" w:space="0"/>
            </w:tcBorders>
            <w:noWrap w:val="0"/>
            <w:vAlign w:val="center"/>
          </w:tcPr>
          <w:p w14:paraId="7DC4ED38">
            <w:pPr>
              <w:widowControl/>
              <w:jc w:val="left"/>
              <w:rPr>
                <w:szCs w:val="21"/>
              </w:rPr>
            </w:pPr>
            <w:r>
              <w:rPr>
                <w:rFonts w:hint="eastAsia"/>
                <w:szCs w:val="21"/>
              </w:rPr>
              <w:t>营业收入（Y）</w:t>
            </w:r>
          </w:p>
        </w:tc>
        <w:tc>
          <w:tcPr>
            <w:tcW w:w="1134" w:type="dxa"/>
            <w:tcBorders>
              <w:top w:val="nil"/>
              <w:left w:val="nil"/>
              <w:bottom w:val="single" w:color="auto" w:sz="4" w:space="0"/>
              <w:right w:val="single" w:color="auto" w:sz="4" w:space="0"/>
            </w:tcBorders>
            <w:noWrap w:val="0"/>
            <w:vAlign w:val="center"/>
          </w:tcPr>
          <w:p w14:paraId="7F36B58C">
            <w:pPr>
              <w:widowControl/>
              <w:jc w:val="left"/>
              <w:rPr>
                <w:szCs w:val="21"/>
              </w:rPr>
            </w:pPr>
            <w:r>
              <w:rPr>
                <w:rFonts w:hint="eastAsia"/>
                <w:szCs w:val="21"/>
              </w:rPr>
              <w:t>万元</w:t>
            </w:r>
          </w:p>
        </w:tc>
        <w:tc>
          <w:tcPr>
            <w:tcW w:w="1846" w:type="dxa"/>
            <w:tcBorders>
              <w:top w:val="nil"/>
              <w:left w:val="nil"/>
              <w:bottom w:val="single" w:color="auto" w:sz="4" w:space="0"/>
              <w:right w:val="single" w:color="auto" w:sz="4" w:space="0"/>
            </w:tcBorders>
            <w:noWrap w:val="0"/>
            <w:vAlign w:val="center"/>
          </w:tcPr>
          <w:p w14:paraId="3AD15100">
            <w:pPr>
              <w:widowControl/>
              <w:jc w:val="left"/>
              <w:rPr>
                <w:szCs w:val="21"/>
              </w:rPr>
            </w:pPr>
            <w:r>
              <w:rPr>
                <w:rFonts w:hint="eastAsia"/>
                <w:szCs w:val="21"/>
              </w:rPr>
              <w:t>1000≤Y＜5000</w:t>
            </w:r>
          </w:p>
        </w:tc>
        <w:tc>
          <w:tcPr>
            <w:tcW w:w="1570" w:type="dxa"/>
            <w:tcBorders>
              <w:top w:val="nil"/>
              <w:left w:val="nil"/>
              <w:bottom w:val="single" w:color="auto" w:sz="4" w:space="0"/>
              <w:right w:val="single" w:color="auto" w:sz="4" w:space="0"/>
            </w:tcBorders>
            <w:noWrap w:val="0"/>
            <w:vAlign w:val="center"/>
          </w:tcPr>
          <w:p w14:paraId="57740E17">
            <w:pPr>
              <w:widowControl/>
              <w:jc w:val="left"/>
              <w:rPr>
                <w:szCs w:val="21"/>
              </w:rPr>
            </w:pPr>
            <w:r>
              <w:rPr>
                <w:rFonts w:hint="eastAsia"/>
                <w:szCs w:val="21"/>
              </w:rPr>
              <w:t>500≤Y＜1000</w:t>
            </w:r>
          </w:p>
        </w:tc>
        <w:tc>
          <w:tcPr>
            <w:tcW w:w="1009" w:type="dxa"/>
            <w:tcBorders>
              <w:top w:val="nil"/>
              <w:left w:val="nil"/>
              <w:bottom w:val="single" w:color="auto" w:sz="4" w:space="0"/>
              <w:right w:val="single" w:color="auto" w:sz="4" w:space="0"/>
            </w:tcBorders>
            <w:noWrap w:val="0"/>
            <w:vAlign w:val="center"/>
          </w:tcPr>
          <w:p w14:paraId="4F583158">
            <w:pPr>
              <w:widowControl/>
              <w:jc w:val="left"/>
              <w:rPr>
                <w:szCs w:val="21"/>
              </w:rPr>
            </w:pPr>
            <w:r>
              <w:rPr>
                <w:rFonts w:hint="eastAsia"/>
                <w:szCs w:val="21"/>
              </w:rPr>
              <w:t>Y＜500</w:t>
            </w:r>
          </w:p>
        </w:tc>
      </w:tr>
      <w:tr w14:paraId="6BF9F814">
        <w:tblPrEx>
          <w:tblCellMar>
            <w:top w:w="0" w:type="dxa"/>
            <w:left w:w="108" w:type="dxa"/>
            <w:bottom w:w="0" w:type="dxa"/>
            <w:right w:w="108" w:type="dxa"/>
          </w:tblCellMar>
        </w:tblPrEx>
        <w:trPr>
          <w:trHeight w:val="220" w:hRule="atLeast"/>
        </w:trPr>
        <w:tc>
          <w:tcPr>
            <w:tcW w:w="1446" w:type="dxa"/>
            <w:vMerge w:val="restart"/>
            <w:tcBorders>
              <w:top w:val="nil"/>
              <w:left w:val="single" w:color="auto" w:sz="4" w:space="0"/>
              <w:bottom w:val="single" w:color="auto" w:sz="4" w:space="0"/>
              <w:right w:val="single" w:color="auto" w:sz="4" w:space="0"/>
            </w:tcBorders>
            <w:noWrap w:val="0"/>
            <w:vAlign w:val="bottom"/>
          </w:tcPr>
          <w:p w14:paraId="3874C2BA">
            <w:pPr>
              <w:widowControl/>
              <w:jc w:val="center"/>
              <w:rPr>
                <w:szCs w:val="21"/>
              </w:rPr>
            </w:pPr>
            <w:r>
              <w:rPr>
                <w:rFonts w:hint="eastAsia"/>
                <w:szCs w:val="21"/>
              </w:rPr>
              <w:t>租赁和商务服务业</w:t>
            </w:r>
          </w:p>
        </w:tc>
        <w:tc>
          <w:tcPr>
            <w:tcW w:w="1701" w:type="dxa"/>
            <w:tcBorders>
              <w:top w:val="nil"/>
              <w:left w:val="nil"/>
              <w:bottom w:val="single" w:color="auto" w:sz="4" w:space="0"/>
              <w:right w:val="single" w:color="auto" w:sz="4" w:space="0"/>
            </w:tcBorders>
            <w:noWrap w:val="0"/>
            <w:vAlign w:val="center"/>
          </w:tcPr>
          <w:p w14:paraId="4783935F">
            <w:pPr>
              <w:widowControl/>
              <w:jc w:val="left"/>
              <w:rPr>
                <w:szCs w:val="21"/>
              </w:rPr>
            </w:pPr>
            <w:r>
              <w:rPr>
                <w:rFonts w:hint="eastAsia"/>
                <w:szCs w:val="21"/>
              </w:rPr>
              <w:t>从业人员（X）</w:t>
            </w:r>
          </w:p>
        </w:tc>
        <w:tc>
          <w:tcPr>
            <w:tcW w:w="1134" w:type="dxa"/>
            <w:tcBorders>
              <w:top w:val="nil"/>
              <w:left w:val="nil"/>
              <w:bottom w:val="single" w:color="auto" w:sz="4" w:space="0"/>
              <w:right w:val="single" w:color="auto" w:sz="4" w:space="0"/>
            </w:tcBorders>
            <w:noWrap w:val="0"/>
            <w:vAlign w:val="center"/>
          </w:tcPr>
          <w:p w14:paraId="0DFCBB1E">
            <w:pPr>
              <w:widowControl/>
              <w:jc w:val="left"/>
              <w:rPr>
                <w:szCs w:val="21"/>
              </w:rPr>
            </w:pPr>
            <w:r>
              <w:rPr>
                <w:rFonts w:hint="eastAsia"/>
                <w:szCs w:val="21"/>
              </w:rPr>
              <w:t>人</w:t>
            </w:r>
          </w:p>
        </w:tc>
        <w:tc>
          <w:tcPr>
            <w:tcW w:w="1846" w:type="dxa"/>
            <w:tcBorders>
              <w:top w:val="nil"/>
              <w:left w:val="nil"/>
              <w:bottom w:val="single" w:color="auto" w:sz="4" w:space="0"/>
              <w:right w:val="single" w:color="auto" w:sz="4" w:space="0"/>
            </w:tcBorders>
            <w:noWrap w:val="0"/>
            <w:vAlign w:val="center"/>
          </w:tcPr>
          <w:p w14:paraId="1250AC57">
            <w:pPr>
              <w:widowControl/>
              <w:jc w:val="left"/>
              <w:rPr>
                <w:szCs w:val="21"/>
              </w:rPr>
            </w:pPr>
            <w:r>
              <w:rPr>
                <w:rFonts w:hint="eastAsia"/>
                <w:szCs w:val="21"/>
              </w:rPr>
              <w:t>100≤X＜300</w:t>
            </w:r>
          </w:p>
        </w:tc>
        <w:tc>
          <w:tcPr>
            <w:tcW w:w="1570" w:type="dxa"/>
            <w:tcBorders>
              <w:top w:val="nil"/>
              <w:left w:val="nil"/>
              <w:bottom w:val="single" w:color="auto" w:sz="4" w:space="0"/>
              <w:right w:val="single" w:color="auto" w:sz="4" w:space="0"/>
            </w:tcBorders>
            <w:noWrap w:val="0"/>
            <w:vAlign w:val="center"/>
          </w:tcPr>
          <w:p w14:paraId="0399184C">
            <w:pPr>
              <w:widowControl/>
              <w:jc w:val="left"/>
              <w:rPr>
                <w:szCs w:val="21"/>
              </w:rPr>
            </w:pPr>
            <w:r>
              <w:rPr>
                <w:rFonts w:hint="eastAsia"/>
                <w:szCs w:val="21"/>
              </w:rPr>
              <w:t>10≤X＜100</w:t>
            </w:r>
          </w:p>
        </w:tc>
        <w:tc>
          <w:tcPr>
            <w:tcW w:w="1009" w:type="dxa"/>
            <w:tcBorders>
              <w:top w:val="nil"/>
              <w:left w:val="nil"/>
              <w:bottom w:val="single" w:color="auto" w:sz="4" w:space="0"/>
              <w:right w:val="single" w:color="auto" w:sz="4" w:space="0"/>
            </w:tcBorders>
            <w:noWrap w:val="0"/>
            <w:vAlign w:val="center"/>
          </w:tcPr>
          <w:p w14:paraId="49DC8B3F">
            <w:pPr>
              <w:widowControl/>
              <w:jc w:val="left"/>
              <w:rPr>
                <w:szCs w:val="21"/>
              </w:rPr>
            </w:pPr>
            <w:r>
              <w:rPr>
                <w:rFonts w:hint="eastAsia"/>
                <w:szCs w:val="21"/>
              </w:rPr>
              <w:t>X＜10</w:t>
            </w:r>
          </w:p>
        </w:tc>
      </w:tr>
      <w:tr w14:paraId="4E7AFFC9">
        <w:tblPrEx>
          <w:tblCellMar>
            <w:top w:w="0" w:type="dxa"/>
            <w:left w:w="108" w:type="dxa"/>
            <w:bottom w:w="0" w:type="dxa"/>
            <w:right w:w="108" w:type="dxa"/>
          </w:tblCellMar>
        </w:tblPrEx>
        <w:trPr>
          <w:trHeight w:val="220" w:hRule="atLeast"/>
        </w:trPr>
        <w:tc>
          <w:tcPr>
            <w:tcW w:w="1446" w:type="dxa"/>
            <w:vMerge w:val="continue"/>
            <w:tcBorders>
              <w:top w:val="nil"/>
              <w:left w:val="single" w:color="auto" w:sz="4" w:space="0"/>
              <w:bottom w:val="single" w:color="auto" w:sz="4" w:space="0"/>
              <w:right w:val="single" w:color="auto" w:sz="4" w:space="0"/>
            </w:tcBorders>
            <w:noWrap w:val="0"/>
            <w:vAlign w:val="center"/>
          </w:tcPr>
          <w:p w14:paraId="14CFC31F">
            <w:pPr>
              <w:widowControl/>
              <w:jc w:val="left"/>
              <w:rPr>
                <w:szCs w:val="21"/>
              </w:rPr>
            </w:pPr>
          </w:p>
        </w:tc>
        <w:tc>
          <w:tcPr>
            <w:tcW w:w="1701" w:type="dxa"/>
            <w:tcBorders>
              <w:top w:val="nil"/>
              <w:left w:val="nil"/>
              <w:bottom w:val="single" w:color="auto" w:sz="4" w:space="0"/>
              <w:right w:val="single" w:color="auto" w:sz="4" w:space="0"/>
            </w:tcBorders>
            <w:noWrap w:val="0"/>
            <w:vAlign w:val="center"/>
          </w:tcPr>
          <w:p w14:paraId="6DA86C35">
            <w:pPr>
              <w:widowControl/>
              <w:jc w:val="left"/>
              <w:rPr>
                <w:szCs w:val="21"/>
              </w:rPr>
            </w:pPr>
            <w:r>
              <w:rPr>
                <w:rFonts w:hint="eastAsia"/>
                <w:szCs w:val="21"/>
              </w:rPr>
              <w:t>资产总额（Z）</w:t>
            </w:r>
          </w:p>
        </w:tc>
        <w:tc>
          <w:tcPr>
            <w:tcW w:w="1134" w:type="dxa"/>
            <w:tcBorders>
              <w:top w:val="nil"/>
              <w:left w:val="nil"/>
              <w:bottom w:val="single" w:color="auto" w:sz="4" w:space="0"/>
              <w:right w:val="single" w:color="auto" w:sz="4" w:space="0"/>
            </w:tcBorders>
            <w:noWrap w:val="0"/>
            <w:vAlign w:val="center"/>
          </w:tcPr>
          <w:p w14:paraId="17161D0C">
            <w:pPr>
              <w:widowControl/>
              <w:jc w:val="left"/>
              <w:rPr>
                <w:szCs w:val="21"/>
              </w:rPr>
            </w:pPr>
            <w:r>
              <w:rPr>
                <w:rFonts w:hint="eastAsia"/>
                <w:szCs w:val="21"/>
              </w:rPr>
              <w:t>万元</w:t>
            </w:r>
          </w:p>
        </w:tc>
        <w:tc>
          <w:tcPr>
            <w:tcW w:w="1846" w:type="dxa"/>
            <w:tcBorders>
              <w:top w:val="nil"/>
              <w:left w:val="nil"/>
              <w:bottom w:val="single" w:color="auto" w:sz="4" w:space="0"/>
              <w:right w:val="single" w:color="auto" w:sz="4" w:space="0"/>
            </w:tcBorders>
            <w:noWrap w:val="0"/>
            <w:vAlign w:val="center"/>
          </w:tcPr>
          <w:p w14:paraId="43F57995">
            <w:pPr>
              <w:widowControl/>
              <w:jc w:val="left"/>
              <w:rPr>
                <w:szCs w:val="21"/>
              </w:rPr>
            </w:pPr>
            <w:r>
              <w:rPr>
                <w:rFonts w:hint="eastAsia"/>
                <w:szCs w:val="21"/>
              </w:rPr>
              <w:t>8000≤Z＜120000</w:t>
            </w:r>
          </w:p>
        </w:tc>
        <w:tc>
          <w:tcPr>
            <w:tcW w:w="1570" w:type="dxa"/>
            <w:tcBorders>
              <w:top w:val="nil"/>
              <w:left w:val="nil"/>
              <w:bottom w:val="single" w:color="auto" w:sz="4" w:space="0"/>
              <w:right w:val="single" w:color="auto" w:sz="4" w:space="0"/>
            </w:tcBorders>
            <w:noWrap w:val="0"/>
            <w:vAlign w:val="center"/>
          </w:tcPr>
          <w:p w14:paraId="3404722B">
            <w:pPr>
              <w:widowControl/>
              <w:jc w:val="left"/>
              <w:rPr>
                <w:szCs w:val="21"/>
              </w:rPr>
            </w:pPr>
            <w:r>
              <w:rPr>
                <w:rFonts w:hint="eastAsia"/>
                <w:szCs w:val="21"/>
              </w:rPr>
              <w:t>100≤Z＜8000</w:t>
            </w:r>
          </w:p>
        </w:tc>
        <w:tc>
          <w:tcPr>
            <w:tcW w:w="1009" w:type="dxa"/>
            <w:tcBorders>
              <w:top w:val="nil"/>
              <w:left w:val="nil"/>
              <w:bottom w:val="single" w:color="auto" w:sz="4" w:space="0"/>
              <w:right w:val="single" w:color="auto" w:sz="4" w:space="0"/>
            </w:tcBorders>
            <w:noWrap w:val="0"/>
            <w:vAlign w:val="center"/>
          </w:tcPr>
          <w:p w14:paraId="4F34F858">
            <w:pPr>
              <w:widowControl/>
              <w:jc w:val="left"/>
              <w:rPr>
                <w:szCs w:val="21"/>
              </w:rPr>
            </w:pPr>
            <w:r>
              <w:rPr>
                <w:rFonts w:hint="eastAsia"/>
                <w:szCs w:val="21"/>
              </w:rPr>
              <w:t>Y＜100</w:t>
            </w:r>
          </w:p>
        </w:tc>
      </w:tr>
      <w:tr w14:paraId="784756A2">
        <w:tblPrEx>
          <w:tblCellMar>
            <w:top w:w="0" w:type="dxa"/>
            <w:left w:w="108" w:type="dxa"/>
            <w:bottom w:w="0" w:type="dxa"/>
            <w:right w:w="108" w:type="dxa"/>
          </w:tblCellMar>
        </w:tblPrEx>
        <w:trPr>
          <w:trHeight w:val="220" w:hRule="atLeast"/>
        </w:trPr>
        <w:tc>
          <w:tcPr>
            <w:tcW w:w="1446" w:type="dxa"/>
            <w:tcBorders>
              <w:top w:val="nil"/>
              <w:left w:val="single" w:color="auto" w:sz="4" w:space="0"/>
              <w:bottom w:val="single" w:color="auto" w:sz="4" w:space="0"/>
              <w:right w:val="single" w:color="auto" w:sz="4" w:space="0"/>
            </w:tcBorders>
            <w:noWrap w:val="0"/>
            <w:vAlign w:val="bottom"/>
          </w:tcPr>
          <w:p w14:paraId="757551ED">
            <w:pPr>
              <w:widowControl/>
              <w:jc w:val="center"/>
              <w:rPr>
                <w:szCs w:val="21"/>
              </w:rPr>
            </w:pPr>
            <w:r>
              <w:rPr>
                <w:rFonts w:hint="eastAsia"/>
                <w:szCs w:val="21"/>
              </w:rPr>
              <w:t>其他未列明行业</w:t>
            </w:r>
          </w:p>
        </w:tc>
        <w:tc>
          <w:tcPr>
            <w:tcW w:w="1701" w:type="dxa"/>
            <w:tcBorders>
              <w:top w:val="nil"/>
              <w:left w:val="nil"/>
              <w:bottom w:val="single" w:color="auto" w:sz="4" w:space="0"/>
              <w:right w:val="single" w:color="auto" w:sz="4" w:space="0"/>
            </w:tcBorders>
            <w:noWrap w:val="0"/>
            <w:vAlign w:val="center"/>
          </w:tcPr>
          <w:p w14:paraId="3E5EA88F">
            <w:pPr>
              <w:widowControl/>
              <w:jc w:val="left"/>
              <w:rPr>
                <w:szCs w:val="21"/>
              </w:rPr>
            </w:pPr>
            <w:r>
              <w:rPr>
                <w:rFonts w:hint="eastAsia"/>
                <w:szCs w:val="21"/>
              </w:rPr>
              <w:t>从业人员（X）</w:t>
            </w:r>
          </w:p>
        </w:tc>
        <w:tc>
          <w:tcPr>
            <w:tcW w:w="1134" w:type="dxa"/>
            <w:tcBorders>
              <w:top w:val="nil"/>
              <w:left w:val="nil"/>
              <w:bottom w:val="single" w:color="auto" w:sz="4" w:space="0"/>
              <w:right w:val="single" w:color="auto" w:sz="4" w:space="0"/>
            </w:tcBorders>
            <w:noWrap w:val="0"/>
            <w:vAlign w:val="center"/>
          </w:tcPr>
          <w:p w14:paraId="178290C6">
            <w:pPr>
              <w:widowControl/>
              <w:jc w:val="left"/>
              <w:rPr>
                <w:szCs w:val="21"/>
              </w:rPr>
            </w:pPr>
            <w:r>
              <w:rPr>
                <w:rFonts w:hint="eastAsia"/>
                <w:szCs w:val="21"/>
              </w:rPr>
              <w:t>人</w:t>
            </w:r>
          </w:p>
        </w:tc>
        <w:tc>
          <w:tcPr>
            <w:tcW w:w="1846" w:type="dxa"/>
            <w:tcBorders>
              <w:top w:val="nil"/>
              <w:left w:val="nil"/>
              <w:bottom w:val="single" w:color="auto" w:sz="4" w:space="0"/>
              <w:right w:val="single" w:color="auto" w:sz="4" w:space="0"/>
            </w:tcBorders>
            <w:noWrap w:val="0"/>
            <w:vAlign w:val="center"/>
          </w:tcPr>
          <w:p w14:paraId="32253DBD">
            <w:pPr>
              <w:widowControl/>
              <w:jc w:val="left"/>
              <w:rPr>
                <w:szCs w:val="21"/>
              </w:rPr>
            </w:pPr>
            <w:r>
              <w:rPr>
                <w:rFonts w:hint="eastAsia"/>
                <w:szCs w:val="21"/>
              </w:rPr>
              <w:t>100≤X＜300</w:t>
            </w:r>
          </w:p>
        </w:tc>
        <w:tc>
          <w:tcPr>
            <w:tcW w:w="1570" w:type="dxa"/>
            <w:tcBorders>
              <w:top w:val="nil"/>
              <w:left w:val="nil"/>
              <w:bottom w:val="single" w:color="auto" w:sz="4" w:space="0"/>
              <w:right w:val="single" w:color="auto" w:sz="4" w:space="0"/>
            </w:tcBorders>
            <w:noWrap w:val="0"/>
            <w:vAlign w:val="center"/>
          </w:tcPr>
          <w:p w14:paraId="304DFEE8">
            <w:pPr>
              <w:widowControl/>
              <w:jc w:val="left"/>
              <w:rPr>
                <w:szCs w:val="21"/>
              </w:rPr>
            </w:pPr>
            <w:r>
              <w:rPr>
                <w:rFonts w:hint="eastAsia"/>
                <w:szCs w:val="21"/>
              </w:rPr>
              <w:t>10≤X＜100</w:t>
            </w:r>
          </w:p>
        </w:tc>
        <w:tc>
          <w:tcPr>
            <w:tcW w:w="1009" w:type="dxa"/>
            <w:tcBorders>
              <w:top w:val="nil"/>
              <w:left w:val="nil"/>
              <w:bottom w:val="single" w:color="auto" w:sz="4" w:space="0"/>
              <w:right w:val="single" w:color="auto" w:sz="4" w:space="0"/>
            </w:tcBorders>
            <w:noWrap w:val="0"/>
            <w:vAlign w:val="center"/>
          </w:tcPr>
          <w:p w14:paraId="398E836E">
            <w:pPr>
              <w:widowControl/>
              <w:jc w:val="left"/>
              <w:rPr>
                <w:szCs w:val="21"/>
              </w:rPr>
            </w:pPr>
            <w:r>
              <w:rPr>
                <w:rFonts w:hint="eastAsia"/>
                <w:szCs w:val="21"/>
              </w:rPr>
              <w:t>X＜10</w:t>
            </w:r>
          </w:p>
        </w:tc>
      </w:tr>
    </w:tbl>
    <w:p w14:paraId="3BABE6E2">
      <w:pPr>
        <w:spacing w:line="360" w:lineRule="auto"/>
        <w:ind w:firstLine="525" w:firstLineChars="250"/>
        <w:rPr>
          <w:szCs w:val="21"/>
        </w:rPr>
      </w:pPr>
      <w:r>
        <w:rPr>
          <w:rFonts w:hint="eastAsia"/>
          <w:szCs w:val="21"/>
        </w:rPr>
        <w:t>说明：上述标准参照《关于印发中小企业划型标准规定的通知》（工信部联企业</w:t>
      </w:r>
      <w:r>
        <w:rPr>
          <w:rFonts w:hint="eastAsia"/>
          <w:szCs w:val="21"/>
          <w:lang w:eastAsia="zh-CN"/>
        </w:rPr>
        <w:t>〔2011〕300号</w:t>
      </w:r>
      <w:r>
        <w:rPr>
          <w:rFonts w:hint="eastAsia"/>
          <w:szCs w:val="21"/>
        </w:rPr>
        <w:t>），大型、中型和小型企业须同时满足所列指标的下限，否则下划一档；微型企业只须满足所列指标中的一项即可。</w:t>
      </w:r>
    </w:p>
    <w:p w14:paraId="1085B747">
      <w:pPr>
        <w:widowControl/>
        <w:jc w:val="left"/>
        <w:rPr>
          <w:color w:val="4472C4"/>
          <w:szCs w:val="21"/>
        </w:rPr>
      </w:pPr>
      <w:r>
        <w:rPr>
          <w:color w:val="4472C4"/>
          <w:szCs w:val="21"/>
        </w:rPr>
        <w:br w:type="page"/>
      </w:r>
    </w:p>
    <w:bookmarkEnd w:id="35"/>
    <w:p w14:paraId="35F60CB8">
      <w:pPr>
        <w:spacing w:line="360" w:lineRule="auto"/>
        <w:rPr>
          <w:sz w:val="28"/>
          <w:szCs w:val="28"/>
        </w:rPr>
      </w:pPr>
      <w:bookmarkStart w:id="36" w:name="_Hlk132788258"/>
      <w:r>
        <w:rPr>
          <w:rFonts w:hint="eastAsia"/>
          <w:sz w:val="28"/>
          <w:szCs w:val="28"/>
        </w:rPr>
        <w:t>附件2：</w:t>
      </w:r>
    </w:p>
    <w:p w14:paraId="4A26E2B7">
      <w:pPr>
        <w:spacing w:line="360" w:lineRule="auto"/>
        <w:rPr>
          <w:sz w:val="28"/>
          <w:szCs w:val="28"/>
        </w:rPr>
      </w:pPr>
      <w:r>
        <w:rPr>
          <w:rFonts w:ascii="宋体" w:hAnsi="宋体" w:cs="宋体"/>
          <w:position w:val="-335"/>
          <w:sz w:val="20"/>
          <w:szCs w:val="20"/>
        </w:rPr>
        <w:drawing>
          <wp:anchor distT="0" distB="0" distL="114300" distR="114300" simplePos="0" relativeHeight="251660288" behindDoc="0" locked="0" layoutInCell="1" allowOverlap="1">
            <wp:simplePos x="0" y="0"/>
            <wp:positionH relativeFrom="column">
              <wp:posOffset>1905</wp:posOffset>
            </wp:positionH>
            <wp:positionV relativeFrom="paragraph">
              <wp:posOffset>204470</wp:posOffset>
            </wp:positionV>
            <wp:extent cx="5573395" cy="8125460"/>
            <wp:effectExtent l="0" t="0" r="8255" b="8890"/>
            <wp:wrapSquare wrapText="bothSides"/>
            <wp:docPr id="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pic:cNvPicPr>
                      <a:picLocks noChangeAspect="1"/>
                    </pic:cNvPicPr>
                  </pic:nvPicPr>
                  <pic:blipFill>
                    <a:blip r:embed="rId20"/>
                    <a:stretch>
                      <a:fillRect/>
                    </a:stretch>
                  </pic:blipFill>
                  <pic:spPr>
                    <a:xfrm>
                      <a:off x="0" y="0"/>
                      <a:ext cx="5573395" cy="8125460"/>
                    </a:xfrm>
                    <a:prstGeom prst="rect">
                      <a:avLst/>
                    </a:prstGeom>
                    <a:noFill/>
                    <a:ln>
                      <a:noFill/>
                    </a:ln>
                  </pic:spPr>
                </pic:pic>
              </a:graphicData>
            </a:graphic>
          </wp:anchor>
        </w:drawing>
      </w:r>
      <w:r>
        <w:rPr>
          <w:szCs w:val="21"/>
        </w:rPr>
        <w:br w:type="page"/>
      </w:r>
      <w:r>
        <w:rPr>
          <w:rFonts w:hint="eastAsia"/>
          <w:sz w:val="28"/>
          <w:szCs w:val="28"/>
        </w:rPr>
        <w:t>附件3：</w:t>
      </w:r>
    </w:p>
    <w:p w14:paraId="155E845C">
      <w:pPr>
        <w:spacing w:line="528" w:lineRule="exact"/>
        <w:ind w:firstLine="280" w:firstLineChars="100"/>
        <w:jc w:val="center"/>
        <w:rPr>
          <w:rFonts w:hint="eastAsia" w:ascii="Times New Roman" w:hAnsi="Times New Roman" w:eastAsia="宋体" w:cs="Times New Roman"/>
          <w:sz w:val="28"/>
          <w:szCs w:val="28"/>
        </w:rPr>
      </w:pPr>
      <w:r>
        <w:rPr>
          <w:rFonts w:hint="eastAsia" w:ascii="Times New Roman" w:hAnsi="Times New Roman" w:eastAsia="宋体" w:cs="Times New Roman"/>
          <w:sz w:val="28"/>
          <w:szCs w:val="28"/>
        </w:rPr>
        <w:t>节能产品政府采购品目清单</w:t>
      </w:r>
    </w:p>
    <w:p w14:paraId="524CDBDB">
      <w:pPr>
        <w:spacing w:line="151" w:lineRule="exact"/>
      </w:pPr>
    </w:p>
    <w:tbl>
      <w:tblPr>
        <w:tblStyle w:val="213"/>
        <w:tblW w:w="8426"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78"/>
        <w:gridCol w:w="1166"/>
        <w:gridCol w:w="1799"/>
        <w:gridCol w:w="1914"/>
        <w:gridCol w:w="2969"/>
      </w:tblGrid>
      <w:tr w14:paraId="3CA8C3D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82" w:hRule="atLeast"/>
        </w:trPr>
        <w:tc>
          <w:tcPr>
            <w:tcW w:w="578" w:type="dxa"/>
            <w:vAlign w:val="top"/>
          </w:tcPr>
          <w:p w14:paraId="0A315357">
            <w:pPr>
              <w:pStyle w:val="212"/>
              <w:spacing w:before="128" w:line="224" w:lineRule="auto"/>
              <w:ind w:left="91"/>
              <w:rPr>
                <w:sz w:val="22"/>
                <w:szCs w:val="22"/>
              </w:rPr>
            </w:pPr>
            <w:r>
              <w:rPr>
                <w:b/>
                <w:bCs/>
                <w:spacing w:val="-9"/>
                <w:sz w:val="22"/>
                <w:szCs w:val="22"/>
              </w:rPr>
              <w:t>品目</w:t>
            </w:r>
          </w:p>
          <w:p w14:paraId="598A6C7F">
            <w:pPr>
              <w:pStyle w:val="212"/>
              <w:spacing w:before="45" w:line="222" w:lineRule="auto"/>
              <w:ind w:left="72"/>
              <w:rPr>
                <w:sz w:val="22"/>
                <w:szCs w:val="22"/>
              </w:rPr>
            </w:pPr>
            <w:r>
              <w:rPr>
                <w:b/>
                <w:bCs/>
                <w:spacing w:val="-4"/>
                <w:sz w:val="22"/>
                <w:szCs w:val="22"/>
              </w:rPr>
              <w:t>序号</w:t>
            </w:r>
          </w:p>
        </w:tc>
        <w:tc>
          <w:tcPr>
            <w:tcW w:w="4879" w:type="dxa"/>
            <w:gridSpan w:val="3"/>
            <w:vAlign w:val="top"/>
          </w:tcPr>
          <w:p w14:paraId="66D4BAAC">
            <w:pPr>
              <w:pStyle w:val="212"/>
              <w:spacing w:before="285" w:line="223" w:lineRule="auto"/>
              <w:ind w:left="2226"/>
              <w:rPr>
                <w:sz w:val="22"/>
                <w:szCs w:val="22"/>
              </w:rPr>
            </w:pPr>
            <w:r>
              <w:rPr>
                <w:b/>
                <w:bCs/>
                <w:spacing w:val="-5"/>
                <w:sz w:val="22"/>
                <w:szCs w:val="22"/>
              </w:rPr>
              <w:t>名称</w:t>
            </w:r>
          </w:p>
        </w:tc>
        <w:tc>
          <w:tcPr>
            <w:tcW w:w="2969" w:type="dxa"/>
            <w:vAlign w:val="top"/>
          </w:tcPr>
          <w:p w14:paraId="3A2744A3">
            <w:pPr>
              <w:pStyle w:val="212"/>
              <w:spacing w:before="285" w:line="220" w:lineRule="auto"/>
              <w:ind w:left="939"/>
              <w:rPr>
                <w:sz w:val="22"/>
                <w:szCs w:val="22"/>
              </w:rPr>
            </w:pPr>
            <w:r>
              <w:rPr>
                <w:b/>
                <w:bCs/>
                <w:spacing w:val="-4"/>
                <w:sz w:val="22"/>
                <w:szCs w:val="22"/>
              </w:rPr>
              <w:t>依据的标准</w:t>
            </w:r>
          </w:p>
        </w:tc>
      </w:tr>
      <w:tr w14:paraId="690ADF2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5" w:hRule="atLeast"/>
        </w:trPr>
        <w:tc>
          <w:tcPr>
            <w:tcW w:w="578" w:type="dxa"/>
            <w:vMerge w:val="restart"/>
            <w:tcBorders>
              <w:bottom w:val="nil"/>
            </w:tcBorders>
            <w:vAlign w:val="top"/>
          </w:tcPr>
          <w:p w14:paraId="1228478B">
            <w:pPr>
              <w:spacing w:line="246" w:lineRule="auto"/>
              <w:rPr>
                <w:rFonts w:ascii="Arial"/>
                <w:sz w:val="21"/>
              </w:rPr>
            </w:pPr>
          </w:p>
          <w:p w14:paraId="07C59DD1">
            <w:pPr>
              <w:spacing w:line="247" w:lineRule="auto"/>
              <w:rPr>
                <w:rFonts w:ascii="Arial"/>
                <w:sz w:val="21"/>
              </w:rPr>
            </w:pPr>
          </w:p>
          <w:p w14:paraId="3A849AFF">
            <w:pPr>
              <w:spacing w:line="247" w:lineRule="auto"/>
              <w:rPr>
                <w:rFonts w:ascii="Arial"/>
                <w:sz w:val="21"/>
              </w:rPr>
            </w:pPr>
          </w:p>
          <w:p w14:paraId="29D73DF7">
            <w:pPr>
              <w:spacing w:line="247" w:lineRule="auto"/>
              <w:rPr>
                <w:rFonts w:ascii="Arial"/>
                <w:sz w:val="21"/>
              </w:rPr>
            </w:pPr>
          </w:p>
          <w:p w14:paraId="1C83C889">
            <w:pPr>
              <w:pStyle w:val="212"/>
              <w:spacing w:before="62" w:line="258" w:lineRule="exact"/>
              <w:ind w:left="257"/>
            </w:pPr>
            <w:r>
              <w:rPr>
                <w:position w:val="1"/>
              </w:rPr>
              <w:t>1</w:t>
            </w:r>
          </w:p>
        </w:tc>
        <w:tc>
          <w:tcPr>
            <w:tcW w:w="1166" w:type="dxa"/>
            <w:vMerge w:val="restart"/>
            <w:tcBorders>
              <w:bottom w:val="nil"/>
            </w:tcBorders>
            <w:vAlign w:val="top"/>
          </w:tcPr>
          <w:p w14:paraId="4C2387A2">
            <w:pPr>
              <w:spacing w:line="277" w:lineRule="auto"/>
              <w:rPr>
                <w:rFonts w:ascii="Arial"/>
                <w:sz w:val="21"/>
              </w:rPr>
            </w:pPr>
          </w:p>
          <w:p w14:paraId="6CE6E9A5">
            <w:pPr>
              <w:spacing w:line="277" w:lineRule="auto"/>
              <w:rPr>
                <w:rFonts w:ascii="Arial"/>
                <w:sz w:val="21"/>
              </w:rPr>
            </w:pPr>
          </w:p>
          <w:p w14:paraId="5F3A6CB2">
            <w:pPr>
              <w:spacing w:line="278" w:lineRule="auto"/>
              <w:rPr>
                <w:rFonts w:ascii="Arial"/>
                <w:sz w:val="21"/>
              </w:rPr>
            </w:pPr>
          </w:p>
          <w:p w14:paraId="561B9496">
            <w:pPr>
              <w:pStyle w:val="212"/>
              <w:spacing w:before="62" w:line="304" w:lineRule="auto"/>
              <w:ind w:left="14" w:right="8" w:hanging="5"/>
            </w:pPr>
            <w:r>
              <w:rPr>
                <w:spacing w:val="5"/>
              </w:rPr>
              <w:t>A020101</w:t>
            </w:r>
            <w:r>
              <w:rPr>
                <w:spacing w:val="-43"/>
              </w:rPr>
              <w:t xml:space="preserve"> </w:t>
            </w:r>
            <w:r>
              <w:rPr>
                <w:spacing w:val="5"/>
              </w:rPr>
              <w:t>计算</w:t>
            </w:r>
            <w:r>
              <w:t xml:space="preserve"> </w:t>
            </w:r>
            <w:r>
              <w:rPr>
                <w:spacing w:val="6"/>
              </w:rPr>
              <w:t>机设备</w:t>
            </w:r>
          </w:p>
        </w:tc>
        <w:tc>
          <w:tcPr>
            <w:tcW w:w="1799" w:type="dxa"/>
            <w:vAlign w:val="top"/>
          </w:tcPr>
          <w:p w14:paraId="4ABE0E89">
            <w:pPr>
              <w:pStyle w:val="212"/>
              <w:spacing w:before="155" w:line="304" w:lineRule="auto"/>
              <w:ind w:left="17" w:right="10" w:firstLine="1"/>
            </w:pPr>
            <w:r>
              <w:rPr>
                <w:spacing w:val="3"/>
              </w:rPr>
              <w:t>★A02010104 台式计</w:t>
            </w:r>
            <w:r>
              <w:rPr>
                <w:spacing w:val="12"/>
              </w:rPr>
              <w:t xml:space="preserve"> </w:t>
            </w:r>
            <w:r>
              <w:rPr>
                <w:spacing w:val="4"/>
              </w:rPr>
              <w:t>算机</w:t>
            </w:r>
          </w:p>
        </w:tc>
        <w:tc>
          <w:tcPr>
            <w:tcW w:w="1914" w:type="dxa"/>
            <w:vAlign w:val="top"/>
          </w:tcPr>
          <w:p w14:paraId="22F9EE17">
            <w:pPr>
              <w:rPr>
                <w:rFonts w:ascii="Arial"/>
                <w:sz w:val="21"/>
              </w:rPr>
            </w:pPr>
          </w:p>
        </w:tc>
        <w:tc>
          <w:tcPr>
            <w:tcW w:w="2969" w:type="dxa"/>
            <w:vAlign w:val="top"/>
          </w:tcPr>
          <w:p w14:paraId="184594AE">
            <w:pPr>
              <w:pStyle w:val="212"/>
              <w:spacing w:before="156" w:line="304" w:lineRule="auto"/>
              <w:ind w:left="19" w:right="11" w:firstLine="3"/>
            </w:pPr>
            <w:r>
              <w:rPr>
                <w:spacing w:val="19"/>
              </w:rPr>
              <w:t>《微型计算机能效限定值及能效</w:t>
            </w:r>
            <w:r>
              <w:rPr>
                <w:spacing w:val="2"/>
              </w:rPr>
              <w:t xml:space="preserve"> </w:t>
            </w:r>
            <w:r>
              <w:rPr>
                <w:spacing w:val="6"/>
              </w:rPr>
              <w:t>等级》（</w:t>
            </w:r>
            <w:r>
              <w:t>GB</w:t>
            </w:r>
            <w:r>
              <w:rPr>
                <w:spacing w:val="6"/>
              </w:rPr>
              <w:t xml:space="preserve"> 28380）</w:t>
            </w:r>
          </w:p>
        </w:tc>
      </w:tr>
      <w:tr w14:paraId="3F33F78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2" w:hRule="atLeast"/>
        </w:trPr>
        <w:tc>
          <w:tcPr>
            <w:tcW w:w="578" w:type="dxa"/>
            <w:vMerge w:val="continue"/>
            <w:tcBorders>
              <w:top w:val="nil"/>
              <w:bottom w:val="nil"/>
            </w:tcBorders>
            <w:vAlign w:val="top"/>
          </w:tcPr>
          <w:p w14:paraId="0625F8B3">
            <w:pPr>
              <w:rPr>
                <w:rFonts w:ascii="Arial"/>
                <w:sz w:val="21"/>
              </w:rPr>
            </w:pPr>
          </w:p>
        </w:tc>
        <w:tc>
          <w:tcPr>
            <w:tcW w:w="1166" w:type="dxa"/>
            <w:vMerge w:val="continue"/>
            <w:tcBorders>
              <w:top w:val="nil"/>
              <w:bottom w:val="nil"/>
            </w:tcBorders>
            <w:vAlign w:val="top"/>
          </w:tcPr>
          <w:p w14:paraId="40B80048">
            <w:pPr>
              <w:rPr>
                <w:rFonts w:ascii="Arial"/>
                <w:sz w:val="21"/>
              </w:rPr>
            </w:pPr>
          </w:p>
        </w:tc>
        <w:tc>
          <w:tcPr>
            <w:tcW w:w="1799" w:type="dxa"/>
            <w:vAlign w:val="top"/>
          </w:tcPr>
          <w:p w14:paraId="6B92F9DE">
            <w:pPr>
              <w:pStyle w:val="212"/>
              <w:spacing w:before="108" w:line="293" w:lineRule="auto"/>
              <w:ind w:left="15" w:right="10" w:firstLine="3"/>
            </w:pPr>
            <w:r>
              <w:rPr>
                <w:spacing w:val="3"/>
              </w:rPr>
              <w:t>★A02010105 便携式</w:t>
            </w:r>
            <w:r>
              <w:rPr>
                <w:spacing w:val="12"/>
              </w:rPr>
              <w:t xml:space="preserve"> </w:t>
            </w:r>
            <w:r>
              <w:rPr>
                <w:spacing w:val="6"/>
              </w:rPr>
              <w:t>计算机</w:t>
            </w:r>
          </w:p>
        </w:tc>
        <w:tc>
          <w:tcPr>
            <w:tcW w:w="1914" w:type="dxa"/>
            <w:vAlign w:val="top"/>
          </w:tcPr>
          <w:p w14:paraId="14E453B6">
            <w:pPr>
              <w:rPr>
                <w:rFonts w:ascii="Arial"/>
                <w:sz w:val="21"/>
              </w:rPr>
            </w:pPr>
          </w:p>
        </w:tc>
        <w:tc>
          <w:tcPr>
            <w:tcW w:w="2969" w:type="dxa"/>
            <w:vAlign w:val="top"/>
          </w:tcPr>
          <w:p w14:paraId="194ACF51">
            <w:pPr>
              <w:pStyle w:val="212"/>
              <w:spacing w:before="108" w:line="293" w:lineRule="auto"/>
              <w:ind w:left="19" w:right="11" w:firstLine="3"/>
            </w:pPr>
            <w:r>
              <w:rPr>
                <w:spacing w:val="19"/>
              </w:rPr>
              <w:t>《微型计算机能效限定值及能效</w:t>
            </w:r>
            <w:r>
              <w:rPr>
                <w:spacing w:val="2"/>
              </w:rPr>
              <w:t xml:space="preserve"> </w:t>
            </w:r>
            <w:r>
              <w:rPr>
                <w:spacing w:val="6"/>
              </w:rPr>
              <w:t>等级》（</w:t>
            </w:r>
            <w:r>
              <w:t>GB</w:t>
            </w:r>
            <w:r>
              <w:rPr>
                <w:spacing w:val="6"/>
              </w:rPr>
              <w:t xml:space="preserve"> 28380）</w:t>
            </w:r>
          </w:p>
        </w:tc>
      </w:tr>
      <w:tr w14:paraId="5F48FD8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58" w:hRule="atLeast"/>
        </w:trPr>
        <w:tc>
          <w:tcPr>
            <w:tcW w:w="578" w:type="dxa"/>
            <w:vMerge w:val="continue"/>
            <w:tcBorders>
              <w:top w:val="nil"/>
            </w:tcBorders>
            <w:vAlign w:val="top"/>
          </w:tcPr>
          <w:p w14:paraId="5AD3B477">
            <w:pPr>
              <w:rPr>
                <w:rFonts w:ascii="Arial"/>
                <w:sz w:val="21"/>
              </w:rPr>
            </w:pPr>
          </w:p>
        </w:tc>
        <w:tc>
          <w:tcPr>
            <w:tcW w:w="1166" w:type="dxa"/>
            <w:vMerge w:val="continue"/>
            <w:tcBorders>
              <w:top w:val="nil"/>
            </w:tcBorders>
            <w:vAlign w:val="top"/>
          </w:tcPr>
          <w:p w14:paraId="0C5EF5BF">
            <w:pPr>
              <w:rPr>
                <w:rFonts w:ascii="Arial"/>
                <w:sz w:val="21"/>
              </w:rPr>
            </w:pPr>
          </w:p>
        </w:tc>
        <w:tc>
          <w:tcPr>
            <w:tcW w:w="1799" w:type="dxa"/>
            <w:vAlign w:val="top"/>
          </w:tcPr>
          <w:p w14:paraId="0E8D6FD6">
            <w:pPr>
              <w:pStyle w:val="212"/>
              <w:spacing w:before="128" w:line="301" w:lineRule="auto"/>
              <w:ind w:left="15" w:right="10" w:firstLine="3"/>
            </w:pPr>
            <w:r>
              <w:rPr>
                <w:spacing w:val="3"/>
              </w:rPr>
              <w:t>★A02010107 平板式</w:t>
            </w:r>
            <w:r>
              <w:rPr>
                <w:spacing w:val="12"/>
              </w:rPr>
              <w:t xml:space="preserve"> </w:t>
            </w:r>
            <w:r>
              <w:rPr>
                <w:spacing w:val="8"/>
              </w:rPr>
              <w:t>微型计算机</w:t>
            </w:r>
          </w:p>
        </w:tc>
        <w:tc>
          <w:tcPr>
            <w:tcW w:w="1914" w:type="dxa"/>
            <w:vAlign w:val="top"/>
          </w:tcPr>
          <w:p w14:paraId="1D7B8C81">
            <w:pPr>
              <w:rPr>
                <w:rFonts w:ascii="Arial"/>
                <w:sz w:val="21"/>
              </w:rPr>
            </w:pPr>
          </w:p>
        </w:tc>
        <w:tc>
          <w:tcPr>
            <w:tcW w:w="2969" w:type="dxa"/>
            <w:vAlign w:val="top"/>
          </w:tcPr>
          <w:p w14:paraId="7C74F5E3">
            <w:pPr>
              <w:pStyle w:val="212"/>
              <w:spacing w:before="128" w:line="301" w:lineRule="auto"/>
              <w:ind w:left="19" w:right="11" w:firstLine="3"/>
            </w:pPr>
            <w:r>
              <w:rPr>
                <w:spacing w:val="19"/>
              </w:rPr>
              <w:t>《微型计算机能效限定值及能效</w:t>
            </w:r>
            <w:r>
              <w:rPr>
                <w:spacing w:val="2"/>
              </w:rPr>
              <w:t xml:space="preserve"> </w:t>
            </w:r>
            <w:r>
              <w:rPr>
                <w:spacing w:val="6"/>
              </w:rPr>
              <w:t>等级》（</w:t>
            </w:r>
            <w:r>
              <w:t>GB</w:t>
            </w:r>
            <w:r>
              <w:rPr>
                <w:spacing w:val="6"/>
              </w:rPr>
              <w:t xml:space="preserve"> 28380）</w:t>
            </w:r>
          </w:p>
        </w:tc>
      </w:tr>
      <w:tr w14:paraId="53F2FA3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6" w:hRule="atLeast"/>
        </w:trPr>
        <w:tc>
          <w:tcPr>
            <w:tcW w:w="578" w:type="dxa"/>
            <w:vMerge w:val="restart"/>
            <w:tcBorders>
              <w:bottom w:val="nil"/>
            </w:tcBorders>
            <w:vAlign w:val="top"/>
          </w:tcPr>
          <w:p w14:paraId="42DEF06C">
            <w:pPr>
              <w:spacing w:line="250" w:lineRule="auto"/>
              <w:rPr>
                <w:rFonts w:ascii="Arial"/>
                <w:sz w:val="21"/>
              </w:rPr>
            </w:pPr>
          </w:p>
          <w:p w14:paraId="2DF3F2B3">
            <w:pPr>
              <w:spacing w:line="251" w:lineRule="auto"/>
              <w:rPr>
                <w:rFonts w:ascii="Arial"/>
                <w:sz w:val="21"/>
              </w:rPr>
            </w:pPr>
          </w:p>
          <w:p w14:paraId="13EAE6DA">
            <w:pPr>
              <w:spacing w:line="251" w:lineRule="auto"/>
              <w:rPr>
                <w:rFonts w:ascii="Arial"/>
                <w:sz w:val="21"/>
              </w:rPr>
            </w:pPr>
          </w:p>
          <w:p w14:paraId="4DBFEF75">
            <w:pPr>
              <w:spacing w:line="251" w:lineRule="auto"/>
              <w:rPr>
                <w:rFonts w:ascii="Arial"/>
                <w:sz w:val="21"/>
              </w:rPr>
            </w:pPr>
          </w:p>
          <w:p w14:paraId="6709EF03">
            <w:pPr>
              <w:spacing w:line="251" w:lineRule="auto"/>
              <w:rPr>
                <w:rFonts w:ascii="Arial"/>
                <w:sz w:val="21"/>
              </w:rPr>
            </w:pPr>
          </w:p>
          <w:p w14:paraId="66613EC7">
            <w:pPr>
              <w:spacing w:line="251" w:lineRule="auto"/>
              <w:rPr>
                <w:rFonts w:ascii="Arial"/>
                <w:sz w:val="21"/>
              </w:rPr>
            </w:pPr>
          </w:p>
          <w:p w14:paraId="4946EADF">
            <w:pPr>
              <w:spacing w:line="251" w:lineRule="auto"/>
              <w:rPr>
                <w:rFonts w:ascii="Arial"/>
                <w:sz w:val="21"/>
              </w:rPr>
            </w:pPr>
          </w:p>
          <w:p w14:paraId="07C8A2A9">
            <w:pPr>
              <w:spacing w:line="251" w:lineRule="auto"/>
              <w:rPr>
                <w:rFonts w:ascii="Arial"/>
                <w:sz w:val="21"/>
              </w:rPr>
            </w:pPr>
          </w:p>
          <w:p w14:paraId="554BC166">
            <w:pPr>
              <w:pStyle w:val="212"/>
              <w:spacing w:before="61" w:line="258" w:lineRule="exact"/>
              <w:ind w:left="245"/>
            </w:pPr>
            <w:r>
              <w:rPr>
                <w:position w:val="1"/>
              </w:rPr>
              <w:t>2</w:t>
            </w:r>
          </w:p>
        </w:tc>
        <w:tc>
          <w:tcPr>
            <w:tcW w:w="1166" w:type="dxa"/>
            <w:vMerge w:val="restart"/>
            <w:tcBorders>
              <w:bottom w:val="nil"/>
            </w:tcBorders>
            <w:vAlign w:val="top"/>
          </w:tcPr>
          <w:p w14:paraId="57CB3C0F">
            <w:pPr>
              <w:spacing w:line="264" w:lineRule="auto"/>
              <w:rPr>
                <w:rFonts w:ascii="Arial"/>
                <w:sz w:val="21"/>
              </w:rPr>
            </w:pPr>
          </w:p>
          <w:p w14:paraId="3F33C448">
            <w:pPr>
              <w:spacing w:line="264" w:lineRule="auto"/>
              <w:rPr>
                <w:rFonts w:ascii="Arial"/>
                <w:sz w:val="21"/>
              </w:rPr>
            </w:pPr>
          </w:p>
          <w:p w14:paraId="6C6EE0C6">
            <w:pPr>
              <w:spacing w:line="264" w:lineRule="auto"/>
              <w:rPr>
                <w:rFonts w:ascii="Arial"/>
                <w:sz w:val="21"/>
              </w:rPr>
            </w:pPr>
          </w:p>
          <w:p w14:paraId="01ADF2A1">
            <w:pPr>
              <w:spacing w:line="265" w:lineRule="auto"/>
              <w:rPr>
                <w:rFonts w:ascii="Arial"/>
                <w:sz w:val="21"/>
              </w:rPr>
            </w:pPr>
          </w:p>
          <w:p w14:paraId="428C943E">
            <w:pPr>
              <w:spacing w:line="265" w:lineRule="auto"/>
              <w:rPr>
                <w:rFonts w:ascii="Arial"/>
                <w:sz w:val="21"/>
              </w:rPr>
            </w:pPr>
          </w:p>
          <w:p w14:paraId="03F5F8D9">
            <w:pPr>
              <w:spacing w:line="265" w:lineRule="auto"/>
              <w:rPr>
                <w:rFonts w:ascii="Arial"/>
                <w:sz w:val="21"/>
              </w:rPr>
            </w:pPr>
          </w:p>
          <w:p w14:paraId="66753446">
            <w:pPr>
              <w:spacing w:line="265" w:lineRule="auto"/>
              <w:rPr>
                <w:rFonts w:ascii="Arial"/>
                <w:sz w:val="21"/>
              </w:rPr>
            </w:pPr>
          </w:p>
          <w:p w14:paraId="5CDCB347">
            <w:pPr>
              <w:pStyle w:val="212"/>
              <w:spacing w:before="62" w:line="304" w:lineRule="auto"/>
              <w:ind w:left="14" w:right="8" w:hanging="5"/>
            </w:pPr>
            <w:r>
              <w:rPr>
                <w:spacing w:val="5"/>
              </w:rPr>
              <w:t>A020106</w:t>
            </w:r>
            <w:r>
              <w:rPr>
                <w:spacing w:val="-43"/>
              </w:rPr>
              <w:t xml:space="preserve"> </w:t>
            </w:r>
            <w:r>
              <w:rPr>
                <w:spacing w:val="5"/>
              </w:rPr>
              <w:t>输入</w:t>
            </w:r>
            <w:r>
              <w:t xml:space="preserve"> </w:t>
            </w:r>
            <w:r>
              <w:rPr>
                <w:spacing w:val="7"/>
              </w:rPr>
              <w:t>输出设备</w:t>
            </w:r>
          </w:p>
        </w:tc>
        <w:tc>
          <w:tcPr>
            <w:tcW w:w="1799" w:type="dxa"/>
            <w:vMerge w:val="restart"/>
            <w:tcBorders>
              <w:bottom w:val="nil"/>
            </w:tcBorders>
            <w:vAlign w:val="top"/>
          </w:tcPr>
          <w:p w14:paraId="6337D827">
            <w:pPr>
              <w:spacing w:line="315" w:lineRule="auto"/>
              <w:rPr>
                <w:rFonts w:ascii="Arial"/>
                <w:sz w:val="21"/>
              </w:rPr>
            </w:pPr>
          </w:p>
          <w:p w14:paraId="7A823806">
            <w:pPr>
              <w:spacing w:line="315" w:lineRule="auto"/>
              <w:rPr>
                <w:rFonts w:ascii="Arial"/>
                <w:sz w:val="21"/>
              </w:rPr>
            </w:pPr>
          </w:p>
          <w:p w14:paraId="3D3BFA49">
            <w:pPr>
              <w:spacing w:line="315" w:lineRule="auto"/>
              <w:rPr>
                <w:rFonts w:ascii="Arial"/>
                <w:sz w:val="21"/>
              </w:rPr>
            </w:pPr>
          </w:p>
          <w:p w14:paraId="25EE30A5">
            <w:pPr>
              <w:pStyle w:val="212"/>
              <w:spacing w:before="62" w:line="229" w:lineRule="auto"/>
              <w:ind w:left="9"/>
            </w:pPr>
            <w:r>
              <w:rPr>
                <w:spacing w:val="5"/>
              </w:rPr>
              <w:t>A02010601</w:t>
            </w:r>
            <w:r>
              <w:rPr>
                <w:spacing w:val="-28"/>
              </w:rPr>
              <w:t xml:space="preserve"> </w:t>
            </w:r>
            <w:r>
              <w:rPr>
                <w:spacing w:val="5"/>
              </w:rPr>
              <w:t>打印设备</w:t>
            </w:r>
          </w:p>
        </w:tc>
        <w:tc>
          <w:tcPr>
            <w:tcW w:w="1914" w:type="dxa"/>
            <w:vAlign w:val="top"/>
          </w:tcPr>
          <w:p w14:paraId="7F31F808">
            <w:pPr>
              <w:pStyle w:val="212"/>
              <w:spacing w:before="114" w:line="297" w:lineRule="auto"/>
              <w:ind w:left="31" w:right="8" w:hanging="21"/>
            </w:pPr>
            <w:r>
              <w:rPr>
                <w:spacing w:val="3"/>
              </w:rPr>
              <w:t>A0201060101</w:t>
            </w:r>
            <w:r>
              <w:rPr>
                <w:spacing w:val="50"/>
              </w:rPr>
              <w:t xml:space="preserve"> </w:t>
            </w:r>
            <w:r>
              <w:rPr>
                <w:spacing w:val="3"/>
              </w:rPr>
              <w:t>喷</w:t>
            </w:r>
            <w:r>
              <w:rPr>
                <w:spacing w:val="-51"/>
              </w:rPr>
              <w:t xml:space="preserve"> </w:t>
            </w:r>
            <w:r>
              <w:rPr>
                <w:spacing w:val="3"/>
              </w:rPr>
              <w:t>墨</w:t>
            </w:r>
            <w:r>
              <w:rPr>
                <w:spacing w:val="-53"/>
              </w:rPr>
              <w:t xml:space="preserve"> </w:t>
            </w:r>
            <w:r>
              <w:rPr>
                <w:spacing w:val="3"/>
              </w:rPr>
              <w:t>打</w:t>
            </w:r>
            <w:r>
              <w:t xml:space="preserve"> </w:t>
            </w:r>
            <w:r>
              <w:rPr>
                <w:spacing w:val="-2"/>
              </w:rPr>
              <w:t>印机</w:t>
            </w:r>
          </w:p>
        </w:tc>
        <w:tc>
          <w:tcPr>
            <w:tcW w:w="2969" w:type="dxa"/>
            <w:vAlign w:val="top"/>
          </w:tcPr>
          <w:p w14:paraId="77135BFF">
            <w:pPr>
              <w:pStyle w:val="212"/>
              <w:spacing w:before="114" w:line="297" w:lineRule="auto"/>
              <w:ind w:left="22" w:right="13"/>
            </w:pPr>
            <w:r>
              <w:rPr>
                <w:spacing w:val="5"/>
              </w:rPr>
              <w:t>《复印机、打印机和传真机能效限</w:t>
            </w:r>
            <w:r>
              <w:t xml:space="preserve"> </w:t>
            </w:r>
            <w:r>
              <w:rPr>
                <w:spacing w:val="7"/>
              </w:rPr>
              <w:t>定值及能效等级》（</w:t>
            </w:r>
            <w:r>
              <w:t>GB</w:t>
            </w:r>
            <w:r>
              <w:rPr>
                <w:spacing w:val="7"/>
              </w:rPr>
              <w:t xml:space="preserve"> 21521）</w:t>
            </w:r>
          </w:p>
        </w:tc>
      </w:tr>
      <w:tr w14:paraId="161A8E5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6" w:hRule="atLeast"/>
        </w:trPr>
        <w:tc>
          <w:tcPr>
            <w:tcW w:w="578" w:type="dxa"/>
            <w:vMerge w:val="continue"/>
            <w:tcBorders>
              <w:top w:val="nil"/>
              <w:bottom w:val="nil"/>
            </w:tcBorders>
            <w:vAlign w:val="top"/>
          </w:tcPr>
          <w:p w14:paraId="113919B2">
            <w:pPr>
              <w:rPr>
                <w:rFonts w:ascii="Arial"/>
                <w:sz w:val="21"/>
              </w:rPr>
            </w:pPr>
          </w:p>
        </w:tc>
        <w:tc>
          <w:tcPr>
            <w:tcW w:w="1166" w:type="dxa"/>
            <w:vMerge w:val="continue"/>
            <w:tcBorders>
              <w:top w:val="nil"/>
              <w:bottom w:val="nil"/>
            </w:tcBorders>
            <w:vAlign w:val="top"/>
          </w:tcPr>
          <w:p w14:paraId="5A8B70EA">
            <w:pPr>
              <w:rPr>
                <w:rFonts w:ascii="Arial"/>
                <w:sz w:val="21"/>
              </w:rPr>
            </w:pPr>
          </w:p>
        </w:tc>
        <w:tc>
          <w:tcPr>
            <w:tcW w:w="1799" w:type="dxa"/>
            <w:vMerge w:val="continue"/>
            <w:tcBorders>
              <w:top w:val="nil"/>
              <w:bottom w:val="nil"/>
            </w:tcBorders>
            <w:vAlign w:val="top"/>
          </w:tcPr>
          <w:p w14:paraId="1BABABE3">
            <w:pPr>
              <w:rPr>
                <w:rFonts w:ascii="Arial"/>
                <w:sz w:val="21"/>
              </w:rPr>
            </w:pPr>
          </w:p>
        </w:tc>
        <w:tc>
          <w:tcPr>
            <w:tcW w:w="1914" w:type="dxa"/>
            <w:vAlign w:val="top"/>
          </w:tcPr>
          <w:p w14:paraId="1829A827">
            <w:pPr>
              <w:pStyle w:val="212"/>
              <w:spacing w:before="116" w:line="296" w:lineRule="auto"/>
              <w:ind w:left="19" w:right="8"/>
            </w:pPr>
            <w:r>
              <w:rPr>
                <w:spacing w:val="3"/>
              </w:rPr>
              <w:t>★</w:t>
            </w:r>
            <w:r>
              <w:rPr>
                <w:spacing w:val="-50"/>
              </w:rPr>
              <w:t xml:space="preserve"> </w:t>
            </w:r>
            <w:r>
              <w:rPr>
                <w:spacing w:val="3"/>
              </w:rPr>
              <w:t>A0201060102</w:t>
            </w:r>
            <w:r>
              <w:rPr>
                <w:spacing w:val="41"/>
              </w:rPr>
              <w:t xml:space="preserve"> </w:t>
            </w:r>
            <w:r>
              <w:rPr>
                <w:spacing w:val="3"/>
              </w:rPr>
              <w:t>激</w:t>
            </w:r>
            <w:r>
              <w:rPr>
                <w:spacing w:val="-54"/>
              </w:rPr>
              <w:t xml:space="preserve"> </w:t>
            </w:r>
            <w:r>
              <w:rPr>
                <w:spacing w:val="3"/>
              </w:rPr>
              <w:t>光</w:t>
            </w:r>
            <w:r>
              <w:t xml:space="preserve"> </w:t>
            </w:r>
            <w:r>
              <w:rPr>
                <w:spacing w:val="5"/>
              </w:rPr>
              <w:t>打印机</w:t>
            </w:r>
          </w:p>
        </w:tc>
        <w:tc>
          <w:tcPr>
            <w:tcW w:w="2969" w:type="dxa"/>
            <w:vAlign w:val="top"/>
          </w:tcPr>
          <w:p w14:paraId="7EC2AD05">
            <w:pPr>
              <w:pStyle w:val="212"/>
              <w:spacing w:before="116" w:line="296" w:lineRule="auto"/>
              <w:ind w:left="22" w:right="13"/>
            </w:pPr>
            <w:r>
              <w:rPr>
                <w:spacing w:val="5"/>
              </w:rPr>
              <w:t>《复印机、打印机和传真机能效限</w:t>
            </w:r>
            <w:r>
              <w:t xml:space="preserve"> </w:t>
            </w:r>
            <w:r>
              <w:rPr>
                <w:spacing w:val="7"/>
              </w:rPr>
              <w:t>定值及能效等级》（</w:t>
            </w:r>
            <w:r>
              <w:t>GB</w:t>
            </w:r>
            <w:r>
              <w:rPr>
                <w:spacing w:val="7"/>
              </w:rPr>
              <w:t xml:space="preserve"> 21521）</w:t>
            </w:r>
          </w:p>
        </w:tc>
      </w:tr>
      <w:tr w14:paraId="6466605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6" w:hRule="atLeast"/>
        </w:trPr>
        <w:tc>
          <w:tcPr>
            <w:tcW w:w="578" w:type="dxa"/>
            <w:vMerge w:val="continue"/>
            <w:tcBorders>
              <w:top w:val="nil"/>
              <w:bottom w:val="nil"/>
            </w:tcBorders>
            <w:vAlign w:val="top"/>
          </w:tcPr>
          <w:p w14:paraId="58C0881B">
            <w:pPr>
              <w:rPr>
                <w:rFonts w:ascii="Arial"/>
                <w:sz w:val="21"/>
              </w:rPr>
            </w:pPr>
          </w:p>
        </w:tc>
        <w:tc>
          <w:tcPr>
            <w:tcW w:w="1166" w:type="dxa"/>
            <w:vMerge w:val="continue"/>
            <w:tcBorders>
              <w:top w:val="nil"/>
              <w:bottom w:val="nil"/>
            </w:tcBorders>
            <w:vAlign w:val="top"/>
          </w:tcPr>
          <w:p w14:paraId="2084B94C">
            <w:pPr>
              <w:rPr>
                <w:rFonts w:ascii="Arial"/>
                <w:sz w:val="21"/>
              </w:rPr>
            </w:pPr>
          </w:p>
        </w:tc>
        <w:tc>
          <w:tcPr>
            <w:tcW w:w="1799" w:type="dxa"/>
            <w:vMerge w:val="continue"/>
            <w:tcBorders>
              <w:top w:val="nil"/>
            </w:tcBorders>
            <w:vAlign w:val="top"/>
          </w:tcPr>
          <w:p w14:paraId="59040E5C">
            <w:pPr>
              <w:rPr>
                <w:rFonts w:ascii="Arial"/>
                <w:sz w:val="21"/>
              </w:rPr>
            </w:pPr>
          </w:p>
        </w:tc>
        <w:tc>
          <w:tcPr>
            <w:tcW w:w="1914" w:type="dxa"/>
            <w:vAlign w:val="top"/>
          </w:tcPr>
          <w:p w14:paraId="23C697E9">
            <w:pPr>
              <w:pStyle w:val="212"/>
              <w:spacing w:before="116" w:line="296" w:lineRule="auto"/>
              <w:ind w:left="19" w:right="8"/>
            </w:pPr>
            <w:r>
              <w:rPr>
                <w:spacing w:val="3"/>
              </w:rPr>
              <w:t>★</w:t>
            </w:r>
            <w:r>
              <w:rPr>
                <w:spacing w:val="-54"/>
              </w:rPr>
              <w:t xml:space="preserve"> </w:t>
            </w:r>
            <w:r>
              <w:rPr>
                <w:spacing w:val="3"/>
              </w:rPr>
              <w:t>A0201060104</w:t>
            </w:r>
            <w:r>
              <w:rPr>
                <w:spacing w:val="43"/>
              </w:rPr>
              <w:t xml:space="preserve"> </w:t>
            </w:r>
            <w:r>
              <w:rPr>
                <w:spacing w:val="3"/>
              </w:rPr>
              <w:t>针</w:t>
            </w:r>
            <w:r>
              <w:rPr>
                <w:spacing w:val="-52"/>
              </w:rPr>
              <w:t xml:space="preserve"> </w:t>
            </w:r>
            <w:r>
              <w:rPr>
                <w:spacing w:val="3"/>
              </w:rPr>
              <w:t>式</w:t>
            </w:r>
            <w:r>
              <w:t xml:space="preserve"> </w:t>
            </w:r>
            <w:r>
              <w:rPr>
                <w:spacing w:val="5"/>
              </w:rPr>
              <w:t>打印机</w:t>
            </w:r>
          </w:p>
        </w:tc>
        <w:tc>
          <w:tcPr>
            <w:tcW w:w="2969" w:type="dxa"/>
            <w:vAlign w:val="top"/>
          </w:tcPr>
          <w:p w14:paraId="729BCEFE">
            <w:pPr>
              <w:pStyle w:val="212"/>
              <w:spacing w:before="116" w:line="296" w:lineRule="auto"/>
              <w:ind w:left="22" w:right="13"/>
            </w:pPr>
            <w:r>
              <w:rPr>
                <w:spacing w:val="5"/>
              </w:rPr>
              <w:t>《复印机、打印机和传真机能效限</w:t>
            </w:r>
            <w:r>
              <w:t xml:space="preserve"> </w:t>
            </w:r>
            <w:r>
              <w:rPr>
                <w:spacing w:val="7"/>
              </w:rPr>
              <w:t>定值及能效等级》（</w:t>
            </w:r>
            <w:r>
              <w:t>GB</w:t>
            </w:r>
            <w:r>
              <w:rPr>
                <w:spacing w:val="7"/>
              </w:rPr>
              <w:t xml:space="preserve"> 21521）</w:t>
            </w:r>
          </w:p>
        </w:tc>
      </w:tr>
      <w:tr w14:paraId="67C0EFA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7" w:hRule="atLeast"/>
        </w:trPr>
        <w:tc>
          <w:tcPr>
            <w:tcW w:w="578" w:type="dxa"/>
            <w:vMerge w:val="continue"/>
            <w:tcBorders>
              <w:top w:val="nil"/>
              <w:bottom w:val="nil"/>
            </w:tcBorders>
            <w:vAlign w:val="top"/>
          </w:tcPr>
          <w:p w14:paraId="6E8A581E">
            <w:pPr>
              <w:rPr>
                <w:rFonts w:ascii="Arial"/>
                <w:sz w:val="21"/>
              </w:rPr>
            </w:pPr>
          </w:p>
        </w:tc>
        <w:tc>
          <w:tcPr>
            <w:tcW w:w="1166" w:type="dxa"/>
            <w:vMerge w:val="continue"/>
            <w:tcBorders>
              <w:top w:val="nil"/>
              <w:bottom w:val="nil"/>
            </w:tcBorders>
            <w:vAlign w:val="top"/>
          </w:tcPr>
          <w:p w14:paraId="48AD7B59">
            <w:pPr>
              <w:rPr>
                <w:rFonts w:ascii="Arial"/>
                <w:sz w:val="21"/>
              </w:rPr>
            </w:pPr>
          </w:p>
        </w:tc>
        <w:tc>
          <w:tcPr>
            <w:tcW w:w="1799" w:type="dxa"/>
            <w:vAlign w:val="top"/>
          </w:tcPr>
          <w:p w14:paraId="012842CB">
            <w:pPr>
              <w:pStyle w:val="212"/>
              <w:spacing w:before="290" w:line="230" w:lineRule="auto"/>
              <w:ind w:left="9"/>
            </w:pPr>
            <w:r>
              <w:rPr>
                <w:spacing w:val="5"/>
              </w:rPr>
              <w:t>A02010604</w:t>
            </w:r>
            <w:r>
              <w:rPr>
                <w:spacing w:val="-28"/>
              </w:rPr>
              <w:t xml:space="preserve"> </w:t>
            </w:r>
            <w:r>
              <w:rPr>
                <w:spacing w:val="5"/>
              </w:rPr>
              <w:t>显示设备</w:t>
            </w:r>
          </w:p>
        </w:tc>
        <w:tc>
          <w:tcPr>
            <w:tcW w:w="1914" w:type="dxa"/>
            <w:vAlign w:val="top"/>
          </w:tcPr>
          <w:p w14:paraId="5C12ACEB">
            <w:pPr>
              <w:pStyle w:val="212"/>
              <w:spacing w:before="133" w:line="303" w:lineRule="auto"/>
              <w:ind w:left="20" w:right="8" w:hanging="1"/>
            </w:pPr>
            <w:r>
              <w:rPr>
                <w:spacing w:val="2"/>
              </w:rPr>
              <w:t>★</w:t>
            </w:r>
            <w:r>
              <w:rPr>
                <w:spacing w:val="-54"/>
              </w:rPr>
              <w:t xml:space="preserve"> </w:t>
            </w:r>
            <w:r>
              <w:rPr>
                <w:spacing w:val="2"/>
              </w:rPr>
              <w:t>A0201060401</w:t>
            </w:r>
            <w:r>
              <w:rPr>
                <w:spacing w:val="44"/>
              </w:rPr>
              <w:t xml:space="preserve"> </w:t>
            </w:r>
            <w:r>
              <w:rPr>
                <w:spacing w:val="2"/>
              </w:rPr>
              <w:t>液</w:t>
            </w:r>
            <w:r>
              <w:rPr>
                <w:spacing w:val="-39"/>
              </w:rPr>
              <w:t xml:space="preserve"> </w:t>
            </w:r>
            <w:r>
              <w:rPr>
                <w:spacing w:val="2"/>
              </w:rPr>
              <w:t>晶</w:t>
            </w:r>
            <w:r>
              <w:t xml:space="preserve"> </w:t>
            </w:r>
            <w:r>
              <w:rPr>
                <w:spacing w:val="5"/>
              </w:rPr>
              <w:t>显示器</w:t>
            </w:r>
          </w:p>
        </w:tc>
        <w:tc>
          <w:tcPr>
            <w:tcW w:w="2969" w:type="dxa"/>
            <w:vAlign w:val="top"/>
          </w:tcPr>
          <w:p w14:paraId="18494CB7">
            <w:pPr>
              <w:pStyle w:val="212"/>
              <w:spacing w:before="133" w:line="303" w:lineRule="auto"/>
              <w:ind w:left="22" w:right="11"/>
            </w:pPr>
            <w:r>
              <w:rPr>
                <w:spacing w:val="19"/>
              </w:rPr>
              <w:t>《计算机显示器能效限定值及能</w:t>
            </w:r>
            <w:r>
              <w:rPr>
                <w:spacing w:val="2"/>
              </w:rPr>
              <w:t xml:space="preserve"> </w:t>
            </w:r>
            <w:r>
              <w:rPr>
                <w:spacing w:val="6"/>
              </w:rPr>
              <w:t>效等级》（</w:t>
            </w:r>
            <w:r>
              <w:t>GB</w:t>
            </w:r>
            <w:r>
              <w:rPr>
                <w:spacing w:val="6"/>
              </w:rPr>
              <w:t xml:space="preserve"> 21520）</w:t>
            </w:r>
          </w:p>
        </w:tc>
      </w:tr>
      <w:tr w14:paraId="227E76B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55" w:hRule="atLeast"/>
        </w:trPr>
        <w:tc>
          <w:tcPr>
            <w:tcW w:w="578" w:type="dxa"/>
            <w:vMerge w:val="continue"/>
            <w:tcBorders>
              <w:top w:val="nil"/>
            </w:tcBorders>
            <w:vAlign w:val="top"/>
          </w:tcPr>
          <w:p w14:paraId="2D2B5A45">
            <w:pPr>
              <w:rPr>
                <w:rFonts w:ascii="Arial"/>
                <w:sz w:val="21"/>
              </w:rPr>
            </w:pPr>
          </w:p>
        </w:tc>
        <w:tc>
          <w:tcPr>
            <w:tcW w:w="1166" w:type="dxa"/>
            <w:vMerge w:val="continue"/>
            <w:tcBorders>
              <w:top w:val="nil"/>
            </w:tcBorders>
            <w:vAlign w:val="top"/>
          </w:tcPr>
          <w:p w14:paraId="6B725E32">
            <w:pPr>
              <w:rPr>
                <w:rFonts w:ascii="Arial"/>
                <w:sz w:val="21"/>
              </w:rPr>
            </w:pPr>
          </w:p>
        </w:tc>
        <w:tc>
          <w:tcPr>
            <w:tcW w:w="1799" w:type="dxa"/>
            <w:vAlign w:val="top"/>
          </w:tcPr>
          <w:p w14:paraId="6DAC4AEF">
            <w:pPr>
              <w:spacing w:line="364" w:lineRule="auto"/>
              <w:rPr>
                <w:rFonts w:ascii="Arial"/>
                <w:sz w:val="21"/>
              </w:rPr>
            </w:pPr>
          </w:p>
          <w:p w14:paraId="113F2740">
            <w:pPr>
              <w:pStyle w:val="212"/>
              <w:spacing w:before="62" w:line="304" w:lineRule="auto"/>
              <w:ind w:left="14" w:right="10" w:hanging="5"/>
            </w:pPr>
            <w:r>
              <w:rPr>
                <w:spacing w:val="4"/>
              </w:rPr>
              <w:t>A02010609 图形图像</w:t>
            </w:r>
            <w:r>
              <w:rPr>
                <w:spacing w:val="7"/>
              </w:rPr>
              <w:t xml:space="preserve"> 输入设备</w:t>
            </w:r>
          </w:p>
        </w:tc>
        <w:tc>
          <w:tcPr>
            <w:tcW w:w="1914" w:type="dxa"/>
            <w:vAlign w:val="top"/>
          </w:tcPr>
          <w:p w14:paraId="6805AE99">
            <w:pPr>
              <w:spacing w:line="259" w:lineRule="auto"/>
              <w:rPr>
                <w:rFonts w:ascii="Arial"/>
                <w:sz w:val="21"/>
              </w:rPr>
            </w:pPr>
          </w:p>
          <w:p w14:paraId="4DA0013E">
            <w:pPr>
              <w:spacing w:line="260" w:lineRule="auto"/>
              <w:rPr>
                <w:rFonts w:ascii="Arial"/>
                <w:sz w:val="21"/>
              </w:rPr>
            </w:pPr>
          </w:p>
          <w:p w14:paraId="68978D05">
            <w:pPr>
              <w:pStyle w:val="212"/>
              <w:spacing w:before="61" w:line="229" w:lineRule="auto"/>
              <w:ind w:left="10"/>
            </w:pPr>
            <w:r>
              <w:rPr>
                <w:spacing w:val="5"/>
              </w:rPr>
              <w:t>A0201060901</w:t>
            </w:r>
            <w:r>
              <w:rPr>
                <w:spacing w:val="-34"/>
              </w:rPr>
              <w:t xml:space="preserve"> </w:t>
            </w:r>
            <w:r>
              <w:rPr>
                <w:spacing w:val="5"/>
              </w:rPr>
              <w:t>扫描仪</w:t>
            </w:r>
          </w:p>
        </w:tc>
        <w:tc>
          <w:tcPr>
            <w:tcW w:w="2969" w:type="dxa"/>
            <w:vAlign w:val="top"/>
          </w:tcPr>
          <w:p w14:paraId="74E2A656">
            <w:pPr>
              <w:pStyle w:val="212"/>
              <w:spacing w:before="114" w:line="299" w:lineRule="auto"/>
              <w:ind w:left="22" w:hanging="3"/>
              <w:jc w:val="both"/>
            </w:pPr>
            <w:r>
              <w:t>参照《复印机、打印机和传真机能</w:t>
            </w:r>
            <w:r>
              <w:rPr>
                <w:spacing w:val="3"/>
              </w:rPr>
              <w:t xml:space="preserve">  </w:t>
            </w:r>
            <w:r>
              <w:rPr>
                <w:spacing w:val="-4"/>
              </w:rPr>
              <w:t>效限定值及能效等级》（GB</w:t>
            </w:r>
            <w:r>
              <w:rPr>
                <w:spacing w:val="-24"/>
              </w:rPr>
              <w:t xml:space="preserve"> </w:t>
            </w:r>
            <w:r>
              <w:rPr>
                <w:spacing w:val="-4"/>
              </w:rPr>
              <w:t>21521）</w:t>
            </w:r>
            <w:r>
              <w:t xml:space="preserve"> </w:t>
            </w:r>
            <w:r>
              <w:rPr>
                <w:spacing w:val="4"/>
              </w:rPr>
              <w:t>中打印速度为</w:t>
            </w:r>
            <w:r>
              <w:rPr>
                <w:spacing w:val="38"/>
              </w:rPr>
              <w:t xml:space="preserve"> </w:t>
            </w:r>
            <w:r>
              <w:rPr>
                <w:spacing w:val="4"/>
              </w:rPr>
              <w:t>15 页/分的针式打</w:t>
            </w:r>
            <w:r>
              <w:t xml:space="preserve">  </w:t>
            </w:r>
            <w:r>
              <w:rPr>
                <w:spacing w:val="2"/>
              </w:rPr>
              <w:t>印机相关要求</w:t>
            </w:r>
          </w:p>
        </w:tc>
      </w:tr>
      <w:tr w14:paraId="4363F5D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9" w:hRule="atLeast"/>
        </w:trPr>
        <w:tc>
          <w:tcPr>
            <w:tcW w:w="578" w:type="dxa"/>
            <w:vAlign w:val="top"/>
          </w:tcPr>
          <w:p w14:paraId="7DEEA9BA">
            <w:pPr>
              <w:pStyle w:val="212"/>
              <w:spacing w:before="246" w:line="256" w:lineRule="exact"/>
              <w:ind w:left="246"/>
            </w:pPr>
            <w:r>
              <w:rPr>
                <w:position w:val="1"/>
              </w:rPr>
              <w:t>3</w:t>
            </w:r>
          </w:p>
        </w:tc>
        <w:tc>
          <w:tcPr>
            <w:tcW w:w="1166" w:type="dxa"/>
            <w:vAlign w:val="top"/>
          </w:tcPr>
          <w:p w14:paraId="5A4B440B">
            <w:pPr>
              <w:pStyle w:val="212"/>
              <w:spacing w:before="90" w:line="281" w:lineRule="auto"/>
              <w:ind w:left="15" w:right="8" w:hanging="6"/>
            </w:pPr>
            <w:r>
              <w:rPr>
                <w:spacing w:val="4"/>
              </w:rPr>
              <w:t>A020202</w:t>
            </w:r>
            <w:r>
              <w:rPr>
                <w:spacing w:val="-34"/>
              </w:rPr>
              <w:t xml:space="preserve"> </w:t>
            </w:r>
            <w:r>
              <w:rPr>
                <w:spacing w:val="4"/>
              </w:rPr>
              <w:t>投影</w:t>
            </w:r>
            <w:r>
              <w:t xml:space="preserve"> 仪</w:t>
            </w:r>
          </w:p>
        </w:tc>
        <w:tc>
          <w:tcPr>
            <w:tcW w:w="1799" w:type="dxa"/>
            <w:vAlign w:val="top"/>
          </w:tcPr>
          <w:p w14:paraId="0D5D17E9">
            <w:pPr>
              <w:rPr>
                <w:rFonts w:ascii="Arial"/>
                <w:sz w:val="21"/>
              </w:rPr>
            </w:pPr>
          </w:p>
        </w:tc>
        <w:tc>
          <w:tcPr>
            <w:tcW w:w="1914" w:type="dxa"/>
            <w:vAlign w:val="top"/>
          </w:tcPr>
          <w:p w14:paraId="3227F6BA">
            <w:pPr>
              <w:rPr>
                <w:rFonts w:ascii="Arial"/>
                <w:sz w:val="21"/>
              </w:rPr>
            </w:pPr>
          </w:p>
        </w:tc>
        <w:tc>
          <w:tcPr>
            <w:tcW w:w="2969" w:type="dxa"/>
            <w:vAlign w:val="top"/>
          </w:tcPr>
          <w:p w14:paraId="5CE677B4">
            <w:pPr>
              <w:pStyle w:val="212"/>
              <w:spacing w:before="90" w:line="281" w:lineRule="auto"/>
              <w:ind w:left="27" w:hanging="4"/>
            </w:pPr>
            <w:r>
              <w:rPr>
                <w:spacing w:val="6"/>
              </w:rPr>
              <w:t>《投影机能效限定值及能效等级》</w:t>
            </w:r>
            <w:r>
              <w:t xml:space="preserve"> （GB</w:t>
            </w:r>
            <w:r>
              <w:rPr>
                <w:spacing w:val="22"/>
              </w:rPr>
              <w:t xml:space="preserve"> </w:t>
            </w:r>
            <w:r>
              <w:t>32028）</w:t>
            </w:r>
          </w:p>
        </w:tc>
      </w:tr>
      <w:tr w14:paraId="1606377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5" w:hRule="atLeast"/>
        </w:trPr>
        <w:tc>
          <w:tcPr>
            <w:tcW w:w="578" w:type="dxa"/>
            <w:vAlign w:val="top"/>
          </w:tcPr>
          <w:p w14:paraId="3518E151">
            <w:pPr>
              <w:pStyle w:val="212"/>
              <w:spacing w:before="289" w:line="258" w:lineRule="exact"/>
              <w:ind w:left="242"/>
            </w:pPr>
            <w:r>
              <w:rPr>
                <w:position w:val="1"/>
              </w:rPr>
              <w:t>4</w:t>
            </w:r>
          </w:p>
        </w:tc>
        <w:tc>
          <w:tcPr>
            <w:tcW w:w="1166" w:type="dxa"/>
            <w:vAlign w:val="top"/>
          </w:tcPr>
          <w:p w14:paraId="5A536960">
            <w:pPr>
              <w:pStyle w:val="212"/>
              <w:spacing w:before="134" w:line="230" w:lineRule="auto"/>
              <w:ind w:left="9"/>
            </w:pPr>
            <w:r>
              <w:rPr>
                <w:spacing w:val="4"/>
              </w:rPr>
              <w:t>A020204</w:t>
            </w:r>
            <w:r>
              <w:rPr>
                <w:spacing w:val="-34"/>
              </w:rPr>
              <w:t xml:space="preserve"> </w:t>
            </w:r>
            <w:r>
              <w:rPr>
                <w:spacing w:val="4"/>
              </w:rPr>
              <w:t>多功</w:t>
            </w:r>
          </w:p>
          <w:p w14:paraId="64B209AC">
            <w:pPr>
              <w:pStyle w:val="212"/>
              <w:spacing w:before="75" w:line="228" w:lineRule="auto"/>
              <w:ind w:left="23"/>
            </w:pPr>
            <w:r>
              <w:rPr>
                <w:spacing w:val="5"/>
              </w:rPr>
              <w:t>能一体机</w:t>
            </w:r>
          </w:p>
        </w:tc>
        <w:tc>
          <w:tcPr>
            <w:tcW w:w="1799" w:type="dxa"/>
            <w:vAlign w:val="top"/>
          </w:tcPr>
          <w:p w14:paraId="798B9457">
            <w:pPr>
              <w:rPr>
                <w:rFonts w:ascii="Arial"/>
                <w:sz w:val="21"/>
              </w:rPr>
            </w:pPr>
          </w:p>
        </w:tc>
        <w:tc>
          <w:tcPr>
            <w:tcW w:w="1914" w:type="dxa"/>
            <w:vAlign w:val="top"/>
          </w:tcPr>
          <w:p w14:paraId="5AA17216">
            <w:pPr>
              <w:rPr>
                <w:rFonts w:ascii="Arial"/>
                <w:sz w:val="21"/>
              </w:rPr>
            </w:pPr>
          </w:p>
        </w:tc>
        <w:tc>
          <w:tcPr>
            <w:tcW w:w="2969" w:type="dxa"/>
            <w:vAlign w:val="top"/>
          </w:tcPr>
          <w:p w14:paraId="17A8257C">
            <w:pPr>
              <w:pStyle w:val="212"/>
              <w:spacing w:before="133" w:line="302" w:lineRule="auto"/>
              <w:ind w:left="22" w:right="13"/>
            </w:pPr>
            <w:r>
              <w:rPr>
                <w:spacing w:val="5"/>
              </w:rPr>
              <w:t>《复印机、打印机和传真机能效限</w:t>
            </w:r>
            <w:r>
              <w:t xml:space="preserve"> </w:t>
            </w:r>
            <w:r>
              <w:rPr>
                <w:spacing w:val="7"/>
              </w:rPr>
              <w:t>定值及能效等级》（</w:t>
            </w:r>
            <w:r>
              <w:t>GB</w:t>
            </w:r>
            <w:r>
              <w:rPr>
                <w:spacing w:val="7"/>
              </w:rPr>
              <w:t xml:space="preserve"> 21521）</w:t>
            </w:r>
          </w:p>
        </w:tc>
      </w:tr>
      <w:tr w14:paraId="21E9C0B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0" w:hRule="atLeast"/>
        </w:trPr>
        <w:tc>
          <w:tcPr>
            <w:tcW w:w="578" w:type="dxa"/>
            <w:vAlign w:val="top"/>
          </w:tcPr>
          <w:p w14:paraId="23F67604">
            <w:pPr>
              <w:pStyle w:val="212"/>
              <w:spacing w:before="227" w:line="256" w:lineRule="exact"/>
              <w:ind w:left="246"/>
            </w:pPr>
            <w:r>
              <w:rPr>
                <w:position w:val="1"/>
              </w:rPr>
              <w:t>5</w:t>
            </w:r>
          </w:p>
        </w:tc>
        <w:tc>
          <w:tcPr>
            <w:tcW w:w="1166" w:type="dxa"/>
            <w:vAlign w:val="top"/>
          </w:tcPr>
          <w:p w14:paraId="55CB746F">
            <w:pPr>
              <w:pStyle w:val="212"/>
              <w:spacing w:before="227" w:line="229" w:lineRule="auto"/>
              <w:ind w:left="9"/>
            </w:pPr>
            <w:r>
              <w:rPr>
                <w:spacing w:val="4"/>
              </w:rPr>
              <w:t>A020519</w:t>
            </w:r>
            <w:r>
              <w:rPr>
                <w:spacing w:val="-32"/>
              </w:rPr>
              <w:t xml:space="preserve"> </w:t>
            </w:r>
            <w:r>
              <w:rPr>
                <w:spacing w:val="4"/>
              </w:rPr>
              <w:t>泵</w:t>
            </w:r>
          </w:p>
        </w:tc>
        <w:tc>
          <w:tcPr>
            <w:tcW w:w="1799" w:type="dxa"/>
            <w:vAlign w:val="top"/>
          </w:tcPr>
          <w:p w14:paraId="32D1D5D1">
            <w:pPr>
              <w:pStyle w:val="212"/>
              <w:spacing w:before="227" w:line="229" w:lineRule="auto"/>
              <w:ind w:left="9"/>
            </w:pPr>
            <w:r>
              <w:rPr>
                <w:spacing w:val="5"/>
              </w:rPr>
              <w:t>A02051901</w:t>
            </w:r>
            <w:r>
              <w:rPr>
                <w:spacing w:val="-33"/>
              </w:rPr>
              <w:t xml:space="preserve"> </w:t>
            </w:r>
            <w:r>
              <w:rPr>
                <w:spacing w:val="5"/>
              </w:rPr>
              <w:t>离心泵</w:t>
            </w:r>
          </w:p>
        </w:tc>
        <w:tc>
          <w:tcPr>
            <w:tcW w:w="1914" w:type="dxa"/>
            <w:vAlign w:val="top"/>
          </w:tcPr>
          <w:p w14:paraId="25F44149">
            <w:pPr>
              <w:rPr>
                <w:rFonts w:ascii="Arial"/>
                <w:sz w:val="21"/>
              </w:rPr>
            </w:pPr>
          </w:p>
        </w:tc>
        <w:tc>
          <w:tcPr>
            <w:tcW w:w="2969" w:type="dxa"/>
            <w:vAlign w:val="top"/>
          </w:tcPr>
          <w:p w14:paraId="5DE31904">
            <w:pPr>
              <w:pStyle w:val="212"/>
              <w:spacing w:before="72" w:line="271" w:lineRule="auto"/>
              <w:ind w:left="17" w:right="11" w:firstLine="6"/>
            </w:pPr>
            <w:r>
              <w:rPr>
                <w:spacing w:val="19"/>
              </w:rPr>
              <w:t>《清水离心泵能效限定值及节能</w:t>
            </w:r>
            <w:r>
              <w:rPr>
                <w:spacing w:val="2"/>
              </w:rPr>
              <w:t xml:space="preserve"> </w:t>
            </w:r>
            <w:r>
              <w:rPr>
                <w:spacing w:val="4"/>
              </w:rPr>
              <w:t>评价值》（</w:t>
            </w:r>
            <w:r>
              <w:t>GB</w:t>
            </w:r>
            <w:r>
              <w:rPr>
                <w:spacing w:val="39"/>
              </w:rPr>
              <w:t xml:space="preserve"> </w:t>
            </w:r>
            <w:r>
              <w:rPr>
                <w:spacing w:val="4"/>
              </w:rPr>
              <w:t>19762）</w:t>
            </w:r>
          </w:p>
        </w:tc>
      </w:tr>
      <w:tr w14:paraId="31386E5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17" w:hRule="atLeast"/>
        </w:trPr>
        <w:tc>
          <w:tcPr>
            <w:tcW w:w="578" w:type="dxa"/>
            <w:vMerge w:val="restart"/>
            <w:tcBorders>
              <w:bottom w:val="nil"/>
            </w:tcBorders>
            <w:vAlign w:val="top"/>
          </w:tcPr>
          <w:p w14:paraId="7F5F898F">
            <w:pPr>
              <w:spacing w:line="290" w:lineRule="auto"/>
              <w:rPr>
                <w:rFonts w:ascii="Arial"/>
                <w:sz w:val="21"/>
              </w:rPr>
            </w:pPr>
          </w:p>
          <w:p w14:paraId="6004FD54">
            <w:pPr>
              <w:spacing w:line="290" w:lineRule="auto"/>
              <w:rPr>
                <w:rFonts w:ascii="Arial"/>
                <w:sz w:val="21"/>
              </w:rPr>
            </w:pPr>
          </w:p>
          <w:p w14:paraId="0D1B5A54">
            <w:pPr>
              <w:spacing w:line="291" w:lineRule="auto"/>
              <w:rPr>
                <w:rFonts w:ascii="Arial"/>
                <w:sz w:val="21"/>
              </w:rPr>
            </w:pPr>
          </w:p>
          <w:p w14:paraId="2F9C1294">
            <w:pPr>
              <w:pStyle w:val="212"/>
              <w:spacing w:before="62" w:line="256" w:lineRule="exact"/>
              <w:ind w:left="244"/>
            </w:pPr>
            <w:r>
              <w:rPr>
                <w:position w:val="1"/>
              </w:rPr>
              <w:t>6</w:t>
            </w:r>
          </w:p>
        </w:tc>
        <w:tc>
          <w:tcPr>
            <w:tcW w:w="1166" w:type="dxa"/>
            <w:vMerge w:val="restart"/>
            <w:tcBorders>
              <w:bottom w:val="nil"/>
            </w:tcBorders>
            <w:vAlign w:val="top"/>
          </w:tcPr>
          <w:p w14:paraId="7C6C1221">
            <w:pPr>
              <w:spacing w:line="358" w:lineRule="auto"/>
              <w:rPr>
                <w:rFonts w:ascii="Arial"/>
                <w:sz w:val="21"/>
              </w:rPr>
            </w:pPr>
          </w:p>
          <w:p w14:paraId="1080EB1C">
            <w:pPr>
              <w:spacing w:line="358" w:lineRule="auto"/>
              <w:rPr>
                <w:rFonts w:ascii="Arial"/>
                <w:sz w:val="21"/>
              </w:rPr>
            </w:pPr>
          </w:p>
          <w:p w14:paraId="109E7F2F">
            <w:pPr>
              <w:pStyle w:val="212"/>
              <w:spacing w:before="61" w:line="230" w:lineRule="auto"/>
              <w:ind w:left="9"/>
            </w:pPr>
            <w:r>
              <w:rPr>
                <w:spacing w:val="5"/>
              </w:rPr>
              <w:t>A020523</w:t>
            </w:r>
            <w:r>
              <w:rPr>
                <w:spacing w:val="-43"/>
              </w:rPr>
              <w:t xml:space="preserve"> </w:t>
            </w:r>
            <w:r>
              <w:rPr>
                <w:spacing w:val="5"/>
              </w:rPr>
              <w:t>制冷</w:t>
            </w:r>
          </w:p>
          <w:p w14:paraId="743302EF">
            <w:pPr>
              <w:pStyle w:val="212"/>
              <w:spacing w:before="75" w:line="230" w:lineRule="auto"/>
              <w:ind w:left="21"/>
            </w:pPr>
            <w:r>
              <w:rPr>
                <w:spacing w:val="5"/>
              </w:rPr>
              <w:t>空调设备</w:t>
            </w:r>
          </w:p>
        </w:tc>
        <w:tc>
          <w:tcPr>
            <w:tcW w:w="1799" w:type="dxa"/>
            <w:vMerge w:val="restart"/>
            <w:tcBorders>
              <w:bottom w:val="nil"/>
            </w:tcBorders>
            <w:vAlign w:val="top"/>
          </w:tcPr>
          <w:p w14:paraId="0C9D3459">
            <w:pPr>
              <w:spacing w:line="358" w:lineRule="auto"/>
              <w:rPr>
                <w:rFonts w:ascii="Arial"/>
                <w:sz w:val="21"/>
              </w:rPr>
            </w:pPr>
          </w:p>
          <w:p w14:paraId="4136821A">
            <w:pPr>
              <w:spacing w:line="358" w:lineRule="auto"/>
              <w:rPr>
                <w:rFonts w:ascii="Arial"/>
                <w:sz w:val="21"/>
              </w:rPr>
            </w:pPr>
          </w:p>
          <w:p w14:paraId="0329F5B6">
            <w:pPr>
              <w:pStyle w:val="212"/>
              <w:spacing w:before="62" w:line="304" w:lineRule="auto"/>
              <w:ind w:left="15" w:right="10" w:firstLine="3"/>
            </w:pPr>
            <w:r>
              <w:rPr>
                <w:spacing w:val="3"/>
              </w:rPr>
              <w:t>★A02052301 制冷压</w:t>
            </w:r>
            <w:r>
              <w:rPr>
                <w:spacing w:val="12"/>
              </w:rPr>
              <w:t xml:space="preserve"> </w:t>
            </w:r>
            <w:r>
              <w:rPr>
                <w:spacing w:val="5"/>
              </w:rPr>
              <w:t>缩机</w:t>
            </w:r>
          </w:p>
        </w:tc>
        <w:tc>
          <w:tcPr>
            <w:tcW w:w="1914" w:type="dxa"/>
            <w:vAlign w:val="top"/>
          </w:tcPr>
          <w:p w14:paraId="25AD69B8">
            <w:pPr>
              <w:spacing w:line="251" w:lineRule="auto"/>
              <w:rPr>
                <w:rFonts w:ascii="Arial"/>
                <w:sz w:val="21"/>
              </w:rPr>
            </w:pPr>
          </w:p>
          <w:p w14:paraId="18D52263">
            <w:pPr>
              <w:spacing w:line="251" w:lineRule="auto"/>
              <w:rPr>
                <w:rFonts w:ascii="Arial"/>
                <w:sz w:val="21"/>
              </w:rPr>
            </w:pPr>
          </w:p>
          <w:p w14:paraId="273C3DD7">
            <w:pPr>
              <w:pStyle w:val="212"/>
              <w:spacing w:before="61" w:line="228" w:lineRule="auto"/>
              <w:ind w:left="18"/>
            </w:pPr>
            <w:r>
              <w:rPr>
                <w:spacing w:val="6"/>
              </w:rPr>
              <w:t>冷水机组</w:t>
            </w:r>
          </w:p>
        </w:tc>
        <w:tc>
          <w:tcPr>
            <w:tcW w:w="2969" w:type="dxa"/>
            <w:vAlign w:val="top"/>
          </w:tcPr>
          <w:p w14:paraId="4FEBE0EA">
            <w:pPr>
              <w:pStyle w:val="212"/>
              <w:spacing w:before="96" w:line="294" w:lineRule="auto"/>
              <w:ind w:left="17" w:right="11" w:firstLine="5"/>
              <w:jc w:val="both"/>
            </w:pPr>
            <w:r>
              <w:rPr>
                <w:spacing w:val="19"/>
              </w:rPr>
              <w:t>《冷水机组能效限定值及能效等</w:t>
            </w:r>
            <w:r>
              <w:rPr>
                <w:spacing w:val="2"/>
              </w:rPr>
              <w:t xml:space="preserve"> </w:t>
            </w:r>
            <w:r>
              <w:rPr>
                <w:spacing w:val="6"/>
              </w:rPr>
              <w:t>级》（</w:t>
            </w:r>
            <w:r>
              <w:t>GB</w:t>
            </w:r>
            <w:r>
              <w:rPr>
                <w:spacing w:val="-21"/>
              </w:rPr>
              <w:t xml:space="preserve"> </w:t>
            </w:r>
            <w:r>
              <w:rPr>
                <w:spacing w:val="6"/>
              </w:rPr>
              <w:t>19577</w:t>
            </w:r>
            <w:r>
              <w:rPr>
                <w:spacing w:val="9"/>
              </w:rPr>
              <w:t>），</w:t>
            </w:r>
            <w:r>
              <w:rPr>
                <w:spacing w:val="6"/>
              </w:rPr>
              <w:t>《低环境温度</w:t>
            </w:r>
            <w:r>
              <w:t xml:space="preserve"> </w:t>
            </w:r>
            <w:r>
              <w:rPr>
                <w:spacing w:val="5"/>
              </w:rPr>
              <w:t>空气源热泵（冷水）机组能效限定</w:t>
            </w:r>
            <w:r>
              <w:rPr>
                <w:spacing w:val="6"/>
              </w:rPr>
              <w:t xml:space="preserve"> </w:t>
            </w:r>
            <w:r>
              <w:rPr>
                <w:spacing w:val="7"/>
              </w:rPr>
              <w:t>值及能效等级》（</w:t>
            </w:r>
            <w:r>
              <w:t>GB</w:t>
            </w:r>
            <w:r>
              <w:rPr>
                <w:spacing w:val="7"/>
              </w:rPr>
              <w:t xml:space="preserve"> 37480）</w:t>
            </w:r>
          </w:p>
        </w:tc>
      </w:tr>
      <w:tr w14:paraId="67049F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4" w:hRule="atLeast"/>
        </w:trPr>
        <w:tc>
          <w:tcPr>
            <w:tcW w:w="578" w:type="dxa"/>
            <w:vMerge w:val="continue"/>
            <w:tcBorders>
              <w:top w:val="nil"/>
            </w:tcBorders>
            <w:vAlign w:val="top"/>
          </w:tcPr>
          <w:p w14:paraId="23906384">
            <w:pPr>
              <w:rPr>
                <w:rFonts w:ascii="Arial"/>
                <w:sz w:val="21"/>
              </w:rPr>
            </w:pPr>
          </w:p>
        </w:tc>
        <w:tc>
          <w:tcPr>
            <w:tcW w:w="1166" w:type="dxa"/>
            <w:vMerge w:val="continue"/>
            <w:tcBorders>
              <w:top w:val="nil"/>
            </w:tcBorders>
            <w:vAlign w:val="top"/>
          </w:tcPr>
          <w:p w14:paraId="7A0BAD70">
            <w:pPr>
              <w:rPr>
                <w:rFonts w:ascii="Arial"/>
                <w:sz w:val="21"/>
              </w:rPr>
            </w:pPr>
          </w:p>
        </w:tc>
        <w:tc>
          <w:tcPr>
            <w:tcW w:w="1799" w:type="dxa"/>
            <w:vMerge w:val="continue"/>
            <w:tcBorders>
              <w:top w:val="nil"/>
            </w:tcBorders>
            <w:vAlign w:val="top"/>
          </w:tcPr>
          <w:p w14:paraId="6E0EE609">
            <w:pPr>
              <w:rPr>
                <w:rFonts w:ascii="Arial"/>
                <w:sz w:val="21"/>
              </w:rPr>
            </w:pPr>
          </w:p>
        </w:tc>
        <w:tc>
          <w:tcPr>
            <w:tcW w:w="1914" w:type="dxa"/>
            <w:vAlign w:val="top"/>
          </w:tcPr>
          <w:p w14:paraId="2E1FBFD3">
            <w:pPr>
              <w:pStyle w:val="212"/>
              <w:spacing w:before="276" w:line="228" w:lineRule="auto"/>
              <w:ind w:left="19"/>
            </w:pPr>
            <w:r>
              <w:rPr>
                <w:spacing w:val="7"/>
              </w:rPr>
              <w:t>水源热泵机组</w:t>
            </w:r>
          </w:p>
        </w:tc>
        <w:tc>
          <w:tcPr>
            <w:tcW w:w="2969" w:type="dxa"/>
            <w:vAlign w:val="top"/>
          </w:tcPr>
          <w:p w14:paraId="6B09B45B">
            <w:pPr>
              <w:pStyle w:val="212"/>
              <w:spacing w:before="120" w:line="298" w:lineRule="auto"/>
              <w:ind w:left="17" w:right="13" w:firstLine="6"/>
            </w:pPr>
            <w:r>
              <w:rPr>
                <w:spacing w:val="5"/>
              </w:rPr>
              <w:t>《水（地）源热泵机组能效限定值</w:t>
            </w:r>
            <w:r>
              <w:t xml:space="preserve"> </w:t>
            </w:r>
            <w:r>
              <w:rPr>
                <w:spacing w:val="7"/>
              </w:rPr>
              <w:t>及能效等级》（</w:t>
            </w:r>
            <w:r>
              <w:t>GB</w:t>
            </w:r>
            <w:r>
              <w:rPr>
                <w:spacing w:val="7"/>
              </w:rPr>
              <w:t xml:space="preserve"> 30721）</w:t>
            </w:r>
          </w:p>
        </w:tc>
      </w:tr>
    </w:tbl>
    <w:p w14:paraId="4E0066F2">
      <w:pPr>
        <w:rPr>
          <w:rFonts w:ascii="Arial"/>
          <w:sz w:val="21"/>
        </w:rPr>
      </w:pPr>
    </w:p>
    <w:p w14:paraId="47423BD4">
      <w:pPr>
        <w:rPr>
          <w:rFonts w:ascii="Arial" w:hAnsi="Arial" w:eastAsia="Arial" w:cs="Arial"/>
          <w:sz w:val="21"/>
          <w:szCs w:val="21"/>
        </w:rPr>
        <w:sectPr>
          <w:pgSz w:w="11906" w:h="16838"/>
          <w:pgMar w:top="992" w:right="1134" w:bottom="1247" w:left="1417" w:header="850" w:footer="992" w:gutter="0"/>
          <w:pgBorders>
            <w:top w:val="none" w:sz="0" w:space="0"/>
            <w:left w:val="none" w:sz="0" w:space="0"/>
            <w:bottom w:val="none" w:sz="0" w:space="0"/>
            <w:right w:val="none" w:sz="0" w:space="0"/>
          </w:pgBorders>
          <w:cols w:space="720" w:num="1"/>
        </w:sectPr>
      </w:pPr>
    </w:p>
    <w:p w14:paraId="6F0C3D02">
      <w:pPr>
        <w:spacing w:line="91" w:lineRule="auto"/>
        <w:rPr>
          <w:rFonts w:ascii="Arial"/>
          <w:sz w:val="2"/>
        </w:rPr>
      </w:pPr>
    </w:p>
    <w:tbl>
      <w:tblPr>
        <w:tblStyle w:val="213"/>
        <w:tblW w:w="8426"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78"/>
        <w:gridCol w:w="1166"/>
        <w:gridCol w:w="1799"/>
        <w:gridCol w:w="1914"/>
        <w:gridCol w:w="2969"/>
      </w:tblGrid>
      <w:tr w14:paraId="108F3E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3" w:hRule="atLeast"/>
        </w:trPr>
        <w:tc>
          <w:tcPr>
            <w:tcW w:w="578" w:type="dxa"/>
            <w:vMerge w:val="restart"/>
            <w:tcBorders>
              <w:bottom w:val="nil"/>
            </w:tcBorders>
            <w:vAlign w:val="top"/>
          </w:tcPr>
          <w:p w14:paraId="34DDC35A">
            <w:pPr>
              <w:rPr>
                <w:rFonts w:ascii="Arial"/>
                <w:sz w:val="21"/>
              </w:rPr>
            </w:pPr>
          </w:p>
        </w:tc>
        <w:tc>
          <w:tcPr>
            <w:tcW w:w="1166" w:type="dxa"/>
            <w:vMerge w:val="restart"/>
            <w:tcBorders>
              <w:bottom w:val="nil"/>
            </w:tcBorders>
            <w:vAlign w:val="top"/>
          </w:tcPr>
          <w:p w14:paraId="1295C6B7">
            <w:pPr>
              <w:rPr>
                <w:rFonts w:ascii="Arial"/>
                <w:sz w:val="21"/>
              </w:rPr>
            </w:pPr>
          </w:p>
        </w:tc>
        <w:tc>
          <w:tcPr>
            <w:tcW w:w="1799" w:type="dxa"/>
            <w:vAlign w:val="top"/>
          </w:tcPr>
          <w:p w14:paraId="051857CC">
            <w:pPr>
              <w:rPr>
                <w:rFonts w:ascii="Arial"/>
                <w:sz w:val="21"/>
              </w:rPr>
            </w:pPr>
          </w:p>
        </w:tc>
        <w:tc>
          <w:tcPr>
            <w:tcW w:w="1914" w:type="dxa"/>
            <w:vAlign w:val="top"/>
          </w:tcPr>
          <w:p w14:paraId="549510A5">
            <w:pPr>
              <w:pStyle w:val="212"/>
              <w:spacing w:before="159" w:line="310" w:lineRule="auto"/>
              <w:ind w:left="19" w:right="11" w:firstLine="1"/>
            </w:pPr>
            <w:r>
              <w:rPr>
                <w:spacing w:val="18"/>
              </w:rPr>
              <w:t>溴化锂吸收式冷水机</w:t>
            </w:r>
            <w:r>
              <w:rPr>
                <w:spacing w:val="4"/>
              </w:rPr>
              <w:t xml:space="preserve"> </w:t>
            </w:r>
            <w:r>
              <w:t>组</w:t>
            </w:r>
          </w:p>
        </w:tc>
        <w:tc>
          <w:tcPr>
            <w:tcW w:w="2969" w:type="dxa"/>
            <w:vAlign w:val="top"/>
          </w:tcPr>
          <w:p w14:paraId="75C2DCD0">
            <w:pPr>
              <w:pStyle w:val="212"/>
              <w:spacing w:before="160" w:line="304" w:lineRule="auto"/>
              <w:ind w:left="22" w:right="11"/>
            </w:pPr>
            <w:r>
              <w:rPr>
                <w:spacing w:val="19"/>
              </w:rPr>
              <w:t>《溴化锂吸收式冷水机组能效限</w:t>
            </w:r>
            <w:r>
              <w:rPr>
                <w:spacing w:val="2"/>
              </w:rPr>
              <w:t xml:space="preserve"> </w:t>
            </w:r>
            <w:r>
              <w:rPr>
                <w:spacing w:val="7"/>
              </w:rPr>
              <w:t>定值及能效等级》（</w:t>
            </w:r>
            <w:r>
              <w:t>GB</w:t>
            </w:r>
            <w:r>
              <w:rPr>
                <w:spacing w:val="7"/>
              </w:rPr>
              <w:t xml:space="preserve"> 29540）</w:t>
            </w:r>
          </w:p>
        </w:tc>
      </w:tr>
      <w:tr w14:paraId="0C6F365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52" w:hRule="atLeast"/>
        </w:trPr>
        <w:tc>
          <w:tcPr>
            <w:tcW w:w="578" w:type="dxa"/>
            <w:vMerge w:val="continue"/>
            <w:tcBorders>
              <w:top w:val="nil"/>
              <w:bottom w:val="nil"/>
            </w:tcBorders>
            <w:vAlign w:val="top"/>
          </w:tcPr>
          <w:p w14:paraId="1E712B95">
            <w:pPr>
              <w:rPr>
                <w:rFonts w:ascii="Arial"/>
                <w:sz w:val="21"/>
              </w:rPr>
            </w:pPr>
          </w:p>
        </w:tc>
        <w:tc>
          <w:tcPr>
            <w:tcW w:w="1166" w:type="dxa"/>
            <w:vMerge w:val="continue"/>
            <w:tcBorders>
              <w:top w:val="nil"/>
              <w:bottom w:val="nil"/>
            </w:tcBorders>
            <w:vAlign w:val="top"/>
          </w:tcPr>
          <w:p w14:paraId="13D0E73E">
            <w:pPr>
              <w:rPr>
                <w:rFonts w:ascii="Arial"/>
                <w:sz w:val="21"/>
              </w:rPr>
            </w:pPr>
          </w:p>
        </w:tc>
        <w:tc>
          <w:tcPr>
            <w:tcW w:w="1799" w:type="dxa"/>
            <w:vMerge w:val="restart"/>
            <w:tcBorders>
              <w:bottom w:val="nil"/>
            </w:tcBorders>
            <w:vAlign w:val="top"/>
          </w:tcPr>
          <w:p w14:paraId="29D9A29D">
            <w:pPr>
              <w:spacing w:line="265" w:lineRule="auto"/>
              <w:rPr>
                <w:rFonts w:ascii="Arial"/>
                <w:sz w:val="21"/>
              </w:rPr>
            </w:pPr>
          </w:p>
          <w:p w14:paraId="4D8D1BB0">
            <w:pPr>
              <w:spacing w:line="265" w:lineRule="auto"/>
              <w:rPr>
                <w:rFonts w:ascii="Arial"/>
                <w:sz w:val="21"/>
              </w:rPr>
            </w:pPr>
          </w:p>
          <w:p w14:paraId="339DFC02">
            <w:pPr>
              <w:spacing w:line="266" w:lineRule="auto"/>
              <w:rPr>
                <w:rFonts w:ascii="Arial"/>
                <w:sz w:val="21"/>
              </w:rPr>
            </w:pPr>
          </w:p>
          <w:p w14:paraId="7696CF3E">
            <w:pPr>
              <w:pStyle w:val="212"/>
              <w:spacing w:before="62" w:line="310" w:lineRule="auto"/>
              <w:ind w:left="17" w:right="10"/>
            </w:pPr>
            <w:r>
              <w:rPr>
                <w:spacing w:val="3"/>
              </w:rPr>
              <w:t>★A02052305 空调机</w:t>
            </w:r>
            <w:r>
              <w:rPr>
                <w:spacing w:val="12"/>
              </w:rPr>
              <w:t xml:space="preserve"> </w:t>
            </w:r>
            <w:r>
              <w:t>组</w:t>
            </w:r>
          </w:p>
        </w:tc>
        <w:tc>
          <w:tcPr>
            <w:tcW w:w="1914" w:type="dxa"/>
            <w:vAlign w:val="top"/>
          </w:tcPr>
          <w:p w14:paraId="67D043F6">
            <w:pPr>
              <w:pStyle w:val="212"/>
              <w:spacing w:before="65" w:line="284" w:lineRule="auto"/>
              <w:ind w:left="15" w:right="11" w:firstLine="10"/>
              <w:jc w:val="both"/>
            </w:pPr>
            <w:r>
              <w:rPr>
                <w:spacing w:val="15"/>
              </w:rPr>
              <w:t>多联式空调（热泵）</w:t>
            </w:r>
            <w:r>
              <w:rPr>
                <w:spacing w:val="7"/>
              </w:rPr>
              <w:t xml:space="preserve"> </w:t>
            </w:r>
            <w:r>
              <w:rPr>
                <w:spacing w:val="-8"/>
              </w:rPr>
              <w:t>机</w:t>
            </w:r>
            <w:r>
              <w:rPr>
                <w:spacing w:val="34"/>
              </w:rPr>
              <w:t xml:space="preserve">  </w:t>
            </w:r>
            <w:r>
              <w:rPr>
                <w:spacing w:val="-8"/>
              </w:rPr>
              <w:t>组</w:t>
            </w:r>
            <w:r>
              <w:rPr>
                <w:spacing w:val="2"/>
              </w:rPr>
              <w:t xml:space="preserve">   </w:t>
            </w:r>
            <w:r>
              <w:rPr>
                <w:spacing w:val="-8"/>
              </w:rPr>
              <w:t>(</w:t>
            </w:r>
            <w:r>
              <w:rPr>
                <w:spacing w:val="33"/>
              </w:rPr>
              <w:t xml:space="preserve">  </w:t>
            </w:r>
            <w:r>
              <w:rPr>
                <w:spacing w:val="-8"/>
              </w:rPr>
              <w:t>制</w:t>
            </w:r>
            <w:r>
              <w:rPr>
                <w:spacing w:val="35"/>
              </w:rPr>
              <w:t xml:space="preserve">  </w:t>
            </w:r>
            <w:r>
              <w:rPr>
                <w:spacing w:val="-8"/>
              </w:rPr>
              <w:t>冷</w:t>
            </w:r>
            <w:r>
              <w:t xml:space="preserve"> </w:t>
            </w:r>
            <w:r>
              <w:rPr>
                <w:spacing w:val="5"/>
              </w:rPr>
              <w:t>量&gt;14000W)</w:t>
            </w:r>
          </w:p>
        </w:tc>
        <w:tc>
          <w:tcPr>
            <w:tcW w:w="2969" w:type="dxa"/>
            <w:vAlign w:val="top"/>
          </w:tcPr>
          <w:p w14:paraId="52513D91">
            <w:pPr>
              <w:pStyle w:val="212"/>
              <w:spacing w:before="221" w:line="305" w:lineRule="auto"/>
              <w:ind w:left="22"/>
            </w:pPr>
            <w:r>
              <w:t>《多联式空调（热泵）机组能效限</w:t>
            </w:r>
            <w:r>
              <w:rPr>
                <w:spacing w:val="2"/>
              </w:rPr>
              <w:t xml:space="preserve">  </w:t>
            </w:r>
            <w:r>
              <w:rPr>
                <w:spacing w:val="-4"/>
              </w:rPr>
              <w:t>定值及能源效率等级》（GB</w:t>
            </w:r>
            <w:r>
              <w:rPr>
                <w:spacing w:val="-24"/>
              </w:rPr>
              <w:t xml:space="preserve"> </w:t>
            </w:r>
            <w:r>
              <w:rPr>
                <w:spacing w:val="-4"/>
              </w:rPr>
              <w:t>21454）</w:t>
            </w:r>
          </w:p>
        </w:tc>
      </w:tr>
      <w:tr w14:paraId="292FD8C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76" w:hRule="atLeast"/>
        </w:trPr>
        <w:tc>
          <w:tcPr>
            <w:tcW w:w="578" w:type="dxa"/>
            <w:vMerge w:val="continue"/>
            <w:tcBorders>
              <w:top w:val="nil"/>
              <w:bottom w:val="nil"/>
            </w:tcBorders>
            <w:vAlign w:val="top"/>
          </w:tcPr>
          <w:p w14:paraId="1DB28F93">
            <w:pPr>
              <w:rPr>
                <w:rFonts w:ascii="Arial"/>
                <w:sz w:val="21"/>
              </w:rPr>
            </w:pPr>
          </w:p>
        </w:tc>
        <w:tc>
          <w:tcPr>
            <w:tcW w:w="1166" w:type="dxa"/>
            <w:vMerge w:val="continue"/>
            <w:tcBorders>
              <w:top w:val="nil"/>
              <w:bottom w:val="nil"/>
            </w:tcBorders>
            <w:vAlign w:val="top"/>
          </w:tcPr>
          <w:p w14:paraId="34C6D3BD">
            <w:pPr>
              <w:rPr>
                <w:rFonts w:ascii="Arial"/>
                <w:sz w:val="21"/>
              </w:rPr>
            </w:pPr>
          </w:p>
        </w:tc>
        <w:tc>
          <w:tcPr>
            <w:tcW w:w="1799" w:type="dxa"/>
            <w:vMerge w:val="continue"/>
            <w:tcBorders>
              <w:top w:val="nil"/>
            </w:tcBorders>
            <w:vAlign w:val="top"/>
          </w:tcPr>
          <w:p w14:paraId="36405C00">
            <w:pPr>
              <w:rPr>
                <w:rFonts w:ascii="Arial"/>
                <w:sz w:val="21"/>
              </w:rPr>
            </w:pPr>
          </w:p>
        </w:tc>
        <w:tc>
          <w:tcPr>
            <w:tcW w:w="1914" w:type="dxa"/>
            <w:vAlign w:val="top"/>
          </w:tcPr>
          <w:p w14:paraId="7B028113">
            <w:pPr>
              <w:spacing w:line="319" w:lineRule="auto"/>
              <w:rPr>
                <w:rFonts w:ascii="Arial"/>
                <w:sz w:val="21"/>
              </w:rPr>
            </w:pPr>
          </w:p>
          <w:p w14:paraId="36C0C62A">
            <w:pPr>
              <w:pStyle w:val="212"/>
              <w:spacing w:before="62" w:line="305" w:lineRule="auto"/>
              <w:ind w:left="51" w:right="11" w:hanging="33"/>
            </w:pPr>
            <w:r>
              <w:rPr>
                <w:spacing w:val="44"/>
              </w:rPr>
              <w:t>单元式空气调节机</w:t>
            </w:r>
            <w:r>
              <w:rPr>
                <w:spacing w:val="6"/>
              </w:rPr>
              <w:t xml:space="preserve"> </w:t>
            </w:r>
            <w:r>
              <w:rPr>
                <w:spacing w:val="2"/>
              </w:rPr>
              <w:t>(制冷量&gt;14000W)</w:t>
            </w:r>
          </w:p>
        </w:tc>
        <w:tc>
          <w:tcPr>
            <w:tcW w:w="2969" w:type="dxa"/>
            <w:vAlign w:val="top"/>
          </w:tcPr>
          <w:p w14:paraId="3E6731E4">
            <w:pPr>
              <w:pStyle w:val="212"/>
              <w:spacing w:before="72" w:line="290" w:lineRule="auto"/>
              <w:ind w:left="16" w:right="11" w:firstLine="6"/>
              <w:jc w:val="both"/>
            </w:pPr>
            <w:r>
              <w:rPr>
                <w:spacing w:val="19"/>
              </w:rPr>
              <w:t>《单元式空气调节机能效限定值</w:t>
            </w:r>
            <w:r>
              <w:rPr>
                <w:spacing w:val="2"/>
              </w:rPr>
              <w:t xml:space="preserve"> </w:t>
            </w:r>
            <w:r>
              <w:rPr>
                <w:spacing w:val="6"/>
              </w:rPr>
              <w:t>及能效等级》（</w:t>
            </w:r>
            <w:r>
              <w:t>GB</w:t>
            </w:r>
            <w:r>
              <w:rPr>
                <w:spacing w:val="-13"/>
              </w:rPr>
              <w:t xml:space="preserve"> </w:t>
            </w:r>
            <w:r>
              <w:rPr>
                <w:spacing w:val="6"/>
              </w:rPr>
              <w:t>19576）《风管</w:t>
            </w:r>
            <w:r>
              <w:t xml:space="preserve"> </w:t>
            </w:r>
            <w:r>
              <w:rPr>
                <w:spacing w:val="19"/>
              </w:rPr>
              <w:t>送风式空调机组能效限定值及能</w:t>
            </w:r>
            <w:r>
              <w:rPr>
                <w:spacing w:val="9"/>
              </w:rPr>
              <w:t xml:space="preserve"> </w:t>
            </w:r>
            <w:r>
              <w:rPr>
                <w:spacing w:val="7"/>
              </w:rPr>
              <w:t>效等级》（</w:t>
            </w:r>
            <w:r>
              <w:t>GB</w:t>
            </w:r>
            <w:r>
              <w:rPr>
                <w:spacing w:val="7"/>
              </w:rPr>
              <w:t xml:space="preserve"> 37479）</w:t>
            </w:r>
          </w:p>
        </w:tc>
      </w:tr>
      <w:tr w14:paraId="55E262A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96" w:hRule="atLeast"/>
        </w:trPr>
        <w:tc>
          <w:tcPr>
            <w:tcW w:w="578" w:type="dxa"/>
            <w:vMerge w:val="continue"/>
            <w:tcBorders>
              <w:top w:val="nil"/>
              <w:bottom w:val="nil"/>
            </w:tcBorders>
            <w:vAlign w:val="top"/>
          </w:tcPr>
          <w:p w14:paraId="6D522909">
            <w:pPr>
              <w:rPr>
                <w:rFonts w:ascii="Arial"/>
                <w:sz w:val="21"/>
              </w:rPr>
            </w:pPr>
          </w:p>
        </w:tc>
        <w:tc>
          <w:tcPr>
            <w:tcW w:w="1166" w:type="dxa"/>
            <w:vMerge w:val="continue"/>
            <w:tcBorders>
              <w:top w:val="nil"/>
              <w:bottom w:val="nil"/>
            </w:tcBorders>
            <w:vAlign w:val="top"/>
          </w:tcPr>
          <w:p w14:paraId="0A99859A">
            <w:pPr>
              <w:rPr>
                <w:rFonts w:ascii="Arial"/>
                <w:sz w:val="21"/>
              </w:rPr>
            </w:pPr>
          </w:p>
        </w:tc>
        <w:tc>
          <w:tcPr>
            <w:tcW w:w="1799" w:type="dxa"/>
            <w:vAlign w:val="top"/>
          </w:tcPr>
          <w:p w14:paraId="7EF887A3">
            <w:pPr>
              <w:pStyle w:val="212"/>
              <w:spacing w:before="146" w:line="303" w:lineRule="auto"/>
              <w:ind w:left="17" w:right="10" w:firstLine="1"/>
            </w:pPr>
            <w:r>
              <w:rPr>
                <w:spacing w:val="3"/>
              </w:rPr>
              <w:t>★A02052309 专用制</w:t>
            </w:r>
            <w:r>
              <w:rPr>
                <w:spacing w:val="12"/>
              </w:rPr>
              <w:t xml:space="preserve"> </w:t>
            </w:r>
            <w:r>
              <w:rPr>
                <w:spacing w:val="8"/>
              </w:rPr>
              <w:t>冷、空调设备</w:t>
            </w:r>
          </w:p>
        </w:tc>
        <w:tc>
          <w:tcPr>
            <w:tcW w:w="1914" w:type="dxa"/>
            <w:vAlign w:val="top"/>
          </w:tcPr>
          <w:p w14:paraId="3BB04D24">
            <w:pPr>
              <w:pStyle w:val="212"/>
              <w:spacing w:before="300" w:line="228" w:lineRule="auto"/>
              <w:ind w:left="15"/>
            </w:pPr>
            <w:r>
              <w:rPr>
                <w:spacing w:val="7"/>
              </w:rPr>
              <w:t>机房空调</w:t>
            </w:r>
          </w:p>
        </w:tc>
        <w:tc>
          <w:tcPr>
            <w:tcW w:w="2969" w:type="dxa"/>
            <w:vAlign w:val="top"/>
          </w:tcPr>
          <w:p w14:paraId="14505153">
            <w:pPr>
              <w:pStyle w:val="212"/>
              <w:spacing w:before="146" w:line="302" w:lineRule="auto"/>
              <w:ind w:left="17" w:right="11" w:firstLine="6"/>
            </w:pPr>
            <w:r>
              <w:rPr>
                <w:spacing w:val="19"/>
              </w:rPr>
              <w:t>《单元式空气调节机能效限定值</w:t>
            </w:r>
            <w:r>
              <w:rPr>
                <w:spacing w:val="2"/>
              </w:rPr>
              <w:t xml:space="preserve"> </w:t>
            </w:r>
            <w:r>
              <w:rPr>
                <w:spacing w:val="5"/>
              </w:rPr>
              <w:t>及能效等级》（</w:t>
            </w:r>
            <w:r>
              <w:t>GB</w:t>
            </w:r>
            <w:r>
              <w:rPr>
                <w:spacing w:val="39"/>
              </w:rPr>
              <w:t xml:space="preserve"> </w:t>
            </w:r>
            <w:r>
              <w:rPr>
                <w:spacing w:val="5"/>
              </w:rPr>
              <w:t>19576）</w:t>
            </w:r>
          </w:p>
        </w:tc>
      </w:tr>
      <w:tr w14:paraId="5A7D0D2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96" w:hRule="atLeast"/>
        </w:trPr>
        <w:tc>
          <w:tcPr>
            <w:tcW w:w="578" w:type="dxa"/>
            <w:vMerge w:val="continue"/>
            <w:tcBorders>
              <w:top w:val="nil"/>
            </w:tcBorders>
            <w:vAlign w:val="top"/>
          </w:tcPr>
          <w:p w14:paraId="4E4FA394">
            <w:pPr>
              <w:rPr>
                <w:rFonts w:ascii="Arial"/>
                <w:sz w:val="21"/>
              </w:rPr>
            </w:pPr>
          </w:p>
        </w:tc>
        <w:tc>
          <w:tcPr>
            <w:tcW w:w="1166" w:type="dxa"/>
            <w:vMerge w:val="continue"/>
            <w:tcBorders>
              <w:top w:val="nil"/>
            </w:tcBorders>
            <w:vAlign w:val="top"/>
          </w:tcPr>
          <w:p w14:paraId="7FF8E5AD">
            <w:pPr>
              <w:rPr>
                <w:rFonts w:ascii="Arial"/>
                <w:sz w:val="21"/>
              </w:rPr>
            </w:pPr>
          </w:p>
        </w:tc>
        <w:tc>
          <w:tcPr>
            <w:tcW w:w="1799" w:type="dxa"/>
            <w:vAlign w:val="top"/>
          </w:tcPr>
          <w:p w14:paraId="43BD647D">
            <w:pPr>
              <w:spacing w:line="265" w:lineRule="auto"/>
              <w:rPr>
                <w:rFonts w:ascii="Arial"/>
                <w:sz w:val="21"/>
              </w:rPr>
            </w:pPr>
          </w:p>
          <w:p w14:paraId="0E290F5F">
            <w:pPr>
              <w:spacing w:line="265" w:lineRule="auto"/>
              <w:rPr>
                <w:rFonts w:ascii="Arial"/>
                <w:sz w:val="21"/>
              </w:rPr>
            </w:pPr>
          </w:p>
          <w:p w14:paraId="3C4963DD">
            <w:pPr>
              <w:pStyle w:val="212"/>
              <w:spacing w:before="62" w:line="230" w:lineRule="auto"/>
              <w:ind w:left="9"/>
            </w:pPr>
            <w:r>
              <w:rPr>
                <w:spacing w:val="4"/>
              </w:rPr>
              <w:t>A02052399 其他制冷</w:t>
            </w:r>
          </w:p>
          <w:p w14:paraId="082E8639">
            <w:pPr>
              <w:pStyle w:val="212"/>
              <w:spacing w:before="75" w:line="230" w:lineRule="auto"/>
              <w:ind w:left="21"/>
            </w:pPr>
            <w:r>
              <w:rPr>
                <w:spacing w:val="5"/>
              </w:rPr>
              <w:t>空调设备</w:t>
            </w:r>
          </w:p>
        </w:tc>
        <w:tc>
          <w:tcPr>
            <w:tcW w:w="1914" w:type="dxa"/>
            <w:vAlign w:val="top"/>
          </w:tcPr>
          <w:p w14:paraId="31FEB5CC">
            <w:pPr>
              <w:spacing w:line="343" w:lineRule="auto"/>
              <w:rPr>
                <w:rFonts w:ascii="Arial"/>
                <w:sz w:val="21"/>
              </w:rPr>
            </w:pPr>
          </w:p>
          <w:p w14:paraId="24C75AAC">
            <w:pPr>
              <w:spacing w:line="343" w:lineRule="auto"/>
              <w:rPr>
                <w:rFonts w:ascii="Arial"/>
                <w:sz w:val="21"/>
              </w:rPr>
            </w:pPr>
          </w:p>
          <w:p w14:paraId="07034F75">
            <w:pPr>
              <w:pStyle w:val="212"/>
              <w:spacing w:before="62" w:line="231" w:lineRule="auto"/>
              <w:ind w:left="18"/>
            </w:pPr>
            <w:r>
              <w:rPr>
                <w:spacing w:val="6"/>
              </w:rPr>
              <w:t>冷却塔</w:t>
            </w:r>
          </w:p>
        </w:tc>
        <w:tc>
          <w:tcPr>
            <w:tcW w:w="2969" w:type="dxa"/>
            <w:vAlign w:val="top"/>
          </w:tcPr>
          <w:p w14:paraId="376AF64F">
            <w:pPr>
              <w:pStyle w:val="212"/>
              <w:spacing w:before="284" w:line="304" w:lineRule="auto"/>
              <w:ind w:left="23"/>
              <w:jc w:val="both"/>
            </w:pPr>
            <w:r>
              <w:rPr>
                <w:spacing w:val="2"/>
              </w:rPr>
              <w:t>《机械通风冷却塔 第 1 部分：中</w:t>
            </w:r>
            <w:r>
              <w:rPr>
                <w:spacing w:val="3"/>
              </w:rPr>
              <w:t xml:space="preserve"> </w:t>
            </w:r>
            <w:r>
              <w:rPr>
                <w:spacing w:val="-6"/>
              </w:rPr>
              <w:t>小型开式冷却塔》（GB</w:t>
            </w:r>
            <w:r>
              <w:rPr>
                <w:spacing w:val="-36"/>
              </w:rPr>
              <w:t xml:space="preserve"> </w:t>
            </w:r>
            <w:r>
              <w:rPr>
                <w:spacing w:val="-6"/>
              </w:rPr>
              <w:t>/T</w:t>
            </w:r>
            <w:r>
              <w:rPr>
                <w:spacing w:val="-31"/>
              </w:rPr>
              <w:t xml:space="preserve"> </w:t>
            </w:r>
            <w:r>
              <w:rPr>
                <w:spacing w:val="-6"/>
              </w:rPr>
              <w:t>7190.1</w:t>
            </w:r>
            <w:r>
              <w:rPr>
                <w:spacing w:val="-49"/>
                <w:w w:val="97"/>
              </w:rPr>
              <w:t>）；</w:t>
            </w:r>
            <w:r>
              <w:t xml:space="preserve"> </w:t>
            </w:r>
            <w:r>
              <w:rPr>
                <w:spacing w:val="2"/>
              </w:rPr>
              <w:t>《机械通风冷却塔 第 2 部分：大</w:t>
            </w:r>
            <w:r>
              <w:rPr>
                <w:spacing w:val="3"/>
              </w:rPr>
              <w:t xml:space="preserve"> </w:t>
            </w:r>
            <w:r>
              <w:rPr>
                <w:spacing w:val="4"/>
              </w:rPr>
              <w:t>型开式冷却塔》（</w:t>
            </w:r>
            <w:r>
              <w:t>GB</w:t>
            </w:r>
            <w:r>
              <w:rPr>
                <w:spacing w:val="4"/>
              </w:rPr>
              <w:t xml:space="preserve"> /T 7190.2）</w:t>
            </w:r>
          </w:p>
        </w:tc>
      </w:tr>
      <w:tr w14:paraId="59B0068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6" w:hRule="atLeast"/>
        </w:trPr>
        <w:tc>
          <w:tcPr>
            <w:tcW w:w="578" w:type="dxa"/>
            <w:vAlign w:val="top"/>
          </w:tcPr>
          <w:p w14:paraId="5E95CF61">
            <w:pPr>
              <w:pStyle w:val="212"/>
              <w:spacing w:before="272" w:line="257" w:lineRule="exact"/>
              <w:ind w:left="247"/>
            </w:pPr>
            <w:r>
              <w:rPr>
                <w:position w:val="1"/>
              </w:rPr>
              <w:t>7</w:t>
            </w:r>
          </w:p>
        </w:tc>
        <w:tc>
          <w:tcPr>
            <w:tcW w:w="1166" w:type="dxa"/>
            <w:vAlign w:val="top"/>
          </w:tcPr>
          <w:p w14:paraId="6A682227">
            <w:pPr>
              <w:pStyle w:val="212"/>
              <w:spacing w:before="273" w:line="228" w:lineRule="auto"/>
              <w:ind w:left="9"/>
            </w:pPr>
            <w:r>
              <w:rPr>
                <w:spacing w:val="3"/>
              </w:rPr>
              <w:t>A020601</w:t>
            </w:r>
            <w:r>
              <w:rPr>
                <w:spacing w:val="-19"/>
              </w:rPr>
              <w:t xml:space="preserve"> </w:t>
            </w:r>
            <w:r>
              <w:rPr>
                <w:spacing w:val="3"/>
              </w:rPr>
              <w:t>电机</w:t>
            </w:r>
          </w:p>
        </w:tc>
        <w:tc>
          <w:tcPr>
            <w:tcW w:w="1799" w:type="dxa"/>
            <w:vAlign w:val="top"/>
          </w:tcPr>
          <w:p w14:paraId="73D04498">
            <w:pPr>
              <w:rPr>
                <w:rFonts w:ascii="Arial"/>
                <w:sz w:val="21"/>
              </w:rPr>
            </w:pPr>
          </w:p>
        </w:tc>
        <w:tc>
          <w:tcPr>
            <w:tcW w:w="1914" w:type="dxa"/>
            <w:vAlign w:val="top"/>
          </w:tcPr>
          <w:p w14:paraId="74565906">
            <w:pPr>
              <w:rPr>
                <w:rFonts w:ascii="Arial"/>
                <w:sz w:val="21"/>
              </w:rPr>
            </w:pPr>
          </w:p>
        </w:tc>
        <w:tc>
          <w:tcPr>
            <w:tcW w:w="2969" w:type="dxa"/>
            <w:vAlign w:val="top"/>
          </w:tcPr>
          <w:p w14:paraId="02034A5E">
            <w:pPr>
              <w:pStyle w:val="212"/>
              <w:spacing w:before="116" w:line="296" w:lineRule="auto"/>
              <w:ind w:left="22" w:right="11"/>
            </w:pPr>
            <w:r>
              <w:rPr>
                <w:spacing w:val="19"/>
              </w:rPr>
              <w:t>《中小型三相异步电动机能效限</w:t>
            </w:r>
            <w:r>
              <w:rPr>
                <w:spacing w:val="2"/>
              </w:rPr>
              <w:t xml:space="preserve"> </w:t>
            </w:r>
            <w:r>
              <w:rPr>
                <w:spacing w:val="5"/>
              </w:rPr>
              <w:t>定值及能效等级》（</w:t>
            </w:r>
            <w:r>
              <w:t>GB</w:t>
            </w:r>
            <w:r>
              <w:rPr>
                <w:spacing w:val="42"/>
              </w:rPr>
              <w:t xml:space="preserve"> </w:t>
            </w:r>
            <w:r>
              <w:rPr>
                <w:spacing w:val="5"/>
              </w:rPr>
              <w:t>18613）</w:t>
            </w:r>
          </w:p>
        </w:tc>
      </w:tr>
      <w:tr w14:paraId="7A59665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3" w:hRule="atLeast"/>
        </w:trPr>
        <w:tc>
          <w:tcPr>
            <w:tcW w:w="578" w:type="dxa"/>
            <w:vAlign w:val="top"/>
          </w:tcPr>
          <w:p w14:paraId="43BD90CE">
            <w:pPr>
              <w:pStyle w:val="212"/>
              <w:spacing w:before="251" w:line="257" w:lineRule="exact"/>
              <w:ind w:left="243"/>
            </w:pPr>
            <w:r>
              <w:rPr>
                <w:position w:val="1"/>
              </w:rPr>
              <w:t>8</w:t>
            </w:r>
          </w:p>
        </w:tc>
        <w:tc>
          <w:tcPr>
            <w:tcW w:w="1166" w:type="dxa"/>
            <w:vAlign w:val="top"/>
          </w:tcPr>
          <w:p w14:paraId="16699CB6">
            <w:pPr>
              <w:pStyle w:val="212"/>
              <w:spacing w:before="96" w:line="285" w:lineRule="auto"/>
              <w:ind w:left="15" w:right="8" w:hanging="6"/>
            </w:pPr>
            <w:r>
              <w:rPr>
                <w:spacing w:val="5"/>
              </w:rPr>
              <w:t>A020602</w:t>
            </w:r>
            <w:r>
              <w:rPr>
                <w:spacing w:val="-43"/>
              </w:rPr>
              <w:t xml:space="preserve"> </w:t>
            </w:r>
            <w:r>
              <w:rPr>
                <w:spacing w:val="5"/>
              </w:rPr>
              <w:t>变压</w:t>
            </w:r>
            <w:r>
              <w:t xml:space="preserve"> </w:t>
            </w:r>
            <w:r>
              <w:rPr>
                <w:spacing w:val="1"/>
              </w:rPr>
              <w:t>器</w:t>
            </w:r>
          </w:p>
        </w:tc>
        <w:tc>
          <w:tcPr>
            <w:tcW w:w="1799" w:type="dxa"/>
            <w:vAlign w:val="top"/>
          </w:tcPr>
          <w:p w14:paraId="60C2819E">
            <w:pPr>
              <w:pStyle w:val="212"/>
              <w:spacing w:before="252" w:line="230" w:lineRule="auto"/>
              <w:ind w:left="15"/>
            </w:pPr>
            <w:r>
              <w:rPr>
                <w:spacing w:val="8"/>
              </w:rPr>
              <w:t>配电变压器</w:t>
            </w:r>
          </w:p>
        </w:tc>
        <w:tc>
          <w:tcPr>
            <w:tcW w:w="1914" w:type="dxa"/>
            <w:vAlign w:val="top"/>
          </w:tcPr>
          <w:p w14:paraId="36F1C913">
            <w:pPr>
              <w:rPr>
                <w:rFonts w:ascii="Arial"/>
                <w:sz w:val="21"/>
              </w:rPr>
            </w:pPr>
          </w:p>
        </w:tc>
        <w:tc>
          <w:tcPr>
            <w:tcW w:w="2969" w:type="dxa"/>
            <w:vAlign w:val="top"/>
          </w:tcPr>
          <w:p w14:paraId="2A601436">
            <w:pPr>
              <w:pStyle w:val="212"/>
              <w:spacing w:before="96" w:line="285" w:lineRule="auto"/>
              <w:ind w:left="25" w:right="11" w:hanging="2"/>
            </w:pPr>
            <w:r>
              <w:rPr>
                <w:spacing w:val="19"/>
              </w:rPr>
              <w:t>《三相配电变压器能效限定值及</w:t>
            </w:r>
            <w:r>
              <w:rPr>
                <w:spacing w:val="2"/>
              </w:rPr>
              <w:t xml:space="preserve"> </w:t>
            </w:r>
            <w:r>
              <w:rPr>
                <w:spacing w:val="6"/>
              </w:rPr>
              <w:t>能效等级》（</w:t>
            </w:r>
            <w:r>
              <w:t>GB</w:t>
            </w:r>
            <w:r>
              <w:rPr>
                <w:spacing w:val="6"/>
              </w:rPr>
              <w:t xml:space="preserve"> 20052）</w:t>
            </w:r>
          </w:p>
        </w:tc>
      </w:tr>
      <w:tr w14:paraId="73FC285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85" w:hRule="atLeast"/>
        </w:trPr>
        <w:tc>
          <w:tcPr>
            <w:tcW w:w="578" w:type="dxa"/>
            <w:vAlign w:val="top"/>
          </w:tcPr>
          <w:p w14:paraId="203491C1">
            <w:pPr>
              <w:spacing w:line="284" w:lineRule="auto"/>
              <w:rPr>
                <w:rFonts w:ascii="Arial"/>
                <w:sz w:val="21"/>
              </w:rPr>
            </w:pPr>
          </w:p>
          <w:p w14:paraId="7D7C1423">
            <w:pPr>
              <w:pStyle w:val="212"/>
              <w:spacing w:before="62" w:line="256" w:lineRule="exact"/>
              <w:ind w:left="243"/>
            </w:pPr>
            <w:r>
              <w:rPr>
                <w:position w:val="1"/>
              </w:rPr>
              <w:t>9</w:t>
            </w:r>
          </w:p>
        </w:tc>
        <w:tc>
          <w:tcPr>
            <w:tcW w:w="1166" w:type="dxa"/>
            <w:vAlign w:val="top"/>
          </w:tcPr>
          <w:p w14:paraId="693D96EB">
            <w:pPr>
              <w:pStyle w:val="212"/>
              <w:spacing w:before="192" w:line="306" w:lineRule="auto"/>
              <w:ind w:left="16" w:right="8" w:firstLine="2"/>
            </w:pPr>
            <w:r>
              <w:rPr>
                <w:spacing w:val="4"/>
              </w:rPr>
              <w:t>★A020609</w:t>
            </w:r>
            <w:r>
              <w:rPr>
                <w:spacing w:val="-43"/>
              </w:rPr>
              <w:t xml:space="preserve"> </w:t>
            </w:r>
            <w:r>
              <w:rPr>
                <w:spacing w:val="4"/>
              </w:rPr>
              <w:t>镇</w:t>
            </w:r>
            <w:r>
              <w:t xml:space="preserve"> </w:t>
            </w:r>
            <w:r>
              <w:rPr>
                <w:spacing w:val="4"/>
              </w:rPr>
              <w:t>流器</w:t>
            </w:r>
          </w:p>
        </w:tc>
        <w:tc>
          <w:tcPr>
            <w:tcW w:w="1799" w:type="dxa"/>
            <w:vAlign w:val="top"/>
          </w:tcPr>
          <w:p w14:paraId="7BD00772">
            <w:pPr>
              <w:spacing w:line="284" w:lineRule="auto"/>
              <w:rPr>
                <w:rFonts w:ascii="Arial"/>
                <w:sz w:val="21"/>
              </w:rPr>
            </w:pPr>
          </w:p>
          <w:p w14:paraId="36BCBE7C">
            <w:pPr>
              <w:pStyle w:val="212"/>
              <w:spacing w:before="62" w:line="229" w:lineRule="auto"/>
              <w:ind w:left="19"/>
            </w:pPr>
            <w:r>
              <w:rPr>
                <w:spacing w:val="8"/>
              </w:rPr>
              <w:t>管型荧光灯镇流器</w:t>
            </w:r>
          </w:p>
        </w:tc>
        <w:tc>
          <w:tcPr>
            <w:tcW w:w="1914" w:type="dxa"/>
            <w:vAlign w:val="top"/>
          </w:tcPr>
          <w:p w14:paraId="0E1F29EA">
            <w:pPr>
              <w:rPr>
                <w:rFonts w:ascii="Arial"/>
                <w:sz w:val="21"/>
              </w:rPr>
            </w:pPr>
          </w:p>
        </w:tc>
        <w:tc>
          <w:tcPr>
            <w:tcW w:w="2969" w:type="dxa"/>
            <w:vAlign w:val="top"/>
          </w:tcPr>
          <w:p w14:paraId="5C17DF92">
            <w:pPr>
              <w:pStyle w:val="212"/>
              <w:spacing w:before="192" w:line="304" w:lineRule="auto"/>
              <w:ind w:left="17" w:right="11" w:firstLine="6"/>
            </w:pPr>
            <w:r>
              <w:rPr>
                <w:spacing w:val="19"/>
              </w:rPr>
              <w:t>《管形荧光灯镇流器能效限定值</w:t>
            </w:r>
            <w:r>
              <w:rPr>
                <w:spacing w:val="2"/>
              </w:rPr>
              <w:t xml:space="preserve"> </w:t>
            </w:r>
            <w:r>
              <w:rPr>
                <w:spacing w:val="5"/>
              </w:rPr>
              <w:t>及能效等级》（</w:t>
            </w:r>
            <w:r>
              <w:t>GB</w:t>
            </w:r>
            <w:r>
              <w:rPr>
                <w:spacing w:val="39"/>
              </w:rPr>
              <w:t xml:space="preserve"> </w:t>
            </w:r>
            <w:r>
              <w:rPr>
                <w:spacing w:val="5"/>
              </w:rPr>
              <w:t>17896）</w:t>
            </w:r>
          </w:p>
        </w:tc>
      </w:tr>
      <w:tr w14:paraId="4875D4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9" w:hRule="atLeast"/>
        </w:trPr>
        <w:tc>
          <w:tcPr>
            <w:tcW w:w="578" w:type="dxa"/>
            <w:vMerge w:val="restart"/>
            <w:tcBorders>
              <w:bottom w:val="nil"/>
            </w:tcBorders>
            <w:vAlign w:val="top"/>
          </w:tcPr>
          <w:p w14:paraId="2FFC9C0D">
            <w:pPr>
              <w:spacing w:line="258" w:lineRule="auto"/>
              <w:rPr>
                <w:rFonts w:ascii="Arial"/>
                <w:sz w:val="21"/>
              </w:rPr>
            </w:pPr>
          </w:p>
          <w:p w14:paraId="4BC34DFB">
            <w:pPr>
              <w:spacing w:line="258" w:lineRule="auto"/>
              <w:rPr>
                <w:rFonts w:ascii="Arial"/>
                <w:sz w:val="21"/>
              </w:rPr>
            </w:pPr>
          </w:p>
          <w:p w14:paraId="27F0CA2E">
            <w:pPr>
              <w:spacing w:line="258" w:lineRule="auto"/>
              <w:rPr>
                <w:rFonts w:ascii="Arial"/>
                <w:sz w:val="21"/>
              </w:rPr>
            </w:pPr>
          </w:p>
          <w:p w14:paraId="4174F754">
            <w:pPr>
              <w:spacing w:line="258" w:lineRule="auto"/>
              <w:rPr>
                <w:rFonts w:ascii="Arial"/>
                <w:sz w:val="21"/>
              </w:rPr>
            </w:pPr>
          </w:p>
          <w:p w14:paraId="4C2AE276">
            <w:pPr>
              <w:spacing w:line="258" w:lineRule="auto"/>
              <w:rPr>
                <w:rFonts w:ascii="Arial"/>
                <w:sz w:val="21"/>
              </w:rPr>
            </w:pPr>
          </w:p>
          <w:p w14:paraId="05756276">
            <w:pPr>
              <w:spacing w:line="258" w:lineRule="auto"/>
              <w:rPr>
                <w:rFonts w:ascii="Arial"/>
                <w:sz w:val="21"/>
              </w:rPr>
            </w:pPr>
          </w:p>
          <w:p w14:paraId="25BA9C53">
            <w:pPr>
              <w:spacing w:line="259" w:lineRule="auto"/>
              <w:rPr>
                <w:rFonts w:ascii="Arial"/>
                <w:sz w:val="21"/>
              </w:rPr>
            </w:pPr>
          </w:p>
          <w:p w14:paraId="27E1AD97">
            <w:pPr>
              <w:spacing w:line="259" w:lineRule="auto"/>
              <w:rPr>
                <w:rFonts w:ascii="Arial"/>
                <w:sz w:val="21"/>
              </w:rPr>
            </w:pPr>
          </w:p>
          <w:p w14:paraId="2E175F8D">
            <w:pPr>
              <w:spacing w:line="259" w:lineRule="auto"/>
              <w:rPr>
                <w:rFonts w:ascii="Arial"/>
                <w:sz w:val="21"/>
              </w:rPr>
            </w:pPr>
          </w:p>
          <w:p w14:paraId="2DF15992">
            <w:pPr>
              <w:spacing w:line="259" w:lineRule="auto"/>
              <w:rPr>
                <w:rFonts w:ascii="Arial"/>
                <w:sz w:val="21"/>
              </w:rPr>
            </w:pPr>
          </w:p>
          <w:p w14:paraId="347391D1">
            <w:pPr>
              <w:pStyle w:val="212"/>
              <w:spacing w:before="62" w:line="256" w:lineRule="exact"/>
              <w:ind w:left="209"/>
            </w:pPr>
            <w:r>
              <w:rPr>
                <w:spacing w:val="-7"/>
                <w:position w:val="1"/>
              </w:rPr>
              <w:t>10</w:t>
            </w:r>
          </w:p>
        </w:tc>
        <w:tc>
          <w:tcPr>
            <w:tcW w:w="1166" w:type="dxa"/>
            <w:vMerge w:val="restart"/>
            <w:tcBorders>
              <w:bottom w:val="nil"/>
            </w:tcBorders>
            <w:vAlign w:val="top"/>
          </w:tcPr>
          <w:p w14:paraId="4E90FA5B">
            <w:pPr>
              <w:spacing w:line="242" w:lineRule="auto"/>
              <w:rPr>
                <w:rFonts w:ascii="Arial"/>
                <w:sz w:val="21"/>
              </w:rPr>
            </w:pPr>
          </w:p>
          <w:p w14:paraId="51278A5E">
            <w:pPr>
              <w:spacing w:line="243" w:lineRule="auto"/>
              <w:rPr>
                <w:rFonts w:ascii="Arial"/>
                <w:sz w:val="21"/>
              </w:rPr>
            </w:pPr>
          </w:p>
          <w:p w14:paraId="48CC9D44">
            <w:pPr>
              <w:spacing w:line="243" w:lineRule="auto"/>
              <w:rPr>
                <w:rFonts w:ascii="Arial"/>
                <w:sz w:val="21"/>
              </w:rPr>
            </w:pPr>
          </w:p>
          <w:p w14:paraId="79C67AEE">
            <w:pPr>
              <w:spacing w:line="243" w:lineRule="auto"/>
              <w:rPr>
                <w:rFonts w:ascii="Arial"/>
                <w:sz w:val="21"/>
              </w:rPr>
            </w:pPr>
          </w:p>
          <w:p w14:paraId="647FD45B">
            <w:pPr>
              <w:spacing w:line="243" w:lineRule="auto"/>
              <w:rPr>
                <w:rFonts w:ascii="Arial"/>
                <w:sz w:val="21"/>
              </w:rPr>
            </w:pPr>
          </w:p>
          <w:p w14:paraId="35B62772">
            <w:pPr>
              <w:spacing w:line="243" w:lineRule="auto"/>
              <w:rPr>
                <w:rFonts w:ascii="Arial"/>
                <w:sz w:val="21"/>
              </w:rPr>
            </w:pPr>
          </w:p>
          <w:p w14:paraId="27C82EB7">
            <w:pPr>
              <w:spacing w:line="243" w:lineRule="auto"/>
              <w:rPr>
                <w:rFonts w:ascii="Arial"/>
                <w:sz w:val="21"/>
              </w:rPr>
            </w:pPr>
          </w:p>
          <w:p w14:paraId="051F9F2D">
            <w:pPr>
              <w:spacing w:line="243" w:lineRule="auto"/>
              <w:rPr>
                <w:rFonts w:ascii="Arial"/>
                <w:sz w:val="21"/>
              </w:rPr>
            </w:pPr>
          </w:p>
          <w:p w14:paraId="43DF196A">
            <w:pPr>
              <w:spacing w:line="243" w:lineRule="auto"/>
              <w:rPr>
                <w:rFonts w:ascii="Arial"/>
                <w:sz w:val="21"/>
              </w:rPr>
            </w:pPr>
          </w:p>
          <w:p w14:paraId="567805F2">
            <w:pPr>
              <w:spacing w:line="243" w:lineRule="auto"/>
              <w:rPr>
                <w:rFonts w:ascii="Arial"/>
                <w:sz w:val="21"/>
              </w:rPr>
            </w:pPr>
          </w:p>
          <w:p w14:paraId="7D11DCB6">
            <w:pPr>
              <w:pStyle w:val="212"/>
              <w:spacing w:before="62" w:line="305" w:lineRule="auto"/>
              <w:ind w:left="16" w:right="8" w:hanging="7"/>
            </w:pPr>
            <w:r>
              <w:rPr>
                <w:spacing w:val="4"/>
              </w:rPr>
              <w:t>A020618</w:t>
            </w:r>
            <w:r>
              <w:rPr>
                <w:spacing w:val="-34"/>
              </w:rPr>
              <w:t xml:space="preserve"> </w:t>
            </w:r>
            <w:r>
              <w:rPr>
                <w:spacing w:val="4"/>
              </w:rPr>
              <w:t>生活</w:t>
            </w:r>
            <w:r>
              <w:t xml:space="preserve"> </w:t>
            </w:r>
            <w:r>
              <w:rPr>
                <w:spacing w:val="6"/>
              </w:rPr>
              <w:t>用电器</w:t>
            </w:r>
          </w:p>
        </w:tc>
        <w:tc>
          <w:tcPr>
            <w:tcW w:w="1799" w:type="dxa"/>
            <w:vAlign w:val="top"/>
          </w:tcPr>
          <w:p w14:paraId="7B0373FD">
            <w:pPr>
              <w:pStyle w:val="212"/>
              <w:spacing w:before="276" w:line="230" w:lineRule="auto"/>
              <w:ind w:left="9"/>
            </w:pPr>
            <w:r>
              <w:rPr>
                <w:spacing w:val="3"/>
              </w:rPr>
              <w:t>A0206180101</w:t>
            </w:r>
            <w:r>
              <w:rPr>
                <w:spacing w:val="-4"/>
              </w:rPr>
              <w:t xml:space="preserve"> </w:t>
            </w:r>
            <w:r>
              <w:rPr>
                <w:spacing w:val="3"/>
              </w:rPr>
              <w:t>电冰箱</w:t>
            </w:r>
          </w:p>
        </w:tc>
        <w:tc>
          <w:tcPr>
            <w:tcW w:w="1914" w:type="dxa"/>
            <w:vAlign w:val="top"/>
          </w:tcPr>
          <w:p w14:paraId="1A47534D">
            <w:pPr>
              <w:rPr>
                <w:rFonts w:ascii="Arial"/>
                <w:sz w:val="21"/>
              </w:rPr>
            </w:pPr>
          </w:p>
        </w:tc>
        <w:tc>
          <w:tcPr>
            <w:tcW w:w="2969" w:type="dxa"/>
            <w:vAlign w:val="top"/>
          </w:tcPr>
          <w:p w14:paraId="2016FBFD">
            <w:pPr>
              <w:pStyle w:val="212"/>
              <w:spacing w:before="119" w:line="296" w:lineRule="auto"/>
              <w:ind w:left="22" w:right="11"/>
            </w:pPr>
            <w:r>
              <w:rPr>
                <w:spacing w:val="19"/>
              </w:rPr>
              <w:t>《家用电冰箱耗电量限定值及能</w:t>
            </w:r>
            <w:r>
              <w:rPr>
                <w:spacing w:val="2"/>
              </w:rPr>
              <w:t xml:space="preserve"> </w:t>
            </w:r>
            <w:r>
              <w:rPr>
                <w:spacing w:val="4"/>
              </w:rPr>
              <w:t>效等级》（</w:t>
            </w:r>
            <w:r>
              <w:t>GB</w:t>
            </w:r>
            <w:r>
              <w:rPr>
                <w:spacing w:val="20"/>
              </w:rPr>
              <w:t xml:space="preserve">  </w:t>
            </w:r>
            <w:r>
              <w:rPr>
                <w:spacing w:val="4"/>
              </w:rPr>
              <w:t>12021.2）</w:t>
            </w:r>
          </w:p>
        </w:tc>
      </w:tr>
      <w:tr w14:paraId="4C957C3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88" w:hRule="atLeast"/>
        </w:trPr>
        <w:tc>
          <w:tcPr>
            <w:tcW w:w="578" w:type="dxa"/>
            <w:vMerge w:val="continue"/>
            <w:tcBorders>
              <w:top w:val="nil"/>
              <w:bottom w:val="nil"/>
            </w:tcBorders>
            <w:vAlign w:val="top"/>
          </w:tcPr>
          <w:p w14:paraId="5272FC17">
            <w:pPr>
              <w:rPr>
                <w:rFonts w:ascii="Arial"/>
                <w:sz w:val="21"/>
              </w:rPr>
            </w:pPr>
          </w:p>
        </w:tc>
        <w:tc>
          <w:tcPr>
            <w:tcW w:w="1166" w:type="dxa"/>
            <w:vMerge w:val="continue"/>
            <w:tcBorders>
              <w:top w:val="nil"/>
              <w:bottom w:val="nil"/>
            </w:tcBorders>
            <w:vAlign w:val="top"/>
          </w:tcPr>
          <w:p w14:paraId="5327A86C">
            <w:pPr>
              <w:rPr>
                <w:rFonts w:ascii="Arial"/>
                <w:sz w:val="21"/>
              </w:rPr>
            </w:pPr>
          </w:p>
        </w:tc>
        <w:tc>
          <w:tcPr>
            <w:tcW w:w="1799" w:type="dxa"/>
            <w:vMerge w:val="restart"/>
            <w:tcBorders>
              <w:bottom w:val="nil"/>
            </w:tcBorders>
            <w:vAlign w:val="top"/>
          </w:tcPr>
          <w:p w14:paraId="46954BC3">
            <w:pPr>
              <w:spacing w:line="247" w:lineRule="auto"/>
              <w:rPr>
                <w:rFonts w:ascii="Arial"/>
                <w:sz w:val="21"/>
              </w:rPr>
            </w:pPr>
          </w:p>
          <w:p w14:paraId="71155D9A">
            <w:pPr>
              <w:spacing w:line="248" w:lineRule="auto"/>
              <w:rPr>
                <w:rFonts w:ascii="Arial"/>
                <w:sz w:val="21"/>
              </w:rPr>
            </w:pPr>
          </w:p>
          <w:p w14:paraId="3AEF88A9">
            <w:pPr>
              <w:spacing w:line="248" w:lineRule="auto"/>
              <w:rPr>
                <w:rFonts w:ascii="Arial"/>
                <w:sz w:val="21"/>
              </w:rPr>
            </w:pPr>
          </w:p>
          <w:p w14:paraId="373676A3">
            <w:pPr>
              <w:spacing w:line="248" w:lineRule="auto"/>
              <w:rPr>
                <w:rFonts w:ascii="Arial"/>
                <w:sz w:val="21"/>
              </w:rPr>
            </w:pPr>
          </w:p>
          <w:p w14:paraId="4E79B147">
            <w:pPr>
              <w:spacing w:line="248" w:lineRule="auto"/>
              <w:rPr>
                <w:rFonts w:ascii="Arial"/>
                <w:sz w:val="21"/>
              </w:rPr>
            </w:pPr>
          </w:p>
          <w:p w14:paraId="3C7692B9">
            <w:pPr>
              <w:spacing w:line="248" w:lineRule="auto"/>
              <w:rPr>
                <w:rFonts w:ascii="Arial"/>
                <w:sz w:val="21"/>
              </w:rPr>
            </w:pPr>
          </w:p>
          <w:p w14:paraId="3B713381">
            <w:pPr>
              <w:spacing w:line="248" w:lineRule="auto"/>
              <w:rPr>
                <w:rFonts w:ascii="Arial"/>
                <w:sz w:val="21"/>
              </w:rPr>
            </w:pPr>
          </w:p>
          <w:p w14:paraId="29736577">
            <w:pPr>
              <w:pStyle w:val="212"/>
              <w:spacing w:before="62" w:line="304" w:lineRule="auto"/>
              <w:ind w:left="14" w:right="10" w:firstLine="3"/>
            </w:pPr>
            <w:r>
              <w:rPr>
                <w:spacing w:val="3"/>
              </w:rPr>
              <w:t>★A0206180203 空调</w:t>
            </w:r>
            <w:r>
              <w:rPr>
                <w:spacing w:val="9"/>
              </w:rPr>
              <w:t xml:space="preserve"> </w:t>
            </w:r>
            <w:r>
              <w:rPr>
                <w:spacing w:val="2"/>
              </w:rPr>
              <w:t>机</w:t>
            </w:r>
          </w:p>
        </w:tc>
        <w:tc>
          <w:tcPr>
            <w:tcW w:w="1914" w:type="dxa"/>
            <w:vAlign w:val="top"/>
          </w:tcPr>
          <w:p w14:paraId="2B115098">
            <w:pPr>
              <w:spacing w:line="261" w:lineRule="auto"/>
              <w:rPr>
                <w:rFonts w:ascii="Arial"/>
                <w:sz w:val="21"/>
              </w:rPr>
            </w:pPr>
          </w:p>
          <w:p w14:paraId="0E26B55E">
            <w:pPr>
              <w:spacing w:line="261" w:lineRule="auto"/>
              <w:rPr>
                <w:rFonts w:ascii="Arial"/>
                <w:sz w:val="21"/>
              </w:rPr>
            </w:pPr>
          </w:p>
          <w:p w14:paraId="21AB1BA2">
            <w:pPr>
              <w:spacing w:line="261" w:lineRule="auto"/>
              <w:rPr>
                <w:rFonts w:ascii="Arial"/>
                <w:sz w:val="21"/>
              </w:rPr>
            </w:pPr>
          </w:p>
          <w:p w14:paraId="6CB759CA">
            <w:pPr>
              <w:pStyle w:val="212"/>
              <w:spacing w:before="62" w:line="230" w:lineRule="auto"/>
              <w:ind w:left="17"/>
            </w:pPr>
            <w:r>
              <w:rPr>
                <w:spacing w:val="8"/>
              </w:rPr>
              <w:t>房间空气调节器</w:t>
            </w:r>
          </w:p>
        </w:tc>
        <w:tc>
          <w:tcPr>
            <w:tcW w:w="2969" w:type="dxa"/>
            <w:vAlign w:val="top"/>
          </w:tcPr>
          <w:p w14:paraId="5EFC417D">
            <w:pPr>
              <w:pStyle w:val="212"/>
              <w:spacing w:before="68" w:line="293" w:lineRule="auto"/>
              <w:ind w:left="17" w:firstLine="5"/>
              <w:jc w:val="both"/>
            </w:pPr>
            <w:r>
              <w:rPr>
                <w:spacing w:val="14"/>
              </w:rPr>
              <w:t>《转速可控型房间空气调节器能</w:t>
            </w:r>
            <w:r>
              <w:t xml:space="preserve">  </w:t>
            </w:r>
            <w:r>
              <w:rPr>
                <w:spacing w:val="-9"/>
              </w:rPr>
              <w:t>效</w:t>
            </w:r>
            <w:r>
              <w:rPr>
                <w:spacing w:val="-19"/>
              </w:rPr>
              <w:t xml:space="preserve"> </w:t>
            </w:r>
            <w:r>
              <w:rPr>
                <w:spacing w:val="-9"/>
              </w:rPr>
              <w:t>限</w:t>
            </w:r>
            <w:r>
              <w:rPr>
                <w:spacing w:val="-33"/>
              </w:rPr>
              <w:t xml:space="preserve"> </w:t>
            </w:r>
            <w:r>
              <w:rPr>
                <w:spacing w:val="-9"/>
              </w:rPr>
              <w:t>定</w:t>
            </w:r>
            <w:r>
              <w:rPr>
                <w:spacing w:val="-38"/>
              </w:rPr>
              <w:t xml:space="preserve"> </w:t>
            </w:r>
            <w:r>
              <w:rPr>
                <w:spacing w:val="-9"/>
              </w:rPr>
              <w:t>值</w:t>
            </w:r>
            <w:r>
              <w:rPr>
                <w:spacing w:val="-39"/>
              </w:rPr>
              <w:t xml:space="preserve"> </w:t>
            </w:r>
            <w:r>
              <w:rPr>
                <w:spacing w:val="-9"/>
              </w:rPr>
              <w:t>及</w:t>
            </w:r>
            <w:r>
              <w:rPr>
                <w:spacing w:val="-31"/>
              </w:rPr>
              <w:t xml:space="preserve"> </w:t>
            </w:r>
            <w:r>
              <w:rPr>
                <w:spacing w:val="-9"/>
              </w:rPr>
              <w:t>能</w:t>
            </w:r>
            <w:r>
              <w:rPr>
                <w:spacing w:val="-34"/>
              </w:rPr>
              <w:t xml:space="preserve"> </w:t>
            </w:r>
            <w:r>
              <w:rPr>
                <w:spacing w:val="-9"/>
              </w:rPr>
              <w:t>效</w:t>
            </w:r>
            <w:r>
              <w:rPr>
                <w:spacing w:val="-36"/>
              </w:rPr>
              <w:t xml:space="preserve"> </w:t>
            </w:r>
            <w:r>
              <w:rPr>
                <w:spacing w:val="-9"/>
              </w:rPr>
              <w:t>等</w:t>
            </w:r>
            <w:r>
              <w:rPr>
                <w:spacing w:val="-36"/>
              </w:rPr>
              <w:t xml:space="preserve"> </w:t>
            </w:r>
            <w:r>
              <w:rPr>
                <w:spacing w:val="-9"/>
              </w:rPr>
              <w:t>级</w:t>
            </w:r>
            <w:r>
              <w:rPr>
                <w:spacing w:val="-29"/>
              </w:rPr>
              <w:t xml:space="preserve"> </w:t>
            </w:r>
            <w:r>
              <w:rPr>
                <w:spacing w:val="-9"/>
              </w:rPr>
              <w:t>》</w:t>
            </w:r>
            <w:r>
              <w:rPr>
                <w:spacing w:val="-41"/>
              </w:rPr>
              <w:t xml:space="preserve"> </w:t>
            </w:r>
            <w:r>
              <w:rPr>
                <w:spacing w:val="-9"/>
              </w:rPr>
              <w:t>（ GB</w:t>
            </w:r>
            <w:r>
              <w:t xml:space="preserve">  21455-2013</w:t>
            </w:r>
            <w:r>
              <w:rPr>
                <w:spacing w:val="12"/>
              </w:rPr>
              <w:t>），</w:t>
            </w:r>
            <w:r>
              <w:t>待 2019</w:t>
            </w:r>
            <w:r>
              <w:rPr>
                <w:spacing w:val="-15"/>
              </w:rPr>
              <w:t xml:space="preserve"> </w:t>
            </w:r>
            <w:r>
              <w:t>年修订发  布后，按《房间空气调节器能效限</w:t>
            </w:r>
            <w:r>
              <w:rPr>
                <w:spacing w:val="4"/>
              </w:rPr>
              <w:t xml:space="preserve">  </w:t>
            </w:r>
            <w:r>
              <w:rPr>
                <w:spacing w:val="-5"/>
              </w:rPr>
              <w:t>定值及能效等级》（GB21455-2019）</w:t>
            </w:r>
            <w:r>
              <w:rPr>
                <w:spacing w:val="15"/>
              </w:rPr>
              <w:t xml:space="preserve"> </w:t>
            </w:r>
            <w:r>
              <w:t>实施。</w:t>
            </w:r>
          </w:p>
        </w:tc>
      </w:tr>
      <w:tr w14:paraId="79A64F9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52" w:hRule="atLeast"/>
        </w:trPr>
        <w:tc>
          <w:tcPr>
            <w:tcW w:w="578" w:type="dxa"/>
            <w:vMerge w:val="continue"/>
            <w:tcBorders>
              <w:top w:val="nil"/>
              <w:bottom w:val="nil"/>
            </w:tcBorders>
            <w:vAlign w:val="top"/>
          </w:tcPr>
          <w:p w14:paraId="1E5F1BAD">
            <w:pPr>
              <w:rPr>
                <w:rFonts w:ascii="Arial"/>
                <w:sz w:val="21"/>
              </w:rPr>
            </w:pPr>
          </w:p>
        </w:tc>
        <w:tc>
          <w:tcPr>
            <w:tcW w:w="1166" w:type="dxa"/>
            <w:vMerge w:val="continue"/>
            <w:tcBorders>
              <w:top w:val="nil"/>
              <w:bottom w:val="nil"/>
            </w:tcBorders>
            <w:vAlign w:val="top"/>
          </w:tcPr>
          <w:p w14:paraId="5CF65E0E">
            <w:pPr>
              <w:rPr>
                <w:rFonts w:ascii="Arial"/>
                <w:sz w:val="21"/>
              </w:rPr>
            </w:pPr>
          </w:p>
        </w:tc>
        <w:tc>
          <w:tcPr>
            <w:tcW w:w="1799" w:type="dxa"/>
            <w:vMerge w:val="continue"/>
            <w:tcBorders>
              <w:top w:val="nil"/>
              <w:bottom w:val="nil"/>
            </w:tcBorders>
            <w:vAlign w:val="top"/>
          </w:tcPr>
          <w:p w14:paraId="67979D17">
            <w:pPr>
              <w:rPr>
                <w:rFonts w:ascii="Arial"/>
                <w:sz w:val="21"/>
              </w:rPr>
            </w:pPr>
          </w:p>
        </w:tc>
        <w:tc>
          <w:tcPr>
            <w:tcW w:w="1914" w:type="dxa"/>
            <w:vAlign w:val="top"/>
          </w:tcPr>
          <w:p w14:paraId="5563FE61">
            <w:pPr>
              <w:pStyle w:val="212"/>
              <w:spacing w:before="71" w:line="282" w:lineRule="auto"/>
              <w:ind w:left="15" w:right="11" w:firstLine="10"/>
              <w:jc w:val="both"/>
            </w:pPr>
            <w:r>
              <w:rPr>
                <w:spacing w:val="15"/>
              </w:rPr>
              <w:t>多联式空调（热泵）</w:t>
            </w:r>
            <w:r>
              <w:rPr>
                <w:spacing w:val="7"/>
              </w:rPr>
              <w:t xml:space="preserve"> </w:t>
            </w:r>
            <w:r>
              <w:rPr>
                <w:spacing w:val="-4"/>
              </w:rPr>
              <w:t>机 组 （</w:t>
            </w:r>
            <w:r>
              <w:rPr>
                <w:spacing w:val="28"/>
              </w:rPr>
              <w:t xml:space="preserve"> </w:t>
            </w:r>
            <w:r>
              <w:rPr>
                <w:spacing w:val="-4"/>
              </w:rPr>
              <w:t>制 冷 量 ≤</w:t>
            </w:r>
            <w:r>
              <w:t xml:space="preserve"> </w:t>
            </w:r>
            <w:r>
              <w:rPr>
                <w:spacing w:val="3"/>
              </w:rPr>
              <w:t>14000W）</w:t>
            </w:r>
          </w:p>
        </w:tc>
        <w:tc>
          <w:tcPr>
            <w:tcW w:w="2969" w:type="dxa"/>
            <w:vAlign w:val="top"/>
          </w:tcPr>
          <w:p w14:paraId="4097116E">
            <w:pPr>
              <w:pStyle w:val="212"/>
              <w:spacing w:before="225" w:line="305" w:lineRule="auto"/>
              <w:ind w:left="22"/>
            </w:pPr>
            <w:r>
              <w:t>《多联式空调（热泵）机组能效限</w:t>
            </w:r>
            <w:r>
              <w:rPr>
                <w:spacing w:val="2"/>
              </w:rPr>
              <w:t xml:space="preserve">  </w:t>
            </w:r>
            <w:r>
              <w:rPr>
                <w:spacing w:val="-4"/>
              </w:rPr>
              <w:t>定值及能源效率等级》（GB</w:t>
            </w:r>
            <w:r>
              <w:rPr>
                <w:spacing w:val="-24"/>
              </w:rPr>
              <w:t xml:space="preserve"> </w:t>
            </w:r>
            <w:r>
              <w:rPr>
                <w:spacing w:val="-4"/>
              </w:rPr>
              <w:t>21454）</w:t>
            </w:r>
          </w:p>
        </w:tc>
      </w:tr>
      <w:tr w14:paraId="2BABA3A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64" w:hRule="atLeast"/>
        </w:trPr>
        <w:tc>
          <w:tcPr>
            <w:tcW w:w="578" w:type="dxa"/>
            <w:vMerge w:val="continue"/>
            <w:tcBorders>
              <w:top w:val="nil"/>
              <w:bottom w:val="nil"/>
            </w:tcBorders>
            <w:vAlign w:val="top"/>
          </w:tcPr>
          <w:p w14:paraId="48AFFED1">
            <w:pPr>
              <w:rPr>
                <w:rFonts w:ascii="Arial"/>
                <w:sz w:val="21"/>
              </w:rPr>
            </w:pPr>
          </w:p>
        </w:tc>
        <w:tc>
          <w:tcPr>
            <w:tcW w:w="1166" w:type="dxa"/>
            <w:vMerge w:val="continue"/>
            <w:tcBorders>
              <w:top w:val="nil"/>
              <w:bottom w:val="nil"/>
            </w:tcBorders>
            <w:vAlign w:val="top"/>
          </w:tcPr>
          <w:p w14:paraId="10E71562">
            <w:pPr>
              <w:rPr>
                <w:rFonts w:ascii="Arial"/>
                <w:sz w:val="21"/>
              </w:rPr>
            </w:pPr>
          </w:p>
        </w:tc>
        <w:tc>
          <w:tcPr>
            <w:tcW w:w="1799" w:type="dxa"/>
            <w:vMerge w:val="continue"/>
            <w:tcBorders>
              <w:top w:val="nil"/>
            </w:tcBorders>
            <w:vAlign w:val="top"/>
          </w:tcPr>
          <w:p w14:paraId="51628529">
            <w:pPr>
              <w:rPr>
                <w:rFonts w:ascii="Arial"/>
                <w:sz w:val="21"/>
              </w:rPr>
            </w:pPr>
          </w:p>
        </w:tc>
        <w:tc>
          <w:tcPr>
            <w:tcW w:w="1914" w:type="dxa"/>
            <w:vAlign w:val="top"/>
          </w:tcPr>
          <w:p w14:paraId="745A02AE">
            <w:pPr>
              <w:spacing w:line="319" w:lineRule="auto"/>
              <w:rPr>
                <w:rFonts w:ascii="Arial"/>
                <w:sz w:val="21"/>
              </w:rPr>
            </w:pPr>
          </w:p>
          <w:p w14:paraId="1C83C537">
            <w:pPr>
              <w:pStyle w:val="212"/>
              <w:spacing w:before="61" w:line="305" w:lineRule="auto"/>
              <w:ind w:left="51" w:right="11" w:hanging="33"/>
            </w:pPr>
            <w:r>
              <w:rPr>
                <w:spacing w:val="44"/>
              </w:rPr>
              <w:t>单元式空气调节机</w:t>
            </w:r>
            <w:r>
              <w:rPr>
                <w:spacing w:val="6"/>
              </w:rPr>
              <w:t xml:space="preserve"> </w:t>
            </w:r>
            <w:r>
              <w:rPr>
                <w:spacing w:val="3"/>
              </w:rPr>
              <w:t>(制冷量≤14000W)</w:t>
            </w:r>
          </w:p>
        </w:tc>
        <w:tc>
          <w:tcPr>
            <w:tcW w:w="2969" w:type="dxa"/>
            <w:vAlign w:val="top"/>
          </w:tcPr>
          <w:p w14:paraId="05145D7A">
            <w:pPr>
              <w:pStyle w:val="212"/>
              <w:spacing w:before="72" w:line="287" w:lineRule="auto"/>
              <w:ind w:left="17" w:right="11" w:firstLine="6"/>
              <w:jc w:val="both"/>
            </w:pPr>
            <w:r>
              <w:rPr>
                <w:spacing w:val="19"/>
              </w:rPr>
              <w:t>《单元式空气调节机能效限定值</w:t>
            </w:r>
            <w:r>
              <w:rPr>
                <w:spacing w:val="2"/>
              </w:rPr>
              <w:t xml:space="preserve"> </w:t>
            </w:r>
            <w:r>
              <w:rPr>
                <w:spacing w:val="-5"/>
              </w:rPr>
              <w:t>及能源效率等级》（GB</w:t>
            </w:r>
            <w:r>
              <w:rPr>
                <w:spacing w:val="-13"/>
              </w:rPr>
              <w:t xml:space="preserve"> </w:t>
            </w:r>
            <w:r>
              <w:rPr>
                <w:spacing w:val="-5"/>
              </w:rPr>
              <w:t>19576）《风</w:t>
            </w:r>
            <w:r>
              <w:t xml:space="preserve"> </w:t>
            </w:r>
            <w:r>
              <w:rPr>
                <w:spacing w:val="19"/>
              </w:rPr>
              <w:t>管送风式空调机组能效限定值及</w:t>
            </w:r>
            <w:r>
              <w:rPr>
                <w:spacing w:val="8"/>
              </w:rPr>
              <w:t xml:space="preserve"> </w:t>
            </w:r>
            <w:r>
              <w:rPr>
                <w:spacing w:val="7"/>
              </w:rPr>
              <w:t>能效等级》（</w:t>
            </w:r>
            <w:r>
              <w:t>GB</w:t>
            </w:r>
            <w:r>
              <w:rPr>
                <w:spacing w:val="7"/>
              </w:rPr>
              <w:t xml:space="preserve"> 37479）</w:t>
            </w:r>
          </w:p>
        </w:tc>
      </w:tr>
      <w:tr w14:paraId="793D8B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3" w:hRule="atLeast"/>
        </w:trPr>
        <w:tc>
          <w:tcPr>
            <w:tcW w:w="578" w:type="dxa"/>
            <w:vMerge w:val="continue"/>
            <w:tcBorders>
              <w:top w:val="nil"/>
            </w:tcBorders>
            <w:vAlign w:val="top"/>
          </w:tcPr>
          <w:p w14:paraId="25D9BA33">
            <w:pPr>
              <w:rPr>
                <w:rFonts w:ascii="Arial"/>
                <w:sz w:val="21"/>
              </w:rPr>
            </w:pPr>
          </w:p>
        </w:tc>
        <w:tc>
          <w:tcPr>
            <w:tcW w:w="1166" w:type="dxa"/>
            <w:vMerge w:val="continue"/>
            <w:tcBorders>
              <w:top w:val="nil"/>
            </w:tcBorders>
            <w:vAlign w:val="top"/>
          </w:tcPr>
          <w:p w14:paraId="7DD1EC21">
            <w:pPr>
              <w:rPr>
                <w:rFonts w:ascii="Arial"/>
                <w:sz w:val="21"/>
              </w:rPr>
            </w:pPr>
          </w:p>
        </w:tc>
        <w:tc>
          <w:tcPr>
            <w:tcW w:w="1799" w:type="dxa"/>
            <w:vAlign w:val="top"/>
          </w:tcPr>
          <w:p w14:paraId="2105E109">
            <w:pPr>
              <w:pStyle w:val="212"/>
              <w:spacing w:before="230" w:line="228" w:lineRule="auto"/>
              <w:ind w:left="9"/>
            </w:pPr>
            <w:r>
              <w:rPr>
                <w:spacing w:val="5"/>
              </w:rPr>
              <w:t>A0206180301</w:t>
            </w:r>
            <w:r>
              <w:rPr>
                <w:spacing w:val="-33"/>
              </w:rPr>
              <w:t xml:space="preserve"> </w:t>
            </w:r>
            <w:r>
              <w:rPr>
                <w:spacing w:val="5"/>
              </w:rPr>
              <w:t>洗衣机</w:t>
            </w:r>
          </w:p>
        </w:tc>
        <w:tc>
          <w:tcPr>
            <w:tcW w:w="1914" w:type="dxa"/>
            <w:vAlign w:val="top"/>
          </w:tcPr>
          <w:p w14:paraId="7A382A83">
            <w:pPr>
              <w:rPr>
                <w:rFonts w:ascii="Arial"/>
                <w:sz w:val="21"/>
              </w:rPr>
            </w:pPr>
          </w:p>
        </w:tc>
        <w:tc>
          <w:tcPr>
            <w:tcW w:w="2969" w:type="dxa"/>
            <w:vAlign w:val="top"/>
          </w:tcPr>
          <w:p w14:paraId="17E09339">
            <w:pPr>
              <w:pStyle w:val="212"/>
              <w:spacing w:before="74" w:line="276" w:lineRule="auto"/>
              <w:ind w:left="19" w:right="11" w:firstLine="3"/>
            </w:pPr>
            <w:r>
              <w:rPr>
                <w:spacing w:val="19"/>
              </w:rPr>
              <w:t>《电动洗衣机能效水效限定值及</w:t>
            </w:r>
            <w:r>
              <w:rPr>
                <w:spacing w:val="2"/>
              </w:rPr>
              <w:t xml:space="preserve"> </w:t>
            </w:r>
            <w:r>
              <w:rPr>
                <w:spacing w:val="4"/>
              </w:rPr>
              <w:t>等级》（</w:t>
            </w:r>
            <w:r>
              <w:t>GB</w:t>
            </w:r>
            <w:r>
              <w:rPr>
                <w:spacing w:val="33"/>
              </w:rPr>
              <w:t xml:space="preserve"> </w:t>
            </w:r>
            <w:r>
              <w:rPr>
                <w:spacing w:val="4"/>
              </w:rPr>
              <w:t>12021.4）</w:t>
            </w:r>
          </w:p>
        </w:tc>
      </w:tr>
    </w:tbl>
    <w:p w14:paraId="44622A36">
      <w:pPr>
        <w:rPr>
          <w:rFonts w:ascii="Arial"/>
          <w:sz w:val="21"/>
        </w:rPr>
      </w:pPr>
    </w:p>
    <w:p w14:paraId="49F23B4C">
      <w:pPr>
        <w:rPr>
          <w:rFonts w:ascii="Arial" w:hAnsi="Arial" w:eastAsia="Arial" w:cs="Arial"/>
          <w:sz w:val="21"/>
          <w:szCs w:val="21"/>
        </w:rPr>
        <w:sectPr>
          <w:pgSz w:w="11906" w:h="16838"/>
          <w:pgMar w:top="1431" w:right="1691" w:bottom="1134" w:left="1783" w:header="850" w:footer="992" w:gutter="0"/>
          <w:pgBorders>
            <w:top w:val="none" w:sz="0" w:space="0"/>
            <w:left w:val="none" w:sz="0" w:space="0"/>
            <w:bottom w:val="none" w:sz="0" w:space="0"/>
            <w:right w:val="none" w:sz="0" w:space="0"/>
          </w:pgBorders>
          <w:cols w:space="720" w:num="1"/>
        </w:sectPr>
      </w:pPr>
    </w:p>
    <w:p w14:paraId="397E8DA5">
      <w:pPr>
        <w:spacing w:line="91" w:lineRule="auto"/>
        <w:rPr>
          <w:rFonts w:ascii="Arial"/>
          <w:sz w:val="2"/>
        </w:rPr>
      </w:pPr>
    </w:p>
    <w:tbl>
      <w:tblPr>
        <w:tblStyle w:val="213"/>
        <w:tblW w:w="8426"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78"/>
        <w:gridCol w:w="1166"/>
        <w:gridCol w:w="1799"/>
        <w:gridCol w:w="1914"/>
        <w:gridCol w:w="2969"/>
      </w:tblGrid>
      <w:tr w14:paraId="19CE199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1" w:hRule="atLeast"/>
        </w:trPr>
        <w:tc>
          <w:tcPr>
            <w:tcW w:w="578" w:type="dxa"/>
            <w:vMerge w:val="restart"/>
            <w:tcBorders>
              <w:bottom w:val="nil"/>
            </w:tcBorders>
            <w:vAlign w:val="top"/>
          </w:tcPr>
          <w:p w14:paraId="68DF05E0">
            <w:pPr>
              <w:rPr>
                <w:rFonts w:ascii="Arial"/>
                <w:sz w:val="21"/>
              </w:rPr>
            </w:pPr>
          </w:p>
        </w:tc>
        <w:tc>
          <w:tcPr>
            <w:tcW w:w="1166" w:type="dxa"/>
            <w:vMerge w:val="restart"/>
            <w:tcBorders>
              <w:bottom w:val="nil"/>
            </w:tcBorders>
            <w:vAlign w:val="top"/>
          </w:tcPr>
          <w:p w14:paraId="232F69D4">
            <w:pPr>
              <w:rPr>
                <w:rFonts w:ascii="Arial"/>
                <w:sz w:val="21"/>
              </w:rPr>
            </w:pPr>
          </w:p>
        </w:tc>
        <w:tc>
          <w:tcPr>
            <w:tcW w:w="1799" w:type="dxa"/>
            <w:vMerge w:val="restart"/>
            <w:tcBorders>
              <w:bottom w:val="nil"/>
            </w:tcBorders>
            <w:vAlign w:val="top"/>
          </w:tcPr>
          <w:p w14:paraId="5255A109">
            <w:pPr>
              <w:spacing w:line="244" w:lineRule="auto"/>
              <w:rPr>
                <w:rFonts w:ascii="Arial"/>
                <w:sz w:val="21"/>
              </w:rPr>
            </w:pPr>
          </w:p>
          <w:p w14:paraId="5F21F882">
            <w:pPr>
              <w:spacing w:line="244" w:lineRule="auto"/>
              <w:rPr>
                <w:rFonts w:ascii="Arial"/>
                <w:sz w:val="21"/>
              </w:rPr>
            </w:pPr>
          </w:p>
          <w:p w14:paraId="769077C0">
            <w:pPr>
              <w:spacing w:line="244" w:lineRule="auto"/>
              <w:rPr>
                <w:rFonts w:ascii="Arial"/>
                <w:sz w:val="21"/>
              </w:rPr>
            </w:pPr>
          </w:p>
          <w:p w14:paraId="485A0B09">
            <w:pPr>
              <w:spacing w:line="244" w:lineRule="auto"/>
              <w:rPr>
                <w:rFonts w:ascii="Arial"/>
                <w:sz w:val="21"/>
              </w:rPr>
            </w:pPr>
          </w:p>
          <w:p w14:paraId="67F7C1E6">
            <w:pPr>
              <w:spacing w:line="245" w:lineRule="auto"/>
              <w:rPr>
                <w:rFonts w:ascii="Arial"/>
                <w:sz w:val="21"/>
              </w:rPr>
            </w:pPr>
          </w:p>
          <w:p w14:paraId="1E6CC489">
            <w:pPr>
              <w:spacing w:line="245" w:lineRule="auto"/>
              <w:rPr>
                <w:rFonts w:ascii="Arial"/>
                <w:sz w:val="21"/>
              </w:rPr>
            </w:pPr>
          </w:p>
          <w:p w14:paraId="11F845B0">
            <w:pPr>
              <w:pStyle w:val="212"/>
              <w:spacing w:before="62" w:line="229" w:lineRule="auto"/>
              <w:ind w:left="9"/>
            </w:pPr>
            <w:r>
              <w:rPr>
                <w:spacing w:val="5"/>
              </w:rPr>
              <w:t>A02061808</w:t>
            </w:r>
            <w:r>
              <w:rPr>
                <w:spacing w:val="-32"/>
              </w:rPr>
              <w:t xml:space="preserve"> </w:t>
            </w:r>
            <w:r>
              <w:rPr>
                <w:spacing w:val="5"/>
              </w:rPr>
              <w:t>热水器</w:t>
            </w:r>
          </w:p>
        </w:tc>
        <w:tc>
          <w:tcPr>
            <w:tcW w:w="1914" w:type="dxa"/>
            <w:vAlign w:val="top"/>
          </w:tcPr>
          <w:p w14:paraId="3DBE7627">
            <w:pPr>
              <w:pStyle w:val="212"/>
              <w:spacing w:before="275" w:line="229" w:lineRule="auto"/>
              <w:ind w:left="19"/>
            </w:pPr>
            <w:r>
              <w:rPr>
                <w:spacing w:val="7"/>
              </w:rPr>
              <w:t>★电热水器</w:t>
            </w:r>
          </w:p>
        </w:tc>
        <w:tc>
          <w:tcPr>
            <w:tcW w:w="2969" w:type="dxa"/>
            <w:vAlign w:val="top"/>
          </w:tcPr>
          <w:p w14:paraId="40986011">
            <w:pPr>
              <w:pStyle w:val="212"/>
              <w:spacing w:before="119" w:line="297" w:lineRule="auto"/>
              <w:ind w:left="25" w:right="11" w:hanging="2"/>
            </w:pPr>
            <w:r>
              <w:rPr>
                <w:spacing w:val="19"/>
              </w:rPr>
              <w:t>《储水式电热水器能效限定值及</w:t>
            </w:r>
            <w:r>
              <w:rPr>
                <w:spacing w:val="2"/>
              </w:rPr>
              <w:t xml:space="preserve"> </w:t>
            </w:r>
            <w:r>
              <w:rPr>
                <w:spacing w:val="6"/>
              </w:rPr>
              <w:t>能效等级》（</w:t>
            </w:r>
            <w:r>
              <w:t>GB</w:t>
            </w:r>
            <w:r>
              <w:rPr>
                <w:spacing w:val="6"/>
              </w:rPr>
              <w:t xml:space="preserve">  21519）</w:t>
            </w:r>
          </w:p>
        </w:tc>
      </w:tr>
      <w:tr w14:paraId="0BD1414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52" w:hRule="atLeast"/>
        </w:trPr>
        <w:tc>
          <w:tcPr>
            <w:tcW w:w="578" w:type="dxa"/>
            <w:vMerge w:val="continue"/>
            <w:tcBorders>
              <w:top w:val="nil"/>
              <w:bottom w:val="nil"/>
            </w:tcBorders>
            <w:vAlign w:val="top"/>
          </w:tcPr>
          <w:p w14:paraId="6005965A">
            <w:pPr>
              <w:rPr>
                <w:rFonts w:ascii="Arial"/>
                <w:sz w:val="21"/>
              </w:rPr>
            </w:pPr>
          </w:p>
        </w:tc>
        <w:tc>
          <w:tcPr>
            <w:tcW w:w="1166" w:type="dxa"/>
            <w:vMerge w:val="continue"/>
            <w:tcBorders>
              <w:top w:val="nil"/>
              <w:bottom w:val="nil"/>
            </w:tcBorders>
            <w:vAlign w:val="top"/>
          </w:tcPr>
          <w:p w14:paraId="3D56B3AD">
            <w:pPr>
              <w:rPr>
                <w:rFonts w:ascii="Arial"/>
                <w:sz w:val="21"/>
              </w:rPr>
            </w:pPr>
          </w:p>
        </w:tc>
        <w:tc>
          <w:tcPr>
            <w:tcW w:w="1799" w:type="dxa"/>
            <w:vMerge w:val="continue"/>
            <w:tcBorders>
              <w:top w:val="nil"/>
              <w:bottom w:val="nil"/>
            </w:tcBorders>
            <w:vAlign w:val="top"/>
          </w:tcPr>
          <w:p w14:paraId="43E781D7">
            <w:pPr>
              <w:rPr>
                <w:rFonts w:ascii="Arial"/>
                <w:sz w:val="21"/>
              </w:rPr>
            </w:pPr>
          </w:p>
        </w:tc>
        <w:tc>
          <w:tcPr>
            <w:tcW w:w="1914" w:type="dxa"/>
            <w:vAlign w:val="top"/>
          </w:tcPr>
          <w:p w14:paraId="647A98FC">
            <w:pPr>
              <w:spacing w:line="315" w:lineRule="auto"/>
              <w:rPr>
                <w:rFonts w:ascii="Arial"/>
                <w:sz w:val="21"/>
              </w:rPr>
            </w:pPr>
          </w:p>
          <w:p w14:paraId="70738594">
            <w:pPr>
              <w:pStyle w:val="212"/>
              <w:spacing w:before="61" w:line="229" w:lineRule="auto"/>
              <w:ind w:left="15"/>
            </w:pPr>
            <w:r>
              <w:rPr>
                <w:spacing w:val="8"/>
              </w:rPr>
              <w:t>燃气热水器</w:t>
            </w:r>
          </w:p>
        </w:tc>
        <w:tc>
          <w:tcPr>
            <w:tcW w:w="2969" w:type="dxa"/>
            <w:vAlign w:val="top"/>
          </w:tcPr>
          <w:p w14:paraId="4A0B5633">
            <w:pPr>
              <w:pStyle w:val="212"/>
              <w:spacing w:before="68" w:line="283" w:lineRule="auto"/>
              <w:ind w:left="25" w:hanging="2"/>
              <w:jc w:val="both"/>
            </w:pPr>
            <w:r>
              <w:rPr>
                <w:spacing w:val="17"/>
              </w:rPr>
              <w:t>《家用燃气快速热水器和燃气采</w:t>
            </w:r>
            <w:r>
              <w:t xml:space="preserve"> </w:t>
            </w:r>
            <w:r>
              <w:rPr>
                <w:spacing w:val="5"/>
              </w:rPr>
              <w:t>暖热水炉能效限定值及能效等级》</w:t>
            </w:r>
            <w:r>
              <w:rPr>
                <w:spacing w:val="12"/>
              </w:rPr>
              <w:t xml:space="preserve"> </w:t>
            </w:r>
            <w:r>
              <w:rPr>
                <w:spacing w:val="1"/>
              </w:rPr>
              <w:t>（</w:t>
            </w:r>
            <w:r>
              <w:t>GB</w:t>
            </w:r>
            <w:r>
              <w:rPr>
                <w:spacing w:val="18"/>
              </w:rPr>
              <w:t xml:space="preserve"> </w:t>
            </w:r>
            <w:r>
              <w:rPr>
                <w:spacing w:val="1"/>
              </w:rPr>
              <w:t>20665）</w:t>
            </w:r>
          </w:p>
        </w:tc>
      </w:tr>
      <w:tr w14:paraId="7C24310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8" w:hRule="atLeast"/>
        </w:trPr>
        <w:tc>
          <w:tcPr>
            <w:tcW w:w="578" w:type="dxa"/>
            <w:vMerge w:val="continue"/>
            <w:tcBorders>
              <w:top w:val="nil"/>
              <w:bottom w:val="nil"/>
            </w:tcBorders>
            <w:vAlign w:val="top"/>
          </w:tcPr>
          <w:p w14:paraId="2B5A8A2A">
            <w:pPr>
              <w:rPr>
                <w:rFonts w:ascii="Arial"/>
                <w:sz w:val="21"/>
              </w:rPr>
            </w:pPr>
          </w:p>
        </w:tc>
        <w:tc>
          <w:tcPr>
            <w:tcW w:w="1166" w:type="dxa"/>
            <w:vMerge w:val="continue"/>
            <w:tcBorders>
              <w:top w:val="nil"/>
              <w:bottom w:val="nil"/>
            </w:tcBorders>
            <w:vAlign w:val="top"/>
          </w:tcPr>
          <w:p w14:paraId="0B3E6B5E">
            <w:pPr>
              <w:rPr>
                <w:rFonts w:ascii="Arial"/>
                <w:sz w:val="21"/>
              </w:rPr>
            </w:pPr>
          </w:p>
        </w:tc>
        <w:tc>
          <w:tcPr>
            <w:tcW w:w="1799" w:type="dxa"/>
            <w:vMerge w:val="continue"/>
            <w:tcBorders>
              <w:top w:val="nil"/>
              <w:bottom w:val="nil"/>
            </w:tcBorders>
            <w:vAlign w:val="top"/>
          </w:tcPr>
          <w:p w14:paraId="31AE8D92">
            <w:pPr>
              <w:rPr>
                <w:rFonts w:ascii="Arial"/>
                <w:sz w:val="21"/>
              </w:rPr>
            </w:pPr>
          </w:p>
        </w:tc>
        <w:tc>
          <w:tcPr>
            <w:tcW w:w="1914" w:type="dxa"/>
            <w:vAlign w:val="top"/>
          </w:tcPr>
          <w:p w14:paraId="6FD46B1C">
            <w:pPr>
              <w:spacing w:line="248" w:lineRule="auto"/>
              <w:rPr>
                <w:rFonts w:ascii="Arial"/>
                <w:sz w:val="21"/>
              </w:rPr>
            </w:pPr>
          </w:p>
          <w:p w14:paraId="0CA164E9">
            <w:pPr>
              <w:pStyle w:val="212"/>
              <w:spacing w:before="62" w:line="229" w:lineRule="auto"/>
              <w:ind w:left="20"/>
            </w:pPr>
            <w:r>
              <w:rPr>
                <w:spacing w:val="7"/>
              </w:rPr>
              <w:t>热泵热水器</w:t>
            </w:r>
          </w:p>
        </w:tc>
        <w:tc>
          <w:tcPr>
            <w:tcW w:w="2969" w:type="dxa"/>
            <w:vAlign w:val="top"/>
          </w:tcPr>
          <w:p w14:paraId="73FE9B8A">
            <w:pPr>
              <w:pStyle w:val="212"/>
              <w:spacing w:before="156" w:line="304" w:lineRule="auto"/>
              <w:ind w:left="25" w:right="13" w:hanging="2"/>
            </w:pPr>
            <w:r>
              <w:rPr>
                <w:spacing w:val="5"/>
              </w:rPr>
              <w:t>《热泵热水机（器）能效限定值及</w:t>
            </w:r>
            <w:r>
              <w:rPr>
                <w:spacing w:val="1"/>
              </w:rPr>
              <w:t xml:space="preserve"> </w:t>
            </w:r>
            <w:r>
              <w:rPr>
                <w:spacing w:val="6"/>
              </w:rPr>
              <w:t>能效等级》（</w:t>
            </w:r>
            <w:r>
              <w:t>GB</w:t>
            </w:r>
            <w:r>
              <w:rPr>
                <w:spacing w:val="6"/>
              </w:rPr>
              <w:t xml:space="preserve"> 29541）</w:t>
            </w:r>
          </w:p>
        </w:tc>
      </w:tr>
      <w:tr w14:paraId="3CE2224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6" w:hRule="atLeast"/>
        </w:trPr>
        <w:tc>
          <w:tcPr>
            <w:tcW w:w="578" w:type="dxa"/>
            <w:vMerge w:val="continue"/>
            <w:tcBorders>
              <w:top w:val="nil"/>
            </w:tcBorders>
            <w:vAlign w:val="top"/>
          </w:tcPr>
          <w:p w14:paraId="748CE7B1">
            <w:pPr>
              <w:rPr>
                <w:rFonts w:ascii="Arial"/>
                <w:sz w:val="21"/>
              </w:rPr>
            </w:pPr>
          </w:p>
        </w:tc>
        <w:tc>
          <w:tcPr>
            <w:tcW w:w="1166" w:type="dxa"/>
            <w:vMerge w:val="continue"/>
            <w:tcBorders>
              <w:top w:val="nil"/>
            </w:tcBorders>
            <w:vAlign w:val="top"/>
          </w:tcPr>
          <w:p w14:paraId="2AA3A1D4">
            <w:pPr>
              <w:rPr>
                <w:rFonts w:ascii="Arial"/>
                <w:sz w:val="21"/>
              </w:rPr>
            </w:pPr>
          </w:p>
        </w:tc>
        <w:tc>
          <w:tcPr>
            <w:tcW w:w="1799" w:type="dxa"/>
            <w:vMerge w:val="continue"/>
            <w:tcBorders>
              <w:top w:val="nil"/>
            </w:tcBorders>
            <w:vAlign w:val="top"/>
          </w:tcPr>
          <w:p w14:paraId="6895AE21">
            <w:pPr>
              <w:rPr>
                <w:rFonts w:ascii="Arial"/>
                <w:sz w:val="21"/>
              </w:rPr>
            </w:pPr>
          </w:p>
        </w:tc>
        <w:tc>
          <w:tcPr>
            <w:tcW w:w="1914" w:type="dxa"/>
            <w:vAlign w:val="top"/>
          </w:tcPr>
          <w:p w14:paraId="774FBF49">
            <w:pPr>
              <w:pStyle w:val="212"/>
              <w:spacing w:before="271" w:line="229" w:lineRule="auto"/>
              <w:ind w:left="16"/>
            </w:pPr>
            <w:r>
              <w:rPr>
                <w:spacing w:val="8"/>
              </w:rPr>
              <w:t>太阳能热水系统</w:t>
            </w:r>
          </w:p>
        </w:tc>
        <w:tc>
          <w:tcPr>
            <w:tcW w:w="2969" w:type="dxa"/>
            <w:vAlign w:val="top"/>
          </w:tcPr>
          <w:p w14:paraId="5EDA258B">
            <w:pPr>
              <w:pStyle w:val="212"/>
              <w:spacing w:before="114" w:line="297" w:lineRule="auto"/>
              <w:ind w:left="17" w:right="11" w:firstLine="5"/>
            </w:pPr>
            <w:r>
              <w:rPr>
                <w:spacing w:val="19"/>
              </w:rPr>
              <w:t>《家用太阳能热水系统能效限定</w:t>
            </w:r>
            <w:r>
              <w:rPr>
                <w:spacing w:val="2"/>
              </w:rPr>
              <w:t xml:space="preserve"> </w:t>
            </w:r>
            <w:r>
              <w:rPr>
                <w:spacing w:val="7"/>
              </w:rPr>
              <w:t>值及能效等级》（</w:t>
            </w:r>
            <w:r>
              <w:t>GB</w:t>
            </w:r>
            <w:r>
              <w:rPr>
                <w:spacing w:val="7"/>
              </w:rPr>
              <w:t xml:space="preserve"> 26969）</w:t>
            </w:r>
          </w:p>
        </w:tc>
      </w:tr>
      <w:tr w14:paraId="1B03C7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97" w:hRule="atLeast"/>
        </w:trPr>
        <w:tc>
          <w:tcPr>
            <w:tcW w:w="578" w:type="dxa"/>
            <w:vMerge w:val="restart"/>
            <w:tcBorders>
              <w:bottom w:val="nil"/>
            </w:tcBorders>
            <w:vAlign w:val="top"/>
          </w:tcPr>
          <w:p w14:paraId="5EB53C24">
            <w:pPr>
              <w:spacing w:line="269" w:lineRule="auto"/>
              <w:rPr>
                <w:rFonts w:ascii="Arial"/>
                <w:sz w:val="21"/>
              </w:rPr>
            </w:pPr>
          </w:p>
          <w:p w14:paraId="74E7D8B3">
            <w:pPr>
              <w:spacing w:line="269" w:lineRule="auto"/>
              <w:rPr>
                <w:rFonts w:ascii="Arial"/>
                <w:sz w:val="21"/>
              </w:rPr>
            </w:pPr>
          </w:p>
          <w:p w14:paraId="3925A389">
            <w:pPr>
              <w:spacing w:line="269" w:lineRule="auto"/>
              <w:rPr>
                <w:rFonts w:ascii="Arial"/>
                <w:sz w:val="21"/>
              </w:rPr>
            </w:pPr>
          </w:p>
          <w:p w14:paraId="64684425">
            <w:pPr>
              <w:spacing w:line="269" w:lineRule="auto"/>
              <w:rPr>
                <w:rFonts w:ascii="Arial"/>
                <w:sz w:val="21"/>
              </w:rPr>
            </w:pPr>
          </w:p>
          <w:p w14:paraId="37BDCB2E">
            <w:pPr>
              <w:spacing w:line="269" w:lineRule="auto"/>
              <w:rPr>
                <w:rFonts w:ascii="Arial"/>
                <w:sz w:val="21"/>
              </w:rPr>
            </w:pPr>
          </w:p>
          <w:p w14:paraId="1D5F833E">
            <w:pPr>
              <w:spacing w:line="269" w:lineRule="auto"/>
              <w:rPr>
                <w:rFonts w:ascii="Arial"/>
                <w:sz w:val="21"/>
              </w:rPr>
            </w:pPr>
          </w:p>
          <w:p w14:paraId="2E1A2EBE">
            <w:pPr>
              <w:pStyle w:val="212"/>
              <w:spacing w:before="61" w:line="258" w:lineRule="exact"/>
              <w:ind w:left="209"/>
            </w:pPr>
            <w:r>
              <w:rPr>
                <w:spacing w:val="-7"/>
                <w:position w:val="1"/>
              </w:rPr>
              <w:t>11</w:t>
            </w:r>
          </w:p>
        </w:tc>
        <w:tc>
          <w:tcPr>
            <w:tcW w:w="1166" w:type="dxa"/>
            <w:vMerge w:val="restart"/>
            <w:tcBorders>
              <w:bottom w:val="nil"/>
            </w:tcBorders>
            <w:vAlign w:val="top"/>
          </w:tcPr>
          <w:p w14:paraId="56A14D05">
            <w:pPr>
              <w:spacing w:line="243" w:lineRule="auto"/>
              <w:rPr>
                <w:rFonts w:ascii="Arial"/>
                <w:sz w:val="21"/>
              </w:rPr>
            </w:pPr>
          </w:p>
          <w:p w14:paraId="0BCC3ABE">
            <w:pPr>
              <w:spacing w:line="243" w:lineRule="auto"/>
              <w:rPr>
                <w:rFonts w:ascii="Arial"/>
                <w:sz w:val="21"/>
              </w:rPr>
            </w:pPr>
          </w:p>
          <w:p w14:paraId="32242E13">
            <w:pPr>
              <w:spacing w:line="243" w:lineRule="auto"/>
              <w:rPr>
                <w:rFonts w:ascii="Arial"/>
                <w:sz w:val="21"/>
              </w:rPr>
            </w:pPr>
          </w:p>
          <w:p w14:paraId="711CB489">
            <w:pPr>
              <w:spacing w:line="243" w:lineRule="auto"/>
              <w:rPr>
                <w:rFonts w:ascii="Arial"/>
                <w:sz w:val="21"/>
              </w:rPr>
            </w:pPr>
          </w:p>
          <w:p w14:paraId="0E854077">
            <w:pPr>
              <w:spacing w:line="243" w:lineRule="auto"/>
              <w:rPr>
                <w:rFonts w:ascii="Arial"/>
                <w:sz w:val="21"/>
              </w:rPr>
            </w:pPr>
          </w:p>
          <w:p w14:paraId="0969A93B">
            <w:pPr>
              <w:spacing w:line="244" w:lineRule="auto"/>
              <w:rPr>
                <w:rFonts w:ascii="Arial"/>
                <w:sz w:val="21"/>
              </w:rPr>
            </w:pPr>
          </w:p>
          <w:p w14:paraId="2D3F9A27">
            <w:pPr>
              <w:pStyle w:val="212"/>
              <w:spacing w:before="61" w:line="305" w:lineRule="auto"/>
              <w:ind w:left="18" w:right="8" w:hanging="9"/>
            </w:pPr>
            <w:r>
              <w:rPr>
                <w:spacing w:val="5"/>
              </w:rPr>
              <w:t>A020619</w:t>
            </w:r>
            <w:r>
              <w:rPr>
                <w:spacing w:val="-43"/>
              </w:rPr>
              <w:t xml:space="preserve"> </w:t>
            </w:r>
            <w:r>
              <w:rPr>
                <w:spacing w:val="5"/>
              </w:rPr>
              <w:t>照明</w:t>
            </w:r>
            <w:r>
              <w:t xml:space="preserve"> </w:t>
            </w:r>
            <w:r>
              <w:rPr>
                <w:spacing w:val="3"/>
              </w:rPr>
              <w:t>设备</w:t>
            </w:r>
          </w:p>
        </w:tc>
        <w:tc>
          <w:tcPr>
            <w:tcW w:w="1799" w:type="dxa"/>
            <w:vAlign w:val="top"/>
          </w:tcPr>
          <w:p w14:paraId="2B28A870">
            <w:pPr>
              <w:pStyle w:val="212"/>
              <w:spacing w:before="198" w:line="304" w:lineRule="auto"/>
              <w:ind w:left="20" w:right="12" w:hanging="2"/>
            </w:pPr>
            <w:r>
              <w:rPr>
                <w:spacing w:val="19"/>
              </w:rPr>
              <w:t>★</w:t>
            </w:r>
            <w:r>
              <w:rPr>
                <w:spacing w:val="-59"/>
              </w:rPr>
              <w:t xml:space="preserve"> </w:t>
            </w:r>
            <w:r>
              <w:rPr>
                <w:spacing w:val="19"/>
              </w:rPr>
              <w:t>普通照</w:t>
            </w:r>
            <w:r>
              <w:rPr>
                <w:spacing w:val="-42"/>
              </w:rPr>
              <w:t xml:space="preserve"> </w:t>
            </w:r>
            <w:r>
              <w:rPr>
                <w:spacing w:val="19"/>
              </w:rPr>
              <w:t>明用双端</w:t>
            </w:r>
            <w:r>
              <w:t xml:space="preserve"> </w:t>
            </w:r>
            <w:r>
              <w:rPr>
                <w:spacing w:val="4"/>
              </w:rPr>
              <w:t>荧光灯</w:t>
            </w:r>
          </w:p>
        </w:tc>
        <w:tc>
          <w:tcPr>
            <w:tcW w:w="1914" w:type="dxa"/>
            <w:vAlign w:val="top"/>
          </w:tcPr>
          <w:p w14:paraId="2ED8761F">
            <w:pPr>
              <w:rPr>
                <w:rFonts w:ascii="Arial"/>
                <w:sz w:val="21"/>
              </w:rPr>
            </w:pPr>
          </w:p>
        </w:tc>
        <w:tc>
          <w:tcPr>
            <w:tcW w:w="2969" w:type="dxa"/>
            <w:vAlign w:val="top"/>
          </w:tcPr>
          <w:p w14:paraId="08486711">
            <w:pPr>
              <w:pStyle w:val="212"/>
              <w:spacing w:before="198" w:line="304" w:lineRule="auto"/>
              <w:ind w:left="22" w:right="11"/>
            </w:pPr>
            <w:r>
              <w:rPr>
                <w:spacing w:val="19"/>
              </w:rPr>
              <w:t>《普通照明用双端荧光灯能效限</w:t>
            </w:r>
            <w:r>
              <w:rPr>
                <w:spacing w:val="2"/>
              </w:rPr>
              <w:t xml:space="preserve"> </w:t>
            </w:r>
            <w:r>
              <w:rPr>
                <w:spacing w:val="5"/>
              </w:rPr>
              <w:t>定值及能效等级》（</w:t>
            </w:r>
            <w:r>
              <w:t>GB</w:t>
            </w:r>
            <w:r>
              <w:rPr>
                <w:spacing w:val="42"/>
              </w:rPr>
              <w:t xml:space="preserve"> </w:t>
            </w:r>
            <w:r>
              <w:rPr>
                <w:spacing w:val="5"/>
              </w:rPr>
              <w:t>19043）</w:t>
            </w:r>
          </w:p>
        </w:tc>
      </w:tr>
      <w:tr w14:paraId="7BA47C3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6" w:hRule="atLeast"/>
        </w:trPr>
        <w:tc>
          <w:tcPr>
            <w:tcW w:w="578" w:type="dxa"/>
            <w:vMerge w:val="continue"/>
            <w:tcBorders>
              <w:top w:val="nil"/>
              <w:bottom w:val="nil"/>
            </w:tcBorders>
            <w:vAlign w:val="top"/>
          </w:tcPr>
          <w:p w14:paraId="78B9F2AA">
            <w:pPr>
              <w:rPr>
                <w:rFonts w:ascii="Arial"/>
                <w:sz w:val="21"/>
              </w:rPr>
            </w:pPr>
          </w:p>
        </w:tc>
        <w:tc>
          <w:tcPr>
            <w:tcW w:w="1166" w:type="dxa"/>
            <w:vMerge w:val="continue"/>
            <w:tcBorders>
              <w:top w:val="nil"/>
              <w:bottom w:val="nil"/>
            </w:tcBorders>
            <w:vAlign w:val="top"/>
          </w:tcPr>
          <w:p w14:paraId="20FF4058">
            <w:pPr>
              <w:rPr>
                <w:rFonts w:ascii="Arial"/>
                <w:sz w:val="21"/>
              </w:rPr>
            </w:pPr>
          </w:p>
        </w:tc>
        <w:tc>
          <w:tcPr>
            <w:tcW w:w="1799" w:type="dxa"/>
            <w:vAlign w:val="top"/>
          </w:tcPr>
          <w:p w14:paraId="5D6B13E4">
            <w:pPr>
              <w:pStyle w:val="212"/>
              <w:spacing w:before="156" w:line="305" w:lineRule="auto"/>
              <w:ind w:left="14" w:right="7" w:hanging="1"/>
            </w:pPr>
            <w:r>
              <w:t>LED</w:t>
            </w:r>
            <w:r>
              <w:rPr>
                <w:spacing w:val="23"/>
              </w:rPr>
              <w:t xml:space="preserve"> </w:t>
            </w:r>
            <w:r>
              <w:rPr>
                <w:spacing w:val="19"/>
              </w:rPr>
              <w:t>道路/隧道照明</w:t>
            </w:r>
            <w:r>
              <w:t xml:space="preserve"> </w:t>
            </w:r>
            <w:r>
              <w:rPr>
                <w:spacing w:val="5"/>
              </w:rPr>
              <w:t>产品</w:t>
            </w:r>
          </w:p>
        </w:tc>
        <w:tc>
          <w:tcPr>
            <w:tcW w:w="1914" w:type="dxa"/>
            <w:vAlign w:val="top"/>
          </w:tcPr>
          <w:p w14:paraId="3CE345D1">
            <w:pPr>
              <w:rPr>
                <w:rFonts w:ascii="Arial"/>
                <w:sz w:val="21"/>
              </w:rPr>
            </w:pPr>
          </w:p>
        </w:tc>
        <w:tc>
          <w:tcPr>
            <w:tcW w:w="2969" w:type="dxa"/>
            <w:vAlign w:val="top"/>
          </w:tcPr>
          <w:p w14:paraId="241D4861">
            <w:pPr>
              <w:pStyle w:val="212"/>
              <w:spacing w:before="156" w:line="305" w:lineRule="auto"/>
              <w:ind w:left="22"/>
            </w:pPr>
            <w:r>
              <w:rPr>
                <w:spacing w:val="7"/>
              </w:rPr>
              <w:t xml:space="preserve">《道路和隧道照明用 </w:t>
            </w:r>
            <w:r>
              <w:t>LED</w:t>
            </w:r>
            <w:r>
              <w:rPr>
                <w:spacing w:val="7"/>
              </w:rPr>
              <w:t xml:space="preserve"> 灯具能</w:t>
            </w:r>
            <w:r>
              <w:t xml:space="preserve">  </w:t>
            </w:r>
            <w:r>
              <w:rPr>
                <w:spacing w:val="-4"/>
              </w:rPr>
              <w:t>效限定值及能效等级》（GB</w:t>
            </w:r>
            <w:r>
              <w:rPr>
                <w:spacing w:val="-24"/>
              </w:rPr>
              <w:t xml:space="preserve"> </w:t>
            </w:r>
            <w:r>
              <w:rPr>
                <w:spacing w:val="-4"/>
              </w:rPr>
              <w:t>37478）</w:t>
            </w:r>
          </w:p>
        </w:tc>
      </w:tr>
      <w:tr w14:paraId="6B5ED39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99" w:hRule="atLeast"/>
        </w:trPr>
        <w:tc>
          <w:tcPr>
            <w:tcW w:w="578" w:type="dxa"/>
            <w:vMerge w:val="continue"/>
            <w:tcBorders>
              <w:top w:val="nil"/>
              <w:bottom w:val="nil"/>
            </w:tcBorders>
            <w:vAlign w:val="top"/>
          </w:tcPr>
          <w:p w14:paraId="038DD605">
            <w:pPr>
              <w:rPr>
                <w:rFonts w:ascii="Arial"/>
                <w:sz w:val="21"/>
              </w:rPr>
            </w:pPr>
          </w:p>
        </w:tc>
        <w:tc>
          <w:tcPr>
            <w:tcW w:w="1166" w:type="dxa"/>
            <w:vMerge w:val="continue"/>
            <w:tcBorders>
              <w:top w:val="nil"/>
              <w:bottom w:val="nil"/>
            </w:tcBorders>
            <w:vAlign w:val="top"/>
          </w:tcPr>
          <w:p w14:paraId="7ECD9DDA">
            <w:pPr>
              <w:rPr>
                <w:rFonts w:ascii="Arial"/>
                <w:sz w:val="21"/>
              </w:rPr>
            </w:pPr>
          </w:p>
        </w:tc>
        <w:tc>
          <w:tcPr>
            <w:tcW w:w="1799" w:type="dxa"/>
            <w:vAlign w:val="top"/>
          </w:tcPr>
          <w:p w14:paraId="43633CFA">
            <w:pPr>
              <w:rPr>
                <w:rFonts w:ascii="Arial"/>
                <w:sz w:val="21"/>
              </w:rPr>
            </w:pPr>
          </w:p>
          <w:p w14:paraId="493C90A2">
            <w:pPr>
              <w:pStyle w:val="212"/>
              <w:spacing w:before="62" w:line="229" w:lineRule="auto"/>
              <w:ind w:left="13"/>
            </w:pPr>
            <w:r>
              <w:t>LED</w:t>
            </w:r>
            <w:r>
              <w:rPr>
                <w:spacing w:val="-32"/>
              </w:rPr>
              <w:t xml:space="preserve"> </w:t>
            </w:r>
            <w:r>
              <w:rPr>
                <w:spacing w:val="8"/>
              </w:rPr>
              <w:t>筒灯</w:t>
            </w:r>
          </w:p>
        </w:tc>
        <w:tc>
          <w:tcPr>
            <w:tcW w:w="1914" w:type="dxa"/>
            <w:vAlign w:val="top"/>
          </w:tcPr>
          <w:p w14:paraId="3B0070CD">
            <w:pPr>
              <w:rPr>
                <w:rFonts w:ascii="Arial"/>
                <w:sz w:val="21"/>
              </w:rPr>
            </w:pPr>
          </w:p>
        </w:tc>
        <w:tc>
          <w:tcPr>
            <w:tcW w:w="2969" w:type="dxa"/>
            <w:vAlign w:val="top"/>
          </w:tcPr>
          <w:p w14:paraId="41F25484">
            <w:pPr>
              <w:pStyle w:val="212"/>
              <w:spacing w:before="148" w:line="304" w:lineRule="auto"/>
              <w:ind w:left="17" w:right="13" w:firstLine="5"/>
            </w:pPr>
            <w:r>
              <w:rPr>
                <w:spacing w:val="12"/>
              </w:rPr>
              <w:t xml:space="preserve">《室内照明用 </w:t>
            </w:r>
            <w:r>
              <w:t>LED</w:t>
            </w:r>
            <w:r>
              <w:rPr>
                <w:spacing w:val="12"/>
              </w:rPr>
              <w:t xml:space="preserve"> 产品能效限定</w:t>
            </w:r>
            <w:r>
              <w:rPr>
                <w:spacing w:val="2"/>
              </w:rPr>
              <w:t xml:space="preserve"> </w:t>
            </w:r>
            <w:r>
              <w:rPr>
                <w:spacing w:val="7"/>
              </w:rPr>
              <w:t>值及能效等级》（</w:t>
            </w:r>
            <w:r>
              <w:t>GB</w:t>
            </w:r>
            <w:r>
              <w:rPr>
                <w:spacing w:val="7"/>
              </w:rPr>
              <w:t xml:space="preserve"> 30255）</w:t>
            </w:r>
          </w:p>
        </w:tc>
      </w:tr>
      <w:tr w14:paraId="1DE4C0E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36" w:hRule="atLeast"/>
        </w:trPr>
        <w:tc>
          <w:tcPr>
            <w:tcW w:w="578" w:type="dxa"/>
            <w:vMerge w:val="continue"/>
            <w:tcBorders>
              <w:top w:val="nil"/>
            </w:tcBorders>
            <w:vAlign w:val="top"/>
          </w:tcPr>
          <w:p w14:paraId="724F1B39">
            <w:pPr>
              <w:rPr>
                <w:rFonts w:ascii="Arial"/>
                <w:sz w:val="21"/>
              </w:rPr>
            </w:pPr>
          </w:p>
        </w:tc>
        <w:tc>
          <w:tcPr>
            <w:tcW w:w="1166" w:type="dxa"/>
            <w:vMerge w:val="continue"/>
            <w:tcBorders>
              <w:top w:val="nil"/>
            </w:tcBorders>
            <w:vAlign w:val="top"/>
          </w:tcPr>
          <w:p w14:paraId="1C182A65">
            <w:pPr>
              <w:rPr>
                <w:rFonts w:ascii="Arial"/>
                <w:sz w:val="21"/>
              </w:rPr>
            </w:pPr>
          </w:p>
        </w:tc>
        <w:tc>
          <w:tcPr>
            <w:tcW w:w="1799" w:type="dxa"/>
            <w:vAlign w:val="top"/>
          </w:tcPr>
          <w:p w14:paraId="350DC787">
            <w:pPr>
              <w:pStyle w:val="212"/>
              <w:spacing w:before="265" w:line="304" w:lineRule="auto"/>
              <w:ind w:left="47" w:right="12" w:hanging="33"/>
            </w:pPr>
            <w:r>
              <w:rPr>
                <w:spacing w:val="30"/>
              </w:rPr>
              <w:t>普通照明用非定向</w:t>
            </w:r>
            <w:r>
              <w:rPr>
                <w:spacing w:val="5"/>
              </w:rPr>
              <w:t xml:space="preserve"> </w:t>
            </w:r>
            <w:r>
              <w:rPr>
                <w:spacing w:val="-1"/>
              </w:rPr>
              <w:t>自镇流</w:t>
            </w:r>
            <w:r>
              <w:rPr>
                <w:spacing w:val="-33"/>
              </w:rPr>
              <w:t xml:space="preserve"> </w:t>
            </w:r>
            <w:r>
              <w:rPr>
                <w:spacing w:val="-1"/>
              </w:rPr>
              <w:t>LED</w:t>
            </w:r>
            <w:r>
              <w:rPr>
                <w:spacing w:val="-37"/>
              </w:rPr>
              <w:t xml:space="preserve"> </w:t>
            </w:r>
            <w:r>
              <w:rPr>
                <w:spacing w:val="-1"/>
              </w:rPr>
              <w:t>灯</w:t>
            </w:r>
          </w:p>
        </w:tc>
        <w:tc>
          <w:tcPr>
            <w:tcW w:w="1914" w:type="dxa"/>
            <w:vAlign w:val="top"/>
          </w:tcPr>
          <w:p w14:paraId="660D9771">
            <w:pPr>
              <w:rPr>
                <w:rFonts w:ascii="Arial"/>
                <w:sz w:val="21"/>
              </w:rPr>
            </w:pPr>
          </w:p>
        </w:tc>
        <w:tc>
          <w:tcPr>
            <w:tcW w:w="2969" w:type="dxa"/>
            <w:vAlign w:val="top"/>
          </w:tcPr>
          <w:p w14:paraId="218E746A">
            <w:pPr>
              <w:pStyle w:val="212"/>
              <w:spacing w:before="265" w:line="304" w:lineRule="auto"/>
              <w:ind w:left="17" w:right="13" w:firstLine="5"/>
            </w:pPr>
            <w:r>
              <w:rPr>
                <w:spacing w:val="12"/>
              </w:rPr>
              <w:t xml:space="preserve">《室内照明用 </w:t>
            </w:r>
            <w:r>
              <w:t>LED</w:t>
            </w:r>
            <w:r>
              <w:rPr>
                <w:spacing w:val="12"/>
              </w:rPr>
              <w:t xml:space="preserve"> 产品能效限定</w:t>
            </w:r>
            <w:r>
              <w:rPr>
                <w:spacing w:val="2"/>
              </w:rPr>
              <w:t xml:space="preserve"> </w:t>
            </w:r>
            <w:r>
              <w:rPr>
                <w:spacing w:val="7"/>
              </w:rPr>
              <w:t>值及能效等级》（</w:t>
            </w:r>
            <w:r>
              <w:t>GB</w:t>
            </w:r>
            <w:r>
              <w:rPr>
                <w:spacing w:val="7"/>
              </w:rPr>
              <w:t xml:space="preserve"> 30255）</w:t>
            </w:r>
          </w:p>
        </w:tc>
      </w:tr>
      <w:tr w14:paraId="4C74904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96" w:hRule="atLeast"/>
        </w:trPr>
        <w:tc>
          <w:tcPr>
            <w:tcW w:w="578" w:type="dxa"/>
            <w:vAlign w:val="top"/>
          </w:tcPr>
          <w:p w14:paraId="1A5D257B">
            <w:pPr>
              <w:pStyle w:val="212"/>
              <w:spacing w:before="301" w:line="258" w:lineRule="exact"/>
              <w:ind w:left="209"/>
            </w:pPr>
            <w:r>
              <w:rPr>
                <w:spacing w:val="-7"/>
                <w:position w:val="1"/>
              </w:rPr>
              <w:t>12</w:t>
            </w:r>
          </w:p>
        </w:tc>
        <w:tc>
          <w:tcPr>
            <w:tcW w:w="1166" w:type="dxa"/>
            <w:vAlign w:val="top"/>
          </w:tcPr>
          <w:p w14:paraId="23DC9EF0">
            <w:pPr>
              <w:pStyle w:val="212"/>
              <w:spacing w:before="145" w:line="305" w:lineRule="auto"/>
              <w:ind w:left="14" w:right="8" w:firstLine="3"/>
            </w:pPr>
            <w:r>
              <w:rPr>
                <w:spacing w:val="1"/>
              </w:rPr>
              <w:t>★A020910</w:t>
            </w:r>
            <w:r>
              <w:rPr>
                <w:spacing w:val="-17"/>
              </w:rPr>
              <w:t xml:space="preserve"> </w:t>
            </w:r>
            <w:r>
              <w:rPr>
                <w:spacing w:val="1"/>
              </w:rPr>
              <w:t>电</w:t>
            </w:r>
            <w:r>
              <w:t xml:space="preserve"> </w:t>
            </w:r>
            <w:r>
              <w:rPr>
                <w:spacing w:val="6"/>
              </w:rPr>
              <w:t>视设备</w:t>
            </w:r>
          </w:p>
        </w:tc>
        <w:tc>
          <w:tcPr>
            <w:tcW w:w="1799" w:type="dxa"/>
            <w:vAlign w:val="top"/>
          </w:tcPr>
          <w:p w14:paraId="602A962D">
            <w:pPr>
              <w:pStyle w:val="212"/>
              <w:spacing w:before="145" w:line="304" w:lineRule="auto"/>
              <w:ind w:left="18" w:right="10" w:hanging="9"/>
            </w:pPr>
            <w:r>
              <w:rPr>
                <w:spacing w:val="4"/>
              </w:rPr>
              <w:t>A02091001 普通电视</w:t>
            </w:r>
            <w:r>
              <w:rPr>
                <w:spacing w:val="7"/>
              </w:rPr>
              <w:t xml:space="preserve"> </w:t>
            </w:r>
            <w:r>
              <w:rPr>
                <w:spacing w:val="6"/>
              </w:rPr>
              <w:t>设备（电视机）</w:t>
            </w:r>
          </w:p>
        </w:tc>
        <w:tc>
          <w:tcPr>
            <w:tcW w:w="1914" w:type="dxa"/>
            <w:vAlign w:val="top"/>
          </w:tcPr>
          <w:p w14:paraId="687D4C5B">
            <w:pPr>
              <w:rPr>
                <w:rFonts w:ascii="Arial"/>
                <w:sz w:val="21"/>
              </w:rPr>
            </w:pPr>
          </w:p>
        </w:tc>
        <w:tc>
          <w:tcPr>
            <w:tcW w:w="2969" w:type="dxa"/>
            <w:vAlign w:val="top"/>
          </w:tcPr>
          <w:p w14:paraId="6D852FF4">
            <w:pPr>
              <w:pStyle w:val="212"/>
              <w:spacing w:before="146" w:line="305" w:lineRule="auto"/>
              <w:ind w:left="21" w:right="11" w:firstLine="2"/>
            </w:pPr>
            <w:r>
              <w:rPr>
                <w:spacing w:val="19"/>
              </w:rPr>
              <w:t>《平板电视能效限定值及能效等</w:t>
            </w:r>
            <w:r>
              <w:rPr>
                <w:spacing w:val="2"/>
              </w:rPr>
              <w:t xml:space="preserve"> </w:t>
            </w:r>
            <w:r>
              <w:rPr>
                <w:spacing w:val="4"/>
              </w:rPr>
              <w:t>级》（</w:t>
            </w:r>
            <w:r>
              <w:t>GB</w:t>
            </w:r>
            <w:r>
              <w:rPr>
                <w:spacing w:val="23"/>
              </w:rPr>
              <w:t xml:space="preserve"> </w:t>
            </w:r>
            <w:r>
              <w:rPr>
                <w:spacing w:val="4"/>
              </w:rPr>
              <w:t>24850）</w:t>
            </w:r>
          </w:p>
        </w:tc>
      </w:tr>
      <w:tr w14:paraId="17B4707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36" w:hRule="atLeast"/>
        </w:trPr>
        <w:tc>
          <w:tcPr>
            <w:tcW w:w="578" w:type="dxa"/>
            <w:vAlign w:val="top"/>
          </w:tcPr>
          <w:p w14:paraId="0B7C1DC1">
            <w:pPr>
              <w:spacing w:line="268" w:lineRule="auto"/>
              <w:rPr>
                <w:rFonts w:ascii="Arial"/>
                <w:sz w:val="21"/>
              </w:rPr>
            </w:pPr>
          </w:p>
          <w:p w14:paraId="4937BACC">
            <w:pPr>
              <w:spacing w:line="269" w:lineRule="auto"/>
              <w:rPr>
                <w:rFonts w:ascii="Arial"/>
                <w:sz w:val="21"/>
              </w:rPr>
            </w:pPr>
          </w:p>
          <w:p w14:paraId="35A6CC62">
            <w:pPr>
              <w:spacing w:line="269" w:lineRule="auto"/>
              <w:rPr>
                <w:rFonts w:ascii="Arial"/>
                <w:sz w:val="21"/>
              </w:rPr>
            </w:pPr>
          </w:p>
          <w:p w14:paraId="48B9F6FC">
            <w:pPr>
              <w:pStyle w:val="212"/>
              <w:spacing w:before="62" w:line="256" w:lineRule="exact"/>
              <w:ind w:left="209"/>
            </w:pPr>
            <w:r>
              <w:rPr>
                <w:spacing w:val="-7"/>
                <w:position w:val="1"/>
              </w:rPr>
              <w:t>13</w:t>
            </w:r>
          </w:p>
        </w:tc>
        <w:tc>
          <w:tcPr>
            <w:tcW w:w="1166" w:type="dxa"/>
            <w:vAlign w:val="top"/>
          </w:tcPr>
          <w:p w14:paraId="6A2C27E7">
            <w:pPr>
              <w:spacing w:line="325" w:lineRule="auto"/>
              <w:rPr>
                <w:rFonts w:ascii="Arial"/>
                <w:sz w:val="21"/>
              </w:rPr>
            </w:pPr>
          </w:p>
          <w:p w14:paraId="1B1074DF">
            <w:pPr>
              <w:spacing w:line="326" w:lineRule="auto"/>
              <w:rPr>
                <w:rFonts w:ascii="Arial"/>
                <w:sz w:val="21"/>
              </w:rPr>
            </w:pPr>
          </w:p>
          <w:p w14:paraId="162AA68E">
            <w:pPr>
              <w:pStyle w:val="212"/>
              <w:spacing w:before="62" w:line="305" w:lineRule="auto"/>
              <w:ind w:left="16" w:right="8" w:firstLine="2"/>
            </w:pPr>
            <w:r>
              <w:rPr>
                <w:spacing w:val="4"/>
              </w:rPr>
              <w:t>★A020911</w:t>
            </w:r>
            <w:r>
              <w:rPr>
                <w:spacing w:val="-44"/>
              </w:rPr>
              <w:t xml:space="preserve"> </w:t>
            </w:r>
            <w:r>
              <w:rPr>
                <w:spacing w:val="4"/>
              </w:rPr>
              <w:t>视</w:t>
            </w:r>
            <w:r>
              <w:t xml:space="preserve"> </w:t>
            </w:r>
            <w:r>
              <w:rPr>
                <w:spacing w:val="6"/>
              </w:rPr>
              <w:t>频设备</w:t>
            </w:r>
          </w:p>
        </w:tc>
        <w:tc>
          <w:tcPr>
            <w:tcW w:w="1799" w:type="dxa"/>
            <w:vAlign w:val="top"/>
          </w:tcPr>
          <w:p w14:paraId="40E984F6">
            <w:pPr>
              <w:spacing w:line="325" w:lineRule="auto"/>
              <w:rPr>
                <w:rFonts w:ascii="Arial"/>
                <w:sz w:val="21"/>
              </w:rPr>
            </w:pPr>
          </w:p>
          <w:p w14:paraId="0E87A601">
            <w:pPr>
              <w:spacing w:line="326" w:lineRule="auto"/>
              <w:rPr>
                <w:rFonts w:ascii="Arial"/>
                <w:sz w:val="21"/>
              </w:rPr>
            </w:pPr>
          </w:p>
          <w:p w14:paraId="5E79B368">
            <w:pPr>
              <w:pStyle w:val="212"/>
              <w:spacing w:before="62" w:line="305" w:lineRule="auto"/>
              <w:ind w:left="18" w:right="10" w:hanging="9"/>
            </w:pPr>
            <w:r>
              <w:rPr>
                <w:spacing w:val="4"/>
              </w:rPr>
              <w:t>A02091107 视频监控</w:t>
            </w:r>
            <w:r>
              <w:rPr>
                <w:spacing w:val="7"/>
              </w:rPr>
              <w:t xml:space="preserve"> </w:t>
            </w:r>
            <w:r>
              <w:rPr>
                <w:spacing w:val="3"/>
              </w:rPr>
              <w:t>设备</w:t>
            </w:r>
          </w:p>
        </w:tc>
        <w:tc>
          <w:tcPr>
            <w:tcW w:w="1914" w:type="dxa"/>
            <w:vAlign w:val="top"/>
          </w:tcPr>
          <w:p w14:paraId="7E981341">
            <w:pPr>
              <w:spacing w:line="268" w:lineRule="auto"/>
              <w:rPr>
                <w:rFonts w:ascii="Arial"/>
                <w:sz w:val="21"/>
              </w:rPr>
            </w:pPr>
          </w:p>
          <w:p w14:paraId="6FB42634">
            <w:pPr>
              <w:spacing w:line="269" w:lineRule="auto"/>
              <w:rPr>
                <w:rFonts w:ascii="Arial"/>
                <w:sz w:val="21"/>
              </w:rPr>
            </w:pPr>
          </w:p>
          <w:p w14:paraId="6B6291C4">
            <w:pPr>
              <w:spacing w:line="269" w:lineRule="auto"/>
              <w:rPr>
                <w:rFonts w:ascii="Arial"/>
                <w:sz w:val="21"/>
              </w:rPr>
            </w:pPr>
          </w:p>
          <w:p w14:paraId="144E9D4D">
            <w:pPr>
              <w:pStyle w:val="212"/>
              <w:spacing w:before="62" w:line="230" w:lineRule="auto"/>
              <w:ind w:left="17"/>
            </w:pPr>
            <w:r>
              <w:rPr>
                <w:spacing w:val="6"/>
              </w:rPr>
              <w:t>监视器</w:t>
            </w:r>
          </w:p>
        </w:tc>
        <w:tc>
          <w:tcPr>
            <w:tcW w:w="2969" w:type="dxa"/>
            <w:vAlign w:val="top"/>
          </w:tcPr>
          <w:p w14:paraId="29162634">
            <w:pPr>
              <w:pStyle w:val="212"/>
              <w:spacing w:before="93" w:line="303" w:lineRule="auto"/>
              <w:ind w:left="17" w:right="11" w:firstLine="23"/>
            </w:pPr>
            <w:r>
              <w:rPr>
                <w:spacing w:val="18"/>
              </w:rPr>
              <w:t>以射频信号为主要信号输入的监</w:t>
            </w:r>
            <w:r>
              <w:t xml:space="preserve"> </w:t>
            </w:r>
            <w:r>
              <w:rPr>
                <w:spacing w:val="5"/>
              </w:rPr>
              <w:t>视器应符合《平板电视能效限定值</w:t>
            </w:r>
            <w:r>
              <w:rPr>
                <w:spacing w:val="7"/>
              </w:rPr>
              <w:t xml:space="preserve"> </w:t>
            </w:r>
            <w:r>
              <w:rPr>
                <w:spacing w:val="8"/>
              </w:rPr>
              <w:t>及能效等级》（</w:t>
            </w:r>
            <w:r>
              <w:t>GB</w:t>
            </w:r>
            <w:r>
              <w:rPr>
                <w:spacing w:val="8"/>
              </w:rPr>
              <w:t xml:space="preserve"> 24850</w:t>
            </w:r>
            <w:r>
              <w:t>），</w:t>
            </w:r>
          </w:p>
          <w:p w14:paraId="78C3DB6A">
            <w:pPr>
              <w:pStyle w:val="212"/>
              <w:spacing w:before="1" w:line="290" w:lineRule="auto"/>
              <w:ind w:left="17" w:right="11" w:firstLine="23"/>
            </w:pPr>
            <w:r>
              <w:rPr>
                <w:spacing w:val="18"/>
              </w:rPr>
              <w:t>以数字信号为主要信号输入的监</w:t>
            </w:r>
            <w:r>
              <w:t xml:space="preserve"> </w:t>
            </w:r>
            <w:r>
              <w:rPr>
                <w:spacing w:val="5"/>
              </w:rPr>
              <w:t>视器应符合《计算机显示器能效限</w:t>
            </w:r>
            <w:r>
              <w:rPr>
                <w:spacing w:val="7"/>
              </w:rPr>
              <w:t xml:space="preserve"> 定值及能效等级》（</w:t>
            </w:r>
            <w:r>
              <w:t>GB</w:t>
            </w:r>
            <w:r>
              <w:rPr>
                <w:spacing w:val="7"/>
              </w:rPr>
              <w:t xml:space="preserve"> 21520）</w:t>
            </w:r>
          </w:p>
        </w:tc>
      </w:tr>
      <w:tr w14:paraId="43CAF8D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82" w:hRule="atLeast"/>
        </w:trPr>
        <w:tc>
          <w:tcPr>
            <w:tcW w:w="578" w:type="dxa"/>
            <w:vAlign w:val="top"/>
          </w:tcPr>
          <w:p w14:paraId="1A735296">
            <w:pPr>
              <w:pStyle w:val="212"/>
              <w:spacing w:before="298" w:line="258" w:lineRule="exact"/>
              <w:ind w:left="209"/>
            </w:pPr>
            <w:r>
              <w:rPr>
                <w:spacing w:val="-7"/>
                <w:position w:val="1"/>
              </w:rPr>
              <w:t>14</w:t>
            </w:r>
          </w:p>
        </w:tc>
        <w:tc>
          <w:tcPr>
            <w:tcW w:w="1166" w:type="dxa"/>
            <w:vAlign w:val="top"/>
          </w:tcPr>
          <w:p w14:paraId="0BA5D3DF">
            <w:pPr>
              <w:pStyle w:val="212"/>
              <w:spacing w:before="142" w:line="304" w:lineRule="auto"/>
              <w:ind w:left="15" w:right="8" w:hanging="6"/>
            </w:pPr>
            <w:r>
              <w:rPr>
                <w:spacing w:val="5"/>
              </w:rPr>
              <w:t>A031210</w:t>
            </w:r>
            <w:r>
              <w:rPr>
                <w:spacing w:val="-43"/>
              </w:rPr>
              <w:t xml:space="preserve"> </w:t>
            </w:r>
            <w:r>
              <w:rPr>
                <w:spacing w:val="5"/>
              </w:rPr>
              <w:t>饮食</w:t>
            </w:r>
            <w:r>
              <w:t xml:space="preserve"> </w:t>
            </w:r>
            <w:r>
              <w:rPr>
                <w:spacing w:val="7"/>
              </w:rPr>
              <w:t>炊事机械</w:t>
            </w:r>
          </w:p>
        </w:tc>
        <w:tc>
          <w:tcPr>
            <w:tcW w:w="1799" w:type="dxa"/>
            <w:vAlign w:val="top"/>
          </w:tcPr>
          <w:p w14:paraId="78B39F26">
            <w:pPr>
              <w:pStyle w:val="212"/>
              <w:spacing w:before="297" w:line="230" w:lineRule="auto"/>
              <w:ind w:left="19"/>
            </w:pPr>
            <w:r>
              <w:rPr>
                <w:spacing w:val="7"/>
              </w:rPr>
              <w:t>商用燃气灶具</w:t>
            </w:r>
          </w:p>
        </w:tc>
        <w:tc>
          <w:tcPr>
            <w:tcW w:w="1914" w:type="dxa"/>
            <w:vAlign w:val="top"/>
          </w:tcPr>
          <w:p w14:paraId="39261D56">
            <w:pPr>
              <w:rPr>
                <w:rFonts w:ascii="Arial"/>
                <w:sz w:val="21"/>
              </w:rPr>
            </w:pPr>
          </w:p>
        </w:tc>
        <w:tc>
          <w:tcPr>
            <w:tcW w:w="2969" w:type="dxa"/>
            <w:vAlign w:val="top"/>
          </w:tcPr>
          <w:p w14:paraId="0A69EBF9">
            <w:pPr>
              <w:pStyle w:val="212"/>
              <w:spacing w:before="142" w:line="304" w:lineRule="auto"/>
              <w:ind w:left="22" w:right="11"/>
            </w:pPr>
            <w:r>
              <w:rPr>
                <w:spacing w:val="19"/>
              </w:rPr>
              <w:t>《商用燃气灶具能效限定值及能</w:t>
            </w:r>
            <w:r>
              <w:rPr>
                <w:spacing w:val="2"/>
              </w:rPr>
              <w:t xml:space="preserve"> </w:t>
            </w:r>
            <w:r>
              <w:rPr>
                <w:spacing w:val="6"/>
              </w:rPr>
              <w:t>效等级》（</w:t>
            </w:r>
            <w:r>
              <w:t>GB</w:t>
            </w:r>
            <w:r>
              <w:rPr>
                <w:spacing w:val="6"/>
              </w:rPr>
              <w:t xml:space="preserve"> 30531）</w:t>
            </w:r>
          </w:p>
        </w:tc>
      </w:tr>
      <w:tr w14:paraId="1F4A8DA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80" w:hRule="atLeast"/>
        </w:trPr>
        <w:tc>
          <w:tcPr>
            <w:tcW w:w="578" w:type="dxa"/>
            <w:vMerge w:val="restart"/>
            <w:tcBorders>
              <w:bottom w:val="nil"/>
            </w:tcBorders>
            <w:vAlign w:val="top"/>
          </w:tcPr>
          <w:p w14:paraId="379A88BA">
            <w:pPr>
              <w:spacing w:line="290" w:lineRule="auto"/>
              <w:rPr>
                <w:rFonts w:ascii="Arial"/>
                <w:sz w:val="21"/>
              </w:rPr>
            </w:pPr>
          </w:p>
          <w:p w14:paraId="415710B0">
            <w:pPr>
              <w:spacing w:line="290" w:lineRule="auto"/>
              <w:rPr>
                <w:rFonts w:ascii="Arial"/>
                <w:sz w:val="21"/>
              </w:rPr>
            </w:pPr>
          </w:p>
          <w:p w14:paraId="1DF74F26">
            <w:pPr>
              <w:spacing w:line="291" w:lineRule="auto"/>
              <w:rPr>
                <w:rFonts w:ascii="Arial"/>
                <w:sz w:val="21"/>
              </w:rPr>
            </w:pPr>
          </w:p>
          <w:p w14:paraId="73A08F93">
            <w:pPr>
              <w:spacing w:line="291" w:lineRule="auto"/>
              <w:rPr>
                <w:rFonts w:ascii="Arial"/>
                <w:sz w:val="21"/>
              </w:rPr>
            </w:pPr>
          </w:p>
          <w:p w14:paraId="6679BED7">
            <w:pPr>
              <w:pStyle w:val="212"/>
              <w:spacing w:before="62" w:line="257" w:lineRule="exact"/>
              <w:ind w:left="209"/>
            </w:pPr>
            <w:r>
              <w:rPr>
                <w:spacing w:val="-7"/>
                <w:position w:val="1"/>
              </w:rPr>
              <w:t>15</w:t>
            </w:r>
          </w:p>
        </w:tc>
        <w:tc>
          <w:tcPr>
            <w:tcW w:w="1166" w:type="dxa"/>
            <w:vMerge w:val="restart"/>
            <w:tcBorders>
              <w:bottom w:val="nil"/>
            </w:tcBorders>
            <w:vAlign w:val="top"/>
          </w:tcPr>
          <w:p w14:paraId="3C83F983">
            <w:pPr>
              <w:spacing w:line="251" w:lineRule="auto"/>
              <w:rPr>
                <w:rFonts w:ascii="Arial"/>
                <w:sz w:val="21"/>
              </w:rPr>
            </w:pPr>
          </w:p>
          <w:p w14:paraId="33D15EF4">
            <w:pPr>
              <w:spacing w:line="251" w:lineRule="auto"/>
              <w:rPr>
                <w:rFonts w:ascii="Arial"/>
                <w:sz w:val="21"/>
              </w:rPr>
            </w:pPr>
          </w:p>
          <w:p w14:paraId="556E7C59">
            <w:pPr>
              <w:spacing w:line="252" w:lineRule="auto"/>
              <w:rPr>
                <w:rFonts w:ascii="Arial"/>
                <w:sz w:val="21"/>
              </w:rPr>
            </w:pPr>
          </w:p>
          <w:p w14:paraId="2C86B078">
            <w:pPr>
              <w:pStyle w:val="212"/>
              <w:spacing w:before="62" w:line="307" w:lineRule="auto"/>
              <w:ind w:left="15" w:right="8" w:firstLine="3"/>
            </w:pPr>
            <w:r>
              <w:rPr>
                <w:spacing w:val="3"/>
              </w:rPr>
              <w:t>★A060805</w:t>
            </w:r>
            <w:r>
              <w:rPr>
                <w:spacing w:val="-35"/>
              </w:rPr>
              <w:t xml:space="preserve"> </w:t>
            </w:r>
            <w:r>
              <w:rPr>
                <w:spacing w:val="3"/>
              </w:rPr>
              <w:t>便</w:t>
            </w:r>
            <w:r>
              <w:t xml:space="preserve"> </w:t>
            </w:r>
            <w:r>
              <w:rPr>
                <w:spacing w:val="1"/>
              </w:rPr>
              <w:t>器</w:t>
            </w:r>
          </w:p>
        </w:tc>
        <w:tc>
          <w:tcPr>
            <w:tcW w:w="1799" w:type="dxa"/>
            <w:vAlign w:val="top"/>
          </w:tcPr>
          <w:p w14:paraId="69264CCD">
            <w:pPr>
              <w:spacing w:line="282" w:lineRule="auto"/>
              <w:rPr>
                <w:rFonts w:ascii="Arial"/>
                <w:sz w:val="21"/>
              </w:rPr>
            </w:pPr>
          </w:p>
          <w:p w14:paraId="75C4A866">
            <w:pPr>
              <w:pStyle w:val="212"/>
              <w:spacing w:before="62" w:line="229" w:lineRule="auto"/>
              <w:ind w:left="16"/>
            </w:pPr>
            <w:r>
              <w:rPr>
                <w:spacing w:val="6"/>
              </w:rPr>
              <w:t>坐便器</w:t>
            </w:r>
          </w:p>
        </w:tc>
        <w:tc>
          <w:tcPr>
            <w:tcW w:w="1914" w:type="dxa"/>
            <w:vAlign w:val="top"/>
          </w:tcPr>
          <w:p w14:paraId="06D6FE26">
            <w:pPr>
              <w:rPr>
                <w:rFonts w:ascii="Arial"/>
                <w:sz w:val="21"/>
              </w:rPr>
            </w:pPr>
          </w:p>
        </w:tc>
        <w:tc>
          <w:tcPr>
            <w:tcW w:w="2969" w:type="dxa"/>
            <w:vAlign w:val="top"/>
          </w:tcPr>
          <w:p w14:paraId="550503C2">
            <w:pPr>
              <w:pStyle w:val="212"/>
              <w:spacing w:before="189" w:line="311" w:lineRule="auto"/>
              <w:ind w:left="27" w:hanging="4"/>
            </w:pPr>
            <w:r>
              <w:rPr>
                <w:spacing w:val="6"/>
              </w:rPr>
              <w:t>《坐便器水效限定值及水效等级》</w:t>
            </w:r>
            <w:r>
              <w:t xml:space="preserve"> </w:t>
            </w:r>
            <w:r>
              <w:rPr>
                <w:spacing w:val="1"/>
              </w:rPr>
              <w:t>（</w:t>
            </w:r>
            <w:r>
              <w:t>GB</w:t>
            </w:r>
            <w:r>
              <w:rPr>
                <w:spacing w:val="15"/>
              </w:rPr>
              <w:t xml:space="preserve"> </w:t>
            </w:r>
            <w:r>
              <w:rPr>
                <w:spacing w:val="1"/>
              </w:rPr>
              <w:t>25502）</w:t>
            </w:r>
          </w:p>
        </w:tc>
      </w:tr>
      <w:tr w14:paraId="6FC4634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80" w:hRule="atLeast"/>
        </w:trPr>
        <w:tc>
          <w:tcPr>
            <w:tcW w:w="578" w:type="dxa"/>
            <w:vMerge w:val="continue"/>
            <w:tcBorders>
              <w:top w:val="nil"/>
              <w:bottom w:val="nil"/>
            </w:tcBorders>
            <w:vAlign w:val="top"/>
          </w:tcPr>
          <w:p w14:paraId="0774E339">
            <w:pPr>
              <w:rPr>
                <w:rFonts w:ascii="Arial"/>
                <w:sz w:val="21"/>
              </w:rPr>
            </w:pPr>
          </w:p>
        </w:tc>
        <w:tc>
          <w:tcPr>
            <w:tcW w:w="1166" w:type="dxa"/>
            <w:vMerge w:val="continue"/>
            <w:tcBorders>
              <w:top w:val="nil"/>
              <w:bottom w:val="nil"/>
            </w:tcBorders>
            <w:vAlign w:val="top"/>
          </w:tcPr>
          <w:p w14:paraId="47573F4F">
            <w:pPr>
              <w:rPr>
                <w:rFonts w:ascii="Arial"/>
                <w:sz w:val="21"/>
              </w:rPr>
            </w:pPr>
          </w:p>
        </w:tc>
        <w:tc>
          <w:tcPr>
            <w:tcW w:w="1799" w:type="dxa"/>
            <w:vAlign w:val="top"/>
          </w:tcPr>
          <w:p w14:paraId="27ADEF01">
            <w:pPr>
              <w:spacing w:line="283" w:lineRule="auto"/>
              <w:rPr>
                <w:rFonts w:ascii="Arial"/>
                <w:sz w:val="21"/>
              </w:rPr>
            </w:pPr>
          </w:p>
          <w:p w14:paraId="002A8B1C">
            <w:pPr>
              <w:pStyle w:val="212"/>
              <w:spacing w:before="62" w:line="229" w:lineRule="auto"/>
              <w:ind w:left="14"/>
            </w:pPr>
            <w:r>
              <w:rPr>
                <w:spacing w:val="6"/>
              </w:rPr>
              <w:t>蹲便器</w:t>
            </w:r>
          </w:p>
        </w:tc>
        <w:tc>
          <w:tcPr>
            <w:tcW w:w="1914" w:type="dxa"/>
            <w:vAlign w:val="top"/>
          </w:tcPr>
          <w:p w14:paraId="155CD212">
            <w:pPr>
              <w:rPr>
                <w:rFonts w:ascii="Arial"/>
                <w:sz w:val="21"/>
              </w:rPr>
            </w:pPr>
          </w:p>
        </w:tc>
        <w:tc>
          <w:tcPr>
            <w:tcW w:w="2969" w:type="dxa"/>
            <w:vAlign w:val="top"/>
          </w:tcPr>
          <w:p w14:paraId="33F60332">
            <w:pPr>
              <w:pStyle w:val="212"/>
              <w:spacing w:before="191" w:line="304" w:lineRule="auto"/>
              <w:ind w:left="22" w:right="11"/>
            </w:pPr>
            <w:r>
              <w:rPr>
                <w:spacing w:val="19"/>
              </w:rPr>
              <w:t>《蹲便器用水效率限定值及用水</w:t>
            </w:r>
            <w:r>
              <w:rPr>
                <w:spacing w:val="2"/>
              </w:rPr>
              <w:t xml:space="preserve"> </w:t>
            </w:r>
            <w:r>
              <w:rPr>
                <w:spacing w:val="6"/>
              </w:rPr>
              <w:t>效率等级》（</w:t>
            </w:r>
            <w:r>
              <w:t>GB</w:t>
            </w:r>
            <w:r>
              <w:rPr>
                <w:spacing w:val="6"/>
              </w:rPr>
              <w:t xml:space="preserve"> 30717）</w:t>
            </w:r>
          </w:p>
        </w:tc>
      </w:tr>
      <w:tr w14:paraId="01E4D4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88" w:hRule="atLeast"/>
        </w:trPr>
        <w:tc>
          <w:tcPr>
            <w:tcW w:w="578" w:type="dxa"/>
            <w:vMerge w:val="continue"/>
            <w:tcBorders>
              <w:top w:val="nil"/>
            </w:tcBorders>
            <w:vAlign w:val="top"/>
          </w:tcPr>
          <w:p w14:paraId="1DECC5AB">
            <w:pPr>
              <w:rPr>
                <w:rFonts w:ascii="Arial"/>
                <w:sz w:val="21"/>
              </w:rPr>
            </w:pPr>
          </w:p>
        </w:tc>
        <w:tc>
          <w:tcPr>
            <w:tcW w:w="1166" w:type="dxa"/>
            <w:vMerge w:val="continue"/>
            <w:tcBorders>
              <w:top w:val="nil"/>
            </w:tcBorders>
            <w:vAlign w:val="top"/>
          </w:tcPr>
          <w:p w14:paraId="0B15BC4C">
            <w:pPr>
              <w:rPr>
                <w:rFonts w:ascii="Arial"/>
                <w:sz w:val="21"/>
              </w:rPr>
            </w:pPr>
          </w:p>
        </w:tc>
        <w:tc>
          <w:tcPr>
            <w:tcW w:w="1799" w:type="dxa"/>
            <w:vAlign w:val="top"/>
          </w:tcPr>
          <w:p w14:paraId="0C655CC8">
            <w:pPr>
              <w:spacing w:line="284" w:lineRule="auto"/>
              <w:rPr>
                <w:rFonts w:ascii="Arial"/>
                <w:sz w:val="21"/>
              </w:rPr>
            </w:pPr>
          </w:p>
          <w:p w14:paraId="2EADDFBF">
            <w:pPr>
              <w:pStyle w:val="212"/>
              <w:spacing w:before="61" w:line="229" w:lineRule="auto"/>
              <w:ind w:left="20"/>
            </w:pPr>
            <w:r>
              <w:rPr>
                <w:spacing w:val="4"/>
              </w:rPr>
              <w:t>小便器</w:t>
            </w:r>
          </w:p>
        </w:tc>
        <w:tc>
          <w:tcPr>
            <w:tcW w:w="1914" w:type="dxa"/>
            <w:vAlign w:val="top"/>
          </w:tcPr>
          <w:p w14:paraId="026836EF">
            <w:pPr>
              <w:rPr>
                <w:rFonts w:ascii="Arial"/>
                <w:sz w:val="21"/>
              </w:rPr>
            </w:pPr>
          </w:p>
        </w:tc>
        <w:tc>
          <w:tcPr>
            <w:tcW w:w="2969" w:type="dxa"/>
            <w:vAlign w:val="top"/>
          </w:tcPr>
          <w:p w14:paraId="75C671BE">
            <w:pPr>
              <w:pStyle w:val="212"/>
              <w:spacing w:before="192" w:line="304" w:lineRule="auto"/>
              <w:ind w:left="22" w:right="11"/>
            </w:pPr>
            <w:r>
              <w:rPr>
                <w:spacing w:val="19"/>
              </w:rPr>
              <w:t>《小便器用水效率限定值及用水</w:t>
            </w:r>
            <w:r>
              <w:rPr>
                <w:spacing w:val="2"/>
              </w:rPr>
              <w:t xml:space="preserve"> </w:t>
            </w:r>
            <w:r>
              <w:rPr>
                <w:spacing w:val="6"/>
              </w:rPr>
              <w:t>效率等级》（</w:t>
            </w:r>
            <w:r>
              <w:t>GB</w:t>
            </w:r>
            <w:r>
              <w:rPr>
                <w:spacing w:val="6"/>
              </w:rPr>
              <w:t xml:space="preserve"> 28377）</w:t>
            </w:r>
          </w:p>
        </w:tc>
      </w:tr>
    </w:tbl>
    <w:p w14:paraId="08876F07">
      <w:pPr>
        <w:rPr>
          <w:rFonts w:ascii="Arial"/>
          <w:sz w:val="21"/>
        </w:rPr>
      </w:pPr>
    </w:p>
    <w:p w14:paraId="638FF41C">
      <w:pPr>
        <w:rPr>
          <w:rFonts w:ascii="Arial" w:hAnsi="Arial" w:eastAsia="Arial" w:cs="Arial"/>
          <w:sz w:val="21"/>
          <w:szCs w:val="21"/>
        </w:rPr>
        <w:sectPr>
          <w:pgSz w:w="11906" w:h="16838"/>
          <w:pgMar w:top="1431" w:right="1691" w:bottom="1134" w:left="1783" w:header="850" w:footer="992" w:gutter="0"/>
          <w:pgBorders>
            <w:top w:val="none" w:sz="0" w:space="0"/>
            <w:left w:val="none" w:sz="0" w:space="0"/>
            <w:bottom w:val="none" w:sz="0" w:space="0"/>
            <w:right w:val="none" w:sz="0" w:space="0"/>
          </w:pgBorders>
          <w:cols w:space="720" w:num="1"/>
        </w:sectPr>
      </w:pPr>
    </w:p>
    <w:p w14:paraId="65F2A7F9">
      <w:pPr>
        <w:spacing w:line="91" w:lineRule="auto"/>
        <w:rPr>
          <w:rFonts w:ascii="Arial"/>
          <w:sz w:val="2"/>
        </w:rPr>
      </w:pPr>
    </w:p>
    <w:tbl>
      <w:tblPr>
        <w:tblStyle w:val="213"/>
        <w:tblW w:w="8426"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78"/>
        <w:gridCol w:w="1166"/>
        <w:gridCol w:w="1799"/>
        <w:gridCol w:w="1914"/>
        <w:gridCol w:w="2969"/>
      </w:tblGrid>
      <w:tr w14:paraId="701D429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1" w:hRule="atLeast"/>
        </w:trPr>
        <w:tc>
          <w:tcPr>
            <w:tcW w:w="578" w:type="dxa"/>
            <w:vAlign w:val="top"/>
          </w:tcPr>
          <w:p w14:paraId="2F24B473">
            <w:pPr>
              <w:spacing w:line="312" w:lineRule="auto"/>
              <w:rPr>
                <w:rFonts w:ascii="Arial"/>
                <w:sz w:val="21"/>
              </w:rPr>
            </w:pPr>
          </w:p>
          <w:p w14:paraId="530FAF58">
            <w:pPr>
              <w:pStyle w:val="212"/>
              <w:spacing w:before="61" w:line="257" w:lineRule="exact"/>
              <w:ind w:left="209"/>
            </w:pPr>
            <w:r>
              <w:rPr>
                <w:spacing w:val="-7"/>
                <w:position w:val="1"/>
              </w:rPr>
              <w:t>16</w:t>
            </w:r>
          </w:p>
        </w:tc>
        <w:tc>
          <w:tcPr>
            <w:tcW w:w="1166" w:type="dxa"/>
            <w:vAlign w:val="top"/>
          </w:tcPr>
          <w:p w14:paraId="2A464D7B">
            <w:pPr>
              <w:pStyle w:val="212"/>
              <w:spacing w:before="220" w:line="304" w:lineRule="auto"/>
              <w:ind w:left="22" w:right="8" w:hanging="4"/>
            </w:pPr>
            <w:r>
              <w:rPr>
                <w:spacing w:val="3"/>
              </w:rPr>
              <w:t>★A060806</w:t>
            </w:r>
            <w:r>
              <w:rPr>
                <w:spacing w:val="-35"/>
              </w:rPr>
              <w:t xml:space="preserve"> </w:t>
            </w:r>
            <w:r>
              <w:rPr>
                <w:spacing w:val="3"/>
              </w:rPr>
              <w:t>水</w:t>
            </w:r>
            <w:r>
              <w:t xml:space="preserve"> 嘴</w:t>
            </w:r>
          </w:p>
        </w:tc>
        <w:tc>
          <w:tcPr>
            <w:tcW w:w="1799" w:type="dxa"/>
            <w:vAlign w:val="top"/>
          </w:tcPr>
          <w:p w14:paraId="7CE072FE">
            <w:pPr>
              <w:rPr>
                <w:rFonts w:ascii="Arial"/>
                <w:sz w:val="21"/>
              </w:rPr>
            </w:pPr>
          </w:p>
        </w:tc>
        <w:tc>
          <w:tcPr>
            <w:tcW w:w="1914" w:type="dxa"/>
            <w:vAlign w:val="top"/>
          </w:tcPr>
          <w:p w14:paraId="7A575F13">
            <w:pPr>
              <w:rPr>
                <w:rFonts w:ascii="Arial"/>
                <w:sz w:val="21"/>
              </w:rPr>
            </w:pPr>
          </w:p>
        </w:tc>
        <w:tc>
          <w:tcPr>
            <w:tcW w:w="2969" w:type="dxa"/>
            <w:vAlign w:val="top"/>
          </w:tcPr>
          <w:p w14:paraId="3BFC4085">
            <w:pPr>
              <w:pStyle w:val="212"/>
              <w:spacing w:before="220" w:line="304" w:lineRule="auto"/>
              <w:ind w:left="19" w:right="11" w:firstLine="3"/>
            </w:pPr>
            <w:r>
              <w:rPr>
                <w:spacing w:val="19"/>
              </w:rPr>
              <w:t>《水嘴用水效率限定值及用水效</w:t>
            </w:r>
            <w:r>
              <w:rPr>
                <w:spacing w:val="2"/>
              </w:rPr>
              <w:t xml:space="preserve"> </w:t>
            </w:r>
            <w:r>
              <w:rPr>
                <w:spacing w:val="6"/>
              </w:rPr>
              <w:t>率等级》（</w:t>
            </w:r>
            <w:r>
              <w:t>GB</w:t>
            </w:r>
            <w:r>
              <w:rPr>
                <w:spacing w:val="6"/>
              </w:rPr>
              <w:t xml:space="preserve"> 25501）</w:t>
            </w:r>
          </w:p>
        </w:tc>
      </w:tr>
      <w:tr w14:paraId="0E67879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5" w:hRule="atLeast"/>
        </w:trPr>
        <w:tc>
          <w:tcPr>
            <w:tcW w:w="578" w:type="dxa"/>
            <w:vAlign w:val="top"/>
          </w:tcPr>
          <w:p w14:paraId="1E1F548C">
            <w:pPr>
              <w:spacing w:line="268" w:lineRule="auto"/>
              <w:rPr>
                <w:rFonts w:ascii="Arial"/>
                <w:sz w:val="21"/>
              </w:rPr>
            </w:pPr>
          </w:p>
          <w:p w14:paraId="7D2FA1D8">
            <w:pPr>
              <w:pStyle w:val="212"/>
              <w:spacing w:before="62" w:line="257" w:lineRule="exact"/>
              <w:ind w:left="209"/>
            </w:pPr>
            <w:r>
              <w:rPr>
                <w:spacing w:val="-7"/>
                <w:position w:val="1"/>
              </w:rPr>
              <w:t>17</w:t>
            </w:r>
          </w:p>
        </w:tc>
        <w:tc>
          <w:tcPr>
            <w:tcW w:w="1166" w:type="dxa"/>
            <w:vAlign w:val="top"/>
          </w:tcPr>
          <w:p w14:paraId="54053D7A">
            <w:pPr>
              <w:pStyle w:val="212"/>
              <w:spacing w:before="176" w:line="305" w:lineRule="auto"/>
              <w:ind w:left="15" w:right="8" w:hanging="6"/>
            </w:pPr>
            <w:r>
              <w:rPr>
                <w:spacing w:val="5"/>
              </w:rPr>
              <w:t>A060807</w:t>
            </w:r>
            <w:r>
              <w:rPr>
                <w:spacing w:val="-43"/>
              </w:rPr>
              <w:t xml:space="preserve"> </w:t>
            </w:r>
            <w:r>
              <w:rPr>
                <w:spacing w:val="5"/>
              </w:rPr>
              <w:t>便器</w:t>
            </w:r>
            <w:r>
              <w:t xml:space="preserve"> </w:t>
            </w:r>
            <w:r>
              <w:rPr>
                <w:spacing w:val="6"/>
              </w:rPr>
              <w:t>冲洗阀</w:t>
            </w:r>
          </w:p>
        </w:tc>
        <w:tc>
          <w:tcPr>
            <w:tcW w:w="1799" w:type="dxa"/>
            <w:vAlign w:val="top"/>
          </w:tcPr>
          <w:p w14:paraId="186AD530">
            <w:pPr>
              <w:rPr>
                <w:rFonts w:ascii="Arial"/>
                <w:sz w:val="21"/>
              </w:rPr>
            </w:pPr>
          </w:p>
        </w:tc>
        <w:tc>
          <w:tcPr>
            <w:tcW w:w="1914" w:type="dxa"/>
            <w:vAlign w:val="top"/>
          </w:tcPr>
          <w:p w14:paraId="7C785CB7">
            <w:pPr>
              <w:rPr>
                <w:rFonts w:ascii="Arial"/>
                <w:sz w:val="21"/>
              </w:rPr>
            </w:pPr>
          </w:p>
        </w:tc>
        <w:tc>
          <w:tcPr>
            <w:tcW w:w="2969" w:type="dxa"/>
            <w:vAlign w:val="top"/>
          </w:tcPr>
          <w:p w14:paraId="1FA131D8">
            <w:pPr>
              <w:pStyle w:val="212"/>
              <w:spacing w:before="177" w:line="304" w:lineRule="auto"/>
              <w:ind w:left="19" w:right="11" w:firstLine="3"/>
            </w:pPr>
            <w:r>
              <w:rPr>
                <w:spacing w:val="19"/>
              </w:rPr>
              <w:t>《便器冲洗阀用水效率限定值及</w:t>
            </w:r>
            <w:r>
              <w:rPr>
                <w:spacing w:val="2"/>
              </w:rPr>
              <w:t xml:space="preserve"> </w:t>
            </w:r>
            <w:r>
              <w:rPr>
                <w:spacing w:val="7"/>
              </w:rPr>
              <w:t>用水效率等级》（</w:t>
            </w:r>
            <w:r>
              <w:t>GB</w:t>
            </w:r>
            <w:r>
              <w:rPr>
                <w:spacing w:val="7"/>
              </w:rPr>
              <w:t xml:space="preserve"> 28379）</w:t>
            </w:r>
          </w:p>
        </w:tc>
      </w:tr>
      <w:tr w14:paraId="257336C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0" w:hRule="atLeast"/>
        </w:trPr>
        <w:tc>
          <w:tcPr>
            <w:tcW w:w="578" w:type="dxa"/>
            <w:vAlign w:val="top"/>
          </w:tcPr>
          <w:p w14:paraId="5E9BF0E2">
            <w:pPr>
              <w:spacing w:line="289" w:lineRule="auto"/>
              <w:rPr>
                <w:rFonts w:ascii="Arial"/>
                <w:sz w:val="21"/>
              </w:rPr>
            </w:pPr>
          </w:p>
          <w:p w14:paraId="6C20F59C">
            <w:pPr>
              <w:pStyle w:val="212"/>
              <w:spacing w:before="62" w:line="256" w:lineRule="exact"/>
              <w:ind w:left="209"/>
            </w:pPr>
            <w:r>
              <w:rPr>
                <w:spacing w:val="-7"/>
                <w:position w:val="1"/>
              </w:rPr>
              <w:t>18</w:t>
            </w:r>
          </w:p>
        </w:tc>
        <w:tc>
          <w:tcPr>
            <w:tcW w:w="1166" w:type="dxa"/>
            <w:vAlign w:val="top"/>
          </w:tcPr>
          <w:p w14:paraId="6479A66C">
            <w:pPr>
              <w:pStyle w:val="212"/>
              <w:spacing w:before="196" w:line="307" w:lineRule="auto"/>
              <w:ind w:left="15" w:right="8" w:hanging="6"/>
            </w:pPr>
            <w:r>
              <w:rPr>
                <w:spacing w:val="4"/>
              </w:rPr>
              <w:t>A060810</w:t>
            </w:r>
            <w:r>
              <w:rPr>
                <w:spacing w:val="-34"/>
              </w:rPr>
              <w:t xml:space="preserve"> </w:t>
            </w:r>
            <w:r>
              <w:rPr>
                <w:spacing w:val="4"/>
              </w:rPr>
              <w:t>淋浴</w:t>
            </w:r>
            <w:r>
              <w:t xml:space="preserve"> </w:t>
            </w:r>
            <w:r>
              <w:rPr>
                <w:spacing w:val="1"/>
              </w:rPr>
              <w:t>器</w:t>
            </w:r>
          </w:p>
        </w:tc>
        <w:tc>
          <w:tcPr>
            <w:tcW w:w="1799" w:type="dxa"/>
            <w:vAlign w:val="top"/>
          </w:tcPr>
          <w:p w14:paraId="15A8BA2D">
            <w:pPr>
              <w:rPr>
                <w:rFonts w:ascii="Arial"/>
                <w:sz w:val="21"/>
              </w:rPr>
            </w:pPr>
          </w:p>
        </w:tc>
        <w:tc>
          <w:tcPr>
            <w:tcW w:w="1914" w:type="dxa"/>
            <w:vAlign w:val="top"/>
          </w:tcPr>
          <w:p w14:paraId="1A84F050">
            <w:pPr>
              <w:rPr>
                <w:rFonts w:ascii="Arial"/>
                <w:sz w:val="21"/>
              </w:rPr>
            </w:pPr>
          </w:p>
        </w:tc>
        <w:tc>
          <w:tcPr>
            <w:tcW w:w="2969" w:type="dxa"/>
            <w:vAlign w:val="top"/>
          </w:tcPr>
          <w:p w14:paraId="763D7EC2">
            <w:pPr>
              <w:pStyle w:val="212"/>
              <w:spacing w:before="197" w:line="304" w:lineRule="auto"/>
              <w:ind w:left="22" w:right="11"/>
            </w:pPr>
            <w:r>
              <w:rPr>
                <w:spacing w:val="19"/>
              </w:rPr>
              <w:t>《淋浴器用水效率限定值及用水</w:t>
            </w:r>
            <w:r>
              <w:rPr>
                <w:spacing w:val="2"/>
              </w:rPr>
              <w:t xml:space="preserve"> </w:t>
            </w:r>
            <w:r>
              <w:rPr>
                <w:spacing w:val="6"/>
              </w:rPr>
              <w:t>效率等级》（</w:t>
            </w:r>
            <w:r>
              <w:t>GB</w:t>
            </w:r>
            <w:r>
              <w:rPr>
                <w:spacing w:val="6"/>
              </w:rPr>
              <w:t xml:space="preserve"> 28378）</w:t>
            </w:r>
          </w:p>
        </w:tc>
      </w:tr>
    </w:tbl>
    <w:p w14:paraId="514CDACB">
      <w:pPr>
        <w:spacing w:after="120" w:line="360" w:lineRule="auto"/>
        <w:rPr>
          <w:rFonts w:hint="eastAsia" w:ascii="宋体" w:hAnsi="宋体" w:eastAsia="宋体"/>
          <w:szCs w:val="21"/>
          <w:lang w:eastAsia="zh-CN"/>
        </w:rPr>
      </w:pPr>
      <w:r>
        <w:rPr>
          <w:rFonts w:hint="eastAsia" w:ascii="宋体" w:hAnsi="宋体"/>
          <w:spacing w:val="-3"/>
          <w:szCs w:val="21"/>
        </w:rPr>
        <w:t>注：1.节能产品认证应依据相关国家标准的最新版本</w:t>
      </w:r>
      <w:r>
        <w:rPr>
          <w:rFonts w:hint="eastAsia" w:ascii="宋体" w:hAnsi="宋体"/>
          <w:spacing w:val="-3"/>
          <w:szCs w:val="21"/>
          <w:lang w:eastAsia="zh-CN"/>
        </w:rPr>
        <w:t>。</w:t>
      </w:r>
    </w:p>
    <w:p w14:paraId="34839CC1">
      <w:pPr>
        <w:spacing w:after="120" w:line="360" w:lineRule="auto"/>
        <w:ind w:firstLine="465"/>
        <w:sectPr>
          <w:footerReference r:id="rId10" w:type="first"/>
          <w:footerReference r:id="rId9" w:type="default"/>
          <w:pgSz w:w="11906" w:h="16838"/>
          <w:pgMar w:top="993" w:right="1689" w:bottom="1246" w:left="1786" w:header="851" w:footer="992" w:gutter="0"/>
          <w:pgBorders>
            <w:top w:val="none" w:sz="0" w:space="0"/>
            <w:left w:val="none" w:sz="0" w:space="0"/>
            <w:bottom w:val="none" w:sz="0" w:space="0"/>
            <w:right w:val="none" w:sz="0" w:space="0"/>
          </w:pgBorders>
          <w:pgNumType w:fmt="decimal"/>
          <w:cols w:space="720" w:num="1"/>
          <w:titlePg/>
          <w:docGrid w:linePitch="312" w:charSpace="0"/>
        </w:sectPr>
      </w:pPr>
      <w:r>
        <w:rPr>
          <w:rFonts w:hint="eastAsia" w:ascii="宋体" w:hAnsi="宋体"/>
          <w:szCs w:val="21"/>
        </w:rPr>
        <w:t>2.以“★”标注的为政府强制采购产品。</w:t>
      </w:r>
    </w:p>
    <w:p w14:paraId="5198B984">
      <w:pPr>
        <w:spacing w:line="528" w:lineRule="exact"/>
        <w:jc w:val="left"/>
        <w:rPr>
          <w:rFonts w:hint="eastAsia"/>
          <w:sz w:val="28"/>
          <w:szCs w:val="28"/>
        </w:rPr>
      </w:pPr>
      <w:r>
        <w:rPr>
          <w:rFonts w:hint="eastAsia"/>
          <w:sz w:val="28"/>
          <w:szCs w:val="28"/>
        </w:rPr>
        <w:t>附件4：</w:t>
      </w:r>
    </w:p>
    <w:p w14:paraId="13383190">
      <w:pPr>
        <w:spacing w:line="528" w:lineRule="exact"/>
        <w:ind w:firstLine="280" w:firstLineChars="100"/>
        <w:jc w:val="center"/>
        <w:rPr>
          <w:rFonts w:hint="eastAsia" w:ascii="Times New Roman" w:hAnsi="Times New Roman" w:eastAsia="宋体" w:cs="Times New Roman"/>
          <w:sz w:val="28"/>
          <w:szCs w:val="28"/>
        </w:rPr>
      </w:pPr>
      <w:r>
        <w:rPr>
          <w:rFonts w:hint="eastAsia" w:ascii="Times New Roman" w:hAnsi="Times New Roman" w:eastAsia="宋体" w:cs="Times New Roman"/>
          <w:sz w:val="28"/>
          <w:szCs w:val="28"/>
        </w:rPr>
        <w:t>环境标志产品政府采购品目清单</w:t>
      </w:r>
    </w:p>
    <w:tbl>
      <w:tblPr>
        <w:tblStyle w:val="213"/>
        <w:tblW w:w="10588"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83"/>
        <w:gridCol w:w="1542"/>
        <w:gridCol w:w="2672"/>
        <w:gridCol w:w="2248"/>
        <w:gridCol w:w="3543"/>
      </w:tblGrid>
      <w:tr w14:paraId="7148F9C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583" w:type="dxa"/>
            <w:tcBorders>
              <w:top w:val="single" w:color="auto" w:sz="4" w:space="0"/>
              <w:left w:val="single" w:color="auto" w:sz="4" w:space="0"/>
              <w:bottom w:val="single" w:color="auto" w:sz="4" w:space="0"/>
              <w:right w:val="single" w:color="auto" w:sz="4" w:space="0"/>
            </w:tcBorders>
            <w:vAlign w:val="top"/>
          </w:tcPr>
          <w:p w14:paraId="0FAF02D6">
            <w:pPr>
              <w:pStyle w:val="212"/>
              <w:spacing w:before="70" w:line="223" w:lineRule="auto"/>
              <w:ind w:left="129"/>
            </w:pPr>
            <w:r>
              <w:rPr>
                <w:b/>
                <w:bCs/>
                <w:spacing w:val="-12"/>
              </w:rPr>
              <w:t>品目</w:t>
            </w:r>
          </w:p>
          <w:p w14:paraId="141F03ED">
            <w:pPr>
              <w:pStyle w:val="212"/>
              <w:spacing w:before="91" w:line="222" w:lineRule="auto"/>
              <w:ind w:left="114"/>
            </w:pPr>
            <w:r>
              <w:rPr>
                <w:b/>
                <w:bCs/>
                <w:spacing w:val="-4"/>
              </w:rPr>
              <w:t>序号</w:t>
            </w:r>
          </w:p>
        </w:tc>
        <w:tc>
          <w:tcPr>
            <w:tcW w:w="6462" w:type="dxa"/>
            <w:gridSpan w:val="3"/>
            <w:tcBorders>
              <w:top w:val="single" w:color="auto" w:sz="4" w:space="0"/>
              <w:left w:val="single" w:color="auto" w:sz="4" w:space="0"/>
              <w:bottom w:val="single" w:color="auto" w:sz="4" w:space="0"/>
              <w:right w:val="single" w:color="auto" w:sz="4" w:space="0"/>
            </w:tcBorders>
            <w:vAlign w:val="top"/>
          </w:tcPr>
          <w:p w14:paraId="4900C852">
            <w:pPr>
              <w:pStyle w:val="212"/>
              <w:spacing w:before="224" w:line="222" w:lineRule="auto"/>
              <w:ind w:left="3054"/>
            </w:pPr>
            <w:r>
              <w:rPr>
                <w:b/>
                <w:bCs/>
                <w:spacing w:val="-6"/>
              </w:rPr>
              <w:t>名称</w:t>
            </w:r>
          </w:p>
        </w:tc>
        <w:tc>
          <w:tcPr>
            <w:tcW w:w="3543" w:type="dxa"/>
            <w:tcBorders>
              <w:top w:val="single" w:color="auto" w:sz="4" w:space="0"/>
              <w:left w:val="single" w:color="auto" w:sz="4" w:space="0"/>
              <w:bottom w:val="single" w:color="auto" w:sz="4" w:space="0"/>
              <w:right w:val="single" w:color="auto" w:sz="4" w:space="0"/>
            </w:tcBorders>
            <w:vAlign w:val="top"/>
          </w:tcPr>
          <w:p w14:paraId="4AACD77E">
            <w:pPr>
              <w:pStyle w:val="212"/>
              <w:spacing w:before="224" w:line="219" w:lineRule="auto"/>
              <w:ind w:left="1325"/>
            </w:pPr>
            <w:r>
              <w:rPr>
                <w:b/>
                <w:bCs/>
                <w:spacing w:val="-4"/>
              </w:rPr>
              <w:t>依据的标准</w:t>
            </w:r>
          </w:p>
        </w:tc>
      </w:tr>
      <w:tr w14:paraId="10F1173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7" w:hRule="atLeast"/>
        </w:trPr>
        <w:tc>
          <w:tcPr>
            <w:tcW w:w="583" w:type="dxa"/>
            <w:vMerge w:val="restart"/>
            <w:tcBorders>
              <w:top w:val="single" w:color="auto" w:sz="4" w:space="0"/>
              <w:left w:val="single" w:color="auto" w:sz="4" w:space="0"/>
              <w:bottom w:val="single" w:color="auto" w:sz="4" w:space="0"/>
              <w:right w:val="single" w:color="auto" w:sz="4" w:space="0"/>
            </w:tcBorders>
            <w:vAlign w:val="top"/>
          </w:tcPr>
          <w:p w14:paraId="1583F73B">
            <w:pPr>
              <w:pStyle w:val="212"/>
              <w:spacing w:before="66" w:line="242" w:lineRule="auto"/>
              <w:ind w:left="128"/>
            </w:pPr>
            <w:r>
              <w:t>1</w:t>
            </w:r>
          </w:p>
        </w:tc>
        <w:tc>
          <w:tcPr>
            <w:tcW w:w="1542" w:type="dxa"/>
            <w:vMerge w:val="restart"/>
            <w:tcBorders>
              <w:top w:val="single" w:color="auto" w:sz="4" w:space="0"/>
              <w:left w:val="single" w:color="auto" w:sz="4" w:space="0"/>
              <w:bottom w:val="single" w:color="auto" w:sz="4" w:space="0"/>
              <w:right w:val="single" w:color="auto" w:sz="4" w:space="0"/>
            </w:tcBorders>
            <w:vAlign w:val="top"/>
          </w:tcPr>
          <w:p w14:paraId="571078CD">
            <w:pPr>
              <w:pStyle w:val="212"/>
              <w:spacing w:before="65" w:line="323" w:lineRule="auto"/>
              <w:ind w:left="110" w:right="108" w:hanging="8"/>
            </w:pPr>
            <w:r>
              <w:rPr>
                <w:spacing w:val="3"/>
              </w:rPr>
              <w:t>A020101</w:t>
            </w:r>
            <w:r>
              <w:rPr>
                <w:spacing w:val="34"/>
              </w:rPr>
              <w:t xml:space="preserve"> </w:t>
            </w:r>
            <w:r>
              <w:rPr>
                <w:spacing w:val="3"/>
              </w:rPr>
              <w:t>计算机</w:t>
            </w:r>
            <w:r>
              <w:t xml:space="preserve"> </w:t>
            </w:r>
            <w:r>
              <w:rPr>
                <w:spacing w:val="-3"/>
              </w:rPr>
              <w:t>设备</w:t>
            </w:r>
          </w:p>
        </w:tc>
        <w:tc>
          <w:tcPr>
            <w:tcW w:w="2672" w:type="dxa"/>
            <w:tcBorders>
              <w:top w:val="single" w:color="auto" w:sz="4" w:space="0"/>
              <w:left w:val="single" w:color="auto" w:sz="4" w:space="0"/>
              <w:bottom w:val="single" w:color="auto" w:sz="4" w:space="0"/>
              <w:right w:val="single" w:color="auto" w:sz="4" w:space="0"/>
            </w:tcBorders>
            <w:vAlign w:val="top"/>
          </w:tcPr>
          <w:p w14:paraId="0F33466F">
            <w:pPr>
              <w:pStyle w:val="212"/>
              <w:spacing w:before="66" w:line="220" w:lineRule="auto"/>
              <w:ind w:left="103"/>
            </w:pPr>
            <w:r>
              <w:rPr>
                <w:spacing w:val="-1"/>
              </w:rPr>
              <w:t>A02010103</w:t>
            </w:r>
            <w:r>
              <w:rPr>
                <w:spacing w:val="-32"/>
              </w:rPr>
              <w:t xml:space="preserve"> </w:t>
            </w:r>
            <w:r>
              <w:rPr>
                <w:spacing w:val="-1"/>
              </w:rPr>
              <w:t>服务器</w:t>
            </w:r>
          </w:p>
        </w:tc>
        <w:tc>
          <w:tcPr>
            <w:tcW w:w="2248" w:type="dxa"/>
            <w:tcBorders>
              <w:top w:val="single" w:color="auto" w:sz="4" w:space="0"/>
              <w:left w:val="single" w:color="auto" w:sz="4" w:space="0"/>
              <w:bottom w:val="single" w:color="auto" w:sz="4" w:space="0"/>
              <w:right w:val="single" w:color="auto" w:sz="4" w:space="0"/>
            </w:tcBorders>
            <w:vAlign w:val="top"/>
          </w:tcPr>
          <w:p w14:paraId="2A755ED7">
            <w:pPr>
              <w:rPr>
                <w:rFonts w:ascii="Arial"/>
                <w:sz w:val="21"/>
              </w:rPr>
            </w:pPr>
          </w:p>
        </w:tc>
        <w:tc>
          <w:tcPr>
            <w:tcW w:w="3543" w:type="dxa"/>
            <w:tcBorders>
              <w:top w:val="single" w:color="auto" w:sz="4" w:space="0"/>
              <w:left w:val="single" w:color="auto" w:sz="4" w:space="0"/>
              <w:bottom w:val="single" w:color="auto" w:sz="4" w:space="0"/>
              <w:right w:val="single" w:color="auto" w:sz="4" w:space="0"/>
            </w:tcBorders>
            <w:vAlign w:val="top"/>
          </w:tcPr>
          <w:p w14:paraId="21022B4E">
            <w:pPr>
              <w:pStyle w:val="212"/>
              <w:spacing w:before="66" w:line="219" w:lineRule="auto"/>
              <w:ind w:left="109"/>
            </w:pPr>
            <w:r>
              <w:rPr>
                <w:spacing w:val="-2"/>
              </w:rPr>
              <w:t>HJ2507</w:t>
            </w:r>
            <w:r>
              <w:rPr>
                <w:spacing w:val="-20"/>
              </w:rPr>
              <w:t xml:space="preserve"> </w:t>
            </w:r>
            <w:r>
              <w:rPr>
                <w:spacing w:val="-2"/>
              </w:rPr>
              <w:t>网络服务器</w:t>
            </w:r>
          </w:p>
        </w:tc>
      </w:tr>
      <w:tr w14:paraId="6627B63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8" w:hRule="atLeast"/>
        </w:trPr>
        <w:tc>
          <w:tcPr>
            <w:tcW w:w="583" w:type="dxa"/>
            <w:vMerge w:val="continue"/>
            <w:tcBorders>
              <w:top w:val="single" w:color="auto" w:sz="4" w:space="0"/>
              <w:left w:val="single" w:color="auto" w:sz="4" w:space="0"/>
              <w:bottom w:val="single" w:color="auto" w:sz="4" w:space="0"/>
              <w:right w:val="single" w:color="auto" w:sz="4" w:space="0"/>
            </w:tcBorders>
            <w:vAlign w:val="top"/>
          </w:tcPr>
          <w:p w14:paraId="37E18E1B">
            <w:pPr>
              <w:rPr>
                <w:rFonts w:ascii="Arial"/>
                <w:sz w:val="21"/>
              </w:rPr>
            </w:pPr>
          </w:p>
        </w:tc>
        <w:tc>
          <w:tcPr>
            <w:tcW w:w="1542" w:type="dxa"/>
            <w:vMerge w:val="continue"/>
            <w:tcBorders>
              <w:top w:val="single" w:color="auto" w:sz="4" w:space="0"/>
              <w:left w:val="single" w:color="auto" w:sz="4" w:space="0"/>
              <w:bottom w:val="single" w:color="auto" w:sz="4" w:space="0"/>
              <w:right w:val="single" w:color="auto" w:sz="4" w:space="0"/>
            </w:tcBorders>
            <w:vAlign w:val="top"/>
          </w:tcPr>
          <w:p w14:paraId="2A27DE12">
            <w:pPr>
              <w:rPr>
                <w:rFonts w:ascii="Arial"/>
                <w:sz w:val="21"/>
              </w:rPr>
            </w:pPr>
          </w:p>
        </w:tc>
        <w:tc>
          <w:tcPr>
            <w:tcW w:w="2672" w:type="dxa"/>
            <w:tcBorders>
              <w:top w:val="single" w:color="auto" w:sz="4" w:space="0"/>
              <w:left w:val="single" w:color="auto" w:sz="4" w:space="0"/>
              <w:bottom w:val="single" w:color="auto" w:sz="4" w:space="0"/>
              <w:right w:val="single" w:color="auto" w:sz="4" w:space="0"/>
            </w:tcBorders>
            <w:vAlign w:val="top"/>
          </w:tcPr>
          <w:p w14:paraId="6BC65539">
            <w:pPr>
              <w:pStyle w:val="212"/>
              <w:spacing w:before="65" w:line="219" w:lineRule="auto"/>
              <w:ind w:left="103"/>
            </w:pPr>
            <w:r>
              <w:rPr>
                <w:spacing w:val="-2"/>
              </w:rPr>
              <w:t>A02010104</w:t>
            </w:r>
            <w:r>
              <w:rPr>
                <w:spacing w:val="-14"/>
              </w:rPr>
              <w:t xml:space="preserve"> </w:t>
            </w:r>
            <w:r>
              <w:rPr>
                <w:spacing w:val="-2"/>
              </w:rPr>
              <w:t>台式计算机</w:t>
            </w:r>
          </w:p>
        </w:tc>
        <w:tc>
          <w:tcPr>
            <w:tcW w:w="2248" w:type="dxa"/>
            <w:tcBorders>
              <w:top w:val="single" w:color="auto" w:sz="4" w:space="0"/>
              <w:left w:val="single" w:color="auto" w:sz="4" w:space="0"/>
              <w:bottom w:val="single" w:color="auto" w:sz="4" w:space="0"/>
              <w:right w:val="single" w:color="auto" w:sz="4" w:space="0"/>
            </w:tcBorders>
            <w:vAlign w:val="top"/>
          </w:tcPr>
          <w:p w14:paraId="057A59D6">
            <w:pPr>
              <w:rPr>
                <w:rFonts w:ascii="Arial"/>
                <w:sz w:val="21"/>
              </w:rPr>
            </w:pPr>
          </w:p>
        </w:tc>
        <w:tc>
          <w:tcPr>
            <w:tcW w:w="3543" w:type="dxa"/>
            <w:tcBorders>
              <w:top w:val="single" w:color="auto" w:sz="4" w:space="0"/>
              <w:left w:val="single" w:color="auto" w:sz="4" w:space="0"/>
              <w:bottom w:val="single" w:color="auto" w:sz="4" w:space="0"/>
              <w:right w:val="single" w:color="auto" w:sz="4" w:space="0"/>
            </w:tcBorders>
            <w:vAlign w:val="top"/>
          </w:tcPr>
          <w:p w14:paraId="67E13A12">
            <w:pPr>
              <w:pStyle w:val="212"/>
              <w:spacing w:before="64" w:line="219" w:lineRule="auto"/>
              <w:ind w:left="109"/>
            </w:pPr>
            <w:r>
              <w:rPr>
                <w:spacing w:val="-1"/>
              </w:rPr>
              <w:t>HJ2536</w:t>
            </w:r>
            <w:r>
              <w:rPr>
                <w:spacing w:val="-28"/>
              </w:rPr>
              <w:t xml:space="preserve"> </w:t>
            </w:r>
            <w:r>
              <w:rPr>
                <w:spacing w:val="-1"/>
              </w:rPr>
              <w:t>微型计算机、显示器</w:t>
            </w:r>
          </w:p>
        </w:tc>
      </w:tr>
      <w:tr w14:paraId="29F731D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8" w:hRule="atLeast"/>
        </w:trPr>
        <w:tc>
          <w:tcPr>
            <w:tcW w:w="583" w:type="dxa"/>
            <w:vMerge w:val="continue"/>
            <w:tcBorders>
              <w:top w:val="single" w:color="auto" w:sz="4" w:space="0"/>
              <w:left w:val="single" w:color="auto" w:sz="4" w:space="0"/>
              <w:bottom w:val="single" w:color="auto" w:sz="4" w:space="0"/>
              <w:right w:val="single" w:color="auto" w:sz="4" w:space="0"/>
            </w:tcBorders>
            <w:vAlign w:val="top"/>
          </w:tcPr>
          <w:p w14:paraId="3CC2B9AB">
            <w:pPr>
              <w:rPr>
                <w:rFonts w:ascii="Arial"/>
                <w:sz w:val="21"/>
              </w:rPr>
            </w:pPr>
          </w:p>
        </w:tc>
        <w:tc>
          <w:tcPr>
            <w:tcW w:w="1542" w:type="dxa"/>
            <w:vMerge w:val="continue"/>
            <w:tcBorders>
              <w:top w:val="single" w:color="auto" w:sz="4" w:space="0"/>
              <w:left w:val="single" w:color="auto" w:sz="4" w:space="0"/>
              <w:bottom w:val="single" w:color="auto" w:sz="4" w:space="0"/>
              <w:right w:val="single" w:color="auto" w:sz="4" w:space="0"/>
            </w:tcBorders>
            <w:vAlign w:val="top"/>
          </w:tcPr>
          <w:p w14:paraId="7835A11A">
            <w:pPr>
              <w:rPr>
                <w:rFonts w:ascii="Arial"/>
                <w:sz w:val="21"/>
              </w:rPr>
            </w:pPr>
          </w:p>
        </w:tc>
        <w:tc>
          <w:tcPr>
            <w:tcW w:w="2672" w:type="dxa"/>
            <w:tcBorders>
              <w:top w:val="single" w:color="auto" w:sz="4" w:space="0"/>
              <w:left w:val="single" w:color="auto" w:sz="4" w:space="0"/>
              <w:bottom w:val="single" w:color="auto" w:sz="4" w:space="0"/>
              <w:right w:val="single" w:color="auto" w:sz="4" w:space="0"/>
            </w:tcBorders>
            <w:vAlign w:val="top"/>
          </w:tcPr>
          <w:p w14:paraId="2586937D">
            <w:pPr>
              <w:pStyle w:val="212"/>
              <w:spacing w:before="64" w:line="219" w:lineRule="auto"/>
              <w:ind w:left="103"/>
            </w:pPr>
            <w:r>
              <w:rPr>
                <w:spacing w:val="-1"/>
              </w:rPr>
              <w:t>A02010105</w:t>
            </w:r>
            <w:r>
              <w:rPr>
                <w:spacing w:val="-30"/>
              </w:rPr>
              <w:t xml:space="preserve"> </w:t>
            </w:r>
            <w:r>
              <w:rPr>
                <w:spacing w:val="-1"/>
              </w:rPr>
              <w:t>便携式计算机</w:t>
            </w:r>
          </w:p>
        </w:tc>
        <w:tc>
          <w:tcPr>
            <w:tcW w:w="2248" w:type="dxa"/>
            <w:tcBorders>
              <w:top w:val="single" w:color="auto" w:sz="4" w:space="0"/>
              <w:left w:val="single" w:color="auto" w:sz="4" w:space="0"/>
              <w:bottom w:val="single" w:color="auto" w:sz="4" w:space="0"/>
              <w:right w:val="single" w:color="auto" w:sz="4" w:space="0"/>
            </w:tcBorders>
            <w:vAlign w:val="top"/>
          </w:tcPr>
          <w:p w14:paraId="07AAF5EB">
            <w:pPr>
              <w:rPr>
                <w:rFonts w:ascii="Arial"/>
                <w:sz w:val="21"/>
              </w:rPr>
            </w:pPr>
          </w:p>
        </w:tc>
        <w:tc>
          <w:tcPr>
            <w:tcW w:w="3543" w:type="dxa"/>
            <w:tcBorders>
              <w:top w:val="single" w:color="auto" w:sz="4" w:space="0"/>
              <w:left w:val="single" w:color="auto" w:sz="4" w:space="0"/>
              <w:bottom w:val="single" w:color="auto" w:sz="4" w:space="0"/>
              <w:right w:val="single" w:color="auto" w:sz="4" w:space="0"/>
            </w:tcBorders>
            <w:vAlign w:val="top"/>
          </w:tcPr>
          <w:p w14:paraId="69CFD470">
            <w:pPr>
              <w:pStyle w:val="212"/>
              <w:spacing w:before="64" w:line="219" w:lineRule="auto"/>
              <w:ind w:left="109"/>
            </w:pPr>
            <w:r>
              <w:rPr>
                <w:spacing w:val="-1"/>
              </w:rPr>
              <w:t>HJ2536</w:t>
            </w:r>
            <w:r>
              <w:rPr>
                <w:spacing w:val="-28"/>
              </w:rPr>
              <w:t xml:space="preserve"> </w:t>
            </w:r>
            <w:r>
              <w:rPr>
                <w:spacing w:val="-1"/>
              </w:rPr>
              <w:t>微型计算机、显示器</w:t>
            </w:r>
          </w:p>
        </w:tc>
      </w:tr>
      <w:tr w14:paraId="00AE19D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5" w:hRule="atLeast"/>
        </w:trPr>
        <w:tc>
          <w:tcPr>
            <w:tcW w:w="583" w:type="dxa"/>
            <w:vMerge w:val="continue"/>
            <w:tcBorders>
              <w:top w:val="single" w:color="auto" w:sz="4" w:space="0"/>
              <w:left w:val="single" w:color="auto" w:sz="4" w:space="0"/>
              <w:bottom w:val="single" w:color="auto" w:sz="4" w:space="0"/>
              <w:right w:val="single" w:color="auto" w:sz="4" w:space="0"/>
            </w:tcBorders>
            <w:vAlign w:val="top"/>
          </w:tcPr>
          <w:p w14:paraId="5CD2D516">
            <w:pPr>
              <w:rPr>
                <w:rFonts w:ascii="Arial"/>
                <w:sz w:val="21"/>
              </w:rPr>
            </w:pPr>
          </w:p>
        </w:tc>
        <w:tc>
          <w:tcPr>
            <w:tcW w:w="1542" w:type="dxa"/>
            <w:vMerge w:val="continue"/>
            <w:tcBorders>
              <w:top w:val="single" w:color="auto" w:sz="4" w:space="0"/>
              <w:left w:val="single" w:color="auto" w:sz="4" w:space="0"/>
              <w:bottom w:val="single" w:color="auto" w:sz="4" w:space="0"/>
              <w:right w:val="single" w:color="auto" w:sz="4" w:space="0"/>
            </w:tcBorders>
            <w:vAlign w:val="top"/>
          </w:tcPr>
          <w:p w14:paraId="787B538D">
            <w:pPr>
              <w:rPr>
                <w:rFonts w:ascii="Arial"/>
                <w:sz w:val="21"/>
              </w:rPr>
            </w:pPr>
          </w:p>
        </w:tc>
        <w:tc>
          <w:tcPr>
            <w:tcW w:w="2672" w:type="dxa"/>
            <w:tcBorders>
              <w:top w:val="single" w:color="auto" w:sz="4" w:space="0"/>
              <w:left w:val="single" w:color="auto" w:sz="4" w:space="0"/>
              <w:bottom w:val="single" w:color="auto" w:sz="4" w:space="0"/>
              <w:right w:val="single" w:color="auto" w:sz="4" w:space="0"/>
            </w:tcBorders>
            <w:vAlign w:val="top"/>
          </w:tcPr>
          <w:p w14:paraId="07A3820E">
            <w:pPr>
              <w:pStyle w:val="212"/>
              <w:spacing w:before="64" w:line="219" w:lineRule="auto"/>
              <w:ind w:left="103"/>
            </w:pPr>
            <w:r>
              <w:rPr>
                <w:spacing w:val="-1"/>
              </w:rPr>
              <w:t>A02010107</w:t>
            </w:r>
            <w:r>
              <w:rPr>
                <w:spacing w:val="-28"/>
              </w:rPr>
              <w:t xml:space="preserve"> </w:t>
            </w:r>
            <w:r>
              <w:rPr>
                <w:spacing w:val="-1"/>
              </w:rPr>
              <w:t>平板式微型计算机</w:t>
            </w:r>
          </w:p>
        </w:tc>
        <w:tc>
          <w:tcPr>
            <w:tcW w:w="2248" w:type="dxa"/>
            <w:tcBorders>
              <w:top w:val="single" w:color="auto" w:sz="4" w:space="0"/>
              <w:left w:val="single" w:color="auto" w:sz="4" w:space="0"/>
              <w:bottom w:val="single" w:color="auto" w:sz="4" w:space="0"/>
              <w:right w:val="single" w:color="auto" w:sz="4" w:space="0"/>
            </w:tcBorders>
            <w:vAlign w:val="top"/>
          </w:tcPr>
          <w:p w14:paraId="1B748563">
            <w:pPr>
              <w:rPr>
                <w:rFonts w:ascii="Arial"/>
                <w:sz w:val="21"/>
              </w:rPr>
            </w:pPr>
          </w:p>
        </w:tc>
        <w:tc>
          <w:tcPr>
            <w:tcW w:w="3543" w:type="dxa"/>
            <w:tcBorders>
              <w:top w:val="single" w:color="auto" w:sz="4" w:space="0"/>
              <w:left w:val="single" w:color="auto" w:sz="4" w:space="0"/>
              <w:bottom w:val="single" w:color="auto" w:sz="4" w:space="0"/>
              <w:right w:val="single" w:color="auto" w:sz="4" w:space="0"/>
            </w:tcBorders>
            <w:vAlign w:val="top"/>
          </w:tcPr>
          <w:p w14:paraId="747EECB8">
            <w:pPr>
              <w:pStyle w:val="212"/>
              <w:spacing w:before="63" w:line="219" w:lineRule="auto"/>
              <w:ind w:left="109"/>
            </w:pPr>
            <w:r>
              <w:rPr>
                <w:spacing w:val="-1"/>
              </w:rPr>
              <w:t>HJ2536</w:t>
            </w:r>
            <w:r>
              <w:rPr>
                <w:spacing w:val="-28"/>
              </w:rPr>
              <w:t xml:space="preserve"> </w:t>
            </w:r>
            <w:r>
              <w:rPr>
                <w:spacing w:val="-1"/>
              </w:rPr>
              <w:t>微型计算机、显示器</w:t>
            </w:r>
          </w:p>
        </w:tc>
      </w:tr>
      <w:tr w14:paraId="3A7CA04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8" w:hRule="atLeast"/>
        </w:trPr>
        <w:tc>
          <w:tcPr>
            <w:tcW w:w="583" w:type="dxa"/>
            <w:vMerge w:val="continue"/>
            <w:tcBorders>
              <w:top w:val="single" w:color="auto" w:sz="4" w:space="0"/>
              <w:left w:val="single" w:color="auto" w:sz="4" w:space="0"/>
              <w:bottom w:val="single" w:color="auto" w:sz="4" w:space="0"/>
              <w:right w:val="single" w:color="auto" w:sz="4" w:space="0"/>
            </w:tcBorders>
            <w:vAlign w:val="top"/>
          </w:tcPr>
          <w:p w14:paraId="7E04A968">
            <w:pPr>
              <w:rPr>
                <w:rFonts w:ascii="Arial"/>
                <w:sz w:val="21"/>
              </w:rPr>
            </w:pPr>
          </w:p>
        </w:tc>
        <w:tc>
          <w:tcPr>
            <w:tcW w:w="1542" w:type="dxa"/>
            <w:vMerge w:val="continue"/>
            <w:tcBorders>
              <w:top w:val="single" w:color="auto" w:sz="4" w:space="0"/>
              <w:left w:val="single" w:color="auto" w:sz="4" w:space="0"/>
              <w:bottom w:val="single" w:color="auto" w:sz="4" w:space="0"/>
              <w:right w:val="single" w:color="auto" w:sz="4" w:space="0"/>
            </w:tcBorders>
            <w:vAlign w:val="top"/>
          </w:tcPr>
          <w:p w14:paraId="28AA29B5">
            <w:pPr>
              <w:rPr>
                <w:rFonts w:ascii="Arial"/>
                <w:sz w:val="21"/>
              </w:rPr>
            </w:pPr>
          </w:p>
        </w:tc>
        <w:tc>
          <w:tcPr>
            <w:tcW w:w="2672" w:type="dxa"/>
            <w:tcBorders>
              <w:top w:val="single" w:color="auto" w:sz="4" w:space="0"/>
              <w:left w:val="single" w:color="auto" w:sz="4" w:space="0"/>
              <w:bottom w:val="single" w:color="auto" w:sz="4" w:space="0"/>
              <w:right w:val="single" w:color="auto" w:sz="4" w:space="0"/>
            </w:tcBorders>
            <w:vAlign w:val="top"/>
          </w:tcPr>
          <w:p w14:paraId="672A73F4">
            <w:pPr>
              <w:pStyle w:val="212"/>
              <w:spacing w:before="65" w:line="219" w:lineRule="auto"/>
              <w:ind w:left="103"/>
            </w:pPr>
            <w:r>
              <w:rPr>
                <w:spacing w:val="-2"/>
              </w:rPr>
              <w:t>A02010108</w:t>
            </w:r>
            <w:r>
              <w:rPr>
                <w:spacing w:val="32"/>
              </w:rPr>
              <w:t xml:space="preserve"> </w:t>
            </w:r>
            <w:r>
              <w:rPr>
                <w:spacing w:val="-2"/>
              </w:rPr>
              <w:t>网络计算机</w:t>
            </w:r>
          </w:p>
        </w:tc>
        <w:tc>
          <w:tcPr>
            <w:tcW w:w="2248" w:type="dxa"/>
            <w:tcBorders>
              <w:top w:val="single" w:color="auto" w:sz="4" w:space="0"/>
              <w:left w:val="single" w:color="auto" w:sz="4" w:space="0"/>
              <w:bottom w:val="single" w:color="auto" w:sz="4" w:space="0"/>
              <w:right w:val="single" w:color="auto" w:sz="4" w:space="0"/>
            </w:tcBorders>
            <w:vAlign w:val="top"/>
          </w:tcPr>
          <w:p w14:paraId="652D58F5">
            <w:pPr>
              <w:rPr>
                <w:rFonts w:ascii="Arial"/>
                <w:sz w:val="21"/>
              </w:rPr>
            </w:pPr>
          </w:p>
        </w:tc>
        <w:tc>
          <w:tcPr>
            <w:tcW w:w="3543" w:type="dxa"/>
            <w:tcBorders>
              <w:top w:val="single" w:color="auto" w:sz="4" w:space="0"/>
              <w:left w:val="single" w:color="auto" w:sz="4" w:space="0"/>
              <w:bottom w:val="single" w:color="auto" w:sz="4" w:space="0"/>
              <w:right w:val="single" w:color="auto" w:sz="4" w:space="0"/>
            </w:tcBorders>
            <w:vAlign w:val="top"/>
          </w:tcPr>
          <w:p w14:paraId="56260D36">
            <w:pPr>
              <w:pStyle w:val="212"/>
              <w:spacing w:before="64" w:line="219" w:lineRule="auto"/>
              <w:ind w:left="109"/>
            </w:pPr>
            <w:r>
              <w:rPr>
                <w:spacing w:val="-1"/>
              </w:rPr>
              <w:t>HJ2536</w:t>
            </w:r>
            <w:r>
              <w:rPr>
                <w:spacing w:val="-28"/>
              </w:rPr>
              <w:t xml:space="preserve"> </w:t>
            </w:r>
            <w:r>
              <w:rPr>
                <w:spacing w:val="-1"/>
              </w:rPr>
              <w:t>微型计算机、显示器</w:t>
            </w:r>
          </w:p>
        </w:tc>
      </w:tr>
      <w:tr w14:paraId="375FFAC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8" w:hRule="atLeast"/>
        </w:trPr>
        <w:tc>
          <w:tcPr>
            <w:tcW w:w="583" w:type="dxa"/>
            <w:vMerge w:val="continue"/>
            <w:tcBorders>
              <w:top w:val="single" w:color="auto" w:sz="4" w:space="0"/>
              <w:left w:val="single" w:color="auto" w:sz="4" w:space="0"/>
              <w:bottom w:val="single" w:color="auto" w:sz="4" w:space="0"/>
              <w:right w:val="single" w:color="auto" w:sz="4" w:space="0"/>
            </w:tcBorders>
            <w:vAlign w:val="top"/>
          </w:tcPr>
          <w:p w14:paraId="33E6D6D3">
            <w:pPr>
              <w:rPr>
                <w:rFonts w:ascii="Arial"/>
                <w:sz w:val="21"/>
              </w:rPr>
            </w:pPr>
          </w:p>
        </w:tc>
        <w:tc>
          <w:tcPr>
            <w:tcW w:w="1542" w:type="dxa"/>
            <w:vMerge w:val="continue"/>
            <w:tcBorders>
              <w:top w:val="single" w:color="auto" w:sz="4" w:space="0"/>
              <w:left w:val="single" w:color="auto" w:sz="4" w:space="0"/>
              <w:bottom w:val="single" w:color="auto" w:sz="4" w:space="0"/>
              <w:right w:val="single" w:color="auto" w:sz="4" w:space="0"/>
            </w:tcBorders>
            <w:vAlign w:val="top"/>
          </w:tcPr>
          <w:p w14:paraId="3E82BE0D">
            <w:pPr>
              <w:rPr>
                <w:rFonts w:ascii="Arial"/>
                <w:sz w:val="21"/>
              </w:rPr>
            </w:pPr>
          </w:p>
        </w:tc>
        <w:tc>
          <w:tcPr>
            <w:tcW w:w="2672" w:type="dxa"/>
            <w:tcBorders>
              <w:top w:val="single" w:color="auto" w:sz="4" w:space="0"/>
              <w:left w:val="single" w:color="auto" w:sz="4" w:space="0"/>
              <w:bottom w:val="single" w:color="auto" w:sz="4" w:space="0"/>
              <w:right w:val="single" w:color="auto" w:sz="4" w:space="0"/>
            </w:tcBorders>
            <w:vAlign w:val="top"/>
          </w:tcPr>
          <w:p w14:paraId="1336E76F">
            <w:pPr>
              <w:pStyle w:val="212"/>
              <w:spacing w:before="64" w:line="219" w:lineRule="auto"/>
              <w:ind w:left="103"/>
            </w:pPr>
            <w:r>
              <w:t>A02010109 计算机工作站</w:t>
            </w:r>
          </w:p>
        </w:tc>
        <w:tc>
          <w:tcPr>
            <w:tcW w:w="2248" w:type="dxa"/>
            <w:tcBorders>
              <w:top w:val="single" w:color="auto" w:sz="4" w:space="0"/>
              <w:left w:val="single" w:color="auto" w:sz="4" w:space="0"/>
              <w:bottom w:val="single" w:color="auto" w:sz="4" w:space="0"/>
              <w:right w:val="single" w:color="auto" w:sz="4" w:space="0"/>
            </w:tcBorders>
            <w:vAlign w:val="top"/>
          </w:tcPr>
          <w:p w14:paraId="34C7AF7D">
            <w:pPr>
              <w:rPr>
                <w:rFonts w:ascii="Arial"/>
                <w:sz w:val="21"/>
              </w:rPr>
            </w:pPr>
          </w:p>
        </w:tc>
        <w:tc>
          <w:tcPr>
            <w:tcW w:w="3543" w:type="dxa"/>
            <w:tcBorders>
              <w:top w:val="single" w:color="auto" w:sz="4" w:space="0"/>
              <w:left w:val="single" w:color="auto" w:sz="4" w:space="0"/>
              <w:bottom w:val="single" w:color="auto" w:sz="4" w:space="0"/>
              <w:right w:val="single" w:color="auto" w:sz="4" w:space="0"/>
            </w:tcBorders>
            <w:vAlign w:val="top"/>
          </w:tcPr>
          <w:p w14:paraId="58008142">
            <w:pPr>
              <w:pStyle w:val="212"/>
              <w:spacing w:before="64" w:line="219" w:lineRule="auto"/>
              <w:ind w:left="109"/>
            </w:pPr>
            <w:r>
              <w:rPr>
                <w:spacing w:val="-1"/>
              </w:rPr>
              <w:t>HJ2536</w:t>
            </w:r>
            <w:r>
              <w:rPr>
                <w:spacing w:val="-28"/>
              </w:rPr>
              <w:t xml:space="preserve"> </w:t>
            </w:r>
            <w:r>
              <w:rPr>
                <w:spacing w:val="-1"/>
              </w:rPr>
              <w:t>微型计算机、显示器</w:t>
            </w:r>
          </w:p>
        </w:tc>
      </w:tr>
      <w:tr w14:paraId="01BDF5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5" w:hRule="atLeast"/>
        </w:trPr>
        <w:tc>
          <w:tcPr>
            <w:tcW w:w="583" w:type="dxa"/>
            <w:vMerge w:val="continue"/>
            <w:tcBorders>
              <w:top w:val="single" w:color="auto" w:sz="4" w:space="0"/>
              <w:left w:val="single" w:color="auto" w:sz="4" w:space="0"/>
              <w:bottom w:val="single" w:color="auto" w:sz="4" w:space="0"/>
              <w:right w:val="single" w:color="auto" w:sz="4" w:space="0"/>
            </w:tcBorders>
            <w:vAlign w:val="top"/>
          </w:tcPr>
          <w:p w14:paraId="532E45BE">
            <w:pPr>
              <w:rPr>
                <w:rFonts w:ascii="Arial"/>
                <w:sz w:val="21"/>
              </w:rPr>
            </w:pPr>
          </w:p>
        </w:tc>
        <w:tc>
          <w:tcPr>
            <w:tcW w:w="1542" w:type="dxa"/>
            <w:vMerge w:val="continue"/>
            <w:tcBorders>
              <w:top w:val="single" w:color="auto" w:sz="4" w:space="0"/>
              <w:left w:val="single" w:color="auto" w:sz="4" w:space="0"/>
              <w:bottom w:val="single" w:color="auto" w:sz="4" w:space="0"/>
              <w:right w:val="single" w:color="auto" w:sz="4" w:space="0"/>
            </w:tcBorders>
            <w:vAlign w:val="top"/>
          </w:tcPr>
          <w:p w14:paraId="14F57387">
            <w:pPr>
              <w:rPr>
                <w:rFonts w:ascii="Arial"/>
                <w:sz w:val="21"/>
              </w:rPr>
            </w:pPr>
          </w:p>
        </w:tc>
        <w:tc>
          <w:tcPr>
            <w:tcW w:w="2672" w:type="dxa"/>
            <w:tcBorders>
              <w:top w:val="single" w:color="auto" w:sz="4" w:space="0"/>
              <w:left w:val="single" w:color="auto" w:sz="4" w:space="0"/>
              <w:bottom w:val="single" w:color="auto" w:sz="4" w:space="0"/>
              <w:right w:val="single" w:color="auto" w:sz="4" w:space="0"/>
            </w:tcBorders>
            <w:vAlign w:val="top"/>
          </w:tcPr>
          <w:p w14:paraId="47CA96C1">
            <w:pPr>
              <w:pStyle w:val="212"/>
              <w:spacing w:before="64" w:line="219" w:lineRule="auto"/>
              <w:ind w:left="103"/>
            </w:pPr>
            <w:r>
              <w:rPr>
                <w:spacing w:val="-1"/>
              </w:rPr>
              <w:t>A02010199</w:t>
            </w:r>
            <w:r>
              <w:rPr>
                <w:spacing w:val="-29"/>
              </w:rPr>
              <w:t xml:space="preserve"> </w:t>
            </w:r>
            <w:r>
              <w:rPr>
                <w:spacing w:val="-1"/>
              </w:rPr>
              <w:t>其他计算机设备</w:t>
            </w:r>
          </w:p>
        </w:tc>
        <w:tc>
          <w:tcPr>
            <w:tcW w:w="2248" w:type="dxa"/>
            <w:tcBorders>
              <w:top w:val="single" w:color="auto" w:sz="4" w:space="0"/>
              <w:left w:val="single" w:color="auto" w:sz="4" w:space="0"/>
              <w:bottom w:val="single" w:color="auto" w:sz="4" w:space="0"/>
              <w:right w:val="single" w:color="auto" w:sz="4" w:space="0"/>
            </w:tcBorders>
            <w:vAlign w:val="top"/>
          </w:tcPr>
          <w:p w14:paraId="74F29028">
            <w:pPr>
              <w:rPr>
                <w:rFonts w:ascii="Arial"/>
                <w:sz w:val="21"/>
              </w:rPr>
            </w:pPr>
          </w:p>
        </w:tc>
        <w:tc>
          <w:tcPr>
            <w:tcW w:w="3543" w:type="dxa"/>
            <w:tcBorders>
              <w:top w:val="single" w:color="auto" w:sz="4" w:space="0"/>
              <w:left w:val="single" w:color="auto" w:sz="4" w:space="0"/>
              <w:bottom w:val="single" w:color="auto" w:sz="4" w:space="0"/>
              <w:right w:val="single" w:color="auto" w:sz="4" w:space="0"/>
            </w:tcBorders>
            <w:vAlign w:val="top"/>
          </w:tcPr>
          <w:p w14:paraId="774281FE">
            <w:pPr>
              <w:pStyle w:val="212"/>
              <w:spacing w:before="64" w:line="219" w:lineRule="auto"/>
              <w:ind w:left="109"/>
            </w:pPr>
            <w:r>
              <w:rPr>
                <w:spacing w:val="-1"/>
              </w:rPr>
              <w:t>HJ2536</w:t>
            </w:r>
            <w:r>
              <w:rPr>
                <w:spacing w:val="-28"/>
              </w:rPr>
              <w:t xml:space="preserve"> </w:t>
            </w:r>
            <w:r>
              <w:rPr>
                <w:spacing w:val="-1"/>
              </w:rPr>
              <w:t>微型计算机、显示器</w:t>
            </w:r>
          </w:p>
        </w:tc>
      </w:tr>
      <w:tr w14:paraId="1A8EFB1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8" w:hRule="atLeast"/>
        </w:trPr>
        <w:tc>
          <w:tcPr>
            <w:tcW w:w="583" w:type="dxa"/>
            <w:vMerge w:val="restart"/>
            <w:tcBorders>
              <w:top w:val="single" w:color="auto" w:sz="4" w:space="0"/>
              <w:left w:val="single" w:color="auto" w:sz="4" w:space="0"/>
              <w:bottom w:val="single" w:color="auto" w:sz="4" w:space="0"/>
              <w:right w:val="single" w:color="auto" w:sz="4" w:space="0"/>
            </w:tcBorders>
            <w:vAlign w:val="top"/>
          </w:tcPr>
          <w:p w14:paraId="41746529">
            <w:pPr>
              <w:pStyle w:val="212"/>
              <w:spacing w:before="64" w:line="242" w:lineRule="auto"/>
              <w:ind w:left="116"/>
            </w:pPr>
            <w:r>
              <w:t>2</w:t>
            </w:r>
          </w:p>
        </w:tc>
        <w:tc>
          <w:tcPr>
            <w:tcW w:w="1542" w:type="dxa"/>
            <w:vMerge w:val="restart"/>
            <w:tcBorders>
              <w:top w:val="single" w:color="auto" w:sz="4" w:space="0"/>
              <w:left w:val="single" w:color="auto" w:sz="4" w:space="0"/>
              <w:bottom w:val="single" w:color="auto" w:sz="4" w:space="0"/>
              <w:right w:val="single" w:color="auto" w:sz="4" w:space="0"/>
            </w:tcBorders>
            <w:vAlign w:val="top"/>
          </w:tcPr>
          <w:p w14:paraId="2B88E24D">
            <w:pPr>
              <w:pStyle w:val="212"/>
              <w:spacing w:before="64" w:line="323" w:lineRule="auto"/>
              <w:ind w:left="123" w:right="108" w:hanging="21"/>
            </w:pPr>
            <w:r>
              <w:rPr>
                <w:spacing w:val="3"/>
              </w:rPr>
              <w:t>A020106</w:t>
            </w:r>
            <w:r>
              <w:rPr>
                <w:spacing w:val="34"/>
              </w:rPr>
              <w:t xml:space="preserve"> </w:t>
            </w:r>
            <w:r>
              <w:rPr>
                <w:spacing w:val="3"/>
              </w:rPr>
              <w:t>输入输</w:t>
            </w:r>
            <w:r>
              <w:t xml:space="preserve"> </w:t>
            </w:r>
            <w:r>
              <w:rPr>
                <w:spacing w:val="-5"/>
              </w:rPr>
              <w:t>出设备</w:t>
            </w:r>
          </w:p>
        </w:tc>
        <w:tc>
          <w:tcPr>
            <w:tcW w:w="2672" w:type="dxa"/>
            <w:vMerge w:val="restart"/>
            <w:tcBorders>
              <w:top w:val="single" w:color="auto" w:sz="4" w:space="0"/>
              <w:left w:val="single" w:color="auto" w:sz="4" w:space="0"/>
              <w:bottom w:val="single" w:color="auto" w:sz="4" w:space="0"/>
              <w:right w:val="single" w:color="auto" w:sz="4" w:space="0"/>
            </w:tcBorders>
            <w:vAlign w:val="top"/>
          </w:tcPr>
          <w:p w14:paraId="3888E4E5">
            <w:pPr>
              <w:pStyle w:val="212"/>
              <w:spacing w:before="64" w:line="220" w:lineRule="auto"/>
              <w:ind w:left="103"/>
            </w:pPr>
            <w:r>
              <w:rPr>
                <w:spacing w:val="-1"/>
              </w:rPr>
              <w:t>A02010601</w:t>
            </w:r>
            <w:r>
              <w:rPr>
                <w:spacing w:val="-31"/>
              </w:rPr>
              <w:t xml:space="preserve"> </w:t>
            </w:r>
            <w:r>
              <w:rPr>
                <w:spacing w:val="-1"/>
              </w:rPr>
              <w:t>打印设备</w:t>
            </w:r>
          </w:p>
        </w:tc>
        <w:tc>
          <w:tcPr>
            <w:tcW w:w="2248" w:type="dxa"/>
            <w:tcBorders>
              <w:top w:val="single" w:color="auto" w:sz="4" w:space="0"/>
              <w:left w:val="single" w:color="auto" w:sz="4" w:space="0"/>
              <w:bottom w:val="single" w:color="auto" w:sz="4" w:space="0"/>
              <w:right w:val="single" w:color="auto" w:sz="4" w:space="0"/>
            </w:tcBorders>
            <w:vAlign w:val="top"/>
          </w:tcPr>
          <w:p w14:paraId="79B7E31D">
            <w:pPr>
              <w:pStyle w:val="212"/>
              <w:spacing w:before="65" w:line="219" w:lineRule="auto"/>
              <w:ind w:left="105"/>
            </w:pPr>
            <w:r>
              <w:t>A0201060101 喷墨打印机</w:t>
            </w:r>
          </w:p>
        </w:tc>
        <w:tc>
          <w:tcPr>
            <w:tcW w:w="3543" w:type="dxa"/>
            <w:tcBorders>
              <w:top w:val="single" w:color="auto" w:sz="4" w:space="0"/>
              <w:left w:val="single" w:color="auto" w:sz="4" w:space="0"/>
              <w:bottom w:val="single" w:color="auto" w:sz="4" w:space="0"/>
              <w:right w:val="single" w:color="auto" w:sz="4" w:space="0"/>
            </w:tcBorders>
            <w:vAlign w:val="top"/>
          </w:tcPr>
          <w:p w14:paraId="0C380A52">
            <w:pPr>
              <w:pStyle w:val="212"/>
              <w:spacing w:before="64" w:line="219" w:lineRule="auto"/>
              <w:ind w:left="109"/>
            </w:pPr>
            <w:r>
              <w:rPr>
                <w:spacing w:val="-1"/>
              </w:rPr>
              <w:t>HJ2512</w:t>
            </w:r>
            <w:r>
              <w:rPr>
                <w:spacing w:val="-29"/>
              </w:rPr>
              <w:t xml:space="preserve"> </w:t>
            </w:r>
            <w:r>
              <w:rPr>
                <w:spacing w:val="-1"/>
              </w:rPr>
              <w:t>打印机、传真机及多功能一体机</w:t>
            </w:r>
          </w:p>
        </w:tc>
      </w:tr>
      <w:tr w14:paraId="794DE3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8" w:hRule="atLeast"/>
        </w:trPr>
        <w:tc>
          <w:tcPr>
            <w:tcW w:w="583" w:type="dxa"/>
            <w:vMerge w:val="continue"/>
            <w:tcBorders>
              <w:top w:val="single" w:color="auto" w:sz="4" w:space="0"/>
              <w:left w:val="single" w:color="auto" w:sz="4" w:space="0"/>
              <w:bottom w:val="single" w:color="auto" w:sz="4" w:space="0"/>
              <w:right w:val="single" w:color="auto" w:sz="4" w:space="0"/>
            </w:tcBorders>
            <w:vAlign w:val="top"/>
          </w:tcPr>
          <w:p w14:paraId="061AA105">
            <w:pPr>
              <w:rPr>
                <w:rFonts w:ascii="Arial"/>
                <w:sz w:val="21"/>
              </w:rPr>
            </w:pPr>
          </w:p>
        </w:tc>
        <w:tc>
          <w:tcPr>
            <w:tcW w:w="1542" w:type="dxa"/>
            <w:vMerge w:val="continue"/>
            <w:tcBorders>
              <w:top w:val="single" w:color="auto" w:sz="4" w:space="0"/>
              <w:left w:val="single" w:color="auto" w:sz="4" w:space="0"/>
              <w:bottom w:val="single" w:color="auto" w:sz="4" w:space="0"/>
              <w:right w:val="single" w:color="auto" w:sz="4" w:space="0"/>
            </w:tcBorders>
            <w:vAlign w:val="top"/>
          </w:tcPr>
          <w:p w14:paraId="3E214BEB">
            <w:pPr>
              <w:rPr>
                <w:rFonts w:ascii="Arial"/>
                <w:sz w:val="21"/>
              </w:rPr>
            </w:pPr>
          </w:p>
        </w:tc>
        <w:tc>
          <w:tcPr>
            <w:tcW w:w="2672" w:type="dxa"/>
            <w:vMerge w:val="continue"/>
            <w:tcBorders>
              <w:top w:val="single" w:color="auto" w:sz="4" w:space="0"/>
              <w:left w:val="single" w:color="auto" w:sz="4" w:space="0"/>
              <w:bottom w:val="single" w:color="auto" w:sz="4" w:space="0"/>
              <w:right w:val="single" w:color="auto" w:sz="4" w:space="0"/>
            </w:tcBorders>
            <w:vAlign w:val="top"/>
          </w:tcPr>
          <w:p w14:paraId="53CF0BA8">
            <w:pPr>
              <w:rPr>
                <w:rFonts w:ascii="Arial"/>
                <w:sz w:val="21"/>
              </w:rPr>
            </w:pPr>
          </w:p>
        </w:tc>
        <w:tc>
          <w:tcPr>
            <w:tcW w:w="2248" w:type="dxa"/>
            <w:tcBorders>
              <w:top w:val="single" w:color="auto" w:sz="4" w:space="0"/>
              <w:left w:val="single" w:color="auto" w:sz="4" w:space="0"/>
              <w:bottom w:val="single" w:color="auto" w:sz="4" w:space="0"/>
              <w:right w:val="single" w:color="auto" w:sz="4" w:space="0"/>
            </w:tcBorders>
            <w:vAlign w:val="top"/>
          </w:tcPr>
          <w:p w14:paraId="342A6BC1">
            <w:pPr>
              <w:pStyle w:val="212"/>
              <w:spacing w:before="64" w:line="219" w:lineRule="auto"/>
              <w:ind w:left="105"/>
            </w:pPr>
            <w:r>
              <w:t>A0201060102 激光打印机</w:t>
            </w:r>
          </w:p>
        </w:tc>
        <w:tc>
          <w:tcPr>
            <w:tcW w:w="3543" w:type="dxa"/>
            <w:tcBorders>
              <w:top w:val="single" w:color="auto" w:sz="4" w:space="0"/>
              <w:left w:val="single" w:color="auto" w:sz="4" w:space="0"/>
              <w:bottom w:val="single" w:color="auto" w:sz="4" w:space="0"/>
              <w:right w:val="single" w:color="auto" w:sz="4" w:space="0"/>
            </w:tcBorders>
            <w:vAlign w:val="top"/>
          </w:tcPr>
          <w:p w14:paraId="492DADB3">
            <w:pPr>
              <w:pStyle w:val="212"/>
              <w:spacing w:before="64" w:line="219" w:lineRule="auto"/>
              <w:ind w:left="109"/>
            </w:pPr>
            <w:r>
              <w:rPr>
                <w:spacing w:val="-1"/>
              </w:rPr>
              <w:t>HJ2512</w:t>
            </w:r>
            <w:r>
              <w:rPr>
                <w:spacing w:val="-29"/>
              </w:rPr>
              <w:t xml:space="preserve"> </w:t>
            </w:r>
            <w:r>
              <w:rPr>
                <w:spacing w:val="-1"/>
              </w:rPr>
              <w:t>打印机、传真机及多功能一体机</w:t>
            </w:r>
          </w:p>
        </w:tc>
      </w:tr>
      <w:tr w14:paraId="2EF8010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5" w:hRule="atLeast"/>
        </w:trPr>
        <w:tc>
          <w:tcPr>
            <w:tcW w:w="583" w:type="dxa"/>
            <w:vMerge w:val="continue"/>
            <w:tcBorders>
              <w:top w:val="single" w:color="auto" w:sz="4" w:space="0"/>
              <w:left w:val="single" w:color="auto" w:sz="4" w:space="0"/>
              <w:bottom w:val="single" w:color="auto" w:sz="4" w:space="0"/>
              <w:right w:val="single" w:color="auto" w:sz="4" w:space="0"/>
            </w:tcBorders>
            <w:vAlign w:val="top"/>
          </w:tcPr>
          <w:p w14:paraId="32A00ED6">
            <w:pPr>
              <w:rPr>
                <w:rFonts w:ascii="Arial"/>
                <w:sz w:val="21"/>
              </w:rPr>
            </w:pPr>
          </w:p>
        </w:tc>
        <w:tc>
          <w:tcPr>
            <w:tcW w:w="1542" w:type="dxa"/>
            <w:vMerge w:val="continue"/>
            <w:tcBorders>
              <w:top w:val="single" w:color="auto" w:sz="4" w:space="0"/>
              <w:left w:val="single" w:color="auto" w:sz="4" w:space="0"/>
              <w:bottom w:val="single" w:color="auto" w:sz="4" w:space="0"/>
              <w:right w:val="single" w:color="auto" w:sz="4" w:space="0"/>
            </w:tcBorders>
            <w:vAlign w:val="top"/>
          </w:tcPr>
          <w:p w14:paraId="03961196">
            <w:pPr>
              <w:rPr>
                <w:rFonts w:ascii="Arial"/>
                <w:sz w:val="21"/>
              </w:rPr>
            </w:pPr>
          </w:p>
        </w:tc>
        <w:tc>
          <w:tcPr>
            <w:tcW w:w="2672" w:type="dxa"/>
            <w:vMerge w:val="continue"/>
            <w:tcBorders>
              <w:top w:val="single" w:color="auto" w:sz="4" w:space="0"/>
              <w:left w:val="single" w:color="auto" w:sz="4" w:space="0"/>
              <w:bottom w:val="single" w:color="auto" w:sz="4" w:space="0"/>
              <w:right w:val="single" w:color="auto" w:sz="4" w:space="0"/>
            </w:tcBorders>
            <w:vAlign w:val="top"/>
          </w:tcPr>
          <w:p w14:paraId="51F68492">
            <w:pPr>
              <w:rPr>
                <w:rFonts w:ascii="Arial"/>
                <w:sz w:val="21"/>
              </w:rPr>
            </w:pPr>
          </w:p>
        </w:tc>
        <w:tc>
          <w:tcPr>
            <w:tcW w:w="2248" w:type="dxa"/>
            <w:tcBorders>
              <w:top w:val="single" w:color="auto" w:sz="4" w:space="0"/>
              <w:left w:val="single" w:color="auto" w:sz="4" w:space="0"/>
              <w:bottom w:val="single" w:color="auto" w:sz="4" w:space="0"/>
              <w:right w:val="single" w:color="auto" w:sz="4" w:space="0"/>
            </w:tcBorders>
            <w:vAlign w:val="top"/>
          </w:tcPr>
          <w:p w14:paraId="40A34612">
            <w:pPr>
              <w:pStyle w:val="212"/>
              <w:spacing w:before="64" w:line="219" w:lineRule="auto"/>
              <w:ind w:left="105"/>
            </w:pPr>
            <w:r>
              <w:t>A0201060103 热式打印机</w:t>
            </w:r>
          </w:p>
        </w:tc>
        <w:tc>
          <w:tcPr>
            <w:tcW w:w="3543" w:type="dxa"/>
            <w:tcBorders>
              <w:top w:val="single" w:color="auto" w:sz="4" w:space="0"/>
              <w:left w:val="single" w:color="auto" w:sz="4" w:space="0"/>
              <w:bottom w:val="single" w:color="auto" w:sz="4" w:space="0"/>
              <w:right w:val="single" w:color="auto" w:sz="4" w:space="0"/>
            </w:tcBorders>
            <w:vAlign w:val="top"/>
          </w:tcPr>
          <w:p w14:paraId="75B59CAF">
            <w:pPr>
              <w:pStyle w:val="212"/>
              <w:spacing w:before="64" w:line="219" w:lineRule="auto"/>
              <w:ind w:left="109"/>
            </w:pPr>
            <w:r>
              <w:rPr>
                <w:spacing w:val="-1"/>
              </w:rPr>
              <w:t>HJ2512</w:t>
            </w:r>
            <w:r>
              <w:rPr>
                <w:spacing w:val="-29"/>
              </w:rPr>
              <w:t xml:space="preserve"> </w:t>
            </w:r>
            <w:r>
              <w:rPr>
                <w:spacing w:val="-1"/>
              </w:rPr>
              <w:t>打印机、传真机及多功能一体机</w:t>
            </w:r>
          </w:p>
        </w:tc>
      </w:tr>
      <w:tr w14:paraId="3F97A18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8" w:hRule="atLeast"/>
        </w:trPr>
        <w:tc>
          <w:tcPr>
            <w:tcW w:w="583" w:type="dxa"/>
            <w:vMerge w:val="continue"/>
            <w:tcBorders>
              <w:top w:val="single" w:color="auto" w:sz="4" w:space="0"/>
              <w:left w:val="single" w:color="auto" w:sz="4" w:space="0"/>
              <w:bottom w:val="single" w:color="auto" w:sz="4" w:space="0"/>
              <w:right w:val="single" w:color="auto" w:sz="4" w:space="0"/>
            </w:tcBorders>
            <w:vAlign w:val="top"/>
          </w:tcPr>
          <w:p w14:paraId="493F545F">
            <w:pPr>
              <w:rPr>
                <w:rFonts w:ascii="Arial"/>
                <w:sz w:val="21"/>
              </w:rPr>
            </w:pPr>
          </w:p>
        </w:tc>
        <w:tc>
          <w:tcPr>
            <w:tcW w:w="1542" w:type="dxa"/>
            <w:vMerge w:val="continue"/>
            <w:tcBorders>
              <w:top w:val="single" w:color="auto" w:sz="4" w:space="0"/>
              <w:left w:val="single" w:color="auto" w:sz="4" w:space="0"/>
              <w:bottom w:val="single" w:color="auto" w:sz="4" w:space="0"/>
              <w:right w:val="single" w:color="auto" w:sz="4" w:space="0"/>
            </w:tcBorders>
            <w:vAlign w:val="top"/>
          </w:tcPr>
          <w:p w14:paraId="153A9C97">
            <w:pPr>
              <w:rPr>
                <w:rFonts w:ascii="Arial"/>
                <w:sz w:val="21"/>
              </w:rPr>
            </w:pPr>
          </w:p>
        </w:tc>
        <w:tc>
          <w:tcPr>
            <w:tcW w:w="2672" w:type="dxa"/>
            <w:vMerge w:val="continue"/>
            <w:tcBorders>
              <w:top w:val="single" w:color="auto" w:sz="4" w:space="0"/>
              <w:left w:val="single" w:color="auto" w:sz="4" w:space="0"/>
              <w:bottom w:val="single" w:color="auto" w:sz="4" w:space="0"/>
              <w:right w:val="single" w:color="auto" w:sz="4" w:space="0"/>
            </w:tcBorders>
            <w:vAlign w:val="top"/>
          </w:tcPr>
          <w:p w14:paraId="6E66013F">
            <w:pPr>
              <w:rPr>
                <w:rFonts w:ascii="Arial"/>
                <w:sz w:val="21"/>
              </w:rPr>
            </w:pPr>
          </w:p>
        </w:tc>
        <w:tc>
          <w:tcPr>
            <w:tcW w:w="2248" w:type="dxa"/>
            <w:tcBorders>
              <w:top w:val="single" w:color="auto" w:sz="4" w:space="0"/>
              <w:left w:val="single" w:color="auto" w:sz="4" w:space="0"/>
              <w:bottom w:val="single" w:color="auto" w:sz="4" w:space="0"/>
              <w:right w:val="single" w:color="auto" w:sz="4" w:space="0"/>
            </w:tcBorders>
            <w:vAlign w:val="top"/>
          </w:tcPr>
          <w:p w14:paraId="6139EF36">
            <w:pPr>
              <w:pStyle w:val="212"/>
              <w:spacing w:before="65" w:line="219" w:lineRule="auto"/>
              <w:ind w:left="105"/>
            </w:pPr>
            <w:r>
              <w:t>A0201060104 针式打印机</w:t>
            </w:r>
          </w:p>
        </w:tc>
        <w:tc>
          <w:tcPr>
            <w:tcW w:w="3543" w:type="dxa"/>
            <w:tcBorders>
              <w:top w:val="single" w:color="auto" w:sz="4" w:space="0"/>
              <w:left w:val="single" w:color="auto" w:sz="4" w:space="0"/>
              <w:bottom w:val="single" w:color="auto" w:sz="4" w:space="0"/>
              <w:right w:val="single" w:color="auto" w:sz="4" w:space="0"/>
            </w:tcBorders>
            <w:vAlign w:val="top"/>
          </w:tcPr>
          <w:p w14:paraId="0E43265F">
            <w:pPr>
              <w:pStyle w:val="212"/>
              <w:spacing w:before="64" w:line="219" w:lineRule="auto"/>
              <w:ind w:left="109"/>
            </w:pPr>
            <w:r>
              <w:rPr>
                <w:spacing w:val="-1"/>
              </w:rPr>
              <w:t>HJ2512</w:t>
            </w:r>
            <w:r>
              <w:rPr>
                <w:spacing w:val="-29"/>
              </w:rPr>
              <w:t xml:space="preserve"> </w:t>
            </w:r>
            <w:r>
              <w:rPr>
                <w:spacing w:val="-1"/>
              </w:rPr>
              <w:t>打印机、传真机及多功能一体机</w:t>
            </w:r>
          </w:p>
        </w:tc>
      </w:tr>
      <w:tr w14:paraId="185649C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8" w:hRule="atLeast"/>
        </w:trPr>
        <w:tc>
          <w:tcPr>
            <w:tcW w:w="583" w:type="dxa"/>
            <w:vMerge w:val="continue"/>
            <w:tcBorders>
              <w:top w:val="single" w:color="auto" w:sz="4" w:space="0"/>
              <w:left w:val="single" w:color="auto" w:sz="4" w:space="0"/>
              <w:bottom w:val="single" w:color="auto" w:sz="4" w:space="0"/>
              <w:right w:val="single" w:color="auto" w:sz="4" w:space="0"/>
            </w:tcBorders>
            <w:vAlign w:val="top"/>
          </w:tcPr>
          <w:p w14:paraId="196689D3">
            <w:pPr>
              <w:rPr>
                <w:rFonts w:ascii="Arial"/>
                <w:sz w:val="21"/>
              </w:rPr>
            </w:pPr>
          </w:p>
        </w:tc>
        <w:tc>
          <w:tcPr>
            <w:tcW w:w="1542" w:type="dxa"/>
            <w:vMerge w:val="continue"/>
            <w:tcBorders>
              <w:top w:val="single" w:color="auto" w:sz="4" w:space="0"/>
              <w:left w:val="single" w:color="auto" w:sz="4" w:space="0"/>
              <w:bottom w:val="single" w:color="auto" w:sz="4" w:space="0"/>
              <w:right w:val="single" w:color="auto" w:sz="4" w:space="0"/>
            </w:tcBorders>
            <w:vAlign w:val="top"/>
          </w:tcPr>
          <w:p w14:paraId="026152ED">
            <w:pPr>
              <w:rPr>
                <w:rFonts w:ascii="Arial"/>
                <w:sz w:val="21"/>
              </w:rPr>
            </w:pPr>
          </w:p>
        </w:tc>
        <w:tc>
          <w:tcPr>
            <w:tcW w:w="2672" w:type="dxa"/>
            <w:vMerge w:val="restart"/>
            <w:tcBorders>
              <w:top w:val="single" w:color="auto" w:sz="4" w:space="0"/>
              <w:left w:val="single" w:color="auto" w:sz="4" w:space="0"/>
              <w:bottom w:val="single" w:color="auto" w:sz="4" w:space="0"/>
              <w:right w:val="single" w:color="auto" w:sz="4" w:space="0"/>
            </w:tcBorders>
            <w:vAlign w:val="top"/>
          </w:tcPr>
          <w:p w14:paraId="2BE9A888">
            <w:pPr>
              <w:pStyle w:val="212"/>
              <w:spacing w:before="64" w:line="222" w:lineRule="auto"/>
              <w:ind w:left="103"/>
            </w:pPr>
            <w:r>
              <w:t>A02010604 显示设备</w:t>
            </w:r>
          </w:p>
        </w:tc>
        <w:tc>
          <w:tcPr>
            <w:tcW w:w="2248" w:type="dxa"/>
            <w:tcBorders>
              <w:top w:val="single" w:color="auto" w:sz="4" w:space="0"/>
              <w:left w:val="single" w:color="auto" w:sz="4" w:space="0"/>
              <w:bottom w:val="single" w:color="auto" w:sz="4" w:space="0"/>
              <w:right w:val="single" w:color="auto" w:sz="4" w:space="0"/>
            </w:tcBorders>
            <w:vAlign w:val="top"/>
          </w:tcPr>
          <w:p w14:paraId="56C53EEC">
            <w:pPr>
              <w:pStyle w:val="212"/>
              <w:spacing w:before="64" w:line="221" w:lineRule="auto"/>
              <w:ind w:left="105"/>
            </w:pPr>
            <w:r>
              <w:t>A0201060401 液晶显示器</w:t>
            </w:r>
          </w:p>
        </w:tc>
        <w:tc>
          <w:tcPr>
            <w:tcW w:w="3543" w:type="dxa"/>
            <w:tcBorders>
              <w:top w:val="single" w:color="auto" w:sz="4" w:space="0"/>
              <w:left w:val="single" w:color="auto" w:sz="4" w:space="0"/>
              <w:bottom w:val="single" w:color="auto" w:sz="4" w:space="0"/>
              <w:right w:val="single" w:color="auto" w:sz="4" w:space="0"/>
            </w:tcBorders>
            <w:vAlign w:val="top"/>
          </w:tcPr>
          <w:p w14:paraId="6E7A0CFC">
            <w:pPr>
              <w:pStyle w:val="212"/>
              <w:spacing w:before="64" w:line="219" w:lineRule="auto"/>
              <w:ind w:left="109"/>
            </w:pPr>
            <w:r>
              <w:rPr>
                <w:spacing w:val="-1"/>
              </w:rPr>
              <w:t>HJ2536</w:t>
            </w:r>
            <w:r>
              <w:rPr>
                <w:spacing w:val="-28"/>
              </w:rPr>
              <w:t xml:space="preserve"> </w:t>
            </w:r>
            <w:r>
              <w:rPr>
                <w:spacing w:val="-1"/>
              </w:rPr>
              <w:t>微型计算机、显示器</w:t>
            </w:r>
          </w:p>
        </w:tc>
      </w:tr>
      <w:tr w14:paraId="5B48699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5" w:hRule="atLeast"/>
        </w:trPr>
        <w:tc>
          <w:tcPr>
            <w:tcW w:w="583" w:type="dxa"/>
            <w:vMerge w:val="continue"/>
            <w:tcBorders>
              <w:top w:val="single" w:color="auto" w:sz="4" w:space="0"/>
              <w:left w:val="single" w:color="auto" w:sz="4" w:space="0"/>
              <w:bottom w:val="single" w:color="auto" w:sz="4" w:space="0"/>
              <w:right w:val="single" w:color="auto" w:sz="4" w:space="0"/>
            </w:tcBorders>
            <w:vAlign w:val="top"/>
          </w:tcPr>
          <w:p w14:paraId="0F2EB8AF">
            <w:pPr>
              <w:rPr>
                <w:rFonts w:ascii="Arial"/>
                <w:sz w:val="21"/>
              </w:rPr>
            </w:pPr>
          </w:p>
        </w:tc>
        <w:tc>
          <w:tcPr>
            <w:tcW w:w="1542" w:type="dxa"/>
            <w:vMerge w:val="continue"/>
            <w:tcBorders>
              <w:top w:val="single" w:color="auto" w:sz="4" w:space="0"/>
              <w:left w:val="single" w:color="auto" w:sz="4" w:space="0"/>
              <w:bottom w:val="single" w:color="auto" w:sz="4" w:space="0"/>
              <w:right w:val="single" w:color="auto" w:sz="4" w:space="0"/>
            </w:tcBorders>
            <w:vAlign w:val="top"/>
          </w:tcPr>
          <w:p w14:paraId="3C6D1D1D">
            <w:pPr>
              <w:rPr>
                <w:rFonts w:ascii="Arial"/>
                <w:sz w:val="21"/>
              </w:rPr>
            </w:pPr>
          </w:p>
        </w:tc>
        <w:tc>
          <w:tcPr>
            <w:tcW w:w="2672" w:type="dxa"/>
            <w:vMerge w:val="continue"/>
            <w:tcBorders>
              <w:top w:val="single" w:color="auto" w:sz="4" w:space="0"/>
              <w:left w:val="single" w:color="auto" w:sz="4" w:space="0"/>
              <w:bottom w:val="single" w:color="auto" w:sz="4" w:space="0"/>
              <w:right w:val="single" w:color="auto" w:sz="4" w:space="0"/>
            </w:tcBorders>
            <w:vAlign w:val="top"/>
          </w:tcPr>
          <w:p w14:paraId="15C930B2">
            <w:pPr>
              <w:rPr>
                <w:rFonts w:ascii="Arial"/>
                <w:sz w:val="21"/>
              </w:rPr>
            </w:pPr>
          </w:p>
        </w:tc>
        <w:tc>
          <w:tcPr>
            <w:tcW w:w="2248" w:type="dxa"/>
            <w:tcBorders>
              <w:top w:val="single" w:color="auto" w:sz="4" w:space="0"/>
              <w:left w:val="single" w:color="auto" w:sz="4" w:space="0"/>
              <w:bottom w:val="single" w:color="auto" w:sz="4" w:space="0"/>
              <w:right w:val="single" w:color="auto" w:sz="4" w:space="0"/>
            </w:tcBorders>
            <w:vAlign w:val="top"/>
          </w:tcPr>
          <w:p w14:paraId="13E3C0AE">
            <w:pPr>
              <w:pStyle w:val="212"/>
              <w:spacing w:before="64" w:line="221" w:lineRule="auto"/>
              <w:ind w:left="105"/>
            </w:pPr>
            <w:r>
              <w:t>A0201060499 其他显示器</w:t>
            </w:r>
          </w:p>
        </w:tc>
        <w:tc>
          <w:tcPr>
            <w:tcW w:w="3543" w:type="dxa"/>
            <w:tcBorders>
              <w:top w:val="single" w:color="auto" w:sz="4" w:space="0"/>
              <w:left w:val="single" w:color="auto" w:sz="4" w:space="0"/>
              <w:bottom w:val="single" w:color="auto" w:sz="4" w:space="0"/>
              <w:right w:val="single" w:color="auto" w:sz="4" w:space="0"/>
            </w:tcBorders>
            <w:vAlign w:val="top"/>
          </w:tcPr>
          <w:p w14:paraId="1912BFA5">
            <w:pPr>
              <w:pStyle w:val="212"/>
              <w:spacing w:before="63" w:line="219" w:lineRule="auto"/>
              <w:ind w:left="109"/>
            </w:pPr>
            <w:r>
              <w:rPr>
                <w:spacing w:val="-1"/>
              </w:rPr>
              <w:t>HJ2536</w:t>
            </w:r>
            <w:r>
              <w:rPr>
                <w:spacing w:val="-28"/>
              </w:rPr>
              <w:t xml:space="preserve"> </w:t>
            </w:r>
            <w:r>
              <w:rPr>
                <w:spacing w:val="-1"/>
              </w:rPr>
              <w:t>微型计算机、显示器</w:t>
            </w:r>
          </w:p>
        </w:tc>
      </w:tr>
      <w:tr w14:paraId="490F103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8" w:hRule="atLeast"/>
        </w:trPr>
        <w:tc>
          <w:tcPr>
            <w:tcW w:w="583" w:type="dxa"/>
            <w:vMerge w:val="continue"/>
            <w:tcBorders>
              <w:top w:val="single" w:color="auto" w:sz="4" w:space="0"/>
              <w:left w:val="single" w:color="auto" w:sz="4" w:space="0"/>
              <w:bottom w:val="single" w:color="auto" w:sz="4" w:space="0"/>
              <w:right w:val="single" w:color="auto" w:sz="4" w:space="0"/>
            </w:tcBorders>
            <w:vAlign w:val="top"/>
          </w:tcPr>
          <w:p w14:paraId="7C489C00">
            <w:pPr>
              <w:rPr>
                <w:rFonts w:ascii="Arial"/>
                <w:sz w:val="21"/>
              </w:rPr>
            </w:pPr>
          </w:p>
        </w:tc>
        <w:tc>
          <w:tcPr>
            <w:tcW w:w="1542" w:type="dxa"/>
            <w:vMerge w:val="continue"/>
            <w:tcBorders>
              <w:top w:val="single" w:color="auto" w:sz="4" w:space="0"/>
              <w:left w:val="single" w:color="auto" w:sz="4" w:space="0"/>
              <w:bottom w:val="single" w:color="auto" w:sz="4" w:space="0"/>
              <w:right w:val="single" w:color="auto" w:sz="4" w:space="0"/>
            </w:tcBorders>
            <w:vAlign w:val="top"/>
          </w:tcPr>
          <w:p w14:paraId="4B5CC7B6">
            <w:pPr>
              <w:rPr>
                <w:rFonts w:ascii="Arial"/>
                <w:sz w:val="21"/>
              </w:rPr>
            </w:pPr>
          </w:p>
        </w:tc>
        <w:tc>
          <w:tcPr>
            <w:tcW w:w="2672" w:type="dxa"/>
            <w:tcBorders>
              <w:top w:val="single" w:color="auto" w:sz="4" w:space="0"/>
              <w:left w:val="single" w:color="auto" w:sz="4" w:space="0"/>
              <w:bottom w:val="single" w:color="auto" w:sz="4" w:space="0"/>
              <w:right w:val="single" w:color="auto" w:sz="4" w:space="0"/>
            </w:tcBorders>
            <w:vAlign w:val="top"/>
          </w:tcPr>
          <w:p w14:paraId="5402E358">
            <w:pPr>
              <w:pStyle w:val="212"/>
              <w:spacing w:before="64" w:line="220" w:lineRule="auto"/>
              <w:ind w:left="103"/>
            </w:pPr>
            <w:r>
              <w:rPr>
                <w:spacing w:val="-2"/>
              </w:rPr>
              <w:t>A02010609</w:t>
            </w:r>
            <w:r>
              <w:rPr>
                <w:spacing w:val="-9"/>
              </w:rPr>
              <w:t xml:space="preserve"> </w:t>
            </w:r>
            <w:r>
              <w:rPr>
                <w:spacing w:val="-2"/>
              </w:rPr>
              <w:t>图形图像输入设备</w:t>
            </w:r>
          </w:p>
        </w:tc>
        <w:tc>
          <w:tcPr>
            <w:tcW w:w="2248" w:type="dxa"/>
            <w:tcBorders>
              <w:top w:val="single" w:color="auto" w:sz="4" w:space="0"/>
              <w:left w:val="single" w:color="auto" w:sz="4" w:space="0"/>
              <w:bottom w:val="single" w:color="auto" w:sz="4" w:space="0"/>
              <w:right w:val="single" w:color="auto" w:sz="4" w:space="0"/>
            </w:tcBorders>
            <w:vAlign w:val="top"/>
          </w:tcPr>
          <w:p w14:paraId="248DC2C8">
            <w:pPr>
              <w:pStyle w:val="212"/>
              <w:spacing w:before="64" w:line="220" w:lineRule="auto"/>
              <w:ind w:left="105"/>
            </w:pPr>
            <w:r>
              <w:t>A0201060901 扫描仪</w:t>
            </w:r>
          </w:p>
        </w:tc>
        <w:tc>
          <w:tcPr>
            <w:tcW w:w="3543" w:type="dxa"/>
            <w:tcBorders>
              <w:top w:val="single" w:color="auto" w:sz="4" w:space="0"/>
              <w:left w:val="single" w:color="auto" w:sz="4" w:space="0"/>
              <w:bottom w:val="single" w:color="auto" w:sz="4" w:space="0"/>
              <w:right w:val="single" w:color="auto" w:sz="4" w:space="0"/>
            </w:tcBorders>
            <w:vAlign w:val="top"/>
          </w:tcPr>
          <w:p w14:paraId="5359BA85">
            <w:pPr>
              <w:pStyle w:val="212"/>
              <w:spacing w:before="64" w:line="219" w:lineRule="auto"/>
              <w:ind w:left="109"/>
            </w:pPr>
            <w:r>
              <w:rPr>
                <w:spacing w:val="-1"/>
              </w:rPr>
              <w:t>HJ2517</w:t>
            </w:r>
            <w:r>
              <w:rPr>
                <w:spacing w:val="-34"/>
              </w:rPr>
              <w:t xml:space="preserve"> </w:t>
            </w:r>
            <w:r>
              <w:rPr>
                <w:spacing w:val="-1"/>
              </w:rPr>
              <w:t>扫描仪</w:t>
            </w:r>
          </w:p>
        </w:tc>
      </w:tr>
      <w:tr w14:paraId="0D76418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8" w:hRule="atLeast"/>
        </w:trPr>
        <w:tc>
          <w:tcPr>
            <w:tcW w:w="583" w:type="dxa"/>
            <w:tcBorders>
              <w:top w:val="single" w:color="auto" w:sz="4" w:space="0"/>
              <w:left w:val="single" w:color="auto" w:sz="4" w:space="0"/>
              <w:bottom w:val="single" w:color="auto" w:sz="4" w:space="0"/>
              <w:right w:val="single" w:color="auto" w:sz="4" w:space="0"/>
            </w:tcBorders>
            <w:vAlign w:val="top"/>
          </w:tcPr>
          <w:p w14:paraId="174B4DA0">
            <w:pPr>
              <w:pStyle w:val="212"/>
              <w:spacing w:before="64"/>
              <w:ind w:left="118"/>
            </w:pPr>
            <w:r>
              <w:t>3</w:t>
            </w:r>
          </w:p>
        </w:tc>
        <w:tc>
          <w:tcPr>
            <w:tcW w:w="1542" w:type="dxa"/>
            <w:tcBorders>
              <w:top w:val="single" w:color="auto" w:sz="4" w:space="0"/>
              <w:left w:val="single" w:color="auto" w:sz="4" w:space="0"/>
              <w:bottom w:val="single" w:color="auto" w:sz="4" w:space="0"/>
              <w:right w:val="single" w:color="auto" w:sz="4" w:space="0"/>
            </w:tcBorders>
            <w:vAlign w:val="top"/>
          </w:tcPr>
          <w:p w14:paraId="093DC6B6">
            <w:pPr>
              <w:pStyle w:val="212"/>
              <w:spacing w:before="64" w:line="220" w:lineRule="auto"/>
              <w:ind w:left="102"/>
            </w:pPr>
            <w:r>
              <w:rPr>
                <w:spacing w:val="-1"/>
              </w:rPr>
              <w:t>A020202</w:t>
            </w:r>
            <w:r>
              <w:rPr>
                <w:spacing w:val="-33"/>
              </w:rPr>
              <w:t xml:space="preserve"> </w:t>
            </w:r>
            <w:r>
              <w:rPr>
                <w:spacing w:val="-1"/>
              </w:rPr>
              <w:t>投影仪</w:t>
            </w:r>
          </w:p>
        </w:tc>
        <w:tc>
          <w:tcPr>
            <w:tcW w:w="2672" w:type="dxa"/>
            <w:tcBorders>
              <w:top w:val="single" w:color="auto" w:sz="4" w:space="0"/>
              <w:left w:val="single" w:color="auto" w:sz="4" w:space="0"/>
              <w:bottom w:val="single" w:color="auto" w:sz="4" w:space="0"/>
              <w:right w:val="single" w:color="auto" w:sz="4" w:space="0"/>
            </w:tcBorders>
            <w:vAlign w:val="top"/>
          </w:tcPr>
          <w:p w14:paraId="47E6A5AF">
            <w:pPr>
              <w:rPr>
                <w:rFonts w:ascii="Arial"/>
                <w:sz w:val="21"/>
              </w:rPr>
            </w:pPr>
          </w:p>
        </w:tc>
        <w:tc>
          <w:tcPr>
            <w:tcW w:w="2248" w:type="dxa"/>
            <w:tcBorders>
              <w:top w:val="single" w:color="auto" w:sz="4" w:space="0"/>
              <w:left w:val="single" w:color="auto" w:sz="4" w:space="0"/>
              <w:bottom w:val="single" w:color="auto" w:sz="4" w:space="0"/>
              <w:right w:val="single" w:color="auto" w:sz="4" w:space="0"/>
            </w:tcBorders>
            <w:vAlign w:val="top"/>
          </w:tcPr>
          <w:p w14:paraId="77787557">
            <w:pPr>
              <w:rPr>
                <w:rFonts w:ascii="Arial"/>
                <w:sz w:val="21"/>
              </w:rPr>
            </w:pPr>
          </w:p>
        </w:tc>
        <w:tc>
          <w:tcPr>
            <w:tcW w:w="3543" w:type="dxa"/>
            <w:tcBorders>
              <w:top w:val="single" w:color="auto" w:sz="4" w:space="0"/>
              <w:left w:val="single" w:color="auto" w:sz="4" w:space="0"/>
              <w:bottom w:val="single" w:color="auto" w:sz="4" w:space="0"/>
              <w:right w:val="single" w:color="auto" w:sz="4" w:space="0"/>
            </w:tcBorders>
            <w:vAlign w:val="top"/>
          </w:tcPr>
          <w:p w14:paraId="68D4D474">
            <w:pPr>
              <w:pStyle w:val="212"/>
              <w:spacing w:before="64" w:line="219" w:lineRule="auto"/>
              <w:ind w:left="109"/>
            </w:pPr>
            <w:r>
              <w:rPr>
                <w:spacing w:val="-1"/>
              </w:rPr>
              <w:t>HJ2516</w:t>
            </w:r>
            <w:r>
              <w:rPr>
                <w:spacing w:val="-34"/>
              </w:rPr>
              <w:t xml:space="preserve"> </w:t>
            </w:r>
            <w:r>
              <w:rPr>
                <w:spacing w:val="-1"/>
              </w:rPr>
              <w:t>投影仪</w:t>
            </w:r>
          </w:p>
        </w:tc>
      </w:tr>
      <w:tr w14:paraId="5D238F8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583" w:type="dxa"/>
            <w:tcBorders>
              <w:top w:val="single" w:color="auto" w:sz="4" w:space="0"/>
              <w:left w:val="single" w:color="auto" w:sz="4" w:space="0"/>
              <w:bottom w:val="single" w:color="auto" w:sz="4" w:space="0"/>
              <w:right w:val="single" w:color="auto" w:sz="4" w:space="0"/>
            </w:tcBorders>
            <w:vAlign w:val="top"/>
          </w:tcPr>
          <w:p w14:paraId="04E1DC29">
            <w:pPr>
              <w:pStyle w:val="212"/>
              <w:spacing w:before="64" w:line="242" w:lineRule="auto"/>
              <w:ind w:left="114"/>
            </w:pPr>
            <w:r>
              <w:t>4</w:t>
            </w:r>
          </w:p>
        </w:tc>
        <w:tc>
          <w:tcPr>
            <w:tcW w:w="1542" w:type="dxa"/>
            <w:tcBorders>
              <w:top w:val="single" w:color="auto" w:sz="4" w:space="0"/>
              <w:left w:val="single" w:color="auto" w:sz="4" w:space="0"/>
              <w:bottom w:val="single" w:color="auto" w:sz="4" w:space="0"/>
              <w:right w:val="single" w:color="auto" w:sz="4" w:space="0"/>
            </w:tcBorders>
            <w:vAlign w:val="top"/>
          </w:tcPr>
          <w:p w14:paraId="646BDCAC">
            <w:pPr>
              <w:pStyle w:val="212"/>
              <w:spacing w:before="64" w:line="219" w:lineRule="auto"/>
              <w:ind w:left="102"/>
            </w:pPr>
            <w:r>
              <w:rPr>
                <w:spacing w:val="-1"/>
              </w:rPr>
              <w:t>A020201</w:t>
            </w:r>
            <w:r>
              <w:rPr>
                <w:spacing w:val="-32"/>
              </w:rPr>
              <w:t xml:space="preserve"> </w:t>
            </w:r>
            <w:r>
              <w:rPr>
                <w:spacing w:val="-1"/>
              </w:rPr>
              <w:t>复印机</w:t>
            </w:r>
          </w:p>
        </w:tc>
        <w:tc>
          <w:tcPr>
            <w:tcW w:w="2672" w:type="dxa"/>
            <w:tcBorders>
              <w:top w:val="single" w:color="auto" w:sz="4" w:space="0"/>
              <w:left w:val="single" w:color="auto" w:sz="4" w:space="0"/>
              <w:bottom w:val="single" w:color="auto" w:sz="4" w:space="0"/>
              <w:right w:val="single" w:color="auto" w:sz="4" w:space="0"/>
            </w:tcBorders>
            <w:vAlign w:val="top"/>
          </w:tcPr>
          <w:p w14:paraId="2CCBF178">
            <w:pPr>
              <w:rPr>
                <w:rFonts w:ascii="Arial"/>
                <w:sz w:val="21"/>
              </w:rPr>
            </w:pPr>
          </w:p>
        </w:tc>
        <w:tc>
          <w:tcPr>
            <w:tcW w:w="2248" w:type="dxa"/>
            <w:tcBorders>
              <w:top w:val="single" w:color="auto" w:sz="4" w:space="0"/>
              <w:left w:val="single" w:color="auto" w:sz="4" w:space="0"/>
              <w:bottom w:val="single" w:color="auto" w:sz="4" w:space="0"/>
              <w:right w:val="single" w:color="auto" w:sz="4" w:space="0"/>
            </w:tcBorders>
            <w:vAlign w:val="top"/>
          </w:tcPr>
          <w:p w14:paraId="519F0800">
            <w:pPr>
              <w:rPr>
                <w:rFonts w:ascii="Arial"/>
                <w:sz w:val="21"/>
              </w:rPr>
            </w:pPr>
          </w:p>
        </w:tc>
        <w:tc>
          <w:tcPr>
            <w:tcW w:w="3543" w:type="dxa"/>
            <w:tcBorders>
              <w:top w:val="single" w:color="auto" w:sz="4" w:space="0"/>
              <w:left w:val="single" w:color="auto" w:sz="4" w:space="0"/>
              <w:bottom w:val="single" w:color="auto" w:sz="4" w:space="0"/>
              <w:right w:val="single" w:color="auto" w:sz="4" w:space="0"/>
            </w:tcBorders>
            <w:vAlign w:val="top"/>
          </w:tcPr>
          <w:p w14:paraId="09C4AC9C">
            <w:pPr>
              <w:pStyle w:val="212"/>
              <w:spacing w:before="64" w:line="219" w:lineRule="auto"/>
              <w:ind w:left="109"/>
            </w:pPr>
            <w:r>
              <w:t>HJ424 数字式复印（包括多功能）设备</w:t>
            </w:r>
          </w:p>
        </w:tc>
      </w:tr>
      <w:tr w14:paraId="02A6AA9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583" w:type="dxa"/>
            <w:tcBorders>
              <w:top w:val="single" w:color="auto" w:sz="4" w:space="0"/>
              <w:left w:val="single" w:color="auto" w:sz="4" w:space="0"/>
              <w:bottom w:val="single" w:color="auto" w:sz="4" w:space="0"/>
              <w:right w:val="single" w:color="auto" w:sz="4" w:space="0"/>
            </w:tcBorders>
            <w:vAlign w:val="top"/>
          </w:tcPr>
          <w:p w14:paraId="593DF631">
            <w:pPr>
              <w:pStyle w:val="212"/>
              <w:spacing w:before="65"/>
              <w:ind w:left="118"/>
            </w:pPr>
            <w:r>
              <w:t>5</w:t>
            </w:r>
          </w:p>
        </w:tc>
        <w:tc>
          <w:tcPr>
            <w:tcW w:w="1542" w:type="dxa"/>
            <w:tcBorders>
              <w:top w:val="single" w:color="auto" w:sz="4" w:space="0"/>
              <w:left w:val="single" w:color="auto" w:sz="4" w:space="0"/>
              <w:bottom w:val="single" w:color="auto" w:sz="4" w:space="0"/>
              <w:right w:val="single" w:color="auto" w:sz="4" w:space="0"/>
            </w:tcBorders>
            <w:vAlign w:val="top"/>
          </w:tcPr>
          <w:p w14:paraId="6AA7F443">
            <w:pPr>
              <w:pStyle w:val="212"/>
              <w:spacing w:before="64" w:line="284" w:lineRule="auto"/>
              <w:ind w:left="110" w:right="108" w:hanging="8"/>
            </w:pPr>
            <w:r>
              <w:rPr>
                <w:spacing w:val="2"/>
              </w:rPr>
              <w:t>A020204</w:t>
            </w:r>
            <w:r>
              <w:rPr>
                <w:spacing w:val="44"/>
              </w:rPr>
              <w:t xml:space="preserve"> </w:t>
            </w:r>
            <w:r>
              <w:rPr>
                <w:spacing w:val="2"/>
              </w:rPr>
              <w:t>多功能</w:t>
            </w:r>
            <w:r>
              <w:t xml:space="preserve"> </w:t>
            </w:r>
            <w:r>
              <w:rPr>
                <w:spacing w:val="-4"/>
              </w:rPr>
              <w:t>一体机</w:t>
            </w:r>
          </w:p>
        </w:tc>
        <w:tc>
          <w:tcPr>
            <w:tcW w:w="2672" w:type="dxa"/>
            <w:tcBorders>
              <w:top w:val="single" w:color="auto" w:sz="4" w:space="0"/>
              <w:left w:val="single" w:color="auto" w:sz="4" w:space="0"/>
              <w:bottom w:val="single" w:color="auto" w:sz="4" w:space="0"/>
              <w:right w:val="single" w:color="auto" w:sz="4" w:space="0"/>
            </w:tcBorders>
            <w:vAlign w:val="top"/>
          </w:tcPr>
          <w:p w14:paraId="62E7C00D">
            <w:pPr>
              <w:rPr>
                <w:rFonts w:ascii="Arial"/>
                <w:sz w:val="21"/>
              </w:rPr>
            </w:pPr>
          </w:p>
        </w:tc>
        <w:tc>
          <w:tcPr>
            <w:tcW w:w="2248" w:type="dxa"/>
            <w:tcBorders>
              <w:top w:val="single" w:color="auto" w:sz="4" w:space="0"/>
              <w:left w:val="single" w:color="auto" w:sz="4" w:space="0"/>
              <w:bottom w:val="single" w:color="auto" w:sz="4" w:space="0"/>
              <w:right w:val="single" w:color="auto" w:sz="4" w:space="0"/>
            </w:tcBorders>
            <w:vAlign w:val="top"/>
          </w:tcPr>
          <w:p w14:paraId="529157F6">
            <w:pPr>
              <w:rPr>
                <w:rFonts w:ascii="Arial"/>
                <w:sz w:val="21"/>
              </w:rPr>
            </w:pPr>
          </w:p>
        </w:tc>
        <w:tc>
          <w:tcPr>
            <w:tcW w:w="3543" w:type="dxa"/>
            <w:tcBorders>
              <w:top w:val="single" w:color="auto" w:sz="4" w:space="0"/>
              <w:left w:val="single" w:color="auto" w:sz="4" w:space="0"/>
              <w:bottom w:val="single" w:color="auto" w:sz="4" w:space="0"/>
              <w:right w:val="single" w:color="auto" w:sz="4" w:space="0"/>
            </w:tcBorders>
            <w:vAlign w:val="top"/>
          </w:tcPr>
          <w:p w14:paraId="3B112540">
            <w:pPr>
              <w:pStyle w:val="212"/>
              <w:spacing w:before="64" w:line="219" w:lineRule="auto"/>
              <w:ind w:left="109"/>
            </w:pPr>
            <w:r>
              <w:t>HJ424 数字式复印（包括多功能）设备</w:t>
            </w:r>
          </w:p>
        </w:tc>
      </w:tr>
      <w:tr w14:paraId="1756655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583" w:type="dxa"/>
            <w:tcBorders>
              <w:top w:val="single" w:color="auto" w:sz="4" w:space="0"/>
              <w:left w:val="single" w:color="auto" w:sz="4" w:space="0"/>
              <w:bottom w:val="single" w:color="auto" w:sz="4" w:space="0"/>
              <w:right w:val="single" w:color="auto" w:sz="4" w:space="0"/>
            </w:tcBorders>
            <w:vAlign w:val="top"/>
          </w:tcPr>
          <w:p w14:paraId="78E6A396">
            <w:pPr>
              <w:pStyle w:val="212"/>
              <w:spacing w:before="65"/>
              <w:ind w:left="116"/>
            </w:pPr>
            <w:r>
              <w:t>6</w:t>
            </w:r>
          </w:p>
        </w:tc>
        <w:tc>
          <w:tcPr>
            <w:tcW w:w="1542" w:type="dxa"/>
            <w:tcBorders>
              <w:top w:val="single" w:color="auto" w:sz="4" w:space="0"/>
              <w:left w:val="single" w:color="auto" w:sz="4" w:space="0"/>
              <w:bottom w:val="single" w:color="auto" w:sz="4" w:space="0"/>
              <w:right w:val="single" w:color="auto" w:sz="4" w:space="0"/>
            </w:tcBorders>
            <w:vAlign w:val="top"/>
          </w:tcPr>
          <w:p w14:paraId="224197F9">
            <w:pPr>
              <w:pStyle w:val="212"/>
              <w:spacing w:before="66" w:line="283" w:lineRule="auto"/>
              <w:ind w:left="109" w:right="108" w:hanging="7"/>
            </w:pPr>
            <w:r>
              <w:rPr>
                <w:spacing w:val="-1"/>
              </w:rPr>
              <w:t>A020210</w:t>
            </w:r>
            <w:r>
              <w:rPr>
                <w:spacing w:val="32"/>
              </w:rPr>
              <w:t xml:space="preserve"> </w:t>
            </w:r>
            <w:r>
              <w:rPr>
                <w:spacing w:val="-1"/>
              </w:rPr>
              <w:t>文</w:t>
            </w:r>
            <w:r>
              <w:rPr>
                <w:spacing w:val="-48"/>
              </w:rPr>
              <w:t xml:space="preserve"> </w:t>
            </w:r>
            <w:r>
              <w:rPr>
                <w:spacing w:val="-1"/>
              </w:rPr>
              <w:t>印设</w:t>
            </w:r>
            <w:r>
              <w:t xml:space="preserve"> 备</w:t>
            </w:r>
          </w:p>
        </w:tc>
        <w:tc>
          <w:tcPr>
            <w:tcW w:w="2672" w:type="dxa"/>
            <w:tcBorders>
              <w:top w:val="single" w:color="auto" w:sz="4" w:space="0"/>
              <w:left w:val="single" w:color="auto" w:sz="4" w:space="0"/>
              <w:bottom w:val="single" w:color="auto" w:sz="4" w:space="0"/>
              <w:right w:val="single" w:color="auto" w:sz="4" w:space="0"/>
            </w:tcBorders>
            <w:vAlign w:val="top"/>
          </w:tcPr>
          <w:p w14:paraId="15811672">
            <w:pPr>
              <w:pStyle w:val="212"/>
              <w:spacing w:before="65" w:line="219" w:lineRule="auto"/>
              <w:ind w:left="103"/>
            </w:pPr>
            <w:r>
              <w:t>A02021001 速印机</w:t>
            </w:r>
          </w:p>
        </w:tc>
        <w:tc>
          <w:tcPr>
            <w:tcW w:w="2248" w:type="dxa"/>
            <w:tcBorders>
              <w:top w:val="single" w:color="auto" w:sz="4" w:space="0"/>
              <w:left w:val="single" w:color="auto" w:sz="4" w:space="0"/>
              <w:bottom w:val="single" w:color="auto" w:sz="4" w:space="0"/>
              <w:right w:val="single" w:color="auto" w:sz="4" w:space="0"/>
            </w:tcBorders>
            <w:vAlign w:val="top"/>
          </w:tcPr>
          <w:p w14:paraId="704445D9">
            <w:pPr>
              <w:rPr>
                <w:rFonts w:ascii="Arial"/>
                <w:sz w:val="21"/>
              </w:rPr>
            </w:pPr>
          </w:p>
        </w:tc>
        <w:tc>
          <w:tcPr>
            <w:tcW w:w="3543" w:type="dxa"/>
            <w:tcBorders>
              <w:top w:val="single" w:color="auto" w:sz="4" w:space="0"/>
              <w:left w:val="single" w:color="auto" w:sz="4" w:space="0"/>
              <w:bottom w:val="single" w:color="auto" w:sz="4" w:space="0"/>
              <w:right w:val="single" w:color="auto" w:sz="4" w:space="0"/>
            </w:tcBorders>
            <w:vAlign w:val="top"/>
          </w:tcPr>
          <w:p w14:paraId="7A0D4053">
            <w:pPr>
              <w:pStyle w:val="212"/>
              <w:spacing w:before="65" w:line="219" w:lineRule="auto"/>
              <w:ind w:left="109"/>
            </w:pPr>
            <w:r>
              <w:rPr>
                <w:spacing w:val="-1"/>
              </w:rPr>
              <w:t>HJ472 数字式一体化速印机</w:t>
            </w:r>
          </w:p>
        </w:tc>
      </w:tr>
      <w:tr w14:paraId="17686E8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4" w:hRule="atLeast"/>
        </w:trPr>
        <w:tc>
          <w:tcPr>
            <w:tcW w:w="583" w:type="dxa"/>
            <w:tcBorders>
              <w:top w:val="single" w:color="auto" w:sz="4" w:space="0"/>
              <w:left w:val="single" w:color="auto" w:sz="4" w:space="0"/>
              <w:bottom w:val="single" w:color="auto" w:sz="4" w:space="0"/>
              <w:right w:val="single" w:color="auto" w:sz="4" w:space="0"/>
            </w:tcBorders>
            <w:vAlign w:val="top"/>
          </w:tcPr>
          <w:p w14:paraId="324220DC">
            <w:pPr>
              <w:pStyle w:val="212"/>
              <w:spacing w:before="66"/>
              <w:ind w:left="119"/>
            </w:pPr>
            <w:r>
              <w:t>7</w:t>
            </w:r>
          </w:p>
        </w:tc>
        <w:tc>
          <w:tcPr>
            <w:tcW w:w="1542" w:type="dxa"/>
            <w:tcBorders>
              <w:top w:val="single" w:color="auto" w:sz="4" w:space="0"/>
              <w:left w:val="single" w:color="auto" w:sz="4" w:space="0"/>
              <w:bottom w:val="single" w:color="auto" w:sz="4" w:space="0"/>
              <w:right w:val="single" w:color="auto" w:sz="4" w:space="0"/>
            </w:tcBorders>
            <w:vAlign w:val="top"/>
          </w:tcPr>
          <w:p w14:paraId="7FF68FD9">
            <w:pPr>
              <w:pStyle w:val="212"/>
              <w:spacing w:before="67" w:line="301" w:lineRule="auto"/>
              <w:ind w:left="109" w:right="32" w:hanging="7"/>
            </w:pPr>
            <w:r>
              <w:rPr>
                <w:spacing w:val="3"/>
              </w:rPr>
              <w:t>A020301</w:t>
            </w:r>
            <w:r>
              <w:rPr>
                <w:spacing w:val="34"/>
              </w:rPr>
              <w:t xml:space="preserve"> </w:t>
            </w:r>
            <w:r>
              <w:rPr>
                <w:spacing w:val="3"/>
              </w:rPr>
              <w:t>载货汽</w:t>
            </w:r>
            <w:r>
              <w:t xml:space="preserve">  </w:t>
            </w:r>
            <w:r>
              <w:rPr>
                <w:spacing w:val="-6"/>
              </w:rPr>
              <w:t>车（含自卸汽车）</w:t>
            </w:r>
          </w:p>
        </w:tc>
        <w:tc>
          <w:tcPr>
            <w:tcW w:w="2672" w:type="dxa"/>
            <w:tcBorders>
              <w:top w:val="single" w:color="auto" w:sz="4" w:space="0"/>
              <w:left w:val="single" w:color="auto" w:sz="4" w:space="0"/>
              <w:bottom w:val="single" w:color="auto" w:sz="4" w:space="0"/>
              <w:right w:val="single" w:color="auto" w:sz="4" w:space="0"/>
            </w:tcBorders>
            <w:vAlign w:val="top"/>
          </w:tcPr>
          <w:p w14:paraId="32E2E777">
            <w:pPr>
              <w:rPr>
                <w:rFonts w:ascii="Arial"/>
                <w:sz w:val="21"/>
              </w:rPr>
            </w:pPr>
          </w:p>
        </w:tc>
        <w:tc>
          <w:tcPr>
            <w:tcW w:w="2248" w:type="dxa"/>
            <w:tcBorders>
              <w:top w:val="single" w:color="auto" w:sz="4" w:space="0"/>
              <w:left w:val="single" w:color="auto" w:sz="4" w:space="0"/>
              <w:bottom w:val="single" w:color="auto" w:sz="4" w:space="0"/>
              <w:right w:val="single" w:color="auto" w:sz="4" w:space="0"/>
            </w:tcBorders>
            <w:vAlign w:val="top"/>
          </w:tcPr>
          <w:p w14:paraId="180782C2">
            <w:pPr>
              <w:rPr>
                <w:rFonts w:ascii="Arial"/>
                <w:sz w:val="21"/>
              </w:rPr>
            </w:pPr>
          </w:p>
        </w:tc>
        <w:tc>
          <w:tcPr>
            <w:tcW w:w="3543" w:type="dxa"/>
            <w:tcBorders>
              <w:top w:val="single" w:color="auto" w:sz="4" w:space="0"/>
              <w:left w:val="single" w:color="auto" w:sz="4" w:space="0"/>
              <w:bottom w:val="single" w:color="auto" w:sz="4" w:space="0"/>
              <w:right w:val="single" w:color="auto" w:sz="4" w:space="0"/>
            </w:tcBorders>
            <w:vAlign w:val="top"/>
          </w:tcPr>
          <w:p w14:paraId="612A7A2C">
            <w:pPr>
              <w:pStyle w:val="212"/>
              <w:spacing w:before="65" w:line="219" w:lineRule="auto"/>
              <w:ind w:left="109"/>
            </w:pPr>
            <w:r>
              <w:rPr>
                <w:spacing w:val="-1"/>
              </w:rPr>
              <w:t>HJ2532</w:t>
            </w:r>
            <w:r>
              <w:rPr>
                <w:spacing w:val="-35"/>
              </w:rPr>
              <w:t xml:space="preserve"> </w:t>
            </w:r>
            <w:r>
              <w:rPr>
                <w:spacing w:val="-1"/>
              </w:rPr>
              <w:t>轻型汽车</w:t>
            </w:r>
          </w:p>
        </w:tc>
      </w:tr>
      <w:tr w14:paraId="6F196BC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6" w:hRule="atLeast"/>
        </w:trPr>
        <w:tc>
          <w:tcPr>
            <w:tcW w:w="583" w:type="dxa"/>
            <w:vMerge w:val="restart"/>
            <w:tcBorders>
              <w:top w:val="single" w:color="auto" w:sz="4" w:space="0"/>
              <w:left w:val="single" w:color="auto" w:sz="4" w:space="0"/>
              <w:bottom w:val="single" w:color="auto" w:sz="4" w:space="0"/>
              <w:right w:val="single" w:color="auto" w:sz="4" w:space="0"/>
            </w:tcBorders>
            <w:vAlign w:val="top"/>
          </w:tcPr>
          <w:p w14:paraId="22CD03D4">
            <w:pPr>
              <w:pStyle w:val="212"/>
              <w:spacing w:before="67"/>
              <w:ind w:left="115"/>
            </w:pPr>
            <w:r>
              <w:t>8</w:t>
            </w:r>
          </w:p>
        </w:tc>
        <w:tc>
          <w:tcPr>
            <w:tcW w:w="1542" w:type="dxa"/>
            <w:vMerge w:val="restart"/>
            <w:tcBorders>
              <w:top w:val="single" w:color="auto" w:sz="4" w:space="0"/>
              <w:left w:val="single" w:color="auto" w:sz="4" w:space="0"/>
              <w:bottom w:val="single" w:color="auto" w:sz="4" w:space="0"/>
              <w:right w:val="single" w:color="auto" w:sz="4" w:space="0"/>
            </w:tcBorders>
            <w:vAlign w:val="top"/>
          </w:tcPr>
          <w:p w14:paraId="51C6A4D7">
            <w:pPr>
              <w:pStyle w:val="212"/>
              <w:spacing w:before="66" w:line="322" w:lineRule="auto"/>
              <w:ind w:left="112" w:right="108" w:hanging="10"/>
            </w:pPr>
            <w:r>
              <w:rPr>
                <w:spacing w:val="3"/>
              </w:rPr>
              <w:t>A020305</w:t>
            </w:r>
            <w:r>
              <w:rPr>
                <w:spacing w:val="34"/>
              </w:rPr>
              <w:t xml:space="preserve"> </w:t>
            </w:r>
            <w:r>
              <w:rPr>
                <w:spacing w:val="3"/>
              </w:rPr>
              <w:t>乘用车</w:t>
            </w:r>
            <w:r>
              <w:t xml:space="preserve"> </w:t>
            </w:r>
            <w:r>
              <w:rPr>
                <w:spacing w:val="-3"/>
              </w:rPr>
              <w:t>（轿车）</w:t>
            </w:r>
          </w:p>
        </w:tc>
        <w:tc>
          <w:tcPr>
            <w:tcW w:w="2672" w:type="dxa"/>
            <w:tcBorders>
              <w:top w:val="single" w:color="auto" w:sz="4" w:space="0"/>
              <w:left w:val="single" w:color="auto" w:sz="4" w:space="0"/>
              <w:bottom w:val="single" w:color="auto" w:sz="4" w:space="0"/>
              <w:right w:val="single" w:color="auto" w:sz="4" w:space="0"/>
            </w:tcBorders>
            <w:vAlign w:val="top"/>
          </w:tcPr>
          <w:p w14:paraId="1C131087">
            <w:pPr>
              <w:pStyle w:val="212"/>
              <w:spacing w:before="66" w:line="220" w:lineRule="auto"/>
              <w:ind w:left="103"/>
            </w:pPr>
            <w:r>
              <w:t>A02030501 轿车</w:t>
            </w:r>
          </w:p>
        </w:tc>
        <w:tc>
          <w:tcPr>
            <w:tcW w:w="2248" w:type="dxa"/>
            <w:tcBorders>
              <w:top w:val="single" w:color="auto" w:sz="4" w:space="0"/>
              <w:left w:val="single" w:color="auto" w:sz="4" w:space="0"/>
              <w:bottom w:val="single" w:color="auto" w:sz="4" w:space="0"/>
              <w:right w:val="single" w:color="auto" w:sz="4" w:space="0"/>
            </w:tcBorders>
            <w:vAlign w:val="top"/>
          </w:tcPr>
          <w:p w14:paraId="2AFF20BC">
            <w:pPr>
              <w:rPr>
                <w:rFonts w:ascii="Arial"/>
                <w:sz w:val="21"/>
              </w:rPr>
            </w:pPr>
          </w:p>
        </w:tc>
        <w:tc>
          <w:tcPr>
            <w:tcW w:w="3543" w:type="dxa"/>
            <w:tcBorders>
              <w:top w:val="single" w:color="auto" w:sz="4" w:space="0"/>
              <w:left w:val="single" w:color="auto" w:sz="4" w:space="0"/>
              <w:bottom w:val="single" w:color="auto" w:sz="4" w:space="0"/>
              <w:right w:val="single" w:color="auto" w:sz="4" w:space="0"/>
            </w:tcBorders>
            <w:vAlign w:val="top"/>
          </w:tcPr>
          <w:p w14:paraId="218E7781">
            <w:pPr>
              <w:pStyle w:val="212"/>
              <w:spacing w:before="66" w:line="219" w:lineRule="auto"/>
              <w:ind w:left="109"/>
            </w:pPr>
            <w:r>
              <w:rPr>
                <w:spacing w:val="-1"/>
              </w:rPr>
              <w:t>HJ2532</w:t>
            </w:r>
            <w:r>
              <w:rPr>
                <w:spacing w:val="-35"/>
              </w:rPr>
              <w:t xml:space="preserve"> </w:t>
            </w:r>
            <w:r>
              <w:rPr>
                <w:spacing w:val="-1"/>
              </w:rPr>
              <w:t>轻型汽车</w:t>
            </w:r>
          </w:p>
        </w:tc>
      </w:tr>
      <w:tr w14:paraId="5972F1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8" w:hRule="atLeast"/>
        </w:trPr>
        <w:tc>
          <w:tcPr>
            <w:tcW w:w="583" w:type="dxa"/>
            <w:vMerge w:val="continue"/>
            <w:tcBorders>
              <w:top w:val="single" w:color="auto" w:sz="4" w:space="0"/>
              <w:left w:val="single" w:color="auto" w:sz="4" w:space="0"/>
              <w:bottom w:val="single" w:color="auto" w:sz="4" w:space="0"/>
              <w:right w:val="single" w:color="auto" w:sz="4" w:space="0"/>
            </w:tcBorders>
            <w:vAlign w:val="top"/>
          </w:tcPr>
          <w:p w14:paraId="10F9F322">
            <w:pPr>
              <w:rPr>
                <w:rFonts w:ascii="Arial"/>
                <w:sz w:val="21"/>
              </w:rPr>
            </w:pPr>
          </w:p>
        </w:tc>
        <w:tc>
          <w:tcPr>
            <w:tcW w:w="1542" w:type="dxa"/>
            <w:vMerge w:val="continue"/>
            <w:tcBorders>
              <w:top w:val="single" w:color="auto" w:sz="4" w:space="0"/>
              <w:left w:val="single" w:color="auto" w:sz="4" w:space="0"/>
              <w:bottom w:val="single" w:color="auto" w:sz="4" w:space="0"/>
              <w:right w:val="single" w:color="auto" w:sz="4" w:space="0"/>
            </w:tcBorders>
            <w:vAlign w:val="top"/>
          </w:tcPr>
          <w:p w14:paraId="413D969B">
            <w:pPr>
              <w:rPr>
                <w:rFonts w:ascii="Arial"/>
                <w:sz w:val="21"/>
              </w:rPr>
            </w:pPr>
          </w:p>
        </w:tc>
        <w:tc>
          <w:tcPr>
            <w:tcW w:w="2672" w:type="dxa"/>
            <w:tcBorders>
              <w:top w:val="single" w:color="auto" w:sz="4" w:space="0"/>
              <w:left w:val="single" w:color="auto" w:sz="4" w:space="0"/>
              <w:bottom w:val="single" w:color="auto" w:sz="4" w:space="0"/>
              <w:right w:val="single" w:color="auto" w:sz="4" w:space="0"/>
            </w:tcBorders>
            <w:vAlign w:val="top"/>
          </w:tcPr>
          <w:p w14:paraId="3A041302">
            <w:pPr>
              <w:pStyle w:val="212"/>
              <w:spacing w:before="66" w:line="220" w:lineRule="auto"/>
              <w:ind w:left="103"/>
            </w:pPr>
            <w:r>
              <w:rPr>
                <w:spacing w:val="-1"/>
              </w:rPr>
              <w:t>A02030599</w:t>
            </w:r>
            <w:r>
              <w:rPr>
                <w:spacing w:val="-28"/>
              </w:rPr>
              <w:t xml:space="preserve"> </w:t>
            </w:r>
            <w:r>
              <w:rPr>
                <w:spacing w:val="-1"/>
              </w:rPr>
              <w:t>其他乘用车（轿车）</w:t>
            </w:r>
          </w:p>
        </w:tc>
        <w:tc>
          <w:tcPr>
            <w:tcW w:w="2248" w:type="dxa"/>
            <w:tcBorders>
              <w:top w:val="single" w:color="auto" w:sz="4" w:space="0"/>
              <w:left w:val="single" w:color="auto" w:sz="4" w:space="0"/>
              <w:bottom w:val="single" w:color="auto" w:sz="4" w:space="0"/>
              <w:right w:val="single" w:color="auto" w:sz="4" w:space="0"/>
            </w:tcBorders>
            <w:vAlign w:val="top"/>
          </w:tcPr>
          <w:p w14:paraId="33318B3D">
            <w:pPr>
              <w:rPr>
                <w:rFonts w:ascii="Arial"/>
                <w:sz w:val="21"/>
              </w:rPr>
            </w:pPr>
          </w:p>
        </w:tc>
        <w:tc>
          <w:tcPr>
            <w:tcW w:w="3543" w:type="dxa"/>
            <w:tcBorders>
              <w:top w:val="single" w:color="auto" w:sz="4" w:space="0"/>
              <w:left w:val="single" w:color="auto" w:sz="4" w:space="0"/>
              <w:bottom w:val="single" w:color="auto" w:sz="4" w:space="0"/>
              <w:right w:val="single" w:color="auto" w:sz="4" w:space="0"/>
            </w:tcBorders>
            <w:vAlign w:val="top"/>
          </w:tcPr>
          <w:p w14:paraId="4EF66A1A">
            <w:pPr>
              <w:pStyle w:val="212"/>
              <w:spacing w:before="66" w:line="219" w:lineRule="auto"/>
              <w:ind w:left="109"/>
            </w:pPr>
            <w:r>
              <w:rPr>
                <w:spacing w:val="-1"/>
              </w:rPr>
              <w:t>HJ2532</w:t>
            </w:r>
            <w:r>
              <w:rPr>
                <w:spacing w:val="-35"/>
              </w:rPr>
              <w:t xml:space="preserve"> </w:t>
            </w:r>
            <w:r>
              <w:rPr>
                <w:spacing w:val="-1"/>
              </w:rPr>
              <w:t>轻型汽车</w:t>
            </w:r>
          </w:p>
        </w:tc>
      </w:tr>
      <w:tr w14:paraId="7048187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5" w:hRule="atLeast"/>
        </w:trPr>
        <w:tc>
          <w:tcPr>
            <w:tcW w:w="583" w:type="dxa"/>
            <w:tcBorders>
              <w:top w:val="single" w:color="auto" w:sz="4" w:space="0"/>
              <w:left w:val="single" w:color="auto" w:sz="4" w:space="0"/>
              <w:bottom w:val="single" w:color="auto" w:sz="4" w:space="0"/>
              <w:right w:val="single" w:color="auto" w:sz="4" w:space="0"/>
            </w:tcBorders>
            <w:vAlign w:val="top"/>
          </w:tcPr>
          <w:p w14:paraId="587FF261">
            <w:pPr>
              <w:pStyle w:val="212"/>
              <w:spacing w:before="66"/>
              <w:ind w:left="115"/>
            </w:pPr>
            <w:r>
              <w:t>9</w:t>
            </w:r>
          </w:p>
        </w:tc>
        <w:tc>
          <w:tcPr>
            <w:tcW w:w="1542" w:type="dxa"/>
            <w:tcBorders>
              <w:top w:val="single" w:color="auto" w:sz="4" w:space="0"/>
              <w:left w:val="single" w:color="auto" w:sz="4" w:space="0"/>
              <w:bottom w:val="single" w:color="auto" w:sz="4" w:space="0"/>
              <w:right w:val="single" w:color="auto" w:sz="4" w:space="0"/>
            </w:tcBorders>
            <w:vAlign w:val="top"/>
          </w:tcPr>
          <w:p w14:paraId="4C7E3C82">
            <w:pPr>
              <w:pStyle w:val="212"/>
              <w:spacing w:before="66" w:line="220" w:lineRule="auto"/>
              <w:ind w:left="102"/>
            </w:pPr>
            <w:r>
              <w:rPr>
                <w:spacing w:val="-1"/>
              </w:rPr>
              <w:t>A020306</w:t>
            </w:r>
            <w:r>
              <w:rPr>
                <w:spacing w:val="-33"/>
              </w:rPr>
              <w:t xml:space="preserve"> </w:t>
            </w:r>
            <w:r>
              <w:rPr>
                <w:spacing w:val="-1"/>
              </w:rPr>
              <w:t>客车</w:t>
            </w:r>
          </w:p>
        </w:tc>
        <w:tc>
          <w:tcPr>
            <w:tcW w:w="2672" w:type="dxa"/>
            <w:tcBorders>
              <w:top w:val="single" w:color="auto" w:sz="4" w:space="0"/>
              <w:left w:val="single" w:color="auto" w:sz="4" w:space="0"/>
              <w:bottom w:val="single" w:color="auto" w:sz="4" w:space="0"/>
              <w:right w:val="single" w:color="auto" w:sz="4" w:space="0"/>
            </w:tcBorders>
            <w:vAlign w:val="top"/>
          </w:tcPr>
          <w:p w14:paraId="2FD6A6AB">
            <w:pPr>
              <w:pStyle w:val="212"/>
              <w:spacing w:before="66" w:line="220" w:lineRule="auto"/>
              <w:ind w:left="103"/>
            </w:pPr>
            <w:r>
              <w:rPr>
                <w:spacing w:val="-1"/>
              </w:rPr>
              <w:t>A02030601</w:t>
            </w:r>
            <w:r>
              <w:rPr>
                <w:spacing w:val="-30"/>
              </w:rPr>
              <w:t xml:space="preserve"> </w:t>
            </w:r>
            <w:r>
              <w:rPr>
                <w:spacing w:val="-1"/>
              </w:rPr>
              <w:t>小型客车</w:t>
            </w:r>
          </w:p>
        </w:tc>
        <w:tc>
          <w:tcPr>
            <w:tcW w:w="2248" w:type="dxa"/>
            <w:tcBorders>
              <w:top w:val="single" w:color="auto" w:sz="4" w:space="0"/>
              <w:left w:val="single" w:color="auto" w:sz="4" w:space="0"/>
              <w:bottom w:val="single" w:color="auto" w:sz="4" w:space="0"/>
              <w:right w:val="single" w:color="auto" w:sz="4" w:space="0"/>
            </w:tcBorders>
            <w:vAlign w:val="top"/>
          </w:tcPr>
          <w:p w14:paraId="7DE58688">
            <w:pPr>
              <w:rPr>
                <w:rFonts w:ascii="Arial"/>
                <w:sz w:val="21"/>
              </w:rPr>
            </w:pPr>
          </w:p>
        </w:tc>
        <w:tc>
          <w:tcPr>
            <w:tcW w:w="3543" w:type="dxa"/>
            <w:tcBorders>
              <w:top w:val="single" w:color="auto" w:sz="4" w:space="0"/>
              <w:left w:val="single" w:color="auto" w:sz="4" w:space="0"/>
              <w:bottom w:val="single" w:color="auto" w:sz="4" w:space="0"/>
              <w:right w:val="single" w:color="auto" w:sz="4" w:space="0"/>
            </w:tcBorders>
            <w:vAlign w:val="top"/>
          </w:tcPr>
          <w:p w14:paraId="03FBE764">
            <w:pPr>
              <w:pStyle w:val="212"/>
              <w:spacing w:before="66" w:line="219" w:lineRule="auto"/>
              <w:ind w:left="109"/>
            </w:pPr>
            <w:r>
              <w:rPr>
                <w:spacing w:val="-1"/>
              </w:rPr>
              <w:t>HJ2532</w:t>
            </w:r>
            <w:r>
              <w:rPr>
                <w:spacing w:val="-35"/>
              </w:rPr>
              <w:t xml:space="preserve"> </w:t>
            </w:r>
            <w:r>
              <w:rPr>
                <w:spacing w:val="-1"/>
              </w:rPr>
              <w:t>轻型汽车</w:t>
            </w:r>
          </w:p>
        </w:tc>
      </w:tr>
      <w:tr w14:paraId="0FEA381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583" w:type="dxa"/>
            <w:tcBorders>
              <w:top w:val="single" w:color="auto" w:sz="4" w:space="0"/>
              <w:left w:val="single" w:color="auto" w:sz="4" w:space="0"/>
              <w:bottom w:val="single" w:color="auto" w:sz="4" w:space="0"/>
              <w:right w:val="single" w:color="auto" w:sz="4" w:space="0"/>
            </w:tcBorders>
            <w:vAlign w:val="top"/>
          </w:tcPr>
          <w:p w14:paraId="2068AC49">
            <w:pPr>
              <w:pStyle w:val="212"/>
              <w:spacing w:before="67"/>
              <w:ind w:left="128"/>
            </w:pPr>
            <w:r>
              <w:rPr>
                <w:spacing w:val="-10"/>
              </w:rPr>
              <w:t>10</w:t>
            </w:r>
          </w:p>
        </w:tc>
        <w:tc>
          <w:tcPr>
            <w:tcW w:w="1542" w:type="dxa"/>
            <w:tcBorders>
              <w:top w:val="single" w:color="auto" w:sz="4" w:space="0"/>
              <w:left w:val="single" w:color="auto" w:sz="4" w:space="0"/>
              <w:bottom w:val="single" w:color="auto" w:sz="4" w:space="0"/>
              <w:right w:val="single" w:color="auto" w:sz="4" w:space="0"/>
            </w:tcBorders>
            <w:vAlign w:val="top"/>
          </w:tcPr>
          <w:p w14:paraId="3D36BFA1">
            <w:pPr>
              <w:pStyle w:val="212"/>
              <w:spacing w:before="66" w:line="283" w:lineRule="auto"/>
              <w:ind w:left="106" w:right="108" w:hanging="4"/>
            </w:pPr>
            <w:r>
              <w:rPr>
                <w:spacing w:val="3"/>
              </w:rPr>
              <w:t>A020307</w:t>
            </w:r>
            <w:r>
              <w:rPr>
                <w:spacing w:val="34"/>
              </w:rPr>
              <w:t xml:space="preserve"> </w:t>
            </w:r>
            <w:r>
              <w:rPr>
                <w:spacing w:val="3"/>
              </w:rPr>
              <w:t>专用车</w:t>
            </w:r>
            <w:r>
              <w:t xml:space="preserve"> 辆</w:t>
            </w:r>
          </w:p>
        </w:tc>
        <w:tc>
          <w:tcPr>
            <w:tcW w:w="2672" w:type="dxa"/>
            <w:tcBorders>
              <w:top w:val="single" w:color="auto" w:sz="4" w:space="0"/>
              <w:left w:val="single" w:color="auto" w:sz="4" w:space="0"/>
              <w:bottom w:val="single" w:color="auto" w:sz="4" w:space="0"/>
              <w:right w:val="single" w:color="auto" w:sz="4" w:space="0"/>
            </w:tcBorders>
            <w:vAlign w:val="top"/>
          </w:tcPr>
          <w:p w14:paraId="2B73F5B6">
            <w:pPr>
              <w:pStyle w:val="212"/>
              <w:spacing w:before="66" w:line="220" w:lineRule="auto"/>
              <w:ind w:left="103"/>
            </w:pPr>
            <w:r>
              <w:rPr>
                <w:spacing w:val="-1"/>
              </w:rPr>
              <w:t>A02030799</w:t>
            </w:r>
            <w:r>
              <w:rPr>
                <w:spacing w:val="-30"/>
              </w:rPr>
              <w:t xml:space="preserve"> </w:t>
            </w:r>
            <w:r>
              <w:rPr>
                <w:spacing w:val="-1"/>
              </w:rPr>
              <w:t>其他专用汽车</w:t>
            </w:r>
          </w:p>
        </w:tc>
        <w:tc>
          <w:tcPr>
            <w:tcW w:w="2248" w:type="dxa"/>
            <w:tcBorders>
              <w:top w:val="single" w:color="auto" w:sz="4" w:space="0"/>
              <w:left w:val="single" w:color="auto" w:sz="4" w:space="0"/>
              <w:bottom w:val="single" w:color="auto" w:sz="4" w:space="0"/>
              <w:right w:val="single" w:color="auto" w:sz="4" w:space="0"/>
            </w:tcBorders>
            <w:vAlign w:val="top"/>
          </w:tcPr>
          <w:p w14:paraId="3F4C7A2E">
            <w:pPr>
              <w:rPr>
                <w:rFonts w:ascii="Arial"/>
                <w:sz w:val="21"/>
              </w:rPr>
            </w:pPr>
          </w:p>
        </w:tc>
        <w:tc>
          <w:tcPr>
            <w:tcW w:w="3543" w:type="dxa"/>
            <w:tcBorders>
              <w:top w:val="single" w:color="auto" w:sz="4" w:space="0"/>
              <w:left w:val="single" w:color="auto" w:sz="4" w:space="0"/>
              <w:bottom w:val="single" w:color="auto" w:sz="4" w:space="0"/>
              <w:right w:val="single" w:color="auto" w:sz="4" w:space="0"/>
            </w:tcBorders>
            <w:vAlign w:val="top"/>
          </w:tcPr>
          <w:p w14:paraId="5BAF2E39">
            <w:pPr>
              <w:pStyle w:val="212"/>
              <w:spacing w:before="66" w:line="219" w:lineRule="auto"/>
              <w:ind w:left="109"/>
            </w:pPr>
            <w:r>
              <w:rPr>
                <w:spacing w:val="-1"/>
              </w:rPr>
              <w:t>HJ2532</w:t>
            </w:r>
            <w:r>
              <w:rPr>
                <w:spacing w:val="-35"/>
              </w:rPr>
              <w:t xml:space="preserve"> </w:t>
            </w:r>
            <w:r>
              <w:rPr>
                <w:spacing w:val="-1"/>
              </w:rPr>
              <w:t>轻型汽车</w:t>
            </w:r>
          </w:p>
        </w:tc>
      </w:tr>
      <w:tr w14:paraId="03CB45E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583" w:type="dxa"/>
            <w:vMerge w:val="restart"/>
            <w:tcBorders>
              <w:top w:val="single" w:color="auto" w:sz="4" w:space="0"/>
              <w:left w:val="single" w:color="auto" w:sz="4" w:space="0"/>
              <w:bottom w:val="single" w:color="auto" w:sz="4" w:space="0"/>
              <w:right w:val="single" w:color="auto" w:sz="4" w:space="0"/>
            </w:tcBorders>
            <w:vAlign w:val="top"/>
          </w:tcPr>
          <w:p w14:paraId="1E81AA5F">
            <w:pPr>
              <w:pStyle w:val="212"/>
              <w:spacing w:before="69" w:line="242" w:lineRule="auto"/>
              <w:ind w:left="128"/>
            </w:pPr>
            <w:r>
              <w:rPr>
                <w:spacing w:val="-10"/>
              </w:rPr>
              <w:t>11</w:t>
            </w:r>
          </w:p>
        </w:tc>
        <w:tc>
          <w:tcPr>
            <w:tcW w:w="1542" w:type="dxa"/>
            <w:vMerge w:val="restart"/>
            <w:tcBorders>
              <w:top w:val="single" w:color="auto" w:sz="4" w:space="0"/>
              <w:left w:val="single" w:color="auto" w:sz="4" w:space="0"/>
              <w:bottom w:val="single" w:color="auto" w:sz="4" w:space="0"/>
              <w:right w:val="single" w:color="auto" w:sz="4" w:space="0"/>
            </w:tcBorders>
            <w:vAlign w:val="top"/>
          </w:tcPr>
          <w:p w14:paraId="5B4E53E3">
            <w:pPr>
              <w:pStyle w:val="212"/>
              <w:spacing w:before="69" w:line="323" w:lineRule="auto"/>
              <w:ind w:left="109" w:right="108" w:hanging="7"/>
            </w:pPr>
            <w:r>
              <w:rPr>
                <w:spacing w:val="3"/>
              </w:rPr>
              <w:t>A020523</w:t>
            </w:r>
            <w:r>
              <w:rPr>
                <w:spacing w:val="34"/>
              </w:rPr>
              <w:t xml:space="preserve"> </w:t>
            </w:r>
            <w:r>
              <w:rPr>
                <w:spacing w:val="3"/>
              </w:rPr>
              <w:t>制冷空</w:t>
            </w:r>
            <w:r>
              <w:t xml:space="preserve"> </w:t>
            </w:r>
            <w:r>
              <w:rPr>
                <w:spacing w:val="-2"/>
              </w:rPr>
              <w:t>调设备</w:t>
            </w:r>
          </w:p>
        </w:tc>
        <w:tc>
          <w:tcPr>
            <w:tcW w:w="2672" w:type="dxa"/>
            <w:tcBorders>
              <w:top w:val="single" w:color="auto" w:sz="4" w:space="0"/>
              <w:left w:val="single" w:color="auto" w:sz="4" w:space="0"/>
              <w:bottom w:val="single" w:color="auto" w:sz="4" w:space="0"/>
              <w:right w:val="single" w:color="auto" w:sz="4" w:space="0"/>
            </w:tcBorders>
            <w:vAlign w:val="top"/>
          </w:tcPr>
          <w:p w14:paraId="75034FAA">
            <w:pPr>
              <w:pStyle w:val="212"/>
              <w:spacing w:before="70" w:line="219" w:lineRule="auto"/>
              <w:ind w:left="103"/>
            </w:pPr>
            <w:r>
              <w:t>A02052301 制冷压缩机</w:t>
            </w:r>
          </w:p>
        </w:tc>
        <w:tc>
          <w:tcPr>
            <w:tcW w:w="2248" w:type="dxa"/>
            <w:tcBorders>
              <w:top w:val="single" w:color="auto" w:sz="4" w:space="0"/>
              <w:left w:val="single" w:color="auto" w:sz="4" w:space="0"/>
              <w:bottom w:val="single" w:color="auto" w:sz="4" w:space="0"/>
              <w:right w:val="single" w:color="auto" w:sz="4" w:space="0"/>
            </w:tcBorders>
            <w:vAlign w:val="top"/>
          </w:tcPr>
          <w:p w14:paraId="42B3E425">
            <w:pPr>
              <w:rPr>
                <w:rFonts w:ascii="Arial"/>
                <w:sz w:val="21"/>
              </w:rPr>
            </w:pPr>
          </w:p>
        </w:tc>
        <w:tc>
          <w:tcPr>
            <w:tcW w:w="3543" w:type="dxa"/>
            <w:tcBorders>
              <w:top w:val="single" w:color="auto" w:sz="4" w:space="0"/>
              <w:left w:val="single" w:color="auto" w:sz="4" w:space="0"/>
              <w:bottom w:val="single" w:color="auto" w:sz="4" w:space="0"/>
              <w:right w:val="single" w:color="auto" w:sz="4" w:space="0"/>
            </w:tcBorders>
            <w:vAlign w:val="top"/>
          </w:tcPr>
          <w:p w14:paraId="7C5E54B3">
            <w:pPr>
              <w:pStyle w:val="212"/>
              <w:spacing w:before="69" w:line="219" w:lineRule="auto"/>
              <w:ind w:left="109"/>
            </w:pPr>
            <w:r>
              <w:rPr>
                <w:spacing w:val="-1"/>
              </w:rPr>
              <w:t>HJ2531</w:t>
            </w:r>
            <w:r>
              <w:rPr>
                <w:spacing w:val="-32"/>
              </w:rPr>
              <w:t xml:space="preserve"> </w:t>
            </w:r>
            <w:r>
              <w:rPr>
                <w:spacing w:val="-1"/>
              </w:rPr>
              <w:t>工商用制冷设备</w:t>
            </w:r>
          </w:p>
        </w:tc>
      </w:tr>
      <w:tr w14:paraId="1D2BC42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583" w:type="dxa"/>
            <w:vMerge w:val="continue"/>
            <w:tcBorders>
              <w:top w:val="single" w:color="auto" w:sz="4" w:space="0"/>
              <w:left w:val="single" w:color="auto" w:sz="4" w:space="0"/>
              <w:bottom w:val="single" w:color="auto" w:sz="4" w:space="0"/>
              <w:right w:val="single" w:color="auto" w:sz="4" w:space="0"/>
            </w:tcBorders>
            <w:vAlign w:val="top"/>
          </w:tcPr>
          <w:p w14:paraId="6098646A">
            <w:pPr>
              <w:rPr>
                <w:rFonts w:ascii="Arial"/>
                <w:sz w:val="21"/>
              </w:rPr>
            </w:pPr>
          </w:p>
        </w:tc>
        <w:tc>
          <w:tcPr>
            <w:tcW w:w="1542" w:type="dxa"/>
            <w:vMerge w:val="continue"/>
            <w:tcBorders>
              <w:top w:val="single" w:color="auto" w:sz="4" w:space="0"/>
              <w:left w:val="single" w:color="auto" w:sz="4" w:space="0"/>
              <w:bottom w:val="single" w:color="auto" w:sz="4" w:space="0"/>
              <w:right w:val="single" w:color="auto" w:sz="4" w:space="0"/>
            </w:tcBorders>
            <w:vAlign w:val="top"/>
          </w:tcPr>
          <w:p w14:paraId="711C3850">
            <w:pPr>
              <w:rPr>
                <w:rFonts w:ascii="Arial"/>
                <w:sz w:val="21"/>
              </w:rPr>
            </w:pPr>
          </w:p>
        </w:tc>
        <w:tc>
          <w:tcPr>
            <w:tcW w:w="2672" w:type="dxa"/>
            <w:tcBorders>
              <w:top w:val="single" w:color="auto" w:sz="4" w:space="0"/>
              <w:left w:val="single" w:color="auto" w:sz="4" w:space="0"/>
              <w:bottom w:val="single" w:color="auto" w:sz="4" w:space="0"/>
              <w:right w:val="single" w:color="auto" w:sz="4" w:space="0"/>
            </w:tcBorders>
            <w:vAlign w:val="top"/>
          </w:tcPr>
          <w:p w14:paraId="24D0D540">
            <w:pPr>
              <w:pStyle w:val="212"/>
              <w:spacing w:before="67" w:line="219" w:lineRule="auto"/>
              <w:ind w:left="103"/>
            </w:pPr>
            <w:r>
              <w:t>A02052305 空调机组</w:t>
            </w:r>
          </w:p>
        </w:tc>
        <w:tc>
          <w:tcPr>
            <w:tcW w:w="2248" w:type="dxa"/>
            <w:tcBorders>
              <w:top w:val="single" w:color="auto" w:sz="4" w:space="0"/>
              <w:left w:val="single" w:color="auto" w:sz="4" w:space="0"/>
              <w:bottom w:val="single" w:color="auto" w:sz="4" w:space="0"/>
              <w:right w:val="single" w:color="auto" w:sz="4" w:space="0"/>
            </w:tcBorders>
            <w:vAlign w:val="top"/>
          </w:tcPr>
          <w:p w14:paraId="207988E8">
            <w:pPr>
              <w:rPr>
                <w:rFonts w:ascii="Arial"/>
                <w:sz w:val="21"/>
              </w:rPr>
            </w:pPr>
          </w:p>
        </w:tc>
        <w:tc>
          <w:tcPr>
            <w:tcW w:w="3543" w:type="dxa"/>
            <w:tcBorders>
              <w:top w:val="single" w:color="auto" w:sz="4" w:space="0"/>
              <w:left w:val="single" w:color="auto" w:sz="4" w:space="0"/>
              <w:bottom w:val="single" w:color="auto" w:sz="4" w:space="0"/>
              <w:right w:val="single" w:color="auto" w:sz="4" w:space="0"/>
            </w:tcBorders>
            <w:vAlign w:val="top"/>
          </w:tcPr>
          <w:p w14:paraId="27D8CB60">
            <w:pPr>
              <w:pStyle w:val="212"/>
              <w:spacing w:before="67" w:line="219" w:lineRule="auto"/>
              <w:ind w:left="109"/>
            </w:pPr>
            <w:r>
              <w:rPr>
                <w:spacing w:val="-1"/>
              </w:rPr>
              <w:t>HJ2531</w:t>
            </w:r>
            <w:r>
              <w:rPr>
                <w:spacing w:val="-32"/>
              </w:rPr>
              <w:t xml:space="preserve"> </w:t>
            </w:r>
            <w:r>
              <w:rPr>
                <w:spacing w:val="-1"/>
              </w:rPr>
              <w:t>工商用制冷设备</w:t>
            </w:r>
          </w:p>
        </w:tc>
      </w:tr>
      <w:tr w14:paraId="041E968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583" w:type="dxa"/>
            <w:vMerge w:val="continue"/>
            <w:tcBorders>
              <w:top w:val="single" w:color="auto" w:sz="4" w:space="0"/>
              <w:left w:val="single" w:color="auto" w:sz="4" w:space="0"/>
              <w:bottom w:val="single" w:color="auto" w:sz="4" w:space="0"/>
              <w:right w:val="single" w:color="auto" w:sz="4" w:space="0"/>
            </w:tcBorders>
            <w:vAlign w:val="top"/>
          </w:tcPr>
          <w:p w14:paraId="099D8D18">
            <w:pPr>
              <w:rPr>
                <w:rFonts w:ascii="Arial"/>
                <w:sz w:val="21"/>
              </w:rPr>
            </w:pPr>
          </w:p>
        </w:tc>
        <w:tc>
          <w:tcPr>
            <w:tcW w:w="1542" w:type="dxa"/>
            <w:vMerge w:val="continue"/>
            <w:tcBorders>
              <w:top w:val="single" w:color="auto" w:sz="4" w:space="0"/>
              <w:left w:val="single" w:color="auto" w:sz="4" w:space="0"/>
              <w:bottom w:val="single" w:color="auto" w:sz="4" w:space="0"/>
              <w:right w:val="single" w:color="auto" w:sz="4" w:space="0"/>
            </w:tcBorders>
            <w:vAlign w:val="top"/>
          </w:tcPr>
          <w:p w14:paraId="786BEE88">
            <w:pPr>
              <w:rPr>
                <w:rFonts w:ascii="Arial"/>
                <w:sz w:val="21"/>
              </w:rPr>
            </w:pPr>
          </w:p>
        </w:tc>
        <w:tc>
          <w:tcPr>
            <w:tcW w:w="2672" w:type="dxa"/>
            <w:tcBorders>
              <w:top w:val="single" w:color="auto" w:sz="4" w:space="0"/>
              <w:left w:val="single" w:color="auto" w:sz="4" w:space="0"/>
              <w:bottom w:val="single" w:color="auto" w:sz="4" w:space="0"/>
              <w:right w:val="single" w:color="auto" w:sz="4" w:space="0"/>
            </w:tcBorders>
            <w:vAlign w:val="top"/>
          </w:tcPr>
          <w:p w14:paraId="41A23B9E">
            <w:pPr>
              <w:pStyle w:val="212"/>
              <w:spacing w:before="67" w:line="221" w:lineRule="auto"/>
              <w:ind w:left="103"/>
            </w:pPr>
            <w:r>
              <w:rPr>
                <w:spacing w:val="-2"/>
              </w:rPr>
              <w:t>A02052309</w:t>
            </w:r>
            <w:r>
              <w:rPr>
                <w:spacing w:val="-27"/>
              </w:rPr>
              <w:t xml:space="preserve"> </w:t>
            </w:r>
            <w:r>
              <w:rPr>
                <w:spacing w:val="-2"/>
              </w:rPr>
              <w:t>专用制冷、空调设备</w:t>
            </w:r>
          </w:p>
        </w:tc>
        <w:tc>
          <w:tcPr>
            <w:tcW w:w="2248" w:type="dxa"/>
            <w:tcBorders>
              <w:top w:val="single" w:color="auto" w:sz="4" w:space="0"/>
              <w:left w:val="single" w:color="auto" w:sz="4" w:space="0"/>
              <w:bottom w:val="single" w:color="auto" w:sz="4" w:space="0"/>
              <w:right w:val="single" w:color="auto" w:sz="4" w:space="0"/>
            </w:tcBorders>
            <w:vAlign w:val="top"/>
          </w:tcPr>
          <w:p w14:paraId="22EBF57D">
            <w:pPr>
              <w:rPr>
                <w:rFonts w:ascii="Arial"/>
                <w:sz w:val="21"/>
              </w:rPr>
            </w:pPr>
          </w:p>
        </w:tc>
        <w:tc>
          <w:tcPr>
            <w:tcW w:w="3543" w:type="dxa"/>
            <w:tcBorders>
              <w:top w:val="single" w:color="auto" w:sz="4" w:space="0"/>
              <w:left w:val="single" w:color="auto" w:sz="4" w:space="0"/>
              <w:bottom w:val="single" w:color="auto" w:sz="4" w:space="0"/>
              <w:right w:val="single" w:color="auto" w:sz="4" w:space="0"/>
            </w:tcBorders>
            <w:vAlign w:val="top"/>
          </w:tcPr>
          <w:p w14:paraId="3F91AEA3">
            <w:pPr>
              <w:pStyle w:val="212"/>
              <w:spacing w:before="67" w:line="219" w:lineRule="auto"/>
              <w:ind w:left="109"/>
            </w:pPr>
            <w:r>
              <w:rPr>
                <w:spacing w:val="-1"/>
              </w:rPr>
              <w:t>HJ2531</w:t>
            </w:r>
            <w:r>
              <w:rPr>
                <w:spacing w:val="-32"/>
              </w:rPr>
              <w:t xml:space="preserve"> </w:t>
            </w:r>
            <w:r>
              <w:rPr>
                <w:spacing w:val="-1"/>
              </w:rPr>
              <w:t>工商用制冷设备</w:t>
            </w:r>
          </w:p>
        </w:tc>
      </w:tr>
      <w:tr w14:paraId="54DBF3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8" w:hRule="atLeast"/>
        </w:trPr>
        <w:tc>
          <w:tcPr>
            <w:tcW w:w="583" w:type="dxa"/>
            <w:vMerge w:val="restart"/>
            <w:tcBorders>
              <w:top w:val="single" w:color="auto" w:sz="4" w:space="0"/>
              <w:left w:val="single" w:color="auto" w:sz="4" w:space="0"/>
              <w:bottom w:val="single" w:color="auto" w:sz="4" w:space="0"/>
              <w:right w:val="single" w:color="auto" w:sz="4" w:space="0"/>
            </w:tcBorders>
            <w:vAlign w:val="top"/>
          </w:tcPr>
          <w:p w14:paraId="08DC120C">
            <w:pPr>
              <w:pStyle w:val="212"/>
              <w:spacing w:before="68" w:line="242" w:lineRule="auto"/>
              <w:ind w:left="128"/>
            </w:pPr>
            <w:r>
              <w:rPr>
                <w:spacing w:val="-10"/>
              </w:rPr>
              <w:t>12</w:t>
            </w:r>
          </w:p>
        </w:tc>
        <w:tc>
          <w:tcPr>
            <w:tcW w:w="1542" w:type="dxa"/>
            <w:vMerge w:val="restart"/>
            <w:tcBorders>
              <w:top w:val="single" w:color="auto" w:sz="4" w:space="0"/>
              <w:left w:val="single" w:color="auto" w:sz="4" w:space="0"/>
              <w:bottom w:val="single" w:color="auto" w:sz="4" w:space="0"/>
              <w:right w:val="single" w:color="auto" w:sz="4" w:space="0"/>
            </w:tcBorders>
            <w:vAlign w:val="top"/>
          </w:tcPr>
          <w:p w14:paraId="005BB3DC">
            <w:pPr>
              <w:pStyle w:val="212"/>
              <w:spacing w:before="69" w:line="324" w:lineRule="auto"/>
              <w:ind w:left="128" w:right="108" w:hanging="26"/>
            </w:pPr>
            <w:r>
              <w:rPr>
                <w:spacing w:val="3"/>
              </w:rPr>
              <w:t>A020618</w:t>
            </w:r>
            <w:r>
              <w:rPr>
                <w:spacing w:val="34"/>
              </w:rPr>
              <w:t xml:space="preserve"> </w:t>
            </w:r>
            <w:r>
              <w:rPr>
                <w:spacing w:val="3"/>
              </w:rPr>
              <w:t>生活用</w:t>
            </w:r>
            <w:r>
              <w:t xml:space="preserve"> </w:t>
            </w:r>
            <w:r>
              <w:rPr>
                <w:spacing w:val="-8"/>
              </w:rPr>
              <w:t>电器</w:t>
            </w:r>
          </w:p>
        </w:tc>
        <w:tc>
          <w:tcPr>
            <w:tcW w:w="2672" w:type="dxa"/>
            <w:tcBorders>
              <w:top w:val="single" w:color="auto" w:sz="4" w:space="0"/>
              <w:left w:val="single" w:color="auto" w:sz="4" w:space="0"/>
              <w:bottom w:val="single" w:color="auto" w:sz="4" w:space="0"/>
              <w:right w:val="single" w:color="auto" w:sz="4" w:space="0"/>
            </w:tcBorders>
            <w:vAlign w:val="top"/>
          </w:tcPr>
          <w:p w14:paraId="18F01712">
            <w:pPr>
              <w:pStyle w:val="212"/>
              <w:spacing w:before="68" w:line="221" w:lineRule="auto"/>
              <w:ind w:left="103"/>
            </w:pPr>
            <w:r>
              <w:rPr>
                <w:spacing w:val="-1"/>
              </w:rPr>
              <w:t>A02061802</w:t>
            </w:r>
            <w:r>
              <w:rPr>
                <w:spacing w:val="-29"/>
              </w:rPr>
              <w:t xml:space="preserve"> </w:t>
            </w:r>
            <w:r>
              <w:rPr>
                <w:spacing w:val="-1"/>
              </w:rPr>
              <w:t>空气调节电器</w:t>
            </w:r>
          </w:p>
        </w:tc>
        <w:tc>
          <w:tcPr>
            <w:tcW w:w="2248" w:type="dxa"/>
            <w:tcBorders>
              <w:top w:val="single" w:color="auto" w:sz="4" w:space="0"/>
              <w:left w:val="single" w:color="auto" w:sz="4" w:space="0"/>
              <w:bottom w:val="single" w:color="auto" w:sz="4" w:space="0"/>
              <w:right w:val="single" w:color="auto" w:sz="4" w:space="0"/>
            </w:tcBorders>
            <w:vAlign w:val="top"/>
          </w:tcPr>
          <w:p w14:paraId="2104163D">
            <w:pPr>
              <w:pStyle w:val="212"/>
              <w:spacing w:before="68" w:line="219" w:lineRule="auto"/>
              <w:ind w:left="105"/>
            </w:pPr>
            <w:r>
              <w:rPr>
                <w:spacing w:val="-1"/>
              </w:rPr>
              <w:t>A0206180203</w:t>
            </w:r>
            <w:r>
              <w:rPr>
                <w:spacing w:val="-28"/>
              </w:rPr>
              <w:t xml:space="preserve"> </w:t>
            </w:r>
            <w:r>
              <w:rPr>
                <w:spacing w:val="-1"/>
              </w:rPr>
              <w:t>空调机</w:t>
            </w:r>
          </w:p>
        </w:tc>
        <w:tc>
          <w:tcPr>
            <w:tcW w:w="3543" w:type="dxa"/>
            <w:tcBorders>
              <w:top w:val="single" w:color="auto" w:sz="4" w:space="0"/>
              <w:left w:val="single" w:color="auto" w:sz="4" w:space="0"/>
              <w:bottom w:val="single" w:color="auto" w:sz="4" w:space="0"/>
              <w:right w:val="single" w:color="auto" w:sz="4" w:space="0"/>
            </w:tcBorders>
            <w:vAlign w:val="top"/>
          </w:tcPr>
          <w:p w14:paraId="4A4B3FCF">
            <w:pPr>
              <w:pStyle w:val="212"/>
              <w:spacing w:before="68" w:line="219" w:lineRule="auto"/>
              <w:ind w:left="109"/>
            </w:pPr>
            <w:r>
              <w:rPr>
                <w:spacing w:val="-1"/>
              </w:rPr>
              <w:t>HJ2535</w:t>
            </w:r>
            <w:r>
              <w:rPr>
                <w:spacing w:val="-32"/>
              </w:rPr>
              <w:t xml:space="preserve"> </w:t>
            </w:r>
            <w:r>
              <w:rPr>
                <w:spacing w:val="-1"/>
              </w:rPr>
              <w:t>房间空气调节器</w:t>
            </w:r>
          </w:p>
        </w:tc>
      </w:tr>
      <w:tr w14:paraId="7AB99C2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0" w:hRule="atLeast"/>
        </w:trPr>
        <w:tc>
          <w:tcPr>
            <w:tcW w:w="583" w:type="dxa"/>
            <w:vMerge w:val="continue"/>
            <w:tcBorders>
              <w:top w:val="single" w:color="auto" w:sz="4" w:space="0"/>
              <w:left w:val="single" w:color="auto" w:sz="4" w:space="0"/>
            </w:tcBorders>
            <w:vAlign w:val="top"/>
          </w:tcPr>
          <w:p w14:paraId="103064E2">
            <w:pPr>
              <w:rPr>
                <w:rFonts w:ascii="Arial"/>
                <w:sz w:val="21"/>
              </w:rPr>
            </w:pPr>
          </w:p>
        </w:tc>
        <w:tc>
          <w:tcPr>
            <w:tcW w:w="1542" w:type="dxa"/>
            <w:vMerge w:val="continue"/>
            <w:tcBorders>
              <w:top w:val="single" w:color="auto" w:sz="4" w:space="0"/>
            </w:tcBorders>
            <w:vAlign w:val="top"/>
          </w:tcPr>
          <w:p w14:paraId="063BF49C">
            <w:pPr>
              <w:rPr>
                <w:rFonts w:ascii="Arial"/>
                <w:sz w:val="21"/>
              </w:rPr>
            </w:pPr>
          </w:p>
        </w:tc>
        <w:tc>
          <w:tcPr>
            <w:tcW w:w="2672" w:type="dxa"/>
            <w:tcBorders>
              <w:top w:val="single" w:color="auto" w:sz="4" w:space="0"/>
            </w:tcBorders>
            <w:vAlign w:val="top"/>
          </w:tcPr>
          <w:p w14:paraId="4AB223C5">
            <w:pPr>
              <w:pStyle w:val="212"/>
              <w:spacing w:before="68" w:line="220" w:lineRule="auto"/>
              <w:ind w:left="103"/>
            </w:pPr>
            <w:r>
              <w:rPr>
                <w:spacing w:val="-1"/>
              </w:rPr>
              <w:t>A02061808</w:t>
            </w:r>
            <w:r>
              <w:rPr>
                <w:spacing w:val="-31"/>
              </w:rPr>
              <w:t xml:space="preserve"> </w:t>
            </w:r>
            <w:r>
              <w:rPr>
                <w:spacing w:val="-1"/>
              </w:rPr>
              <w:t>热水器</w:t>
            </w:r>
          </w:p>
        </w:tc>
        <w:tc>
          <w:tcPr>
            <w:tcW w:w="2248" w:type="dxa"/>
            <w:tcBorders>
              <w:top w:val="single" w:color="auto" w:sz="4" w:space="0"/>
            </w:tcBorders>
            <w:vAlign w:val="top"/>
          </w:tcPr>
          <w:p w14:paraId="0E02BDFE">
            <w:pPr>
              <w:rPr>
                <w:rFonts w:ascii="Arial"/>
                <w:sz w:val="21"/>
              </w:rPr>
            </w:pPr>
          </w:p>
        </w:tc>
        <w:tc>
          <w:tcPr>
            <w:tcW w:w="3543" w:type="dxa"/>
            <w:tcBorders>
              <w:top w:val="single" w:color="auto" w:sz="4" w:space="0"/>
            </w:tcBorders>
            <w:vAlign w:val="top"/>
          </w:tcPr>
          <w:p w14:paraId="7BDA8F06">
            <w:pPr>
              <w:pStyle w:val="212"/>
              <w:spacing w:before="67" w:line="219" w:lineRule="auto"/>
              <w:ind w:left="109"/>
            </w:pPr>
            <w:r>
              <w:rPr>
                <w:spacing w:val="-1"/>
              </w:rPr>
              <w:t>HJ/T362</w:t>
            </w:r>
            <w:r>
              <w:rPr>
                <w:spacing w:val="-33"/>
              </w:rPr>
              <w:t xml:space="preserve"> </w:t>
            </w:r>
            <w:r>
              <w:rPr>
                <w:spacing w:val="-1"/>
              </w:rPr>
              <w:t>太阳能集热器</w:t>
            </w:r>
          </w:p>
        </w:tc>
      </w:tr>
    </w:tbl>
    <w:p w14:paraId="1EEBC845">
      <w:pPr>
        <w:spacing w:line="91" w:lineRule="auto"/>
        <w:rPr>
          <w:rFonts w:ascii="Arial"/>
          <w:sz w:val="2"/>
        </w:rPr>
      </w:pPr>
    </w:p>
    <w:tbl>
      <w:tblPr>
        <w:tblStyle w:val="213"/>
        <w:tblW w:w="10588"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83"/>
        <w:gridCol w:w="1542"/>
        <w:gridCol w:w="2672"/>
        <w:gridCol w:w="2248"/>
        <w:gridCol w:w="3543"/>
      </w:tblGrid>
      <w:tr w14:paraId="2A3CB07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583" w:type="dxa"/>
            <w:vAlign w:val="top"/>
          </w:tcPr>
          <w:p w14:paraId="0B49EE33">
            <w:pPr>
              <w:pStyle w:val="212"/>
              <w:spacing w:before="68"/>
              <w:ind w:left="128"/>
            </w:pPr>
            <w:r>
              <w:rPr>
                <w:spacing w:val="-10"/>
              </w:rPr>
              <w:t>13</w:t>
            </w:r>
          </w:p>
        </w:tc>
        <w:tc>
          <w:tcPr>
            <w:tcW w:w="1542" w:type="dxa"/>
            <w:vAlign w:val="top"/>
          </w:tcPr>
          <w:p w14:paraId="6E43FC51">
            <w:pPr>
              <w:pStyle w:val="212"/>
              <w:spacing w:before="69" w:line="284" w:lineRule="auto"/>
              <w:ind w:left="109" w:right="108" w:hanging="7"/>
            </w:pPr>
            <w:r>
              <w:rPr>
                <w:spacing w:val="-2"/>
              </w:rPr>
              <w:t>A020619</w:t>
            </w:r>
            <w:r>
              <w:rPr>
                <w:spacing w:val="39"/>
              </w:rPr>
              <w:t xml:space="preserve"> </w:t>
            </w:r>
            <w:r>
              <w:rPr>
                <w:spacing w:val="-2"/>
              </w:rPr>
              <w:t>照</w:t>
            </w:r>
            <w:r>
              <w:rPr>
                <w:spacing w:val="-45"/>
              </w:rPr>
              <w:t xml:space="preserve"> </w:t>
            </w:r>
            <w:r>
              <w:rPr>
                <w:spacing w:val="-2"/>
              </w:rPr>
              <w:t>明设</w:t>
            </w:r>
            <w:r>
              <w:t xml:space="preserve"> 备</w:t>
            </w:r>
          </w:p>
        </w:tc>
        <w:tc>
          <w:tcPr>
            <w:tcW w:w="2672" w:type="dxa"/>
            <w:vAlign w:val="top"/>
          </w:tcPr>
          <w:p w14:paraId="2D34DCC8">
            <w:pPr>
              <w:pStyle w:val="212"/>
              <w:spacing w:before="68" w:line="220" w:lineRule="auto"/>
              <w:ind w:left="103"/>
            </w:pPr>
            <w:r>
              <w:rPr>
                <w:spacing w:val="-1"/>
              </w:rPr>
              <w:t>A02061908</w:t>
            </w:r>
            <w:r>
              <w:rPr>
                <w:spacing w:val="-29"/>
              </w:rPr>
              <w:t xml:space="preserve"> </w:t>
            </w:r>
            <w:r>
              <w:rPr>
                <w:spacing w:val="-1"/>
              </w:rPr>
              <w:t>室内照明灯具</w:t>
            </w:r>
          </w:p>
        </w:tc>
        <w:tc>
          <w:tcPr>
            <w:tcW w:w="2248" w:type="dxa"/>
            <w:vAlign w:val="top"/>
          </w:tcPr>
          <w:p w14:paraId="074F9CEF">
            <w:pPr>
              <w:rPr>
                <w:rFonts w:ascii="Arial"/>
                <w:sz w:val="21"/>
              </w:rPr>
            </w:pPr>
          </w:p>
        </w:tc>
        <w:tc>
          <w:tcPr>
            <w:tcW w:w="3543" w:type="dxa"/>
            <w:vAlign w:val="top"/>
          </w:tcPr>
          <w:p w14:paraId="6A0E61DF">
            <w:pPr>
              <w:pStyle w:val="212"/>
              <w:spacing w:before="67" w:line="219" w:lineRule="auto"/>
              <w:ind w:left="109"/>
            </w:pPr>
            <w:r>
              <w:rPr>
                <w:spacing w:val="-1"/>
              </w:rPr>
              <w:t>HJ2518</w:t>
            </w:r>
            <w:r>
              <w:rPr>
                <w:spacing w:val="-35"/>
              </w:rPr>
              <w:t xml:space="preserve"> </w:t>
            </w:r>
            <w:r>
              <w:rPr>
                <w:spacing w:val="-1"/>
              </w:rPr>
              <w:t>照明光源</w:t>
            </w:r>
          </w:p>
        </w:tc>
      </w:tr>
      <w:tr w14:paraId="2DBCC9D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0" w:hRule="atLeast"/>
        </w:trPr>
        <w:tc>
          <w:tcPr>
            <w:tcW w:w="583" w:type="dxa"/>
            <w:vAlign w:val="top"/>
          </w:tcPr>
          <w:p w14:paraId="0745A86B">
            <w:pPr>
              <w:pStyle w:val="212"/>
              <w:spacing w:before="63" w:line="242" w:lineRule="auto"/>
              <w:ind w:left="128"/>
            </w:pPr>
            <w:r>
              <w:rPr>
                <w:spacing w:val="-10"/>
              </w:rPr>
              <w:t>14</w:t>
            </w:r>
          </w:p>
        </w:tc>
        <w:tc>
          <w:tcPr>
            <w:tcW w:w="1542" w:type="dxa"/>
            <w:vAlign w:val="top"/>
          </w:tcPr>
          <w:p w14:paraId="2CFBB27D">
            <w:pPr>
              <w:pStyle w:val="212"/>
              <w:spacing w:before="64" w:line="296" w:lineRule="auto"/>
              <w:ind w:left="109" w:right="106" w:hanging="7"/>
              <w:jc w:val="both"/>
            </w:pPr>
            <w:r>
              <w:rPr>
                <w:spacing w:val="3"/>
              </w:rPr>
              <w:t>A020810</w:t>
            </w:r>
            <w:r>
              <w:rPr>
                <w:spacing w:val="34"/>
              </w:rPr>
              <w:t xml:space="preserve"> </w:t>
            </w:r>
            <w:r>
              <w:rPr>
                <w:spacing w:val="3"/>
              </w:rPr>
              <w:t>传真及</w:t>
            </w:r>
            <w:r>
              <w:t xml:space="preserve"> </w:t>
            </w:r>
            <w:r>
              <w:rPr>
                <w:spacing w:val="8"/>
              </w:rPr>
              <w:t>数据数字通信设</w:t>
            </w:r>
            <w:r>
              <w:rPr>
                <w:spacing w:val="4"/>
              </w:rPr>
              <w:t xml:space="preserve"> </w:t>
            </w:r>
            <w:r>
              <w:t>备</w:t>
            </w:r>
          </w:p>
        </w:tc>
        <w:tc>
          <w:tcPr>
            <w:tcW w:w="2672" w:type="dxa"/>
            <w:vAlign w:val="top"/>
          </w:tcPr>
          <w:p w14:paraId="61B4E0B1">
            <w:pPr>
              <w:pStyle w:val="212"/>
              <w:spacing w:before="64" w:line="219" w:lineRule="auto"/>
              <w:ind w:left="103"/>
            </w:pPr>
            <w:r>
              <w:rPr>
                <w:spacing w:val="-1"/>
              </w:rPr>
              <w:t>A02081001</w:t>
            </w:r>
            <w:r>
              <w:rPr>
                <w:spacing w:val="-30"/>
              </w:rPr>
              <w:t xml:space="preserve"> </w:t>
            </w:r>
            <w:r>
              <w:rPr>
                <w:spacing w:val="-1"/>
              </w:rPr>
              <w:t>传真通信设备</w:t>
            </w:r>
          </w:p>
        </w:tc>
        <w:tc>
          <w:tcPr>
            <w:tcW w:w="2248" w:type="dxa"/>
            <w:vAlign w:val="top"/>
          </w:tcPr>
          <w:p w14:paraId="7DA17ACF">
            <w:pPr>
              <w:rPr>
                <w:rFonts w:ascii="Arial"/>
                <w:sz w:val="21"/>
              </w:rPr>
            </w:pPr>
          </w:p>
        </w:tc>
        <w:tc>
          <w:tcPr>
            <w:tcW w:w="3543" w:type="dxa"/>
            <w:vAlign w:val="top"/>
          </w:tcPr>
          <w:p w14:paraId="157BEBC2">
            <w:pPr>
              <w:pStyle w:val="212"/>
              <w:spacing w:before="63" w:line="219" w:lineRule="auto"/>
              <w:ind w:left="109"/>
            </w:pPr>
            <w:r>
              <w:rPr>
                <w:spacing w:val="-1"/>
              </w:rPr>
              <w:t>HJ2512</w:t>
            </w:r>
            <w:r>
              <w:rPr>
                <w:spacing w:val="-29"/>
              </w:rPr>
              <w:t xml:space="preserve"> </w:t>
            </w:r>
            <w:r>
              <w:rPr>
                <w:spacing w:val="-1"/>
              </w:rPr>
              <w:t>打印机、传真机及多功能一体机</w:t>
            </w:r>
          </w:p>
        </w:tc>
      </w:tr>
      <w:tr w14:paraId="5BD73F4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583" w:type="dxa"/>
            <w:vMerge w:val="restart"/>
            <w:tcBorders>
              <w:bottom w:val="nil"/>
            </w:tcBorders>
            <w:vAlign w:val="top"/>
          </w:tcPr>
          <w:p w14:paraId="410EF02D">
            <w:pPr>
              <w:pStyle w:val="212"/>
              <w:spacing w:before="64"/>
              <w:ind w:left="128"/>
            </w:pPr>
            <w:r>
              <w:rPr>
                <w:spacing w:val="-10"/>
              </w:rPr>
              <w:t>15</w:t>
            </w:r>
          </w:p>
        </w:tc>
        <w:tc>
          <w:tcPr>
            <w:tcW w:w="1542" w:type="dxa"/>
            <w:vMerge w:val="restart"/>
            <w:tcBorders>
              <w:bottom w:val="nil"/>
            </w:tcBorders>
            <w:vAlign w:val="top"/>
          </w:tcPr>
          <w:p w14:paraId="26E8370D">
            <w:pPr>
              <w:pStyle w:val="212"/>
              <w:spacing w:before="64" w:line="323" w:lineRule="auto"/>
              <w:ind w:left="109" w:right="108" w:hanging="7"/>
            </w:pPr>
            <w:r>
              <w:rPr>
                <w:spacing w:val="1"/>
              </w:rPr>
              <w:t>A020910</w:t>
            </w:r>
            <w:r>
              <w:rPr>
                <w:spacing w:val="54"/>
              </w:rPr>
              <w:t xml:space="preserve"> </w:t>
            </w:r>
            <w:r>
              <w:rPr>
                <w:spacing w:val="1"/>
              </w:rPr>
              <w:t>电视设</w:t>
            </w:r>
            <w:r>
              <w:t xml:space="preserve"> 备</w:t>
            </w:r>
          </w:p>
        </w:tc>
        <w:tc>
          <w:tcPr>
            <w:tcW w:w="2672" w:type="dxa"/>
            <w:vAlign w:val="top"/>
          </w:tcPr>
          <w:p w14:paraId="631B3CB1">
            <w:pPr>
              <w:pStyle w:val="212"/>
              <w:spacing w:before="64" w:line="284" w:lineRule="auto"/>
              <w:ind w:left="107" w:right="107" w:hanging="4"/>
            </w:pPr>
            <w:r>
              <w:rPr>
                <w:spacing w:val="-2"/>
              </w:rPr>
              <w:t>A02091001</w:t>
            </w:r>
            <w:r>
              <w:rPr>
                <w:spacing w:val="-29"/>
              </w:rPr>
              <w:t xml:space="preserve"> </w:t>
            </w:r>
            <w:r>
              <w:rPr>
                <w:spacing w:val="-2"/>
              </w:rPr>
              <w:t>普通电视设备（电视</w:t>
            </w:r>
            <w:r>
              <w:t xml:space="preserve"> </w:t>
            </w:r>
            <w:r>
              <w:rPr>
                <w:spacing w:val="-4"/>
              </w:rPr>
              <w:t>机）</w:t>
            </w:r>
          </w:p>
        </w:tc>
        <w:tc>
          <w:tcPr>
            <w:tcW w:w="2248" w:type="dxa"/>
            <w:vAlign w:val="top"/>
          </w:tcPr>
          <w:p w14:paraId="20AA4966">
            <w:pPr>
              <w:rPr>
                <w:rFonts w:ascii="Arial"/>
                <w:sz w:val="21"/>
              </w:rPr>
            </w:pPr>
          </w:p>
        </w:tc>
        <w:tc>
          <w:tcPr>
            <w:tcW w:w="3543" w:type="dxa"/>
            <w:vAlign w:val="top"/>
          </w:tcPr>
          <w:p w14:paraId="1D43B566">
            <w:pPr>
              <w:pStyle w:val="212"/>
              <w:spacing w:before="64" w:line="219" w:lineRule="auto"/>
              <w:ind w:left="109"/>
            </w:pPr>
            <w:r>
              <w:rPr>
                <w:spacing w:val="-1"/>
              </w:rPr>
              <w:t>HJ2506</w:t>
            </w:r>
            <w:r>
              <w:rPr>
                <w:spacing w:val="-31"/>
              </w:rPr>
              <w:t xml:space="preserve"> </w:t>
            </w:r>
            <w:r>
              <w:rPr>
                <w:spacing w:val="-1"/>
              </w:rPr>
              <w:t>彩色电视广播接收机</w:t>
            </w:r>
          </w:p>
        </w:tc>
      </w:tr>
      <w:tr w14:paraId="15C36C8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1" w:hRule="atLeast"/>
        </w:trPr>
        <w:tc>
          <w:tcPr>
            <w:tcW w:w="583" w:type="dxa"/>
            <w:vMerge w:val="continue"/>
            <w:tcBorders>
              <w:top w:val="nil"/>
            </w:tcBorders>
            <w:vAlign w:val="top"/>
          </w:tcPr>
          <w:p w14:paraId="4643E191">
            <w:pPr>
              <w:rPr>
                <w:rFonts w:ascii="Arial"/>
                <w:sz w:val="21"/>
              </w:rPr>
            </w:pPr>
          </w:p>
        </w:tc>
        <w:tc>
          <w:tcPr>
            <w:tcW w:w="1542" w:type="dxa"/>
            <w:vMerge w:val="continue"/>
            <w:tcBorders>
              <w:top w:val="nil"/>
            </w:tcBorders>
            <w:vAlign w:val="top"/>
          </w:tcPr>
          <w:p w14:paraId="4E36F452">
            <w:pPr>
              <w:rPr>
                <w:rFonts w:ascii="Arial"/>
                <w:sz w:val="21"/>
              </w:rPr>
            </w:pPr>
          </w:p>
        </w:tc>
        <w:tc>
          <w:tcPr>
            <w:tcW w:w="2672" w:type="dxa"/>
            <w:vAlign w:val="top"/>
          </w:tcPr>
          <w:p w14:paraId="192CDB2C">
            <w:pPr>
              <w:pStyle w:val="212"/>
              <w:spacing w:before="67" w:line="284" w:lineRule="auto"/>
              <w:ind w:left="111" w:right="107" w:hanging="8"/>
            </w:pPr>
            <w:r>
              <w:rPr>
                <w:spacing w:val="6"/>
              </w:rPr>
              <w:t>A02091003 特殊功能应用电视</w:t>
            </w:r>
            <w:r>
              <w:rPr>
                <w:spacing w:val="7"/>
              </w:rPr>
              <w:t xml:space="preserve"> </w:t>
            </w:r>
            <w:r>
              <w:rPr>
                <w:spacing w:val="-3"/>
              </w:rPr>
              <w:t>设备</w:t>
            </w:r>
          </w:p>
        </w:tc>
        <w:tc>
          <w:tcPr>
            <w:tcW w:w="2248" w:type="dxa"/>
            <w:vAlign w:val="top"/>
          </w:tcPr>
          <w:p w14:paraId="1810E7D8">
            <w:pPr>
              <w:rPr>
                <w:rFonts w:ascii="Arial"/>
                <w:sz w:val="21"/>
              </w:rPr>
            </w:pPr>
          </w:p>
        </w:tc>
        <w:tc>
          <w:tcPr>
            <w:tcW w:w="3543" w:type="dxa"/>
            <w:vAlign w:val="top"/>
          </w:tcPr>
          <w:p w14:paraId="40354154">
            <w:pPr>
              <w:pStyle w:val="212"/>
              <w:spacing w:before="67" w:line="219" w:lineRule="auto"/>
              <w:ind w:left="109"/>
            </w:pPr>
            <w:r>
              <w:rPr>
                <w:spacing w:val="-1"/>
              </w:rPr>
              <w:t>HJ2506</w:t>
            </w:r>
            <w:r>
              <w:rPr>
                <w:spacing w:val="-31"/>
              </w:rPr>
              <w:t xml:space="preserve"> </w:t>
            </w:r>
            <w:r>
              <w:rPr>
                <w:spacing w:val="-1"/>
              </w:rPr>
              <w:t>彩色电视广播接收机</w:t>
            </w:r>
          </w:p>
        </w:tc>
      </w:tr>
      <w:tr w14:paraId="2ADF650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5" w:hRule="atLeast"/>
        </w:trPr>
        <w:tc>
          <w:tcPr>
            <w:tcW w:w="583" w:type="dxa"/>
            <w:vMerge w:val="restart"/>
            <w:tcBorders>
              <w:bottom w:val="nil"/>
            </w:tcBorders>
            <w:vAlign w:val="top"/>
          </w:tcPr>
          <w:p w14:paraId="7DC6975A">
            <w:pPr>
              <w:pStyle w:val="212"/>
              <w:spacing w:before="65"/>
              <w:ind w:left="128"/>
            </w:pPr>
            <w:r>
              <w:rPr>
                <w:spacing w:val="-10"/>
              </w:rPr>
              <w:t>16</w:t>
            </w:r>
          </w:p>
        </w:tc>
        <w:tc>
          <w:tcPr>
            <w:tcW w:w="1542" w:type="dxa"/>
            <w:vMerge w:val="restart"/>
            <w:tcBorders>
              <w:bottom w:val="nil"/>
            </w:tcBorders>
            <w:vAlign w:val="top"/>
          </w:tcPr>
          <w:p w14:paraId="5FEF690E">
            <w:pPr>
              <w:pStyle w:val="212"/>
              <w:spacing w:before="65" w:line="220" w:lineRule="auto"/>
              <w:ind w:left="193"/>
            </w:pPr>
            <w:r>
              <w:rPr>
                <w:spacing w:val="-1"/>
              </w:rPr>
              <w:t>A0601</w:t>
            </w:r>
            <w:r>
              <w:rPr>
                <w:spacing w:val="-36"/>
              </w:rPr>
              <w:t xml:space="preserve"> </w:t>
            </w:r>
            <w:r>
              <w:rPr>
                <w:spacing w:val="-1"/>
              </w:rPr>
              <w:t>床类</w:t>
            </w:r>
          </w:p>
        </w:tc>
        <w:tc>
          <w:tcPr>
            <w:tcW w:w="2672" w:type="dxa"/>
            <w:vAlign w:val="top"/>
          </w:tcPr>
          <w:p w14:paraId="1E642A8B">
            <w:pPr>
              <w:pStyle w:val="212"/>
              <w:spacing w:before="65" w:line="220" w:lineRule="auto"/>
              <w:ind w:left="103"/>
            </w:pPr>
            <w:r>
              <w:rPr>
                <w:spacing w:val="-1"/>
              </w:rPr>
              <w:t>A060101</w:t>
            </w:r>
            <w:r>
              <w:rPr>
                <w:spacing w:val="-34"/>
              </w:rPr>
              <w:t xml:space="preserve"> </w:t>
            </w:r>
            <w:r>
              <w:rPr>
                <w:spacing w:val="-1"/>
              </w:rPr>
              <w:t>钢木床类</w:t>
            </w:r>
          </w:p>
        </w:tc>
        <w:tc>
          <w:tcPr>
            <w:tcW w:w="2248" w:type="dxa"/>
            <w:vAlign w:val="top"/>
          </w:tcPr>
          <w:p w14:paraId="46156D67">
            <w:pPr>
              <w:rPr>
                <w:rFonts w:ascii="Arial"/>
                <w:sz w:val="21"/>
              </w:rPr>
            </w:pPr>
          </w:p>
        </w:tc>
        <w:tc>
          <w:tcPr>
            <w:tcW w:w="3543" w:type="dxa"/>
            <w:vAlign w:val="top"/>
          </w:tcPr>
          <w:p w14:paraId="653439C0">
            <w:pPr>
              <w:pStyle w:val="212"/>
              <w:spacing w:before="64" w:line="219" w:lineRule="auto"/>
              <w:ind w:left="109"/>
            </w:pPr>
            <w:r>
              <w:rPr>
                <w:spacing w:val="-1"/>
              </w:rPr>
              <w:t>HJ2547</w:t>
            </w:r>
            <w:r>
              <w:rPr>
                <w:spacing w:val="-34"/>
              </w:rPr>
              <w:t xml:space="preserve"> </w:t>
            </w:r>
            <w:r>
              <w:rPr>
                <w:spacing w:val="-1"/>
              </w:rPr>
              <w:t>家具/HJ2540</w:t>
            </w:r>
            <w:r>
              <w:rPr>
                <w:spacing w:val="-37"/>
              </w:rPr>
              <w:t xml:space="preserve"> </w:t>
            </w:r>
            <w:r>
              <w:rPr>
                <w:spacing w:val="-1"/>
              </w:rPr>
              <w:t>木塑制品</w:t>
            </w:r>
          </w:p>
        </w:tc>
      </w:tr>
      <w:tr w14:paraId="18538B7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4" w:hRule="atLeast"/>
        </w:trPr>
        <w:tc>
          <w:tcPr>
            <w:tcW w:w="583" w:type="dxa"/>
            <w:vMerge w:val="continue"/>
            <w:tcBorders>
              <w:top w:val="nil"/>
              <w:bottom w:val="nil"/>
            </w:tcBorders>
            <w:vAlign w:val="top"/>
          </w:tcPr>
          <w:p w14:paraId="196591F5">
            <w:pPr>
              <w:rPr>
                <w:rFonts w:ascii="Arial"/>
                <w:sz w:val="21"/>
              </w:rPr>
            </w:pPr>
          </w:p>
        </w:tc>
        <w:tc>
          <w:tcPr>
            <w:tcW w:w="1542" w:type="dxa"/>
            <w:vMerge w:val="continue"/>
            <w:tcBorders>
              <w:top w:val="nil"/>
              <w:bottom w:val="nil"/>
            </w:tcBorders>
            <w:vAlign w:val="top"/>
          </w:tcPr>
          <w:p w14:paraId="7F4A9CF9">
            <w:pPr>
              <w:rPr>
                <w:rFonts w:ascii="Arial"/>
                <w:sz w:val="21"/>
              </w:rPr>
            </w:pPr>
          </w:p>
        </w:tc>
        <w:tc>
          <w:tcPr>
            <w:tcW w:w="2672" w:type="dxa"/>
            <w:vAlign w:val="top"/>
          </w:tcPr>
          <w:p w14:paraId="3C53E63A">
            <w:pPr>
              <w:pStyle w:val="212"/>
              <w:spacing w:before="65" w:line="220" w:lineRule="auto"/>
              <w:ind w:left="103"/>
            </w:pPr>
            <w:r>
              <w:rPr>
                <w:spacing w:val="-1"/>
              </w:rPr>
              <w:t>A060104</w:t>
            </w:r>
            <w:r>
              <w:rPr>
                <w:spacing w:val="-33"/>
              </w:rPr>
              <w:t xml:space="preserve"> </w:t>
            </w:r>
            <w:r>
              <w:rPr>
                <w:spacing w:val="-1"/>
              </w:rPr>
              <w:t>木制床类</w:t>
            </w:r>
          </w:p>
        </w:tc>
        <w:tc>
          <w:tcPr>
            <w:tcW w:w="2248" w:type="dxa"/>
            <w:vAlign w:val="top"/>
          </w:tcPr>
          <w:p w14:paraId="53FC7E23">
            <w:pPr>
              <w:rPr>
                <w:rFonts w:ascii="Arial"/>
                <w:sz w:val="21"/>
              </w:rPr>
            </w:pPr>
          </w:p>
        </w:tc>
        <w:tc>
          <w:tcPr>
            <w:tcW w:w="3543" w:type="dxa"/>
            <w:vAlign w:val="top"/>
          </w:tcPr>
          <w:p w14:paraId="52649647">
            <w:pPr>
              <w:pStyle w:val="212"/>
              <w:spacing w:before="65" w:line="219" w:lineRule="auto"/>
              <w:ind w:left="109"/>
            </w:pPr>
            <w:r>
              <w:rPr>
                <w:spacing w:val="-1"/>
              </w:rPr>
              <w:t>HJ2547</w:t>
            </w:r>
            <w:r>
              <w:rPr>
                <w:spacing w:val="-34"/>
              </w:rPr>
              <w:t xml:space="preserve"> </w:t>
            </w:r>
            <w:r>
              <w:rPr>
                <w:spacing w:val="-1"/>
              </w:rPr>
              <w:t>家具/HJ2540</w:t>
            </w:r>
            <w:r>
              <w:rPr>
                <w:spacing w:val="-37"/>
              </w:rPr>
              <w:t xml:space="preserve"> </w:t>
            </w:r>
            <w:r>
              <w:rPr>
                <w:spacing w:val="-1"/>
              </w:rPr>
              <w:t>木塑制品</w:t>
            </w:r>
          </w:p>
        </w:tc>
      </w:tr>
      <w:tr w14:paraId="45376B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5" w:hRule="atLeast"/>
        </w:trPr>
        <w:tc>
          <w:tcPr>
            <w:tcW w:w="583" w:type="dxa"/>
            <w:vMerge w:val="continue"/>
            <w:tcBorders>
              <w:top w:val="nil"/>
            </w:tcBorders>
            <w:vAlign w:val="top"/>
          </w:tcPr>
          <w:p w14:paraId="25C97FAC">
            <w:pPr>
              <w:rPr>
                <w:rFonts w:ascii="Arial"/>
                <w:sz w:val="21"/>
              </w:rPr>
            </w:pPr>
          </w:p>
        </w:tc>
        <w:tc>
          <w:tcPr>
            <w:tcW w:w="1542" w:type="dxa"/>
            <w:vMerge w:val="continue"/>
            <w:tcBorders>
              <w:top w:val="nil"/>
            </w:tcBorders>
            <w:vAlign w:val="top"/>
          </w:tcPr>
          <w:p w14:paraId="4C47414E">
            <w:pPr>
              <w:rPr>
                <w:rFonts w:ascii="Arial"/>
                <w:sz w:val="21"/>
              </w:rPr>
            </w:pPr>
          </w:p>
        </w:tc>
        <w:tc>
          <w:tcPr>
            <w:tcW w:w="2672" w:type="dxa"/>
            <w:vAlign w:val="top"/>
          </w:tcPr>
          <w:p w14:paraId="2D9D08FB">
            <w:pPr>
              <w:pStyle w:val="212"/>
              <w:spacing w:before="65" w:line="220" w:lineRule="auto"/>
              <w:ind w:left="103"/>
            </w:pPr>
            <w:r>
              <w:rPr>
                <w:spacing w:val="-1"/>
              </w:rPr>
              <w:t>A060199</w:t>
            </w:r>
            <w:r>
              <w:rPr>
                <w:spacing w:val="-33"/>
              </w:rPr>
              <w:t xml:space="preserve"> </w:t>
            </w:r>
            <w:r>
              <w:rPr>
                <w:spacing w:val="-1"/>
              </w:rPr>
              <w:t>其他床类</w:t>
            </w:r>
          </w:p>
        </w:tc>
        <w:tc>
          <w:tcPr>
            <w:tcW w:w="2248" w:type="dxa"/>
            <w:vAlign w:val="top"/>
          </w:tcPr>
          <w:p w14:paraId="26DA5D59">
            <w:pPr>
              <w:rPr>
                <w:rFonts w:ascii="Arial"/>
                <w:sz w:val="21"/>
              </w:rPr>
            </w:pPr>
          </w:p>
        </w:tc>
        <w:tc>
          <w:tcPr>
            <w:tcW w:w="3543" w:type="dxa"/>
            <w:vAlign w:val="top"/>
          </w:tcPr>
          <w:p w14:paraId="4B52C3C6">
            <w:pPr>
              <w:pStyle w:val="212"/>
              <w:spacing w:before="65" w:line="219" w:lineRule="auto"/>
              <w:ind w:left="109"/>
            </w:pPr>
            <w:r>
              <w:rPr>
                <w:spacing w:val="-1"/>
              </w:rPr>
              <w:t>HJ2547</w:t>
            </w:r>
            <w:r>
              <w:rPr>
                <w:spacing w:val="-34"/>
              </w:rPr>
              <w:t xml:space="preserve"> </w:t>
            </w:r>
            <w:r>
              <w:rPr>
                <w:spacing w:val="-1"/>
              </w:rPr>
              <w:t>家具/HJ2540</w:t>
            </w:r>
            <w:r>
              <w:rPr>
                <w:spacing w:val="-37"/>
              </w:rPr>
              <w:t xml:space="preserve"> </w:t>
            </w:r>
            <w:r>
              <w:rPr>
                <w:spacing w:val="-1"/>
              </w:rPr>
              <w:t>木塑制品</w:t>
            </w:r>
          </w:p>
        </w:tc>
      </w:tr>
      <w:tr w14:paraId="2B7730D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8" w:hRule="atLeast"/>
        </w:trPr>
        <w:tc>
          <w:tcPr>
            <w:tcW w:w="583" w:type="dxa"/>
            <w:vMerge w:val="restart"/>
            <w:tcBorders>
              <w:bottom w:val="nil"/>
            </w:tcBorders>
            <w:vAlign w:val="top"/>
          </w:tcPr>
          <w:p w14:paraId="00FF68E8">
            <w:pPr>
              <w:pStyle w:val="212"/>
              <w:spacing w:before="66"/>
              <w:ind w:left="128"/>
            </w:pPr>
            <w:r>
              <w:rPr>
                <w:spacing w:val="-10"/>
              </w:rPr>
              <w:t>17</w:t>
            </w:r>
          </w:p>
        </w:tc>
        <w:tc>
          <w:tcPr>
            <w:tcW w:w="1542" w:type="dxa"/>
            <w:vMerge w:val="restart"/>
            <w:tcBorders>
              <w:bottom w:val="nil"/>
            </w:tcBorders>
            <w:vAlign w:val="top"/>
          </w:tcPr>
          <w:p w14:paraId="46AB660E">
            <w:pPr>
              <w:pStyle w:val="212"/>
              <w:spacing w:before="65" w:line="220" w:lineRule="auto"/>
              <w:ind w:left="102"/>
            </w:pPr>
            <w:r>
              <w:rPr>
                <w:spacing w:val="-2"/>
              </w:rPr>
              <w:t>A0602</w:t>
            </w:r>
            <w:r>
              <w:rPr>
                <w:spacing w:val="-22"/>
              </w:rPr>
              <w:t xml:space="preserve"> </w:t>
            </w:r>
            <w:r>
              <w:rPr>
                <w:spacing w:val="-2"/>
              </w:rPr>
              <w:t>台、桌类</w:t>
            </w:r>
          </w:p>
        </w:tc>
        <w:tc>
          <w:tcPr>
            <w:tcW w:w="2672" w:type="dxa"/>
            <w:vAlign w:val="top"/>
          </w:tcPr>
          <w:p w14:paraId="0E8D4756">
            <w:pPr>
              <w:pStyle w:val="212"/>
              <w:spacing w:before="65" w:line="220" w:lineRule="auto"/>
              <w:ind w:left="103"/>
            </w:pPr>
            <w:r>
              <w:rPr>
                <w:spacing w:val="-1"/>
              </w:rPr>
              <w:t>A060201</w:t>
            </w:r>
            <w:r>
              <w:rPr>
                <w:spacing w:val="-29"/>
              </w:rPr>
              <w:t xml:space="preserve"> </w:t>
            </w:r>
            <w:r>
              <w:rPr>
                <w:spacing w:val="-1"/>
              </w:rPr>
              <w:t>钢木台、桌类</w:t>
            </w:r>
          </w:p>
        </w:tc>
        <w:tc>
          <w:tcPr>
            <w:tcW w:w="2248" w:type="dxa"/>
            <w:vAlign w:val="top"/>
          </w:tcPr>
          <w:p w14:paraId="50B7C193">
            <w:pPr>
              <w:rPr>
                <w:rFonts w:ascii="Arial"/>
                <w:sz w:val="21"/>
              </w:rPr>
            </w:pPr>
          </w:p>
        </w:tc>
        <w:tc>
          <w:tcPr>
            <w:tcW w:w="3543" w:type="dxa"/>
            <w:vAlign w:val="top"/>
          </w:tcPr>
          <w:p w14:paraId="0D667D18">
            <w:pPr>
              <w:pStyle w:val="212"/>
              <w:spacing w:before="65" w:line="219" w:lineRule="auto"/>
              <w:ind w:left="109"/>
            </w:pPr>
            <w:r>
              <w:rPr>
                <w:spacing w:val="-1"/>
              </w:rPr>
              <w:t>HJ2547</w:t>
            </w:r>
            <w:r>
              <w:rPr>
                <w:spacing w:val="-34"/>
              </w:rPr>
              <w:t xml:space="preserve"> </w:t>
            </w:r>
            <w:r>
              <w:rPr>
                <w:spacing w:val="-1"/>
              </w:rPr>
              <w:t>家具/HJ2540</w:t>
            </w:r>
            <w:r>
              <w:rPr>
                <w:spacing w:val="-37"/>
              </w:rPr>
              <w:t xml:space="preserve"> </w:t>
            </w:r>
            <w:r>
              <w:rPr>
                <w:spacing w:val="-1"/>
              </w:rPr>
              <w:t>木塑制品</w:t>
            </w:r>
          </w:p>
        </w:tc>
      </w:tr>
      <w:tr w14:paraId="31B560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7" w:hRule="atLeast"/>
        </w:trPr>
        <w:tc>
          <w:tcPr>
            <w:tcW w:w="583" w:type="dxa"/>
            <w:vMerge w:val="continue"/>
            <w:tcBorders>
              <w:top w:val="nil"/>
              <w:bottom w:val="nil"/>
            </w:tcBorders>
            <w:vAlign w:val="top"/>
          </w:tcPr>
          <w:p w14:paraId="6DD718B9">
            <w:pPr>
              <w:rPr>
                <w:rFonts w:ascii="Arial"/>
                <w:sz w:val="21"/>
              </w:rPr>
            </w:pPr>
          </w:p>
        </w:tc>
        <w:tc>
          <w:tcPr>
            <w:tcW w:w="1542" w:type="dxa"/>
            <w:vMerge w:val="continue"/>
            <w:tcBorders>
              <w:top w:val="nil"/>
              <w:bottom w:val="nil"/>
            </w:tcBorders>
            <w:vAlign w:val="top"/>
          </w:tcPr>
          <w:p w14:paraId="386792F2">
            <w:pPr>
              <w:rPr>
                <w:rFonts w:ascii="Arial"/>
                <w:sz w:val="21"/>
              </w:rPr>
            </w:pPr>
          </w:p>
        </w:tc>
        <w:tc>
          <w:tcPr>
            <w:tcW w:w="2672" w:type="dxa"/>
            <w:vAlign w:val="top"/>
          </w:tcPr>
          <w:p w14:paraId="04D01AD8">
            <w:pPr>
              <w:pStyle w:val="212"/>
              <w:spacing w:before="65" w:line="220" w:lineRule="auto"/>
              <w:ind w:left="103"/>
            </w:pPr>
            <w:r>
              <w:rPr>
                <w:spacing w:val="-1"/>
              </w:rPr>
              <w:t>A060205</w:t>
            </w:r>
            <w:r>
              <w:rPr>
                <w:spacing w:val="-29"/>
              </w:rPr>
              <w:t xml:space="preserve"> </w:t>
            </w:r>
            <w:r>
              <w:rPr>
                <w:spacing w:val="-1"/>
              </w:rPr>
              <w:t>木制台、桌类</w:t>
            </w:r>
          </w:p>
        </w:tc>
        <w:tc>
          <w:tcPr>
            <w:tcW w:w="2248" w:type="dxa"/>
            <w:vAlign w:val="top"/>
          </w:tcPr>
          <w:p w14:paraId="09D44818">
            <w:pPr>
              <w:rPr>
                <w:rFonts w:ascii="Arial"/>
                <w:sz w:val="21"/>
              </w:rPr>
            </w:pPr>
          </w:p>
        </w:tc>
        <w:tc>
          <w:tcPr>
            <w:tcW w:w="3543" w:type="dxa"/>
            <w:vAlign w:val="top"/>
          </w:tcPr>
          <w:p w14:paraId="63EF0849">
            <w:pPr>
              <w:pStyle w:val="212"/>
              <w:spacing w:before="65" w:line="219" w:lineRule="auto"/>
              <w:ind w:left="109"/>
            </w:pPr>
            <w:r>
              <w:rPr>
                <w:spacing w:val="-1"/>
              </w:rPr>
              <w:t>HJ2547</w:t>
            </w:r>
            <w:r>
              <w:rPr>
                <w:spacing w:val="-34"/>
              </w:rPr>
              <w:t xml:space="preserve"> </w:t>
            </w:r>
            <w:r>
              <w:rPr>
                <w:spacing w:val="-1"/>
              </w:rPr>
              <w:t>家具/HJ2540</w:t>
            </w:r>
            <w:r>
              <w:rPr>
                <w:spacing w:val="-37"/>
              </w:rPr>
              <w:t xml:space="preserve"> </w:t>
            </w:r>
            <w:r>
              <w:rPr>
                <w:spacing w:val="-1"/>
              </w:rPr>
              <w:t>木塑制品</w:t>
            </w:r>
          </w:p>
        </w:tc>
      </w:tr>
      <w:tr w14:paraId="6572DB7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5" w:hRule="atLeast"/>
        </w:trPr>
        <w:tc>
          <w:tcPr>
            <w:tcW w:w="583" w:type="dxa"/>
            <w:vMerge w:val="continue"/>
            <w:tcBorders>
              <w:top w:val="nil"/>
            </w:tcBorders>
            <w:vAlign w:val="top"/>
          </w:tcPr>
          <w:p w14:paraId="212D3AC2">
            <w:pPr>
              <w:rPr>
                <w:rFonts w:ascii="Arial"/>
                <w:sz w:val="21"/>
              </w:rPr>
            </w:pPr>
          </w:p>
        </w:tc>
        <w:tc>
          <w:tcPr>
            <w:tcW w:w="1542" w:type="dxa"/>
            <w:vMerge w:val="continue"/>
            <w:tcBorders>
              <w:top w:val="nil"/>
            </w:tcBorders>
            <w:vAlign w:val="top"/>
          </w:tcPr>
          <w:p w14:paraId="71A5ADDB">
            <w:pPr>
              <w:rPr>
                <w:rFonts w:ascii="Arial"/>
                <w:sz w:val="21"/>
              </w:rPr>
            </w:pPr>
          </w:p>
        </w:tc>
        <w:tc>
          <w:tcPr>
            <w:tcW w:w="2672" w:type="dxa"/>
            <w:vAlign w:val="top"/>
          </w:tcPr>
          <w:p w14:paraId="2F744242">
            <w:pPr>
              <w:pStyle w:val="212"/>
              <w:spacing w:before="66" w:line="220" w:lineRule="auto"/>
              <w:ind w:left="103"/>
            </w:pPr>
            <w:r>
              <w:rPr>
                <w:spacing w:val="-1"/>
              </w:rPr>
              <w:t>A060299</w:t>
            </w:r>
            <w:r>
              <w:rPr>
                <w:spacing w:val="-29"/>
              </w:rPr>
              <w:t xml:space="preserve"> </w:t>
            </w:r>
            <w:r>
              <w:rPr>
                <w:spacing w:val="-1"/>
              </w:rPr>
              <w:t>其他台、桌类</w:t>
            </w:r>
          </w:p>
        </w:tc>
        <w:tc>
          <w:tcPr>
            <w:tcW w:w="2248" w:type="dxa"/>
            <w:vAlign w:val="top"/>
          </w:tcPr>
          <w:p w14:paraId="514F29F5">
            <w:pPr>
              <w:rPr>
                <w:rFonts w:ascii="Arial"/>
                <w:sz w:val="21"/>
              </w:rPr>
            </w:pPr>
          </w:p>
        </w:tc>
        <w:tc>
          <w:tcPr>
            <w:tcW w:w="3543" w:type="dxa"/>
            <w:vAlign w:val="top"/>
          </w:tcPr>
          <w:p w14:paraId="7BBDF894">
            <w:pPr>
              <w:pStyle w:val="212"/>
              <w:spacing w:before="66" w:line="219" w:lineRule="auto"/>
              <w:ind w:left="109"/>
            </w:pPr>
            <w:r>
              <w:rPr>
                <w:spacing w:val="-1"/>
              </w:rPr>
              <w:t>HJ2547</w:t>
            </w:r>
            <w:r>
              <w:rPr>
                <w:spacing w:val="-34"/>
              </w:rPr>
              <w:t xml:space="preserve"> </w:t>
            </w:r>
            <w:r>
              <w:rPr>
                <w:spacing w:val="-1"/>
              </w:rPr>
              <w:t>家具/HJ2540</w:t>
            </w:r>
            <w:r>
              <w:rPr>
                <w:spacing w:val="-37"/>
              </w:rPr>
              <w:t xml:space="preserve"> </w:t>
            </w:r>
            <w:r>
              <w:rPr>
                <w:spacing w:val="-1"/>
              </w:rPr>
              <w:t>木塑制品</w:t>
            </w:r>
          </w:p>
        </w:tc>
      </w:tr>
      <w:tr w14:paraId="6F35CB8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8" w:hRule="atLeast"/>
        </w:trPr>
        <w:tc>
          <w:tcPr>
            <w:tcW w:w="583" w:type="dxa"/>
            <w:vMerge w:val="restart"/>
            <w:tcBorders>
              <w:bottom w:val="nil"/>
            </w:tcBorders>
            <w:vAlign w:val="top"/>
          </w:tcPr>
          <w:p w14:paraId="75FEF03B">
            <w:pPr>
              <w:pStyle w:val="212"/>
              <w:spacing w:before="67"/>
              <w:ind w:left="128"/>
            </w:pPr>
            <w:r>
              <w:rPr>
                <w:spacing w:val="-10"/>
              </w:rPr>
              <w:t>18</w:t>
            </w:r>
          </w:p>
        </w:tc>
        <w:tc>
          <w:tcPr>
            <w:tcW w:w="1542" w:type="dxa"/>
            <w:vMerge w:val="restart"/>
            <w:tcBorders>
              <w:bottom w:val="nil"/>
            </w:tcBorders>
            <w:vAlign w:val="top"/>
          </w:tcPr>
          <w:p w14:paraId="6F4AA3DB">
            <w:pPr>
              <w:pStyle w:val="212"/>
              <w:spacing w:before="66" w:line="220" w:lineRule="auto"/>
              <w:ind w:left="102"/>
            </w:pPr>
            <w:r>
              <w:rPr>
                <w:spacing w:val="-1"/>
              </w:rPr>
              <w:t>A0603</w:t>
            </w:r>
            <w:r>
              <w:rPr>
                <w:spacing w:val="-36"/>
              </w:rPr>
              <w:t xml:space="preserve"> </w:t>
            </w:r>
            <w:r>
              <w:rPr>
                <w:spacing w:val="-1"/>
              </w:rPr>
              <w:t>椅凳类</w:t>
            </w:r>
          </w:p>
        </w:tc>
        <w:tc>
          <w:tcPr>
            <w:tcW w:w="2672" w:type="dxa"/>
            <w:vAlign w:val="top"/>
          </w:tcPr>
          <w:p w14:paraId="448DD27A">
            <w:pPr>
              <w:pStyle w:val="212"/>
              <w:spacing w:before="66" w:line="220" w:lineRule="auto"/>
              <w:ind w:left="103"/>
            </w:pPr>
            <w:r>
              <w:rPr>
                <w:spacing w:val="-1"/>
              </w:rPr>
              <w:t>A060301</w:t>
            </w:r>
            <w:r>
              <w:rPr>
                <w:spacing w:val="-46"/>
              </w:rPr>
              <w:t xml:space="preserve"> </w:t>
            </w:r>
            <w:r>
              <w:rPr>
                <w:spacing w:val="-1"/>
              </w:rPr>
              <w:t>金属骨架为主的椅凳类</w:t>
            </w:r>
          </w:p>
        </w:tc>
        <w:tc>
          <w:tcPr>
            <w:tcW w:w="2248" w:type="dxa"/>
            <w:vAlign w:val="top"/>
          </w:tcPr>
          <w:p w14:paraId="35146366">
            <w:pPr>
              <w:rPr>
                <w:rFonts w:ascii="Arial"/>
                <w:sz w:val="21"/>
              </w:rPr>
            </w:pPr>
          </w:p>
        </w:tc>
        <w:tc>
          <w:tcPr>
            <w:tcW w:w="3543" w:type="dxa"/>
            <w:vAlign w:val="top"/>
          </w:tcPr>
          <w:p w14:paraId="656C7958">
            <w:pPr>
              <w:pStyle w:val="212"/>
              <w:spacing w:before="66" w:line="219" w:lineRule="auto"/>
              <w:ind w:left="109"/>
            </w:pPr>
            <w:r>
              <w:rPr>
                <w:spacing w:val="-1"/>
              </w:rPr>
              <w:t>HJ2547</w:t>
            </w:r>
            <w:r>
              <w:rPr>
                <w:spacing w:val="-34"/>
              </w:rPr>
              <w:t xml:space="preserve"> </w:t>
            </w:r>
            <w:r>
              <w:rPr>
                <w:spacing w:val="-1"/>
              </w:rPr>
              <w:t>家具/HJ2540</w:t>
            </w:r>
            <w:r>
              <w:rPr>
                <w:spacing w:val="-37"/>
              </w:rPr>
              <w:t xml:space="preserve"> </w:t>
            </w:r>
            <w:r>
              <w:rPr>
                <w:spacing w:val="-1"/>
              </w:rPr>
              <w:t>木塑制品</w:t>
            </w:r>
          </w:p>
        </w:tc>
      </w:tr>
      <w:tr w14:paraId="5AB33C4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7" w:hRule="atLeast"/>
        </w:trPr>
        <w:tc>
          <w:tcPr>
            <w:tcW w:w="583" w:type="dxa"/>
            <w:vMerge w:val="continue"/>
            <w:tcBorders>
              <w:top w:val="nil"/>
              <w:bottom w:val="nil"/>
            </w:tcBorders>
            <w:vAlign w:val="top"/>
          </w:tcPr>
          <w:p w14:paraId="37CF7095">
            <w:pPr>
              <w:rPr>
                <w:rFonts w:ascii="Arial"/>
                <w:sz w:val="21"/>
              </w:rPr>
            </w:pPr>
          </w:p>
        </w:tc>
        <w:tc>
          <w:tcPr>
            <w:tcW w:w="1542" w:type="dxa"/>
            <w:vMerge w:val="continue"/>
            <w:tcBorders>
              <w:top w:val="nil"/>
              <w:bottom w:val="nil"/>
            </w:tcBorders>
            <w:vAlign w:val="top"/>
          </w:tcPr>
          <w:p w14:paraId="28DE269E">
            <w:pPr>
              <w:rPr>
                <w:rFonts w:ascii="Arial"/>
                <w:sz w:val="21"/>
              </w:rPr>
            </w:pPr>
          </w:p>
        </w:tc>
        <w:tc>
          <w:tcPr>
            <w:tcW w:w="2672" w:type="dxa"/>
            <w:vAlign w:val="top"/>
          </w:tcPr>
          <w:p w14:paraId="0279AA59">
            <w:pPr>
              <w:pStyle w:val="212"/>
              <w:spacing w:before="66" w:line="220" w:lineRule="auto"/>
              <w:ind w:left="103"/>
            </w:pPr>
            <w:r>
              <w:rPr>
                <w:spacing w:val="-1"/>
              </w:rPr>
              <w:t>A060302</w:t>
            </w:r>
            <w:r>
              <w:rPr>
                <w:spacing w:val="-29"/>
              </w:rPr>
              <w:t xml:space="preserve"> </w:t>
            </w:r>
            <w:r>
              <w:rPr>
                <w:spacing w:val="-1"/>
              </w:rPr>
              <w:t>木骨架为主的椅凳类</w:t>
            </w:r>
          </w:p>
        </w:tc>
        <w:tc>
          <w:tcPr>
            <w:tcW w:w="2248" w:type="dxa"/>
            <w:vAlign w:val="top"/>
          </w:tcPr>
          <w:p w14:paraId="4EEED532">
            <w:pPr>
              <w:rPr>
                <w:rFonts w:ascii="Arial"/>
                <w:sz w:val="21"/>
              </w:rPr>
            </w:pPr>
          </w:p>
        </w:tc>
        <w:tc>
          <w:tcPr>
            <w:tcW w:w="3543" w:type="dxa"/>
            <w:vAlign w:val="top"/>
          </w:tcPr>
          <w:p w14:paraId="6E78AC05">
            <w:pPr>
              <w:pStyle w:val="212"/>
              <w:spacing w:before="66" w:line="219" w:lineRule="auto"/>
              <w:ind w:left="109"/>
            </w:pPr>
            <w:r>
              <w:rPr>
                <w:spacing w:val="-1"/>
              </w:rPr>
              <w:t>HJ2547</w:t>
            </w:r>
            <w:r>
              <w:rPr>
                <w:spacing w:val="-34"/>
              </w:rPr>
              <w:t xml:space="preserve"> </w:t>
            </w:r>
            <w:r>
              <w:rPr>
                <w:spacing w:val="-1"/>
              </w:rPr>
              <w:t>家具/HJ2540</w:t>
            </w:r>
            <w:r>
              <w:rPr>
                <w:spacing w:val="-37"/>
              </w:rPr>
              <w:t xml:space="preserve"> </w:t>
            </w:r>
            <w:r>
              <w:rPr>
                <w:spacing w:val="-1"/>
              </w:rPr>
              <w:t>木塑制品</w:t>
            </w:r>
          </w:p>
        </w:tc>
      </w:tr>
      <w:tr w14:paraId="1903D14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5" w:hRule="atLeast"/>
        </w:trPr>
        <w:tc>
          <w:tcPr>
            <w:tcW w:w="583" w:type="dxa"/>
            <w:vMerge w:val="continue"/>
            <w:tcBorders>
              <w:top w:val="nil"/>
            </w:tcBorders>
            <w:vAlign w:val="top"/>
          </w:tcPr>
          <w:p w14:paraId="02A76264">
            <w:pPr>
              <w:rPr>
                <w:rFonts w:ascii="Arial"/>
                <w:sz w:val="21"/>
              </w:rPr>
            </w:pPr>
          </w:p>
        </w:tc>
        <w:tc>
          <w:tcPr>
            <w:tcW w:w="1542" w:type="dxa"/>
            <w:vMerge w:val="continue"/>
            <w:tcBorders>
              <w:top w:val="nil"/>
            </w:tcBorders>
            <w:vAlign w:val="top"/>
          </w:tcPr>
          <w:p w14:paraId="2004F5D5">
            <w:pPr>
              <w:rPr>
                <w:rFonts w:ascii="Arial"/>
                <w:sz w:val="21"/>
              </w:rPr>
            </w:pPr>
          </w:p>
        </w:tc>
        <w:tc>
          <w:tcPr>
            <w:tcW w:w="2672" w:type="dxa"/>
            <w:vAlign w:val="top"/>
          </w:tcPr>
          <w:p w14:paraId="0E8D949F">
            <w:pPr>
              <w:pStyle w:val="212"/>
              <w:spacing w:before="67" w:line="220" w:lineRule="auto"/>
              <w:ind w:left="103"/>
            </w:pPr>
            <w:r>
              <w:rPr>
                <w:spacing w:val="-1"/>
              </w:rPr>
              <w:t>A060399</w:t>
            </w:r>
            <w:r>
              <w:rPr>
                <w:spacing w:val="-33"/>
              </w:rPr>
              <w:t xml:space="preserve"> </w:t>
            </w:r>
            <w:r>
              <w:rPr>
                <w:spacing w:val="-1"/>
              </w:rPr>
              <w:t>其他椅凳类</w:t>
            </w:r>
          </w:p>
        </w:tc>
        <w:tc>
          <w:tcPr>
            <w:tcW w:w="2248" w:type="dxa"/>
            <w:vAlign w:val="top"/>
          </w:tcPr>
          <w:p w14:paraId="24CEDEBE">
            <w:pPr>
              <w:rPr>
                <w:rFonts w:ascii="Arial"/>
                <w:sz w:val="21"/>
              </w:rPr>
            </w:pPr>
          </w:p>
        </w:tc>
        <w:tc>
          <w:tcPr>
            <w:tcW w:w="3543" w:type="dxa"/>
            <w:vAlign w:val="top"/>
          </w:tcPr>
          <w:p w14:paraId="1841F1AE">
            <w:pPr>
              <w:pStyle w:val="212"/>
              <w:spacing w:before="66" w:line="219" w:lineRule="auto"/>
              <w:ind w:left="109"/>
            </w:pPr>
            <w:r>
              <w:rPr>
                <w:spacing w:val="-1"/>
              </w:rPr>
              <w:t>HJ2547</w:t>
            </w:r>
            <w:r>
              <w:rPr>
                <w:spacing w:val="-34"/>
              </w:rPr>
              <w:t xml:space="preserve"> </w:t>
            </w:r>
            <w:r>
              <w:rPr>
                <w:spacing w:val="-1"/>
              </w:rPr>
              <w:t>家具/HJ2540</w:t>
            </w:r>
            <w:r>
              <w:rPr>
                <w:spacing w:val="-37"/>
              </w:rPr>
              <w:t xml:space="preserve"> </w:t>
            </w:r>
            <w:r>
              <w:rPr>
                <w:spacing w:val="-1"/>
              </w:rPr>
              <w:t>木塑制品</w:t>
            </w:r>
          </w:p>
        </w:tc>
      </w:tr>
      <w:tr w14:paraId="07AF91E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8" w:hRule="atLeast"/>
        </w:trPr>
        <w:tc>
          <w:tcPr>
            <w:tcW w:w="583" w:type="dxa"/>
            <w:vAlign w:val="top"/>
          </w:tcPr>
          <w:p w14:paraId="4A551B1F">
            <w:pPr>
              <w:pStyle w:val="212"/>
              <w:spacing w:before="67"/>
              <w:ind w:left="128"/>
            </w:pPr>
            <w:r>
              <w:rPr>
                <w:spacing w:val="-10"/>
              </w:rPr>
              <w:t>19</w:t>
            </w:r>
          </w:p>
        </w:tc>
        <w:tc>
          <w:tcPr>
            <w:tcW w:w="1542" w:type="dxa"/>
            <w:vAlign w:val="top"/>
          </w:tcPr>
          <w:p w14:paraId="02A3D41F">
            <w:pPr>
              <w:pStyle w:val="212"/>
              <w:spacing w:before="67" w:line="220" w:lineRule="auto"/>
              <w:ind w:left="102"/>
            </w:pPr>
            <w:r>
              <w:rPr>
                <w:spacing w:val="-1"/>
              </w:rPr>
              <w:t>A0604</w:t>
            </w:r>
            <w:r>
              <w:rPr>
                <w:spacing w:val="-35"/>
              </w:rPr>
              <w:t xml:space="preserve"> </w:t>
            </w:r>
            <w:r>
              <w:rPr>
                <w:spacing w:val="-1"/>
              </w:rPr>
              <w:t>沙发类</w:t>
            </w:r>
          </w:p>
        </w:tc>
        <w:tc>
          <w:tcPr>
            <w:tcW w:w="2672" w:type="dxa"/>
            <w:vAlign w:val="top"/>
          </w:tcPr>
          <w:p w14:paraId="46D25991">
            <w:pPr>
              <w:pStyle w:val="212"/>
              <w:spacing w:before="67" w:line="220" w:lineRule="auto"/>
              <w:ind w:left="103"/>
            </w:pPr>
            <w:r>
              <w:rPr>
                <w:spacing w:val="-1"/>
              </w:rPr>
              <w:t>A060499</w:t>
            </w:r>
            <w:r>
              <w:rPr>
                <w:spacing w:val="-33"/>
              </w:rPr>
              <w:t xml:space="preserve"> </w:t>
            </w:r>
            <w:r>
              <w:rPr>
                <w:spacing w:val="-1"/>
              </w:rPr>
              <w:t>其他沙发类</w:t>
            </w:r>
          </w:p>
        </w:tc>
        <w:tc>
          <w:tcPr>
            <w:tcW w:w="2248" w:type="dxa"/>
            <w:vAlign w:val="top"/>
          </w:tcPr>
          <w:p w14:paraId="431A2D2C">
            <w:pPr>
              <w:rPr>
                <w:rFonts w:ascii="Arial"/>
                <w:sz w:val="21"/>
              </w:rPr>
            </w:pPr>
          </w:p>
        </w:tc>
        <w:tc>
          <w:tcPr>
            <w:tcW w:w="3543" w:type="dxa"/>
            <w:vAlign w:val="top"/>
          </w:tcPr>
          <w:p w14:paraId="78253D8C">
            <w:pPr>
              <w:pStyle w:val="212"/>
              <w:spacing w:before="67" w:line="219" w:lineRule="auto"/>
              <w:ind w:left="109"/>
            </w:pPr>
            <w:r>
              <w:rPr>
                <w:spacing w:val="-1"/>
              </w:rPr>
              <w:t>HJ2547</w:t>
            </w:r>
            <w:r>
              <w:rPr>
                <w:spacing w:val="-34"/>
              </w:rPr>
              <w:t xml:space="preserve"> </w:t>
            </w:r>
            <w:r>
              <w:rPr>
                <w:spacing w:val="-1"/>
              </w:rPr>
              <w:t>家具/HJ2540</w:t>
            </w:r>
            <w:r>
              <w:rPr>
                <w:spacing w:val="-37"/>
              </w:rPr>
              <w:t xml:space="preserve"> </w:t>
            </w:r>
            <w:r>
              <w:rPr>
                <w:spacing w:val="-1"/>
              </w:rPr>
              <w:t>木塑制品</w:t>
            </w:r>
          </w:p>
        </w:tc>
      </w:tr>
      <w:tr w14:paraId="0087F3C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8" w:hRule="atLeast"/>
        </w:trPr>
        <w:tc>
          <w:tcPr>
            <w:tcW w:w="583" w:type="dxa"/>
            <w:vMerge w:val="restart"/>
            <w:tcBorders>
              <w:bottom w:val="nil"/>
            </w:tcBorders>
            <w:vAlign w:val="top"/>
          </w:tcPr>
          <w:p w14:paraId="0A0D9E9B">
            <w:pPr>
              <w:pStyle w:val="212"/>
              <w:spacing w:before="67"/>
              <w:ind w:left="116"/>
            </w:pPr>
            <w:r>
              <w:rPr>
                <w:spacing w:val="-4"/>
              </w:rPr>
              <w:t>20</w:t>
            </w:r>
          </w:p>
        </w:tc>
        <w:tc>
          <w:tcPr>
            <w:tcW w:w="1542" w:type="dxa"/>
            <w:vMerge w:val="restart"/>
            <w:tcBorders>
              <w:bottom w:val="nil"/>
            </w:tcBorders>
            <w:vAlign w:val="top"/>
          </w:tcPr>
          <w:p w14:paraId="1A2C27BF">
            <w:pPr>
              <w:pStyle w:val="212"/>
              <w:spacing w:before="67" w:line="220" w:lineRule="auto"/>
              <w:ind w:left="193"/>
            </w:pPr>
            <w:r>
              <w:rPr>
                <w:spacing w:val="-1"/>
              </w:rPr>
              <w:t>A0605</w:t>
            </w:r>
            <w:r>
              <w:rPr>
                <w:spacing w:val="-36"/>
              </w:rPr>
              <w:t xml:space="preserve"> </w:t>
            </w:r>
            <w:r>
              <w:rPr>
                <w:spacing w:val="-1"/>
              </w:rPr>
              <w:t>柜类</w:t>
            </w:r>
          </w:p>
        </w:tc>
        <w:tc>
          <w:tcPr>
            <w:tcW w:w="2672" w:type="dxa"/>
            <w:vAlign w:val="top"/>
          </w:tcPr>
          <w:p w14:paraId="079653E6">
            <w:pPr>
              <w:pStyle w:val="212"/>
              <w:spacing w:before="67" w:line="220" w:lineRule="auto"/>
              <w:ind w:left="103"/>
            </w:pPr>
            <w:r>
              <w:rPr>
                <w:spacing w:val="-1"/>
              </w:rPr>
              <w:t>A060501</w:t>
            </w:r>
            <w:r>
              <w:rPr>
                <w:spacing w:val="-33"/>
              </w:rPr>
              <w:t xml:space="preserve"> </w:t>
            </w:r>
            <w:r>
              <w:rPr>
                <w:spacing w:val="-1"/>
              </w:rPr>
              <w:t>木质柜类</w:t>
            </w:r>
          </w:p>
        </w:tc>
        <w:tc>
          <w:tcPr>
            <w:tcW w:w="2248" w:type="dxa"/>
            <w:vAlign w:val="top"/>
          </w:tcPr>
          <w:p w14:paraId="2C52F27B">
            <w:pPr>
              <w:rPr>
                <w:rFonts w:ascii="Arial"/>
                <w:sz w:val="21"/>
              </w:rPr>
            </w:pPr>
          </w:p>
        </w:tc>
        <w:tc>
          <w:tcPr>
            <w:tcW w:w="3543" w:type="dxa"/>
            <w:vAlign w:val="top"/>
          </w:tcPr>
          <w:p w14:paraId="0879F0B3">
            <w:pPr>
              <w:pStyle w:val="212"/>
              <w:spacing w:before="67" w:line="219" w:lineRule="auto"/>
              <w:ind w:left="109"/>
            </w:pPr>
            <w:r>
              <w:rPr>
                <w:spacing w:val="-1"/>
              </w:rPr>
              <w:t>HJ2547</w:t>
            </w:r>
            <w:r>
              <w:rPr>
                <w:spacing w:val="-34"/>
              </w:rPr>
              <w:t xml:space="preserve"> </w:t>
            </w:r>
            <w:r>
              <w:rPr>
                <w:spacing w:val="-1"/>
              </w:rPr>
              <w:t>家具/HJ2540</w:t>
            </w:r>
            <w:r>
              <w:rPr>
                <w:spacing w:val="-37"/>
              </w:rPr>
              <w:t xml:space="preserve"> </w:t>
            </w:r>
            <w:r>
              <w:rPr>
                <w:spacing w:val="-1"/>
              </w:rPr>
              <w:t>木塑制品</w:t>
            </w:r>
          </w:p>
        </w:tc>
      </w:tr>
      <w:tr w14:paraId="0D3DBAA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5" w:hRule="atLeast"/>
        </w:trPr>
        <w:tc>
          <w:tcPr>
            <w:tcW w:w="583" w:type="dxa"/>
            <w:vMerge w:val="continue"/>
            <w:tcBorders>
              <w:top w:val="nil"/>
              <w:bottom w:val="nil"/>
            </w:tcBorders>
            <w:vAlign w:val="top"/>
          </w:tcPr>
          <w:p w14:paraId="57EAEF2C">
            <w:pPr>
              <w:rPr>
                <w:rFonts w:ascii="Arial"/>
                <w:sz w:val="21"/>
              </w:rPr>
            </w:pPr>
          </w:p>
        </w:tc>
        <w:tc>
          <w:tcPr>
            <w:tcW w:w="1542" w:type="dxa"/>
            <w:vMerge w:val="continue"/>
            <w:tcBorders>
              <w:top w:val="nil"/>
              <w:bottom w:val="nil"/>
            </w:tcBorders>
            <w:vAlign w:val="top"/>
          </w:tcPr>
          <w:p w14:paraId="76C15929">
            <w:pPr>
              <w:rPr>
                <w:rFonts w:ascii="Arial"/>
                <w:sz w:val="21"/>
              </w:rPr>
            </w:pPr>
          </w:p>
        </w:tc>
        <w:tc>
          <w:tcPr>
            <w:tcW w:w="2672" w:type="dxa"/>
            <w:vAlign w:val="top"/>
          </w:tcPr>
          <w:p w14:paraId="560F5189">
            <w:pPr>
              <w:pStyle w:val="212"/>
              <w:spacing w:before="67" w:line="220" w:lineRule="auto"/>
              <w:ind w:left="103"/>
            </w:pPr>
            <w:r>
              <w:rPr>
                <w:spacing w:val="-1"/>
              </w:rPr>
              <w:t>A060503</w:t>
            </w:r>
            <w:r>
              <w:rPr>
                <w:spacing w:val="-32"/>
              </w:rPr>
              <w:t xml:space="preserve"> </w:t>
            </w:r>
            <w:r>
              <w:rPr>
                <w:spacing w:val="-1"/>
              </w:rPr>
              <w:t>金属质柜类</w:t>
            </w:r>
          </w:p>
        </w:tc>
        <w:tc>
          <w:tcPr>
            <w:tcW w:w="2248" w:type="dxa"/>
            <w:vAlign w:val="top"/>
          </w:tcPr>
          <w:p w14:paraId="148476BE">
            <w:pPr>
              <w:rPr>
                <w:rFonts w:ascii="Arial"/>
                <w:sz w:val="21"/>
              </w:rPr>
            </w:pPr>
          </w:p>
        </w:tc>
        <w:tc>
          <w:tcPr>
            <w:tcW w:w="3543" w:type="dxa"/>
            <w:vAlign w:val="top"/>
          </w:tcPr>
          <w:p w14:paraId="4E6C8272">
            <w:pPr>
              <w:pStyle w:val="212"/>
              <w:spacing w:before="67" w:line="219" w:lineRule="auto"/>
              <w:ind w:left="109"/>
            </w:pPr>
            <w:r>
              <w:rPr>
                <w:spacing w:val="-1"/>
              </w:rPr>
              <w:t>HJ2547</w:t>
            </w:r>
            <w:r>
              <w:rPr>
                <w:spacing w:val="-34"/>
              </w:rPr>
              <w:t xml:space="preserve"> </w:t>
            </w:r>
            <w:r>
              <w:rPr>
                <w:spacing w:val="-1"/>
              </w:rPr>
              <w:t>家具/HJ2540</w:t>
            </w:r>
            <w:r>
              <w:rPr>
                <w:spacing w:val="-37"/>
              </w:rPr>
              <w:t xml:space="preserve"> </w:t>
            </w:r>
            <w:r>
              <w:rPr>
                <w:spacing w:val="-1"/>
              </w:rPr>
              <w:t>木塑制品</w:t>
            </w:r>
          </w:p>
        </w:tc>
      </w:tr>
      <w:tr w14:paraId="1CD4D14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8" w:hRule="atLeast"/>
        </w:trPr>
        <w:tc>
          <w:tcPr>
            <w:tcW w:w="583" w:type="dxa"/>
            <w:vMerge w:val="continue"/>
            <w:tcBorders>
              <w:top w:val="nil"/>
            </w:tcBorders>
            <w:vAlign w:val="top"/>
          </w:tcPr>
          <w:p w14:paraId="58727A63">
            <w:pPr>
              <w:rPr>
                <w:rFonts w:ascii="Arial"/>
                <w:sz w:val="21"/>
              </w:rPr>
            </w:pPr>
          </w:p>
        </w:tc>
        <w:tc>
          <w:tcPr>
            <w:tcW w:w="1542" w:type="dxa"/>
            <w:vMerge w:val="continue"/>
            <w:tcBorders>
              <w:top w:val="nil"/>
            </w:tcBorders>
            <w:vAlign w:val="top"/>
          </w:tcPr>
          <w:p w14:paraId="51A81438">
            <w:pPr>
              <w:rPr>
                <w:rFonts w:ascii="Arial"/>
                <w:sz w:val="21"/>
              </w:rPr>
            </w:pPr>
          </w:p>
        </w:tc>
        <w:tc>
          <w:tcPr>
            <w:tcW w:w="2672" w:type="dxa"/>
            <w:vAlign w:val="top"/>
          </w:tcPr>
          <w:p w14:paraId="2F3C16A4">
            <w:pPr>
              <w:pStyle w:val="212"/>
              <w:spacing w:before="67" w:line="220" w:lineRule="auto"/>
              <w:ind w:left="103"/>
            </w:pPr>
            <w:r>
              <w:rPr>
                <w:spacing w:val="-1"/>
              </w:rPr>
              <w:t>A060599</w:t>
            </w:r>
            <w:r>
              <w:rPr>
                <w:spacing w:val="-33"/>
              </w:rPr>
              <w:t xml:space="preserve"> </w:t>
            </w:r>
            <w:r>
              <w:rPr>
                <w:spacing w:val="-1"/>
              </w:rPr>
              <w:t>其他柜类</w:t>
            </w:r>
          </w:p>
        </w:tc>
        <w:tc>
          <w:tcPr>
            <w:tcW w:w="2248" w:type="dxa"/>
            <w:vAlign w:val="top"/>
          </w:tcPr>
          <w:p w14:paraId="6C660BD2">
            <w:pPr>
              <w:rPr>
                <w:rFonts w:ascii="Arial"/>
                <w:sz w:val="21"/>
              </w:rPr>
            </w:pPr>
          </w:p>
        </w:tc>
        <w:tc>
          <w:tcPr>
            <w:tcW w:w="3543" w:type="dxa"/>
            <w:vAlign w:val="top"/>
          </w:tcPr>
          <w:p w14:paraId="65C6D44F">
            <w:pPr>
              <w:pStyle w:val="212"/>
              <w:spacing w:before="67" w:line="219" w:lineRule="auto"/>
              <w:ind w:left="109"/>
            </w:pPr>
            <w:r>
              <w:rPr>
                <w:spacing w:val="-1"/>
              </w:rPr>
              <w:t>HJ2547</w:t>
            </w:r>
            <w:r>
              <w:rPr>
                <w:spacing w:val="-34"/>
              </w:rPr>
              <w:t xml:space="preserve"> </w:t>
            </w:r>
            <w:r>
              <w:rPr>
                <w:spacing w:val="-1"/>
              </w:rPr>
              <w:t>家具/HJ2540</w:t>
            </w:r>
            <w:r>
              <w:rPr>
                <w:spacing w:val="-37"/>
              </w:rPr>
              <w:t xml:space="preserve"> </w:t>
            </w:r>
            <w:r>
              <w:rPr>
                <w:spacing w:val="-1"/>
              </w:rPr>
              <w:t>木塑制品</w:t>
            </w:r>
          </w:p>
        </w:tc>
      </w:tr>
      <w:tr w14:paraId="356E2EE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8" w:hRule="atLeast"/>
        </w:trPr>
        <w:tc>
          <w:tcPr>
            <w:tcW w:w="583" w:type="dxa"/>
            <w:vMerge w:val="restart"/>
            <w:tcBorders>
              <w:bottom w:val="nil"/>
            </w:tcBorders>
            <w:vAlign w:val="top"/>
          </w:tcPr>
          <w:p w14:paraId="734FF5A3">
            <w:pPr>
              <w:pStyle w:val="212"/>
              <w:spacing w:before="67" w:line="242" w:lineRule="auto"/>
              <w:ind w:left="116"/>
            </w:pPr>
            <w:r>
              <w:rPr>
                <w:spacing w:val="-4"/>
              </w:rPr>
              <w:t>21</w:t>
            </w:r>
          </w:p>
        </w:tc>
        <w:tc>
          <w:tcPr>
            <w:tcW w:w="1542" w:type="dxa"/>
            <w:vMerge w:val="restart"/>
            <w:tcBorders>
              <w:bottom w:val="nil"/>
            </w:tcBorders>
            <w:vAlign w:val="top"/>
          </w:tcPr>
          <w:p w14:paraId="17451FDD">
            <w:pPr>
              <w:pStyle w:val="212"/>
              <w:spacing w:before="67" w:line="220" w:lineRule="auto"/>
              <w:ind w:left="102"/>
            </w:pPr>
            <w:r>
              <w:rPr>
                <w:spacing w:val="-1"/>
              </w:rPr>
              <w:t>A0606</w:t>
            </w:r>
            <w:r>
              <w:rPr>
                <w:spacing w:val="-35"/>
              </w:rPr>
              <w:t xml:space="preserve"> </w:t>
            </w:r>
            <w:r>
              <w:rPr>
                <w:spacing w:val="-1"/>
              </w:rPr>
              <w:t>架类</w:t>
            </w:r>
          </w:p>
        </w:tc>
        <w:tc>
          <w:tcPr>
            <w:tcW w:w="2672" w:type="dxa"/>
            <w:vAlign w:val="top"/>
          </w:tcPr>
          <w:p w14:paraId="39BD185F">
            <w:pPr>
              <w:pStyle w:val="212"/>
              <w:spacing w:before="67" w:line="220" w:lineRule="auto"/>
              <w:ind w:left="103"/>
            </w:pPr>
            <w:r>
              <w:rPr>
                <w:spacing w:val="-1"/>
              </w:rPr>
              <w:t>A060601</w:t>
            </w:r>
            <w:r>
              <w:rPr>
                <w:spacing w:val="-33"/>
              </w:rPr>
              <w:t xml:space="preserve"> </w:t>
            </w:r>
            <w:r>
              <w:rPr>
                <w:spacing w:val="-1"/>
              </w:rPr>
              <w:t>木质架类</w:t>
            </w:r>
          </w:p>
        </w:tc>
        <w:tc>
          <w:tcPr>
            <w:tcW w:w="2248" w:type="dxa"/>
            <w:vAlign w:val="top"/>
          </w:tcPr>
          <w:p w14:paraId="113F056E">
            <w:pPr>
              <w:rPr>
                <w:rFonts w:ascii="Arial"/>
                <w:sz w:val="21"/>
              </w:rPr>
            </w:pPr>
          </w:p>
        </w:tc>
        <w:tc>
          <w:tcPr>
            <w:tcW w:w="3543" w:type="dxa"/>
            <w:vAlign w:val="top"/>
          </w:tcPr>
          <w:p w14:paraId="737D280A">
            <w:pPr>
              <w:pStyle w:val="212"/>
              <w:spacing w:before="67" w:line="219" w:lineRule="auto"/>
              <w:ind w:left="109"/>
            </w:pPr>
            <w:r>
              <w:rPr>
                <w:spacing w:val="-1"/>
              </w:rPr>
              <w:t>HJ2547</w:t>
            </w:r>
            <w:r>
              <w:rPr>
                <w:spacing w:val="-34"/>
              </w:rPr>
              <w:t xml:space="preserve"> </w:t>
            </w:r>
            <w:r>
              <w:rPr>
                <w:spacing w:val="-1"/>
              </w:rPr>
              <w:t>家具/HJ2540</w:t>
            </w:r>
            <w:r>
              <w:rPr>
                <w:spacing w:val="-37"/>
              </w:rPr>
              <w:t xml:space="preserve"> </w:t>
            </w:r>
            <w:r>
              <w:rPr>
                <w:spacing w:val="-1"/>
              </w:rPr>
              <w:t>木塑制品</w:t>
            </w:r>
          </w:p>
        </w:tc>
      </w:tr>
      <w:tr w14:paraId="04BBDE7E">
        <w:tblPrEx>
          <w:tblCellMar>
            <w:top w:w="0" w:type="dxa"/>
            <w:left w:w="0" w:type="dxa"/>
            <w:bottom w:w="0" w:type="dxa"/>
            <w:right w:w="0" w:type="dxa"/>
          </w:tblCellMar>
        </w:tblPrEx>
        <w:trPr>
          <w:trHeight w:val="405" w:hRule="atLeast"/>
        </w:trPr>
        <w:tc>
          <w:tcPr>
            <w:tcW w:w="583" w:type="dxa"/>
            <w:vMerge w:val="continue"/>
            <w:tcBorders>
              <w:top w:val="nil"/>
            </w:tcBorders>
            <w:vAlign w:val="top"/>
          </w:tcPr>
          <w:p w14:paraId="254EB3F1">
            <w:pPr>
              <w:rPr>
                <w:rFonts w:ascii="Arial"/>
                <w:sz w:val="21"/>
              </w:rPr>
            </w:pPr>
          </w:p>
        </w:tc>
        <w:tc>
          <w:tcPr>
            <w:tcW w:w="1542" w:type="dxa"/>
            <w:vMerge w:val="continue"/>
            <w:tcBorders>
              <w:top w:val="nil"/>
            </w:tcBorders>
            <w:vAlign w:val="top"/>
          </w:tcPr>
          <w:p w14:paraId="14D6D0F7">
            <w:pPr>
              <w:rPr>
                <w:rFonts w:ascii="Arial"/>
                <w:sz w:val="21"/>
              </w:rPr>
            </w:pPr>
          </w:p>
        </w:tc>
        <w:tc>
          <w:tcPr>
            <w:tcW w:w="2672" w:type="dxa"/>
            <w:vAlign w:val="top"/>
          </w:tcPr>
          <w:p w14:paraId="2EDBCD8E">
            <w:pPr>
              <w:pStyle w:val="212"/>
              <w:spacing w:before="67" w:line="220" w:lineRule="auto"/>
              <w:ind w:left="103"/>
            </w:pPr>
            <w:r>
              <w:rPr>
                <w:spacing w:val="-1"/>
              </w:rPr>
              <w:t>A060602</w:t>
            </w:r>
            <w:r>
              <w:rPr>
                <w:spacing w:val="-32"/>
              </w:rPr>
              <w:t xml:space="preserve"> </w:t>
            </w:r>
            <w:r>
              <w:rPr>
                <w:spacing w:val="-1"/>
              </w:rPr>
              <w:t>金属质架类</w:t>
            </w:r>
          </w:p>
        </w:tc>
        <w:tc>
          <w:tcPr>
            <w:tcW w:w="2248" w:type="dxa"/>
            <w:vAlign w:val="top"/>
          </w:tcPr>
          <w:p w14:paraId="04E4E431">
            <w:pPr>
              <w:rPr>
                <w:rFonts w:ascii="Arial"/>
                <w:sz w:val="21"/>
              </w:rPr>
            </w:pPr>
          </w:p>
        </w:tc>
        <w:tc>
          <w:tcPr>
            <w:tcW w:w="3543" w:type="dxa"/>
            <w:vAlign w:val="top"/>
          </w:tcPr>
          <w:p w14:paraId="1DD8CCD5">
            <w:pPr>
              <w:pStyle w:val="212"/>
              <w:spacing w:before="67" w:line="219" w:lineRule="auto"/>
              <w:ind w:left="109"/>
            </w:pPr>
            <w:r>
              <w:rPr>
                <w:spacing w:val="-1"/>
              </w:rPr>
              <w:t>HJ2547</w:t>
            </w:r>
            <w:r>
              <w:rPr>
                <w:spacing w:val="-34"/>
              </w:rPr>
              <w:t xml:space="preserve"> </w:t>
            </w:r>
            <w:r>
              <w:rPr>
                <w:spacing w:val="-1"/>
              </w:rPr>
              <w:t>家具/HJ2540</w:t>
            </w:r>
            <w:r>
              <w:rPr>
                <w:spacing w:val="-37"/>
              </w:rPr>
              <w:t xml:space="preserve"> </w:t>
            </w:r>
            <w:r>
              <w:rPr>
                <w:spacing w:val="-1"/>
              </w:rPr>
              <w:t>木塑制品</w:t>
            </w:r>
          </w:p>
        </w:tc>
      </w:tr>
      <w:tr w14:paraId="5D549A1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8" w:hRule="atLeast"/>
        </w:trPr>
        <w:tc>
          <w:tcPr>
            <w:tcW w:w="583" w:type="dxa"/>
            <w:vMerge w:val="restart"/>
            <w:tcBorders>
              <w:bottom w:val="nil"/>
            </w:tcBorders>
            <w:vAlign w:val="top"/>
          </w:tcPr>
          <w:p w14:paraId="601BD665">
            <w:pPr>
              <w:pStyle w:val="212"/>
              <w:spacing w:before="67" w:line="242" w:lineRule="auto"/>
              <w:ind w:left="116"/>
            </w:pPr>
            <w:r>
              <w:rPr>
                <w:spacing w:val="-4"/>
              </w:rPr>
              <w:t>22</w:t>
            </w:r>
          </w:p>
        </w:tc>
        <w:tc>
          <w:tcPr>
            <w:tcW w:w="1542" w:type="dxa"/>
            <w:vMerge w:val="restart"/>
            <w:tcBorders>
              <w:bottom w:val="nil"/>
            </w:tcBorders>
            <w:vAlign w:val="top"/>
          </w:tcPr>
          <w:p w14:paraId="20C7F9F0">
            <w:pPr>
              <w:pStyle w:val="212"/>
              <w:spacing w:before="67" w:line="220" w:lineRule="auto"/>
              <w:ind w:left="102"/>
            </w:pPr>
            <w:r>
              <w:rPr>
                <w:spacing w:val="-1"/>
              </w:rPr>
              <w:t>A0607</w:t>
            </w:r>
            <w:r>
              <w:rPr>
                <w:spacing w:val="-35"/>
              </w:rPr>
              <w:t xml:space="preserve"> </w:t>
            </w:r>
            <w:r>
              <w:rPr>
                <w:spacing w:val="-1"/>
              </w:rPr>
              <w:t>屏风类</w:t>
            </w:r>
          </w:p>
        </w:tc>
        <w:tc>
          <w:tcPr>
            <w:tcW w:w="2672" w:type="dxa"/>
            <w:vAlign w:val="top"/>
          </w:tcPr>
          <w:p w14:paraId="1B6C4671">
            <w:pPr>
              <w:pStyle w:val="212"/>
              <w:spacing w:before="67" w:line="220" w:lineRule="auto"/>
              <w:ind w:left="103"/>
            </w:pPr>
            <w:r>
              <w:rPr>
                <w:spacing w:val="-1"/>
              </w:rPr>
              <w:t>A060701</w:t>
            </w:r>
            <w:r>
              <w:rPr>
                <w:spacing w:val="-33"/>
              </w:rPr>
              <w:t xml:space="preserve"> </w:t>
            </w:r>
            <w:r>
              <w:rPr>
                <w:spacing w:val="-1"/>
              </w:rPr>
              <w:t>木质屏风类</w:t>
            </w:r>
          </w:p>
        </w:tc>
        <w:tc>
          <w:tcPr>
            <w:tcW w:w="2248" w:type="dxa"/>
            <w:vAlign w:val="top"/>
          </w:tcPr>
          <w:p w14:paraId="07737F18">
            <w:pPr>
              <w:rPr>
                <w:rFonts w:ascii="Arial"/>
                <w:sz w:val="21"/>
              </w:rPr>
            </w:pPr>
          </w:p>
        </w:tc>
        <w:tc>
          <w:tcPr>
            <w:tcW w:w="3543" w:type="dxa"/>
            <w:vAlign w:val="top"/>
          </w:tcPr>
          <w:p w14:paraId="36DCE271">
            <w:pPr>
              <w:pStyle w:val="212"/>
              <w:spacing w:before="67" w:line="219" w:lineRule="auto"/>
              <w:ind w:left="109"/>
            </w:pPr>
            <w:r>
              <w:rPr>
                <w:spacing w:val="-1"/>
              </w:rPr>
              <w:t>HJ2547</w:t>
            </w:r>
            <w:r>
              <w:rPr>
                <w:spacing w:val="-34"/>
              </w:rPr>
              <w:t xml:space="preserve"> </w:t>
            </w:r>
            <w:r>
              <w:rPr>
                <w:spacing w:val="-1"/>
              </w:rPr>
              <w:t>家具/HJ2540</w:t>
            </w:r>
            <w:r>
              <w:rPr>
                <w:spacing w:val="-37"/>
              </w:rPr>
              <w:t xml:space="preserve"> </w:t>
            </w:r>
            <w:r>
              <w:rPr>
                <w:spacing w:val="-1"/>
              </w:rPr>
              <w:t>木塑制品</w:t>
            </w:r>
          </w:p>
        </w:tc>
      </w:tr>
      <w:tr w14:paraId="44F8937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8" w:hRule="atLeast"/>
        </w:trPr>
        <w:tc>
          <w:tcPr>
            <w:tcW w:w="583" w:type="dxa"/>
            <w:vMerge w:val="continue"/>
            <w:tcBorders>
              <w:top w:val="nil"/>
            </w:tcBorders>
            <w:vAlign w:val="top"/>
          </w:tcPr>
          <w:p w14:paraId="5AEC504D">
            <w:pPr>
              <w:rPr>
                <w:rFonts w:ascii="Arial"/>
                <w:sz w:val="21"/>
              </w:rPr>
            </w:pPr>
          </w:p>
        </w:tc>
        <w:tc>
          <w:tcPr>
            <w:tcW w:w="1542" w:type="dxa"/>
            <w:vMerge w:val="continue"/>
            <w:tcBorders>
              <w:top w:val="nil"/>
            </w:tcBorders>
            <w:vAlign w:val="top"/>
          </w:tcPr>
          <w:p w14:paraId="0F221205">
            <w:pPr>
              <w:rPr>
                <w:rFonts w:ascii="Arial"/>
                <w:sz w:val="21"/>
              </w:rPr>
            </w:pPr>
          </w:p>
        </w:tc>
        <w:tc>
          <w:tcPr>
            <w:tcW w:w="2672" w:type="dxa"/>
            <w:vAlign w:val="top"/>
          </w:tcPr>
          <w:p w14:paraId="2A77DD58">
            <w:pPr>
              <w:pStyle w:val="212"/>
              <w:spacing w:before="67" w:line="220" w:lineRule="auto"/>
              <w:ind w:left="103"/>
            </w:pPr>
            <w:r>
              <w:rPr>
                <w:spacing w:val="-1"/>
              </w:rPr>
              <w:t>A060702</w:t>
            </w:r>
            <w:r>
              <w:rPr>
                <w:spacing w:val="-32"/>
              </w:rPr>
              <w:t xml:space="preserve"> </w:t>
            </w:r>
            <w:r>
              <w:rPr>
                <w:spacing w:val="-1"/>
              </w:rPr>
              <w:t>金属质屏风类</w:t>
            </w:r>
          </w:p>
        </w:tc>
        <w:tc>
          <w:tcPr>
            <w:tcW w:w="2248" w:type="dxa"/>
            <w:vAlign w:val="top"/>
          </w:tcPr>
          <w:p w14:paraId="0E3222A3">
            <w:pPr>
              <w:rPr>
                <w:rFonts w:ascii="Arial"/>
                <w:sz w:val="21"/>
              </w:rPr>
            </w:pPr>
          </w:p>
        </w:tc>
        <w:tc>
          <w:tcPr>
            <w:tcW w:w="3543" w:type="dxa"/>
            <w:vAlign w:val="top"/>
          </w:tcPr>
          <w:p w14:paraId="62DDFB02">
            <w:pPr>
              <w:pStyle w:val="212"/>
              <w:spacing w:before="67" w:line="219" w:lineRule="auto"/>
              <w:ind w:left="109"/>
            </w:pPr>
            <w:r>
              <w:rPr>
                <w:spacing w:val="-1"/>
              </w:rPr>
              <w:t>HJ2547</w:t>
            </w:r>
            <w:r>
              <w:rPr>
                <w:spacing w:val="-34"/>
              </w:rPr>
              <w:t xml:space="preserve"> </w:t>
            </w:r>
            <w:r>
              <w:rPr>
                <w:spacing w:val="-1"/>
              </w:rPr>
              <w:t>家具/HJ2540</w:t>
            </w:r>
            <w:r>
              <w:rPr>
                <w:spacing w:val="-37"/>
              </w:rPr>
              <w:t xml:space="preserve"> </w:t>
            </w:r>
            <w:r>
              <w:rPr>
                <w:spacing w:val="-1"/>
              </w:rPr>
              <w:t>木塑制品</w:t>
            </w:r>
          </w:p>
        </w:tc>
      </w:tr>
      <w:tr w14:paraId="2925366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5" w:hRule="atLeast"/>
        </w:trPr>
        <w:tc>
          <w:tcPr>
            <w:tcW w:w="583" w:type="dxa"/>
            <w:vAlign w:val="top"/>
          </w:tcPr>
          <w:p w14:paraId="7BDFB1A2">
            <w:pPr>
              <w:pStyle w:val="212"/>
              <w:spacing w:before="67"/>
              <w:ind w:left="116"/>
            </w:pPr>
            <w:r>
              <w:rPr>
                <w:spacing w:val="-4"/>
              </w:rPr>
              <w:t>23</w:t>
            </w:r>
          </w:p>
        </w:tc>
        <w:tc>
          <w:tcPr>
            <w:tcW w:w="1542" w:type="dxa"/>
            <w:vAlign w:val="top"/>
          </w:tcPr>
          <w:p w14:paraId="5EF004DB">
            <w:pPr>
              <w:pStyle w:val="212"/>
              <w:spacing w:before="67" w:line="220" w:lineRule="auto"/>
              <w:ind w:left="102"/>
            </w:pPr>
            <w:r>
              <w:rPr>
                <w:spacing w:val="-1"/>
              </w:rPr>
              <w:t>A060804</w:t>
            </w:r>
            <w:r>
              <w:rPr>
                <w:spacing w:val="-32"/>
              </w:rPr>
              <w:t xml:space="preserve"> </w:t>
            </w:r>
            <w:r>
              <w:rPr>
                <w:spacing w:val="-1"/>
              </w:rPr>
              <w:t>水池</w:t>
            </w:r>
          </w:p>
        </w:tc>
        <w:tc>
          <w:tcPr>
            <w:tcW w:w="2672" w:type="dxa"/>
            <w:vAlign w:val="top"/>
          </w:tcPr>
          <w:p w14:paraId="2A7A3C0A">
            <w:pPr>
              <w:rPr>
                <w:rFonts w:ascii="Arial"/>
                <w:sz w:val="21"/>
              </w:rPr>
            </w:pPr>
          </w:p>
        </w:tc>
        <w:tc>
          <w:tcPr>
            <w:tcW w:w="2248" w:type="dxa"/>
            <w:vAlign w:val="top"/>
          </w:tcPr>
          <w:p w14:paraId="7428587C">
            <w:pPr>
              <w:rPr>
                <w:rFonts w:ascii="Arial"/>
                <w:sz w:val="21"/>
              </w:rPr>
            </w:pPr>
          </w:p>
        </w:tc>
        <w:tc>
          <w:tcPr>
            <w:tcW w:w="3543" w:type="dxa"/>
            <w:vAlign w:val="top"/>
          </w:tcPr>
          <w:p w14:paraId="1D1BE762">
            <w:pPr>
              <w:pStyle w:val="212"/>
              <w:spacing w:before="66" w:line="219" w:lineRule="auto"/>
              <w:ind w:left="109"/>
            </w:pPr>
            <w:r>
              <w:rPr>
                <w:spacing w:val="-1"/>
              </w:rPr>
              <w:t>HJ/T296</w:t>
            </w:r>
            <w:r>
              <w:rPr>
                <w:spacing w:val="-34"/>
              </w:rPr>
              <w:t xml:space="preserve"> </w:t>
            </w:r>
            <w:r>
              <w:rPr>
                <w:spacing w:val="-1"/>
              </w:rPr>
              <w:t>卫生陶瓷</w:t>
            </w:r>
          </w:p>
        </w:tc>
      </w:tr>
      <w:tr w14:paraId="10269B9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8" w:hRule="atLeast"/>
        </w:trPr>
        <w:tc>
          <w:tcPr>
            <w:tcW w:w="583" w:type="dxa"/>
            <w:vAlign w:val="top"/>
          </w:tcPr>
          <w:p w14:paraId="28BA4AB4">
            <w:pPr>
              <w:pStyle w:val="212"/>
              <w:spacing w:before="67" w:line="242" w:lineRule="auto"/>
              <w:ind w:left="116"/>
            </w:pPr>
            <w:r>
              <w:rPr>
                <w:spacing w:val="-4"/>
              </w:rPr>
              <w:t>24</w:t>
            </w:r>
          </w:p>
        </w:tc>
        <w:tc>
          <w:tcPr>
            <w:tcW w:w="1542" w:type="dxa"/>
            <w:vAlign w:val="top"/>
          </w:tcPr>
          <w:p w14:paraId="13B86564">
            <w:pPr>
              <w:pStyle w:val="212"/>
              <w:spacing w:before="67" w:line="220" w:lineRule="auto"/>
              <w:ind w:left="102"/>
            </w:pPr>
            <w:r>
              <w:rPr>
                <w:spacing w:val="-1"/>
              </w:rPr>
              <w:t>A060805</w:t>
            </w:r>
            <w:r>
              <w:rPr>
                <w:spacing w:val="-33"/>
              </w:rPr>
              <w:t xml:space="preserve"> </w:t>
            </w:r>
            <w:r>
              <w:rPr>
                <w:spacing w:val="-1"/>
              </w:rPr>
              <w:t>便器</w:t>
            </w:r>
          </w:p>
        </w:tc>
        <w:tc>
          <w:tcPr>
            <w:tcW w:w="2672" w:type="dxa"/>
            <w:vAlign w:val="top"/>
          </w:tcPr>
          <w:p w14:paraId="0A345D3C">
            <w:pPr>
              <w:rPr>
                <w:rFonts w:ascii="Arial"/>
                <w:sz w:val="21"/>
              </w:rPr>
            </w:pPr>
          </w:p>
        </w:tc>
        <w:tc>
          <w:tcPr>
            <w:tcW w:w="2248" w:type="dxa"/>
            <w:vAlign w:val="top"/>
          </w:tcPr>
          <w:p w14:paraId="25286809">
            <w:pPr>
              <w:rPr>
                <w:rFonts w:ascii="Arial"/>
                <w:sz w:val="21"/>
              </w:rPr>
            </w:pPr>
          </w:p>
        </w:tc>
        <w:tc>
          <w:tcPr>
            <w:tcW w:w="3543" w:type="dxa"/>
            <w:vAlign w:val="top"/>
          </w:tcPr>
          <w:p w14:paraId="2AF1460E">
            <w:pPr>
              <w:pStyle w:val="212"/>
              <w:spacing w:before="67" w:line="219" w:lineRule="auto"/>
              <w:ind w:left="109"/>
            </w:pPr>
            <w:r>
              <w:rPr>
                <w:spacing w:val="-1"/>
              </w:rPr>
              <w:t>HJ/T296</w:t>
            </w:r>
            <w:r>
              <w:rPr>
                <w:spacing w:val="-34"/>
              </w:rPr>
              <w:t xml:space="preserve"> </w:t>
            </w:r>
            <w:r>
              <w:rPr>
                <w:spacing w:val="-1"/>
              </w:rPr>
              <w:t>卫生陶瓷</w:t>
            </w:r>
          </w:p>
        </w:tc>
      </w:tr>
      <w:tr w14:paraId="1B02365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8" w:hRule="atLeast"/>
        </w:trPr>
        <w:tc>
          <w:tcPr>
            <w:tcW w:w="583" w:type="dxa"/>
            <w:vAlign w:val="top"/>
          </w:tcPr>
          <w:p w14:paraId="76F2D7CB">
            <w:pPr>
              <w:pStyle w:val="212"/>
              <w:spacing w:before="67"/>
              <w:ind w:left="116"/>
            </w:pPr>
            <w:r>
              <w:rPr>
                <w:spacing w:val="-4"/>
              </w:rPr>
              <w:t>25</w:t>
            </w:r>
          </w:p>
        </w:tc>
        <w:tc>
          <w:tcPr>
            <w:tcW w:w="1542" w:type="dxa"/>
            <w:vAlign w:val="top"/>
          </w:tcPr>
          <w:p w14:paraId="039CE1D4">
            <w:pPr>
              <w:pStyle w:val="212"/>
              <w:spacing w:before="67" w:line="220" w:lineRule="auto"/>
              <w:ind w:left="102"/>
            </w:pPr>
            <w:r>
              <w:rPr>
                <w:spacing w:val="-1"/>
              </w:rPr>
              <w:t>A060806</w:t>
            </w:r>
            <w:r>
              <w:rPr>
                <w:spacing w:val="-32"/>
              </w:rPr>
              <w:t xml:space="preserve"> </w:t>
            </w:r>
            <w:r>
              <w:rPr>
                <w:spacing w:val="-1"/>
              </w:rPr>
              <w:t>水嘴</w:t>
            </w:r>
          </w:p>
        </w:tc>
        <w:tc>
          <w:tcPr>
            <w:tcW w:w="2672" w:type="dxa"/>
            <w:vAlign w:val="top"/>
          </w:tcPr>
          <w:p w14:paraId="0CC6FB2B">
            <w:pPr>
              <w:rPr>
                <w:rFonts w:ascii="Arial"/>
                <w:sz w:val="21"/>
              </w:rPr>
            </w:pPr>
          </w:p>
        </w:tc>
        <w:tc>
          <w:tcPr>
            <w:tcW w:w="2248" w:type="dxa"/>
            <w:vAlign w:val="top"/>
          </w:tcPr>
          <w:p w14:paraId="2D40E176">
            <w:pPr>
              <w:rPr>
                <w:rFonts w:ascii="Arial"/>
                <w:sz w:val="21"/>
              </w:rPr>
            </w:pPr>
          </w:p>
        </w:tc>
        <w:tc>
          <w:tcPr>
            <w:tcW w:w="3543" w:type="dxa"/>
            <w:vAlign w:val="top"/>
          </w:tcPr>
          <w:p w14:paraId="00DA36D5">
            <w:pPr>
              <w:pStyle w:val="212"/>
              <w:spacing w:before="67" w:line="219" w:lineRule="auto"/>
              <w:ind w:left="109"/>
            </w:pPr>
            <w:r>
              <w:rPr>
                <w:spacing w:val="-1"/>
              </w:rPr>
              <w:t>HJ/T411</w:t>
            </w:r>
            <w:r>
              <w:rPr>
                <w:spacing w:val="-34"/>
              </w:rPr>
              <w:t xml:space="preserve"> </w:t>
            </w:r>
            <w:r>
              <w:rPr>
                <w:spacing w:val="-1"/>
              </w:rPr>
              <w:t>水嘴</w:t>
            </w:r>
          </w:p>
        </w:tc>
      </w:tr>
      <w:tr w14:paraId="284A5A1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5" w:hRule="atLeast"/>
        </w:trPr>
        <w:tc>
          <w:tcPr>
            <w:tcW w:w="583" w:type="dxa"/>
            <w:vAlign w:val="top"/>
          </w:tcPr>
          <w:p w14:paraId="6E076AE4">
            <w:pPr>
              <w:pStyle w:val="212"/>
              <w:spacing w:before="67"/>
              <w:ind w:left="116"/>
            </w:pPr>
            <w:r>
              <w:rPr>
                <w:spacing w:val="-4"/>
              </w:rPr>
              <w:t>26</w:t>
            </w:r>
          </w:p>
        </w:tc>
        <w:tc>
          <w:tcPr>
            <w:tcW w:w="1542" w:type="dxa"/>
            <w:vAlign w:val="top"/>
          </w:tcPr>
          <w:p w14:paraId="4560D868">
            <w:pPr>
              <w:pStyle w:val="212"/>
              <w:spacing w:before="67" w:line="221" w:lineRule="auto"/>
              <w:ind w:left="102"/>
            </w:pPr>
            <w:r>
              <w:rPr>
                <w:spacing w:val="-1"/>
              </w:rPr>
              <w:t>A0609</w:t>
            </w:r>
            <w:r>
              <w:rPr>
                <w:spacing w:val="-34"/>
              </w:rPr>
              <w:t xml:space="preserve"> </w:t>
            </w:r>
            <w:r>
              <w:rPr>
                <w:spacing w:val="-1"/>
              </w:rPr>
              <w:t>组合家具</w:t>
            </w:r>
          </w:p>
        </w:tc>
        <w:tc>
          <w:tcPr>
            <w:tcW w:w="2672" w:type="dxa"/>
            <w:vAlign w:val="top"/>
          </w:tcPr>
          <w:p w14:paraId="08CA595B">
            <w:pPr>
              <w:rPr>
                <w:rFonts w:ascii="Arial"/>
                <w:sz w:val="21"/>
              </w:rPr>
            </w:pPr>
          </w:p>
        </w:tc>
        <w:tc>
          <w:tcPr>
            <w:tcW w:w="2248" w:type="dxa"/>
            <w:vAlign w:val="top"/>
          </w:tcPr>
          <w:p w14:paraId="19A743E3">
            <w:pPr>
              <w:rPr>
                <w:rFonts w:ascii="Arial"/>
                <w:sz w:val="21"/>
              </w:rPr>
            </w:pPr>
          </w:p>
        </w:tc>
        <w:tc>
          <w:tcPr>
            <w:tcW w:w="3543" w:type="dxa"/>
            <w:vAlign w:val="top"/>
          </w:tcPr>
          <w:p w14:paraId="2497681D">
            <w:pPr>
              <w:pStyle w:val="212"/>
              <w:spacing w:before="67" w:line="219" w:lineRule="auto"/>
              <w:ind w:left="109"/>
            </w:pPr>
            <w:r>
              <w:rPr>
                <w:spacing w:val="-1"/>
              </w:rPr>
              <w:t>HJ2547</w:t>
            </w:r>
            <w:r>
              <w:rPr>
                <w:spacing w:val="-34"/>
              </w:rPr>
              <w:t xml:space="preserve"> </w:t>
            </w:r>
            <w:r>
              <w:rPr>
                <w:spacing w:val="-1"/>
              </w:rPr>
              <w:t>家具/HJ2540</w:t>
            </w:r>
            <w:r>
              <w:rPr>
                <w:spacing w:val="-37"/>
              </w:rPr>
              <w:t xml:space="preserve"> </w:t>
            </w:r>
            <w:r>
              <w:rPr>
                <w:spacing w:val="-1"/>
              </w:rPr>
              <w:t>木塑制品</w:t>
            </w:r>
          </w:p>
        </w:tc>
      </w:tr>
      <w:tr w14:paraId="1FECC11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583" w:type="dxa"/>
            <w:vAlign w:val="top"/>
          </w:tcPr>
          <w:p w14:paraId="2A6CA83F">
            <w:pPr>
              <w:pStyle w:val="212"/>
              <w:spacing w:before="68"/>
              <w:ind w:left="116"/>
            </w:pPr>
            <w:r>
              <w:rPr>
                <w:spacing w:val="-4"/>
              </w:rPr>
              <w:t>27</w:t>
            </w:r>
          </w:p>
        </w:tc>
        <w:tc>
          <w:tcPr>
            <w:tcW w:w="1542" w:type="dxa"/>
            <w:vAlign w:val="top"/>
          </w:tcPr>
          <w:p w14:paraId="0C3E956E">
            <w:pPr>
              <w:pStyle w:val="212"/>
              <w:spacing w:before="68" w:line="282" w:lineRule="auto"/>
              <w:ind w:left="108" w:right="106" w:hanging="6"/>
            </w:pPr>
            <w:r>
              <w:rPr>
                <w:spacing w:val="4"/>
              </w:rPr>
              <w:t>A0610</w:t>
            </w:r>
            <w:r>
              <w:rPr>
                <w:spacing w:val="31"/>
              </w:rPr>
              <w:t xml:space="preserve"> </w:t>
            </w:r>
            <w:r>
              <w:rPr>
                <w:spacing w:val="4"/>
              </w:rPr>
              <w:t>家用家具</w:t>
            </w:r>
            <w:r>
              <w:t xml:space="preserve"> </w:t>
            </w:r>
            <w:r>
              <w:rPr>
                <w:spacing w:val="-2"/>
              </w:rPr>
              <w:t>零配件</w:t>
            </w:r>
          </w:p>
        </w:tc>
        <w:tc>
          <w:tcPr>
            <w:tcW w:w="2672" w:type="dxa"/>
            <w:vAlign w:val="top"/>
          </w:tcPr>
          <w:p w14:paraId="06C3341D">
            <w:pPr>
              <w:rPr>
                <w:rFonts w:ascii="Arial"/>
                <w:sz w:val="21"/>
              </w:rPr>
            </w:pPr>
          </w:p>
        </w:tc>
        <w:tc>
          <w:tcPr>
            <w:tcW w:w="2248" w:type="dxa"/>
            <w:vAlign w:val="top"/>
          </w:tcPr>
          <w:p w14:paraId="2C05A014">
            <w:pPr>
              <w:rPr>
                <w:rFonts w:ascii="Arial"/>
                <w:sz w:val="21"/>
              </w:rPr>
            </w:pPr>
          </w:p>
        </w:tc>
        <w:tc>
          <w:tcPr>
            <w:tcW w:w="3543" w:type="dxa"/>
            <w:vAlign w:val="top"/>
          </w:tcPr>
          <w:p w14:paraId="0DE5E9DB">
            <w:pPr>
              <w:pStyle w:val="212"/>
              <w:spacing w:before="67" w:line="219" w:lineRule="auto"/>
              <w:ind w:left="109"/>
            </w:pPr>
            <w:r>
              <w:rPr>
                <w:spacing w:val="-1"/>
              </w:rPr>
              <w:t>HJ2547</w:t>
            </w:r>
            <w:r>
              <w:rPr>
                <w:spacing w:val="-34"/>
              </w:rPr>
              <w:t xml:space="preserve"> </w:t>
            </w:r>
            <w:r>
              <w:rPr>
                <w:spacing w:val="-1"/>
              </w:rPr>
              <w:t>家具/HJ2540</w:t>
            </w:r>
            <w:r>
              <w:rPr>
                <w:spacing w:val="-37"/>
              </w:rPr>
              <w:t xml:space="preserve"> </w:t>
            </w:r>
            <w:r>
              <w:rPr>
                <w:spacing w:val="-1"/>
              </w:rPr>
              <w:t>木塑制品</w:t>
            </w:r>
          </w:p>
        </w:tc>
      </w:tr>
      <w:tr w14:paraId="53DB888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1" w:hRule="atLeast"/>
        </w:trPr>
        <w:tc>
          <w:tcPr>
            <w:tcW w:w="583" w:type="dxa"/>
            <w:vAlign w:val="top"/>
          </w:tcPr>
          <w:p w14:paraId="71B3BA7A">
            <w:pPr>
              <w:pStyle w:val="212"/>
              <w:spacing w:before="70"/>
              <w:ind w:left="116"/>
            </w:pPr>
            <w:r>
              <w:rPr>
                <w:spacing w:val="-4"/>
              </w:rPr>
              <w:t>28</w:t>
            </w:r>
          </w:p>
        </w:tc>
        <w:tc>
          <w:tcPr>
            <w:tcW w:w="1542" w:type="dxa"/>
            <w:vAlign w:val="top"/>
          </w:tcPr>
          <w:p w14:paraId="47FE6AA2">
            <w:pPr>
              <w:pStyle w:val="212"/>
              <w:spacing w:before="71" w:line="282" w:lineRule="auto"/>
              <w:ind w:left="109" w:right="106" w:hanging="7"/>
            </w:pPr>
            <w:r>
              <w:rPr>
                <w:spacing w:val="4"/>
              </w:rPr>
              <w:t>A0699</w:t>
            </w:r>
            <w:r>
              <w:rPr>
                <w:spacing w:val="31"/>
              </w:rPr>
              <w:t xml:space="preserve"> </w:t>
            </w:r>
            <w:r>
              <w:rPr>
                <w:spacing w:val="4"/>
              </w:rPr>
              <w:t>其他家具</w:t>
            </w:r>
            <w:r>
              <w:t xml:space="preserve"> </w:t>
            </w:r>
            <w:r>
              <w:rPr>
                <w:spacing w:val="-3"/>
              </w:rPr>
              <w:t>用具</w:t>
            </w:r>
          </w:p>
        </w:tc>
        <w:tc>
          <w:tcPr>
            <w:tcW w:w="2672" w:type="dxa"/>
            <w:vAlign w:val="top"/>
          </w:tcPr>
          <w:p w14:paraId="62297FA8">
            <w:pPr>
              <w:rPr>
                <w:rFonts w:ascii="Arial"/>
                <w:sz w:val="21"/>
              </w:rPr>
            </w:pPr>
          </w:p>
        </w:tc>
        <w:tc>
          <w:tcPr>
            <w:tcW w:w="2248" w:type="dxa"/>
            <w:vAlign w:val="top"/>
          </w:tcPr>
          <w:p w14:paraId="1D1E7241">
            <w:pPr>
              <w:rPr>
                <w:rFonts w:ascii="Arial"/>
                <w:sz w:val="21"/>
              </w:rPr>
            </w:pPr>
          </w:p>
        </w:tc>
        <w:tc>
          <w:tcPr>
            <w:tcW w:w="3543" w:type="dxa"/>
            <w:vAlign w:val="top"/>
          </w:tcPr>
          <w:p w14:paraId="3CD9A822">
            <w:pPr>
              <w:pStyle w:val="212"/>
              <w:spacing w:before="70" w:line="219" w:lineRule="auto"/>
              <w:ind w:left="109"/>
            </w:pPr>
            <w:r>
              <w:rPr>
                <w:spacing w:val="-1"/>
              </w:rPr>
              <w:t>HJ2547</w:t>
            </w:r>
            <w:r>
              <w:rPr>
                <w:spacing w:val="-34"/>
              </w:rPr>
              <w:t xml:space="preserve"> </w:t>
            </w:r>
            <w:r>
              <w:rPr>
                <w:spacing w:val="-1"/>
              </w:rPr>
              <w:t>家具/HJ2540</w:t>
            </w:r>
            <w:r>
              <w:rPr>
                <w:spacing w:val="-37"/>
              </w:rPr>
              <w:t xml:space="preserve"> </w:t>
            </w:r>
            <w:r>
              <w:rPr>
                <w:spacing w:val="-1"/>
              </w:rPr>
              <w:t>木塑制品</w:t>
            </w:r>
          </w:p>
        </w:tc>
      </w:tr>
      <w:tr w14:paraId="0C78136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583" w:type="dxa"/>
            <w:vAlign w:val="top"/>
          </w:tcPr>
          <w:p w14:paraId="6C085D3E">
            <w:pPr>
              <w:pStyle w:val="212"/>
              <w:spacing w:before="68"/>
              <w:ind w:left="116"/>
            </w:pPr>
            <w:r>
              <w:rPr>
                <w:spacing w:val="-4"/>
              </w:rPr>
              <w:t>29</w:t>
            </w:r>
          </w:p>
        </w:tc>
        <w:tc>
          <w:tcPr>
            <w:tcW w:w="1542" w:type="dxa"/>
            <w:vAlign w:val="top"/>
          </w:tcPr>
          <w:p w14:paraId="663F829A">
            <w:pPr>
              <w:pStyle w:val="212"/>
              <w:spacing w:before="69" w:line="284" w:lineRule="auto"/>
              <w:ind w:left="111" w:right="106" w:hanging="9"/>
            </w:pPr>
            <w:r>
              <w:rPr>
                <w:spacing w:val="-7"/>
              </w:rPr>
              <w:t>A070101</w:t>
            </w:r>
            <w:r>
              <w:rPr>
                <w:spacing w:val="-36"/>
              </w:rPr>
              <w:t xml:space="preserve"> </w:t>
            </w:r>
            <w:r>
              <w:rPr>
                <w:spacing w:val="-7"/>
              </w:rPr>
              <w:t>棉、化纤</w:t>
            </w:r>
            <w:r>
              <w:t xml:space="preserve"> </w:t>
            </w:r>
            <w:r>
              <w:rPr>
                <w:spacing w:val="-2"/>
              </w:rPr>
              <w:t>纺织及印染原料</w:t>
            </w:r>
          </w:p>
        </w:tc>
        <w:tc>
          <w:tcPr>
            <w:tcW w:w="2672" w:type="dxa"/>
            <w:vAlign w:val="top"/>
          </w:tcPr>
          <w:p w14:paraId="0330E98B">
            <w:pPr>
              <w:rPr>
                <w:rFonts w:ascii="Arial"/>
                <w:sz w:val="21"/>
              </w:rPr>
            </w:pPr>
          </w:p>
        </w:tc>
        <w:tc>
          <w:tcPr>
            <w:tcW w:w="2248" w:type="dxa"/>
            <w:vAlign w:val="top"/>
          </w:tcPr>
          <w:p w14:paraId="62FF6221">
            <w:pPr>
              <w:rPr>
                <w:rFonts w:ascii="Arial"/>
                <w:sz w:val="21"/>
              </w:rPr>
            </w:pPr>
          </w:p>
        </w:tc>
        <w:tc>
          <w:tcPr>
            <w:tcW w:w="3543" w:type="dxa"/>
            <w:vAlign w:val="top"/>
          </w:tcPr>
          <w:p w14:paraId="27AFCC61">
            <w:pPr>
              <w:pStyle w:val="212"/>
              <w:spacing w:before="67" w:line="219" w:lineRule="auto"/>
              <w:ind w:left="109"/>
            </w:pPr>
            <w:r>
              <w:rPr>
                <w:spacing w:val="-1"/>
              </w:rPr>
              <w:t>HJ2546</w:t>
            </w:r>
            <w:r>
              <w:rPr>
                <w:spacing w:val="-34"/>
              </w:rPr>
              <w:t xml:space="preserve"> </w:t>
            </w:r>
            <w:r>
              <w:rPr>
                <w:spacing w:val="-1"/>
              </w:rPr>
              <w:t>纺织产品</w:t>
            </w:r>
          </w:p>
        </w:tc>
      </w:tr>
      <w:tr w14:paraId="36044C8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5" w:hRule="atLeast"/>
        </w:trPr>
        <w:tc>
          <w:tcPr>
            <w:tcW w:w="583" w:type="dxa"/>
            <w:vAlign w:val="top"/>
          </w:tcPr>
          <w:p w14:paraId="6B9759D3">
            <w:pPr>
              <w:pStyle w:val="212"/>
              <w:spacing w:before="68"/>
              <w:ind w:left="118"/>
            </w:pPr>
            <w:r>
              <w:rPr>
                <w:spacing w:val="-5"/>
              </w:rPr>
              <w:t>30</w:t>
            </w:r>
          </w:p>
        </w:tc>
        <w:tc>
          <w:tcPr>
            <w:tcW w:w="1542" w:type="dxa"/>
            <w:vAlign w:val="top"/>
          </w:tcPr>
          <w:p w14:paraId="71EB6A48">
            <w:pPr>
              <w:pStyle w:val="212"/>
              <w:spacing w:before="69" w:line="296" w:lineRule="auto"/>
              <w:ind w:left="109" w:right="106" w:hanging="7"/>
              <w:jc w:val="both"/>
            </w:pPr>
            <w:r>
              <w:rPr>
                <w:spacing w:val="-2"/>
              </w:rPr>
              <w:t>A090101</w:t>
            </w:r>
            <w:r>
              <w:rPr>
                <w:spacing w:val="42"/>
              </w:rPr>
              <w:t xml:space="preserve"> </w:t>
            </w:r>
            <w:r>
              <w:rPr>
                <w:spacing w:val="-2"/>
              </w:rPr>
              <w:t>复</w:t>
            </w:r>
            <w:r>
              <w:rPr>
                <w:spacing w:val="-48"/>
              </w:rPr>
              <w:t xml:space="preserve"> </w:t>
            </w:r>
            <w:r>
              <w:rPr>
                <w:spacing w:val="-2"/>
              </w:rPr>
              <w:t>印纸</w:t>
            </w:r>
            <w:r>
              <w:t xml:space="preserve"> </w:t>
            </w:r>
            <w:r>
              <w:rPr>
                <w:spacing w:val="8"/>
              </w:rPr>
              <w:t>（包括再生复印</w:t>
            </w:r>
            <w:r>
              <w:rPr>
                <w:spacing w:val="4"/>
              </w:rPr>
              <w:t xml:space="preserve"> </w:t>
            </w:r>
            <w:r>
              <w:rPr>
                <w:spacing w:val="-5"/>
              </w:rPr>
              <w:t>纸）</w:t>
            </w:r>
          </w:p>
        </w:tc>
        <w:tc>
          <w:tcPr>
            <w:tcW w:w="2672" w:type="dxa"/>
            <w:vAlign w:val="top"/>
          </w:tcPr>
          <w:p w14:paraId="0D2FD32E">
            <w:pPr>
              <w:rPr>
                <w:rFonts w:ascii="Arial"/>
                <w:sz w:val="21"/>
              </w:rPr>
            </w:pPr>
          </w:p>
        </w:tc>
        <w:tc>
          <w:tcPr>
            <w:tcW w:w="2248" w:type="dxa"/>
            <w:vAlign w:val="top"/>
          </w:tcPr>
          <w:p w14:paraId="27BA282D">
            <w:pPr>
              <w:rPr>
                <w:rFonts w:ascii="Arial"/>
                <w:sz w:val="21"/>
              </w:rPr>
            </w:pPr>
          </w:p>
        </w:tc>
        <w:tc>
          <w:tcPr>
            <w:tcW w:w="3543" w:type="dxa"/>
            <w:vAlign w:val="top"/>
          </w:tcPr>
          <w:p w14:paraId="5279D6C1">
            <w:pPr>
              <w:pStyle w:val="212"/>
              <w:spacing w:before="67" w:line="219" w:lineRule="auto"/>
              <w:ind w:left="109"/>
            </w:pPr>
            <w:r>
              <w:rPr>
                <w:spacing w:val="-2"/>
              </w:rPr>
              <w:t>HJ410</w:t>
            </w:r>
            <w:r>
              <w:rPr>
                <w:spacing w:val="-27"/>
              </w:rPr>
              <w:t xml:space="preserve"> </w:t>
            </w:r>
            <w:r>
              <w:rPr>
                <w:spacing w:val="-2"/>
              </w:rPr>
              <w:t>文化用纸</w:t>
            </w:r>
          </w:p>
        </w:tc>
      </w:tr>
      <w:tr w14:paraId="6F09B38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0" w:hRule="atLeast"/>
        </w:trPr>
        <w:tc>
          <w:tcPr>
            <w:tcW w:w="583" w:type="dxa"/>
            <w:vAlign w:val="top"/>
          </w:tcPr>
          <w:p w14:paraId="5AE20200">
            <w:pPr>
              <w:pStyle w:val="212"/>
              <w:spacing w:before="64"/>
              <w:ind w:left="118"/>
            </w:pPr>
            <w:r>
              <w:rPr>
                <w:spacing w:val="-5"/>
              </w:rPr>
              <w:t>31</w:t>
            </w:r>
          </w:p>
        </w:tc>
        <w:tc>
          <w:tcPr>
            <w:tcW w:w="1542" w:type="dxa"/>
            <w:vAlign w:val="top"/>
          </w:tcPr>
          <w:p w14:paraId="18CEB351">
            <w:pPr>
              <w:pStyle w:val="212"/>
              <w:spacing w:before="64" w:line="296" w:lineRule="auto"/>
              <w:ind w:left="109" w:right="106" w:hanging="7"/>
              <w:jc w:val="both"/>
            </w:pPr>
            <w:r>
              <w:rPr>
                <w:spacing w:val="3"/>
              </w:rPr>
              <w:t>A090201</w:t>
            </w:r>
            <w:r>
              <w:rPr>
                <w:spacing w:val="34"/>
              </w:rPr>
              <w:t xml:space="preserve"> </w:t>
            </w:r>
            <w:r>
              <w:rPr>
                <w:spacing w:val="3"/>
              </w:rPr>
              <w:t>鼓粉盒</w:t>
            </w:r>
            <w:r>
              <w:t xml:space="preserve"> </w:t>
            </w:r>
            <w:r>
              <w:rPr>
                <w:spacing w:val="8"/>
              </w:rPr>
              <w:t>（包括再生鼓粉</w:t>
            </w:r>
            <w:r>
              <w:rPr>
                <w:spacing w:val="4"/>
              </w:rPr>
              <w:t xml:space="preserve"> </w:t>
            </w:r>
            <w:r>
              <w:rPr>
                <w:spacing w:val="-5"/>
              </w:rPr>
              <w:t>盒）</w:t>
            </w:r>
          </w:p>
        </w:tc>
        <w:tc>
          <w:tcPr>
            <w:tcW w:w="2672" w:type="dxa"/>
            <w:vAlign w:val="top"/>
          </w:tcPr>
          <w:p w14:paraId="02C5799D">
            <w:pPr>
              <w:rPr>
                <w:rFonts w:ascii="Arial"/>
                <w:sz w:val="21"/>
              </w:rPr>
            </w:pPr>
          </w:p>
        </w:tc>
        <w:tc>
          <w:tcPr>
            <w:tcW w:w="2248" w:type="dxa"/>
            <w:vAlign w:val="top"/>
          </w:tcPr>
          <w:p w14:paraId="24D7525A">
            <w:pPr>
              <w:rPr>
                <w:rFonts w:ascii="Arial"/>
                <w:sz w:val="21"/>
              </w:rPr>
            </w:pPr>
          </w:p>
        </w:tc>
        <w:tc>
          <w:tcPr>
            <w:tcW w:w="3543" w:type="dxa"/>
            <w:vAlign w:val="top"/>
          </w:tcPr>
          <w:p w14:paraId="4B489F3D">
            <w:pPr>
              <w:pStyle w:val="212"/>
              <w:spacing w:before="63" w:line="219" w:lineRule="auto"/>
              <w:ind w:left="109"/>
            </w:pPr>
            <w:r>
              <w:rPr>
                <w:spacing w:val="-1"/>
              </w:rPr>
              <w:t>HJ/T413</w:t>
            </w:r>
            <w:r>
              <w:rPr>
                <w:spacing w:val="-34"/>
              </w:rPr>
              <w:t xml:space="preserve"> </w:t>
            </w:r>
            <w:r>
              <w:rPr>
                <w:spacing w:val="-1"/>
              </w:rPr>
              <w:t>再生鼓粉盒</w:t>
            </w:r>
          </w:p>
        </w:tc>
      </w:tr>
      <w:tr w14:paraId="5460C2D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0" w:hRule="atLeast"/>
        </w:trPr>
        <w:tc>
          <w:tcPr>
            <w:tcW w:w="583" w:type="dxa"/>
            <w:vMerge w:val="restart"/>
            <w:tcBorders>
              <w:bottom w:val="nil"/>
            </w:tcBorders>
            <w:vAlign w:val="top"/>
          </w:tcPr>
          <w:p w14:paraId="73D20A8E">
            <w:pPr>
              <w:pStyle w:val="212"/>
              <w:spacing w:before="64"/>
              <w:ind w:left="118"/>
            </w:pPr>
            <w:r>
              <w:rPr>
                <w:spacing w:val="-5"/>
              </w:rPr>
              <w:t>32</w:t>
            </w:r>
          </w:p>
        </w:tc>
        <w:tc>
          <w:tcPr>
            <w:tcW w:w="1542" w:type="dxa"/>
            <w:vMerge w:val="restart"/>
            <w:tcBorders>
              <w:bottom w:val="nil"/>
            </w:tcBorders>
            <w:vAlign w:val="top"/>
          </w:tcPr>
          <w:p w14:paraId="60247062">
            <w:pPr>
              <w:pStyle w:val="212"/>
              <w:spacing w:before="64" w:line="219" w:lineRule="auto"/>
              <w:ind w:left="102"/>
            </w:pPr>
            <w:r>
              <w:rPr>
                <w:spacing w:val="-1"/>
              </w:rPr>
              <w:t>A100203</w:t>
            </w:r>
            <w:r>
              <w:rPr>
                <w:spacing w:val="-33"/>
              </w:rPr>
              <w:t xml:space="preserve"> </w:t>
            </w:r>
            <w:r>
              <w:rPr>
                <w:spacing w:val="-1"/>
              </w:rPr>
              <w:t>人造板</w:t>
            </w:r>
          </w:p>
        </w:tc>
        <w:tc>
          <w:tcPr>
            <w:tcW w:w="2672" w:type="dxa"/>
            <w:vAlign w:val="top"/>
          </w:tcPr>
          <w:p w14:paraId="7EFC192F">
            <w:pPr>
              <w:pStyle w:val="212"/>
              <w:spacing w:before="64" w:line="219" w:lineRule="auto"/>
              <w:ind w:left="103"/>
            </w:pPr>
            <w:r>
              <w:rPr>
                <w:spacing w:val="-1"/>
              </w:rPr>
              <w:t>A10020301</w:t>
            </w:r>
            <w:r>
              <w:rPr>
                <w:spacing w:val="-32"/>
              </w:rPr>
              <w:t xml:space="preserve"> </w:t>
            </w:r>
            <w:r>
              <w:rPr>
                <w:spacing w:val="-1"/>
              </w:rPr>
              <w:t>胶合板</w:t>
            </w:r>
          </w:p>
        </w:tc>
        <w:tc>
          <w:tcPr>
            <w:tcW w:w="2248" w:type="dxa"/>
            <w:vAlign w:val="top"/>
          </w:tcPr>
          <w:p w14:paraId="5D0C019B">
            <w:pPr>
              <w:rPr>
                <w:rFonts w:ascii="Arial"/>
                <w:sz w:val="21"/>
              </w:rPr>
            </w:pPr>
          </w:p>
        </w:tc>
        <w:tc>
          <w:tcPr>
            <w:tcW w:w="3543" w:type="dxa"/>
            <w:vAlign w:val="top"/>
          </w:tcPr>
          <w:p w14:paraId="02BA6B7E">
            <w:pPr>
              <w:pStyle w:val="212"/>
              <w:spacing w:before="64" w:line="219" w:lineRule="auto"/>
              <w:ind w:left="109"/>
            </w:pPr>
            <w:r>
              <w:rPr>
                <w:spacing w:val="-1"/>
              </w:rPr>
              <w:t>HJ571</w:t>
            </w:r>
            <w:r>
              <w:rPr>
                <w:spacing w:val="-34"/>
              </w:rPr>
              <w:t xml:space="preserve"> </w:t>
            </w:r>
            <w:r>
              <w:rPr>
                <w:spacing w:val="-1"/>
              </w:rPr>
              <w:t>人造板及其制品</w:t>
            </w:r>
          </w:p>
        </w:tc>
      </w:tr>
      <w:tr w14:paraId="1DDE05A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8" w:hRule="atLeast"/>
        </w:trPr>
        <w:tc>
          <w:tcPr>
            <w:tcW w:w="583" w:type="dxa"/>
            <w:vMerge w:val="continue"/>
            <w:tcBorders>
              <w:top w:val="nil"/>
              <w:bottom w:val="nil"/>
            </w:tcBorders>
            <w:vAlign w:val="top"/>
          </w:tcPr>
          <w:p w14:paraId="7A586619">
            <w:pPr>
              <w:rPr>
                <w:rFonts w:ascii="Arial"/>
                <w:sz w:val="21"/>
              </w:rPr>
            </w:pPr>
          </w:p>
        </w:tc>
        <w:tc>
          <w:tcPr>
            <w:tcW w:w="1542" w:type="dxa"/>
            <w:vMerge w:val="continue"/>
            <w:tcBorders>
              <w:top w:val="nil"/>
              <w:bottom w:val="nil"/>
            </w:tcBorders>
            <w:vAlign w:val="top"/>
          </w:tcPr>
          <w:p w14:paraId="5C7CE7E4">
            <w:pPr>
              <w:rPr>
                <w:rFonts w:ascii="Arial"/>
                <w:sz w:val="21"/>
              </w:rPr>
            </w:pPr>
          </w:p>
        </w:tc>
        <w:tc>
          <w:tcPr>
            <w:tcW w:w="2672" w:type="dxa"/>
            <w:vAlign w:val="top"/>
          </w:tcPr>
          <w:p w14:paraId="4C42CE39">
            <w:pPr>
              <w:pStyle w:val="212"/>
              <w:spacing w:before="65" w:line="219" w:lineRule="auto"/>
              <w:ind w:left="103"/>
            </w:pPr>
            <w:r>
              <w:rPr>
                <w:spacing w:val="-1"/>
              </w:rPr>
              <w:t>A10020302</w:t>
            </w:r>
            <w:r>
              <w:rPr>
                <w:spacing w:val="-30"/>
              </w:rPr>
              <w:t xml:space="preserve"> </w:t>
            </w:r>
            <w:r>
              <w:rPr>
                <w:spacing w:val="-1"/>
              </w:rPr>
              <w:t>纤维板</w:t>
            </w:r>
          </w:p>
        </w:tc>
        <w:tc>
          <w:tcPr>
            <w:tcW w:w="2248" w:type="dxa"/>
            <w:vAlign w:val="top"/>
          </w:tcPr>
          <w:p w14:paraId="730D3B7A">
            <w:pPr>
              <w:rPr>
                <w:rFonts w:ascii="Arial"/>
                <w:sz w:val="21"/>
              </w:rPr>
            </w:pPr>
          </w:p>
        </w:tc>
        <w:tc>
          <w:tcPr>
            <w:tcW w:w="3543" w:type="dxa"/>
            <w:vAlign w:val="top"/>
          </w:tcPr>
          <w:p w14:paraId="4D87B76C">
            <w:pPr>
              <w:pStyle w:val="212"/>
              <w:spacing w:before="64" w:line="219" w:lineRule="auto"/>
              <w:ind w:left="109"/>
            </w:pPr>
            <w:r>
              <w:rPr>
                <w:spacing w:val="-1"/>
              </w:rPr>
              <w:t>HJ571</w:t>
            </w:r>
            <w:r>
              <w:rPr>
                <w:spacing w:val="-34"/>
              </w:rPr>
              <w:t xml:space="preserve"> </w:t>
            </w:r>
            <w:r>
              <w:rPr>
                <w:spacing w:val="-1"/>
              </w:rPr>
              <w:t>人造板及其制品</w:t>
            </w:r>
          </w:p>
        </w:tc>
      </w:tr>
      <w:tr w14:paraId="3ACD47B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5" w:hRule="atLeast"/>
        </w:trPr>
        <w:tc>
          <w:tcPr>
            <w:tcW w:w="583" w:type="dxa"/>
            <w:vMerge w:val="continue"/>
            <w:tcBorders>
              <w:top w:val="nil"/>
              <w:bottom w:val="nil"/>
            </w:tcBorders>
            <w:vAlign w:val="top"/>
          </w:tcPr>
          <w:p w14:paraId="2C31392A">
            <w:pPr>
              <w:rPr>
                <w:rFonts w:ascii="Arial"/>
                <w:sz w:val="21"/>
              </w:rPr>
            </w:pPr>
          </w:p>
        </w:tc>
        <w:tc>
          <w:tcPr>
            <w:tcW w:w="1542" w:type="dxa"/>
            <w:vMerge w:val="continue"/>
            <w:tcBorders>
              <w:top w:val="nil"/>
              <w:bottom w:val="nil"/>
            </w:tcBorders>
            <w:vAlign w:val="top"/>
          </w:tcPr>
          <w:p w14:paraId="1F004592">
            <w:pPr>
              <w:rPr>
                <w:rFonts w:ascii="Arial"/>
                <w:sz w:val="21"/>
              </w:rPr>
            </w:pPr>
          </w:p>
        </w:tc>
        <w:tc>
          <w:tcPr>
            <w:tcW w:w="2672" w:type="dxa"/>
            <w:vAlign w:val="top"/>
          </w:tcPr>
          <w:p w14:paraId="716CE41D">
            <w:pPr>
              <w:pStyle w:val="212"/>
              <w:spacing w:before="65" w:line="219" w:lineRule="auto"/>
              <w:ind w:left="103"/>
            </w:pPr>
            <w:r>
              <w:rPr>
                <w:spacing w:val="-1"/>
              </w:rPr>
              <w:t>A10020303</w:t>
            </w:r>
            <w:r>
              <w:rPr>
                <w:spacing w:val="-32"/>
              </w:rPr>
              <w:t xml:space="preserve"> </w:t>
            </w:r>
            <w:r>
              <w:rPr>
                <w:spacing w:val="-1"/>
              </w:rPr>
              <w:t>刨花板</w:t>
            </w:r>
          </w:p>
        </w:tc>
        <w:tc>
          <w:tcPr>
            <w:tcW w:w="2248" w:type="dxa"/>
            <w:vAlign w:val="top"/>
          </w:tcPr>
          <w:p w14:paraId="7DE9B386">
            <w:pPr>
              <w:rPr>
                <w:rFonts w:ascii="Arial"/>
                <w:sz w:val="21"/>
              </w:rPr>
            </w:pPr>
          </w:p>
        </w:tc>
        <w:tc>
          <w:tcPr>
            <w:tcW w:w="3543" w:type="dxa"/>
            <w:vAlign w:val="top"/>
          </w:tcPr>
          <w:p w14:paraId="51394242">
            <w:pPr>
              <w:pStyle w:val="212"/>
              <w:spacing w:before="64" w:line="219" w:lineRule="auto"/>
              <w:ind w:left="109"/>
            </w:pPr>
            <w:r>
              <w:rPr>
                <w:spacing w:val="-1"/>
              </w:rPr>
              <w:t>HJ571</w:t>
            </w:r>
            <w:r>
              <w:rPr>
                <w:spacing w:val="-34"/>
              </w:rPr>
              <w:t xml:space="preserve"> </w:t>
            </w:r>
            <w:r>
              <w:rPr>
                <w:spacing w:val="-1"/>
              </w:rPr>
              <w:t>人造板及其制品</w:t>
            </w:r>
          </w:p>
        </w:tc>
      </w:tr>
      <w:tr w14:paraId="0099CD3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8" w:hRule="atLeast"/>
        </w:trPr>
        <w:tc>
          <w:tcPr>
            <w:tcW w:w="583" w:type="dxa"/>
            <w:vMerge w:val="continue"/>
            <w:tcBorders>
              <w:top w:val="nil"/>
              <w:bottom w:val="nil"/>
            </w:tcBorders>
            <w:vAlign w:val="top"/>
          </w:tcPr>
          <w:p w14:paraId="25773387">
            <w:pPr>
              <w:rPr>
                <w:rFonts w:ascii="Arial"/>
                <w:sz w:val="21"/>
              </w:rPr>
            </w:pPr>
          </w:p>
        </w:tc>
        <w:tc>
          <w:tcPr>
            <w:tcW w:w="1542" w:type="dxa"/>
            <w:vMerge w:val="continue"/>
            <w:tcBorders>
              <w:top w:val="nil"/>
              <w:bottom w:val="nil"/>
            </w:tcBorders>
            <w:vAlign w:val="top"/>
          </w:tcPr>
          <w:p w14:paraId="11B1FCC9">
            <w:pPr>
              <w:rPr>
                <w:rFonts w:ascii="Arial"/>
                <w:sz w:val="21"/>
              </w:rPr>
            </w:pPr>
          </w:p>
        </w:tc>
        <w:tc>
          <w:tcPr>
            <w:tcW w:w="2672" w:type="dxa"/>
            <w:vAlign w:val="top"/>
          </w:tcPr>
          <w:p w14:paraId="2DAAB28E">
            <w:pPr>
              <w:pStyle w:val="212"/>
              <w:spacing w:before="68" w:line="219" w:lineRule="auto"/>
              <w:ind w:left="103"/>
            </w:pPr>
            <w:r>
              <w:rPr>
                <w:spacing w:val="-1"/>
              </w:rPr>
              <w:t>A10020304</w:t>
            </w:r>
            <w:r>
              <w:rPr>
                <w:spacing w:val="-31"/>
              </w:rPr>
              <w:t xml:space="preserve"> </w:t>
            </w:r>
            <w:r>
              <w:rPr>
                <w:spacing w:val="-1"/>
              </w:rPr>
              <w:t>细木工板</w:t>
            </w:r>
          </w:p>
        </w:tc>
        <w:tc>
          <w:tcPr>
            <w:tcW w:w="2248" w:type="dxa"/>
            <w:vAlign w:val="top"/>
          </w:tcPr>
          <w:p w14:paraId="5AA641E9">
            <w:pPr>
              <w:rPr>
                <w:rFonts w:ascii="Arial"/>
                <w:sz w:val="21"/>
              </w:rPr>
            </w:pPr>
          </w:p>
        </w:tc>
        <w:tc>
          <w:tcPr>
            <w:tcW w:w="3543" w:type="dxa"/>
            <w:vAlign w:val="top"/>
          </w:tcPr>
          <w:p w14:paraId="23D010C9">
            <w:pPr>
              <w:pStyle w:val="212"/>
              <w:spacing w:before="67" w:line="219" w:lineRule="auto"/>
              <w:ind w:left="109"/>
            </w:pPr>
            <w:r>
              <w:rPr>
                <w:spacing w:val="-1"/>
              </w:rPr>
              <w:t>HJ571</w:t>
            </w:r>
            <w:r>
              <w:rPr>
                <w:spacing w:val="-34"/>
              </w:rPr>
              <w:t xml:space="preserve"> </w:t>
            </w:r>
            <w:r>
              <w:rPr>
                <w:spacing w:val="-1"/>
              </w:rPr>
              <w:t>人造板及其制品</w:t>
            </w:r>
          </w:p>
        </w:tc>
      </w:tr>
      <w:tr w14:paraId="1A883FB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8" w:hRule="atLeast"/>
        </w:trPr>
        <w:tc>
          <w:tcPr>
            <w:tcW w:w="583" w:type="dxa"/>
            <w:vMerge w:val="continue"/>
            <w:tcBorders>
              <w:top w:val="nil"/>
            </w:tcBorders>
            <w:vAlign w:val="top"/>
          </w:tcPr>
          <w:p w14:paraId="4D2ADE76">
            <w:pPr>
              <w:rPr>
                <w:rFonts w:ascii="Arial"/>
                <w:sz w:val="21"/>
              </w:rPr>
            </w:pPr>
          </w:p>
        </w:tc>
        <w:tc>
          <w:tcPr>
            <w:tcW w:w="1542" w:type="dxa"/>
            <w:vMerge w:val="continue"/>
            <w:tcBorders>
              <w:top w:val="nil"/>
            </w:tcBorders>
            <w:vAlign w:val="top"/>
          </w:tcPr>
          <w:p w14:paraId="3995B404">
            <w:pPr>
              <w:rPr>
                <w:rFonts w:ascii="Arial"/>
                <w:sz w:val="21"/>
              </w:rPr>
            </w:pPr>
          </w:p>
        </w:tc>
        <w:tc>
          <w:tcPr>
            <w:tcW w:w="2672" w:type="dxa"/>
            <w:vAlign w:val="top"/>
          </w:tcPr>
          <w:p w14:paraId="7440858E">
            <w:pPr>
              <w:pStyle w:val="212"/>
              <w:spacing w:before="65" w:line="219" w:lineRule="auto"/>
              <w:ind w:left="103"/>
            </w:pPr>
            <w:r>
              <w:rPr>
                <w:spacing w:val="-1"/>
              </w:rPr>
              <w:t>A10020399</w:t>
            </w:r>
            <w:r>
              <w:rPr>
                <w:spacing w:val="-31"/>
              </w:rPr>
              <w:t xml:space="preserve"> </w:t>
            </w:r>
            <w:r>
              <w:rPr>
                <w:spacing w:val="-1"/>
              </w:rPr>
              <w:t>其他人造板</w:t>
            </w:r>
          </w:p>
        </w:tc>
        <w:tc>
          <w:tcPr>
            <w:tcW w:w="2248" w:type="dxa"/>
            <w:vAlign w:val="top"/>
          </w:tcPr>
          <w:p w14:paraId="56B92C13">
            <w:pPr>
              <w:rPr>
                <w:rFonts w:ascii="Arial"/>
                <w:sz w:val="21"/>
              </w:rPr>
            </w:pPr>
          </w:p>
        </w:tc>
        <w:tc>
          <w:tcPr>
            <w:tcW w:w="3543" w:type="dxa"/>
            <w:vAlign w:val="top"/>
          </w:tcPr>
          <w:p w14:paraId="7BFF304A">
            <w:pPr>
              <w:pStyle w:val="212"/>
              <w:spacing w:before="64" w:line="219" w:lineRule="auto"/>
              <w:ind w:left="109"/>
            </w:pPr>
            <w:r>
              <w:rPr>
                <w:spacing w:val="-1"/>
              </w:rPr>
              <w:t>HJ571</w:t>
            </w:r>
            <w:r>
              <w:rPr>
                <w:spacing w:val="-34"/>
              </w:rPr>
              <w:t xml:space="preserve"> </w:t>
            </w:r>
            <w:r>
              <w:rPr>
                <w:spacing w:val="-1"/>
              </w:rPr>
              <w:t>人造板及其制品</w:t>
            </w:r>
          </w:p>
        </w:tc>
      </w:tr>
      <w:tr w14:paraId="3C665AB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573" w:hRule="atLeast"/>
        </w:trPr>
        <w:tc>
          <w:tcPr>
            <w:tcW w:w="583" w:type="dxa"/>
            <w:vMerge w:val="restart"/>
            <w:tcBorders>
              <w:bottom w:val="nil"/>
            </w:tcBorders>
            <w:vAlign w:val="top"/>
          </w:tcPr>
          <w:p w14:paraId="239BEB6C">
            <w:pPr>
              <w:pStyle w:val="212"/>
              <w:spacing w:before="65"/>
              <w:ind w:left="118"/>
            </w:pPr>
            <w:r>
              <w:rPr>
                <w:spacing w:val="-5"/>
              </w:rPr>
              <w:t>33</w:t>
            </w:r>
          </w:p>
        </w:tc>
        <w:tc>
          <w:tcPr>
            <w:tcW w:w="1542" w:type="dxa"/>
            <w:vMerge w:val="restart"/>
            <w:tcBorders>
              <w:bottom w:val="nil"/>
            </w:tcBorders>
            <w:vAlign w:val="top"/>
          </w:tcPr>
          <w:p w14:paraId="5FB21499">
            <w:pPr>
              <w:pStyle w:val="212"/>
              <w:spacing w:before="64" w:line="321" w:lineRule="auto"/>
              <w:ind w:left="109" w:right="108" w:hanging="7"/>
            </w:pPr>
            <w:r>
              <w:rPr>
                <w:spacing w:val="3"/>
              </w:rPr>
              <w:t>A100204</w:t>
            </w:r>
            <w:r>
              <w:rPr>
                <w:spacing w:val="34"/>
              </w:rPr>
              <w:t xml:space="preserve"> </w:t>
            </w:r>
            <w:r>
              <w:rPr>
                <w:spacing w:val="3"/>
              </w:rPr>
              <w:t>二次加</w:t>
            </w:r>
            <w:r>
              <w:t xml:space="preserve"> </w:t>
            </w:r>
            <w:r>
              <w:rPr>
                <w:spacing w:val="-2"/>
              </w:rPr>
              <w:t>工材,相关板材</w:t>
            </w:r>
          </w:p>
        </w:tc>
        <w:tc>
          <w:tcPr>
            <w:tcW w:w="2672" w:type="dxa"/>
            <w:vAlign w:val="top"/>
          </w:tcPr>
          <w:p w14:paraId="17ED21B3">
            <w:pPr>
              <w:pStyle w:val="212"/>
              <w:spacing w:before="65" w:line="219" w:lineRule="auto"/>
              <w:ind w:left="103"/>
            </w:pPr>
            <w:r>
              <w:rPr>
                <w:spacing w:val="-1"/>
              </w:rPr>
              <w:t>A10020404</w:t>
            </w:r>
            <w:r>
              <w:rPr>
                <w:spacing w:val="-28"/>
              </w:rPr>
              <w:t xml:space="preserve"> </w:t>
            </w:r>
            <w:r>
              <w:rPr>
                <w:spacing w:val="-1"/>
              </w:rPr>
              <w:t>人造板表面装饰板</w:t>
            </w:r>
          </w:p>
        </w:tc>
        <w:tc>
          <w:tcPr>
            <w:tcW w:w="2248" w:type="dxa"/>
            <w:vAlign w:val="top"/>
          </w:tcPr>
          <w:p w14:paraId="671F7172">
            <w:pPr>
              <w:rPr>
                <w:rFonts w:ascii="Arial"/>
                <w:sz w:val="21"/>
              </w:rPr>
            </w:pPr>
          </w:p>
        </w:tc>
        <w:tc>
          <w:tcPr>
            <w:tcW w:w="3543" w:type="dxa"/>
            <w:vAlign w:val="top"/>
          </w:tcPr>
          <w:p w14:paraId="742D8B9D">
            <w:pPr>
              <w:pStyle w:val="212"/>
              <w:spacing w:before="64" w:line="219" w:lineRule="auto"/>
              <w:ind w:left="109"/>
            </w:pPr>
            <w:r>
              <w:rPr>
                <w:spacing w:val="-1"/>
              </w:rPr>
              <w:t>HJ571</w:t>
            </w:r>
            <w:r>
              <w:rPr>
                <w:spacing w:val="-30"/>
              </w:rPr>
              <w:t xml:space="preserve"> </w:t>
            </w:r>
            <w:r>
              <w:rPr>
                <w:spacing w:val="-1"/>
              </w:rPr>
              <w:t>人造板及其制品/HJ2540</w:t>
            </w:r>
            <w:r>
              <w:rPr>
                <w:spacing w:val="-38"/>
              </w:rPr>
              <w:t xml:space="preserve"> </w:t>
            </w:r>
            <w:r>
              <w:rPr>
                <w:spacing w:val="-1"/>
              </w:rPr>
              <w:t>木塑制品</w:t>
            </w:r>
          </w:p>
        </w:tc>
      </w:tr>
      <w:tr w14:paraId="2C82F1A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1" w:hRule="atLeast"/>
        </w:trPr>
        <w:tc>
          <w:tcPr>
            <w:tcW w:w="583" w:type="dxa"/>
            <w:vMerge w:val="continue"/>
            <w:tcBorders>
              <w:top w:val="nil"/>
            </w:tcBorders>
            <w:vAlign w:val="top"/>
          </w:tcPr>
          <w:p w14:paraId="137CE8B9">
            <w:pPr>
              <w:rPr>
                <w:rFonts w:ascii="Arial"/>
                <w:sz w:val="21"/>
              </w:rPr>
            </w:pPr>
          </w:p>
        </w:tc>
        <w:tc>
          <w:tcPr>
            <w:tcW w:w="1542" w:type="dxa"/>
            <w:vMerge w:val="continue"/>
            <w:tcBorders>
              <w:top w:val="nil"/>
            </w:tcBorders>
            <w:vAlign w:val="top"/>
          </w:tcPr>
          <w:p w14:paraId="67BF376E">
            <w:pPr>
              <w:rPr>
                <w:rFonts w:ascii="Arial"/>
                <w:sz w:val="21"/>
              </w:rPr>
            </w:pPr>
          </w:p>
        </w:tc>
        <w:tc>
          <w:tcPr>
            <w:tcW w:w="2672" w:type="dxa"/>
            <w:vAlign w:val="top"/>
          </w:tcPr>
          <w:p w14:paraId="6ECA7361">
            <w:pPr>
              <w:pStyle w:val="212"/>
              <w:spacing w:before="67" w:line="284" w:lineRule="auto"/>
              <w:ind w:left="113" w:right="107" w:hanging="10"/>
            </w:pPr>
            <w:r>
              <w:rPr>
                <w:spacing w:val="5"/>
              </w:rPr>
              <w:t>A10020404</w:t>
            </w:r>
            <w:r>
              <w:rPr>
                <w:spacing w:val="30"/>
              </w:rPr>
              <w:t xml:space="preserve"> </w:t>
            </w:r>
            <w:r>
              <w:rPr>
                <w:spacing w:val="5"/>
              </w:rPr>
              <w:t>人造板表面装饰板</w:t>
            </w:r>
            <w:r>
              <w:t xml:space="preserve"> </w:t>
            </w:r>
            <w:r>
              <w:rPr>
                <w:spacing w:val="-3"/>
              </w:rPr>
              <w:t>（地板）</w:t>
            </w:r>
          </w:p>
        </w:tc>
        <w:tc>
          <w:tcPr>
            <w:tcW w:w="2248" w:type="dxa"/>
            <w:vAlign w:val="top"/>
          </w:tcPr>
          <w:p w14:paraId="6E863972">
            <w:pPr>
              <w:rPr>
                <w:rFonts w:ascii="Arial"/>
                <w:sz w:val="21"/>
              </w:rPr>
            </w:pPr>
          </w:p>
        </w:tc>
        <w:tc>
          <w:tcPr>
            <w:tcW w:w="3543" w:type="dxa"/>
            <w:vAlign w:val="top"/>
          </w:tcPr>
          <w:p w14:paraId="5CD24ADF">
            <w:pPr>
              <w:pStyle w:val="212"/>
              <w:spacing w:before="67" w:line="219" w:lineRule="auto"/>
              <w:ind w:left="109"/>
            </w:pPr>
            <w:r>
              <w:rPr>
                <w:spacing w:val="-1"/>
              </w:rPr>
              <w:t>HJ571</w:t>
            </w:r>
            <w:r>
              <w:rPr>
                <w:spacing w:val="-30"/>
              </w:rPr>
              <w:t xml:space="preserve"> </w:t>
            </w:r>
            <w:r>
              <w:rPr>
                <w:spacing w:val="-1"/>
              </w:rPr>
              <w:t>人造板及其制品/HJ2540</w:t>
            </w:r>
            <w:r>
              <w:rPr>
                <w:spacing w:val="-38"/>
              </w:rPr>
              <w:t xml:space="preserve"> </w:t>
            </w:r>
            <w:r>
              <w:rPr>
                <w:spacing w:val="-1"/>
              </w:rPr>
              <w:t>木塑制品</w:t>
            </w:r>
          </w:p>
        </w:tc>
      </w:tr>
      <w:tr w14:paraId="33A9B4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583" w:type="dxa"/>
            <w:vAlign w:val="top"/>
          </w:tcPr>
          <w:p w14:paraId="1B0908CB">
            <w:pPr>
              <w:pStyle w:val="212"/>
              <w:spacing w:before="65"/>
              <w:ind w:left="118"/>
            </w:pPr>
            <w:r>
              <w:rPr>
                <w:spacing w:val="-5"/>
              </w:rPr>
              <w:t>34</w:t>
            </w:r>
          </w:p>
        </w:tc>
        <w:tc>
          <w:tcPr>
            <w:tcW w:w="1542" w:type="dxa"/>
            <w:vAlign w:val="top"/>
          </w:tcPr>
          <w:p w14:paraId="74C8304D">
            <w:pPr>
              <w:pStyle w:val="212"/>
              <w:spacing w:before="66" w:line="283" w:lineRule="auto"/>
              <w:ind w:left="107" w:right="108" w:hanging="5"/>
            </w:pPr>
            <w:r>
              <w:rPr>
                <w:spacing w:val="3"/>
              </w:rPr>
              <w:t>A100301</w:t>
            </w:r>
            <w:r>
              <w:rPr>
                <w:spacing w:val="34"/>
              </w:rPr>
              <w:t xml:space="preserve"> </w:t>
            </w:r>
            <w:r>
              <w:rPr>
                <w:spacing w:val="3"/>
              </w:rPr>
              <w:t>水泥熟</w:t>
            </w:r>
            <w:r>
              <w:t xml:space="preserve"> </w:t>
            </w:r>
            <w:r>
              <w:rPr>
                <w:spacing w:val="-2"/>
              </w:rPr>
              <w:t>料及水泥</w:t>
            </w:r>
          </w:p>
        </w:tc>
        <w:tc>
          <w:tcPr>
            <w:tcW w:w="2672" w:type="dxa"/>
            <w:vAlign w:val="top"/>
          </w:tcPr>
          <w:p w14:paraId="3314F35F">
            <w:pPr>
              <w:pStyle w:val="212"/>
              <w:spacing w:before="65" w:line="220" w:lineRule="auto"/>
              <w:ind w:left="103"/>
            </w:pPr>
            <w:r>
              <w:rPr>
                <w:spacing w:val="-1"/>
              </w:rPr>
              <w:t>A10030102</w:t>
            </w:r>
            <w:r>
              <w:rPr>
                <w:spacing w:val="-31"/>
              </w:rPr>
              <w:t xml:space="preserve"> </w:t>
            </w:r>
            <w:r>
              <w:rPr>
                <w:spacing w:val="-1"/>
              </w:rPr>
              <w:t>水泥</w:t>
            </w:r>
          </w:p>
        </w:tc>
        <w:tc>
          <w:tcPr>
            <w:tcW w:w="2248" w:type="dxa"/>
            <w:vAlign w:val="top"/>
          </w:tcPr>
          <w:p w14:paraId="25356875">
            <w:pPr>
              <w:rPr>
                <w:rFonts w:ascii="Arial"/>
                <w:sz w:val="21"/>
              </w:rPr>
            </w:pPr>
          </w:p>
        </w:tc>
        <w:tc>
          <w:tcPr>
            <w:tcW w:w="3543" w:type="dxa"/>
            <w:vAlign w:val="top"/>
          </w:tcPr>
          <w:p w14:paraId="58FEE2FB">
            <w:pPr>
              <w:pStyle w:val="212"/>
              <w:spacing w:before="64" w:line="219" w:lineRule="auto"/>
              <w:ind w:left="109"/>
            </w:pPr>
            <w:r>
              <w:rPr>
                <w:spacing w:val="-1"/>
              </w:rPr>
              <w:t>HJ2519</w:t>
            </w:r>
            <w:r>
              <w:rPr>
                <w:spacing w:val="-34"/>
              </w:rPr>
              <w:t xml:space="preserve"> </w:t>
            </w:r>
            <w:r>
              <w:rPr>
                <w:spacing w:val="-1"/>
              </w:rPr>
              <w:t>水泥</w:t>
            </w:r>
          </w:p>
        </w:tc>
      </w:tr>
      <w:tr w14:paraId="47BBAB4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583" w:type="dxa"/>
            <w:vAlign w:val="top"/>
          </w:tcPr>
          <w:p w14:paraId="6DAA5275">
            <w:pPr>
              <w:pStyle w:val="212"/>
              <w:spacing w:before="66"/>
              <w:ind w:left="118"/>
            </w:pPr>
            <w:r>
              <w:rPr>
                <w:spacing w:val="-5"/>
              </w:rPr>
              <w:t>35</w:t>
            </w:r>
          </w:p>
        </w:tc>
        <w:tc>
          <w:tcPr>
            <w:tcW w:w="1542" w:type="dxa"/>
            <w:vAlign w:val="top"/>
          </w:tcPr>
          <w:p w14:paraId="1C589A6B">
            <w:pPr>
              <w:pStyle w:val="212"/>
              <w:spacing w:before="66" w:line="283" w:lineRule="auto"/>
              <w:ind w:left="106" w:right="108" w:hanging="4"/>
            </w:pPr>
            <w:r>
              <w:rPr>
                <w:spacing w:val="3"/>
              </w:rPr>
              <w:t>A100303</w:t>
            </w:r>
            <w:r>
              <w:rPr>
                <w:spacing w:val="34"/>
              </w:rPr>
              <w:t xml:space="preserve"> </w:t>
            </w:r>
            <w:r>
              <w:rPr>
                <w:spacing w:val="3"/>
              </w:rPr>
              <w:t>水泥混</w:t>
            </w:r>
            <w:r>
              <w:t xml:space="preserve"> </w:t>
            </w:r>
            <w:r>
              <w:rPr>
                <w:spacing w:val="-2"/>
              </w:rPr>
              <w:t>凝土制品</w:t>
            </w:r>
          </w:p>
        </w:tc>
        <w:tc>
          <w:tcPr>
            <w:tcW w:w="2672" w:type="dxa"/>
            <w:vAlign w:val="top"/>
          </w:tcPr>
          <w:p w14:paraId="08A33F38">
            <w:pPr>
              <w:pStyle w:val="212"/>
              <w:spacing w:before="65" w:line="221" w:lineRule="auto"/>
              <w:ind w:left="103"/>
            </w:pPr>
            <w:r>
              <w:rPr>
                <w:spacing w:val="-1"/>
              </w:rPr>
              <w:t>A10030301</w:t>
            </w:r>
            <w:r>
              <w:rPr>
                <w:spacing w:val="-30"/>
              </w:rPr>
              <w:t xml:space="preserve"> </w:t>
            </w:r>
            <w:r>
              <w:rPr>
                <w:spacing w:val="-1"/>
              </w:rPr>
              <w:t>商品混凝土</w:t>
            </w:r>
          </w:p>
        </w:tc>
        <w:tc>
          <w:tcPr>
            <w:tcW w:w="2248" w:type="dxa"/>
            <w:vAlign w:val="top"/>
          </w:tcPr>
          <w:p w14:paraId="0B265018">
            <w:pPr>
              <w:rPr>
                <w:rFonts w:ascii="Arial"/>
                <w:sz w:val="21"/>
              </w:rPr>
            </w:pPr>
          </w:p>
        </w:tc>
        <w:tc>
          <w:tcPr>
            <w:tcW w:w="3543" w:type="dxa"/>
            <w:vAlign w:val="top"/>
          </w:tcPr>
          <w:p w14:paraId="0063C434">
            <w:pPr>
              <w:pStyle w:val="212"/>
              <w:spacing w:before="65" w:line="219" w:lineRule="auto"/>
              <w:ind w:left="109"/>
            </w:pPr>
            <w:r>
              <w:rPr>
                <w:spacing w:val="-1"/>
              </w:rPr>
              <w:t>HJ/T412</w:t>
            </w:r>
            <w:r>
              <w:rPr>
                <w:spacing w:val="-34"/>
              </w:rPr>
              <w:t xml:space="preserve"> </w:t>
            </w:r>
            <w:r>
              <w:rPr>
                <w:spacing w:val="-1"/>
              </w:rPr>
              <w:t>预拌混凝土</w:t>
            </w:r>
          </w:p>
        </w:tc>
      </w:tr>
      <w:tr w14:paraId="5A972EE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8" w:hRule="atLeast"/>
        </w:trPr>
        <w:tc>
          <w:tcPr>
            <w:tcW w:w="583" w:type="dxa"/>
            <w:vMerge w:val="restart"/>
            <w:tcBorders>
              <w:bottom w:val="nil"/>
            </w:tcBorders>
            <w:vAlign w:val="top"/>
          </w:tcPr>
          <w:p w14:paraId="0B83C9DB">
            <w:pPr>
              <w:pStyle w:val="212"/>
              <w:spacing w:before="66"/>
              <w:ind w:left="118"/>
            </w:pPr>
            <w:r>
              <w:rPr>
                <w:spacing w:val="-5"/>
              </w:rPr>
              <w:t>36</w:t>
            </w:r>
          </w:p>
        </w:tc>
        <w:tc>
          <w:tcPr>
            <w:tcW w:w="1542" w:type="dxa"/>
            <w:vMerge w:val="restart"/>
            <w:tcBorders>
              <w:bottom w:val="nil"/>
            </w:tcBorders>
            <w:vAlign w:val="top"/>
          </w:tcPr>
          <w:p w14:paraId="6BBBD180">
            <w:pPr>
              <w:pStyle w:val="212"/>
              <w:spacing w:before="66" w:line="322" w:lineRule="auto"/>
              <w:ind w:left="111" w:right="108" w:hanging="9"/>
            </w:pPr>
            <w:r>
              <w:rPr>
                <w:spacing w:val="3"/>
              </w:rPr>
              <w:t>A100304</w:t>
            </w:r>
            <w:r>
              <w:rPr>
                <w:spacing w:val="35"/>
              </w:rPr>
              <w:t xml:space="preserve"> </w:t>
            </w:r>
            <w:r>
              <w:rPr>
                <w:spacing w:val="3"/>
              </w:rPr>
              <w:t>纤维增</w:t>
            </w:r>
            <w:r>
              <w:t xml:space="preserve"> </w:t>
            </w:r>
            <w:r>
              <w:rPr>
                <w:spacing w:val="-2"/>
              </w:rPr>
              <w:t>强水泥制品</w:t>
            </w:r>
          </w:p>
        </w:tc>
        <w:tc>
          <w:tcPr>
            <w:tcW w:w="2672" w:type="dxa"/>
            <w:vAlign w:val="top"/>
          </w:tcPr>
          <w:p w14:paraId="603F2296">
            <w:pPr>
              <w:pStyle w:val="212"/>
              <w:spacing w:before="66" w:line="219" w:lineRule="auto"/>
              <w:ind w:left="103"/>
            </w:pPr>
            <w:r>
              <w:rPr>
                <w:spacing w:val="-1"/>
              </w:rPr>
              <w:t>A10030402</w:t>
            </w:r>
            <w:r>
              <w:rPr>
                <w:spacing w:val="-28"/>
              </w:rPr>
              <w:t xml:space="preserve"> </w:t>
            </w:r>
            <w:r>
              <w:rPr>
                <w:spacing w:val="-1"/>
              </w:rPr>
              <w:t>纤维增强硅酸钙板</w:t>
            </w:r>
          </w:p>
        </w:tc>
        <w:tc>
          <w:tcPr>
            <w:tcW w:w="2248" w:type="dxa"/>
            <w:vAlign w:val="top"/>
          </w:tcPr>
          <w:p w14:paraId="54E76511">
            <w:pPr>
              <w:rPr>
                <w:rFonts w:ascii="Arial"/>
                <w:sz w:val="21"/>
              </w:rPr>
            </w:pPr>
          </w:p>
        </w:tc>
        <w:tc>
          <w:tcPr>
            <w:tcW w:w="3543" w:type="dxa"/>
            <w:vAlign w:val="top"/>
          </w:tcPr>
          <w:p w14:paraId="7DB76559">
            <w:pPr>
              <w:pStyle w:val="212"/>
              <w:spacing w:before="66" w:line="219" w:lineRule="auto"/>
              <w:ind w:left="109"/>
            </w:pPr>
            <w:r>
              <w:rPr>
                <w:spacing w:val="-1"/>
              </w:rPr>
              <w:t>HJ/T223</w:t>
            </w:r>
            <w:r>
              <w:rPr>
                <w:spacing w:val="-33"/>
              </w:rPr>
              <w:t xml:space="preserve"> </w:t>
            </w:r>
            <w:r>
              <w:rPr>
                <w:spacing w:val="-1"/>
              </w:rPr>
              <w:t>轻质墙体板材</w:t>
            </w:r>
          </w:p>
        </w:tc>
      </w:tr>
      <w:tr w14:paraId="4747BC7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5" w:hRule="atLeast"/>
        </w:trPr>
        <w:tc>
          <w:tcPr>
            <w:tcW w:w="583" w:type="dxa"/>
            <w:vMerge w:val="continue"/>
            <w:tcBorders>
              <w:top w:val="nil"/>
            </w:tcBorders>
            <w:vAlign w:val="top"/>
          </w:tcPr>
          <w:p w14:paraId="1C250FD4">
            <w:pPr>
              <w:rPr>
                <w:rFonts w:ascii="Arial"/>
                <w:sz w:val="21"/>
              </w:rPr>
            </w:pPr>
          </w:p>
        </w:tc>
        <w:tc>
          <w:tcPr>
            <w:tcW w:w="1542" w:type="dxa"/>
            <w:vMerge w:val="continue"/>
            <w:tcBorders>
              <w:top w:val="nil"/>
            </w:tcBorders>
            <w:vAlign w:val="top"/>
          </w:tcPr>
          <w:p w14:paraId="2E8EFD2B">
            <w:pPr>
              <w:rPr>
                <w:rFonts w:ascii="Arial"/>
                <w:sz w:val="21"/>
              </w:rPr>
            </w:pPr>
          </w:p>
        </w:tc>
        <w:tc>
          <w:tcPr>
            <w:tcW w:w="2672" w:type="dxa"/>
            <w:vAlign w:val="top"/>
          </w:tcPr>
          <w:p w14:paraId="0C6EE681">
            <w:pPr>
              <w:pStyle w:val="212"/>
              <w:spacing w:before="66" w:line="220" w:lineRule="auto"/>
              <w:ind w:left="103"/>
            </w:pPr>
            <w:r>
              <w:rPr>
                <w:spacing w:val="-1"/>
              </w:rPr>
              <w:t>A10030403</w:t>
            </w:r>
            <w:r>
              <w:rPr>
                <w:spacing w:val="-45"/>
              </w:rPr>
              <w:t xml:space="preserve"> </w:t>
            </w:r>
            <w:r>
              <w:rPr>
                <w:spacing w:val="-1"/>
              </w:rPr>
              <w:t>无石棉纤维水泥制品</w:t>
            </w:r>
          </w:p>
        </w:tc>
        <w:tc>
          <w:tcPr>
            <w:tcW w:w="2248" w:type="dxa"/>
            <w:vAlign w:val="top"/>
          </w:tcPr>
          <w:p w14:paraId="365F4AAD">
            <w:pPr>
              <w:rPr>
                <w:rFonts w:ascii="Arial"/>
                <w:sz w:val="21"/>
              </w:rPr>
            </w:pPr>
          </w:p>
        </w:tc>
        <w:tc>
          <w:tcPr>
            <w:tcW w:w="3543" w:type="dxa"/>
            <w:vAlign w:val="top"/>
          </w:tcPr>
          <w:p w14:paraId="66573A6B">
            <w:pPr>
              <w:pStyle w:val="212"/>
              <w:spacing w:before="66" w:line="219" w:lineRule="auto"/>
              <w:ind w:left="109"/>
            </w:pPr>
            <w:r>
              <w:rPr>
                <w:spacing w:val="-1"/>
              </w:rPr>
              <w:t>HJ/T223</w:t>
            </w:r>
            <w:r>
              <w:rPr>
                <w:spacing w:val="-33"/>
              </w:rPr>
              <w:t xml:space="preserve"> </w:t>
            </w:r>
            <w:r>
              <w:rPr>
                <w:spacing w:val="-1"/>
              </w:rPr>
              <w:t>轻质墙体板材</w:t>
            </w:r>
          </w:p>
        </w:tc>
      </w:tr>
      <w:tr w14:paraId="5D83D43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8" w:hRule="atLeast"/>
        </w:trPr>
        <w:tc>
          <w:tcPr>
            <w:tcW w:w="583" w:type="dxa"/>
            <w:vMerge w:val="restart"/>
            <w:tcBorders>
              <w:bottom w:val="nil"/>
            </w:tcBorders>
            <w:vAlign w:val="top"/>
          </w:tcPr>
          <w:p w14:paraId="334D0AE4">
            <w:pPr>
              <w:pStyle w:val="212"/>
              <w:spacing w:before="67"/>
              <w:ind w:left="118"/>
            </w:pPr>
            <w:r>
              <w:rPr>
                <w:spacing w:val="-5"/>
              </w:rPr>
              <w:t>37</w:t>
            </w:r>
          </w:p>
        </w:tc>
        <w:tc>
          <w:tcPr>
            <w:tcW w:w="1542" w:type="dxa"/>
            <w:vMerge w:val="restart"/>
            <w:tcBorders>
              <w:bottom w:val="nil"/>
            </w:tcBorders>
            <w:vAlign w:val="top"/>
          </w:tcPr>
          <w:p w14:paraId="50FFF942">
            <w:pPr>
              <w:pStyle w:val="212"/>
              <w:spacing w:before="66" w:line="322" w:lineRule="auto"/>
              <w:ind w:left="109" w:right="108" w:hanging="7"/>
            </w:pPr>
            <w:r>
              <w:rPr>
                <w:spacing w:val="3"/>
              </w:rPr>
              <w:t>A100305</w:t>
            </w:r>
            <w:r>
              <w:rPr>
                <w:spacing w:val="34"/>
              </w:rPr>
              <w:t xml:space="preserve"> </w:t>
            </w:r>
            <w:r>
              <w:rPr>
                <w:spacing w:val="3"/>
              </w:rPr>
              <w:t>轻质建</w:t>
            </w:r>
            <w:r>
              <w:t xml:space="preserve"> </w:t>
            </w:r>
            <w:r>
              <w:rPr>
                <w:spacing w:val="-2"/>
              </w:rPr>
              <w:t>筑材料及制品</w:t>
            </w:r>
          </w:p>
        </w:tc>
        <w:tc>
          <w:tcPr>
            <w:tcW w:w="2672" w:type="dxa"/>
            <w:vAlign w:val="top"/>
          </w:tcPr>
          <w:p w14:paraId="22715C66">
            <w:pPr>
              <w:pStyle w:val="212"/>
              <w:spacing w:before="67" w:line="219" w:lineRule="auto"/>
              <w:ind w:left="103"/>
            </w:pPr>
            <w:r>
              <w:rPr>
                <w:spacing w:val="-1"/>
              </w:rPr>
              <w:t>A10030501</w:t>
            </w:r>
            <w:r>
              <w:rPr>
                <w:spacing w:val="-32"/>
              </w:rPr>
              <w:t xml:space="preserve"> </w:t>
            </w:r>
            <w:r>
              <w:rPr>
                <w:spacing w:val="-1"/>
              </w:rPr>
              <w:t>石膏板</w:t>
            </w:r>
          </w:p>
        </w:tc>
        <w:tc>
          <w:tcPr>
            <w:tcW w:w="2248" w:type="dxa"/>
            <w:vAlign w:val="top"/>
          </w:tcPr>
          <w:p w14:paraId="2011796B">
            <w:pPr>
              <w:rPr>
                <w:rFonts w:ascii="Arial"/>
                <w:sz w:val="21"/>
              </w:rPr>
            </w:pPr>
          </w:p>
        </w:tc>
        <w:tc>
          <w:tcPr>
            <w:tcW w:w="3543" w:type="dxa"/>
            <w:vAlign w:val="top"/>
          </w:tcPr>
          <w:p w14:paraId="0F10D724">
            <w:pPr>
              <w:pStyle w:val="212"/>
              <w:spacing w:before="66" w:line="219" w:lineRule="auto"/>
              <w:ind w:left="109"/>
            </w:pPr>
            <w:r>
              <w:rPr>
                <w:spacing w:val="-1"/>
              </w:rPr>
              <w:t>HJ/T223</w:t>
            </w:r>
            <w:r>
              <w:rPr>
                <w:spacing w:val="-33"/>
              </w:rPr>
              <w:t xml:space="preserve"> </w:t>
            </w:r>
            <w:r>
              <w:rPr>
                <w:spacing w:val="-1"/>
              </w:rPr>
              <w:t>轻质墙体板材</w:t>
            </w:r>
          </w:p>
        </w:tc>
      </w:tr>
      <w:tr w14:paraId="6B2F007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8" w:hRule="atLeast"/>
        </w:trPr>
        <w:tc>
          <w:tcPr>
            <w:tcW w:w="583" w:type="dxa"/>
            <w:vMerge w:val="continue"/>
            <w:tcBorders>
              <w:top w:val="nil"/>
            </w:tcBorders>
            <w:vAlign w:val="top"/>
          </w:tcPr>
          <w:p w14:paraId="042470B2">
            <w:pPr>
              <w:rPr>
                <w:rFonts w:ascii="Arial"/>
                <w:sz w:val="21"/>
              </w:rPr>
            </w:pPr>
          </w:p>
        </w:tc>
        <w:tc>
          <w:tcPr>
            <w:tcW w:w="1542" w:type="dxa"/>
            <w:vMerge w:val="continue"/>
            <w:tcBorders>
              <w:top w:val="nil"/>
            </w:tcBorders>
            <w:vAlign w:val="top"/>
          </w:tcPr>
          <w:p w14:paraId="003F1632">
            <w:pPr>
              <w:rPr>
                <w:rFonts w:ascii="Arial"/>
                <w:sz w:val="21"/>
              </w:rPr>
            </w:pPr>
          </w:p>
        </w:tc>
        <w:tc>
          <w:tcPr>
            <w:tcW w:w="2672" w:type="dxa"/>
            <w:vAlign w:val="top"/>
          </w:tcPr>
          <w:p w14:paraId="79DB65BF">
            <w:pPr>
              <w:pStyle w:val="212"/>
              <w:spacing w:before="66" w:line="219" w:lineRule="auto"/>
              <w:ind w:left="103"/>
            </w:pPr>
            <w:r>
              <w:rPr>
                <w:spacing w:val="-1"/>
              </w:rPr>
              <w:t>A10030503</w:t>
            </w:r>
            <w:r>
              <w:rPr>
                <w:spacing w:val="-30"/>
              </w:rPr>
              <w:t xml:space="preserve"> </w:t>
            </w:r>
            <w:r>
              <w:rPr>
                <w:spacing w:val="-1"/>
              </w:rPr>
              <w:t>轻质隔墙条板</w:t>
            </w:r>
          </w:p>
        </w:tc>
        <w:tc>
          <w:tcPr>
            <w:tcW w:w="2248" w:type="dxa"/>
            <w:vAlign w:val="top"/>
          </w:tcPr>
          <w:p w14:paraId="44A2CFD1">
            <w:pPr>
              <w:rPr>
                <w:rFonts w:ascii="Arial"/>
                <w:sz w:val="21"/>
              </w:rPr>
            </w:pPr>
          </w:p>
        </w:tc>
        <w:tc>
          <w:tcPr>
            <w:tcW w:w="3543" w:type="dxa"/>
            <w:vAlign w:val="top"/>
          </w:tcPr>
          <w:p w14:paraId="5CC71AD9">
            <w:pPr>
              <w:pStyle w:val="212"/>
              <w:spacing w:before="66" w:line="219" w:lineRule="auto"/>
              <w:ind w:left="109"/>
            </w:pPr>
            <w:r>
              <w:rPr>
                <w:spacing w:val="-1"/>
              </w:rPr>
              <w:t>HJ/T223</w:t>
            </w:r>
            <w:r>
              <w:rPr>
                <w:spacing w:val="-33"/>
              </w:rPr>
              <w:t xml:space="preserve"> </w:t>
            </w:r>
            <w:r>
              <w:rPr>
                <w:spacing w:val="-1"/>
              </w:rPr>
              <w:t>轻质墙体板材</w:t>
            </w:r>
          </w:p>
        </w:tc>
      </w:tr>
      <w:tr w14:paraId="2196712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8" w:hRule="atLeast"/>
        </w:trPr>
        <w:tc>
          <w:tcPr>
            <w:tcW w:w="583" w:type="dxa"/>
            <w:vMerge w:val="restart"/>
            <w:tcBorders>
              <w:bottom w:val="nil"/>
            </w:tcBorders>
            <w:vAlign w:val="top"/>
          </w:tcPr>
          <w:p w14:paraId="7284EA9F">
            <w:pPr>
              <w:pStyle w:val="212"/>
              <w:spacing w:before="67"/>
              <w:ind w:left="118"/>
            </w:pPr>
            <w:r>
              <w:rPr>
                <w:spacing w:val="-5"/>
              </w:rPr>
              <w:t>38</w:t>
            </w:r>
          </w:p>
        </w:tc>
        <w:tc>
          <w:tcPr>
            <w:tcW w:w="1542" w:type="dxa"/>
            <w:vMerge w:val="restart"/>
            <w:tcBorders>
              <w:bottom w:val="nil"/>
            </w:tcBorders>
            <w:vAlign w:val="top"/>
          </w:tcPr>
          <w:p w14:paraId="2DF50A0C">
            <w:pPr>
              <w:pStyle w:val="212"/>
              <w:spacing w:before="67" w:line="322" w:lineRule="auto"/>
              <w:ind w:left="111" w:right="108" w:hanging="9"/>
            </w:pPr>
            <w:r>
              <w:rPr>
                <w:spacing w:val="-1"/>
              </w:rPr>
              <w:t>A100307</w:t>
            </w:r>
            <w:r>
              <w:rPr>
                <w:spacing w:val="36"/>
              </w:rPr>
              <w:t xml:space="preserve"> </w:t>
            </w:r>
            <w:r>
              <w:rPr>
                <w:spacing w:val="-1"/>
              </w:rPr>
              <w:t>建筑</w:t>
            </w:r>
            <w:r>
              <w:rPr>
                <w:spacing w:val="-52"/>
              </w:rPr>
              <w:t xml:space="preserve"> </w:t>
            </w:r>
            <w:r>
              <w:rPr>
                <w:spacing w:val="-1"/>
              </w:rPr>
              <w:t>陶</w:t>
            </w:r>
            <w:r>
              <w:t xml:space="preserve"> </w:t>
            </w:r>
            <w:r>
              <w:rPr>
                <w:spacing w:val="-3"/>
              </w:rPr>
              <w:t>瓷制品</w:t>
            </w:r>
          </w:p>
        </w:tc>
        <w:tc>
          <w:tcPr>
            <w:tcW w:w="2672" w:type="dxa"/>
            <w:vAlign w:val="top"/>
          </w:tcPr>
          <w:p w14:paraId="248CE171">
            <w:pPr>
              <w:pStyle w:val="212"/>
              <w:spacing w:before="66" w:line="221" w:lineRule="auto"/>
              <w:ind w:left="103"/>
            </w:pPr>
            <w:r>
              <w:rPr>
                <w:spacing w:val="-1"/>
              </w:rPr>
              <w:t>A10030701</w:t>
            </w:r>
            <w:r>
              <w:rPr>
                <w:spacing w:val="-30"/>
              </w:rPr>
              <w:t xml:space="preserve"> </w:t>
            </w:r>
            <w:r>
              <w:rPr>
                <w:spacing w:val="-1"/>
              </w:rPr>
              <w:t>瓷质砖</w:t>
            </w:r>
          </w:p>
        </w:tc>
        <w:tc>
          <w:tcPr>
            <w:tcW w:w="2248" w:type="dxa"/>
            <w:vAlign w:val="top"/>
          </w:tcPr>
          <w:p w14:paraId="2BD9339A">
            <w:pPr>
              <w:rPr>
                <w:rFonts w:ascii="Arial"/>
                <w:sz w:val="21"/>
              </w:rPr>
            </w:pPr>
          </w:p>
        </w:tc>
        <w:tc>
          <w:tcPr>
            <w:tcW w:w="3543" w:type="dxa"/>
            <w:vAlign w:val="top"/>
          </w:tcPr>
          <w:p w14:paraId="46A0765F">
            <w:pPr>
              <w:pStyle w:val="212"/>
              <w:spacing w:before="66" w:line="219" w:lineRule="auto"/>
              <w:ind w:left="109"/>
            </w:pPr>
            <w:r>
              <w:rPr>
                <w:spacing w:val="-2"/>
              </w:rPr>
              <w:t>HJ/T297</w:t>
            </w:r>
            <w:r>
              <w:rPr>
                <w:spacing w:val="-22"/>
              </w:rPr>
              <w:t xml:space="preserve"> </w:t>
            </w:r>
            <w:r>
              <w:rPr>
                <w:spacing w:val="-2"/>
              </w:rPr>
              <w:t>陶瓷砖</w:t>
            </w:r>
          </w:p>
        </w:tc>
      </w:tr>
      <w:tr w14:paraId="5186DCD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8" w:hRule="atLeast"/>
        </w:trPr>
        <w:tc>
          <w:tcPr>
            <w:tcW w:w="583" w:type="dxa"/>
            <w:vMerge w:val="continue"/>
            <w:tcBorders>
              <w:top w:val="nil"/>
              <w:bottom w:val="nil"/>
            </w:tcBorders>
            <w:vAlign w:val="top"/>
          </w:tcPr>
          <w:p w14:paraId="3CD46BD4">
            <w:pPr>
              <w:rPr>
                <w:rFonts w:ascii="Arial"/>
                <w:sz w:val="21"/>
              </w:rPr>
            </w:pPr>
          </w:p>
        </w:tc>
        <w:tc>
          <w:tcPr>
            <w:tcW w:w="1542" w:type="dxa"/>
            <w:vMerge w:val="continue"/>
            <w:tcBorders>
              <w:top w:val="nil"/>
              <w:bottom w:val="nil"/>
            </w:tcBorders>
            <w:vAlign w:val="top"/>
          </w:tcPr>
          <w:p w14:paraId="66FC5862">
            <w:pPr>
              <w:rPr>
                <w:rFonts w:ascii="Arial"/>
                <w:sz w:val="21"/>
              </w:rPr>
            </w:pPr>
          </w:p>
        </w:tc>
        <w:tc>
          <w:tcPr>
            <w:tcW w:w="2672" w:type="dxa"/>
            <w:vAlign w:val="top"/>
          </w:tcPr>
          <w:p w14:paraId="085CDCEB">
            <w:pPr>
              <w:pStyle w:val="212"/>
              <w:spacing w:before="66" w:line="221" w:lineRule="auto"/>
              <w:ind w:left="103"/>
            </w:pPr>
            <w:r>
              <w:t>A10030704 炻质砖</w:t>
            </w:r>
          </w:p>
        </w:tc>
        <w:tc>
          <w:tcPr>
            <w:tcW w:w="2248" w:type="dxa"/>
            <w:vAlign w:val="top"/>
          </w:tcPr>
          <w:p w14:paraId="54861799">
            <w:pPr>
              <w:rPr>
                <w:rFonts w:ascii="Arial"/>
                <w:sz w:val="21"/>
              </w:rPr>
            </w:pPr>
          </w:p>
        </w:tc>
        <w:tc>
          <w:tcPr>
            <w:tcW w:w="3543" w:type="dxa"/>
            <w:vAlign w:val="top"/>
          </w:tcPr>
          <w:p w14:paraId="01408A8A">
            <w:pPr>
              <w:pStyle w:val="212"/>
              <w:spacing w:before="66" w:line="219" w:lineRule="auto"/>
              <w:ind w:left="109"/>
            </w:pPr>
            <w:r>
              <w:rPr>
                <w:spacing w:val="-2"/>
              </w:rPr>
              <w:t>HJ/T297</w:t>
            </w:r>
            <w:r>
              <w:rPr>
                <w:spacing w:val="-22"/>
              </w:rPr>
              <w:t xml:space="preserve"> </w:t>
            </w:r>
            <w:r>
              <w:rPr>
                <w:spacing w:val="-2"/>
              </w:rPr>
              <w:t>陶瓷砖</w:t>
            </w:r>
          </w:p>
        </w:tc>
      </w:tr>
      <w:tr w14:paraId="6DB39A4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5" w:hRule="atLeast"/>
        </w:trPr>
        <w:tc>
          <w:tcPr>
            <w:tcW w:w="583" w:type="dxa"/>
            <w:vMerge w:val="continue"/>
            <w:tcBorders>
              <w:top w:val="nil"/>
              <w:bottom w:val="nil"/>
            </w:tcBorders>
            <w:vAlign w:val="top"/>
          </w:tcPr>
          <w:p w14:paraId="37419E00">
            <w:pPr>
              <w:rPr>
                <w:rFonts w:ascii="Arial"/>
                <w:sz w:val="21"/>
              </w:rPr>
            </w:pPr>
          </w:p>
        </w:tc>
        <w:tc>
          <w:tcPr>
            <w:tcW w:w="1542" w:type="dxa"/>
            <w:vMerge w:val="continue"/>
            <w:tcBorders>
              <w:top w:val="nil"/>
              <w:bottom w:val="nil"/>
            </w:tcBorders>
            <w:vAlign w:val="top"/>
          </w:tcPr>
          <w:p w14:paraId="215212B0">
            <w:pPr>
              <w:rPr>
                <w:rFonts w:ascii="Arial"/>
                <w:sz w:val="21"/>
              </w:rPr>
            </w:pPr>
          </w:p>
        </w:tc>
        <w:tc>
          <w:tcPr>
            <w:tcW w:w="2672" w:type="dxa"/>
            <w:vAlign w:val="top"/>
          </w:tcPr>
          <w:p w14:paraId="63714F5F">
            <w:pPr>
              <w:pStyle w:val="212"/>
              <w:spacing w:before="66" w:line="221" w:lineRule="auto"/>
              <w:ind w:left="103"/>
            </w:pPr>
            <w:r>
              <w:rPr>
                <w:spacing w:val="-2"/>
              </w:rPr>
              <w:t>A10030705</w:t>
            </w:r>
            <w:r>
              <w:rPr>
                <w:spacing w:val="-17"/>
              </w:rPr>
              <w:t xml:space="preserve"> </w:t>
            </w:r>
            <w:r>
              <w:rPr>
                <w:spacing w:val="-2"/>
              </w:rPr>
              <w:t>陶质砖</w:t>
            </w:r>
          </w:p>
        </w:tc>
        <w:tc>
          <w:tcPr>
            <w:tcW w:w="2248" w:type="dxa"/>
            <w:vAlign w:val="top"/>
          </w:tcPr>
          <w:p w14:paraId="0FCA5C7A">
            <w:pPr>
              <w:rPr>
                <w:rFonts w:ascii="Arial"/>
                <w:sz w:val="21"/>
              </w:rPr>
            </w:pPr>
          </w:p>
        </w:tc>
        <w:tc>
          <w:tcPr>
            <w:tcW w:w="3543" w:type="dxa"/>
            <w:vAlign w:val="top"/>
          </w:tcPr>
          <w:p w14:paraId="0FDD9E7E">
            <w:pPr>
              <w:pStyle w:val="212"/>
              <w:spacing w:before="66" w:line="219" w:lineRule="auto"/>
              <w:ind w:left="109"/>
            </w:pPr>
            <w:r>
              <w:rPr>
                <w:spacing w:val="-2"/>
              </w:rPr>
              <w:t>HJ/T297</w:t>
            </w:r>
            <w:r>
              <w:rPr>
                <w:spacing w:val="-22"/>
              </w:rPr>
              <w:t xml:space="preserve"> </w:t>
            </w:r>
            <w:r>
              <w:rPr>
                <w:spacing w:val="-2"/>
              </w:rPr>
              <w:t>陶瓷砖</w:t>
            </w:r>
          </w:p>
        </w:tc>
      </w:tr>
      <w:tr w14:paraId="1A84634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8" w:hRule="atLeast"/>
        </w:trPr>
        <w:tc>
          <w:tcPr>
            <w:tcW w:w="583" w:type="dxa"/>
            <w:vMerge w:val="continue"/>
            <w:tcBorders>
              <w:top w:val="nil"/>
            </w:tcBorders>
            <w:vAlign w:val="top"/>
          </w:tcPr>
          <w:p w14:paraId="6F05D91F">
            <w:pPr>
              <w:rPr>
                <w:rFonts w:ascii="Arial"/>
                <w:sz w:val="21"/>
              </w:rPr>
            </w:pPr>
          </w:p>
        </w:tc>
        <w:tc>
          <w:tcPr>
            <w:tcW w:w="1542" w:type="dxa"/>
            <w:vMerge w:val="continue"/>
            <w:tcBorders>
              <w:top w:val="nil"/>
            </w:tcBorders>
            <w:vAlign w:val="top"/>
          </w:tcPr>
          <w:p w14:paraId="0E276C34">
            <w:pPr>
              <w:rPr>
                <w:rFonts w:ascii="Arial"/>
                <w:sz w:val="21"/>
              </w:rPr>
            </w:pPr>
          </w:p>
        </w:tc>
        <w:tc>
          <w:tcPr>
            <w:tcW w:w="2672" w:type="dxa"/>
            <w:vAlign w:val="top"/>
          </w:tcPr>
          <w:p w14:paraId="655ECBF3">
            <w:pPr>
              <w:pStyle w:val="212"/>
              <w:spacing w:before="66" w:line="221" w:lineRule="auto"/>
              <w:ind w:left="103"/>
            </w:pPr>
            <w:r>
              <w:t>A10030799 其他建筑陶瓷制品</w:t>
            </w:r>
          </w:p>
        </w:tc>
        <w:tc>
          <w:tcPr>
            <w:tcW w:w="2248" w:type="dxa"/>
            <w:vAlign w:val="top"/>
          </w:tcPr>
          <w:p w14:paraId="2ED97174">
            <w:pPr>
              <w:rPr>
                <w:rFonts w:ascii="Arial"/>
                <w:sz w:val="21"/>
              </w:rPr>
            </w:pPr>
          </w:p>
        </w:tc>
        <w:tc>
          <w:tcPr>
            <w:tcW w:w="3543" w:type="dxa"/>
            <w:vAlign w:val="top"/>
          </w:tcPr>
          <w:p w14:paraId="7651FF70">
            <w:pPr>
              <w:pStyle w:val="212"/>
              <w:spacing w:before="66" w:line="219" w:lineRule="auto"/>
              <w:ind w:left="109"/>
            </w:pPr>
            <w:r>
              <w:rPr>
                <w:spacing w:val="-2"/>
              </w:rPr>
              <w:t>HJ/T297</w:t>
            </w:r>
            <w:r>
              <w:rPr>
                <w:spacing w:val="-22"/>
              </w:rPr>
              <w:t xml:space="preserve"> </w:t>
            </w:r>
            <w:r>
              <w:rPr>
                <w:spacing w:val="-2"/>
              </w:rPr>
              <w:t>陶瓷砖</w:t>
            </w:r>
          </w:p>
        </w:tc>
      </w:tr>
      <w:tr w14:paraId="42316D8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583" w:type="dxa"/>
            <w:vMerge w:val="restart"/>
            <w:tcBorders>
              <w:bottom w:val="nil"/>
            </w:tcBorders>
            <w:vAlign w:val="top"/>
          </w:tcPr>
          <w:p w14:paraId="6779F663">
            <w:pPr>
              <w:pStyle w:val="212"/>
              <w:spacing w:before="66"/>
              <w:ind w:left="118"/>
            </w:pPr>
            <w:r>
              <w:rPr>
                <w:spacing w:val="-5"/>
              </w:rPr>
              <w:t>39</w:t>
            </w:r>
          </w:p>
        </w:tc>
        <w:tc>
          <w:tcPr>
            <w:tcW w:w="1542" w:type="dxa"/>
            <w:vMerge w:val="restart"/>
            <w:tcBorders>
              <w:bottom w:val="nil"/>
            </w:tcBorders>
            <w:vAlign w:val="top"/>
          </w:tcPr>
          <w:p w14:paraId="086D36DF">
            <w:pPr>
              <w:pStyle w:val="212"/>
              <w:spacing w:before="65" w:line="322" w:lineRule="auto"/>
              <w:ind w:left="109" w:right="108" w:hanging="7"/>
            </w:pPr>
            <w:r>
              <w:rPr>
                <w:spacing w:val="-1"/>
              </w:rPr>
              <w:t>A100309</w:t>
            </w:r>
            <w:r>
              <w:rPr>
                <w:spacing w:val="34"/>
                <w:w w:val="101"/>
              </w:rPr>
              <w:t xml:space="preserve"> </w:t>
            </w:r>
            <w:r>
              <w:rPr>
                <w:spacing w:val="-1"/>
              </w:rPr>
              <w:t>建筑</w:t>
            </w:r>
            <w:r>
              <w:rPr>
                <w:spacing w:val="-51"/>
              </w:rPr>
              <w:t xml:space="preserve"> </w:t>
            </w:r>
            <w:r>
              <w:rPr>
                <w:spacing w:val="-1"/>
              </w:rPr>
              <w:t>防</w:t>
            </w:r>
            <w:r>
              <w:t xml:space="preserve"> </w:t>
            </w:r>
            <w:r>
              <w:rPr>
                <w:spacing w:val="-2"/>
              </w:rPr>
              <w:t>水卷材及制品</w:t>
            </w:r>
          </w:p>
        </w:tc>
        <w:tc>
          <w:tcPr>
            <w:tcW w:w="2672" w:type="dxa"/>
            <w:vAlign w:val="top"/>
          </w:tcPr>
          <w:p w14:paraId="0DAE9208">
            <w:pPr>
              <w:pStyle w:val="212"/>
              <w:spacing w:before="66" w:line="283" w:lineRule="auto"/>
              <w:ind w:left="110" w:right="107" w:hanging="7"/>
            </w:pPr>
            <w:r>
              <w:rPr>
                <w:spacing w:val="-1"/>
              </w:rPr>
              <w:t>A10030901</w:t>
            </w:r>
            <w:r>
              <w:rPr>
                <w:spacing w:val="-47"/>
              </w:rPr>
              <w:t xml:space="preserve"> </w:t>
            </w:r>
            <w:r>
              <w:rPr>
                <w:spacing w:val="-1"/>
              </w:rPr>
              <w:t>沥青和改性沥青防水</w:t>
            </w:r>
            <w:r>
              <w:t xml:space="preserve"> </w:t>
            </w:r>
            <w:r>
              <w:rPr>
                <w:spacing w:val="-3"/>
              </w:rPr>
              <w:t>卷材</w:t>
            </w:r>
          </w:p>
        </w:tc>
        <w:tc>
          <w:tcPr>
            <w:tcW w:w="2248" w:type="dxa"/>
            <w:vAlign w:val="top"/>
          </w:tcPr>
          <w:p w14:paraId="257EA4D1">
            <w:pPr>
              <w:rPr>
                <w:rFonts w:ascii="Arial"/>
                <w:sz w:val="21"/>
              </w:rPr>
            </w:pPr>
          </w:p>
        </w:tc>
        <w:tc>
          <w:tcPr>
            <w:tcW w:w="3543" w:type="dxa"/>
            <w:vAlign w:val="top"/>
          </w:tcPr>
          <w:p w14:paraId="0D8F955B">
            <w:pPr>
              <w:pStyle w:val="212"/>
              <w:spacing w:before="66" w:line="219" w:lineRule="auto"/>
              <w:ind w:left="109"/>
            </w:pPr>
            <w:r>
              <w:rPr>
                <w:spacing w:val="-2"/>
              </w:rPr>
              <w:t>HJ455</w:t>
            </w:r>
            <w:r>
              <w:rPr>
                <w:spacing w:val="-25"/>
              </w:rPr>
              <w:t xml:space="preserve"> </w:t>
            </w:r>
            <w:r>
              <w:rPr>
                <w:spacing w:val="-2"/>
              </w:rPr>
              <w:t>防水卷材</w:t>
            </w:r>
          </w:p>
        </w:tc>
      </w:tr>
      <w:tr w14:paraId="5DF3993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8" w:hRule="atLeast"/>
        </w:trPr>
        <w:tc>
          <w:tcPr>
            <w:tcW w:w="583" w:type="dxa"/>
            <w:vMerge w:val="continue"/>
            <w:tcBorders>
              <w:top w:val="nil"/>
              <w:bottom w:val="nil"/>
            </w:tcBorders>
            <w:vAlign w:val="top"/>
          </w:tcPr>
          <w:p w14:paraId="52970568">
            <w:pPr>
              <w:rPr>
                <w:rFonts w:ascii="Arial"/>
                <w:sz w:val="21"/>
              </w:rPr>
            </w:pPr>
          </w:p>
        </w:tc>
        <w:tc>
          <w:tcPr>
            <w:tcW w:w="1542" w:type="dxa"/>
            <w:vMerge w:val="continue"/>
            <w:tcBorders>
              <w:top w:val="nil"/>
              <w:bottom w:val="nil"/>
            </w:tcBorders>
            <w:vAlign w:val="top"/>
          </w:tcPr>
          <w:p w14:paraId="2917E20D">
            <w:pPr>
              <w:rPr>
                <w:rFonts w:ascii="Arial"/>
                <w:sz w:val="21"/>
              </w:rPr>
            </w:pPr>
          </w:p>
        </w:tc>
        <w:tc>
          <w:tcPr>
            <w:tcW w:w="2672" w:type="dxa"/>
            <w:vAlign w:val="top"/>
          </w:tcPr>
          <w:p w14:paraId="302F306F">
            <w:pPr>
              <w:pStyle w:val="212"/>
              <w:spacing w:before="67" w:line="219" w:lineRule="auto"/>
              <w:ind w:left="103"/>
            </w:pPr>
            <w:r>
              <w:rPr>
                <w:spacing w:val="-2"/>
              </w:rPr>
              <w:t>A10030903</w:t>
            </w:r>
            <w:r>
              <w:rPr>
                <w:spacing w:val="36"/>
              </w:rPr>
              <w:t xml:space="preserve"> </w:t>
            </w:r>
            <w:r>
              <w:rPr>
                <w:spacing w:val="-2"/>
              </w:rPr>
              <w:t>自粘防水卷材</w:t>
            </w:r>
          </w:p>
        </w:tc>
        <w:tc>
          <w:tcPr>
            <w:tcW w:w="2248" w:type="dxa"/>
            <w:vAlign w:val="top"/>
          </w:tcPr>
          <w:p w14:paraId="5C33F6CF">
            <w:pPr>
              <w:rPr>
                <w:rFonts w:ascii="Arial"/>
                <w:sz w:val="21"/>
              </w:rPr>
            </w:pPr>
          </w:p>
        </w:tc>
        <w:tc>
          <w:tcPr>
            <w:tcW w:w="3543" w:type="dxa"/>
            <w:vAlign w:val="top"/>
          </w:tcPr>
          <w:p w14:paraId="2747896A">
            <w:pPr>
              <w:pStyle w:val="212"/>
              <w:spacing w:before="66" w:line="219" w:lineRule="auto"/>
              <w:ind w:left="109"/>
            </w:pPr>
            <w:r>
              <w:rPr>
                <w:spacing w:val="-2"/>
              </w:rPr>
              <w:t>HJ455</w:t>
            </w:r>
            <w:r>
              <w:rPr>
                <w:spacing w:val="-25"/>
              </w:rPr>
              <w:t xml:space="preserve"> </w:t>
            </w:r>
            <w:r>
              <w:rPr>
                <w:spacing w:val="-2"/>
              </w:rPr>
              <w:t>防水卷材</w:t>
            </w:r>
          </w:p>
        </w:tc>
      </w:tr>
      <w:tr w14:paraId="23FDE7A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583" w:type="dxa"/>
            <w:vMerge w:val="continue"/>
            <w:tcBorders>
              <w:top w:val="nil"/>
            </w:tcBorders>
            <w:vAlign w:val="top"/>
          </w:tcPr>
          <w:p w14:paraId="2A3B38B0">
            <w:pPr>
              <w:rPr>
                <w:rFonts w:ascii="Arial"/>
                <w:sz w:val="21"/>
              </w:rPr>
            </w:pPr>
          </w:p>
        </w:tc>
        <w:tc>
          <w:tcPr>
            <w:tcW w:w="1542" w:type="dxa"/>
            <w:vMerge w:val="continue"/>
            <w:tcBorders>
              <w:top w:val="nil"/>
            </w:tcBorders>
            <w:vAlign w:val="top"/>
          </w:tcPr>
          <w:p w14:paraId="2CA83744">
            <w:pPr>
              <w:rPr>
                <w:rFonts w:ascii="Arial"/>
                <w:sz w:val="21"/>
              </w:rPr>
            </w:pPr>
          </w:p>
        </w:tc>
        <w:tc>
          <w:tcPr>
            <w:tcW w:w="2672" w:type="dxa"/>
            <w:vAlign w:val="top"/>
          </w:tcPr>
          <w:p w14:paraId="11806FE6">
            <w:pPr>
              <w:pStyle w:val="212"/>
              <w:spacing w:before="66" w:line="283" w:lineRule="auto"/>
              <w:ind w:left="108" w:right="102" w:hanging="5"/>
            </w:pPr>
            <w:r>
              <w:rPr>
                <w:spacing w:val="-2"/>
              </w:rPr>
              <w:t>A10030906</w:t>
            </w:r>
            <w:r>
              <w:rPr>
                <w:spacing w:val="-24"/>
              </w:rPr>
              <w:t xml:space="preserve"> </w:t>
            </w:r>
            <w:r>
              <w:rPr>
                <w:spacing w:val="-2"/>
              </w:rPr>
              <w:t>高分子防水卷（片）</w:t>
            </w:r>
            <w:r>
              <w:t xml:space="preserve"> 材</w:t>
            </w:r>
          </w:p>
        </w:tc>
        <w:tc>
          <w:tcPr>
            <w:tcW w:w="2248" w:type="dxa"/>
            <w:vAlign w:val="top"/>
          </w:tcPr>
          <w:p w14:paraId="16190BED">
            <w:pPr>
              <w:rPr>
                <w:rFonts w:ascii="Arial"/>
                <w:sz w:val="21"/>
              </w:rPr>
            </w:pPr>
          </w:p>
        </w:tc>
        <w:tc>
          <w:tcPr>
            <w:tcW w:w="3543" w:type="dxa"/>
            <w:vAlign w:val="top"/>
          </w:tcPr>
          <w:p w14:paraId="76CBE2B5">
            <w:pPr>
              <w:pStyle w:val="212"/>
              <w:spacing w:before="66" w:line="219" w:lineRule="auto"/>
              <w:ind w:left="109"/>
            </w:pPr>
            <w:r>
              <w:rPr>
                <w:spacing w:val="-2"/>
              </w:rPr>
              <w:t>HJ455</w:t>
            </w:r>
            <w:r>
              <w:rPr>
                <w:spacing w:val="-25"/>
              </w:rPr>
              <w:t xml:space="preserve"> </w:t>
            </w:r>
            <w:r>
              <w:rPr>
                <w:spacing w:val="-2"/>
              </w:rPr>
              <w:t>防水卷材</w:t>
            </w:r>
          </w:p>
        </w:tc>
      </w:tr>
      <w:tr w14:paraId="09FB8FF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583" w:type="dxa"/>
            <w:vMerge w:val="restart"/>
            <w:tcBorders>
              <w:bottom w:val="nil"/>
            </w:tcBorders>
            <w:vAlign w:val="top"/>
          </w:tcPr>
          <w:p w14:paraId="4E29A8C3">
            <w:pPr>
              <w:pStyle w:val="212"/>
              <w:spacing w:before="67"/>
              <w:ind w:left="114"/>
            </w:pPr>
            <w:r>
              <w:rPr>
                <w:spacing w:val="-3"/>
              </w:rPr>
              <w:t>40</w:t>
            </w:r>
          </w:p>
        </w:tc>
        <w:tc>
          <w:tcPr>
            <w:tcW w:w="1542" w:type="dxa"/>
            <w:vMerge w:val="restart"/>
            <w:tcBorders>
              <w:bottom w:val="nil"/>
            </w:tcBorders>
            <w:vAlign w:val="top"/>
          </w:tcPr>
          <w:p w14:paraId="5FD779D4">
            <w:pPr>
              <w:pStyle w:val="212"/>
              <w:spacing w:before="66" w:line="322" w:lineRule="auto"/>
              <w:ind w:left="106" w:right="106" w:hanging="4"/>
              <w:jc w:val="both"/>
            </w:pPr>
            <w:r>
              <w:rPr>
                <w:spacing w:val="-8"/>
              </w:rPr>
              <w:t>A100310</w:t>
            </w:r>
            <w:r>
              <w:rPr>
                <w:spacing w:val="-25"/>
              </w:rPr>
              <w:t xml:space="preserve"> </w:t>
            </w:r>
            <w:r>
              <w:rPr>
                <w:spacing w:val="-8"/>
              </w:rPr>
              <w:t>隔热、隔</w:t>
            </w:r>
            <w:r>
              <w:t xml:space="preserve"> </w:t>
            </w:r>
            <w:r>
              <w:rPr>
                <w:spacing w:val="9"/>
              </w:rPr>
              <w:t>音人造矿物材料</w:t>
            </w:r>
            <w:r>
              <w:t xml:space="preserve"> </w:t>
            </w:r>
            <w:r>
              <w:rPr>
                <w:spacing w:val="-2"/>
              </w:rPr>
              <w:t>及其制品</w:t>
            </w:r>
          </w:p>
        </w:tc>
        <w:tc>
          <w:tcPr>
            <w:tcW w:w="2672" w:type="dxa"/>
            <w:vAlign w:val="top"/>
          </w:tcPr>
          <w:p w14:paraId="468631AB">
            <w:pPr>
              <w:pStyle w:val="212"/>
              <w:spacing w:before="68" w:line="282" w:lineRule="auto"/>
              <w:ind w:left="108" w:right="107" w:hanging="5"/>
            </w:pPr>
            <w:r>
              <w:rPr>
                <w:spacing w:val="6"/>
              </w:rPr>
              <w:t>A10031001 矿物绝热和吸声材</w:t>
            </w:r>
            <w:r>
              <w:rPr>
                <w:spacing w:val="7"/>
              </w:rPr>
              <w:t xml:space="preserve"> </w:t>
            </w:r>
            <w:r>
              <w:t>料</w:t>
            </w:r>
          </w:p>
        </w:tc>
        <w:tc>
          <w:tcPr>
            <w:tcW w:w="2248" w:type="dxa"/>
            <w:vAlign w:val="top"/>
          </w:tcPr>
          <w:p w14:paraId="3DCB54C4">
            <w:pPr>
              <w:rPr>
                <w:rFonts w:ascii="Arial"/>
                <w:sz w:val="21"/>
              </w:rPr>
            </w:pPr>
          </w:p>
        </w:tc>
        <w:tc>
          <w:tcPr>
            <w:tcW w:w="3543" w:type="dxa"/>
            <w:vAlign w:val="top"/>
          </w:tcPr>
          <w:p w14:paraId="555281C6">
            <w:pPr>
              <w:pStyle w:val="212"/>
              <w:spacing w:before="67" w:line="219" w:lineRule="auto"/>
              <w:ind w:left="109"/>
            </w:pPr>
            <w:r>
              <w:rPr>
                <w:spacing w:val="-1"/>
              </w:rPr>
              <w:t>HJ/T223</w:t>
            </w:r>
            <w:r>
              <w:rPr>
                <w:spacing w:val="-33"/>
              </w:rPr>
              <w:t xml:space="preserve"> </w:t>
            </w:r>
            <w:r>
              <w:rPr>
                <w:spacing w:val="-1"/>
              </w:rPr>
              <w:t>轻质墙体板材</w:t>
            </w:r>
          </w:p>
        </w:tc>
      </w:tr>
      <w:tr w14:paraId="204D282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8" w:hRule="atLeast"/>
        </w:trPr>
        <w:tc>
          <w:tcPr>
            <w:tcW w:w="583" w:type="dxa"/>
            <w:vMerge w:val="continue"/>
            <w:tcBorders>
              <w:top w:val="nil"/>
            </w:tcBorders>
            <w:vAlign w:val="top"/>
          </w:tcPr>
          <w:p w14:paraId="4506CB00">
            <w:pPr>
              <w:rPr>
                <w:rFonts w:ascii="Arial"/>
                <w:sz w:val="21"/>
              </w:rPr>
            </w:pPr>
          </w:p>
        </w:tc>
        <w:tc>
          <w:tcPr>
            <w:tcW w:w="1542" w:type="dxa"/>
            <w:vMerge w:val="continue"/>
            <w:tcBorders>
              <w:top w:val="nil"/>
            </w:tcBorders>
            <w:vAlign w:val="top"/>
          </w:tcPr>
          <w:p w14:paraId="0BFE09A1">
            <w:pPr>
              <w:rPr>
                <w:rFonts w:ascii="Arial"/>
                <w:sz w:val="21"/>
              </w:rPr>
            </w:pPr>
          </w:p>
        </w:tc>
        <w:tc>
          <w:tcPr>
            <w:tcW w:w="2672" w:type="dxa"/>
            <w:vAlign w:val="top"/>
          </w:tcPr>
          <w:p w14:paraId="12B704B3">
            <w:pPr>
              <w:pStyle w:val="212"/>
              <w:spacing w:before="68" w:line="219" w:lineRule="auto"/>
              <w:ind w:left="103"/>
            </w:pPr>
            <w:r>
              <w:rPr>
                <w:spacing w:val="-1"/>
              </w:rPr>
              <w:t>A10031002</w:t>
            </w:r>
            <w:r>
              <w:rPr>
                <w:spacing w:val="-30"/>
              </w:rPr>
              <w:t xml:space="preserve"> </w:t>
            </w:r>
            <w:r>
              <w:rPr>
                <w:spacing w:val="-1"/>
              </w:rPr>
              <w:t>矿物材料制品</w:t>
            </w:r>
          </w:p>
        </w:tc>
        <w:tc>
          <w:tcPr>
            <w:tcW w:w="2248" w:type="dxa"/>
            <w:vAlign w:val="top"/>
          </w:tcPr>
          <w:p w14:paraId="6D93CCD9">
            <w:pPr>
              <w:rPr>
                <w:rFonts w:ascii="Arial"/>
                <w:sz w:val="21"/>
              </w:rPr>
            </w:pPr>
          </w:p>
        </w:tc>
        <w:tc>
          <w:tcPr>
            <w:tcW w:w="3543" w:type="dxa"/>
            <w:vAlign w:val="top"/>
          </w:tcPr>
          <w:p w14:paraId="5BBF2B41">
            <w:pPr>
              <w:pStyle w:val="212"/>
              <w:spacing w:before="67" w:line="219" w:lineRule="auto"/>
              <w:ind w:left="109"/>
            </w:pPr>
            <w:r>
              <w:rPr>
                <w:spacing w:val="-1"/>
              </w:rPr>
              <w:t>HJ/T223</w:t>
            </w:r>
            <w:r>
              <w:rPr>
                <w:spacing w:val="-33"/>
              </w:rPr>
              <w:t xml:space="preserve"> </w:t>
            </w:r>
            <w:r>
              <w:rPr>
                <w:spacing w:val="-1"/>
              </w:rPr>
              <w:t>轻质墙体板材</w:t>
            </w:r>
          </w:p>
        </w:tc>
      </w:tr>
      <w:tr w14:paraId="300A577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583" w:type="dxa"/>
            <w:tcBorders>
              <w:bottom w:val="single" w:color="auto" w:sz="4" w:space="0"/>
            </w:tcBorders>
            <w:vAlign w:val="top"/>
          </w:tcPr>
          <w:p w14:paraId="4B814E34">
            <w:pPr>
              <w:pStyle w:val="212"/>
              <w:spacing w:before="67" w:line="242" w:lineRule="auto"/>
              <w:ind w:left="114"/>
            </w:pPr>
            <w:r>
              <w:rPr>
                <w:spacing w:val="-3"/>
              </w:rPr>
              <w:t>41</w:t>
            </w:r>
          </w:p>
        </w:tc>
        <w:tc>
          <w:tcPr>
            <w:tcW w:w="1542" w:type="dxa"/>
            <w:tcBorders>
              <w:bottom w:val="single" w:color="auto" w:sz="4" w:space="0"/>
            </w:tcBorders>
            <w:vAlign w:val="top"/>
          </w:tcPr>
          <w:p w14:paraId="183DF2DF">
            <w:pPr>
              <w:pStyle w:val="212"/>
              <w:spacing w:before="68" w:line="282" w:lineRule="auto"/>
              <w:ind w:left="109" w:right="108" w:hanging="7"/>
            </w:pPr>
            <w:r>
              <w:rPr>
                <w:spacing w:val="3"/>
              </w:rPr>
              <w:t>A100601</w:t>
            </w:r>
            <w:r>
              <w:rPr>
                <w:spacing w:val="34"/>
              </w:rPr>
              <w:t xml:space="preserve"> </w:t>
            </w:r>
            <w:r>
              <w:rPr>
                <w:spacing w:val="3"/>
              </w:rPr>
              <w:t>功能性</w:t>
            </w:r>
            <w:r>
              <w:t xml:space="preserve"> </w:t>
            </w:r>
            <w:r>
              <w:rPr>
                <w:spacing w:val="-2"/>
              </w:rPr>
              <w:t>建筑涂料</w:t>
            </w:r>
          </w:p>
        </w:tc>
        <w:tc>
          <w:tcPr>
            <w:tcW w:w="2672" w:type="dxa"/>
            <w:tcBorders>
              <w:bottom w:val="single" w:color="auto" w:sz="4" w:space="0"/>
            </w:tcBorders>
            <w:vAlign w:val="top"/>
          </w:tcPr>
          <w:p w14:paraId="34BCC6D5">
            <w:pPr>
              <w:rPr>
                <w:rFonts w:ascii="Arial"/>
                <w:sz w:val="21"/>
              </w:rPr>
            </w:pPr>
          </w:p>
        </w:tc>
        <w:tc>
          <w:tcPr>
            <w:tcW w:w="2248" w:type="dxa"/>
            <w:tcBorders>
              <w:bottom w:val="single" w:color="auto" w:sz="4" w:space="0"/>
            </w:tcBorders>
            <w:vAlign w:val="top"/>
          </w:tcPr>
          <w:p w14:paraId="1681F88E">
            <w:pPr>
              <w:rPr>
                <w:rFonts w:ascii="Arial"/>
                <w:sz w:val="21"/>
              </w:rPr>
            </w:pPr>
          </w:p>
        </w:tc>
        <w:tc>
          <w:tcPr>
            <w:tcW w:w="3543" w:type="dxa"/>
            <w:vAlign w:val="top"/>
          </w:tcPr>
          <w:p w14:paraId="3B8744EF">
            <w:pPr>
              <w:pStyle w:val="212"/>
              <w:spacing w:before="67" w:line="219" w:lineRule="auto"/>
              <w:ind w:left="109"/>
            </w:pPr>
            <w:r>
              <w:rPr>
                <w:spacing w:val="-1"/>
              </w:rPr>
              <w:t>HJ2537</w:t>
            </w:r>
            <w:r>
              <w:rPr>
                <w:spacing w:val="-34"/>
              </w:rPr>
              <w:t xml:space="preserve"> </w:t>
            </w:r>
            <w:r>
              <w:rPr>
                <w:spacing w:val="-1"/>
              </w:rPr>
              <w:t>水性涂料</w:t>
            </w:r>
          </w:p>
        </w:tc>
      </w:tr>
      <w:tr w14:paraId="4C24414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583" w:type="dxa"/>
            <w:tcBorders>
              <w:top w:val="single" w:color="auto" w:sz="4" w:space="0"/>
              <w:left w:val="single" w:color="auto" w:sz="4" w:space="0"/>
              <w:bottom w:val="single" w:color="auto" w:sz="4" w:space="0"/>
              <w:right w:val="single" w:color="auto" w:sz="4" w:space="0"/>
            </w:tcBorders>
            <w:vAlign w:val="top"/>
          </w:tcPr>
          <w:p w14:paraId="33954CF3">
            <w:pPr>
              <w:pStyle w:val="212"/>
              <w:spacing w:before="68" w:line="242" w:lineRule="auto"/>
              <w:ind w:left="114"/>
            </w:pPr>
            <w:r>
              <w:rPr>
                <w:spacing w:val="-3"/>
              </w:rPr>
              <w:t>42</w:t>
            </w:r>
          </w:p>
        </w:tc>
        <w:tc>
          <w:tcPr>
            <w:tcW w:w="1542" w:type="dxa"/>
            <w:tcBorders>
              <w:top w:val="single" w:color="auto" w:sz="4" w:space="0"/>
              <w:left w:val="single" w:color="auto" w:sz="4" w:space="0"/>
              <w:bottom w:val="single" w:color="auto" w:sz="4" w:space="0"/>
              <w:right w:val="single" w:color="auto" w:sz="4" w:space="0"/>
            </w:tcBorders>
            <w:vAlign w:val="top"/>
          </w:tcPr>
          <w:p w14:paraId="2F647228">
            <w:pPr>
              <w:pStyle w:val="212"/>
              <w:spacing w:before="69" w:line="284" w:lineRule="auto"/>
              <w:ind w:left="109" w:right="106" w:firstLine="84"/>
            </w:pPr>
            <w:r>
              <w:rPr>
                <w:spacing w:val="-1"/>
              </w:rPr>
              <w:t>A100399</w:t>
            </w:r>
            <w:r>
              <w:rPr>
                <w:spacing w:val="-15"/>
              </w:rPr>
              <w:t xml:space="preserve"> </w:t>
            </w:r>
            <w:r>
              <w:rPr>
                <w:spacing w:val="-1"/>
              </w:rPr>
              <w:t>其他非</w:t>
            </w:r>
            <w:r>
              <w:rPr>
                <w:spacing w:val="-2"/>
              </w:rPr>
              <w:t>金属矿物制品</w:t>
            </w:r>
          </w:p>
        </w:tc>
        <w:tc>
          <w:tcPr>
            <w:tcW w:w="2672" w:type="dxa"/>
            <w:tcBorders>
              <w:top w:val="single" w:color="auto" w:sz="4" w:space="0"/>
              <w:left w:val="single" w:color="auto" w:sz="4" w:space="0"/>
              <w:bottom w:val="single" w:color="auto" w:sz="4" w:space="0"/>
              <w:right w:val="single" w:color="auto" w:sz="4" w:space="0"/>
            </w:tcBorders>
            <w:vAlign w:val="top"/>
          </w:tcPr>
          <w:p w14:paraId="79B5FD95">
            <w:pPr>
              <w:pStyle w:val="212"/>
              <w:spacing w:before="68" w:line="219" w:lineRule="auto"/>
              <w:ind w:left="103"/>
            </w:pPr>
            <w:r>
              <w:rPr>
                <w:spacing w:val="-1"/>
              </w:rPr>
              <w:t>A10039901</w:t>
            </w:r>
            <w:r>
              <w:rPr>
                <w:spacing w:val="-45"/>
              </w:rPr>
              <w:t xml:space="preserve"> </w:t>
            </w:r>
            <w:r>
              <w:rPr>
                <w:spacing w:val="-1"/>
              </w:rPr>
              <w:t>其他非金属建筑材料</w:t>
            </w:r>
          </w:p>
        </w:tc>
        <w:tc>
          <w:tcPr>
            <w:tcW w:w="2248" w:type="dxa"/>
            <w:tcBorders>
              <w:top w:val="single" w:color="auto" w:sz="4" w:space="0"/>
              <w:left w:val="single" w:color="auto" w:sz="4" w:space="0"/>
              <w:bottom w:val="single" w:color="auto" w:sz="4" w:space="0"/>
              <w:right w:val="single" w:color="auto" w:sz="4" w:space="0"/>
            </w:tcBorders>
            <w:vAlign w:val="top"/>
          </w:tcPr>
          <w:p w14:paraId="183E04E1">
            <w:pPr>
              <w:rPr>
                <w:rFonts w:ascii="Arial"/>
                <w:sz w:val="21"/>
              </w:rPr>
            </w:pPr>
          </w:p>
        </w:tc>
        <w:tc>
          <w:tcPr>
            <w:tcW w:w="3543" w:type="dxa"/>
            <w:tcBorders>
              <w:left w:val="single" w:color="auto" w:sz="4" w:space="0"/>
            </w:tcBorders>
            <w:vAlign w:val="top"/>
          </w:tcPr>
          <w:p w14:paraId="7B485066">
            <w:pPr>
              <w:pStyle w:val="212"/>
              <w:spacing w:before="68" w:line="219" w:lineRule="auto"/>
              <w:ind w:left="109"/>
            </w:pPr>
            <w:r>
              <w:rPr>
                <w:spacing w:val="-2"/>
              </w:rPr>
              <w:t>HJ456</w:t>
            </w:r>
            <w:r>
              <w:rPr>
                <w:spacing w:val="-23"/>
              </w:rPr>
              <w:t xml:space="preserve"> </w:t>
            </w:r>
            <w:r>
              <w:rPr>
                <w:spacing w:val="-2"/>
              </w:rPr>
              <w:t>刚性防水材料</w:t>
            </w:r>
          </w:p>
        </w:tc>
      </w:tr>
      <w:tr w14:paraId="3FF8E5F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583" w:type="dxa"/>
            <w:vMerge w:val="restart"/>
            <w:tcBorders>
              <w:top w:val="single" w:color="auto" w:sz="4" w:space="0"/>
              <w:left w:val="single" w:color="auto" w:sz="4" w:space="0"/>
              <w:bottom w:val="single" w:color="auto" w:sz="4" w:space="0"/>
              <w:right w:val="single" w:color="auto" w:sz="4" w:space="0"/>
            </w:tcBorders>
            <w:vAlign w:val="top"/>
          </w:tcPr>
          <w:p w14:paraId="10207C1A">
            <w:pPr>
              <w:pStyle w:val="212"/>
              <w:spacing w:before="68"/>
              <w:ind w:left="114"/>
            </w:pPr>
            <w:r>
              <w:rPr>
                <w:spacing w:val="-3"/>
              </w:rPr>
              <w:t>43</w:t>
            </w:r>
          </w:p>
        </w:tc>
        <w:tc>
          <w:tcPr>
            <w:tcW w:w="1542" w:type="dxa"/>
            <w:vMerge w:val="restart"/>
            <w:tcBorders>
              <w:top w:val="single" w:color="auto" w:sz="4" w:space="0"/>
              <w:left w:val="single" w:color="auto" w:sz="4" w:space="0"/>
              <w:bottom w:val="single" w:color="auto" w:sz="4" w:space="0"/>
              <w:right w:val="single" w:color="auto" w:sz="4" w:space="0"/>
            </w:tcBorders>
            <w:vAlign w:val="top"/>
          </w:tcPr>
          <w:p w14:paraId="5EB07ED6">
            <w:pPr>
              <w:pStyle w:val="212"/>
              <w:spacing w:before="67" w:line="323" w:lineRule="auto"/>
              <w:ind w:left="107" w:right="108" w:hanging="5"/>
            </w:pPr>
            <w:r>
              <w:rPr>
                <w:spacing w:val="3"/>
              </w:rPr>
              <w:t>A100602</w:t>
            </w:r>
            <w:r>
              <w:rPr>
                <w:spacing w:val="34"/>
              </w:rPr>
              <w:t xml:space="preserve"> </w:t>
            </w:r>
            <w:r>
              <w:rPr>
                <w:spacing w:val="3"/>
              </w:rPr>
              <w:t>墙面涂</w:t>
            </w:r>
            <w:r>
              <w:t xml:space="preserve"> 料</w:t>
            </w:r>
          </w:p>
        </w:tc>
        <w:tc>
          <w:tcPr>
            <w:tcW w:w="2672" w:type="dxa"/>
            <w:tcBorders>
              <w:top w:val="single" w:color="auto" w:sz="4" w:space="0"/>
              <w:left w:val="single" w:color="auto" w:sz="4" w:space="0"/>
              <w:bottom w:val="single" w:color="auto" w:sz="4" w:space="0"/>
              <w:right w:val="single" w:color="auto" w:sz="4" w:space="0"/>
            </w:tcBorders>
            <w:vAlign w:val="top"/>
          </w:tcPr>
          <w:p w14:paraId="30381269">
            <w:pPr>
              <w:pStyle w:val="212"/>
              <w:spacing w:before="69" w:line="284" w:lineRule="auto"/>
              <w:ind w:left="108" w:right="107" w:hanging="5"/>
            </w:pPr>
            <w:r>
              <w:rPr>
                <w:spacing w:val="-1"/>
              </w:rPr>
              <w:t>A10060202</w:t>
            </w:r>
            <w:r>
              <w:rPr>
                <w:spacing w:val="-47"/>
              </w:rPr>
              <w:t xml:space="preserve"> </w:t>
            </w:r>
            <w:r>
              <w:rPr>
                <w:spacing w:val="-1"/>
              </w:rPr>
              <w:t>合成树脂乳液内墙涂</w:t>
            </w:r>
            <w:r>
              <w:t xml:space="preserve"> 料</w:t>
            </w:r>
          </w:p>
        </w:tc>
        <w:tc>
          <w:tcPr>
            <w:tcW w:w="2248" w:type="dxa"/>
            <w:tcBorders>
              <w:top w:val="single" w:color="auto" w:sz="4" w:space="0"/>
              <w:left w:val="single" w:color="auto" w:sz="4" w:space="0"/>
              <w:bottom w:val="single" w:color="auto" w:sz="4" w:space="0"/>
              <w:right w:val="single" w:color="auto" w:sz="4" w:space="0"/>
            </w:tcBorders>
            <w:vAlign w:val="top"/>
          </w:tcPr>
          <w:p w14:paraId="72A47172">
            <w:pPr>
              <w:rPr>
                <w:rFonts w:ascii="Arial"/>
                <w:sz w:val="21"/>
              </w:rPr>
            </w:pPr>
          </w:p>
        </w:tc>
        <w:tc>
          <w:tcPr>
            <w:tcW w:w="3543" w:type="dxa"/>
            <w:tcBorders>
              <w:left w:val="single" w:color="auto" w:sz="4" w:space="0"/>
            </w:tcBorders>
            <w:vAlign w:val="top"/>
          </w:tcPr>
          <w:p w14:paraId="563BAD7D">
            <w:pPr>
              <w:pStyle w:val="212"/>
              <w:spacing w:before="67" w:line="219" w:lineRule="auto"/>
              <w:ind w:left="109"/>
            </w:pPr>
            <w:r>
              <w:rPr>
                <w:spacing w:val="-1"/>
              </w:rPr>
              <w:t>HJ2537</w:t>
            </w:r>
            <w:r>
              <w:rPr>
                <w:spacing w:val="-34"/>
              </w:rPr>
              <w:t xml:space="preserve"> </w:t>
            </w:r>
            <w:r>
              <w:rPr>
                <w:spacing w:val="-1"/>
              </w:rPr>
              <w:t>水性涂料</w:t>
            </w:r>
          </w:p>
        </w:tc>
      </w:tr>
      <w:tr w14:paraId="316C009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583" w:type="dxa"/>
            <w:vMerge w:val="continue"/>
            <w:tcBorders>
              <w:top w:val="single" w:color="auto" w:sz="4" w:space="0"/>
              <w:left w:val="single" w:color="auto" w:sz="4" w:space="0"/>
              <w:bottom w:val="single" w:color="auto" w:sz="4" w:space="0"/>
              <w:right w:val="single" w:color="auto" w:sz="4" w:space="0"/>
            </w:tcBorders>
            <w:vAlign w:val="top"/>
          </w:tcPr>
          <w:p w14:paraId="4D66BD2A">
            <w:pPr>
              <w:rPr>
                <w:rFonts w:ascii="Arial"/>
                <w:sz w:val="21"/>
              </w:rPr>
            </w:pPr>
          </w:p>
        </w:tc>
        <w:tc>
          <w:tcPr>
            <w:tcW w:w="1542" w:type="dxa"/>
            <w:vMerge w:val="continue"/>
            <w:tcBorders>
              <w:top w:val="single" w:color="auto" w:sz="4" w:space="0"/>
              <w:left w:val="single" w:color="auto" w:sz="4" w:space="0"/>
              <w:bottom w:val="single" w:color="auto" w:sz="4" w:space="0"/>
              <w:right w:val="single" w:color="auto" w:sz="4" w:space="0"/>
            </w:tcBorders>
            <w:vAlign w:val="top"/>
          </w:tcPr>
          <w:p w14:paraId="7A52635C">
            <w:pPr>
              <w:rPr>
                <w:rFonts w:ascii="Arial"/>
                <w:sz w:val="21"/>
              </w:rPr>
            </w:pPr>
          </w:p>
        </w:tc>
        <w:tc>
          <w:tcPr>
            <w:tcW w:w="2672" w:type="dxa"/>
            <w:tcBorders>
              <w:top w:val="single" w:color="auto" w:sz="4" w:space="0"/>
              <w:left w:val="single" w:color="auto" w:sz="4" w:space="0"/>
              <w:bottom w:val="single" w:color="auto" w:sz="4" w:space="0"/>
              <w:right w:val="single" w:color="auto" w:sz="4" w:space="0"/>
            </w:tcBorders>
            <w:vAlign w:val="top"/>
          </w:tcPr>
          <w:p w14:paraId="49AAA4F8">
            <w:pPr>
              <w:pStyle w:val="212"/>
              <w:spacing w:before="64" w:line="284" w:lineRule="auto"/>
              <w:ind w:left="108" w:right="107" w:hanging="5"/>
            </w:pPr>
            <w:r>
              <w:rPr>
                <w:spacing w:val="-1"/>
              </w:rPr>
              <w:t>A10060203</w:t>
            </w:r>
            <w:r>
              <w:rPr>
                <w:spacing w:val="-47"/>
              </w:rPr>
              <w:t xml:space="preserve"> </w:t>
            </w:r>
            <w:r>
              <w:rPr>
                <w:spacing w:val="-1"/>
              </w:rPr>
              <w:t>合成树脂乳液外墙涂</w:t>
            </w:r>
            <w:r>
              <w:t xml:space="preserve"> 料</w:t>
            </w:r>
          </w:p>
        </w:tc>
        <w:tc>
          <w:tcPr>
            <w:tcW w:w="2248" w:type="dxa"/>
            <w:tcBorders>
              <w:top w:val="single" w:color="auto" w:sz="4" w:space="0"/>
              <w:left w:val="single" w:color="auto" w:sz="4" w:space="0"/>
              <w:bottom w:val="single" w:color="auto" w:sz="4" w:space="0"/>
              <w:right w:val="single" w:color="auto" w:sz="4" w:space="0"/>
            </w:tcBorders>
            <w:vAlign w:val="top"/>
          </w:tcPr>
          <w:p w14:paraId="78CE74D6">
            <w:pPr>
              <w:rPr>
                <w:rFonts w:ascii="Arial"/>
                <w:sz w:val="21"/>
              </w:rPr>
            </w:pPr>
          </w:p>
        </w:tc>
        <w:tc>
          <w:tcPr>
            <w:tcW w:w="3543" w:type="dxa"/>
            <w:tcBorders>
              <w:left w:val="single" w:color="auto" w:sz="4" w:space="0"/>
            </w:tcBorders>
            <w:vAlign w:val="top"/>
          </w:tcPr>
          <w:p w14:paraId="6D61436D">
            <w:pPr>
              <w:pStyle w:val="212"/>
              <w:spacing w:before="63" w:line="219" w:lineRule="auto"/>
              <w:ind w:left="109"/>
            </w:pPr>
            <w:r>
              <w:rPr>
                <w:spacing w:val="-1"/>
              </w:rPr>
              <w:t>HJ2537</w:t>
            </w:r>
            <w:r>
              <w:rPr>
                <w:spacing w:val="-34"/>
              </w:rPr>
              <w:t xml:space="preserve"> </w:t>
            </w:r>
            <w:r>
              <w:rPr>
                <w:spacing w:val="-1"/>
              </w:rPr>
              <w:t>水性涂料</w:t>
            </w:r>
          </w:p>
        </w:tc>
      </w:tr>
      <w:tr w14:paraId="0F26285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7" w:hRule="atLeast"/>
        </w:trPr>
        <w:tc>
          <w:tcPr>
            <w:tcW w:w="583" w:type="dxa"/>
            <w:vMerge w:val="continue"/>
            <w:tcBorders>
              <w:top w:val="single" w:color="auto" w:sz="4" w:space="0"/>
              <w:left w:val="single" w:color="auto" w:sz="4" w:space="0"/>
              <w:bottom w:val="single" w:color="auto" w:sz="4" w:space="0"/>
              <w:right w:val="single" w:color="auto" w:sz="4" w:space="0"/>
            </w:tcBorders>
            <w:vAlign w:val="top"/>
          </w:tcPr>
          <w:p w14:paraId="10101A8D">
            <w:pPr>
              <w:rPr>
                <w:rFonts w:ascii="Arial"/>
                <w:sz w:val="21"/>
              </w:rPr>
            </w:pPr>
          </w:p>
        </w:tc>
        <w:tc>
          <w:tcPr>
            <w:tcW w:w="1542" w:type="dxa"/>
            <w:vMerge w:val="continue"/>
            <w:tcBorders>
              <w:top w:val="single" w:color="auto" w:sz="4" w:space="0"/>
              <w:left w:val="single" w:color="auto" w:sz="4" w:space="0"/>
              <w:bottom w:val="single" w:color="auto" w:sz="4" w:space="0"/>
              <w:right w:val="single" w:color="auto" w:sz="4" w:space="0"/>
            </w:tcBorders>
            <w:vAlign w:val="top"/>
          </w:tcPr>
          <w:p w14:paraId="0AAD2186">
            <w:pPr>
              <w:rPr>
                <w:rFonts w:ascii="Arial"/>
                <w:sz w:val="21"/>
              </w:rPr>
            </w:pPr>
          </w:p>
        </w:tc>
        <w:tc>
          <w:tcPr>
            <w:tcW w:w="2672" w:type="dxa"/>
            <w:tcBorders>
              <w:top w:val="single" w:color="auto" w:sz="4" w:space="0"/>
              <w:left w:val="single" w:color="auto" w:sz="4" w:space="0"/>
              <w:bottom w:val="single" w:color="auto" w:sz="4" w:space="0"/>
              <w:right w:val="single" w:color="auto" w:sz="4" w:space="0"/>
            </w:tcBorders>
            <w:vAlign w:val="top"/>
          </w:tcPr>
          <w:p w14:paraId="4DF487A8">
            <w:pPr>
              <w:pStyle w:val="212"/>
              <w:spacing w:before="64" w:line="221" w:lineRule="auto"/>
              <w:ind w:left="103"/>
            </w:pPr>
            <w:r>
              <w:rPr>
                <w:spacing w:val="-1"/>
              </w:rPr>
              <w:t>A10060299</w:t>
            </w:r>
            <w:r>
              <w:rPr>
                <w:spacing w:val="-30"/>
              </w:rPr>
              <w:t xml:space="preserve"> </w:t>
            </w:r>
            <w:r>
              <w:rPr>
                <w:spacing w:val="-1"/>
              </w:rPr>
              <w:t>其他墙面涂料</w:t>
            </w:r>
          </w:p>
        </w:tc>
        <w:tc>
          <w:tcPr>
            <w:tcW w:w="2248" w:type="dxa"/>
            <w:tcBorders>
              <w:top w:val="single" w:color="auto" w:sz="4" w:space="0"/>
              <w:left w:val="single" w:color="auto" w:sz="4" w:space="0"/>
              <w:bottom w:val="single" w:color="auto" w:sz="4" w:space="0"/>
              <w:right w:val="single" w:color="auto" w:sz="4" w:space="0"/>
            </w:tcBorders>
            <w:vAlign w:val="top"/>
          </w:tcPr>
          <w:p w14:paraId="64F1E019">
            <w:pPr>
              <w:rPr>
                <w:rFonts w:ascii="Arial"/>
                <w:sz w:val="21"/>
              </w:rPr>
            </w:pPr>
          </w:p>
        </w:tc>
        <w:tc>
          <w:tcPr>
            <w:tcW w:w="3543" w:type="dxa"/>
            <w:tcBorders>
              <w:left w:val="single" w:color="auto" w:sz="4" w:space="0"/>
            </w:tcBorders>
            <w:vAlign w:val="top"/>
          </w:tcPr>
          <w:p w14:paraId="426BA902">
            <w:pPr>
              <w:pStyle w:val="212"/>
              <w:spacing w:before="64" w:line="219" w:lineRule="auto"/>
              <w:ind w:left="109"/>
            </w:pPr>
            <w:r>
              <w:rPr>
                <w:spacing w:val="-1"/>
              </w:rPr>
              <w:t>HJ2537</w:t>
            </w:r>
            <w:r>
              <w:rPr>
                <w:spacing w:val="-34"/>
              </w:rPr>
              <w:t xml:space="preserve"> </w:t>
            </w:r>
            <w:r>
              <w:rPr>
                <w:spacing w:val="-1"/>
              </w:rPr>
              <w:t>水性涂料</w:t>
            </w:r>
          </w:p>
        </w:tc>
      </w:tr>
      <w:tr w14:paraId="768D30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583" w:type="dxa"/>
            <w:tcBorders>
              <w:top w:val="single" w:color="auto" w:sz="4" w:space="0"/>
            </w:tcBorders>
            <w:vAlign w:val="top"/>
          </w:tcPr>
          <w:p w14:paraId="7EB7582E">
            <w:pPr>
              <w:pStyle w:val="212"/>
              <w:spacing w:before="65" w:line="242" w:lineRule="auto"/>
              <w:ind w:left="114"/>
            </w:pPr>
            <w:r>
              <w:rPr>
                <w:spacing w:val="-3"/>
              </w:rPr>
              <w:t>44</w:t>
            </w:r>
          </w:p>
        </w:tc>
        <w:tc>
          <w:tcPr>
            <w:tcW w:w="1542" w:type="dxa"/>
            <w:tcBorders>
              <w:top w:val="single" w:color="auto" w:sz="4" w:space="0"/>
            </w:tcBorders>
            <w:vAlign w:val="top"/>
          </w:tcPr>
          <w:p w14:paraId="7481B57C">
            <w:pPr>
              <w:pStyle w:val="212"/>
              <w:spacing w:before="66" w:line="283" w:lineRule="auto"/>
              <w:ind w:left="107" w:right="108" w:hanging="5"/>
            </w:pPr>
            <w:r>
              <w:rPr>
                <w:spacing w:val="2"/>
              </w:rPr>
              <w:t>A100604</w:t>
            </w:r>
            <w:r>
              <w:rPr>
                <w:spacing w:val="44"/>
              </w:rPr>
              <w:t xml:space="preserve"> </w:t>
            </w:r>
            <w:r>
              <w:rPr>
                <w:spacing w:val="2"/>
              </w:rPr>
              <w:t>防水涂</w:t>
            </w:r>
            <w:r>
              <w:t xml:space="preserve"> 料</w:t>
            </w:r>
          </w:p>
        </w:tc>
        <w:tc>
          <w:tcPr>
            <w:tcW w:w="2672" w:type="dxa"/>
            <w:tcBorders>
              <w:top w:val="single" w:color="auto" w:sz="4" w:space="0"/>
            </w:tcBorders>
            <w:vAlign w:val="top"/>
          </w:tcPr>
          <w:p w14:paraId="535DF1A2">
            <w:pPr>
              <w:pStyle w:val="212"/>
              <w:spacing w:before="65" w:line="220" w:lineRule="auto"/>
              <w:ind w:left="103"/>
            </w:pPr>
            <w:r>
              <w:rPr>
                <w:spacing w:val="-1"/>
              </w:rPr>
              <w:t>A10060499</w:t>
            </w:r>
            <w:r>
              <w:rPr>
                <w:spacing w:val="-30"/>
              </w:rPr>
              <w:t xml:space="preserve"> </w:t>
            </w:r>
            <w:r>
              <w:rPr>
                <w:spacing w:val="-1"/>
              </w:rPr>
              <w:t>其他防水涂料</w:t>
            </w:r>
          </w:p>
        </w:tc>
        <w:tc>
          <w:tcPr>
            <w:tcW w:w="2248" w:type="dxa"/>
            <w:tcBorders>
              <w:top w:val="single" w:color="auto" w:sz="4" w:space="0"/>
            </w:tcBorders>
            <w:vAlign w:val="top"/>
          </w:tcPr>
          <w:p w14:paraId="1855E2A6">
            <w:pPr>
              <w:rPr>
                <w:rFonts w:ascii="Arial"/>
                <w:sz w:val="21"/>
              </w:rPr>
            </w:pPr>
          </w:p>
        </w:tc>
        <w:tc>
          <w:tcPr>
            <w:tcW w:w="3543" w:type="dxa"/>
            <w:vAlign w:val="top"/>
          </w:tcPr>
          <w:p w14:paraId="1C6CE9A5">
            <w:pPr>
              <w:pStyle w:val="212"/>
              <w:spacing w:before="65" w:line="219" w:lineRule="auto"/>
              <w:ind w:left="109"/>
            </w:pPr>
            <w:r>
              <w:rPr>
                <w:spacing w:val="-1"/>
              </w:rPr>
              <w:t>HJ2537</w:t>
            </w:r>
            <w:r>
              <w:rPr>
                <w:spacing w:val="-34"/>
              </w:rPr>
              <w:t xml:space="preserve"> </w:t>
            </w:r>
            <w:r>
              <w:rPr>
                <w:spacing w:val="-1"/>
              </w:rPr>
              <w:t>水性涂料</w:t>
            </w:r>
          </w:p>
        </w:tc>
      </w:tr>
      <w:tr w14:paraId="632B539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583" w:type="dxa"/>
            <w:vAlign w:val="top"/>
          </w:tcPr>
          <w:p w14:paraId="743A4B4D">
            <w:pPr>
              <w:pStyle w:val="212"/>
              <w:spacing w:before="66"/>
              <w:ind w:left="114"/>
            </w:pPr>
            <w:r>
              <w:rPr>
                <w:spacing w:val="-3"/>
              </w:rPr>
              <w:t>45</w:t>
            </w:r>
          </w:p>
        </w:tc>
        <w:tc>
          <w:tcPr>
            <w:tcW w:w="1542" w:type="dxa"/>
            <w:vAlign w:val="top"/>
          </w:tcPr>
          <w:p w14:paraId="35C9BC36">
            <w:pPr>
              <w:pStyle w:val="212"/>
              <w:spacing w:before="66" w:line="283" w:lineRule="auto"/>
              <w:ind w:left="109" w:right="108" w:hanging="7"/>
            </w:pPr>
            <w:r>
              <w:rPr>
                <w:spacing w:val="3"/>
              </w:rPr>
              <w:t>A100699</w:t>
            </w:r>
            <w:r>
              <w:rPr>
                <w:spacing w:val="34"/>
              </w:rPr>
              <w:t xml:space="preserve"> </w:t>
            </w:r>
            <w:r>
              <w:rPr>
                <w:spacing w:val="3"/>
              </w:rPr>
              <w:t>其他建</w:t>
            </w:r>
            <w:r>
              <w:t xml:space="preserve"> </w:t>
            </w:r>
            <w:r>
              <w:rPr>
                <w:spacing w:val="-2"/>
              </w:rPr>
              <w:t>筑涂料</w:t>
            </w:r>
          </w:p>
        </w:tc>
        <w:tc>
          <w:tcPr>
            <w:tcW w:w="2672" w:type="dxa"/>
            <w:vAlign w:val="top"/>
          </w:tcPr>
          <w:p w14:paraId="23D38720">
            <w:pPr>
              <w:rPr>
                <w:rFonts w:ascii="Arial"/>
                <w:sz w:val="21"/>
              </w:rPr>
            </w:pPr>
          </w:p>
        </w:tc>
        <w:tc>
          <w:tcPr>
            <w:tcW w:w="2248" w:type="dxa"/>
            <w:vAlign w:val="top"/>
          </w:tcPr>
          <w:p w14:paraId="0B70DE25">
            <w:pPr>
              <w:rPr>
                <w:rFonts w:ascii="Arial"/>
                <w:sz w:val="21"/>
              </w:rPr>
            </w:pPr>
          </w:p>
        </w:tc>
        <w:tc>
          <w:tcPr>
            <w:tcW w:w="3543" w:type="dxa"/>
            <w:vAlign w:val="top"/>
          </w:tcPr>
          <w:p w14:paraId="660F1672">
            <w:pPr>
              <w:pStyle w:val="212"/>
              <w:spacing w:before="65" w:line="219" w:lineRule="auto"/>
              <w:ind w:left="109"/>
            </w:pPr>
            <w:r>
              <w:rPr>
                <w:spacing w:val="-1"/>
              </w:rPr>
              <w:t>HJ2537</w:t>
            </w:r>
            <w:r>
              <w:rPr>
                <w:spacing w:val="-34"/>
              </w:rPr>
              <w:t xml:space="preserve"> </w:t>
            </w:r>
            <w:r>
              <w:rPr>
                <w:spacing w:val="-1"/>
              </w:rPr>
              <w:t>水性涂料</w:t>
            </w:r>
          </w:p>
        </w:tc>
      </w:tr>
      <w:tr w14:paraId="38319C7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6" w:hRule="atLeast"/>
        </w:trPr>
        <w:tc>
          <w:tcPr>
            <w:tcW w:w="583" w:type="dxa"/>
            <w:vAlign w:val="top"/>
          </w:tcPr>
          <w:p w14:paraId="2F17EFB4">
            <w:pPr>
              <w:pStyle w:val="212"/>
              <w:spacing w:before="66"/>
              <w:ind w:left="114"/>
            </w:pPr>
            <w:r>
              <w:rPr>
                <w:spacing w:val="-3"/>
              </w:rPr>
              <w:t>46</w:t>
            </w:r>
          </w:p>
        </w:tc>
        <w:tc>
          <w:tcPr>
            <w:tcW w:w="1542" w:type="dxa"/>
            <w:vAlign w:val="top"/>
          </w:tcPr>
          <w:p w14:paraId="3F904A96">
            <w:pPr>
              <w:pStyle w:val="212"/>
              <w:spacing w:before="66" w:line="222" w:lineRule="auto"/>
              <w:ind w:left="102"/>
            </w:pPr>
            <w:r>
              <w:rPr>
                <w:spacing w:val="-8"/>
              </w:rPr>
              <w:t>A100701</w:t>
            </w:r>
            <w:r>
              <w:rPr>
                <w:spacing w:val="-12"/>
              </w:rPr>
              <w:t xml:space="preserve"> </w:t>
            </w:r>
            <w:r>
              <w:rPr>
                <w:spacing w:val="-8"/>
              </w:rPr>
              <w:t>门、门槛</w:t>
            </w:r>
          </w:p>
        </w:tc>
        <w:tc>
          <w:tcPr>
            <w:tcW w:w="2672" w:type="dxa"/>
            <w:vAlign w:val="top"/>
          </w:tcPr>
          <w:p w14:paraId="27EBC322">
            <w:pPr>
              <w:rPr>
                <w:rFonts w:ascii="Arial"/>
                <w:sz w:val="21"/>
              </w:rPr>
            </w:pPr>
          </w:p>
        </w:tc>
        <w:tc>
          <w:tcPr>
            <w:tcW w:w="2248" w:type="dxa"/>
            <w:vAlign w:val="top"/>
          </w:tcPr>
          <w:p w14:paraId="5BDA538E">
            <w:pPr>
              <w:rPr>
                <w:rFonts w:ascii="Arial"/>
                <w:sz w:val="21"/>
              </w:rPr>
            </w:pPr>
          </w:p>
        </w:tc>
        <w:tc>
          <w:tcPr>
            <w:tcW w:w="3543" w:type="dxa"/>
            <w:vAlign w:val="top"/>
          </w:tcPr>
          <w:p w14:paraId="2B02D3B7">
            <w:pPr>
              <w:pStyle w:val="212"/>
              <w:spacing w:before="66" w:line="219" w:lineRule="auto"/>
              <w:ind w:left="109"/>
            </w:pPr>
            <w:r>
              <w:rPr>
                <w:spacing w:val="-1"/>
              </w:rPr>
              <w:t>HJ/T 237</w:t>
            </w:r>
            <w:r>
              <w:rPr>
                <w:spacing w:val="-32"/>
              </w:rPr>
              <w:t xml:space="preserve"> </w:t>
            </w:r>
            <w:r>
              <w:rPr>
                <w:spacing w:val="-1"/>
              </w:rPr>
              <w:t>塑料门窗/HJ459</w:t>
            </w:r>
            <w:r>
              <w:rPr>
                <w:spacing w:val="-37"/>
              </w:rPr>
              <w:t xml:space="preserve"> </w:t>
            </w:r>
            <w:r>
              <w:rPr>
                <w:spacing w:val="-1"/>
              </w:rPr>
              <w:t>木</w:t>
            </w:r>
            <w:r>
              <w:rPr>
                <w:spacing w:val="-2"/>
              </w:rPr>
              <w:t>质门和钢质门</w:t>
            </w:r>
          </w:p>
        </w:tc>
      </w:tr>
      <w:tr w14:paraId="0C4D94D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5" w:hRule="atLeast"/>
        </w:trPr>
        <w:tc>
          <w:tcPr>
            <w:tcW w:w="583" w:type="dxa"/>
            <w:vAlign w:val="top"/>
          </w:tcPr>
          <w:p w14:paraId="26CEAE9B">
            <w:pPr>
              <w:pStyle w:val="212"/>
              <w:spacing w:before="66"/>
              <w:ind w:left="114"/>
            </w:pPr>
            <w:r>
              <w:rPr>
                <w:spacing w:val="-3"/>
              </w:rPr>
              <w:t>47</w:t>
            </w:r>
          </w:p>
        </w:tc>
        <w:tc>
          <w:tcPr>
            <w:tcW w:w="1542" w:type="dxa"/>
            <w:vAlign w:val="top"/>
          </w:tcPr>
          <w:p w14:paraId="790141B8">
            <w:pPr>
              <w:pStyle w:val="212"/>
              <w:spacing w:before="66" w:line="221" w:lineRule="auto"/>
              <w:ind w:left="102"/>
            </w:pPr>
            <w:r>
              <w:rPr>
                <w:spacing w:val="-1"/>
              </w:rPr>
              <w:t>A100702</w:t>
            </w:r>
            <w:r>
              <w:rPr>
                <w:spacing w:val="-24"/>
              </w:rPr>
              <w:t xml:space="preserve"> </w:t>
            </w:r>
            <w:r>
              <w:rPr>
                <w:spacing w:val="-1"/>
              </w:rPr>
              <w:t>窗</w:t>
            </w:r>
          </w:p>
        </w:tc>
        <w:tc>
          <w:tcPr>
            <w:tcW w:w="2672" w:type="dxa"/>
            <w:vAlign w:val="top"/>
          </w:tcPr>
          <w:p w14:paraId="5BB1A806">
            <w:pPr>
              <w:rPr>
                <w:rFonts w:ascii="Arial"/>
                <w:sz w:val="21"/>
              </w:rPr>
            </w:pPr>
          </w:p>
        </w:tc>
        <w:tc>
          <w:tcPr>
            <w:tcW w:w="2248" w:type="dxa"/>
            <w:vAlign w:val="top"/>
          </w:tcPr>
          <w:p w14:paraId="12F20AF9">
            <w:pPr>
              <w:rPr>
                <w:rFonts w:ascii="Arial"/>
                <w:sz w:val="21"/>
              </w:rPr>
            </w:pPr>
          </w:p>
        </w:tc>
        <w:tc>
          <w:tcPr>
            <w:tcW w:w="3543" w:type="dxa"/>
            <w:vAlign w:val="top"/>
          </w:tcPr>
          <w:p w14:paraId="5122D3D0">
            <w:pPr>
              <w:pStyle w:val="212"/>
              <w:spacing w:before="66" w:line="219" w:lineRule="auto"/>
              <w:ind w:left="109"/>
            </w:pPr>
            <w:r>
              <w:rPr>
                <w:spacing w:val="-1"/>
              </w:rPr>
              <w:t>HJ/T237</w:t>
            </w:r>
            <w:r>
              <w:rPr>
                <w:spacing w:val="-33"/>
              </w:rPr>
              <w:t xml:space="preserve"> </w:t>
            </w:r>
            <w:r>
              <w:rPr>
                <w:spacing w:val="-1"/>
              </w:rPr>
              <w:t>塑料门窗</w:t>
            </w:r>
          </w:p>
        </w:tc>
      </w:tr>
      <w:tr w14:paraId="684C019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0" w:hRule="atLeast"/>
        </w:trPr>
        <w:tc>
          <w:tcPr>
            <w:tcW w:w="583" w:type="dxa"/>
            <w:vAlign w:val="top"/>
          </w:tcPr>
          <w:p w14:paraId="0FB2F36E">
            <w:pPr>
              <w:pStyle w:val="212"/>
              <w:spacing w:before="69"/>
              <w:ind w:left="114"/>
            </w:pPr>
            <w:r>
              <w:rPr>
                <w:spacing w:val="-3"/>
              </w:rPr>
              <w:t>48</w:t>
            </w:r>
          </w:p>
        </w:tc>
        <w:tc>
          <w:tcPr>
            <w:tcW w:w="1542" w:type="dxa"/>
            <w:vAlign w:val="top"/>
          </w:tcPr>
          <w:p w14:paraId="36F78E55">
            <w:pPr>
              <w:pStyle w:val="212"/>
              <w:spacing w:before="70" w:line="282" w:lineRule="auto"/>
              <w:ind w:left="109" w:right="106" w:hanging="7"/>
            </w:pPr>
            <w:r>
              <w:rPr>
                <w:spacing w:val="-8"/>
              </w:rPr>
              <w:t>A170108</w:t>
            </w:r>
            <w:r>
              <w:rPr>
                <w:spacing w:val="-25"/>
              </w:rPr>
              <w:t xml:space="preserve"> </w:t>
            </w:r>
            <w:r>
              <w:rPr>
                <w:spacing w:val="-8"/>
              </w:rPr>
              <w:t>涂料（建</w:t>
            </w:r>
            <w:r>
              <w:t xml:space="preserve"> </w:t>
            </w:r>
            <w:r>
              <w:rPr>
                <w:spacing w:val="-2"/>
              </w:rPr>
              <w:t>筑涂料除外）</w:t>
            </w:r>
          </w:p>
        </w:tc>
        <w:tc>
          <w:tcPr>
            <w:tcW w:w="2672" w:type="dxa"/>
            <w:vAlign w:val="top"/>
          </w:tcPr>
          <w:p w14:paraId="0E6B6EAA">
            <w:pPr>
              <w:rPr>
                <w:rFonts w:ascii="Arial"/>
                <w:sz w:val="21"/>
              </w:rPr>
            </w:pPr>
          </w:p>
        </w:tc>
        <w:tc>
          <w:tcPr>
            <w:tcW w:w="2248" w:type="dxa"/>
            <w:vAlign w:val="top"/>
          </w:tcPr>
          <w:p w14:paraId="754BCD0F">
            <w:pPr>
              <w:rPr>
                <w:rFonts w:ascii="Arial"/>
                <w:sz w:val="21"/>
              </w:rPr>
            </w:pPr>
          </w:p>
        </w:tc>
        <w:tc>
          <w:tcPr>
            <w:tcW w:w="3543" w:type="dxa"/>
            <w:vAlign w:val="top"/>
          </w:tcPr>
          <w:p w14:paraId="5DA8EBC0">
            <w:pPr>
              <w:pStyle w:val="212"/>
              <w:spacing w:before="69" w:line="219" w:lineRule="auto"/>
              <w:ind w:left="109"/>
            </w:pPr>
            <w:r>
              <w:rPr>
                <w:spacing w:val="-1"/>
              </w:rPr>
              <w:t>HJ2537</w:t>
            </w:r>
            <w:r>
              <w:rPr>
                <w:spacing w:val="-34"/>
              </w:rPr>
              <w:t xml:space="preserve"> </w:t>
            </w:r>
            <w:r>
              <w:rPr>
                <w:spacing w:val="-1"/>
              </w:rPr>
              <w:t>水性涂料</w:t>
            </w:r>
          </w:p>
        </w:tc>
      </w:tr>
      <w:tr w14:paraId="1C745C5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583" w:type="dxa"/>
            <w:vAlign w:val="top"/>
          </w:tcPr>
          <w:p w14:paraId="533A863C">
            <w:pPr>
              <w:pStyle w:val="212"/>
              <w:spacing w:before="68"/>
              <w:ind w:left="114"/>
            </w:pPr>
            <w:r>
              <w:rPr>
                <w:spacing w:val="-3"/>
              </w:rPr>
              <w:t>49</w:t>
            </w:r>
          </w:p>
        </w:tc>
        <w:tc>
          <w:tcPr>
            <w:tcW w:w="1542" w:type="dxa"/>
            <w:vAlign w:val="top"/>
          </w:tcPr>
          <w:p w14:paraId="13CB0C21">
            <w:pPr>
              <w:pStyle w:val="212"/>
              <w:spacing w:before="68" w:line="282" w:lineRule="auto"/>
              <w:ind w:left="109" w:right="108" w:hanging="7"/>
            </w:pPr>
            <w:r>
              <w:rPr>
                <w:spacing w:val="3"/>
              </w:rPr>
              <w:t>A170112</w:t>
            </w:r>
            <w:r>
              <w:rPr>
                <w:spacing w:val="34"/>
              </w:rPr>
              <w:t xml:space="preserve"> </w:t>
            </w:r>
            <w:r>
              <w:rPr>
                <w:spacing w:val="3"/>
              </w:rPr>
              <w:t>密封用</w:t>
            </w:r>
            <w:r>
              <w:t xml:space="preserve"> </w:t>
            </w:r>
            <w:r>
              <w:rPr>
                <w:spacing w:val="-2"/>
              </w:rPr>
              <w:t>填料及类似品</w:t>
            </w:r>
          </w:p>
        </w:tc>
        <w:tc>
          <w:tcPr>
            <w:tcW w:w="2672" w:type="dxa"/>
            <w:vAlign w:val="top"/>
          </w:tcPr>
          <w:p w14:paraId="1D94107C">
            <w:pPr>
              <w:rPr>
                <w:rFonts w:ascii="Arial"/>
                <w:sz w:val="21"/>
              </w:rPr>
            </w:pPr>
          </w:p>
        </w:tc>
        <w:tc>
          <w:tcPr>
            <w:tcW w:w="2248" w:type="dxa"/>
            <w:vAlign w:val="top"/>
          </w:tcPr>
          <w:p w14:paraId="2D7DC984">
            <w:pPr>
              <w:rPr>
                <w:rFonts w:ascii="Arial"/>
                <w:sz w:val="21"/>
              </w:rPr>
            </w:pPr>
          </w:p>
        </w:tc>
        <w:tc>
          <w:tcPr>
            <w:tcW w:w="3543" w:type="dxa"/>
            <w:vAlign w:val="top"/>
          </w:tcPr>
          <w:p w14:paraId="1DD66A27">
            <w:pPr>
              <w:pStyle w:val="212"/>
              <w:spacing w:before="67" w:line="219" w:lineRule="auto"/>
              <w:ind w:left="109"/>
            </w:pPr>
            <w:r>
              <w:rPr>
                <w:spacing w:val="-1"/>
              </w:rPr>
              <w:t>HJ2541</w:t>
            </w:r>
            <w:r>
              <w:rPr>
                <w:spacing w:val="-35"/>
              </w:rPr>
              <w:t xml:space="preserve"> </w:t>
            </w:r>
            <w:r>
              <w:rPr>
                <w:spacing w:val="-1"/>
              </w:rPr>
              <w:t>胶粘剂</w:t>
            </w:r>
          </w:p>
        </w:tc>
      </w:tr>
      <w:tr w14:paraId="213AD57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583" w:type="dxa"/>
            <w:vAlign w:val="top"/>
          </w:tcPr>
          <w:p w14:paraId="242B0303">
            <w:pPr>
              <w:pStyle w:val="212"/>
              <w:spacing w:before="69"/>
              <w:ind w:left="118"/>
            </w:pPr>
            <w:r>
              <w:rPr>
                <w:spacing w:val="-5"/>
              </w:rPr>
              <w:t>50</w:t>
            </w:r>
          </w:p>
        </w:tc>
        <w:tc>
          <w:tcPr>
            <w:tcW w:w="1542" w:type="dxa"/>
            <w:vAlign w:val="top"/>
          </w:tcPr>
          <w:p w14:paraId="53AC877B">
            <w:pPr>
              <w:pStyle w:val="212"/>
              <w:spacing w:before="69" w:line="284" w:lineRule="auto"/>
              <w:ind w:left="122" w:right="108" w:hanging="20"/>
            </w:pPr>
            <w:r>
              <w:rPr>
                <w:spacing w:val="3"/>
              </w:rPr>
              <w:t>A180201</w:t>
            </w:r>
            <w:r>
              <w:rPr>
                <w:spacing w:val="34"/>
              </w:rPr>
              <w:t xml:space="preserve"> </w:t>
            </w:r>
            <w:r>
              <w:rPr>
                <w:spacing w:val="3"/>
              </w:rPr>
              <w:t>塑料制</w:t>
            </w:r>
            <w:r>
              <w:t xml:space="preserve"> 品</w:t>
            </w:r>
          </w:p>
        </w:tc>
        <w:tc>
          <w:tcPr>
            <w:tcW w:w="2672" w:type="dxa"/>
            <w:vAlign w:val="top"/>
          </w:tcPr>
          <w:p w14:paraId="214BE936">
            <w:pPr>
              <w:rPr>
                <w:rFonts w:ascii="Arial"/>
                <w:sz w:val="21"/>
              </w:rPr>
            </w:pPr>
          </w:p>
        </w:tc>
        <w:tc>
          <w:tcPr>
            <w:tcW w:w="2248" w:type="dxa"/>
            <w:vAlign w:val="top"/>
          </w:tcPr>
          <w:p w14:paraId="302B59F9">
            <w:pPr>
              <w:rPr>
                <w:rFonts w:ascii="Arial"/>
                <w:sz w:val="21"/>
              </w:rPr>
            </w:pPr>
          </w:p>
        </w:tc>
        <w:tc>
          <w:tcPr>
            <w:tcW w:w="3543" w:type="dxa"/>
            <w:vAlign w:val="top"/>
          </w:tcPr>
          <w:p w14:paraId="6970262A">
            <w:pPr>
              <w:pStyle w:val="212"/>
              <w:spacing w:before="69" w:line="284" w:lineRule="auto"/>
              <w:ind w:left="113" w:right="104" w:hanging="4"/>
            </w:pPr>
            <w:r>
              <w:t>HJ/T226 建筑用塑料管材/HJ/</w:t>
            </w:r>
            <w:r>
              <w:rPr>
                <w:spacing w:val="-1"/>
              </w:rPr>
              <w:t>T231 再生塑</w:t>
            </w:r>
            <w:r>
              <w:t xml:space="preserve"> </w:t>
            </w:r>
            <w:r>
              <w:rPr>
                <w:spacing w:val="-2"/>
              </w:rPr>
              <w:t>料制品</w:t>
            </w:r>
          </w:p>
        </w:tc>
      </w:tr>
    </w:tbl>
    <w:p w14:paraId="0A940086">
      <w:pPr>
        <w:spacing w:after="120" w:line="360" w:lineRule="auto"/>
        <w:rPr>
          <w:rFonts w:hint="eastAsia" w:ascii="宋体" w:hAnsi="宋体" w:eastAsia="宋体" w:cs="Times New Roman"/>
          <w:spacing w:val="-3"/>
          <w:szCs w:val="21"/>
          <w:lang w:val="en-US" w:eastAsia="zh-CN"/>
        </w:rPr>
        <w:sectPr>
          <w:pgSz w:w="11906" w:h="16838"/>
          <w:pgMar w:top="992" w:right="644" w:bottom="1247" w:left="667" w:header="850" w:footer="992" w:gutter="0"/>
          <w:pgBorders>
            <w:top w:val="none" w:sz="0" w:space="0"/>
            <w:left w:val="none" w:sz="0" w:space="0"/>
            <w:bottom w:val="none" w:sz="0" w:space="0"/>
            <w:right w:val="none" w:sz="0" w:space="0"/>
          </w:pgBorders>
          <w:pgNumType w:fmt="decimal"/>
          <w:cols w:space="720" w:num="1"/>
        </w:sectPr>
      </w:pPr>
      <w:r>
        <w:rPr>
          <w:rFonts w:hint="eastAsia" w:ascii="宋体" w:hAnsi="宋体" w:eastAsia="宋体" w:cs="Times New Roman"/>
          <w:spacing w:val="-3"/>
          <w:szCs w:val="21"/>
        </w:rPr>
        <w:t>注：环境标志产品认证应依据相关标准的最新</w:t>
      </w:r>
      <w:r>
        <w:rPr>
          <w:rFonts w:hint="eastAsia" w:ascii="宋体" w:hAnsi="宋体" w:eastAsia="宋体" w:cs="Times New Roman"/>
          <w:spacing w:val="-3"/>
          <w:szCs w:val="21"/>
          <w:lang w:val="en-US" w:eastAsia="zh-CN"/>
        </w:rPr>
        <w:t>版本。</w:t>
      </w:r>
    </w:p>
    <w:bookmarkEnd w:id="30"/>
    <w:bookmarkEnd w:id="36"/>
    <w:p w14:paraId="2BF1410E">
      <w:pPr>
        <w:rPr>
          <w:rFonts w:hint="eastAsia" w:ascii="黑体" w:hAnsi="黑体" w:eastAsia="黑体" w:cs="Arial"/>
          <w:b/>
          <w:kern w:val="0"/>
          <w:sz w:val="28"/>
          <w:szCs w:val="28"/>
        </w:rPr>
      </w:pPr>
    </w:p>
    <w:p w14:paraId="6CF07365">
      <w:pPr>
        <w:pStyle w:val="26"/>
        <w:snapToGrid w:val="0"/>
        <w:spacing w:before="120" w:after="120" w:line="320" w:lineRule="exact"/>
        <w:jc w:val="center"/>
        <w:outlineLvl w:val="0"/>
        <w:rPr>
          <w:rFonts w:ascii="Times New Roman" w:hAnsi="Times New Roman" w:cs="Times New Roman"/>
          <w:sz w:val="32"/>
          <w:szCs w:val="32"/>
        </w:rPr>
      </w:pPr>
      <w:bookmarkStart w:id="37" w:name="_Toc3292"/>
      <w:r>
        <w:rPr>
          <w:rFonts w:ascii="Times New Roman" w:hAnsi="Times New Roman" w:cs="Times New Roman"/>
          <w:sz w:val="32"/>
          <w:szCs w:val="32"/>
        </w:rPr>
        <w:t xml:space="preserve">第三章  </w:t>
      </w:r>
      <w:r>
        <w:rPr>
          <w:rFonts w:hint="eastAsia" w:ascii="Times New Roman" w:hAnsi="Times New Roman" w:cs="Times New Roman"/>
          <w:sz w:val="32"/>
          <w:szCs w:val="32"/>
        </w:rPr>
        <w:t>投标人</w:t>
      </w:r>
      <w:r>
        <w:rPr>
          <w:rFonts w:ascii="Times New Roman" w:hAnsi="Times New Roman" w:cs="Times New Roman"/>
          <w:sz w:val="32"/>
          <w:szCs w:val="32"/>
        </w:rPr>
        <w:t>须知</w:t>
      </w:r>
      <w:bookmarkEnd w:id="37"/>
      <w:bookmarkStart w:id="38" w:name="_Toc254970667"/>
      <w:bookmarkStart w:id="39" w:name="_Toc254970526"/>
    </w:p>
    <w:p w14:paraId="6E194D9B">
      <w:pPr>
        <w:pStyle w:val="3"/>
        <w:spacing w:before="40" w:after="40"/>
        <w:jc w:val="center"/>
        <w:rPr>
          <w:rFonts w:ascii="Times New Roman" w:hAnsi="Times New Roman" w:eastAsia="宋体"/>
          <w:sz w:val="24"/>
          <w:szCs w:val="24"/>
        </w:rPr>
      </w:pPr>
      <w:r>
        <w:rPr>
          <w:rFonts w:hint="eastAsia" w:ascii="Times New Roman" w:hAnsi="Times New Roman" w:eastAsia="宋体"/>
          <w:sz w:val="24"/>
          <w:szCs w:val="24"/>
        </w:rPr>
        <w:t>投标人</w:t>
      </w:r>
      <w:r>
        <w:rPr>
          <w:rFonts w:ascii="Times New Roman" w:hAnsi="Times New Roman" w:eastAsia="宋体"/>
          <w:sz w:val="24"/>
          <w:szCs w:val="24"/>
        </w:rPr>
        <w:t>须知前附表</w:t>
      </w:r>
      <w:bookmarkEnd w:id="38"/>
      <w:bookmarkEnd w:id="39"/>
      <w:bookmarkStart w:id="40" w:name="_投标人须知前附表"/>
      <w:bookmarkEnd w:id="40"/>
      <w:bookmarkStart w:id="41" w:name="_Hlk19048934"/>
    </w:p>
    <w:tbl>
      <w:tblPr>
        <w:tblStyle w:val="51"/>
        <w:tblW w:w="9214" w:type="dxa"/>
        <w:tblInd w:w="108"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55"/>
        <w:gridCol w:w="1230"/>
        <w:gridCol w:w="7229"/>
      </w:tblGrid>
      <w:tr w14:paraId="7097374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9" w:hRule="atLeast"/>
        </w:trPr>
        <w:tc>
          <w:tcPr>
            <w:tcW w:w="755" w:type="dxa"/>
            <w:tcBorders>
              <w:top w:val="single" w:color="auto" w:sz="4" w:space="0"/>
              <w:left w:val="single" w:color="auto" w:sz="4" w:space="0"/>
              <w:bottom w:val="single" w:color="auto" w:sz="4" w:space="0"/>
              <w:right w:val="single" w:color="auto" w:sz="4" w:space="0"/>
            </w:tcBorders>
            <w:noWrap w:val="0"/>
            <w:vAlign w:val="center"/>
          </w:tcPr>
          <w:p w14:paraId="2B0E6F0F">
            <w:pPr>
              <w:jc w:val="center"/>
              <w:rPr>
                <w:b/>
                <w:szCs w:val="21"/>
              </w:rPr>
            </w:pPr>
            <w:r>
              <w:rPr>
                <w:b/>
                <w:szCs w:val="21"/>
              </w:rPr>
              <w:t>条款号</w:t>
            </w:r>
          </w:p>
        </w:tc>
        <w:tc>
          <w:tcPr>
            <w:tcW w:w="1230" w:type="dxa"/>
            <w:tcBorders>
              <w:top w:val="single" w:color="auto" w:sz="4" w:space="0"/>
              <w:left w:val="single" w:color="auto" w:sz="4" w:space="0"/>
              <w:bottom w:val="single" w:color="auto" w:sz="4" w:space="0"/>
              <w:right w:val="single" w:color="auto" w:sz="4" w:space="0"/>
            </w:tcBorders>
            <w:noWrap w:val="0"/>
            <w:vAlign w:val="center"/>
          </w:tcPr>
          <w:p w14:paraId="7B454F68">
            <w:pPr>
              <w:jc w:val="center"/>
              <w:rPr>
                <w:b/>
                <w:szCs w:val="21"/>
              </w:rPr>
            </w:pPr>
            <w:r>
              <w:rPr>
                <w:b/>
                <w:szCs w:val="21"/>
              </w:rPr>
              <w:t>要点</w:t>
            </w:r>
          </w:p>
        </w:tc>
        <w:tc>
          <w:tcPr>
            <w:tcW w:w="7229" w:type="dxa"/>
            <w:tcBorders>
              <w:top w:val="single" w:color="auto" w:sz="4" w:space="0"/>
              <w:left w:val="single" w:color="auto" w:sz="4" w:space="0"/>
              <w:bottom w:val="single" w:color="auto" w:sz="4" w:space="0"/>
              <w:right w:val="single" w:color="auto" w:sz="4" w:space="0"/>
            </w:tcBorders>
            <w:noWrap w:val="0"/>
            <w:vAlign w:val="center"/>
          </w:tcPr>
          <w:p w14:paraId="2EAD9F8B">
            <w:pPr>
              <w:jc w:val="center"/>
              <w:rPr>
                <w:b/>
                <w:szCs w:val="21"/>
              </w:rPr>
            </w:pPr>
            <w:r>
              <w:rPr>
                <w:b/>
                <w:szCs w:val="21"/>
              </w:rPr>
              <w:t>内容、要求</w:t>
            </w:r>
          </w:p>
        </w:tc>
      </w:tr>
      <w:tr w14:paraId="15B9BD5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90" w:hRule="atLeast"/>
        </w:trPr>
        <w:tc>
          <w:tcPr>
            <w:tcW w:w="755" w:type="dxa"/>
            <w:tcBorders>
              <w:top w:val="single" w:color="auto" w:sz="4" w:space="0"/>
              <w:left w:val="single" w:color="auto" w:sz="4" w:space="0"/>
              <w:bottom w:val="single" w:color="auto" w:sz="4" w:space="0"/>
              <w:right w:val="single" w:color="auto" w:sz="4" w:space="0"/>
            </w:tcBorders>
            <w:noWrap w:val="0"/>
            <w:vAlign w:val="center"/>
          </w:tcPr>
          <w:p w14:paraId="64A872F4">
            <w:pPr>
              <w:spacing w:line="300" w:lineRule="exact"/>
              <w:jc w:val="center"/>
              <w:rPr>
                <w:b/>
                <w:szCs w:val="21"/>
              </w:rPr>
            </w:pPr>
            <w:r>
              <w:rPr>
                <w:b/>
                <w:szCs w:val="21"/>
              </w:rPr>
              <w:t>1.3.1</w:t>
            </w:r>
          </w:p>
        </w:tc>
        <w:tc>
          <w:tcPr>
            <w:tcW w:w="1230" w:type="dxa"/>
            <w:tcBorders>
              <w:top w:val="single" w:color="auto" w:sz="4" w:space="0"/>
              <w:left w:val="single" w:color="auto" w:sz="4" w:space="0"/>
              <w:bottom w:val="single" w:color="auto" w:sz="4" w:space="0"/>
              <w:right w:val="single" w:color="auto" w:sz="4" w:space="0"/>
            </w:tcBorders>
            <w:noWrap w:val="0"/>
            <w:vAlign w:val="center"/>
          </w:tcPr>
          <w:p w14:paraId="589FCDB9">
            <w:pPr>
              <w:spacing w:line="300" w:lineRule="exact"/>
              <w:jc w:val="center"/>
              <w:rPr>
                <w:szCs w:val="21"/>
              </w:rPr>
            </w:pPr>
            <w:r>
              <w:rPr>
                <w:szCs w:val="21"/>
              </w:rPr>
              <w:t>项目基本信息</w:t>
            </w:r>
          </w:p>
        </w:tc>
        <w:tc>
          <w:tcPr>
            <w:tcW w:w="7229" w:type="dxa"/>
            <w:tcBorders>
              <w:top w:val="single" w:color="auto" w:sz="4" w:space="0"/>
              <w:left w:val="single" w:color="auto" w:sz="4" w:space="0"/>
              <w:bottom w:val="single" w:color="auto" w:sz="4" w:space="0"/>
              <w:right w:val="single" w:color="auto" w:sz="4" w:space="0"/>
            </w:tcBorders>
            <w:noWrap w:val="0"/>
            <w:vAlign w:val="center"/>
          </w:tcPr>
          <w:p w14:paraId="29D79DA3">
            <w:pPr>
              <w:spacing w:line="300" w:lineRule="exact"/>
              <w:jc w:val="left"/>
              <w:rPr>
                <w:szCs w:val="21"/>
              </w:rPr>
            </w:pPr>
            <w:r>
              <w:rPr>
                <w:szCs w:val="21"/>
              </w:rPr>
              <w:t>项目名称：</w:t>
            </w:r>
            <w:r>
              <w:rPr>
                <w:rFonts w:hint="eastAsia"/>
                <w:szCs w:val="21"/>
              </w:rPr>
              <w:t>河池市中医医院颅脑手术设备采购</w:t>
            </w:r>
          </w:p>
          <w:p w14:paraId="64B6D309">
            <w:pPr>
              <w:spacing w:line="300" w:lineRule="exact"/>
              <w:jc w:val="left"/>
              <w:rPr>
                <w:szCs w:val="21"/>
              </w:rPr>
            </w:pPr>
            <w:r>
              <w:rPr>
                <w:szCs w:val="21"/>
              </w:rPr>
              <w:t>项目编号：</w:t>
            </w:r>
            <w:r>
              <w:rPr>
                <w:rFonts w:hint="eastAsia"/>
                <w:szCs w:val="21"/>
              </w:rPr>
              <w:t>HCZC2026-G1-990138-JDZB</w:t>
            </w:r>
          </w:p>
          <w:p w14:paraId="657D9DBA">
            <w:pPr>
              <w:spacing w:line="300" w:lineRule="exact"/>
              <w:jc w:val="left"/>
              <w:rPr>
                <w:szCs w:val="21"/>
                <w:u w:val="single"/>
              </w:rPr>
            </w:pPr>
            <w:r>
              <w:rPr>
                <w:rFonts w:hint="eastAsia"/>
                <w:szCs w:val="21"/>
              </w:rPr>
              <w:t>采购计划号：HCZC2026-G1-01607</w:t>
            </w:r>
          </w:p>
        </w:tc>
      </w:tr>
      <w:tr w14:paraId="671566A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97" w:hRule="atLeast"/>
        </w:trPr>
        <w:tc>
          <w:tcPr>
            <w:tcW w:w="755" w:type="dxa"/>
            <w:tcBorders>
              <w:top w:val="single" w:color="auto" w:sz="4" w:space="0"/>
              <w:left w:val="single" w:color="auto" w:sz="4" w:space="0"/>
              <w:bottom w:val="single" w:color="auto" w:sz="4" w:space="0"/>
              <w:right w:val="single" w:color="auto" w:sz="4" w:space="0"/>
            </w:tcBorders>
            <w:noWrap w:val="0"/>
            <w:vAlign w:val="center"/>
          </w:tcPr>
          <w:p w14:paraId="3016FA6E">
            <w:pPr>
              <w:spacing w:line="300" w:lineRule="exact"/>
              <w:jc w:val="center"/>
              <w:rPr>
                <w:b/>
                <w:szCs w:val="21"/>
              </w:rPr>
            </w:pPr>
            <w:r>
              <w:rPr>
                <w:b/>
                <w:szCs w:val="21"/>
              </w:rPr>
              <w:t>1.3.2</w:t>
            </w:r>
          </w:p>
        </w:tc>
        <w:tc>
          <w:tcPr>
            <w:tcW w:w="1230" w:type="dxa"/>
            <w:tcBorders>
              <w:top w:val="single" w:color="auto" w:sz="4" w:space="0"/>
              <w:left w:val="single" w:color="auto" w:sz="4" w:space="0"/>
              <w:bottom w:val="single" w:color="auto" w:sz="4" w:space="0"/>
              <w:right w:val="single" w:color="auto" w:sz="4" w:space="0"/>
            </w:tcBorders>
            <w:noWrap w:val="0"/>
            <w:vAlign w:val="center"/>
          </w:tcPr>
          <w:p w14:paraId="1B4AAE2A">
            <w:pPr>
              <w:spacing w:line="300" w:lineRule="exact"/>
              <w:jc w:val="center"/>
              <w:rPr>
                <w:szCs w:val="21"/>
                <w:lang w:val="zh-CN"/>
              </w:rPr>
            </w:pPr>
            <w:r>
              <w:rPr>
                <w:rFonts w:hint="eastAsia"/>
                <w:szCs w:val="21"/>
                <w:lang w:val="zh-CN"/>
              </w:rPr>
              <w:t>采购方式</w:t>
            </w:r>
          </w:p>
        </w:tc>
        <w:tc>
          <w:tcPr>
            <w:tcW w:w="7229" w:type="dxa"/>
            <w:tcBorders>
              <w:top w:val="single" w:color="auto" w:sz="4" w:space="0"/>
              <w:left w:val="single" w:color="auto" w:sz="4" w:space="0"/>
              <w:bottom w:val="single" w:color="auto" w:sz="4" w:space="0"/>
              <w:right w:val="single" w:color="auto" w:sz="4" w:space="0"/>
            </w:tcBorders>
            <w:noWrap w:val="0"/>
            <w:vAlign w:val="center"/>
          </w:tcPr>
          <w:p w14:paraId="74A4AE7D">
            <w:pPr>
              <w:spacing w:line="300" w:lineRule="exact"/>
              <w:jc w:val="left"/>
              <w:rPr>
                <w:szCs w:val="21"/>
              </w:rPr>
            </w:pPr>
            <w:r>
              <w:rPr>
                <w:rFonts w:hint="eastAsia"/>
                <w:szCs w:val="21"/>
              </w:rPr>
              <w:t>公开招标</w:t>
            </w:r>
          </w:p>
        </w:tc>
      </w:tr>
      <w:tr w14:paraId="31DAC34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97" w:hRule="atLeast"/>
        </w:trPr>
        <w:tc>
          <w:tcPr>
            <w:tcW w:w="755" w:type="dxa"/>
            <w:tcBorders>
              <w:top w:val="single" w:color="auto" w:sz="4" w:space="0"/>
              <w:left w:val="single" w:color="auto" w:sz="4" w:space="0"/>
              <w:bottom w:val="single" w:color="auto" w:sz="4" w:space="0"/>
              <w:right w:val="single" w:color="auto" w:sz="4" w:space="0"/>
            </w:tcBorders>
            <w:noWrap w:val="0"/>
            <w:vAlign w:val="center"/>
          </w:tcPr>
          <w:p w14:paraId="2BAABA71">
            <w:pPr>
              <w:spacing w:line="300" w:lineRule="exact"/>
              <w:jc w:val="center"/>
              <w:rPr>
                <w:b/>
                <w:szCs w:val="21"/>
              </w:rPr>
            </w:pPr>
            <w:r>
              <w:rPr>
                <w:rFonts w:hint="eastAsia"/>
                <w:b/>
                <w:szCs w:val="21"/>
              </w:rPr>
              <w:t>1</w:t>
            </w:r>
            <w:r>
              <w:rPr>
                <w:b/>
                <w:szCs w:val="21"/>
              </w:rPr>
              <w:t>.4</w:t>
            </w:r>
          </w:p>
        </w:tc>
        <w:tc>
          <w:tcPr>
            <w:tcW w:w="1230" w:type="dxa"/>
            <w:tcBorders>
              <w:top w:val="single" w:color="auto" w:sz="4" w:space="0"/>
              <w:left w:val="single" w:color="auto" w:sz="4" w:space="0"/>
              <w:bottom w:val="single" w:color="auto" w:sz="4" w:space="0"/>
              <w:right w:val="single" w:color="auto" w:sz="4" w:space="0"/>
            </w:tcBorders>
            <w:noWrap w:val="0"/>
            <w:vAlign w:val="center"/>
          </w:tcPr>
          <w:p w14:paraId="3CB07FE8">
            <w:pPr>
              <w:spacing w:line="300" w:lineRule="exact"/>
              <w:jc w:val="center"/>
              <w:rPr>
                <w:color w:val="4472C4"/>
                <w:szCs w:val="21"/>
                <w:lang w:val="zh-CN"/>
              </w:rPr>
            </w:pPr>
            <w:r>
              <w:rPr>
                <w:rFonts w:hint="eastAsia"/>
                <w:szCs w:val="21"/>
                <w:lang w:val="zh-CN"/>
              </w:rPr>
              <w:t>促进中小企业发展措施</w:t>
            </w:r>
          </w:p>
        </w:tc>
        <w:tc>
          <w:tcPr>
            <w:tcW w:w="7229" w:type="dxa"/>
            <w:tcBorders>
              <w:top w:val="single" w:color="auto" w:sz="4" w:space="0"/>
              <w:left w:val="single" w:color="auto" w:sz="4" w:space="0"/>
              <w:bottom w:val="single" w:color="auto" w:sz="4" w:space="0"/>
              <w:right w:val="single" w:color="auto" w:sz="4" w:space="0"/>
            </w:tcBorders>
            <w:noWrap w:val="0"/>
            <w:vAlign w:val="center"/>
          </w:tcPr>
          <w:p w14:paraId="0D735EAB">
            <w:pPr>
              <w:spacing w:line="300" w:lineRule="exact"/>
              <w:jc w:val="left"/>
              <w:rPr>
                <w:color w:val="auto"/>
                <w:szCs w:val="21"/>
              </w:rPr>
            </w:pPr>
            <w:r>
              <w:rPr>
                <w:rFonts w:hint="eastAsia"/>
                <w:color w:val="auto"/>
                <w:szCs w:val="21"/>
              </w:rPr>
              <w:t>本项目专门面向中小微企业采购。</w:t>
            </w:r>
          </w:p>
          <w:p w14:paraId="671C4898">
            <w:pPr>
              <w:spacing w:line="300" w:lineRule="exact"/>
              <w:jc w:val="left"/>
              <w:rPr>
                <w:color w:val="4472C4"/>
                <w:szCs w:val="21"/>
              </w:rPr>
            </w:pPr>
            <w:r>
              <w:rPr>
                <w:rFonts w:hint="eastAsia"/>
                <w:color w:val="auto"/>
                <w:szCs w:val="21"/>
              </w:rPr>
              <w:t>供应商提供《中小企业声明函》中填报招标文件标明所属行业的标的物的全部制造商应均为中型或小型或微型企业。</w:t>
            </w:r>
          </w:p>
        </w:tc>
      </w:tr>
      <w:tr w14:paraId="5FD89AC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755" w:type="dxa"/>
            <w:tcBorders>
              <w:top w:val="single" w:color="auto" w:sz="4" w:space="0"/>
              <w:left w:val="single" w:color="auto" w:sz="4" w:space="0"/>
              <w:bottom w:val="single" w:color="auto" w:sz="4" w:space="0"/>
              <w:right w:val="single" w:color="auto" w:sz="4" w:space="0"/>
            </w:tcBorders>
            <w:noWrap w:val="0"/>
            <w:vAlign w:val="center"/>
          </w:tcPr>
          <w:p w14:paraId="7C3521A0">
            <w:pPr>
              <w:spacing w:line="300" w:lineRule="exact"/>
              <w:jc w:val="center"/>
              <w:rPr>
                <w:b/>
                <w:szCs w:val="21"/>
              </w:rPr>
            </w:pPr>
            <w:r>
              <w:rPr>
                <w:b/>
                <w:szCs w:val="21"/>
              </w:rPr>
              <w:t>1.5.1</w:t>
            </w:r>
          </w:p>
        </w:tc>
        <w:tc>
          <w:tcPr>
            <w:tcW w:w="1230" w:type="dxa"/>
            <w:tcBorders>
              <w:top w:val="single" w:color="auto" w:sz="4" w:space="0"/>
              <w:left w:val="single" w:color="auto" w:sz="4" w:space="0"/>
              <w:bottom w:val="single" w:color="auto" w:sz="4" w:space="0"/>
              <w:right w:val="single" w:color="auto" w:sz="4" w:space="0"/>
            </w:tcBorders>
            <w:noWrap w:val="0"/>
            <w:vAlign w:val="center"/>
          </w:tcPr>
          <w:p w14:paraId="6868EF80">
            <w:pPr>
              <w:spacing w:line="300" w:lineRule="exact"/>
              <w:jc w:val="center"/>
              <w:rPr>
                <w:szCs w:val="21"/>
              </w:rPr>
            </w:pPr>
            <w:r>
              <w:rPr>
                <w:rFonts w:hint="eastAsia"/>
                <w:szCs w:val="21"/>
                <w:lang w:val="zh-CN"/>
              </w:rPr>
              <w:t>投标人</w:t>
            </w:r>
            <w:r>
              <w:rPr>
                <w:szCs w:val="21"/>
                <w:lang w:val="zh-CN"/>
              </w:rPr>
              <w:t>资格条件</w:t>
            </w:r>
          </w:p>
        </w:tc>
        <w:tc>
          <w:tcPr>
            <w:tcW w:w="7229" w:type="dxa"/>
            <w:tcBorders>
              <w:top w:val="single" w:color="auto" w:sz="4" w:space="0"/>
              <w:left w:val="single" w:color="auto" w:sz="4" w:space="0"/>
              <w:bottom w:val="single" w:color="auto" w:sz="4" w:space="0"/>
              <w:right w:val="single" w:color="auto" w:sz="4" w:space="0"/>
            </w:tcBorders>
            <w:noWrap w:val="0"/>
            <w:vAlign w:val="center"/>
          </w:tcPr>
          <w:p w14:paraId="10EBC947">
            <w:pPr>
              <w:spacing w:line="300" w:lineRule="exact"/>
              <w:jc w:val="left"/>
              <w:rPr>
                <w:szCs w:val="21"/>
              </w:rPr>
            </w:pPr>
            <w:r>
              <w:rPr>
                <w:rFonts w:hint="eastAsia"/>
                <w:szCs w:val="21"/>
              </w:rPr>
              <w:t>详</w:t>
            </w:r>
            <w:r>
              <w:rPr>
                <w:szCs w:val="21"/>
              </w:rPr>
              <w:t>见招标公告</w:t>
            </w:r>
            <w:r>
              <w:rPr>
                <w:rFonts w:hint="eastAsia"/>
                <w:szCs w:val="21"/>
              </w:rPr>
              <w:t>。</w:t>
            </w:r>
          </w:p>
        </w:tc>
      </w:tr>
      <w:tr w14:paraId="455B8AB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06" w:hRule="atLeast"/>
        </w:trPr>
        <w:tc>
          <w:tcPr>
            <w:tcW w:w="755" w:type="dxa"/>
            <w:tcBorders>
              <w:top w:val="single" w:color="auto" w:sz="4" w:space="0"/>
              <w:left w:val="single" w:color="auto" w:sz="4" w:space="0"/>
              <w:right w:val="single" w:color="auto" w:sz="4" w:space="0"/>
            </w:tcBorders>
            <w:noWrap w:val="0"/>
            <w:vAlign w:val="center"/>
          </w:tcPr>
          <w:p w14:paraId="3F89C4F1">
            <w:pPr>
              <w:spacing w:line="300" w:lineRule="exact"/>
              <w:jc w:val="center"/>
              <w:rPr>
                <w:b/>
                <w:szCs w:val="21"/>
              </w:rPr>
            </w:pPr>
            <w:bookmarkStart w:id="42" w:name="_Hlk85555568"/>
            <w:r>
              <w:rPr>
                <w:b/>
                <w:szCs w:val="21"/>
              </w:rPr>
              <w:t>1.5.3</w:t>
            </w:r>
          </w:p>
        </w:tc>
        <w:tc>
          <w:tcPr>
            <w:tcW w:w="1230" w:type="dxa"/>
            <w:tcBorders>
              <w:top w:val="single" w:color="auto" w:sz="4" w:space="0"/>
              <w:left w:val="single" w:color="auto" w:sz="4" w:space="0"/>
              <w:right w:val="single" w:color="auto" w:sz="4" w:space="0"/>
            </w:tcBorders>
            <w:noWrap w:val="0"/>
            <w:vAlign w:val="center"/>
          </w:tcPr>
          <w:p w14:paraId="5665CA90">
            <w:pPr>
              <w:spacing w:line="300" w:lineRule="exact"/>
              <w:jc w:val="center"/>
              <w:rPr>
                <w:szCs w:val="21"/>
              </w:rPr>
            </w:pPr>
            <w:r>
              <w:rPr>
                <w:rFonts w:hint="eastAsia"/>
                <w:szCs w:val="21"/>
              </w:rPr>
              <w:t>联合体</w:t>
            </w:r>
          </w:p>
        </w:tc>
        <w:tc>
          <w:tcPr>
            <w:tcW w:w="7229" w:type="dxa"/>
            <w:tcBorders>
              <w:top w:val="single" w:color="auto" w:sz="4" w:space="0"/>
              <w:left w:val="single" w:color="auto" w:sz="4" w:space="0"/>
              <w:right w:val="single" w:color="auto" w:sz="4" w:space="0"/>
            </w:tcBorders>
            <w:noWrap w:val="0"/>
            <w:vAlign w:val="center"/>
          </w:tcPr>
          <w:p w14:paraId="5CB855E4">
            <w:pPr>
              <w:spacing w:line="300" w:lineRule="exact"/>
              <w:jc w:val="left"/>
              <w:rPr>
                <w:szCs w:val="21"/>
              </w:rPr>
            </w:pPr>
            <w:r>
              <w:rPr>
                <w:rFonts w:hint="eastAsia"/>
                <w:szCs w:val="21"/>
              </w:rPr>
              <w:t>是否接受联合体详见招标公告</w:t>
            </w:r>
          </w:p>
        </w:tc>
      </w:tr>
      <w:bookmarkEnd w:id="42"/>
      <w:tr w14:paraId="2C1B2DD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755" w:type="dxa"/>
            <w:tcBorders>
              <w:top w:val="single" w:color="auto" w:sz="4" w:space="0"/>
              <w:left w:val="single" w:color="auto" w:sz="4" w:space="0"/>
              <w:bottom w:val="single" w:color="auto" w:sz="4" w:space="0"/>
              <w:right w:val="single" w:color="auto" w:sz="4" w:space="0"/>
            </w:tcBorders>
            <w:noWrap w:val="0"/>
            <w:vAlign w:val="center"/>
          </w:tcPr>
          <w:p w14:paraId="516C9B2B">
            <w:pPr>
              <w:spacing w:line="300" w:lineRule="exact"/>
              <w:jc w:val="center"/>
              <w:rPr>
                <w:b/>
                <w:szCs w:val="21"/>
              </w:rPr>
            </w:pPr>
            <w:r>
              <w:rPr>
                <w:b/>
                <w:szCs w:val="21"/>
              </w:rPr>
              <w:t>1.6</w:t>
            </w:r>
          </w:p>
        </w:tc>
        <w:tc>
          <w:tcPr>
            <w:tcW w:w="1230" w:type="dxa"/>
            <w:tcBorders>
              <w:top w:val="single" w:color="auto" w:sz="4" w:space="0"/>
              <w:left w:val="single" w:color="auto" w:sz="4" w:space="0"/>
              <w:bottom w:val="single" w:color="auto" w:sz="4" w:space="0"/>
              <w:right w:val="single" w:color="auto" w:sz="4" w:space="0"/>
            </w:tcBorders>
            <w:noWrap w:val="0"/>
            <w:vAlign w:val="center"/>
          </w:tcPr>
          <w:p w14:paraId="6DB2AD6A">
            <w:pPr>
              <w:spacing w:line="300" w:lineRule="exact"/>
              <w:jc w:val="center"/>
              <w:rPr>
                <w:szCs w:val="21"/>
              </w:rPr>
            </w:pPr>
            <w:r>
              <w:rPr>
                <w:rFonts w:hint="eastAsia"/>
                <w:szCs w:val="21"/>
              </w:rPr>
              <w:t>踏勘</w:t>
            </w:r>
          </w:p>
        </w:tc>
        <w:tc>
          <w:tcPr>
            <w:tcW w:w="7229" w:type="dxa"/>
            <w:tcBorders>
              <w:top w:val="single" w:color="auto" w:sz="4" w:space="0"/>
              <w:left w:val="single" w:color="auto" w:sz="4" w:space="0"/>
              <w:bottom w:val="single" w:color="auto" w:sz="4" w:space="0"/>
              <w:right w:val="single" w:color="auto" w:sz="4" w:space="0"/>
            </w:tcBorders>
            <w:noWrap w:val="0"/>
            <w:vAlign w:val="center"/>
          </w:tcPr>
          <w:p w14:paraId="792EEBDE">
            <w:pPr>
              <w:pStyle w:val="17"/>
              <w:rPr>
                <w:rFonts w:hint="eastAsia"/>
                <w:color w:val="auto"/>
                <w:szCs w:val="21"/>
              </w:rPr>
            </w:pPr>
            <w:r>
              <w:rPr>
                <w:color w:val="auto"/>
                <w:szCs w:val="21"/>
              </w:rPr>
              <w:sym w:font="Wingdings 2" w:char="0052"/>
            </w:r>
            <w:r>
              <w:rPr>
                <w:rFonts w:hint="eastAsia"/>
                <w:color w:val="auto"/>
                <w:szCs w:val="21"/>
                <w:lang w:val="en-US" w:eastAsia="zh-CN"/>
              </w:rPr>
              <w:t>不组织</w:t>
            </w:r>
            <w:r>
              <w:rPr>
                <w:rFonts w:hint="eastAsia"/>
                <w:color w:val="auto"/>
                <w:szCs w:val="21"/>
              </w:rPr>
              <w:t xml:space="preserve"> </w:t>
            </w:r>
          </w:p>
          <w:p w14:paraId="40149715">
            <w:pPr>
              <w:pStyle w:val="17"/>
              <w:rPr>
                <w:rFonts w:hint="eastAsia" w:eastAsia="宋体"/>
                <w:color w:val="auto"/>
                <w:szCs w:val="21"/>
                <w:lang w:val="en-US" w:eastAsia="zh-CN"/>
              </w:rPr>
            </w:pPr>
            <w:r>
              <w:rPr>
                <w:rFonts w:hint="eastAsia"/>
                <w:color w:val="auto"/>
                <w:szCs w:val="21"/>
              </w:rPr>
              <w:t>□</w:t>
            </w:r>
            <w:r>
              <w:rPr>
                <w:rFonts w:hint="eastAsia"/>
                <w:color w:val="auto"/>
                <w:szCs w:val="21"/>
                <w:lang w:val="en-US" w:eastAsia="zh-CN"/>
              </w:rPr>
              <w:t>组织</w:t>
            </w:r>
          </w:p>
          <w:p w14:paraId="5B7F744D">
            <w:pPr>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 xml:space="preserve">踏勘时间：              </w:t>
            </w:r>
          </w:p>
          <w:p w14:paraId="423FFCCE">
            <w:pPr>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踏勘</w:t>
            </w:r>
            <w:r>
              <w:rPr>
                <w:rFonts w:hint="eastAsia" w:cs="Times New Roman"/>
                <w:color w:val="auto"/>
                <w:kern w:val="2"/>
                <w:sz w:val="21"/>
                <w:szCs w:val="21"/>
                <w:lang w:val="en-US" w:eastAsia="zh-CN" w:bidi="ar-SA"/>
              </w:rPr>
              <w:t>集中</w:t>
            </w:r>
            <w:r>
              <w:rPr>
                <w:rFonts w:hint="eastAsia" w:ascii="Times New Roman" w:hAnsi="Times New Roman" w:eastAsia="宋体" w:cs="Times New Roman"/>
                <w:color w:val="auto"/>
                <w:kern w:val="2"/>
                <w:sz w:val="21"/>
                <w:szCs w:val="21"/>
                <w:lang w:val="en-US" w:eastAsia="zh-CN" w:bidi="ar-SA"/>
              </w:rPr>
              <w:t xml:space="preserve">地点：           </w:t>
            </w:r>
          </w:p>
          <w:p w14:paraId="242E1833">
            <w:pPr>
              <w:pStyle w:val="17"/>
              <w:rPr>
                <w:rFonts w:hint="default" w:ascii="Times New Roman" w:hAnsi="Times New Roman" w:eastAsia="宋体" w:cs="Times New Roman"/>
                <w:color w:val="auto"/>
                <w:kern w:val="2"/>
                <w:sz w:val="21"/>
                <w:szCs w:val="21"/>
                <w:lang w:val="en-US" w:eastAsia="zh-CN" w:bidi="ar-SA"/>
              </w:rPr>
            </w:pPr>
            <w:r>
              <w:rPr>
                <w:rFonts w:hint="eastAsia" w:cs="Times New Roman"/>
                <w:color w:val="auto"/>
                <w:kern w:val="2"/>
                <w:sz w:val="21"/>
                <w:szCs w:val="21"/>
                <w:lang w:val="en-US" w:eastAsia="zh-CN" w:bidi="ar-SA"/>
              </w:rPr>
              <w:t>联系人及电话</w:t>
            </w:r>
            <w:r>
              <w:rPr>
                <w:rFonts w:hint="eastAsia" w:ascii="Times New Roman" w:hAnsi="Times New Roman" w:eastAsia="宋体" w:cs="Times New Roman"/>
                <w:color w:val="auto"/>
                <w:kern w:val="2"/>
                <w:sz w:val="21"/>
                <w:szCs w:val="21"/>
                <w:lang w:val="en-US" w:eastAsia="zh-CN" w:bidi="ar-SA"/>
              </w:rPr>
              <w:t>：</w:t>
            </w:r>
          </w:p>
          <w:p w14:paraId="73CE51B5">
            <w:pPr>
              <w:pStyle w:val="17"/>
              <w:rPr>
                <w:color w:val="auto"/>
                <w:szCs w:val="21"/>
              </w:rPr>
            </w:pPr>
            <w:r>
              <w:rPr>
                <w:rFonts w:hint="eastAsia"/>
                <w:color w:val="auto"/>
                <w:szCs w:val="21"/>
              </w:rPr>
              <w:t xml:space="preserve"> </w:t>
            </w:r>
            <w:r>
              <w:rPr>
                <w:rFonts w:hint="eastAsia"/>
                <w:color w:val="auto"/>
                <w:szCs w:val="21"/>
                <w:lang w:eastAsia="zh-CN"/>
              </w:rPr>
              <w:t>□</w:t>
            </w:r>
            <w:r>
              <w:rPr>
                <w:rFonts w:hint="eastAsia"/>
                <w:color w:val="auto"/>
                <w:szCs w:val="21"/>
              </w:rPr>
              <w:t>可申请踏勘（如有需要供应商自行与采购人联系申请踏勘）</w:t>
            </w:r>
            <w:r>
              <w:rPr>
                <w:color w:val="auto"/>
                <w:szCs w:val="21"/>
              </w:rPr>
              <w:t>/</w:t>
            </w:r>
            <w:r>
              <w:rPr>
                <w:rFonts w:hint="eastAsia"/>
                <w:color w:val="auto"/>
                <w:szCs w:val="21"/>
              </w:rPr>
              <w:t>自行踏勘</w:t>
            </w:r>
          </w:p>
        </w:tc>
      </w:tr>
      <w:tr w14:paraId="73E272C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86" w:hRule="atLeast"/>
        </w:trPr>
        <w:tc>
          <w:tcPr>
            <w:tcW w:w="755" w:type="dxa"/>
            <w:tcBorders>
              <w:top w:val="single" w:color="auto" w:sz="4" w:space="0"/>
              <w:left w:val="single" w:color="auto" w:sz="4" w:space="0"/>
              <w:bottom w:val="single" w:color="auto" w:sz="4" w:space="0"/>
              <w:right w:val="single" w:color="auto" w:sz="4" w:space="0"/>
            </w:tcBorders>
            <w:noWrap w:val="0"/>
            <w:vAlign w:val="center"/>
          </w:tcPr>
          <w:p w14:paraId="5CD4AFE4">
            <w:pPr>
              <w:spacing w:line="300" w:lineRule="exact"/>
              <w:jc w:val="center"/>
              <w:rPr>
                <w:b/>
                <w:szCs w:val="21"/>
              </w:rPr>
            </w:pPr>
            <w:r>
              <w:rPr>
                <w:b/>
                <w:szCs w:val="21"/>
              </w:rPr>
              <w:t>1.7.2</w:t>
            </w:r>
          </w:p>
        </w:tc>
        <w:tc>
          <w:tcPr>
            <w:tcW w:w="1230" w:type="dxa"/>
            <w:tcBorders>
              <w:top w:val="single" w:color="auto" w:sz="4" w:space="0"/>
              <w:left w:val="single" w:color="auto" w:sz="4" w:space="0"/>
              <w:bottom w:val="single" w:color="auto" w:sz="4" w:space="0"/>
              <w:right w:val="single" w:color="auto" w:sz="4" w:space="0"/>
            </w:tcBorders>
            <w:noWrap w:val="0"/>
            <w:vAlign w:val="center"/>
          </w:tcPr>
          <w:p w14:paraId="5B134C17">
            <w:pPr>
              <w:spacing w:line="300" w:lineRule="exact"/>
              <w:jc w:val="center"/>
              <w:rPr>
                <w:szCs w:val="21"/>
              </w:rPr>
            </w:pPr>
            <w:r>
              <w:rPr>
                <w:szCs w:val="21"/>
              </w:rPr>
              <w:t>分包</w:t>
            </w:r>
          </w:p>
        </w:tc>
        <w:tc>
          <w:tcPr>
            <w:tcW w:w="7229" w:type="dxa"/>
            <w:tcBorders>
              <w:top w:val="single" w:color="auto" w:sz="4" w:space="0"/>
              <w:left w:val="single" w:color="auto" w:sz="4" w:space="0"/>
              <w:bottom w:val="single" w:color="auto" w:sz="4" w:space="0"/>
              <w:right w:val="single" w:color="auto" w:sz="4" w:space="0"/>
            </w:tcBorders>
            <w:noWrap w:val="0"/>
            <w:vAlign w:val="center"/>
          </w:tcPr>
          <w:p w14:paraId="078489F9">
            <w:pPr>
              <w:spacing w:line="300" w:lineRule="exact"/>
              <w:jc w:val="left"/>
              <w:rPr>
                <w:color w:val="auto"/>
                <w:szCs w:val="21"/>
              </w:rPr>
            </w:pPr>
            <w:r>
              <w:rPr>
                <w:rFonts w:hint="eastAsia"/>
                <w:color w:val="auto"/>
                <w:szCs w:val="21"/>
              </w:rPr>
              <w:t>是否接受分包详见招标公告</w:t>
            </w:r>
          </w:p>
        </w:tc>
      </w:tr>
      <w:tr w14:paraId="27294EE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755" w:type="dxa"/>
            <w:tcBorders>
              <w:top w:val="single" w:color="auto" w:sz="4" w:space="0"/>
              <w:left w:val="single" w:color="auto" w:sz="4" w:space="0"/>
              <w:bottom w:val="single" w:color="auto" w:sz="4" w:space="0"/>
              <w:right w:val="single" w:color="auto" w:sz="4" w:space="0"/>
            </w:tcBorders>
            <w:noWrap w:val="0"/>
            <w:vAlign w:val="center"/>
          </w:tcPr>
          <w:p w14:paraId="1329A871">
            <w:pPr>
              <w:spacing w:line="300" w:lineRule="exact"/>
              <w:jc w:val="center"/>
              <w:rPr>
                <w:rFonts w:hint="default" w:eastAsia="宋体"/>
                <w:b/>
                <w:szCs w:val="21"/>
                <w:lang w:val="en-US" w:eastAsia="zh-CN"/>
              </w:rPr>
            </w:pPr>
            <w:r>
              <w:rPr>
                <w:rFonts w:hint="eastAsia"/>
                <w:b/>
                <w:szCs w:val="21"/>
                <w:lang w:val="en-US" w:eastAsia="zh-CN"/>
              </w:rPr>
              <w:t>1.9</w:t>
            </w:r>
          </w:p>
        </w:tc>
        <w:tc>
          <w:tcPr>
            <w:tcW w:w="1230" w:type="dxa"/>
            <w:tcBorders>
              <w:top w:val="single" w:color="auto" w:sz="4" w:space="0"/>
              <w:left w:val="single" w:color="auto" w:sz="4" w:space="0"/>
              <w:bottom w:val="single" w:color="auto" w:sz="4" w:space="0"/>
              <w:right w:val="single" w:color="auto" w:sz="4" w:space="0"/>
            </w:tcBorders>
            <w:noWrap w:val="0"/>
            <w:vAlign w:val="center"/>
          </w:tcPr>
          <w:p w14:paraId="7638C5A2">
            <w:pPr>
              <w:spacing w:line="300" w:lineRule="exact"/>
              <w:jc w:val="center"/>
              <w:rPr>
                <w:szCs w:val="21"/>
              </w:rPr>
            </w:pPr>
            <w:r>
              <w:rPr>
                <w:rFonts w:hint="eastAsia"/>
                <w:szCs w:val="21"/>
                <w:lang w:val="en-US" w:eastAsia="zh-CN"/>
              </w:rPr>
              <w:t>对本国产品的支持政策</w:t>
            </w:r>
          </w:p>
        </w:tc>
        <w:tc>
          <w:tcPr>
            <w:tcW w:w="7229" w:type="dxa"/>
            <w:tcBorders>
              <w:top w:val="single" w:color="auto" w:sz="4" w:space="0"/>
              <w:left w:val="single" w:color="auto" w:sz="4" w:space="0"/>
              <w:bottom w:val="single" w:color="auto" w:sz="4" w:space="0"/>
              <w:right w:val="single" w:color="auto" w:sz="4" w:space="0"/>
            </w:tcBorders>
            <w:noWrap w:val="0"/>
            <w:vAlign w:val="center"/>
          </w:tcPr>
          <w:p w14:paraId="415A3BBD">
            <w:pPr>
              <w:spacing w:line="300" w:lineRule="exact"/>
              <w:jc w:val="left"/>
              <w:rPr>
                <w:rFonts w:hint="eastAsia"/>
                <w:color w:val="auto"/>
                <w:szCs w:val="21"/>
              </w:rPr>
            </w:pPr>
            <w:r>
              <w:rPr>
                <w:rFonts w:hint="eastAsia"/>
                <w:color w:val="auto"/>
                <w:szCs w:val="21"/>
                <w:lang w:eastAsia="zh-CN"/>
              </w:rPr>
              <w:t>☑</w:t>
            </w:r>
            <w:r>
              <w:rPr>
                <w:rFonts w:hint="eastAsia"/>
                <w:color w:val="auto"/>
                <w:szCs w:val="21"/>
              </w:rPr>
              <w:t>适用</w:t>
            </w:r>
          </w:p>
          <w:p w14:paraId="28B17060">
            <w:pPr>
              <w:spacing w:line="300" w:lineRule="exact"/>
              <w:jc w:val="left"/>
              <w:rPr>
                <w:rFonts w:hint="eastAsia" w:eastAsia="宋体"/>
                <w:color w:val="auto"/>
                <w:szCs w:val="21"/>
                <w:lang w:val="en-US" w:eastAsia="zh-CN"/>
              </w:rPr>
            </w:pPr>
            <w:r>
              <w:rPr>
                <w:rFonts w:hint="eastAsia"/>
                <w:color w:val="auto"/>
                <w:szCs w:val="21"/>
              </w:rPr>
              <w:t>□不适用</w:t>
            </w:r>
          </w:p>
        </w:tc>
      </w:tr>
      <w:tr w14:paraId="35F5AB5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755" w:type="dxa"/>
            <w:tcBorders>
              <w:top w:val="single" w:color="auto" w:sz="4" w:space="0"/>
              <w:left w:val="single" w:color="auto" w:sz="4" w:space="0"/>
              <w:bottom w:val="single" w:color="auto" w:sz="4" w:space="0"/>
              <w:right w:val="single" w:color="auto" w:sz="4" w:space="0"/>
            </w:tcBorders>
            <w:noWrap w:val="0"/>
            <w:vAlign w:val="center"/>
          </w:tcPr>
          <w:p w14:paraId="7F3E827C">
            <w:pPr>
              <w:spacing w:line="300" w:lineRule="exact"/>
              <w:jc w:val="center"/>
              <w:rPr>
                <w:b/>
                <w:szCs w:val="21"/>
              </w:rPr>
            </w:pPr>
            <w:r>
              <w:rPr>
                <w:b/>
                <w:szCs w:val="21"/>
              </w:rPr>
              <w:t>2.3</w:t>
            </w:r>
          </w:p>
        </w:tc>
        <w:tc>
          <w:tcPr>
            <w:tcW w:w="1230" w:type="dxa"/>
            <w:tcBorders>
              <w:top w:val="single" w:color="auto" w:sz="4" w:space="0"/>
              <w:left w:val="single" w:color="auto" w:sz="4" w:space="0"/>
              <w:bottom w:val="single" w:color="auto" w:sz="4" w:space="0"/>
              <w:right w:val="single" w:color="auto" w:sz="4" w:space="0"/>
            </w:tcBorders>
            <w:noWrap w:val="0"/>
            <w:vAlign w:val="center"/>
          </w:tcPr>
          <w:p w14:paraId="2264A8F6">
            <w:pPr>
              <w:spacing w:line="300" w:lineRule="exact"/>
              <w:jc w:val="center"/>
              <w:rPr>
                <w:szCs w:val="21"/>
              </w:rPr>
            </w:pPr>
            <w:r>
              <w:rPr>
                <w:szCs w:val="21"/>
              </w:rPr>
              <w:t>招标文件澄清、修改</w:t>
            </w:r>
          </w:p>
        </w:tc>
        <w:tc>
          <w:tcPr>
            <w:tcW w:w="7229" w:type="dxa"/>
            <w:tcBorders>
              <w:top w:val="single" w:color="auto" w:sz="4" w:space="0"/>
              <w:left w:val="single" w:color="auto" w:sz="4" w:space="0"/>
              <w:bottom w:val="single" w:color="auto" w:sz="4" w:space="0"/>
              <w:right w:val="single" w:color="auto" w:sz="4" w:space="0"/>
            </w:tcBorders>
            <w:noWrap w:val="0"/>
            <w:vAlign w:val="center"/>
          </w:tcPr>
          <w:p w14:paraId="58B38744">
            <w:pPr>
              <w:spacing w:line="300" w:lineRule="exact"/>
              <w:jc w:val="left"/>
              <w:rPr>
                <w:color w:val="auto"/>
                <w:szCs w:val="21"/>
              </w:rPr>
            </w:pPr>
            <w:r>
              <w:rPr>
                <w:color w:val="auto"/>
                <w:szCs w:val="21"/>
              </w:rPr>
              <w:t>在招标公告发布媒介发布</w:t>
            </w:r>
            <w:r>
              <w:rPr>
                <w:rFonts w:hint="eastAsia"/>
                <w:color w:val="auto"/>
                <w:szCs w:val="21"/>
              </w:rPr>
              <w:t>。</w:t>
            </w:r>
          </w:p>
        </w:tc>
      </w:tr>
      <w:tr w14:paraId="24D1BAB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050" w:hRule="atLeast"/>
        </w:trPr>
        <w:tc>
          <w:tcPr>
            <w:tcW w:w="755" w:type="dxa"/>
            <w:tcBorders>
              <w:top w:val="single" w:color="auto" w:sz="4" w:space="0"/>
              <w:left w:val="single" w:color="auto" w:sz="4" w:space="0"/>
              <w:bottom w:val="single" w:color="auto" w:sz="4" w:space="0"/>
              <w:right w:val="single" w:color="auto" w:sz="4" w:space="0"/>
            </w:tcBorders>
            <w:noWrap w:val="0"/>
            <w:vAlign w:val="center"/>
          </w:tcPr>
          <w:p w14:paraId="27C9344F">
            <w:pPr>
              <w:spacing w:line="300" w:lineRule="exact"/>
              <w:jc w:val="center"/>
              <w:rPr>
                <w:b/>
                <w:szCs w:val="21"/>
              </w:rPr>
            </w:pPr>
            <w:r>
              <w:rPr>
                <w:b/>
                <w:szCs w:val="21"/>
              </w:rPr>
              <w:t>2.3</w:t>
            </w:r>
          </w:p>
        </w:tc>
        <w:tc>
          <w:tcPr>
            <w:tcW w:w="1230" w:type="dxa"/>
            <w:tcBorders>
              <w:top w:val="single" w:color="auto" w:sz="4" w:space="0"/>
              <w:left w:val="single" w:color="auto" w:sz="4" w:space="0"/>
              <w:bottom w:val="single" w:color="auto" w:sz="4" w:space="0"/>
              <w:right w:val="single" w:color="auto" w:sz="4" w:space="0"/>
            </w:tcBorders>
            <w:noWrap w:val="0"/>
            <w:vAlign w:val="center"/>
          </w:tcPr>
          <w:p w14:paraId="72320B70">
            <w:pPr>
              <w:spacing w:line="300" w:lineRule="exact"/>
              <w:jc w:val="center"/>
              <w:rPr>
                <w:szCs w:val="21"/>
              </w:rPr>
            </w:pPr>
            <w:r>
              <w:rPr>
                <w:szCs w:val="21"/>
              </w:rPr>
              <w:t>确认收到澄清、修改发布的方式</w:t>
            </w:r>
          </w:p>
        </w:tc>
        <w:tc>
          <w:tcPr>
            <w:tcW w:w="7229" w:type="dxa"/>
            <w:tcBorders>
              <w:top w:val="single" w:color="auto" w:sz="4" w:space="0"/>
              <w:left w:val="single" w:color="auto" w:sz="4" w:space="0"/>
              <w:bottom w:val="single" w:color="auto" w:sz="4" w:space="0"/>
              <w:right w:val="single" w:color="auto" w:sz="4" w:space="0"/>
            </w:tcBorders>
            <w:noWrap w:val="0"/>
            <w:vAlign w:val="center"/>
          </w:tcPr>
          <w:p w14:paraId="22A4DD16">
            <w:pPr>
              <w:spacing w:line="300" w:lineRule="exact"/>
              <w:jc w:val="left"/>
              <w:rPr>
                <w:color w:val="auto"/>
                <w:szCs w:val="21"/>
              </w:rPr>
            </w:pPr>
            <w:r>
              <w:rPr>
                <w:color w:val="auto"/>
                <w:szCs w:val="21"/>
              </w:rPr>
              <w:t>澄清、修改文件</w:t>
            </w:r>
            <w:r>
              <w:rPr>
                <w:rFonts w:hint="eastAsia"/>
                <w:color w:val="auto"/>
                <w:szCs w:val="21"/>
              </w:rPr>
              <w:t>自招标</w:t>
            </w:r>
            <w:r>
              <w:rPr>
                <w:color w:val="auto"/>
                <w:szCs w:val="21"/>
              </w:rPr>
              <w:t>公告发布媒</w:t>
            </w:r>
            <w:r>
              <w:rPr>
                <w:rFonts w:hint="eastAsia"/>
                <w:color w:val="auto"/>
                <w:szCs w:val="21"/>
              </w:rPr>
              <w:t>体</w:t>
            </w:r>
            <w:r>
              <w:rPr>
                <w:color w:val="auto"/>
                <w:szCs w:val="21"/>
              </w:rPr>
              <w:t>发布之日起，视为供应商已收到该澄清、修改。供应商未及时关注</w:t>
            </w:r>
            <w:r>
              <w:rPr>
                <w:rFonts w:hint="eastAsia"/>
                <w:color w:val="auto"/>
                <w:szCs w:val="21"/>
              </w:rPr>
              <w:t>招标</w:t>
            </w:r>
            <w:r>
              <w:rPr>
                <w:color w:val="auto"/>
                <w:szCs w:val="21"/>
              </w:rPr>
              <w:t>公告发布媒</w:t>
            </w:r>
            <w:r>
              <w:rPr>
                <w:rFonts w:hint="eastAsia"/>
                <w:color w:val="auto"/>
                <w:szCs w:val="21"/>
              </w:rPr>
              <w:t>体</w:t>
            </w:r>
            <w:r>
              <w:rPr>
                <w:color w:val="auto"/>
                <w:szCs w:val="21"/>
              </w:rPr>
              <w:t>造成的损失，由供应商自行负责。</w:t>
            </w:r>
          </w:p>
        </w:tc>
      </w:tr>
      <w:tr w14:paraId="5161D7F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49" w:hRule="atLeast"/>
        </w:trPr>
        <w:tc>
          <w:tcPr>
            <w:tcW w:w="755" w:type="dxa"/>
            <w:tcBorders>
              <w:top w:val="single" w:color="auto" w:sz="4" w:space="0"/>
              <w:left w:val="single" w:color="auto" w:sz="4" w:space="0"/>
              <w:bottom w:val="single" w:color="auto" w:sz="4" w:space="0"/>
              <w:right w:val="single" w:color="auto" w:sz="4" w:space="0"/>
            </w:tcBorders>
            <w:noWrap w:val="0"/>
            <w:vAlign w:val="center"/>
          </w:tcPr>
          <w:p w14:paraId="3C54D425">
            <w:pPr>
              <w:spacing w:line="300" w:lineRule="exact"/>
              <w:jc w:val="center"/>
              <w:rPr>
                <w:b/>
                <w:szCs w:val="21"/>
              </w:rPr>
            </w:pPr>
            <w:r>
              <w:rPr>
                <w:b/>
                <w:szCs w:val="21"/>
              </w:rPr>
              <w:t>3.4.1</w:t>
            </w:r>
          </w:p>
        </w:tc>
        <w:tc>
          <w:tcPr>
            <w:tcW w:w="1230" w:type="dxa"/>
            <w:tcBorders>
              <w:top w:val="single" w:color="auto" w:sz="4" w:space="0"/>
              <w:left w:val="single" w:color="auto" w:sz="4" w:space="0"/>
              <w:bottom w:val="single" w:color="auto" w:sz="4" w:space="0"/>
              <w:right w:val="single" w:color="auto" w:sz="4" w:space="0"/>
            </w:tcBorders>
            <w:noWrap w:val="0"/>
            <w:vAlign w:val="center"/>
          </w:tcPr>
          <w:p w14:paraId="4D3D9FEC">
            <w:pPr>
              <w:spacing w:line="300" w:lineRule="exact"/>
              <w:jc w:val="center"/>
              <w:rPr>
                <w:szCs w:val="21"/>
              </w:rPr>
            </w:pPr>
            <w:r>
              <w:rPr>
                <w:szCs w:val="21"/>
              </w:rPr>
              <w:t>投标有效期</w:t>
            </w:r>
          </w:p>
        </w:tc>
        <w:tc>
          <w:tcPr>
            <w:tcW w:w="7229" w:type="dxa"/>
            <w:tcBorders>
              <w:top w:val="single" w:color="auto" w:sz="4" w:space="0"/>
              <w:left w:val="single" w:color="auto" w:sz="4" w:space="0"/>
              <w:bottom w:val="single" w:color="auto" w:sz="4" w:space="0"/>
              <w:right w:val="single" w:color="auto" w:sz="4" w:space="0"/>
            </w:tcBorders>
            <w:noWrap w:val="0"/>
            <w:vAlign w:val="center"/>
          </w:tcPr>
          <w:p w14:paraId="17FEFC80">
            <w:pPr>
              <w:spacing w:line="300" w:lineRule="exact"/>
              <w:jc w:val="left"/>
              <w:rPr>
                <w:color w:val="auto"/>
                <w:szCs w:val="21"/>
              </w:rPr>
            </w:pPr>
            <w:r>
              <w:rPr>
                <w:color w:val="auto"/>
                <w:szCs w:val="21"/>
              </w:rPr>
              <w:t>投标截止之日起90天。</w:t>
            </w:r>
          </w:p>
        </w:tc>
      </w:tr>
      <w:tr w14:paraId="17AD044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755" w:type="dxa"/>
            <w:tcBorders>
              <w:top w:val="single" w:color="auto" w:sz="4" w:space="0"/>
              <w:left w:val="single" w:color="auto" w:sz="4" w:space="0"/>
              <w:bottom w:val="single" w:color="auto" w:sz="4" w:space="0"/>
              <w:right w:val="single" w:color="auto" w:sz="4" w:space="0"/>
            </w:tcBorders>
            <w:noWrap w:val="0"/>
            <w:vAlign w:val="center"/>
          </w:tcPr>
          <w:p w14:paraId="5D5D5CEC">
            <w:pPr>
              <w:spacing w:line="300" w:lineRule="exact"/>
              <w:jc w:val="center"/>
              <w:rPr>
                <w:b/>
                <w:szCs w:val="21"/>
              </w:rPr>
            </w:pPr>
            <w:r>
              <w:rPr>
                <w:b/>
                <w:szCs w:val="21"/>
              </w:rPr>
              <w:t>3.5</w:t>
            </w:r>
          </w:p>
        </w:tc>
        <w:tc>
          <w:tcPr>
            <w:tcW w:w="1230" w:type="dxa"/>
            <w:tcBorders>
              <w:top w:val="single" w:color="auto" w:sz="4" w:space="0"/>
              <w:left w:val="single" w:color="auto" w:sz="4" w:space="0"/>
              <w:bottom w:val="single" w:color="auto" w:sz="4" w:space="0"/>
              <w:right w:val="single" w:color="auto" w:sz="4" w:space="0"/>
            </w:tcBorders>
            <w:noWrap w:val="0"/>
            <w:vAlign w:val="center"/>
          </w:tcPr>
          <w:p w14:paraId="398FD6A5">
            <w:pPr>
              <w:spacing w:line="300" w:lineRule="exact"/>
              <w:jc w:val="center"/>
              <w:rPr>
                <w:szCs w:val="21"/>
              </w:rPr>
            </w:pPr>
            <w:r>
              <w:rPr>
                <w:szCs w:val="21"/>
              </w:rPr>
              <w:t>投标保证金</w:t>
            </w:r>
          </w:p>
        </w:tc>
        <w:tc>
          <w:tcPr>
            <w:tcW w:w="7229" w:type="dxa"/>
            <w:tcBorders>
              <w:top w:val="single" w:color="auto" w:sz="4" w:space="0"/>
              <w:left w:val="single" w:color="auto" w:sz="4" w:space="0"/>
              <w:bottom w:val="single" w:color="auto" w:sz="4" w:space="0"/>
              <w:right w:val="single" w:color="auto" w:sz="4" w:space="0"/>
            </w:tcBorders>
            <w:noWrap w:val="0"/>
            <w:vAlign w:val="center"/>
          </w:tcPr>
          <w:p w14:paraId="18F5DA0C">
            <w:pPr>
              <w:spacing w:line="300" w:lineRule="exact"/>
              <w:jc w:val="left"/>
              <w:rPr>
                <w:rFonts w:hint="default" w:eastAsia="宋体"/>
                <w:b/>
                <w:bCs/>
                <w:color w:val="auto"/>
                <w:szCs w:val="21"/>
                <w:lang w:val="en-US" w:eastAsia="zh-CN"/>
              </w:rPr>
            </w:pPr>
            <w:r>
              <w:rPr>
                <w:rFonts w:hint="eastAsia"/>
                <w:color w:val="auto"/>
                <w:szCs w:val="21"/>
                <w:lang w:val="en-US" w:eastAsia="zh-CN"/>
              </w:rPr>
              <w:t>本项目无</w:t>
            </w:r>
          </w:p>
        </w:tc>
      </w:tr>
      <w:tr w14:paraId="2E6918E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15" w:hRule="atLeast"/>
        </w:trPr>
        <w:tc>
          <w:tcPr>
            <w:tcW w:w="755" w:type="dxa"/>
            <w:tcBorders>
              <w:left w:val="single" w:color="auto" w:sz="4" w:space="0"/>
              <w:right w:val="single" w:color="auto" w:sz="4" w:space="0"/>
            </w:tcBorders>
            <w:noWrap w:val="0"/>
            <w:vAlign w:val="center"/>
          </w:tcPr>
          <w:p w14:paraId="6B1BC2C2">
            <w:pPr>
              <w:spacing w:line="300" w:lineRule="exact"/>
              <w:jc w:val="center"/>
              <w:rPr>
                <w:b/>
                <w:szCs w:val="21"/>
              </w:rPr>
            </w:pPr>
            <w:r>
              <w:rPr>
                <w:rFonts w:hint="eastAsia"/>
                <w:b/>
                <w:szCs w:val="21"/>
              </w:rPr>
              <w:t>3</w:t>
            </w:r>
            <w:r>
              <w:rPr>
                <w:b/>
                <w:szCs w:val="21"/>
              </w:rPr>
              <w:t>.6</w:t>
            </w:r>
          </w:p>
        </w:tc>
        <w:tc>
          <w:tcPr>
            <w:tcW w:w="1230" w:type="dxa"/>
            <w:tcBorders>
              <w:top w:val="single" w:color="auto" w:sz="4" w:space="0"/>
              <w:left w:val="single" w:color="auto" w:sz="4" w:space="0"/>
              <w:right w:val="single" w:color="auto" w:sz="4" w:space="0"/>
            </w:tcBorders>
            <w:noWrap w:val="0"/>
            <w:vAlign w:val="center"/>
          </w:tcPr>
          <w:p w14:paraId="4E9B417C">
            <w:pPr>
              <w:spacing w:line="300" w:lineRule="exact"/>
              <w:jc w:val="center"/>
              <w:rPr>
                <w:szCs w:val="21"/>
              </w:rPr>
            </w:pPr>
            <w:r>
              <w:rPr>
                <w:rFonts w:hint="eastAsia"/>
                <w:szCs w:val="21"/>
              </w:rPr>
              <w:t>投标文件的编制</w:t>
            </w:r>
          </w:p>
        </w:tc>
        <w:tc>
          <w:tcPr>
            <w:tcW w:w="7229" w:type="dxa"/>
            <w:tcBorders>
              <w:top w:val="single" w:color="auto" w:sz="4" w:space="0"/>
              <w:left w:val="single" w:color="auto" w:sz="4" w:space="0"/>
              <w:right w:val="single" w:color="auto" w:sz="4" w:space="0"/>
            </w:tcBorders>
            <w:noWrap w:val="0"/>
            <w:vAlign w:val="center"/>
          </w:tcPr>
          <w:p w14:paraId="16D3036E">
            <w:pPr>
              <w:spacing w:line="300" w:lineRule="exact"/>
              <w:jc w:val="left"/>
              <w:rPr>
                <w:color w:val="auto"/>
                <w:szCs w:val="21"/>
              </w:rPr>
            </w:pPr>
            <w:r>
              <w:rPr>
                <w:rFonts w:hint="eastAsia" w:hAnsi="宋体"/>
                <w:color w:val="auto"/>
                <w:szCs w:val="21"/>
              </w:rPr>
              <w:t>投标文件应按第六章投标文件格式分别编制并使用下载的</w:t>
            </w:r>
            <w:r>
              <w:rPr>
                <w:rFonts w:hint="eastAsia"/>
                <w:color w:val="auto"/>
                <w:szCs w:val="21"/>
              </w:rPr>
              <w:t>广西政府采购云平台新版客户端</w:t>
            </w:r>
            <w:r>
              <w:rPr>
                <w:rFonts w:hint="eastAsia" w:hAnsi="宋体"/>
                <w:color w:val="auto"/>
                <w:szCs w:val="21"/>
              </w:rPr>
              <w:t>制作并上传。</w:t>
            </w:r>
          </w:p>
        </w:tc>
      </w:tr>
      <w:tr w14:paraId="0749214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90" w:hRule="atLeast"/>
        </w:trPr>
        <w:tc>
          <w:tcPr>
            <w:tcW w:w="755" w:type="dxa"/>
            <w:tcBorders>
              <w:top w:val="single" w:color="auto" w:sz="4" w:space="0"/>
              <w:left w:val="single" w:color="auto" w:sz="4" w:space="0"/>
              <w:bottom w:val="single" w:color="auto" w:sz="4" w:space="0"/>
              <w:right w:val="single" w:color="auto" w:sz="4" w:space="0"/>
            </w:tcBorders>
            <w:noWrap w:val="0"/>
            <w:vAlign w:val="center"/>
          </w:tcPr>
          <w:p w14:paraId="55101AB3">
            <w:pPr>
              <w:spacing w:line="300" w:lineRule="exact"/>
              <w:jc w:val="center"/>
              <w:rPr>
                <w:b/>
                <w:szCs w:val="21"/>
              </w:rPr>
            </w:pPr>
            <w:r>
              <w:rPr>
                <w:b/>
                <w:szCs w:val="21"/>
              </w:rPr>
              <w:t>3.7</w:t>
            </w:r>
          </w:p>
        </w:tc>
        <w:tc>
          <w:tcPr>
            <w:tcW w:w="1230" w:type="dxa"/>
            <w:tcBorders>
              <w:top w:val="single" w:color="auto" w:sz="4" w:space="0"/>
              <w:left w:val="single" w:color="auto" w:sz="4" w:space="0"/>
              <w:bottom w:val="single" w:color="auto" w:sz="4" w:space="0"/>
              <w:right w:val="single" w:color="auto" w:sz="4" w:space="0"/>
            </w:tcBorders>
            <w:noWrap w:val="0"/>
            <w:vAlign w:val="center"/>
          </w:tcPr>
          <w:p w14:paraId="0E570421">
            <w:pPr>
              <w:spacing w:line="300" w:lineRule="exact"/>
              <w:jc w:val="center"/>
              <w:rPr>
                <w:szCs w:val="21"/>
              </w:rPr>
            </w:pPr>
            <w:r>
              <w:rPr>
                <w:szCs w:val="21"/>
              </w:rPr>
              <w:t>投标文件递交</w:t>
            </w:r>
            <w:r>
              <w:rPr>
                <w:rFonts w:hint="eastAsia"/>
                <w:szCs w:val="21"/>
              </w:rPr>
              <w:t>截止时间及开标时间</w:t>
            </w:r>
          </w:p>
        </w:tc>
        <w:tc>
          <w:tcPr>
            <w:tcW w:w="7229" w:type="dxa"/>
            <w:tcBorders>
              <w:top w:val="single" w:color="auto" w:sz="4" w:space="0"/>
              <w:left w:val="single" w:color="auto" w:sz="4" w:space="0"/>
              <w:bottom w:val="single" w:color="auto" w:sz="4" w:space="0"/>
              <w:right w:val="single" w:color="auto" w:sz="4" w:space="0"/>
            </w:tcBorders>
            <w:noWrap w:val="0"/>
            <w:vAlign w:val="center"/>
          </w:tcPr>
          <w:p w14:paraId="2F2A0A2B">
            <w:pPr>
              <w:spacing w:line="300" w:lineRule="exact"/>
              <w:jc w:val="left"/>
              <w:rPr>
                <w:color w:val="auto"/>
                <w:szCs w:val="21"/>
              </w:rPr>
            </w:pPr>
            <w:r>
              <w:rPr>
                <w:rFonts w:hint="eastAsia"/>
                <w:color w:val="auto"/>
                <w:kern w:val="0"/>
                <w:szCs w:val="21"/>
              </w:rPr>
              <w:t>见招标公告要求</w:t>
            </w:r>
            <w:r>
              <w:rPr>
                <w:rFonts w:hint="eastAsia"/>
                <w:color w:val="auto"/>
                <w:szCs w:val="21"/>
              </w:rPr>
              <w:t>。</w:t>
            </w:r>
          </w:p>
        </w:tc>
      </w:tr>
      <w:tr w14:paraId="154B086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755" w:type="dxa"/>
            <w:tcBorders>
              <w:top w:val="single" w:color="auto" w:sz="4" w:space="0"/>
              <w:left w:val="single" w:color="auto" w:sz="4" w:space="0"/>
              <w:bottom w:val="single" w:color="auto" w:sz="4" w:space="0"/>
              <w:right w:val="single" w:color="auto" w:sz="4" w:space="0"/>
            </w:tcBorders>
            <w:noWrap w:val="0"/>
            <w:vAlign w:val="center"/>
          </w:tcPr>
          <w:p w14:paraId="5C0FD28D">
            <w:pPr>
              <w:spacing w:line="300" w:lineRule="exact"/>
              <w:jc w:val="center"/>
              <w:rPr>
                <w:b/>
                <w:szCs w:val="21"/>
              </w:rPr>
            </w:pPr>
            <w:r>
              <w:rPr>
                <w:rFonts w:hint="eastAsia"/>
                <w:b/>
                <w:szCs w:val="21"/>
              </w:rPr>
              <w:t>4</w:t>
            </w:r>
            <w:r>
              <w:rPr>
                <w:b/>
                <w:szCs w:val="21"/>
              </w:rPr>
              <w:t>.2</w:t>
            </w:r>
          </w:p>
        </w:tc>
        <w:tc>
          <w:tcPr>
            <w:tcW w:w="1230" w:type="dxa"/>
            <w:tcBorders>
              <w:top w:val="single" w:color="auto" w:sz="4" w:space="0"/>
              <w:left w:val="single" w:color="auto" w:sz="4" w:space="0"/>
              <w:bottom w:val="single" w:color="auto" w:sz="4" w:space="0"/>
              <w:right w:val="single" w:color="auto" w:sz="4" w:space="0"/>
            </w:tcBorders>
            <w:noWrap w:val="0"/>
            <w:vAlign w:val="center"/>
          </w:tcPr>
          <w:p w14:paraId="36FF7DDE">
            <w:pPr>
              <w:spacing w:line="300" w:lineRule="exact"/>
              <w:jc w:val="center"/>
              <w:rPr>
                <w:szCs w:val="20"/>
              </w:rPr>
            </w:pPr>
            <w:r>
              <w:rPr>
                <w:rFonts w:hint="eastAsia"/>
                <w:szCs w:val="21"/>
              </w:rPr>
              <w:t>备份投标文件</w:t>
            </w:r>
          </w:p>
        </w:tc>
        <w:tc>
          <w:tcPr>
            <w:tcW w:w="7229" w:type="dxa"/>
            <w:tcBorders>
              <w:top w:val="single" w:color="auto" w:sz="4" w:space="0"/>
              <w:left w:val="single" w:color="auto" w:sz="4" w:space="0"/>
              <w:bottom w:val="single" w:color="auto" w:sz="4" w:space="0"/>
              <w:right w:val="single" w:color="auto" w:sz="4" w:space="0"/>
            </w:tcBorders>
            <w:noWrap w:val="0"/>
            <w:vAlign w:val="center"/>
          </w:tcPr>
          <w:p w14:paraId="14B4A3A9">
            <w:pPr>
              <w:spacing w:line="276" w:lineRule="auto"/>
              <w:rPr>
                <w:rFonts w:hint="eastAsia" w:ascii="宋体" w:hAnsi="宋体"/>
                <w:color w:val="auto"/>
                <w:szCs w:val="21"/>
              </w:rPr>
            </w:pPr>
            <w:r>
              <w:rPr>
                <w:rFonts w:hint="eastAsia" w:ascii="宋体" w:hAnsi="宋体"/>
                <w:color w:val="auto"/>
                <w:szCs w:val="21"/>
              </w:rPr>
              <w:t>本项目</w:t>
            </w:r>
            <w:r>
              <w:rPr>
                <w:color w:val="auto"/>
                <w:sz w:val="22"/>
                <w:szCs w:val="22"/>
              </w:rPr>
              <w:sym w:font="Wingdings 2" w:char="00A3"/>
            </w:r>
            <w:r>
              <w:rPr>
                <w:rFonts w:hint="eastAsia"/>
                <w:color w:val="auto"/>
                <w:szCs w:val="21"/>
              </w:rPr>
              <w:t xml:space="preserve">接受   </w:t>
            </w:r>
            <w:r>
              <w:rPr>
                <w:rFonts w:hint="eastAsia"/>
                <w:color w:val="auto"/>
                <w:szCs w:val="21"/>
                <w:lang w:eastAsia="zh-CN"/>
              </w:rPr>
              <w:t>☑</w:t>
            </w:r>
            <w:r>
              <w:rPr>
                <w:rFonts w:hint="eastAsia"/>
                <w:color w:val="auto"/>
                <w:szCs w:val="21"/>
              </w:rPr>
              <w:t>不接受</w:t>
            </w:r>
            <w:r>
              <w:rPr>
                <w:rFonts w:hint="eastAsia" w:ascii="宋体" w:hAnsi="宋体"/>
                <w:color w:val="auto"/>
                <w:szCs w:val="21"/>
              </w:rPr>
              <w:t>备份投标文件</w:t>
            </w:r>
          </w:p>
          <w:p w14:paraId="289208AD">
            <w:pPr>
              <w:spacing w:line="276" w:lineRule="auto"/>
              <w:rPr>
                <w:color w:val="auto"/>
                <w:sz w:val="22"/>
                <w:szCs w:val="22"/>
              </w:rPr>
            </w:pPr>
            <w:r>
              <w:rPr>
                <w:rFonts w:hint="eastAsia" w:ascii="宋体" w:hAnsi="宋体"/>
                <w:color w:val="auto"/>
                <w:szCs w:val="21"/>
              </w:rPr>
              <w:t>以</w:t>
            </w:r>
            <w:r>
              <w:rPr>
                <w:rFonts w:ascii="Arial" w:hAnsi="Arial" w:cs="Arial"/>
                <w:color w:val="auto"/>
                <w:kern w:val="0"/>
                <w:szCs w:val="21"/>
              </w:rPr>
              <w:t>广西政府采购云平台</w:t>
            </w:r>
            <w:r>
              <w:rPr>
                <w:rFonts w:hint="eastAsia" w:ascii="宋体" w:hAnsi="宋体"/>
                <w:color w:val="auto"/>
                <w:szCs w:val="21"/>
              </w:rPr>
              <w:t>自动生成的备份文件为依据，当项目允许接受备份响应文件时，投标人才可以按规定上传备份投标文件。</w:t>
            </w:r>
          </w:p>
        </w:tc>
      </w:tr>
      <w:tr w14:paraId="4F781DE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755" w:type="dxa"/>
            <w:tcBorders>
              <w:top w:val="single" w:color="auto" w:sz="4" w:space="0"/>
              <w:left w:val="single" w:color="auto" w:sz="4" w:space="0"/>
              <w:bottom w:val="single" w:color="auto" w:sz="4" w:space="0"/>
              <w:right w:val="single" w:color="auto" w:sz="4" w:space="0"/>
            </w:tcBorders>
            <w:noWrap w:val="0"/>
            <w:vAlign w:val="center"/>
          </w:tcPr>
          <w:p w14:paraId="4C2A0C64">
            <w:pPr>
              <w:spacing w:line="300" w:lineRule="exact"/>
              <w:jc w:val="center"/>
              <w:rPr>
                <w:b/>
                <w:szCs w:val="21"/>
              </w:rPr>
            </w:pPr>
            <w:r>
              <w:rPr>
                <w:rFonts w:hint="eastAsia"/>
                <w:b/>
                <w:szCs w:val="21"/>
              </w:rPr>
              <w:t>4</w:t>
            </w:r>
            <w:r>
              <w:rPr>
                <w:b/>
                <w:szCs w:val="21"/>
              </w:rPr>
              <w:t>.3</w:t>
            </w:r>
          </w:p>
        </w:tc>
        <w:tc>
          <w:tcPr>
            <w:tcW w:w="1230" w:type="dxa"/>
            <w:tcBorders>
              <w:top w:val="single" w:color="auto" w:sz="4" w:space="0"/>
              <w:left w:val="single" w:color="auto" w:sz="4" w:space="0"/>
              <w:bottom w:val="single" w:color="auto" w:sz="4" w:space="0"/>
              <w:right w:val="single" w:color="auto" w:sz="4" w:space="0"/>
            </w:tcBorders>
            <w:noWrap w:val="0"/>
            <w:vAlign w:val="center"/>
          </w:tcPr>
          <w:p w14:paraId="63FA3C83">
            <w:pPr>
              <w:spacing w:line="300" w:lineRule="exact"/>
              <w:jc w:val="center"/>
              <w:rPr>
                <w:szCs w:val="21"/>
              </w:rPr>
            </w:pPr>
            <w:r>
              <w:rPr>
                <w:rFonts w:hint="eastAsia"/>
                <w:szCs w:val="20"/>
              </w:rPr>
              <w:t>演示</w:t>
            </w:r>
          </w:p>
        </w:tc>
        <w:tc>
          <w:tcPr>
            <w:tcW w:w="7229" w:type="dxa"/>
            <w:tcBorders>
              <w:top w:val="single" w:color="auto" w:sz="4" w:space="0"/>
              <w:left w:val="single" w:color="auto" w:sz="4" w:space="0"/>
              <w:bottom w:val="single" w:color="auto" w:sz="4" w:space="0"/>
              <w:right w:val="single" w:color="auto" w:sz="4" w:space="0"/>
            </w:tcBorders>
            <w:noWrap w:val="0"/>
            <w:vAlign w:val="center"/>
          </w:tcPr>
          <w:p w14:paraId="157EA5B1">
            <w:pPr>
              <w:spacing w:line="276" w:lineRule="auto"/>
              <w:rPr>
                <w:color w:val="auto"/>
                <w:szCs w:val="21"/>
              </w:rPr>
            </w:pPr>
            <w:r>
              <w:rPr>
                <w:color w:val="auto"/>
                <w:sz w:val="22"/>
                <w:szCs w:val="22"/>
              </w:rPr>
              <w:sym w:font="Wingdings 2" w:char="F052"/>
            </w:r>
            <w:r>
              <w:rPr>
                <w:rFonts w:hint="eastAsia"/>
                <w:color w:val="auto"/>
                <w:szCs w:val="21"/>
              </w:rPr>
              <w:t>否   □是</w:t>
            </w:r>
          </w:p>
          <w:p w14:paraId="2E25C637">
            <w:pPr>
              <w:spacing w:line="276" w:lineRule="auto"/>
              <w:rPr>
                <w:color w:val="auto"/>
                <w:szCs w:val="21"/>
                <w:u w:val="single"/>
              </w:rPr>
            </w:pPr>
            <w:r>
              <w:rPr>
                <w:rFonts w:hint="eastAsia"/>
                <w:color w:val="auto"/>
                <w:szCs w:val="21"/>
              </w:rPr>
              <w:t>演示内容：</w:t>
            </w:r>
            <w:r>
              <w:rPr>
                <w:rFonts w:hint="eastAsia"/>
                <w:color w:val="auto"/>
                <w:szCs w:val="21"/>
                <w:u w:val="single"/>
              </w:rPr>
              <w:t xml:space="preserve"> </w:t>
            </w:r>
            <w:r>
              <w:rPr>
                <w:color w:val="auto"/>
                <w:szCs w:val="21"/>
                <w:u w:val="single"/>
              </w:rPr>
              <w:t xml:space="preserve">              </w:t>
            </w:r>
          </w:p>
          <w:p w14:paraId="4716C1F8">
            <w:pPr>
              <w:spacing w:line="276" w:lineRule="auto"/>
              <w:rPr>
                <w:color w:val="auto"/>
                <w:szCs w:val="21"/>
              </w:rPr>
            </w:pPr>
            <w:r>
              <w:rPr>
                <w:rFonts w:hint="eastAsia"/>
                <w:color w:val="auto"/>
                <w:szCs w:val="21"/>
              </w:rPr>
              <w:t>演示形式：</w:t>
            </w:r>
            <w:r>
              <w:rPr>
                <w:color w:val="auto"/>
                <w:szCs w:val="21"/>
              </w:rPr>
              <w:t xml:space="preserve"> </w:t>
            </w:r>
          </w:p>
        </w:tc>
      </w:tr>
      <w:tr w14:paraId="1C3557D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755" w:type="dxa"/>
            <w:tcBorders>
              <w:top w:val="single" w:color="auto" w:sz="4" w:space="0"/>
              <w:left w:val="single" w:color="auto" w:sz="4" w:space="0"/>
              <w:bottom w:val="single" w:color="auto" w:sz="4" w:space="0"/>
              <w:right w:val="single" w:color="auto" w:sz="4" w:space="0"/>
            </w:tcBorders>
            <w:noWrap w:val="0"/>
            <w:vAlign w:val="center"/>
          </w:tcPr>
          <w:p w14:paraId="52885C12">
            <w:pPr>
              <w:spacing w:line="300" w:lineRule="exact"/>
              <w:jc w:val="center"/>
              <w:rPr>
                <w:b/>
                <w:szCs w:val="21"/>
              </w:rPr>
            </w:pPr>
            <w:r>
              <w:rPr>
                <w:rFonts w:hint="eastAsia"/>
                <w:b/>
                <w:szCs w:val="21"/>
              </w:rPr>
              <w:t>4</w:t>
            </w:r>
            <w:r>
              <w:rPr>
                <w:b/>
                <w:szCs w:val="21"/>
              </w:rPr>
              <w:t>.4</w:t>
            </w:r>
          </w:p>
        </w:tc>
        <w:tc>
          <w:tcPr>
            <w:tcW w:w="1230" w:type="dxa"/>
            <w:tcBorders>
              <w:top w:val="single" w:color="auto" w:sz="4" w:space="0"/>
              <w:left w:val="single" w:color="auto" w:sz="4" w:space="0"/>
              <w:bottom w:val="single" w:color="auto" w:sz="4" w:space="0"/>
              <w:right w:val="single" w:color="auto" w:sz="4" w:space="0"/>
            </w:tcBorders>
            <w:noWrap w:val="0"/>
            <w:vAlign w:val="center"/>
          </w:tcPr>
          <w:p w14:paraId="1A32DB3A">
            <w:pPr>
              <w:spacing w:line="300" w:lineRule="exact"/>
              <w:jc w:val="center"/>
              <w:rPr>
                <w:szCs w:val="21"/>
              </w:rPr>
            </w:pPr>
            <w:r>
              <w:rPr>
                <w:rFonts w:hint="eastAsia"/>
                <w:szCs w:val="20"/>
              </w:rPr>
              <w:t>样品</w:t>
            </w:r>
          </w:p>
        </w:tc>
        <w:tc>
          <w:tcPr>
            <w:tcW w:w="7229" w:type="dxa"/>
            <w:tcBorders>
              <w:top w:val="single" w:color="auto" w:sz="4" w:space="0"/>
              <w:left w:val="single" w:color="auto" w:sz="4" w:space="0"/>
              <w:bottom w:val="single" w:color="auto" w:sz="4" w:space="0"/>
              <w:right w:val="single" w:color="auto" w:sz="4" w:space="0"/>
            </w:tcBorders>
            <w:noWrap w:val="0"/>
            <w:vAlign w:val="center"/>
          </w:tcPr>
          <w:p w14:paraId="6E48EBC7">
            <w:pPr>
              <w:spacing w:line="276" w:lineRule="auto"/>
              <w:rPr>
                <w:color w:val="auto"/>
                <w:szCs w:val="21"/>
              </w:rPr>
            </w:pPr>
            <w:r>
              <w:rPr>
                <w:color w:val="auto"/>
                <w:sz w:val="24"/>
              </w:rPr>
              <w:sym w:font="Wingdings 2" w:char="F052"/>
            </w:r>
            <w:r>
              <w:rPr>
                <w:rFonts w:hint="eastAsia"/>
                <w:color w:val="auto"/>
                <w:szCs w:val="21"/>
              </w:rPr>
              <w:t>否   □是</w:t>
            </w:r>
          </w:p>
          <w:p w14:paraId="28359025">
            <w:pPr>
              <w:spacing w:line="276" w:lineRule="auto"/>
              <w:rPr>
                <w:color w:val="auto"/>
                <w:szCs w:val="21"/>
                <w:u w:val="single"/>
              </w:rPr>
            </w:pPr>
            <w:r>
              <w:rPr>
                <w:rFonts w:hint="eastAsia"/>
                <w:color w:val="auto"/>
                <w:szCs w:val="21"/>
              </w:rPr>
              <w:t>样品制作的标准和要求：</w:t>
            </w:r>
            <w:r>
              <w:rPr>
                <w:rFonts w:hint="eastAsia"/>
                <w:color w:val="auto"/>
                <w:szCs w:val="21"/>
                <w:u w:val="single"/>
              </w:rPr>
              <w:t xml:space="preserve"> </w:t>
            </w:r>
            <w:r>
              <w:rPr>
                <w:color w:val="auto"/>
                <w:szCs w:val="21"/>
                <w:u w:val="single"/>
              </w:rPr>
              <w:t xml:space="preserve">              </w:t>
            </w:r>
          </w:p>
          <w:p w14:paraId="0E38B455">
            <w:pPr>
              <w:spacing w:line="276" w:lineRule="auto"/>
              <w:rPr>
                <w:color w:val="auto"/>
                <w:szCs w:val="21"/>
                <w:u w:val="single"/>
              </w:rPr>
            </w:pPr>
            <w:r>
              <w:rPr>
                <w:rFonts w:hint="eastAsia"/>
                <w:color w:val="auto"/>
                <w:szCs w:val="21"/>
              </w:rPr>
              <w:t>样品检测机构的要求：</w:t>
            </w:r>
            <w:r>
              <w:rPr>
                <w:rFonts w:hint="eastAsia"/>
                <w:color w:val="auto"/>
                <w:szCs w:val="21"/>
                <w:u w:val="single"/>
              </w:rPr>
              <w:t xml:space="preserve"> </w:t>
            </w:r>
            <w:r>
              <w:rPr>
                <w:color w:val="auto"/>
                <w:szCs w:val="21"/>
                <w:u w:val="single"/>
              </w:rPr>
              <w:t xml:space="preserve">               </w:t>
            </w:r>
          </w:p>
          <w:p w14:paraId="57B29636">
            <w:pPr>
              <w:spacing w:line="276" w:lineRule="auto"/>
              <w:rPr>
                <w:color w:val="auto"/>
                <w:szCs w:val="21"/>
                <w:u w:val="single"/>
              </w:rPr>
            </w:pPr>
            <w:r>
              <w:rPr>
                <w:rFonts w:hint="eastAsia"/>
                <w:color w:val="auto"/>
                <w:szCs w:val="21"/>
              </w:rPr>
              <w:t>检测内容：</w:t>
            </w:r>
            <w:r>
              <w:rPr>
                <w:rFonts w:hint="eastAsia"/>
                <w:color w:val="auto"/>
                <w:szCs w:val="21"/>
                <w:u w:val="single"/>
              </w:rPr>
              <w:t xml:space="preserve"> </w:t>
            </w:r>
            <w:r>
              <w:rPr>
                <w:color w:val="auto"/>
                <w:szCs w:val="21"/>
                <w:u w:val="single"/>
              </w:rPr>
              <w:t xml:space="preserve">                    </w:t>
            </w:r>
          </w:p>
          <w:p w14:paraId="4E4A2E05">
            <w:pPr>
              <w:spacing w:line="276" w:lineRule="auto"/>
              <w:rPr>
                <w:color w:val="auto"/>
                <w:szCs w:val="21"/>
              </w:rPr>
            </w:pPr>
            <w:r>
              <w:rPr>
                <w:rFonts w:hint="eastAsia"/>
                <w:color w:val="auto"/>
                <w:szCs w:val="21"/>
              </w:rPr>
              <w:t>样品递交方式：</w:t>
            </w:r>
            <w:r>
              <w:rPr>
                <w:color w:val="auto"/>
                <w:szCs w:val="21"/>
              </w:rPr>
              <w:t xml:space="preserve"> </w:t>
            </w:r>
          </w:p>
        </w:tc>
      </w:tr>
      <w:tr w14:paraId="6D5A3AD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75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63A51A8">
            <w:pPr>
              <w:spacing w:line="300" w:lineRule="exact"/>
              <w:jc w:val="center"/>
              <w:rPr>
                <w:rFonts w:hint="default" w:eastAsia="宋体"/>
                <w:b/>
                <w:szCs w:val="21"/>
                <w:lang w:val="en-US" w:eastAsia="zh-CN"/>
              </w:rPr>
            </w:pPr>
            <w:r>
              <w:rPr>
                <w:rFonts w:hint="eastAsia"/>
                <w:b/>
                <w:szCs w:val="21"/>
                <w:lang w:val="en-US" w:eastAsia="zh-CN"/>
              </w:rPr>
              <w:t>5.3.1</w:t>
            </w:r>
          </w:p>
        </w:tc>
        <w:tc>
          <w:tcPr>
            <w:tcW w:w="123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3E0B7D9">
            <w:pPr>
              <w:spacing w:line="300" w:lineRule="exact"/>
              <w:jc w:val="center"/>
              <w:rPr>
                <w:rFonts w:hint="default" w:ascii="Times New Roman" w:hAnsi="Times New Roman" w:eastAsia="宋体" w:cs="Times New Roman"/>
                <w:kern w:val="2"/>
                <w:sz w:val="21"/>
                <w:szCs w:val="21"/>
                <w:lang w:val="en-US" w:eastAsia="zh-CN" w:bidi="ar-SA"/>
              </w:rPr>
            </w:pPr>
            <w:r>
              <w:rPr>
                <w:rFonts w:hint="eastAsia" w:cs="Times New Roman"/>
                <w:kern w:val="2"/>
                <w:sz w:val="21"/>
                <w:szCs w:val="21"/>
                <w:lang w:val="en-US" w:eastAsia="zh-CN" w:bidi="ar-SA"/>
              </w:rPr>
              <w:t>信用查询规则</w:t>
            </w:r>
          </w:p>
        </w:tc>
        <w:tc>
          <w:tcPr>
            <w:tcW w:w="7229" w:type="dxa"/>
            <w:tcBorders>
              <w:top w:val="single" w:color="auto" w:sz="4" w:space="0"/>
              <w:left w:val="single" w:color="auto" w:sz="4" w:space="0"/>
              <w:bottom w:val="single" w:color="auto" w:sz="4" w:space="0"/>
              <w:right w:val="single" w:color="auto" w:sz="4" w:space="0"/>
            </w:tcBorders>
            <w:noWrap w:val="0"/>
            <w:vAlign w:val="center"/>
          </w:tcPr>
          <w:p w14:paraId="1170BBFA">
            <w:pPr>
              <w:snapToGrid w:val="0"/>
              <w:spacing w:line="380" w:lineRule="exact"/>
              <w:rPr>
                <w:rFonts w:hint="eastAsia" w:ascii="宋体" w:hAnsi="宋体"/>
                <w:szCs w:val="21"/>
                <w:lang w:eastAsia="zh-CN"/>
              </w:rPr>
            </w:pPr>
            <w:r>
              <w:rPr>
                <w:rFonts w:hint="eastAsia" w:ascii="宋体" w:hAnsi="宋体"/>
                <w:szCs w:val="21"/>
                <w:lang w:eastAsia="zh-CN"/>
              </w:rPr>
              <w:t>采购人或者采购代理机构在资格审查结束前，对</w:t>
            </w:r>
            <w:r>
              <w:rPr>
                <w:rFonts w:hint="eastAsia" w:ascii="宋体" w:hAnsi="宋体"/>
                <w:szCs w:val="21"/>
                <w:lang w:val="en-US" w:eastAsia="zh-CN"/>
              </w:rPr>
              <w:t>投标人</w:t>
            </w:r>
            <w:r>
              <w:rPr>
                <w:rFonts w:hint="eastAsia" w:ascii="宋体" w:hAnsi="宋体"/>
                <w:szCs w:val="21"/>
                <w:lang w:eastAsia="zh-CN"/>
              </w:rPr>
              <w:t>进行信用查询。</w:t>
            </w:r>
          </w:p>
          <w:p w14:paraId="3029BDC8">
            <w:pPr>
              <w:snapToGrid w:val="0"/>
              <w:spacing w:line="380" w:lineRule="exact"/>
              <w:rPr>
                <w:rFonts w:hint="eastAsia" w:ascii="宋体" w:hAnsi="宋体"/>
                <w:szCs w:val="21"/>
                <w:lang w:eastAsia="zh-CN"/>
              </w:rPr>
            </w:pPr>
            <w:r>
              <w:rPr>
                <w:rFonts w:hint="eastAsia" w:ascii="宋体" w:hAnsi="宋体"/>
                <w:szCs w:val="21"/>
                <w:lang w:eastAsia="zh-CN"/>
              </w:rPr>
              <w:t>（</w:t>
            </w:r>
            <w:r>
              <w:rPr>
                <w:rFonts w:hint="eastAsia" w:ascii="宋体" w:hAnsi="宋体"/>
                <w:szCs w:val="21"/>
                <w:lang w:val="en-US" w:eastAsia="zh-CN"/>
              </w:rPr>
              <w:t>1</w:t>
            </w:r>
            <w:r>
              <w:rPr>
                <w:rFonts w:hint="eastAsia" w:ascii="宋体" w:hAnsi="宋体"/>
                <w:szCs w:val="21"/>
                <w:lang w:eastAsia="zh-CN"/>
              </w:rPr>
              <w:t>）查询渠道：</w:t>
            </w:r>
            <w:r>
              <w:rPr>
                <w:rFonts w:hint="eastAsia" w:ascii="宋体" w:hAnsi="宋体"/>
                <w:szCs w:val="21"/>
                <w:lang w:val="en-US" w:eastAsia="zh-CN"/>
              </w:rPr>
              <w:t>广西政府采购云平台</w:t>
            </w:r>
            <w:r>
              <w:rPr>
                <w:rFonts w:hint="eastAsia" w:ascii="宋体" w:hAnsi="宋体"/>
                <w:szCs w:val="21"/>
                <w:lang w:eastAsia="zh-CN"/>
              </w:rPr>
              <w:t>“信用中国”网站(www.creditchina.gov.cn) 、中国政府采购网(www.ccgp.gov.cn)</w:t>
            </w:r>
            <w:r>
              <w:rPr>
                <w:rFonts w:hint="eastAsia" w:ascii="宋体" w:hAnsi="宋体"/>
                <w:szCs w:val="21"/>
                <w:lang w:val="en-US" w:eastAsia="zh-CN"/>
              </w:rPr>
              <w:t>链接入口</w:t>
            </w:r>
            <w:r>
              <w:rPr>
                <w:rFonts w:hint="eastAsia" w:ascii="宋体" w:hAnsi="宋体"/>
                <w:szCs w:val="21"/>
                <w:lang w:eastAsia="zh-CN"/>
              </w:rPr>
              <w:t>。</w:t>
            </w:r>
          </w:p>
          <w:p w14:paraId="7FED8076">
            <w:pPr>
              <w:snapToGrid w:val="0"/>
              <w:spacing w:line="380" w:lineRule="exact"/>
              <w:rPr>
                <w:rFonts w:hint="eastAsia" w:ascii="宋体" w:hAnsi="宋体"/>
                <w:szCs w:val="21"/>
                <w:lang w:eastAsia="zh-CN"/>
              </w:rPr>
            </w:pPr>
            <w:r>
              <w:rPr>
                <w:rFonts w:hint="eastAsia" w:ascii="宋体" w:hAnsi="宋体"/>
                <w:szCs w:val="21"/>
                <w:lang w:eastAsia="zh-CN"/>
              </w:rPr>
              <w:t>（</w:t>
            </w:r>
            <w:r>
              <w:rPr>
                <w:rFonts w:hint="eastAsia" w:ascii="宋体" w:hAnsi="宋体"/>
                <w:szCs w:val="21"/>
                <w:lang w:val="en-US" w:eastAsia="zh-CN"/>
              </w:rPr>
              <w:t>2</w:t>
            </w:r>
            <w:r>
              <w:rPr>
                <w:rFonts w:hint="eastAsia" w:ascii="宋体" w:hAnsi="宋体"/>
                <w:szCs w:val="21"/>
                <w:lang w:eastAsia="zh-CN"/>
              </w:rPr>
              <w:t>）信用查询截止时点：</w:t>
            </w:r>
            <w:r>
              <w:rPr>
                <w:rFonts w:hint="eastAsia" w:ascii="宋体" w:hAnsi="宋体"/>
                <w:szCs w:val="21"/>
                <w:lang w:val="en-US" w:eastAsia="zh-CN"/>
              </w:rPr>
              <w:t>资</w:t>
            </w:r>
            <w:r>
              <w:rPr>
                <w:rFonts w:hint="eastAsia" w:ascii="宋体" w:hAnsi="宋体"/>
                <w:szCs w:val="21"/>
                <w:lang w:eastAsia="zh-CN"/>
              </w:rPr>
              <w:t>格审查结束前</w:t>
            </w:r>
          </w:p>
          <w:p w14:paraId="7E3C689C">
            <w:pPr>
              <w:snapToGrid w:val="0"/>
              <w:spacing w:line="380" w:lineRule="exact"/>
              <w:rPr>
                <w:rFonts w:hint="eastAsia" w:ascii="宋体" w:hAnsi="宋体"/>
                <w:szCs w:val="21"/>
                <w:lang w:eastAsia="zh-CN"/>
              </w:rPr>
            </w:pPr>
            <w:r>
              <w:rPr>
                <w:rFonts w:hint="eastAsia" w:ascii="宋体" w:hAnsi="宋体"/>
                <w:szCs w:val="21"/>
                <w:lang w:eastAsia="zh-CN"/>
              </w:rPr>
              <w:t>（</w:t>
            </w:r>
            <w:r>
              <w:rPr>
                <w:rFonts w:hint="eastAsia" w:ascii="宋体" w:hAnsi="宋体"/>
                <w:szCs w:val="21"/>
                <w:lang w:val="en-US" w:eastAsia="zh-CN"/>
              </w:rPr>
              <w:t>3</w:t>
            </w:r>
            <w:r>
              <w:rPr>
                <w:rFonts w:hint="eastAsia" w:ascii="宋体" w:hAnsi="宋体"/>
                <w:szCs w:val="21"/>
                <w:lang w:eastAsia="zh-CN"/>
              </w:rPr>
              <w:t>）查询记录和证据留存方式：在查询网站中直接截图查询记录，截图作为在“广西政府采购云”平台作为附件上传保存。</w:t>
            </w:r>
          </w:p>
          <w:p w14:paraId="01C1BF98">
            <w:pPr>
              <w:snapToGrid w:val="0"/>
              <w:spacing w:line="380" w:lineRule="exact"/>
              <w:rPr>
                <w:rFonts w:hint="eastAsia" w:ascii="宋体" w:hAnsi="宋体" w:eastAsia="宋体"/>
                <w:szCs w:val="21"/>
                <w:lang w:val="en-US" w:eastAsia="zh-CN"/>
              </w:rPr>
            </w:pPr>
            <w:r>
              <w:rPr>
                <w:rFonts w:hint="eastAsia" w:ascii="宋体" w:hAnsi="宋体"/>
                <w:szCs w:val="21"/>
                <w:lang w:eastAsia="zh-CN"/>
              </w:rPr>
              <w:t>（</w:t>
            </w:r>
            <w:r>
              <w:rPr>
                <w:rFonts w:hint="eastAsia" w:ascii="宋体" w:hAnsi="宋体"/>
                <w:szCs w:val="21"/>
                <w:lang w:val="en-US" w:eastAsia="zh-CN"/>
              </w:rPr>
              <w:t>4</w:t>
            </w:r>
            <w:r>
              <w:rPr>
                <w:rFonts w:hint="eastAsia" w:ascii="宋体" w:hAnsi="宋体"/>
                <w:szCs w:val="21"/>
                <w:lang w:eastAsia="zh-CN"/>
              </w:rPr>
              <w:t>）信用信息使用规则：对在“信用中国”网站(www.creditchina.gov.cn) 、中国政府采购网(www.ccgp.gov.cn)被列入失信被执行人、重大税收违法案件当事人名单、政府采购严重违法失信行为记录名单及其他不符合《中华人民共和国政府采购法》第二十二条规定条件的供应商，采购人或者采购代理机构应当拒绝其参与政府采购活动。两个以上的自然人、法人或者其他组织组成一个联合体，以一个供应商的身份共同参加政府采购活动的，应当对所有联合体成员进行信用记录查询，联合体成员存在不良信用记录的，视同联合体存在不良信用记录。</w:t>
            </w:r>
          </w:p>
        </w:tc>
      </w:tr>
      <w:tr w14:paraId="0C56D31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75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F81188E">
            <w:pPr>
              <w:spacing w:line="300" w:lineRule="exact"/>
              <w:jc w:val="center"/>
              <w:rPr>
                <w:rFonts w:hint="eastAsia" w:ascii="Times New Roman" w:hAnsi="Times New Roman" w:eastAsia="宋体" w:cs="Times New Roman"/>
                <w:b/>
                <w:kern w:val="2"/>
                <w:sz w:val="21"/>
                <w:szCs w:val="21"/>
                <w:lang w:val="en-US" w:eastAsia="zh-CN" w:bidi="ar-SA"/>
              </w:rPr>
            </w:pPr>
            <w:r>
              <w:rPr>
                <w:rFonts w:hint="eastAsia"/>
                <w:b/>
                <w:szCs w:val="21"/>
              </w:rPr>
              <w:t>6.</w:t>
            </w:r>
            <w:r>
              <w:rPr>
                <w:b/>
                <w:szCs w:val="21"/>
              </w:rPr>
              <w:t>3</w:t>
            </w:r>
            <w:r>
              <w:rPr>
                <w:rFonts w:hint="eastAsia"/>
                <w:b/>
                <w:szCs w:val="21"/>
              </w:rPr>
              <w:t>.</w:t>
            </w:r>
            <w:r>
              <w:rPr>
                <w:b/>
                <w:szCs w:val="21"/>
              </w:rPr>
              <w:t>5</w:t>
            </w:r>
          </w:p>
        </w:tc>
        <w:tc>
          <w:tcPr>
            <w:tcW w:w="123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CF8E0F5">
            <w:pPr>
              <w:spacing w:line="300" w:lineRule="exact"/>
              <w:jc w:val="center"/>
              <w:rPr>
                <w:rFonts w:hint="eastAsia"/>
                <w:szCs w:val="21"/>
                <w:lang w:val="en-US" w:eastAsia="zh-CN"/>
              </w:rPr>
            </w:pPr>
            <w:r>
              <w:rPr>
                <w:rFonts w:hint="eastAsia"/>
                <w:szCs w:val="21"/>
                <w:lang w:val="en-US" w:eastAsia="zh-CN"/>
              </w:rPr>
              <w:t>异常低价审查</w:t>
            </w:r>
          </w:p>
          <w:p w14:paraId="1F71E171">
            <w:pPr>
              <w:spacing w:line="300" w:lineRule="exact"/>
              <w:jc w:val="center"/>
              <w:rPr>
                <w:rFonts w:hint="eastAsia" w:ascii="Times New Roman" w:hAnsi="Times New Roman" w:eastAsia="宋体" w:cs="Times New Roman"/>
                <w:kern w:val="2"/>
                <w:sz w:val="21"/>
                <w:szCs w:val="21"/>
                <w:lang w:val="en-US" w:eastAsia="zh-CN" w:bidi="ar-SA"/>
              </w:rPr>
            </w:pPr>
          </w:p>
        </w:tc>
        <w:tc>
          <w:tcPr>
            <w:tcW w:w="7229" w:type="dxa"/>
            <w:tcBorders>
              <w:top w:val="single" w:color="auto" w:sz="4" w:space="0"/>
              <w:left w:val="single" w:color="auto" w:sz="4" w:space="0"/>
              <w:bottom w:val="single" w:color="auto" w:sz="4" w:space="0"/>
              <w:right w:val="single" w:color="auto" w:sz="4" w:space="0"/>
            </w:tcBorders>
            <w:noWrap w:val="0"/>
            <w:vAlign w:val="center"/>
          </w:tcPr>
          <w:p w14:paraId="5865A420">
            <w:pPr>
              <w:spacing w:line="300" w:lineRule="exact"/>
              <w:jc w:val="left"/>
              <w:rPr>
                <w:rFonts w:hint="default"/>
                <w:color w:val="0070C0"/>
                <w:szCs w:val="21"/>
                <w:lang w:val="en-US" w:eastAsia="zh-CN"/>
              </w:rPr>
            </w:pPr>
            <w:r>
              <w:rPr>
                <w:rFonts w:hint="eastAsia"/>
                <w:szCs w:val="21"/>
                <w:lang w:val="en-US" w:eastAsia="zh-CN"/>
              </w:rPr>
              <w:t>评审中出现下列情形之一的，评审委员会应当启动异常低价响应审查程序：</w:t>
            </w:r>
          </w:p>
          <w:p w14:paraId="7EC3DC4F">
            <w:pPr>
              <w:spacing w:line="276" w:lineRule="auto"/>
              <w:rPr>
                <w:rFonts w:hint="default"/>
                <w:szCs w:val="21"/>
                <w:highlight w:val="none"/>
                <w:lang w:val="en-US" w:eastAsia="zh-CN"/>
              </w:rPr>
            </w:pPr>
            <w:r>
              <w:rPr>
                <w:rFonts w:hint="eastAsia"/>
                <w:szCs w:val="21"/>
                <w:highlight w:val="none"/>
                <w:lang w:val="en-US" w:eastAsia="zh-CN"/>
              </w:rPr>
              <w:t>（1）投标（响应）报价低于全部通过符合性审查供应商投标（响应）报价平均值65%的，即投标（响应）报价&lt;全部通过符合性审查供应商投标（响应）报价平均值×65%；</w:t>
            </w:r>
          </w:p>
          <w:p w14:paraId="3992AA4A">
            <w:pPr>
              <w:spacing w:line="276" w:lineRule="auto"/>
              <w:rPr>
                <w:rFonts w:hint="eastAsia"/>
                <w:szCs w:val="21"/>
                <w:highlight w:val="none"/>
                <w:lang w:val="en-US" w:eastAsia="zh-CN"/>
              </w:rPr>
            </w:pPr>
            <w:r>
              <w:rPr>
                <w:rFonts w:hint="eastAsia"/>
                <w:szCs w:val="21"/>
                <w:highlight w:val="none"/>
                <w:lang w:val="en-US" w:eastAsia="zh-CN"/>
              </w:rPr>
              <w:t>（2）投标（响应）报价低于通过符合性审查的次低报价供应商投标（响应）报价65%的，即投标（响应）报价&lt;通过符合性审查的次低报价供应商投标（响应）报价×65%；</w:t>
            </w:r>
          </w:p>
          <w:p w14:paraId="2D895AA7">
            <w:pPr>
              <w:spacing w:line="276" w:lineRule="auto"/>
              <w:rPr>
                <w:rFonts w:hint="eastAsia"/>
                <w:szCs w:val="21"/>
                <w:highlight w:val="none"/>
                <w:lang w:val="en-US" w:eastAsia="zh-CN"/>
              </w:rPr>
            </w:pPr>
            <w:r>
              <w:rPr>
                <w:rFonts w:hint="eastAsia"/>
                <w:szCs w:val="21"/>
                <w:highlight w:val="none"/>
                <w:lang w:val="en-US" w:eastAsia="zh-CN"/>
              </w:rPr>
              <w:t>（3）投标（响应）报价低于采购项目最高限价65%的，即投标（响应）报价&lt;采购项目最高限价×65%；</w:t>
            </w:r>
          </w:p>
          <w:p w14:paraId="0DD08688">
            <w:pPr>
              <w:spacing w:line="276" w:lineRule="auto"/>
            </w:pPr>
            <w:r>
              <w:rPr>
                <w:rFonts w:hint="eastAsia"/>
                <w:szCs w:val="21"/>
                <w:lang w:val="en-US" w:eastAsia="zh-CN"/>
              </w:rPr>
              <w:t>（4）评审委员会基于专业判断，认为供应商报价过低，有可能影响产品质量或者不能诚信履约的其他情形。</w:t>
            </w:r>
          </w:p>
        </w:tc>
      </w:tr>
      <w:tr w14:paraId="3617CAE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755" w:type="dxa"/>
            <w:tcBorders>
              <w:top w:val="single" w:color="auto" w:sz="4" w:space="0"/>
              <w:left w:val="single" w:color="auto" w:sz="4" w:space="0"/>
              <w:bottom w:val="single" w:color="auto" w:sz="4" w:space="0"/>
              <w:right w:val="single" w:color="auto" w:sz="4" w:space="0"/>
            </w:tcBorders>
            <w:noWrap w:val="0"/>
            <w:vAlign w:val="center"/>
          </w:tcPr>
          <w:p w14:paraId="226EC6D6">
            <w:pPr>
              <w:spacing w:line="300" w:lineRule="exact"/>
              <w:jc w:val="center"/>
              <w:rPr>
                <w:rFonts w:hint="eastAsia" w:eastAsia="宋体"/>
                <w:b/>
                <w:szCs w:val="21"/>
                <w:lang w:eastAsia="zh-CN"/>
              </w:rPr>
            </w:pPr>
            <w:r>
              <w:rPr>
                <w:rFonts w:hint="eastAsia"/>
                <w:b/>
                <w:szCs w:val="21"/>
              </w:rPr>
              <w:t>6.</w:t>
            </w:r>
            <w:r>
              <w:rPr>
                <w:b/>
                <w:szCs w:val="21"/>
              </w:rPr>
              <w:t>3</w:t>
            </w:r>
            <w:r>
              <w:rPr>
                <w:rFonts w:hint="eastAsia"/>
                <w:b/>
                <w:szCs w:val="21"/>
              </w:rPr>
              <w:t>.</w:t>
            </w:r>
            <w:r>
              <w:rPr>
                <w:rFonts w:hint="eastAsia"/>
                <w:b/>
                <w:szCs w:val="21"/>
                <w:lang w:val="en-US" w:eastAsia="zh-CN"/>
              </w:rPr>
              <w:t>6</w:t>
            </w:r>
          </w:p>
        </w:tc>
        <w:tc>
          <w:tcPr>
            <w:tcW w:w="1230" w:type="dxa"/>
            <w:tcBorders>
              <w:top w:val="single" w:color="auto" w:sz="4" w:space="0"/>
              <w:left w:val="single" w:color="auto" w:sz="4" w:space="0"/>
              <w:bottom w:val="single" w:color="auto" w:sz="4" w:space="0"/>
              <w:right w:val="single" w:color="auto" w:sz="4" w:space="0"/>
            </w:tcBorders>
            <w:noWrap w:val="0"/>
            <w:vAlign w:val="center"/>
          </w:tcPr>
          <w:p w14:paraId="4FC4D6BE">
            <w:pPr>
              <w:spacing w:line="300" w:lineRule="exact"/>
              <w:jc w:val="center"/>
              <w:rPr>
                <w:szCs w:val="21"/>
              </w:rPr>
            </w:pPr>
            <w:r>
              <w:rPr>
                <w:rFonts w:hint="eastAsia"/>
                <w:szCs w:val="21"/>
              </w:rPr>
              <w:t>相同品牌推荐方式</w:t>
            </w:r>
          </w:p>
        </w:tc>
        <w:tc>
          <w:tcPr>
            <w:tcW w:w="7229" w:type="dxa"/>
            <w:tcBorders>
              <w:top w:val="single" w:color="auto" w:sz="4" w:space="0"/>
              <w:left w:val="single" w:color="auto" w:sz="4" w:space="0"/>
              <w:bottom w:val="single" w:color="auto" w:sz="4" w:space="0"/>
              <w:right w:val="single" w:color="auto" w:sz="4" w:space="0"/>
            </w:tcBorders>
            <w:noWrap w:val="0"/>
            <w:vAlign w:val="center"/>
          </w:tcPr>
          <w:p w14:paraId="053E2948">
            <w:pPr>
              <w:spacing w:line="276" w:lineRule="auto"/>
              <w:rPr>
                <w:szCs w:val="21"/>
              </w:rPr>
            </w:pPr>
            <w:r>
              <w:rPr>
                <w:color w:val="auto"/>
                <w:sz w:val="22"/>
                <w:szCs w:val="22"/>
              </w:rPr>
              <w:sym w:font="Wingdings 2" w:char="F052"/>
            </w:r>
            <w:r>
              <w:rPr>
                <w:rFonts w:hint="eastAsia"/>
                <w:color w:val="auto"/>
                <w:szCs w:val="21"/>
              </w:rPr>
              <w:t>采购人委托评审委员会确定   □采购人确定</w:t>
            </w:r>
          </w:p>
        </w:tc>
      </w:tr>
      <w:tr w14:paraId="7A5357C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755" w:type="dxa"/>
            <w:tcBorders>
              <w:top w:val="single" w:color="auto" w:sz="4" w:space="0"/>
              <w:left w:val="single" w:color="auto" w:sz="4" w:space="0"/>
              <w:bottom w:val="single" w:color="auto" w:sz="4" w:space="0"/>
              <w:right w:val="single" w:color="auto" w:sz="4" w:space="0"/>
            </w:tcBorders>
            <w:noWrap w:val="0"/>
            <w:vAlign w:val="center"/>
          </w:tcPr>
          <w:p w14:paraId="64C9C4FF">
            <w:pPr>
              <w:spacing w:line="300" w:lineRule="exact"/>
              <w:jc w:val="center"/>
              <w:rPr>
                <w:b/>
                <w:szCs w:val="21"/>
              </w:rPr>
            </w:pPr>
            <w:r>
              <w:rPr>
                <w:b/>
                <w:szCs w:val="21"/>
              </w:rPr>
              <w:t>6.5</w:t>
            </w:r>
            <w:r>
              <w:rPr>
                <w:rFonts w:hint="eastAsia"/>
                <w:b/>
                <w:szCs w:val="21"/>
              </w:rPr>
              <w:t>.1</w:t>
            </w:r>
          </w:p>
        </w:tc>
        <w:tc>
          <w:tcPr>
            <w:tcW w:w="1230" w:type="dxa"/>
            <w:tcBorders>
              <w:top w:val="single" w:color="auto" w:sz="4" w:space="0"/>
              <w:left w:val="single" w:color="auto" w:sz="4" w:space="0"/>
              <w:bottom w:val="single" w:color="auto" w:sz="4" w:space="0"/>
              <w:right w:val="single" w:color="auto" w:sz="4" w:space="0"/>
            </w:tcBorders>
            <w:noWrap w:val="0"/>
            <w:vAlign w:val="center"/>
          </w:tcPr>
          <w:p w14:paraId="60008721">
            <w:pPr>
              <w:spacing w:line="300" w:lineRule="exact"/>
              <w:jc w:val="center"/>
              <w:rPr>
                <w:szCs w:val="21"/>
              </w:rPr>
            </w:pPr>
            <w:r>
              <w:rPr>
                <w:rFonts w:hint="eastAsia"/>
                <w:szCs w:val="21"/>
              </w:rPr>
              <w:t>结果</w:t>
            </w:r>
            <w:r>
              <w:rPr>
                <w:szCs w:val="21"/>
              </w:rPr>
              <w:t>公告</w:t>
            </w:r>
          </w:p>
        </w:tc>
        <w:tc>
          <w:tcPr>
            <w:tcW w:w="7229" w:type="dxa"/>
            <w:tcBorders>
              <w:top w:val="single" w:color="auto" w:sz="4" w:space="0"/>
              <w:left w:val="single" w:color="auto" w:sz="4" w:space="0"/>
              <w:bottom w:val="single" w:color="auto" w:sz="4" w:space="0"/>
              <w:right w:val="single" w:color="auto" w:sz="4" w:space="0"/>
            </w:tcBorders>
            <w:noWrap w:val="0"/>
            <w:vAlign w:val="center"/>
          </w:tcPr>
          <w:p w14:paraId="3FCB05E6">
            <w:pPr>
              <w:spacing w:line="300" w:lineRule="exact"/>
              <w:jc w:val="left"/>
              <w:rPr>
                <w:szCs w:val="21"/>
              </w:rPr>
            </w:pPr>
            <w:r>
              <w:rPr>
                <w:szCs w:val="21"/>
              </w:rPr>
              <w:t>采购代理机构在采购人依法确认中标人后2个工作日内在招标公告发布的媒体上发布</w:t>
            </w:r>
            <w:r>
              <w:rPr>
                <w:rFonts w:hint="eastAsia"/>
                <w:szCs w:val="21"/>
              </w:rPr>
              <w:t>结果</w:t>
            </w:r>
            <w:r>
              <w:rPr>
                <w:szCs w:val="21"/>
              </w:rPr>
              <w:t>公告</w:t>
            </w:r>
            <w:r>
              <w:rPr>
                <w:rFonts w:hint="eastAsia"/>
                <w:szCs w:val="21"/>
              </w:rPr>
              <w:t>。</w:t>
            </w:r>
          </w:p>
        </w:tc>
      </w:tr>
      <w:tr w14:paraId="291667A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755" w:type="dxa"/>
            <w:tcBorders>
              <w:top w:val="single" w:color="auto" w:sz="4" w:space="0"/>
              <w:left w:val="single" w:color="auto" w:sz="4" w:space="0"/>
              <w:bottom w:val="single" w:color="auto" w:sz="4" w:space="0"/>
              <w:right w:val="single" w:color="auto" w:sz="4" w:space="0"/>
            </w:tcBorders>
            <w:noWrap w:val="0"/>
            <w:vAlign w:val="center"/>
          </w:tcPr>
          <w:p w14:paraId="68D4D2C2">
            <w:pPr>
              <w:spacing w:line="300" w:lineRule="exact"/>
              <w:jc w:val="center"/>
              <w:rPr>
                <w:b/>
                <w:szCs w:val="21"/>
              </w:rPr>
            </w:pPr>
            <w:r>
              <w:rPr>
                <w:b/>
                <w:szCs w:val="21"/>
              </w:rPr>
              <w:t>6.5.2</w:t>
            </w:r>
          </w:p>
        </w:tc>
        <w:tc>
          <w:tcPr>
            <w:tcW w:w="1230" w:type="dxa"/>
            <w:tcBorders>
              <w:top w:val="single" w:color="auto" w:sz="4" w:space="0"/>
              <w:left w:val="single" w:color="auto" w:sz="4" w:space="0"/>
              <w:bottom w:val="single" w:color="auto" w:sz="4" w:space="0"/>
              <w:right w:val="single" w:color="auto" w:sz="4" w:space="0"/>
            </w:tcBorders>
            <w:noWrap w:val="0"/>
            <w:vAlign w:val="center"/>
          </w:tcPr>
          <w:p w14:paraId="1B421C90">
            <w:pPr>
              <w:spacing w:line="300" w:lineRule="exact"/>
              <w:jc w:val="center"/>
              <w:rPr>
                <w:szCs w:val="21"/>
              </w:rPr>
            </w:pPr>
            <w:r>
              <w:rPr>
                <w:rFonts w:hint="eastAsia"/>
                <w:szCs w:val="21"/>
              </w:rPr>
              <w:t>中标通知书</w:t>
            </w:r>
          </w:p>
        </w:tc>
        <w:tc>
          <w:tcPr>
            <w:tcW w:w="7229" w:type="dxa"/>
            <w:tcBorders>
              <w:top w:val="single" w:color="auto" w:sz="4" w:space="0"/>
              <w:left w:val="single" w:color="auto" w:sz="4" w:space="0"/>
              <w:bottom w:val="single" w:color="auto" w:sz="4" w:space="0"/>
              <w:right w:val="single" w:color="auto" w:sz="4" w:space="0"/>
            </w:tcBorders>
            <w:noWrap w:val="0"/>
            <w:vAlign w:val="center"/>
          </w:tcPr>
          <w:p w14:paraId="02AE24D8">
            <w:pPr>
              <w:spacing w:line="300" w:lineRule="exact"/>
              <w:jc w:val="left"/>
              <w:rPr>
                <w:szCs w:val="21"/>
              </w:rPr>
            </w:pPr>
            <w:r>
              <w:rPr>
                <w:rFonts w:hint="eastAsia"/>
                <w:szCs w:val="21"/>
              </w:rPr>
              <w:t>采购代理机构通过广西政府采购云平台发出</w:t>
            </w:r>
            <w:r>
              <w:rPr>
                <w:szCs w:val="21"/>
              </w:rPr>
              <w:t>中标通知书。</w:t>
            </w:r>
          </w:p>
          <w:p w14:paraId="517E6667">
            <w:pPr>
              <w:spacing w:line="300" w:lineRule="exact"/>
              <w:jc w:val="left"/>
              <w:rPr>
                <w:szCs w:val="21"/>
              </w:rPr>
            </w:pPr>
            <w:r>
              <w:rPr>
                <w:rFonts w:hint="eastAsia"/>
                <w:szCs w:val="21"/>
              </w:rPr>
              <w:t>中标通知书在广西政府采购云平台推送之日起，视为中标人已收到，中标人自行承担未及时查收的后果。</w:t>
            </w:r>
          </w:p>
        </w:tc>
      </w:tr>
      <w:tr w14:paraId="494AEB4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755" w:type="dxa"/>
            <w:tcBorders>
              <w:top w:val="single" w:color="auto" w:sz="4" w:space="0"/>
              <w:left w:val="single" w:color="auto" w:sz="4" w:space="0"/>
              <w:bottom w:val="single" w:color="auto" w:sz="4" w:space="0"/>
              <w:right w:val="single" w:color="auto" w:sz="4" w:space="0"/>
            </w:tcBorders>
            <w:noWrap w:val="0"/>
            <w:vAlign w:val="center"/>
          </w:tcPr>
          <w:p w14:paraId="69A2227D">
            <w:pPr>
              <w:spacing w:line="300" w:lineRule="exact"/>
              <w:jc w:val="center"/>
              <w:rPr>
                <w:b/>
                <w:szCs w:val="21"/>
              </w:rPr>
            </w:pPr>
            <w:r>
              <w:rPr>
                <w:b/>
                <w:szCs w:val="21"/>
              </w:rPr>
              <w:t>6.5.3</w:t>
            </w:r>
          </w:p>
        </w:tc>
        <w:tc>
          <w:tcPr>
            <w:tcW w:w="1230" w:type="dxa"/>
            <w:tcBorders>
              <w:top w:val="single" w:color="auto" w:sz="4" w:space="0"/>
              <w:left w:val="single" w:color="auto" w:sz="4" w:space="0"/>
              <w:bottom w:val="single" w:color="auto" w:sz="4" w:space="0"/>
              <w:right w:val="single" w:color="auto" w:sz="4" w:space="0"/>
            </w:tcBorders>
            <w:noWrap w:val="0"/>
            <w:vAlign w:val="center"/>
          </w:tcPr>
          <w:p w14:paraId="2AC1A416">
            <w:pPr>
              <w:spacing w:line="300" w:lineRule="exact"/>
              <w:jc w:val="center"/>
              <w:rPr>
                <w:szCs w:val="21"/>
              </w:rPr>
            </w:pPr>
            <w:r>
              <w:rPr>
                <w:rFonts w:hint="eastAsia"/>
                <w:szCs w:val="21"/>
              </w:rPr>
              <w:t>招标结果通知书</w:t>
            </w:r>
          </w:p>
        </w:tc>
        <w:tc>
          <w:tcPr>
            <w:tcW w:w="7229" w:type="dxa"/>
            <w:tcBorders>
              <w:top w:val="single" w:color="auto" w:sz="4" w:space="0"/>
              <w:left w:val="single" w:color="auto" w:sz="4" w:space="0"/>
              <w:bottom w:val="single" w:color="auto" w:sz="4" w:space="0"/>
              <w:right w:val="single" w:color="auto" w:sz="4" w:space="0"/>
            </w:tcBorders>
            <w:noWrap w:val="0"/>
            <w:vAlign w:val="center"/>
          </w:tcPr>
          <w:p w14:paraId="68370505">
            <w:pPr>
              <w:spacing w:line="300" w:lineRule="exact"/>
              <w:jc w:val="left"/>
              <w:rPr>
                <w:szCs w:val="21"/>
              </w:rPr>
            </w:pPr>
            <w:r>
              <w:rPr>
                <w:rFonts w:hint="eastAsia"/>
                <w:szCs w:val="21"/>
              </w:rPr>
              <w:t>采购代理机构通过</w:t>
            </w:r>
            <w:r>
              <w:rPr>
                <w:rFonts w:ascii="Arial" w:hAnsi="Arial" w:cs="Arial"/>
                <w:kern w:val="0"/>
                <w:szCs w:val="21"/>
              </w:rPr>
              <w:t>广西政府采购云平台</w:t>
            </w:r>
            <w:r>
              <w:rPr>
                <w:rFonts w:hint="eastAsia"/>
                <w:szCs w:val="21"/>
              </w:rPr>
              <w:t>发出招标结果</w:t>
            </w:r>
            <w:r>
              <w:rPr>
                <w:szCs w:val="21"/>
              </w:rPr>
              <w:t>通知书</w:t>
            </w:r>
          </w:p>
          <w:p w14:paraId="2355E840">
            <w:pPr>
              <w:spacing w:line="300" w:lineRule="exact"/>
              <w:jc w:val="left"/>
              <w:rPr>
                <w:szCs w:val="21"/>
              </w:rPr>
            </w:pPr>
            <w:r>
              <w:rPr>
                <w:rFonts w:hint="eastAsia"/>
                <w:szCs w:val="21"/>
              </w:rPr>
              <w:t>招标结果通知书在广西政府采购云平台推送之日起，视为中标人已收到，中标人自行承担未及时查收的后果。</w:t>
            </w:r>
          </w:p>
        </w:tc>
      </w:tr>
      <w:tr w14:paraId="145EC55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755" w:type="dxa"/>
            <w:tcBorders>
              <w:top w:val="single" w:color="auto" w:sz="4" w:space="0"/>
              <w:left w:val="single" w:color="auto" w:sz="4" w:space="0"/>
              <w:bottom w:val="single" w:color="auto" w:sz="4" w:space="0"/>
              <w:right w:val="single" w:color="auto" w:sz="4" w:space="0"/>
            </w:tcBorders>
            <w:noWrap w:val="0"/>
            <w:vAlign w:val="center"/>
          </w:tcPr>
          <w:p w14:paraId="3494EE7A">
            <w:pPr>
              <w:spacing w:line="300" w:lineRule="exact"/>
              <w:jc w:val="center"/>
              <w:rPr>
                <w:b/>
                <w:szCs w:val="21"/>
              </w:rPr>
            </w:pPr>
            <w:r>
              <w:rPr>
                <w:b/>
                <w:szCs w:val="21"/>
              </w:rPr>
              <w:t>8.1</w:t>
            </w:r>
          </w:p>
        </w:tc>
        <w:tc>
          <w:tcPr>
            <w:tcW w:w="1230" w:type="dxa"/>
            <w:tcBorders>
              <w:top w:val="single" w:color="auto" w:sz="4" w:space="0"/>
              <w:left w:val="single" w:color="auto" w:sz="4" w:space="0"/>
              <w:bottom w:val="single" w:color="auto" w:sz="4" w:space="0"/>
              <w:right w:val="single" w:color="auto" w:sz="4" w:space="0"/>
            </w:tcBorders>
            <w:noWrap w:val="0"/>
            <w:vAlign w:val="center"/>
          </w:tcPr>
          <w:p w14:paraId="5E2EE85E">
            <w:pPr>
              <w:spacing w:line="300" w:lineRule="exact"/>
              <w:jc w:val="center"/>
              <w:rPr>
                <w:szCs w:val="21"/>
              </w:rPr>
            </w:pPr>
            <w:r>
              <w:rPr>
                <w:rFonts w:hint="eastAsia"/>
                <w:szCs w:val="21"/>
              </w:rPr>
              <w:t>质疑</w:t>
            </w:r>
          </w:p>
        </w:tc>
        <w:tc>
          <w:tcPr>
            <w:tcW w:w="7229" w:type="dxa"/>
            <w:tcBorders>
              <w:top w:val="single" w:color="auto" w:sz="4" w:space="0"/>
              <w:left w:val="single" w:color="auto" w:sz="4" w:space="0"/>
              <w:bottom w:val="single" w:color="auto" w:sz="4" w:space="0"/>
              <w:right w:val="single" w:color="auto" w:sz="4" w:space="0"/>
            </w:tcBorders>
            <w:noWrap w:val="0"/>
            <w:vAlign w:val="center"/>
          </w:tcPr>
          <w:p w14:paraId="6D1C98D8">
            <w:pPr>
              <w:spacing w:line="300" w:lineRule="exact"/>
              <w:jc w:val="left"/>
              <w:rPr>
                <w:szCs w:val="21"/>
              </w:rPr>
            </w:pPr>
            <w:r>
              <w:rPr>
                <w:rFonts w:hint="eastAsia"/>
                <w:szCs w:val="21"/>
              </w:rPr>
              <w:t>（1）供应商</w:t>
            </w:r>
            <w:r>
              <w:rPr>
                <w:szCs w:val="21"/>
              </w:rPr>
              <w:t>认为</w:t>
            </w:r>
            <w:r>
              <w:rPr>
                <w:rFonts w:hint="eastAsia"/>
                <w:szCs w:val="21"/>
              </w:rPr>
              <w:t>招标文件</w:t>
            </w:r>
            <w:r>
              <w:rPr>
                <w:szCs w:val="21"/>
              </w:rPr>
              <w:t>、</w:t>
            </w:r>
            <w:r>
              <w:rPr>
                <w:rFonts w:hint="eastAsia"/>
                <w:szCs w:val="21"/>
              </w:rPr>
              <w:t>采购</w:t>
            </w:r>
            <w:r>
              <w:rPr>
                <w:szCs w:val="21"/>
              </w:rPr>
              <w:t>过程、中标</w:t>
            </w:r>
            <w:r>
              <w:rPr>
                <w:rFonts w:hint="eastAsia"/>
                <w:szCs w:val="21"/>
              </w:rPr>
              <w:t>或者成交</w:t>
            </w:r>
            <w:r>
              <w:rPr>
                <w:szCs w:val="21"/>
              </w:rPr>
              <w:t>结果使自己的权益受到损害的，可以在知道或者应知其权益受到损害之日起7个工作日内，</w:t>
            </w:r>
            <w:r>
              <w:rPr>
                <w:rFonts w:hint="eastAsia"/>
                <w:szCs w:val="21"/>
              </w:rPr>
              <w:t>通过以下方式</w:t>
            </w:r>
            <w:r>
              <w:rPr>
                <w:szCs w:val="21"/>
              </w:rPr>
              <w:t>向采购人、采购代理机构提出质疑。提出质疑的</w:t>
            </w:r>
            <w:r>
              <w:rPr>
                <w:rFonts w:hint="eastAsia"/>
                <w:szCs w:val="21"/>
              </w:rPr>
              <w:t>供应商</w:t>
            </w:r>
            <w:r>
              <w:rPr>
                <w:szCs w:val="21"/>
              </w:rPr>
              <w:t>必须是参与本项目采购活动的供应商</w:t>
            </w:r>
            <w:r>
              <w:rPr>
                <w:rFonts w:hint="eastAsia"/>
                <w:szCs w:val="21"/>
              </w:rPr>
              <w:t>，并须在</w:t>
            </w:r>
            <w:r>
              <w:rPr>
                <w:szCs w:val="21"/>
              </w:rPr>
              <w:t>法定质疑期内一次性提出针对同一采购程序环节的质疑。质疑函应使用财政部发布的</w:t>
            </w:r>
            <w:r>
              <w:rPr>
                <w:rFonts w:hint="eastAsia"/>
                <w:szCs w:val="21"/>
              </w:rPr>
              <w:t>政府采购供应商质疑函范本，并应按照“质疑函制作说明”进行制作。</w:t>
            </w:r>
          </w:p>
          <w:p w14:paraId="31C48BE8">
            <w:pPr>
              <w:spacing w:line="300" w:lineRule="exact"/>
              <w:jc w:val="left"/>
              <w:rPr>
                <w:szCs w:val="21"/>
              </w:rPr>
            </w:pPr>
            <w:r>
              <w:rPr>
                <w:rFonts w:hint="eastAsia"/>
                <w:szCs w:val="21"/>
              </w:rPr>
              <w:t>（2）</w:t>
            </w:r>
            <w:r>
              <w:rPr>
                <w:szCs w:val="21"/>
              </w:rPr>
              <w:t>本项目不接受传真、移动通信</w:t>
            </w:r>
            <w:r>
              <w:rPr>
                <w:rFonts w:hint="eastAsia"/>
                <w:szCs w:val="21"/>
              </w:rPr>
              <w:t>、广西政府采购云平台</w:t>
            </w:r>
            <w:r>
              <w:rPr>
                <w:szCs w:val="21"/>
              </w:rPr>
              <w:t>等</w:t>
            </w:r>
            <w:r>
              <w:rPr>
                <w:rFonts w:hint="eastAsia"/>
                <w:szCs w:val="21"/>
              </w:rPr>
              <w:t>方式</w:t>
            </w:r>
            <w:r>
              <w:rPr>
                <w:szCs w:val="21"/>
              </w:rPr>
              <w:t>送达的质疑材料</w:t>
            </w:r>
            <w:r>
              <w:rPr>
                <w:rFonts w:hint="eastAsia"/>
                <w:szCs w:val="21"/>
              </w:rPr>
              <w:t>，供应商可通过现场或邮寄方式递交书面质疑材料。供应商应于质疑有效期内将质疑函原件递交或邮寄至招标公告中采购代理机构信息中的联系人。</w:t>
            </w:r>
          </w:p>
        </w:tc>
      </w:tr>
      <w:tr w14:paraId="37A7842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30" w:hRule="atLeast"/>
        </w:trPr>
        <w:tc>
          <w:tcPr>
            <w:tcW w:w="755" w:type="dxa"/>
            <w:tcBorders>
              <w:top w:val="single" w:color="auto" w:sz="4" w:space="0"/>
              <w:left w:val="single" w:color="auto" w:sz="4" w:space="0"/>
              <w:bottom w:val="single" w:color="auto" w:sz="4" w:space="0"/>
              <w:right w:val="single" w:color="auto" w:sz="4" w:space="0"/>
            </w:tcBorders>
            <w:noWrap w:val="0"/>
            <w:vAlign w:val="center"/>
          </w:tcPr>
          <w:p w14:paraId="6220DFF9">
            <w:pPr>
              <w:spacing w:line="300" w:lineRule="exact"/>
              <w:jc w:val="center"/>
              <w:rPr>
                <w:b/>
                <w:szCs w:val="21"/>
              </w:rPr>
            </w:pPr>
            <w:r>
              <w:rPr>
                <w:b/>
                <w:szCs w:val="21"/>
              </w:rPr>
              <w:t>9.1</w:t>
            </w:r>
          </w:p>
        </w:tc>
        <w:tc>
          <w:tcPr>
            <w:tcW w:w="1230" w:type="dxa"/>
            <w:tcBorders>
              <w:top w:val="single" w:color="auto" w:sz="4" w:space="0"/>
              <w:left w:val="single" w:color="auto" w:sz="4" w:space="0"/>
              <w:bottom w:val="single" w:color="auto" w:sz="4" w:space="0"/>
              <w:right w:val="single" w:color="auto" w:sz="4" w:space="0"/>
            </w:tcBorders>
            <w:noWrap w:val="0"/>
            <w:vAlign w:val="center"/>
          </w:tcPr>
          <w:p w14:paraId="1BCC00E2">
            <w:pPr>
              <w:spacing w:line="300" w:lineRule="exact"/>
              <w:jc w:val="center"/>
              <w:rPr>
                <w:rFonts w:hint="eastAsia" w:eastAsia="宋体"/>
                <w:color w:val="auto"/>
                <w:szCs w:val="21"/>
                <w:lang w:eastAsia="zh-CN"/>
              </w:rPr>
            </w:pPr>
            <w:r>
              <w:rPr>
                <w:color w:val="auto"/>
                <w:szCs w:val="20"/>
              </w:rPr>
              <w:t>代理服务费</w:t>
            </w:r>
          </w:p>
        </w:tc>
        <w:tc>
          <w:tcPr>
            <w:tcW w:w="7229" w:type="dxa"/>
            <w:tcBorders>
              <w:top w:val="single" w:color="auto" w:sz="4" w:space="0"/>
              <w:left w:val="single" w:color="auto" w:sz="4" w:space="0"/>
              <w:bottom w:val="single" w:color="auto" w:sz="4" w:space="0"/>
              <w:right w:val="single" w:color="auto" w:sz="4" w:space="0"/>
            </w:tcBorders>
            <w:noWrap w:val="0"/>
            <w:vAlign w:val="center"/>
          </w:tcPr>
          <w:p w14:paraId="3BA078DD">
            <w:pPr>
              <w:rPr>
                <w:color w:val="auto"/>
                <w:szCs w:val="21"/>
              </w:rPr>
            </w:pPr>
            <w:r>
              <w:rPr>
                <w:color w:val="auto"/>
                <w:szCs w:val="21"/>
              </w:rPr>
              <w:t>（1）</w:t>
            </w:r>
            <w:r>
              <w:rPr>
                <w:color w:val="auto"/>
                <w:szCs w:val="20"/>
              </w:rPr>
              <w:t>代理服务费</w:t>
            </w:r>
          </w:p>
          <w:p w14:paraId="61AA3C50">
            <w:pPr>
              <w:spacing w:line="300" w:lineRule="exact"/>
              <w:jc w:val="left"/>
              <w:rPr>
                <w:color w:val="auto"/>
                <w:szCs w:val="21"/>
              </w:rPr>
            </w:pPr>
            <w:r>
              <w:rPr>
                <w:color w:val="auto"/>
                <w:szCs w:val="21"/>
              </w:rPr>
              <w:t>采购代理机构向中标人收取代理服务费。本项目代理服务费</w:t>
            </w:r>
            <w:r>
              <w:rPr>
                <w:rFonts w:hint="eastAsia"/>
                <w:color w:val="auto"/>
                <w:szCs w:val="21"/>
              </w:rPr>
              <w:t>按照</w:t>
            </w:r>
            <w:r>
              <w:rPr>
                <w:color w:val="auto"/>
                <w:szCs w:val="21"/>
              </w:rPr>
              <w:t>《国家发展改革委关于降低部分建设项目收费标准规范收费行为等有关问题的通知》(发改价格﹝2011﹞534号)</w:t>
            </w:r>
            <w:r>
              <w:rPr>
                <w:rFonts w:hint="eastAsia"/>
                <w:color w:val="auto"/>
                <w:szCs w:val="21"/>
              </w:rPr>
              <w:t>的</w:t>
            </w:r>
            <w:r>
              <w:rPr>
                <w:color w:val="auto"/>
                <w:szCs w:val="21"/>
              </w:rPr>
              <w:t>规定</w:t>
            </w:r>
            <w:r>
              <w:rPr>
                <w:rFonts w:hint="eastAsia"/>
                <w:color w:val="auto"/>
                <w:szCs w:val="21"/>
              </w:rPr>
              <w:t>采用</w:t>
            </w:r>
            <w:r>
              <w:rPr>
                <w:color w:val="auto"/>
                <w:szCs w:val="21"/>
              </w:rPr>
              <w:t>差额定率累进</w:t>
            </w:r>
            <w:r>
              <w:rPr>
                <w:rFonts w:hint="eastAsia"/>
                <w:color w:val="auto"/>
                <w:szCs w:val="21"/>
              </w:rPr>
              <w:t>法</w:t>
            </w:r>
            <w:r>
              <w:rPr>
                <w:color w:val="auto"/>
                <w:szCs w:val="21"/>
              </w:rPr>
              <w:t>计算</w:t>
            </w:r>
            <w:r>
              <w:rPr>
                <w:rFonts w:hint="eastAsia"/>
                <w:color w:val="auto"/>
                <w:szCs w:val="21"/>
              </w:rPr>
              <w:t>。</w:t>
            </w:r>
            <w:r>
              <w:rPr>
                <w:color w:val="auto"/>
                <w:szCs w:val="21"/>
              </w:rPr>
              <w:t>具体费率</w:t>
            </w:r>
            <w:r>
              <w:rPr>
                <w:rFonts w:hint="eastAsia"/>
                <w:color w:val="auto"/>
                <w:szCs w:val="21"/>
              </w:rPr>
              <w:t>如下：</w:t>
            </w:r>
          </w:p>
          <w:p w14:paraId="5A099856">
            <w:pPr>
              <w:spacing w:line="300" w:lineRule="exact"/>
              <w:jc w:val="left"/>
              <w:rPr>
                <w:color w:val="auto"/>
                <w:szCs w:val="21"/>
              </w:rPr>
            </w:pPr>
            <w:r>
              <w:rPr>
                <w:rFonts w:hint="eastAsia"/>
                <w:color w:val="auto"/>
                <w:szCs w:val="21"/>
              </w:rPr>
              <w:t>①中标金额在1</w:t>
            </w:r>
            <w:r>
              <w:rPr>
                <w:color w:val="auto"/>
                <w:szCs w:val="21"/>
              </w:rPr>
              <w:t>00</w:t>
            </w:r>
            <w:r>
              <w:rPr>
                <w:rFonts w:hint="eastAsia"/>
                <w:color w:val="auto"/>
                <w:szCs w:val="21"/>
              </w:rPr>
              <w:t>万元以下的：</w:t>
            </w:r>
          </w:p>
          <w:p w14:paraId="3BB96527">
            <w:pPr>
              <w:spacing w:line="300" w:lineRule="exact"/>
              <w:jc w:val="left"/>
              <w:rPr>
                <w:color w:val="auto"/>
                <w:szCs w:val="21"/>
              </w:rPr>
            </w:pPr>
            <w:r>
              <w:rPr>
                <w:rFonts w:hint="eastAsia"/>
                <w:color w:val="auto"/>
                <w:szCs w:val="21"/>
              </w:rPr>
              <w:t>货物</w:t>
            </w:r>
            <w:r>
              <w:rPr>
                <w:color w:val="auto"/>
                <w:szCs w:val="21"/>
              </w:rPr>
              <w:t>1.5％</w:t>
            </w:r>
            <w:r>
              <w:rPr>
                <w:rFonts w:hint="eastAsia"/>
                <w:color w:val="auto"/>
                <w:szCs w:val="21"/>
              </w:rPr>
              <w:t>；</w:t>
            </w:r>
            <w:r>
              <w:rPr>
                <w:color w:val="auto"/>
                <w:szCs w:val="21"/>
              </w:rPr>
              <w:t>服务招标1.5％</w:t>
            </w:r>
            <w:r>
              <w:rPr>
                <w:rFonts w:hint="eastAsia"/>
                <w:color w:val="auto"/>
                <w:szCs w:val="21"/>
              </w:rPr>
              <w:t>；</w:t>
            </w:r>
            <w:r>
              <w:rPr>
                <w:color w:val="auto"/>
                <w:szCs w:val="21"/>
              </w:rPr>
              <w:t>工程招标1.0％</w:t>
            </w:r>
            <w:r>
              <w:rPr>
                <w:rFonts w:hint="eastAsia"/>
                <w:color w:val="auto"/>
                <w:szCs w:val="21"/>
              </w:rPr>
              <w:t>；</w:t>
            </w:r>
          </w:p>
          <w:p w14:paraId="18879C03">
            <w:pPr>
              <w:spacing w:line="300" w:lineRule="exact"/>
              <w:jc w:val="left"/>
              <w:rPr>
                <w:color w:val="auto"/>
                <w:szCs w:val="21"/>
              </w:rPr>
            </w:pPr>
            <w:r>
              <w:rPr>
                <w:rFonts w:hint="eastAsia"/>
                <w:color w:val="auto"/>
                <w:szCs w:val="21"/>
              </w:rPr>
              <w:t>②中标金额在</w:t>
            </w:r>
            <w:r>
              <w:rPr>
                <w:color w:val="auto"/>
                <w:szCs w:val="21"/>
              </w:rPr>
              <w:t>100-500</w:t>
            </w:r>
            <w:r>
              <w:rPr>
                <w:rFonts w:hint="eastAsia"/>
                <w:color w:val="auto"/>
                <w:szCs w:val="21"/>
              </w:rPr>
              <w:t>万元之间：</w:t>
            </w:r>
          </w:p>
          <w:p w14:paraId="34A263CA">
            <w:pPr>
              <w:spacing w:line="300" w:lineRule="exact"/>
              <w:jc w:val="left"/>
              <w:rPr>
                <w:color w:val="auto"/>
                <w:szCs w:val="21"/>
              </w:rPr>
            </w:pPr>
            <w:r>
              <w:rPr>
                <w:rFonts w:hint="eastAsia"/>
                <w:color w:val="auto"/>
                <w:szCs w:val="21"/>
              </w:rPr>
              <w:t>货物</w:t>
            </w:r>
            <w:r>
              <w:rPr>
                <w:color w:val="auto"/>
                <w:szCs w:val="21"/>
              </w:rPr>
              <w:t>1.1％</w:t>
            </w:r>
            <w:r>
              <w:rPr>
                <w:rFonts w:hint="eastAsia"/>
                <w:color w:val="auto"/>
                <w:szCs w:val="21"/>
              </w:rPr>
              <w:t>；</w:t>
            </w:r>
            <w:r>
              <w:rPr>
                <w:color w:val="auto"/>
                <w:szCs w:val="21"/>
              </w:rPr>
              <w:t>服务招标0.8％</w:t>
            </w:r>
            <w:r>
              <w:rPr>
                <w:rFonts w:hint="eastAsia"/>
                <w:color w:val="auto"/>
                <w:szCs w:val="21"/>
              </w:rPr>
              <w:t>；</w:t>
            </w:r>
            <w:r>
              <w:rPr>
                <w:color w:val="auto"/>
                <w:szCs w:val="21"/>
              </w:rPr>
              <w:t>工程招标0.7％</w:t>
            </w:r>
            <w:r>
              <w:rPr>
                <w:rFonts w:hint="eastAsia"/>
                <w:color w:val="auto"/>
                <w:szCs w:val="21"/>
              </w:rPr>
              <w:t>；</w:t>
            </w:r>
          </w:p>
          <w:p w14:paraId="710B8E9D">
            <w:pPr>
              <w:spacing w:line="300" w:lineRule="exact"/>
              <w:jc w:val="left"/>
              <w:rPr>
                <w:color w:val="auto"/>
                <w:szCs w:val="21"/>
              </w:rPr>
            </w:pPr>
            <w:r>
              <w:rPr>
                <w:rFonts w:hint="eastAsia"/>
                <w:color w:val="auto"/>
                <w:szCs w:val="21"/>
              </w:rPr>
              <w:t>③中标金额在</w:t>
            </w:r>
            <w:r>
              <w:rPr>
                <w:color w:val="auto"/>
                <w:szCs w:val="21"/>
              </w:rPr>
              <w:t>5</w:t>
            </w:r>
            <w:r>
              <w:rPr>
                <w:rFonts w:hint="eastAsia"/>
                <w:color w:val="auto"/>
                <w:szCs w:val="21"/>
              </w:rPr>
              <w:t>0</w:t>
            </w:r>
            <w:r>
              <w:rPr>
                <w:color w:val="auto"/>
                <w:szCs w:val="21"/>
              </w:rPr>
              <w:t>0-1</w:t>
            </w:r>
            <w:r>
              <w:rPr>
                <w:rFonts w:hint="eastAsia"/>
                <w:color w:val="auto"/>
                <w:szCs w:val="21"/>
              </w:rPr>
              <w:t>00</w:t>
            </w:r>
            <w:r>
              <w:rPr>
                <w:color w:val="auto"/>
                <w:szCs w:val="21"/>
              </w:rPr>
              <w:t>0</w:t>
            </w:r>
            <w:r>
              <w:rPr>
                <w:rFonts w:hint="eastAsia"/>
                <w:color w:val="auto"/>
                <w:szCs w:val="21"/>
              </w:rPr>
              <w:t>万元之间：</w:t>
            </w:r>
          </w:p>
          <w:p w14:paraId="79F1859F">
            <w:pPr>
              <w:spacing w:line="300" w:lineRule="exact"/>
              <w:jc w:val="left"/>
              <w:rPr>
                <w:color w:val="auto"/>
                <w:szCs w:val="21"/>
              </w:rPr>
            </w:pPr>
            <w:r>
              <w:rPr>
                <w:rFonts w:hint="eastAsia"/>
                <w:color w:val="auto"/>
                <w:szCs w:val="21"/>
              </w:rPr>
              <w:t>货物</w:t>
            </w:r>
            <w:r>
              <w:rPr>
                <w:color w:val="auto"/>
                <w:szCs w:val="21"/>
              </w:rPr>
              <w:t>0.8％</w:t>
            </w:r>
            <w:r>
              <w:rPr>
                <w:rFonts w:hint="eastAsia"/>
                <w:color w:val="auto"/>
                <w:szCs w:val="21"/>
              </w:rPr>
              <w:t>；</w:t>
            </w:r>
            <w:r>
              <w:rPr>
                <w:color w:val="auto"/>
                <w:szCs w:val="21"/>
              </w:rPr>
              <w:t>服务招标0.45％</w:t>
            </w:r>
            <w:r>
              <w:rPr>
                <w:rFonts w:hint="eastAsia"/>
                <w:color w:val="auto"/>
                <w:szCs w:val="21"/>
              </w:rPr>
              <w:t>；</w:t>
            </w:r>
            <w:r>
              <w:rPr>
                <w:color w:val="auto"/>
                <w:szCs w:val="21"/>
              </w:rPr>
              <w:t>工程招标0.55％</w:t>
            </w:r>
            <w:r>
              <w:rPr>
                <w:rFonts w:hint="eastAsia"/>
                <w:color w:val="auto"/>
                <w:szCs w:val="21"/>
              </w:rPr>
              <w:t>；</w:t>
            </w:r>
          </w:p>
          <w:p w14:paraId="6EC2FAB8">
            <w:pPr>
              <w:spacing w:line="300" w:lineRule="exact"/>
              <w:jc w:val="left"/>
              <w:rPr>
                <w:color w:val="auto"/>
                <w:szCs w:val="21"/>
              </w:rPr>
            </w:pPr>
            <w:r>
              <w:rPr>
                <w:rFonts w:hint="eastAsia"/>
                <w:color w:val="auto"/>
                <w:szCs w:val="21"/>
              </w:rPr>
              <w:t>④中标金额在</w:t>
            </w:r>
            <w:r>
              <w:rPr>
                <w:color w:val="auto"/>
                <w:szCs w:val="21"/>
              </w:rPr>
              <w:t>1000-5000</w:t>
            </w:r>
            <w:r>
              <w:rPr>
                <w:rFonts w:hint="eastAsia"/>
                <w:color w:val="auto"/>
                <w:szCs w:val="21"/>
              </w:rPr>
              <w:t>万元之间：</w:t>
            </w:r>
          </w:p>
          <w:p w14:paraId="6956F8B1">
            <w:pPr>
              <w:spacing w:line="300" w:lineRule="exact"/>
              <w:jc w:val="left"/>
              <w:rPr>
                <w:color w:val="auto"/>
                <w:szCs w:val="21"/>
              </w:rPr>
            </w:pPr>
            <w:r>
              <w:rPr>
                <w:rFonts w:hint="eastAsia"/>
                <w:color w:val="auto"/>
                <w:szCs w:val="21"/>
              </w:rPr>
              <w:t>货物</w:t>
            </w:r>
            <w:r>
              <w:rPr>
                <w:color w:val="auto"/>
                <w:szCs w:val="21"/>
              </w:rPr>
              <w:t>0.5％</w:t>
            </w:r>
            <w:r>
              <w:rPr>
                <w:rFonts w:hint="eastAsia"/>
                <w:color w:val="auto"/>
                <w:szCs w:val="21"/>
              </w:rPr>
              <w:t>；</w:t>
            </w:r>
            <w:r>
              <w:rPr>
                <w:color w:val="auto"/>
                <w:szCs w:val="21"/>
              </w:rPr>
              <w:t>服务招标0.25％</w:t>
            </w:r>
            <w:r>
              <w:rPr>
                <w:rFonts w:hint="eastAsia"/>
                <w:color w:val="auto"/>
                <w:szCs w:val="21"/>
              </w:rPr>
              <w:t>；</w:t>
            </w:r>
            <w:r>
              <w:rPr>
                <w:color w:val="auto"/>
                <w:szCs w:val="21"/>
              </w:rPr>
              <w:t>工程招标0.35％</w:t>
            </w:r>
            <w:r>
              <w:rPr>
                <w:rFonts w:hint="eastAsia"/>
                <w:color w:val="auto"/>
                <w:szCs w:val="21"/>
              </w:rPr>
              <w:t>；</w:t>
            </w:r>
          </w:p>
          <w:p w14:paraId="58963BFF">
            <w:pPr>
              <w:spacing w:line="300" w:lineRule="exact"/>
              <w:jc w:val="left"/>
              <w:rPr>
                <w:color w:val="auto"/>
                <w:szCs w:val="21"/>
              </w:rPr>
            </w:pPr>
            <w:r>
              <w:rPr>
                <w:rFonts w:hint="eastAsia"/>
                <w:color w:val="auto"/>
                <w:szCs w:val="21"/>
              </w:rPr>
              <w:t>……</w:t>
            </w:r>
          </w:p>
          <w:p w14:paraId="6E22FD29">
            <w:pPr>
              <w:spacing w:line="300" w:lineRule="exact"/>
              <w:jc w:val="left"/>
              <w:rPr>
                <w:color w:val="auto"/>
                <w:szCs w:val="21"/>
              </w:rPr>
            </w:pPr>
            <w:r>
              <w:rPr>
                <w:color w:val="auto"/>
                <w:szCs w:val="21"/>
              </w:rPr>
              <w:t>差额定率累进</w:t>
            </w:r>
            <w:r>
              <w:rPr>
                <w:rFonts w:hint="eastAsia"/>
                <w:color w:val="auto"/>
                <w:szCs w:val="21"/>
              </w:rPr>
              <w:t>法</w:t>
            </w:r>
            <w:r>
              <w:rPr>
                <w:color w:val="auto"/>
                <w:szCs w:val="21"/>
              </w:rPr>
              <w:t>计算</w:t>
            </w:r>
            <w:r>
              <w:rPr>
                <w:rFonts w:hint="eastAsia"/>
                <w:color w:val="auto"/>
                <w:szCs w:val="21"/>
              </w:rPr>
              <w:t>过程示例：</w:t>
            </w:r>
          </w:p>
          <w:p w14:paraId="6D9F9640">
            <w:pPr>
              <w:spacing w:line="300" w:lineRule="exact"/>
              <w:jc w:val="left"/>
              <w:rPr>
                <w:color w:val="auto"/>
                <w:szCs w:val="21"/>
              </w:rPr>
            </w:pPr>
            <w:r>
              <w:rPr>
                <w:color w:val="auto"/>
                <w:szCs w:val="21"/>
              </w:rPr>
              <w:t>例如：某货物招标代理业务</w:t>
            </w:r>
            <w:r>
              <w:rPr>
                <w:rFonts w:hint="eastAsia"/>
                <w:color w:val="auto"/>
                <w:szCs w:val="21"/>
              </w:rPr>
              <w:t>中标</w:t>
            </w:r>
            <w:r>
              <w:rPr>
                <w:color w:val="auto"/>
                <w:szCs w:val="21"/>
              </w:rPr>
              <w:t>金额为300万元，招标代理服务费金额按如下计算：</w:t>
            </w:r>
          </w:p>
          <w:p w14:paraId="76244402">
            <w:pPr>
              <w:spacing w:line="300" w:lineRule="exact"/>
              <w:jc w:val="left"/>
              <w:rPr>
                <w:color w:val="auto"/>
                <w:szCs w:val="21"/>
              </w:rPr>
            </w:pPr>
            <w:r>
              <w:rPr>
                <w:color w:val="auto"/>
                <w:szCs w:val="21"/>
              </w:rPr>
              <w:t>100万元×1.5%＝1.5万元</w:t>
            </w:r>
          </w:p>
          <w:p w14:paraId="32BDD8B3">
            <w:pPr>
              <w:spacing w:line="300" w:lineRule="exact"/>
              <w:jc w:val="left"/>
              <w:rPr>
                <w:color w:val="auto"/>
                <w:szCs w:val="21"/>
              </w:rPr>
            </w:pPr>
            <w:r>
              <w:rPr>
                <w:color w:val="auto"/>
                <w:szCs w:val="21"/>
              </w:rPr>
              <w:t>（300－100）万元×1.1%＝2.2万元</w:t>
            </w:r>
          </w:p>
          <w:p w14:paraId="75C07BEE">
            <w:pPr>
              <w:spacing w:line="300" w:lineRule="exact"/>
              <w:jc w:val="left"/>
              <w:rPr>
                <w:color w:val="auto"/>
                <w:szCs w:val="21"/>
              </w:rPr>
            </w:pPr>
            <w:r>
              <w:rPr>
                <w:color w:val="auto"/>
                <w:szCs w:val="21"/>
              </w:rPr>
              <w:t>合计收费＝1.5＋2.2=3.7万元</w:t>
            </w:r>
          </w:p>
          <w:p w14:paraId="6639BD39">
            <w:pPr>
              <w:spacing w:line="300" w:lineRule="exact"/>
              <w:jc w:val="left"/>
              <w:rPr>
                <w:rFonts w:hint="eastAsia" w:eastAsia="宋体"/>
                <w:color w:val="auto"/>
                <w:kern w:val="0"/>
                <w:szCs w:val="21"/>
                <w:lang w:eastAsia="zh-CN"/>
              </w:rPr>
            </w:pPr>
            <w:r>
              <w:rPr>
                <w:color w:val="auto"/>
                <w:szCs w:val="21"/>
              </w:rPr>
              <w:t>（2）中标人在中标通知书发出前以银行转账或现金形式支付代理服务费</w:t>
            </w:r>
            <w:r>
              <w:rPr>
                <w:rFonts w:hint="eastAsia"/>
                <w:color w:val="auto"/>
                <w:szCs w:val="21"/>
                <w:lang w:eastAsia="zh-CN"/>
              </w:rPr>
              <w:t>。</w:t>
            </w:r>
          </w:p>
        </w:tc>
      </w:tr>
      <w:tr w14:paraId="458D456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12" w:hRule="atLeast"/>
        </w:trPr>
        <w:tc>
          <w:tcPr>
            <w:tcW w:w="755" w:type="dxa"/>
            <w:tcBorders>
              <w:top w:val="single" w:color="auto" w:sz="4" w:space="0"/>
              <w:left w:val="single" w:color="auto" w:sz="4" w:space="0"/>
              <w:bottom w:val="single" w:color="auto" w:sz="4" w:space="0"/>
              <w:right w:val="single" w:color="auto" w:sz="4" w:space="0"/>
            </w:tcBorders>
            <w:noWrap w:val="0"/>
            <w:vAlign w:val="center"/>
          </w:tcPr>
          <w:p w14:paraId="47798599">
            <w:pPr>
              <w:spacing w:line="300" w:lineRule="exact"/>
              <w:jc w:val="center"/>
              <w:rPr>
                <w:b/>
                <w:szCs w:val="21"/>
              </w:rPr>
            </w:pPr>
            <w:r>
              <w:rPr>
                <w:b/>
                <w:szCs w:val="21"/>
              </w:rPr>
              <w:t>9.3</w:t>
            </w:r>
          </w:p>
        </w:tc>
        <w:tc>
          <w:tcPr>
            <w:tcW w:w="1230" w:type="dxa"/>
            <w:tcBorders>
              <w:top w:val="single" w:color="auto" w:sz="4" w:space="0"/>
              <w:left w:val="single" w:color="auto" w:sz="4" w:space="0"/>
              <w:bottom w:val="single" w:color="auto" w:sz="4" w:space="0"/>
              <w:right w:val="single" w:color="auto" w:sz="4" w:space="0"/>
            </w:tcBorders>
            <w:noWrap w:val="0"/>
            <w:vAlign w:val="center"/>
          </w:tcPr>
          <w:p w14:paraId="22E25880">
            <w:pPr>
              <w:spacing w:line="300" w:lineRule="exact"/>
              <w:jc w:val="center"/>
              <w:rPr>
                <w:szCs w:val="20"/>
              </w:rPr>
            </w:pPr>
            <w:r>
              <w:rPr>
                <w:rFonts w:hint="eastAsia"/>
                <w:szCs w:val="20"/>
              </w:rPr>
              <w:t>附件</w:t>
            </w:r>
          </w:p>
        </w:tc>
        <w:tc>
          <w:tcPr>
            <w:tcW w:w="7229" w:type="dxa"/>
            <w:tcBorders>
              <w:top w:val="single" w:color="auto" w:sz="4" w:space="0"/>
              <w:left w:val="single" w:color="auto" w:sz="4" w:space="0"/>
              <w:bottom w:val="single" w:color="auto" w:sz="4" w:space="0"/>
              <w:right w:val="single" w:color="auto" w:sz="4" w:space="0"/>
            </w:tcBorders>
            <w:noWrap w:val="0"/>
            <w:vAlign w:val="center"/>
          </w:tcPr>
          <w:p w14:paraId="1C39FDA8">
            <w:pPr>
              <w:spacing w:line="276" w:lineRule="auto"/>
              <w:rPr>
                <w:color w:val="auto"/>
                <w:szCs w:val="21"/>
              </w:rPr>
            </w:pPr>
            <w:r>
              <w:rPr>
                <w:color w:val="auto"/>
                <w:sz w:val="22"/>
                <w:szCs w:val="22"/>
              </w:rPr>
              <w:sym w:font="Wingdings 2" w:char="F052"/>
            </w:r>
            <w:r>
              <w:rPr>
                <w:rFonts w:hint="eastAsia"/>
                <w:color w:val="auto"/>
                <w:szCs w:val="21"/>
              </w:rPr>
              <w:t>无</w:t>
            </w:r>
          </w:p>
          <w:p w14:paraId="6168C054">
            <w:pPr>
              <w:spacing w:line="276" w:lineRule="auto"/>
              <w:rPr>
                <w:color w:val="auto"/>
                <w:szCs w:val="21"/>
                <w:u w:val="single"/>
              </w:rPr>
            </w:pPr>
            <w:r>
              <w:rPr>
                <w:rFonts w:hint="eastAsia"/>
                <w:color w:val="auto"/>
                <w:szCs w:val="21"/>
              </w:rPr>
              <w:t>□有，详见：</w:t>
            </w:r>
            <w:r>
              <w:rPr>
                <w:rFonts w:hint="eastAsia"/>
                <w:color w:val="auto"/>
                <w:szCs w:val="21"/>
                <w:u w:val="single"/>
              </w:rPr>
              <w:t xml:space="preserve"> </w:t>
            </w:r>
            <w:r>
              <w:rPr>
                <w:color w:val="auto"/>
                <w:szCs w:val="21"/>
                <w:u w:val="single"/>
              </w:rPr>
              <w:t xml:space="preserve">         </w:t>
            </w:r>
          </w:p>
        </w:tc>
      </w:tr>
      <w:tr w14:paraId="779847E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36" w:hRule="atLeast"/>
        </w:trPr>
        <w:tc>
          <w:tcPr>
            <w:tcW w:w="755" w:type="dxa"/>
            <w:tcBorders>
              <w:top w:val="single" w:color="auto" w:sz="4" w:space="0"/>
              <w:left w:val="single" w:color="auto" w:sz="4" w:space="0"/>
              <w:bottom w:val="single" w:color="auto" w:sz="4" w:space="0"/>
              <w:right w:val="single" w:color="auto" w:sz="4" w:space="0"/>
            </w:tcBorders>
            <w:noWrap w:val="0"/>
            <w:vAlign w:val="center"/>
          </w:tcPr>
          <w:p w14:paraId="6C41BDD5">
            <w:pPr>
              <w:spacing w:line="300" w:lineRule="exact"/>
              <w:jc w:val="center"/>
              <w:rPr>
                <w:b/>
                <w:szCs w:val="21"/>
              </w:rPr>
            </w:pPr>
            <w:r>
              <w:rPr>
                <w:b/>
                <w:szCs w:val="21"/>
              </w:rPr>
              <w:t>9.3</w:t>
            </w:r>
          </w:p>
        </w:tc>
        <w:tc>
          <w:tcPr>
            <w:tcW w:w="1230" w:type="dxa"/>
            <w:tcBorders>
              <w:top w:val="single" w:color="auto" w:sz="4" w:space="0"/>
              <w:left w:val="single" w:color="auto" w:sz="4" w:space="0"/>
              <w:bottom w:val="single" w:color="auto" w:sz="4" w:space="0"/>
              <w:right w:val="single" w:color="auto" w:sz="4" w:space="0"/>
            </w:tcBorders>
            <w:noWrap w:val="0"/>
            <w:vAlign w:val="center"/>
          </w:tcPr>
          <w:p w14:paraId="2B29BDA1">
            <w:pPr>
              <w:spacing w:line="300" w:lineRule="exact"/>
              <w:jc w:val="center"/>
              <w:rPr>
                <w:szCs w:val="20"/>
              </w:rPr>
            </w:pPr>
            <w:r>
              <w:rPr>
                <w:rFonts w:hint="eastAsia"/>
                <w:szCs w:val="20"/>
              </w:rPr>
              <w:t>图纸</w:t>
            </w:r>
          </w:p>
        </w:tc>
        <w:tc>
          <w:tcPr>
            <w:tcW w:w="7229" w:type="dxa"/>
            <w:tcBorders>
              <w:top w:val="single" w:color="auto" w:sz="4" w:space="0"/>
              <w:left w:val="single" w:color="auto" w:sz="4" w:space="0"/>
              <w:bottom w:val="single" w:color="auto" w:sz="4" w:space="0"/>
              <w:right w:val="single" w:color="auto" w:sz="4" w:space="0"/>
            </w:tcBorders>
            <w:noWrap w:val="0"/>
            <w:vAlign w:val="center"/>
          </w:tcPr>
          <w:p w14:paraId="6AC14236">
            <w:pPr>
              <w:spacing w:line="276" w:lineRule="auto"/>
              <w:rPr>
                <w:color w:val="auto"/>
                <w:szCs w:val="21"/>
              </w:rPr>
            </w:pPr>
            <w:r>
              <w:rPr>
                <w:color w:val="auto"/>
                <w:sz w:val="22"/>
                <w:szCs w:val="22"/>
              </w:rPr>
              <w:sym w:font="Wingdings 2" w:char="F052"/>
            </w:r>
            <w:r>
              <w:rPr>
                <w:rFonts w:hint="eastAsia"/>
                <w:color w:val="auto"/>
                <w:szCs w:val="21"/>
              </w:rPr>
              <w:t>无</w:t>
            </w:r>
          </w:p>
          <w:p w14:paraId="64FAB9ED">
            <w:pPr>
              <w:spacing w:line="276" w:lineRule="auto"/>
              <w:rPr>
                <w:color w:val="auto"/>
                <w:szCs w:val="21"/>
                <w:u w:val="single"/>
              </w:rPr>
            </w:pPr>
            <w:r>
              <w:rPr>
                <w:rFonts w:hint="eastAsia"/>
                <w:color w:val="auto"/>
                <w:szCs w:val="21"/>
              </w:rPr>
              <w:t>□有，详见：</w:t>
            </w:r>
            <w:r>
              <w:rPr>
                <w:rFonts w:hint="eastAsia"/>
                <w:color w:val="auto"/>
                <w:szCs w:val="21"/>
                <w:u w:val="single"/>
              </w:rPr>
              <w:t xml:space="preserve"> </w:t>
            </w:r>
            <w:r>
              <w:rPr>
                <w:color w:val="auto"/>
                <w:szCs w:val="21"/>
                <w:u w:val="single"/>
              </w:rPr>
              <w:t xml:space="preserve">            </w:t>
            </w:r>
          </w:p>
        </w:tc>
      </w:tr>
      <w:tr w14:paraId="7612E2E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23" w:hRule="atLeast"/>
        </w:trPr>
        <w:tc>
          <w:tcPr>
            <w:tcW w:w="755" w:type="dxa"/>
            <w:tcBorders>
              <w:top w:val="single" w:color="auto" w:sz="4" w:space="0"/>
              <w:left w:val="single" w:color="auto" w:sz="4" w:space="0"/>
              <w:bottom w:val="single" w:color="auto" w:sz="4" w:space="0"/>
              <w:right w:val="single" w:color="auto" w:sz="4" w:space="0"/>
            </w:tcBorders>
            <w:noWrap w:val="0"/>
            <w:vAlign w:val="center"/>
          </w:tcPr>
          <w:p w14:paraId="056D7B82">
            <w:pPr>
              <w:spacing w:line="300" w:lineRule="exact"/>
              <w:jc w:val="center"/>
              <w:rPr>
                <w:b/>
                <w:szCs w:val="21"/>
              </w:rPr>
            </w:pPr>
            <w:r>
              <w:rPr>
                <w:b/>
                <w:szCs w:val="21"/>
              </w:rPr>
              <w:t>9.4</w:t>
            </w:r>
          </w:p>
        </w:tc>
        <w:tc>
          <w:tcPr>
            <w:tcW w:w="1230" w:type="dxa"/>
            <w:tcBorders>
              <w:top w:val="single" w:color="auto" w:sz="4" w:space="0"/>
              <w:left w:val="single" w:color="auto" w:sz="4" w:space="0"/>
              <w:bottom w:val="single" w:color="auto" w:sz="4" w:space="0"/>
              <w:right w:val="single" w:color="auto" w:sz="4" w:space="0"/>
            </w:tcBorders>
            <w:noWrap w:val="0"/>
            <w:vAlign w:val="center"/>
          </w:tcPr>
          <w:p w14:paraId="265C318D">
            <w:pPr>
              <w:spacing w:line="300" w:lineRule="exact"/>
              <w:jc w:val="center"/>
              <w:rPr>
                <w:szCs w:val="20"/>
              </w:rPr>
            </w:pPr>
            <w:r>
              <w:rPr>
                <w:rFonts w:hint="eastAsia"/>
                <w:szCs w:val="20"/>
              </w:rPr>
              <w:t>其他事项</w:t>
            </w:r>
          </w:p>
        </w:tc>
        <w:tc>
          <w:tcPr>
            <w:tcW w:w="7229" w:type="dxa"/>
            <w:tcBorders>
              <w:top w:val="single" w:color="auto" w:sz="4" w:space="0"/>
              <w:left w:val="single" w:color="auto" w:sz="4" w:space="0"/>
              <w:bottom w:val="single" w:color="auto" w:sz="4" w:space="0"/>
              <w:right w:val="single" w:color="auto" w:sz="4" w:space="0"/>
            </w:tcBorders>
            <w:noWrap w:val="0"/>
            <w:vAlign w:val="center"/>
          </w:tcPr>
          <w:p w14:paraId="65101C74">
            <w:pPr>
              <w:spacing w:line="276" w:lineRule="auto"/>
              <w:rPr>
                <w:szCs w:val="21"/>
              </w:rPr>
            </w:pPr>
            <w:r>
              <w:rPr>
                <w:rFonts w:hint="eastAsia"/>
                <w:szCs w:val="21"/>
              </w:rPr>
              <w:t>构成本招标文件的各个组成文件应互为解释，互为说明：</w:t>
            </w:r>
          </w:p>
          <w:p w14:paraId="645E5F3A">
            <w:pPr>
              <w:spacing w:line="276" w:lineRule="auto"/>
              <w:rPr>
                <w:color w:val="4472C4"/>
                <w:sz w:val="24"/>
              </w:rPr>
            </w:pPr>
            <w:r>
              <w:rPr>
                <w:rFonts w:hint="eastAsia"/>
                <w:szCs w:val="21"/>
              </w:rPr>
              <w:t>除招标文件中有特别规定外，仅适用于招标投标阶段的规定，按更正公告（澄清公告）、招标公告、采购需求、投标人须知、评审方法及标准、合同条款格式、投标文件格式的先后顺序解释；同一组成文件中就同一事项的规定或者约定不一致的，以编排顺序在后者为准；同一组成文件不同版本之间有不一致的，以形成时间在后者为准；更正公告（澄清公告）与同步更新的招标文件不一致时以更正公告（澄清公告）为准。按本款前述规定仍不能形成结论的，由采购人或者采购代理机构负责解释。</w:t>
            </w:r>
          </w:p>
        </w:tc>
      </w:tr>
      <w:bookmarkEnd w:id="41"/>
    </w:tbl>
    <w:p w14:paraId="15311649">
      <w:pPr>
        <w:spacing w:before="120" w:line="320" w:lineRule="atLeast"/>
        <w:outlineLvl w:val="1"/>
        <w:rPr>
          <w:bCs/>
          <w:kern w:val="0"/>
          <w:sz w:val="28"/>
          <w:szCs w:val="28"/>
        </w:rPr>
        <w:sectPr>
          <w:pgSz w:w="11906" w:h="16838"/>
          <w:pgMar w:top="993" w:right="1133" w:bottom="1246" w:left="1418" w:header="851" w:footer="992" w:gutter="0"/>
          <w:pgBorders>
            <w:top w:val="none" w:sz="0" w:space="0"/>
            <w:left w:val="none" w:sz="0" w:space="0"/>
            <w:bottom w:val="none" w:sz="0" w:space="0"/>
            <w:right w:val="none" w:sz="0" w:space="0"/>
          </w:pgBorders>
          <w:pgNumType w:fmt="decimal"/>
          <w:cols w:space="720" w:num="1"/>
          <w:titlePg/>
          <w:docGrid w:linePitch="312" w:charSpace="0"/>
        </w:sectPr>
      </w:pPr>
    </w:p>
    <w:p w14:paraId="122AF67D">
      <w:pPr>
        <w:spacing w:before="120" w:line="320" w:lineRule="atLeast"/>
        <w:outlineLvl w:val="1"/>
        <w:rPr>
          <w:b/>
          <w:bCs/>
          <w:kern w:val="0"/>
          <w:szCs w:val="21"/>
        </w:rPr>
      </w:pPr>
      <w:bookmarkStart w:id="43" w:name="_Hlk88949215"/>
      <w:r>
        <w:rPr>
          <w:b/>
          <w:bCs/>
          <w:kern w:val="0"/>
          <w:szCs w:val="21"/>
        </w:rPr>
        <w:t>1．总则</w:t>
      </w:r>
    </w:p>
    <w:p w14:paraId="40CAC1E0">
      <w:pPr>
        <w:spacing w:before="120" w:line="320" w:lineRule="atLeast"/>
        <w:ind w:firstLine="422" w:firstLineChars="200"/>
        <w:outlineLvl w:val="2"/>
        <w:rPr>
          <w:b/>
          <w:bCs/>
          <w:kern w:val="0"/>
          <w:szCs w:val="21"/>
        </w:rPr>
      </w:pPr>
      <w:bookmarkStart w:id="44" w:name="_Toc254970668"/>
      <w:bookmarkStart w:id="45" w:name="_Toc254970527"/>
      <w:r>
        <w:rPr>
          <w:b/>
          <w:bCs/>
          <w:kern w:val="0"/>
          <w:szCs w:val="21"/>
        </w:rPr>
        <w:t>1.1适用范围</w:t>
      </w:r>
      <w:bookmarkEnd w:id="44"/>
      <w:bookmarkEnd w:id="45"/>
    </w:p>
    <w:p w14:paraId="64E11681">
      <w:pPr>
        <w:spacing w:before="120" w:line="320" w:lineRule="atLeast"/>
        <w:ind w:firstLine="420" w:firstLineChars="200"/>
        <w:rPr>
          <w:szCs w:val="21"/>
        </w:rPr>
      </w:pPr>
      <w:r>
        <w:rPr>
          <w:szCs w:val="21"/>
        </w:rPr>
        <w:t>本招标文件适用于</w:t>
      </w:r>
      <w:r>
        <w:rPr>
          <w:rFonts w:hint="eastAsia"/>
          <w:szCs w:val="21"/>
        </w:rPr>
        <w:t>投标人</w:t>
      </w:r>
      <w:r>
        <w:rPr>
          <w:szCs w:val="21"/>
        </w:rPr>
        <w:t>须知前附表所述项目的</w:t>
      </w:r>
      <w:r>
        <w:rPr>
          <w:rFonts w:hint="eastAsia"/>
          <w:szCs w:val="21"/>
        </w:rPr>
        <w:t>政府采购活动。</w:t>
      </w:r>
    </w:p>
    <w:p w14:paraId="54867457">
      <w:pPr>
        <w:spacing w:before="120" w:line="320" w:lineRule="atLeast"/>
        <w:ind w:firstLine="422" w:firstLineChars="200"/>
        <w:outlineLvl w:val="2"/>
        <w:rPr>
          <w:b/>
          <w:bCs/>
          <w:kern w:val="0"/>
          <w:szCs w:val="21"/>
        </w:rPr>
      </w:pPr>
      <w:bookmarkStart w:id="46" w:name="_Toc254970669"/>
      <w:bookmarkStart w:id="47" w:name="_Toc254970528"/>
      <w:r>
        <w:rPr>
          <w:b/>
          <w:bCs/>
          <w:kern w:val="0"/>
          <w:szCs w:val="21"/>
        </w:rPr>
        <w:t>1.2定义</w:t>
      </w:r>
      <w:bookmarkEnd w:id="46"/>
      <w:bookmarkEnd w:id="47"/>
    </w:p>
    <w:p w14:paraId="43D57520">
      <w:pPr>
        <w:spacing w:before="120" w:line="320" w:lineRule="atLeast"/>
        <w:ind w:firstLine="420" w:firstLineChars="200"/>
        <w:rPr>
          <w:szCs w:val="21"/>
        </w:rPr>
      </w:pPr>
      <w:r>
        <w:rPr>
          <w:szCs w:val="21"/>
        </w:rPr>
        <w:t>1.2.1</w:t>
      </w:r>
      <w:r>
        <w:rPr>
          <w:rFonts w:hint="eastAsia"/>
          <w:szCs w:val="21"/>
        </w:rPr>
        <w:t>“</w:t>
      </w:r>
      <w:r>
        <w:rPr>
          <w:szCs w:val="21"/>
        </w:rPr>
        <w:t>采购人</w:t>
      </w:r>
      <w:r>
        <w:rPr>
          <w:rFonts w:hint="eastAsia"/>
          <w:szCs w:val="21"/>
        </w:rPr>
        <w:t>”</w:t>
      </w:r>
      <w:r>
        <w:rPr>
          <w:szCs w:val="21"/>
        </w:rPr>
        <w:t>系指依法进行政府采购的国家机关、事业单位、团体组织。</w:t>
      </w:r>
    </w:p>
    <w:p w14:paraId="3CF20218">
      <w:pPr>
        <w:spacing w:before="120" w:line="320" w:lineRule="atLeast"/>
        <w:ind w:firstLine="420" w:firstLineChars="200"/>
        <w:rPr>
          <w:szCs w:val="21"/>
        </w:rPr>
      </w:pPr>
      <w:r>
        <w:rPr>
          <w:rFonts w:hint="eastAsia"/>
          <w:szCs w:val="21"/>
        </w:rPr>
        <w:t>1.2.2“供应商”系</w:t>
      </w:r>
      <w:r>
        <w:rPr>
          <w:szCs w:val="21"/>
        </w:rPr>
        <w:t>指向采购人提供货物、工程或者服务的法人、其他组织或者自然人。</w:t>
      </w:r>
    </w:p>
    <w:p w14:paraId="602C4CBE">
      <w:pPr>
        <w:spacing w:before="120" w:line="320" w:lineRule="atLeast"/>
        <w:ind w:firstLine="420" w:firstLineChars="200"/>
        <w:rPr>
          <w:szCs w:val="21"/>
        </w:rPr>
      </w:pPr>
      <w:r>
        <w:rPr>
          <w:szCs w:val="21"/>
        </w:rPr>
        <w:t>1.2.</w:t>
      </w:r>
      <w:r>
        <w:rPr>
          <w:rFonts w:hint="eastAsia"/>
          <w:szCs w:val="21"/>
        </w:rPr>
        <w:t>3“投标人”</w:t>
      </w:r>
      <w:r>
        <w:rPr>
          <w:szCs w:val="21"/>
        </w:rPr>
        <w:t>系</w:t>
      </w:r>
      <w:r>
        <w:rPr>
          <w:color w:val="000000"/>
        </w:rPr>
        <w:t>指响应招标、参加投标竞争的法人、其他组织或者自然人</w:t>
      </w:r>
      <w:r>
        <w:rPr>
          <w:szCs w:val="21"/>
        </w:rPr>
        <w:t>。</w:t>
      </w:r>
    </w:p>
    <w:p w14:paraId="50191897">
      <w:pPr>
        <w:spacing w:before="120" w:line="360" w:lineRule="auto"/>
        <w:ind w:firstLine="420" w:firstLineChars="200"/>
      </w:pPr>
      <w:r>
        <w:rPr>
          <w:rFonts w:hint="eastAsia"/>
        </w:rPr>
        <w:t>1.2.4</w:t>
      </w:r>
      <w:r>
        <w:t>本</w:t>
      </w:r>
      <w:r>
        <w:rPr>
          <w:rFonts w:hint="eastAsia"/>
        </w:rPr>
        <w:t>文件</w:t>
      </w:r>
      <w:r>
        <w:t>中的</w:t>
      </w:r>
      <w:r>
        <w:rPr>
          <w:rFonts w:hint="eastAsia"/>
        </w:rPr>
        <w:t>“法定代表人”若无特别说明，当</w:t>
      </w:r>
      <w:r>
        <w:t>供应商是</w:t>
      </w:r>
      <w:r>
        <w:rPr>
          <w:rFonts w:hint="eastAsia"/>
        </w:rPr>
        <w:t>企业的，是指企业法人营业执照上的法定代表人；当</w:t>
      </w:r>
      <w:r>
        <w:t>供应商是</w:t>
      </w:r>
      <w:r>
        <w:rPr>
          <w:rFonts w:hint="eastAsia"/>
        </w:rPr>
        <w:t>事业单位的，是指事业单位法人证书上的法定代表人；当</w:t>
      </w:r>
      <w:r>
        <w:t>供应商是</w:t>
      </w:r>
      <w:r>
        <w:rPr>
          <w:rFonts w:hint="eastAsia"/>
        </w:rPr>
        <w:t>社会团体、民办非企业的，是指法人登记证书中的法定代表人；当</w:t>
      </w:r>
      <w:r>
        <w:t>供应商是</w:t>
      </w:r>
      <w:r>
        <w:rPr>
          <w:rFonts w:hint="eastAsia"/>
        </w:rPr>
        <w:t>个体工商户的，是指个体工商户营业执照上的经营者；</w:t>
      </w:r>
      <w:r>
        <w:t>当供应商是自然人</w:t>
      </w:r>
      <w:r>
        <w:rPr>
          <w:rFonts w:hint="eastAsia"/>
        </w:rPr>
        <w:t>的，是指参与本项目响应的自然人本人。</w:t>
      </w:r>
    </w:p>
    <w:p w14:paraId="5764673C">
      <w:pPr>
        <w:spacing w:before="120" w:line="360" w:lineRule="auto"/>
        <w:ind w:firstLine="420" w:firstLineChars="200"/>
      </w:pPr>
      <w:r>
        <w:rPr>
          <w:rFonts w:hint="eastAsia"/>
        </w:rPr>
        <w:t>1.2.5本文件中的“公章”是指根据我国对公章的管理规定，用供应商法定主体行为名称制作的印章，除本文件有特殊规定外，供应商的财务章、部门章、分公司章、工会章、合同章、投标专用章、业务专用章及银行的转账章、现金收讫章、现金付讫章等其他形式印章均不能代替公章。本文件中的“签章”是指电子签名的一种表现形式，利用图像处理技术将电子签名操作转化为与纸质文件盖章操作相同的可视效果，同时利用电子签名技术保障电子信息的真实性和完整性以及签名人的不可否认性。</w:t>
      </w:r>
    </w:p>
    <w:p w14:paraId="125A8869">
      <w:pPr>
        <w:widowControl/>
        <w:spacing w:line="360" w:lineRule="auto"/>
        <w:ind w:firstLine="420" w:firstLineChars="200"/>
        <w:jc w:val="left"/>
        <w:rPr>
          <w:szCs w:val="21"/>
        </w:rPr>
      </w:pPr>
      <w:r>
        <w:rPr>
          <w:szCs w:val="21"/>
        </w:rPr>
        <w:t>1.2.</w:t>
      </w:r>
      <w:r>
        <w:rPr>
          <w:rFonts w:hint="eastAsia"/>
          <w:szCs w:val="21"/>
        </w:rPr>
        <w:t>6</w:t>
      </w:r>
      <w:r>
        <w:rPr>
          <w:szCs w:val="21"/>
        </w:rPr>
        <w:t>“书面形式”如无特殊规定，</w:t>
      </w:r>
      <w:r>
        <w:rPr>
          <w:rFonts w:hint="eastAsia"/>
          <w:szCs w:val="21"/>
        </w:rPr>
        <w:t>书面形式是合同书、信件、电报、电传等可以有形地表现所载内容的形式。以电子数据交换、电子邮件等方式能够有形地表现所载内容，并可以随时调取查用的数据电文，视为书面形式。</w:t>
      </w:r>
      <w:r>
        <w:rPr>
          <w:szCs w:val="21"/>
        </w:rPr>
        <w:t xml:space="preserve">招标文件如有特殊规定，以招标文件规定为准。 </w:t>
      </w:r>
    </w:p>
    <w:p w14:paraId="7582EAB6">
      <w:pPr>
        <w:spacing w:before="120" w:line="320" w:lineRule="atLeast"/>
        <w:ind w:firstLine="420" w:firstLineChars="200"/>
        <w:rPr>
          <w:szCs w:val="21"/>
        </w:rPr>
      </w:pPr>
      <w:r>
        <w:rPr>
          <w:szCs w:val="21"/>
        </w:rPr>
        <w:t>1.2.</w:t>
      </w:r>
      <w:r>
        <w:rPr>
          <w:rFonts w:hint="eastAsia"/>
          <w:szCs w:val="21"/>
        </w:rPr>
        <w:t>7本项目的技术商务要求重要性分为“▲”（如有）、“●”（如有）和一般无标识指标。▲代表实质性要求指标，</w:t>
      </w:r>
      <w:r>
        <w:rPr>
          <w:rFonts w:hint="eastAsia"/>
          <w:b/>
          <w:bCs/>
          <w:szCs w:val="21"/>
        </w:rPr>
        <w:t>不满足该指标项将导致投标被否决</w:t>
      </w:r>
      <w:r>
        <w:rPr>
          <w:rFonts w:hint="eastAsia"/>
          <w:szCs w:val="21"/>
        </w:rPr>
        <w:t>，●代表重要指标，无标识则表示一般指标项。</w:t>
      </w:r>
    </w:p>
    <w:p w14:paraId="2D85FB36">
      <w:pPr>
        <w:spacing w:before="120" w:line="320" w:lineRule="atLeast"/>
        <w:ind w:firstLine="420" w:firstLineChars="200"/>
        <w:rPr>
          <w:szCs w:val="21"/>
        </w:rPr>
      </w:pPr>
      <w:r>
        <w:rPr>
          <w:szCs w:val="21"/>
        </w:rPr>
        <w:t>1.2.</w:t>
      </w:r>
      <w:r>
        <w:rPr>
          <w:rFonts w:hint="eastAsia"/>
          <w:szCs w:val="21"/>
        </w:rPr>
        <w:t>8 本</w:t>
      </w:r>
      <w:r>
        <w:rPr>
          <w:szCs w:val="21"/>
        </w:rPr>
        <w:t>招标文件</w:t>
      </w:r>
      <w:r>
        <w:rPr>
          <w:rFonts w:hint="eastAsia"/>
          <w:szCs w:val="21"/>
        </w:rPr>
        <w:t>出现多种选项的条款，以“</w:t>
      </w:r>
      <w:r>
        <w:rPr/>
        <w:sym w:font="Wingdings 2" w:char="F052"/>
      </w:r>
      <w:r>
        <w:rPr>
          <w:rFonts w:hint="eastAsia"/>
          <w:szCs w:val="21"/>
        </w:rPr>
        <w:t>”表示本条款所选择的方式。</w:t>
      </w:r>
    </w:p>
    <w:p w14:paraId="4051B27F">
      <w:pPr>
        <w:spacing w:before="120" w:line="320" w:lineRule="atLeast"/>
        <w:ind w:firstLine="420" w:firstLineChars="200"/>
        <w:rPr>
          <w:szCs w:val="21"/>
        </w:rPr>
      </w:pPr>
      <w:r>
        <w:rPr>
          <w:rFonts w:hint="eastAsia"/>
          <w:szCs w:val="21"/>
        </w:rPr>
        <w:t>1.</w:t>
      </w:r>
      <w:r>
        <w:rPr>
          <w:szCs w:val="21"/>
        </w:rPr>
        <w:t>2</w:t>
      </w:r>
      <w:r>
        <w:rPr>
          <w:rFonts w:hint="eastAsia"/>
          <w:szCs w:val="21"/>
        </w:rPr>
        <w:t>.9</w:t>
      </w:r>
      <w:r>
        <w:rPr>
          <w:szCs w:val="21"/>
        </w:rPr>
        <w:t xml:space="preserve"> “</w:t>
      </w:r>
      <w:r>
        <w:rPr>
          <w:rFonts w:hint="eastAsia"/>
          <w:szCs w:val="21"/>
        </w:rPr>
        <w:t>电子交易平台</w:t>
      </w:r>
      <w:r>
        <w:rPr>
          <w:szCs w:val="21"/>
        </w:rPr>
        <w:t>”</w:t>
      </w:r>
      <w:r>
        <w:rPr>
          <w:rFonts w:hint="eastAsia"/>
          <w:szCs w:val="21"/>
        </w:rPr>
        <w:t>是指以数据电文形式在线完成采购活动的信息平台，本招标文件中也称</w:t>
      </w:r>
      <w:r>
        <w:rPr>
          <w:szCs w:val="21"/>
        </w:rPr>
        <w:t>“</w:t>
      </w:r>
      <w:r>
        <w:rPr>
          <w:rFonts w:hint="eastAsia"/>
          <w:szCs w:val="21"/>
        </w:rPr>
        <w:t>广西政府采购云平台</w:t>
      </w:r>
      <w:r>
        <w:rPr>
          <w:szCs w:val="21"/>
        </w:rPr>
        <w:t>”</w:t>
      </w:r>
      <w:r>
        <w:rPr>
          <w:rFonts w:hint="eastAsia"/>
          <w:szCs w:val="21"/>
        </w:rPr>
        <w:t>。</w:t>
      </w:r>
    </w:p>
    <w:p w14:paraId="1ADF1854">
      <w:pPr>
        <w:spacing w:before="120" w:line="320" w:lineRule="atLeast"/>
        <w:ind w:firstLine="422" w:firstLineChars="200"/>
        <w:outlineLvl w:val="2"/>
        <w:rPr>
          <w:b/>
          <w:bCs/>
          <w:kern w:val="0"/>
          <w:szCs w:val="21"/>
        </w:rPr>
      </w:pPr>
      <w:r>
        <w:rPr>
          <w:rFonts w:hint="eastAsia"/>
          <w:b/>
          <w:bCs/>
          <w:kern w:val="0"/>
          <w:szCs w:val="21"/>
        </w:rPr>
        <w:t>1</w:t>
      </w:r>
      <w:r>
        <w:rPr>
          <w:b/>
          <w:bCs/>
          <w:kern w:val="0"/>
          <w:szCs w:val="21"/>
        </w:rPr>
        <w:t>.3</w:t>
      </w:r>
      <w:r>
        <w:rPr>
          <w:rFonts w:hint="eastAsia"/>
          <w:b/>
          <w:bCs/>
          <w:kern w:val="0"/>
          <w:szCs w:val="21"/>
        </w:rPr>
        <w:t>项目信息</w:t>
      </w:r>
    </w:p>
    <w:p w14:paraId="65DD4DB0">
      <w:pPr>
        <w:spacing w:before="120" w:line="320" w:lineRule="atLeast"/>
        <w:ind w:firstLine="420" w:firstLineChars="200"/>
        <w:rPr>
          <w:szCs w:val="21"/>
        </w:rPr>
      </w:pPr>
      <w:r>
        <w:rPr>
          <w:rFonts w:hint="eastAsia"/>
          <w:szCs w:val="21"/>
        </w:rPr>
        <w:t>1</w:t>
      </w:r>
      <w:r>
        <w:rPr>
          <w:szCs w:val="21"/>
        </w:rPr>
        <w:t>.3.1</w:t>
      </w:r>
      <w:r>
        <w:rPr>
          <w:rFonts w:hint="eastAsia"/>
          <w:szCs w:val="21"/>
        </w:rPr>
        <w:t>项目名称及编号：详见投标人须知前附表</w:t>
      </w:r>
    </w:p>
    <w:p w14:paraId="419515F5">
      <w:pPr>
        <w:spacing w:before="120" w:line="320" w:lineRule="atLeast"/>
        <w:ind w:firstLine="420" w:firstLineChars="200"/>
        <w:rPr>
          <w:szCs w:val="21"/>
        </w:rPr>
      </w:pPr>
      <w:r>
        <w:rPr>
          <w:rFonts w:hint="eastAsia"/>
          <w:szCs w:val="21"/>
        </w:rPr>
        <w:t>1</w:t>
      </w:r>
      <w:r>
        <w:rPr>
          <w:szCs w:val="21"/>
        </w:rPr>
        <w:t>.3.2</w:t>
      </w:r>
      <w:r>
        <w:rPr>
          <w:rFonts w:hint="eastAsia"/>
          <w:szCs w:val="21"/>
        </w:rPr>
        <w:t>采购方式：详见投标人须知前附表</w:t>
      </w:r>
    </w:p>
    <w:p w14:paraId="59E29085">
      <w:pPr>
        <w:spacing w:before="120" w:line="320" w:lineRule="atLeast"/>
        <w:ind w:firstLine="422" w:firstLineChars="200"/>
        <w:outlineLvl w:val="2"/>
        <w:rPr>
          <w:b/>
          <w:bCs/>
          <w:kern w:val="0"/>
          <w:szCs w:val="21"/>
        </w:rPr>
      </w:pPr>
      <w:bookmarkStart w:id="48" w:name="_Hlk132812137"/>
      <w:r>
        <w:rPr>
          <w:rFonts w:hint="eastAsia"/>
          <w:b/>
          <w:bCs/>
          <w:kern w:val="0"/>
          <w:szCs w:val="21"/>
        </w:rPr>
        <w:t>1</w:t>
      </w:r>
      <w:r>
        <w:rPr>
          <w:b/>
          <w:bCs/>
          <w:kern w:val="0"/>
          <w:szCs w:val="21"/>
        </w:rPr>
        <w:t>.4</w:t>
      </w:r>
      <w:r>
        <w:rPr>
          <w:rFonts w:hint="eastAsia"/>
          <w:b/>
          <w:bCs/>
          <w:kern w:val="0"/>
          <w:szCs w:val="21"/>
        </w:rPr>
        <w:t>促进中小企业发展政策</w:t>
      </w:r>
    </w:p>
    <w:p w14:paraId="61521DC3">
      <w:pPr>
        <w:spacing w:before="120" w:line="320" w:lineRule="atLeast"/>
        <w:ind w:left="2" w:leftChars="1" w:firstLine="420" w:firstLineChars="200"/>
        <w:rPr>
          <w:szCs w:val="21"/>
        </w:rPr>
      </w:pPr>
      <w:r>
        <w:rPr>
          <w:szCs w:val="21"/>
        </w:rPr>
        <w:t>1.4.1</w:t>
      </w:r>
      <w:r>
        <w:rPr>
          <w:rFonts w:hint="eastAsia"/>
          <w:szCs w:val="21"/>
        </w:rPr>
        <w:t>本项目落实促进中小企业发展政策措施在前附表规定。依据促进中小企业发展政策获得政府采购合同的，小微企业不得将合同分包给大中型企业，中型企业不得将合同分包给大型企业。</w:t>
      </w:r>
    </w:p>
    <w:p w14:paraId="7DF20942">
      <w:pPr>
        <w:spacing w:before="120" w:line="320" w:lineRule="atLeast"/>
        <w:ind w:left="2" w:leftChars="1" w:firstLine="420" w:firstLineChars="200"/>
        <w:rPr>
          <w:szCs w:val="21"/>
        </w:rPr>
      </w:pPr>
      <w:bookmarkStart w:id="49" w:name="_Hlk138842976"/>
      <w:r>
        <w:rPr>
          <w:rFonts w:hint="eastAsia"/>
          <w:szCs w:val="21"/>
        </w:rPr>
        <w:t>根据《政府采购促进中小企业发展管理办法》（财库</w:t>
      </w:r>
      <w:r>
        <w:rPr>
          <w:rFonts w:hint="eastAsia"/>
          <w:szCs w:val="21"/>
          <w:lang w:eastAsia="zh-CN"/>
        </w:rPr>
        <w:t>〔2020〕46号</w:t>
      </w:r>
      <w:r>
        <w:rPr>
          <w:rFonts w:hint="eastAsia"/>
          <w:szCs w:val="21"/>
        </w:rPr>
        <w:t>）第九条以及《广西壮族自治区财政厅 广西壮族自治区工业和信息化厅转发财政部 工业和信息化部政府采购促进中小企业发展管理办法的通知》（桂财采</w:t>
      </w:r>
      <w:r>
        <w:rPr>
          <w:rFonts w:hint="eastAsia"/>
          <w:szCs w:val="21"/>
          <w:lang w:eastAsia="zh-CN"/>
        </w:rPr>
        <w:t>〔2021〕70号</w:t>
      </w:r>
      <w:r>
        <w:rPr>
          <w:rFonts w:hint="eastAsia"/>
          <w:szCs w:val="21"/>
        </w:rPr>
        <w:t>）规定，</w:t>
      </w:r>
      <w:bookmarkEnd w:id="49"/>
      <w:bookmarkStart w:id="50" w:name="_Hlk92205820"/>
      <w:r>
        <w:rPr>
          <w:rFonts w:hint="eastAsia"/>
          <w:szCs w:val="21"/>
        </w:rPr>
        <w:t>价格扣除比例在第四章评审方法及标准中规定，对小型企业和微型企业同等对待，不作区分。</w:t>
      </w:r>
    </w:p>
    <w:p w14:paraId="07EC8E94">
      <w:pPr>
        <w:spacing w:before="120" w:line="320" w:lineRule="atLeast"/>
        <w:ind w:left="2" w:leftChars="1" w:firstLine="420" w:firstLineChars="200"/>
        <w:rPr>
          <w:szCs w:val="21"/>
        </w:rPr>
      </w:pPr>
      <w:r>
        <w:rPr>
          <w:szCs w:val="21"/>
        </w:rPr>
        <w:t>1.4.2</w:t>
      </w:r>
      <w:r>
        <w:rPr>
          <w:rFonts w:hint="eastAsia"/>
          <w:szCs w:val="21"/>
        </w:rPr>
        <w:t>中小企业定义</w:t>
      </w:r>
    </w:p>
    <w:p w14:paraId="006252E7">
      <w:pPr>
        <w:spacing w:before="120" w:line="320" w:lineRule="atLeast"/>
        <w:ind w:firstLine="420" w:firstLineChars="200"/>
        <w:rPr>
          <w:szCs w:val="21"/>
        </w:rPr>
      </w:pPr>
      <w:r>
        <w:rPr>
          <w:szCs w:val="21"/>
        </w:rPr>
        <w:t>1.4.2.1</w:t>
      </w:r>
      <w:r>
        <w:rPr>
          <w:rFonts w:hint="eastAsia"/>
          <w:szCs w:val="21"/>
        </w:rPr>
        <w:t>中小企业是指在中华人民共和国境内依法设立，依据国务院批准的中小企业划分标准确定的中型企业、小型企业和微型企业，但与大企业的负责人为同一人，或者与大企业存在直接控股、管理关系的除外。</w:t>
      </w:r>
    </w:p>
    <w:p w14:paraId="2E0576FA">
      <w:pPr>
        <w:spacing w:before="120" w:line="320" w:lineRule="atLeast"/>
        <w:ind w:left="2" w:leftChars="1" w:firstLine="420" w:firstLineChars="200"/>
        <w:rPr>
          <w:szCs w:val="21"/>
        </w:rPr>
      </w:pPr>
      <w:r>
        <w:rPr>
          <w:szCs w:val="21"/>
        </w:rPr>
        <w:t>1.4.2.2</w:t>
      </w:r>
      <w:r>
        <w:rPr>
          <w:rFonts w:hint="eastAsia"/>
          <w:szCs w:val="21"/>
        </w:rPr>
        <w:t>供应商提供的货物、工程或者服务符合下列情形的，享受本款规定的促进中小企业发展政策：</w:t>
      </w:r>
    </w:p>
    <w:p w14:paraId="48E3772E">
      <w:pPr>
        <w:spacing w:before="120" w:line="320" w:lineRule="atLeast"/>
        <w:ind w:left="2" w:leftChars="1" w:firstLine="420" w:firstLineChars="200"/>
        <w:rPr>
          <w:szCs w:val="21"/>
        </w:rPr>
      </w:pPr>
      <w:r>
        <w:rPr>
          <w:rFonts w:hint="eastAsia"/>
          <w:szCs w:val="21"/>
        </w:rPr>
        <w:t>在货物采购项目中，货物由中小企业制造，即货物由中小企业生产且使用该中小企业商号或者注册商标；</w:t>
      </w:r>
    </w:p>
    <w:p w14:paraId="48415164">
      <w:pPr>
        <w:spacing w:before="120" w:line="320" w:lineRule="atLeast"/>
        <w:ind w:left="2" w:leftChars="1" w:firstLine="420" w:firstLineChars="200"/>
        <w:rPr>
          <w:szCs w:val="21"/>
        </w:rPr>
      </w:pPr>
      <w:r>
        <w:rPr>
          <w:rFonts w:hint="eastAsia"/>
          <w:szCs w:val="21"/>
        </w:rPr>
        <w:t>在工程采购项目中，工程由中小企业承建，即工程施工单位为中小企业；</w:t>
      </w:r>
    </w:p>
    <w:p w14:paraId="688739E1">
      <w:pPr>
        <w:spacing w:before="120" w:line="320" w:lineRule="atLeast"/>
        <w:ind w:left="2" w:leftChars="1" w:firstLine="420" w:firstLineChars="200"/>
        <w:rPr>
          <w:szCs w:val="21"/>
        </w:rPr>
      </w:pPr>
      <w:r>
        <w:rPr>
          <w:rFonts w:hint="eastAsia"/>
          <w:szCs w:val="21"/>
        </w:rPr>
        <w:t>在服务采购项目中，服务由中小企业承接，即提供服务的人员为中小企业依照《中华人民共和国劳动合同法》订立劳动合同的从业人员。</w:t>
      </w:r>
    </w:p>
    <w:p w14:paraId="11EEDCA3">
      <w:pPr>
        <w:spacing w:before="120" w:line="320" w:lineRule="atLeast"/>
        <w:ind w:left="2" w:leftChars="1" w:firstLine="420" w:firstLineChars="200"/>
        <w:rPr>
          <w:szCs w:val="21"/>
        </w:rPr>
      </w:pPr>
      <w:r>
        <w:rPr>
          <w:rFonts w:hint="eastAsia"/>
          <w:szCs w:val="21"/>
        </w:rPr>
        <w:t>在货物采购项目中，供应商提供的货物既有中小企业制造货物，也有大型企业制造货物的，不享受本款规定的促进中小企业发展政策。</w:t>
      </w:r>
    </w:p>
    <w:p w14:paraId="049AE436">
      <w:pPr>
        <w:spacing w:before="120" w:line="320" w:lineRule="atLeast"/>
        <w:ind w:firstLine="420" w:firstLineChars="200"/>
        <w:rPr>
          <w:szCs w:val="21"/>
        </w:rPr>
      </w:pPr>
      <w:r>
        <w:rPr>
          <w:szCs w:val="21"/>
        </w:rPr>
        <w:t>1.4.2</w:t>
      </w:r>
      <w:r>
        <w:rPr>
          <w:rFonts w:hint="eastAsia"/>
          <w:szCs w:val="21"/>
        </w:rPr>
        <w:t>.</w:t>
      </w:r>
      <w:r>
        <w:rPr>
          <w:szCs w:val="21"/>
        </w:rPr>
        <w:t>3</w:t>
      </w:r>
      <w:r>
        <w:rPr>
          <w:rFonts w:hint="eastAsia"/>
          <w:szCs w:val="21"/>
        </w:rPr>
        <w:t>本项目标的所属行业在第二章采购需求中规定。供应商根据中小企业划分标准（《关于印发中小企业划型标准规定的通知》（工信部联企业〔2011〕300号）判断是否为中小企业。（见附件）</w:t>
      </w:r>
    </w:p>
    <w:p w14:paraId="2ACBC7E6">
      <w:pPr>
        <w:spacing w:before="120" w:line="320" w:lineRule="atLeast"/>
        <w:ind w:firstLine="420" w:firstLineChars="200"/>
        <w:rPr>
          <w:szCs w:val="21"/>
        </w:rPr>
      </w:pPr>
      <w:r>
        <w:rPr>
          <w:rFonts w:hint="eastAsia"/>
          <w:szCs w:val="21"/>
        </w:rPr>
        <w:t>符合条件的货物制造商、工程施工单位、服务承接单位为中小企业的，应按招标文件规定在投标文件中提供声明函。</w:t>
      </w:r>
    </w:p>
    <w:p w14:paraId="6FA8B56D">
      <w:pPr>
        <w:spacing w:before="120" w:line="320" w:lineRule="atLeast"/>
        <w:ind w:firstLine="420" w:firstLineChars="200"/>
        <w:rPr>
          <w:szCs w:val="21"/>
        </w:rPr>
      </w:pPr>
      <w:r>
        <w:rPr>
          <w:szCs w:val="21"/>
        </w:rPr>
        <w:t>1.4</w:t>
      </w:r>
      <w:r>
        <w:rPr>
          <w:rFonts w:hint="eastAsia"/>
          <w:szCs w:val="21"/>
        </w:rPr>
        <w:t>.</w:t>
      </w:r>
      <w:r>
        <w:rPr>
          <w:szCs w:val="21"/>
        </w:rPr>
        <w:t>2</w:t>
      </w:r>
      <w:r>
        <w:rPr>
          <w:rFonts w:hint="eastAsia"/>
          <w:szCs w:val="21"/>
        </w:rPr>
        <w:t>.</w:t>
      </w:r>
      <w:r>
        <w:rPr>
          <w:szCs w:val="21"/>
        </w:rPr>
        <w:t>4</w:t>
      </w:r>
      <w:r>
        <w:rPr>
          <w:rFonts w:hint="eastAsia"/>
          <w:szCs w:val="21"/>
        </w:rPr>
        <w:t>视同中小企业情形</w:t>
      </w:r>
    </w:p>
    <w:p w14:paraId="29512987">
      <w:pPr>
        <w:spacing w:before="120" w:line="320" w:lineRule="atLeast"/>
        <w:ind w:firstLine="420" w:firstLineChars="200"/>
        <w:rPr>
          <w:szCs w:val="21"/>
        </w:rPr>
      </w:pPr>
      <w:r>
        <w:rPr>
          <w:rFonts w:hint="eastAsia"/>
          <w:szCs w:val="21"/>
        </w:rPr>
        <w:t>（1）符合中小企业划分标准的个体工商户，视同中小企业。</w:t>
      </w:r>
    </w:p>
    <w:p w14:paraId="3064198E">
      <w:pPr>
        <w:spacing w:before="120" w:line="320" w:lineRule="atLeast"/>
        <w:ind w:firstLine="420" w:firstLineChars="200"/>
        <w:rPr>
          <w:szCs w:val="21"/>
        </w:rPr>
      </w:pPr>
      <w:r>
        <w:rPr>
          <w:rFonts w:hint="eastAsia"/>
          <w:szCs w:val="21"/>
        </w:rPr>
        <w:t>（2）以联合体形式参加政府采购活动，联合体各方均为中小企业的，联合体视同中小企业。其中，联合体各方均为小微企业的，联合体视同小微企业。</w:t>
      </w:r>
    </w:p>
    <w:p w14:paraId="08B293B0">
      <w:pPr>
        <w:spacing w:before="120" w:line="320" w:lineRule="atLeast"/>
        <w:ind w:firstLine="420" w:firstLineChars="200"/>
        <w:rPr>
          <w:szCs w:val="21"/>
        </w:rPr>
      </w:pPr>
      <w:r>
        <w:rPr>
          <w:rFonts w:hint="eastAsia"/>
          <w:szCs w:val="21"/>
        </w:rPr>
        <w:t>（3）符合《财政部、司法部关于政府采购支持监狱企业发展有关问题的通知》（财库〔2014〕68号）规定的监狱企业，或符合《关于促进残疾人就业政府采购政策的通知》（财库〔2017〕141号）规定的残疾人福利性单位，视同小型、微型企业。</w:t>
      </w:r>
    </w:p>
    <w:p w14:paraId="2B8DB929">
      <w:pPr>
        <w:spacing w:before="120" w:line="320" w:lineRule="atLeast"/>
        <w:ind w:left="2" w:leftChars="1" w:firstLine="420" w:firstLineChars="200"/>
        <w:rPr>
          <w:rFonts w:hint="eastAsia"/>
          <w:szCs w:val="21"/>
        </w:rPr>
      </w:pPr>
      <w:r>
        <w:rPr>
          <w:rFonts w:hint="eastAsia"/>
          <w:szCs w:val="21"/>
        </w:rPr>
        <w:t>符合条件的货物制造商、工程施工单位、服务承接单位为监狱企业或残疾人福利性单位的，应按招标文件规定在投标文件中提供相关证明文件。</w:t>
      </w:r>
      <w:bookmarkEnd w:id="50"/>
    </w:p>
    <w:bookmarkEnd w:id="48"/>
    <w:p w14:paraId="01CA86F8">
      <w:pPr>
        <w:spacing w:before="120" w:line="320" w:lineRule="atLeast"/>
        <w:ind w:firstLine="422" w:firstLineChars="200"/>
        <w:outlineLvl w:val="2"/>
        <w:rPr>
          <w:b/>
          <w:bCs/>
          <w:kern w:val="0"/>
          <w:szCs w:val="21"/>
        </w:rPr>
      </w:pPr>
      <w:r>
        <w:rPr>
          <w:b/>
          <w:bCs/>
          <w:kern w:val="0"/>
          <w:szCs w:val="21"/>
        </w:rPr>
        <w:t>1.5</w:t>
      </w:r>
      <w:r>
        <w:rPr>
          <w:rFonts w:hint="eastAsia"/>
          <w:b/>
          <w:bCs/>
          <w:kern w:val="0"/>
          <w:szCs w:val="21"/>
        </w:rPr>
        <w:t>投标人</w:t>
      </w:r>
      <w:r>
        <w:rPr>
          <w:b/>
          <w:bCs/>
          <w:kern w:val="0"/>
          <w:szCs w:val="21"/>
        </w:rPr>
        <w:t>资格</w:t>
      </w:r>
      <w:r>
        <w:rPr>
          <w:rFonts w:hint="eastAsia"/>
          <w:b/>
          <w:bCs/>
          <w:kern w:val="0"/>
          <w:szCs w:val="21"/>
        </w:rPr>
        <w:t>要求</w:t>
      </w:r>
    </w:p>
    <w:p w14:paraId="0548A51F">
      <w:pPr>
        <w:spacing w:before="120" w:line="320" w:lineRule="atLeast"/>
        <w:ind w:firstLine="420" w:firstLineChars="200"/>
        <w:rPr>
          <w:szCs w:val="21"/>
        </w:rPr>
      </w:pPr>
      <w:r>
        <w:rPr>
          <w:szCs w:val="21"/>
        </w:rPr>
        <w:t>1.5.1</w:t>
      </w:r>
      <w:r>
        <w:rPr>
          <w:rFonts w:hint="eastAsia"/>
          <w:szCs w:val="21"/>
        </w:rPr>
        <w:t>投标人资格要求：详见投标人须知前附表</w:t>
      </w:r>
    </w:p>
    <w:p w14:paraId="55600B3B">
      <w:pPr>
        <w:spacing w:before="120" w:line="320" w:lineRule="atLeast"/>
        <w:ind w:firstLine="420" w:firstLineChars="200"/>
        <w:rPr>
          <w:szCs w:val="21"/>
        </w:rPr>
      </w:pPr>
      <w:r>
        <w:rPr>
          <w:szCs w:val="21"/>
        </w:rPr>
        <w:t>1.5.2按照招标公告的规定获得招标文件。</w:t>
      </w:r>
    </w:p>
    <w:p w14:paraId="59F822DF">
      <w:pPr>
        <w:spacing w:before="120" w:line="320" w:lineRule="atLeast"/>
        <w:ind w:firstLine="420" w:firstLineChars="200"/>
        <w:rPr>
          <w:szCs w:val="21"/>
        </w:rPr>
      </w:pPr>
      <w:r>
        <w:rPr>
          <w:szCs w:val="21"/>
        </w:rPr>
        <w:t>1.5.3本项目是否接受联合体投标，见“</w:t>
      </w:r>
      <w:r>
        <w:rPr>
          <w:rFonts w:hint="eastAsia"/>
          <w:szCs w:val="21"/>
        </w:rPr>
        <w:t>投标人</w:t>
      </w:r>
      <w:r>
        <w:rPr>
          <w:szCs w:val="21"/>
        </w:rPr>
        <w:t>须知前附表”规定。</w:t>
      </w:r>
    </w:p>
    <w:p w14:paraId="4018D206">
      <w:pPr>
        <w:spacing w:before="120" w:line="320" w:lineRule="atLeast"/>
        <w:ind w:firstLine="420" w:firstLineChars="200"/>
        <w:rPr>
          <w:szCs w:val="21"/>
        </w:rPr>
      </w:pPr>
      <w:r>
        <w:rPr>
          <w:rFonts w:hint="eastAsia"/>
          <w:szCs w:val="21"/>
        </w:rPr>
        <w:t xml:space="preserve">如接受联合体投标，联合体投标要求如下： </w:t>
      </w:r>
    </w:p>
    <w:p w14:paraId="104F16F3">
      <w:pPr>
        <w:spacing w:before="120" w:line="320" w:lineRule="atLeast"/>
        <w:ind w:firstLine="420" w:firstLineChars="200"/>
        <w:rPr>
          <w:szCs w:val="21"/>
        </w:rPr>
      </w:pPr>
      <w:r>
        <w:rPr>
          <w:szCs w:val="21"/>
        </w:rPr>
        <w:t>（1</w:t>
      </w:r>
      <w:r>
        <w:rPr>
          <w:rFonts w:hint="eastAsia"/>
          <w:szCs w:val="21"/>
        </w:rPr>
        <w:t>）供应商可以组成一个投标联合体，以一个</w:t>
      </w:r>
      <w:r>
        <w:rPr>
          <w:szCs w:val="21"/>
        </w:rPr>
        <w:t>供应商</w:t>
      </w:r>
      <w:r>
        <w:rPr>
          <w:rFonts w:hint="eastAsia"/>
          <w:szCs w:val="21"/>
        </w:rPr>
        <w:t>的身份共同参加投标。联合体投标的，须提供《联合体协议书》（格式后附）</w:t>
      </w:r>
    </w:p>
    <w:p w14:paraId="1FCBA63F">
      <w:pPr>
        <w:spacing w:before="120" w:line="320" w:lineRule="atLeast"/>
        <w:ind w:firstLine="420" w:firstLineChars="200"/>
        <w:rPr>
          <w:szCs w:val="21"/>
        </w:rPr>
      </w:pPr>
      <w:r>
        <w:rPr>
          <w:szCs w:val="21"/>
        </w:rPr>
        <w:t>（2</w:t>
      </w:r>
      <w:r>
        <w:rPr>
          <w:rFonts w:hint="eastAsia"/>
          <w:szCs w:val="21"/>
        </w:rPr>
        <w:t>）以联合体形式参加投标的，联合体各方均必须具备《中华人民共和国政府采购法》第二十二条第一款规定的基本条件。本项目有特殊要求规定供应商特定条件的，联合体各方中至少有一方必须符合招标文件规定的特定条件。</w:t>
      </w:r>
    </w:p>
    <w:p w14:paraId="76324481">
      <w:pPr>
        <w:spacing w:before="120" w:line="320" w:lineRule="atLeast"/>
        <w:ind w:firstLine="420" w:firstLineChars="200"/>
        <w:rPr>
          <w:szCs w:val="21"/>
        </w:rPr>
      </w:pPr>
      <w:r>
        <w:rPr>
          <w:szCs w:val="21"/>
        </w:rPr>
        <w:t>（3</w:t>
      </w:r>
      <w:r>
        <w:rPr>
          <w:rFonts w:hint="eastAsia"/>
          <w:szCs w:val="21"/>
        </w:rPr>
        <w:t>）联合体各方之间必须签订联合体协议，协议书必须明确主体方（或者牵头方）并明确约定联合体各方承担的工作和相应的责任，并将联合投标协议放入投标文件。联合体各方必须共同与采购人签订采购合同，就采购合同约定的事项对采购人承担连带责任。</w:t>
      </w:r>
    </w:p>
    <w:p w14:paraId="26805064">
      <w:pPr>
        <w:spacing w:before="120" w:line="320" w:lineRule="atLeast"/>
        <w:ind w:firstLine="420" w:firstLineChars="200"/>
        <w:rPr>
          <w:szCs w:val="21"/>
        </w:rPr>
      </w:pPr>
      <w:r>
        <w:rPr>
          <w:szCs w:val="21"/>
        </w:rPr>
        <w:t>（4</w:t>
      </w:r>
      <w:r>
        <w:rPr>
          <w:rFonts w:hint="eastAsia"/>
          <w:szCs w:val="21"/>
        </w:rPr>
        <w:t>）以联合体形式参加政府采购活动的，联合体各方不得再单独参加或者与其他供应商另外组成联合体参加同一合同项下的政府采购活动。</w:t>
      </w:r>
    </w:p>
    <w:p w14:paraId="6B7F0EE3">
      <w:pPr>
        <w:spacing w:before="120" w:line="320" w:lineRule="atLeast"/>
        <w:ind w:firstLine="420" w:firstLineChars="200"/>
        <w:rPr>
          <w:szCs w:val="21"/>
        </w:rPr>
      </w:pPr>
      <w:r>
        <w:rPr>
          <w:szCs w:val="21"/>
        </w:rPr>
        <w:t>（5</w:t>
      </w:r>
      <w:r>
        <w:rPr>
          <w:rFonts w:hint="eastAsia"/>
          <w:szCs w:val="21"/>
        </w:rPr>
        <w:t>）联合体中有同类资质的供应商按照联合体分工承担相同工作的，应当按照资质等级较低的供应商确定资质等级。</w:t>
      </w:r>
    </w:p>
    <w:p w14:paraId="553229EA">
      <w:pPr>
        <w:spacing w:before="120" w:line="320" w:lineRule="atLeast"/>
        <w:ind w:firstLine="420" w:firstLineChars="200"/>
        <w:rPr>
          <w:szCs w:val="21"/>
        </w:rPr>
      </w:pPr>
      <w:r>
        <w:rPr>
          <w:szCs w:val="21"/>
        </w:rPr>
        <w:t>（6</w:t>
      </w:r>
      <w:r>
        <w:rPr>
          <w:rFonts w:hint="eastAsia"/>
          <w:szCs w:val="21"/>
        </w:rPr>
        <w:t>）联合体投标业绩、履约能力按照联合体各方其中较高的一方认定并计算（招标文件其他章节另有规定的除外）。</w:t>
      </w:r>
    </w:p>
    <w:p w14:paraId="0DAA6E8A">
      <w:pPr>
        <w:spacing w:before="120" w:line="320" w:lineRule="atLeast"/>
        <w:ind w:firstLine="420" w:firstLineChars="200"/>
        <w:rPr>
          <w:szCs w:val="21"/>
        </w:rPr>
      </w:pPr>
      <w:r>
        <w:rPr>
          <w:szCs w:val="21"/>
        </w:rPr>
        <w:t>（7</w:t>
      </w:r>
      <w:r>
        <w:rPr>
          <w:rFonts w:hint="eastAsia"/>
          <w:szCs w:val="21"/>
        </w:rPr>
        <w:t>）供应商为联合体的，可以由联合体中的一方或者多方共同交纳投标保证金，其交纳的保证金对联合体各方均具有约束力。</w:t>
      </w:r>
    </w:p>
    <w:p w14:paraId="366C1CBB">
      <w:pPr>
        <w:spacing w:before="120" w:line="320" w:lineRule="atLeast"/>
        <w:ind w:firstLine="420" w:firstLineChars="200"/>
        <w:rPr>
          <w:szCs w:val="21"/>
        </w:rPr>
      </w:pPr>
      <w:r>
        <w:rPr>
          <w:szCs w:val="21"/>
        </w:rPr>
        <w:t>（8</w:t>
      </w:r>
      <w:r>
        <w:rPr>
          <w:rFonts w:hint="eastAsia"/>
          <w:szCs w:val="21"/>
        </w:rPr>
        <w:t>）联合体各方均应按照招标文件的规定提交资格证明文件。</w:t>
      </w:r>
    </w:p>
    <w:p w14:paraId="78F43105">
      <w:pPr>
        <w:spacing w:before="120" w:line="320" w:lineRule="atLeast"/>
        <w:ind w:firstLine="422" w:firstLineChars="200"/>
        <w:outlineLvl w:val="2"/>
        <w:rPr>
          <w:b/>
          <w:bCs/>
          <w:kern w:val="0"/>
          <w:szCs w:val="21"/>
        </w:rPr>
      </w:pPr>
      <w:bookmarkStart w:id="51" w:name="_Toc254970531"/>
      <w:bookmarkStart w:id="52" w:name="_Toc254970672"/>
      <w:r>
        <w:rPr>
          <w:b/>
          <w:bCs/>
          <w:kern w:val="0"/>
          <w:szCs w:val="21"/>
        </w:rPr>
        <w:t>1.6现场踏勘及投标费用</w:t>
      </w:r>
      <w:bookmarkEnd w:id="51"/>
      <w:bookmarkEnd w:id="52"/>
    </w:p>
    <w:p w14:paraId="61C796CB">
      <w:pPr>
        <w:spacing w:before="120" w:line="320" w:lineRule="atLeast"/>
        <w:ind w:firstLine="420" w:firstLineChars="200"/>
        <w:rPr>
          <w:szCs w:val="21"/>
        </w:rPr>
      </w:pPr>
      <w:r>
        <w:rPr>
          <w:szCs w:val="21"/>
        </w:rPr>
        <w:t>1.6.1前附表如规定现场踏勘的，供应商应按规定时间地点参加踏勘。</w:t>
      </w:r>
    </w:p>
    <w:p w14:paraId="385D1FD6">
      <w:pPr>
        <w:spacing w:before="120" w:line="320" w:lineRule="atLeast"/>
        <w:ind w:firstLine="420" w:firstLineChars="200"/>
        <w:rPr>
          <w:szCs w:val="21"/>
        </w:rPr>
      </w:pPr>
      <w:r>
        <w:rPr>
          <w:szCs w:val="21"/>
        </w:rPr>
        <w:t>1.6.2供应商均应自行承担所有与投标有关的全部费用（招标文件有相关的规定除外）。</w:t>
      </w:r>
    </w:p>
    <w:p w14:paraId="35AECF66">
      <w:pPr>
        <w:spacing w:before="120" w:line="320" w:lineRule="atLeast"/>
        <w:ind w:firstLine="422" w:firstLineChars="200"/>
        <w:outlineLvl w:val="2"/>
        <w:rPr>
          <w:b/>
          <w:bCs/>
          <w:kern w:val="0"/>
          <w:szCs w:val="21"/>
        </w:rPr>
      </w:pPr>
      <w:r>
        <w:rPr>
          <w:b/>
          <w:bCs/>
          <w:kern w:val="0"/>
          <w:szCs w:val="21"/>
        </w:rPr>
        <w:t>1.7转包与分包</w:t>
      </w:r>
    </w:p>
    <w:p w14:paraId="28735EAA">
      <w:pPr>
        <w:spacing w:before="120" w:line="320" w:lineRule="atLeast"/>
        <w:ind w:firstLine="420" w:firstLineChars="200"/>
        <w:rPr>
          <w:szCs w:val="21"/>
        </w:rPr>
      </w:pPr>
      <w:r>
        <w:rPr>
          <w:szCs w:val="21"/>
        </w:rPr>
        <w:t>1.7.1如</w:t>
      </w:r>
      <w:r>
        <w:rPr>
          <w:rFonts w:hint="eastAsia"/>
          <w:szCs w:val="21"/>
        </w:rPr>
        <w:t>招标</w:t>
      </w:r>
      <w:r>
        <w:rPr>
          <w:szCs w:val="21"/>
        </w:rPr>
        <w:t>文件其他地方无特别规定</w:t>
      </w:r>
      <w:r>
        <w:rPr>
          <w:rFonts w:hint="eastAsia"/>
          <w:szCs w:val="21"/>
        </w:rPr>
        <w:t>，</w:t>
      </w:r>
      <w:r>
        <w:rPr>
          <w:szCs w:val="21"/>
        </w:rPr>
        <w:t>本项目不允许转包。</w:t>
      </w:r>
    </w:p>
    <w:p w14:paraId="12E2C050">
      <w:pPr>
        <w:spacing w:before="120" w:line="320" w:lineRule="atLeast"/>
        <w:ind w:firstLine="420" w:firstLineChars="200"/>
        <w:rPr>
          <w:szCs w:val="21"/>
        </w:rPr>
      </w:pPr>
      <w:r>
        <w:rPr>
          <w:szCs w:val="21"/>
        </w:rPr>
        <w:t>1.7.2</w:t>
      </w:r>
      <w:r>
        <w:rPr>
          <w:rFonts w:hint="eastAsia"/>
          <w:szCs w:val="21"/>
        </w:rPr>
        <w:t>本项目是否允许分包详见“投标人须知前附表”，本项目不允许违法分包。供应商根据招标文件的规定和采购项目的实际情况，拟在中标后将中标项目的非主体、非关键性工作分包的，应当在投标文件中载明分包承担主体，分包承担主体应当具备相应资质条件且不得再次分包。</w:t>
      </w:r>
    </w:p>
    <w:p w14:paraId="1F8B2B3C">
      <w:pPr>
        <w:spacing w:before="120" w:line="276" w:lineRule="auto"/>
        <w:ind w:firstLine="422" w:firstLineChars="200"/>
        <w:outlineLvl w:val="2"/>
        <w:rPr>
          <w:b/>
          <w:bCs/>
          <w:kern w:val="0"/>
          <w:szCs w:val="21"/>
        </w:rPr>
      </w:pPr>
      <w:bookmarkStart w:id="53" w:name="_Toc254970532"/>
      <w:bookmarkStart w:id="54" w:name="_Toc254970673"/>
      <w:r>
        <w:rPr>
          <w:b/>
          <w:bCs/>
          <w:kern w:val="0"/>
          <w:szCs w:val="21"/>
        </w:rPr>
        <w:t>1.8特别说明</w:t>
      </w:r>
      <w:bookmarkEnd w:id="53"/>
      <w:bookmarkEnd w:id="54"/>
    </w:p>
    <w:p w14:paraId="7083123A">
      <w:pPr>
        <w:spacing w:line="276" w:lineRule="auto"/>
        <w:ind w:firstLine="420" w:firstLineChars="200"/>
        <w:rPr>
          <w:szCs w:val="21"/>
        </w:rPr>
      </w:pPr>
      <w:r>
        <w:rPr>
          <w:szCs w:val="21"/>
        </w:rPr>
        <w:t>1.8.1 供应商应保证其提供的联系方式（电话、传真、电子邮件）有效，以保证往来函件（澄清、修改等）能及时通知供应商，并能及时反馈，否则采购人</w:t>
      </w:r>
      <w:r>
        <w:rPr>
          <w:rFonts w:hint="eastAsia"/>
          <w:szCs w:val="21"/>
        </w:rPr>
        <w:t>及代理机构</w:t>
      </w:r>
      <w:r>
        <w:rPr>
          <w:szCs w:val="21"/>
        </w:rPr>
        <w:t>不承担由此引起的一切后果。</w:t>
      </w:r>
    </w:p>
    <w:p w14:paraId="31366033">
      <w:pPr>
        <w:spacing w:before="120" w:line="320" w:lineRule="atLeast"/>
        <w:ind w:firstLine="420" w:firstLineChars="200"/>
        <w:rPr>
          <w:szCs w:val="21"/>
        </w:rPr>
      </w:pPr>
      <w:r>
        <w:rPr>
          <w:szCs w:val="21"/>
        </w:rPr>
        <w:t>1.8.2供应商应仔细阅读招标文件的所有内容，按照招标文件的要求提交投标文件，并对所提供的全部资料的真实性承担法律责任。</w:t>
      </w:r>
    </w:p>
    <w:p w14:paraId="62F4C6E5">
      <w:pPr>
        <w:spacing w:before="120" w:line="320" w:lineRule="atLeast"/>
        <w:ind w:firstLine="420" w:firstLineChars="200"/>
        <w:rPr>
          <w:szCs w:val="21"/>
        </w:rPr>
      </w:pPr>
      <w:r>
        <w:rPr>
          <w:szCs w:val="21"/>
        </w:rPr>
        <w:t>1.8.3供应商在投标活动中提供任何虚假材料，</w:t>
      </w:r>
      <w:r>
        <w:rPr>
          <w:rFonts w:hint="eastAsia"/>
          <w:szCs w:val="21"/>
        </w:rPr>
        <w:t>将</w:t>
      </w:r>
      <w:r>
        <w:rPr>
          <w:szCs w:val="21"/>
        </w:rPr>
        <w:t xml:space="preserve">报监管部门查处； </w:t>
      </w:r>
    </w:p>
    <w:p w14:paraId="4572B661">
      <w:pPr>
        <w:spacing w:before="120" w:line="276" w:lineRule="auto"/>
        <w:ind w:firstLine="422" w:firstLineChars="200"/>
        <w:outlineLvl w:val="2"/>
        <w:rPr>
          <w:b/>
          <w:bCs/>
          <w:kern w:val="0"/>
          <w:szCs w:val="21"/>
          <w:highlight w:val="none"/>
        </w:rPr>
      </w:pPr>
      <w:r>
        <w:rPr>
          <w:rFonts w:hint="eastAsia"/>
          <w:b/>
          <w:bCs/>
          <w:kern w:val="0"/>
          <w:szCs w:val="21"/>
          <w:highlight w:val="none"/>
        </w:rPr>
        <w:t>1</w:t>
      </w:r>
      <w:r>
        <w:rPr>
          <w:b/>
          <w:bCs/>
          <w:kern w:val="0"/>
          <w:szCs w:val="21"/>
          <w:highlight w:val="none"/>
        </w:rPr>
        <w:t>.</w:t>
      </w:r>
      <w:r>
        <w:rPr>
          <w:rFonts w:hint="eastAsia"/>
          <w:b/>
          <w:bCs/>
          <w:kern w:val="0"/>
          <w:szCs w:val="21"/>
          <w:highlight w:val="none"/>
          <w:lang w:val="en-US" w:eastAsia="zh-CN"/>
        </w:rPr>
        <w:t xml:space="preserve">9 </w:t>
      </w:r>
      <w:r>
        <w:rPr>
          <w:rFonts w:hint="eastAsia"/>
          <w:b/>
          <w:bCs/>
          <w:kern w:val="0"/>
          <w:szCs w:val="21"/>
          <w:highlight w:val="none"/>
        </w:rPr>
        <w:t>对本国产品的支持政策</w:t>
      </w:r>
    </w:p>
    <w:p w14:paraId="1735F010">
      <w:pPr>
        <w:spacing w:before="120" w:line="360" w:lineRule="auto"/>
        <w:ind w:left="819" w:leftChars="190" w:hanging="420" w:hangingChars="200"/>
        <w:rPr>
          <w:rFonts w:hint="default"/>
          <w:szCs w:val="21"/>
          <w:highlight w:val="none"/>
          <w:lang w:val="en-US" w:eastAsia="zh-CN"/>
        </w:rPr>
      </w:pPr>
      <w:r>
        <w:rPr>
          <w:rFonts w:hint="eastAsia"/>
          <w:szCs w:val="21"/>
          <w:highlight w:val="none"/>
          <w:lang w:val="en-US" w:eastAsia="zh-CN"/>
        </w:rPr>
        <w:t>1.9.1</w:t>
      </w:r>
      <w:r>
        <w:rPr>
          <w:rFonts w:hint="default"/>
          <w:szCs w:val="21"/>
          <w:highlight w:val="none"/>
          <w:lang w:val="en-US" w:eastAsia="zh-CN"/>
        </w:rPr>
        <w:t>本国产品标准</w:t>
      </w:r>
    </w:p>
    <w:p w14:paraId="5C03F088">
      <w:pPr>
        <w:spacing w:line="276" w:lineRule="auto"/>
        <w:ind w:firstLine="420" w:firstLineChars="200"/>
        <w:rPr>
          <w:rFonts w:hint="eastAsia"/>
          <w:szCs w:val="21"/>
          <w:highlight w:val="none"/>
          <w:lang w:val="en-US" w:eastAsia="zh-CN"/>
        </w:rPr>
      </w:pPr>
      <w:r>
        <w:rPr>
          <w:rFonts w:hint="eastAsia"/>
          <w:szCs w:val="21"/>
          <w:highlight w:val="none"/>
          <w:lang w:val="en-US" w:eastAsia="zh-CN"/>
        </w:rPr>
        <w:t>“本国产品标准的产品”是指：符合《国务院办公厅关于在政府采购中实施本国产品标准及相关政策的通知》（国办发〔2025〕34号）规定的本国产品标准的产品。</w:t>
      </w:r>
    </w:p>
    <w:p w14:paraId="6558729A">
      <w:pPr>
        <w:spacing w:line="276" w:lineRule="auto"/>
        <w:ind w:firstLine="420" w:firstLineChars="200"/>
        <w:rPr>
          <w:rFonts w:hint="eastAsia"/>
          <w:szCs w:val="21"/>
          <w:highlight w:val="none"/>
          <w:lang w:val="en-US" w:eastAsia="zh-CN"/>
        </w:rPr>
      </w:pPr>
      <w:r>
        <w:rPr>
          <w:rFonts w:hint="eastAsia"/>
          <w:szCs w:val="21"/>
          <w:highlight w:val="none"/>
          <w:lang w:val="en-US" w:eastAsia="zh-CN"/>
        </w:rPr>
        <w:t>本国产品标准的产品应当符合以下条件：</w:t>
      </w:r>
    </w:p>
    <w:p w14:paraId="56BD0AAB">
      <w:pPr>
        <w:spacing w:line="276" w:lineRule="auto"/>
        <w:ind w:firstLine="420" w:firstLineChars="200"/>
        <w:rPr>
          <w:rFonts w:hint="default"/>
          <w:szCs w:val="21"/>
          <w:highlight w:val="none"/>
          <w:lang w:val="en-US" w:eastAsia="zh-CN"/>
        </w:rPr>
      </w:pPr>
      <w:r>
        <w:rPr>
          <w:rFonts w:hint="eastAsia"/>
          <w:szCs w:val="21"/>
          <w:highlight w:val="none"/>
          <w:lang w:val="en-US" w:eastAsia="zh-CN"/>
        </w:rPr>
        <w:t>（1）</w:t>
      </w:r>
      <w:r>
        <w:rPr>
          <w:rFonts w:hint="default"/>
          <w:szCs w:val="21"/>
          <w:highlight w:val="none"/>
          <w:lang w:val="en-US" w:eastAsia="zh-CN"/>
        </w:rPr>
        <w:t>在中国境内生产</w:t>
      </w:r>
      <w:r>
        <w:rPr>
          <w:rFonts w:hint="eastAsia"/>
          <w:szCs w:val="21"/>
          <w:highlight w:val="none"/>
          <w:lang w:val="en-US" w:eastAsia="zh-CN"/>
        </w:rPr>
        <w:t>。</w:t>
      </w:r>
      <w:r>
        <w:rPr>
          <w:rFonts w:hint="default"/>
          <w:szCs w:val="21"/>
          <w:highlight w:val="none"/>
          <w:lang w:val="en-US" w:eastAsia="zh-CN"/>
        </w:rPr>
        <w:t>产品应当在中国境内生产，即在中华人民共和国关境内</w:t>
      </w:r>
      <w:r>
        <w:rPr>
          <w:rFonts w:hint="eastAsia" w:ascii="Times New Roman" w:hAnsi="Times New Roman" w:eastAsia="宋体" w:cs="Times New Roman"/>
          <w:color w:val="auto"/>
          <w:kern w:val="2"/>
          <w:sz w:val="21"/>
          <w:szCs w:val="21"/>
          <w:highlight w:val="none"/>
          <w:lang w:val="en-US" w:eastAsia="zh-CN" w:bidi="ar-SA"/>
        </w:rPr>
        <w:t>（含保税区、综合保税区等海关特殊监管区域）</w:t>
      </w:r>
      <w:r>
        <w:rPr>
          <w:rFonts w:hint="default"/>
          <w:szCs w:val="21"/>
          <w:highlight w:val="none"/>
          <w:lang w:val="en-US" w:eastAsia="zh-CN"/>
        </w:rPr>
        <w:t>实现从原材料、组件到产品的属性改变；属性改变是指经过制造、加工或者组装等工序，产生完全不同于原材料、组件的新产品，并具有新的名称和特征（用途），属性改变不包括以下细微操作：</w:t>
      </w:r>
    </w:p>
    <w:p w14:paraId="0102001E">
      <w:pPr>
        <w:spacing w:line="276" w:lineRule="auto"/>
        <w:ind w:firstLine="420" w:firstLineChars="200"/>
        <w:rPr>
          <w:rFonts w:hint="default"/>
          <w:szCs w:val="21"/>
          <w:highlight w:val="none"/>
          <w:lang w:val="en-US" w:eastAsia="zh-CN"/>
        </w:rPr>
      </w:pPr>
      <w:r>
        <w:rPr>
          <w:rFonts w:hint="default"/>
          <w:szCs w:val="21"/>
          <w:highlight w:val="none"/>
          <w:lang w:val="en-US" w:eastAsia="zh-CN"/>
        </w:rPr>
        <w:t>①为确保产品在运输或者储存期间保持某种状态而进行的操作；</w:t>
      </w:r>
    </w:p>
    <w:p w14:paraId="4A58D069">
      <w:pPr>
        <w:spacing w:line="276" w:lineRule="auto"/>
        <w:ind w:firstLine="420" w:firstLineChars="200"/>
        <w:rPr>
          <w:rFonts w:hint="default"/>
          <w:szCs w:val="21"/>
          <w:highlight w:val="none"/>
          <w:lang w:val="en-US" w:eastAsia="zh-CN"/>
        </w:rPr>
      </w:pPr>
      <w:r>
        <w:rPr>
          <w:rFonts w:hint="default"/>
          <w:szCs w:val="21"/>
          <w:highlight w:val="none"/>
          <w:lang w:val="en-US" w:eastAsia="zh-CN"/>
        </w:rPr>
        <w:t>②为产品运输或者销售进行的包装或者展示；</w:t>
      </w:r>
    </w:p>
    <w:p w14:paraId="3272DA22">
      <w:pPr>
        <w:spacing w:line="276" w:lineRule="auto"/>
        <w:ind w:firstLine="420" w:firstLineChars="200"/>
        <w:rPr>
          <w:rFonts w:hint="default"/>
          <w:szCs w:val="21"/>
          <w:highlight w:val="none"/>
          <w:lang w:val="en-US" w:eastAsia="zh-CN"/>
        </w:rPr>
      </w:pPr>
      <w:r>
        <w:rPr>
          <w:rFonts w:hint="default"/>
          <w:szCs w:val="21"/>
          <w:highlight w:val="none"/>
          <w:lang w:val="en-US" w:eastAsia="zh-CN"/>
        </w:rPr>
        <w:t>③在产品或者其包装上粘贴或者印刷品牌、标志、标识以及其他用于区别的标记；</w:t>
      </w:r>
    </w:p>
    <w:p w14:paraId="153A2491">
      <w:pPr>
        <w:spacing w:line="276" w:lineRule="auto"/>
        <w:ind w:firstLine="420" w:firstLineChars="200"/>
        <w:rPr>
          <w:rFonts w:hint="default"/>
          <w:szCs w:val="21"/>
          <w:highlight w:val="none"/>
          <w:lang w:val="en-US" w:eastAsia="zh-CN"/>
        </w:rPr>
      </w:pPr>
      <w:r>
        <w:rPr>
          <w:rFonts w:hint="default"/>
          <w:szCs w:val="21"/>
          <w:highlight w:val="none"/>
          <w:lang w:val="en-US" w:eastAsia="zh-CN"/>
        </w:rPr>
        <w:t>④简单的上漆、磨光和分装；</w:t>
      </w:r>
    </w:p>
    <w:p w14:paraId="7D1505C8">
      <w:pPr>
        <w:spacing w:line="276" w:lineRule="auto"/>
        <w:ind w:firstLine="420" w:firstLineChars="200"/>
        <w:rPr>
          <w:rFonts w:hint="default"/>
          <w:szCs w:val="21"/>
          <w:highlight w:val="none"/>
          <w:lang w:val="en-US" w:eastAsia="zh-CN"/>
        </w:rPr>
      </w:pPr>
      <w:r>
        <w:rPr>
          <w:rFonts w:hint="default"/>
          <w:szCs w:val="21"/>
          <w:highlight w:val="none"/>
          <w:lang w:val="en-US" w:eastAsia="zh-CN"/>
        </w:rPr>
        <w:t>⑤其他不属于属性改变的情形；</w:t>
      </w:r>
    </w:p>
    <w:p w14:paraId="2FE38ACE">
      <w:pPr>
        <w:spacing w:line="276" w:lineRule="auto"/>
        <w:ind w:firstLine="420" w:firstLineChars="200"/>
        <w:rPr>
          <w:rFonts w:hint="eastAsia"/>
          <w:szCs w:val="21"/>
          <w:highlight w:val="none"/>
          <w:lang w:val="en-US" w:eastAsia="zh-CN"/>
        </w:rPr>
      </w:pPr>
      <w:r>
        <w:rPr>
          <w:rFonts w:hint="eastAsia"/>
          <w:szCs w:val="21"/>
          <w:highlight w:val="none"/>
          <w:lang w:val="en-US" w:eastAsia="zh-CN"/>
        </w:rPr>
        <w:t>（2）</w:t>
      </w:r>
      <w:r>
        <w:rPr>
          <w:rFonts w:hint="default"/>
          <w:szCs w:val="21"/>
          <w:highlight w:val="none"/>
          <w:lang w:val="en-US" w:eastAsia="zh-CN"/>
        </w:rPr>
        <w:t>中国境内生产的组件成本占比达到规定比例</w:t>
      </w:r>
      <w:r>
        <w:rPr>
          <w:rFonts w:hint="eastAsia"/>
          <w:szCs w:val="21"/>
          <w:highlight w:val="none"/>
          <w:lang w:val="en-US" w:eastAsia="zh-CN"/>
        </w:rPr>
        <w:t>。</w:t>
      </w:r>
    </w:p>
    <w:p w14:paraId="35274560">
      <w:pPr>
        <w:spacing w:line="276" w:lineRule="auto"/>
        <w:ind w:firstLine="420" w:firstLineChars="200"/>
        <w:rPr>
          <w:rFonts w:hint="eastAsia"/>
          <w:szCs w:val="21"/>
          <w:highlight w:val="none"/>
          <w:lang w:val="en-US" w:eastAsia="zh-CN"/>
        </w:rPr>
      </w:pPr>
      <w:r>
        <w:rPr>
          <w:rFonts w:hint="eastAsia"/>
          <w:szCs w:val="21"/>
          <w:highlight w:val="none"/>
          <w:lang w:val="en-US" w:eastAsia="zh-CN"/>
        </w:rPr>
        <w:t>①产品在中国境内生产的组件成本占比应当达到规定比例，计算公式为：产品在中国境内生产的组件成本/产品总成本≥规定比例；</w:t>
      </w:r>
    </w:p>
    <w:p w14:paraId="2761051E">
      <w:pPr>
        <w:spacing w:line="276" w:lineRule="auto"/>
        <w:ind w:firstLine="420" w:firstLineChars="200"/>
        <w:rPr>
          <w:rFonts w:hint="eastAsia"/>
          <w:szCs w:val="21"/>
          <w:highlight w:val="none"/>
          <w:lang w:val="en-US" w:eastAsia="zh-CN"/>
        </w:rPr>
      </w:pPr>
      <w:r>
        <w:rPr>
          <w:rFonts w:hint="eastAsia"/>
          <w:szCs w:val="21"/>
          <w:highlight w:val="none"/>
          <w:lang w:val="en-US" w:eastAsia="zh-CN"/>
        </w:rPr>
        <w:t>②产品在中国境内生产的组件成本，按照《中国境内生产的组件成本核算基本规则》计算；</w:t>
      </w:r>
    </w:p>
    <w:p w14:paraId="27020F74">
      <w:pPr>
        <w:spacing w:line="276" w:lineRule="auto"/>
        <w:ind w:firstLine="420" w:firstLineChars="200"/>
        <w:rPr>
          <w:rFonts w:hint="default"/>
          <w:szCs w:val="21"/>
          <w:highlight w:val="none"/>
          <w:lang w:val="en-US" w:eastAsia="zh-CN"/>
        </w:rPr>
      </w:pPr>
      <w:r>
        <w:rPr>
          <w:rFonts w:hint="eastAsia"/>
          <w:szCs w:val="21"/>
          <w:highlight w:val="none"/>
          <w:lang w:val="en-US" w:eastAsia="zh-CN"/>
        </w:rPr>
        <w:t>③中国境内生产的组件成本占比相关要求实施前，符合第（1）项条件的产品在政府采购活动中视同本国产品。</w:t>
      </w:r>
    </w:p>
    <w:p w14:paraId="6178B395">
      <w:pPr>
        <w:spacing w:line="276" w:lineRule="auto"/>
        <w:ind w:firstLine="420" w:firstLineChars="200"/>
        <w:rPr>
          <w:rFonts w:hint="default"/>
          <w:szCs w:val="21"/>
          <w:highlight w:val="none"/>
          <w:lang w:val="en-US" w:eastAsia="zh-CN"/>
        </w:rPr>
      </w:pPr>
      <w:r>
        <w:rPr>
          <w:rFonts w:hint="eastAsia"/>
          <w:szCs w:val="21"/>
          <w:highlight w:val="none"/>
          <w:lang w:val="en-US" w:eastAsia="zh-CN"/>
        </w:rPr>
        <w:t>（3）</w:t>
      </w:r>
      <w:r>
        <w:rPr>
          <w:rFonts w:hint="default"/>
          <w:szCs w:val="21"/>
          <w:highlight w:val="none"/>
          <w:lang w:val="en-US" w:eastAsia="zh-CN"/>
        </w:rPr>
        <w:t>特定产品的关键组件和工序在中国境内完成。</w:t>
      </w:r>
    </w:p>
    <w:p w14:paraId="423F8CFB">
      <w:pPr>
        <w:spacing w:line="276" w:lineRule="auto"/>
        <w:ind w:firstLine="420" w:firstLineChars="200"/>
        <w:rPr>
          <w:rFonts w:hint="eastAsia"/>
          <w:szCs w:val="21"/>
          <w:highlight w:val="none"/>
          <w:lang w:val="en-US" w:eastAsia="zh-CN"/>
        </w:rPr>
      </w:pPr>
      <w:r>
        <w:rPr>
          <w:rFonts w:hint="eastAsia"/>
          <w:szCs w:val="21"/>
          <w:highlight w:val="none"/>
          <w:lang w:val="en-US" w:eastAsia="zh-CN"/>
        </w:rPr>
        <w:t>①对特定产品，在符合第（1）项和第（2）项条件的基础上，应当符合财政部会同有关行业主管部门确定的其关键组件、关键工序在中国境内生产、完成等要求；</w:t>
      </w:r>
    </w:p>
    <w:p w14:paraId="29E41AF2">
      <w:pPr>
        <w:spacing w:line="276" w:lineRule="auto"/>
        <w:ind w:firstLine="420" w:firstLineChars="200"/>
        <w:rPr>
          <w:rFonts w:hint="default"/>
          <w:szCs w:val="21"/>
          <w:highlight w:val="none"/>
          <w:lang w:val="en-US" w:eastAsia="zh-CN"/>
        </w:rPr>
      </w:pPr>
      <w:r>
        <w:rPr>
          <w:rFonts w:hint="eastAsia"/>
          <w:szCs w:val="21"/>
          <w:highlight w:val="none"/>
          <w:lang w:val="en-US" w:eastAsia="zh-CN"/>
        </w:rPr>
        <w:t>②特定产品的关键组件、关键工序符合相关要求实施前，符合第（1）项和第（2）项条件的产品在政府采购活动中视同本国产品。</w:t>
      </w:r>
    </w:p>
    <w:p w14:paraId="42F34A8A">
      <w:pPr>
        <w:spacing w:before="120" w:line="360" w:lineRule="auto"/>
        <w:ind w:left="819" w:leftChars="190" w:hanging="420" w:hangingChars="200"/>
        <w:rPr>
          <w:rFonts w:hint="eastAsia"/>
          <w:szCs w:val="21"/>
          <w:highlight w:val="none"/>
          <w:lang w:val="en-US" w:eastAsia="zh-CN"/>
        </w:rPr>
      </w:pPr>
      <w:r>
        <w:rPr>
          <w:rFonts w:hint="eastAsia"/>
          <w:szCs w:val="21"/>
          <w:highlight w:val="none"/>
          <w:lang w:val="en-US" w:eastAsia="zh-CN"/>
        </w:rPr>
        <w:t>1.9.2 本国产品标准的适用范围</w:t>
      </w:r>
    </w:p>
    <w:p w14:paraId="59B82F87">
      <w:pPr>
        <w:spacing w:line="276" w:lineRule="auto"/>
        <w:ind w:firstLine="420" w:firstLineChars="200"/>
        <w:rPr>
          <w:rFonts w:hint="default"/>
          <w:szCs w:val="21"/>
          <w:highlight w:val="none"/>
          <w:lang w:val="en-US" w:eastAsia="zh-CN"/>
        </w:rPr>
      </w:pPr>
      <w:r>
        <w:rPr>
          <w:rFonts w:hint="default"/>
          <w:szCs w:val="21"/>
          <w:highlight w:val="none"/>
          <w:lang w:val="en-US" w:eastAsia="zh-CN"/>
        </w:rPr>
        <w:t>本国产品标准适用于货物，包括政府采购货物项目和服务项目中涉及的货物。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14:paraId="09E8DF9B">
      <w:pPr>
        <w:spacing w:line="276" w:lineRule="auto"/>
        <w:ind w:firstLine="422" w:firstLineChars="200"/>
        <w:rPr>
          <w:rFonts w:hint="default"/>
          <w:szCs w:val="21"/>
          <w:highlight w:val="none"/>
          <w:lang w:val="en-US" w:eastAsia="zh-CN"/>
        </w:rPr>
      </w:pPr>
      <w:r>
        <w:rPr>
          <w:rFonts w:hint="eastAsia"/>
          <w:b/>
          <w:bCs/>
          <w:szCs w:val="21"/>
          <w:highlight w:val="none"/>
          <w:lang w:val="en-US" w:eastAsia="zh-CN"/>
        </w:rPr>
        <w:t>本项目是否适用对本国产品的支持政策详见投标人须知前附表。</w:t>
      </w:r>
    </w:p>
    <w:p w14:paraId="6F1D138A">
      <w:pPr>
        <w:spacing w:line="276" w:lineRule="auto"/>
        <w:ind w:firstLine="420" w:firstLineChars="200"/>
        <w:rPr>
          <w:rFonts w:hint="default"/>
          <w:szCs w:val="21"/>
          <w:highlight w:val="none"/>
          <w:lang w:val="en-US" w:eastAsia="zh-CN"/>
        </w:rPr>
      </w:pPr>
      <w:r>
        <w:rPr>
          <w:rFonts w:hint="default"/>
          <w:szCs w:val="21"/>
          <w:highlight w:val="none"/>
          <w:lang w:val="en-US" w:eastAsia="zh-CN"/>
        </w:rPr>
        <w:t>中华人民共和国缔结或者共同参加的国际条约、协定对政府采购中本国产品政策另有规定的，按照有关条约、协定执行。</w:t>
      </w:r>
    </w:p>
    <w:p w14:paraId="18FAB59F">
      <w:pPr>
        <w:spacing w:before="120" w:line="320" w:lineRule="atLeast"/>
        <w:ind w:firstLine="420" w:firstLineChars="200"/>
        <w:rPr>
          <w:rFonts w:hint="default"/>
          <w:szCs w:val="21"/>
          <w:highlight w:val="none"/>
          <w:lang w:val="en-US" w:eastAsia="zh-CN"/>
        </w:rPr>
      </w:pPr>
      <w:r>
        <w:rPr>
          <w:rFonts w:hint="eastAsia"/>
          <w:szCs w:val="21"/>
          <w:highlight w:val="none"/>
          <w:lang w:val="en-US" w:eastAsia="zh-CN"/>
        </w:rPr>
        <w:t>1.9.3 价格评审优惠</w:t>
      </w:r>
    </w:p>
    <w:p w14:paraId="4B3D05C6">
      <w:pPr>
        <w:spacing w:before="120" w:line="320" w:lineRule="atLeast"/>
        <w:ind w:firstLine="420" w:firstLineChars="200"/>
        <w:rPr>
          <w:rFonts w:hint="eastAsia"/>
          <w:szCs w:val="21"/>
          <w:highlight w:val="none"/>
        </w:rPr>
      </w:pPr>
      <w:r>
        <w:rPr>
          <w:rFonts w:hint="eastAsia"/>
          <w:szCs w:val="21"/>
          <w:highlight w:val="none"/>
        </w:rPr>
        <w:t>既有本国产品又有非本国产品参与竞争的，依法对本国产品给予价格评审优惠，对本国产品的报价给予20%的价格扣除，用扣除后的价格参与评审。</w:t>
      </w:r>
    </w:p>
    <w:p w14:paraId="5E760CD3">
      <w:pPr>
        <w:spacing w:before="120" w:line="320" w:lineRule="atLeast"/>
        <w:ind w:firstLine="420" w:firstLineChars="200"/>
        <w:rPr>
          <w:rFonts w:hint="eastAsia"/>
          <w:szCs w:val="21"/>
          <w:highlight w:val="none"/>
        </w:rPr>
      </w:pPr>
      <w:r>
        <w:rPr>
          <w:rFonts w:hint="eastAsia"/>
          <w:szCs w:val="21"/>
          <w:highlight w:val="none"/>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2CB8898D">
      <w:pPr>
        <w:spacing w:before="120" w:line="320" w:lineRule="atLeast"/>
        <w:ind w:firstLine="420" w:firstLineChars="200"/>
        <w:rPr>
          <w:rFonts w:hint="eastAsia"/>
          <w:szCs w:val="21"/>
          <w:highlight w:val="none"/>
          <w:lang w:eastAsia="zh-CN"/>
        </w:rPr>
      </w:pPr>
      <w:r>
        <w:rPr>
          <w:rFonts w:hint="eastAsia"/>
          <w:szCs w:val="21"/>
          <w:highlight w:val="none"/>
        </w:rPr>
        <w:t>价格扣除比例在第四章评审方法及标准中规定</w:t>
      </w:r>
      <w:r>
        <w:rPr>
          <w:rFonts w:hint="eastAsia"/>
          <w:szCs w:val="21"/>
          <w:highlight w:val="none"/>
          <w:lang w:eastAsia="zh-CN"/>
        </w:rPr>
        <w:t>。</w:t>
      </w:r>
    </w:p>
    <w:p w14:paraId="5851C88A">
      <w:pPr>
        <w:spacing w:before="120" w:line="320" w:lineRule="atLeast"/>
        <w:ind w:firstLine="420" w:firstLineChars="200"/>
        <w:rPr>
          <w:rFonts w:hint="eastAsia"/>
          <w:szCs w:val="21"/>
          <w:highlight w:val="none"/>
          <w:lang w:val="en-US" w:eastAsia="zh-CN"/>
        </w:rPr>
      </w:pPr>
      <w:r>
        <w:rPr>
          <w:rFonts w:hint="eastAsia"/>
          <w:szCs w:val="21"/>
          <w:highlight w:val="none"/>
          <w:lang w:val="en-US" w:eastAsia="zh-CN"/>
        </w:rPr>
        <w:t>1.9.4政策执行要求</w:t>
      </w:r>
    </w:p>
    <w:p w14:paraId="0BCF661E">
      <w:pPr>
        <w:spacing w:before="120" w:line="320" w:lineRule="atLeast"/>
        <w:ind w:firstLine="420" w:firstLineChars="200"/>
        <w:rPr>
          <w:rFonts w:hint="eastAsia"/>
          <w:szCs w:val="21"/>
          <w:highlight w:val="none"/>
          <w:lang w:val="en-US" w:eastAsia="zh-CN"/>
        </w:rPr>
      </w:pPr>
      <w:r>
        <w:rPr>
          <w:rFonts w:hint="eastAsia"/>
          <w:szCs w:val="21"/>
          <w:highlight w:val="none"/>
          <w:lang w:val="en-US" w:eastAsia="zh-CN"/>
        </w:rPr>
        <w:t>1.9.4.1产品在中国境内生产的组件成本核算规则：产品在中国境内生产的组件成本，按照《中国境内生产的组件成本核算基本规则》计算。</w:t>
      </w:r>
    </w:p>
    <w:p w14:paraId="0E3E6822">
      <w:pPr>
        <w:spacing w:before="120" w:line="360" w:lineRule="auto"/>
        <w:ind w:firstLine="2520" w:firstLineChars="1200"/>
        <w:rPr>
          <w:rFonts w:hint="eastAsia"/>
          <w:szCs w:val="21"/>
          <w:highlight w:val="none"/>
          <w:lang w:eastAsia="zh-CN"/>
        </w:rPr>
      </w:pPr>
      <w:r>
        <w:rPr>
          <w:rFonts w:hint="eastAsia" w:eastAsia="宋体"/>
          <w:szCs w:val="21"/>
          <w:highlight w:val="none"/>
          <w:lang w:eastAsia="zh-CN"/>
        </w:rPr>
        <w:t>《中国境内生产的组件成本核算基本规则》</w:t>
      </w:r>
    </w:p>
    <w:p w14:paraId="26FF60BE">
      <w:pPr>
        <w:spacing w:before="120" w:line="240" w:lineRule="auto"/>
        <w:ind w:firstLine="420" w:firstLineChars="200"/>
        <w:rPr>
          <w:rFonts w:hint="eastAsia"/>
          <w:szCs w:val="21"/>
          <w:highlight w:val="none"/>
        </w:rPr>
      </w:pPr>
      <w:r>
        <w:rPr>
          <w:rFonts w:hint="eastAsia"/>
          <w:szCs w:val="21"/>
          <w:highlight w:val="none"/>
        </w:rPr>
        <w:t>产品在中国境内生产的组件成本，一般按照其二级组件的相关成本进行核算。按照产品的一级组件进行成本核算能够满足中国境内生产的组件成本判定需求的，可以按照一级组件的相关成本进行核算。</w:t>
      </w:r>
    </w:p>
    <w:p w14:paraId="5128A678">
      <w:pPr>
        <w:numPr>
          <w:ilvl w:val="0"/>
          <w:numId w:val="0"/>
        </w:numPr>
        <w:spacing w:before="120" w:line="240" w:lineRule="auto"/>
        <w:ind w:firstLine="420" w:firstLineChars="200"/>
        <w:rPr>
          <w:rFonts w:hint="eastAsia"/>
          <w:szCs w:val="21"/>
          <w:highlight w:val="none"/>
        </w:rPr>
      </w:pPr>
      <w:r>
        <w:rPr>
          <w:rFonts w:hint="eastAsia"/>
          <w:szCs w:val="21"/>
          <w:highlight w:val="none"/>
          <w:lang w:val="en-US" w:eastAsia="zh-CN"/>
        </w:rPr>
        <w:t>1.</w:t>
      </w:r>
      <w:r>
        <w:rPr>
          <w:rFonts w:hint="eastAsia"/>
          <w:szCs w:val="21"/>
          <w:highlight w:val="none"/>
        </w:rPr>
        <w:t>产品的一级组件是指直接组成产品的组件。产品的二级组件是指直接组成产品一级组件的组件。一级组件不可分解的，视同二级组件。</w:t>
      </w:r>
    </w:p>
    <w:p w14:paraId="5262BAC1">
      <w:pPr>
        <w:numPr>
          <w:ilvl w:val="0"/>
          <w:numId w:val="0"/>
        </w:numPr>
        <w:spacing w:before="120" w:line="240" w:lineRule="auto"/>
        <w:ind w:firstLine="420" w:firstLineChars="200"/>
        <w:rPr>
          <w:rFonts w:hint="eastAsia"/>
          <w:szCs w:val="21"/>
          <w:highlight w:val="none"/>
        </w:rPr>
      </w:pPr>
      <w:r>
        <w:rPr>
          <w:rFonts w:hint="eastAsia" w:ascii="Times New Roman" w:eastAsia="宋体"/>
          <w:szCs w:val="21"/>
          <w:highlight w:val="none"/>
          <w:lang w:val="en-US" w:eastAsia="zh-CN"/>
        </w:rPr>
        <w:t>2.</w:t>
      </w:r>
      <w:r>
        <w:rPr>
          <w:rFonts w:hint="eastAsia"/>
          <w:szCs w:val="21"/>
          <w:highlight w:val="none"/>
        </w:rPr>
        <w:t>二级组件在中国境内生产的，其全部成本计入中国境内生产的组件成本；二级组件不在中国境内生产的，其成本不计入中国境内生产的组件成本。</w:t>
      </w:r>
    </w:p>
    <w:p w14:paraId="17470F88">
      <w:pPr>
        <w:spacing w:before="120" w:line="240" w:lineRule="auto"/>
        <w:ind w:firstLine="420" w:firstLineChars="200"/>
        <w:rPr>
          <w:rFonts w:hint="eastAsia"/>
          <w:szCs w:val="21"/>
          <w:highlight w:val="none"/>
        </w:rPr>
      </w:pPr>
      <w:r>
        <w:rPr>
          <w:rFonts w:hint="eastAsia" w:ascii="Times New Roman" w:eastAsia="宋体"/>
          <w:szCs w:val="21"/>
          <w:highlight w:val="none"/>
          <w:lang w:val="en-US" w:eastAsia="zh-CN"/>
        </w:rPr>
        <w:t>3.</w:t>
      </w:r>
      <w:r>
        <w:rPr>
          <w:rFonts w:hint="eastAsia"/>
          <w:szCs w:val="21"/>
          <w:highlight w:val="none"/>
        </w:rPr>
        <w:t>产品总成本和组件成本以相关会计核算数据、采购合同、进货记录等为基础进行计算。</w:t>
      </w:r>
    </w:p>
    <w:p w14:paraId="7B0DA4B9">
      <w:pPr>
        <w:spacing w:before="120" w:line="240" w:lineRule="auto"/>
        <w:ind w:firstLine="420" w:firstLineChars="200"/>
        <w:rPr>
          <w:rFonts w:hint="eastAsia"/>
          <w:szCs w:val="21"/>
          <w:highlight w:val="none"/>
          <w:lang w:val="en-US" w:eastAsia="zh-CN"/>
        </w:rPr>
      </w:pPr>
      <w:r>
        <w:rPr>
          <w:rFonts w:hint="eastAsia" w:ascii="Times New Roman" w:eastAsia="宋体"/>
          <w:szCs w:val="21"/>
          <w:highlight w:val="none"/>
          <w:lang w:val="en-US" w:eastAsia="zh-CN"/>
        </w:rPr>
        <w:t>4.</w:t>
      </w:r>
      <w:r>
        <w:rPr>
          <w:rFonts w:hint="eastAsia"/>
          <w:szCs w:val="21"/>
          <w:highlight w:val="none"/>
        </w:rPr>
        <w:t>需要对成本核算规则予以进一步明确的其他有关事项，由财政部会同有关部门另行规定。</w:t>
      </w:r>
    </w:p>
    <w:p w14:paraId="5A5BAF2D">
      <w:pPr>
        <w:spacing w:before="120" w:line="320" w:lineRule="atLeast"/>
        <w:ind w:firstLine="420" w:firstLineChars="200"/>
        <w:rPr>
          <w:rFonts w:hint="eastAsia"/>
          <w:szCs w:val="21"/>
          <w:highlight w:val="none"/>
          <w:lang w:val="en-US" w:eastAsia="zh-CN"/>
        </w:rPr>
      </w:pPr>
      <w:r>
        <w:rPr>
          <w:rFonts w:hint="eastAsia"/>
          <w:szCs w:val="21"/>
          <w:highlight w:val="none"/>
          <w:lang w:val="en-US" w:eastAsia="zh-CN"/>
        </w:rPr>
        <w:t>1.9.4.2证明材料</w:t>
      </w:r>
      <w:r>
        <w:rPr>
          <w:rFonts w:hint="eastAsia"/>
          <w:color w:val="auto"/>
          <w:szCs w:val="21"/>
          <w:highlight w:val="none"/>
          <w:lang w:val="en-US" w:eastAsia="zh-CN"/>
        </w:rPr>
        <w:t>提交与审查</w:t>
      </w:r>
      <w:r>
        <w:rPr>
          <w:rFonts w:hint="eastAsia"/>
          <w:szCs w:val="21"/>
          <w:highlight w:val="none"/>
          <w:lang w:val="en-US" w:eastAsia="zh-CN"/>
        </w:rPr>
        <w:t>：供应商需在投标（响应）文件中对其提供的产品出具《关于符合本国产品标准的声明函》（样式见投标文件格式）或财政部会同有关部门规定的有关证明文件。</w:t>
      </w:r>
      <w:r>
        <w:rPr>
          <w:rFonts w:hint="eastAsia"/>
          <w:b/>
          <w:bCs/>
          <w:color w:val="auto"/>
          <w:szCs w:val="21"/>
          <w:highlight w:val="none"/>
          <w:lang w:val="en-US" w:eastAsia="zh-CN"/>
        </w:rPr>
        <w:t>医疗器械产品凭药品监督管理部门授予的准字号注册证直接认定属于在中国境内生产的产品。</w:t>
      </w:r>
      <w:r>
        <w:rPr>
          <w:rFonts w:hint="eastAsia"/>
          <w:szCs w:val="21"/>
          <w:highlight w:val="none"/>
          <w:lang w:val="en-US" w:eastAsia="zh-CN"/>
        </w:rPr>
        <w:t>出具符合要求的《声明函》或有关证明文件的，该产品视为本国产品，采购人、采购代理机构不得再要求供应商提供其他证明材料。供应商提供虚假《声明函》、虚假证明文件谋取中标、成交的，依照《中华人民共和国政府采购法》等法律法规规定追究相应责任。采购人、采购代理机构应当随中标、成交结果同时公告中标、成交供应商提供的《声明函》或有关证明文件。</w:t>
      </w:r>
    </w:p>
    <w:p w14:paraId="1D2E3370">
      <w:pPr>
        <w:pStyle w:val="19"/>
        <w:ind w:firstLine="420" w:firstLineChars="200"/>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评审委员会应对《声明函》的完整性、准确性进行审查，对《声明函》内容含义不明确、同类事项与投标（响应）文件表述不一致或存在明显文字错误的，应</w:t>
      </w:r>
      <w:r>
        <w:rPr>
          <w:rFonts w:hint="eastAsia" w:cs="Times New Roman"/>
          <w:color w:val="auto"/>
          <w:kern w:val="2"/>
          <w:sz w:val="21"/>
          <w:szCs w:val="21"/>
          <w:highlight w:val="none"/>
          <w:lang w:val="en-US" w:eastAsia="zh-CN" w:bidi="ar-SA"/>
        </w:rPr>
        <w:t>当</w:t>
      </w:r>
      <w:r>
        <w:rPr>
          <w:rFonts w:hint="eastAsia" w:ascii="Times New Roman" w:hAnsi="Times New Roman" w:eastAsia="宋体" w:cs="Times New Roman"/>
          <w:color w:val="auto"/>
          <w:kern w:val="2"/>
          <w:sz w:val="21"/>
          <w:szCs w:val="21"/>
          <w:highlight w:val="none"/>
          <w:lang w:val="en-US" w:eastAsia="zh-CN" w:bidi="ar-SA"/>
        </w:rPr>
        <w:t>以书面形式要求供应商澄清、说明或者补正；</w:t>
      </w:r>
      <w:r>
        <w:rPr>
          <w:rFonts w:hint="eastAsia" w:cs="Times New Roman"/>
          <w:color w:val="auto"/>
          <w:kern w:val="2"/>
          <w:sz w:val="21"/>
          <w:szCs w:val="21"/>
          <w:highlight w:val="none"/>
          <w:lang w:val="en-US" w:eastAsia="zh-CN" w:bidi="ar-SA"/>
        </w:rPr>
        <w:t>经</w:t>
      </w:r>
      <w:r>
        <w:rPr>
          <w:rFonts w:hint="eastAsia" w:ascii="Times New Roman" w:hAnsi="Times New Roman" w:eastAsia="宋体" w:cs="Times New Roman"/>
          <w:color w:val="auto"/>
          <w:kern w:val="2"/>
          <w:sz w:val="21"/>
          <w:szCs w:val="21"/>
          <w:highlight w:val="none"/>
          <w:lang w:val="en-US" w:eastAsia="zh-CN" w:bidi="ar-SA"/>
        </w:rPr>
        <w:t>澄清、说明或者补正后仍不符合要求的，不认定为本国产品。</w:t>
      </w:r>
    </w:p>
    <w:p w14:paraId="69C1BF47">
      <w:pPr>
        <w:pStyle w:val="19"/>
        <w:ind w:firstLine="420" w:firstLineChars="200"/>
        <w:rPr>
          <w:rFonts w:hint="default"/>
          <w:color w:val="auto"/>
          <w:sz w:val="21"/>
          <w:szCs w:val="21"/>
          <w:lang w:val="en-US" w:eastAsia="zh-CN"/>
        </w:rPr>
      </w:pPr>
      <w:r>
        <w:rPr>
          <w:rFonts w:hint="eastAsia"/>
          <w:color w:val="auto"/>
          <w:sz w:val="21"/>
          <w:szCs w:val="21"/>
          <w:lang w:val="en-US" w:eastAsia="zh-CN"/>
        </w:rPr>
        <w:t>澄清补正应当按照“6.3.3澄清、说明或补正”的规定提交。</w:t>
      </w:r>
    </w:p>
    <w:p w14:paraId="1C22056C">
      <w:pPr>
        <w:pStyle w:val="19"/>
        <w:ind w:firstLine="420" w:firstLineChars="200"/>
        <w:rPr>
          <w:rFonts w:hint="eastAsia"/>
          <w:color w:val="auto"/>
          <w:sz w:val="21"/>
          <w:szCs w:val="21"/>
          <w:highlight w:val="none"/>
          <w:lang w:val="en-US" w:eastAsia="zh-CN"/>
        </w:rPr>
      </w:pPr>
      <w:r>
        <w:rPr>
          <w:rFonts w:hint="eastAsia"/>
          <w:color w:val="auto"/>
          <w:sz w:val="21"/>
          <w:szCs w:val="21"/>
          <w:highlight w:val="none"/>
          <w:lang w:val="en-US" w:eastAsia="zh-CN"/>
        </w:rPr>
        <w:t>1.9.4.3成本核算与承诺</w:t>
      </w:r>
    </w:p>
    <w:p w14:paraId="36EC83CE">
      <w:pPr>
        <w:pStyle w:val="19"/>
        <w:ind w:firstLine="420" w:firstLineChars="200"/>
        <w:rPr>
          <w:rFonts w:hint="default" w:ascii="Times New Roman" w:hAnsi="Times New Roman" w:eastAsia="宋体" w:cs="Times New Roman"/>
          <w:color w:val="1F497D" w:themeColor="text2"/>
          <w:kern w:val="2"/>
          <w:sz w:val="21"/>
          <w:szCs w:val="21"/>
          <w:highlight w:val="none"/>
          <w:lang w:val="en-US" w:eastAsia="zh-CN" w:bidi="ar-SA"/>
          <w14:textFill>
            <w14:solidFill>
              <w14:schemeClr w14:val="tx2"/>
            </w14:solidFill>
          </w14:textFill>
        </w:rPr>
      </w:pPr>
      <w:r>
        <w:rPr>
          <w:rFonts w:hint="default" w:ascii="Times New Roman" w:hAnsi="Times New Roman" w:eastAsia="宋体" w:cs="Times New Roman"/>
          <w:color w:val="auto"/>
          <w:kern w:val="2"/>
          <w:sz w:val="21"/>
          <w:szCs w:val="21"/>
          <w:highlight w:val="none"/>
          <w:lang w:val="en-US" w:eastAsia="zh-CN" w:bidi="ar-SA"/>
        </w:rPr>
        <w:t>供应商应依据《中国境内生产的组件成本核算基本规则》核算产品成本占比，并对核算结果负责，按要求提交《</w:t>
      </w:r>
      <w:r>
        <w:rPr>
          <w:rFonts w:hint="eastAsia" w:cs="Times New Roman"/>
          <w:color w:val="auto"/>
          <w:kern w:val="2"/>
          <w:sz w:val="21"/>
          <w:szCs w:val="21"/>
          <w:highlight w:val="none"/>
          <w:lang w:val="en-US" w:eastAsia="zh-CN" w:bidi="ar-SA"/>
        </w:rPr>
        <w:t>关于符合</w:t>
      </w:r>
      <w:r>
        <w:rPr>
          <w:rFonts w:hint="default" w:ascii="Times New Roman" w:hAnsi="Times New Roman" w:eastAsia="宋体" w:cs="Times New Roman"/>
          <w:color w:val="auto"/>
          <w:kern w:val="2"/>
          <w:sz w:val="21"/>
          <w:szCs w:val="21"/>
          <w:highlight w:val="none"/>
          <w:lang w:val="en-US" w:eastAsia="zh-CN" w:bidi="ar-SA"/>
        </w:rPr>
        <w:t>本国产品</w:t>
      </w:r>
      <w:r>
        <w:rPr>
          <w:rFonts w:hint="eastAsia" w:cs="Times New Roman"/>
          <w:color w:val="auto"/>
          <w:kern w:val="2"/>
          <w:sz w:val="21"/>
          <w:szCs w:val="21"/>
          <w:highlight w:val="none"/>
          <w:lang w:val="en-US" w:eastAsia="zh-CN" w:bidi="ar-SA"/>
        </w:rPr>
        <w:t>标准的</w:t>
      </w:r>
      <w:r>
        <w:rPr>
          <w:rFonts w:hint="default" w:ascii="Times New Roman" w:hAnsi="Times New Roman" w:eastAsia="宋体" w:cs="Times New Roman"/>
          <w:color w:val="auto"/>
          <w:kern w:val="2"/>
          <w:sz w:val="21"/>
          <w:szCs w:val="21"/>
          <w:highlight w:val="none"/>
          <w:lang w:val="en-US" w:eastAsia="zh-CN" w:bidi="ar-SA"/>
        </w:rPr>
        <w:t>成本占比承诺函》</w:t>
      </w:r>
      <w:r>
        <w:rPr>
          <w:rFonts w:hint="eastAsia" w:cs="Times New Roman"/>
          <w:color w:val="auto"/>
          <w:kern w:val="2"/>
          <w:sz w:val="21"/>
          <w:szCs w:val="21"/>
          <w:highlight w:val="none"/>
          <w:lang w:val="en-US" w:eastAsia="zh-CN" w:bidi="ar-SA"/>
        </w:rPr>
        <w:t>（如适用）</w:t>
      </w:r>
      <w:r>
        <w:rPr>
          <w:rFonts w:hint="default" w:ascii="Times New Roman" w:hAnsi="Times New Roman" w:eastAsia="宋体" w:cs="Times New Roman"/>
          <w:color w:val="auto"/>
          <w:kern w:val="2"/>
          <w:sz w:val="21"/>
          <w:szCs w:val="21"/>
          <w:highlight w:val="none"/>
          <w:lang w:val="en-US" w:eastAsia="zh-CN" w:bidi="ar-SA"/>
        </w:rPr>
        <w:t>（参考模板</w:t>
      </w:r>
      <w:r>
        <w:rPr>
          <w:rFonts w:hint="eastAsia" w:cs="Times New Roman"/>
          <w:color w:val="auto"/>
          <w:kern w:val="2"/>
          <w:sz w:val="21"/>
          <w:szCs w:val="21"/>
          <w:highlight w:val="none"/>
          <w:lang w:val="en-US" w:eastAsia="zh-CN" w:bidi="ar-SA"/>
        </w:rPr>
        <w:t>详见投标文件格式</w:t>
      </w:r>
      <w:r>
        <w:rPr>
          <w:rFonts w:hint="default" w:ascii="Times New Roman" w:hAnsi="Times New Roman" w:eastAsia="宋体" w:cs="Times New Roman"/>
          <w:color w:val="auto"/>
          <w:kern w:val="2"/>
          <w:sz w:val="21"/>
          <w:szCs w:val="21"/>
          <w:highlight w:val="none"/>
          <w:lang w:val="en-US" w:eastAsia="zh-CN" w:bidi="ar-SA"/>
        </w:rPr>
        <w:t>）。相关成本核算的原始凭证应妥善留存，以备核查。采购人可在履约验收环节对相关材料进行抽查。</w:t>
      </w:r>
    </w:p>
    <w:p w14:paraId="333F5497">
      <w:pPr>
        <w:spacing w:before="120" w:line="320" w:lineRule="atLeast"/>
        <w:ind w:firstLine="420" w:firstLineChars="200"/>
        <w:rPr>
          <w:rFonts w:hint="default"/>
          <w:szCs w:val="21"/>
          <w:highlight w:val="none"/>
          <w:lang w:val="en-US" w:eastAsia="zh-CN"/>
        </w:rPr>
      </w:pPr>
      <w:r>
        <w:rPr>
          <w:rFonts w:hint="eastAsia"/>
          <w:szCs w:val="21"/>
          <w:highlight w:val="none"/>
          <w:lang w:val="en-US" w:eastAsia="zh-CN"/>
        </w:rPr>
        <w:t>1.9.5 争议处理</w:t>
      </w:r>
    </w:p>
    <w:p w14:paraId="3846620F">
      <w:pPr>
        <w:spacing w:before="120" w:line="320" w:lineRule="atLeast"/>
        <w:ind w:firstLine="420" w:firstLineChars="200"/>
        <w:rPr>
          <w:rFonts w:hint="eastAsia"/>
          <w:szCs w:val="21"/>
          <w:highlight w:val="yellow"/>
          <w:lang w:val="en-US" w:eastAsia="zh-CN"/>
        </w:rPr>
      </w:pPr>
      <w:r>
        <w:rPr>
          <w:rFonts w:hint="eastAsia"/>
          <w:szCs w:val="21"/>
          <w:highlight w:val="none"/>
          <w:lang w:val="en-US" w:eastAsia="zh-CN"/>
        </w:rPr>
        <w:t>政府采购投诉处理、监督检查中，相关供应商及制造商未按上述要求提供证明材料或提供的材料不足以证明产品符合本国产品标准的，不应当享受对本国产品的政府采购支持政策，由此影响或者可能影响采购结果的，财政部门按照政府采购相关法律法规规定等处理。</w:t>
      </w:r>
    </w:p>
    <w:p w14:paraId="270E85D0">
      <w:pPr>
        <w:spacing w:before="120" w:line="320" w:lineRule="atLeast"/>
        <w:ind w:left="2" w:leftChars="1" w:firstLine="422" w:firstLineChars="200"/>
        <w:outlineLvl w:val="1"/>
        <w:rPr>
          <w:b/>
          <w:bCs/>
          <w:kern w:val="0"/>
          <w:szCs w:val="21"/>
        </w:rPr>
      </w:pPr>
      <w:bookmarkStart w:id="55" w:name="_Toc254970534"/>
      <w:bookmarkStart w:id="56" w:name="_Toc254970675"/>
      <w:r>
        <w:rPr>
          <w:b/>
          <w:bCs/>
          <w:kern w:val="0"/>
          <w:szCs w:val="21"/>
        </w:rPr>
        <w:t>2．招标文件</w:t>
      </w:r>
      <w:bookmarkEnd w:id="55"/>
      <w:bookmarkEnd w:id="56"/>
    </w:p>
    <w:p w14:paraId="1D0E762B">
      <w:pPr>
        <w:spacing w:before="120" w:line="320" w:lineRule="atLeast"/>
        <w:ind w:firstLine="422" w:firstLineChars="200"/>
        <w:outlineLvl w:val="2"/>
        <w:rPr>
          <w:b/>
          <w:bCs/>
          <w:kern w:val="0"/>
          <w:szCs w:val="21"/>
        </w:rPr>
      </w:pPr>
      <w:r>
        <w:rPr>
          <w:b/>
          <w:bCs/>
          <w:kern w:val="0"/>
          <w:szCs w:val="21"/>
        </w:rPr>
        <w:t>2.1招标文件的构成</w:t>
      </w:r>
    </w:p>
    <w:p w14:paraId="25E9068D">
      <w:pPr>
        <w:spacing w:before="120" w:line="320" w:lineRule="atLeast"/>
        <w:ind w:firstLine="420" w:firstLineChars="200"/>
        <w:rPr>
          <w:szCs w:val="21"/>
        </w:rPr>
      </w:pPr>
      <w:r>
        <w:rPr>
          <w:szCs w:val="21"/>
        </w:rPr>
        <w:t>第一章 招标公告</w:t>
      </w:r>
    </w:p>
    <w:p w14:paraId="35093529">
      <w:pPr>
        <w:spacing w:before="120" w:line="320" w:lineRule="atLeast"/>
        <w:ind w:firstLine="420" w:firstLineChars="200"/>
        <w:rPr>
          <w:szCs w:val="21"/>
        </w:rPr>
      </w:pPr>
      <w:r>
        <w:rPr>
          <w:szCs w:val="21"/>
        </w:rPr>
        <w:t>第二章 采购需求</w:t>
      </w:r>
    </w:p>
    <w:p w14:paraId="743FCC22">
      <w:pPr>
        <w:spacing w:before="120" w:line="320" w:lineRule="atLeast"/>
        <w:ind w:firstLine="420" w:firstLineChars="200"/>
        <w:rPr>
          <w:szCs w:val="21"/>
        </w:rPr>
      </w:pPr>
      <w:r>
        <w:rPr>
          <w:szCs w:val="21"/>
        </w:rPr>
        <w:t xml:space="preserve">第三章 </w:t>
      </w:r>
      <w:r>
        <w:rPr>
          <w:rFonts w:hint="eastAsia"/>
          <w:szCs w:val="21"/>
        </w:rPr>
        <w:t>投标人</w:t>
      </w:r>
      <w:r>
        <w:rPr>
          <w:szCs w:val="21"/>
        </w:rPr>
        <w:t>须知</w:t>
      </w:r>
    </w:p>
    <w:p w14:paraId="6B699570">
      <w:pPr>
        <w:spacing w:before="120" w:line="320" w:lineRule="atLeast"/>
        <w:ind w:firstLine="420" w:firstLineChars="200"/>
        <w:rPr>
          <w:szCs w:val="21"/>
        </w:rPr>
      </w:pPr>
      <w:r>
        <w:rPr>
          <w:szCs w:val="21"/>
        </w:rPr>
        <w:t>第四章 评审方法及标准</w:t>
      </w:r>
    </w:p>
    <w:p w14:paraId="3385409F">
      <w:pPr>
        <w:spacing w:before="120" w:line="320" w:lineRule="atLeast"/>
        <w:ind w:firstLine="420" w:firstLineChars="200"/>
        <w:rPr>
          <w:szCs w:val="21"/>
        </w:rPr>
      </w:pPr>
      <w:r>
        <w:rPr>
          <w:szCs w:val="21"/>
        </w:rPr>
        <w:t>第五章 合同主要条款格式</w:t>
      </w:r>
    </w:p>
    <w:p w14:paraId="7DE04479">
      <w:pPr>
        <w:spacing w:before="120" w:line="320" w:lineRule="atLeast"/>
        <w:ind w:firstLine="420" w:firstLineChars="200"/>
        <w:rPr>
          <w:szCs w:val="21"/>
        </w:rPr>
      </w:pPr>
      <w:r>
        <w:rPr>
          <w:szCs w:val="21"/>
        </w:rPr>
        <w:t>第六章 投标文件格式</w:t>
      </w:r>
    </w:p>
    <w:p w14:paraId="21E068B9">
      <w:pPr>
        <w:spacing w:before="120" w:line="320" w:lineRule="atLeast"/>
        <w:ind w:firstLine="422" w:firstLineChars="200"/>
        <w:outlineLvl w:val="2"/>
        <w:rPr>
          <w:b/>
          <w:bCs/>
          <w:kern w:val="0"/>
          <w:szCs w:val="21"/>
        </w:rPr>
      </w:pPr>
      <w:r>
        <w:rPr>
          <w:b/>
          <w:bCs/>
          <w:kern w:val="0"/>
          <w:szCs w:val="21"/>
        </w:rPr>
        <w:t>2.2</w:t>
      </w:r>
      <w:r>
        <w:rPr>
          <w:rFonts w:hint="eastAsia"/>
          <w:b/>
          <w:bCs/>
          <w:kern w:val="0"/>
          <w:szCs w:val="21"/>
        </w:rPr>
        <w:t>投标人</w:t>
      </w:r>
      <w:r>
        <w:rPr>
          <w:b/>
          <w:bCs/>
          <w:kern w:val="0"/>
          <w:szCs w:val="21"/>
        </w:rPr>
        <w:t>的风险</w:t>
      </w:r>
    </w:p>
    <w:p w14:paraId="7BE49901">
      <w:pPr>
        <w:spacing w:before="120" w:line="320" w:lineRule="atLeast"/>
        <w:ind w:firstLine="420" w:firstLineChars="200"/>
        <w:rPr>
          <w:szCs w:val="21"/>
        </w:rPr>
      </w:pPr>
      <w:r>
        <w:rPr>
          <w:rFonts w:hint="eastAsia"/>
          <w:szCs w:val="21"/>
        </w:rPr>
        <w:t>投标人</w:t>
      </w:r>
      <w:r>
        <w:rPr>
          <w:szCs w:val="21"/>
        </w:rPr>
        <w:t>没有按照招标文件要求提供全部资料，或者</w:t>
      </w:r>
      <w:r>
        <w:rPr>
          <w:rFonts w:hint="eastAsia"/>
          <w:szCs w:val="21"/>
        </w:rPr>
        <w:t>投标人</w:t>
      </w:r>
      <w:r>
        <w:rPr>
          <w:szCs w:val="21"/>
        </w:rPr>
        <w:t>没有对招标文件在各方面作出实质性响应是</w:t>
      </w:r>
      <w:r>
        <w:rPr>
          <w:rFonts w:hint="eastAsia"/>
          <w:szCs w:val="21"/>
        </w:rPr>
        <w:t>投标人</w:t>
      </w:r>
      <w:r>
        <w:rPr>
          <w:szCs w:val="21"/>
        </w:rPr>
        <w:t>的风险，并可能导致其投标被否决。</w:t>
      </w:r>
    </w:p>
    <w:p w14:paraId="1C754BAE">
      <w:pPr>
        <w:spacing w:before="120" w:line="320" w:lineRule="atLeast"/>
        <w:ind w:firstLine="422" w:firstLineChars="200"/>
        <w:outlineLvl w:val="2"/>
        <w:rPr>
          <w:b/>
          <w:szCs w:val="21"/>
        </w:rPr>
      </w:pPr>
      <w:r>
        <w:rPr>
          <w:b/>
          <w:bCs/>
          <w:kern w:val="0"/>
          <w:szCs w:val="21"/>
        </w:rPr>
        <w:t>2.3招标文件的澄清与修改</w:t>
      </w:r>
    </w:p>
    <w:p w14:paraId="64BF78FB">
      <w:pPr>
        <w:spacing w:before="120" w:line="320" w:lineRule="atLeast"/>
        <w:ind w:firstLine="420" w:firstLineChars="200"/>
        <w:rPr>
          <w:szCs w:val="21"/>
        </w:rPr>
      </w:pPr>
      <w:r>
        <w:rPr>
          <w:szCs w:val="21"/>
        </w:rPr>
        <w:t>2.3.1</w:t>
      </w:r>
      <w:r>
        <w:rPr>
          <w:rFonts w:hint="eastAsia"/>
          <w:szCs w:val="21"/>
        </w:rPr>
        <w:t>任何已获得招标文件的潜在投标人，均可</w:t>
      </w:r>
      <w:r>
        <w:rPr>
          <w:szCs w:val="21"/>
        </w:rPr>
        <w:t>以书面形式要求采购代理机构作出书面解释、澄清</w:t>
      </w:r>
      <w:r>
        <w:rPr>
          <w:rFonts w:hint="eastAsia"/>
          <w:szCs w:val="21"/>
        </w:rPr>
        <w:t>。</w:t>
      </w:r>
    </w:p>
    <w:p w14:paraId="0CE94C93">
      <w:pPr>
        <w:spacing w:before="120" w:line="320" w:lineRule="atLeast"/>
        <w:ind w:firstLine="420" w:firstLineChars="200"/>
        <w:rPr>
          <w:szCs w:val="21"/>
        </w:rPr>
      </w:pPr>
      <w:r>
        <w:rPr>
          <w:szCs w:val="21"/>
        </w:rPr>
        <w:t>2.3.2</w:t>
      </w:r>
      <w:r>
        <w:rPr>
          <w:rFonts w:hint="eastAsia"/>
          <w:szCs w:val="21"/>
        </w:rPr>
        <w:t>采购人或者采购代理机构可以对已发出的招标文件进行必要的澄清或者修改。澄清或者修改的内容可能影响投标文件编制的，采购人或者采购代理机构应当在投标截止时间至少15日前，</w:t>
      </w:r>
      <w:bookmarkStart w:id="57" w:name="_Hlk132790706"/>
      <w:r>
        <w:rPr>
          <w:rFonts w:hint="eastAsia"/>
          <w:szCs w:val="21"/>
        </w:rPr>
        <w:t>在投标人须知前附表规定的方式通知所有获取招标文件的潜在投标人</w:t>
      </w:r>
      <w:bookmarkEnd w:id="57"/>
      <w:r>
        <w:rPr>
          <w:rFonts w:hint="eastAsia"/>
          <w:szCs w:val="21"/>
        </w:rPr>
        <w:t>；不足15日的，采购人或者采购代理机构应当顺延提交投标文件的截止时间。</w:t>
      </w:r>
    </w:p>
    <w:p w14:paraId="2D8D745F">
      <w:pPr>
        <w:spacing w:before="120" w:line="320" w:lineRule="atLeast"/>
        <w:ind w:firstLine="420" w:firstLineChars="200"/>
        <w:rPr>
          <w:szCs w:val="21"/>
        </w:rPr>
      </w:pPr>
      <w:r>
        <w:rPr>
          <w:szCs w:val="21"/>
        </w:rPr>
        <w:t>2.3.3招标文件澄清、答复、修改、补充的内容为招标文件的组成部分。当招标文件与招标文件的答复、澄清、修改、补充通知就同一内容的表述不一致时，以最后发出的公告或书面文件为准。</w:t>
      </w:r>
    </w:p>
    <w:p w14:paraId="160F9701">
      <w:pPr>
        <w:spacing w:before="120" w:line="320" w:lineRule="atLeast"/>
        <w:ind w:left="2" w:leftChars="1" w:firstLine="422" w:firstLineChars="200"/>
        <w:outlineLvl w:val="1"/>
        <w:rPr>
          <w:b/>
          <w:bCs/>
          <w:kern w:val="0"/>
          <w:szCs w:val="21"/>
        </w:rPr>
      </w:pPr>
      <w:bookmarkStart w:id="58" w:name="_Toc254970676"/>
      <w:bookmarkStart w:id="59" w:name="_Toc254970535"/>
      <w:r>
        <w:rPr>
          <w:b/>
          <w:bCs/>
          <w:kern w:val="0"/>
          <w:szCs w:val="21"/>
        </w:rPr>
        <w:t>3．投标文件</w:t>
      </w:r>
      <w:bookmarkEnd w:id="58"/>
      <w:bookmarkEnd w:id="59"/>
    </w:p>
    <w:p w14:paraId="0335BDD9">
      <w:pPr>
        <w:spacing w:before="120" w:line="320" w:lineRule="atLeast"/>
        <w:ind w:firstLine="422" w:firstLineChars="200"/>
        <w:outlineLvl w:val="2"/>
        <w:rPr>
          <w:b/>
          <w:bCs/>
          <w:kern w:val="0"/>
          <w:szCs w:val="21"/>
        </w:rPr>
      </w:pPr>
      <w:bookmarkStart w:id="60" w:name="_Toc254970677"/>
      <w:bookmarkStart w:id="61" w:name="_Toc254970536"/>
      <w:r>
        <w:rPr>
          <w:b/>
          <w:bCs/>
          <w:kern w:val="0"/>
          <w:szCs w:val="21"/>
        </w:rPr>
        <w:t>3.1投标文件的组成</w:t>
      </w:r>
      <w:bookmarkEnd w:id="60"/>
      <w:bookmarkEnd w:id="61"/>
    </w:p>
    <w:p w14:paraId="32D4612A">
      <w:pPr>
        <w:spacing w:before="120" w:line="320" w:lineRule="atLeast"/>
        <w:ind w:firstLine="420" w:firstLineChars="200"/>
        <w:rPr>
          <w:szCs w:val="21"/>
        </w:rPr>
      </w:pPr>
      <w:r>
        <w:rPr>
          <w:szCs w:val="21"/>
        </w:rPr>
        <w:t>投标文件由第六章“投标文件格式”规定的</w:t>
      </w:r>
      <w:r>
        <w:rPr>
          <w:rFonts w:hint="eastAsia"/>
          <w:szCs w:val="21"/>
        </w:rPr>
        <w:t>内容</w:t>
      </w:r>
      <w:r>
        <w:rPr>
          <w:szCs w:val="21"/>
        </w:rPr>
        <w:t>和</w:t>
      </w:r>
      <w:r>
        <w:rPr>
          <w:rFonts w:hint="eastAsia"/>
          <w:szCs w:val="21"/>
        </w:rPr>
        <w:t>投标人</w:t>
      </w:r>
      <w:r>
        <w:rPr>
          <w:szCs w:val="21"/>
        </w:rPr>
        <w:t>所作的一切有效补充、修改和承诺等文件组成</w:t>
      </w:r>
      <w:r>
        <w:rPr>
          <w:rFonts w:hint="eastAsia"/>
          <w:szCs w:val="21"/>
        </w:rPr>
        <w:t>。</w:t>
      </w:r>
    </w:p>
    <w:p w14:paraId="4C43688F">
      <w:pPr>
        <w:spacing w:before="120" w:line="320" w:lineRule="atLeast"/>
        <w:ind w:firstLine="422" w:firstLineChars="200"/>
        <w:outlineLvl w:val="2"/>
        <w:rPr>
          <w:b/>
          <w:bCs/>
          <w:kern w:val="0"/>
          <w:szCs w:val="21"/>
        </w:rPr>
      </w:pPr>
      <w:bookmarkStart w:id="62" w:name="_Toc254970678"/>
      <w:bookmarkStart w:id="63" w:name="_Toc254970537"/>
      <w:r>
        <w:rPr>
          <w:b/>
          <w:szCs w:val="21"/>
        </w:rPr>
        <w:t>3.2</w:t>
      </w:r>
      <w:r>
        <w:rPr>
          <w:b/>
          <w:bCs/>
          <w:kern w:val="0"/>
          <w:szCs w:val="21"/>
        </w:rPr>
        <w:t>投标文件的语言及计量</w:t>
      </w:r>
      <w:bookmarkEnd w:id="62"/>
      <w:bookmarkEnd w:id="63"/>
    </w:p>
    <w:p w14:paraId="0167F91B">
      <w:pPr>
        <w:spacing w:before="120" w:line="320" w:lineRule="atLeast"/>
        <w:ind w:firstLine="420" w:firstLineChars="200"/>
        <w:rPr>
          <w:szCs w:val="21"/>
        </w:rPr>
      </w:pPr>
      <w:r>
        <w:rPr>
          <w:szCs w:val="21"/>
        </w:rPr>
        <w:t>3.2.1</w:t>
      </w:r>
      <w:r>
        <w:rPr>
          <w:rFonts w:hint="eastAsia"/>
          <w:szCs w:val="21"/>
        </w:rPr>
        <w:t>投标文件以及投标人与采购人就有关投标事宜的所有来往函电，均应以中文书写（除专用术语外，与招标投标有关的语言均使用中文。必要时专用术语应附有中文注释）。供应商提交的支持文件和印刷的文献可以使用别的语言，但其相应内容应同时附中文翻译文本，在解释投标文件时以中文翻译文本为主。对不同文字文本投标文件的解释发生异议的，以中文文本为准。</w:t>
      </w:r>
    </w:p>
    <w:p w14:paraId="0B4AD02A">
      <w:pPr>
        <w:spacing w:before="120" w:line="320" w:lineRule="atLeast"/>
        <w:ind w:firstLine="420" w:firstLineChars="200"/>
        <w:rPr>
          <w:szCs w:val="21"/>
        </w:rPr>
      </w:pPr>
      <w:r>
        <w:rPr>
          <w:szCs w:val="21"/>
        </w:rPr>
        <w:t>3.2.2计量单位招标文件已有明确规定的，投标使用招标文件规定的计量单位；招标文件没有规定的，应采用中华人民共和国法定计量单位。</w:t>
      </w:r>
    </w:p>
    <w:p w14:paraId="1FF47B4F">
      <w:pPr>
        <w:spacing w:before="120" w:line="320" w:lineRule="atLeast"/>
        <w:ind w:firstLine="422" w:firstLineChars="200"/>
        <w:outlineLvl w:val="2"/>
        <w:rPr>
          <w:b/>
          <w:bCs/>
          <w:kern w:val="0"/>
          <w:szCs w:val="21"/>
        </w:rPr>
      </w:pPr>
      <w:bookmarkStart w:id="64" w:name="_Toc254970679"/>
      <w:bookmarkStart w:id="65" w:name="_Toc254970538"/>
      <w:r>
        <w:rPr>
          <w:b/>
          <w:bCs/>
          <w:kern w:val="0"/>
          <w:szCs w:val="21"/>
        </w:rPr>
        <w:t>3.3投标报价</w:t>
      </w:r>
      <w:bookmarkEnd w:id="64"/>
      <w:bookmarkEnd w:id="65"/>
    </w:p>
    <w:p w14:paraId="345F2C6E">
      <w:pPr>
        <w:spacing w:before="120" w:line="320" w:lineRule="atLeast"/>
        <w:ind w:firstLine="420" w:firstLineChars="200"/>
        <w:rPr>
          <w:szCs w:val="21"/>
        </w:rPr>
      </w:pPr>
      <w:r>
        <w:rPr>
          <w:szCs w:val="21"/>
        </w:rPr>
        <w:t>3.3.1投标报价应按招标文件中相关附表格式填写。</w:t>
      </w:r>
    </w:p>
    <w:p w14:paraId="1BFE9F46">
      <w:pPr>
        <w:spacing w:before="120" w:line="320" w:lineRule="atLeast"/>
        <w:ind w:firstLine="420" w:firstLineChars="200"/>
        <w:rPr>
          <w:szCs w:val="21"/>
        </w:rPr>
      </w:pPr>
      <w:r>
        <w:rPr>
          <w:szCs w:val="21"/>
        </w:rPr>
        <w:t>3.3.2投标文件只允许有一个报价，有选择的或有条件的报价将不予接受。</w:t>
      </w:r>
    </w:p>
    <w:p w14:paraId="43C529F2">
      <w:pPr>
        <w:suppressAutoHyphens/>
        <w:spacing w:before="120" w:line="320" w:lineRule="atLeast"/>
        <w:ind w:firstLine="420" w:firstLineChars="200"/>
        <w:rPr>
          <w:kern w:val="1"/>
          <w:szCs w:val="21"/>
        </w:rPr>
      </w:pPr>
      <w:r>
        <w:rPr>
          <w:kern w:val="1"/>
          <w:szCs w:val="21"/>
        </w:rPr>
        <w:t>3.3.3对于本文件中未列明，而</w:t>
      </w:r>
      <w:r>
        <w:rPr>
          <w:rFonts w:hint="eastAsia"/>
          <w:kern w:val="1"/>
          <w:szCs w:val="21"/>
        </w:rPr>
        <w:t>投标人</w:t>
      </w:r>
      <w:r>
        <w:rPr>
          <w:kern w:val="1"/>
          <w:szCs w:val="21"/>
        </w:rPr>
        <w:t>认为必需的费用也需列入</w:t>
      </w:r>
      <w:r>
        <w:rPr>
          <w:rFonts w:hint="eastAsia"/>
          <w:kern w:val="1"/>
          <w:szCs w:val="21"/>
        </w:rPr>
        <w:t>投标报价</w:t>
      </w:r>
      <w:r>
        <w:rPr>
          <w:kern w:val="1"/>
          <w:szCs w:val="21"/>
        </w:rPr>
        <w:t>。在合同实施时，采购人将不予支付中标人没有列入的项目费用，并认为此项目的费用已包括在</w:t>
      </w:r>
      <w:r>
        <w:rPr>
          <w:rFonts w:hint="eastAsia"/>
          <w:kern w:val="1"/>
          <w:szCs w:val="21"/>
        </w:rPr>
        <w:t>投标报价</w:t>
      </w:r>
      <w:r>
        <w:rPr>
          <w:kern w:val="1"/>
          <w:szCs w:val="21"/>
        </w:rPr>
        <w:t>中。</w:t>
      </w:r>
    </w:p>
    <w:p w14:paraId="7A03766C">
      <w:pPr>
        <w:suppressAutoHyphens/>
        <w:spacing w:before="120" w:line="320" w:lineRule="atLeast"/>
        <w:ind w:firstLine="420" w:firstLineChars="200"/>
        <w:rPr>
          <w:b/>
          <w:bCs/>
          <w:kern w:val="1"/>
          <w:szCs w:val="21"/>
        </w:rPr>
      </w:pPr>
      <w:r>
        <w:rPr>
          <w:rFonts w:hint="eastAsia"/>
          <w:kern w:val="1"/>
          <w:szCs w:val="21"/>
        </w:rPr>
        <w:t>3</w:t>
      </w:r>
      <w:r>
        <w:rPr>
          <w:kern w:val="1"/>
          <w:szCs w:val="21"/>
        </w:rPr>
        <w:t>.3.4</w:t>
      </w:r>
      <w:r>
        <w:rPr>
          <w:rFonts w:hint="eastAsia"/>
          <w:kern w:val="1"/>
          <w:szCs w:val="21"/>
        </w:rPr>
        <w:t>采购人不接受供应商给予的赠品、回扣或者与采购无关的其他商品、服务。</w:t>
      </w:r>
    </w:p>
    <w:p w14:paraId="02BEAA7E">
      <w:pPr>
        <w:spacing w:before="120" w:line="320" w:lineRule="atLeast"/>
        <w:ind w:firstLine="422" w:firstLineChars="200"/>
        <w:outlineLvl w:val="2"/>
        <w:rPr>
          <w:b/>
          <w:bCs/>
          <w:kern w:val="0"/>
          <w:szCs w:val="21"/>
        </w:rPr>
      </w:pPr>
      <w:r>
        <w:rPr>
          <w:b/>
          <w:bCs/>
          <w:kern w:val="0"/>
          <w:szCs w:val="21"/>
        </w:rPr>
        <w:t>3.4投标有效期</w:t>
      </w:r>
    </w:p>
    <w:p w14:paraId="593D9EC8">
      <w:pPr>
        <w:spacing w:before="120" w:line="320" w:lineRule="atLeast"/>
        <w:ind w:firstLine="420" w:firstLineChars="200"/>
        <w:rPr>
          <w:szCs w:val="21"/>
        </w:rPr>
      </w:pPr>
      <w:r>
        <w:rPr>
          <w:szCs w:val="21"/>
        </w:rPr>
        <w:t>3.4.1如招标文件其他地方无特别规定</w:t>
      </w:r>
      <w:r>
        <w:rPr>
          <w:rFonts w:hint="eastAsia"/>
          <w:szCs w:val="21"/>
        </w:rPr>
        <w:t>，</w:t>
      </w:r>
      <w:r>
        <w:rPr>
          <w:szCs w:val="21"/>
        </w:rPr>
        <w:t>投标有效期则为投标截止之日起90天</w:t>
      </w:r>
      <w:r>
        <w:rPr>
          <w:rFonts w:hint="eastAsia"/>
          <w:szCs w:val="21"/>
        </w:rPr>
        <w:t>。</w:t>
      </w:r>
      <w:r>
        <w:rPr>
          <w:szCs w:val="21"/>
        </w:rPr>
        <w:t>在投标有效期内投标文件应保持有效。</w:t>
      </w:r>
      <w:r>
        <w:rPr>
          <w:b/>
          <w:bCs/>
          <w:szCs w:val="21"/>
        </w:rPr>
        <w:t>有效期不足的投标文件将被否决</w:t>
      </w:r>
      <w:r>
        <w:rPr>
          <w:szCs w:val="21"/>
        </w:rPr>
        <w:t>。</w:t>
      </w:r>
    </w:p>
    <w:p w14:paraId="36633161">
      <w:pPr>
        <w:spacing w:before="120" w:line="320" w:lineRule="atLeast"/>
        <w:ind w:firstLine="420" w:firstLineChars="200"/>
        <w:rPr>
          <w:szCs w:val="21"/>
        </w:rPr>
      </w:pPr>
      <w:r>
        <w:rPr>
          <w:szCs w:val="21"/>
        </w:rPr>
        <w:t>3.4.2在特殊情况下，采购人可与</w:t>
      </w:r>
      <w:r>
        <w:rPr>
          <w:rFonts w:hint="eastAsia"/>
          <w:szCs w:val="21"/>
        </w:rPr>
        <w:t>投标人</w:t>
      </w:r>
      <w:r>
        <w:rPr>
          <w:szCs w:val="21"/>
        </w:rPr>
        <w:t>协商延长投标文件的有效期，这种要求和答复均以书面形式进行。</w:t>
      </w:r>
    </w:p>
    <w:p w14:paraId="26EF3546">
      <w:pPr>
        <w:spacing w:before="120" w:line="320" w:lineRule="atLeast"/>
        <w:ind w:firstLine="420" w:firstLineChars="200"/>
        <w:rPr>
          <w:szCs w:val="21"/>
        </w:rPr>
      </w:pPr>
      <w:r>
        <w:rPr>
          <w:szCs w:val="21"/>
        </w:rPr>
        <w:t>3.4.3</w:t>
      </w:r>
      <w:r>
        <w:rPr>
          <w:rFonts w:hint="eastAsia"/>
          <w:szCs w:val="21"/>
        </w:rPr>
        <w:t>投标人同意</w:t>
      </w:r>
      <w:r>
        <w:rPr>
          <w:rFonts w:hint="eastAsia"/>
          <w:szCs w:val="21"/>
          <w:lang w:eastAsia="zh-CN"/>
        </w:rPr>
        <w:t>延长</w:t>
      </w:r>
      <w:r>
        <w:rPr>
          <w:rFonts w:hint="eastAsia"/>
          <w:szCs w:val="21"/>
        </w:rPr>
        <w:t>投标有效期的，如本项目要求提交保证金则应相应延长其投标保证金的有效期，但不得要求或被允许修改或撤销其投标文件；投标人拒绝延长的，其投标无效，但投标人有权收回其投标保证金。</w:t>
      </w:r>
    </w:p>
    <w:p w14:paraId="07344972">
      <w:pPr>
        <w:spacing w:before="120" w:line="320" w:lineRule="atLeast"/>
        <w:ind w:firstLine="422" w:firstLineChars="200"/>
        <w:outlineLvl w:val="2"/>
        <w:rPr>
          <w:b/>
          <w:bCs/>
          <w:kern w:val="0"/>
          <w:szCs w:val="21"/>
        </w:rPr>
      </w:pPr>
      <w:bookmarkStart w:id="66" w:name="_Toc254970682"/>
      <w:bookmarkStart w:id="67" w:name="_Toc254970541"/>
      <w:r>
        <w:rPr>
          <w:b/>
          <w:bCs/>
          <w:kern w:val="0"/>
          <w:szCs w:val="21"/>
        </w:rPr>
        <w:t>3.5投标保证金</w:t>
      </w:r>
      <w:bookmarkEnd w:id="66"/>
      <w:bookmarkEnd w:id="67"/>
    </w:p>
    <w:p w14:paraId="60EA5C05">
      <w:pPr>
        <w:spacing w:before="120" w:line="320" w:lineRule="atLeast"/>
        <w:ind w:firstLine="420" w:firstLineChars="200"/>
        <w:rPr>
          <w:szCs w:val="21"/>
        </w:rPr>
      </w:pPr>
      <w:r>
        <w:rPr>
          <w:szCs w:val="21"/>
        </w:rPr>
        <w:t>3.5.1</w:t>
      </w:r>
      <w:r>
        <w:rPr>
          <w:rFonts w:hint="eastAsia"/>
          <w:szCs w:val="21"/>
        </w:rPr>
        <w:t>投标人</w:t>
      </w:r>
      <w:r>
        <w:rPr>
          <w:szCs w:val="21"/>
        </w:rPr>
        <w:t>须按须知前附表规定提交投标保证金，</w:t>
      </w:r>
      <w:r>
        <w:rPr>
          <w:b/>
          <w:bCs/>
          <w:szCs w:val="21"/>
        </w:rPr>
        <w:t>否则其投标将被否决</w:t>
      </w:r>
      <w:r>
        <w:rPr>
          <w:szCs w:val="21"/>
        </w:rPr>
        <w:t>。除招标文件规定不予退还保证金的情形外，代理机构在规定时间内退回</w:t>
      </w:r>
      <w:r>
        <w:rPr>
          <w:rFonts w:hint="eastAsia"/>
          <w:szCs w:val="21"/>
        </w:rPr>
        <w:t>投标人</w:t>
      </w:r>
      <w:r>
        <w:rPr>
          <w:szCs w:val="21"/>
        </w:rPr>
        <w:t>的投标保证金（</w:t>
      </w:r>
      <w:r>
        <w:rPr>
          <w:rFonts w:hint="eastAsia"/>
          <w:szCs w:val="21"/>
        </w:rPr>
        <w:t>投标人</w:t>
      </w:r>
      <w:r>
        <w:rPr>
          <w:szCs w:val="21"/>
        </w:rPr>
        <w:t>自行承担因未按</w:t>
      </w:r>
      <w:r>
        <w:rPr>
          <w:rFonts w:hint="eastAsia"/>
          <w:szCs w:val="21"/>
        </w:rPr>
        <w:t>投标人须知</w:t>
      </w:r>
      <w:r>
        <w:rPr>
          <w:szCs w:val="21"/>
        </w:rPr>
        <w:t>前附表要求交纳导致投标保证金无法及时退还的责任）。</w:t>
      </w:r>
    </w:p>
    <w:p w14:paraId="23881EA9">
      <w:pPr>
        <w:spacing w:before="120" w:line="320" w:lineRule="atLeast"/>
        <w:ind w:firstLine="420" w:firstLineChars="200"/>
        <w:rPr>
          <w:szCs w:val="21"/>
        </w:rPr>
      </w:pPr>
      <w:r>
        <w:rPr>
          <w:szCs w:val="21"/>
        </w:rPr>
        <w:t>3.5.2投标保证金币种应与投标报价币种相同。</w:t>
      </w:r>
    </w:p>
    <w:p w14:paraId="2065EFC8">
      <w:pPr>
        <w:spacing w:before="120" w:line="320" w:lineRule="atLeast"/>
        <w:ind w:firstLine="420" w:firstLineChars="200"/>
        <w:rPr>
          <w:szCs w:val="21"/>
        </w:rPr>
      </w:pPr>
      <w:r>
        <w:rPr>
          <w:szCs w:val="21"/>
        </w:rPr>
        <w:t>3.5.3未中标人的投标保证金在中标通知书发出后5个工作日内退还。中标人的投标保证金在合同签订后5个工作日内退还（办理退还手续时需要向采购代理机构提供两份合同复印件）。</w:t>
      </w:r>
    </w:p>
    <w:p w14:paraId="39808383">
      <w:pPr>
        <w:spacing w:before="120" w:line="320" w:lineRule="atLeast"/>
        <w:ind w:firstLine="420" w:firstLineChars="200"/>
        <w:rPr>
          <w:szCs w:val="21"/>
        </w:rPr>
      </w:pPr>
      <w:r>
        <w:rPr>
          <w:szCs w:val="21"/>
        </w:rPr>
        <w:t>3.5.4</w:t>
      </w:r>
      <w:r>
        <w:rPr>
          <w:rFonts w:hint="eastAsia"/>
          <w:szCs w:val="21"/>
        </w:rPr>
        <w:t>投标人</w:t>
      </w:r>
      <w:r>
        <w:rPr>
          <w:szCs w:val="21"/>
        </w:rPr>
        <w:t>有下列情形之一的，投标保证金将不予退还：</w:t>
      </w:r>
    </w:p>
    <w:p w14:paraId="4BF5129F">
      <w:pPr>
        <w:numPr>
          <w:ilvl w:val="0"/>
          <w:numId w:val="2"/>
        </w:numPr>
        <w:spacing w:before="120" w:line="320" w:lineRule="atLeast"/>
        <w:rPr>
          <w:szCs w:val="21"/>
        </w:rPr>
      </w:pPr>
      <w:r>
        <w:rPr>
          <w:rFonts w:hint="eastAsia"/>
          <w:szCs w:val="21"/>
        </w:rPr>
        <w:t>投标人</w:t>
      </w:r>
      <w:r>
        <w:rPr>
          <w:szCs w:val="21"/>
        </w:rPr>
        <w:t>在投标有效期内撤销投标文件的；</w:t>
      </w:r>
    </w:p>
    <w:p w14:paraId="682524BA">
      <w:pPr>
        <w:numPr>
          <w:ilvl w:val="0"/>
          <w:numId w:val="2"/>
        </w:numPr>
        <w:spacing w:before="120" w:line="320" w:lineRule="atLeast"/>
        <w:rPr>
          <w:szCs w:val="21"/>
        </w:rPr>
      </w:pPr>
      <w:r>
        <w:rPr>
          <w:rFonts w:hint="eastAsia"/>
          <w:szCs w:val="21"/>
        </w:rPr>
        <w:t>投标人</w:t>
      </w:r>
      <w:r>
        <w:rPr>
          <w:szCs w:val="21"/>
        </w:rPr>
        <w:t>在投标过程中弄虚作假，提供虚假材料的；</w:t>
      </w:r>
    </w:p>
    <w:p w14:paraId="69E39BFB">
      <w:pPr>
        <w:numPr>
          <w:ilvl w:val="0"/>
          <w:numId w:val="2"/>
        </w:numPr>
        <w:spacing w:before="120" w:line="320" w:lineRule="atLeast"/>
        <w:rPr>
          <w:szCs w:val="21"/>
        </w:rPr>
      </w:pPr>
      <w:r>
        <w:rPr>
          <w:szCs w:val="21"/>
        </w:rPr>
        <w:t>中标人无正当理由不与采购人签订合同的；</w:t>
      </w:r>
    </w:p>
    <w:p w14:paraId="0CFDF5E2">
      <w:pPr>
        <w:numPr>
          <w:ilvl w:val="0"/>
          <w:numId w:val="2"/>
        </w:numPr>
        <w:spacing w:before="120" w:line="320" w:lineRule="atLeast"/>
        <w:rPr>
          <w:szCs w:val="21"/>
        </w:rPr>
      </w:pPr>
      <w:r>
        <w:rPr>
          <w:szCs w:val="21"/>
        </w:rPr>
        <w:t>将中标项目转让给他人或者在投标文件中未说明且未经采购人同意，将中标项目分包给他人的；</w:t>
      </w:r>
    </w:p>
    <w:p w14:paraId="613CE679">
      <w:pPr>
        <w:numPr>
          <w:ilvl w:val="0"/>
          <w:numId w:val="2"/>
        </w:numPr>
        <w:spacing w:before="120" w:line="320" w:lineRule="atLeast"/>
        <w:rPr>
          <w:szCs w:val="21"/>
        </w:rPr>
      </w:pPr>
      <w:r>
        <w:rPr>
          <w:szCs w:val="21"/>
        </w:rPr>
        <w:t>拒绝履行合同义务的；</w:t>
      </w:r>
    </w:p>
    <w:p w14:paraId="7EF1C8B0">
      <w:pPr>
        <w:numPr>
          <w:ilvl w:val="0"/>
          <w:numId w:val="2"/>
        </w:numPr>
        <w:spacing w:before="120" w:line="320" w:lineRule="atLeast"/>
        <w:rPr>
          <w:szCs w:val="21"/>
        </w:rPr>
      </w:pPr>
      <w:r>
        <w:rPr>
          <w:szCs w:val="21"/>
        </w:rPr>
        <w:t>其他严重扰乱招投标程序的</w:t>
      </w:r>
      <w:r>
        <w:rPr>
          <w:rFonts w:hint="eastAsia"/>
          <w:szCs w:val="21"/>
        </w:rPr>
        <w:t>。</w:t>
      </w:r>
    </w:p>
    <w:p w14:paraId="4B683BDC">
      <w:pPr>
        <w:spacing w:before="120" w:line="320" w:lineRule="atLeast"/>
        <w:ind w:firstLine="422" w:firstLineChars="200"/>
        <w:outlineLvl w:val="2"/>
        <w:rPr>
          <w:b/>
          <w:bCs/>
          <w:kern w:val="0"/>
          <w:szCs w:val="21"/>
        </w:rPr>
      </w:pPr>
      <w:bookmarkStart w:id="68" w:name="_Toc254970542"/>
      <w:bookmarkStart w:id="69" w:name="_Toc254970683"/>
      <w:r>
        <w:rPr>
          <w:b/>
          <w:bCs/>
          <w:kern w:val="0"/>
          <w:szCs w:val="21"/>
        </w:rPr>
        <w:t>3.6投标文件的</w:t>
      </w:r>
      <w:bookmarkEnd w:id="68"/>
      <w:bookmarkEnd w:id="69"/>
      <w:r>
        <w:rPr>
          <w:b/>
          <w:bCs/>
          <w:kern w:val="0"/>
          <w:szCs w:val="21"/>
        </w:rPr>
        <w:t>编制要求</w:t>
      </w:r>
    </w:p>
    <w:p w14:paraId="6E85E7D8">
      <w:pPr>
        <w:spacing w:before="120" w:line="320" w:lineRule="atLeast"/>
        <w:ind w:firstLine="420" w:firstLineChars="200"/>
        <w:rPr>
          <w:b/>
          <w:bCs/>
          <w:kern w:val="0"/>
          <w:szCs w:val="21"/>
        </w:rPr>
      </w:pPr>
      <w:r>
        <w:rPr>
          <w:rFonts w:hint="eastAsia"/>
          <w:kern w:val="0"/>
          <w:szCs w:val="21"/>
        </w:rPr>
        <w:t>3</w:t>
      </w:r>
      <w:r>
        <w:rPr>
          <w:kern w:val="0"/>
          <w:szCs w:val="21"/>
        </w:rPr>
        <w:t>.6.1</w:t>
      </w:r>
      <w:r>
        <w:rPr>
          <w:rFonts w:hint="eastAsia"/>
          <w:szCs w:val="21"/>
        </w:rPr>
        <w:t>投标人应先安装</w:t>
      </w:r>
      <w:bookmarkStart w:id="70" w:name="_Hlk160184301"/>
      <w:r>
        <w:rPr>
          <w:rFonts w:hint="eastAsia"/>
          <w:szCs w:val="21"/>
        </w:rPr>
        <w:t>广西政府采购云平台新版客户端</w:t>
      </w:r>
      <w:bookmarkEnd w:id="70"/>
      <w:r>
        <w:rPr>
          <w:rFonts w:hint="eastAsia"/>
          <w:szCs w:val="21"/>
        </w:rPr>
        <w:t>，通过账号密码或C</w:t>
      </w:r>
      <w:r>
        <w:rPr>
          <w:szCs w:val="21"/>
        </w:rPr>
        <w:t>A</w:t>
      </w:r>
      <w:r>
        <w:rPr>
          <w:rFonts w:hint="eastAsia"/>
          <w:szCs w:val="21"/>
        </w:rPr>
        <w:t>登录客户端制作投标文件。</w:t>
      </w:r>
    </w:p>
    <w:p w14:paraId="44668990">
      <w:pPr>
        <w:spacing w:before="120" w:line="320" w:lineRule="atLeast"/>
        <w:ind w:firstLine="420" w:firstLineChars="200"/>
        <w:rPr>
          <w:szCs w:val="21"/>
        </w:rPr>
      </w:pPr>
      <w:bookmarkStart w:id="71" w:name="_Hlk132791136"/>
      <w:r>
        <w:rPr>
          <w:szCs w:val="21"/>
        </w:rPr>
        <w:t>3.6.2</w:t>
      </w:r>
      <w:r>
        <w:rPr>
          <w:rFonts w:hint="eastAsia"/>
          <w:szCs w:val="21"/>
        </w:rPr>
        <w:t>投标人</w:t>
      </w:r>
      <w:r>
        <w:rPr>
          <w:szCs w:val="21"/>
        </w:rPr>
        <w:t>应按本招标文件规定的格式和顺序编制投标文件</w:t>
      </w:r>
      <w:r>
        <w:rPr>
          <w:rFonts w:hint="eastAsia"/>
          <w:szCs w:val="21"/>
        </w:rPr>
        <w:t>并进行关联定位</w:t>
      </w:r>
      <w:r>
        <w:rPr>
          <w:szCs w:val="21"/>
        </w:rPr>
        <w:t>，</w:t>
      </w:r>
      <w:r>
        <w:rPr>
          <w:rFonts w:hint="eastAsia"/>
          <w:szCs w:val="21"/>
        </w:rPr>
        <w:t>以便评审委员会在评审时，点击评分项可直接定位到该评分项内容。如对招标文件的某项要求，投标人的投标文件未能关联定位提供相应的内容与其对应，则评审委员会在评审时如做出对投标人不利的评审由投标人自行承担。投标文件如内容不完整、编排混乱导致投标文件被误读、漏读，或者在按招标文件规定的部位查找不到相关内容的，由投标人自行承担。</w:t>
      </w:r>
    </w:p>
    <w:p w14:paraId="34484A47">
      <w:pPr>
        <w:spacing w:before="120" w:line="320" w:lineRule="atLeast"/>
        <w:ind w:firstLine="420" w:firstLineChars="200"/>
        <w:rPr>
          <w:szCs w:val="21"/>
        </w:rPr>
      </w:pPr>
      <w:bookmarkStart w:id="72" w:name="_Hlk93046800"/>
      <w:r>
        <w:rPr>
          <w:szCs w:val="21"/>
        </w:rPr>
        <w:t xml:space="preserve">3.6.3 </w:t>
      </w:r>
      <w:r>
        <w:rPr>
          <w:rFonts w:hint="eastAsia"/>
          <w:szCs w:val="21"/>
        </w:rPr>
        <w:t>投标人的投标文件未按照招标文件要求签署、盖章的，</w:t>
      </w:r>
      <w:r>
        <w:rPr>
          <w:rFonts w:hint="eastAsia"/>
          <w:b/>
          <w:bCs/>
          <w:szCs w:val="21"/>
        </w:rPr>
        <w:t>其投标无效</w:t>
      </w:r>
      <w:r>
        <w:rPr>
          <w:rFonts w:hint="eastAsia"/>
          <w:szCs w:val="21"/>
        </w:rPr>
        <w:t>。</w:t>
      </w:r>
    </w:p>
    <w:bookmarkEnd w:id="71"/>
    <w:bookmarkEnd w:id="72"/>
    <w:p w14:paraId="453B224A">
      <w:pPr>
        <w:spacing w:before="120" w:line="320" w:lineRule="atLeast"/>
        <w:ind w:firstLine="420" w:firstLineChars="200"/>
        <w:rPr>
          <w:szCs w:val="21"/>
        </w:rPr>
      </w:pPr>
      <w:r>
        <w:rPr>
          <w:szCs w:val="21"/>
        </w:rPr>
        <w:t>3.6.4</w:t>
      </w:r>
      <w:r>
        <w:rPr>
          <w:rFonts w:hint="eastAsia"/>
          <w:szCs w:val="21"/>
        </w:rPr>
        <w:t>为确保网上操作合法、有效和安全，投标人应当在投标截止时间前完成在广西政府采购云平台的身份认证，确保在电子投标过程中能够对相关数据电文进行加密和使用电子签名。</w:t>
      </w:r>
    </w:p>
    <w:p w14:paraId="410A823A">
      <w:pPr>
        <w:spacing w:before="120" w:line="320" w:lineRule="atLeast"/>
        <w:ind w:firstLine="420" w:firstLineChars="200"/>
        <w:rPr>
          <w:b/>
          <w:bCs/>
          <w:szCs w:val="21"/>
        </w:rPr>
      </w:pPr>
      <w:r>
        <w:rPr>
          <w:rFonts w:hint="eastAsia"/>
          <w:szCs w:val="21"/>
        </w:rPr>
        <w:t>3</w:t>
      </w:r>
      <w:r>
        <w:rPr>
          <w:szCs w:val="21"/>
        </w:rPr>
        <w:t>.6.5</w:t>
      </w:r>
      <w:r>
        <w:rPr>
          <w:rFonts w:hint="eastAsia"/>
          <w:szCs w:val="21"/>
        </w:rPr>
        <w:t>投标文件中标注的投标人名称应与主体资格证明（如营业执照、事业单位法人证书、执业许可证、个体工商户营业执照、自然人身份证等）和公章/电子签章一致，</w:t>
      </w:r>
      <w:r>
        <w:rPr>
          <w:rFonts w:hint="eastAsia"/>
          <w:b/>
          <w:bCs/>
          <w:szCs w:val="21"/>
        </w:rPr>
        <w:t>否则作无效投标处理。</w:t>
      </w:r>
    </w:p>
    <w:p w14:paraId="3A7E9736">
      <w:pPr>
        <w:spacing w:before="120" w:line="320" w:lineRule="atLeast"/>
        <w:ind w:firstLine="422" w:firstLineChars="200"/>
        <w:outlineLvl w:val="2"/>
        <w:rPr>
          <w:b/>
          <w:bCs/>
          <w:kern w:val="0"/>
          <w:szCs w:val="21"/>
        </w:rPr>
      </w:pPr>
      <w:r>
        <w:rPr>
          <w:b/>
          <w:bCs/>
          <w:kern w:val="0"/>
          <w:szCs w:val="21"/>
        </w:rPr>
        <w:t>3.7投标文件的递交、修改和撤回</w:t>
      </w:r>
    </w:p>
    <w:p w14:paraId="78341EE6">
      <w:pPr>
        <w:spacing w:before="120" w:line="320" w:lineRule="atLeast"/>
        <w:ind w:firstLine="420" w:firstLineChars="200"/>
        <w:rPr>
          <w:szCs w:val="21"/>
        </w:rPr>
      </w:pPr>
      <w:r>
        <w:rPr>
          <w:szCs w:val="21"/>
        </w:rPr>
        <w:t>3.7.1</w:t>
      </w:r>
      <w:r>
        <w:rPr>
          <w:rFonts w:hint="eastAsia"/>
          <w:szCs w:val="21"/>
        </w:rPr>
        <w:t>投标人必须在投标人须知前附表规定的投标文件开标时间和投标地点提交电子版投标文件。电子投标文件应在制作完成后，在投标截止时间前通过有效数字证书（CA认证锁）进行电子签章、加密，然后通过网络将加密的电子投标文件递交至广西政府采购云平台。</w:t>
      </w:r>
    </w:p>
    <w:p w14:paraId="2633B13D">
      <w:pPr>
        <w:spacing w:before="120" w:line="320" w:lineRule="atLeast"/>
        <w:ind w:firstLine="420" w:firstLineChars="200"/>
        <w:rPr>
          <w:szCs w:val="21"/>
        </w:rPr>
      </w:pPr>
      <w:r>
        <w:rPr>
          <w:rFonts w:hint="eastAsia"/>
          <w:szCs w:val="21"/>
        </w:rPr>
        <w:t>3</w:t>
      </w:r>
      <w:r>
        <w:rPr>
          <w:szCs w:val="21"/>
        </w:rPr>
        <w:t>.7.2</w:t>
      </w:r>
      <w:r>
        <w:rPr>
          <w:rFonts w:hint="eastAsia"/>
          <w:szCs w:val="21"/>
        </w:rPr>
        <w:t xml:space="preserve">未在规定时间内提交或者未按照招标文件要求签章、加密的电子投标文件，广西政府采购云平台将拒收。 </w:t>
      </w:r>
    </w:p>
    <w:p w14:paraId="378FB46A">
      <w:pPr>
        <w:spacing w:before="120" w:line="320" w:lineRule="atLeast"/>
        <w:ind w:left="2" w:leftChars="1" w:firstLine="420" w:firstLineChars="200"/>
        <w:rPr>
          <w:szCs w:val="21"/>
        </w:rPr>
      </w:pPr>
      <w:bookmarkStart w:id="73" w:name="_Toc254970544"/>
      <w:bookmarkStart w:id="74" w:name="_Toc254970685"/>
      <w:r>
        <w:rPr>
          <w:rFonts w:hint="eastAsia"/>
          <w:szCs w:val="21"/>
        </w:rPr>
        <w:t>3</w:t>
      </w:r>
      <w:r>
        <w:rPr>
          <w:szCs w:val="21"/>
        </w:rPr>
        <w:t>.7.3</w:t>
      </w:r>
      <w:r>
        <w:rPr>
          <w:rFonts w:hint="eastAsia"/>
          <w:szCs w:val="21"/>
        </w:rPr>
        <w:t>投标人应当在投标截止时间前完成投标文件的传输递交，并可以补充、修改或者撤回投标文件。补充或者修改投标文件的，应当先行撤回原文件，补充、修改后重新传输递交。投标截止时间前未完成传输的，视为撤回投标文件。投标截止时间后递交的投标文件，广西政府采购云平台将拒收。</w:t>
      </w:r>
    </w:p>
    <w:p w14:paraId="6B233C6C">
      <w:pPr>
        <w:spacing w:before="120" w:line="320" w:lineRule="atLeast"/>
        <w:ind w:left="2" w:leftChars="1" w:firstLine="420" w:firstLineChars="200"/>
        <w:rPr>
          <w:szCs w:val="21"/>
        </w:rPr>
      </w:pPr>
      <w:r>
        <w:rPr>
          <w:szCs w:val="21"/>
        </w:rPr>
        <w:t>3.7.4</w:t>
      </w:r>
      <w:r>
        <w:rPr>
          <w:rFonts w:hint="eastAsia"/>
          <w:szCs w:val="21"/>
        </w:rPr>
        <w:t>在投标截止时间前，除投标人补充、修改或者撤回投标文件外，任何单位和个人不得解密或提取投标文件。</w:t>
      </w:r>
    </w:p>
    <w:p w14:paraId="40A2A470">
      <w:pPr>
        <w:spacing w:before="120" w:line="320" w:lineRule="atLeast"/>
        <w:ind w:left="2" w:leftChars="1" w:firstLine="420" w:firstLineChars="200"/>
        <w:rPr>
          <w:szCs w:val="21"/>
        </w:rPr>
      </w:pPr>
      <w:r>
        <w:rPr>
          <w:szCs w:val="21"/>
        </w:rPr>
        <w:t>3.7.5</w:t>
      </w:r>
      <w:r>
        <w:rPr>
          <w:rFonts w:hint="eastAsia"/>
          <w:szCs w:val="21"/>
        </w:rPr>
        <w:t>在投标截止时间止提交电子版投标文件的投标人不足3家时，电子版投标文件由代理机构在广西政府采购云平台操作退回，除此之外采购人和采购代理机构对已提交的投标文件概不退回。</w:t>
      </w:r>
    </w:p>
    <w:p w14:paraId="5DA32932">
      <w:pPr>
        <w:spacing w:before="120" w:line="320" w:lineRule="atLeast"/>
        <w:ind w:left="2" w:leftChars="1" w:firstLine="420" w:firstLineChars="200"/>
        <w:rPr>
          <w:color w:val="4472C4"/>
          <w:szCs w:val="21"/>
        </w:rPr>
      </w:pPr>
      <w:bookmarkStart w:id="75" w:name="_Hlk93046827"/>
      <w:r>
        <w:rPr>
          <w:rFonts w:hint="eastAsia"/>
          <w:szCs w:val="21"/>
        </w:rPr>
        <w:t>3</w:t>
      </w:r>
      <w:r>
        <w:rPr>
          <w:szCs w:val="21"/>
        </w:rPr>
        <w:t>.7.6</w:t>
      </w:r>
      <w:r>
        <w:rPr>
          <w:rFonts w:hint="eastAsia"/>
          <w:szCs w:val="21"/>
        </w:rPr>
        <w:t>招标文件未允许同一投标人提交两个或以上不同的响应文件，但存在</w:t>
      </w:r>
      <w:r>
        <w:rPr>
          <w:rFonts w:hint="eastAsia"/>
        </w:rPr>
        <w:t>同</w:t>
      </w:r>
      <w:r>
        <w:rPr>
          <w:rFonts w:hint="eastAsia"/>
          <w:szCs w:val="21"/>
        </w:rPr>
        <w:t>一投标人提交两个或以上不同的响应文件的，</w:t>
      </w:r>
      <w:r>
        <w:rPr>
          <w:rFonts w:hint="eastAsia"/>
          <w:b/>
          <w:bCs/>
          <w:szCs w:val="21"/>
        </w:rPr>
        <w:t>其投标无效。</w:t>
      </w:r>
      <w:r>
        <w:rPr>
          <w:rFonts w:hint="eastAsia"/>
          <w:color w:val="auto"/>
          <w:szCs w:val="21"/>
        </w:rPr>
        <w:t>投标人在同一投标文件中对某项技术、商务要求提供有选择性的响应参数或方案等同于提交两个或以上不同的投标文件。</w:t>
      </w:r>
    </w:p>
    <w:bookmarkEnd w:id="75"/>
    <w:p w14:paraId="1D54A609">
      <w:pPr>
        <w:spacing w:before="120" w:line="320" w:lineRule="atLeast"/>
        <w:ind w:left="2" w:leftChars="1" w:firstLine="422" w:firstLineChars="200"/>
        <w:outlineLvl w:val="1"/>
        <w:rPr>
          <w:b/>
          <w:bCs/>
          <w:kern w:val="0"/>
          <w:szCs w:val="21"/>
        </w:rPr>
      </w:pPr>
      <w:r>
        <w:rPr>
          <w:b/>
          <w:bCs/>
          <w:kern w:val="0"/>
          <w:szCs w:val="21"/>
        </w:rPr>
        <w:t>4．开标</w:t>
      </w:r>
      <w:bookmarkEnd w:id="73"/>
      <w:bookmarkEnd w:id="74"/>
    </w:p>
    <w:p w14:paraId="4604659D">
      <w:pPr>
        <w:spacing w:before="120" w:line="320" w:lineRule="atLeast"/>
        <w:ind w:firstLine="422" w:firstLineChars="200"/>
        <w:outlineLvl w:val="2"/>
        <w:rPr>
          <w:b/>
          <w:bCs/>
          <w:kern w:val="0"/>
          <w:szCs w:val="21"/>
        </w:rPr>
      </w:pPr>
      <w:r>
        <w:rPr>
          <w:b/>
          <w:bCs/>
          <w:kern w:val="0"/>
          <w:szCs w:val="21"/>
        </w:rPr>
        <w:t>4.1开标准备</w:t>
      </w:r>
    </w:p>
    <w:p w14:paraId="0AE47409">
      <w:pPr>
        <w:spacing w:before="120" w:line="276" w:lineRule="auto"/>
        <w:ind w:firstLine="420" w:firstLineChars="200"/>
        <w:rPr>
          <w:szCs w:val="21"/>
        </w:rPr>
      </w:pPr>
      <w:r>
        <w:rPr>
          <w:szCs w:val="21"/>
        </w:rPr>
        <w:t>本项目投标截止时间及地点见“</w:t>
      </w:r>
      <w:r>
        <w:rPr>
          <w:rFonts w:hint="eastAsia"/>
          <w:szCs w:val="21"/>
        </w:rPr>
        <w:t>投标人须知</w:t>
      </w:r>
      <w:r>
        <w:rPr>
          <w:szCs w:val="21"/>
        </w:rPr>
        <w:t>前附表”规定。</w:t>
      </w:r>
    </w:p>
    <w:p w14:paraId="3B120DE0">
      <w:pPr>
        <w:autoSpaceDE w:val="0"/>
        <w:autoSpaceDN w:val="0"/>
        <w:adjustRightInd w:val="0"/>
        <w:spacing w:line="276" w:lineRule="auto"/>
        <w:ind w:firstLine="420" w:firstLineChars="200"/>
        <w:rPr>
          <w:szCs w:val="21"/>
        </w:rPr>
      </w:pPr>
      <w:r>
        <w:rPr>
          <w:rFonts w:hint="eastAsia"/>
          <w:szCs w:val="21"/>
        </w:rPr>
        <w:t>全流程电子化项目没有现场递交投标文件及现场开标环节。采购代理机构将按照招标文件规定的时间通过广西政府采购云平台组织线上开标活动、开启投标文件，所有投标人均应当准时在线参加。投标人</w:t>
      </w:r>
      <w:r>
        <w:rPr>
          <w:szCs w:val="21"/>
        </w:rPr>
        <w:t>如不</w:t>
      </w:r>
      <w:r>
        <w:rPr>
          <w:rFonts w:hint="eastAsia"/>
          <w:szCs w:val="21"/>
        </w:rPr>
        <w:t>参加</w:t>
      </w:r>
      <w:r>
        <w:rPr>
          <w:szCs w:val="21"/>
        </w:rPr>
        <w:t>开标大会的，</w:t>
      </w:r>
      <w:r>
        <w:rPr>
          <w:rFonts w:hint="eastAsia"/>
          <w:szCs w:val="21"/>
        </w:rPr>
        <w:t>视同认可开标结果，</w:t>
      </w:r>
      <w:r>
        <w:rPr>
          <w:szCs w:val="21"/>
        </w:rPr>
        <w:t>事后不得对采购相关人员、开标过程和开标结果提出异议</w:t>
      </w:r>
      <w:r>
        <w:rPr>
          <w:rFonts w:hint="eastAsia"/>
          <w:szCs w:val="21"/>
        </w:rPr>
        <w:t>，同时投标人因未在线参加开标而导致投标文件无法按时解密等一切后果由投标人自己承担。</w:t>
      </w:r>
    </w:p>
    <w:p w14:paraId="21A3C6EE">
      <w:pPr>
        <w:spacing w:before="120" w:line="276" w:lineRule="auto"/>
        <w:ind w:firstLine="420" w:firstLineChars="200"/>
        <w:rPr>
          <w:szCs w:val="21"/>
        </w:rPr>
      </w:pPr>
      <w:r>
        <w:rPr>
          <w:rFonts w:hint="eastAsia"/>
          <w:szCs w:val="21"/>
        </w:rPr>
        <w:t xml:space="preserve">如投标人成功解密投标文件，但未在广西政府采购云平台电子开标大厅参加开标的，视同认可开标过程和结果，由此产生的后果由投标人自行负责。 </w:t>
      </w:r>
    </w:p>
    <w:p w14:paraId="5F8D6563">
      <w:pPr>
        <w:spacing w:before="120" w:line="320" w:lineRule="atLeast"/>
        <w:ind w:firstLine="422" w:firstLineChars="200"/>
        <w:outlineLvl w:val="2"/>
        <w:rPr>
          <w:b/>
          <w:bCs/>
          <w:kern w:val="0"/>
          <w:szCs w:val="21"/>
        </w:rPr>
      </w:pPr>
      <w:r>
        <w:rPr>
          <w:b/>
          <w:bCs/>
          <w:kern w:val="0"/>
          <w:szCs w:val="21"/>
        </w:rPr>
        <w:t>4.2开标程序</w:t>
      </w:r>
    </w:p>
    <w:p w14:paraId="1387F103">
      <w:pPr>
        <w:spacing w:before="120" w:line="320" w:lineRule="atLeast"/>
        <w:ind w:firstLine="420" w:firstLineChars="200"/>
        <w:rPr>
          <w:szCs w:val="21"/>
        </w:rPr>
      </w:pPr>
      <w:r>
        <w:rPr>
          <w:szCs w:val="21"/>
        </w:rPr>
        <w:t>4.2.1</w:t>
      </w:r>
      <w:r>
        <w:rPr>
          <w:rFonts w:hint="eastAsia"/>
          <w:szCs w:val="21"/>
        </w:rPr>
        <w:t>投标人登录广西政府采购云平台进入开标大厅签到。</w:t>
      </w:r>
    </w:p>
    <w:p w14:paraId="300B849D">
      <w:pPr>
        <w:spacing w:before="120" w:line="320" w:lineRule="atLeast"/>
        <w:ind w:firstLine="420" w:firstLineChars="200"/>
        <w:rPr>
          <w:szCs w:val="21"/>
        </w:rPr>
      </w:pPr>
      <w:r>
        <w:rPr>
          <w:rFonts w:hint="eastAsia"/>
          <w:szCs w:val="21"/>
        </w:rPr>
        <w:t>4</w:t>
      </w:r>
      <w:r>
        <w:rPr>
          <w:szCs w:val="21"/>
        </w:rPr>
        <w:t>.2.2</w:t>
      </w:r>
      <w:r>
        <w:rPr>
          <w:rFonts w:hint="eastAsia"/>
          <w:szCs w:val="21"/>
        </w:rPr>
        <w:t>解密电子投标文件。广西政府采购云平台按开标时间自动提取所有投标文件。采购代理机构在广西政府采购云平台向各投标人发出电子加密投标文件开始解密通知，由投标</w:t>
      </w:r>
      <w:r>
        <w:rPr>
          <w:rFonts w:hint="eastAsia"/>
          <w:szCs w:val="21"/>
          <w:lang w:eastAsia="zh-CN"/>
        </w:rPr>
        <w:t>人在</w:t>
      </w:r>
      <w:r>
        <w:rPr>
          <w:rFonts w:hint="eastAsia"/>
          <w:szCs w:val="21"/>
        </w:rPr>
        <w:t>平台设置时间内自行进行投标文件解密。投标人须使用加密时所用的CA锁准时登录到广西政府采购云平台电子开标大厅签到并对电子投标文件解密。开标后投标人未及时进行解密的，代理机构可通知投标人。</w:t>
      </w:r>
      <w:r>
        <w:rPr>
          <w:rFonts w:hint="eastAsia"/>
        </w:rPr>
        <w:t>通知后投标人仍未在上述规定时间内解密响应文件</w:t>
      </w:r>
      <w:r>
        <w:rPr>
          <w:rFonts w:hint="eastAsia"/>
          <w:szCs w:val="21"/>
        </w:rPr>
        <w:t>，或者投标人没预留联系方式或预留联系方式无效导致代理机构无法联系到投标人进行解密的，均视为无效投标。</w:t>
      </w:r>
    </w:p>
    <w:p w14:paraId="7F3EFC03">
      <w:pPr>
        <w:spacing w:before="120" w:line="320" w:lineRule="atLeast"/>
        <w:ind w:firstLine="420" w:firstLineChars="200"/>
        <w:rPr>
          <w:szCs w:val="21"/>
        </w:rPr>
      </w:pPr>
      <w:r>
        <w:rPr>
          <w:rFonts w:hint="eastAsia"/>
          <w:szCs w:val="21"/>
        </w:rPr>
        <w:t>4</w:t>
      </w:r>
      <w:r>
        <w:rPr>
          <w:szCs w:val="21"/>
        </w:rPr>
        <w:t>.2.3</w:t>
      </w:r>
      <w:r>
        <w:rPr>
          <w:rFonts w:hint="eastAsia"/>
          <w:szCs w:val="21"/>
        </w:rPr>
        <w:t>广西政府采购云平台设置有备份响应文件功能。备份响应文件是指平台设置为接受备份响应文件时，如出现投标人上传的响应文件存在问题或其他投标人原因引起解密异常时，投标人可以在规定时间内将备份响应文件通过邮箱发送至采购代理机构，由代理机构上传备份响应文件后自动解密从而避免被视为无效响应。是否接受备份响应文件详见投标人须知前附表，如接受备份文件，投标人未在规定时间内发送备份响应文件的将视为无效响应。</w:t>
      </w:r>
    </w:p>
    <w:p w14:paraId="18CA3E9B">
      <w:pPr>
        <w:spacing w:before="120" w:line="320" w:lineRule="atLeast"/>
        <w:ind w:firstLine="420" w:firstLineChars="200"/>
        <w:rPr>
          <w:szCs w:val="21"/>
        </w:rPr>
      </w:pPr>
      <w:r>
        <w:rPr>
          <w:rFonts w:hint="eastAsia"/>
          <w:szCs w:val="21"/>
        </w:rPr>
        <w:t>4</w:t>
      </w:r>
      <w:r>
        <w:rPr>
          <w:szCs w:val="21"/>
        </w:rPr>
        <w:t>.2.4</w:t>
      </w:r>
      <w:r>
        <w:rPr>
          <w:rFonts w:hint="eastAsia"/>
          <w:szCs w:val="21"/>
        </w:rPr>
        <w:t>解密异常情况处理：详见本章</w:t>
      </w:r>
      <w:r>
        <w:rPr>
          <w:szCs w:val="21"/>
        </w:rPr>
        <w:t>9.2</w:t>
      </w:r>
      <w:r>
        <w:rPr>
          <w:rFonts w:hint="eastAsia"/>
          <w:szCs w:val="21"/>
        </w:rPr>
        <w:t>电子交易活动的中止。</w:t>
      </w:r>
    </w:p>
    <w:p w14:paraId="6329B6D0">
      <w:pPr>
        <w:spacing w:before="120" w:line="320" w:lineRule="atLeast"/>
        <w:ind w:firstLine="420" w:firstLineChars="200"/>
        <w:rPr>
          <w:szCs w:val="21"/>
        </w:rPr>
      </w:pPr>
      <w:r>
        <w:rPr>
          <w:rFonts w:hint="eastAsia"/>
          <w:szCs w:val="21"/>
        </w:rPr>
        <w:t>4</w:t>
      </w:r>
      <w:r>
        <w:rPr>
          <w:szCs w:val="21"/>
        </w:rPr>
        <w:t>.2.5</w:t>
      </w:r>
      <w:r>
        <w:rPr>
          <w:rFonts w:hint="eastAsia"/>
          <w:szCs w:val="21"/>
        </w:rPr>
        <w:t>投标人对报价进行确认。</w:t>
      </w:r>
    </w:p>
    <w:p w14:paraId="6191E38F">
      <w:pPr>
        <w:spacing w:before="120" w:line="320" w:lineRule="atLeast"/>
        <w:ind w:firstLine="420" w:firstLineChars="200"/>
        <w:rPr>
          <w:szCs w:val="21"/>
        </w:rPr>
      </w:pPr>
      <w:r>
        <w:rPr>
          <w:szCs w:val="21"/>
        </w:rPr>
        <w:t>4.2.6开标结束。</w:t>
      </w:r>
    </w:p>
    <w:p w14:paraId="2D406813">
      <w:pPr>
        <w:pStyle w:val="26"/>
        <w:snapToGrid w:val="0"/>
        <w:spacing w:line="440" w:lineRule="exact"/>
        <w:ind w:firstLine="422" w:firstLineChars="200"/>
        <w:rPr>
          <w:rFonts w:hint="eastAsia" w:hAnsi="宋体"/>
        </w:rPr>
      </w:pPr>
      <w:r>
        <w:rPr>
          <w:rFonts w:hint="eastAsia" w:hAnsi="宋体"/>
          <w:b/>
          <w:bCs/>
        </w:rPr>
        <w:t>特别说明：</w:t>
      </w:r>
      <w:r>
        <w:rPr>
          <w:rFonts w:hint="eastAsia" w:hAnsi="宋体"/>
        </w:rPr>
        <w:t>如遇</w:t>
      </w:r>
      <w:r>
        <w:rPr>
          <w:rFonts w:hint="eastAsia"/>
        </w:rPr>
        <w:t>广西政府采购云平台</w:t>
      </w:r>
      <w:r>
        <w:rPr>
          <w:rFonts w:hint="eastAsia" w:hAnsi="宋体"/>
        </w:rPr>
        <w:t>电子化开标或评审程序调整的，按调整后的程序执行。</w:t>
      </w:r>
    </w:p>
    <w:p w14:paraId="28AA6C79">
      <w:pPr>
        <w:spacing w:before="120" w:line="320" w:lineRule="atLeast"/>
        <w:ind w:firstLine="422" w:firstLineChars="200"/>
        <w:outlineLvl w:val="2"/>
        <w:rPr>
          <w:b/>
          <w:bCs/>
          <w:kern w:val="0"/>
          <w:szCs w:val="21"/>
        </w:rPr>
      </w:pPr>
      <w:r>
        <w:rPr>
          <w:b/>
          <w:bCs/>
          <w:kern w:val="0"/>
          <w:szCs w:val="21"/>
        </w:rPr>
        <w:t>4.3演示</w:t>
      </w:r>
    </w:p>
    <w:p w14:paraId="790995AC">
      <w:pPr>
        <w:spacing w:before="120" w:line="320" w:lineRule="atLeast"/>
        <w:ind w:firstLine="420" w:firstLineChars="200"/>
        <w:rPr>
          <w:szCs w:val="21"/>
        </w:rPr>
      </w:pPr>
      <w:r>
        <w:rPr>
          <w:szCs w:val="21"/>
        </w:rPr>
        <w:t>4.3.1“</w:t>
      </w:r>
      <w:r>
        <w:rPr>
          <w:rFonts w:hint="eastAsia"/>
          <w:szCs w:val="21"/>
        </w:rPr>
        <w:t>投标人须知</w:t>
      </w:r>
      <w:r>
        <w:rPr>
          <w:szCs w:val="21"/>
        </w:rPr>
        <w:t>前附表”规定在开标会议结束后进行演示的，</w:t>
      </w:r>
      <w:r>
        <w:rPr>
          <w:rFonts w:hint="eastAsia"/>
          <w:szCs w:val="21"/>
        </w:rPr>
        <w:t>投标人</w:t>
      </w:r>
      <w:r>
        <w:rPr>
          <w:szCs w:val="21"/>
        </w:rPr>
        <w:t>应按规定进行演示。</w:t>
      </w:r>
    </w:p>
    <w:p w14:paraId="1B5EC9F9">
      <w:pPr>
        <w:spacing w:before="120" w:line="320" w:lineRule="atLeast"/>
        <w:ind w:firstLine="420" w:firstLineChars="200"/>
        <w:rPr>
          <w:szCs w:val="21"/>
        </w:rPr>
      </w:pPr>
      <w:r>
        <w:rPr>
          <w:szCs w:val="21"/>
        </w:rPr>
        <w:t>4.3.2未按规定时间进行演示可能引起的演示分数被计为0分或投标无效等后果由</w:t>
      </w:r>
      <w:r>
        <w:rPr>
          <w:rFonts w:hint="eastAsia"/>
          <w:szCs w:val="21"/>
        </w:rPr>
        <w:t>投标人</w:t>
      </w:r>
      <w:r>
        <w:rPr>
          <w:szCs w:val="21"/>
        </w:rPr>
        <w:t>自行承担。</w:t>
      </w:r>
    </w:p>
    <w:p w14:paraId="719B6A53">
      <w:pPr>
        <w:spacing w:before="120" w:line="320" w:lineRule="atLeast"/>
        <w:ind w:firstLine="422" w:firstLineChars="200"/>
        <w:outlineLvl w:val="2"/>
        <w:rPr>
          <w:szCs w:val="21"/>
        </w:rPr>
      </w:pPr>
      <w:r>
        <w:rPr>
          <w:b/>
          <w:bCs/>
          <w:kern w:val="0"/>
          <w:szCs w:val="21"/>
        </w:rPr>
        <w:t>4.4样品</w:t>
      </w:r>
    </w:p>
    <w:p w14:paraId="1A4D7F7B">
      <w:pPr>
        <w:spacing w:before="120" w:line="320" w:lineRule="atLeast"/>
        <w:ind w:firstLine="420" w:firstLineChars="200"/>
        <w:rPr>
          <w:szCs w:val="21"/>
        </w:rPr>
      </w:pPr>
      <w:r>
        <w:rPr>
          <w:szCs w:val="21"/>
        </w:rPr>
        <w:t>4.4.1“</w:t>
      </w:r>
      <w:r>
        <w:rPr>
          <w:rFonts w:hint="eastAsia"/>
          <w:szCs w:val="21"/>
        </w:rPr>
        <w:t>投标人须知</w:t>
      </w:r>
      <w:r>
        <w:rPr>
          <w:szCs w:val="21"/>
        </w:rPr>
        <w:t>前附表”规定递交样品的，</w:t>
      </w:r>
      <w:r>
        <w:rPr>
          <w:rFonts w:hint="eastAsia"/>
          <w:szCs w:val="21"/>
        </w:rPr>
        <w:t>投标人</w:t>
      </w:r>
      <w:r>
        <w:rPr>
          <w:szCs w:val="21"/>
        </w:rPr>
        <w:t>应按前附表规定递交样品，递交样品时应附样品递交表（格式见第六章）。</w:t>
      </w:r>
    </w:p>
    <w:p w14:paraId="2E33904D">
      <w:pPr>
        <w:spacing w:before="120" w:line="320" w:lineRule="atLeast"/>
        <w:ind w:firstLine="420" w:firstLineChars="200"/>
        <w:rPr>
          <w:szCs w:val="21"/>
        </w:rPr>
      </w:pPr>
      <w:r>
        <w:rPr>
          <w:szCs w:val="21"/>
        </w:rPr>
        <w:t>4.4.2未按规定时间递交样品可能引起的样品分数被计为0分或投标无效等后果由</w:t>
      </w:r>
      <w:r>
        <w:rPr>
          <w:rFonts w:hint="eastAsia"/>
          <w:szCs w:val="21"/>
        </w:rPr>
        <w:t>投标人</w:t>
      </w:r>
      <w:r>
        <w:rPr>
          <w:szCs w:val="21"/>
        </w:rPr>
        <w:t>自行承担。</w:t>
      </w:r>
    </w:p>
    <w:p w14:paraId="6923E2A1">
      <w:pPr>
        <w:spacing w:before="120" w:line="320" w:lineRule="atLeast"/>
        <w:ind w:firstLine="420" w:firstLineChars="200"/>
        <w:rPr>
          <w:szCs w:val="21"/>
        </w:rPr>
      </w:pPr>
      <w:bookmarkStart w:id="76" w:name="_Toc254970686"/>
      <w:bookmarkStart w:id="77" w:name="_Toc254970545"/>
      <w:r>
        <w:rPr>
          <w:szCs w:val="21"/>
        </w:rPr>
        <w:t>4.4.3样品封存或退还的说明请见第六章投标文件格式所附样品递交表。</w:t>
      </w:r>
    </w:p>
    <w:p w14:paraId="4FF0665A">
      <w:pPr>
        <w:spacing w:before="120" w:line="320" w:lineRule="atLeast"/>
        <w:ind w:left="2" w:leftChars="1" w:firstLine="422" w:firstLineChars="200"/>
        <w:outlineLvl w:val="1"/>
        <w:rPr>
          <w:b/>
          <w:bCs/>
          <w:kern w:val="0"/>
          <w:szCs w:val="21"/>
        </w:rPr>
      </w:pPr>
      <w:bookmarkStart w:id="78" w:name="_Hlk93420947"/>
      <w:r>
        <w:rPr>
          <w:b/>
          <w:bCs/>
          <w:kern w:val="0"/>
          <w:szCs w:val="21"/>
        </w:rPr>
        <w:t>5．</w:t>
      </w:r>
      <w:r>
        <w:rPr>
          <w:rFonts w:hint="eastAsia"/>
          <w:b/>
          <w:bCs/>
          <w:kern w:val="0"/>
          <w:szCs w:val="21"/>
        </w:rPr>
        <w:t>资格审查</w:t>
      </w:r>
    </w:p>
    <w:p w14:paraId="76707422">
      <w:pPr>
        <w:spacing w:before="120" w:line="320" w:lineRule="atLeast"/>
        <w:ind w:left="2" w:leftChars="1" w:firstLine="420" w:firstLineChars="200"/>
        <w:outlineLvl w:val="1"/>
        <w:rPr>
          <w:bCs/>
          <w:kern w:val="0"/>
          <w:szCs w:val="21"/>
        </w:rPr>
      </w:pPr>
      <w:r>
        <w:rPr>
          <w:rFonts w:hint="eastAsia"/>
          <w:bCs/>
          <w:kern w:val="0"/>
          <w:szCs w:val="21"/>
        </w:rPr>
        <w:t>5</w:t>
      </w:r>
      <w:r>
        <w:rPr>
          <w:bCs/>
          <w:kern w:val="0"/>
          <w:szCs w:val="21"/>
        </w:rPr>
        <w:t>.1</w:t>
      </w:r>
      <w:r>
        <w:rPr>
          <w:rFonts w:ascii="宋体" w:hAnsi="宋体"/>
          <w:bCs/>
          <w:szCs w:val="21"/>
        </w:rPr>
        <w:t>开标结束后，</w:t>
      </w:r>
      <w:r>
        <w:rPr>
          <w:rFonts w:hint="eastAsia" w:ascii="宋体" w:hAnsi="宋体"/>
          <w:bCs/>
          <w:szCs w:val="21"/>
        </w:rPr>
        <w:t>采购人或者采购代理机构通过电子交易平台</w:t>
      </w:r>
      <w:r>
        <w:rPr>
          <w:rFonts w:ascii="宋体" w:hAnsi="宋体"/>
          <w:bCs/>
          <w:szCs w:val="21"/>
        </w:rPr>
        <w:t>对</w:t>
      </w:r>
      <w:r>
        <w:rPr>
          <w:rFonts w:hint="eastAsia" w:ascii="宋体" w:hAnsi="宋体"/>
          <w:bCs/>
          <w:szCs w:val="21"/>
        </w:rPr>
        <w:t>投标人</w:t>
      </w:r>
      <w:r>
        <w:rPr>
          <w:rFonts w:ascii="宋体" w:hAnsi="宋体"/>
          <w:bCs/>
          <w:szCs w:val="21"/>
        </w:rPr>
        <w:t>的资格进行审查。</w:t>
      </w:r>
      <w:r>
        <w:rPr>
          <w:rFonts w:hint="eastAsia" w:ascii="宋体" w:hAnsi="宋体"/>
          <w:bCs/>
          <w:szCs w:val="21"/>
        </w:rPr>
        <w:t>资格审查</w:t>
      </w:r>
      <w:r>
        <w:rPr>
          <w:rFonts w:hint="eastAsia"/>
          <w:bCs/>
          <w:kern w:val="0"/>
          <w:szCs w:val="21"/>
        </w:rPr>
        <w:t>是根据法律法规和招标文件的规定，对投标人的基本资格条件、特定资格条件进行审查。</w:t>
      </w:r>
    </w:p>
    <w:p w14:paraId="5D7A22AB">
      <w:pPr>
        <w:spacing w:before="120" w:line="320" w:lineRule="atLeast"/>
        <w:ind w:left="2" w:leftChars="1" w:firstLine="420" w:firstLineChars="200"/>
        <w:outlineLvl w:val="1"/>
        <w:rPr>
          <w:bCs/>
          <w:kern w:val="0"/>
          <w:szCs w:val="21"/>
        </w:rPr>
      </w:pPr>
      <w:r>
        <w:rPr>
          <w:rFonts w:hint="eastAsia"/>
          <w:bCs/>
          <w:kern w:val="0"/>
          <w:szCs w:val="21"/>
        </w:rPr>
        <w:t>5.</w:t>
      </w:r>
      <w:r>
        <w:rPr>
          <w:bCs/>
          <w:kern w:val="0"/>
          <w:szCs w:val="21"/>
        </w:rPr>
        <w:t>2</w:t>
      </w:r>
      <w:r>
        <w:rPr>
          <w:rFonts w:hint="eastAsia"/>
          <w:bCs/>
          <w:kern w:val="0"/>
          <w:szCs w:val="21"/>
        </w:rPr>
        <w:t>资格审查标准在第四章评审方法及标准中规定，符合资格审查标准要求的投标人即为资格审查合格。</w:t>
      </w:r>
    </w:p>
    <w:p w14:paraId="31154D30">
      <w:pPr>
        <w:spacing w:before="120" w:line="276" w:lineRule="auto"/>
        <w:ind w:left="2" w:leftChars="1" w:firstLine="420" w:firstLineChars="200"/>
        <w:outlineLvl w:val="1"/>
        <w:rPr>
          <w:bCs/>
          <w:kern w:val="0"/>
          <w:szCs w:val="21"/>
        </w:rPr>
      </w:pPr>
      <w:r>
        <w:rPr>
          <w:bCs/>
          <w:kern w:val="0"/>
          <w:szCs w:val="21"/>
        </w:rPr>
        <w:t>5.3</w:t>
      </w:r>
      <w:r>
        <w:rPr>
          <w:rFonts w:hint="eastAsia"/>
          <w:bCs/>
          <w:kern w:val="0"/>
          <w:szCs w:val="21"/>
        </w:rPr>
        <w:t>投标人有下列情形之一的，资格审查不合格，作无效投标处理：</w:t>
      </w:r>
    </w:p>
    <w:p w14:paraId="76BA3FE9">
      <w:pPr>
        <w:spacing w:line="276" w:lineRule="auto"/>
        <w:ind w:firstLine="420" w:firstLineChars="200"/>
        <w:rPr>
          <w:rFonts w:hint="eastAsia" w:hAnsi="宋体"/>
          <w:color w:val="000000"/>
          <w:szCs w:val="21"/>
        </w:rPr>
      </w:pPr>
      <w:r>
        <w:rPr>
          <w:rFonts w:hint="eastAsia"/>
          <w:szCs w:val="21"/>
        </w:rPr>
        <w:t>5</w:t>
      </w:r>
      <w:r>
        <w:rPr>
          <w:szCs w:val="21"/>
        </w:rPr>
        <w:t>.3.1</w:t>
      </w:r>
      <w:r>
        <w:rPr>
          <w:rFonts w:hint="eastAsia"/>
          <w:szCs w:val="21"/>
        </w:rPr>
        <w:t>不具备招标文件中规定的资格要求或资格条件的； （注：其中信用查询规则见“投标人须知前附表”，广西政府采购云平台已与“信用中国”平台做接口，可直接在线查询）</w:t>
      </w:r>
    </w:p>
    <w:p w14:paraId="42433805">
      <w:pPr>
        <w:spacing w:before="120" w:line="276" w:lineRule="auto"/>
        <w:ind w:firstLine="420" w:firstLineChars="200"/>
        <w:rPr>
          <w:szCs w:val="21"/>
        </w:rPr>
      </w:pPr>
      <w:r>
        <w:rPr>
          <w:rFonts w:hint="eastAsia"/>
          <w:szCs w:val="21"/>
        </w:rPr>
        <w:t>5</w:t>
      </w:r>
      <w:r>
        <w:rPr>
          <w:szCs w:val="21"/>
        </w:rPr>
        <w:t>.3.2</w:t>
      </w:r>
      <w:r>
        <w:rPr>
          <w:rFonts w:hint="eastAsia"/>
          <w:szCs w:val="21"/>
        </w:rPr>
        <w:t>投标文件缺少任何一项资格证明文件或不符合第四章评审方法及标准中资格审查标准规定的评审内容的；</w:t>
      </w:r>
    </w:p>
    <w:p w14:paraId="48B4A436">
      <w:pPr>
        <w:spacing w:before="120" w:line="276" w:lineRule="auto"/>
        <w:ind w:left="2" w:leftChars="1" w:firstLine="420" w:firstLineChars="200"/>
        <w:outlineLvl w:val="1"/>
        <w:rPr>
          <w:bCs/>
          <w:kern w:val="0"/>
          <w:szCs w:val="21"/>
        </w:rPr>
      </w:pPr>
      <w:r>
        <w:rPr>
          <w:bCs/>
          <w:kern w:val="0"/>
          <w:szCs w:val="21"/>
        </w:rPr>
        <w:t>5.4</w:t>
      </w:r>
      <w:r>
        <w:rPr>
          <w:rFonts w:hint="eastAsia"/>
          <w:bCs/>
          <w:kern w:val="0"/>
          <w:szCs w:val="21"/>
        </w:rPr>
        <w:t>资格审查合格的投标人不足3家的，不得评审。</w:t>
      </w:r>
    </w:p>
    <w:bookmarkEnd w:id="78"/>
    <w:p w14:paraId="108C07D4">
      <w:pPr>
        <w:spacing w:before="120" w:line="320" w:lineRule="atLeast"/>
        <w:ind w:left="2" w:leftChars="1" w:firstLine="422" w:firstLineChars="200"/>
        <w:outlineLvl w:val="1"/>
        <w:rPr>
          <w:b/>
          <w:bCs/>
          <w:kern w:val="0"/>
          <w:szCs w:val="21"/>
        </w:rPr>
      </w:pPr>
      <w:bookmarkStart w:id="79" w:name="_Hlk93420990"/>
      <w:r>
        <w:rPr>
          <w:b/>
          <w:bCs/>
          <w:kern w:val="0"/>
          <w:szCs w:val="21"/>
        </w:rPr>
        <w:t>6．评审</w:t>
      </w:r>
      <w:bookmarkEnd w:id="76"/>
      <w:bookmarkEnd w:id="77"/>
    </w:p>
    <w:p w14:paraId="799F34CA">
      <w:pPr>
        <w:spacing w:before="120" w:line="320" w:lineRule="atLeast"/>
        <w:ind w:firstLine="422" w:firstLineChars="200"/>
        <w:outlineLvl w:val="2"/>
        <w:rPr>
          <w:b/>
          <w:bCs/>
          <w:kern w:val="0"/>
          <w:szCs w:val="21"/>
        </w:rPr>
      </w:pPr>
      <w:r>
        <w:rPr>
          <w:b/>
          <w:bCs/>
          <w:kern w:val="0"/>
          <w:szCs w:val="21"/>
        </w:rPr>
        <w:t>6.1评审委员会</w:t>
      </w:r>
      <w:r>
        <w:rPr>
          <w:rFonts w:hint="eastAsia"/>
          <w:b/>
          <w:bCs/>
          <w:kern w:val="0"/>
          <w:szCs w:val="21"/>
        </w:rPr>
        <w:t>及评审原则</w:t>
      </w:r>
    </w:p>
    <w:p w14:paraId="06EFD4CD">
      <w:pPr>
        <w:spacing w:before="120" w:line="320" w:lineRule="atLeast"/>
        <w:ind w:firstLine="420" w:firstLineChars="200"/>
        <w:rPr>
          <w:szCs w:val="21"/>
        </w:rPr>
      </w:pPr>
      <w:bookmarkStart w:id="80" w:name="_Hlk91249317"/>
      <w:r>
        <w:rPr>
          <w:rFonts w:hint="eastAsia"/>
          <w:szCs w:val="21"/>
        </w:rPr>
        <w:t>6.1.1</w:t>
      </w:r>
      <w:r>
        <w:rPr>
          <w:szCs w:val="21"/>
        </w:rPr>
        <w:t>本项目</w:t>
      </w:r>
      <w:r>
        <w:rPr>
          <w:rFonts w:hint="eastAsia"/>
          <w:szCs w:val="21"/>
        </w:rPr>
        <w:t>评审工作由</w:t>
      </w:r>
      <w:r>
        <w:rPr>
          <w:szCs w:val="21"/>
        </w:rPr>
        <w:t>评审委员会</w:t>
      </w:r>
      <w:r>
        <w:rPr>
          <w:rFonts w:hint="eastAsia"/>
          <w:szCs w:val="21"/>
        </w:rPr>
        <w:t>负责，评审委员会</w:t>
      </w:r>
      <w:r>
        <w:rPr>
          <w:szCs w:val="21"/>
        </w:rPr>
        <w:t>由</w:t>
      </w:r>
      <w:r>
        <w:rPr>
          <w:rFonts w:hint="eastAsia"/>
          <w:szCs w:val="21"/>
        </w:rPr>
        <w:t>评审专家</w:t>
      </w:r>
      <w:r>
        <w:rPr>
          <w:szCs w:val="21"/>
        </w:rPr>
        <w:t>和采购人代表</w:t>
      </w:r>
      <w:r>
        <w:rPr>
          <w:rFonts w:hint="eastAsia"/>
          <w:szCs w:val="21"/>
        </w:rPr>
        <w:t>（如有）</w:t>
      </w:r>
      <w:r>
        <w:rPr>
          <w:szCs w:val="21"/>
        </w:rPr>
        <w:t>组成。</w:t>
      </w:r>
      <w:r>
        <w:rPr>
          <w:rFonts w:hint="eastAsia"/>
          <w:szCs w:val="21"/>
        </w:rPr>
        <w:t>评审委员会评审时必须公平、公正、客观，不带任何倾向性和启发性；不得向外界透露任何与评审有关的内容；任何单位和个人不得干扰、影响评标的正常进行；评审委员会及有关工作人员不得私下与投标人接触，不得收受利害关系人的财物或者其他好处；</w:t>
      </w:r>
      <w:r>
        <w:rPr>
          <w:szCs w:val="21"/>
        </w:rPr>
        <w:t>评审专家发现本人与参加采购活动的</w:t>
      </w:r>
      <w:r>
        <w:rPr>
          <w:rFonts w:hint="eastAsia"/>
          <w:szCs w:val="21"/>
        </w:rPr>
        <w:t>投标人</w:t>
      </w:r>
      <w:r>
        <w:rPr>
          <w:szCs w:val="21"/>
        </w:rPr>
        <w:t>有利害关系的，应当主动提出回避</w:t>
      </w:r>
      <w:r>
        <w:rPr>
          <w:rFonts w:hint="eastAsia"/>
          <w:szCs w:val="21"/>
        </w:rPr>
        <w:t>。</w:t>
      </w:r>
    </w:p>
    <w:p w14:paraId="3F05DA0B">
      <w:pPr>
        <w:spacing w:before="120" w:line="320" w:lineRule="atLeast"/>
        <w:ind w:firstLine="420" w:firstLineChars="200"/>
        <w:rPr>
          <w:szCs w:val="21"/>
        </w:rPr>
      </w:pPr>
      <w:r>
        <w:rPr>
          <w:rFonts w:hint="eastAsia"/>
          <w:szCs w:val="21"/>
        </w:rPr>
        <w:t>6.1.2评审委员会成员应当通过电子交易平台进行独立评审，评审委员会成员对需要共同认定的事项存在争议的，应当按照少数服从多数的原则作出结论。持不同意见的评审委员会成员应当在评审报告上签署不同意见及理由，否则视为同意评审报告。如果在评审过程中出现法律法规和招标文件均没有明确规定的情形时，由评审委员会现场协商确定，协商不一致的，由全体评审委员会成员投票表决，应当按照少数服从多数的原则作出结论并记录在评审报告中。</w:t>
      </w:r>
    </w:p>
    <w:p w14:paraId="4D49C0A9">
      <w:pPr>
        <w:spacing w:before="120" w:line="320" w:lineRule="atLeast"/>
        <w:ind w:firstLine="420" w:firstLineChars="200"/>
        <w:rPr>
          <w:szCs w:val="21"/>
        </w:rPr>
      </w:pPr>
      <w:r>
        <w:rPr>
          <w:rFonts w:hint="eastAsia"/>
          <w:szCs w:val="21"/>
        </w:rPr>
        <w:t>6.1.3采购人、采购代理机构应当采取必要措施，保证评审在严格保密（封闭式评审）的情况下进行。除采购人代表、评审现场组织人员外，采购人的其他工作人员以及与评审工作无关的人员不得进入评审现场。有关人员对评审情况以及在评审过程中获悉的国家秘密、商业秘密负有保密责任。</w:t>
      </w:r>
    </w:p>
    <w:p w14:paraId="0C1BD606">
      <w:pPr>
        <w:spacing w:before="120" w:line="320" w:lineRule="atLeast"/>
        <w:ind w:firstLine="420" w:firstLineChars="200"/>
        <w:rPr>
          <w:szCs w:val="21"/>
        </w:rPr>
      </w:pPr>
      <w:r>
        <w:rPr>
          <w:rFonts w:hint="eastAsia"/>
          <w:szCs w:val="21"/>
        </w:rPr>
        <w:t>6.1.4本项目评审过程实行全程网上留痕及录音、录像监控，投标人在评审过程中所进行的试图影响评审结果的不公正活动，可能导致其投标按无效处理。</w:t>
      </w:r>
    </w:p>
    <w:bookmarkEnd w:id="80"/>
    <w:p w14:paraId="7EA0CCA9">
      <w:pPr>
        <w:spacing w:before="120" w:line="320" w:lineRule="atLeast"/>
        <w:ind w:firstLine="422" w:firstLineChars="200"/>
        <w:outlineLvl w:val="2"/>
        <w:rPr>
          <w:b/>
          <w:bCs/>
          <w:kern w:val="0"/>
          <w:szCs w:val="21"/>
        </w:rPr>
      </w:pPr>
      <w:bookmarkStart w:id="81" w:name="_Hlk91324148"/>
      <w:r>
        <w:rPr>
          <w:b/>
          <w:bCs/>
          <w:kern w:val="0"/>
          <w:szCs w:val="21"/>
        </w:rPr>
        <w:t>6.2</w:t>
      </w:r>
      <w:r>
        <w:rPr>
          <w:rFonts w:hint="eastAsia"/>
          <w:b/>
          <w:bCs/>
          <w:kern w:val="0"/>
          <w:szCs w:val="21"/>
        </w:rPr>
        <w:t>评审方法及依据</w:t>
      </w:r>
    </w:p>
    <w:p w14:paraId="7E706D3F">
      <w:pPr>
        <w:spacing w:before="120" w:line="320" w:lineRule="atLeast"/>
        <w:ind w:firstLine="420" w:firstLineChars="200"/>
        <w:rPr>
          <w:bCs/>
          <w:kern w:val="0"/>
          <w:szCs w:val="21"/>
        </w:rPr>
      </w:pPr>
      <w:r>
        <w:rPr>
          <w:bCs/>
          <w:kern w:val="0"/>
          <w:szCs w:val="21"/>
        </w:rPr>
        <w:t>6.2.1</w:t>
      </w:r>
      <w:r>
        <w:rPr>
          <w:rFonts w:hint="eastAsia"/>
          <w:bCs/>
          <w:kern w:val="0"/>
          <w:szCs w:val="21"/>
        </w:rPr>
        <w:t>本项目采用第四章评审方法及标准规定的方法进行评审。</w:t>
      </w:r>
    </w:p>
    <w:p w14:paraId="6393EA48">
      <w:pPr>
        <w:suppressAutoHyphens/>
        <w:spacing w:before="120" w:line="320" w:lineRule="atLeast"/>
        <w:ind w:firstLine="420" w:firstLineChars="200"/>
        <w:rPr>
          <w:bCs/>
          <w:kern w:val="0"/>
          <w:szCs w:val="21"/>
        </w:rPr>
      </w:pPr>
      <w:r>
        <w:rPr>
          <w:bCs/>
          <w:kern w:val="0"/>
          <w:szCs w:val="21"/>
        </w:rPr>
        <w:t>6.2.2</w:t>
      </w:r>
      <w:r>
        <w:rPr>
          <w:rFonts w:hint="eastAsia"/>
        </w:rPr>
        <w:t>评审委员会</w:t>
      </w:r>
      <w:r>
        <w:t>以</w:t>
      </w:r>
      <w:r>
        <w:rPr>
          <w:rFonts w:hint="eastAsia"/>
        </w:rPr>
        <w:t>招标</w:t>
      </w:r>
      <w:r>
        <w:t>文件、补充文件、</w:t>
      </w:r>
      <w:r>
        <w:rPr>
          <w:rFonts w:hint="eastAsia"/>
        </w:rPr>
        <w:t>投标</w:t>
      </w:r>
      <w:r>
        <w:t>文件、澄清及答复为评审依据</w:t>
      </w:r>
      <w:r>
        <w:rPr>
          <w:rFonts w:hint="eastAsia"/>
        </w:rPr>
        <w:t>，</w:t>
      </w:r>
      <w:r>
        <w:rPr>
          <w:rFonts w:hint="eastAsia"/>
          <w:bCs/>
          <w:kern w:val="0"/>
          <w:szCs w:val="21"/>
        </w:rPr>
        <w:t>第四章评审方法及标准没有规定的评审方法、标准及因素，不得作为评审依据。</w:t>
      </w:r>
    </w:p>
    <w:bookmarkEnd w:id="81"/>
    <w:p w14:paraId="7A27CBF3">
      <w:pPr>
        <w:spacing w:before="120" w:line="320" w:lineRule="atLeast"/>
        <w:ind w:firstLine="422" w:firstLineChars="200"/>
        <w:outlineLvl w:val="2"/>
        <w:rPr>
          <w:b/>
          <w:bCs/>
          <w:kern w:val="0"/>
          <w:szCs w:val="21"/>
        </w:rPr>
      </w:pPr>
      <w:bookmarkStart w:id="82" w:name="_Hlk91324322"/>
      <w:r>
        <w:rPr>
          <w:b/>
          <w:bCs/>
          <w:kern w:val="0"/>
          <w:szCs w:val="21"/>
        </w:rPr>
        <w:t>6.3评审</w:t>
      </w:r>
      <w:r>
        <w:rPr>
          <w:rFonts w:hint="eastAsia"/>
          <w:b/>
          <w:bCs/>
          <w:kern w:val="0"/>
          <w:szCs w:val="21"/>
        </w:rPr>
        <w:t>程序</w:t>
      </w:r>
    </w:p>
    <w:p w14:paraId="7F586426">
      <w:pPr>
        <w:spacing w:before="120" w:line="320" w:lineRule="atLeast"/>
        <w:ind w:firstLine="420" w:firstLineChars="200"/>
      </w:pPr>
      <w:r>
        <w:t>6.</w:t>
      </w:r>
      <w:bookmarkStart w:id="83" w:name="_Hlk80956880"/>
      <w:bookmarkStart w:id="84" w:name="_Hlk19175507"/>
      <w:r>
        <w:t>3.1</w:t>
      </w:r>
      <w:r>
        <w:rPr>
          <w:rFonts w:hint="eastAsia"/>
        </w:rPr>
        <w:t>符合性审查</w:t>
      </w:r>
    </w:p>
    <w:p w14:paraId="309AB3B3">
      <w:pPr>
        <w:spacing w:before="120" w:line="320" w:lineRule="atLeast"/>
        <w:ind w:firstLine="420" w:firstLineChars="200"/>
        <w:rPr>
          <w:szCs w:val="21"/>
        </w:rPr>
      </w:pPr>
      <w:r>
        <w:rPr>
          <w:bCs/>
          <w:kern w:val="1"/>
          <w:szCs w:val="21"/>
        </w:rPr>
        <w:t>资格审查结束后，</w:t>
      </w:r>
      <w:r>
        <w:rPr>
          <w:rFonts w:hint="eastAsia" w:hAnsi="宋体"/>
        </w:rPr>
        <w:t>评审委员会对</w:t>
      </w:r>
      <w:r>
        <w:t>通过资格审查的</w:t>
      </w:r>
      <w:r>
        <w:rPr>
          <w:rFonts w:hint="eastAsia"/>
        </w:rPr>
        <w:t>投标人</w:t>
      </w:r>
      <w:r>
        <w:rPr>
          <w:rFonts w:hint="eastAsia" w:hAnsi="宋体"/>
        </w:rPr>
        <w:t>的投标文件报价、商务资信、技术等方面实质性内容进行符合性审查，</w:t>
      </w:r>
      <w:r>
        <w:rPr>
          <w:rFonts w:hint="eastAsia"/>
          <w:szCs w:val="21"/>
        </w:rPr>
        <w:t>符合性审查标准</w:t>
      </w:r>
      <w:r>
        <w:rPr>
          <w:szCs w:val="21"/>
        </w:rPr>
        <w:t>详见第四章评审方法及标准。</w:t>
      </w:r>
    </w:p>
    <w:bookmarkEnd w:id="83"/>
    <w:bookmarkEnd w:id="84"/>
    <w:p w14:paraId="0EE38F7E">
      <w:pPr>
        <w:spacing w:before="120" w:line="320" w:lineRule="atLeast"/>
        <w:ind w:firstLine="420" w:firstLineChars="200"/>
        <w:rPr>
          <w:szCs w:val="21"/>
        </w:rPr>
      </w:pPr>
      <w:r>
        <w:rPr>
          <w:rFonts w:hint="eastAsia"/>
          <w:szCs w:val="21"/>
        </w:rPr>
        <w:t>6</w:t>
      </w:r>
      <w:r>
        <w:rPr>
          <w:szCs w:val="21"/>
        </w:rPr>
        <w:t>.3.2</w:t>
      </w:r>
      <w:r>
        <w:rPr>
          <w:rFonts w:hAnsi="宋体"/>
        </w:rPr>
        <w:t>强制性</w:t>
      </w:r>
      <w:r>
        <w:rPr>
          <w:szCs w:val="21"/>
        </w:rPr>
        <w:t>采购要求</w:t>
      </w:r>
      <w:r>
        <w:rPr>
          <w:rFonts w:hint="eastAsia"/>
          <w:szCs w:val="21"/>
        </w:rPr>
        <w:t>（仅适用于货物采购项目）</w:t>
      </w:r>
    </w:p>
    <w:p w14:paraId="7B18CF6A">
      <w:pPr>
        <w:suppressAutoHyphens/>
        <w:spacing w:before="120" w:line="320" w:lineRule="atLeast"/>
        <w:ind w:firstLine="422" w:firstLineChars="201"/>
        <w:rPr>
          <w:rFonts w:hint="eastAsia"/>
          <w:szCs w:val="21"/>
        </w:rPr>
      </w:pPr>
      <w:r>
        <w:rPr>
          <w:rFonts w:hint="eastAsia"/>
          <w:lang w:eastAsia="zh-CN"/>
        </w:rPr>
        <w:t>（</w:t>
      </w:r>
      <w:r>
        <w:rPr>
          <w:rFonts w:hint="eastAsia"/>
          <w:lang w:val="en-US" w:eastAsia="zh-CN"/>
        </w:rPr>
        <w:t>1</w:t>
      </w:r>
      <w:r>
        <w:rPr>
          <w:rFonts w:hint="eastAsia"/>
          <w:lang w:eastAsia="zh-CN"/>
        </w:rPr>
        <w:t>）</w:t>
      </w:r>
      <w:r>
        <w:rPr>
          <w:rFonts w:hint="eastAsia"/>
          <w:szCs w:val="21"/>
        </w:rPr>
        <w:t>根据《财政部 发展改革委 生态环境部 市场监管总局关于调整优化节能产品、环境标志产品政府采购执行机制的通知》（财库〔2019〕9号）和《关于印发节能产品政府采购品目清单的通知》（财库〔2019〕19号）规定，本项目采购需求中的产品属于节能产品政府采购品目清单内标注“★”的，投标人的投标货物必须使用政府强制采购的节能产品，否则投标文件作无效处理；属于品目清单内非标注“★”的产品时，应优先采购。</w:t>
      </w:r>
    </w:p>
    <w:p w14:paraId="3B8FAEDB">
      <w:pPr>
        <w:spacing w:before="120" w:line="276" w:lineRule="auto"/>
        <w:ind w:firstLine="420" w:firstLineChars="200"/>
        <w:rPr>
          <w:szCs w:val="21"/>
        </w:rPr>
      </w:pPr>
      <w:r>
        <w:rPr>
          <w:rFonts w:hint="eastAsia"/>
          <w:szCs w:val="21"/>
        </w:rPr>
        <w:t>（2）根据《关于调整网络安全专用产品安全管理有关事项的公告》（2023年1号）及关于调整《网络关键设备和网络安全专用产品目录》（2023年2号）的公告规定，本项目采购需求中的产品如果包括《网络关键设备和网络安全专用产品目录》的网络安全专用产品，投标人在投标文件中应主动列明供货范围中属于网络安全专用产品的投标产品，并提供由中共中央网络安全和信息化委员会办公室网站最新发布的《网络关键设备和网络安全专用产品安全认证和安全检测结果》截图证明材料，不在《网络关键设备和网络安全专用产品安全认证和安全检测结果》中或不在有效期内或未提供有效的《计算机信息系统安全专用产品销售许可证》的，投标无效。</w:t>
      </w:r>
    </w:p>
    <w:p w14:paraId="0AD28FC0">
      <w:pPr>
        <w:spacing w:before="120" w:line="276" w:lineRule="auto"/>
        <w:ind w:firstLine="420" w:firstLineChars="200"/>
        <w:rPr>
          <w:rFonts w:hint="eastAsia"/>
          <w:szCs w:val="21"/>
        </w:rPr>
      </w:pPr>
      <w:r>
        <w:rPr>
          <w:rFonts w:hint="eastAsia"/>
          <w:szCs w:val="21"/>
        </w:rPr>
        <w:t>注：网络安全专用产品在中共中央网络安全和信息化委员会办公室网站上发布的《网络关键设备和网络安全专用产品目录》中查询。</w:t>
      </w:r>
      <w:r>
        <w:rPr>
          <w:szCs w:val="21"/>
        </w:rPr>
        <w:t xml:space="preserve"> </w:t>
      </w:r>
      <w:r>
        <w:rPr>
          <w:rFonts w:hint="eastAsia"/>
          <w:szCs w:val="21"/>
          <w:lang w:eastAsia="zh-CN"/>
        </w:rPr>
        <w:t>“</w:t>
      </w:r>
      <w:r>
        <w:rPr>
          <w:rFonts w:hint="eastAsia"/>
          <w:szCs w:val="21"/>
          <w:lang w:val="en-US" w:eastAsia="zh-CN"/>
        </w:rPr>
        <w:t>网络安全专用产品”内“产品类别”</w:t>
      </w:r>
      <w:r>
        <w:rPr>
          <w:rFonts w:hint="eastAsia"/>
          <w:szCs w:val="21"/>
        </w:rPr>
        <w:t>共</w:t>
      </w:r>
      <w:r>
        <w:rPr>
          <w:rFonts w:hint="eastAsia"/>
          <w:szCs w:val="21"/>
          <w:lang w:val="en-US" w:eastAsia="zh-CN"/>
        </w:rPr>
        <w:t>34</w:t>
      </w:r>
      <w:r>
        <w:rPr>
          <w:rFonts w:hint="eastAsia"/>
          <w:szCs w:val="21"/>
        </w:rPr>
        <w:t>类：数据备份与恢复产品、防火墙、入侵检测系统（I</w:t>
      </w:r>
      <w:r>
        <w:rPr>
          <w:szCs w:val="21"/>
        </w:rPr>
        <w:t>DS</w:t>
      </w:r>
      <w:r>
        <w:rPr>
          <w:rFonts w:hint="eastAsia"/>
          <w:szCs w:val="21"/>
        </w:rPr>
        <w:t>）、入侵防御系统（</w:t>
      </w:r>
      <w:r>
        <w:rPr>
          <w:szCs w:val="21"/>
        </w:rPr>
        <w:t>IPS</w:t>
      </w:r>
      <w:r>
        <w:rPr>
          <w:rFonts w:hint="eastAsia"/>
          <w:szCs w:val="21"/>
        </w:rPr>
        <w:t>）、</w:t>
      </w:r>
      <w:r>
        <w:rPr>
          <w:rFonts w:hint="eastAsia"/>
          <w:szCs w:val="21"/>
          <w:lang w:val="en-US" w:eastAsia="zh-CN"/>
        </w:rPr>
        <w:t>网络和终端隔离产品</w:t>
      </w:r>
      <w:r>
        <w:rPr>
          <w:rFonts w:hint="eastAsia"/>
          <w:szCs w:val="21"/>
        </w:rPr>
        <w:t>、反垃圾邮件产品、网络综合审计</w:t>
      </w:r>
      <w:r>
        <w:rPr>
          <w:rFonts w:hint="eastAsia"/>
          <w:szCs w:val="21"/>
          <w:lang w:val="en-US" w:eastAsia="zh-CN"/>
        </w:rPr>
        <w:t>产品</w:t>
      </w:r>
      <w:r>
        <w:rPr>
          <w:rFonts w:hint="eastAsia"/>
          <w:szCs w:val="21"/>
        </w:rPr>
        <w:t>、网络脆弱性扫描产品、安全数据库系统、网站恢复产品</w:t>
      </w:r>
      <w:r>
        <w:rPr>
          <w:rFonts w:hint="eastAsia"/>
          <w:szCs w:val="21"/>
          <w:lang w:eastAsia="zh-CN"/>
        </w:rPr>
        <w:t>、</w:t>
      </w:r>
      <w:r>
        <w:rPr>
          <w:rFonts w:hint="eastAsia"/>
          <w:szCs w:val="21"/>
          <w:lang w:val="en-US" w:eastAsia="zh-CN"/>
        </w:rPr>
        <w:t>虚拟专用网产品、防病毒网关、统一威胁管理产品（UTM）、病毒防治产品、安全操作系统、安全网络存储、公钥基础设施、网络安全态势感知产品、信息系统安全管理平台、网络型流量控制产品、负载均衡产品、信息过滤产品、抗拒绝服务攻击产品、终端接入控制产品、USB移动存储介质管理系统、文件加密产品、数据泄露防护产品、数据销毁软件产品、安全配置检查产品、运维安全管理产品、日志分析产品、身份鉴别产品、终端安全监护产品、电子文档安全管理产品。</w:t>
      </w:r>
    </w:p>
    <w:p w14:paraId="6E776D8B">
      <w:pPr>
        <w:spacing w:before="120" w:line="320" w:lineRule="atLeast"/>
        <w:ind w:firstLine="420" w:firstLineChars="200"/>
      </w:pPr>
      <w:bookmarkStart w:id="85" w:name="_Hlk19176155"/>
      <w:r>
        <w:t>6.3.3澄清、说明或补正</w:t>
      </w:r>
    </w:p>
    <w:p w14:paraId="1F97CA81">
      <w:pPr>
        <w:spacing w:before="120" w:line="320" w:lineRule="atLeast"/>
        <w:ind w:firstLine="420" w:firstLineChars="200"/>
      </w:pPr>
      <w:r>
        <w:rPr>
          <w:rFonts w:hint="eastAsia"/>
        </w:rPr>
        <w:t>（1）对投标文件中含义不明确、同类问题表述不一致或者有明显文字和计算错误的内容，评审委员会应在</w:t>
      </w:r>
      <w:r>
        <w:rPr>
          <w:rFonts w:hint="eastAsia"/>
          <w:szCs w:val="21"/>
        </w:rPr>
        <w:t>广西政府采购云平台</w:t>
      </w:r>
      <w:r>
        <w:rPr>
          <w:rFonts w:hint="eastAsia"/>
        </w:rPr>
        <w:t>发布电子澄清函，要求投标人在平台设置的时间内作出必要的澄清、说明或者补正。投标人在</w:t>
      </w:r>
      <w:r>
        <w:rPr>
          <w:rFonts w:hint="eastAsia"/>
          <w:szCs w:val="21"/>
        </w:rPr>
        <w:t>广西政府采购云平台</w:t>
      </w:r>
      <w:r>
        <w:rPr>
          <w:rFonts w:hint="eastAsia"/>
        </w:rPr>
        <w:t>接收到电子澄清函后根据澄清函内容直接在线编辑或上传PDF格式回函，电子澄清答复函使用CA证书加盖单位电子签章后提交至评审委员会。投标人的澄清、说明或者补正不得超出投标文件的范围或者改变投标文件的实质性内容。投标人未在规定时间内进行澄清、说明或者补正的，按无效投标处理。</w:t>
      </w:r>
    </w:p>
    <w:p w14:paraId="2123D512">
      <w:pPr>
        <w:spacing w:before="120" w:line="320" w:lineRule="atLeast"/>
        <w:ind w:firstLine="420" w:firstLineChars="200"/>
      </w:pPr>
      <w:r>
        <w:rPr>
          <w:rFonts w:hint="eastAsia"/>
        </w:rPr>
        <w:t>（2）异常情况处理：如遇无法正常使用线上发送澄清函的情况，将以书面形式执行。评审委员会以书面形式要求投标人在规定时间内作出必要的澄清、说明或者补正。投标人的澄清、说明或者补正必须采用书面形式，并加盖公章或者由法定代表人或者其授权的代表签字。</w:t>
      </w:r>
    </w:p>
    <w:p w14:paraId="650E22B7">
      <w:pPr>
        <w:spacing w:before="120" w:line="320" w:lineRule="atLeast"/>
        <w:ind w:firstLine="420" w:firstLineChars="200"/>
      </w:pPr>
      <w:r>
        <w:t>6.3.4</w:t>
      </w:r>
      <w:r>
        <w:rPr>
          <w:rFonts w:hint="eastAsia"/>
        </w:rPr>
        <w:t>报价</w:t>
      </w:r>
      <w:r>
        <w:t>修正</w:t>
      </w:r>
    </w:p>
    <w:p w14:paraId="769B260D">
      <w:pPr>
        <w:spacing w:before="120" w:line="320" w:lineRule="atLeast"/>
        <w:ind w:firstLine="420" w:firstLineChars="200"/>
      </w:pPr>
      <w:r>
        <w:rPr>
          <w:rFonts w:hint="eastAsia"/>
        </w:rPr>
        <w:t>（1）报价出现前后不一致的，按照下列规定修正：</w:t>
      </w:r>
    </w:p>
    <w:p w14:paraId="2694F33A">
      <w:pPr>
        <w:spacing w:before="120" w:line="320" w:lineRule="atLeast"/>
        <w:ind w:firstLine="420" w:firstLineChars="200"/>
        <w:rPr>
          <w:szCs w:val="21"/>
        </w:rPr>
      </w:pPr>
      <w:r>
        <w:rPr>
          <w:rFonts w:hint="eastAsia" w:ascii="宋体" w:hAnsi="宋体"/>
          <w:szCs w:val="21"/>
        </w:rPr>
        <w:t>①</w:t>
      </w:r>
      <w:r>
        <w:rPr>
          <w:szCs w:val="21"/>
        </w:rPr>
        <w:t>投标文件中开标一览表（报价表）内容与投标文件中相应内容不一致的，以开标一览表（报价表）为准；</w:t>
      </w:r>
    </w:p>
    <w:p w14:paraId="1BA28B38">
      <w:pPr>
        <w:spacing w:before="120" w:line="320" w:lineRule="atLeast"/>
        <w:ind w:firstLine="420" w:firstLineChars="200"/>
        <w:rPr>
          <w:szCs w:val="21"/>
        </w:rPr>
      </w:pPr>
      <w:r>
        <w:rPr>
          <w:rFonts w:ascii="宋体" w:hAnsi="宋体"/>
          <w:szCs w:val="21"/>
        </w:rPr>
        <w:t>②</w:t>
      </w:r>
      <w:r>
        <w:rPr>
          <w:szCs w:val="21"/>
        </w:rPr>
        <w:t>大写金额和小写金额不一致的，以大写金额为准；</w:t>
      </w:r>
    </w:p>
    <w:p w14:paraId="5BAC777B">
      <w:pPr>
        <w:spacing w:before="120" w:line="320" w:lineRule="atLeast"/>
        <w:ind w:firstLine="420" w:firstLineChars="200"/>
        <w:rPr>
          <w:szCs w:val="21"/>
        </w:rPr>
      </w:pPr>
      <w:r>
        <w:rPr>
          <w:rFonts w:hint="eastAsia"/>
          <w:szCs w:val="21"/>
        </w:rPr>
        <w:t>③</w:t>
      </w:r>
      <w:r>
        <w:rPr>
          <w:szCs w:val="21"/>
        </w:rPr>
        <w:t>单价金额小数点或者百分比有明显错位的，以开标一览表的总价为准，并修改单价；</w:t>
      </w:r>
    </w:p>
    <w:p w14:paraId="100F802B">
      <w:pPr>
        <w:spacing w:before="120" w:line="320" w:lineRule="atLeast"/>
        <w:ind w:firstLine="420" w:firstLineChars="200"/>
        <w:rPr>
          <w:szCs w:val="21"/>
        </w:rPr>
      </w:pPr>
      <w:r>
        <w:rPr>
          <w:rFonts w:hint="eastAsia"/>
          <w:szCs w:val="21"/>
        </w:rPr>
        <w:t>④</w:t>
      </w:r>
      <w:r>
        <w:rPr>
          <w:szCs w:val="21"/>
        </w:rPr>
        <w:t>总价金额与按单价汇总金额不一致的，以单价金额计算结果为准</w:t>
      </w:r>
      <w:r>
        <w:rPr>
          <w:rFonts w:hint="eastAsia"/>
          <w:szCs w:val="21"/>
        </w:rPr>
        <w:t>。</w:t>
      </w:r>
    </w:p>
    <w:p w14:paraId="70AF6416">
      <w:pPr>
        <w:spacing w:before="120" w:line="320" w:lineRule="atLeast"/>
        <w:ind w:firstLine="420" w:firstLineChars="200"/>
        <w:rPr>
          <w:szCs w:val="21"/>
        </w:rPr>
      </w:pPr>
      <w:r>
        <w:rPr>
          <w:rFonts w:hint="eastAsia"/>
          <w:szCs w:val="21"/>
        </w:rPr>
        <w:t>同时出现两种以上不一致的，按照上述</w:t>
      </w:r>
      <w:r>
        <w:rPr>
          <w:rFonts w:hint="eastAsia" w:ascii="宋体" w:hAnsi="宋体"/>
          <w:szCs w:val="21"/>
        </w:rPr>
        <w:t>①-</w:t>
      </w:r>
      <w:r>
        <w:rPr>
          <w:rFonts w:hint="eastAsia"/>
          <w:szCs w:val="21"/>
        </w:rPr>
        <w:t>④顺序修正。修正后的报价按照上述“</w:t>
      </w:r>
      <w:r>
        <w:rPr>
          <w:szCs w:val="21"/>
        </w:rPr>
        <w:t>6.3.3</w:t>
      </w:r>
      <w:r>
        <w:rPr>
          <w:rFonts w:hint="eastAsia"/>
          <w:szCs w:val="21"/>
        </w:rPr>
        <w:t>澄清、说明或补正”的规定经投标人确认后产生约束力，投标人不确认的，其投标无效。</w:t>
      </w:r>
    </w:p>
    <w:p w14:paraId="7DC57286">
      <w:pPr>
        <w:spacing w:before="120" w:line="320" w:lineRule="atLeast"/>
        <w:ind w:firstLine="420" w:firstLineChars="200"/>
        <w:rPr>
          <w:szCs w:val="21"/>
        </w:rPr>
      </w:pPr>
      <w:r>
        <w:rPr>
          <w:rFonts w:hint="eastAsia"/>
          <w:szCs w:val="21"/>
        </w:rPr>
        <w:t>处理。</w:t>
      </w:r>
    </w:p>
    <w:p w14:paraId="530F691C">
      <w:pPr>
        <w:spacing w:before="120" w:line="320" w:lineRule="atLeast"/>
        <w:ind w:firstLine="420" w:firstLineChars="200"/>
        <w:rPr>
          <w:szCs w:val="21"/>
        </w:rPr>
      </w:pPr>
      <w:r>
        <w:rPr>
          <w:rFonts w:hint="eastAsia"/>
          <w:szCs w:val="21"/>
        </w:rPr>
        <w:t>（</w:t>
      </w:r>
      <w:r>
        <w:rPr>
          <w:rFonts w:hint="eastAsia"/>
          <w:szCs w:val="21"/>
          <w:lang w:val="en-US" w:eastAsia="zh-CN"/>
        </w:rPr>
        <w:t>2</w:t>
      </w:r>
      <w:r>
        <w:rPr>
          <w:rFonts w:hint="eastAsia"/>
          <w:szCs w:val="21"/>
        </w:rPr>
        <w:t>）经投标人确认修正后的报价若超过采购预算金额或者最高限价，其投标文件作无效投标处理。</w:t>
      </w:r>
    </w:p>
    <w:p w14:paraId="1F9FE683">
      <w:pPr>
        <w:spacing w:before="120" w:line="320" w:lineRule="atLeast"/>
        <w:ind w:firstLine="420" w:firstLineChars="200"/>
        <w:rPr>
          <w:rFonts w:hint="eastAsia"/>
          <w:szCs w:val="21"/>
        </w:rPr>
      </w:pPr>
      <w:r>
        <w:rPr>
          <w:rFonts w:hint="eastAsia"/>
          <w:szCs w:val="21"/>
        </w:rPr>
        <w:t>（</w:t>
      </w:r>
      <w:r>
        <w:rPr>
          <w:rFonts w:hint="eastAsia"/>
          <w:szCs w:val="21"/>
          <w:lang w:val="en-US" w:eastAsia="zh-CN"/>
        </w:rPr>
        <w:t>3</w:t>
      </w:r>
      <w:r>
        <w:rPr>
          <w:rFonts w:hint="eastAsia"/>
          <w:szCs w:val="21"/>
        </w:rPr>
        <w:t>）经投标人确认修正后的报价作为签订合同的依据，并以此报价计算价格分。</w:t>
      </w:r>
    </w:p>
    <w:p w14:paraId="5E7F82FF">
      <w:pPr>
        <w:spacing w:before="120" w:line="320" w:lineRule="atLeast"/>
        <w:ind w:firstLine="420" w:firstLineChars="200"/>
        <w:rPr>
          <w:rFonts w:hint="eastAsia"/>
          <w:szCs w:val="21"/>
          <w:lang w:val="en-US" w:eastAsia="zh-CN"/>
        </w:rPr>
      </w:pPr>
      <w:r>
        <w:rPr>
          <w:rFonts w:hint="eastAsia"/>
          <w:szCs w:val="21"/>
          <w:lang w:val="en-US" w:eastAsia="zh-CN"/>
        </w:rPr>
        <w:t>6.3.5异常低价审查</w:t>
      </w:r>
    </w:p>
    <w:p w14:paraId="1565AC64">
      <w:pPr>
        <w:spacing w:before="120" w:line="320" w:lineRule="atLeast"/>
        <w:ind w:firstLine="420" w:firstLineChars="200"/>
        <w:rPr>
          <w:szCs w:val="21"/>
        </w:rPr>
      </w:pPr>
      <w:r>
        <w:rPr>
          <w:szCs w:val="21"/>
        </w:rPr>
        <w:t>本项目</w:t>
      </w:r>
      <w:r>
        <w:rPr>
          <w:rFonts w:hint="eastAsia"/>
          <w:szCs w:val="21"/>
          <w:lang w:val="en-US" w:eastAsia="zh-CN"/>
        </w:rPr>
        <w:t>异常低价审查情形见</w:t>
      </w:r>
      <w:r>
        <w:rPr>
          <w:szCs w:val="21"/>
        </w:rPr>
        <w:t>“</w:t>
      </w:r>
      <w:r>
        <w:rPr>
          <w:rFonts w:hint="eastAsia"/>
          <w:szCs w:val="21"/>
          <w:lang w:eastAsia="zh-CN"/>
        </w:rPr>
        <w:t>投标人须知</w:t>
      </w:r>
      <w:r>
        <w:rPr>
          <w:szCs w:val="21"/>
        </w:rPr>
        <w:t>前附表”规定。</w:t>
      </w:r>
    </w:p>
    <w:p w14:paraId="6BFF4C10">
      <w:pPr>
        <w:numPr>
          <w:ilvl w:val="0"/>
          <w:numId w:val="0"/>
        </w:numPr>
        <w:spacing w:before="120" w:line="320" w:lineRule="atLeast"/>
        <w:ind w:firstLine="420" w:firstLineChars="200"/>
        <w:rPr>
          <w:rFonts w:hint="eastAsia"/>
          <w:color w:val="auto"/>
          <w:szCs w:val="21"/>
          <w:highlight w:val="none"/>
          <w:lang w:val="en-US" w:eastAsia="zh-CN"/>
        </w:rPr>
      </w:pPr>
      <w:r>
        <w:rPr>
          <w:rFonts w:hint="eastAsia"/>
          <w:color w:val="auto"/>
          <w:szCs w:val="21"/>
          <w:highlight w:val="none"/>
          <w:lang w:val="en-US" w:eastAsia="zh-CN"/>
        </w:rPr>
        <w:t>评审委员会启动异常低价投标审查后，属于前述第1项至第4项情形的，应当要求相关供应商在评审现场合理的时间内对投标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p w14:paraId="4BF3AF65">
      <w:pPr>
        <w:numPr>
          <w:ilvl w:val="0"/>
          <w:numId w:val="0"/>
        </w:numPr>
        <w:spacing w:before="120" w:line="320" w:lineRule="atLeast"/>
        <w:ind w:firstLine="420" w:firstLineChars="200"/>
        <w:rPr>
          <w:rFonts w:hint="eastAsia"/>
          <w:strike/>
          <w:dstrike w:val="0"/>
          <w:color w:val="auto"/>
          <w:szCs w:val="21"/>
          <w:highlight w:val="none"/>
          <w:lang w:val="en-US" w:eastAsia="zh-CN"/>
        </w:rPr>
      </w:pPr>
      <w:r>
        <w:rPr>
          <w:rFonts w:hint="eastAsia"/>
          <w:color w:val="auto"/>
          <w:szCs w:val="21"/>
          <w:highlight w:val="none"/>
          <w:lang w:val="en-US" w:eastAsia="zh-CN"/>
        </w:rPr>
        <w:t>评审委员会依据专业经验，参考同类项目中标（成交）价格、类似产品市场价格水平、行业人工费用标准、国家有关部门指导行业协会发布的行业平均成本等情况，对报价合理性进行判断。</w:t>
      </w:r>
      <w:r>
        <w:rPr>
          <w:rFonts w:hint="eastAsia"/>
          <w:strike w:val="0"/>
          <w:dstrike w:val="0"/>
          <w:color w:val="auto"/>
          <w:szCs w:val="21"/>
          <w:highlight w:val="none"/>
          <w:lang w:val="en-US" w:eastAsia="zh-CN"/>
        </w:rPr>
        <w:t>投标（响应）供应商不能提供书面说明、证明材料，或者提供的书面说明、证明材料不能证明其报价合理性的，评审委员会应当将其作为无效投标处理。</w:t>
      </w:r>
    </w:p>
    <w:p w14:paraId="1D07FE73">
      <w:pPr>
        <w:numPr>
          <w:ilvl w:val="0"/>
          <w:numId w:val="0"/>
        </w:numPr>
        <w:spacing w:before="120" w:line="320" w:lineRule="atLeast"/>
        <w:ind w:firstLine="420" w:firstLineChars="200"/>
        <w:rPr>
          <w:rFonts w:hint="eastAsia"/>
          <w:color w:val="auto"/>
          <w:szCs w:val="21"/>
          <w:highlight w:val="none"/>
          <w:lang w:val="en-US" w:eastAsia="zh-CN"/>
        </w:rPr>
      </w:pPr>
      <w:r>
        <w:rPr>
          <w:rFonts w:hint="eastAsia"/>
          <w:color w:val="auto"/>
          <w:szCs w:val="21"/>
          <w:highlight w:val="none"/>
          <w:lang w:val="en-US" w:eastAsia="zh-CN"/>
        </w:rPr>
        <w:t>采购人、采购代理机构应当为评审委员会在评审现场及时获取同类项目中标（成交）价格、类似产品市场价格水平、行业人工费用标准、国家有关部门指导行业协会发布的行业平均成本等相关信息资料提供便利。评审委员会借助互联网等渠道查询相关信息的，应当严格遵守评审工作纪律，不得实施影响评审公正的行为。</w:t>
      </w:r>
    </w:p>
    <w:p w14:paraId="6159C602">
      <w:pPr>
        <w:numPr>
          <w:ilvl w:val="0"/>
          <w:numId w:val="0"/>
        </w:numPr>
        <w:spacing w:before="120" w:line="320" w:lineRule="atLeast"/>
        <w:ind w:firstLine="420" w:firstLineChars="200"/>
        <w:rPr>
          <w:rFonts w:hint="eastAsia"/>
          <w:color w:val="auto"/>
          <w:szCs w:val="21"/>
          <w:highlight w:val="none"/>
          <w:lang w:val="en-US" w:eastAsia="zh-CN"/>
        </w:rPr>
      </w:pPr>
      <w:r>
        <w:rPr>
          <w:rFonts w:hint="eastAsia"/>
          <w:color w:val="auto"/>
          <w:szCs w:val="21"/>
          <w:highlight w:val="none"/>
          <w:lang w:val="en-US" w:eastAsia="zh-CN"/>
        </w:rPr>
        <w:t>异常低价投标审查的启动原因、审查意见和审查结果应当在评审报告中记录，并随供应商提供的相关书面说明及证明材料，以及评审委员会有关互联网浏览、查询历史一并归档。</w:t>
      </w:r>
    </w:p>
    <w:p w14:paraId="1A1F95F7">
      <w:pPr>
        <w:numPr>
          <w:ilvl w:val="0"/>
          <w:numId w:val="0"/>
        </w:numPr>
        <w:spacing w:before="120" w:line="320" w:lineRule="atLeast"/>
        <w:ind w:firstLine="420" w:firstLineChars="200"/>
        <w:rPr>
          <w:rFonts w:hint="eastAsia"/>
          <w:szCs w:val="21"/>
          <w:highlight w:val="none"/>
        </w:rPr>
      </w:pPr>
      <w:r>
        <w:rPr>
          <w:rFonts w:hint="eastAsia"/>
          <w:szCs w:val="21"/>
          <w:highlight w:val="none"/>
        </w:rPr>
        <w:t>书面证明应当按照上述“</w:t>
      </w:r>
      <w:r>
        <w:rPr>
          <w:szCs w:val="21"/>
          <w:highlight w:val="none"/>
        </w:rPr>
        <w:t>6.3.3</w:t>
      </w:r>
      <w:r>
        <w:rPr>
          <w:rFonts w:hint="eastAsia"/>
          <w:szCs w:val="21"/>
          <w:highlight w:val="none"/>
        </w:rPr>
        <w:t>澄清、说明或补正”的规定提交</w:t>
      </w:r>
      <w:r>
        <w:rPr>
          <w:rFonts w:hint="eastAsia"/>
          <w:color w:val="auto"/>
          <w:szCs w:val="21"/>
          <w:highlight w:val="none"/>
          <w:lang w:val="en-US" w:eastAsia="zh-CN"/>
        </w:rPr>
        <w:t>。</w:t>
      </w:r>
    </w:p>
    <w:p w14:paraId="598D902C">
      <w:pPr>
        <w:spacing w:before="120" w:line="320" w:lineRule="atLeast"/>
        <w:ind w:firstLine="420" w:firstLineChars="200"/>
        <w:rPr>
          <w:szCs w:val="21"/>
        </w:rPr>
      </w:pPr>
      <w:r>
        <w:rPr>
          <w:rFonts w:hint="eastAsia"/>
          <w:szCs w:val="21"/>
        </w:rPr>
        <w:t>6</w:t>
      </w:r>
      <w:r>
        <w:rPr>
          <w:szCs w:val="21"/>
        </w:rPr>
        <w:t>.3.</w:t>
      </w:r>
      <w:r>
        <w:rPr>
          <w:rFonts w:hint="eastAsia"/>
          <w:szCs w:val="21"/>
          <w:lang w:val="en-US" w:eastAsia="zh-CN"/>
        </w:rPr>
        <w:t>6</w:t>
      </w:r>
      <w:r>
        <w:rPr>
          <w:rFonts w:hint="eastAsia"/>
          <w:szCs w:val="21"/>
        </w:rPr>
        <w:t>相同品牌认定（仅适用于货物采购项目）</w:t>
      </w:r>
    </w:p>
    <w:p w14:paraId="578DFEA1">
      <w:pPr>
        <w:spacing w:before="120" w:line="320" w:lineRule="atLeast"/>
        <w:ind w:firstLine="420" w:firstLineChars="200"/>
        <w:rPr>
          <w:szCs w:val="21"/>
        </w:rPr>
      </w:pPr>
      <w:r>
        <w:rPr>
          <w:rFonts w:hint="eastAsia"/>
          <w:szCs w:val="21"/>
        </w:rPr>
        <w:t>（1）单一产品采购项目，</w:t>
      </w:r>
      <w:r>
        <w:t>不同</w:t>
      </w:r>
      <w:r>
        <w:rPr>
          <w:rFonts w:hint="eastAsia"/>
        </w:rPr>
        <w:t>投标人</w:t>
      </w:r>
      <w:r>
        <w:t>提供的产品品牌相同时，</w:t>
      </w:r>
      <w:r>
        <w:rPr>
          <w:rFonts w:hint="eastAsia"/>
        </w:rPr>
        <w:t>按以下</w:t>
      </w:r>
      <w:r>
        <w:t>规定</w:t>
      </w:r>
      <w:r>
        <w:rPr>
          <w:rFonts w:hint="eastAsia"/>
        </w:rPr>
        <w:t>确定</w:t>
      </w:r>
      <w:r>
        <w:rPr>
          <w:bCs/>
          <w:kern w:val="0"/>
          <w:szCs w:val="21"/>
        </w:rPr>
        <w:t>相同品牌的投标有效性</w:t>
      </w:r>
      <w:r>
        <w:t>。</w:t>
      </w:r>
    </w:p>
    <w:bookmarkEnd w:id="85"/>
    <w:p w14:paraId="7142F1A8">
      <w:pPr>
        <w:spacing w:before="120" w:line="320" w:lineRule="atLeast"/>
        <w:ind w:firstLine="420" w:firstLineChars="200"/>
        <w:rPr>
          <w:szCs w:val="21"/>
        </w:rPr>
      </w:pPr>
      <w:r>
        <w:rPr>
          <w:rFonts w:hint="eastAsia" w:ascii="宋体" w:hAnsi="宋体"/>
          <w:szCs w:val="21"/>
        </w:rPr>
        <w:t>①采</w:t>
      </w:r>
      <w:r>
        <w:rPr>
          <w:rFonts w:hint="eastAsia"/>
          <w:szCs w:val="21"/>
        </w:rPr>
        <w:t>用综合评分法的采购项目，提供相同品牌产品且通过资格审查、符合性审查的不同投标人参加同一合同项下投标的，按一家投标人计算，评审后得分最高的同品牌投标人获得中标人推荐资格；评审得分相同的，由采购人或者采购人委托评审委员会按照招标文件规定的方式确定一个投标人获得中标人推荐资格，招标文件未规定的采取随机抽取方式确定，其他同品牌投标人不作为中标候选人。</w:t>
      </w:r>
    </w:p>
    <w:p w14:paraId="52A4D600">
      <w:pPr>
        <w:spacing w:before="120" w:line="320" w:lineRule="atLeast"/>
        <w:ind w:firstLine="420" w:firstLineChars="200"/>
        <w:rPr>
          <w:szCs w:val="21"/>
        </w:rPr>
      </w:pPr>
      <w:r>
        <w:rPr>
          <w:rFonts w:ascii="宋体" w:hAnsi="宋体"/>
          <w:szCs w:val="21"/>
        </w:rPr>
        <w:t>②</w:t>
      </w:r>
      <w:r>
        <w:rPr>
          <w:rFonts w:hint="eastAsia"/>
          <w:szCs w:val="21"/>
        </w:rPr>
        <w:t>采用最低评标价法的采购项目，提供相同品牌产品的不同投标人参加同一合同项下投标的，以其中通过资格审查、符合性审查且报价最低的参加评标；报价相同的，由采购人或者采购人委托评审委员会按照招标文件规定的方式确定一个参加评标的投标人，招标文件未规定的采取随机抽取方式确定，其他投标无效。</w:t>
      </w:r>
    </w:p>
    <w:p w14:paraId="3CBEE815">
      <w:pPr>
        <w:spacing w:before="120" w:line="320" w:lineRule="atLeast"/>
        <w:ind w:firstLine="420" w:firstLineChars="200"/>
      </w:pPr>
      <w:r>
        <w:rPr>
          <w:rFonts w:hint="eastAsia"/>
          <w:szCs w:val="21"/>
        </w:rPr>
        <w:t>（2）非单一产品采购项目，</w:t>
      </w:r>
      <w:r>
        <w:rPr>
          <w:szCs w:val="21"/>
        </w:rPr>
        <w:t>采购人应当确定核心产品，并在招标文件中载明。</w:t>
      </w:r>
      <w:r>
        <w:rPr>
          <w:rFonts w:hint="eastAsia"/>
          <w:szCs w:val="21"/>
        </w:rPr>
        <w:t>不同投标人</w:t>
      </w:r>
      <w:r>
        <w:rPr>
          <w:szCs w:val="21"/>
        </w:rPr>
        <w:t>提供的核心产品品牌相同的，按上述规定处理。核心产品</w:t>
      </w:r>
      <w:r>
        <w:rPr>
          <w:rFonts w:hint="eastAsia"/>
          <w:szCs w:val="21"/>
        </w:rPr>
        <w:t>在第二章</w:t>
      </w:r>
      <w:r>
        <w:rPr>
          <w:szCs w:val="21"/>
        </w:rPr>
        <w:t>采购需求规定。</w:t>
      </w:r>
    </w:p>
    <w:p w14:paraId="4D226A79">
      <w:pPr>
        <w:spacing w:before="120" w:line="320" w:lineRule="atLeast"/>
        <w:ind w:firstLine="420" w:firstLineChars="200"/>
        <w:rPr>
          <w:szCs w:val="21"/>
        </w:rPr>
      </w:pPr>
      <w:r>
        <w:rPr>
          <w:szCs w:val="21"/>
        </w:rPr>
        <w:t>6.3.</w:t>
      </w:r>
      <w:r>
        <w:rPr>
          <w:rFonts w:hint="eastAsia"/>
          <w:szCs w:val="21"/>
          <w:lang w:val="en-US" w:eastAsia="zh-CN"/>
        </w:rPr>
        <w:t>7</w:t>
      </w:r>
      <w:r>
        <w:rPr>
          <w:szCs w:val="21"/>
        </w:rPr>
        <w:t>串通投标认定</w:t>
      </w:r>
    </w:p>
    <w:p w14:paraId="627F1F58">
      <w:pPr>
        <w:spacing w:before="120" w:line="320" w:lineRule="atLeast"/>
        <w:ind w:firstLine="420" w:firstLineChars="200"/>
      </w:pPr>
      <w:r>
        <w:rPr>
          <w:szCs w:val="21"/>
        </w:rPr>
        <w:t>评审委员会须根据</w:t>
      </w:r>
      <w:r>
        <w:rPr>
          <w:rFonts w:hint="eastAsia"/>
          <w:szCs w:val="21"/>
        </w:rPr>
        <w:t>以下</w:t>
      </w:r>
      <w:r>
        <w:rPr>
          <w:szCs w:val="21"/>
        </w:rPr>
        <w:t>规定</w:t>
      </w:r>
      <w:r>
        <w:rPr>
          <w:rFonts w:hint="eastAsia"/>
          <w:szCs w:val="21"/>
        </w:rPr>
        <w:t>认定投标人</w:t>
      </w:r>
      <w:r>
        <w:rPr>
          <w:szCs w:val="21"/>
        </w:rPr>
        <w:t>是否有</w:t>
      </w:r>
      <w:r>
        <w:rPr>
          <w:bCs/>
          <w:kern w:val="0"/>
          <w:szCs w:val="21"/>
        </w:rPr>
        <w:t>串通投标的行为</w:t>
      </w:r>
      <w:r>
        <w:t>。</w:t>
      </w:r>
    </w:p>
    <w:p w14:paraId="573FEB8A">
      <w:pPr>
        <w:spacing w:before="120" w:line="320" w:lineRule="atLeast"/>
        <w:ind w:firstLine="420" w:firstLineChars="200"/>
        <w:rPr>
          <w:szCs w:val="21"/>
        </w:rPr>
      </w:pPr>
      <w:bookmarkStart w:id="86" w:name="_Hlk19122026"/>
      <w:r>
        <w:rPr>
          <w:rFonts w:hint="eastAsia"/>
          <w:szCs w:val="21"/>
        </w:rPr>
        <w:t>（1）</w:t>
      </w:r>
      <w:bookmarkEnd w:id="86"/>
      <w:r>
        <w:rPr>
          <w:szCs w:val="21"/>
        </w:rPr>
        <w:t>根据《关于防治政府采购招标中串通投标行为的通知》</w:t>
      </w:r>
      <w:r>
        <w:rPr>
          <w:rFonts w:hint="eastAsia"/>
          <w:szCs w:val="21"/>
        </w:rPr>
        <w:t>（</w:t>
      </w:r>
      <w:r>
        <w:rPr>
          <w:szCs w:val="21"/>
        </w:rPr>
        <w:t>桂财采</w:t>
      </w:r>
      <w:r>
        <w:rPr>
          <w:rFonts w:hint="eastAsia"/>
          <w:szCs w:val="21"/>
          <w:lang w:eastAsia="zh-CN"/>
        </w:rPr>
        <w:t>〔2016〕42号</w:t>
      </w:r>
      <w:r>
        <w:rPr>
          <w:rFonts w:hint="eastAsia"/>
          <w:szCs w:val="21"/>
        </w:rPr>
        <w:t>）</w:t>
      </w:r>
      <w:r>
        <w:rPr>
          <w:szCs w:val="21"/>
        </w:rPr>
        <w:t>规定，出现下述情况的，相关供应商的投标作无效投标处理。</w:t>
      </w:r>
    </w:p>
    <w:p w14:paraId="25FF4291">
      <w:pPr>
        <w:spacing w:before="120" w:line="320" w:lineRule="atLeast"/>
        <w:ind w:firstLine="420" w:firstLineChars="200"/>
        <w:rPr>
          <w:szCs w:val="21"/>
        </w:rPr>
      </w:pPr>
      <w:bookmarkStart w:id="87" w:name="_Hlk19122039"/>
      <w:r>
        <w:rPr>
          <w:rFonts w:hint="eastAsia" w:ascii="宋体" w:hAnsi="宋体" w:cs="宋体"/>
          <w:szCs w:val="21"/>
        </w:rPr>
        <w:t>①</w:t>
      </w:r>
      <w:r>
        <w:rPr>
          <w:szCs w:val="21"/>
        </w:rPr>
        <w:t>单位负责人为同一人或者存在直接控股、管理关系，参加同一合同项下政府采购活动的不同供应商。</w:t>
      </w:r>
    </w:p>
    <w:p w14:paraId="7881943B">
      <w:pPr>
        <w:spacing w:before="120" w:line="320" w:lineRule="atLeast"/>
        <w:ind w:firstLine="420" w:firstLineChars="200"/>
        <w:rPr>
          <w:szCs w:val="21"/>
        </w:rPr>
      </w:pPr>
      <w:r>
        <w:rPr>
          <w:rFonts w:hint="eastAsia"/>
          <w:szCs w:val="21"/>
        </w:rPr>
        <w:t>②</w:t>
      </w:r>
      <w:r>
        <w:rPr>
          <w:szCs w:val="21"/>
        </w:rPr>
        <w:t>授权给供应商后参加同一合同项（分标、分包）投标的生产厂商。</w:t>
      </w:r>
    </w:p>
    <w:p w14:paraId="24CD66B5">
      <w:pPr>
        <w:spacing w:before="120" w:line="320" w:lineRule="atLeast"/>
        <w:ind w:firstLine="420" w:firstLineChars="200"/>
        <w:rPr>
          <w:szCs w:val="21"/>
        </w:rPr>
      </w:pPr>
      <w:r>
        <w:rPr>
          <w:rFonts w:hint="eastAsia"/>
          <w:szCs w:val="21"/>
        </w:rPr>
        <w:t>③</w:t>
      </w:r>
      <w:r>
        <w:rPr>
          <w:szCs w:val="21"/>
        </w:rPr>
        <w:t>视为或被认定为串通投标的相关供应商。</w:t>
      </w:r>
    </w:p>
    <w:bookmarkEnd w:id="87"/>
    <w:p w14:paraId="4918122D">
      <w:pPr>
        <w:spacing w:before="120" w:line="320" w:lineRule="atLeast"/>
        <w:ind w:firstLine="420" w:firstLineChars="200"/>
        <w:rPr>
          <w:szCs w:val="21"/>
        </w:rPr>
      </w:pPr>
      <w:bookmarkStart w:id="88" w:name="_Hlk19122058"/>
      <w:r>
        <w:rPr>
          <w:rFonts w:hint="eastAsia"/>
          <w:szCs w:val="21"/>
        </w:rPr>
        <w:t>（2）</w:t>
      </w:r>
      <w:bookmarkEnd w:id="88"/>
      <w:r>
        <w:rPr>
          <w:szCs w:val="21"/>
        </w:rPr>
        <w:t>根据《关于防治政府采购招标中串通投标行为的通知》</w:t>
      </w:r>
      <w:r>
        <w:rPr>
          <w:rFonts w:hint="eastAsia"/>
          <w:szCs w:val="21"/>
        </w:rPr>
        <w:t>（</w:t>
      </w:r>
      <w:r>
        <w:rPr>
          <w:szCs w:val="21"/>
        </w:rPr>
        <w:t>桂财采</w:t>
      </w:r>
      <w:r>
        <w:rPr>
          <w:rFonts w:hint="eastAsia"/>
          <w:szCs w:val="21"/>
          <w:lang w:eastAsia="zh-CN"/>
        </w:rPr>
        <w:t>〔2016〕42号</w:t>
      </w:r>
      <w:r>
        <w:rPr>
          <w:rFonts w:hint="eastAsia"/>
          <w:szCs w:val="21"/>
        </w:rPr>
        <w:t>）</w:t>
      </w:r>
      <w:r>
        <w:rPr>
          <w:szCs w:val="21"/>
        </w:rPr>
        <w:t>规定，有下列情形之一的视为</w:t>
      </w:r>
      <w:r>
        <w:rPr>
          <w:rFonts w:hint="eastAsia"/>
          <w:szCs w:val="21"/>
        </w:rPr>
        <w:t>投标人</w:t>
      </w:r>
      <w:r>
        <w:rPr>
          <w:szCs w:val="21"/>
        </w:rPr>
        <w:t>相互串通投标，投标文件将被视为无效。</w:t>
      </w:r>
    </w:p>
    <w:p w14:paraId="7DC7012A">
      <w:pPr>
        <w:spacing w:before="120" w:line="320" w:lineRule="atLeast"/>
        <w:ind w:firstLine="420" w:firstLineChars="200"/>
        <w:rPr>
          <w:szCs w:val="21"/>
        </w:rPr>
      </w:pPr>
      <w:bookmarkStart w:id="89" w:name="_Hlk19122048"/>
      <w:r>
        <w:rPr>
          <w:rFonts w:hint="eastAsia" w:ascii="宋体" w:hAnsi="宋体" w:cs="宋体"/>
          <w:szCs w:val="21"/>
        </w:rPr>
        <w:t>①</w:t>
      </w:r>
      <w:r>
        <w:rPr>
          <w:szCs w:val="21"/>
        </w:rPr>
        <w:t>不同</w:t>
      </w:r>
      <w:r>
        <w:rPr>
          <w:rFonts w:hint="eastAsia"/>
          <w:szCs w:val="21"/>
        </w:rPr>
        <w:t>投标人</w:t>
      </w:r>
      <w:r>
        <w:rPr>
          <w:szCs w:val="21"/>
        </w:rPr>
        <w:t>的投标文件由同一单位或者个人编制；或不同</w:t>
      </w:r>
      <w:r>
        <w:rPr>
          <w:rFonts w:hint="eastAsia"/>
          <w:szCs w:val="21"/>
        </w:rPr>
        <w:t>投标人</w:t>
      </w:r>
      <w:r>
        <w:rPr>
          <w:szCs w:val="21"/>
        </w:rPr>
        <w:t>报名的IP地址一致的；</w:t>
      </w:r>
    </w:p>
    <w:p w14:paraId="7B19804B">
      <w:pPr>
        <w:spacing w:before="120" w:line="320" w:lineRule="atLeast"/>
        <w:ind w:firstLine="420" w:firstLineChars="200"/>
        <w:rPr>
          <w:szCs w:val="21"/>
        </w:rPr>
      </w:pPr>
      <w:r>
        <w:rPr>
          <w:rFonts w:hint="eastAsia"/>
          <w:szCs w:val="21"/>
        </w:rPr>
        <w:t>②</w:t>
      </w:r>
      <w:r>
        <w:rPr>
          <w:szCs w:val="21"/>
        </w:rPr>
        <w:t>不同</w:t>
      </w:r>
      <w:r>
        <w:rPr>
          <w:rFonts w:hint="eastAsia"/>
          <w:szCs w:val="21"/>
        </w:rPr>
        <w:t>投标人</w:t>
      </w:r>
      <w:r>
        <w:rPr>
          <w:szCs w:val="21"/>
        </w:rPr>
        <w:t>委托同一单位或者个人办理投标事宜；</w:t>
      </w:r>
    </w:p>
    <w:p w14:paraId="5EFCB065">
      <w:pPr>
        <w:spacing w:before="120" w:line="320" w:lineRule="atLeast"/>
        <w:ind w:firstLine="420" w:firstLineChars="200"/>
        <w:rPr>
          <w:szCs w:val="21"/>
        </w:rPr>
      </w:pPr>
      <w:r>
        <w:rPr>
          <w:rFonts w:hint="eastAsia"/>
          <w:szCs w:val="21"/>
        </w:rPr>
        <w:t>③</w:t>
      </w:r>
      <w:r>
        <w:rPr>
          <w:szCs w:val="21"/>
        </w:rPr>
        <w:t>不同的</w:t>
      </w:r>
      <w:r>
        <w:rPr>
          <w:rFonts w:hint="eastAsia"/>
          <w:szCs w:val="21"/>
        </w:rPr>
        <w:t>投标人</w:t>
      </w:r>
      <w:r>
        <w:rPr>
          <w:szCs w:val="21"/>
        </w:rPr>
        <w:t>的投标文件载明的项目管理员为同一个人；</w:t>
      </w:r>
    </w:p>
    <w:p w14:paraId="2EFD02DA">
      <w:pPr>
        <w:spacing w:before="120" w:line="320" w:lineRule="atLeast"/>
        <w:ind w:firstLine="420" w:firstLineChars="200"/>
        <w:rPr>
          <w:szCs w:val="21"/>
        </w:rPr>
      </w:pPr>
      <w:r>
        <w:rPr>
          <w:rFonts w:hint="eastAsia"/>
          <w:szCs w:val="21"/>
        </w:rPr>
        <w:t>④</w:t>
      </w:r>
      <w:r>
        <w:rPr>
          <w:szCs w:val="21"/>
        </w:rPr>
        <w:t>不同</w:t>
      </w:r>
      <w:r>
        <w:rPr>
          <w:rFonts w:hint="eastAsia"/>
          <w:szCs w:val="21"/>
        </w:rPr>
        <w:t>投标人</w:t>
      </w:r>
      <w:r>
        <w:rPr>
          <w:szCs w:val="21"/>
        </w:rPr>
        <w:t>的投标文件异常一致或投标报价呈规律性差异；</w:t>
      </w:r>
    </w:p>
    <w:p w14:paraId="7714FBDC">
      <w:pPr>
        <w:spacing w:before="120" w:line="320" w:lineRule="atLeast"/>
        <w:ind w:firstLine="420" w:firstLineChars="200"/>
        <w:rPr>
          <w:szCs w:val="21"/>
        </w:rPr>
      </w:pPr>
      <w:r>
        <w:rPr>
          <w:rFonts w:hint="eastAsia"/>
          <w:szCs w:val="21"/>
        </w:rPr>
        <w:t>⑤</w:t>
      </w:r>
      <w:r>
        <w:rPr>
          <w:szCs w:val="21"/>
        </w:rPr>
        <w:t>不同</w:t>
      </w:r>
      <w:r>
        <w:rPr>
          <w:rFonts w:hint="eastAsia"/>
          <w:szCs w:val="21"/>
        </w:rPr>
        <w:t>投标人</w:t>
      </w:r>
      <w:r>
        <w:rPr>
          <w:szCs w:val="21"/>
        </w:rPr>
        <w:t>的投标文件相互混装；</w:t>
      </w:r>
    </w:p>
    <w:p w14:paraId="3B6BDD8F">
      <w:pPr>
        <w:spacing w:before="120" w:line="320" w:lineRule="atLeast"/>
        <w:ind w:firstLine="420" w:firstLineChars="200"/>
        <w:rPr>
          <w:szCs w:val="21"/>
        </w:rPr>
      </w:pPr>
      <w:r>
        <w:rPr>
          <w:rFonts w:hint="eastAsia"/>
          <w:szCs w:val="21"/>
        </w:rPr>
        <w:t>⑥</w:t>
      </w:r>
      <w:r>
        <w:rPr>
          <w:szCs w:val="21"/>
        </w:rPr>
        <w:t>不同</w:t>
      </w:r>
      <w:r>
        <w:rPr>
          <w:rFonts w:hint="eastAsia"/>
          <w:szCs w:val="21"/>
        </w:rPr>
        <w:t>投标人</w:t>
      </w:r>
      <w:r>
        <w:rPr>
          <w:szCs w:val="21"/>
        </w:rPr>
        <w:t>的保证金从同一单位或者个人账户转出。</w:t>
      </w:r>
    </w:p>
    <w:bookmarkEnd w:id="89"/>
    <w:p w14:paraId="6E899994">
      <w:pPr>
        <w:spacing w:before="120" w:line="320" w:lineRule="atLeast"/>
        <w:ind w:firstLine="420" w:firstLineChars="200"/>
        <w:rPr>
          <w:szCs w:val="21"/>
        </w:rPr>
      </w:pPr>
      <w:bookmarkStart w:id="90" w:name="_Hlk19122102"/>
      <w:r>
        <w:rPr>
          <w:rFonts w:hint="eastAsia"/>
          <w:szCs w:val="21"/>
        </w:rPr>
        <w:t>（3）</w:t>
      </w:r>
      <w:bookmarkEnd w:id="90"/>
      <w:r>
        <w:rPr>
          <w:szCs w:val="21"/>
        </w:rPr>
        <w:t>根据《关于防治政府采购招标中串通投标行为的通知》</w:t>
      </w:r>
      <w:r>
        <w:rPr>
          <w:rFonts w:hint="eastAsia"/>
          <w:szCs w:val="21"/>
        </w:rPr>
        <w:t>（</w:t>
      </w:r>
      <w:r>
        <w:rPr>
          <w:szCs w:val="21"/>
        </w:rPr>
        <w:t>桂财采</w:t>
      </w:r>
      <w:r>
        <w:rPr>
          <w:rFonts w:hint="eastAsia"/>
          <w:szCs w:val="21"/>
          <w:lang w:eastAsia="zh-CN"/>
        </w:rPr>
        <w:t>〔2016〕42号</w:t>
      </w:r>
      <w:r>
        <w:rPr>
          <w:rFonts w:hint="eastAsia"/>
          <w:szCs w:val="21"/>
        </w:rPr>
        <w:t>）</w:t>
      </w:r>
      <w:r>
        <w:rPr>
          <w:szCs w:val="21"/>
        </w:rPr>
        <w:t>规定，供应商有下列情形之一的，属于恶意串通行为，投标文件将被视为无效。</w:t>
      </w:r>
    </w:p>
    <w:p w14:paraId="1A787694">
      <w:pPr>
        <w:spacing w:before="120" w:line="320" w:lineRule="atLeast"/>
        <w:ind w:firstLine="420" w:firstLineChars="200"/>
        <w:rPr>
          <w:szCs w:val="21"/>
        </w:rPr>
      </w:pPr>
      <w:bookmarkStart w:id="91" w:name="_Hlk19122095"/>
      <w:r>
        <w:rPr>
          <w:rFonts w:hint="eastAsia"/>
          <w:szCs w:val="21"/>
        </w:rPr>
        <w:t>①</w:t>
      </w:r>
      <w:r>
        <w:rPr>
          <w:szCs w:val="21"/>
        </w:rPr>
        <w:t>供应商直接或者间接从采购人或者采购代理机构处获得其他供应商的相关信息并修改其投标文件或者响应文件；</w:t>
      </w:r>
    </w:p>
    <w:p w14:paraId="43F71FF0">
      <w:pPr>
        <w:spacing w:before="120" w:line="320" w:lineRule="atLeast"/>
        <w:ind w:firstLine="420" w:firstLineChars="200"/>
        <w:rPr>
          <w:szCs w:val="21"/>
        </w:rPr>
      </w:pPr>
      <w:r>
        <w:rPr>
          <w:rFonts w:hint="eastAsia"/>
          <w:szCs w:val="21"/>
        </w:rPr>
        <w:t>②</w:t>
      </w:r>
      <w:r>
        <w:rPr>
          <w:szCs w:val="21"/>
        </w:rPr>
        <w:t>供应商按照采购人或者采购代理机构的授意撤换、修改投标文件或者响应文件</w:t>
      </w:r>
      <w:r>
        <w:rPr>
          <w:rFonts w:hint="eastAsia"/>
          <w:szCs w:val="21"/>
          <w:lang w:eastAsia="zh-CN"/>
        </w:rPr>
        <w:t>;</w:t>
      </w:r>
    </w:p>
    <w:p w14:paraId="481C2977">
      <w:pPr>
        <w:spacing w:before="120" w:line="320" w:lineRule="atLeast"/>
        <w:ind w:firstLine="420" w:firstLineChars="200"/>
        <w:rPr>
          <w:szCs w:val="21"/>
        </w:rPr>
      </w:pPr>
      <w:r>
        <w:rPr>
          <w:rFonts w:hint="eastAsia"/>
          <w:szCs w:val="21"/>
        </w:rPr>
        <w:t>③</w:t>
      </w:r>
      <w:r>
        <w:rPr>
          <w:szCs w:val="21"/>
        </w:rPr>
        <w:t>供应商之间协商报价、技术方案等投标文件或者响应文件的实质性内容；</w:t>
      </w:r>
    </w:p>
    <w:p w14:paraId="3B14FA16">
      <w:pPr>
        <w:spacing w:before="120" w:line="320" w:lineRule="atLeast"/>
        <w:ind w:firstLine="420" w:firstLineChars="200"/>
        <w:rPr>
          <w:szCs w:val="21"/>
        </w:rPr>
      </w:pPr>
      <w:r>
        <w:rPr>
          <w:rFonts w:hint="eastAsia"/>
          <w:szCs w:val="21"/>
        </w:rPr>
        <w:t>④</w:t>
      </w:r>
      <w:r>
        <w:rPr>
          <w:szCs w:val="21"/>
        </w:rPr>
        <w:t>属于同一集团、协会、商会等组织成员的供应商按照该组织要求协同参加政府采购活动；</w:t>
      </w:r>
    </w:p>
    <w:p w14:paraId="2AFB5A9B">
      <w:pPr>
        <w:spacing w:before="120" w:line="320" w:lineRule="atLeast"/>
        <w:ind w:firstLine="420" w:firstLineChars="200"/>
        <w:rPr>
          <w:szCs w:val="21"/>
        </w:rPr>
      </w:pPr>
      <w:r>
        <w:rPr>
          <w:rFonts w:hint="eastAsia"/>
          <w:szCs w:val="21"/>
        </w:rPr>
        <w:t>⑤</w:t>
      </w:r>
      <w:r>
        <w:rPr>
          <w:szCs w:val="21"/>
        </w:rPr>
        <w:t>供应商之间事先约定一致抬高或者压低投标报价，或者在招标项目中事先约定轮流以高价位或者低价位中标，或者事先约定由某一特定供应商中标，然后再参加投标；</w:t>
      </w:r>
    </w:p>
    <w:p w14:paraId="50D07776">
      <w:pPr>
        <w:spacing w:before="120" w:line="320" w:lineRule="atLeast"/>
        <w:ind w:firstLine="420" w:firstLineChars="200"/>
        <w:rPr>
          <w:szCs w:val="21"/>
        </w:rPr>
      </w:pPr>
      <w:r>
        <w:rPr>
          <w:rFonts w:hint="eastAsia"/>
          <w:szCs w:val="21"/>
        </w:rPr>
        <w:t>⑥</w:t>
      </w:r>
      <w:r>
        <w:rPr>
          <w:szCs w:val="21"/>
        </w:rPr>
        <w:t>供应商之间商定部分供应商放弃参加政府采购活动或者放弃中标；</w:t>
      </w:r>
    </w:p>
    <w:p w14:paraId="5E4D6E6A">
      <w:pPr>
        <w:spacing w:before="120" w:line="320" w:lineRule="atLeast"/>
        <w:ind w:firstLine="420" w:firstLineChars="200"/>
        <w:rPr>
          <w:szCs w:val="21"/>
        </w:rPr>
      </w:pPr>
      <w:r>
        <w:rPr>
          <w:rFonts w:hint="eastAsia"/>
          <w:szCs w:val="21"/>
        </w:rPr>
        <w:t>⑦</w:t>
      </w:r>
      <w:r>
        <w:rPr>
          <w:szCs w:val="21"/>
        </w:rPr>
        <w:t>供应商与采购人或者采购代理机构之间、供应商相互之间，为谋求特定供应商中标或者排斥其他供应商的其他串通行为。</w:t>
      </w:r>
    </w:p>
    <w:bookmarkEnd w:id="91"/>
    <w:p w14:paraId="7F37D745">
      <w:pPr>
        <w:spacing w:before="120" w:line="320" w:lineRule="atLeast"/>
        <w:ind w:firstLine="420" w:firstLineChars="200"/>
        <w:rPr>
          <w:szCs w:val="21"/>
        </w:rPr>
      </w:pPr>
      <w:r>
        <w:rPr>
          <w:szCs w:val="21"/>
        </w:rPr>
        <w:t>6.3.</w:t>
      </w:r>
      <w:r>
        <w:rPr>
          <w:rFonts w:hint="eastAsia"/>
          <w:szCs w:val="21"/>
          <w:lang w:val="en-US" w:eastAsia="zh-CN"/>
        </w:rPr>
        <w:t>8</w:t>
      </w:r>
      <w:r>
        <w:rPr>
          <w:szCs w:val="21"/>
        </w:rPr>
        <w:t>投标</w:t>
      </w:r>
      <w:r>
        <w:rPr>
          <w:rFonts w:hint="eastAsia"/>
          <w:szCs w:val="21"/>
        </w:rPr>
        <w:t>无效</w:t>
      </w:r>
      <w:r>
        <w:rPr>
          <w:szCs w:val="21"/>
        </w:rPr>
        <w:t>认定</w:t>
      </w:r>
    </w:p>
    <w:p w14:paraId="4F58D4ED">
      <w:pPr>
        <w:spacing w:before="120" w:line="320" w:lineRule="atLeast"/>
        <w:ind w:firstLine="420" w:firstLineChars="200"/>
        <w:rPr>
          <w:szCs w:val="21"/>
        </w:rPr>
      </w:pPr>
      <w:bookmarkStart w:id="92" w:name="_Hlk19113301"/>
      <w:r>
        <w:rPr>
          <w:rFonts w:hint="eastAsia"/>
          <w:szCs w:val="21"/>
        </w:rPr>
        <w:t>（</w:t>
      </w:r>
      <w:r>
        <w:rPr>
          <w:szCs w:val="21"/>
        </w:rPr>
        <w:t>1）在</w:t>
      </w:r>
      <w:r>
        <w:rPr>
          <w:rFonts w:hint="eastAsia"/>
          <w:szCs w:val="21"/>
        </w:rPr>
        <w:t>评审过程中</w:t>
      </w:r>
      <w:r>
        <w:rPr>
          <w:szCs w:val="21"/>
        </w:rPr>
        <w:t>如发现下列情形之一的，投标文件将被视为无效：</w:t>
      </w:r>
    </w:p>
    <w:p w14:paraId="1B57E9B4">
      <w:pPr>
        <w:spacing w:before="120" w:line="320" w:lineRule="atLeast"/>
        <w:ind w:firstLine="420" w:firstLineChars="200"/>
      </w:pPr>
      <w:r>
        <w:rPr>
          <w:rFonts w:hint="eastAsia"/>
          <w:szCs w:val="21"/>
        </w:rPr>
        <w:t>①</w:t>
      </w:r>
      <w:r>
        <w:rPr>
          <w:szCs w:val="21"/>
        </w:rPr>
        <w:t>投标文件</w:t>
      </w:r>
      <w:r>
        <w:rPr>
          <w:rFonts w:hint="eastAsia"/>
          <w:szCs w:val="21"/>
        </w:rPr>
        <w:t>存在法律、法规及监督部门有关文件规定的无效情形</w:t>
      </w:r>
      <w:r>
        <w:rPr>
          <w:szCs w:val="21"/>
        </w:rPr>
        <w:t>。</w:t>
      </w:r>
    </w:p>
    <w:p w14:paraId="21FF05BD">
      <w:pPr>
        <w:spacing w:before="120" w:line="320" w:lineRule="atLeast"/>
        <w:ind w:firstLine="420" w:firstLineChars="200"/>
        <w:rPr>
          <w:szCs w:val="21"/>
        </w:rPr>
      </w:pPr>
      <w:r>
        <w:rPr>
          <w:rFonts w:hint="eastAsia"/>
          <w:szCs w:val="21"/>
        </w:rPr>
        <w:t>②</w:t>
      </w:r>
      <w:r>
        <w:rPr>
          <w:szCs w:val="21"/>
        </w:rPr>
        <w:t>投标文件</w:t>
      </w:r>
      <w:r>
        <w:rPr>
          <w:rFonts w:hint="eastAsia"/>
          <w:szCs w:val="21"/>
        </w:rPr>
        <w:t>存在招标文件规定的无效情形。</w:t>
      </w:r>
    </w:p>
    <w:bookmarkEnd w:id="92"/>
    <w:p w14:paraId="26C76488">
      <w:pPr>
        <w:spacing w:before="120" w:line="320" w:lineRule="atLeast"/>
        <w:ind w:firstLine="420" w:firstLineChars="200"/>
        <w:rPr>
          <w:szCs w:val="21"/>
        </w:rPr>
      </w:pPr>
      <w:bookmarkStart w:id="93" w:name="_Hlk19113313"/>
      <w:r>
        <w:rPr>
          <w:rFonts w:hint="eastAsia"/>
          <w:szCs w:val="21"/>
        </w:rPr>
        <w:t>（2）根据</w:t>
      </w:r>
      <w:r>
        <w:rPr>
          <w:szCs w:val="21"/>
        </w:rPr>
        <w:t>财库</w:t>
      </w:r>
      <w:r>
        <w:rPr>
          <w:rFonts w:hint="eastAsia"/>
          <w:szCs w:val="21"/>
        </w:rPr>
        <w:t>《</w:t>
      </w:r>
      <w:r>
        <w:rPr>
          <w:szCs w:val="21"/>
        </w:rPr>
        <w:t>关于促进政府采购公平竞争优化营商环境的通知</w:t>
      </w:r>
      <w:r>
        <w:rPr>
          <w:rFonts w:hint="eastAsia"/>
          <w:szCs w:val="21"/>
        </w:rPr>
        <w:t>》（</w:t>
      </w:r>
      <w:r>
        <w:rPr>
          <w:szCs w:val="21"/>
        </w:rPr>
        <w:t>〔2019〕38号</w:t>
      </w:r>
      <w:r>
        <w:rPr>
          <w:rFonts w:hint="eastAsia"/>
          <w:szCs w:val="21"/>
        </w:rPr>
        <w:t>）以及《广西壮族自治区财政厅转发财政部关于促进政府采购公平竞争优化营商环境的通知》（桂财采〔2019〕41号）规定，评审委员会不得因装订、纸张、文件排序等非实质性的格式、形式问题认定投标无效或否决投标，从而限制和影响供应商投标（响应）。</w:t>
      </w:r>
    </w:p>
    <w:bookmarkEnd w:id="93"/>
    <w:p w14:paraId="6469FD0C">
      <w:pPr>
        <w:spacing w:before="120" w:line="320" w:lineRule="atLeast"/>
        <w:ind w:firstLine="420" w:firstLineChars="200"/>
        <w:rPr>
          <w:szCs w:val="21"/>
        </w:rPr>
      </w:pPr>
      <w:bookmarkStart w:id="94" w:name="_Hlk19113363"/>
      <w:r>
        <w:rPr>
          <w:szCs w:val="21"/>
        </w:rPr>
        <w:t>6.3.</w:t>
      </w:r>
      <w:r>
        <w:rPr>
          <w:rFonts w:hint="eastAsia"/>
          <w:szCs w:val="21"/>
          <w:lang w:val="en-US" w:eastAsia="zh-CN"/>
        </w:rPr>
        <w:t>9</w:t>
      </w:r>
      <w:r>
        <w:rPr>
          <w:szCs w:val="21"/>
        </w:rPr>
        <w:t>比较与评价</w:t>
      </w:r>
    </w:p>
    <w:p w14:paraId="3131A7BF">
      <w:pPr>
        <w:spacing w:before="120" w:line="320" w:lineRule="atLeast"/>
        <w:ind w:firstLine="420" w:firstLineChars="200"/>
        <w:rPr>
          <w:szCs w:val="21"/>
        </w:rPr>
      </w:pPr>
      <w:r>
        <w:rPr>
          <w:rFonts w:hint="eastAsia"/>
          <w:szCs w:val="21"/>
        </w:rPr>
        <w:t>（1）评审委员会</w:t>
      </w:r>
      <w:r>
        <w:rPr>
          <w:szCs w:val="21"/>
        </w:rPr>
        <w:t>按招标文件中规定的评审方法和标准，对符合性审查合格的投标文件进行综合比较与评价。</w:t>
      </w:r>
    </w:p>
    <w:p w14:paraId="46227254">
      <w:pPr>
        <w:spacing w:before="120" w:line="320" w:lineRule="atLeast"/>
        <w:ind w:firstLine="420" w:firstLineChars="200"/>
        <w:rPr>
          <w:szCs w:val="21"/>
        </w:rPr>
      </w:pPr>
      <w:r>
        <w:rPr>
          <w:rFonts w:hint="eastAsia"/>
          <w:szCs w:val="21"/>
        </w:rPr>
        <w:t>（2）</w:t>
      </w:r>
      <w:r>
        <w:rPr>
          <w:szCs w:val="21"/>
        </w:rPr>
        <w:t>评审委员会各成员独立对每个有效供应商的投标文件进行评价</w:t>
      </w:r>
      <w:r>
        <w:rPr>
          <w:rFonts w:hint="eastAsia"/>
          <w:szCs w:val="21"/>
        </w:rPr>
        <w:t>。评价</w:t>
      </w:r>
      <w:r>
        <w:rPr>
          <w:szCs w:val="21"/>
        </w:rPr>
        <w:t>有误的应及时进行修正。评</w:t>
      </w:r>
      <w:r>
        <w:rPr>
          <w:rFonts w:hint="eastAsia"/>
          <w:szCs w:val="21"/>
        </w:rPr>
        <w:t>分</w:t>
      </w:r>
      <w:r>
        <w:rPr>
          <w:szCs w:val="21"/>
        </w:rPr>
        <w:t>标准如有客观分定义，评审委员会所有成员的客观分</w:t>
      </w:r>
      <w:r>
        <w:rPr>
          <w:rFonts w:hint="eastAsia"/>
          <w:szCs w:val="21"/>
        </w:rPr>
        <w:t>评分分值</w:t>
      </w:r>
      <w:r>
        <w:rPr>
          <w:szCs w:val="21"/>
        </w:rPr>
        <w:t>应当一致。</w:t>
      </w:r>
    </w:p>
    <w:p w14:paraId="0DFD3838">
      <w:pPr>
        <w:spacing w:before="120" w:line="320" w:lineRule="atLeast"/>
        <w:ind w:firstLine="420" w:firstLineChars="200"/>
        <w:rPr>
          <w:color w:val="auto"/>
          <w:szCs w:val="21"/>
        </w:rPr>
      </w:pPr>
      <w:r>
        <w:rPr>
          <w:rFonts w:hint="eastAsia"/>
          <w:szCs w:val="21"/>
        </w:rPr>
        <w:t>（3）评审委员会</w:t>
      </w:r>
      <w:r>
        <w:rPr>
          <w:szCs w:val="21"/>
        </w:rPr>
        <w:t>按</w:t>
      </w:r>
      <w:r>
        <w:rPr>
          <w:rFonts w:hint="eastAsia"/>
          <w:szCs w:val="21"/>
        </w:rPr>
        <w:t>综合评</w:t>
      </w:r>
      <w:r>
        <w:rPr>
          <w:szCs w:val="21"/>
        </w:rPr>
        <w:t>分由高到低的排列顺序推荐中标候选人</w:t>
      </w:r>
      <w:r>
        <w:rPr>
          <w:rFonts w:hint="eastAsia"/>
          <w:szCs w:val="21"/>
        </w:rPr>
        <w:t>，中标候选人最多不超过3名。</w:t>
      </w:r>
      <w:r>
        <w:rPr>
          <w:color w:val="auto"/>
          <w:szCs w:val="21"/>
        </w:rPr>
        <w:t>若中标候选人综合</w:t>
      </w:r>
      <w:r>
        <w:rPr>
          <w:rFonts w:hint="eastAsia"/>
          <w:color w:val="auto"/>
          <w:szCs w:val="21"/>
        </w:rPr>
        <w:t>评</w:t>
      </w:r>
      <w:r>
        <w:rPr>
          <w:color w:val="auto"/>
          <w:szCs w:val="21"/>
        </w:rPr>
        <w:t>分相同的，按投标报价由低到高顺序排列</w:t>
      </w:r>
      <w:r>
        <w:rPr>
          <w:b/>
          <w:bCs/>
          <w:color w:val="auto"/>
          <w:szCs w:val="21"/>
        </w:rPr>
        <w:t>；</w:t>
      </w:r>
      <w:r>
        <w:rPr>
          <w:b w:val="0"/>
          <w:bCs w:val="0"/>
          <w:color w:val="auto"/>
          <w:szCs w:val="21"/>
          <w:highlight w:val="none"/>
        </w:rPr>
        <w:t>综合</w:t>
      </w:r>
      <w:r>
        <w:rPr>
          <w:rFonts w:hint="eastAsia"/>
          <w:b w:val="0"/>
          <w:bCs w:val="0"/>
          <w:color w:val="auto"/>
          <w:szCs w:val="21"/>
          <w:highlight w:val="none"/>
        </w:rPr>
        <w:t>评</w:t>
      </w:r>
      <w:r>
        <w:rPr>
          <w:b w:val="0"/>
          <w:bCs w:val="0"/>
          <w:color w:val="auto"/>
          <w:szCs w:val="21"/>
          <w:highlight w:val="none"/>
        </w:rPr>
        <w:t>分且投标报价相同的</w:t>
      </w:r>
      <w:r>
        <w:rPr>
          <w:b w:val="0"/>
          <w:bCs w:val="0"/>
          <w:color w:val="auto"/>
          <w:highlight w:val="none"/>
        </w:rPr>
        <w:t>并列</w:t>
      </w:r>
      <w:r>
        <w:rPr>
          <w:b w:val="0"/>
          <w:bCs w:val="0"/>
          <w:color w:val="auto"/>
          <w:szCs w:val="21"/>
          <w:highlight w:val="none"/>
        </w:rPr>
        <w:t>；</w:t>
      </w:r>
      <w:r>
        <w:rPr>
          <w:color w:val="auto"/>
          <w:szCs w:val="21"/>
        </w:rPr>
        <w:t>中标候选人并列的，按技术部分得分由高到低顺序排列</w:t>
      </w:r>
      <w:r>
        <w:rPr>
          <w:rFonts w:hint="eastAsia"/>
          <w:color w:val="auto"/>
          <w:szCs w:val="21"/>
          <w:lang w:eastAsia="zh-CN"/>
        </w:rPr>
        <w:t>；</w:t>
      </w:r>
      <w:r>
        <w:rPr>
          <w:color w:val="auto"/>
          <w:szCs w:val="21"/>
        </w:rPr>
        <w:t>若综合评分、投标报价、技术部分均相同的，按商务部分得分由高到低顺序排列</w:t>
      </w:r>
      <w:r>
        <w:rPr>
          <w:rFonts w:hint="eastAsia"/>
          <w:color w:val="auto"/>
          <w:szCs w:val="21"/>
        </w:rPr>
        <w:t>。</w:t>
      </w:r>
    </w:p>
    <w:p w14:paraId="0A5BB78D">
      <w:pPr>
        <w:spacing w:before="120" w:line="320" w:lineRule="atLeast"/>
        <w:ind w:firstLine="420" w:firstLineChars="200"/>
      </w:pPr>
      <w:r>
        <w:rPr>
          <w:rFonts w:hint="eastAsia"/>
          <w:szCs w:val="21"/>
        </w:rPr>
        <w:t>（</w:t>
      </w:r>
      <w:r>
        <w:rPr>
          <w:szCs w:val="21"/>
        </w:rPr>
        <w:t>4</w:t>
      </w:r>
      <w:r>
        <w:rPr>
          <w:rFonts w:hint="eastAsia"/>
          <w:szCs w:val="21"/>
        </w:rPr>
        <w:t>）评审委员会根据评审记录及评审结果编写评审报告，评审委员会成员均应当在评审报告上签字，对自己的评审意见承担法律责任。</w:t>
      </w:r>
      <w:r>
        <w:t>评审报告签署前，经复核发现存在以</w:t>
      </w:r>
      <w:r>
        <w:rPr>
          <w:rFonts w:hint="eastAsia"/>
        </w:rPr>
        <w:t>下</w:t>
      </w:r>
      <w:r>
        <w:t>情形之一的，评审委员会应当当场修改评审结果，并在评审报告中记载；评审报告签署后，采购人或者采购代理机构发现存在以</w:t>
      </w:r>
      <w:r>
        <w:rPr>
          <w:rFonts w:hint="eastAsia"/>
        </w:rPr>
        <w:t>下</w:t>
      </w:r>
      <w:r>
        <w:t>情形之一的，应当组织原评审委员会进行重新评审。</w:t>
      </w:r>
    </w:p>
    <w:p w14:paraId="59B5A510">
      <w:pPr>
        <w:spacing w:before="120" w:line="320" w:lineRule="atLeast"/>
        <w:ind w:firstLine="420" w:firstLineChars="200"/>
      </w:pPr>
      <w:r>
        <w:t>分值汇总计算错误的；分项评分超出评分标准范围的；评审委员会成员对客观评审因素评分不一致的；经评审委员会认定评分畸高、畸低的。</w:t>
      </w:r>
    </w:p>
    <w:bookmarkEnd w:id="94"/>
    <w:p w14:paraId="294F588C">
      <w:pPr>
        <w:spacing w:before="120" w:line="320" w:lineRule="atLeast"/>
        <w:ind w:firstLine="422" w:firstLineChars="200"/>
        <w:outlineLvl w:val="2"/>
        <w:rPr>
          <w:b/>
          <w:bCs/>
          <w:kern w:val="0"/>
          <w:szCs w:val="21"/>
        </w:rPr>
      </w:pPr>
      <w:r>
        <w:rPr>
          <w:b/>
          <w:bCs/>
          <w:kern w:val="0"/>
          <w:szCs w:val="21"/>
        </w:rPr>
        <w:t>6.4确定中标人</w:t>
      </w:r>
    </w:p>
    <w:p w14:paraId="43D61C39">
      <w:pPr>
        <w:spacing w:before="120" w:line="276" w:lineRule="auto"/>
        <w:ind w:firstLine="420" w:firstLineChars="200"/>
        <w:rPr>
          <w:szCs w:val="21"/>
        </w:rPr>
      </w:pPr>
      <w:r>
        <w:rPr>
          <w:rFonts w:hint="eastAsia"/>
          <w:szCs w:val="21"/>
        </w:rPr>
        <w:t>6.4</w:t>
      </w:r>
      <w:r>
        <w:rPr>
          <w:szCs w:val="21"/>
        </w:rPr>
        <w:t>.1采购代理机构在评审结束后2个工作日内将评审报告送采购人，采购人在5个工作日内按照评审报告中推荐的中标候选</w:t>
      </w:r>
      <w:r>
        <w:rPr>
          <w:rFonts w:hint="eastAsia"/>
          <w:szCs w:val="21"/>
        </w:rPr>
        <w:t>人</w:t>
      </w:r>
      <w:r>
        <w:rPr>
          <w:szCs w:val="21"/>
        </w:rPr>
        <w:t>顺序确定中标人。</w:t>
      </w:r>
      <w:r>
        <w:rPr>
          <w:rFonts w:hint="eastAsia"/>
          <w:szCs w:val="21"/>
        </w:rPr>
        <w:t>中标候选人并列的，由采购人或者采购人委托</w:t>
      </w:r>
      <w:r>
        <w:rPr>
          <w:rFonts w:hint="eastAsia"/>
          <w:szCs w:val="21"/>
          <w:lang w:eastAsia="zh-CN"/>
        </w:rPr>
        <w:t>评审委员会</w:t>
      </w:r>
      <w:r>
        <w:rPr>
          <w:rFonts w:hint="eastAsia"/>
          <w:szCs w:val="21"/>
        </w:rPr>
        <w:t>按照招标文件规定的方式确定中标人；招标文件未规定的，采取随机抽取的方式确定。</w:t>
      </w:r>
    </w:p>
    <w:p w14:paraId="0E541B60">
      <w:pPr>
        <w:spacing w:before="120" w:line="276" w:lineRule="auto"/>
        <w:ind w:firstLine="420" w:firstLineChars="200"/>
        <w:rPr>
          <w:szCs w:val="21"/>
        </w:rPr>
      </w:pPr>
      <w:r>
        <w:rPr>
          <w:szCs w:val="21"/>
        </w:rPr>
        <w:t>6.4.2</w:t>
      </w:r>
      <w:r>
        <w:rPr>
          <w:rFonts w:hint="eastAsia"/>
          <w:szCs w:val="21"/>
        </w:rPr>
        <w:t>采购人、采购代理机构认为供应商对采购过程、中标结果提出的质疑成立且影响或者可能影响中标结果的，合格供应商符合法定数量时，可以从合格的中标候选人中另行确定中标人的，应当依法另行确定中标人；否则应当重新开展采购活动。</w:t>
      </w:r>
    </w:p>
    <w:p w14:paraId="253D4F8E">
      <w:pPr>
        <w:spacing w:before="120" w:line="320" w:lineRule="atLeast"/>
        <w:ind w:firstLine="422" w:firstLineChars="200"/>
        <w:outlineLvl w:val="2"/>
        <w:rPr>
          <w:b/>
          <w:bCs/>
          <w:kern w:val="0"/>
          <w:szCs w:val="21"/>
        </w:rPr>
      </w:pPr>
      <w:r>
        <w:rPr>
          <w:b/>
          <w:bCs/>
          <w:kern w:val="0"/>
          <w:szCs w:val="21"/>
        </w:rPr>
        <w:t>6.5</w:t>
      </w:r>
      <w:r>
        <w:rPr>
          <w:rFonts w:hint="eastAsia"/>
          <w:b/>
          <w:bCs/>
          <w:kern w:val="0"/>
          <w:szCs w:val="21"/>
        </w:rPr>
        <w:t>结果公告</w:t>
      </w:r>
    </w:p>
    <w:p w14:paraId="54F37C32">
      <w:pPr>
        <w:spacing w:before="120" w:line="320" w:lineRule="atLeast"/>
        <w:ind w:firstLine="420" w:firstLineChars="200"/>
        <w:rPr>
          <w:szCs w:val="21"/>
        </w:rPr>
      </w:pPr>
      <w:r>
        <w:rPr>
          <w:rFonts w:hint="eastAsia"/>
          <w:szCs w:val="21"/>
        </w:rPr>
        <w:t>6</w:t>
      </w:r>
      <w:r>
        <w:rPr>
          <w:szCs w:val="21"/>
        </w:rPr>
        <w:t>.5.1自中标人确定后2个工作日内，采购代理机构</w:t>
      </w:r>
      <w:r>
        <w:rPr>
          <w:rFonts w:hint="eastAsia"/>
          <w:szCs w:val="21"/>
        </w:rPr>
        <w:t>按照投标人须知</w:t>
      </w:r>
      <w:r>
        <w:rPr>
          <w:rFonts w:hint="eastAsia"/>
          <w:kern w:val="0"/>
          <w:szCs w:val="21"/>
        </w:rPr>
        <w:t>前附表的规定</w:t>
      </w:r>
      <w:r>
        <w:rPr>
          <w:kern w:val="0"/>
          <w:szCs w:val="21"/>
        </w:rPr>
        <w:t>公告</w:t>
      </w:r>
      <w:r>
        <w:rPr>
          <w:szCs w:val="21"/>
        </w:rPr>
        <w:t>中标结果</w:t>
      </w:r>
      <w:r>
        <w:rPr>
          <w:rFonts w:hint="eastAsia"/>
          <w:szCs w:val="21"/>
          <w:lang w:eastAsia="zh-CN"/>
        </w:rPr>
        <w:t>，</w:t>
      </w:r>
      <w:r>
        <w:rPr>
          <w:rFonts w:hint="eastAsia"/>
          <w:szCs w:val="21"/>
        </w:rPr>
        <w:t>中标结果公告期限为1个工作日</w:t>
      </w:r>
      <w:r>
        <w:rPr>
          <w:rFonts w:hint="eastAsia"/>
          <w:szCs w:val="21"/>
          <w:lang w:eastAsia="zh-CN"/>
        </w:rPr>
        <w:t>，</w:t>
      </w:r>
      <w:r>
        <w:rPr>
          <w:rFonts w:hint="eastAsia"/>
          <w:szCs w:val="21"/>
        </w:rPr>
        <w:t>发布中标结果公告的同时向中标</w:t>
      </w:r>
      <w:r>
        <w:rPr>
          <w:rFonts w:hint="eastAsia"/>
          <w:szCs w:val="21"/>
          <w:lang w:val="en-US" w:eastAsia="zh-CN"/>
        </w:rPr>
        <w:t>人</w:t>
      </w:r>
      <w:r>
        <w:rPr>
          <w:rFonts w:hint="eastAsia"/>
          <w:szCs w:val="21"/>
        </w:rPr>
        <w:t>发出中标通知书。采购代理机构发出中标通知书前，应当对中标人信用进行核实，对列入失信被执行人、重大税收违法案件当事人名 单、政府采购严重违法失信行为记录名单及其他不符合《中华人民共和国政府采购法》第二十二条规定条件的投标人，取消其中标资格，并确定排名第二的中标候选人为中标人。排名第二的中标候选人因前款规定的同样原因被取消中标资格的，</w:t>
      </w:r>
      <w:r>
        <w:rPr>
          <w:rFonts w:hint="eastAsia"/>
          <w:szCs w:val="21"/>
          <w:lang w:val="en-US" w:eastAsia="zh-CN"/>
        </w:rPr>
        <w:t>采购人</w:t>
      </w:r>
      <w:r>
        <w:rPr>
          <w:rFonts w:hint="eastAsia"/>
          <w:szCs w:val="21"/>
        </w:rPr>
        <w:t>可以确定排名第三的中标候选人为中标人，以此类推。以上信息查询记录及相关证据与采购文件一并保存。</w:t>
      </w:r>
    </w:p>
    <w:p w14:paraId="1DF301FA">
      <w:pPr>
        <w:spacing w:before="120" w:line="320" w:lineRule="atLeast"/>
        <w:ind w:firstLine="420" w:firstLineChars="200"/>
        <w:rPr>
          <w:szCs w:val="21"/>
        </w:rPr>
      </w:pPr>
      <w:r>
        <w:rPr>
          <w:rFonts w:hint="eastAsia"/>
          <w:szCs w:val="21"/>
        </w:rPr>
        <w:t>6</w:t>
      </w:r>
      <w:r>
        <w:rPr>
          <w:szCs w:val="21"/>
        </w:rPr>
        <w:t>.5.2在发布</w:t>
      </w:r>
      <w:r>
        <w:rPr>
          <w:rFonts w:hint="eastAsia"/>
          <w:szCs w:val="21"/>
        </w:rPr>
        <w:t>结果</w:t>
      </w:r>
      <w:r>
        <w:rPr>
          <w:szCs w:val="21"/>
        </w:rPr>
        <w:t>公告的同时，采购代理机构以</w:t>
      </w:r>
      <w:r>
        <w:rPr>
          <w:rFonts w:hint="eastAsia"/>
          <w:szCs w:val="21"/>
        </w:rPr>
        <w:t>投标人须知</w:t>
      </w:r>
      <w:r>
        <w:rPr>
          <w:szCs w:val="21"/>
        </w:rPr>
        <w:t>前附表规定的形式向中标人发出中标通知书。中标通知书发出后，采购人改变中标结果，或者中标人放弃中标，应当承担相应的法律责任。</w:t>
      </w:r>
    </w:p>
    <w:p w14:paraId="3F1BBD28">
      <w:pPr>
        <w:spacing w:before="120" w:line="320" w:lineRule="atLeast"/>
        <w:ind w:firstLine="420" w:firstLineChars="200"/>
        <w:rPr>
          <w:b/>
          <w:bCs/>
          <w:kern w:val="0"/>
          <w:szCs w:val="21"/>
        </w:rPr>
      </w:pPr>
      <w:r>
        <w:rPr>
          <w:rFonts w:hint="eastAsia"/>
          <w:szCs w:val="21"/>
        </w:rPr>
        <w:t>6</w:t>
      </w:r>
      <w:r>
        <w:rPr>
          <w:szCs w:val="21"/>
        </w:rPr>
        <w:t>.5.3</w:t>
      </w:r>
      <w:r>
        <w:rPr>
          <w:rFonts w:hint="eastAsia"/>
          <w:szCs w:val="21"/>
        </w:rPr>
        <w:t>在发布结果公告的同时，</w:t>
      </w:r>
      <w:r>
        <w:rPr>
          <w:szCs w:val="21"/>
        </w:rPr>
        <w:t>采购代理机构以</w:t>
      </w:r>
      <w:r>
        <w:rPr>
          <w:rFonts w:hint="eastAsia"/>
          <w:szCs w:val="21"/>
        </w:rPr>
        <w:t>投标人须知</w:t>
      </w:r>
      <w:r>
        <w:rPr>
          <w:szCs w:val="21"/>
        </w:rPr>
        <w:t>前附表规定的形式</w:t>
      </w:r>
      <w:r>
        <w:rPr>
          <w:rFonts w:hint="eastAsia"/>
          <w:szCs w:val="21"/>
        </w:rPr>
        <w:t>向未中标人发出招标结果通知书，供应商自行承担未及时查收的后果。</w:t>
      </w:r>
    </w:p>
    <w:p w14:paraId="1614C6F8">
      <w:pPr>
        <w:suppressAutoHyphens/>
        <w:spacing w:before="120" w:line="320" w:lineRule="atLeast"/>
        <w:ind w:firstLine="422" w:firstLineChars="200"/>
        <w:outlineLvl w:val="2"/>
        <w:rPr>
          <w:b/>
          <w:bCs/>
          <w:kern w:val="0"/>
          <w:szCs w:val="21"/>
        </w:rPr>
      </w:pPr>
      <w:r>
        <w:rPr>
          <w:b/>
          <w:bCs/>
          <w:kern w:val="0"/>
          <w:szCs w:val="21"/>
        </w:rPr>
        <w:t>6.6</w:t>
      </w:r>
      <w:r>
        <w:rPr>
          <w:rFonts w:hint="eastAsia"/>
          <w:b/>
          <w:bCs/>
          <w:kern w:val="0"/>
          <w:szCs w:val="21"/>
        </w:rPr>
        <w:t>废标</w:t>
      </w:r>
    </w:p>
    <w:p w14:paraId="61D0720F">
      <w:pPr>
        <w:spacing w:before="120" w:line="320" w:lineRule="atLeast"/>
        <w:ind w:firstLine="420" w:firstLineChars="200"/>
        <w:rPr>
          <w:kern w:val="1"/>
          <w:szCs w:val="21"/>
        </w:rPr>
      </w:pPr>
      <w:r>
        <w:rPr>
          <w:kern w:val="1"/>
          <w:szCs w:val="21"/>
        </w:rPr>
        <w:t>6.6.1</w:t>
      </w:r>
      <w:r>
        <w:rPr>
          <w:rFonts w:hint="eastAsia"/>
          <w:kern w:val="1"/>
          <w:szCs w:val="21"/>
        </w:rPr>
        <w:t xml:space="preserve">出现下列情形之一，将导致项目废标： </w:t>
      </w:r>
    </w:p>
    <w:p w14:paraId="3DC82FF2">
      <w:pPr>
        <w:spacing w:before="120" w:line="320" w:lineRule="atLeast"/>
        <w:ind w:firstLine="420" w:firstLineChars="200"/>
        <w:rPr>
          <w:szCs w:val="21"/>
        </w:rPr>
      </w:pPr>
      <w:r>
        <w:rPr>
          <w:rFonts w:hint="eastAsia"/>
          <w:kern w:val="1"/>
          <w:szCs w:val="21"/>
        </w:rPr>
        <w:t>（1</w:t>
      </w:r>
      <w:r>
        <w:rPr>
          <w:rFonts w:hint="eastAsia"/>
          <w:szCs w:val="21"/>
        </w:rPr>
        <w:t>）符合专业条件的供应商或者对招标文件做实质性响应的供应商不足三家；</w:t>
      </w:r>
    </w:p>
    <w:p w14:paraId="2247397F">
      <w:pPr>
        <w:spacing w:before="120" w:line="320" w:lineRule="atLeast"/>
        <w:ind w:firstLine="420" w:firstLineChars="200"/>
        <w:rPr>
          <w:szCs w:val="21"/>
        </w:rPr>
      </w:pPr>
      <w:r>
        <w:rPr>
          <w:rFonts w:hint="eastAsia"/>
          <w:szCs w:val="21"/>
        </w:rPr>
        <w:t>（2）出现影响采购公正的违法、违规行为的；</w:t>
      </w:r>
    </w:p>
    <w:p w14:paraId="2CDDAA14">
      <w:pPr>
        <w:spacing w:before="120" w:line="320" w:lineRule="atLeast"/>
        <w:ind w:firstLine="420" w:firstLineChars="200"/>
        <w:rPr>
          <w:szCs w:val="21"/>
        </w:rPr>
      </w:pPr>
      <w:r>
        <w:rPr>
          <w:rFonts w:hint="eastAsia"/>
          <w:szCs w:val="21"/>
        </w:rPr>
        <w:t>（3）供应商的报价均超过了采购预算，采购人不能支付的；</w:t>
      </w:r>
    </w:p>
    <w:p w14:paraId="75B1E6D8">
      <w:pPr>
        <w:spacing w:before="120" w:line="320" w:lineRule="atLeast"/>
        <w:ind w:firstLine="420" w:firstLineChars="200"/>
      </w:pPr>
      <w:r>
        <w:rPr>
          <w:rFonts w:hint="eastAsia"/>
          <w:szCs w:val="21"/>
        </w:rPr>
        <w:t>（4）</w:t>
      </w:r>
      <w:r>
        <w:rPr>
          <w:rFonts w:hint="eastAsia"/>
        </w:rPr>
        <w:t>因发生重大变故或采购任务取消的。</w:t>
      </w:r>
    </w:p>
    <w:p w14:paraId="2E2B1B61">
      <w:pPr>
        <w:spacing w:before="120" w:line="320" w:lineRule="atLeast"/>
        <w:ind w:firstLine="420" w:firstLineChars="200"/>
        <w:rPr>
          <w:szCs w:val="21"/>
        </w:rPr>
      </w:pPr>
      <w:r>
        <w:rPr>
          <w:kern w:val="1"/>
          <w:szCs w:val="21"/>
        </w:rPr>
        <w:t>6.6.2</w:t>
      </w:r>
      <w:r>
        <w:rPr>
          <w:rFonts w:hint="eastAsia"/>
          <w:kern w:val="1"/>
          <w:szCs w:val="21"/>
        </w:rPr>
        <w:t>废标后</w:t>
      </w:r>
      <w:r>
        <w:rPr>
          <w:rFonts w:hint="eastAsia"/>
          <w:szCs w:val="21"/>
        </w:rPr>
        <w:t>采购</w:t>
      </w:r>
      <w:r>
        <w:rPr>
          <w:rFonts w:hint="eastAsia"/>
          <w:kern w:val="1"/>
          <w:szCs w:val="21"/>
        </w:rPr>
        <w:t>代理机构将发布废标公告通知供应商。</w:t>
      </w:r>
      <w:bookmarkEnd w:id="82"/>
    </w:p>
    <w:bookmarkEnd w:id="79"/>
    <w:p w14:paraId="4E669EED">
      <w:pPr>
        <w:spacing w:before="120" w:line="320" w:lineRule="atLeast"/>
        <w:ind w:left="2" w:leftChars="1" w:firstLine="422" w:firstLineChars="200"/>
        <w:outlineLvl w:val="1"/>
        <w:rPr>
          <w:b/>
          <w:bCs/>
          <w:kern w:val="0"/>
          <w:szCs w:val="21"/>
        </w:rPr>
      </w:pPr>
      <w:r>
        <w:rPr>
          <w:b/>
          <w:bCs/>
          <w:kern w:val="0"/>
          <w:szCs w:val="21"/>
        </w:rPr>
        <w:t>7．合同</w:t>
      </w:r>
    </w:p>
    <w:p w14:paraId="139CB87D">
      <w:pPr>
        <w:spacing w:before="120" w:line="320" w:lineRule="atLeast"/>
        <w:ind w:firstLine="422" w:firstLineChars="200"/>
        <w:outlineLvl w:val="2"/>
        <w:rPr>
          <w:b/>
          <w:bCs/>
          <w:kern w:val="0"/>
          <w:szCs w:val="21"/>
        </w:rPr>
      </w:pPr>
      <w:r>
        <w:rPr>
          <w:b/>
          <w:bCs/>
          <w:kern w:val="0"/>
          <w:szCs w:val="21"/>
        </w:rPr>
        <w:t>7.1合同授予标准</w:t>
      </w:r>
    </w:p>
    <w:p w14:paraId="4DB73FE8">
      <w:pPr>
        <w:spacing w:before="120" w:line="320" w:lineRule="atLeast"/>
        <w:ind w:firstLine="420" w:firstLineChars="200"/>
        <w:rPr>
          <w:szCs w:val="21"/>
        </w:rPr>
      </w:pPr>
      <w:r>
        <w:rPr>
          <w:szCs w:val="21"/>
        </w:rPr>
        <w:t>合同将授予被确定实质上响应招标文件要求，具备履行合同能力，综合评分排名第一的供应商。在</w:t>
      </w:r>
      <w:r>
        <w:rPr>
          <w:rFonts w:hint="eastAsia"/>
          <w:szCs w:val="21"/>
        </w:rPr>
        <w:t>中标</w:t>
      </w:r>
      <w:r>
        <w:rPr>
          <w:szCs w:val="21"/>
        </w:rPr>
        <w:t>通知书发出前或签订合同前，如果</w:t>
      </w:r>
      <w:r>
        <w:rPr>
          <w:rFonts w:hint="eastAsia"/>
          <w:szCs w:val="21"/>
        </w:rPr>
        <w:t>中标</w:t>
      </w:r>
      <w:r>
        <w:rPr>
          <w:szCs w:val="21"/>
        </w:rPr>
        <w:t>人的组织机构</w:t>
      </w:r>
      <w:r>
        <w:rPr>
          <w:rFonts w:hint="eastAsia"/>
          <w:szCs w:val="21"/>
        </w:rPr>
        <w:t>、</w:t>
      </w:r>
      <w:r>
        <w:rPr>
          <w:szCs w:val="21"/>
        </w:rPr>
        <w:t>经营、财务状况发生较大变化，可能造成不能履行合同、无法按照</w:t>
      </w:r>
      <w:r>
        <w:rPr>
          <w:rFonts w:hint="eastAsia"/>
          <w:szCs w:val="21"/>
        </w:rPr>
        <w:t>招标</w:t>
      </w:r>
      <w:r>
        <w:rPr>
          <w:szCs w:val="21"/>
        </w:rPr>
        <w:t>文件要求提交履约保证金等情形，不符合中标条件或不满足供应商资格条件要求 ，应在</w:t>
      </w:r>
      <w:r>
        <w:rPr>
          <w:rFonts w:hint="eastAsia"/>
          <w:szCs w:val="21"/>
        </w:rPr>
        <w:t>中标</w:t>
      </w:r>
      <w:r>
        <w:rPr>
          <w:szCs w:val="21"/>
        </w:rPr>
        <w:t>通知书发出前或签订合同前及时书面告知采购人</w:t>
      </w:r>
      <w:r>
        <w:rPr>
          <w:rFonts w:hint="eastAsia"/>
          <w:szCs w:val="21"/>
        </w:rPr>
        <w:t>，</w:t>
      </w:r>
      <w:r>
        <w:rPr>
          <w:szCs w:val="21"/>
        </w:rPr>
        <w:t>未主动告知</w:t>
      </w:r>
      <w:r>
        <w:rPr>
          <w:rFonts w:hint="eastAsia"/>
          <w:szCs w:val="21"/>
        </w:rPr>
        <w:t>，</w:t>
      </w:r>
      <w:r>
        <w:rPr>
          <w:szCs w:val="21"/>
        </w:rPr>
        <w:t>给采购人造成损失的</w:t>
      </w:r>
      <w:r>
        <w:rPr>
          <w:rFonts w:hint="eastAsia"/>
          <w:szCs w:val="21"/>
        </w:rPr>
        <w:t>，</w:t>
      </w:r>
      <w:r>
        <w:rPr>
          <w:szCs w:val="21"/>
        </w:rPr>
        <w:t>采购人有权</w:t>
      </w:r>
      <w:r>
        <w:rPr>
          <w:rFonts w:hint="eastAsia"/>
          <w:szCs w:val="21"/>
        </w:rPr>
        <w:t>取消其中标资格并</w:t>
      </w:r>
      <w:r>
        <w:rPr>
          <w:szCs w:val="21"/>
        </w:rPr>
        <w:t>没收投标保证金</w:t>
      </w:r>
      <w:r>
        <w:rPr>
          <w:rFonts w:hint="eastAsia"/>
          <w:szCs w:val="21"/>
        </w:rPr>
        <w:t>。</w:t>
      </w:r>
    </w:p>
    <w:p w14:paraId="6354AC65">
      <w:pPr>
        <w:spacing w:before="120" w:line="320" w:lineRule="atLeast"/>
        <w:ind w:firstLine="422" w:firstLineChars="200"/>
        <w:outlineLvl w:val="2"/>
        <w:rPr>
          <w:b/>
          <w:bCs/>
          <w:kern w:val="0"/>
          <w:szCs w:val="21"/>
        </w:rPr>
      </w:pPr>
      <w:r>
        <w:rPr>
          <w:b/>
          <w:bCs/>
          <w:kern w:val="0"/>
          <w:szCs w:val="21"/>
        </w:rPr>
        <w:t>7.2签订合同</w:t>
      </w:r>
    </w:p>
    <w:p w14:paraId="3CA4FD68">
      <w:pPr>
        <w:spacing w:before="120" w:line="320" w:lineRule="atLeast"/>
        <w:ind w:firstLine="420" w:firstLineChars="200"/>
        <w:rPr>
          <w:szCs w:val="21"/>
        </w:rPr>
      </w:pPr>
      <w:bookmarkStart w:id="95" w:name="_Hlk93421039"/>
      <w:r>
        <w:rPr>
          <w:szCs w:val="21"/>
        </w:rPr>
        <w:t>7.2.1如</w:t>
      </w:r>
      <w:r>
        <w:rPr>
          <w:rFonts w:hint="eastAsia"/>
          <w:szCs w:val="21"/>
        </w:rPr>
        <w:t>招标</w:t>
      </w:r>
      <w:r>
        <w:rPr>
          <w:szCs w:val="21"/>
        </w:rPr>
        <w:t>文件无</w:t>
      </w:r>
      <w:r>
        <w:rPr>
          <w:rFonts w:hint="eastAsia"/>
          <w:szCs w:val="21"/>
        </w:rPr>
        <w:t>特别</w:t>
      </w:r>
      <w:r>
        <w:rPr>
          <w:szCs w:val="21"/>
        </w:rPr>
        <w:t>规定，</w:t>
      </w:r>
      <w:r>
        <w:rPr>
          <w:rFonts w:hint="eastAsia"/>
          <w:szCs w:val="21"/>
        </w:rPr>
        <w:t>中标人按招标文件确定的事项签订政府采购合同。</w:t>
      </w:r>
    </w:p>
    <w:p w14:paraId="4706BC50">
      <w:pPr>
        <w:spacing w:before="120" w:line="320" w:lineRule="atLeast"/>
        <w:ind w:firstLine="420" w:firstLineChars="200"/>
        <w:rPr>
          <w:szCs w:val="21"/>
        </w:rPr>
      </w:pPr>
      <w:r>
        <w:rPr>
          <w:szCs w:val="21"/>
        </w:rPr>
        <w:t>7.2.2</w:t>
      </w:r>
      <w:r>
        <w:rPr>
          <w:rFonts w:hint="eastAsia"/>
          <w:szCs w:val="21"/>
        </w:rPr>
        <w:t>政府采购合同应当包括采购人与中标人的名称和住所、标的、数量、质量、价款或者报酬、履行期限及地点和方式、验收要求、违约责任、解决争议的方法等内容。</w:t>
      </w:r>
      <w:r>
        <w:rPr>
          <w:szCs w:val="21"/>
        </w:rPr>
        <w:t>招标文件、中标人的投标文件及澄清文件等，均为签订政府采购合同的依据。</w:t>
      </w:r>
    </w:p>
    <w:p w14:paraId="2BFE6140">
      <w:pPr>
        <w:spacing w:before="120" w:line="320" w:lineRule="atLeast"/>
        <w:ind w:firstLine="420" w:firstLineChars="200"/>
        <w:rPr>
          <w:szCs w:val="21"/>
        </w:rPr>
      </w:pPr>
      <w:r>
        <w:rPr>
          <w:szCs w:val="21"/>
        </w:rPr>
        <w:t>7.2.3如中标人不按中标通知书的规定签订合同，</w:t>
      </w:r>
      <w:r>
        <w:rPr>
          <w:rFonts w:hint="eastAsia"/>
          <w:szCs w:val="21"/>
        </w:rPr>
        <w:t>其投标保证金将不予退还，并报由同级政府采购监督管理部门处理。</w:t>
      </w:r>
    </w:p>
    <w:p w14:paraId="77626565">
      <w:pPr>
        <w:spacing w:before="120" w:line="320" w:lineRule="atLeast"/>
        <w:ind w:firstLine="420" w:firstLineChars="200"/>
        <w:rPr>
          <w:szCs w:val="21"/>
        </w:rPr>
      </w:pPr>
      <w:r>
        <w:rPr>
          <w:rFonts w:hint="eastAsia"/>
          <w:szCs w:val="21"/>
        </w:rPr>
        <w:t>7</w:t>
      </w:r>
      <w:r>
        <w:rPr>
          <w:szCs w:val="21"/>
        </w:rPr>
        <w:t>.2.4</w:t>
      </w:r>
      <w:r>
        <w:rPr>
          <w:rFonts w:hint="eastAsia"/>
          <w:szCs w:val="21"/>
        </w:rPr>
        <w:t>中标人拒绝与采购人签订合同的，采购人可以按照评审报告推荐的中标候选人名单排序，确定下一候选人为中标人，也可以重新开展政府采购活动。</w:t>
      </w:r>
    </w:p>
    <w:p w14:paraId="51721EA2">
      <w:pPr>
        <w:spacing w:before="120" w:line="320" w:lineRule="atLeast"/>
        <w:ind w:firstLine="420" w:firstLineChars="200"/>
        <w:rPr>
          <w:szCs w:val="21"/>
        </w:rPr>
      </w:pPr>
      <w:bookmarkStart w:id="96" w:name="_Hlk155170999"/>
      <w:r>
        <w:rPr>
          <w:rFonts w:hint="eastAsia"/>
          <w:szCs w:val="21"/>
        </w:rPr>
        <w:t>7</w:t>
      </w:r>
      <w:r>
        <w:rPr>
          <w:szCs w:val="21"/>
        </w:rPr>
        <w:t>.2.5</w:t>
      </w:r>
      <w:r>
        <w:rPr>
          <w:rFonts w:hint="eastAsia"/>
          <w:szCs w:val="21"/>
        </w:rPr>
        <w:t>采购人因不可抗力原因迟延签订合同的，应当自不可抗力事由消除之日起5个工作日内完成合同签订事宜。</w:t>
      </w:r>
    </w:p>
    <w:bookmarkEnd w:id="95"/>
    <w:bookmarkEnd w:id="96"/>
    <w:p w14:paraId="7617F088">
      <w:pPr>
        <w:spacing w:before="120" w:line="320" w:lineRule="atLeast"/>
        <w:ind w:firstLine="422" w:firstLineChars="200"/>
        <w:outlineLvl w:val="2"/>
        <w:rPr>
          <w:b/>
          <w:bCs/>
          <w:kern w:val="0"/>
          <w:szCs w:val="21"/>
        </w:rPr>
      </w:pPr>
      <w:r>
        <w:rPr>
          <w:b/>
          <w:bCs/>
          <w:kern w:val="0"/>
          <w:szCs w:val="21"/>
        </w:rPr>
        <w:t>7.3合同公告</w:t>
      </w:r>
    </w:p>
    <w:p w14:paraId="303DD41C">
      <w:pPr>
        <w:spacing w:before="120" w:line="320" w:lineRule="atLeast"/>
        <w:ind w:firstLine="420" w:firstLineChars="200"/>
        <w:rPr>
          <w:szCs w:val="21"/>
        </w:rPr>
      </w:pPr>
      <w:bookmarkStart w:id="97" w:name="_Hlk93421052"/>
      <w:r>
        <w:rPr>
          <w:szCs w:val="21"/>
        </w:rPr>
        <w:t>7.3.1如</w:t>
      </w:r>
      <w:r>
        <w:rPr>
          <w:rFonts w:hint="eastAsia"/>
          <w:szCs w:val="21"/>
        </w:rPr>
        <w:t>招标</w:t>
      </w:r>
      <w:r>
        <w:rPr>
          <w:szCs w:val="21"/>
        </w:rPr>
        <w:t>文件无特殊规定</w:t>
      </w:r>
      <w:r>
        <w:rPr>
          <w:rFonts w:hint="eastAsia"/>
          <w:szCs w:val="21"/>
        </w:rPr>
        <w:t>，</w:t>
      </w:r>
      <w:r>
        <w:rPr>
          <w:szCs w:val="21"/>
        </w:rPr>
        <w:t>中标人应在签订合同后1个工作日内，将政府采购合同副本送采购代理机构</w:t>
      </w:r>
      <w:r>
        <w:rPr>
          <w:rFonts w:hint="eastAsia"/>
          <w:szCs w:val="21"/>
        </w:rPr>
        <w:t>存档</w:t>
      </w:r>
      <w:r>
        <w:rPr>
          <w:szCs w:val="21"/>
        </w:rPr>
        <w:t>。</w:t>
      </w:r>
    </w:p>
    <w:p w14:paraId="44319782">
      <w:pPr>
        <w:spacing w:before="120" w:line="320" w:lineRule="atLeast"/>
        <w:ind w:firstLine="420" w:firstLineChars="200"/>
        <w:rPr>
          <w:szCs w:val="21"/>
        </w:rPr>
      </w:pPr>
      <w:r>
        <w:rPr>
          <w:szCs w:val="21"/>
        </w:rPr>
        <w:t>7.3.2采购人应当自政府采购合同签订之日起2个工作日内，将政府采购合同在省级以上人民政府财政部门指定的媒体上公告，但政府采购合同中涉及国家秘密、商业秘密的内容除外。</w:t>
      </w:r>
    </w:p>
    <w:p w14:paraId="1AD78984">
      <w:pPr>
        <w:spacing w:before="120" w:line="320" w:lineRule="atLeast"/>
        <w:ind w:firstLine="420" w:firstLineChars="200"/>
        <w:rPr>
          <w:szCs w:val="21"/>
        </w:rPr>
      </w:pPr>
      <w:bookmarkStart w:id="98" w:name="_Hlk155171014"/>
      <w:r>
        <w:rPr>
          <w:rFonts w:hint="eastAsia"/>
          <w:szCs w:val="21"/>
        </w:rPr>
        <w:t>7</w:t>
      </w:r>
      <w:r>
        <w:rPr>
          <w:szCs w:val="21"/>
        </w:rPr>
        <w:t xml:space="preserve">.3.3 </w:t>
      </w:r>
      <w:r>
        <w:rPr>
          <w:rFonts w:hint="eastAsia"/>
          <w:szCs w:val="21"/>
        </w:rPr>
        <w:t>政府采购合同双方不得擅自变更合同，依照政府采购法确需变更政府采购合同内容的，采购人应当自合同变更之日起2个工作日内在省级以上财政部门指定的媒体上发布政府采购合同变更公告，但涉及国家秘密、商业秘密的信息和其他依法不得公开的信息除外。</w:t>
      </w:r>
    </w:p>
    <w:bookmarkEnd w:id="97"/>
    <w:bookmarkEnd w:id="98"/>
    <w:p w14:paraId="2DCD7CD4">
      <w:pPr>
        <w:spacing w:before="120" w:line="320" w:lineRule="atLeast"/>
        <w:ind w:firstLine="422" w:firstLineChars="200"/>
        <w:outlineLvl w:val="2"/>
        <w:rPr>
          <w:b/>
          <w:bCs/>
          <w:kern w:val="0"/>
          <w:szCs w:val="21"/>
        </w:rPr>
      </w:pPr>
      <w:r>
        <w:rPr>
          <w:b/>
          <w:bCs/>
          <w:kern w:val="0"/>
          <w:szCs w:val="21"/>
        </w:rPr>
        <w:t>7.4 履行合同</w:t>
      </w:r>
    </w:p>
    <w:p w14:paraId="1D685859">
      <w:pPr>
        <w:spacing w:before="120" w:line="320" w:lineRule="atLeast"/>
        <w:ind w:firstLine="420" w:firstLineChars="200"/>
        <w:rPr>
          <w:szCs w:val="21"/>
        </w:rPr>
      </w:pPr>
      <w:bookmarkStart w:id="99" w:name="_Hlk93421061"/>
      <w:r>
        <w:rPr>
          <w:szCs w:val="21"/>
        </w:rPr>
        <w:t>7.4.1</w:t>
      </w:r>
      <w:bookmarkStart w:id="100" w:name="_Toc308164814"/>
      <w:bookmarkStart w:id="101" w:name="_Toc217446070"/>
      <w:r>
        <w:rPr>
          <w:rFonts w:hint="eastAsia"/>
          <w:szCs w:val="21"/>
        </w:rPr>
        <w:t>采购人与中标人签订合同后，政府采购合同的履行、违约责任和解决争议的方法等适用《中华人民共和国民法典》。合同双方应严格执行合同条款，履行合同规定的义务，保证合同的顺利完成。双方均不得擅自变更、中止或者终止政府采购合同。</w:t>
      </w:r>
    </w:p>
    <w:bookmarkEnd w:id="99"/>
    <w:p w14:paraId="5F564A9C">
      <w:pPr>
        <w:spacing w:before="120" w:line="320" w:lineRule="atLeast"/>
        <w:ind w:firstLine="422" w:firstLineChars="200"/>
        <w:rPr>
          <w:b/>
          <w:bCs/>
          <w:kern w:val="0"/>
          <w:szCs w:val="21"/>
        </w:rPr>
      </w:pPr>
      <w:r>
        <w:rPr>
          <w:b/>
          <w:bCs/>
          <w:kern w:val="0"/>
          <w:szCs w:val="21"/>
        </w:rPr>
        <w:t>7.5履约验收</w:t>
      </w:r>
      <w:bookmarkEnd w:id="100"/>
      <w:bookmarkEnd w:id="101"/>
    </w:p>
    <w:p w14:paraId="7953824C">
      <w:pPr>
        <w:spacing w:before="120" w:line="320" w:lineRule="atLeast"/>
        <w:ind w:firstLine="420" w:firstLineChars="200"/>
        <w:rPr>
          <w:szCs w:val="21"/>
        </w:rPr>
      </w:pPr>
      <w:bookmarkStart w:id="102" w:name="_Hlk93421069"/>
      <w:r>
        <w:rPr>
          <w:szCs w:val="21"/>
        </w:rPr>
        <w:t>7.5.1采购人可以根据政府采购项目具体情况自行组织验收，或者委托政府采购代理机构、国家认可的质量检测机构开展采购项目履约验收工作。</w:t>
      </w:r>
    </w:p>
    <w:p w14:paraId="1D9A95D8">
      <w:pPr>
        <w:spacing w:before="120" w:line="320" w:lineRule="atLeast"/>
        <w:ind w:firstLine="420" w:firstLineChars="200"/>
        <w:rPr>
          <w:szCs w:val="21"/>
        </w:rPr>
      </w:pPr>
      <w:r>
        <w:rPr>
          <w:szCs w:val="21"/>
        </w:rPr>
        <w:t>7.5.2验收结果合格的，中标人可向采购人申请办理履约保证金（如有）的退付手续；验收结果不合格的，履约保证金（如有）将不予退还，并按合同约定处理，还可能会报告本项目同级财政部门并按照政府采购法律法规及有关规定给予行政处罚或者以失信行为记入诚信档案。</w:t>
      </w:r>
    </w:p>
    <w:p w14:paraId="0358EF45">
      <w:pPr>
        <w:spacing w:before="120" w:line="320" w:lineRule="atLeast"/>
        <w:ind w:firstLine="420" w:firstLineChars="200"/>
        <w:rPr>
          <w:szCs w:val="21"/>
        </w:rPr>
      </w:pPr>
      <w:r>
        <w:rPr>
          <w:szCs w:val="21"/>
        </w:rPr>
        <w:t>7.5.3采购合同项目完成验收后，采购人应当将验收原始记录、验收书等资料作为该采购项目档案妥善保管，不得伪造、变造、隐匿或者销毁，验收资料保存期为采购结束之日起至少保存15年。</w:t>
      </w:r>
    </w:p>
    <w:p w14:paraId="723414AC">
      <w:pPr>
        <w:spacing w:before="120" w:line="320" w:lineRule="atLeast"/>
        <w:ind w:firstLine="420" w:firstLineChars="200"/>
        <w:rPr>
          <w:szCs w:val="21"/>
        </w:rPr>
      </w:pPr>
      <w:r>
        <w:rPr>
          <w:szCs w:val="21"/>
        </w:rPr>
        <w:t>7.5.4本项目将严格按照本招标文件及合同有关规定进行合同履约验收。招标文件或合同未规定的按财政部关于进一步加强政府采购需求和履约验收管理的指导意见（财库〔2016〕205号）以及《广西壮族自治区政府采购项目履约验收管理办法》（桂财采〔2015〕22号）的规定执行。</w:t>
      </w:r>
    </w:p>
    <w:bookmarkEnd w:id="102"/>
    <w:p w14:paraId="3671BBDA">
      <w:pPr>
        <w:spacing w:before="120" w:line="320" w:lineRule="atLeast"/>
        <w:ind w:left="2" w:leftChars="1" w:firstLine="422" w:firstLineChars="200"/>
        <w:outlineLvl w:val="1"/>
        <w:rPr>
          <w:b/>
          <w:bCs/>
          <w:kern w:val="0"/>
          <w:szCs w:val="21"/>
        </w:rPr>
      </w:pPr>
      <w:bookmarkStart w:id="103" w:name="_Toc254970533"/>
      <w:bookmarkStart w:id="104" w:name="_Toc254970674"/>
      <w:r>
        <w:rPr>
          <w:b/>
          <w:bCs/>
          <w:kern w:val="0"/>
          <w:szCs w:val="21"/>
        </w:rPr>
        <w:t>8．质疑和投诉</w:t>
      </w:r>
      <w:bookmarkEnd w:id="103"/>
      <w:bookmarkEnd w:id="104"/>
    </w:p>
    <w:p w14:paraId="702FA6E5">
      <w:pPr>
        <w:spacing w:before="120" w:line="320" w:lineRule="atLeast"/>
        <w:ind w:firstLine="422" w:firstLineChars="200"/>
        <w:outlineLvl w:val="2"/>
        <w:rPr>
          <w:b/>
          <w:bCs/>
          <w:kern w:val="0"/>
          <w:szCs w:val="21"/>
        </w:rPr>
      </w:pPr>
      <w:r>
        <w:rPr>
          <w:b/>
          <w:bCs/>
          <w:kern w:val="0"/>
          <w:szCs w:val="21"/>
        </w:rPr>
        <w:t>8.1质疑</w:t>
      </w:r>
    </w:p>
    <w:p w14:paraId="35B5A79B">
      <w:pPr>
        <w:spacing w:before="120" w:line="320" w:lineRule="atLeast"/>
        <w:ind w:firstLine="420" w:firstLineChars="200"/>
        <w:rPr>
          <w:szCs w:val="21"/>
        </w:rPr>
      </w:pPr>
      <w:r>
        <w:rPr>
          <w:szCs w:val="21"/>
        </w:rPr>
        <w:t>8.1.1质疑内容、时限</w:t>
      </w:r>
    </w:p>
    <w:p w14:paraId="1F3D18C5">
      <w:pPr>
        <w:spacing w:before="120" w:line="320" w:lineRule="atLeast"/>
        <w:ind w:firstLine="420" w:firstLineChars="200"/>
        <w:rPr>
          <w:szCs w:val="21"/>
        </w:rPr>
      </w:pPr>
      <w:r>
        <w:rPr>
          <w:rFonts w:hint="eastAsia"/>
          <w:szCs w:val="21"/>
        </w:rPr>
        <w:t>（1）供应商对政府采购活动有疑问的，可以向采购人或采购代理机构提出询问。采购人或者采购代理机构应当在3个工作日内对供应商依法提出的询问作出答复。</w:t>
      </w:r>
    </w:p>
    <w:p w14:paraId="3D918DC2">
      <w:pPr>
        <w:spacing w:before="120" w:line="320" w:lineRule="atLeast"/>
        <w:ind w:firstLine="420" w:firstLineChars="200"/>
        <w:rPr>
          <w:szCs w:val="21"/>
        </w:rPr>
      </w:pPr>
      <w:r>
        <w:rPr>
          <w:rFonts w:hint="eastAsia"/>
          <w:szCs w:val="21"/>
        </w:rPr>
        <w:t>（2）</w:t>
      </w:r>
      <w:r>
        <w:rPr>
          <w:rFonts w:hint="eastAsia"/>
          <w:szCs w:val="21"/>
          <w:lang w:eastAsia="zh-CN"/>
        </w:rPr>
        <w:t>供应商</w:t>
      </w:r>
      <w:r>
        <w:rPr>
          <w:rFonts w:hint="eastAsia"/>
          <w:szCs w:val="21"/>
        </w:rPr>
        <w:t>认为招标文件、采购过程、中标或者成交结果使自己的权益受到损害的，可以在知道或者应知其权益受到损害之日起7个工作日内向采购人或采购代理机构提出质疑。采购人或</w:t>
      </w:r>
      <w:r>
        <w:rPr>
          <w:szCs w:val="21"/>
        </w:rPr>
        <w:t>采购代理机构在收到供应商书面质疑后7个工作日内，对质疑内容作出答复。</w:t>
      </w:r>
    </w:p>
    <w:p w14:paraId="59B17321">
      <w:pPr>
        <w:spacing w:before="120" w:line="320" w:lineRule="atLeast"/>
        <w:ind w:firstLine="420" w:firstLineChars="200"/>
        <w:rPr>
          <w:szCs w:val="21"/>
        </w:rPr>
      </w:pPr>
      <w:r>
        <w:rPr>
          <w:szCs w:val="21"/>
        </w:rPr>
        <w:t>8.1.2质疑形式</w:t>
      </w:r>
    </w:p>
    <w:p w14:paraId="68EAD7CC">
      <w:pPr>
        <w:spacing w:before="120" w:line="320" w:lineRule="atLeast"/>
        <w:ind w:firstLine="420" w:firstLineChars="200"/>
        <w:rPr>
          <w:szCs w:val="21"/>
        </w:rPr>
      </w:pPr>
      <w:r>
        <w:rPr>
          <w:szCs w:val="21"/>
        </w:rPr>
        <w:t>质疑应当采用</w:t>
      </w:r>
      <w:r>
        <w:rPr>
          <w:rFonts w:hint="eastAsia"/>
          <w:szCs w:val="21"/>
        </w:rPr>
        <w:t>投标人须知</w:t>
      </w:r>
      <w:r>
        <w:rPr>
          <w:szCs w:val="21"/>
        </w:rPr>
        <w:t>前附表所规定的形式，质疑书应明确阐述</w:t>
      </w:r>
      <w:r>
        <w:rPr>
          <w:rFonts w:hint="eastAsia"/>
          <w:szCs w:val="21"/>
        </w:rPr>
        <w:t>招标文件</w:t>
      </w:r>
      <w:r>
        <w:rPr>
          <w:szCs w:val="21"/>
        </w:rPr>
        <w:t>、</w:t>
      </w:r>
      <w:r>
        <w:rPr>
          <w:rFonts w:hint="eastAsia"/>
          <w:szCs w:val="21"/>
        </w:rPr>
        <w:t>采购</w:t>
      </w:r>
      <w:r>
        <w:rPr>
          <w:szCs w:val="21"/>
        </w:rPr>
        <w:t>过程或中标结果中使自己合法权益受到损害的实质性内容，提供相关事实、依据和证据及其来源或线索，便于有关单位调查、答复和处理。</w:t>
      </w:r>
    </w:p>
    <w:p w14:paraId="3C6048CE">
      <w:pPr>
        <w:spacing w:before="120" w:line="320" w:lineRule="atLeast"/>
        <w:ind w:firstLine="420" w:firstLineChars="200"/>
        <w:rPr>
          <w:szCs w:val="21"/>
        </w:rPr>
      </w:pPr>
      <w:r>
        <w:rPr>
          <w:rFonts w:hint="eastAsia"/>
          <w:szCs w:val="21"/>
        </w:rPr>
        <w:t>8</w:t>
      </w:r>
      <w:r>
        <w:rPr>
          <w:szCs w:val="21"/>
        </w:rPr>
        <w:t>.1.3</w:t>
      </w:r>
      <w:r>
        <w:rPr>
          <w:rFonts w:hint="eastAsia"/>
        </w:rPr>
        <w:t xml:space="preserve"> </w:t>
      </w:r>
      <w:r>
        <w:rPr>
          <w:rFonts w:hint="eastAsia"/>
          <w:szCs w:val="21"/>
        </w:rPr>
        <w:t>供应商提出质疑应当提交质疑函和必要的证明材料。质疑函应当包括下列内容：</w:t>
      </w:r>
    </w:p>
    <w:p w14:paraId="4AAF52CB">
      <w:pPr>
        <w:spacing w:before="120" w:line="320" w:lineRule="atLeast"/>
        <w:ind w:firstLine="420" w:firstLineChars="200"/>
        <w:rPr>
          <w:szCs w:val="21"/>
        </w:rPr>
      </w:pPr>
      <w:r>
        <w:rPr>
          <w:rFonts w:hint="eastAsia"/>
          <w:szCs w:val="21"/>
        </w:rPr>
        <w:t>（1）</w:t>
      </w:r>
      <w:r>
        <w:rPr>
          <w:rFonts w:hint="eastAsia"/>
          <w:szCs w:val="21"/>
        </w:rPr>
        <w:tab/>
      </w:r>
      <w:r>
        <w:rPr>
          <w:rFonts w:hint="eastAsia"/>
          <w:szCs w:val="21"/>
        </w:rPr>
        <w:t>供应商的姓名或者名称、地址、邮编、联系人及联系电话；</w:t>
      </w:r>
    </w:p>
    <w:p w14:paraId="63B739A7">
      <w:pPr>
        <w:spacing w:before="120" w:line="320" w:lineRule="atLeast"/>
        <w:ind w:firstLine="420" w:firstLineChars="200"/>
        <w:rPr>
          <w:szCs w:val="21"/>
        </w:rPr>
      </w:pPr>
      <w:r>
        <w:rPr>
          <w:rFonts w:hint="eastAsia"/>
          <w:szCs w:val="21"/>
        </w:rPr>
        <w:t>（2）</w:t>
      </w:r>
      <w:r>
        <w:rPr>
          <w:rFonts w:hint="eastAsia"/>
          <w:szCs w:val="21"/>
        </w:rPr>
        <w:tab/>
      </w:r>
      <w:r>
        <w:rPr>
          <w:rFonts w:hint="eastAsia"/>
          <w:szCs w:val="21"/>
        </w:rPr>
        <w:t>质疑项目的名称、编号；</w:t>
      </w:r>
    </w:p>
    <w:p w14:paraId="156651EF">
      <w:pPr>
        <w:spacing w:before="120" w:line="320" w:lineRule="atLeast"/>
        <w:ind w:firstLine="420" w:firstLineChars="200"/>
        <w:rPr>
          <w:szCs w:val="21"/>
        </w:rPr>
      </w:pPr>
      <w:r>
        <w:rPr>
          <w:rFonts w:hint="eastAsia"/>
          <w:szCs w:val="21"/>
        </w:rPr>
        <w:t>（3）</w:t>
      </w:r>
      <w:r>
        <w:rPr>
          <w:rFonts w:hint="eastAsia"/>
          <w:szCs w:val="21"/>
        </w:rPr>
        <w:tab/>
      </w:r>
      <w:r>
        <w:rPr>
          <w:rFonts w:hint="eastAsia"/>
          <w:szCs w:val="21"/>
        </w:rPr>
        <w:t>具体、明确的质疑事项和与质疑事项相关的请求；</w:t>
      </w:r>
    </w:p>
    <w:p w14:paraId="3B62C66E">
      <w:pPr>
        <w:spacing w:before="120" w:line="320" w:lineRule="atLeast"/>
        <w:ind w:firstLine="420" w:firstLineChars="200"/>
        <w:rPr>
          <w:szCs w:val="21"/>
        </w:rPr>
      </w:pPr>
      <w:r>
        <w:rPr>
          <w:rFonts w:hint="eastAsia"/>
          <w:szCs w:val="21"/>
        </w:rPr>
        <w:t>（4）</w:t>
      </w:r>
      <w:r>
        <w:rPr>
          <w:rFonts w:hint="eastAsia"/>
          <w:szCs w:val="21"/>
        </w:rPr>
        <w:tab/>
      </w:r>
      <w:r>
        <w:rPr>
          <w:rFonts w:hint="eastAsia"/>
          <w:szCs w:val="21"/>
        </w:rPr>
        <w:t>事实依据；</w:t>
      </w:r>
    </w:p>
    <w:p w14:paraId="608EF13D">
      <w:pPr>
        <w:spacing w:before="120" w:line="320" w:lineRule="atLeast"/>
        <w:ind w:firstLine="420" w:firstLineChars="200"/>
        <w:rPr>
          <w:szCs w:val="21"/>
        </w:rPr>
      </w:pPr>
      <w:r>
        <w:rPr>
          <w:rFonts w:hint="eastAsia"/>
          <w:szCs w:val="21"/>
        </w:rPr>
        <w:t>（5）</w:t>
      </w:r>
      <w:r>
        <w:rPr>
          <w:rFonts w:hint="eastAsia"/>
          <w:szCs w:val="21"/>
        </w:rPr>
        <w:tab/>
      </w:r>
      <w:r>
        <w:rPr>
          <w:rFonts w:hint="eastAsia"/>
          <w:szCs w:val="21"/>
        </w:rPr>
        <w:t>必要的法律依据；</w:t>
      </w:r>
    </w:p>
    <w:p w14:paraId="4EC79F1B">
      <w:pPr>
        <w:spacing w:before="120" w:line="320" w:lineRule="atLeast"/>
        <w:ind w:firstLine="420" w:firstLineChars="200"/>
        <w:rPr>
          <w:szCs w:val="21"/>
        </w:rPr>
      </w:pPr>
      <w:r>
        <w:rPr>
          <w:rFonts w:hint="eastAsia"/>
          <w:szCs w:val="21"/>
        </w:rPr>
        <w:t>（6）</w:t>
      </w:r>
      <w:r>
        <w:rPr>
          <w:rFonts w:hint="eastAsia"/>
          <w:szCs w:val="21"/>
        </w:rPr>
        <w:tab/>
      </w:r>
      <w:r>
        <w:rPr>
          <w:rFonts w:hint="eastAsia"/>
          <w:szCs w:val="21"/>
        </w:rPr>
        <w:t>提出质疑的日期。</w:t>
      </w:r>
    </w:p>
    <w:p w14:paraId="69EA99CA">
      <w:pPr>
        <w:spacing w:before="120" w:line="320" w:lineRule="atLeast"/>
        <w:ind w:firstLine="420" w:firstLineChars="200"/>
        <w:rPr>
          <w:szCs w:val="21"/>
        </w:rPr>
      </w:pPr>
      <w:r>
        <w:rPr>
          <w:rFonts w:hint="eastAsia"/>
          <w:szCs w:val="21"/>
        </w:rPr>
        <w:t>供应商为自然人的，应当由本人签字；供应商为法人或者其他组织的，应当由法定代表人、主要负责人，或者其授权代表签字或者盖章，并加盖公章。</w:t>
      </w:r>
      <w:r>
        <w:rPr>
          <w:szCs w:val="21"/>
        </w:rPr>
        <w:t xml:space="preserve"> </w:t>
      </w:r>
    </w:p>
    <w:p w14:paraId="431B3630">
      <w:pPr>
        <w:spacing w:before="120" w:line="320" w:lineRule="atLeast"/>
        <w:ind w:firstLine="422" w:firstLineChars="200"/>
        <w:outlineLvl w:val="2"/>
        <w:rPr>
          <w:b/>
          <w:bCs/>
          <w:kern w:val="0"/>
          <w:szCs w:val="21"/>
        </w:rPr>
      </w:pPr>
      <w:r>
        <w:rPr>
          <w:b/>
          <w:bCs/>
          <w:kern w:val="0"/>
          <w:szCs w:val="21"/>
        </w:rPr>
        <w:t>8.2投诉</w:t>
      </w:r>
    </w:p>
    <w:p w14:paraId="391FEEB6">
      <w:pPr>
        <w:spacing w:before="120" w:line="320" w:lineRule="atLeast"/>
        <w:ind w:firstLine="420" w:firstLineChars="200"/>
        <w:rPr>
          <w:szCs w:val="21"/>
        </w:rPr>
      </w:pPr>
      <w:r>
        <w:rPr>
          <w:szCs w:val="21"/>
        </w:rPr>
        <w:t>8.2.1供应商对采购人、采购代理机构的答复不满意，或者采购人、采购代理机构未在规定时间内答复的，可在答复期满后15个工作日内按有关规定，向同级财政部门投诉。</w:t>
      </w:r>
    </w:p>
    <w:p w14:paraId="595D1A6A">
      <w:pPr>
        <w:spacing w:before="120" w:line="320" w:lineRule="atLeast"/>
        <w:ind w:firstLine="420" w:firstLineChars="200"/>
        <w:rPr>
          <w:szCs w:val="21"/>
        </w:rPr>
      </w:pPr>
      <w:r>
        <w:rPr>
          <w:szCs w:val="21"/>
        </w:rPr>
        <w:t>8.2.</w:t>
      </w:r>
      <w:r>
        <w:rPr>
          <w:rFonts w:hint="eastAsia"/>
          <w:szCs w:val="21"/>
        </w:rPr>
        <w:t>2投诉</w:t>
      </w:r>
      <w:r>
        <w:rPr>
          <w:szCs w:val="21"/>
        </w:rPr>
        <w:t>书应使用财政部发布的</w:t>
      </w:r>
      <w:r>
        <w:rPr>
          <w:rFonts w:hint="eastAsia"/>
          <w:szCs w:val="21"/>
        </w:rPr>
        <w:t>政府采购供应投诉书范本，并应按照“投诉书制作说明”进行编写。</w:t>
      </w:r>
    </w:p>
    <w:p w14:paraId="05AF6FC3">
      <w:pPr>
        <w:spacing w:before="120" w:line="320" w:lineRule="atLeast"/>
        <w:ind w:left="2" w:leftChars="1" w:firstLine="422" w:firstLineChars="200"/>
        <w:outlineLvl w:val="1"/>
        <w:rPr>
          <w:b/>
          <w:bCs/>
          <w:kern w:val="0"/>
          <w:szCs w:val="21"/>
        </w:rPr>
      </w:pPr>
      <w:r>
        <w:rPr>
          <w:b/>
          <w:bCs/>
          <w:kern w:val="0"/>
          <w:szCs w:val="21"/>
        </w:rPr>
        <w:t>9．其他事项</w:t>
      </w:r>
    </w:p>
    <w:p w14:paraId="0276F1F3">
      <w:pPr>
        <w:spacing w:before="120" w:line="320" w:lineRule="atLeast"/>
        <w:ind w:left="2" w:leftChars="1" w:firstLine="420" w:firstLineChars="200"/>
        <w:rPr>
          <w:szCs w:val="21"/>
        </w:rPr>
      </w:pPr>
      <w:r>
        <w:rPr>
          <w:szCs w:val="21"/>
        </w:rPr>
        <w:t>9.1代理服务收费由采购代理机构向中标人收取。签订合同前，中标人应向采购代理机构一次付清代理服务费。</w:t>
      </w:r>
    </w:p>
    <w:p w14:paraId="3E1EE7DB">
      <w:pPr>
        <w:spacing w:before="120" w:line="320" w:lineRule="atLeast"/>
        <w:ind w:left="2" w:leftChars="1" w:firstLine="420" w:firstLineChars="200"/>
        <w:rPr>
          <w:szCs w:val="21"/>
        </w:rPr>
      </w:pPr>
      <w:r>
        <w:rPr>
          <w:szCs w:val="21"/>
        </w:rPr>
        <w:t>9.2</w:t>
      </w:r>
      <w:r>
        <w:rPr>
          <w:rFonts w:hint="eastAsia"/>
          <w:szCs w:val="21"/>
        </w:rPr>
        <w:t>电子交易活动的中止。采购过程中出现以下情形，导致电子交易平台无法正常运行，或者无法保证电子交易的公平、公正和安全时，采购机构可中止电子交易活动：</w:t>
      </w:r>
    </w:p>
    <w:p w14:paraId="037D5CA4">
      <w:pPr>
        <w:spacing w:before="120" w:line="276" w:lineRule="auto"/>
        <w:ind w:firstLine="420" w:firstLineChars="200"/>
        <w:rPr>
          <w:szCs w:val="21"/>
        </w:rPr>
      </w:pPr>
      <w:r>
        <w:rPr>
          <w:rFonts w:hint="eastAsia"/>
          <w:szCs w:val="21"/>
        </w:rPr>
        <w:t xml:space="preserve">（1）电子交易平台发生故障而无法登录访问的； </w:t>
      </w:r>
    </w:p>
    <w:p w14:paraId="7285ACA3">
      <w:pPr>
        <w:spacing w:before="120" w:line="276" w:lineRule="auto"/>
        <w:ind w:firstLine="420" w:firstLineChars="200"/>
        <w:rPr>
          <w:szCs w:val="21"/>
        </w:rPr>
      </w:pPr>
      <w:r>
        <w:rPr>
          <w:rFonts w:hint="eastAsia"/>
          <w:szCs w:val="21"/>
        </w:rPr>
        <w:t>（2）电子交易平台应用或数据库出现错误，不能进行正常操作的；</w:t>
      </w:r>
    </w:p>
    <w:p w14:paraId="5EEE9A4E">
      <w:pPr>
        <w:spacing w:before="120" w:line="276" w:lineRule="auto"/>
        <w:ind w:firstLine="420" w:firstLineChars="200"/>
        <w:rPr>
          <w:szCs w:val="21"/>
        </w:rPr>
      </w:pPr>
      <w:r>
        <w:rPr>
          <w:rFonts w:hint="eastAsia"/>
          <w:szCs w:val="21"/>
        </w:rPr>
        <w:t>（3）电子交易平台发现严重安全漏洞，有潜在泄密危险的；</w:t>
      </w:r>
    </w:p>
    <w:p w14:paraId="3AA856DB">
      <w:pPr>
        <w:spacing w:before="120" w:line="276" w:lineRule="auto"/>
        <w:ind w:firstLine="420" w:firstLineChars="200"/>
        <w:rPr>
          <w:szCs w:val="21"/>
        </w:rPr>
      </w:pPr>
      <w:r>
        <w:rPr>
          <w:rFonts w:hint="eastAsia"/>
          <w:szCs w:val="21"/>
        </w:rPr>
        <w:t xml:space="preserve">（4）病毒发作导致不能进行正常操作的； </w:t>
      </w:r>
    </w:p>
    <w:p w14:paraId="5E566CF2">
      <w:pPr>
        <w:spacing w:before="120" w:line="276" w:lineRule="auto"/>
        <w:ind w:firstLine="420" w:firstLineChars="200"/>
        <w:rPr>
          <w:szCs w:val="21"/>
        </w:rPr>
      </w:pPr>
      <w:r>
        <w:rPr>
          <w:rFonts w:hint="eastAsia"/>
          <w:szCs w:val="21"/>
        </w:rPr>
        <w:t>（</w:t>
      </w:r>
      <w:r>
        <w:rPr>
          <w:szCs w:val="21"/>
        </w:rPr>
        <w:t>5</w:t>
      </w:r>
      <w:r>
        <w:rPr>
          <w:rFonts w:hint="eastAsia"/>
          <w:szCs w:val="21"/>
        </w:rPr>
        <w:t>）其他无法保证电子交易的公平、公正和安全的情况。</w:t>
      </w:r>
    </w:p>
    <w:p w14:paraId="396917BC">
      <w:pPr>
        <w:tabs>
          <w:tab w:val="left" w:pos="4820"/>
        </w:tabs>
        <w:spacing w:before="120" w:line="360" w:lineRule="auto"/>
        <w:ind w:firstLine="420" w:firstLineChars="200"/>
        <w:rPr>
          <w:color w:val="FF0000"/>
          <w:szCs w:val="21"/>
        </w:rPr>
      </w:pPr>
      <w:r>
        <w:rPr>
          <w:rFonts w:hint="eastAsia"/>
          <w:szCs w:val="21"/>
        </w:rPr>
        <w:t>出现以上情形，不影响采购公平、公正性的，采购组织机构可以待上述情形消除后继续组织电子交易活动；影响或可能影响采购公平、公正性的，经采购代理机构确认后，应当重新采购。采购代理机构必须对原有的资料及信息作出妥善保密处理，并报财政部门备案。</w:t>
      </w:r>
      <w:r>
        <w:rPr>
          <w:color w:val="FF0000"/>
          <w:szCs w:val="21"/>
        </w:rPr>
        <w:t xml:space="preserve"> </w:t>
      </w:r>
    </w:p>
    <w:p w14:paraId="7962D945">
      <w:pPr>
        <w:spacing w:before="120" w:line="320" w:lineRule="atLeast"/>
        <w:ind w:left="2" w:leftChars="1" w:firstLine="420" w:firstLineChars="200"/>
        <w:rPr>
          <w:szCs w:val="21"/>
        </w:rPr>
      </w:pPr>
      <w:r>
        <w:rPr>
          <w:szCs w:val="21"/>
        </w:rPr>
        <w:t>9.3</w:t>
      </w:r>
      <w:r>
        <w:rPr>
          <w:rFonts w:hint="eastAsia"/>
          <w:szCs w:val="21"/>
        </w:rPr>
        <w:t>本项目的附件及图纸</w:t>
      </w:r>
      <w:r>
        <w:rPr>
          <w:szCs w:val="21"/>
        </w:rPr>
        <w:t>详见</w:t>
      </w:r>
      <w:r>
        <w:rPr>
          <w:rFonts w:hint="eastAsia"/>
          <w:szCs w:val="21"/>
        </w:rPr>
        <w:t>投标人须知</w:t>
      </w:r>
      <w:r>
        <w:rPr>
          <w:szCs w:val="21"/>
        </w:rPr>
        <w:t>前附表</w:t>
      </w:r>
      <w:r>
        <w:rPr>
          <w:rFonts w:hint="eastAsia"/>
          <w:szCs w:val="21"/>
        </w:rPr>
        <w:t>。</w:t>
      </w:r>
    </w:p>
    <w:p w14:paraId="4B0EAC75">
      <w:pPr>
        <w:spacing w:before="120" w:line="320" w:lineRule="atLeast"/>
        <w:ind w:left="2" w:leftChars="1" w:firstLine="420" w:firstLineChars="200"/>
        <w:rPr>
          <w:szCs w:val="21"/>
        </w:rPr>
      </w:pPr>
      <w:r>
        <w:rPr>
          <w:szCs w:val="21"/>
        </w:rPr>
        <w:t>9.4</w:t>
      </w:r>
      <w:r>
        <w:rPr>
          <w:rFonts w:hint="eastAsia"/>
          <w:szCs w:val="21"/>
        </w:rPr>
        <w:t>本项目的其他事项</w:t>
      </w:r>
      <w:r>
        <w:rPr>
          <w:szCs w:val="21"/>
        </w:rPr>
        <w:t>详见</w:t>
      </w:r>
      <w:r>
        <w:rPr>
          <w:rFonts w:hint="eastAsia"/>
          <w:szCs w:val="21"/>
        </w:rPr>
        <w:t>投标人须知</w:t>
      </w:r>
      <w:r>
        <w:rPr>
          <w:szCs w:val="21"/>
        </w:rPr>
        <w:t>前附表</w:t>
      </w:r>
      <w:r>
        <w:rPr>
          <w:rFonts w:hint="eastAsia"/>
          <w:szCs w:val="21"/>
        </w:rPr>
        <w:t>。</w:t>
      </w:r>
    </w:p>
    <w:p w14:paraId="1F615615">
      <w:pPr>
        <w:spacing w:before="120" w:line="320" w:lineRule="atLeast"/>
        <w:ind w:left="2" w:leftChars="1" w:firstLine="422" w:firstLineChars="200"/>
        <w:outlineLvl w:val="1"/>
        <w:rPr>
          <w:b/>
          <w:bCs/>
          <w:kern w:val="0"/>
          <w:szCs w:val="21"/>
        </w:rPr>
      </w:pPr>
      <w:bookmarkStart w:id="105" w:name="_Toc254970549"/>
      <w:bookmarkStart w:id="106" w:name="_Toc254970690"/>
      <w:r>
        <w:rPr>
          <w:b/>
          <w:bCs/>
          <w:kern w:val="0"/>
          <w:szCs w:val="21"/>
        </w:rPr>
        <w:t>10．</w:t>
      </w:r>
      <w:r>
        <w:rPr>
          <w:rFonts w:hint="eastAsia"/>
          <w:b/>
          <w:bCs/>
          <w:kern w:val="0"/>
          <w:szCs w:val="21"/>
        </w:rPr>
        <w:t>其他说明</w:t>
      </w:r>
    </w:p>
    <w:p w14:paraId="09FB715A">
      <w:pPr>
        <w:spacing w:before="120" w:line="320" w:lineRule="atLeast"/>
        <w:ind w:left="2" w:leftChars="1" w:firstLine="420" w:firstLineChars="200"/>
        <w:rPr>
          <w:kern w:val="0"/>
          <w:szCs w:val="21"/>
        </w:rPr>
      </w:pPr>
      <w:r>
        <w:rPr>
          <w:rFonts w:hint="eastAsia"/>
          <w:kern w:val="0"/>
          <w:szCs w:val="21"/>
        </w:rPr>
        <w:t>1</w:t>
      </w:r>
      <w:r>
        <w:rPr>
          <w:kern w:val="0"/>
          <w:szCs w:val="21"/>
        </w:rPr>
        <w:t>0.1</w:t>
      </w:r>
      <w:r>
        <w:rPr>
          <w:rFonts w:hint="eastAsia"/>
          <w:kern w:val="0"/>
          <w:szCs w:val="21"/>
        </w:rPr>
        <w:t>其余未尽事宜按</w:t>
      </w:r>
      <w:r>
        <w:rPr>
          <w:kern w:val="0"/>
          <w:szCs w:val="21"/>
        </w:rPr>
        <w:t>《中华人民共和国政府采购法》、《中华人民共和国政府采购法实施条例》</w:t>
      </w:r>
      <w:r>
        <w:rPr>
          <w:rFonts w:hint="eastAsia"/>
          <w:kern w:val="0"/>
          <w:szCs w:val="21"/>
        </w:rPr>
        <w:t>的相关规定执行。</w:t>
      </w:r>
    </w:p>
    <w:p w14:paraId="28B073E9">
      <w:pPr>
        <w:spacing w:before="120" w:line="320" w:lineRule="atLeast"/>
        <w:ind w:left="2" w:leftChars="1" w:firstLine="420" w:firstLineChars="200"/>
      </w:pPr>
      <w:r>
        <w:rPr>
          <w:kern w:val="0"/>
          <w:szCs w:val="21"/>
        </w:rPr>
        <w:t>10.2</w:t>
      </w:r>
      <w:r>
        <w:rPr>
          <w:rFonts w:hint="eastAsia"/>
        </w:rPr>
        <w:t>本</w:t>
      </w:r>
      <w:r>
        <w:t>招标文件是根据国家有关法律及有关政策、法规和参照国际惯例编制，解释权属采购代理机构。</w:t>
      </w:r>
    </w:p>
    <w:p w14:paraId="1CD966DC">
      <w:pPr>
        <w:widowControl/>
        <w:jc w:val="left"/>
      </w:pPr>
      <w:r>
        <w:br w:type="page"/>
      </w:r>
    </w:p>
    <w:bookmarkEnd w:id="43"/>
    <w:p w14:paraId="4578B147">
      <w:pPr>
        <w:pStyle w:val="26"/>
        <w:snapToGrid w:val="0"/>
        <w:spacing w:before="120" w:after="120" w:line="320" w:lineRule="exact"/>
        <w:jc w:val="center"/>
        <w:outlineLvl w:val="0"/>
        <w:rPr>
          <w:rFonts w:ascii="Times New Roman" w:hAnsi="Times New Roman" w:cs="Times New Roman"/>
          <w:sz w:val="32"/>
          <w:szCs w:val="32"/>
        </w:rPr>
      </w:pPr>
      <w:bookmarkStart w:id="107" w:name="_Toc14272"/>
      <w:r>
        <w:rPr>
          <w:rFonts w:ascii="Times New Roman" w:hAnsi="Times New Roman" w:cs="Times New Roman"/>
          <w:sz w:val="32"/>
          <w:szCs w:val="32"/>
        </w:rPr>
        <w:t>第四章  评审方法及标准</w:t>
      </w:r>
      <w:bookmarkEnd w:id="107"/>
    </w:p>
    <w:p w14:paraId="7ECA45C7">
      <w:pPr>
        <w:spacing w:before="120" w:line="320" w:lineRule="atLeast"/>
        <w:ind w:firstLine="413" w:firstLineChars="196"/>
        <w:outlineLvl w:val="1"/>
        <w:rPr>
          <w:b/>
          <w:bCs/>
          <w:kern w:val="0"/>
          <w:szCs w:val="21"/>
        </w:rPr>
      </w:pPr>
      <w:bookmarkStart w:id="108" w:name="_Hlk93421148"/>
      <w:r>
        <w:rPr>
          <w:rFonts w:hint="eastAsia"/>
          <w:b/>
          <w:bCs/>
          <w:kern w:val="0"/>
          <w:szCs w:val="21"/>
        </w:rPr>
        <w:t>1.</w:t>
      </w:r>
      <w:r>
        <w:rPr>
          <w:b/>
          <w:bCs/>
          <w:kern w:val="0"/>
          <w:szCs w:val="21"/>
        </w:rPr>
        <w:t>评审方法</w:t>
      </w:r>
    </w:p>
    <w:p w14:paraId="4203CC43">
      <w:pPr>
        <w:suppressAutoHyphens/>
        <w:spacing w:before="120" w:line="320" w:lineRule="atLeast"/>
        <w:ind w:firstLine="420" w:firstLineChars="200"/>
      </w:pPr>
      <w:r>
        <w:rPr>
          <w:szCs w:val="21"/>
        </w:rPr>
        <w:sym w:font="Wingdings 2" w:char="F052"/>
      </w:r>
      <w:r>
        <w:t>本项目采用综合评分法进行评审。</w:t>
      </w:r>
    </w:p>
    <w:p w14:paraId="46A2A30D">
      <w:pPr>
        <w:suppressAutoHyphens/>
        <w:spacing w:before="120" w:line="320" w:lineRule="atLeast"/>
        <w:ind w:firstLine="420" w:firstLineChars="200"/>
      </w:pPr>
      <w:r>
        <w:t>综合评分法，是指投标文件满足招标文件全部实质性要求且按照评审因素的量化指标评审得分最高的</w:t>
      </w:r>
      <w:r>
        <w:rPr>
          <w:rFonts w:hint="eastAsia"/>
        </w:rPr>
        <w:t>投标人</w:t>
      </w:r>
      <w:r>
        <w:t>为中标候选人的评审方法。</w:t>
      </w:r>
    </w:p>
    <w:p w14:paraId="2056018A">
      <w:pPr>
        <w:suppressAutoHyphens/>
        <w:spacing w:before="120" w:line="320" w:lineRule="atLeast"/>
        <w:ind w:firstLine="420" w:firstLineChars="200"/>
      </w:pPr>
      <w:r>
        <w:rPr>
          <w:rFonts w:hint="eastAsia" w:hAnsi="宋体"/>
        </w:rPr>
        <w:t>□</w:t>
      </w:r>
      <w:r>
        <w:t>本项目采用</w:t>
      </w:r>
      <w:r>
        <w:rPr>
          <w:rFonts w:hint="eastAsia"/>
        </w:rPr>
        <w:t>最低评标价</w:t>
      </w:r>
      <w:r>
        <w:t>法进行评审。</w:t>
      </w:r>
    </w:p>
    <w:p w14:paraId="602EAFE2">
      <w:pPr>
        <w:suppressAutoHyphens/>
        <w:spacing w:before="120" w:line="320" w:lineRule="atLeast"/>
        <w:ind w:firstLine="420" w:firstLineChars="200"/>
      </w:pPr>
      <w:r>
        <w:rPr>
          <w:rFonts w:hint="eastAsia"/>
        </w:rPr>
        <w:t>最低评标价法，是指投标文件满足招标文件全部实质性要求且投标报价最低的投标人为中标候选人的评标方法。</w:t>
      </w:r>
    </w:p>
    <w:p w14:paraId="70E07A4F">
      <w:pPr>
        <w:suppressAutoHyphens/>
        <w:spacing w:before="120" w:line="320" w:lineRule="atLeast"/>
        <w:ind w:firstLine="420" w:firstLineChars="200"/>
      </w:pPr>
      <w:bookmarkStart w:id="109" w:name="_Hlk92206009"/>
      <w:r>
        <w:rPr>
          <w:rFonts w:hint="eastAsia"/>
        </w:rPr>
        <w:t>本项目评审的其他详细规定在第三章投标人须知中规定。</w:t>
      </w:r>
      <w:bookmarkEnd w:id="109"/>
    </w:p>
    <w:bookmarkEnd w:id="108"/>
    <w:p w14:paraId="47C2FBBF">
      <w:pPr>
        <w:spacing w:before="120" w:line="320" w:lineRule="atLeast"/>
        <w:ind w:firstLine="413" w:firstLineChars="196"/>
        <w:outlineLvl w:val="1"/>
        <w:rPr>
          <w:b/>
          <w:kern w:val="0"/>
          <w:szCs w:val="21"/>
        </w:rPr>
      </w:pPr>
      <w:bookmarkStart w:id="110" w:name="_Hlk93421162"/>
      <w:r>
        <w:rPr>
          <w:b/>
          <w:kern w:val="0"/>
          <w:szCs w:val="21"/>
        </w:rPr>
        <w:t>2</w:t>
      </w:r>
      <w:r>
        <w:rPr>
          <w:rFonts w:hint="eastAsia"/>
          <w:b/>
          <w:kern w:val="0"/>
          <w:szCs w:val="21"/>
        </w:rPr>
        <w:t>.资格审查标准</w:t>
      </w:r>
      <w:r>
        <w:rPr>
          <w:rFonts w:hint="eastAsia"/>
          <w:b/>
          <w:bCs/>
          <w:kern w:val="0"/>
          <w:szCs w:val="21"/>
        </w:rPr>
        <w:t>（不满足任何一项审查内容要求，资格审查即为不合格；</w:t>
      </w:r>
      <w:bookmarkStart w:id="111" w:name="_Hlk160525103"/>
      <w:r>
        <w:rPr>
          <w:rFonts w:hint="eastAsia"/>
          <w:b/>
          <w:bCs/>
          <w:kern w:val="0"/>
          <w:szCs w:val="21"/>
        </w:rPr>
        <w:t>联合体投标的，</w:t>
      </w:r>
      <w:bookmarkEnd w:id="110"/>
      <w:bookmarkEnd w:id="111"/>
      <w:bookmarkStart w:id="112" w:name="_Hlk19052412"/>
      <w:r>
        <w:rPr>
          <w:rFonts w:hint="eastAsia"/>
          <w:b/>
          <w:bCs/>
          <w:kern w:val="0"/>
          <w:szCs w:val="21"/>
        </w:rPr>
        <w:t>联合体各方均</w:t>
      </w:r>
      <w:r>
        <w:rPr>
          <w:rFonts w:hint="eastAsia"/>
          <w:b/>
          <w:bCs/>
          <w:color w:val="000000"/>
          <w:kern w:val="0"/>
          <w:szCs w:val="21"/>
        </w:rPr>
        <w:t>应提交第一项基本资格要求</w:t>
      </w:r>
      <w:r>
        <w:rPr>
          <w:rFonts w:hint="eastAsia"/>
          <w:b/>
          <w:bCs/>
          <w:kern w:val="0"/>
          <w:szCs w:val="21"/>
        </w:rPr>
        <w:t>的资格证明文件）</w:t>
      </w:r>
    </w:p>
    <w:tbl>
      <w:tblPr>
        <w:tblStyle w:val="51"/>
        <w:tblW w:w="893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6"/>
        <w:gridCol w:w="1843"/>
        <w:gridCol w:w="6242"/>
      </w:tblGrid>
      <w:tr w14:paraId="4751FA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846" w:type="dxa"/>
            <w:noWrap w:val="0"/>
            <w:vAlign w:val="center"/>
          </w:tcPr>
          <w:p w14:paraId="34E85DB6">
            <w:pPr>
              <w:spacing w:line="240" w:lineRule="exact"/>
              <w:jc w:val="center"/>
              <w:rPr>
                <w:b/>
                <w:kern w:val="0"/>
                <w:szCs w:val="21"/>
              </w:rPr>
            </w:pPr>
            <w:bookmarkStart w:id="113" w:name="_Hlk93421270"/>
            <w:r>
              <w:rPr>
                <w:rFonts w:hint="eastAsia"/>
                <w:b/>
                <w:kern w:val="0"/>
                <w:szCs w:val="21"/>
              </w:rPr>
              <w:t>审查</w:t>
            </w:r>
            <w:r>
              <w:rPr>
                <w:b/>
                <w:kern w:val="0"/>
                <w:szCs w:val="21"/>
              </w:rPr>
              <w:t>因素</w:t>
            </w:r>
          </w:p>
        </w:tc>
        <w:tc>
          <w:tcPr>
            <w:tcW w:w="1843" w:type="dxa"/>
            <w:noWrap w:val="0"/>
            <w:vAlign w:val="center"/>
          </w:tcPr>
          <w:p w14:paraId="05D0D66D">
            <w:pPr>
              <w:spacing w:line="240" w:lineRule="exact"/>
              <w:jc w:val="center"/>
              <w:rPr>
                <w:b/>
                <w:kern w:val="0"/>
                <w:szCs w:val="21"/>
              </w:rPr>
            </w:pPr>
            <w:r>
              <w:rPr>
                <w:rFonts w:hint="eastAsia"/>
                <w:b/>
                <w:kern w:val="0"/>
                <w:szCs w:val="21"/>
              </w:rPr>
              <w:t>审查</w:t>
            </w:r>
            <w:r>
              <w:rPr>
                <w:b/>
                <w:kern w:val="0"/>
                <w:szCs w:val="21"/>
              </w:rPr>
              <w:t>内容</w:t>
            </w:r>
          </w:p>
        </w:tc>
        <w:tc>
          <w:tcPr>
            <w:tcW w:w="6242" w:type="dxa"/>
            <w:noWrap w:val="0"/>
            <w:vAlign w:val="center"/>
          </w:tcPr>
          <w:p w14:paraId="018F9CA7">
            <w:pPr>
              <w:spacing w:line="240" w:lineRule="exact"/>
              <w:jc w:val="center"/>
              <w:rPr>
                <w:b/>
                <w:kern w:val="0"/>
                <w:szCs w:val="21"/>
              </w:rPr>
            </w:pPr>
            <w:r>
              <w:rPr>
                <w:rFonts w:hint="eastAsia"/>
                <w:b/>
                <w:kern w:val="0"/>
                <w:szCs w:val="21"/>
              </w:rPr>
              <w:t>说明</w:t>
            </w:r>
          </w:p>
        </w:tc>
      </w:tr>
      <w:tr w14:paraId="1538EA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0" w:hRule="atLeast"/>
        </w:trPr>
        <w:tc>
          <w:tcPr>
            <w:tcW w:w="846" w:type="dxa"/>
            <w:vMerge w:val="restart"/>
            <w:noWrap w:val="0"/>
            <w:vAlign w:val="center"/>
          </w:tcPr>
          <w:p w14:paraId="1429667C">
            <w:pPr>
              <w:spacing w:line="240" w:lineRule="exact"/>
              <w:rPr>
                <w:szCs w:val="21"/>
                <w:lang w:val="zh-CN"/>
              </w:rPr>
            </w:pPr>
            <w:r>
              <w:rPr>
                <w:rFonts w:hint="eastAsia"/>
                <w:szCs w:val="21"/>
                <w:lang w:val="zh-CN"/>
              </w:rPr>
              <w:t>投标人</w:t>
            </w:r>
            <w:r>
              <w:rPr>
                <w:szCs w:val="21"/>
                <w:lang w:val="zh-CN"/>
              </w:rPr>
              <w:t>应符合的</w:t>
            </w:r>
            <w:r>
              <w:rPr>
                <w:rFonts w:hint="eastAsia"/>
                <w:szCs w:val="21"/>
                <w:lang w:val="zh-CN"/>
              </w:rPr>
              <w:t>基本</w:t>
            </w:r>
            <w:r>
              <w:rPr>
                <w:szCs w:val="21"/>
              </w:rPr>
              <w:t>资格</w:t>
            </w:r>
            <w:r>
              <w:rPr>
                <w:rFonts w:hint="eastAsia"/>
                <w:szCs w:val="21"/>
              </w:rPr>
              <w:t>要求</w:t>
            </w:r>
          </w:p>
        </w:tc>
        <w:tc>
          <w:tcPr>
            <w:tcW w:w="1843" w:type="dxa"/>
            <w:noWrap w:val="0"/>
            <w:vAlign w:val="center"/>
          </w:tcPr>
          <w:p w14:paraId="4B1E3D03">
            <w:pPr>
              <w:spacing w:line="240" w:lineRule="exact"/>
              <w:jc w:val="left"/>
              <w:rPr>
                <w:szCs w:val="21"/>
              </w:rPr>
            </w:pPr>
            <w:r>
              <w:rPr>
                <w:szCs w:val="21"/>
              </w:rPr>
              <w:t>（1）具有独立承担民事责任的能力</w:t>
            </w:r>
          </w:p>
        </w:tc>
        <w:tc>
          <w:tcPr>
            <w:tcW w:w="6242" w:type="dxa"/>
            <w:noWrap w:val="0"/>
            <w:vAlign w:val="top"/>
          </w:tcPr>
          <w:p w14:paraId="0E03E957">
            <w:pPr>
              <w:spacing w:line="240" w:lineRule="exact"/>
              <w:jc w:val="left"/>
              <w:rPr>
                <w:szCs w:val="21"/>
              </w:rPr>
            </w:pPr>
            <w:r>
              <w:rPr>
                <w:rFonts w:hint="eastAsia"/>
                <w:szCs w:val="21"/>
              </w:rPr>
              <w:t>审查供应商为法人或者其他组织的，提供营业执照等证明文件（如营业执照或者事业单位法人证书或者执业许可证等），供应商为自然人的，提供身份证复印件</w:t>
            </w:r>
          </w:p>
        </w:tc>
      </w:tr>
      <w:tr w14:paraId="6BAD13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trPr>
        <w:tc>
          <w:tcPr>
            <w:tcW w:w="846" w:type="dxa"/>
            <w:vMerge w:val="continue"/>
            <w:noWrap w:val="0"/>
            <w:vAlign w:val="center"/>
          </w:tcPr>
          <w:p w14:paraId="386C05D1">
            <w:pPr>
              <w:spacing w:line="240" w:lineRule="exact"/>
              <w:rPr>
                <w:szCs w:val="21"/>
                <w:lang w:val="zh-CN"/>
              </w:rPr>
            </w:pPr>
          </w:p>
        </w:tc>
        <w:tc>
          <w:tcPr>
            <w:tcW w:w="1843" w:type="dxa"/>
            <w:noWrap w:val="0"/>
            <w:vAlign w:val="center"/>
          </w:tcPr>
          <w:p w14:paraId="7048998C">
            <w:pPr>
              <w:spacing w:line="240" w:lineRule="exact"/>
              <w:jc w:val="left"/>
              <w:rPr>
                <w:szCs w:val="21"/>
              </w:rPr>
            </w:pPr>
            <w:r>
              <w:rPr>
                <w:szCs w:val="21"/>
                <w:lang w:val="zh-CN"/>
              </w:rPr>
              <w:t>（2）</w:t>
            </w:r>
            <w:r>
              <w:rPr>
                <w:szCs w:val="21"/>
              </w:rPr>
              <w:t>具有良好的商业信誉和健全的财务会计制度</w:t>
            </w:r>
          </w:p>
        </w:tc>
        <w:tc>
          <w:tcPr>
            <w:tcW w:w="6242" w:type="dxa"/>
            <w:noWrap w:val="0"/>
            <w:vAlign w:val="top"/>
          </w:tcPr>
          <w:p w14:paraId="5A469A6C">
            <w:pPr>
              <w:spacing w:line="240" w:lineRule="exact"/>
              <w:jc w:val="left"/>
              <w:rPr>
                <w:color w:val="auto"/>
                <w:szCs w:val="21"/>
              </w:rPr>
            </w:pPr>
            <w:r>
              <w:rPr>
                <w:rFonts w:hint="eastAsia" w:ascii="宋体" w:hAnsi="宋体" w:cs="宋体"/>
                <w:color w:val="auto"/>
                <w:szCs w:val="21"/>
              </w:rPr>
              <w:t>①</w:t>
            </w:r>
            <w:r>
              <w:rPr>
                <w:color w:val="auto"/>
                <w:szCs w:val="21"/>
              </w:rPr>
              <w:t>审查商业信誉声明。须提供，格式见第六章投标文件格式“投标声明书”。</w:t>
            </w:r>
          </w:p>
          <w:p w14:paraId="32BABF65">
            <w:pPr>
              <w:spacing w:line="240" w:lineRule="exact"/>
              <w:jc w:val="left"/>
              <w:rPr>
                <w:color w:val="auto"/>
                <w:szCs w:val="21"/>
              </w:rPr>
            </w:pPr>
            <w:r>
              <w:rPr>
                <w:rFonts w:hint="eastAsia" w:ascii="宋体" w:hAnsi="宋体" w:cs="宋体"/>
                <w:color w:val="auto"/>
                <w:szCs w:val="21"/>
              </w:rPr>
              <w:t>②</w:t>
            </w:r>
            <w:r>
              <w:rPr>
                <w:color w:val="auto"/>
                <w:szCs w:val="21"/>
              </w:rPr>
              <w:t>审查</w:t>
            </w:r>
            <w:r>
              <w:rPr>
                <w:rFonts w:hint="eastAsia"/>
                <w:color w:val="auto"/>
                <w:szCs w:val="21"/>
                <w:lang w:val="en-US" w:eastAsia="zh-CN"/>
              </w:rPr>
              <w:t>2025</w:t>
            </w:r>
            <w:r>
              <w:rPr>
                <w:rFonts w:hint="eastAsia"/>
                <w:color w:val="auto"/>
                <w:szCs w:val="21"/>
              </w:rPr>
              <w:t>年</w:t>
            </w:r>
            <w:r>
              <w:rPr>
                <w:color w:val="auto"/>
                <w:szCs w:val="21"/>
              </w:rPr>
              <w:t>度财务状况报告（表）复印件或银行出具的资信证明复印件，</w:t>
            </w:r>
            <w:r>
              <w:rPr>
                <w:color w:val="auto"/>
              </w:rPr>
              <w:t>对于从取得营业执照时间起到投标文件递交截止时间为止不足1年的供应商，只需提交</w:t>
            </w:r>
            <w:r>
              <w:rPr>
                <w:color w:val="auto"/>
                <w:szCs w:val="21"/>
              </w:rPr>
              <w:t>投标文件递交截止时间前一个月的财务状况报告（表）复印件。</w:t>
            </w:r>
          </w:p>
        </w:tc>
      </w:tr>
      <w:tr w14:paraId="749790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trPr>
        <w:tc>
          <w:tcPr>
            <w:tcW w:w="846" w:type="dxa"/>
            <w:vMerge w:val="continue"/>
            <w:noWrap w:val="0"/>
            <w:vAlign w:val="center"/>
          </w:tcPr>
          <w:p w14:paraId="1B9B42FA">
            <w:pPr>
              <w:spacing w:line="240" w:lineRule="exact"/>
              <w:rPr>
                <w:szCs w:val="21"/>
                <w:lang w:val="zh-CN"/>
              </w:rPr>
            </w:pPr>
          </w:p>
        </w:tc>
        <w:tc>
          <w:tcPr>
            <w:tcW w:w="1843" w:type="dxa"/>
            <w:noWrap w:val="0"/>
            <w:vAlign w:val="center"/>
          </w:tcPr>
          <w:p w14:paraId="4D9DE892">
            <w:pPr>
              <w:spacing w:line="240" w:lineRule="exact"/>
              <w:jc w:val="left"/>
              <w:rPr>
                <w:szCs w:val="21"/>
              </w:rPr>
            </w:pPr>
            <w:r>
              <w:rPr>
                <w:szCs w:val="21"/>
                <w:lang w:val="zh-CN"/>
              </w:rPr>
              <w:t>（3）具有履行合同所必需的设备和专业技术能力</w:t>
            </w:r>
          </w:p>
        </w:tc>
        <w:tc>
          <w:tcPr>
            <w:tcW w:w="6242" w:type="dxa"/>
            <w:noWrap w:val="0"/>
            <w:vAlign w:val="top"/>
          </w:tcPr>
          <w:p w14:paraId="4CD79CFA">
            <w:pPr>
              <w:spacing w:line="240" w:lineRule="exact"/>
              <w:jc w:val="left"/>
              <w:rPr>
                <w:color w:val="auto"/>
                <w:szCs w:val="21"/>
              </w:rPr>
            </w:pPr>
            <w:r>
              <w:rPr>
                <w:rFonts w:hint="eastAsia" w:ascii="宋体" w:hAnsi="宋体" w:cs="宋体"/>
                <w:color w:val="auto"/>
                <w:szCs w:val="21"/>
              </w:rPr>
              <w:t>①</w:t>
            </w:r>
            <w:r>
              <w:rPr>
                <w:color w:val="auto"/>
                <w:szCs w:val="21"/>
              </w:rPr>
              <w:t xml:space="preserve">审查供应商营业执照，须有效； </w:t>
            </w:r>
          </w:p>
          <w:p w14:paraId="356759AE">
            <w:pPr>
              <w:spacing w:line="240" w:lineRule="exact"/>
              <w:jc w:val="left"/>
              <w:rPr>
                <w:color w:val="auto"/>
                <w:szCs w:val="21"/>
              </w:rPr>
            </w:pPr>
            <w:r>
              <w:rPr>
                <w:rFonts w:hint="eastAsia" w:ascii="宋体" w:hAnsi="宋体" w:cs="宋体"/>
                <w:color w:val="auto"/>
                <w:szCs w:val="21"/>
              </w:rPr>
              <w:t>②</w:t>
            </w:r>
            <w:r>
              <w:rPr>
                <w:color w:val="auto"/>
                <w:szCs w:val="21"/>
              </w:rPr>
              <w:t>审查书面声明。须提供，格式见第六章投标文件格式“</w:t>
            </w:r>
            <w:r>
              <w:rPr>
                <w:color w:val="auto"/>
              </w:rPr>
              <w:t>投标声明书</w:t>
            </w:r>
            <w:r>
              <w:rPr>
                <w:color w:val="auto"/>
                <w:szCs w:val="21"/>
              </w:rPr>
              <w:t>”。</w:t>
            </w:r>
          </w:p>
          <w:p w14:paraId="342AF088">
            <w:pPr>
              <w:spacing w:line="240" w:lineRule="exact"/>
              <w:jc w:val="left"/>
              <w:rPr>
                <w:color w:val="auto"/>
                <w:szCs w:val="21"/>
              </w:rPr>
            </w:pPr>
            <w:r>
              <w:rPr>
                <w:color w:val="auto"/>
                <w:szCs w:val="21"/>
              </w:rPr>
              <w:t>审查</w:t>
            </w:r>
            <w:r>
              <w:rPr>
                <w:rFonts w:hint="eastAsia" w:ascii="宋体" w:hAnsi="宋体" w:cs="宋体"/>
                <w:color w:val="auto"/>
                <w:szCs w:val="21"/>
              </w:rPr>
              <w:t>①</w:t>
            </w:r>
            <w:r>
              <w:rPr>
                <w:color w:val="auto"/>
                <w:szCs w:val="21"/>
              </w:rPr>
              <w:t>或</w:t>
            </w:r>
            <w:r>
              <w:rPr>
                <w:rFonts w:hint="eastAsia" w:ascii="宋体" w:hAnsi="宋体" w:cs="宋体"/>
                <w:color w:val="auto"/>
                <w:szCs w:val="21"/>
              </w:rPr>
              <w:t>②</w:t>
            </w:r>
            <w:r>
              <w:rPr>
                <w:color w:val="auto"/>
                <w:szCs w:val="21"/>
              </w:rPr>
              <w:t>，满足其一，即为符合要求。</w:t>
            </w:r>
          </w:p>
        </w:tc>
      </w:tr>
      <w:tr w14:paraId="775BE5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trPr>
        <w:tc>
          <w:tcPr>
            <w:tcW w:w="846" w:type="dxa"/>
            <w:vMerge w:val="continue"/>
            <w:noWrap w:val="0"/>
            <w:vAlign w:val="center"/>
          </w:tcPr>
          <w:p w14:paraId="3978C3ED">
            <w:pPr>
              <w:spacing w:line="240" w:lineRule="exact"/>
              <w:rPr>
                <w:szCs w:val="21"/>
                <w:lang w:val="zh-CN"/>
              </w:rPr>
            </w:pPr>
          </w:p>
        </w:tc>
        <w:tc>
          <w:tcPr>
            <w:tcW w:w="1843" w:type="dxa"/>
            <w:noWrap w:val="0"/>
            <w:vAlign w:val="center"/>
          </w:tcPr>
          <w:p w14:paraId="7EAF3068">
            <w:pPr>
              <w:spacing w:line="240" w:lineRule="exact"/>
              <w:jc w:val="left"/>
              <w:rPr>
                <w:szCs w:val="21"/>
              </w:rPr>
            </w:pPr>
            <w:r>
              <w:rPr>
                <w:szCs w:val="21"/>
                <w:lang w:val="zh-CN"/>
              </w:rPr>
              <w:t>（4）有依法缴纳税收和社会保障金的良好记录</w:t>
            </w:r>
          </w:p>
        </w:tc>
        <w:tc>
          <w:tcPr>
            <w:tcW w:w="6242" w:type="dxa"/>
            <w:noWrap w:val="0"/>
            <w:vAlign w:val="top"/>
          </w:tcPr>
          <w:p w14:paraId="6C9F141C">
            <w:pPr>
              <w:spacing w:line="240" w:lineRule="exact"/>
              <w:jc w:val="left"/>
              <w:rPr>
                <w:color w:val="auto"/>
                <w:szCs w:val="21"/>
              </w:rPr>
            </w:pPr>
            <w:r>
              <w:rPr>
                <w:rFonts w:hint="eastAsia" w:ascii="宋体" w:hAnsi="宋体" w:cs="宋体"/>
                <w:color w:val="auto"/>
                <w:szCs w:val="21"/>
              </w:rPr>
              <w:t>①</w:t>
            </w:r>
            <w:r>
              <w:rPr>
                <w:color w:val="auto"/>
                <w:szCs w:val="21"/>
              </w:rPr>
              <w:t>审查投标截止时间前6个月内，</w:t>
            </w:r>
            <w:r>
              <w:rPr>
                <w:rFonts w:hint="eastAsia"/>
                <w:color w:val="auto"/>
              </w:rPr>
              <w:t>供应商</w:t>
            </w:r>
            <w:r>
              <w:rPr>
                <w:color w:val="auto"/>
              </w:rPr>
              <w:t>任意</w:t>
            </w:r>
            <w:r>
              <w:rPr>
                <w:rFonts w:hint="eastAsia"/>
                <w:color w:val="auto"/>
              </w:rPr>
              <w:t>1个月</w:t>
            </w:r>
            <w:r>
              <w:rPr>
                <w:color w:val="auto"/>
                <w:szCs w:val="21"/>
              </w:rPr>
              <w:t>依法缴纳税费证明复印件加盖供应商</w:t>
            </w:r>
            <w:r>
              <w:rPr>
                <w:rFonts w:hint="eastAsia"/>
                <w:color w:val="auto"/>
                <w:szCs w:val="21"/>
              </w:rPr>
              <w:t>电子签章</w:t>
            </w:r>
            <w:r>
              <w:rPr>
                <w:color w:val="auto"/>
                <w:szCs w:val="21"/>
              </w:rPr>
              <w:t>。</w:t>
            </w:r>
          </w:p>
          <w:p w14:paraId="2BDBF208">
            <w:pPr>
              <w:spacing w:line="240" w:lineRule="exact"/>
              <w:jc w:val="left"/>
              <w:rPr>
                <w:color w:val="auto"/>
                <w:szCs w:val="21"/>
              </w:rPr>
            </w:pPr>
            <w:r>
              <w:rPr>
                <w:rFonts w:hint="eastAsia" w:ascii="宋体" w:hAnsi="宋体" w:cs="宋体"/>
                <w:color w:val="auto"/>
                <w:szCs w:val="21"/>
              </w:rPr>
              <w:t>②</w:t>
            </w:r>
            <w:r>
              <w:rPr>
                <w:color w:val="auto"/>
                <w:szCs w:val="21"/>
              </w:rPr>
              <w:t>审查投标截止时间前6个月内，</w:t>
            </w:r>
            <w:r>
              <w:rPr>
                <w:rFonts w:hint="eastAsia"/>
                <w:color w:val="auto"/>
              </w:rPr>
              <w:t>供应商</w:t>
            </w:r>
            <w:r>
              <w:rPr>
                <w:color w:val="auto"/>
              </w:rPr>
              <w:t>任意</w:t>
            </w:r>
            <w:r>
              <w:rPr>
                <w:rFonts w:hint="eastAsia"/>
                <w:color w:val="auto"/>
              </w:rPr>
              <w:t>1个月</w:t>
            </w:r>
            <w:r>
              <w:rPr>
                <w:color w:val="auto"/>
                <w:szCs w:val="21"/>
              </w:rPr>
              <w:t>的社保缴费证明记录复印件加盖供应商</w:t>
            </w:r>
            <w:r>
              <w:rPr>
                <w:rFonts w:hint="eastAsia"/>
                <w:color w:val="auto"/>
                <w:szCs w:val="21"/>
              </w:rPr>
              <w:t>电子签章</w:t>
            </w:r>
            <w:r>
              <w:rPr>
                <w:color w:val="auto"/>
                <w:szCs w:val="21"/>
              </w:rPr>
              <w:t>。</w:t>
            </w:r>
          </w:p>
          <w:p w14:paraId="60CC3184">
            <w:pPr>
              <w:spacing w:line="240" w:lineRule="exact"/>
              <w:jc w:val="left"/>
              <w:rPr>
                <w:color w:val="auto"/>
                <w:szCs w:val="21"/>
              </w:rPr>
            </w:pPr>
            <w:r>
              <w:rPr>
                <w:color w:val="auto"/>
                <w:szCs w:val="21"/>
              </w:rPr>
              <w:t>供应商成立不足</w:t>
            </w:r>
            <w:r>
              <w:rPr>
                <w:rFonts w:hint="eastAsia"/>
                <w:color w:val="auto"/>
                <w:szCs w:val="21"/>
              </w:rPr>
              <w:t>1个月的，无须提供</w:t>
            </w:r>
            <w:r>
              <w:rPr>
                <w:color w:val="auto"/>
                <w:szCs w:val="21"/>
              </w:rPr>
              <w:t>缴纳税费证明及社保缴费证明加盖供应商电子签章</w:t>
            </w:r>
            <w:r>
              <w:rPr>
                <w:rFonts w:hint="eastAsia"/>
                <w:color w:val="auto"/>
                <w:szCs w:val="21"/>
              </w:rPr>
              <w:t>。</w:t>
            </w:r>
          </w:p>
          <w:p w14:paraId="0705A1F4">
            <w:pPr>
              <w:spacing w:line="240" w:lineRule="exact"/>
              <w:jc w:val="left"/>
              <w:rPr>
                <w:color w:val="auto"/>
                <w:szCs w:val="21"/>
              </w:rPr>
            </w:pPr>
            <w:r>
              <w:rPr>
                <w:color w:val="auto"/>
                <w:szCs w:val="21"/>
              </w:rPr>
              <w:t>依法免税或不需要缴纳社会保障资金的供应商，须提供相应文件证明其依法免税或不需要缴纳社会保障资金。</w:t>
            </w:r>
          </w:p>
        </w:tc>
      </w:tr>
      <w:tr w14:paraId="4CFF94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trPr>
        <w:tc>
          <w:tcPr>
            <w:tcW w:w="846" w:type="dxa"/>
            <w:vMerge w:val="continue"/>
            <w:noWrap w:val="0"/>
            <w:vAlign w:val="center"/>
          </w:tcPr>
          <w:p w14:paraId="3F1E3491">
            <w:pPr>
              <w:spacing w:line="240" w:lineRule="exact"/>
              <w:rPr>
                <w:szCs w:val="21"/>
                <w:lang w:val="zh-CN"/>
              </w:rPr>
            </w:pPr>
          </w:p>
        </w:tc>
        <w:tc>
          <w:tcPr>
            <w:tcW w:w="1843" w:type="dxa"/>
            <w:noWrap w:val="0"/>
            <w:vAlign w:val="center"/>
          </w:tcPr>
          <w:p w14:paraId="26E05759">
            <w:pPr>
              <w:spacing w:line="240" w:lineRule="exact"/>
              <w:jc w:val="left"/>
              <w:rPr>
                <w:szCs w:val="21"/>
              </w:rPr>
            </w:pPr>
            <w:r>
              <w:rPr>
                <w:szCs w:val="21"/>
              </w:rPr>
              <w:t>（5）参加政府采购活动前三年内，在经营活动中没有重大违法记录</w:t>
            </w:r>
          </w:p>
        </w:tc>
        <w:tc>
          <w:tcPr>
            <w:tcW w:w="6242" w:type="dxa"/>
            <w:noWrap w:val="0"/>
            <w:vAlign w:val="center"/>
          </w:tcPr>
          <w:p w14:paraId="0223EB74">
            <w:pPr>
              <w:spacing w:line="240" w:lineRule="exact"/>
              <w:jc w:val="left"/>
              <w:rPr>
                <w:szCs w:val="21"/>
              </w:rPr>
            </w:pPr>
            <w:r>
              <w:rPr>
                <w:szCs w:val="21"/>
              </w:rPr>
              <w:t xml:space="preserve">审查无重大违法记录声明。须提供，格式见第六章投标文件格式“投标声明书”。 </w:t>
            </w:r>
          </w:p>
        </w:tc>
      </w:tr>
      <w:tr w14:paraId="5AB0F0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trPr>
        <w:tc>
          <w:tcPr>
            <w:tcW w:w="846" w:type="dxa"/>
            <w:vMerge w:val="continue"/>
            <w:noWrap w:val="0"/>
            <w:vAlign w:val="center"/>
          </w:tcPr>
          <w:p w14:paraId="2BAF4A5D">
            <w:pPr>
              <w:spacing w:line="240" w:lineRule="exact"/>
              <w:rPr>
                <w:szCs w:val="21"/>
                <w:lang w:val="zh-CN"/>
              </w:rPr>
            </w:pPr>
          </w:p>
        </w:tc>
        <w:tc>
          <w:tcPr>
            <w:tcW w:w="1843" w:type="dxa"/>
            <w:noWrap w:val="0"/>
            <w:vAlign w:val="center"/>
          </w:tcPr>
          <w:p w14:paraId="0FA62519">
            <w:pPr>
              <w:spacing w:line="240" w:lineRule="exact"/>
              <w:jc w:val="left"/>
              <w:rPr>
                <w:szCs w:val="21"/>
              </w:rPr>
            </w:pPr>
            <w:r>
              <w:rPr>
                <w:szCs w:val="21"/>
              </w:rPr>
              <w:t>（6）具备法律、行政法规规定的其他要求</w:t>
            </w:r>
          </w:p>
        </w:tc>
        <w:tc>
          <w:tcPr>
            <w:tcW w:w="6242" w:type="dxa"/>
            <w:noWrap w:val="0"/>
            <w:vAlign w:val="center"/>
          </w:tcPr>
          <w:p w14:paraId="084DD063">
            <w:pPr>
              <w:spacing w:line="240" w:lineRule="exact"/>
              <w:jc w:val="left"/>
              <w:rPr>
                <w:szCs w:val="21"/>
              </w:rPr>
            </w:pPr>
            <w:r>
              <w:rPr>
                <w:color w:val="auto"/>
                <w:szCs w:val="21"/>
              </w:rPr>
              <w:t>无。</w:t>
            </w:r>
          </w:p>
        </w:tc>
      </w:tr>
      <w:tr w14:paraId="59B79E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6" w:hRule="atLeast"/>
        </w:trPr>
        <w:tc>
          <w:tcPr>
            <w:tcW w:w="846" w:type="dxa"/>
            <w:noWrap w:val="0"/>
            <w:vAlign w:val="center"/>
          </w:tcPr>
          <w:p w14:paraId="2355236C">
            <w:pPr>
              <w:spacing w:line="240" w:lineRule="exact"/>
              <w:rPr>
                <w:szCs w:val="21"/>
                <w:lang w:val="zh-CN"/>
              </w:rPr>
            </w:pPr>
            <w:r>
              <w:rPr>
                <w:rFonts w:hint="eastAsia"/>
                <w:kern w:val="0"/>
                <w:szCs w:val="21"/>
              </w:rPr>
              <w:t>采购政策</w:t>
            </w:r>
          </w:p>
        </w:tc>
        <w:tc>
          <w:tcPr>
            <w:tcW w:w="1843" w:type="dxa"/>
            <w:noWrap w:val="0"/>
            <w:vAlign w:val="center"/>
          </w:tcPr>
          <w:p w14:paraId="02AF0245">
            <w:pPr>
              <w:spacing w:line="240" w:lineRule="exact"/>
              <w:jc w:val="left"/>
              <w:rPr>
                <w:szCs w:val="21"/>
              </w:rPr>
            </w:pPr>
            <w:r>
              <w:rPr>
                <w:rFonts w:hint="eastAsia"/>
                <w:szCs w:val="21"/>
              </w:rPr>
              <w:t>落实政府采购政策需满足的资格要求</w:t>
            </w:r>
          </w:p>
        </w:tc>
        <w:tc>
          <w:tcPr>
            <w:tcW w:w="6242" w:type="dxa"/>
            <w:noWrap w:val="0"/>
            <w:vAlign w:val="center"/>
          </w:tcPr>
          <w:p w14:paraId="0BE8F528">
            <w:pPr>
              <w:spacing w:line="240" w:lineRule="exact"/>
              <w:rPr>
                <w:szCs w:val="21"/>
              </w:rPr>
            </w:pPr>
            <w:r>
              <w:rPr>
                <w:rFonts w:hint="eastAsia" w:ascii="宋体" w:hAnsi="宋体" w:cs="宋体"/>
                <w:szCs w:val="21"/>
              </w:rPr>
              <w:t>提供</w:t>
            </w:r>
            <w:r>
              <w:rPr>
                <w:rFonts w:hint="eastAsia"/>
                <w:szCs w:val="21"/>
              </w:rPr>
              <w:t>《中小企业声明函》</w:t>
            </w:r>
            <w:r>
              <w:rPr>
                <w:rFonts w:hint="eastAsia" w:ascii="宋体" w:hAnsi="宋体" w:cs="宋体"/>
                <w:szCs w:val="21"/>
              </w:rPr>
              <w:t>，符合</w:t>
            </w:r>
            <w:r>
              <w:rPr>
                <w:rFonts w:hint="eastAsia"/>
                <w:szCs w:val="21"/>
              </w:rPr>
              <w:t>提供招标文件标明所属行业的标的物的制造商应全部为中型或小型或微型企业</w:t>
            </w:r>
            <w:r>
              <w:rPr>
                <w:rFonts w:hint="eastAsia" w:ascii="宋体" w:hAnsi="宋体" w:cs="宋体"/>
                <w:szCs w:val="21"/>
              </w:rPr>
              <w:t>的条件</w:t>
            </w:r>
            <w:r>
              <w:rPr>
                <w:rFonts w:hint="eastAsia"/>
                <w:szCs w:val="21"/>
              </w:rPr>
              <w:t>。</w:t>
            </w:r>
          </w:p>
          <w:p w14:paraId="13CF8735">
            <w:pPr>
              <w:spacing w:line="240" w:lineRule="exact"/>
              <w:jc w:val="left"/>
              <w:rPr>
                <w:rFonts w:hint="eastAsia" w:ascii="宋体" w:hAnsi="宋体" w:cs="宋体"/>
                <w:szCs w:val="21"/>
              </w:rPr>
            </w:pPr>
            <w:r>
              <w:rPr>
                <w:rFonts w:hint="eastAsia"/>
                <w:szCs w:val="21"/>
              </w:rPr>
              <w:t>注：1、符合</w:t>
            </w:r>
            <w:r>
              <w:rPr>
                <w:rFonts w:hint="eastAsia" w:ascii="宋体" w:hAnsi="宋体" w:cs="宋体"/>
                <w:szCs w:val="21"/>
              </w:rPr>
              <w:t>监狱企业出具监狱企业证明文件的、符合残疾人福利性单位出具《残疾人福利性单位声明函》的视同小微企业。</w:t>
            </w:r>
          </w:p>
          <w:p w14:paraId="0E8872A2">
            <w:pPr>
              <w:spacing w:line="240" w:lineRule="exact"/>
              <w:jc w:val="left"/>
              <w:rPr>
                <w:szCs w:val="21"/>
              </w:rPr>
            </w:pPr>
            <w:r>
              <w:rPr>
                <w:szCs w:val="21"/>
              </w:rPr>
              <w:t>2</w:t>
            </w:r>
            <w:r>
              <w:rPr>
                <w:rFonts w:hint="eastAsia"/>
                <w:szCs w:val="21"/>
              </w:rPr>
              <w:t>、律师事务所、司法鉴定机构不适用《中小企业划型标准规定》，不享受中小企业发展政策。</w:t>
            </w:r>
          </w:p>
        </w:tc>
      </w:tr>
      <w:tr w14:paraId="6024B1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6" w:hRule="atLeast"/>
        </w:trPr>
        <w:tc>
          <w:tcPr>
            <w:tcW w:w="846" w:type="dxa"/>
            <w:vMerge w:val="restart"/>
            <w:noWrap w:val="0"/>
            <w:vAlign w:val="center"/>
          </w:tcPr>
          <w:p w14:paraId="4ACCF642">
            <w:pPr>
              <w:spacing w:line="240" w:lineRule="exact"/>
              <w:rPr>
                <w:szCs w:val="21"/>
              </w:rPr>
            </w:pPr>
            <w:r>
              <w:rPr>
                <w:rFonts w:hint="eastAsia"/>
                <w:szCs w:val="21"/>
                <w:lang w:val="zh-CN"/>
              </w:rPr>
              <w:t>投标人</w:t>
            </w:r>
            <w:r>
              <w:rPr>
                <w:szCs w:val="21"/>
                <w:lang w:val="zh-CN"/>
              </w:rPr>
              <w:t>应符合的</w:t>
            </w:r>
            <w:r>
              <w:rPr>
                <w:szCs w:val="21"/>
              </w:rPr>
              <w:t>特定资格</w:t>
            </w:r>
            <w:r>
              <w:rPr>
                <w:rFonts w:hint="eastAsia"/>
                <w:szCs w:val="21"/>
              </w:rPr>
              <w:t>要求</w:t>
            </w:r>
          </w:p>
        </w:tc>
        <w:tc>
          <w:tcPr>
            <w:tcW w:w="1843" w:type="dxa"/>
            <w:noWrap w:val="0"/>
            <w:vAlign w:val="center"/>
          </w:tcPr>
          <w:p w14:paraId="648DF753">
            <w:pPr>
              <w:spacing w:line="240" w:lineRule="exact"/>
              <w:jc w:val="left"/>
              <w:rPr>
                <w:szCs w:val="21"/>
              </w:rPr>
            </w:pPr>
            <w:r>
              <w:rPr>
                <w:szCs w:val="21"/>
              </w:rPr>
              <w:t>（1）资质</w:t>
            </w:r>
            <w:r>
              <w:rPr>
                <w:rFonts w:hint="eastAsia"/>
                <w:szCs w:val="21"/>
              </w:rPr>
              <w:t>要求</w:t>
            </w:r>
          </w:p>
        </w:tc>
        <w:tc>
          <w:tcPr>
            <w:tcW w:w="6242" w:type="dxa"/>
            <w:noWrap w:val="0"/>
            <w:vAlign w:val="center"/>
          </w:tcPr>
          <w:p w14:paraId="1CB4E092">
            <w:pPr>
              <w:spacing w:line="240" w:lineRule="exact"/>
              <w:jc w:val="left"/>
              <w:rPr>
                <w:szCs w:val="21"/>
              </w:rPr>
            </w:pPr>
            <w:r>
              <w:rPr>
                <w:szCs w:val="21"/>
              </w:rPr>
              <w:t>须符合</w:t>
            </w:r>
            <w:r>
              <w:rPr>
                <w:rFonts w:hint="eastAsia"/>
                <w:szCs w:val="21"/>
              </w:rPr>
              <w:t>“招标公告”</w:t>
            </w:r>
            <w:r>
              <w:rPr>
                <w:szCs w:val="21"/>
              </w:rPr>
              <w:t>的要求</w:t>
            </w:r>
          </w:p>
        </w:tc>
      </w:tr>
      <w:tr w14:paraId="34A528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trPr>
        <w:tc>
          <w:tcPr>
            <w:tcW w:w="846" w:type="dxa"/>
            <w:vMerge w:val="continue"/>
            <w:noWrap w:val="0"/>
            <w:vAlign w:val="center"/>
          </w:tcPr>
          <w:p w14:paraId="3EB46C54">
            <w:pPr>
              <w:spacing w:line="240" w:lineRule="exact"/>
              <w:rPr>
                <w:szCs w:val="21"/>
              </w:rPr>
            </w:pPr>
          </w:p>
        </w:tc>
        <w:tc>
          <w:tcPr>
            <w:tcW w:w="1843" w:type="dxa"/>
            <w:noWrap w:val="0"/>
            <w:vAlign w:val="center"/>
          </w:tcPr>
          <w:p w14:paraId="2D12722F">
            <w:pPr>
              <w:spacing w:line="240" w:lineRule="exact"/>
              <w:jc w:val="left"/>
              <w:rPr>
                <w:szCs w:val="21"/>
              </w:rPr>
            </w:pPr>
            <w:r>
              <w:rPr>
                <w:szCs w:val="21"/>
              </w:rPr>
              <w:t>（2）业绩要求</w:t>
            </w:r>
          </w:p>
        </w:tc>
        <w:tc>
          <w:tcPr>
            <w:tcW w:w="6242" w:type="dxa"/>
            <w:noWrap w:val="0"/>
            <w:vAlign w:val="center"/>
          </w:tcPr>
          <w:p w14:paraId="34326EF4">
            <w:pPr>
              <w:spacing w:line="240" w:lineRule="exact"/>
              <w:jc w:val="left"/>
              <w:rPr>
                <w:szCs w:val="21"/>
              </w:rPr>
            </w:pPr>
            <w:r>
              <w:rPr>
                <w:szCs w:val="21"/>
              </w:rPr>
              <w:t>须符合</w:t>
            </w:r>
            <w:r>
              <w:rPr>
                <w:rFonts w:hint="eastAsia"/>
                <w:szCs w:val="21"/>
              </w:rPr>
              <w:t>“招标公告”</w:t>
            </w:r>
            <w:r>
              <w:rPr>
                <w:szCs w:val="21"/>
              </w:rPr>
              <w:t>的要求</w:t>
            </w:r>
          </w:p>
        </w:tc>
      </w:tr>
      <w:tr w14:paraId="32746D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64" w:hRule="atLeast"/>
        </w:trPr>
        <w:tc>
          <w:tcPr>
            <w:tcW w:w="846" w:type="dxa"/>
            <w:vMerge w:val="continue"/>
            <w:noWrap w:val="0"/>
            <w:vAlign w:val="center"/>
          </w:tcPr>
          <w:p w14:paraId="44BF9DBB">
            <w:pPr>
              <w:spacing w:line="240" w:lineRule="exact"/>
              <w:jc w:val="left"/>
              <w:rPr>
                <w:szCs w:val="21"/>
              </w:rPr>
            </w:pPr>
          </w:p>
        </w:tc>
        <w:tc>
          <w:tcPr>
            <w:tcW w:w="1843" w:type="dxa"/>
            <w:noWrap w:val="0"/>
            <w:vAlign w:val="center"/>
          </w:tcPr>
          <w:p w14:paraId="21B00F29">
            <w:pPr>
              <w:spacing w:line="240" w:lineRule="exact"/>
              <w:jc w:val="left"/>
              <w:rPr>
                <w:szCs w:val="21"/>
              </w:rPr>
            </w:pPr>
            <w:r>
              <w:rPr>
                <w:rFonts w:hint="eastAsia"/>
                <w:szCs w:val="21"/>
              </w:rPr>
              <w:t>（</w:t>
            </w:r>
            <w:r>
              <w:rPr>
                <w:szCs w:val="21"/>
              </w:rPr>
              <w:t>3</w:t>
            </w:r>
            <w:r>
              <w:rPr>
                <w:rFonts w:hint="eastAsia"/>
                <w:szCs w:val="21"/>
              </w:rPr>
              <w:t>）供应商不得参加投标的情形</w:t>
            </w:r>
          </w:p>
        </w:tc>
        <w:tc>
          <w:tcPr>
            <w:tcW w:w="6242" w:type="dxa"/>
            <w:noWrap w:val="0"/>
            <w:vAlign w:val="center"/>
          </w:tcPr>
          <w:p w14:paraId="6CD0B9B9">
            <w:pPr>
              <w:spacing w:line="240" w:lineRule="exact"/>
              <w:jc w:val="left"/>
              <w:rPr>
                <w:kern w:val="0"/>
                <w:szCs w:val="21"/>
              </w:rPr>
            </w:pPr>
            <w:r>
              <w:rPr>
                <w:kern w:val="0"/>
                <w:szCs w:val="21"/>
              </w:rPr>
              <w:t>单位负责人为同一人或者存在直接控股、管理关系的不同供应商，不得参加本项目同一合同项下的政府采购活动。为本项目提供整体设计、规范编制或者项目管理、监理、检测等服务的供应商，不得再参加</w:t>
            </w:r>
            <w:r>
              <w:rPr>
                <w:rFonts w:hint="eastAsia"/>
                <w:kern w:val="0"/>
                <w:szCs w:val="21"/>
              </w:rPr>
              <w:t>本</w:t>
            </w:r>
            <w:r>
              <w:rPr>
                <w:kern w:val="0"/>
                <w:szCs w:val="21"/>
              </w:rPr>
              <w:t>项目的采购活动。</w:t>
            </w:r>
          </w:p>
          <w:p w14:paraId="5ABB4EA9">
            <w:pPr>
              <w:spacing w:line="240" w:lineRule="exact"/>
              <w:jc w:val="left"/>
              <w:rPr>
                <w:szCs w:val="21"/>
              </w:rPr>
            </w:pPr>
            <w:r>
              <w:rPr>
                <w:szCs w:val="21"/>
              </w:rPr>
              <w:t>须提供，格式见第六章投标文件格式“</w:t>
            </w:r>
            <w:r>
              <w:rPr>
                <w:rFonts w:hint="eastAsia"/>
                <w:szCs w:val="21"/>
              </w:rPr>
              <w:t>投标人直接控股股东、管理关系信息表</w:t>
            </w:r>
            <w:r>
              <w:rPr>
                <w:szCs w:val="21"/>
              </w:rPr>
              <w:t>”。</w:t>
            </w:r>
          </w:p>
        </w:tc>
      </w:tr>
      <w:tr w14:paraId="68A25C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trPr>
        <w:tc>
          <w:tcPr>
            <w:tcW w:w="846" w:type="dxa"/>
            <w:vMerge w:val="continue"/>
            <w:noWrap w:val="0"/>
            <w:vAlign w:val="center"/>
          </w:tcPr>
          <w:p w14:paraId="3CCD487E">
            <w:pPr>
              <w:spacing w:line="240" w:lineRule="exact"/>
              <w:jc w:val="left"/>
              <w:rPr>
                <w:kern w:val="0"/>
                <w:szCs w:val="21"/>
              </w:rPr>
            </w:pPr>
          </w:p>
        </w:tc>
        <w:tc>
          <w:tcPr>
            <w:tcW w:w="1843" w:type="dxa"/>
            <w:noWrap w:val="0"/>
            <w:vAlign w:val="center"/>
          </w:tcPr>
          <w:p w14:paraId="7D25D6DA">
            <w:pPr>
              <w:spacing w:line="240" w:lineRule="exact"/>
              <w:jc w:val="left"/>
              <w:rPr>
                <w:kern w:val="0"/>
                <w:szCs w:val="21"/>
              </w:rPr>
            </w:pPr>
            <w:r>
              <w:rPr>
                <w:rFonts w:hint="eastAsia"/>
                <w:szCs w:val="21"/>
              </w:rPr>
              <w:t>（</w:t>
            </w:r>
            <w:r>
              <w:rPr>
                <w:szCs w:val="21"/>
              </w:rPr>
              <w:t>4</w:t>
            </w:r>
            <w:r>
              <w:rPr>
                <w:rFonts w:hint="eastAsia"/>
                <w:szCs w:val="21"/>
              </w:rPr>
              <w:t>）诚信要求</w:t>
            </w:r>
          </w:p>
        </w:tc>
        <w:tc>
          <w:tcPr>
            <w:tcW w:w="6242" w:type="dxa"/>
            <w:noWrap w:val="0"/>
            <w:vAlign w:val="top"/>
          </w:tcPr>
          <w:p w14:paraId="1E4B68DE">
            <w:pPr>
              <w:spacing w:line="240" w:lineRule="exact"/>
              <w:jc w:val="left"/>
              <w:rPr>
                <w:kern w:val="0"/>
                <w:szCs w:val="21"/>
              </w:rPr>
            </w:pPr>
            <w:r>
              <w:rPr>
                <w:rFonts w:hint="eastAsia"/>
                <w:szCs w:val="21"/>
              </w:rPr>
              <w:t>未被列入失信被执行人、</w:t>
            </w:r>
            <w:r>
              <w:rPr>
                <w:szCs w:val="21"/>
              </w:rPr>
              <w:t>重大税收违法失信主体、政府采购严重违法失信行为记录名单</w:t>
            </w:r>
            <w:r>
              <w:rPr>
                <w:rFonts w:hint="eastAsia"/>
                <w:szCs w:val="21"/>
              </w:rPr>
              <w:t>。</w:t>
            </w:r>
          </w:p>
        </w:tc>
      </w:tr>
      <w:tr w14:paraId="7B673C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4" w:hRule="atLeast"/>
        </w:trPr>
        <w:tc>
          <w:tcPr>
            <w:tcW w:w="846" w:type="dxa"/>
            <w:vMerge w:val="continue"/>
            <w:noWrap w:val="0"/>
            <w:vAlign w:val="center"/>
          </w:tcPr>
          <w:p w14:paraId="4319127E">
            <w:pPr>
              <w:spacing w:line="240" w:lineRule="exact"/>
              <w:jc w:val="left"/>
              <w:rPr>
                <w:kern w:val="0"/>
                <w:szCs w:val="21"/>
              </w:rPr>
            </w:pPr>
          </w:p>
        </w:tc>
        <w:tc>
          <w:tcPr>
            <w:tcW w:w="1843" w:type="dxa"/>
            <w:noWrap w:val="0"/>
            <w:vAlign w:val="center"/>
          </w:tcPr>
          <w:p w14:paraId="5AE7340D">
            <w:pPr>
              <w:spacing w:line="240" w:lineRule="exact"/>
              <w:jc w:val="left"/>
              <w:rPr>
                <w:szCs w:val="21"/>
              </w:rPr>
            </w:pPr>
            <w:r>
              <w:rPr>
                <w:rFonts w:hint="eastAsia"/>
                <w:szCs w:val="21"/>
              </w:rPr>
              <w:t>（5）分公司</w:t>
            </w:r>
          </w:p>
        </w:tc>
        <w:tc>
          <w:tcPr>
            <w:tcW w:w="6242" w:type="dxa"/>
            <w:noWrap w:val="0"/>
            <w:vAlign w:val="center"/>
          </w:tcPr>
          <w:p w14:paraId="701F72AF">
            <w:pPr>
              <w:spacing w:line="240" w:lineRule="exact"/>
              <w:rPr>
                <w:szCs w:val="21"/>
              </w:rPr>
            </w:pPr>
            <w:r>
              <w:rPr>
                <w:rFonts w:hint="eastAsia"/>
                <w:szCs w:val="21"/>
              </w:rPr>
              <w:t>允许分公司参与投标的，供应商须提供总公司出具的授权其参与本项目的授权文件或制度。</w:t>
            </w:r>
          </w:p>
        </w:tc>
      </w:tr>
      <w:tr w14:paraId="1CBB77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4" w:hRule="atLeast"/>
        </w:trPr>
        <w:tc>
          <w:tcPr>
            <w:tcW w:w="846" w:type="dxa"/>
            <w:vMerge w:val="continue"/>
            <w:noWrap w:val="0"/>
            <w:vAlign w:val="center"/>
          </w:tcPr>
          <w:p w14:paraId="1B45EFF3">
            <w:pPr>
              <w:spacing w:line="240" w:lineRule="exact"/>
              <w:jc w:val="left"/>
              <w:rPr>
                <w:kern w:val="0"/>
                <w:szCs w:val="21"/>
              </w:rPr>
            </w:pPr>
          </w:p>
        </w:tc>
        <w:tc>
          <w:tcPr>
            <w:tcW w:w="1843" w:type="dxa"/>
            <w:noWrap w:val="0"/>
            <w:vAlign w:val="center"/>
          </w:tcPr>
          <w:p w14:paraId="75BFA705">
            <w:pPr>
              <w:spacing w:line="240" w:lineRule="exact"/>
              <w:jc w:val="left"/>
              <w:rPr>
                <w:szCs w:val="21"/>
              </w:rPr>
            </w:pPr>
            <w:r>
              <w:rPr>
                <w:rFonts w:hint="eastAsia"/>
                <w:szCs w:val="21"/>
              </w:rPr>
              <w:t>（</w:t>
            </w:r>
            <w:r>
              <w:rPr>
                <w:szCs w:val="21"/>
              </w:rPr>
              <w:t>6</w:t>
            </w:r>
            <w:r>
              <w:rPr>
                <w:rFonts w:hint="eastAsia"/>
                <w:szCs w:val="21"/>
              </w:rPr>
              <w:t>）分包</w:t>
            </w:r>
          </w:p>
        </w:tc>
        <w:tc>
          <w:tcPr>
            <w:tcW w:w="6242" w:type="dxa"/>
            <w:noWrap w:val="0"/>
            <w:vAlign w:val="center"/>
          </w:tcPr>
          <w:p w14:paraId="674F35C1">
            <w:pPr>
              <w:spacing w:line="240" w:lineRule="exact"/>
              <w:rPr>
                <w:szCs w:val="21"/>
                <w:lang w:val="zh-CN"/>
              </w:rPr>
            </w:pPr>
            <w:r>
              <w:rPr>
                <w:szCs w:val="21"/>
              </w:rPr>
              <w:t>须符合</w:t>
            </w:r>
            <w:r>
              <w:rPr>
                <w:rFonts w:hint="eastAsia"/>
                <w:szCs w:val="21"/>
              </w:rPr>
              <w:t>“招标公告”</w:t>
            </w:r>
            <w:r>
              <w:rPr>
                <w:szCs w:val="21"/>
              </w:rPr>
              <w:t>的要求</w:t>
            </w:r>
          </w:p>
        </w:tc>
      </w:tr>
      <w:tr w14:paraId="5658CC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8" w:hRule="atLeast"/>
        </w:trPr>
        <w:tc>
          <w:tcPr>
            <w:tcW w:w="846" w:type="dxa"/>
            <w:vMerge w:val="continue"/>
            <w:noWrap w:val="0"/>
            <w:vAlign w:val="center"/>
          </w:tcPr>
          <w:p w14:paraId="71074975">
            <w:pPr>
              <w:spacing w:line="240" w:lineRule="exact"/>
              <w:jc w:val="left"/>
              <w:rPr>
                <w:kern w:val="0"/>
                <w:szCs w:val="21"/>
              </w:rPr>
            </w:pPr>
          </w:p>
        </w:tc>
        <w:tc>
          <w:tcPr>
            <w:tcW w:w="1843" w:type="dxa"/>
            <w:noWrap w:val="0"/>
            <w:vAlign w:val="center"/>
          </w:tcPr>
          <w:p w14:paraId="3323C197">
            <w:pPr>
              <w:spacing w:line="240" w:lineRule="exact"/>
              <w:jc w:val="left"/>
              <w:rPr>
                <w:szCs w:val="21"/>
              </w:rPr>
            </w:pPr>
            <w:r>
              <w:rPr>
                <w:rFonts w:hint="eastAsia"/>
                <w:szCs w:val="21"/>
              </w:rPr>
              <w:t>（</w:t>
            </w:r>
            <w:r>
              <w:rPr>
                <w:szCs w:val="21"/>
              </w:rPr>
              <w:t>7</w:t>
            </w:r>
            <w:r>
              <w:rPr>
                <w:rFonts w:hint="eastAsia"/>
                <w:szCs w:val="21"/>
              </w:rPr>
              <w:t>）联合体</w:t>
            </w:r>
          </w:p>
        </w:tc>
        <w:tc>
          <w:tcPr>
            <w:tcW w:w="6242" w:type="dxa"/>
            <w:noWrap w:val="0"/>
            <w:vAlign w:val="center"/>
          </w:tcPr>
          <w:p w14:paraId="011D07A7">
            <w:pPr>
              <w:spacing w:line="240" w:lineRule="exact"/>
              <w:rPr>
                <w:szCs w:val="21"/>
              </w:rPr>
            </w:pPr>
            <w:r>
              <w:rPr>
                <w:rFonts w:hint="eastAsia"/>
                <w:szCs w:val="21"/>
                <w:lang w:val="zh-CN"/>
              </w:rPr>
              <w:t>须符合“招标公告”的要求</w:t>
            </w:r>
          </w:p>
        </w:tc>
      </w:tr>
      <w:tr w14:paraId="501C89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1" w:hRule="atLeast"/>
        </w:trPr>
        <w:tc>
          <w:tcPr>
            <w:tcW w:w="846" w:type="dxa"/>
            <w:vMerge w:val="continue"/>
            <w:noWrap w:val="0"/>
            <w:vAlign w:val="center"/>
          </w:tcPr>
          <w:p w14:paraId="4BCC9F59">
            <w:pPr>
              <w:spacing w:line="240" w:lineRule="exact"/>
              <w:jc w:val="left"/>
              <w:rPr>
                <w:kern w:val="0"/>
                <w:szCs w:val="21"/>
              </w:rPr>
            </w:pPr>
          </w:p>
        </w:tc>
        <w:tc>
          <w:tcPr>
            <w:tcW w:w="1843" w:type="dxa"/>
            <w:noWrap w:val="0"/>
            <w:vAlign w:val="center"/>
          </w:tcPr>
          <w:p w14:paraId="332315FE">
            <w:pPr>
              <w:spacing w:line="240" w:lineRule="exact"/>
              <w:jc w:val="left"/>
              <w:rPr>
                <w:szCs w:val="21"/>
              </w:rPr>
            </w:pPr>
            <w:r>
              <w:rPr>
                <w:rFonts w:hint="eastAsia"/>
                <w:szCs w:val="21"/>
              </w:rPr>
              <w:t>（</w:t>
            </w:r>
            <w:r>
              <w:rPr>
                <w:szCs w:val="21"/>
              </w:rPr>
              <w:t>8</w:t>
            </w:r>
            <w:r>
              <w:rPr>
                <w:rFonts w:hint="eastAsia"/>
                <w:szCs w:val="21"/>
              </w:rPr>
              <w:t>）其他要求</w:t>
            </w:r>
          </w:p>
        </w:tc>
        <w:tc>
          <w:tcPr>
            <w:tcW w:w="6242" w:type="dxa"/>
            <w:noWrap w:val="0"/>
            <w:vAlign w:val="top"/>
          </w:tcPr>
          <w:p w14:paraId="504921FA">
            <w:pPr>
              <w:spacing w:line="312" w:lineRule="auto"/>
              <w:jc w:val="left"/>
              <w:rPr>
                <w:kern w:val="0"/>
                <w:szCs w:val="21"/>
              </w:rPr>
            </w:pPr>
            <w:r>
              <w:rPr>
                <w:rFonts w:hint="eastAsia"/>
                <w:kern w:val="0"/>
                <w:szCs w:val="21"/>
              </w:rPr>
              <w:t>按</w:t>
            </w:r>
            <w:r>
              <w:rPr>
                <w:kern w:val="0"/>
                <w:szCs w:val="21"/>
              </w:rPr>
              <w:t>照招标公告规定获得招标文件。</w:t>
            </w:r>
          </w:p>
        </w:tc>
      </w:tr>
      <w:bookmarkEnd w:id="113"/>
    </w:tbl>
    <w:p w14:paraId="3BDFB28D">
      <w:pPr>
        <w:suppressAutoHyphens/>
        <w:spacing w:before="120" w:line="320" w:lineRule="atLeast"/>
        <w:ind w:firstLine="422" w:firstLineChars="200"/>
        <w:rPr>
          <w:b/>
          <w:bCs/>
          <w:kern w:val="0"/>
          <w:szCs w:val="21"/>
        </w:rPr>
      </w:pPr>
    </w:p>
    <w:p w14:paraId="4EB5CFB4">
      <w:pPr>
        <w:spacing w:before="120" w:line="320" w:lineRule="atLeast"/>
        <w:ind w:firstLine="413" w:firstLineChars="196"/>
        <w:outlineLvl w:val="1"/>
        <w:rPr>
          <w:szCs w:val="21"/>
        </w:rPr>
      </w:pPr>
      <w:bookmarkStart w:id="114" w:name="_Hlk19113393"/>
      <w:r>
        <w:rPr>
          <w:b/>
          <w:bCs/>
          <w:kern w:val="0"/>
          <w:szCs w:val="21"/>
        </w:rPr>
        <w:t>3</w:t>
      </w:r>
      <w:r>
        <w:rPr>
          <w:rFonts w:hint="eastAsia"/>
          <w:b/>
          <w:bCs/>
          <w:kern w:val="0"/>
          <w:szCs w:val="21"/>
        </w:rPr>
        <w:t>.</w:t>
      </w:r>
      <w:r>
        <w:rPr>
          <w:b/>
          <w:bCs/>
          <w:kern w:val="0"/>
          <w:szCs w:val="21"/>
        </w:rPr>
        <w:t>符合性审查</w:t>
      </w:r>
      <w:r>
        <w:rPr>
          <w:rFonts w:hint="eastAsia"/>
          <w:b/>
          <w:bCs/>
          <w:kern w:val="0"/>
          <w:szCs w:val="21"/>
        </w:rPr>
        <w:t>标准（不满足任何一项审查内容要求，符合性审查即为不合格）</w:t>
      </w:r>
    </w:p>
    <w:tbl>
      <w:tblPr>
        <w:tblStyle w:val="51"/>
        <w:tblW w:w="920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59"/>
        <w:gridCol w:w="2405"/>
        <w:gridCol w:w="5241"/>
      </w:tblGrid>
      <w:tr w14:paraId="14EBC3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7" w:hRule="atLeast"/>
        </w:trPr>
        <w:tc>
          <w:tcPr>
            <w:tcW w:w="1559" w:type="dxa"/>
            <w:noWrap w:val="0"/>
            <w:vAlign w:val="center"/>
          </w:tcPr>
          <w:p w14:paraId="2C3FC03F">
            <w:pPr>
              <w:spacing w:line="240" w:lineRule="exact"/>
              <w:jc w:val="center"/>
              <w:rPr>
                <w:b/>
                <w:kern w:val="0"/>
                <w:szCs w:val="21"/>
              </w:rPr>
            </w:pPr>
            <w:bookmarkStart w:id="115" w:name="_Hlk92966680"/>
            <w:r>
              <w:rPr>
                <w:rFonts w:hint="eastAsia"/>
                <w:b/>
                <w:kern w:val="0"/>
                <w:szCs w:val="21"/>
              </w:rPr>
              <w:t>审查</w:t>
            </w:r>
            <w:r>
              <w:rPr>
                <w:b/>
                <w:kern w:val="0"/>
                <w:szCs w:val="21"/>
              </w:rPr>
              <w:t>因素</w:t>
            </w:r>
          </w:p>
        </w:tc>
        <w:tc>
          <w:tcPr>
            <w:tcW w:w="2405" w:type="dxa"/>
            <w:noWrap w:val="0"/>
            <w:vAlign w:val="center"/>
          </w:tcPr>
          <w:p w14:paraId="12286F99">
            <w:pPr>
              <w:spacing w:line="240" w:lineRule="exact"/>
              <w:jc w:val="center"/>
              <w:rPr>
                <w:b/>
                <w:kern w:val="0"/>
                <w:szCs w:val="21"/>
              </w:rPr>
            </w:pPr>
            <w:r>
              <w:rPr>
                <w:rFonts w:hint="eastAsia"/>
                <w:b/>
                <w:kern w:val="0"/>
                <w:szCs w:val="21"/>
              </w:rPr>
              <w:t>审查内容</w:t>
            </w:r>
          </w:p>
        </w:tc>
        <w:tc>
          <w:tcPr>
            <w:tcW w:w="5241" w:type="dxa"/>
            <w:noWrap w:val="0"/>
            <w:vAlign w:val="center"/>
          </w:tcPr>
          <w:p w14:paraId="44144E6F">
            <w:pPr>
              <w:spacing w:line="240" w:lineRule="exact"/>
              <w:jc w:val="center"/>
              <w:rPr>
                <w:b/>
                <w:kern w:val="0"/>
                <w:szCs w:val="21"/>
              </w:rPr>
            </w:pPr>
            <w:r>
              <w:rPr>
                <w:rFonts w:hint="eastAsia"/>
                <w:b/>
                <w:kern w:val="0"/>
                <w:szCs w:val="21"/>
              </w:rPr>
              <w:t>说明</w:t>
            </w:r>
          </w:p>
        </w:tc>
      </w:tr>
      <w:tr w14:paraId="7B4864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8" w:hRule="atLeast"/>
        </w:trPr>
        <w:tc>
          <w:tcPr>
            <w:tcW w:w="1559" w:type="dxa"/>
            <w:vMerge w:val="restart"/>
            <w:noWrap w:val="0"/>
            <w:vAlign w:val="center"/>
          </w:tcPr>
          <w:p w14:paraId="45573621">
            <w:pPr>
              <w:spacing w:line="240" w:lineRule="exact"/>
              <w:jc w:val="center"/>
              <w:rPr>
                <w:kern w:val="0"/>
                <w:szCs w:val="21"/>
              </w:rPr>
            </w:pPr>
            <w:r>
              <w:rPr>
                <w:rFonts w:hint="eastAsia"/>
                <w:kern w:val="0"/>
                <w:szCs w:val="21"/>
              </w:rPr>
              <w:t>商务资信</w:t>
            </w:r>
          </w:p>
        </w:tc>
        <w:tc>
          <w:tcPr>
            <w:tcW w:w="2405" w:type="dxa"/>
            <w:noWrap w:val="0"/>
            <w:vAlign w:val="center"/>
          </w:tcPr>
          <w:p w14:paraId="2E98E486">
            <w:pPr>
              <w:spacing w:line="240" w:lineRule="exact"/>
            </w:pPr>
            <w:r>
              <w:rPr>
                <w:rFonts w:hint="eastAsia"/>
              </w:rPr>
              <w:t>法定代表人身份证明及授权委托书</w:t>
            </w:r>
          </w:p>
        </w:tc>
        <w:tc>
          <w:tcPr>
            <w:tcW w:w="5241" w:type="dxa"/>
            <w:noWrap w:val="0"/>
            <w:vAlign w:val="center"/>
          </w:tcPr>
          <w:p w14:paraId="4741EADA">
            <w:pPr>
              <w:spacing w:line="240" w:lineRule="exact"/>
              <w:rPr>
                <w:szCs w:val="21"/>
              </w:rPr>
            </w:pPr>
            <w:r>
              <w:rPr>
                <w:rFonts w:hint="eastAsia"/>
                <w:szCs w:val="21"/>
              </w:rPr>
              <w:t>授权</w:t>
            </w:r>
            <w:r>
              <w:rPr>
                <w:szCs w:val="21"/>
              </w:rPr>
              <w:t>代表</w:t>
            </w:r>
            <w:r>
              <w:rPr>
                <w:rFonts w:hint="eastAsia"/>
                <w:szCs w:val="21"/>
              </w:rPr>
              <w:t>参加投标</w:t>
            </w:r>
            <w:r>
              <w:rPr>
                <w:szCs w:val="21"/>
              </w:rPr>
              <w:t>时审查</w:t>
            </w:r>
            <w:r>
              <w:t>：</w:t>
            </w:r>
            <w:r>
              <w:rPr>
                <w:rFonts w:ascii="宋体" w:hAnsi="宋体"/>
                <w:szCs w:val="21"/>
              </w:rPr>
              <w:t>法定代表人授权委托书及附件</w:t>
            </w:r>
            <w:r>
              <w:rPr>
                <w:szCs w:val="21"/>
              </w:rPr>
              <w:t xml:space="preserve"> </w:t>
            </w:r>
          </w:p>
          <w:p w14:paraId="0EB3B001">
            <w:pPr>
              <w:spacing w:line="240" w:lineRule="exact"/>
              <w:rPr>
                <w:rFonts w:hint="eastAsia" w:ascii="宋体" w:hAnsi="宋体"/>
                <w:szCs w:val="21"/>
              </w:rPr>
            </w:pPr>
            <w:r>
              <w:rPr>
                <w:rFonts w:hint="eastAsia"/>
                <w:szCs w:val="21"/>
              </w:rPr>
              <w:t>法定代表人直接参加投标</w:t>
            </w:r>
            <w:r>
              <w:rPr>
                <w:szCs w:val="21"/>
              </w:rPr>
              <w:t>时审查</w:t>
            </w:r>
            <w:r>
              <w:t>：</w:t>
            </w:r>
            <w:r>
              <w:rPr>
                <w:rFonts w:ascii="宋体" w:hAnsi="宋体"/>
                <w:szCs w:val="21"/>
              </w:rPr>
              <w:t>法定代表人身份证明</w:t>
            </w:r>
            <w:r>
              <w:rPr>
                <w:rFonts w:hint="eastAsia" w:ascii="宋体" w:hAnsi="宋体"/>
                <w:szCs w:val="21"/>
              </w:rPr>
              <w:t>及</w:t>
            </w:r>
            <w:r>
              <w:rPr>
                <w:rFonts w:ascii="宋体" w:hAnsi="宋体"/>
                <w:szCs w:val="21"/>
              </w:rPr>
              <w:t>附件</w:t>
            </w:r>
          </w:p>
          <w:p w14:paraId="07A90087">
            <w:pPr>
              <w:spacing w:line="240" w:lineRule="exact"/>
            </w:pPr>
            <w:r>
              <w:rPr>
                <w:rFonts w:ascii="宋体" w:hAnsi="宋体"/>
                <w:szCs w:val="21"/>
              </w:rPr>
              <w:t>格式及附件见第六章投标文件格式要求</w:t>
            </w:r>
          </w:p>
        </w:tc>
      </w:tr>
      <w:tr w14:paraId="5F5FF5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trPr>
        <w:tc>
          <w:tcPr>
            <w:tcW w:w="1559" w:type="dxa"/>
            <w:vMerge w:val="continue"/>
            <w:noWrap w:val="0"/>
            <w:vAlign w:val="center"/>
          </w:tcPr>
          <w:p w14:paraId="1D42C604">
            <w:pPr>
              <w:spacing w:line="240" w:lineRule="exact"/>
              <w:jc w:val="center"/>
              <w:rPr>
                <w:kern w:val="0"/>
                <w:szCs w:val="21"/>
              </w:rPr>
            </w:pPr>
          </w:p>
        </w:tc>
        <w:tc>
          <w:tcPr>
            <w:tcW w:w="2405" w:type="dxa"/>
            <w:noWrap w:val="0"/>
            <w:vAlign w:val="center"/>
          </w:tcPr>
          <w:p w14:paraId="1AB87E25">
            <w:pPr>
              <w:spacing w:line="240" w:lineRule="exact"/>
              <w:rPr>
                <w:szCs w:val="21"/>
              </w:rPr>
            </w:pPr>
            <w:r>
              <w:rPr>
                <w:rFonts w:hint="eastAsia"/>
                <w:szCs w:val="21"/>
              </w:rPr>
              <w:t>实质性条款响应</w:t>
            </w:r>
          </w:p>
        </w:tc>
        <w:tc>
          <w:tcPr>
            <w:tcW w:w="5241" w:type="dxa"/>
            <w:noWrap w:val="0"/>
            <w:vAlign w:val="center"/>
          </w:tcPr>
          <w:p w14:paraId="56CE662A">
            <w:pPr>
              <w:spacing w:line="240" w:lineRule="exact"/>
              <w:rPr>
                <w:szCs w:val="21"/>
              </w:rPr>
            </w:pPr>
            <w:r>
              <w:rPr>
                <w:rFonts w:hint="eastAsia" w:ascii="宋体" w:hAnsi="宋体"/>
                <w:color w:val="000000"/>
                <w:szCs w:val="21"/>
              </w:rPr>
              <w:t>招标文件实质性要求响应均无负偏离</w:t>
            </w:r>
          </w:p>
        </w:tc>
      </w:tr>
      <w:tr w14:paraId="051CF9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trPr>
        <w:tc>
          <w:tcPr>
            <w:tcW w:w="1559" w:type="dxa"/>
            <w:vMerge w:val="continue"/>
            <w:noWrap w:val="0"/>
            <w:vAlign w:val="center"/>
          </w:tcPr>
          <w:p w14:paraId="43371DCD">
            <w:pPr>
              <w:spacing w:line="240" w:lineRule="exact"/>
              <w:jc w:val="center"/>
              <w:rPr>
                <w:kern w:val="0"/>
                <w:szCs w:val="21"/>
              </w:rPr>
            </w:pPr>
          </w:p>
        </w:tc>
        <w:tc>
          <w:tcPr>
            <w:tcW w:w="2405" w:type="dxa"/>
            <w:noWrap w:val="0"/>
            <w:vAlign w:val="center"/>
          </w:tcPr>
          <w:p w14:paraId="56B4FEF9">
            <w:pPr>
              <w:spacing w:line="240" w:lineRule="exact"/>
              <w:rPr>
                <w:szCs w:val="21"/>
              </w:rPr>
            </w:pPr>
            <w:r>
              <w:rPr>
                <w:rFonts w:hint="eastAsia"/>
                <w:szCs w:val="21"/>
              </w:rPr>
              <w:t>串通投标</w:t>
            </w:r>
          </w:p>
        </w:tc>
        <w:tc>
          <w:tcPr>
            <w:tcW w:w="5241" w:type="dxa"/>
            <w:noWrap w:val="0"/>
            <w:vAlign w:val="center"/>
          </w:tcPr>
          <w:p w14:paraId="5A36881E">
            <w:pPr>
              <w:spacing w:line="240" w:lineRule="exact"/>
              <w:rPr>
                <w:szCs w:val="21"/>
              </w:rPr>
            </w:pPr>
            <w:r>
              <w:rPr>
                <w:rFonts w:hint="eastAsia" w:ascii="宋体" w:hAnsi="宋体"/>
                <w:color w:val="000000"/>
                <w:szCs w:val="21"/>
              </w:rPr>
              <w:t>不属于投标人须知正文</w:t>
            </w:r>
            <w:r>
              <w:rPr>
                <w:rFonts w:hint="eastAsia" w:ascii="宋体" w:hAnsi="宋体"/>
                <w:szCs w:val="21"/>
              </w:rPr>
              <w:t>第</w:t>
            </w:r>
            <w:r>
              <w:rPr>
                <w:rFonts w:ascii="宋体" w:hAnsi="宋体"/>
                <w:szCs w:val="21"/>
              </w:rPr>
              <w:t>6</w:t>
            </w:r>
            <w:r>
              <w:rPr>
                <w:rFonts w:hint="eastAsia" w:ascii="宋体" w:hAnsi="宋体"/>
                <w:szCs w:val="21"/>
              </w:rPr>
              <w:t>.</w:t>
            </w:r>
            <w:r>
              <w:rPr>
                <w:rFonts w:ascii="宋体" w:hAnsi="宋体"/>
                <w:szCs w:val="21"/>
              </w:rPr>
              <w:t>3</w:t>
            </w:r>
            <w:r>
              <w:rPr>
                <w:rFonts w:hint="eastAsia" w:ascii="宋体" w:hAnsi="宋体"/>
                <w:szCs w:val="21"/>
              </w:rPr>
              <w:t>.</w:t>
            </w:r>
            <w:r>
              <w:rPr>
                <w:rFonts w:hint="eastAsia" w:ascii="宋体" w:hAnsi="宋体"/>
                <w:szCs w:val="21"/>
                <w:lang w:val="en-US" w:eastAsia="zh-CN"/>
              </w:rPr>
              <w:t>7</w:t>
            </w:r>
            <w:r>
              <w:rPr>
                <w:rFonts w:hint="eastAsia" w:ascii="宋体" w:hAnsi="宋体"/>
                <w:szCs w:val="21"/>
              </w:rPr>
              <w:t>规定的串通投标情形，见</w:t>
            </w:r>
            <w:r>
              <w:rPr>
                <w:rFonts w:ascii="宋体" w:hAnsi="宋体"/>
                <w:szCs w:val="21"/>
              </w:rPr>
              <w:t>第六章投标文件格式要求</w:t>
            </w:r>
          </w:p>
        </w:tc>
      </w:tr>
      <w:tr w14:paraId="36AE6B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trPr>
        <w:tc>
          <w:tcPr>
            <w:tcW w:w="1559" w:type="dxa"/>
            <w:vMerge w:val="restart"/>
            <w:noWrap w:val="0"/>
            <w:vAlign w:val="center"/>
          </w:tcPr>
          <w:p w14:paraId="44D12433">
            <w:pPr>
              <w:spacing w:line="240" w:lineRule="exact"/>
              <w:jc w:val="center"/>
              <w:rPr>
                <w:szCs w:val="21"/>
              </w:rPr>
            </w:pPr>
            <w:r>
              <w:rPr>
                <w:rFonts w:hint="eastAsia"/>
                <w:kern w:val="0"/>
                <w:szCs w:val="21"/>
              </w:rPr>
              <w:t>技术</w:t>
            </w:r>
          </w:p>
        </w:tc>
        <w:tc>
          <w:tcPr>
            <w:tcW w:w="2405" w:type="dxa"/>
            <w:noWrap w:val="0"/>
            <w:vAlign w:val="center"/>
          </w:tcPr>
          <w:p w14:paraId="4B3D1C55">
            <w:pPr>
              <w:spacing w:line="240" w:lineRule="exact"/>
              <w:rPr>
                <w:szCs w:val="21"/>
              </w:rPr>
            </w:pPr>
            <w:r>
              <w:rPr>
                <w:rFonts w:hint="eastAsia"/>
                <w:szCs w:val="21"/>
              </w:rPr>
              <w:t>节能产品（如有）</w:t>
            </w:r>
          </w:p>
        </w:tc>
        <w:tc>
          <w:tcPr>
            <w:tcW w:w="5241" w:type="dxa"/>
            <w:noWrap w:val="0"/>
            <w:vAlign w:val="center"/>
          </w:tcPr>
          <w:p w14:paraId="06928BDE">
            <w:pPr>
              <w:spacing w:line="240" w:lineRule="exact"/>
              <w:rPr>
                <w:bCs/>
                <w:kern w:val="0"/>
                <w:szCs w:val="21"/>
              </w:rPr>
            </w:pPr>
            <w:r>
              <w:rPr>
                <w:rFonts w:hint="eastAsia"/>
                <w:szCs w:val="21"/>
              </w:rPr>
              <w:t>采购需求</w:t>
            </w:r>
            <w:r>
              <w:rPr>
                <w:szCs w:val="21"/>
              </w:rPr>
              <w:t>如果包括政府强制采购节能产品</w:t>
            </w:r>
            <w:r>
              <w:rPr>
                <w:rFonts w:hint="eastAsia"/>
                <w:szCs w:val="21"/>
              </w:rPr>
              <w:t>，投标</w:t>
            </w:r>
            <w:r>
              <w:rPr>
                <w:szCs w:val="21"/>
              </w:rPr>
              <w:t>产品</w:t>
            </w:r>
            <w:r>
              <w:rPr>
                <w:rFonts w:hint="eastAsia"/>
                <w:szCs w:val="21"/>
              </w:rPr>
              <w:t>未使用节能产品政府采购品目清单内的产品，或未处于有效期之内，</w:t>
            </w:r>
            <w:r>
              <w:rPr>
                <w:rFonts w:ascii="宋体" w:hAnsi="宋体"/>
                <w:szCs w:val="21"/>
              </w:rPr>
              <w:t>见第六章投标文件格式要求</w:t>
            </w:r>
          </w:p>
        </w:tc>
      </w:tr>
      <w:tr w14:paraId="10A38E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1559" w:type="dxa"/>
            <w:vMerge w:val="continue"/>
            <w:noWrap w:val="0"/>
            <w:vAlign w:val="center"/>
          </w:tcPr>
          <w:p w14:paraId="4FDA0E2C">
            <w:pPr>
              <w:spacing w:line="240" w:lineRule="exact"/>
              <w:jc w:val="center"/>
              <w:rPr>
                <w:kern w:val="0"/>
                <w:szCs w:val="21"/>
              </w:rPr>
            </w:pPr>
          </w:p>
        </w:tc>
        <w:tc>
          <w:tcPr>
            <w:tcW w:w="2405" w:type="dxa"/>
            <w:noWrap w:val="0"/>
            <w:vAlign w:val="center"/>
          </w:tcPr>
          <w:p w14:paraId="27970CB6">
            <w:pPr>
              <w:spacing w:line="240" w:lineRule="exact"/>
              <w:rPr>
                <w:szCs w:val="21"/>
              </w:rPr>
            </w:pPr>
            <w:r>
              <w:rPr>
                <w:rFonts w:hint="eastAsia"/>
                <w:szCs w:val="21"/>
              </w:rPr>
              <w:t>网络安全专用产品（如有）</w:t>
            </w:r>
          </w:p>
        </w:tc>
        <w:tc>
          <w:tcPr>
            <w:tcW w:w="5241" w:type="dxa"/>
            <w:noWrap w:val="0"/>
            <w:vAlign w:val="center"/>
          </w:tcPr>
          <w:p w14:paraId="60B4E18C">
            <w:pPr>
              <w:spacing w:line="240" w:lineRule="exact"/>
              <w:rPr>
                <w:rFonts w:hint="eastAsia" w:ascii="宋体" w:hAnsi="宋体"/>
                <w:szCs w:val="21"/>
              </w:rPr>
            </w:pPr>
            <w:r>
              <w:rPr>
                <w:szCs w:val="21"/>
              </w:rPr>
              <w:t>采购</w:t>
            </w:r>
            <w:r>
              <w:rPr>
                <w:rFonts w:hint="eastAsia"/>
                <w:szCs w:val="21"/>
              </w:rPr>
              <w:t>需求</w:t>
            </w:r>
            <w:r>
              <w:rPr>
                <w:szCs w:val="21"/>
              </w:rPr>
              <w:t>如果包括《</w:t>
            </w:r>
            <w:r>
              <w:rPr>
                <w:rFonts w:hint="eastAsia"/>
                <w:szCs w:val="21"/>
              </w:rPr>
              <w:t>网络关键设备和网络安全专用产品目录</w:t>
            </w:r>
            <w:r>
              <w:rPr>
                <w:szCs w:val="21"/>
              </w:rPr>
              <w:t>》</w:t>
            </w:r>
            <w:r>
              <w:rPr>
                <w:rFonts w:hint="eastAsia"/>
                <w:szCs w:val="21"/>
              </w:rPr>
              <w:t>所规定的网络安全专用产品，投标提供的网络安全专用产品</w:t>
            </w:r>
            <w:r>
              <w:rPr>
                <w:szCs w:val="21"/>
              </w:rPr>
              <w:t>应</w:t>
            </w:r>
            <w:r>
              <w:rPr>
                <w:rFonts w:hint="eastAsia"/>
                <w:szCs w:val="21"/>
              </w:rPr>
              <w:t>在</w:t>
            </w:r>
            <w:r>
              <w:rPr>
                <w:rFonts w:hint="eastAsia"/>
              </w:rPr>
              <w:t>《网络关键设备和网络安全专用产品安全认证和安全检测结果》</w:t>
            </w:r>
            <w:r>
              <w:rPr>
                <w:rFonts w:hint="eastAsia"/>
                <w:szCs w:val="21"/>
              </w:rPr>
              <w:t>中或具备在有效期内的</w:t>
            </w:r>
            <w:r>
              <w:rPr>
                <w:rFonts w:hint="eastAsia"/>
              </w:rPr>
              <w:t>《计算机信息系统安全专用产品销售许可证》</w:t>
            </w:r>
            <w:r>
              <w:rPr>
                <w:rFonts w:hint="eastAsia"/>
                <w:szCs w:val="21"/>
              </w:rPr>
              <w:t>，</w:t>
            </w:r>
            <w:r>
              <w:rPr>
                <w:rFonts w:ascii="宋体" w:hAnsi="宋体"/>
                <w:szCs w:val="21"/>
              </w:rPr>
              <w:t>见第六章投标文件格式要求</w:t>
            </w:r>
            <w:r>
              <w:rPr>
                <w:rFonts w:hint="eastAsia" w:ascii="宋体" w:hAnsi="宋体"/>
                <w:szCs w:val="21"/>
              </w:rPr>
              <w:t>。</w:t>
            </w:r>
          </w:p>
        </w:tc>
      </w:tr>
      <w:tr w14:paraId="183AC2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1559" w:type="dxa"/>
            <w:vMerge w:val="restart"/>
            <w:noWrap w:val="0"/>
            <w:vAlign w:val="center"/>
          </w:tcPr>
          <w:p w14:paraId="49E90D15">
            <w:pPr>
              <w:spacing w:line="240" w:lineRule="exact"/>
              <w:jc w:val="center"/>
              <w:rPr>
                <w:kern w:val="0"/>
                <w:szCs w:val="21"/>
              </w:rPr>
            </w:pPr>
            <w:r>
              <w:rPr>
                <w:rFonts w:hint="eastAsia"/>
                <w:kern w:val="0"/>
                <w:szCs w:val="21"/>
              </w:rPr>
              <w:t>报价</w:t>
            </w:r>
          </w:p>
        </w:tc>
        <w:tc>
          <w:tcPr>
            <w:tcW w:w="2405" w:type="dxa"/>
            <w:noWrap w:val="0"/>
            <w:vAlign w:val="center"/>
          </w:tcPr>
          <w:p w14:paraId="5965187B">
            <w:pPr>
              <w:spacing w:line="240" w:lineRule="exact"/>
              <w:rPr>
                <w:szCs w:val="21"/>
              </w:rPr>
            </w:pPr>
            <w:r>
              <w:rPr>
                <w:rFonts w:hint="eastAsia"/>
                <w:szCs w:val="21"/>
              </w:rPr>
              <w:t>有效报价</w:t>
            </w:r>
          </w:p>
        </w:tc>
        <w:tc>
          <w:tcPr>
            <w:tcW w:w="5241" w:type="dxa"/>
            <w:noWrap w:val="0"/>
            <w:vAlign w:val="center"/>
          </w:tcPr>
          <w:p w14:paraId="3CECD111">
            <w:pPr>
              <w:pStyle w:val="17"/>
              <w:rPr>
                <w:bCs/>
                <w:kern w:val="0"/>
                <w:szCs w:val="21"/>
              </w:rPr>
            </w:pPr>
            <w:r>
              <w:rPr>
                <w:rFonts w:hint="eastAsia"/>
              </w:rPr>
              <w:t>报价未超出采购预算金额，也未超出最高限价（如有）</w:t>
            </w:r>
          </w:p>
        </w:tc>
      </w:tr>
      <w:tr w14:paraId="07949E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1559" w:type="dxa"/>
            <w:vMerge w:val="continue"/>
            <w:noWrap w:val="0"/>
            <w:vAlign w:val="center"/>
          </w:tcPr>
          <w:p w14:paraId="2D8D5B53">
            <w:pPr>
              <w:spacing w:line="240" w:lineRule="exact"/>
              <w:jc w:val="center"/>
              <w:rPr>
                <w:kern w:val="0"/>
                <w:szCs w:val="21"/>
              </w:rPr>
            </w:pPr>
          </w:p>
        </w:tc>
        <w:tc>
          <w:tcPr>
            <w:tcW w:w="2405" w:type="dxa"/>
            <w:noWrap w:val="0"/>
            <w:vAlign w:val="center"/>
          </w:tcPr>
          <w:p w14:paraId="4EC7EEB6">
            <w:pPr>
              <w:spacing w:line="240" w:lineRule="exact"/>
              <w:rPr>
                <w:bCs/>
                <w:kern w:val="0"/>
                <w:szCs w:val="21"/>
              </w:rPr>
            </w:pPr>
            <w:r>
              <w:rPr>
                <w:rFonts w:hint="eastAsia"/>
                <w:bCs/>
                <w:kern w:val="0"/>
                <w:szCs w:val="21"/>
              </w:rPr>
              <w:t>漏项报价</w:t>
            </w:r>
          </w:p>
        </w:tc>
        <w:tc>
          <w:tcPr>
            <w:tcW w:w="5241" w:type="dxa"/>
            <w:noWrap w:val="0"/>
            <w:vAlign w:val="center"/>
          </w:tcPr>
          <w:p w14:paraId="407CCA0C">
            <w:pPr>
              <w:spacing w:line="240" w:lineRule="exact"/>
              <w:rPr>
                <w:rFonts w:hint="eastAsia" w:hAnsi="宋体"/>
                <w:color w:val="000000"/>
                <w:szCs w:val="21"/>
              </w:rPr>
            </w:pPr>
            <w:r>
              <w:rPr>
                <w:rFonts w:hint="eastAsia" w:ascii="宋体" w:hAnsi="宋体"/>
                <w:color w:val="000000"/>
                <w:szCs w:val="21"/>
              </w:rPr>
              <w:t>未就所投分标进行报价或者存在漏项报价；</w:t>
            </w:r>
          </w:p>
        </w:tc>
      </w:tr>
      <w:tr w14:paraId="298EEB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trPr>
        <w:tc>
          <w:tcPr>
            <w:tcW w:w="1559" w:type="dxa"/>
            <w:vMerge w:val="continue"/>
            <w:noWrap w:val="0"/>
            <w:vAlign w:val="center"/>
          </w:tcPr>
          <w:p w14:paraId="0359389F">
            <w:pPr>
              <w:spacing w:line="240" w:lineRule="exact"/>
              <w:jc w:val="center"/>
              <w:rPr>
                <w:kern w:val="0"/>
                <w:szCs w:val="21"/>
              </w:rPr>
            </w:pPr>
          </w:p>
        </w:tc>
        <w:tc>
          <w:tcPr>
            <w:tcW w:w="2405" w:type="dxa"/>
            <w:noWrap w:val="0"/>
            <w:vAlign w:val="center"/>
          </w:tcPr>
          <w:p w14:paraId="286B1D49">
            <w:pPr>
              <w:spacing w:line="240" w:lineRule="exact"/>
              <w:rPr>
                <w:rFonts w:hint="eastAsia" w:hAnsi="宋体"/>
                <w:color w:val="000000"/>
                <w:szCs w:val="21"/>
              </w:rPr>
            </w:pPr>
            <w:r>
              <w:rPr>
                <w:rFonts w:hint="eastAsia" w:hAnsi="宋体"/>
                <w:color w:val="000000"/>
                <w:szCs w:val="21"/>
              </w:rPr>
              <w:t>投标报价唯一性</w:t>
            </w:r>
          </w:p>
        </w:tc>
        <w:tc>
          <w:tcPr>
            <w:tcW w:w="5241" w:type="dxa"/>
            <w:noWrap w:val="0"/>
            <w:vAlign w:val="center"/>
          </w:tcPr>
          <w:p w14:paraId="6E5B06BC">
            <w:pPr>
              <w:spacing w:line="240" w:lineRule="exact"/>
              <w:rPr>
                <w:szCs w:val="21"/>
              </w:rPr>
            </w:pPr>
            <w:r>
              <w:rPr>
                <w:rFonts w:hint="eastAsia" w:ascii="宋体" w:hAnsi="宋体"/>
                <w:color w:val="000000"/>
                <w:szCs w:val="21"/>
              </w:rPr>
              <w:t>不存在有选择、有条件报价（招标文件允许有备选方案或者其他约定的除外）</w:t>
            </w:r>
          </w:p>
        </w:tc>
      </w:tr>
      <w:tr w14:paraId="5932CA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1559" w:type="dxa"/>
            <w:vMerge w:val="continue"/>
            <w:noWrap w:val="0"/>
            <w:vAlign w:val="center"/>
          </w:tcPr>
          <w:p w14:paraId="68688C10">
            <w:pPr>
              <w:spacing w:line="240" w:lineRule="exact"/>
              <w:jc w:val="center"/>
              <w:rPr>
                <w:kern w:val="0"/>
                <w:szCs w:val="21"/>
              </w:rPr>
            </w:pPr>
          </w:p>
        </w:tc>
        <w:tc>
          <w:tcPr>
            <w:tcW w:w="2405" w:type="dxa"/>
            <w:noWrap w:val="0"/>
            <w:vAlign w:val="center"/>
          </w:tcPr>
          <w:p w14:paraId="37FD776A">
            <w:pPr>
              <w:spacing w:line="240" w:lineRule="exact"/>
              <w:rPr>
                <w:lang w:val="zh-CN"/>
              </w:rPr>
            </w:pPr>
            <w:r>
              <w:rPr>
                <w:rFonts w:hint="eastAsia"/>
                <w:szCs w:val="21"/>
                <w:lang w:val="zh-CN"/>
              </w:rPr>
              <w:t>过低报价合理性</w:t>
            </w:r>
          </w:p>
        </w:tc>
        <w:tc>
          <w:tcPr>
            <w:tcW w:w="5241" w:type="dxa"/>
            <w:noWrap w:val="0"/>
            <w:vAlign w:val="center"/>
          </w:tcPr>
          <w:p w14:paraId="7B6A4AF4">
            <w:pPr>
              <w:spacing w:line="240" w:lineRule="exact"/>
              <w:rPr>
                <w:rFonts w:hint="eastAsia"/>
              </w:rPr>
            </w:pPr>
            <w:r>
              <w:rPr>
                <w:rFonts w:hint="eastAsia"/>
              </w:rPr>
              <w:t>投标人的</w:t>
            </w:r>
            <w:r>
              <w:rPr>
                <w:rFonts w:hint="eastAsia"/>
                <w:lang w:val="en-US" w:eastAsia="zh-CN"/>
              </w:rPr>
              <w:t>报价</w:t>
            </w:r>
            <w:r>
              <w:rPr>
                <w:rFonts w:hint="eastAsia"/>
              </w:rPr>
              <w:t>存在异常低价问题</w:t>
            </w:r>
            <w:r>
              <w:rPr>
                <w:rFonts w:hint="eastAsia"/>
                <w:lang w:eastAsia="zh-CN"/>
              </w:rPr>
              <w:t>的</w:t>
            </w:r>
            <w:r>
              <w:rPr>
                <w:rFonts w:hint="eastAsia"/>
                <w:lang w:val="en-US" w:eastAsia="zh-CN"/>
              </w:rPr>
              <w:t>情形，评审委员会</w:t>
            </w:r>
            <w:r>
              <w:rPr>
                <w:rFonts w:hint="eastAsia"/>
                <w:szCs w:val="21"/>
              </w:rPr>
              <w:t>应当要求其在评标现场合理的时间内</w:t>
            </w:r>
            <w:r>
              <w:rPr>
                <w:rFonts w:hint="eastAsia"/>
                <w:szCs w:val="21"/>
                <w:lang w:val="en-US" w:eastAsia="zh-CN"/>
              </w:rPr>
              <w:t>提供</w:t>
            </w:r>
            <w:r>
              <w:rPr>
                <w:rFonts w:hint="eastAsia"/>
                <w:szCs w:val="21"/>
              </w:rPr>
              <w:t>报价合理性相关的书面说明及必要的证明材料。</w:t>
            </w:r>
            <w:r>
              <w:rPr>
                <w:rFonts w:hint="eastAsia"/>
              </w:rPr>
              <w:t>投标人不能证明其报价合理性的，</w:t>
            </w:r>
            <w:r>
              <w:rPr>
                <w:rFonts w:hint="eastAsia"/>
                <w:lang w:eastAsia="zh-CN"/>
              </w:rPr>
              <w:t>评审委员会</w:t>
            </w:r>
            <w:r>
              <w:rPr>
                <w:rFonts w:hint="eastAsia"/>
              </w:rPr>
              <w:t>应当将其作为无效投标处理。</w:t>
            </w:r>
          </w:p>
        </w:tc>
      </w:tr>
      <w:tr w14:paraId="392902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1559" w:type="dxa"/>
            <w:vMerge w:val="continue"/>
            <w:noWrap w:val="0"/>
            <w:vAlign w:val="center"/>
          </w:tcPr>
          <w:p w14:paraId="1D92A1CD">
            <w:pPr>
              <w:spacing w:line="240" w:lineRule="exact"/>
              <w:jc w:val="center"/>
              <w:rPr>
                <w:kern w:val="0"/>
                <w:szCs w:val="21"/>
              </w:rPr>
            </w:pPr>
          </w:p>
        </w:tc>
        <w:tc>
          <w:tcPr>
            <w:tcW w:w="2405" w:type="dxa"/>
            <w:noWrap w:val="0"/>
            <w:vAlign w:val="center"/>
          </w:tcPr>
          <w:p w14:paraId="25DDAF99">
            <w:pPr>
              <w:spacing w:line="240" w:lineRule="exact"/>
              <w:rPr>
                <w:szCs w:val="21"/>
                <w:lang w:val="zh-CN"/>
              </w:rPr>
            </w:pPr>
            <w:r>
              <w:rPr>
                <w:rFonts w:hint="eastAsia"/>
                <w:szCs w:val="21"/>
              </w:rPr>
              <w:t>投标有效期</w:t>
            </w:r>
          </w:p>
        </w:tc>
        <w:tc>
          <w:tcPr>
            <w:tcW w:w="5241" w:type="dxa"/>
            <w:noWrap w:val="0"/>
            <w:vAlign w:val="center"/>
          </w:tcPr>
          <w:p w14:paraId="347EBE52">
            <w:pPr>
              <w:spacing w:line="240" w:lineRule="exact"/>
            </w:pPr>
            <w:r>
              <w:rPr>
                <w:rFonts w:hint="eastAsia" w:ascii="宋体" w:hAnsi="宋体"/>
                <w:color w:val="000000"/>
                <w:szCs w:val="21"/>
              </w:rPr>
              <w:t>满足招标文件规定</w:t>
            </w:r>
          </w:p>
        </w:tc>
      </w:tr>
      <w:bookmarkEnd w:id="115"/>
    </w:tbl>
    <w:p w14:paraId="7D830868">
      <w:pPr>
        <w:widowControl/>
        <w:jc w:val="both"/>
        <w:rPr>
          <w:b/>
          <w:bCs/>
          <w:kern w:val="0"/>
          <w:szCs w:val="21"/>
        </w:rPr>
      </w:pPr>
    </w:p>
    <w:p w14:paraId="2173A93E">
      <w:pPr>
        <w:spacing w:before="120" w:line="320" w:lineRule="atLeast"/>
        <w:ind w:firstLine="422" w:firstLineChars="200"/>
        <w:outlineLvl w:val="1"/>
        <w:rPr>
          <w:b/>
          <w:bCs/>
          <w:kern w:val="0"/>
          <w:szCs w:val="21"/>
        </w:rPr>
      </w:pPr>
      <w:r>
        <w:rPr>
          <w:b/>
          <w:bCs/>
          <w:kern w:val="0"/>
          <w:szCs w:val="21"/>
        </w:rPr>
        <w:t>4.</w:t>
      </w:r>
      <w:r>
        <w:rPr>
          <w:rFonts w:hint="eastAsia"/>
          <w:b/>
          <w:bCs/>
          <w:kern w:val="0"/>
          <w:szCs w:val="21"/>
        </w:rPr>
        <w:t>评分</w:t>
      </w:r>
      <w:r>
        <w:rPr>
          <w:b/>
          <w:bCs/>
          <w:kern w:val="0"/>
          <w:szCs w:val="21"/>
        </w:rPr>
        <w:t>标准</w:t>
      </w:r>
      <w:bookmarkEnd w:id="114"/>
      <w:bookmarkStart w:id="116" w:name="_Hlk77609326"/>
    </w:p>
    <w:p w14:paraId="56CD97D8">
      <w:pPr>
        <w:bidi w:val="0"/>
        <w:rPr>
          <w:rFonts w:hint="eastAsia"/>
        </w:rPr>
      </w:pPr>
    </w:p>
    <w:p w14:paraId="54DAB8CB">
      <w:pPr>
        <w:ind w:firstLine="420" w:firstLineChars="200"/>
      </w:pPr>
      <w:r>
        <w:rPr>
          <w:rFonts w:hint="eastAsia"/>
        </w:rPr>
        <w:t>（1）技术及商务资信分</w:t>
      </w:r>
    </w:p>
    <w:tbl>
      <w:tblPr>
        <w:tblStyle w:val="51"/>
        <w:tblW w:w="852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8"/>
        <w:gridCol w:w="988"/>
        <w:gridCol w:w="4600"/>
        <w:gridCol w:w="1196"/>
        <w:gridCol w:w="1029"/>
      </w:tblGrid>
      <w:tr w14:paraId="7E8D71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2" w:hRule="atLeast"/>
          <w:jc w:val="center"/>
        </w:trPr>
        <w:tc>
          <w:tcPr>
            <w:tcW w:w="708" w:type="dxa"/>
            <w:noWrap w:val="0"/>
            <w:vAlign w:val="center"/>
          </w:tcPr>
          <w:p w14:paraId="1E8B2BDC">
            <w:pPr>
              <w:jc w:val="center"/>
              <w:rPr>
                <w:b/>
                <w:szCs w:val="21"/>
              </w:rPr>
            </w:pPr>
            <w:r>
              <w:rPr>
                <w:b/>
                <w:szCs w:val="21"/>
              </w:rPr>
              <w:t>序号</w:t>
            </w:r>
          </w:p>
        </w:tc>
        <w:tc>
          <w:tcPr>
            <w:tcW w:w="988" w:type="dxa"/>
            <w:noWrap w:val="0"/>
            <w:vAlign w:val="center"/>
          </w:tcPr>
          <w:p w14:paraId="08CEAD73">
            <w:pPr>
              <w:jc w:val="center"/>
              <w:rPr>
                <w:b/>
                <w:szCs w:val="21"/>
              </w:rPr>
            </w:pPr>
            <w:r>
              <w:rPr>
                <w:rFonts w:hint="eastAsia"/>
                <w:b/>
                <w:szCs w:val="21"/>
              </w:rPr>
              <w:t>类型</w:t>
            </w:r>
          </w:p>
        </w:tc>
        <w:tc>
          <w:tcPr>
            <w:tcW w:w="4600" w:type="dxa"/>
            <w:noWrap w:val="0"/>
            <w:vAlign w:val="center"/>
          </w:tcPr>
          <w:p w14:paraId="6BE60E6B">
            <w:pPr>
              <w:jc w:val="center"/>
              <w:rPr>
                <w:b/>
                <w:szCs w:val="21"/>
              </w:rPr>
            </w:pPr>
            <w:r>
              <w:rPr>
                <w:rFonts w:hint="eastAsia"/>
                <w:b/>
                <w:szCs w:val="21"/>
              </w:rPr>
              <w:t>评分标准</w:t>
            </w:r>
          </w:p>
        </w:tc>
        <w:tc>
          <w:tcPr>
            <w:tcW w:w="1196" w:type="dxa"/>
            <w:noWrap w:val="0"/>
            <w:vAlign w:val="center"/>
          </w:tcPr>
          <w:p w14:paraId="243D7487">
            <w:pPr>
              <w:jc w:val="center"/>
              <w:rPr>
                <w:b/>
                <w:szCs w:val="21"/>
              </w:rPr>
            </w:pPr>
            <w:r>
              <w:rPr>
                <w:rFonts w:hint="eastAsia"/>
                <w:b/>
                <w:szCs w:val="21"/>
              </w:rPr>
              <w:t>分值权重</w:t>
            </w:r>
          </w:p>
        </w:tc>
        <w:tc>
          <w:tcPr>
            <w:tcW w:w="1029" w:type="dxa"/>
            <w:noWrap w:val="0"/>
            <w:vAlign w:val="center"/>
          </w:tcPr>
          <w:p w14:paraId="7940E4AC">
            <w:pPr>
              <w:jc w:val="center"/>
              <w:rPr>
                <w:b/>
                <w:szCs w:val="21"/>
              </w:rPr>
            </w:pPr>
            <w:r>
              <w:rPr>
                <w:b/>
                <w:szCs w:val="21"/>
              </w:rPr>
              <w:t>说明</w:t>
            </w:r>
          </w:p>
        </w:tc>
      </w:tr>
      <w:tr w14:paraId="6DC731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708" w:type="dxa"/>
            <w:noWrap w:val="0"/>
            <w:vAlign w:val="center"/>
          </w:tcPr>
          <w:p w14:paraId="40408825">
            <w:pPr>
              <w:jc w:val="center"/>
              <w:rPr>
                <w:b/>
                <w:color w:val="auto"/>
                <w:szCs w:val="21"/>
              </w:rPr>
            </w:pPr>
            <w:r>
              <w:rPr>
                <w:rFonts w:hint="eastAsia"/>
                <w:b/>
                <w:color w:val="auto"/>
                <w:szCs w:val="21"/>
              </w:rPr>
              <w:t>1</w:t>
            </w:r>
          </w:p>
        </w:tc>
        <w:tc>
          <w:tcPr>
            <w:tcW w:w="988" w:type="dxa"/>
            <w:noWrap w:val="0"/>
            <w:vAlign w:val="center"/>
          </w:tcPr>
          <w:p w14:paraId="0C5E76DE">
            <w:pPr>
              <w:jc w:val="center"/>
              <w:rPr>
                <w:rFonts w:hint="eastAsia" w:eastAsia="宋体"/>
                <w:color w:val="auto"/>
                <w:szCs w:val="21"/>
                <w:lang w:val="en-US" w:eastAsia="zh-CN"/>
              </w:rPr>
            </w:pPr>
            <w:r>
              <w:rPr>
                <w:rFonts w:hint="eastAsia"/>
                <w:color w:val="auto"/>
                <w:szCs w:val="21"/>
              </w:rPr>
              <w:t>技术</w:t>
            </w:r>
            <w:r>
              <w:rPr>
                <w:rFonts w:hint="eastAsia"/>
                <w:color w:val="auto"/>
                <w:szCs w:val="21"/>
                <w:lang w:val="en-US" w:eastAsia="zh-CN"/>
              </w:rPr>
              <w:t>分</w:t>
            </w:r>
          </w:p>
        </w:tc>
        <w:tc>
          <w:tcPr>
            <w:tcW w:w="4600" w:type="dxa"/>
            <w:noWrap w:val="0"/>
            <w:vAlign w:val="center"/>
          </w:tcPr>
          <w:p w14:paraId="0ECBFC88">
            <w:pPr>
              <w:rPr>
                <w:b/>
                <w:bCs/>
                <w:color w:val="auto"/>
                <w:szCs w:val="21"/>
                <w:highlight w:val="none"/>
              </w:rPr>
            </w:pPr>
            <w:r>
              <w:rPr>
                <w:rFonts w:hint="eastAsia"/>
                <w:b/>
                <w:bCs/>
                <w:color w:val="auto"/>
                <w:szCs w:val="21"/>
                <w:highlight w:val="none"/>
              </w:rPr>
              <w:t>一、技术性能分（满分</w:t>
            </w:r>
            <w:r>
              <w:rPr>
                <w:rFonts w:hint="eastAsia"/>
                <w:b/>
                <w:bCs/>
                <w:color w:val="auto"/>
                <w:szCs w:val="21"/>
                <w:highlight w:val="none"/>
                <w:lang w:val="en-US" w:eastAsia="zh-CN"/>
              </w:rPr>
              <w:t>30</w:t>
            </w:r>
            <w:r>
              <w:rPr>
                <w:rFonts w:hint="eastAsia"/>
                <w:b/>
                <w:bCs/>
                <w:color w:val="auto"/>
                <w:szCs w:val="21"/>
                <w:highlight w:val="none"/>
              </w:rPr>
              <w:t>分）</w:t>
            </w:r>
          </w:p>
          <w:p w14:paraId="2E4D1A76">
            <w:pPr>
              <w:spacing w:line="360" w:lineRule="auto"/>
              <w:rPr>
                <w:rFonts w:hint="eastAsia" w:eastAsia="宋体"/>
                <w:b w:val="0"/>
                <w:bCs w:val="0"/>
                <w:color w:val="auto"/>
                <w:highlight w:val="none"/>
                <w:lang w:val="en-US" w:eastAsia="zh-CN"/>
              </w:rPr>
            </w:pPr>
            <w:r>
              <w:rPr>
                <w:rFonts w:hint="eastAsia"/>
                <w:b w:val="0"/>
                <w:bCs w:val="0"/>
                <w:color w:val="auto"/>
                <w:highlight w:val="none"/>
                <w:lang w:val="en-US" w:eastAsia="zh-CN"/>
              </w:rPr>
              <w:t>（1）重要技术</w:t>
            </w:r>
            <w:r>
              <w:rPr>
                <w:rFonts w:hint="eastAsia" w:eastAsia="宋体"/>
                <w:b w:val="0"/>
                <w:bCs w:val="0"/>
                <w:color w:val="auto"/>
                <w:highlight w:val="none"/>
                <w:lang w:val="en-US" w:eastAsia="zh-CN"/>
              </w:rPr>
              <w:t>参数基础分值</w:t>
            </w:r>
            <w:r>
              <w:rPr>
                <w:rFonts w:hint="eastAsia"/>
                <w:b w:val="0"/>
                <w:bCs w:val="0"/>
                <w:color w:val="auto"/>
                <w:highlight w:val="none"/>
                <w:lang w:val="en-US" w:eastAsia="zh-CN"/>
              </w:rPr>
              <w:t>18</w:t>
            </w:r>
            <w:r>
              <w:rPr>
                <w:rFonts w:hint="eastAsia" w:eastAsia="宋体"/>
                <w:b w:val="0"/>
                <w:bCs w:val="0"/>
                <w:color w:val="auto"/>
                <w:highlight w:val="none"/>
                <w:lang w:val="en-US" w:eastAsia="zh-CN"/>
              </w:rPr>
              <w:t>分</w:t>
            </w:r>
            <w:r>
              <w:rPr>
                <w:rFonts w:hint="eastAsia"/>
                <w:b w:val="0"/>
                <w:bCs w:val="0"/>
                <w:color w:val="auto"/>
                <w:highlight w:val="none"/>
                <w:lang w:val="en-US" w:eastAsia="zh-CN"/>
              </w:rPr>
              <w:t>，</w:t>
            </w:r>
            <w:r>
              <w:rPr>
                <w:rFonts w:hint="eastAsia" w:eastAsia="宋体"/>
                <w:b w:val="0"/>
                <w:bCs w:val="0"/>
                <w:color w:val="auto"/>
                <w:highlight w:val="none"/>
                <w:lang w:val="en-US" w:eastAsia="zh-CN"/>
              </w:rPr>
              <w:t>不满足或负偏离每一项扣</w:t>
            </w:r>
            <w:r>
              <w:rPr>
                <w:rFonts w:hint="eastAsia"/>
                <w:b w:val="0"/>
                <w:bCs w:val="0"/>
                <w:color w:val="auto"/>
                <w:highlight w:val="none"/>
                <w:lang w:val="en-US" w:eastAsia="zh-CN"/>
              </w:rPr>
              <w:t>3</w:t>
            </w:r>
            <w:r>
              <w:rPr>
                <w:rFonts w:hint="eastAsia" w:eastAsia="宋体"/>
                <w:b w:val="0"/>
                <w:bCs w:val="0"/>
                <w:color w:val="auto"/>
                <w:highlight w:val="none"/>
                <w:lang w:val="en-US" w:eastAsia="zh-CN"/>
              </w:rPr>
              <w:t>分，扣完为止；</w:t>
            </w:r>
          </w:p>
          <w:p w14:paraId="6D80E26A">
            <w:pPr>
              <w:rPr>
                <w:rFonts w:hint="eastAsia" w:eastAsia="宋体"/>
                <w:b w:val="0"/>
                <w:bCs w:val="0"/>
                <w:color w:val="auto"/>
                <w:highlight w:val="none"/>
                <w:lang w:val="en-US" w:eastAsia="zh-CN"/>
              </w:rPr>
            </w:pPr>
            <w:r>
              <w:rPr>
                <w:rFonts w:hint="eastAsia"/>
                <w:b w:val="0"/>
                <w:bCs w:val="0"/>
                <w:color w:val="auto"/>
                <w:highlight w:val="none"/>
                <w:lang w:val="en-US" w:eastAsia="zh-CN"/>
              </w:rPr>
              <w:t>（2）一般技术参数基础分值12分，不满足或负偏离每项扣2分，扣完为止，不计负分</w:t>
            </w:r>
            <w:r>
              <w:rPr>
                <w:rFonts w:hint="eastAsia" w:eastAsia="宋体"/>
                <w:b w:val="0"/>
                <w:bCs w:val="0"/>
                <w:color w:val="auto"/>
                <w:highlight w:val="none"/>
                <w:lang w:val="en-US" w:eastAsia="zh-CN"/>
              </w:rPr>
              <w:t>。</w:t>
            </w:r>
          </w:p>
          <w:p w14:paraId="7E8B988B">
            <w:pPr>
              <w:keepNext w:val="0"/>
              <w:keepLines w:val="0"/>
              <w:pageBreakBefore w:val="0"/>
              <w:widowControl/>
              <w:kinsoku/>
              <w:wordWrap/>
              <w:overflowPunct/>
              <w:topLinePunct w:val="0"/>
              <w:bidi w:val="0"/>
              <w:snapToGrid/>
              <w:spacing w:line="400" w:lineRule="exact"/>
              <w:jc w:val="left"/>
              <w:rPr>
                <w:rFonts w:hint="eastAsia" w:ascii="宋体" w:hAnsi="宋体" w:eastAsia="宋体" w:cs="宋体"/>
                <w:color w:val="auto"/>
                <w:sz w:val="18"/>
                <w:szCs w:val="18"/>
                <w:highlight w:val="none"/>
              </w:rPr>
            </w:pPr>
          </w:p>
          <w:p w14:paraId="63A82315">
            <w:pPr>
              <w:rPr>
                <w:rFonts w:hint="default" w:eastAsia="宋体"/>
                <w:b/>
                <w:bCs/>
                <w:color w:val="auto"/>
                <w:szCs w:val="21"/>
                <w:highlight w:val="none"/>
                <w:lang w:val="en-US" w:eastAsia="zh-CN"/>
              </w:rPr>
            </w:pPr>
            <w:r>
              <w:rPr>
                <w:rFonts w:hint="eastAsia"/>
                <w:b/>
                <w:bCs/>
                <w:color w:val="auto"/>
                <w:szCs w:val="21"/>
                <w:highlight w:val="none"/>
              </w:rPr>
              <w:t>二、</w:t>
            </w:r>
            <w:r>
              <w:rPr>
                <w:rFonts w:hint="eastAsia"/>
                <w:b/>
                <w:bCs/>
                <w:color w:val="auto"/>
                <w:szCs w:val="21"/>
                <w:highlight w:val="none"/>
                <w:lang w:val="en-US" w:eastAsia="zh-CN"/>
              </w:rPr>
              <w:t>项目实施方案（满分9分）</w:t>
            </w:r>
          </w:p>
          <w:p w14:paraId="7BF9A4C8">
            <w:pPr>
              <w:ind w:firstLine="420" w:firstLineChars="200"/>
              <w:rPr>
                <w:rFonts w:hint="eastAsia"/>
                <w:color w:val="auto"/>
                <w:szCs w:val="21"/>
                <w:highlight w:val="none"/>
              </w:rPr>
            </w:pPr>
            <w:r>
              <w:rPr>
                <w:rFonts w:hint="eastAsia"/>
                <w:color w:val="auto"/>
                <w:szCs w:val="21"/>
                <w:highlight w:val="none"/>
              </w:rPr>
              <w:t xml:space="preserve">一档（0分）：投标文件未提供项目实施方案不得分。 </w:t>
            </w:r>
          </w:p>
          <w:p w14:paraId="5ED71B8A">
            <w:pPr>
              <w:ind w:firstLine="420" w:firstLineChars="200"/>
              <w:rPr>
                <w:rFonts w:hint="eastAsia"/>
                <w:color w:val="auto"/>
                <w:szCs w:val="21"/>
                <w:highlight w:val="none"/>
              </w:rPr>
            </w:pPr>
            <w:r>
              <w:rPr>
                <w:rFonts w:hint="eastAsia"/>
                <w:color w:val="auto"/>
                <w:szCs w:val="21"/>
                <w:highlight w:val="none"/>
              </w:rPr>
              <w:t>二档（</w:t>
            </w:r>
            <w:r>
              <w:rPr>
                <w:rFonts w:hint="eastAsia"/>
                <w:color w:val="auto"/>
                <w:szCs w:val="21"/>
                <w:highlight w:val="none"/>
                <w:lang w:val="en-US" w:eastAsia="zh-CN"/>
              </w:rPr>
              <w:t>2</w:t>
            </w:r>
            <w:r>
              <w:rPr>
                <w:rFonts w:hint="eastAsia"/>
                <w:color w:val="auto"/>
                <w:szCs w:val="21"/>
                <w:highlight w:val="none"/>
              </w:rPr>
              <w:t xml:space="preserve">分）：提供项目实施方案，方案内容具有产品保管措施、产品包装措施，有产品的出厂、配送、安装的计划安排。 </w:t>
            </w:r>
          </w:p>
          <w:p w14:paraId="4AB58CF5">
            <w:pPr>
              <w:ind w:firstLine="420" w:firstLineChars="200"/>
              <w:rPr>
                <w:rFonts w:hint="eastAsia"/>
                <w:color w:val="auto"/>
                <w:szCs w:val="21"/>
                <w:highlight w:val="none"/>
              </w:rPr>
            </w:pPr>
            <w:r>
              <w:rPr>
                <w:rFonts w:hint="eastAsia"/>
                <w:color w:val="auto"/>
                <w:szCs w:val="21"/>
                <w:highlight w:val="none"/>
              </w:rPr>
              <w:t>三档（</w:t>
            </w:r>
            <w:r>
              <w:rPr>
                <w:rFonts w:hint="eastAsia"/>
                <w:color w:val="auto"/>
                <w:szCs w:val="21"/>
                <w:highlight w:val="none"/>
                <w:lang w:val="en-US" w:eastAsia="zh-CN"/>
              </w:rPr>
              <w:t>4</w:t>
            </w:r>
            <w:r>
              <w:rPr>
                <w:rFonts w:hint="eastAsia"/>
                <w:color w:val="auto"/>
                <w:szCs w:val="21"/>
                <w:highlight w:val="none"/>
              </w:rPr>
              <w:t xml:space="preserve">分）：提供项目实施方案，方案内容具有产品保管措施、产品包装措施、产品运输安排措施，有产品的出厂、配送、安装的计划安排、说明及各阶段的时间规划，有工作进度及控制方案。 </w:t>
            </w:r>
          </w:p>
          <w:p w14:paraId="5C66B644">
            <w:pPr>
              <w:ind w:firstLine="420" w:firstLineChars="200"/>
              <w:rPr>
                <w:rFonts w:hint="eastAsia"/>
                <w:color w:val="auto"/>
                <w:szCs w:val="21"/>
                <w:highlight w:val="none"/>
              </w:rPr>
            </w:pPr>
            <w:r>
              <w:rPr>
                <w:rFonts w:hint="eastAsia"/>
                <w:color w:val="auto"/>
                <w:szCs w:val="21"/>
                <w:highlight w:val="none"/>
              </w:rPr>
              <w:t>四档（</w:t>
            </w:r>
            <w:r>
              <w:rPr>
                <w:rFonts w:hint="eastAsia"/>
                <w:color w:val="auto"/>
                <w:szCs w:val="21"/>
                <w:highlight w:val="none"/>
                <w:lang w:val="en-US" w:eastAsia="zh-CN"/>
              </w:rPr>
              <w:t>6</w:t>
            </w:r>
            <w:r>
              <w:rPr>
                <w:rFonts w:hint="eastAsia"/>
                <w:color w:val="auto"/>
                <w:szCs w:val="21"/>
                <w:highlight w:val="none"/>
              </w:rPr>
              <w:t xml:space="preserve">分）：提供项目实施方案，方案内容具有产品保管措施、产品包装措施、产品运输安排措施、产品运输过程中保护措施，有产品的出厂、配送、安装的计划安排、说明，有实施各个阶段工作安排和进度计划及控制方案，有实施组织方案形成的项目管理计划文档，有项目管理组织机构图，有实施进度说明,对产品的配送、安装有相应的方案说明。 </w:t>
            </w:r>
          </w:p>
          <w:p w14:paraId="56285C4D">
            <w:pPr>
              <w:ind w:firstLine="420" w:firstLineChars="200"/>
              <w:rPr>
                <w:color w:val="auto"/>
                <w:szCs w:val="21"/>
                <w:highlight w:val="none"/>
              </w:rPr>
            </w:pPr>
            <w:r>
              <w:rPr>
                <w:rFonts w:hint="eastAsia"/>
                <w:color w:val="auto"/>
                <w:szCs w:val="21"/>
                <w:highlight w:val="none"/>
              </w:rPr>
              <w:t>五档（</w:t>
            </w:r>
            <w:r>
              <w:rPr>
                <w:rFonts w:hint="eastAsia"/>
                <w:color w:val="auto"/>
                <w:szCs w:val="21"/>
                <w:highlight w:val="none"/>
                <w:lang w:val="en-US" w:eastAsia="zh-CN"/>
              </w:rPr>
              <w:t>9</w:t>
            </w:r>
            <w:r>
              <w:rPr>
                <w:rFonts w:hint="eastAsia"/>
                <w:color w:val="auto"/>
                <w:szCs w:val="21"/>
                <w:highlight w:val="none"/>
              </w:rPr>
              <w:t>分）：提供项目实施方案，方案内容具有产品保管措施、产品包装措施、产品运输安排措施、产品运输过程中保护措施，有产品的出厂、配送、安装的计划安排、说明，有实施各个阶段工作安排和进度计划及控制方案，有实施组织方案形成的项目管理计划文档，有项目管理组织机构图、项目管理框架、技术管理构架，有对本项目的风险预见及风险应对措施，有实施进度说明，对产品的安装、验收的各阶段有详细的方案说明。</w:t>
            </w:r>
          </w:p>
        </w:tc>
        <w:tc>
          <w:tcPr>
            <w:tcW w:w="1196" w:type="dxa"/>
            <w:noWrap w:val="0"/>
            <w:vAlign w:val="center"/>
          </w:tcPr>
          <w:p w14:paraId="2EC19D67">
            <w:pPr>
              <w:jc w:val="center"/>
              <w:rPr>
                <w:rFonts w:hint="default" w:eastAsia="宋体"/>
                <w:color w:val="auto"/>
                <w:szCs w:val="21"/>
                <w:highlight w:val="none"/>
                <w:lang w:val="en-US" w:eastAsia="zh-CN"/>
              </w:rPr>
            </w:pPr>
            <w:r>
              <w:rPr>
                <w:rFonts w:hint="eastAsia"/>
                <w:color w:val="auto"/>
                <w:szCs w:val="21"/>
                <w:highlight w:val="none"/>
                <w:lang w:val="en-US" w:eastAsia="zh-CN"/>
              </w:rPr>
              <w:t>39</w:t>
            </w:r>
          </w:p>
        </w:tc>
        <w:tc>
          <w:tcPr>
            <w:tcW w:w="1029" w:type="dxa"/>
            <w:noWrap w:val="0"/>
            <w:vAlign w:val="center"/>
          </w:tcPr>
          <w:p w14:paraId="1C4AEE67">
            <w:pPr>
              <w:rPr>
                <w:color w:val="4472C4"/>
                <w:szCs w:val="21"/>
              </w:rPr>
            </w:pPr>
          </w:p>
        </w:tc>
      </w:tr>
      <w:tr w14:paraId="14DF04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708" w:type="dxa"/>
            <w:noWrap w:val="0"/>
            <w:vAlign w:val="center"/>
          </w:tcPr>
          <w:p w14:paraId="46DDE4B5">
            <w:pPr>
              <w:jc w:val="center"/>
              <w:rPr>
                <w:rFonts w:hint="eastAsia" w:eastAsia="宋体"/>
                <w:b/>
                <w:color w:val="auto"/>
                <w:szCs w:val="21"/>
                <w:lang w:val="en-US" w:eastAsia="zh-CN"/>
              </w:rPr>
            </w:pPr>
            <w:r>
              <w:rPr>
                <w:rFonts w:hint="eastAsia"/>
                <w:b/>
                <w:color w:val="auto"/>
                <w:szCs w:val="21"/>
                <w:lang w:val="en-US" w:eastAsia="zh-CN"/>
              </w:rPr>
              <w:t>2</w:t>
            </w:r>
          </w:p>
        </w:tc>
        <w:tc>
          <w:tcPr>
            <w:tcW w:w="988" w:type="dxa"/>
            <w:noWrap w:val="0"/>
            <w:vAlign w:val="center"/>
          </w:tcPr>
          <w:p w14:paraId="2F381C8D">
            <w:pPr>
              <w:jc w:val="center"/>
              <w:rPr>
                <w:rFonts w:hint="eastAsia"/>
                <w:color w:val="auto"/>
                <w:szCs w:val="21"/>
              </w:rPr>
            </w:pPr>
            <w:r>
              <w:rPr>
                <w:rFonts w:hint="eastAsia"/>
                <w:color w:val="auto"/>
                <w:szCs w:val="21"/>
              </w:rPr>
              <w:t>商务资信分</w:t>
            </w:r>
          </w:p>
        </w:tc>
        <w:tc>
          <w:tcPr>
            <w:tcW w:w="4600" w:type="dxa"/>
            <w:noWrap w:val="0"/>
            <w:vAlign w:val="center"/>
          </w:tcPr>
          <w:p w14:paraId="3B750AC7">
            <w:pPr>
              <w:rPr>
                <w:color w:val="auto"/>
                <w:szCs w:val="21"/>
                <w:highlight w:val="none"/>
              </w:rPr>
            </w:pPr>
            <w:r>
              <w:rPr>
                <w:rFonts w:hint="eastAsia"/>
                <w:b/>
                <w:bCs/>
                <w:color w:val="auto"/>
                <w:szCs w:val="21"/>
                <w:highlight w:val="none"/>
              </w:rPr>
              <w:t>一、业绩分（满分</w:t>
            </w:r>
            <w:r>
              <w:rPr>
                <w:rFonts w:hint="eastAsia"/>
                <w:b/>
                <w:bCs/>
                <w:color w:val="auto"/>
                <w:szCs w:val="21"/>
                <w:highlight w:val="none"/>
                <w:lang w:val="en-US" w:eastAsia="zh-CN"/>
              </w:rPr>
              <w:t>5</w:t>
            </w:r>
            <w:r>
              <w:rPr>
                <w:rFonts w:hint="eastAsia"/>
                <w:b/>
                <w:bCs/>
                <w:color w:val="auto"/>
                <w:szCs w:val="21"/>
                <w:highlight w:val="none"/>
              </w:rPr>
              <w:t>分）</w:t>
            </w:r>
          </w:p>
          <w:p w14:paraId="59675C8A">
            <w:pPr>
              <w:pStyle w:val="49"/>
              <w:keepNext w:val="0"/>
              <w:keepLines w:val="0"/>
              <w:pageBreakBefore w:val="0"/>
              <w:suppressAutoHyphens/>
              <w:kinsoku/>
              <w:wordWrap/>
              <w:overflowPunct/>
              <w:topLinePunct w:val="0"/>
              <w:bidi w:val="0"/>
              <w:snapToGrid/>
              <w:spacing w:after="0" w:line="400" w:lineRule="exact"/>
              <w:ind w:firstLine="420" w:firstLineChars="200"/>
              <w:jc w:val="left"/>
              <w:rPr>
                <w:rFonts w:hint="eastAsia" w:ascii="宋体" w:hAnsi="宋体" w:eastAsia="宋体" w:cs="宋体"/>
                <w:b w:val="0"/>
                <w:bCs w:val="0"/>
                <w:kern w:val="2"/>
                <w:sz w:val="21"/>
                <w:szCs w:val="21"/>
                <w:highlight w:val="none"/>
              </w:rPr>
            </w:pPr>
            <w:r>
              <w:rPr>
                <w:rFonts w:hint="eastAsia" w:ascii="宋体" w:hAnsi="宋体" w:eastAsia="宋体" w:cs="宋体"/>
                <w:b w:val="0"/>
                <w:bCs w:val="0"/>
                <w:kern w:val="2"/>
                <w:sz w:val="21"/>
                <w:szCs w:val="21"/>
                <w:highlight w:val="none"/>
                <w:lang w:eastAsia="zh-CN"/>
              </w:rPr>
              <w:t>投标人或生产</w:t>
            </w:r>
            <w:r>
              <w:rPr>
                <w:rFonts w:hint="eastAsia" w:ascii="宋体" w:hAnsi="宋体" w:eastAsia="宋体" w:cs="宋体"/>
                <w:b w:val="0"/>
                <w:bCs w:val="0"/>
                <w:kern w:val="2"/>
                <w:sz w:val="21"/>
                <w:szCs w:val="21"/>
                <w:highlight w:val="none"/>
                <w:lang w:val="en-US" w:eastAsia="zh-CN"/>
              </w:rPr>
              <w:t>厂家</w:t>
            </w:r>
            <w:r>
              <w:rPr>
                <w:rFonts w:hint="eastAsia" w:ascii="宋体" w:hAnsi="宋体" w:eastAsia="宋体" w:cs="宋体"/>
                <w:b w:val="0"/>
                <w:bCs w:val="0"/>
                <w:kern w:val="2"/>
                <w:sz w:val="21"/>
                <w:szCs w:val="21"/>
                <w:highlight w:val="none"/>
                <w:lang w:eastAsia="zh-CN"/>
              </w:rPr>
              <w:t>自2</w:t>
            </w:r>
            <w:r>
              <w:rPr>
                <w:rFonts w:hint="eastAsia" w:ascii="宋体" w:hAnsi="宋体" w:eastAsia="宋体" w:cs="宋体"/>
                <w:b w:val="0"/>
                <w:bCs w:val="0"/>
                <w:kern w:val="2"/>
                <w:sz w:val="21"/>
                <w:szCs w:val="21"/>
                <w:highlight w:val="none"/>
              </w:rPr>
              <w:t>02</w:t>
            </w:r>
            <w:r>
              <w:rPr>
                <w:rFonts w:hint="eastAsia" w:ascii="宋体" w:hAnsi="宋体" w:eastAsia="宋体" w:cs="宋体"/>
                <w:b w:val="0"/>
                <w:bCs w:val="0"/>
                <w:kern w:val="2"/>
                <w:sz w:val="21"/>
                <w:szCs w:val="21"/>
                <w:highlight w:val="none"/>
                <w:lang w:val="en-US" w:eastAsia="zh-CN"/>
              </w:rPr>
              <w:t>3</w:t>
            </w:r>
            <w:r>
              <w:rPr>
                <w:rFonts w:hint="eastAsia" w:ascii="宋体" w:hAnsi="宋体" w:eastAsia="宋体" w:cs="宋体"/>
                <w:b w:val="0"/>
                <w:bCs w:val="0"/>
                <w:kern w:val="2"/>
                <w:sz w:val="21"/>
                <w:szCs w:val="21"/>
                <w:highlight w:val="none"/>
              </w:rPr>
              <w:t>年</w:t>
            </w:r>
            <w:r>
              <w:rPr>
                <w:rFonts w:hint="eastAsia" w:ascii="宋体" w:hAnsi="宋体" w:eastAsia="宋体" w:cs="宋体"/>
                <w:b w:val="0"/>
                <w:bCs w:val="0"/>
                <w:kern w:val="2"/>
                <w:sz w:val="21"/>
                <w:szCs w:val="21"/>
                <w:highlight w:val="none"/>
                <w:lang w:val="en-US" w:eastAsia="zh-CN"/>
              </w:rPr>
              <w:t>07月01日</w:t>
            </w:r>
            <w:r>
              <w:rPr>
                <w:rFonts w:hint="eastAsia" w:ascii="宋体" w:hAnsi="宋体" w:eastAsia="宋体" w:cs="宋体"/>
                <w:b w:val="0"/>
                <w:bCs w:val="0"/>
                <w:kern w:val="2"/>
                <w:sz w:val="21"/>
                <w:szCs w:val="21"/>
                <w:highlight w:val="none"/>
              </w:rPr>
              <w:t>以来</w:t>
            </w:r>
            <w:r>
              <w:rPr>
                <w:rFonts w:hint="eastAsia" w:ascii="宋体" w:hAnsi="宋体" w:eastAsia="宋体" w:cs="宋体"/>
                <w:b w:val="0"/>
                <w:bCs w:val="0"/>
                <w:kern w:val="2"/>
                <w:sz w:val="21"/>
                <w:szCs w:val="21"/>
                <w:highlight w:val="none"/>
                <w:lang w:eastAsia="zh-CN"/>
              </w:rPr>
              <w:t>（以合同签订日期为准）</w:t>
            </w:r>
            <w:r>
              <w:rPr>
                <w:rFonts w:hint="eastAsia" w:ascii="宋体" w:hAnsi="宋体" w:cs="宋体"/>
                <w:b w:val="0"/>
                <w:bCs w:val="0"/>
                <w:kern w:val="2"/>
                <w:sz w:val="21"/>
                <w:szCs w:val="21"/>
                <w:highlight w:val="none"/>
                <w:lang w:val="en-US" w:eastAsia="zh-CN"/>
              </w:rPr>
              <w:t>完成过</w:t>
            </w:r>
            <w:r>
              <w:rPr>
                <w:rFonts w:hint="eastAsia" w:ascii="宋体" w:hAnsi="宋体" w:cs="宋体"/>
                <w:b w:val="0"/>
                <w:bCs w:val="0"/>
                <w:kern w:val="2"/>
                <w:sz w:val="21"/>
                <w:szCs w:val="21"/>
                <w:highlight w:val="none"/>
                <w:lang w:eastAsia="zh-CN"/>
              </w:rPr>
              <w:t>所投标</w:t>
            </w:r>
            <w:r>
              <w:rPr>
                <w:rFonts w:hint="eastAsia" w:ascii="宋体" w:hAnsi="宋体" w:eastAsia="宋体" w:cs="宋体"/>
                <w:b w:val="0"/>
                <w:bCs w:val="0"/>
                <w:kern w:val="2"/>
                <w:sz w:val="21"/>
                <w:szCs w:val="21"/>
                <w:highlight w:val="none"/>
              </w:rPr>
              <w:t>产品</w:t>
            </w:r>
            <w:r>
              <w:rPr>
                <w:rFonts w:hint="eastAsia" w:ascii="宋体" w:hAnsi="宋体" w:cs="宋体"/>
                <w:b w:val="0"/>
                <w:bCs w:val="0"/>
                <w:kern w:val="2"/>
                <w:sz w:val="21"/>
                <w:szCs w:val="21"/>
                <w:highlight w:val="none"/>
                <w:lang w:val="en-US" w:eastAsia="zh-CN"/>
              </w:rPr>
              <w:t>销售</w:t>
            </w:r>
            <w:r>
              <w:rPr>
                <w:rFonts w:hint="eastAsia" w:ascii="宋体" w:hAnsi="宋体" w:eastAsia="宋体" w:cs="宋体"/>
                <w:b w:val="0"/>
                <w:bCs w:val="0"/>
                <w:kern w:val="2"/>
                <w:sz w:val="21"/>
                <w:szCs w:val="21"/>
                <w:highlight w:val="none"/>
              </w:rPr>
              <w:t>业绩</w:t>
            </w:r>
            <w:r>
              <w:rPr>
                <w:rFonts w:hint="eastAsia" w:ascii="宋体" w:hAnsi="宋体" w:cs="宋体"/>
                <w:b w:val="0"/>
                <w:bCs w:val="0"/>
                <w:kern w:val="2"/>
                <w:sz w:val="21"/>
                <w:szCs w:val="21"/>
                <w:highlight w:val="none"/>
                <w:lang w:eastAsia="zh-CN"/>
              </w:rPr>
              <w:t>的</w:t>
            </w:r>
            <w:r>
              <w:rPr>
                <w:rFonts w:hint="eastAsia" w:ascii="宋体" w:hAnsi="宋体" w:eastAsia="宋体" w:cs="宋体"/>
                <w:b w:val="0"/>
                <w:bCs w:val="0"/>
                <w:kern w:val="2"/>
                <w:sz w:val="21"/>
                <w:szCs w:val="21"/>
                <w:highlight w:val="none"/>
                <w:lang w:eastAsia="zh-CN"/>
              </w:rPr>
              <w:t>，</w:t>
            </w:r>
            <w:r>
              <w:rPr>
                <w:rFonts w:hint="eastAsia" w:ascii="宋体" w:hAnsi="宋体" w:eastAsia="宋体" w:cs="宋体"/>
                <w:b w:val="0"/>
                <w:bCs w:val="0"/>
                <w:kern w:val="2"/>
                <w:sz w:val="21"/>
                <w:szCs w:val="21"/>
                <w:highlight w:val="none"/>
              </w:rPr>
              <w:t>每</w:t>
            </w:r>
            <w:r>
              <w:rPr>
                <w:rFonts w:hint="eastAsia" w:ascii="宋体" w:hAnsi="宋体" w:eastAsia="宋体" w:cs="宋体"/>
                <w:b w:val="0"/>
                <w:bCs w:val="0"/>
                <w:kern w:val="2"/>
                <w:sz w:val="21"/>
                <w:szCs w:val="21"/>
                <w:highlight w:val="none"/>
                <w:lang w:eastAsia="zh-CN"/>
              </w:rPr>
              <w:t>提供一份</w:t>
            </w:r>
            <w:r>
              <w:rPr>
                <w:rFonts w:hint="eastAsia" w:ascii="宋体" w:hAnsi="宋体" w:eastAsia="宋体" w:cs="宋体"/>
                <w:b w:val="0"/>
                <w:bCs w:val="0"/>
                <w:kern w:val="2"/>
                <w:sz w:val="21"/>
                <w:szCs w:val="21"/>
                <w:highlight w:val="none"/>
              </w:rPr>
              <w:t>得</w:t>
            </w:r>
            <w:r>
              <w:rPr>
                <w:rFonts w:hint="eastAsia" w:ascii="宋体" w:hAnsi="宋体" w:cs="宋体"/>
                <w:b w:val="0"/>
                <w:bCs w:val="0"/>
                <w:kern w:val="2"/>
                <w:sz w:val="21"/>
                <w:szCs w:val="21"/>
                <w:highlight w:val="none"/>
                <w:lang w:val="en-US" w:eastAsia="zh-CN"/>
              </w:rPr>
              <w:t>1</w:t>
            </w:r>
            <w:r>
              <w:rPr>
                <w:rFonts w:hint="eastAsia" w:ascii="宋体" w:hAnsi="宋体" w:eastAsia="宋体" w:cs="宋体"/>
                <w:b w:val="0"/>
                <w:bCs w:val="0"/>
                <w:kern w:val="2"/>
                <w:sz w:val="21"/>
                <w:szCs w:val="21"/>
                <w:highlight w:val="none"/>
              </w:rPr>
              <w:t>分，满分</w:t>
            </w:r>
            <w:r>
              <w:rPr>
                <w:rFonts w:hint="eastAsia" w:ascii="宋体" w:hAnsi="宋体" w:eastAsia="宋体" w:cs="宋体"/>
                <w:b w:val="0"/>
                <w:bCs w:val="0"/>
                <w:kern w:val="2"/>
                <w:sz w:val="21"/>
                <w:szCs w:val="21"/>
                <w:highlight w:val="none"/>
                <w:lang w:val="en-US" w:eastAsia="zh-CN"/>
              </w:rPr>
              <w:t>5</w:t>
            </w:r>
            <w:r>
              <w:rPr>
                <w:rFonts w:hint="eastAsia" w:ascii="宋体" w:hAnsi="宋体" w:eastAsia="宋体" w:cs="宋体"/>
                <w:b w:val="0"/>
                <w:bCs w:val="0"/>
                <w:kern w:val="2"/>
                <w:sz w:val="21"/>
                <w:szCs w:val="21"/>
                <w:highlight w:val="none"/>
              </w:rPr>
              <w:t>分。</w:t>
            </w:r>
          </w:p>
          <w:p w14:paraId="7E16CC38">
            <w:pPr>
              <w:pStyle w:val="49"/>
              <w:keepNext w:val="0"/>
              <w:keepLines w:val="0"/>
              <w:pageBreakBefore w:val="0"/>
              <w:suppressAutoHyphens/>
              <w:kinsoku/>
              <w:wordWrap/>
              <w:overflowPunct/>
              <w:topLinePunct w:val="0"/>
              <w:bidi w:val="0"/>
              <w:snapToGrid/>
              <w:spacing w:after="0" w:line="360" w:lineRule="auto"/>
              <w:ind w:left="0" w:leftChars="0" w:firstLine="0" w:firstLineChars="0"/>
              <w:jc w:val="left"/>
              <w:rPr>
                <w:rFonts w:hint="eastAsia" w:ascii="宋体" w:hAnsi="宋体" w:eastAsia="宋体" w:cs="宋体"/>
                <w:b w:val="0"/>
                <w:bCs w:val="0"/>
                <w:kern w:val="2"/>
                <w:sz w:val="21"/>
                <w:szCs w:val="21"/>
                <w:highlight w:val="none"/>
                <w:lang w:eastAsia="zh-CN"/>
              </w:rPr>
            </w:pPr>
            <w:r>
              <w:rPr>
                <w:rFonts w:hint="eastAsia" w:ascii="宋体" w:hAnsi="宋体" w:eastAsia="宋体" w:cs="宋体"/>
                <w:b w:val="0"/>
                <w:bCs w:val="0"/>
                <w:kern w:val="2"/>
                <w:sz w:val="21"/>
                <w:szCs w:val="21"/>
                <w:highlight w:val="none"/>
                <w:lang w:eastAsia="zh-CN"/>
              </w:rPr>
              <w:t>注：</w:t>
            </w:r>
            <w:r>
              <w:rPr>
                <w:rFonts w:hint="eastAsia" w:ascii="宋体" w:hAnsi="宋体" w:eastAsia="宋体" w:cs="宋体"/>
                <w:b w:val="0"/>
                <w:bCs w:val="0"/>
                <w:kern w:val="2"/>
                <w:sz w:val="21"/>
                <w:szCs w:val="21"/>
                <w:highlight w:val="none"/>
                <w:lang w:val="en-US" w:eastAsia="zh-CN"/>
              </w:rPr>
              <w:t>1.</w:t>
            </w:r>
            <w:r>
              <w:rPr>
                <w:rFonts w:hint="eastAsia" w:ascii="宋体" w:hAnsi="宋体" w:eastAsia="宋体" w:cs="宋体"/>
                <w:b w:val="0"/>
                <w:bCs w:val="0"/>
                <w:kern w:val="2"/>
                <w:sz w:val="21"/>
                <w:szCs w:val="21"/>
                <w:highlight w:val="none"/>
                <w:lang w:eastAsia="zh-CN"/>
              </w:rPr>
              <w:t>业绩证明材料以</w:t>
            </w:r>
            <w:r>
              <w:rPr>
                <w:rFonts w:hint="eastAsia" w:ascii="宋体" w:hAnsi="宋体" w:eastAsia="宋体" w:cs="宋体"/>
                <w:b w:val="0"/>
                <w:bCs w:val="0"/>
                <w:kern w:val="2"/>
                <w:sz w:val="21"/>
                <w:szCs w:val="21"/>
                <w:highlight w:val="none"/>
              </w:rPr>
              <w:t>提供合同</w:t>
            </w:r>
            <w:r>
              <w:rPr>
                <w:rFonts w:hint="eastAsia" w:ascii="宋体" w:hAnsi="宋体" w:eastAsia="宋体" w:cs="宋体"/>
                <w:b w:val="0"/>
                <w:bCs w:val="0"/>
                <w:kern w:val="2"/>
                <w:sz w:val="21"/>
                <w:szCs w:val="21"/>
                <w:highlight w:val="none"/>
                <w:lang w:eastAsia="zh-CN"/>
              </w:rPr>
              <w:t>书</w:t>
            </w:r>
            <w:r>
              <w:rPr>
                <w:rFonts w:hint="eastAsia" w:ascii="宋体" w:hAnsi="宋体" w:eastAsia="宋体" w:cs="宋体"/>
                <w:b w:val="0"/>
                <w:bCs w:val="0"/>
                <w:kern w:val="2"/>
                <w:sz w:val="21"/>
                <w:szCs w:val="21"/>
                <w:highlight w:val="none"/>
              </w:rPr>
              <w:t>复印件</w:t>
            </w:r>
            <w:r>
              <w:rPr>
                <w:rFonts w:hint="eastAsia" w:ascii="宋体" w:hAnsi="宋体" w:eastAsia="宋体" w:cs="宋体"/>
                <w:b w:val="0"/>
                <w:bCs w:val="0"/>
                <w:kern w:val="2"/>
                <w:sz w:val="21"/>
                <w:szCs w:val="21"/>
                <w:highlight w:val="none"/>
                <w:lang w:eastAsia="zh-CN"/>
              </w:rPr>
              <w:t>（或扫描件）为准</w:t>
            </w:r>
            <w:r>
              <w:rPr>
                <w:rFonts w:hint="eastAsia" w:ascii="宋体" w:hAnsi="宋体" w:eastAsia="宋体" w:cs="宋体"/>
                <w:b w:val="0"/>
                <w:bCs w:val="0"/>
                <w:kern w:val="2"/>
                <w:sz w:val="21"/>
                <w:szCs w:val="21"/>
                <w:highlight w:val="none"/>
              </w:rPr>
              <w:t>，要求至少含有本项目某个相同类型的投标产品，</w:t>
            </w:r>
            <w:r>
              <w:rPr>
                <w:rFonts w:hint="eastAsia" w:ascii="宋体" w:hAnsi="宋体" w:eastAsia="宋体" w:cs="宋体"/>
                <w:b w:val="0"/>
                <w:bCs w:val="0"/>
                <w:kern w:val="2"/>
                <w:sz w:val="21"/>
                <w:szCs w:val="21"/>
                <w:highlight w:val="none"/>
                <w:lang w:eastAsia="zh-CN"/>
              </w:rPr>
              <w:t>合同书中内容不得有任何涂改及遮挡，能清晰反映合同名称、签订双方名称、签订日期、合同标的、双方签名盖章页等关键内容，</w:t>
            </w:r>
            <w:r>
              <w:rPr>
                <w:rFonts w:hint="eastAsia" w:ascii="宋体" w:hAnsi="宋体" w:eastAsia="宋体" w:cs="宋体"/>
                <w:b w:val="0"/>
                <w:bCs w:val="0"/>
                <w:kern w:val="2"/>
                <w:sz w:val="21"/>
                <w:szCs w:val="21"/>
                <w:highlight w:val="none"/>
              </w:rPr>
              <w:t>同时提供</w:t>
            </w:r>
            <w:r>
              <w:rPr>
                <w:rFonts w:hint="eastAsia" w:ascii="宋体" w:hAnsi="宋体" w:eastAsia="宋体" w:cs="宋体"/>
                <w:b w:val="0"/>
                <w:bCs w:val="0"/>
                <w:kern w:val="2"/>
                <w:sz w:val="21"/>
                <w:szCs w:val="21"/>
                <w:highlight w:val="none"/>
                <w:lang w:eastAsia="zh-CN"/>
              </w:rPr>
              <w:t>合同</w:t>
            </w:r>
            <w:r>
              <w:rPr>
                <w:rFonts w:hint="eastAsia" w:ascii="宋体" w:hAnsi="宋体" w:eastAsia="宋体" w:cs="宋体"/>
                <w:b w:val="0"/>
                <w:bCs w:val="0"/>
                <w:kern w:val="2"/>
                <w:sz w:val="21"/>
                <w:szCs w:val="21"/>
                <w:highlight w:val="none"/>
              </w:rPr>
              <w:t>采购人联系</w:t>
            </w:r>
            <w:r>
              <w:rPr>
                <w:rFonts w:hint="eastAsia" w:ascii="宋体" w:hAnsi="宋体" w:eastAsia="宋体" w:cs="宋体"/>
                <w:b w:val="0"/>
                <w:bCs w:val="0"/>
                <w:kern w:val="2"/>
                <w:sz w:val="21"/>
                <w:szCs w:val="21"/>
                <w:highlight w:val="none"/>
                <w:lang w:eastAsia="zh-CN"/>
              </w:rPr>
              <w:t>方式</w:t>
            </w:r>
            <w:r>
              <w:rPr>
                <w:rFonts w:hint="eastAsia" w:ascii="宋体" w:hAnsi="宋体" w:eastAsia="宋体" w:cs="宋体"/>
                <w:b w:val="0"/>
                <w:bCs w:val="0"/>
                <w:kern w:val="2"/>
                <w:sz w:val="21"/>
                <w:szCs w:val="21"/>
                <w:highlight w:val="none"/>
              </w:rPr>
              <w:t>以便核对</w:t>
            </w:r>
            <w:r>
              <w:rPr>
                <w:rFonts w:hint="eastAsia" w:ascii="宋体" w:hAnsi="宋体" w:eastAsia="宋体" w:cs="宋体"/>
                <w:b w:val="0"/>
                <w:bCs w:val="0"/>
                <w:kern w:val="2"/>
                <w:sz w:val="21"/>
                <w:szCs w:val="21"/>
                <w:highlight w:val="none"/>
                <w:lang w:eastAsia="zh-CN"/>
              </w:rPr>
              <w:t>，否则将不予认可；</w:t>
            </w:r>
          </w:p>
          <w:p w14:paraId="69D555ED">
            <w:pPr>
              <w:pStyle w:val="178"/>
              <w:spacing w:line="360" w:lineRule="auto"/>
              <w:rPr>
                <w:rFonts w:hint="eastAsia" w:ascii="宋体" w:hAnsi="宋体" w:eastAsia="宋体" w:cs="宋体"/>
                <w:b w:val="0"/>
                <w:bCs w:val="0"/>
                <w:color w:val="auto"/>
                <w:kern w:val="2"/>
                <w:sz w:val="21"/>
                <w:szCs w:val="21"/>
                <w:highlight w:val="yellow"/>
                <w:lang w:val="en-US" w:eastAsia="zh-CN" w:bidi="ar-SA"/>
              </w:rPr>
            </w:pPr>
            <w:r>
              <w:rPr>
                <w:rFonts w:hint="eastAsia" w:ascii="宋体" w:hAnsi="宋体" w:eastAsia="宋体" w:cs="宋体"/>
                <w:b w:val="0"/>
                <w:bCs w:val="0"/>
                <w:color w:val="auto"/>
                <w:kern w:val="2"/>
                <w:sz w:val="21"/>
                <w:szCs w:val="21"/>
                <w:highlight w:val="none"/>
                <w:lang w:val="en-US" w:eastAsia="zh-CN" w:bidi="ar-SA"/>
              </w:rPr>
              <w:t>2.以上证明材料投标人须按真实情况提供，如有造假行为按虚假应标处理；所有证明材料复印件（或扫描件）均须加盖投标人公章，同一项目多份合同按一项业务计算，未按要求提供相关证明材料或提供的证明材料不完整、不清晰的或无法判断的此项均不得分。</w:t>
            </w:r>
          </w:p>
          <w:p w14:paraId="10F0E857">
            <w:pPr>
              <w:pStyle w:val="178"/>
              <w:rPr>
                <w:rFonts w:hint="eastAsia" w:ascii="宋体" w:hAnsi="宋体" w:eastAsia="宋体" w:cs="宋体"/>
                <w:b w:val="0"/>
                <w:bCs w:val="0"/>
                <w:color w:val="auto"/>
                <w:kern w:val="2"/>
                <w:sz w:val="21"/>
                <w:szCs w:val="21"/>
                <w:highlight w:val="yellow"/>
                <w:lang w:val="en-US" w:eastAsia="zh-CN" w:bidi="ar-SA"/>
              </w:rPr>
            </w:pPr>
          </w:p>
          <w:p w14:paraId="1CE047F1">
            <w:pPr>
              <w:rPr>
                <w:b/>
                <w:bCs/>
                <w:color w:val="auto"/>
                <w:szCs w:val="21"/>
                <w:highlight w:val="none"/>
              </w:rPr>
            </w:pPr>
            <w:r>
              <w:rPr>
                <w:rFonts w:hint="eastAsia"/>
                <w:b/>
                <w:bCs/>
                <w:color w:val="auto"/>
                <w:szCs w:val="21"/>
                <w:highlight w:val="none"/>
              </w:rPr>
              <w:t>二、质量管理认证（满分</w:t>
            </w:r>
            <w:r>
              <w:rPr>
                <w:rFonts w:hint="eastAsia"/>
                <w:b/>
                <w:bCs/>
                <w:color w:val="auto"/>
                <w:szCs w:val="21"/>
                <w:highlight w:val="none"/>
                <w:lang w:val="en-US" w:eastAsia="zh-CN"/>
              </w:rPr>
              <w:t>1</w:t>
            </w:r>
            <w:r>
              <w:rPr>
                <w:rFonts w:hint="eastAsia"/>
                <w:b/>
                <w:bCs/>
                <w:color w:val="auto"/>
                <w:szCs w:val="21"/>
                <w:highlight w:val="none"/>
              </w:rPr>
              <w:t>分）</w:t>
            </w:r>
          </w:p>
          <w:p w14:paraId="5A37C46B">
            <w:pPr>
              <w:ind w:firstLine="420" w:firstLineChars="200"/>
              <w:rPr>
                <w:rFonts w:hint="eastAsia"/>
                <w:color w:val="auto"/>
                <w:szCs w:val="21"/>
                <w:highlight w:val="none"/>
              </w:rPr>
            </w:pPr>
            <w:r>
              <w:rPr>
                <w:rFonts w:hint="eastAsia" w:ascii="宋体" w:hAnsi="宋体" w:eastAsia="宋体" w:cs="宋体"/>
                <w:bCs/>
                <w:color w:val="auto"/>
                <w:szCs w:val="21"/>
                <w:highlight w:val="none"/>
                <w:lang w:eastAsia="zh-CN"/>
              </w:rPr>
              <w:t>投标产品</w:t>
            </w:r>
            <w:r>
              <w:rPr>
                <w:rFonts w:hint="eastAsia" w:ascii="宋体" w:hAnsi="宋体" w:eastAsia="宋体" w:cs="宋体"/>
                <w:bCs/>
                <w:color w:val="auto"/>
                <w:szCs w:val="21"/>
                <w:highlight w:val="none"/>
              </w:rPr>
              <w:t>生产厂家具有有效的ISO9001质量管理体系认证证书</w:t>
            </w:r>
            <w:r>
              <w:rPr>
                <w:rFonts w:hint="eastAsia" w:ascii="宋体" w:hAnsi="宋体" w:cs="宋体"/>
                <w:bCs/>
                <w:color w:val="auto"/>
                <w:szCs w:val="21"/>
                <w:highlight w:val="none"/>
                <w:lang w:val="en-US" w:eastAsia="zh-CN"/>
              </w:rPr>
              <w:t>或</w:t>
            </w:r>
            <w:r>
              <w:rPr>
                <w:rFonts w:hint="eastAsia" w:ascii="宋体" w:hAnsi="宋体" w:eastAsia="宋体" w:cs="宋体"/>
                <w:bCs/>
                <w:color w:val="auto"/>
                <w:szCs w:val="21"/>
                <w:highlight w:val="none"/>
              </w:rPr>
              <w:t>ISO13485医疗器械质量管理体系认证证书的，每个得</w:t>
            </w:r>
            <w:r>
              <w:rPr>
                <w:rFonts w:hint="eastAsia" w:ascii="宋体" w:hAnsi="宋体" w:eastAsia="宋体" w:cs="宋体"/>
                <w:bCs/>
                <w:color w:val="auto"/>
                <w:szCs w:val="21"/>
                <w:highlight w:val="none"/>
                <w:lang w:val="en-US" w:eastAsia="zh-CN"/>
              </w:rPr>
              <w:t>1</w:t>
            </w:r>
            <w:r>
              <w:rPr>
                <w:rFonts w:hint="eastAsia" w:ascii="宋体" w:hAnsi="宋体" w:eastAsia="宋体" w:cs="宋体"/>
                <w:bCs/>
                <w:color w:val="auto"/>
                <w:szCs w:val="21"/>
                <w:highlight w:val="none"/>
              </w:rPr>
              <w:t>分，满分</w:t>
            </w:r>
            <w:r>
              <w:rPr>
                <w:rFonts w:hint="eastAsia" w:ascii="宋体" w:hAnsi="宋体" w:cs="宋体"/>
                <w:bCs/>
                <w:color w:val="auto"/>
                <w:szCs w:val="21"/>
                <w:highlight w:val="none"/>
                <w:lang w:val="en-US" w:eastAsia="zh-CN"/>
              </w:rPr>
              <w:t>1</w:t>
            </w:r>
            <w:r>
              <w:rPr>
                <w:rFonts w:hint="eastAsia" w:ascii="宋体" w:hAnsi="宋体" w:eastAsia="宋体" w:cs="宋体"/>
                <w:bCs/>
                <w:color w:val="auto"/>
                <w:szCs w:val="21"/>
                <w:highlight w:val="none"/>
              </w:rPr>
              <w:t>分。提供证书复印件并加盖</w:t>
            </w:r>
            <w:r>
              <w:rPr>
                <w:rFonts w:hint="eastAsia" w:ascii="宋体" w:hAnsi="宋体" w:eastAsia="宋体" w:cs="宋体"/>
                <w:bCs/>
                <w:color w:val="auto"/>
                <w:szCs w:val="21"/>
                <w:highlight w:val="none"/>
                <w:lang w:eastAsia="zh-CN"/>
              </w:rPr>
              <w:t>投标人</w:t>
            </w:r>
            <w:r>
              <w:rPr>
                <w:rFonts w:hint="eastAsia" w:ascii="宋体" w:hAnsi="宋体" w:eastAsia="宋体" w:cs="宋体"/>
                <w:bCs/>
                <w:color w:val="auto"/>
                <w:szCs w:val="21"/>
                <w:highlight w:val="none"/>
              </w:rPr>
              <w:t>公章。</w:t>
            </w:r>
          </w:p>
          <w:p w14:paraId="4BBFFFCF">
            <w:pPr>
              <w:pStyle w:val="178"/>
              <w:rPr>
                <w:color w:val="auto"/>
                <w:highlight w:val="none"/>
              </w:rPr>
            </w:pPr>
          </w:p>
          <w:p w14:paraId="3D605590">
            <w:pPr>
              <w:pStyle w:val="178"/>
              <w:rPr>
                <w:rFonts w:hint="eastAsia" w:eastAsia="宋体"/>
                <w:b/>
                <w:bCs/>
                <w:color w:val="auto"/>
                <w:sz w:val="21"/>
                <w:szCs w:val="21"/>
                <w:highlight w:val="none"/>
                <w:lang w:eastAsia="zh-CN"/>
              </w:rPr>
            </w:pPr>
            <w:r>
              <w:rPr>
                <w:rFonts w:hint="eastAsia"/>
                <w:b/>
                <w:bCs/>
                <w:color w:val="auto"/>
                <w:sz w:val="21"/>
                <w:szCs w:val="21"/>
                <w:highlight w:val="none"/>
                <w:lang w:val="en-US" w:eastAsia="zh-CN"/>
              </w:rPr>
              <w:t>三、质保期</w:t>
            </w:r>
            <w:r>
              <w:rPr>
                <w:rFonts w:hint="eastAsia"/>
                <w:b/>
                <w:bCs/>
                <w:color w:val="auto"/>
                <w:sz w:val="21"/>
                <w:szCs w:val="21"/>
                <w:highlight w:val="none"/>
              </w:rPr>
              <w:t>（满分</w:t>
            </w:r>
            <w:r>
              <w:rPr>
                <w:rFonts w:hint="eastAsia"/>
                <w:b/>
                <w:bCs/>
                <w:color w:val="auto"/>
                <w:sz w:val="21"/>
                <w:szCs w:val="21"/>
                <w:highlight w:val="none"/>
                <w:lang w:val="en-US" w:eastAsia="zh-CN"/>
              </w:rPr>
              <w:t>3</w:t>
            </w:r>
            <w:r>
              <w:rPr>
                <w:rFonts w:hint="eastAsia"/>
                <w:b/>
                <w:bCs/>
                <w:color w:val="auto"/>
                <w:sz w:val="21"/>
                <w:szCs w:val="21"/>
                <w:highlight w:val="none"/>
              </w:rPr>
              <w:t>分）</w:t>
            </w:r>
          </w:p>
          <w:p w14:paraId="0F953029">
            <w:pPr>
              <w:pStyle w:val="178"/>
              <w:rPr>
                <w:rFonts w:hint="eastAsia"/>
                <w:b w:val="0"/>
                <w:bCs w:val="0"/>
                <w:color w:val="auto"/>
                <w:sz w:val="21"/>
                <w:szCs w:val="21"/>
                <w:highlight w:val="none"/>
              </w:rPr>
            </w:pPr>
            <w:r>
              <w:rPr>
                <w:rFonts w:hint="eastAsia"/>
                <w:b w:val="0"/>
                <w:bCs w:val="0"/>
                <w:color w:val="auto"/>
                <w:sz w:val="21"/>
                <w:szCs w:val="21"/>
                <w:highlight w:val="none"/>
              </w:rPr>
              <w:t>在满足基本质保期的基础上，质保期每延</w:t>
            </w:r>
            <w:r>
              <w:rPr>
                <w:rFonts w:hint="eastAsia"/>
                <w:b w:val="0"/>
                <w:bCs w:val="0"/>
                <w:color w:val="auto"/>
                <w:sz w:val="21"/>
                <w:szCs w:val="21"/>
                <w:highlight w:val="none"/>
                <w:lang w:val="en-US" w:eastAsia="zh-CN"/>
              </w:rPr>
              <w:t>长6个月</w:t>
            </w:r>
            <w:r>
              <w:rPr>
                <w:rFonts w:hint="eastAsia"/>
                <w:b w:val="0"/>
                <w:bCs w:val="0"/>
                <w:color w:val="auto"/>
                <w:sz w:val="21"/>
                <w:szCs w:val="21"/>
                <w:highlight w:val="none"/>
                <w:lang w:eastAsia="zh-CN"/>
              </w:rPr>
              <w:t>，</w:t>
            </w:r>
            <w:r>
              <w:rPr>
                <w:rFonts w:hint="eastAsia"/>
                <w:b w:val="0"/>
                <w:bCs w:val="0"/>
                <w:color w:val="auto"/>
                <w:sz w:val="21"/>
                <w:szCs w:val="21"/>
                <w:highlight w:val="none"/>
              </w:rPr>
              <w:t>得</w:t>
            </w:r>
            <w:r>
              <w:rPr>
                <w:rFonts w:hint="eastAsia"/>
                <w:b w:val="0"/>
                <w:bCs w:val="0"/>
                <w:color w:val="auto"/>
                <w:sz w:val="21"/>
                <w:szCs w:val="21"/>
                <w:highlight w:val="none"/>
                <w:lang w:val="en-US" w:eastAsia="zh-CN"/>
              </w:rPr>
              <w:t>1.5</w:t>
            </w:r>
            <w:r>
              <w:rPr>
                <w:rFonts w:hint="eastAsia"/>
                <w:b w:val="0"/>
                <w:bCs w:val="0"/>
                <w:color w:val="auto"/>
                <w:sz w:val="21"/>
                <w:szCs w:val="21"/>
                <w:highlight w:val="none"/>
              </w:rPr>
              <w:t>分，满分</w:t>
            </w:r>
            <w:r>
              <w:rPr>
                <w:rFonts w:hint="eastAsia"/>
                <w:b w:val="0"/>
                <w:bCs w:val="0"/>
                <w:color w:val="auto"/>
                <w:sz w:val="21"/>
                <w:szCs w:val="21"/>
                <w:highlight w:val="none"/>
                <w:lang w:val="en-US" w:eastAsia="zh-CN"/>
              </w:rPr>
              <w:t>3</w:t>
            </w:r>
            <w:r>
              <w:rPr>
                <w:rFonts w:hint="eastAsia"/>
                <w:b w:val="0"/>
                <w:bCs w:val="0"/>
                <w:color w:val="auto"/>
                <w:sz w:val="21"/>
                <w:szCs w:val="21"/>
                <w:highlight w:val="none"/>
              </w:rPr>
              <w:t>分。</w:t>
            </w:r>
          </w:p>
          <w:p w14:paraId="0BAD6A50">
            <w:pPr>
              <w:adjustRightInd w:val="0"/>
              <w:spacing w:line="360" w:lineRule="auto"/>
              <w:jc w:val="both"/>
              <w:textAlignment w:val="baseline"/>
              <w:rPr>
                <w:rFonts w:hint="eastAsia"/>
                <w:b/>
                <w:bCs/>
                <w:color w:val="auto"/>
                <w:szCs w:val="21"/>
                <w:highlight w:val="none"/>
                <w:lang w:val="en-US" w:eastAsia="zh-CN"/>
              </w:rPr>
            </w:pPr>
          </w:p>
          <w:p w14:paraId="5F76DD5C">
            <w:pPr>
              <w:rPr>
                <w:strike w:val="0"/>
                <w:dstrike w:val="0"/>
                <w:color w:val="auto"/>
                <w:szCs w:val="21"/>
                <w:highlight w:val="none"/>
              </w:rPr>
            </w:pPr>
            <w:r>
              <w:rPr>
                <w:rFonts w:hint="eastAsia"/>
                <w:b/>
                <w:bCs/>
                <w:strike w:val="0"/>
                <w:dstrike w:val="0"/>
                <w:color w:val="auto"/>
                <w:szCs w:val="21"/>
                <w:highlight w:val="none"/>
                <w:lang w:val="en-US" w:eastAsia="zh-CN"/>
              </w:rPr>
              <w:t>四</w:t>
            </w:r>
            <w:r>
              <w:rPr>
                <w:rFonts w:hint="eastAsia"/>
                <w:b/>
                <w:bCs/>
                <w:strike w:val="0"/>
                <w:dstrike w:val="0"/>
                <w:color w:val="auto"/>
                <w:szCs w:val="21"/>
                <w:highlight w:val="none"/>
              </w:rPr>
              <w:t>、设备操作、使用及维护培训方案（满分</w:t>
            </w:r>
            <w:r>
              <w:rPr>
                <w:rFonts w:hint="eastAsia"/>
                <w:b/>
                <w:bCs/>
                <w:strike w:val="0"/>
                <w:dstrike w:val="0"/>
                <w:color w:val="auto"/>
                <w:szCs w:val="21"/>
                <w:highlight w:val="none"/>
                <w:lang w:val="en-US" w:eastAsia="zh-CN"/>
              </w:rPr>
              <w:t>12</w:t>
            </w:r>
            <w:r>
              <w:rPr>
                <w:rFonts w:hint="eastAsia"/>
                <w:b/>
                <w:bCs/>
                <w:strike w:val="0"/>
                <w:dstrike w:val="0"/>
                <w:color w:val="auto"/>
                <w:szCs w:val="21"/>
                <w:highlight w:val="none"/>
              </w:rPr>
              <w:t>分）</w:t>
            </w:r>
          </w:p>
          <w:p w14:paraId="147C1FF6">
            <w:pPr>
              <w:ind w:firstLine="420" w:firstLineChars="200"/>
              <w:rPr>
                <w:rFonts w:hint="eastAsia"/>
                <w:b w:val="0"/>
                <w:bCs w:val="0"/>
                <w:strike w:val="0"/>
                <w:dstrike w:val="0"/>
                <w:color w:val="auto"/>
                <w:szCs w:val="21"/>
                <w:highlight w:val="none"/>
                <w:lang w:val="en-US" w:eastAsia="zh-CN"/>
              </w:rPr>
            </w:pPr>
            <w:r>
              <w:rPr>
                <w:rFonts w:hint="eastAsia"/>
                <w:b w:val="0"/>
                <w:bCs w:val="0"/>
                <w:strike w:val="0"/>
                <w:dstrike w:val="0"/>
                <w:color w:val="auto"/>
                <w:szCs w:val="21"/>
                <w:highlight w:val="none"/>
                <w:lang w:val="en-US" w:eastAsia="zh-CN"/>
              </w:rPr>
              <w:t xml:space="preserve">一档（0分）：投标文件中未提供设备操作、使用及维护培训方案不得分。 </w:t>
            </w:r>
          </w:p>
          <w:p w14:paraId="195ABCE5">
            <w:pPr>
              <w:ind w:firstLine="420" w:firstLineChars="200"/>
              <w:rPr>
                <w:rFonts w:hint="eastAsia"/>
                <w:b w:val="0"/>
                <w:bCs w:val="0"/>
                <w:strike w:val="0"/>
                <w:dstrike w:val="0"/>
                <w:color w:val="auto"/>
                <w:szCs w:val="21"/>
                <w:highlight w:val="none"/>
                <w:lang w:val="en-US" w:eastAsia="zh-CN"/>
              </w:rPr>
            </w:pPr>
            <w:r>
              <w:rPr>
                <w:rFonts w:hint="eastAsia"/>
                <w:b w:val="0"/>
                <w:bCs w:val="0"/>
                <w:strike w:val="0"/>
                <w:dstrike w:val="0"/>
                <w:color w:val="auto"/>
                <w:szCs w:val="21"/>
                <w:highlight w:val="none"/>
                <w:lang w:val="en-US" w:eastAsia="zh-CN"/>
              </w:rPr>
              <w:t xml:space="preserve">二档（3分）：提供设备操作、使用及维护培训方案，方案内容具有简单的设备操作、使用及维护培训计划，包含招标文件要求的设备使用培训内容，提供专业技术人员对招标人进行培训，产品交付使用时对招标人进行 1 次设备操作、使用及维护培训，验收合格后对招标人进行 2 次设备操作、使用及维护培训，每次培训时长不低于 20 分钟，培训内容有设备标准操作方法、设备使用注意事项。 </w:t>
            </w:r>
          </w:p>
          <w:p w14:paraId="0C69FED9">
            <w:pPr>
              <w:ind w:firstLine="420" w:firstLineChars="200"/>
              <w:rPr>
                <w:rFonts w:hint="eastAsia"/>
                <w:b w:val="0"/>
                <w:bCs w:val="0"/>
                <w:strike w:val="0"/>
                <w:dstrike w:val="0"/>
                <w:color w:val="auto"/>
                <w:szCs w:val="21"/>
                <w:highlight w:val="none"/>
                <w:lang w:val="en-US" w:eastAsia="zh-CN"/>
              </w:rPr>
            </w:pPr>
            <w:r>
              <w:rPr>
                <w:rFonts w:hint="eastAsia"/>
                <w:b w:val="0"/>
                <w:bCs w:val="0"/>
                <w:strike w:val="0"/>
                <w:dstrike w:val="0"/>
                <w:color w:val="auto"/>
                <w:szCs w:val="21"/>
                <w:highlight w:val="none"/>
                <w:lang w:val="en-US" w:eastAsia="zh-CN"/>
              </w:rPr>
              <w:t xml:space="preserve">三档（6分）：提供设备操作、使用及维护培训方案，方案内容具有详细的设备操作、使用及维护培训计划，包含招标文件要求的设备使用培训内容，提供专业技术人员对招标人进行培训，产品交付使用时对招标人进行至少1次设备操作、使用及维护培训，验收合格后对招标人进行至少3次设备操作、使用及维护培训，每次培训时长不低于 20分钟，培训内容有设备标准操作方法、设备使用注意事项、设备基础维护知识。 </w:t>
            </w:r>
          </w:p>
          <w:p w14:paraId="2195A255">
            <w:pPr>
              <w:ind w:firstLine="420" w:firstLineChars="200"/>
              <w:rPr>
                <w:rFonts w:hint="eastAsia"/>
                <w:b w:val="0"/>
                <w:bCs w:val="0"/>
                <w:strike w:val="0"/>
                <w:dstrike w:val="0"/>
                <w:color w:val="auto"/>
                <w:szCs w:val="21"/>
                <w:highlight w:val="none"/>
                <w:lang w:val="en-US" w:eastAsia="zh-CN"/>
              </w:rPr>
            </w:pPr>
            <w:r>
              <w:rPr>
                <w:rFonts w:hint="eastAsia"/>
                <w:b w:val="0"/>
                <w:bCs w:val="0"/>
                <w:strike w:val="0"/>
                <w:dstrike w:val="0"/>
                <w:color w:val="auto"/>
                <w:szCs w:val="21"/>
                <w:highlight w:val="none"/>
                <w:lang w:val="en-US" w:eastAsia="zh-CN"/>
              </w:rPr>
              <w:t xml:space="preserve">四档（9分）：提供设备操作、使用及维护培训方案，方案内容具有设备操作、使用及维护培训计划，包含招标文件要求的设备使用培训内容，提供专业技术人员对招标人进行培训，产品交付使用时对招标人进行至少 1 次设备操作、使用及维护培训，验收合格后对招标人进行至少 3 次设备操作、使用及维护培训，每次培训时长不低于 25 分钟，培训内容有设备标准操作方法、设备使用注意事项、设备基础维护知识、设备一般故障处理方法、设备重大故障处理方法、设备维护保养细则。 </w:t>
            </w:r>
          </w:p>
          <w:p w14:paraId="60CEA6F3">
            <w:pPr>
              <w:ind w:firstLine="420" w:firstLineChars="200"/>
              <w:rPr>
                <w:rFonts w:hint="eastAsia"/>
                <w:b w:val="0"/>
                <w:bCs w:val="0"/>
                <w:strike w:val="0"/>
                <w:dstrike w:val="0"/>
                <w:color w:val="auto"/>
                <w:szCs w:val="21"/>
                <w:highlight w:val="none"/>
                <w:lang w:val="en-US" w:eastAsia="zh-CN"/>
              </w:rPr>
            </w:pPr>
            <w:r>
              <w:rPr>
                <w:rFonts w:hint="eastAsia"/>
                <w:b w:val="0"/>
                <w:bCs w:val="0"/>
                <w:strike w:val="0"/>
                <w:dstrike w:val="0"/>
                <w:color w:val="auto"/>
                <w:szCs w:val="21"/>
                <w:highlight w:val="none"/>
                <w:lang w:val="en-US" w:eastAsia="zh-CN"/>
              </w:rPr>
              <w:t>五档（12 分）：提供设备操作、使用及维护培训方案，方案内容具有设备操作、使用及维护培训计划，包含招标文件要求的设备使用培训内容，提供专业技术人员对招标人进行培训，产品交付使用时对招标人进行至少 1 次设备操作、使用及维护培训，验收合格后对招标人进行至少 4 次设备操作、使用及维护培训，每次培训时长不低于 30 分钟，培训内容有设备标准操作方法、设备使用注意事项、设备基础维护知识、设备一般故障处理方法、设备重大故障处理方法、设备维护保养细则、设备使用技术指导。</w:t>
            </w:r>
          </w:p>
          <w:p w14:paraId="642945FB">
            <w:pPr>
              <w:rPr>
                <w:rFonts w:hint="eastAsia"/>
                <w:b w:val="0"/>
                <w:bCs w:val="0"/>
                <w:strike w:val="0"/>
                <w:dstrike w:val="0"/>
                <w:color w:val="auto"/>
                <w:szCs w:val="21"/>
                <w:highlight w:val="none"/>
                <w:lang w:val="en-US" w:eastAsia="zh-CN"/>
              </w:rPr>
            </w:pPr>
          </w:p>
          <w:p w14:paraId="5678A8C2">
            <w:pPr>
              <w:rPr>
                <w:rFonts w:hint="eastAsia"/>
                <w:b/>
                <w:bCs/>
                <w:strike w:val="0"/>
                <w:dstrike w:val="0"/>
                <w:color w:val="auto"/>
                <w:szCs w:val="21"/>
                <w:highlight w:val="none"/>
                <w:lang w:val="en-US" w:eastAsia="zh-CN"/>
              </w:rPr>
            </w:pPr>
            <w:r>
              <w:rPr>
                <w:rFonts w:hint="eastAsia"/>
                <w:b/>
                <w:bCs/>
                <w:strike w:val="0"/>
                <w:dstrike w:val="0"/>
                <w:color w:val="auto"/>
                <w:szCs w:val="21"/>
                <w:highlight w:val="none"/>
                <w:lang w:val="en-US" w:eastAsia="zh-CN"/>
              </w:rPr>
              <w:t>五、售后服务方案</w:t>
            </w:r>
            <w:r>
              <w:rPr>
                <w:rFonts w:hint="eastAsia"/>
                <w:b/>
                <w:bCs/>
                <w:strike w:val="0"/>
                <w:dstrike w:val="0"/>
                <w:color w:val="auto"/>
                <w:sz w:val="21"/>
                <w:szCs w:val="21"/>
                <w:highlight w:val="none"/>
              </w:rPr>
              <w:t>（满分</w:t>
            </w:r>
            <w:r>
              <w:rPr>
                <w:rFonts w:hint="eastAsia"/>
                <w:b/>
                <w:bCs/>
                <w:strike w:val="0"/>
                <w:dstrike w:val="0"/>
                <w:color w:val="auto"/>
                <w:sz w:val="21"/>
                <w:szCs w:val="21"/>
                <w:highlight w:val="none"/>
                <w:lang w:val="en-US" w:eastAsia="zh-CN"/>
              </w:rPr>
              <w:t>8</w:t>
            </w:r>
            <w:r>
              <w:rPr>
                <w:rFonts w:hint="eastAsia"/>
                <w:b/>
                <w:bCs/>
                <w:strike w:val="0"/>
                <w:dstrike w:val="0"/>
                <w:color w:val="auto"/>
                <w:sz w:val="21"/>
                <w:szCs w:val="21"/>
                <w:highlight w:val="none"/>
              </w:rPr>
              <w:t>分）</w:t>
            </w:r>
          </w:p>
          <w:p w14:paraId="445C526A">
            <w:pPr>
              <w:ind w:firstLine="420" w:firstLineChars="200"/>
              <w:rPr>
                <w:rFonts w:hint="default"/>
                <w:b w:val="0"/>
                <w:bCs w:val="0"/>
                <w:strike w:val="0"/>
                <w:dstrike w:val="0"/>
                <w:color w:val="auto"/>
                <w:szCs w:val="21"/>
                <w:highlight w:val="none"/>
                <w:lang w:val="en-US" w:eastAsia="zh-CN"/>
              </w:rPr>
            </w:pPr>
            <w:r>
              <w:rPr>
                <w:rFonts w:hint="default"/>
                <w:b w:val="0"/>
                <w:bCs w:val="0"/>
                <w:strike w:val="0"/>
                <w:dstrike w:val="0"/>
                <w:color w:val="auto"/>
                <w:szCs w:val="21"/>
                <w:highlight w:val="none"/>
                <w:lang w:val="en-US" w:eastAsia="zh-CN"/>
              </w:rPr>
              <w:t>一档（</w:t>
            </w:r>
            <w:r>
              <w:rPr>
                <w:rFonts w:hint="eastAsia"/>
                <w:b w:val="0"/>
                <w:bCs w:val="0"/>
                <w:strike w:val="0"/>
                <w:dstrike w:val="0"/>
                <w:color w:val="auto"/>
                <w:szCs w:val="21"/>
                <w:highlight w:val="none"/>
                <w:lang w:val="en-US" w:eastAsia="zh-CN"/>
              </w:rPr>
              <w:t>4</w:t>
            </w:r>
            <w:r>
              <w:rPr>
                <w:rFonts w:hint="default"/>
                <w:b w:val="0"/>
                <w:bCs w:val="0"/>
                <w:strike w:val="0"/>
                <w:dstrike w:val="0"/>
                <w:color w:val="auto"/>
                <w:szCs w:val="21"/>
                <w:highlight w:val="none"/>
                <w:lang w:val="en-US" w:eastAsia="zh-CN"/>
              </w:rPr>
              <w:t xml:space="preserve">分）：有售后服务方案，但缺乏保障措施或内容与本项目不符或有漏项。 </w:t>
            </w:r>
          </w:p>
          <w:p w14:paraId="14935C23">
            <w:pPr>
              <w:ind w:firstLine="420" w:firstLineChars="200"/>
              <w:rPr>
                <w:rFonts w:hint="default"/>
                <w:b w:val="0"/>
                <w:bCs w:val="0"/>
                <w:strike w:val="0"/>
                <w:dstrike w:val="0"/>
                <w:color w:val="auto"/>
                <w:szCs w:val="21"/>
                <w:highlight w:val="none"/>
                <w:lang w:val="en-US" w:eastAsia="zh-CN"/>
              </w:rPr>
            </w:pPr>
            <w:r>
              <w:rPr>
                <w:rFonts w:hint="default"/>
                <w:b w:val="0"/>
                <w:bCs w:val="0"/>
                <w:strike w:val="0"/>
                <w:dstrike w:val="0"/>
                <w:color w:val="auto"/>
                <w:szCs w:val="21"/>
                <w:highlight w:val="none"/>
                <w:lang w:val="en-US" w:eastAsia="zh-CN"/>
              </w:rPr>
              <w:t>二档（</w:t>
            </w:r>
            <w:r>
              <w:rPr>
                <w:rFonts w:hint="eastAsia"/>
                <w:b w:val="0"/>
                <w:bCs w:val="0"/>
                <w:strike w:val="0"/>
                <w:dstrike w:val="0"/>
                <w:color w:val="auto"/>
                <w:szCs w:val="21"/>
                <w:highlight w:val="none"/>
                <w:lang w:val="en-US" w:eastAsia="zh-CN"/>
              </w:rPr>
              <w:t>6</w:t>
            </w:r>
            <w:r>
              <w:rPr>
                <w:rFonts w:hint="default"/>
                <w:b w:val="0"/>
                <w:bCs w:val="0"/>
                <w:strike w:val="0"/>
                <w:dstrike w:val="0"/>
                <w:color w:val="auto"/>
                <w:szCs w:val="21"/>
                <w:highlight w:val="none"/>
                <w:lang w:val="en-US" w:eastAsia="zh-CN"/>
              </w:rPr>
              <w:t xml:space="preserve">分）：售后方案全面，提供售后技术服务人员不少于 1 人且有固定售后服务场所，定期对设备进行维护和检修，能及时有效的提供技术支持和解决方案，可提供质保期内的原厂售后服务承诺。 </w:t>
            </w:r>
          </w:p>
          <w:p w14:paraId="314D5757">
            <w:pPr>
              <w:ind w:firstLine="420" w:firstLineChars="200"/>
              <w:rPr>
                <w:rFonts w:hint="default"/>
                <w:b/>
                <w:bCs/>
                <w:color w:val="auto"/>
                <w:szCs w:val="21"/>
                <w:highlight w:val="none"/>
                <w:lang w:val="en-US" w:eastAsia="zh-CN"/>
              </w:rPr>
            </w:pPr>
            <w:r>
              <w:rPr>
                <w:rFonts w:hint="default"/>
                <w:b w:val="0"/>
                <w:bCs w:val="0"/>
                <w:strike w:val="0"/>
                <w:dstrike w:val="0"/>
                <w:color w:val="auto"/>
                <w:szCs w:val="21"/>
                <w:highlight w:val="none"/>
                <w:lang w:val="en-US" w:eastAsia="zh-CN"/>
              </w:rPr>
              <w:t>三档（</w:t>
            </w:r>
            <w:r>
              <w:rPr>
                <w:rFonts w:hint="eastAsia"/>
                <w:b w:val="0"/>
                <w:bCs w:val="0"/>
                <w:strike w:val="0"/>
                <w:dstrike w:val="0"/>
                <w:color w:val="auto"/>
                <w:szCs w:val="21"/>
                <w:highlight w:val="none"/>
                <w:lang w:val="en-US" w:eastAsia="zh-CN"/>
              </w:rPr>
              <w:t>8</w:t>
            </w:r>
            <w:r>
              <w:rPr>
                <w:rFonts w:hint="default"/>
                <w:b w:val="0"/>
                <w:bCs w:val="0"/>
                <w:strike w:val="0"/>
                <w:dstrike w:val="0"/>
                <w:color w:val="auto"/>
                <w:szCs w:val="21"/>
                <w:highlight w:val="none"/>
                <w:lang w:val="en-US" w:eastAsia="zh-CN"/>
              </w:rPr>
              <w:t>分）：满足二档的基础上，具有远程维修服务、应急预案、质量保障方案措施，针对医疗机构的售后服务经验丰富，耗材和备品备件库存配备充足可及时供应，系统及时更新升级，技术服务人员不少于 2 人。</w:t>
            </w:r>
          </w:p>
        </w:tc>
        <w:tc>
          <w:tcPr>
            <w:tcW w:w="1196" w:type="dxa"/>
            <w:noWrap w:val="0"/>
            <w:vAlign w:val="center"/>
          </w:tcPr>
          <w:p w14:paraId="11F66DC4">
            <w:pPr>
              <w:jc w:val="center"/>
              <w:rPr>
                <w:rFonts w:hint="default" w:eastAsia="宋体"/>
                <w:color w:val="auto"/>
                <w:szCs w:val="21"/>
                <w:highlight w:val="none"/>
                <w:lang w:val="en-US" w:eastAsia="zh-CN"/>
              </w:rPr>
            </w:pPr>
            <w:r>
              <w:rPr>
                <w:rFonts w:hint="eastAsia"/>
                <w:color w:val="auto"/>
                <w:szCs w:val="21"/>
                <w:highlight w:val="none"/>
                <w:lang w:val="en-US" w:eastAsia="zh-CN"/>
              </w:rPr>
              <w:t>29</w:t>
            </w:r>
          </w:p>
        </w:tc>
        <w:tc>
          <w:tcPr>
            <w:tcW w:w="1029" w:type="dxa"/>
            <w:noWrap w:val="0"/>
            <w:vAlign w:val="center"/>
          </w:tcPr>
          <w:p w14:paraId="110A48CE">
            <w:pPr>
              <w:rPr>
                <w:color w:val="4472C4"/>
                <w:szCs w:val="21"/>
              </w:rPr>
            </w:pPr>
          </w:p>
        </w:tc>
      </w:tr>
    </w:tbl>
    <w:p w14:paraId="6BFA996F">
      <w:pPr>
        <w:ind w:firstLine="315" w:firstLineChars="150"/>
        <w:rPr>
          <w:lang w:val="zh-CN"/>
        </w:rPr>
      </w:pPr>
    </w:p>
    <w:p w14:paraId="21FAAF98">
      <w:pPr>
        <w:pStyle w:val="26"/>
        <w:snapToGrid w:val="0"/>
        <w:ind w:firstLine="315" w:firstLineChars="150"/>
        <w:rPr>
          <w:rFonts w:ascii="Times New Roman" w:hAnsi="Times New Roman" w:cs="Times New Roman"/>
          <w:b/>
          <w:color w:val="4472C4"/>
          <w:sz w:val="24"/>
          <w:szCs w:val="24"/>
        </w:rPr>
      </w:pPr>
      <w:r>
        <w:rPr>
          <w:rFonts w:hint="eastAsia"/>
          <w:lang w:val="zh-CN"/>
        </w:rPr>
        <w:t>（2）投标报价分</w:t>
      </w:r>
    </w:p>
    <w:tbl>
      <w:tblPr>
        <w:tblStyle w:val="51"/>
        <w:tblW w:w="861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6"/>
        <w:gridCol w:w="1913"/>
        <w:gridCol w:w="3244"/>
        <w:gridCol w:w="736"/>
        <w:gridCol w:w="1983"/>
      </w:tblGrid>
      <w:tr w14:paraId="7575ED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5" w:hRule="atLeast"/>
          <w:jc w:val="center"/>
        </w:trPr>
        <w:tc>
          <w:tcPr>
            <w:tcW w:w="736" w:type="dxa"/>
            <w:noWrap w:val="0"/>
            <w:vAlign w:val="center"/>
          </w:tcPr>
          <w:p w14:paraId="17108677">
            <w:pPr>
              <w:jc w:val="center"/>
              <w:rPr>
                <w:b/>
                <w:szCs w:val="21"/>
              </w:rPr>
            </w:pPr>
            <w:r>
              <w:rPr>
                <w:b/>
                <w:szCs w:val="21"/>
              </w:rPr>
              <w:t>序号</w:t>
            </w:r>
          </w:p>
        </w:tc>
        <w:tc>
          <w:tcPr>
            <w:tcW w:w="1913" w:type="dxa"/>
            <w:noWrap w:val="0"/>
            <w:vAlign w:val="center"/>
          </w:tcPr>
          <w:p w14:paraId="6D116BF8">
            <w:pPr>
              <w:jc w:val="center"/>
              <w:rPr>
                <w:b/>
                <w:szCs w:val="21"/>
              </w:rPr>
            </w:pPr>
            <w:r>
              <w:rPr>
                <w:rFonts w:hint="eastAsia"/>
                <w:b/>
                <w:szCs w:val="21"/>
              </w:rPr>
              <w:t>类型</w:t>
            </w:r>
          </w:p>
        </w:tc>
        <w:tc>
          <w:tcPr>
            <w:tcW w:w="3244" w:type="dxa"/>
            <w:noWrap w:val="0"/>
            <w:vAlign w:val="center"/>
          </w:tcPr>
          <w:p w14:paraId="36769B0A">
            <w:pPr>
              <w:jc w:val="center"/>
              <w:rPr>
                <w:b/>
                <w:szCs w:val="21"/>
              </w:rPr>
            </w:pPr>
            <w:r>
              <w:rPr>
                <w:rFonts w:hint="eastAsia"/>
                <w:b/>
                <w:szCs w:val="21"/>
              </w:rPr>
              <w:t>评分标准</w:t>
            </w:r>
          </w:p>
        </w:tc>
        <w:tc>
          <w:tcPr>
            <w:tcW w:w="736" w:type="dxa"/>
            <w:noWrap w:val="0"/>
            <w:vAlign w:val="center"/>
          </w:tcPr>
          <w:p w14:paraId="64C7404A">
            <w:pPr>
              <w:jc w:val="center"/>
              <w:rPr>
                <w:b/>
                <w:szCs w:val="21"/>
              </w:rPr>
            </w:pPr>
            <w:r>
              <w:rPr>
                <w:rFonts w:hint="eastAsia"/>
                <w:b/>
                <w:szCs w:val="21"/>
              </w:rPr>
              <w:t>分值权重</w:t>
            </w:r>
          </w:p>
        </w:tc>
        <w:tc>
          <w:tcPr>
            <w:tcW w:w="1983" w:type="dxa"/>
            <w:noWrap w:val="0"/>
            <w:vAlign w:val="center"/>
          </w:tcPr>
          <w:p w14:paraId="5DD8130D">
            <w:pPr>
              <w:jc w:val="center"/>
              <w:rPr>
                <w:b/>
                <w:szCs w:val="21"/>
              </w:rPr>
            </w:pPr>
            <w:r>
              <w:rPr>
                <w:b/>
                <w:szCs w:val="21"/>
              </w:rPr>
              <w:t>说明</w:t>
            </w:r>
          </w:p>
        </w:tc>
      </w:tr>
      <w:tr w14:paraId="0B69B3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5" w:hRule="atLeast"/>
          <w:jc w:val="center"/>
        </w:trPr>
        <w:tc>
          <w:tcPr>
            <w:tcW w:w="736" w:type="dxa"/>
            <w:noWrap w:val="0"/>
            <w:vAlign w:val="center"/>
          </w:tcPr>
          <w:p w14:paraId="4058184C">
            <w:pPr>
              <w:jc w:val="center"/>
              <w:rPr>
                <w:b/>
                <w:szCs w:val="21"/>
              </w:rPr>
            </w:pPr>
            <w:r>
              <w:rPr>
                <w:rFonts w:hint="eastAsia"/>
                <w:b/>
                <w:szCs w:val="21"/>
              </w:rPr>
              <w:t>1</w:t>
            </w:r>
          </w:p>
        </w:tc>
        <w:tc>
          <w:tcPr>
            <w:tcW w:w="1913" w:type="dxa"/>
            <w:noWrap w:val="0"/>
            <w:vAlign w:val="center"/>
          </w:tcPr>
          <w:p w14:paraId="3A24D213">
            <w:pPr>
              <w:jc w:val="center"/>
              <w:rPr>
                <w:color w:val="4472C4"/>
                <w:szCs w:val="21"/>
              </w:rPr>
            </w:pPr>
            <w:r>
              <w:rPr>
                <w:rFonts w:hint="eastAsia"/>
                <w:szCs w:val="21"/>
              </w:rPr>
              <w:t>投标报价分</w:t>
            </w:r>
          </w:p>
        </w:tc>
        <w:tc>
          <w:tcPr>
            <w:tcW w:w="3244" w:type="dxa"/>
            <w:noWrap w:val="0"/>
            <w:vAlign w:val="center"/>
          </w:tcPr>
          <w:p w14:paraId="5C9798A3">
            <w:pPr>
              <w:rPr>
                <w:szCs w:val="21"/>
              </w:rPr>
            </w:pPr>
            <w:r>
              <w:rPr>
                <w:rFonts w:hint="eastAsia"/>
                <w:szCs w:val="21"/>
              </w:rPr>
              <w:t>以满足招标文件要求且投标价格最低的投标报价为评审基准价，其价格分为满分。其他供应商的价格分统一按照下列公式计算：投标报价得分</w:t>
            </w:r>
            <w:r>
              <w:rPr>
                <w:szCs w:val="21"/>
              </w:rPr>
              <w:t>=（评审基准价/投标报价）×投标报价分满分分值。</w:t>
            </w:r>
          </w:p>
        </w:tc>
        <w:tc>
          <w:tcPr>
            <w:tcW w:w="736" w:type="dxa"/>
            <w:noWrap w:val="0"/>
            <w:vAlign w:val="center"/>
          </w:tcPr>
          <w:p w14:paraId="679523D7">
            <w:pPr>
              <w:jc w:val="center"/>
              <w:rPr>
                <w:rFonts w:hint="default" w:eastAsia="宋体"/>
                <w:color w:val="4472C4"/>
                <w:szCs w:val="21"/>
                <w:lang w:val="en-US" w:eastAsia="zh-CN"/>
              </w:rPr>
            </w:pPr>
            <w:r>
              <w:rPr>
                <w:rFonts w:hint="eastAsia"/>
                <w:color w:val="auto"/>
                <w:szCs w:val="21"/>
                <w:highlight w:val="none"/>
                <w:lang w:val="en-US" w:eastAsia="zh-CN"/>
              </w:rPr>
              <w:t>30</w:t>
            </w:r>
          </w:p>
        </w:tc>
        <w:tc>
          <w:tcPr>
            <w:tcW w:w="1983" w:type="dxa"/>
            <w:noWrap w:val="0"/>
            <w:vAlign w:val="center"/>
          </w:tcPr>
          <w:p w14:paraId="0AD0F7D1">
            <w:pPr>
              <w:rPr>
                <w:color w:val="4472C4"/>
                <w:szCs w:val="21"/>
              </w:rPr>
            </w:pPr>
            <w:r>
              <w:rPr>
                <w:rFonts w:hint="eastAsia"/>
                <w:color w:val="auto"/>
                <w:szCs w:val="21"/>
                <w:highlight w:val="none"/>
              </w:rPr>
              <w:t>本项目为专门面向中小企业采购的项目，不再执行价格优惠评审政策。</w:t>
            </w:r>
          </w:p>
        </w:tc>
      </w:tr>
    </w:tbl>
    <w:p w14:paraId="0CD2DFA8">
      <w:pPr>
        <w:spacing w:before="120" w:line="320" w:lineRule="atLeast"/>
        <w:ind w:firstLine="316" w:firstLineChars="150"/>
        <w:rPr>
          <w:rFonts w:hint="eastAsia"/>
          <w:b/>
          <w:bCs/>
          <w:kern w:val="0"/>
          <w:szCs w:val="21"/>
        </w:rPr>
      </w:pPr>
      <w:bookmarkStart w:id="117" w:name="_Hlk132791948"/>
      <w:r>
        <w:rPr>
          <w:rFonts w:hint="eastAsia"/>
          <w:b/>
          <w:bCs/>
          <w:kern w:val="0"/>
          <w:szCs w:val="21"/>
        </w:rPr>
        <w:t>注：涉及政府采购价格评审优惠政策叠加的，按照相关政策要求统一从对应报价的基础上进行价格扣除，用投标总价减去扣除金额之和的价格参加评审。</w:t>
      </w:r>
    </w:p>
    <w:p w14:paraId="127C3E30">
      <w:pPr>
        <w:spacing w:before="120" w:line="320" w:lineRule="atLeast"/>
        <w:ind w:firstLine="316" w:firstLineChars="150"/>
        <w:rPr>
          <w:rFonts w:hint="eastAsia" w:eastAsia="宋体"/>
          <w:szCs w:val="21"/>
          <w:highlight w:val="none"/>
          <w:lang w:val="en-US" w:eastAsia="zh-CN"/>
        </w:rPr>
      </w:pPr>
      <w:r>
        <w:rPr>
          <w:b/>
          <w:bCs/>
          <w:kern w:val="0"/>
          <w:szCs w:val="21"/>
        </w:rPr>
        <w:t>政策性扣除计算方法</w:t>
      </w:r>
      <w:r>
        <w:rPr>
          <w:rFonts w:hint="eastAsia"/>
          <w:lang w:eastAsia="zh-CN"/>
        </w:rPr>
        <w:t>：</w:t>
      </w:r>
    </w:p>
    <w:bookmarkEnd w:id="117"/>
    <w:p w14:paraId="40FDF3E3">
      <w:pPr>
        <w:rPr>
          <w:highlight w:val="yellow"/>
        </w:rPr>
      </w:pPr>
    </w:p>
    <w:p w14:paraId="5FD6CACB">
      <w:pPr>
        <w:ind w:firstLine="420" w:firstLineChars="200"/>
        <w:rPr>
          <w:highlight w:val="none"/>
        </w:rPr>
      </w:pPr>
      <w:r>
        <w:rPr>
          <w:rFonts w:hint="eastAsia"/>
          <w:highlight w:val="none"/>
          <w:lang w:val="en-US" w:eastAsia="zh-CN"/>
        </w:rPr>
        <w:t>1）本国产品的价格扣除计算：</w:t>
      </w:r>
      <w:r>
        <w:rPr>
          <w:rFonts w:hint="eastAsia"/>
          <w:highlight w:val="none"/>
        </w:rPr>
        <w:t>供应商投标</w:t>
      </w:r>
      <w:r>
        <w:rPr>
          <w:highlight w:val="none"/>
        </w:rPr>
        <w:t>报价将按相应比例进行扣除，用扣除后的价格参与评审（计算价格分）</w:t>
      </w:r>
      <w:r>
        <w:rPr>
          <w:rFonts w:hint="eastAsia"/>
          <w:highlight w:val="none"/>
        </w:rPr>
        <w:t>，价格扣除比例分别如下：</w:t>
      </w:r>
    </w:p>
    <w:tbl>
      <w:tblPr>
        <w:tblStyle w:val="51"/>
        <w:tblW w:w="0" w:type="auto"/>
        <w:tblInd w:w="27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29"/>
        <w:gridCol w:w="4550"/>
        <w:gridCol w:w="2551"/>
      </w:tblGrid>
      <w:tr w14:paraId="62E0E4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29" w:type="dxa"/>
            <w:shd w:val="clear" w:color="auto" w:fill="auto"/>
            <w:noWrap w:val="0"/>
            <w:vAlign w:val="top"/>
          </w:tcPr>
          <w:p w14:paraId="095601AA">
            <w:pPr>
              <w:rPr>
                <w:rFonts w:hint="default" w:eastAsia="宋体"/>
                <w:highlight w:val="none"/>
                <w:lang w:val="en-US" w:eastAsia="zh-CN"/>
              </w:rPr>
            </w:pPr>
            <w:r>
              <w:rPr>
                <w:rFonts w:hint="eastAsia"/>
                <w:highlight w:val="none"/>
                <w:lang w:val="en-US" w:eastAsia="zh-CN"/>
              </w:rPr>
              <w:t>采购项目或者采购包中为单一产品</w:t>
            </w:r>
          </w:p>
        </w:tc>
        <w:tc>
          <w:tcPr>
            <w:tcW w:w="4550" w:type="dxa"/>
            <w:shd w:val="clear" w:color="auto" w:fill="auto"/>
            <w:noWrap w:val="0"/>
            <w:vAlign w:val="top"/>
          </w:tcPr>
          <w:p w14:paraId="6BD78735">
            <w:pPr>
              <w:rPr>
                <w:rFonts w:hint="eastAsia" w:eastAsia="宋体"/>
                <w:highlight w:val="none"/>
                <w:lang w:eastAsia="zh-CN"/>
              </w:rPr>
            </w:pPr>
            <w:r>
              <w:rPr>
                <w:rFonts w:hint="eastAsia"/>
                <w:highlight w:val="none"/>
              </w:rPr>
              <w:t>若</w:t>
            </w:r>
            <w:r>
              <w:rPr>
                <w:rFonts w:hint="eastAsia"/>
                <w:highlight w:val="none"/>
                <w:lang w:val="en-US" w:eastAsia="zh-CN"/>
              </w:rPr>
              <w:t>本项目</w:t>
            </w:r>
            <w:r>
              <w:rPr>
                <w:rFonts w:hint="eastAsia"/>
                <w:highlight w:val="none"/>
              </w:rPr>
              <w:t>既有本国产品又有非本国产品参与竞争的</w:t>
            </w:r>
            <w:r>
              <w:rPr>
                <w:rFonts w:hint="eastAsia"/>
                <w:highlight w:val="none"/>
                <w:lang w:eastAsia="zh-CN"/>
              </w:rPr>
              <w:t>，</w:t>
            </w:r>
            <w:r>
              <w:rPr>
                <w:rFonts w:hint="eastAsia"/>
                <w:highlight w:val="none"/>
              </w:rPr>
              <w:t>供应商所提供</w:t>
            </w:r>
            <w:r>
              <w:rPr>
                <w:rFonts w:hint="eastAsia"/>
                <w:highlight w:val="none"/>
                <w:lang w:val="en-US" w:eastAsia="zh-CN"/>
              </w:rPr>
              <w:t>符合</w:t>
            </w:r>
            <w:r>
              <w:rPr>
                <w:rFonts w:hint="eastAsia"/>
                <w:highlight w:val="none"/>
              </w:rPr>
              <w:t>本国产品标准的产品</w:t>
            </w:r>
          </w:p>
        </w:tc>
        <w:tc>
          <w:tcPr>
            <w:tcW w:w="2551" w:type="dxa"/>
            <w:vMerge w:val="restart"/>
            <w:shd w:val="clear" w:color="auto" w:fill="auto"/>
            <w:noWrap w:val="0"/>
            <w:vAlign w:val="center"/>
          </w:tcPr>
          <w:p w14:paraId="10AA97B4">
            <w:pPr>
              <w:jc w:val="both"/>
              <w:rPr>
                <w:rFonts w:hint="eastAsia"/>
                <w:highlight w:val="none"/>
              </w:rPr>
            </w:pPr>
          </w:p>
          <w:p w14:paraId="267AE567">
            <w:pPr>
              <w:jc w:val="both"/>
              <w:rPr>
                <w:rFonts w:hint="eastAsia"/>
                <w:highlight w:val="none"/>
              </w:rPr>
            </w:pPr>
          </w:p>
          <w:p w14:paraId="73B50FD9">
            <w:pPr>
              <w:jc w:val="both"/>
              <w:rPr>
                <w:rFonts w:hint="eastAsia"/>
                <w:highlight w:val="none"/>
              </w:rPr>
            </w:pPr>
          </w:p>
          <w:p w14:paraId="3DD67C45">
            <w:pPr>
              <w:jc w:val="both"/>
              <w:rPr>
                <w:highlight w:val="none"/>
              </w:rPr>
            </w:pPr>
            <w:r>
              <w:rPr>
                <w:rFonts w:hint="eastAsia"/>
                <w:highlight w:val="none"/>
              </w:rPr>
              <w:t>价格扣除</w:t>
            </w:r>
            <w:r>
              <w:rPr>
                <w:rFonts w:hint="eastAsia"/>
                <w:highlight w:val="none"/>
                <w:lang w:val="en-US" w:eastAsia="zh-CN"/>
              </w:rPr>
              <w:t>全部产品的</w:t>
            </w:r>
            <w:r>
              <w:rPr>
                <w:rFonts w:hint="eastAsia"/>
                <w:b/>
                <w:bCs/>
                <w:color w:val="auto"/>
                <w:highlight w:val="none"/>
                <w:lang w:val="en-US" w:eastAsia="zh-CN"/>
              </w:rPr>
              <w:t>总</w:t>
            </w:r>
            <w:r>
              <w:rPr>
                <w:rFonts w:hint="eastAsia"/>
                <w:highlight w:val="none"/>
                <w:lang w:val="en-US" w:eastAsia="zh-CN"/>
              </w:rPr>
              <w:t>报价</w:t>
            </w:r>
            <w:r>
              <w:rPr>
                <w:rFonts w:hint="eastAsia"/>
                <w:highlight w:val="none"/>
              </w:rPr>
              <w:t>的</w:t>
            </w:r>
            <w:r>
              <w:rPr>
                <w:rFonts w:hint="eastAsia"/>
                <w:highlight w:val="none"/>
                <w:lang w:val="en-US" w:eastAsia="zh-CN"/>
              </w:rPr>
              <w:t>20</w:t>
            </w:r>
            <w:r>
              <w:rPr>
                <w:rFonts w:hint="eastAsia"/>
                <w:highlight w:val="none"/>
              </w:rPr>
              <w:t>%</w:t>
            </w:r>
          </w:p>
        </w:tc>
      </w:tr>
      <w:tr w14:paraId="2EE0C8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trPr>
        <w:tc>
          <w:tcPr>
            <w:tcW w:w="1829" w:type="dxa"/>
            <w:shd w:val="clear" w:color="auto" w:fill="auto"/>
            <w:noWrap w:val="0"/>
            <w:vAlign w:val="top"/>
          </w:tcPr>
          <w:p w14:paraId="1597E3F6">
            <w:pPr>
              <w:rPr>
                <w:rFonts w:hint="eastAsia"/>
                <w:highlight w:val="none"/>
              </w:rPr>
            </w:pPr>
            <w:r>
              <w:rPr>
                <w:rFonts w:hint="eastAsia"/>
                <w:highlight w:val="none"/>
              </w:rPr>
              <w:t>采购项目或者采购包中含有多种产品</w:t>
            </w:r>
          </w:p>
        </w:tc>
        <w:tc>
          <w:tcPr>
            <w:tcW w:w="4550" w:type="dxa"/>
            <w:shd w:val="clear" w:color="auto" w:fill="auto"/>
            <w:noWrap w:val="0"/>
            <w:vAlign w:val="top"/>
          </w:tcPr>
          <w:p w14:paraId="553634EF">
            <w:pPr>
              <w:rPr>
                <w:rFonts w:hint="eastAsia" w:eastAsia="宋体"/>
                <w:highlight w:val="none"/>
                <w:lang w:eastAsia="zh-CN"/>
              </w:rPr>
            </w:pPr>
            <w:r>
              <w:rPr>
                <w:rFonts w:hint="eastAsia"/>
                <w:highlight w:val="none"/>
              </w:rPr>
              <w:t>若</w:t>
            </w:r>
            <w:r>
              <w:rPr>
                <w:rFonts w:hint="eastAsia"/>
                <w:highlight w:val="none"/>
                <w:lang w:val="en-US" w:eastAsia="zh-CN"/>
              </w:rPr>
              <w:t>本项目</w:t>
            </w:r>
            <w:r>
              <w:rPr>
                <w:rFonts w:hint="eastAsia"/>
                <w:highlight w:val="none"/>
              </w:rPr>
              <w:t>既有本国产品又有非本国产品参与竞争的</w:t>
            </w:r>
            <w:r>
              <w:rPr>
                <w:rFonts w:hint="eastAsia"/>
                <w:highlight w:val="none"/>
                <w:lang w:eastAsia="zh-CN"/>
              </w:rPr>
              <w:t>，</w:t>
            </w:r>
            <w:r>
              <w:rPr>
                <w:rFonts w:hint="eastAsia"/>
                <w:highlight w:val="none"/>
              </w:rPr>
              <w:t>供应商</w:t>
            </w:r>
            <w:r>
              <w:rPr>
                <w:rFonts w:hint="eastAsia"/>
                <w:highlight w:val="none"/>
                <w:lang w:val="en-US" w:eastAsia="zh-CN"/>
              </w:rPr>
              <w:t>提供符合</w:t>
            </w:r>
            <w:r>
              <w:rPr>
                <w:rFonts w:hint="eastAsia"/>
                <w:highlight w:val="none"/>
              </w:rPr>
              <w:t>本国产品标准的产品成本之和占该供应商提供的全部产品成本之和的比例达到80%以上时</w:t>
            </w:r>
            <w:r>
              <w:rPr>
                <w:rFonts w:hint="eastAsia"/>
                <w:highlight w:val="none"/>
                <w:lang w:eastAsia="zh-CN"/>
              </w:rPr>
              <w:t>。</w:t>
            </w:r>
            <w:r>
              <w:rPr>
                <w:rFonts w:hint="eastAsia"/>
                <w:b/>
                <w:bCs/>
                <w:highlight w:val="none"/>
                <w:lang w:val="en-US" w:eastAsia="zh-CN"/>
              </w:rPr>
              <w:t>供应商须在投标文件提交《关于符合本国产品标准的成本占比承诺函》。如供应商所有产品均为本国产品且填写《关于符合本国产品标准的声明函》的，无须填写《关于符合本国产品标准的成本占比承诺函》。</w:t>
            </w:r>
          </w:p>
        </w:tc>
        <w:tc>
          <w:tcPr>
            <w:tcW w:w="2551" w:type="dxa"/>
            <w:vMerge w:val="continue"/>
            <w:shd w:val="clear" w:color="auto" w:fill="auto"/>
            <w:noWrap w:val="0"/>
            <w:vAlign w:val="top"/>
          </w:tcPr>
          <w:p w14:paraId="2DC15A84">
            <w:pPr>
              <w:ind w:firstLine="420" w:firstLineChars="200"/>
              <w:rPr>
                <w:rFonts w:hint="eastAsia"/>
                <w:highlight w:val="none"/>
              </w:rPr>
            </w:pPr>
          </w:p>
        </w:tc>
      </w:tr>
      <w:tr w14:paraId="7877E2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trPr>
        <w:tc>
          <w:tcPr>
            <w:tcW w:w="8930" w:type="dxa"/>
            <w:gridSpan w:val="3"/>
            <w:shd w:val="clear" w:color="auto" w:fill="auto"/>
            <w:noWrap w:val="0"/>
            <w:vAlign w:val="top"/>
          </w:tcPr>
          <w:p w14:paraId="398C48D1">
            <w:pPr>
              <w:rPr>
                <w:color w:val="auto"/>
                <w:highlight w:val="none"/>
              </w:rPr>
            </w:pPr>
            <w:r>
              <w:rPr>
                <w:rFonts w:hint="eastAsia"/>
                <w:color w:val="auto"/>
                <w:highlight w:val="none"/>
              </w:rPr>
              <w:t>注：未提供《关于符合本国产品标准的声明函》</w:t>
            </w:r>
            <w:r>
              <w:rPr>
                <w:rFonts w:hint="eastAsia"/>
                <w:color w:val="auto"/>
                <w:highlight w:val="none"/>
                <w:lang w:eastAsia="zh-CN"/>
              </w:rPr>
              <w:t>、</w:t>
            </w:r>
            <w:r>
              <w:rPr>
                <w:rFonts w:hint="eastAsia"/>
                <w:color w:val="auto"/>
                <w:szCs w:val="21"/>
                <w:highlight w:val="none"/>
                <w:lang w:eastAsia="zh-CN"/>
              </w:rPr>
              <w:t>《</w:t>
            </w:r>
            <w:r>
              <w:rPr>
                <w:rFonts w:hint="eastAsia"/>
                <w:color w:val="auto"/>
                <w:szCs w:val="21"/>
                <w:highlight w:val="none"/>
                <w:lang w:val="en-US" w:eastAsia="zh-CN"/>
              </w:rPr>
              <w:t>关于符合本国产品标准的成本占比承诺函》（如适用）</w:t>
            </w:r>
            <w:r>
              <w:rPr>
                <w:rFonts w:hint="eastAsia"/>
                <w:color w:val="auto"/>
                <w:highlight w:val="none"/>
                <w:lang w:val="en-US" w:eastAsia="zh-CN"/>
              </w:rPr>
              <w:t>或</w:t>
            </w:r>
            <w:r>
              <w:rPr>
                <w:rFonts w:hint="eastAsia"/>
                <w:color w:val="auto"/>
                <w:highlight w:val="none"/>
              </w:rPr>
              <w:t>不符合条件的，不享受价格扣除优惠。</w:t>
            </w:r>
          </w:p>
        </w:tc>
      </w:tr>
    </w:tbl>
    <w:p w14:paraId="365AC22F">
      <w:pPr>
        <w:ind w:firstLine="420" w:firstLineChars="200"/>
        <w:rPr>
          <w:color w:val="auto"/>
          <w:highlight w:val="none"/>
        </w:rPr>
      </w:pPr>
    </w:p>
    <w:p w14:paraId="2004A8F6">
      <w:pPr>
        <w:pStyle w:val="19"/>
        <w:numPr>
          <w:ilvl w:val="0"/>
          <w:numId w:val="0"/>
        </w:numPr>
        <w:ind w:firstLine="420" w:firstLineChars="200"/>
        <w:rPr>
          <w:rFonts w:hint="default" w:ascii="Times New Roman" w:hAnsi="Times New Roman" w:eastAsia="宋体" w:cs="Times New Roman"/>
          <w:color w:val="auto"/>
          <w:kern w:val="2"/>
          <w:sz w:val="21"/>
          <w:szCs w:val="24"/>
          <w:highlight w:val="none"/>
          <w:lang w:val="en-US" w:eastAsia="zh-CN" w:bidi="ar-SA"/>
        </w:rPr>
      </w:pPr>
      <w:r>
        <w:rPr>
          <w:rFonts w:hint="eastAsia" w:cs="Times New Roman"/>
          <w:color w:val="auto"/>
          <w:kern w:val="2"/>
          <w:sz w:val="21"/>
          <w:szCs w:val="24"/>
          <w:highlight w:val="none"/>
          <w:lang w:val="en-US" w:eastAsia="zh-CN" w:bidi="ar-SA"/>
        </w:rPr>
        <w:t>2）</w:t>
      </w:r>
      <w:r>
        <w:rPr>
          <w:rFonts w:hint="eastAsia" w:ascii="Times New Roman" w:hAnsi="Times New Roman" w:eastAsia="宋体" w:cs="Times New Roman"/>
          <w:color w:val="auto"/>
          <w:kern w:val="2"/>
          <w:sz w:val="21"/>
          <w:szCs w:val="24"/>
          <w:highlight w:val="none"/>
          <w:lang w:val="en-US" w:eastAsia="zh-CN" w:bidi="ar-SA"/>
        </w:rPr>
        <w:t>评审报价计算示例：</w:t>
      </w:r>
    </w:p>
    <w:p w14:paraId="324F0FED">
      <w:pPr>
        <w:spacing w:before="120" w:beforeLines="0" w:afterLines="0" w:line="320" w:lineRule="atLeast"/>
        <w:ind w:firstLine="420" w:firstLineChars="200"/>
        <w:rPr>
          <w:rFonts w:hint="eastAsia"/>
          <w:color w:val="auto"/>
          <w:highlight w:val="none"/>
          <w:lang w:val="en-US" w:eastAsia="zh-CN"/>
        </w:rPr>
      </w:pPr>
      <w:r>
        <w:rPr>
          <w:rFonts w:hint="eastAsia"/>
          <w:color w:val="auto"/>
          <w:highlight w:val="none"/>
          <w:lang w:val="en-US" w:eastAsia="zh-CN"/>
        </w:rPr>
        <w:t>a.供应商若符合中小企业支持政策的要求，计算公式具体为：评审报价＝投标总报价－（投标总报价*小微企业价格扣除比例）</w:t>
      </w:r>
    </w:p>
    <w:p w14:paraId="26D52B04">
      <w:pPr>
        <w:ind w:firstLine="420" w:firstLineChars="200"/>
        <w:rPr>
          <w:rFonts w:hint="eastAsia"/>
          <w:color w:val="auto"/>
          <w:highlight w:val="none"/>
          <w:lang w:val="en-US" w:eastAsia="zh-CN"/>
        </w:rPr>
      </w:pPr>
      <w:r>
        <w:rPr>
          <w:rFonts w:hint="eastAsia"/>
          <w:color w:val="auto"/>
          <w:highlight w:val="none"/>
          <w:lang w:val="en-US" w:eastAsia="zh-CN"/>
        </w:rPr>
        <w:t>b.供应商若符合本国产品支持政策的要求，计算公式具体为：评审报价＝投标总报价－（全部产品的总报价*20%）</w:t>
      </w:r>
    </w:p>
    <w:p w14:paraId="14821371">
      <w:pPr>
        <w:ind w:firstLine="420" w:firstLineChars="200"/>
        <w:rPr>
          <w:rFonts w:hint="eastAsia"/>
          <w:color w:val="auto"/>
          <w:highlight w:val="yellow"/>
          <w:lang w:val="en-US" w:eastAsia="zh-CN"/>
        </w:rPr>
      </w:pPr>
      <w:r>
        <w:rPr>
          <w:rFonts w:hint="eastAsia"/>
          <w:color w:val="auto"/>
          <w:highlight w:val="none"/>
          <w:lang w:val="en-US" w:eastAsia="zh-CN"/>
        </w:rPr>
        <w:t>c.供应商若同时符合中小企业、本国产品扶持政策的要求，计算公式具体为：评审报价＝投标总报价－（投标总报价*小微企业价格扣除比例）－（全部产品的总报价*20%）</w:t>
      </w:r>
    </w:p>
    <w:p w14:paraId="2137679D">
      <w:pPr>
        <w:pStyle w:val="19"/>
        <w:ind w:firstLine="420" w:firstLineChars="200"/>
        <w:rPr>
          <w:rFonts w:hint="default" w:ascii="Times New Roman" w:hAnsi="Times New Roman" w:eastAsia="宋体" w:cs="Times New Roman"/>
          <w:color w:val="4472C4"/>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备注：全部产品是指货物或服务采购项目或采购包中包含的全部货物、服务产品。</w:t>
      </w:r>
    </w:p>
    <w:p w14:paraId="34D67E87">
      <w:pPr>
        <w:ind w:firstLine="482" w:firstLineChars="200"/>
        <w:rPr>
          <w:rFonts w:hint="default" w:ascii="宋体" w:hAnsi="Courier New" w:eastAsia="楷体_GB2312" w:cs="Courier New"/>
          <w:b/>
          <w:color w:val="0000FF"/>
          <w:kern w:val="2"/>
          <w:sz w:val="24"/>
          <w:szCs w:val="24"/>
          <w:lang w:val="en-US" w:eastAsia="zh-CN" w:bidi="ar-SA"/>
        </w:rPr>
      </w:pPr>
    </w:p>
    <w:p w14:paraId="03BBA721">
      <w:pPr>
        <w:ind w:firstLine="315" w:firstLineChars="150"/>
      </w:pPr>
      <w:r>
        <w:rPr>
          <w:rFonts w:hint="eastAsia"/>
        </w:rPr>
        <w:t>（3）政策性加分</w:t>
      </w:r>
    </w:p>
    <w:tbl>
      <w:tblPr>
        <w:tblStyle w:val="51"/>
        <w:tblW w:w="886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8"/>
        <w:gridCol w:w="829"/>
        <w:gridCol w:w="3643"/>
        <w:gridCol w:w="1134"/>
        <w:gridCol w:w="2551"/>
      </w:tblGrid>
      <w:tr w14:paraId="02BB65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2" w:hRule="atLeast"/>
          <w:jc w:val="center"/>
        </w:trPr>
        <w:tc>
          <w:tcPr>
            <w:tcW w:w="708" w:type="dxa"/>
            <w:noWrap w:val="0"/>
            <w:vAlign w:val="center"/>
          </w:tcPr>
          <w:p w14:paraId="7D3A0EC7">
            <w:pPr>
              <w:jc w:val="center"/>
              <w:rPr>
                <w:b/>
                <w:szCs w:val="21"/>
              </w:rPr>
            </w:pPr>
            <w:r>
              <w:rPr>
                <w:b/>
                <w:szCs w:val="21"/>
              </w:rPr>
              <w:t>序号</w:t>
            </w:r>
          </w:p>
        </w:tc>
        <w:tc>
          <w:tcPr>
            <w:tcW w:w="829" w:type="dxa"/>
            <w:noWrap w:val="0"/>
            <w:vAlign w:val="center"/>
          </w:tcPr>
          <w:p w14:paraId="4CC06807">
            <w:pPr>
              <w:jc w:val="center"/>
              <w:rPr>
                <w:b/>
                <w:szCs w:val="21"/>
              </w:rPr>
            </w:pPr>
            <w:r>
              <w:rPr>
                <w:rFonts w:hint="eastAsia"/>
                <w:b/>
                <w:szCs w:val="21"/>
              </w:rPr>
              <w:t>类型</w:t>
            </w:r>
          </w:p>
        </w:tc>
        <w:tc>
          <w:tcPr>
            <w:tcW w:w="3643" w:type="dxa"/>
            <w:noWrap w:val="0"/>
            <w:vAlign w:val="center"/>
          </w:tcPr>
          <w:p w14:paraId="015950F6">
            <w:pPr>
              <w:jc w:val="center"/>
              <w:rPr>
                <w:b/>
                <w:szCs w:val="21"/>
              </w:rPr>
            </w:pPr>
            <w:r>
              <w:rPr>
                <w:rFonts w:hint="eastAsia"/>
                <w:b/>
                <w:szCs w:val="21"/>
              </w:rPr>
              <w:t>评分标准</w:t>
            </w:r>
          </w:p>
        </w:tc>
        <w:tc>
          <w:tcPr>
            <w:tcW w:w="1134" w:type="dxa"/>
            <w:noWrap w:val="0"/>
            <w:vAlign w:val="center"/>
          </w:tcPr>
          <w:p w14:paraId="6E46648B">
            <w:pPr>
              <w:jc w:val="center"/>
              <w:rPr>
                <w:b/>
                <w:szCs w:val="21"/>
              </w:rPr>
            </w:pPr>
            <w:r>
              <w:rPr>
                <w:rFonts w:hint="eastAsia"/>
                <w:b/>
                <w:szCs w:val="21"/>
              </w:rPr>
              <w:t>分值权重</w:t>
            </w:r>
          </w:p>
        </w:tc>
        <w:tc>
          <w:tcPr>
            <w:tcW w:w="2551" w:type="dxa"/>
            <w:noWrap w:val="0"/>
            <w:vAlign w:val="center"/>
          </w:tcPr>
          <w:p w14:paraId="6BE71E77">
            <w:pPr>
              <w:jc w:val="center"/>
              <w:rPr>
                <w:b/>
                <w:szCs w:val="21"/>
              </w:rPr>
            </w:pPr>
            <w:r>
              <w:rPr>
                <w:b/>
                <w:szCs w:val="21"/>
              </w:rPr>
              <w:t>说明</w:t>
            </w:r>
          </w:p>
        </w:tc>
      </w:tr>
      <w:tr w14:paraId="06C4AB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36" w:hRule="atLeast"/>
          <w:jc w:val="center"/>
        </w:trPr>
        <w:tc>
          <w:tcPr>
            <w:tcW w:w="708" w:type="dxa"/>
            <w:noWrap w:val="0"/>
            <w:vAlign w:val="center"/>
          </w:tcPr>
          <w:p w14:paraId="6BAAD531">
            <w:pPr>
              <w:jc w:val="center"/>
              <w:rPr>
                <w:b/>
                <w:color w:val="auto"/>
                <w:szCs w:val="21"/>
                <w:highlight w:val="none"/>
              </w:rPr>
            </w:pPr>
            <w:r>
              <w:rPr>
                <w:rFonts w:hint="eastAsia"/>
                <w:b/>
                <w:color w:val="auto"/>
                <w:szCs w:val="21"/>
                <w:highlight w:val="none"/>
              </w:rPr>
              <w:t>1</w:t>
            </w:r>
          </w:p>
        </w:tc>
        <w:tc>
          <w:tcPr>
            <w:tcW w:w="829" w:type="dxa"/>
            <w:noWrap w:val="0"/>
            <w:vAlign w:val="center"/>
          </w:tcPr>
          <w:p w14:paraId="144F2851">
            <w:pPr>
              <w:jc w:val="center"/>
              <w:rPr>
                <w:color w:val="auto"/>
                <w:szCs w:val="21"/>
                <w:highlight w:val="none"/>
              </w:rPr>
            </w:pPr>
            <w:r>
              <w:rPr>
                <w:rFonts w:hint="eastAsia"/>
                <w:color w:val="auto"/>
                <w:szCs w:val="21"/>
                <w:highlight w:val="none"/>
              </w:rPr>
              <w:t>政策性加分</w:t>
            </w:r>
          </w:p>
        </w:tc>
        <w:tc>
          <w:tcPr>
            <w:tcW w:w="3643" w:type="dxa"/>
            <w:noWrap w:val="0"/>
            <w:vAlign w:val="center"/>
          </w:tcPr>
          <w:p w14:paraId="26410D0D">
            <w:pPr>
              <w:rPr>
                <w:iCs/>
                <w:color w:val="auto"/>
                <w:szCs w:val="21"/>
                <w:highlight w:val="none"/>
              </w:rPr>
            </w:pPr>
            <w:r>
              <w:rPr>
                <w:iCs/>
                <w:color w:val="auto"/>
                <w:szCs w:val="21"/>
                <w:highlight w:val="none"/>
              </w:rPr>
              <w:t>（1）节能产品分（</w:t>
            </w:r>
            <w:r>
              <w:rPr>
                <w:rFonts w:hint="eastAsia"/>
                <w:iCs/>
                <w:color w:val="auto"/>
                <w:szCs w:val="21"/>
                <w:highlight w:val="none"/>
                <w:lang w:val="en-US" w:eastAsia="zh-CN"/>
              </w:rPr>
              <w:t>1</w:t>
            </w:r>
            <w:r>
              <w:rPr>
                <w:iCs/>
                <w:color w:val="auto"/>
                <w:szCs w:val="21"/>
                <w:highlight w:val="none"/>
              </w:rPr>
              <w:t>分）</w:t>
            </w:r>
          </w:p>
          <w:p w14:paraId="0B5078E4">
            <w:pPr>
              <w:rPr>
                <w:iCs/>
                <w:color w:val="auto"/>
                <w:szCs w:val="21"/>
                <w:highlight w:val="none"/>
              </w:rPr>
            </w:pPr>
            <w:r>
              <w:rPr>
                <w:rFonts w:hint="eastAsia"/>
                <w:iCs/>
                <w:color w:val="auto"/>
                <w:szCs w:val="21"/>
                <w:highlight w:val="none"/>
              </w:rPr>
              <w:t>供应商投标产品属于</w:t>
            </w:r>
            <w:r>
              <w:rPr>
                <w:rFonts w:hint="eastAsia" w:ascii="宋体" w:hAnsi="宋体"/>
                <w:iCs/>
                <w:color w:val="auto"/>
                <w:highlight w:val="none"/>
              </w:rPr>
              <w:t>节能产品政府采购品目清单</w:t>
            </w:r>
            <w:r>
              <w:rPr>
                <w:rFonts w:hint="eastAsia"/>
                <w:iCs/>
                <w:color w:val="auto"/>
                <w:szCs w:val="21"/>
                <w:highlight w:val="none"/>
              </w:rPr>
              <w:t>范围内优先采购的</w:t>
            </w:r>
            <w:r>
              <w:rPr>
                <w:iCs/>
                <w:color w:val="auto"/>
                <w:szCs w:val="21"/>
                <w:highlight w:val="none"/>
              </w:rPr>
              <w:t>，每有一项得</w:t>
            </w:r>
            <w:r>
              <w:rPr>
                <w:rFonts w:hint="eastAsia"/>
                <w:iCs/>
                <w:color w:val="auto"/>
                <w:szCs w:val="21"/>
                <w:highlight w:val="none"/>
                <w:lang w:val="en-US" w:eastAsia="zh-CN"/>
              </w:rPr>
              <w:t>0.5</w:t>
            </w:r>
            <w:r>
              <w:rPr>
                <w:iCs/>
                <w:color w:val="auto"/>
                <w:szCs w:val="21"/>
                <w:highlight w:val="none"/>
              </w:rPr>
              <w:t>分，最多得</w:t>
            </w:r>
            <w:r>
              <w:rPr>
                <w:rFonts w:hint="eastAsia"/>
                <w:iCs/>
                <w:color w:val="auto"/>
                <w:szCs w:val="21"/>
                <w:highlight w:val="none"/>
                <w:lang w:val="en-US" w:eastAsia="zh-CN"/>
              </w:rPr>
              <w:t>1</w:t>
            </w:r>
            <w:r>
              <w:rPr>
                <w:iCs/>
                <w:color w:val="auto"/>
                <w:szCs w:val="21"/>
                <w:highlight w:val="none"/>
              </w:rPr>
              <w:t>分。采购内容中的强制产品不加分。</w:t>
            </w:r>
          </w:p>
          <w:p w14:paraId="7B749940">
            <w:pPr>
              <w:rPr>
                <w:iCs/>
                <w:color w:val="auto"/>
                <w:szCs w:val="21"/>
                <w:highlight w:val="none"/>
              </w:rPr>
            </w:pPr>
            <w:r>
              <w:rPr>
                <w:iCs/>
                <w:color w:val="auto"/>
                <w:szCs w:val="21"/>
                <w:highlight w:val="none"/>
              </w:rPr>
              <w:t>（</w:t>
            </w:r>
            <w:r>
              <w:rPr>
                <w:rFonts w:hint="eastAsia"/>
                <w:iCs/>
                <w:color w:val="auto"/>
                <w:szCs w:val="21"/>
                <w:highlight w:val="none"/>
              </w:rPr>
              <w:t>2</w:t>
            </w:r>
            <w:r>
              <w:rPr>
                <w:iCs/>
                <w:color w:val="auto"/>
                <w:szCs w:val="21"/>
                <w:highlight w:val="none"/>
              </w:rPr>
              <w:t>）</w:t>
            </w:r>
            <w:r>
              <w:rPr>
                <w:rFonts w:hint="eastAsia"/>
                <w:iCs/>
                <w:color w:val="auto"/>
                <w:szCs w:val="21"/>
                <w:highlight w:val="none"/>
              </w:rPr>
              <w:t>环境标志产品</w:t>
            </w:r>
            <w:r>
              <w:rPr>
                <w:iCs/>
                <w:color w:val="auto"/>
                <w:szCs w:val="21"/>
                <w:highlight w:val="none"/>
              </w:rPr>
              <w:t>分（</w:t>
            </w:r>
            <w:r>
              <w:rPr>
                <w:rFonts w:hint="eastAsia"/>
                <w:iCs/>
                <w:color w:val="auto"/>
                <w:szCs w:val="21"/>
                <w:highlight w:val="none"/>
                <w:lang w:val="en-US" w:eastAsia="zh-CN"/>
              </w:rPr>
              <w:t>1</w:t>
            </w:r>
            <w:r>
              <w:rPr>
                <w:iCs/>
                <w:color w:val="auto"/>
                <w:szCs w:val="21"/>
                <w:highlight w:val="none"/>
              </w:rPr>
              <w:t>分）</w:t>
            </w:r>
          </w:p>
          <w:p w14:paraId="422D69D5">
            <w:pPr>
              <w:rPr>
                <w:color w:val="auto"/>
                <w:szCs w:val="21"/>
                <w:highlight w:val="none"/>
              </w:rPr>
            </w:pPr>
            <w:r>
              <w:rPr>
                <w:rFonts w:hint="eastAsia"/>
                <w:iCs/>
                <w:color w:val="auto"/>
                <w:szCs w:val="21"/>
                <w:highlight w:val="none"/>
              </w:rPr>
              <w:t>供应商投标产品属于</w:t>
            </w:r>
            <w:r>
              <w:rPr>
                <w:rFonts w:hint="eastAsia" w:ascii="宋体" w:hAnsi="宋体"/>
                <w:iCs/>
                <w:color w:val="auto"/>
                <w:highlight w:val="none"/>
              </w:rPr>
              <w:t>环境标志产品政府采购品目清单</w:t>
            </w:r>
            <w:r>
              <w:rPr>
                <w:rFonts w:hint="eastAsia"/>
                <w:iCs/>
                <w:color w:val="auto"/>
                <w:szCs w:val="21"/>
                <w:highlight w:val="none"/>
              </w:rPr>
              <w:t>范围内优先采购的</w:t>
            </w:r>
            <w:r>
              <w:rPr>
                <w:iCs/>
                <w:color w:val="auto"/>
                <w:szCs w:val="21"/>
                <w:highlight w:val="none"/>
              </w:rPr>
              <w:t>，每有一项得</w:t>
            </w:r>
            <w:r>
              <w:rPr>
                <w:rFonts w:hint="eastAsia"/>
                <w:iCs/>
                <w:color w:val="auto"/>
                <w:szCs w:val="21"/>
                <w:highlight w:val="none"/>
                <w:lang w:val="en-US" w:eastAsia="zh-CN"/>
              </w:rPr>
              <w:t>0.5</w:t>
            </w:r>
            <w:r>
              <w:rPr>
                <w:iCs/>
                <w:color w:val="auto"/>
                <w:szCs w:val="21"/>
                <w:highlight w:val="none"/>
              </w:rPr>
              <w:t>分，最多得</w:t>
            </w:r>
            <w:r>
              <w:rPr>
                <w:rFonts w:hint="eastAsia"/>
                <w:iCs/>
                <w:color w:val="auto"/>
                <w:szCs w:val="21"/>
                <w:highlight w:val="none"/>
                <w:lang w:val="en-US" w:eastAsia="zh-CN"/>
              </w:rPr>
              <w:t>1</w:t>
            </w:r>
            <w:r>
              <w:rPr>
                <w:iCs/>
                <w:color w:val="auto"/>
                <w:szCs w:val="21"/>
                <w:highlight w:val="none"/>
              </w:rPr>
              <w:t>分。</w:t>
            </w:r>
          </w:p>
        </w:tc>
        <w:tc>
          <w:tcPr>
            <w:tcW w:w="1134" w:type="dxa"/>
            <w:noWrap w:val="0"/>
            <w:vAlign w:val="center"/>
          </w:tcPr>
          <w:p w14:paraId="54058DC1">
            <w:pPr>
              <w:jc w:val="center"/>
              <w:rPr>
                <w:rFonts w:hint="eastAsia" w:eastAsia="宋体"/>
                <w:color w:val="auto"/>
                <w:szCs w:val="21"/>
                <w:highlight w:val="none"/>
                <w:lang w:val="en-US" w:eastAsia="zh-CN"/>
              </w:rPr>
            </w:pPr>
            <w:r>
              <w:rPr>
                <w:rFonts w:hint="eastAsia"/>
                <w:color w:val="auto"/>
                <w:szCs w:val="21"/>
                <w:highlight w:val="none"/>
                <w:lang w:val="en-US" w:eastAsia="zh-CN"/>
              </w:rPr>
              <w:t>2</w:t>
            </w:r>
          </w:p>
        </w:tc>
        <w:tc>
          <w:tcPr>
            <w:tcW w:w="2551" w:type="dxa"/>
            <w:noWrap w:val="0"/>
            <w:vAlign w:val="center"/>
          </w:tcPr>
          <w:p w14:paraId="2F446FCF">
            <w:pPr>
              <w:rPr>
                <w:color w:val="auto"/>
                <w:szCs w:val="21"/>
                <w:highlight w:val="none"/>
              </w:rPr>
            </w:pPr>
            <w:r>
              <w:rPr>
                <w:rFonts w:hint="eastAsia"/>
                <w:color w:val="auto"/>
                <w:szCs w:val="21"/>
                <w:highlight w:val="none"/>
              </w:rPr>
              <w:t>（1）供应商在投标文件中列明属于节能、环境标志产品的投标产品列表</w:t>
            </w:r>
            <w:r>
              <w:rPr>
                <w:rFonts w:hint="eastAsia"/>
                <w:color w:val="auto"/>
                <w:szCs w:val="21"/>
                <w:highlight w:val="none"/>
                <w:lang w:eastAsia="zh-CN"/>
              </w:rPr>
              <w:t>，</w:t>
            </w:r>
            <w:r>
              <w:rPr>
                <w:rFonts w:hint="eastAsia"/>
                <w:color w:val="auto"/>
                <w:szCs w:val="21"/>
                <w:highlight w:val="none"/>
                <w:lang w:val="en-US" w:eastAsia="zh-CN"/>
              </w:rPr>
              <w:t>并提供所投标产品的节能、环境标志产品认证证书扫描件</w:t>
            </w:r>
            <w:r>
              <w:rPr>
                <w:rFonts w:hint="eastAsia"/>
                <w:color w:val="auto"/>
                <w:szCs w:val="21"/>
                <w:highlight w:val="none"/>
              </w:rPr>
              <w:t>。</w:t>
            </w:r>
          </w:p>
          <w:p w14:paraId="0206AC8D">
            <w:pPr>
              <w:rPr>
                <w:color w:val="auto"/>
                <w:szCs w:val="21"/>
                <w:highlight w:val="none"/>
              </w:rPr>
            </w:pPr>
            <w:r>
              <w:rPr>
                <w:rFonts w:hint="eastAsia"/>
                <w:color w:val="auto"/>
                <w:szCs w:val="21"/>
                <w:highlight w:val="none"/>
              </w:rPr>
              <w:t>（2）以节能</w:t>
            </w:r>
            <w:r>
              <w:rPr>
                <w:rFonts w:hint="eastAsia"/>
                <w:color w:val="auto"/>
                <w:szCs w:val="21"/>
                <w:highlight w:val="none"/>
                <w:lang w:eastAsia="zh-CN"/>
              </w:rPr>
              <w:t>、</w:t>
            </w:r>
            <w:r>
              <w:rPr>
                <w:rFonts w:hint="eastAsia"/>
                <w:color w:val="auto"/>
                <w:szCs w:val="21"/>
                <w:highlight w:val="none"/>
                <w:lang w:val="en-US" w:eastAsia="zh-CN"/>
              </w:rPr>
              <w:t>环境标志</w:t>
            </w:r>
            <w:r>
              <w:rPr>
                <w:rFonts w:hint="eastAsia"/>
                <w:color w:val="auto"/>
                <w:szCs w:val="21"/>
                <w:highlight w:val="none"/>
              </w:rPr>
              <w:t>产品认证证书与供应商所提供的投标产品列表进行比对作为评审依据</w:t>
            </w:r>
            <w:r>
              <w:rPr>
                <w:color w:val="auto"/>
                <w:szCs w:val="21"/>
                <w:highlight w:val="none"/>
              </w:rPr>
              <w:t>。</w:t>
            </w:r>
          </w:p>
        </w:tc>
      </w:tr>
    </w:tbl>
    <w:p w14:paraId="169BDD1C">
      <w:pPr>
        <w:rPr>
          <w:color w:val="auto"/>
          <w:highlight w:val="none"/>
        </w:rPr>
      </w:pPr>
    </w:p>
    <w:p w14:paraId="58990778">
      <w:pPr>
        <w:ind w:firstLine="315" w:firstLineChars="150"/>
        <w:rPr>
          <w:color w:val="auto"/>
          <w:highlight w:val="none"/>
        </w:rPr>
      </w:pPr>
      <w:r>
        <w:rPr>
          <w:rFonts w:hint="eastAsia"/>
          <w:color w:val="auto"/>
          <w:highlight w:val="none"/>
        </w:rPr>
        <w:t>（4）</w:t>
      </w:r>
      <w:r>
        <w:rPr>
          <w:color w:val="auto"/>
          <w:highlight w:val="none"/>
        </w:rPr>
        <w:t>综合评分</w:t>
      </w:r>
    </w:p>
    <w:tbl>
      <w:tblPr>
        <w:tblStyle w:val="51"/>
        <w:tblW w:w="878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2"/>
        <w:gridCol w:w="2192"/>
        <w:gridCol w:w="1777"/>
        <w:gridCol w:w="1986"/>
        <w:gridCol w:w="2045"/>
      </w:tblGrid>
      <w:tr w14:paraId="2DF016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4" w:hRule="atLeast"/>
          <w:jc w:val="center"/>
        </w:trPr>
        <w:tc>
          <w:tcPr>
            <w:tcW w:w="782" w:type="dxa"/>
            <w:noWrap w:val="0"/>
            <w:vAlign w:val="center"/>
          </w:tcPr>
          <w:p w14:paraId="4D48E573">
            <w:pPr>
              <w:jc w:val="center"/>
              <w:rPr>
                <w:b/>
                <w:color w:val="auto"/>
                <w:szCs w:val="21"/>
                <w:highlight w:val="none"/>
              </w:rPr>
            </w:pPr>
            <w:r>
              <w:rPr>
                <w:rFonts w:hint="eastAsia"/>
                <w:b/>
                <w:color w:val="auto"/>
                <w:szCs w:val="21"/>
                <w:highlight w:val="none"/>
              </w:rPr>
              <w:t>分项</w:t>
            </w:r>
          </w:p>
        </w:tc>
        <w:tc>
          <w:tcPr>
            <w:tcW w:w="2192" w:type="dxa"/>
            <w:noWrap w:val="0"/>
            <w:vAlign w:val="center"/>
          </w:tcPr>
          <w:p w14:paraId="1FBB8881">
            <w:pPr>
              <w:jc w:val="center"/>
              <w:rPr>
                <w:b/>
                <w:color w:val="auto"/>
                <w:szCs w:val="21"/>
                <w:highlight w:val="none"/>
              </w:rPr>
            </w:pPr>
            <w:r>
              <w:rPr>
                <w:rFonts w:hint="eastAsia"/>
                <w:b/>
                <w:color w:val="auto"/>
                <w:szCs w:val="21"/>
                <w:highlight w:val="none"/>
              </w:rPr>
              <w:t>技术及商务资信分</w:t>
            </w:r>
          </w:p>
        </w:tc>
        <w:tc>
          <w:tcPr>
            <w:tcW w:w="1777" w:type="dxa"/>
            <w:noWrap w:val="0"/>
            <w:vAlign w:val="center"/>
          </w:tcPr>
          <w:p w14:paraId="77FFE860">
            <w:pPr>
              <w:jc w:val="center"/>
              <w:rPr>
                <w:b/>
                <w:color w:val="auto"/>
                <w:szCs w:val="21"/>
                <w:highlight w:val="none"/>
              </w:rPr>
            </w:pPr>
            <w:r>
              <w:rPr>
                <w:rFonts w:hint="eastAsia"/>
                <w:b/>
                <w:color w:val="auto"/>
                <w:szCs w:val="21"/>
                <w:highlight w:val="none"/>
              </w:rPr>
              <w:t>投标报价得分</w:t>
            </w:r>
          </w:p>
        </w:tc>
        <w:tc>
          <w:tcPr>
            <w:tcW w:w="1986" w:type="dxa"/>
            <w:noWrap w:val="0"/>
            <w:vAlign w:val="center"/>
          </w:tcPr>
          <w:p w14:paraId="70C38A28">
            <w:pPr>
              <w:jc w:val="center"/>
              <w:rPr>
                <w:b/>
                <w:color w:val="auto"/>
                <w:szCs w:val="21"/>
                <w:highlight w:val="none"/>
              </w:rPr>
            </w:pPr>
            <w:r>
              <w:rPr>
                <w:rFonts w:hint="eastAsia"/>
                <w:b/>
                <w:color w:val="auto"/>
                <w:szCs w:val="21"/>
                <w:highlight w:val="none"/>
              </w:rPr>
              <w:t>政策性加分</w:t>
            </w:r>
          </w:p>
        </w:tc>
        <w:tc>
          <w:tcPr>
            <w:tcW w:w="2042" w:type="dxa"/>
            <w:noWrap w:val="0"/>
            <w:vAlign w:val="center"/>
          </w:tcPr>
          <w:p w14:paraId="059F2542">
            <w:pPr>
              <w:jc w:val="center"/>
              <w:rPr>
                <w:b/>
                <w:color w:val="auto"/>
                <w:szCs w:val="21"/>
                <w:highlight w:val="none"/>
              </w:rPr>
            </w:pPr>
            <w:r>
              <w:rPr>
                <w:rFonts w:hint="eastAsia"/>
                <w:b/>
                <w:color w:val="auto"/>
                <w:szCs w:val="21"/>
                <w:highlight w:val="none"/>
              </w:rPr>
              <w:t>总分</w:t>
            </w:r>
          </w:p>
        </w:tc>
      </w:tr>
      <w:tr w14:paraId="016BFF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8" w:hRule="atLeast"/>
          <w:jc w:val="center"/>
        </w:trPr>
        <w:tc>
          <w:tcPr>
            <w:tcW w:w="782" w:type="dxa"/>
            <w:noWrap w:val="0"/>
            <w:vAlign w:val="center"/>
          </w:tcPr>
          <w:p w14:paraId="70403DBF">
            <w:pPr>
              <w:jc w:val="center"/>
              <w:rPr>
                <w:b/>
                <w:color w:val="auto"/>
                <w:szCs w:val="21"/>
                <w:highlight w:val="none"/>
              </w:rPr>
            </w:pPr>
            <w:r>
              <w:rPr>
                <w:rFonts w:hint="eastAsia"/>
                <w:b/>
                <w:color w:val="auto"/>
                <w:szCs w:val="21"/>
                <w:highlight w:val="none"/>
              </w:rPr>
              <w:t>分值</w:t>
            </w:r>
          </w:p>
        </w:tc>
        <w:tc>
          <w:tcPr>
            <w:tcW w:w="2192" w:type="dxa"/>
            <w:noWrap w:val="0"/>
            <w:vAlign w:val="center"/>
          </w:tcPr>
          <w:p w14:paraId="77B4B025">
            <w:pPr>
              <w:jc w:val="center"/>
              <w:rPr>
                <w:rFonts w:hint="default" w:eastAsia="宋体"/>
                <w:color w:val="auto"/>
                <w:szCs w:val="21"/>
                <w:highlight w:val="none"/>
                <w:lang w:val="en-US" w:eastAsia="zh-CN"/>
              </w:rPr>
            </w:pPr>
            <w:r>
              <w:rPr>
                <w:rFonts w:hint="eastAsia"/>
                <w:color w:val="auto"/>
                <w:szCs w:val="21"/>
                <w:highlight w:val="none"/>
                <w:lang w:val="en-US" w:eastAsia="zh-CN"/>
              </w:rPr>
              <w:t>68</w:t>
            </w:r>
          </w:p>
        </w:tc>
        <w:tc>
          <w:tcPr>
            <w:tcW w:w="1777" w:type="dxa"/>
            <w:noWrap w:val="0"/>
            <w:vAlign w:val="center"/>
          </w:tcPr>
          <w:p w14:paraId="09C261B3">
            <w:pPr>
              <w:jc w:val="center"/>
              <w:rPr>
                <w:rFonts w:hint="default" w:eastAsia="宋体"/>
                <w:color w:val="auto"/>
                <w:szCs w:val="21"/>
                <w:highlight w:val="none"/>
                <w:lang w:val="en-US" w:eastAsia="zh-CN"/>
              </w:rPr>
            </w:pPr>
            <w:r>
              <w:rPr>
                <w:rFonts w:hint="eastAsia"/>
                <w:color w:val="auto"/>
                <w:szCs w:val="21"/>
                <w:highlight w:val="none"/>
                <w:lang w:val="en-US" w:eastAsia="zh-CN"/>
              </w:rPr>
              <w:t>30</w:t>
            </w:r>
          </w:p>
        </w:tc>
        <w:tc>
          <w:tcPr>
            <w:tcW w:w="1986" w:type="dxa"/>
            <w:noWrap w:val="0"/>
            <w:vAlign w:val="center"/>
          </w:tcPr>
          <w:p w14:paraId="139127B5">
            <w:pPr>
              <w:jc w:val="center"/>
              <w:rPr>
                <w:rFonts w:hint="eastAsia" w:eastAsia="宋体"/>
                <w:color w:val="auto"/>
                <w:szCs w:val="21"/>
                <w:highlight w:val="none"/>
                <w:lang w:val="en-US" w:eastAsia="zh-CN"/>
              </w:rPr>
            </w:pPr>
            <w:r>
              <w:rPr>
                <w:rFonts w:hint="eastAsia"/>
                <w:color w:val="auto"/>
                <w:szCs w:val="21"/>
                <w:highlight w:val="none"/>
                <w:lang w:val="en-US" w:eastAsia="zh-CN"/>
              </w:rPr>
              <w:t>2</w:t>
            </w:r>
          </w:p>
        </w:tc>
        <w:tc>
          <w:tcPr>
            <w:tcW w:w="2042" w:type="dxa"/>
            <w:noWrap w:val="0"/>
            <w:vAlign w:val="center"/>
          </w:tcPr>
          <w:p w14:paraId="6B628EFF">
            <w:pPr>
              <w:jc w:val="center"/>
              <w:rPr>
                <w:rFonts w:hint="default" w:eastAsia="宋体"/>
                <w:color w:val="auto"/>
                <w:szCs w:val="21"/>
                <w:highlight w:val="none"/>
                <w:lang w:val="en-US" w:eastAsia="zh-CN"/>
              </w:rPr>
            </w:pPr>
            <w:r>
              <w:rPr>
                <w:rFonts w:hint="eastAsia"/>
                <w:color w:val="auto"/>
                <w:szCs w:val="21"/>
                <w:highlight w:val="none"/>
                <w:lang w:val="en-US" w:eastAsia="zh-CN"/>
              </w:rPr>
              <w:t>100</w:t>
            </w:r>
          </w:p>
        </w:tc>
      </w:tr>
      <w:tr w14:paraId="14918D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8" w:hRule="atLeast"/>
          <w:jc w:val="center"/>
        </w:trPr>
        <w:tc>
          <w:tcPr>
            <w:tcW w:w="8782" w:type="dxa"/>
            <w:gridSpan w:val="5"/>
            <w:noWrap w:val="0"/>
            <w:vAlign w:val="center"/>
          </w:tcPr>
          <w:p w14:paraId="132C6EFB">
            <w:pPr>
              <w:rPr>
                <w:color w:val="auto"/>
                <w:szCs w:val="21"/>
              </w:rPr>
            </w:pPr>
            <w:r>
              <w:rPr>
                <w:rFonts w:hint="eastAsia"/>
                <w:color w:val="auto"/>
                <w:szCs w:val="21"/>
              </w:rPr>
              <w:t>综合评分</w:t>
            </w:r>
            <w:r>
              <w:rPr>
                <w:color w:val="auto"/>
                <w:szCs w:val="21"/>
              </w:rPr>
              <w:t>=</w:t>
            </w:r>
            <w:r>
              <w:rPr>
                <w:rFonts w:hint="eastAsia"/>
                <w:color w:val="auto"/>
                <w:szCs w:val="21"/>
              </w:rPr>
              <w:t>技术及商务资信分+投标报价得分+政策性加分（</w:t>
            </w:r>
            <w:r>
              <w:rPr>
                <w:rFonts w:hint="eastAsia"/>
                <w:color w:val="auto"/>
              </w:rPr>
              <w:t>注：各</w:t>
            </w:r>
            <w:r>
              <w:rPr>
                <w:color w:val="auto"/>
                <w:szCs w:val="21"/>
              </w:rPr>
              <w:t>项评分分值计算保留小数点后两位，小数点后第三位“四舍五入”</w:t>
            </w:r>
            <w:r>
              <w:rPr>
                <w:rFonts w:hint="eastAsia"/>
                <w:color w:val="auto"/>
                <w:szCs w:val="21"/>
              </w:rPr>
              <w:t>）</w:t>
            </w:r>
          </w:p>
        </w:tc>
      </w:tr>
      <w:bookmarkEnd w:id="105"/>
      <w:bookmarkEnd w:id="106"/>
      <w:bookmarkEnd w:id="116"/>
    </w:tbl>
    <w:p w14:paraId="2A2F7EFA">
      <w:pPr>
        <w:widowControl/>
        <w:jc w:val="left"/>
        <w:rPr>
          <w:b/>
          <w:bCs/>
          <w:strike/>
          <w:color w:val="auto"/>
          <w:kern w:val="0"/>
          <w:szCs w:val="21"/>
        </w:rPr>
      </w:pPr>
      <w:bookmarkStart w:id="118" w:name="_Hlk65851690"/>
      <w:bookmarkStart w:id="119" w:name="_Hlk60651046"/>
      <w:bookmarkStart w:id="120" w:name="_Hlk80957087"/>
    </w:p>
    <w:p w14:paraId="2A47A2D9">
      <w:pPr>
        <w:spacing w:before="120" w:line="320" w:lineRule="atLeast"/>
        <w:ind w:firstLine="420" w:firstLineChars="200"/>
        <w:rPr>
          <w:color w:val="auto"/>
        </w:rPr>
      </w:pPr>
      <w:r>
        <w:rPr>
          <w:rFonts w:hint="eastAsia"/>
          <w:color w:val="auto"/>
          <w:lang w:val="en-US" w:eastAsia="zh-CN"/>
        </w:rPr>
        <w:t>4</w:t>
      </w:r>
      <w:r>
        <w:rPr>
          <w:color w:val="auto"/>
        </w:rPr>
        <w:t>.1</w:t>
      </w:r>
      <w:r>
        <w:rPr>
          <w:rFonts w:hint="eastAsia"/>
          <w:color w:val="auto"/>
        </w:rPr>
        <w:t>偏离认定说明</w:t>
      </w:r>
    </w:p>
    <w:p w14:paraId="7CF94D10">
      <w:pPr>
        <w:spacing w:before="120" w:line="320" w:lineRule="atLeast"/>
        <w:ind w:firstLine="420" w:firstLineChars="200"/>
        <w:rPr>
          <w:color w:val="auto"/>
          <w:szCs w:val="21"/>
        </w:rPr>
      </w:pPr>
      <w:bookmarkStart w:id="121" w:name="_Hlk132792081"/>
      <w:r>
        <w:rPr>
          <w:rFonts w:hint="eastAsia"/>
          <w:color w:val="auto"/>
          <w:szCs w:val="21"/>
        </w:rPr>
        <w:t>供应商根据采购需求中技术参数为基准，填写响应表，对于响应表或证明材料与技术参数不符的，按如下规定：</w:t>
      </w:r>
    </w:p>
    <w:p w14:paraId="1F7A1E98">
      <w:pPr>
        <w:spacing w:before="120" w:line="320" w:lineRule="atLeast"/>
        <w:ind w:firstLine="420" w:firstLineChars="200"/>
        <w:rPr>
          <w:color w:val="auto"/>
          <w:szCs w:val="21"/>
        </w:rPr>
      </w:pPr>
      <w:r>
        <w:rPr>
          <w:rFonts w:hint="eastAsia"/>
          <w:color w:val="auto"/>
          <w:szCs w:val="21"/>
        </w:rPr>
        <w:t>（1）实质性参数要求提交证明材料的，证明材料没有体现响应表中响应的内容的或未提供证明材料的，视为无效响应。非实质性参数要求提交证明材料的，证明材料没有体现响应表中响应的内容的或未提供证明材料的，视为负偏离。</w:t>
      </w:r>
    </w:p>
    <w:p w14:paraId="089B909E">
      <w:pPr>
        <w:spacing w:before="120" w:line="320" w:lineRule="atLeast"/>
        <w:ind w:firstLine="420" w:firstLineChars="200"/>
        <w:rPr>
          <w:color w:val="auto"/>
          <w:szCs w:val="21"/>
        </w:rPr>
      </w:pPr>
      <w:r>
        <w:rPr>
          <w:rFonts w:hint="eastAsia"/>
          <w:color w:val="auto"/>
          <w:szCs w:val="21"/>
        </w:rPr>
        <w:t>（2）响应表中响应的内容与证明材料不一致的，以证明材料为准作为评审依据。</w:t>
      </w:r>
    </w:p>
    <w:p w14:paraId="4E9EC446">
      <w:pPr>
        <w:spacing w:before="120" w:line="320" w:lineRule="atLeast"/>
        <w:ind w:firstLine="420" w:firstLineChars="200"/>
        <w:rPr>
          <w:color w:val="auto"/>
          <w:szCs w:val="21"/>
        </w:rPr>
      </w:pPr>
      <w:r>
        <w:rPr>
          <w:rFonts w:hint="eastAsia"/>
          <w:color w:val="auto"/>
          <w:szCs w:val="21"/>
        </w:rPr>
        <w:t>（3）同时出现以上两种情况的，按照（1）-（2）顺序认定。</w:t>
      </w:r>
    </w:p>
    <w:p w14:paraId="7C510B9D">
      <w:pPr>
        <w:spacing w:before="120" w:line="320" w:lineRule="atLeast"/>
        <w:ind w:firstLine="420" w:firstLineChars="200"/>
        <w:rPr>
          <w:color w:val="auto"/>
          <w:szCs w:val="21"/>
        </w:rPr>
      </w:pPr>
      <w:r>
        <w:rPr>
          <w:rFonts w:hint="eastAsia"/>
          <w:color w:val="auto"/>
          <w:szCs w:val="21"/>
        </w:rPr>
        <w:t>（</w:t>
      </w:r>
      <w:r>
        <w:rPr>
          <w:color w:val="auto"/>
          <w:szCs w:val="21"/>
        </w:rPr>
        <w:t>4</w:t>
      </w:r>
      <w:r>
        <w:rPr>
          <w:rFonts w:hint="eastAsia"/>
          <w:color w:val="auto"/>
          <w:szCs w:val="21"/>
        </w:rPr>
        <w:t>）响应表与采购需求中技术参数比较有漏项的，如为实质性参数漏项，视为未响应；如为非实质性参数漏项，视为负偏离。</w:t>
      </w:r>
    </w:p>
    <w:p w14:paraId="7986702C">
      <w:pPr>
        <w:spacing w:before="120" w:line="320" w:lineRule="atLeast"/>
        <w:ind w:firstLine="420" w:firstLineChars="200"/>
        <w:rPr>
          <w:color w:val="auto"/>
          <w:szCs w:val="21"/>
        </w:rPr>
      </w:pPr>
      <w:r>
        <w:rPr>
          <w:rFonts w:hint="eastAsia"/>
          <w:color w:val="auto"/>
          <w:szCs w:val="21"/>
        </w:rPr>
        <w:t>（</w:t>
      </w:r>
      <w:r>
        <w:rPr>
          <w:color w:val="auto"/>
          <w:szCs w:val="21"/>
        </w:rPr>
        <w:t>5</w:t>
      </w:r>
      <w:r>
        <w:rPr>
          <w:rFonts w:hint="eastAsia"/>
          <w:color w:val="auto"/>
          <w:szCs w:val="21"/>
        </w:rPr>
        <w:t>）一项技术参数有多条小项要求的，必须全部响应。如只响应部分参数，视为漏项，按照（4）判定。评审时以每一条技术参数为评审依据。</w:t>
      </w:r>
    </w:p>
    <w:p w14:paraId="1EB6FD65">
      <w:pPr>
        <w:spacing w:before="120" w:line="320" w:lineRule="atLeast"/>
        <w:ind w:firstLine="420" w:firstLineChars="200"/>
        <w:rPr>
          <w:color w:val="auto"/>
          <w:szCs w:val="21"/>
        </w:rPr>
      </w:pPr>
      <w:r>
        <w:rPr>
          <w:rFonts w:hint="eastAsia"/>
          <w:color w:val="auto"/>
          <w:szCs w:val="21"/>
        </w:rPr>
        <w:t>（</w:t>
      </w:r>
      <w:r>
        <w:rPr>
          <w:color w:val="auto"/>
          <w:szCs w:val="21"/>
        </w:rPr>
        <w:t>6</w:t>
      </w:r>
      <w:r>
        <w:rPr>
          <w:rFonts w:hint="eastAsia"/>
          <w:color w:val="auto"/>
          <w:szCs w:val="21"/>
        </w:rPr>
        <w:t>）对于区间涵盖值参数，例：电压“测量范围</w:t>
      </w:r>
      <w:r>
        <w:rPr>
          <w:color w:val="auto"/>
          <w:szCs w:val="21"/>
        </w:rPr>
        <w:t>3V-5V</w:t>
      </w:r>
      <w:r>
        <w:rPr>
          <w:rFonts w:hint="eastAsia"/>
          <w:color w:val="auto"/>
          <w:szCs w:val="21"/>
        </w:rPr>
        <w:t>”，同时满足下限值更低及上限值更高才视为正偏离，例：响应为“测量范围</w:t>
      </w:r>
      <w:r>
        <w:rPr>
          <w:color w:val="auto"/>
          <w:szCs w:val="21"/>
        </w:rPr>
        <w:t>2V-6V”</w:t>
      </w:r>
      <w:r>
        <w:rPr>
          <w:rFonts w:hint="eastAsia"/>
          <w:color w:val="auto"/>
          <w:szCs w:val="21"/>
        </w:rPr>
        <w:t>。如有一端负偏离，不管另一端如何，均视为负偏离，例：响应为“测量范围4</w:t>
      </w:r>
      <w:r>
        <w:rPr>
          <w:color w:val="auto"/>
          <w:szCs w:val="21"/>
        </w:rPr>
        <w:t>V-6V</w:t>
      </w:r>
      <w:r>
        <w:rPr>
          <w:rFonts w:hint="eastAsia"/>
          <w:color w:val="auto"/>
          <w:szCs w:val="21"/>
        </w:rPr>
        <w:t>”。</w:t>
      </w:r>
    </w:p>
    <w:p w14:paraId="7D3A148E">
      <w:pPr>
        <w:spacing w:before="120" w:line="320" w:lineRule="atLeast"/>
        <w:ind w:firstLine="420" w:firstLineChars="200"/>
        <w:rPr>
          <w:color w:val="auto"/>
          <w:szCs w:val="21"/>
        </w:rPr>
      </w:pPr>
      <w:r>
        <w:rPr>
          <w:rFonts w:hint="eastAsia"/>
          <w:color w:val="auto"/>
          <w:szCs w:val="21"/>
        </w:rPr>
        <w:t>（</w:t>
      </w:r>
      <w:r>
        <w:rPr>
          <w:color w:val="auto"/>
          <w:szCs w:val="21"/>
        </w:rPr>
        <w:t>7</w:t>
      </w:r>
      <w:r>
        <w:rPr>
          <w:rFonts w:hint="eastAsia"/>
          <w:color w:val="auto"/>
          <w:szCs w:val="21"/>
        </w:rPr>
        <w:t>）对于区间任意值参数，例“</w:t>
      </w:r>
      <w:r>
        <w:rPr>
          <w:color w:val="auto"/>
          <w:szCs w:val="21"/>
        </w:rPr>
        <w:t>5</w:t>
      </w:r>
      <w:r>
        <w:rPr>
          <w:rFonts w:hint="eastAsia"/>
          <w:color w:val="auto"/>
          <w:szCs w:val="21"/>
        </w:rPr>
        <w:t>m</w:t>
      </w:r>
      <w:r>
        <w:rPr>
          <w:color w:val="auto"/>
          <w:szCs w:val="21"/>
        </w:rPr>
        <w:t>m</w:t>
      </w:r>
      <w:r>
        <w:rPr>
          <w:rFonts w:hint="eastAsia"/>
          <w:color w:val="auto"/>
          <w:szCs w:val="21"/>
        </w:rPr>
        <w:t>≤间距≤1</w:t>
      </w:r>
      <w:r>
        <w:rPr>
          <w:color w:val="auto"/>
          <w:szCs w:val="21"/>
        </w:rPr>
        <w:t>0</w:t>
      </w:r>
      <w:r>
        <w:rPr>
          <w:rFonts w:hint="eastAsia"/>
          <w:color w:val="auto"/>
          <w:szCs w:val="21"/>
        </w:rPr>
        <w:t>m</w:t>
      </w:r>
      <w:r>
        <w:rPr>
          <w:color w:val="auto"/>
          <w:szCs w:val="21"/>
        </w:rPr>
        <w:t>m</w:t>
      </w:r>
      <w:r>
        <w:rPr>
          <w:rFonts w:hint="eastAsia"/>
          <w:color w:val="auto"/>
          <w:szCs w:val="21"/>
        </w:rPr>
        <w:t>”或“间距7.5±2.5mm”，若间距响应值为</w:t>
      </w:r>
      <w:r>
        <w:rPr>
          <w:color w:val="auto"/>
          <w:szCs w:val="21"/>
        </w:rPr>
        <w:t>5</w:t>
      </w:r>
      <w:r>
        <w:rPr>
          <w:rFonts w:hint="eastAsia"/>
          <w:color w:val="auto"/>
          <w:szCs w:val="21"/>
        </w:rPr>
        <w:t>m</w:t>
      </w:r>
      <w:r>
        <w:rPr>
          <w:color w:val="auto"/>
          <w:szCs w:val="21"/>
        </w:rPr>
        <w:t>m-10mm</w:t>
      </w:r>
      <w:r>
        <w:rPr>
          <w:rFonts w:hint="eastAsia"/>
          <w:color w:val="auto"/>
          <w:szCs w:val="21"/>
        </w:rPr>
        <w:t>中任意区间值或任意一个数值（含本数）时为无偏离，例：“6m</w:t>
      </w:r>
      <w:r>
        <w:rPr>
          <w:color w:val="auto"/>
          <w:szCs w:val="21"/>
        </w:rPr>
        <w:t>m</w:t>
      </w:r>
      <w:r>
        <w:rPr>
          <w:rFonts w:hint="eastAsia"/>
          <w:color w:val="auto"/>
          <w:szCs w:val="21"/>
        </w:rPr>
        <w:t>≤间距≤8m</w:t>
      </w:r>
      <w:r>
        <w:rPr>
          <w:color w:val="auto"/>
          <w:szCs w:val="21"/>
        </w:rPr>
        <w:t>m</w:t>
      </w:r>
      <w:r>
        <w:rPr>
          <w:rFonts w:hint="eastAsia"/>
          <w:color w:val="auto"/>
          <w:szCs w:val="21"/>
        </w:rPr>
        <w:t>”、“8±2mm”、“8mm”。超过区间范围视为负偏离，例：“3m</w:t>
      </w:r>
      <w:r>
        <w:rPr>
          <w:color w:val="auto"/>
          <w:szCs w:val="21"/>
        </w:rPr>
        <w:t>m</w:t>
      </w:r>
      <w:r>
        <w:rPr>
          <w:rFonts w:hint="eastAsia"/>
          <w:color w:val="auto"/>
          <w:szCs w:val="21"/>
        </w:rPr>
        <w:t>≤间距≤12m</w:t>
      </w:r>
      <w:r>
        <w:rPr>
          <w:color w:val="auto"/>
          <w:szCs w:val="21"/>
        </w:rPr>
        <w:t>m</w:t>
      </w:r>
      <w:r>
        <w:rPr>
          <w:rFonts w:hint="eastAsia"/>
          <w:color w:val="auto"/>
          <w:szCs w:val="21"/>
        </w:rPr>
        <w:t>”、“8±4mm”、“3-12mm”、“3mm”。此类参数不存在正偏离。</w:t>
      </w:r>
    </w:p>
    <w:p w14:paraId="66AC51DD">
      <w:pPr>
        <w:spacing w:before="120" w:line="320" w:lineRule="atLeast"/>
        <w:ind w:firstLine="420" w:firstLineChars="200"/>
        <w:rPr>
          <w:color w:val="auto"/>
          <w:szCs w:val="21"/>
        </w:rPr>
      </w:pPr>
      <w:r>
        <w:rPr>
          <w:rFonts w:hint="eastAsia"/>
          <w:color w:val="auto"/>
          <w:szCs w:val="21"/>
        </w:rPr>
        <w:t>（</w:t>
      </w:r>
      <w:r>
        <w:rPr>
          <w:color w:val="auto"/>
          <w:szCs w:val="21"/>
        </w:rPr>
        <w:t>8</w:t>
      </w:r>
      <w:r>
        <w:rPr>
          <w:rFonts w:hint="eastAsia"/>
          <w:color w:val="auto"/>
          <w:szCs w:val="21"/>
        </w:rPr>
        <w:t>）对于单边任意参数的要求，例“长度≥5</w:t>
      </w:r>
      <w:r>
        <w:rPr>
          <w:color w:val="auto"/>
          <w:szCs w:val="21"/>
        </w:rPr>
        <w:t>0cm”</w:t>
      </w:r>
      <w:r>
        <w:rPr>
          <w:rFonts w:hint="eastAsia"/>
          <w:color w:val="auto"/>
          <w:szCs w:val="21"/>
        </w:rPr>
        <w:t>，若响应为5</w:t>
      </w:r>
      <w:r>
        <w:rPr>
          <w:color w:val="auto"/>
          <w:szCs w:val="21"/>
        </w:rPr>
        <w:t>0 cm</w:t>
      </w:r>
      <w:r>
        <w:rPr>
          <w:rFonts w:hint="eastAsia"/>
          <w:color w:val="auto"/>
          <w:szCs w:val="21"/>
        </w:rPr>
        <w:t>及5</w:t>
      </w:r>
      <w:r>
        <w:rPr>
          <w:color w:val="auto"/>
          <w:szCs w:val="21"/>
        </w:rPr>
        <w:t>0cm</w:t>
      </w:r>
      <w:r>
        <w:rPr>
          <w:rFonts w:hint="eastAsia"/>
          <w:color w:val="auto"/>
          <w:szCs w:val="21"/>
        </w:rPr>
        <w:t>以上任意一个数值，均视为无偏离；若响应小于5</w:t>
      </w:r>
      <w:r>
        <w:rPr>
          <w:color w:val="auto"/>
          <w:szCs w:val="21"/>
        </w:rPr>
        <w:t>0cm</w:t>
      </w:r>
      <w:r>
        <w:rPr>
          <w:rFonts w:hint="eastAsia"/>
          <w:color w:val="auto"/>
          <w:szCs w:val="21"/>
        </w:rPr>
        <w:t>，视为负偏离。此类参数无正偏离。</w:t>
      </w:r>
    </w:p>
    <w:p w14:paraId="26E7CB80">
      <w:pPr>
        <w:spacing w:before="120" w:line="320" w:lineRule="atLeast"/>
        <w:ind w:firstLine="420" w:firstLineChars="200"/>
        <w:rPr>
          <w:color w:val="auto"/>
          <w:szCs w:val="21"/>
        </w:rPr>
      </w:pPr>
      <w:r>
        <w:rPr>
          <w:rFonts w:hint="eastAsia"/>
          <w:color w:val="auto"/>
          <w:szCs w:val="21"/>
        </w:rPr>
        <w:t>（</w:t>
      </w:r>
      <w:r>
        <w:rPr>
          <w:color w:val="auto"/>
          <w:szCs w:val="21"/>
        </w:rPr>
        <w:t>9</w:t>
      </w:r>
      <w:r>
        <w:rPr>
          <w:rFonts w:hint="eastAsia"/>
          <w:color w:val="auto"/>
          <w:szCs w:val="21"/>
        </w:rPr>
        <w:t>）对于固定参数，响应与采购需求中技术参数一致，视为无偏离，其他均视为负偏离，此类参数无正偏离。</w:t>
      </w:r>
    </w:p>
    <w:p w14:paraId="52AE2FC6">
      <w:pPr>
        <w:spacing w:before="120" w:line="320" w:lineRule="atLeast"/>
        <w:ind w:firstLine="420" w:firstLineChars="200"/>
        <w:rPr>
          <w:color w:val="4472C4"/>
          <w:szCs w:val="21"/>
        </w:rPr>
      </w:pPr>
      <w:r>
        <w:rPr>
          <w:rFonts w:hint="eastAsia"/>
          <w:color w:val="auto"/>
          <w:szCs w:val="21"/>
        </w:rPr>
        <w:t>（</w:t>
      </w:r>
      <w:r>
        <w:rPr>
          <w:color w:val="auto"/>
          <w:szCs w:val="21"/>
        </w:rPr>
        <w:t>10</w:t>
      </w:r>
      <w:r>
        <w:rPr>
          <w:rFonts w:hint="eastAsia"/>
          <w:color w:val="auto"/>
          <w:szCs w:val="21"/>
        </w:rPr>
        <w:t>）如采购需求中技术参数有特殊要求与上述说明不一致的，以特殊要求为准。</w:t>
      </w:r>
    </w:p>
    <w:bookmarkEnd w:id="121"/>
    <w:p w14:paraId="1B7AE440">
      <w:pPr>
        <w:spacing w:before="120" w:line="320" w:lineRule="atLeast"/>
        <w:ind w:firstLine="420" w:firstLineChars="200"/>
        <w:rPr>
          <w:color w:val="4472C4"/>
          <w:szCs w:val="21"/>
        </w:rPr>
      </w:pPr>
    </w:p>
    <w:bookmarkEnd w:id="112"/>
    <w:bookmarkEnd w:id="118"/>
    <w:bookmarkEnd w:id="119"/>
    <w:p w14:paraId="2EE54C64">
      <w:pPr>
        <w:spacing w:before="120" w:line="320" w:lineRule="atLeast"/>
        <w:ind w:firstLine="420" w:firstLineChars="200"/>
        <w:rPr>
          <w:color w:val="4472C4"/>
          <w:szCs w:val="21"/>
        </w:rPr>
      </w:pPr>
    </w:p>
    <w:bookmarkEnd w:id="120"/>
    <w:p w14:paraId="3172000C">
      <w:pPr>
        <w:pStyle w:val="26"/>
        <w:snapToGrid w:val="0"/>
        <w:spacing w:before="120" w:after="120"/>
        <w:outlineLvl w:val="0"/>
        <w:rPr>
          <w:rFonts w:ascii="Times New Roman" w:hAnsi="Times New Roman" w:cs="Times New Roman"/>
          <w:b/>
          <w:sz w:val="32"/>
          <w:szCs w:val="32"/>
        </w:rPr>
        <w:sectPr>
          <w:headerReference r:id="rId11" w:type="default"/>
          <w:pgSz w:w="11906" w:h="16838"/>
          <w:pgMar w:top="1418" w:right="1133" w:bottom="1246" w:left="1418" w:header="851" w:footer="992" w:gutter="0"/>
          <w:pgBorders>
            <w:top w:val="none" w:sz="0" w:space="0"/>
            <w:left w:val="none" w:sz="0" w:space="0"/>
            <w:bottom w:val="none" w:sz="0" w:space="0"/>
            <w:right w:val="none" w:sz="0" w:space="0"/>
          </w:pgBorders>
          <w:pgNumType w:fmt="decimal"/>
          <w:cols w:space="720" w:num="1"/>
          <w:docGrid w:linePitch="312" w:charSpace="0"/>
        </w:sectPr>
      </w:pPr>
    </w:p>
    <w:p w14:paraId="3569131E">
      <w:pPr>
        <w:pStyle w:val="26"/>
        <w:snapToGrid w:val="0"/>
        <w:spacing w:before="120" w:after="120" w:line="320" w:lineRule="exact"/>
        <w:jc w:val="center"/>
        <w:outlineLvl w:val="0"/>
        <w:rPr>
          <w:rFonts w:ascii="Times New Roman" w:hAnsi="Times New Roman" w:cs="Times New Roman"/>
          <w:sz w:val="32"/>
          <w:szCs w:val="32"/>
        </w:rPr>
      </w:pPr>
      <w:bookmarkStart w:id="122" w:name="_Toc8076"/>
      <w:bookmarkStart w:id="123" w:name="_Hlk132792198"/>
      <w:bookmarkStart w:id="124" w:name="_Hlk160525326"/>
      <w:r>
        <w:rPr>
          <w:rFonts w:ascii="Times New Roman" w:hAnsi="Times New Roman" w:cs="Times New Roman"/>
          <w:sz w:val="32"/>
          <w:szCs w:val="32"/>
        </w:rPr>
        <w:t>第五章  合同主要条款格式</w:t>
      </w:r>
      <w:bookmarkEnd w:id="122"/>
    </w:p>
    <w:p w14:paraId="40CB01D0">
      <w:pPr>
        <w:pStyle w:val="19"/>
        <w:ind w:left="1764" w:hanging="924"/>
        <w:jc w:val="center"/>
        <w:rPr>
          <w:sz w:val="32"/>
          <w:szCs w:val="32"/>
        </w:rPr>
      </w:pPr>
    </w:p>
    <w:p w14:paraId="10ADD071">
      <w:pPr>
        <w:pStyle w:val="19"/>
        <w:ind w:left="1764" w:hanging="924"/>
        <w:jc w:val="center"/>
        <w:rPr>
          <w:sz w:val="32"/>
          <w:szCs w:val="32"/>
        </w:rPr>
      </w:pPr>
    </w:p>
    <w:p w14:paraId="52DBD34A">
      <w:pPr>
        <w:pStyle w:val="19"/>
        <w:ind w:left="1764" w:hanging="924"/>
        <w:jc w:val="center"/>
        <w:rPr>
          <w:sz w:val="32"/>
          <w:szCs w:val="32"/>
        </w:rPr>
      </w:pPr>
    </w:p>
    <w:p w14:paraId="6F23BF66">
      <w:pPr>
        <w:pStyle w:val="19"/>
        <w:ind w:left="1764" w:hanging="924"/>
        <w:jc w:val="center"/>
        <w:rPr>
          <w:sz w:val="32"/>
          <w:szCs w:val="32"/>
        </w:rPr>
      </w:pPr>
    </w:p>
    <w:p w14:paraId="3ADFF714">
      <w:pPr>
        <w:widowControl/>
        <w:kinsoku w:val="0"/>
        <w:autoSpaceDE w:val="0"/>
        <w:autoSpaceDN w:val="0"/>
        <w:adjustRightInd w:val="0"/>
        <w:snapToGrid w:val="0"/>
        <w:ind w:right="561" w:rightChars="267"/>
        <w:jc w:val="center"/>
        <w:textAlignment w:val="baseline"/>
        <w:rPr>
          <w:rFonts w:ascii="方正小标宋简体" w:hAnsi="方正小标宋简体" w:eastAsia="方正小标宋简体" w:cs="方正小标宋简体"/>
          <w:snapToGrid w:val="0"/>
          <w:color w:val="000000"/>
          <w:spacing w:val="3"/>
          <w:kern w:val="0"/>
          <w:sz w:val="52"/>
          <w:szCs w:val="52"/>
        </w:rPr>
      </w:pPr>
      <w:r>
        <w:rPr>
          <w:rFonts w:hint="eastAsia" w:ascii="宋体" w:hAnsi="宋体" w:cs="宋体"/>
          <w:snapToGrid w:val="0"/>
          <w:color w:val="000000"/>
          <w:spacing w:val="3"/>
          <w:kern w:val="0"/>
          <w:sz w:val="52"/>
          <w:szCs w:val="52"/>
        </w:rPr>
        <w:t>医疗设备采购合同书</w:t>
      </w:r>
    </w:p>
    <w:p w14:paraId="3E13F873">
      <w:pPr>
        <w:pStyle w:val="214"/>
        <w:jc w:val="both"/>
      </w:pPr>
    </w:p>
    <w:p w14:paraId="6E6D74EA">
      <w:pPr>
        <w:ind w:left="1260" w:right="560"/>
        <w:rPr>
          <w:rFonts w:ascii="黑体" w:eastAsia="黑体"/>
          <w:b/>
          <w:sz w:val="72"/>
          <w:szCs w:val="72"/>
          <w:u w:val="single"/>
        </w:rPr>
      </w:pPr>
    </w:p>
    <w:p w14:paraId="186D884A">
      <w:pPr>
        <w:ind w:right="561"/>
        <w:rPr>
          <w:b/>
          <w:sz w:val="32"/>
          <w:szCs w:val="32"/>
        </w:rPr>
      </w:pPr>
    </w:p>
    <w:p w14:paraId="2F162927">
      <w:pPr>
        <w:ind w:right="561"/>
        <w:rPr>
          <w:b/>
          <w:sz w:val="32"/>
          <w:szCs w:val="32"/>
        </w:rPr>
      </w:pPr>
    </w:p>
    <w:p w14:paraId="7FCD9464">
      <w:pPr>
        <w:ind w:right="561" w:rightChars="267" w:firstLine="2528" w:firstLineChars="787"/>
        <w:jc w:val="left"/>
        <w:rPr>
          <w:b/>
          <w:sz w:val="32"/>
          <w:szCs w:val="32"/>
        </w:rPr>
      </w:pPr>
    </w:p>
    <w:p w14:paraId="4E97FB83">
      <w:pPr>
        <w:spacing w:line="720" w:lineRule="auto"/>
        <w:ind w:right="561" w:rightChars="267" w:firstLine="1484" w:firstLineChars="462"/>
        <w:jc w:val="left"/>
        <w:rPr>
          <w:b/>
          <w:color w:val="000000"/>
          <w:sz w:val="32"/>
          <w:szCs w:val="32"/>
        </w:rPr>
      </w:pPr>
      <w:r>
        <w:rPr>
          <w:rFonts w:hint="eastAsia"/>
          <w:b/>
          <w:color w:val="000000"/>
          <w:sz w:val="32"/>
          <w:szCs w:val="32"/>
        </w:rPr>
        <w:t>合同编号：</w:t>
      </w:r>
    </w:p>
    <w:p w14:paraId="7B15B342">
      <w:pPr>
        <w:spacing w:line="720" w:lineRule="auto"/>
        <w:ind w:right="561" w:rightChars="267" w:firstLine="1484" w:firstLineChars="462"/>
        <w:jc w:val="left"/>
        <w:rPr>
          <w:b/>
          <w:color w:val="000000"/>
          <w:sz w:val="32"/>
          <w:szCs w:val="32"/>
        </w:rPr>
      </w:pPr>
      <w:r>
        <w:rPr>
          <w:rFonts w:hint="eastAsia"/>
          <w:b/>
          <w:color w:val="000000"/>
          <w:sz w:val="32"/>
          <w:szCs w:val="32"/>
        </w:rPr>
        <w:t>采购内容：</w:t>
      </w:r>
    </w:p>
    <w:p w14:paraId="14179E71">
      <w:pPr>
        <w:spacing w:line="720" w:lineRule="auto"/>
        <w:ind w:right="561" w:rightChars="267" w:firstLine="1484" w:firstLineChars="462"/>
        <w:jc w:val="left"/>
        <w:rPr>
          <w:b/>
          <w:color w:val="000000"/>
          <w:sz w:val="32"/>
          <w:szCs w:val="32"/>
        </w:rPr>
      </w:pPr>
      <w:r>
        <w:rPr>
          <w:rFonts w:hint="eastAsia"/>
          <w:b/>
          <w:color w:val="000000"/>
          <w:sz w:val="32"/>
          <w:szCs w:val="32"/>
        </w:rPr>
        <w:t>甲    方：</w:t>
      </w:r>
    </w:p>
    <w:p w14:paraId="428CCA70">
      <w:pPr>
        <w:spacing w:line="720" w:lineRule="auto"/>
        <w:ind w:right="561" w:rightChars="267" w:firstLine="1484" w:firstLineChars="462"/>
        <w:jc w:val="left"/>
        <w:rPr>
          <w:b/>
          <w:color w:val="000000"/>
          <w:sz w:val="32"/>
          <w:szCs w:val="32"/>
        </w:rPr>
      </w:pPr>
      <w:r>
        <w:rPr>
          <w:rFonts w:hint="eastAsia"/>
          <w:b/>
          <w:color w:val="000000"/>
          <w:sz w:val="32"/>
          <w:szCs w:val="32"/>
        </w:rPr>
        <w:t>乙    方：</w:t>
      </w:r>
    </w:p>
    <w:p w14:paraId="55519955">
      <w:pPr>
        <w:spacing w:line="720" w:lineRule="auto"/>
        <w:ind w:right="561" w:rightChars="267" w:firstLine="1484" w:firstLineChars="462"/>
        <w:jc w:val="left"/>
        <w:rPr>
          <w:b/>
          <w:color w:val="000000"/>
          <w:sz w:val="32"/>
          <w:szCs w:val="32"/>
        </w:rPr>
      </w:pPr>
      <w:r>
        <w:rPr>
          <w:rFonts w:hint="eastAsia"/>
          <w:b/>
          <w:color w:val="000000"/>
          <w:sz w:val="32"/>
          <w:szCs w:val="32"/>
        </w:rPr>
        <w:t>签订日期：</w:t>
      </w:r>
    </w:p>
    <w:p w14:paraId="17D5A9DF">
      <w:pPr>
        <w:spacing w:line="720" w:lineRule="auto"/>
        <w:ind w:right="561" w:rightChars="267" w:firstLine="1484" w:firstLineChars="462"/>
        <w:jc w:val="left"/>
        <w:rPr>
          <w:b/>
          <w:color w:val="000000"/>
          <w:sz w:val="32"/>
          <w:szCs w:val="32"/>
        </w:rPr>
      </w:pPr>
      <w:r>
        <w:rPr>
          <w:rFonts w:hint="eastAsia"/>
          <w:b/>
          <w:color w:val="000000"/>
          <w:sz w:val="32"/>
          <w:szCs w:val="32"/>
        </w:rPr>
        <w:t>签订地点：</w:t>
      </w:r>
    </w:p>
    <w:p w14:paraId="2AEFDA17">
      <w:pPr>
        <w:pStyle w:val="214"/>
        <w:rPr>
          <w:b/>
          <w:sz w:val="32"/>
          <w:szCs w:val="32"/>
        </w:rPr>
        <w:sectPr>
          <w:footerReference r:id="rId12" w:type="default"/>
          <w:footerReference r:id="rId13" w:type="even"/>
          <w:pgSz w:w="11906" w:h="16838"/>
          <w:pgMar w:top="1157" w:right="1162" w:bottom="930" w:left="1157" w:header="851" w:footer="992" w:gutter="0"/>
          <w:pgNumType w:fmt="decimal"/>
          <w:cols w:space="720" w:num="1"/>
          <w:docGrid w:type="lines" w:linePitch="312" w:charSpace="0"/>
        </w:sectPr>
      </w:pPr>
    </w:p>
    <w:p w14:paraId="2D28D664">
      <w:pPr>
        <w:pStyle w:val="3"/>
        <w:spacing w:line="500" w:lineRule="exact"/>
        <w:jc w:val="center"/>
        <w:rPr>
          <w:rFonts w:ascii="仿宋" w:hAnsi="仿宋" w:eastAsia="仿宋"/>
          <w:b w:val="0"/>
          <w:bCs w:val="0"/>
        </w:rPr>
      </w:pPr>
      <w:r>
        <w:rPr>
          <w:rFonts w:hint="eastAsia" w:ascii="仿宋" w:hAnsi="仿宋" w:eastAsia="仿宋"/>
        </w:rPr>
        <w:t>医疗设备采购合同</w:t>
      </w:r>
    </w:p>
    <w:p w14:paraId="7C3BEB86">
      <w:pPr>
        <w:snapToGrid w:val="0"/>
        <w:spacing w:line="360" w:lineRule="exact"/>
        <w:rPr>
          <w:rFonts w:ascii="仿宋" w:hAnsi="仿宋" w:eastAsia="仿宋"/>
          <w:szCs w:val="21"/>
        </w:rPr>
      </w:pPr>
    </w:p>
    <w:p w14:paraId="313BF986">
      <w:pPr>
        <w:snapToGrid w:val="0"/>
        <w:spacing w:line="400" w:lineRule="exact"/>
        <w:ind w:right="480"/>
        <w:rPr>
          <w:rFonts w:ascii="仿宋" w:hAnsi="仿宋" w:eastAsia="仿宋"/>
          <w:sz w:val="24"/>
        </w:rPr>
      </w:pPr>
      <w:r>
        <w:rPr>
          <w:rFonts w:hint="eastAsia" w:ascii="仿宋" w:hAnsi="仿宋" w:eastAsia="仿宋"/>
          <w:sz w:val="24"/>
        </w:rPr>
        <w:t>甲方（全称）：</w:t>
      </w:r>
    </w:p>
    <w:p w14:paraId="7DCFD508">
      <w:pPr>
        <w:snapToGrid w:val="0"/>
        <w:spacing w:line="400" w:lineRule="exact"/>
        <w:rPr>
          <w:rFonts w:ascii="仿宋" w:hAnsi="仿宋" w:eastAsia="仿宋"/>
          <w:sz w:val="24"/>
        </w:rPr>
      </w:pPr>
      <w:r>
        <w:rPr>
          <w:rFonts w:hint="eastAsia" w:ascii="仿宋" w:hAnsi="仿宋" w:eastAsia="仿宋"/>
          <w:sz w:val="24"/>
        </w:rPr>
        <w:t>乙方（全称）：</w:t>
      </w:r>
    </w:p>
    <w:p w14:paraId="43F6C697">
      <w:pPr>
        <w:snapToGrid w:val="0"/>
        <w:spacing w:line="400" w:lineRule="exact"/>
        <w:rPr>
          <w:rFonts w:ascii="仿宋" w:hAnsi="仿宋" w:eastAsia="仿宋"/>
          <w:sz w:val="24"/>
        </w:rPr>
      </w:pPr>
      <w:r>
        <w:rPr>
          <w:rFonts w:hint="eastAsia" w:ascii="仿宋" w:hAnsi="仿宋" w:eastAsia="仿宋"/>
          <w:sz w:val="24"/>
        </w:rPr>
        <w:t xml:space="preserve">签订地点：河池市金城江区中山路70号   </w:t>
      </w:r>
    </w:p>
    <w:p w14:paraId="05B68540">
      <w:pPr>
        <w:snapToGrid w:val="0"/>
        <w:spacing w:line="400" w:lineRule="exact"/>
        <w:rPr>
          <w:rFonts w:ascii="仿宋" w:hAnsi="仿宋" w:eastAsia="仿宋"/>
          <w:sz w:val="24"/>
        </w:rPr>
      </w:pPr>
      <w:r>
        <w:rPr>
          <w:rFonts w:hint="eastAsia" w:ascii="仿宋" w:hAnsi="仿宋" w:eastAsia="仿宋"/>
          <w:sz w:val="24"/>
        </w:rPr>
        <w:t>签 订 时 间;</w:t>
      </w:r>
      <w:r>
        <w:rPr>
          <w:rFonts w:hint="eastAsia" w:ascii="仿宋" w:hAnsi="仿宋" w:eastAsia="仿宋"/>
          <w:sz w:val="24"/>
          <w:lang w:val="en-US" w:eastAsia="zh-CN"/>
        </w:rPr>
        <w:t xml:space="preserve">    </w:t>
      </w:r>
      <w:r>
        <w:rPr>
          <w:rFonts w:hint="eastAsia" w:ascii="仿宋" w:hAnsi="仿宋" w:eastAsia="仿宋"/>
          <w:sz w:val="24"/>
        </w:rPr>
        <w:t>年   月   日</w:t>
      </w:r>
    </w:p>
    <w:p w14:paraId="7FF72376">
      <w:pPr>
        <w:snapToGrid w:val="0"/>
        <w:spacing w:line="400" w:lineRule="exact"/>
        <w:ind w:firstLine="480" w:firstLineChars="200"/>
        <w:rPr>
          <w:rFonts w:ascii="仿宋" w:hAnsi="仿宋" w:eastAsia="仿宋"/>
          <w:sz w:val="24"/>
          <w:lang w:eastAsia="en-US"/>
        </w:rPr>
      </w:pPr>
      <w:r>
        <w:rPr>
          <w:rFonts w:hint="eastAsia" w:ascii="仿宋" w:hAnsi="仿宋" w:eastAsia="仿宋"/>
          <w:sz w:val="24"/>
        </w:rPr>
        <w:t>依据《中华人民共和国民法典》、《中华人民共和国政府采购法》等有关的法律法规，以及本采购项目的招标/谈判文件等采购文件、乙方的《投标（响应）文件》及《中标（成交）通知书》，甲乙双方同意签订本合同。</w:t>
      </w:r>
      <w:r>
        <w:rPr>
          <w:rFonts w:hint="eastAsia" w:ascii="仿宋" w:hAnsi="仿宋" w:eastAsia="仿宋"/>
          <w:sz w:val="24"/>
          <w:lang w:eastAsia="en-US"/>
        </w:rPr>
        <w:t>具体情况及要求如下：</w:t>
      </w:r>
    </w:p>
    <w:p w14:paraId="1F7F279B">
      <w:pPr>
        <w:numPr>
          <w:ilvl w:val="0"/>
          <w:numId w:val="0"/>
        </w:numPr>
        <w:tabs>
          <w:tab w:val="left" w:pos="420"/>
        </w:tabs>
        <w:snapToGrid w:val="0"/>
        <w:spacing w:line="400" w:lineRule="exact"/>
        <w:ind w:left="845" w:leftChars="0" w:hanging="425" w:firstLineChars="0"/>
        <w:rPr>
          <w:rFonts w:ascii="仿宋" w:hAnsi="仿宋" w:eastAsia="仿宋"/>
          <w:b/>
          <w:sz w:val="24"/>
        </w:rPr>
      </w:pPr>
      <w:r>
        <w:rPr>
          <w:rFonts w:hint="eastAsia" w:ascii="仿宋" w:hAnsi="仿宋" w:eastAsia="仿宋" w:cs="Times New Roman"/>
          <w:b/>
          <w:kern w:val="2"/>
          <w:sz w:val="24"/>
          <w:szCs w:val="24"/>
          <w:lang w:val="en-US" w:eastAsia="zh-CN" w:bidi="ar-SA"/>
        </w:rPr>
        <w:t xml:space="preserve">第一条 </w:t>
      </w:r>
      <w:r>
        <w:rPr>
          <w:rFonts w:hint="eastAsia" w:ascii="仿宋" w:hAnsi="仿宋" w:eastAsia="仿宋"/>
          <w:b/>
          <w:sz w:val="24"/>
        </w:rPr>
        <w:t>合同标的</w:t>
      </w:r>
    </w:p>
    <w:p w14:paraId="36FDC023">
      <w:pPr>
        <w:numPr>
          <w:ilvl w:val="1"/>
          <w:numId w:val="0"/>
        </w:numPr>
        <w:snapToGrid w:val="0"/>
        <w:spacing w:line="400" w:lineRule="exact"/>
        <w:ind w:left="0" w:leftChars="0" w:firstLine="420" w:firstLineChars="0"/>
        <w:rPr>
          <w:rFonts w:ascii="仿宋" w:hAnsi="仿宋" w:eastAsia="仿宋"/>
          <w:sz w:val="24"/>
        </w:rPr>
      </w:pPr>
      <w:r>
        <w:rPr>
          <w:rFonts w:hint="eastAsia" w:ascii="仿宋" w:hAnsi="仿宋" w:eastAsia="仿宋" w:cs="Times New Roman"/>
          <w:kern w:val="2"/>
          <w:sz w:val="24"/>
          <w:szCs w:val="24"/>
          <w:lang w:val="en-US" w:eastAsia="zh-CN" w:bidi="ar-SA"/>
        </w:rPr>
        <w:t>1.1</w:t>
      </w:r>
      <w:r>
        <w:rPr>
          <w:rFonts w:hint="eastAsia" w:ascii="仿宋" w:hAnsi="仿宋" w:eastAsia="仿宋"/>
          <w:sz w:val="24"/>
        </w:rPr>
        <w:t>供货一览表:</w:t>
      </w:r>
    </w:p>
    <w:tbl>
      <w:tblPr>
        <w:tblStyle w:val="51"/>
        <w:tblW w:w="9193" w:type="dxa"/>
        <w:tblInd w:w="25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14"/>
        <w:gridCol w:w="1513"/>
        <w:gridCol w:w="1132"/>
        <w:gridCol w:w="873"/>
        <w:gridCol w:w="1914"/>
        <w:gridCol w:w="614"/>
        <w:gridCol w:w="535"/>
        <w:gridCol w:w="927"/>
        <w:gridCol w:w="1071"/>
      </w:tblGrid>
      <w:tr w14:paraId="44B324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7" w:hRule="atLeast"/>
        </w:trPr>
        <w:tc>
          <w:tcPr>
            <w:tcW w:w="614" w:type="dxa"/>
            <w:noWrap/>
            <w:vAlign w:val="center"/>
          </w:tcPr>
          <w:p w14:paraId="27736E24">
            <w:pPr>
              <w:snapToGrid w:val="0"/>
              <w:spacing w:line="400" w:lineRule="exact"/>
              <w:jc w:val="center"/>
              <w:rPr>
                <w:rFonts w:ascii="仿宋" w:hAnsi="仿宋" w:eastAsia="仿宋"/>
                <w:sz w:val="24"/>
              </w:rPr>
            </w:pPr>
            <w:r>
              <w:rPr>
                <w:rFonts w:hint="eastAsia" w:ascii="仿宋" w:hAnsi="仿宋" w:eastAsia="仿宋"/>
                <w:sz w:val="24"/>
              </w:rPr>
              <w:t>序号</w:t>
            </w:r>
          </w:p>
        </w:tc>
        <w:tc>
          <w:tcPr>
            <w:tcW w:w="1513" w:type="dxa"/>
            <w:noWrap/>
            <w:vAlign w:val="center"/>
          </w:tcPr>
          <w:p w14:paraId="6ACE50A2">
            <w:pPr>
              <w:snapToGrid w:val="0"/>
              <w:spacing w:line="400" w:lineRule="exact"/>
              <w:jc w:val="center"/>
              <w:rPr>
                <w:rFonts w:ascii="仿宋" w:hAnsi="仿宋" w:eastAsia="仿宋"/>
                <w:sz w:val="24"/>
              </w:rPr>
            </w:pPr>
            <w:r>
              <w:rPr>
                <w:rFonts w:hint="eastAsia" w:ascii="仿宋" w:hAnsi="仿宋" w:eastAsia="仿宋"/>
                <w:sz w:val="24"/>
              </w:rPr>
              <w:t>产品名称</w:t>
            </w:r>
          </w:p>
        </w:tc>
        <w:tc>
          <w:tcPr>
            <w:tcW w:w="1132" w:type="dxa"/>
            <w:noWrap/>
            <w:vAlign w:val="center"/>
          </w:tcPr>
          <w:p w14:paraId="1A321F3E">
            <w:pPr>
              <w:snapToGrid w:val="0"/>
              <w:spacing w:line="400" w:lineRule="exact"/>
              <w:jc w:val="center"/>
              <w:rPr>
                <w:rFonts w:ascii="仿宋" w:hAnsi="仿宋" w:eastAsia="仿宋"/>
                <w:sz w:val="24"/>
              </w:rPr>
            </w:pPr>
            <w:r>
              <w:rPr>
                <w:rFonts w:hint="eastAsia" w:ascii="仿宋" w:hAnsi="仿宋" w:eastAsia="仿宋"/>
                <w:sz w:val="24"/>
              </w:rPr>
              <w:t>品牌</w:t>
            </w:r>
          </w:p>
        </w:tc>
        <w:tc>
          <w:tcPr>
            <w:tcW w:w="873" w:type="dxa"/>
            <w:noWrap/>
            <w:vAlign w:val="center"/>
          </w:tcPr>
          <w:p w14:paraId="7585D715">
            <w:pPr>
              <w:snapToGrid w:val="0"/>
              <w:spacing w:line="400" w:lineRule="exact"/>
              <w:jc w:val="center"/>
              <w:rPr>
                <w:rFonts w:ascii="仿宋" w:hAnsi="仿宋" w:eastAsia="仿宋"/>
                <w:sz w:val="24"/>
              </w:rPr>
            </w:pPr>
            <w:r>
              <w:rPr>
                <w:rFonts w:hint="eastAsia" w:ascii="仿宋" w:hAnsi="仿宋" w:eastAsia="仿宋"/>
                <w:sz w:val="24"/>
              </w:rPr>
              <w:t>型号</w:t>
            </w:r>
          </w:p>
        </w:tc>
        <w:tc>
          <w:tcPr>
            <w:tcW w:w="1914" w:type="dxa"/>
            <w:noWrap/>
            <w:vAlign w:val="center"/>
          </w:tcPr>
          <w:p w14:paraId="28E74097">
            <w:pPr>
              <w:snapToGrid w:val="0"/>
              <w:spacing w:line="400" w:lineRule="exact"/>
              <w:jc w:val="center"/>
              <w:rPr>
                <w:rFonts w:ascii="仿宋" w:hAnsi="仿宋" w:eastAsia="仿宋"/>
                <w:sz w:val="24"/>
              </w:rPr>
            </w:pPr>
            <w:r>
              <w:rPr>
                <w:rFonts w:hint="eastAsia" w:ascii="仿宋" w:hAnsi="仿宋" w:eastAsia="仿宋"/>
                <w:sz w:val="24"/>
              </w:rPr>
              <w:t>生产厂家</w:t>
            </w:r>
          </w:p>
        </w:tc>
        <w:tc>
          <w:tcPr>
            <w:tcW w:w="614" w:type="dxa"/>
            <w:noWrap/>
            <w:vAlign w:val="center"/>
          </w:tcPr>
          <w:p w14:paraId="2792489F">
            <w:pPr>
              <w:snapToGrid w:val="0"/>
              <w:spacing w:line="400" w:lineRule="exact"/>
              <w:jc w:val="center"/>
              <w:rPr>
                <w:rFonts w:ascii="仿宋" w:hAnsi="仿宋" w:eastAsia="仿宋"/>
                <w:sz w:val="24"/>
              </w:rPr>
            </w:pPr>
            <w:r>
              <w:rPr>
                <w:rFonts w:hint="eastAsia" w:ascii="仿宋" w:hAnsi="仿宋" w:eastAsia="仿宋"/>
                <w:sz w:val="24"/>
              </w:rPr>
              <w:t>单位</w:t>
            </w:r>
          </w:p>
        </w:tc>
        <w:tc>
          <w:tcPr>
            <w:tcW w:w="535" w:type="dxa"/>
            <w:noWrap/>
            <w:vAlign w:val="center"/>
          </w:tcPr>
          <w:p w14:paraId="6D12A811">
            <w:pPr>
              <w:snapToGrid w:val="0"/>
              <w:spacing w:line="400" w:lineRule="exact"/>
              <w:jc w:val="center"/>
              <w:rPr>
                <w:rFonts w:ascii="仿宋" w:hAnsi="仿宋" w:eastAsia="仿宋"/>
                <w:sz w:val="24"/>
              </w:rPr>
            </w:pPr>
            <w:r>
              <w:rPr>
                <w:rFonts w:hint="eastAsia" w:ascii="仿宋" w:hAnsi="仿宋" w:eastAsia="仿宋"/>
                <w:sz w:val="24"/>
              </w:rPr>
              <w:t>数量</w:t>
            </w:r>
          </w:p>
        </w:tc>
        <w:tc>
          <w:tcPr>
            <w:tcW w:w="927" w:type="dxa"/>
            <w:noWrap/>
            <w:vAlign w:val="center"/>
          </w:tcPr>
          <w:p w14:paraId="6F36988C">
            <w:pPr>
              <w:snapToGrid w:val="0"/>
              <w:spacing w:line="400" w:lineRule="exact"/>
              <w:jc w:val="center"/>
              <w:rPr>
                <w:rFonts w:ascii="仿宋" w:hAnsi="仿宋" w:eastAsia="仿宋"/>
                <w:sz w:val="24"/>
              </w:rPr>
            </w:pPr>
            <w:r>
              <w:rPr>
                <w:rFonts w:hint="eastAsia" w:ascii="仿宋" w:hAnsi="仿宋" w:eastAsia="仿宋"/>
                <w:sz w:val="24"/>
              </w:rPr>
              <w:t>单价（元）</w:t>
            </w:r>
          </w:p>
        </w:tc>
        <w:tc>
          <w:tcPr>
            <w:tcW w:w="1071" w:type="dxa"/>
            <w:noWrap/>
            <w:vAlign w:val="center"/>
          </w:tcPr>
          <w:p w14:paraId="1F506A84">
            <w:pPr>
              <w:snapToGrid w:val="0"/>
              <w:spacing w:line="400" w:lineRule="exact"/>
              <w:jc w:val="center"/>
              <w:rPr>
                <w:rFonts w:ascii="仿宋" w:hAnsi="仿宋" w:eastAsia="仿宋"/>
                <w:sz w:val="24"/>
              </w:rPr>
            </w:pPr>
            <w:r>
              <w:rPr>
                <w:rFonts w:hint="eastAsia" w:ascii="仿宋" w:hAnsi="仿宋" w:eastAsia="仿宋"/>
                <w:sz w:val="24"/>
              </w:rPr>
              <w:t>总价（元）</w:t>
            </w:r>
          </w:p>
        </w:tc>
      </w:tr>
      <w:tr w14:paraId="5F1A2D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9" w:hRule="atLeast"/>
        </w:trPr>
        <w:tc>
          <w:tcPr>
            <w:tcW w:w="614" w:type="dxa"/>
            <w:noWrap/>
            <w:vAlign w:val="center"/>
          </w:tcPr>
          <w:p w14:paraId="28B6916B">
            <w:pPr>
              <w:snapToGrid w:val="0"/>
              <w:spacing w:line="400" w:lineRule="exact"/>
              <w:jc w:val="center"/>
              <w:rPr>
                <w:rFonts w:ascii="仿宋" w:hAnsi="仿宋" w:eastAsia="仿宋"/>
                <w:szCs w:val="21"/>
              </w:rPr>
            </w:pPr>
            <w:r>
              <w:rPr>
                <w:rFonts w:hint="eastAsia" w:ascii="仿宋" w:hAnsi="仿宋" w:eastAsia="仿宋"/>
                <w:szCs w:val="21"/>
              </w:rPr>
              <w:t>1</w:t>
            </w:r>
          </w:p>
        </w:tc>
        <w:tc>
          <w:tcPr>
            <w:tcW w:w="1513" w:type="dxa"/>
            <w:noWrap/>
            <w:vAlign w:val="center"/>
          </w:tcPr>
          <w:p w14:paraId="58FD9A98">
            <w:pPr>
              <w:snapToGrid w:val="0"/>
              <w:spacing w:line="400" w:lineRule="exact"/>
              <w:jc w:val="center"/>
              <w:rPr>
                <w:rFonts w:ascii="仿宋" w:hAnsi="仿宋" w:eastAsia="仿宋"/>
                <w:szCs w:val="21"/>
              </w:rPr>
            </w:pPr>
          </w:p>
        </w:tc>
        <w:tc>
          <w:tcPr>
            <w:tcW w:w="1132" w:type="dxa"/>
            <w:noWrap/>
            <w:vAlign w:val="center"/>
          </w:tcPr>
          <w:p w14:paraId="4B06C138">
            <w:pPr>
              <w:snapToGrid w:val="0"/>
              <w:spacing w:line="400" w:lineRule="exact"/>
              <w:jc w:val="center"/>
              <w:rPr>
                <w:rFonts w:ascii="仿宋" w:hAnsi="仿宋" w:eastAsia="仿宋"/>
                <w:szCs w:val="21"/>
              </w:rPr>
            </w:pPr>
          </w:p>
        </w:tc>
        <w:tc>
          <w:tcPr>
            <w:tcW w:w="873" w:type="dxa"/>
            <w:noWrap/>
            <w:vAlign w:val="center"/>
          </w:tcPr>
          <w:p w14:paraId="3A6879F9">
            <w:pPr>
              <w:snapToGrid w:val="0"/>
              <w:spacing w:line="400" w:lineRule="exact"/>
              <w:jc w:val="center"/>
              <w:rPr>
                <w:rFonts w:ascii="仿宋" w:hAnsi="仿宋" w:eastAsia="仿宋"/>
                <w:szCs w:val="21"/>
              </w:rPr>
            </w:pPr>
          </w:p>
        </w:tc>
        <w:tc>
          <w:tcPr>
            <w:tcW w:w="1914" w:type="dxa"/>
            <w:noWrap/>
            <w:vAlign w:val="center"/>
          </w:tcPr>
          <w:p w14:paraId="751DBFED">
            <w:pPr>
              <w:snapToGrid w:val="0"/>
              <w:spacing w:line="400" w:lineRule="exact"/>
              <w:jc w:val="center"/>
              <w:rPr>
                <w:rFonts w:ascii="仿宋" w:hAnsi="仿宋" w:eastAsia="仿宋"/>
                <w:szCs w:val="21"/>
              </w:rPr>
            </w:pPr>
          </w:p>
        </w:tc>
        <w:tc>
          <w:tcPr>
            <w:tcW w:w="614" w:type="dxa"/>
            <w:noWrap/>
            <w:vAlign w:val="center"/>
          </w:tcPr>
          <w:p w14:paraId="145A4B12">
            <w:pPr>
              <w:snapToGrid w:val="0"/>
              <w:spacing w:line="400" w:lineRule="exact"/>
              <w:jc w:val="center"/>
              <w:rPr>
                <w:rFonts w:ascii="仿宋" w:hAnsi="仿宋" w:eastAsia="仿宋"/>
                <w:szCs w:val="21"/>
              </w:rPr>
            </w:pPr>
          </w:p>
        </w:tc>
        <w:tc>
          <w:tcPr>
            <w:tcW w:w="535" w:type="dxa"/>
            <w:noWrap/>
            <w:vAlign w:val="center"/>
          </w:tcPr>
          <w:p w14:paraId="25DABE8B">
            <w:pPr>
              <w:snapToGrid w:val="0"/>
              <w:spacing w:line="400" w:lineRule="exact"/>
              <w:jc w:val="center"/>
              <w:rPr>
                <w:rFonts w:ascii="仿宋" w:hAnsi="仿宋" w:eastAsia="仿宋"/>
                <w:szCs w:val="21"/>
              </w:rPr>
            </w:pPr>
          </w:p>
        </w:tc>
        <w:tc>
          <w:tcPr>
            <w:tcW w:w="927" w:type="dxa"/>
            <w:noWrap/>
            <w:vAlign w:val="center"/>
          </w:tcPr>
          <w:p w14:paraId="4CE8455B">
            <w:pPr>
              <w:snapToGrid w:val="0"/>
              <w:spacing w:line="400" w:lineRule="exact"/>
              <w:jc w:val="center"/>
              <w:rPr>
                <w:rFonts w:ascii="仿宋" w:hAnsi="仿宋" w:eastAsia="仿宋"/>
                <w:szCs w:val="21"/>
              </w:rPr>
            </w:pPr>
          </w:p>
        </w:tc>
        <w:tc>
          <w:tcPr>
            <w:tcW w:w="1071" w:type="dxa"/>
            <w:noWrap/>
            <w:vAlign w:val="center"/>
          </w:tcPr>
          <w:p w14:paraId="26BADFC2">
            <w:pPr>
              <w:snapToGrid w:val="0"/>
              <w:spacing w:line="400" w:lineRule="exact"/>
              <w:jc w:val="center"/>
              <w:rPr>
                <w:rFonts w:ascii="仿宋" w:hAnsi="仿宋" w:eastAsia="仿宋"/>
                <w:szCs w:val="21"/>
              </w:rPr>
            </w:pPr>
          </w:p>
        </w:tc>
      </w:tr>
      <w:tr w14:paraId="347E64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9" w:hRule="atLeast"/>
        </w:trPr>
        <w:tc>
          <w:tcPr>
            <w:tcW w:w="614" w:type="dxa"/>
            <w:noWrap/>
            <w:vAlign w:val="center"/>
          </w:tcPr>
          <w:p w14:paraId="2BE36832">
            <w:pPr>
              <w:snapToGrid w:val="0"/>
              <w:spacing w:line="400" w:lineRule="exact"/>
              <w:jc w:val="center"/>
              <w:rPr>
                <w:rFonts w:ascii="仿宋" w:hAnsi="仿宋" w:eastAsia="仿宋"/>
                <w:szCs w:val="21"/>
              </w:rPr>
            </w:pPr>
            <w:r>
              <w:rPr>
                <w:rFonts w:hint="eastAsia" w:ascii="仿宋" w:hAnsi="仿宋" w:eastAsia="仿宋"/>
                <w:szCs w:val="21"/>
              </w:rPr>
              <w:t>2</w:t>
            </w:r>
          </w:p>
        </w:tc>
        <w:tc>
          <w:tcPr>
            <w:tcW w:w="1513" w:type="dxa"/>
            <w:noWrap/>
            <w:vAlign w:val="center"/>
          </w:tcPr>
          <w:p w14:paraId="6D55F250">
            <w:pPr>
              <w:snapToGrid w:val="0"/>
              <w:spacing w:line="400" w:lineRule="exact"/>
              <w:jc w:val="center"/>
              <w:rPr>
                <w:rFonts w:ascii="仿宋" w:hAnsi="仿宋" w:eastAsia="仿宋"/>
                <w:szCs w:val="21"/>
              </w:rPr>
            </w:pPr>
          </w:p>
        </w:tc>
        <w:tc>
          <w:tcPr>
            <w:tcW w:w="1132" w:type="dxa"/>
            <w:noWrap/>
            <w:vAlign w:val="center"/>
          </w:tcPr>
          <w:p w14:paraId="79F215A0">
            <w:pPr>
              <w:snapToGrid w:val="0"/>
              <w:spacing w:line="400" w:lineRule="exact"/>
              <w:jc w:val="center"/>
              <w:rPr>
                <w:rFonts w:ascii="仿宋" w:hAnsi="仿宋" w:eastAsia="仿宋"/>
                <w:szCs w:val="21"/>
              </w:rPr>
            </w:pPr>
          </w:p>
        </w:tc>
        <w:tc>
          <w:tcPr>
            <w:tcW w:w="873" w:type="dxa"/>
            <w:noWrap/>
            <w:vAlign w:val="center"/>
          </w:tcPr>
          <w:p w14:paraId="19961A4F">
            <w:pPr>
              <w:snapToGrid w:val="0"/>
              <w:spacing w:line="400" w:lineRule="exact"/>
              <w:jc w:val="center"/>
              <w:rPr>
                <w:rFonts w:ascii="仿宋" w:hAnsi="仿宋" w:eastAsia="仿宋"/>
                <w:szCs w:val="21"/>
              </w:rPr>
            </w:pPr>
          </w:p>
        </w:tc>
        <w:tc>
          <w:tcPr>
            <w:tcW w:w="1914" w:type="dxa"/>
            <w:noWrap/>
            <w:vAlign w:val="center"/>
          </w:tcPr>
          <w:p w14:paraId="0E1423B1">
            <w:pPr>
              <w:snapToGrid w:val="0"/>
              <w:spacing w:line="400" w:lineRule="exact"/>
              <w:jc w:val="center"/>
              <w:rPr>
                <w:rFonts w:ascii="仿宋" w:hAnsi="仿宋" w:eastAsia="仿宋"/>
                <w:szCs w:val="21"/>
              </w:rPr>
            </w:pPr>
          </w:p>
        </w:tc>
        <w:tc>
          <w:tcPr>
            <w:tcW w:w="614" w:type="dxa"/>
            <w:noWrap/>
            <w:vAlign w:val="center"/>
          </w:tcPr>
          <w:p w14:paraId="44243C2C">
            <w:pPr>
              <w:snapToGrid w:val="0"/>
              <w:spacing w:line="400" w:lineRule="exact"/>
              <w:jc w:val="center"/>
              <w:rPr>
                <w:rFonts w:ascii="仿宋" w:hAnsi="仿宋" w:eastAsia="仿宋"/>
                <w:szCs w:val="21"/>
              </w:rPr>
            </w:pPr>
          </w:p>
        </w:tc>
        <w:tc>
          <w:tcPr>
            <w:tcW w:w="535" w:type="dxa"/>
            <w:noWrap/>
            <w:vAlign w:val="center"/>
          </w:tcPr>
          <w:p w14:paraId="4E198ACA">
            <w:pPr>
              <w:snapToGrid w:val="0"/>
              <w:spacing w:line="400" w:lineRule="exact"/>
              <w:jc w:val="center"/>
              <w:rPr>
                <w:rFonts w:ascii="仿宋" w:hAnsi="仿宋" w:eastAsia="仿宋"/>
                <w:szCs w:val="21"/>
              </w:rPr>
            </w:pPr>
          </w:p>
        </w:tc>
        <w:tc>
          <w:tcPr>
            <w:tcW w:w="927" w:type="dxa"/>
            <w:noWrap/>
            <w:vAlign w:val="center"/>
          </w:tcPr>
          <w:p w14:paraId="32D2819C">
            <w:pPr>
              <w:snapToGrid w:val="0"/>
              <w:spacing w:line="400" w:lineRule="exact"/>
              <w:jc w:val="center"/>
              <w:rPr>
                <w:rFonts w:ascii="仿宋" w:hAnsi="仿宋" w:eastAsia="仿宋"/>
                <w:szCs w:val="21"/>
              </w:rPr>
            </w:pPr>
          </w:p>
        </w:tc>
        <w:tc>
          <w:tcPr>
            <w:tcW w:w="1071" w:type="dxa"/>
            <w:noWrap/>
            <w:vAlign w:val="center"/>
          </w:tcPr>
          <w:p w14:paraId="2F165D96">
            <w:pPr>
              <w:snapToGrid w:val="0"/>
              <w:spacing w:line="400" w:lineRule="exact"/>
              <w:jc w:val="center"/>
              <w:rPr>
                <w:rFonts w:ascii="仿宋" w:hAnsi="仿宋" w:eastAsia="仿宋"/>
                <w:szCs w:val="21"/>
              </w:rPr>
            </w:pPr>
          </w:p>
        </w:tc>
      </w:tr>
      <w:tr w14:paraId="58FAE1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9" w:hRule="atLeast"/>
        </w:trPr>
        <w:tc>
          <w:tcPr>
            <w:tcW w:w="9193" w:type="dxa"/>
            <w:gridSpan w:val="9"/>
            <w:noWrap/>
            <w:vAlign w:val="center"/>
          </w:tcPr>
          <w:p w14:paraId="1D98A982">
            <w:pPr>
              <w:snapToGrid w:val="0"/>
              <w:spacing w:line="400" w:lineRule="exact"/>
              <w:jc w:val="left"/>
              <w:rPr>
                <w:rFonts w:ascii="仿宋" w:hAnsi="仿宋" w:eastAsia="仿宋"/>
                <w:szCs w:val="21"/>
              </w:rPr>
            </w:pPr>
            <w:r>
              <w:rPr>
                <w:rFonts w:hint="eastAsia" w:ascii="仿宋" w:hAnsi="仿宋" w:eastAsia="仿宋"/>
                <w:szCs w:val="21"/>
              </w:rPr>
              <w:t>合计金额大写：           （¥        元）</w:t>
            </w:r>
          </w:p>
        </w:tc>
      </w:tr>
    </w:tbl>
    <w:p w14:paraId="2880A73F">
      <w:pPr>
        <w:numPr>
          <w:ilvl w:val="1"/>
          <w:numId w:val="0"/>
        </w:numPr>
        <w:snapToGrid w:val="0"/>
        <w:spacing w:line="400" w:lineRule="exact"/>
        <w:ind w:left="0" w:leftChars="0" w:firstLine="420" w:firstLineChars="0"/>
        <w:rPr>
          <w:rFonts w:ascii="仿宋" w:hAnsi="仿宋" w:eastAsia="仿宋"/>
          <w:sz w:val="24"/>
        </w:rPr>
      </w:pPr>
      <w:r>
        <w:rPr>
          <w:rFonts w:hint="eastAsia" w:ascii="仿宋" w:hAnsi="仿宋" w:eastAsia="仿宋" w:cs="Times New Roman"/>
          <w:kern w:val="2"/>
          <w:sz w:val="24"/>
          <w:szCs w:val="24"/>
          <w:lang w:val="en-US" w:eastAsia="zh-CN" w:bidi="ar-SA"/>
        </w:rPr>
        <w:t>1.2</w:t>
      </w:r>
      <w:r>
        <w:rPr>
          <w:rFonts w:hint="eastAsia" w:ascii="仿宋" w:hAnsi="仿宋" w:eastAsia="仿宋"/>
          <w:sz w:val="24"/>
        </w:rPr>
        <w:t>货物名称、品牌、型号、规格、厂家须与医疗器械注册证或备案证一致。</w:t>
      </w:r>
    </w:p>
    <w:p w14:paraId="5499DCCE">
      <w:pPr>
        <w:numPr>
          <w:ilvl w:val="1"/>
          <w:numId w:val="0"/>
        </w:numPr>
        <w:snapToGrid w:val="0"/>
        <w:spacing w:line="400" w:lineRule="exact"/>
        <w:ind w:left="0" w:leftChars="0" w:firstLine="420" w:firstLineChars="0"/>
        <w:rPr>
          <w:rFonts w:ascii="仿宋" w:hAnsi="仿宋" w:eastAsia="仿宋"/>
          <w:sz w:val="24"/>
        </w:rPr>
      </w:pPr>
      <w:r>
        <w:rPr>
          <w:rFonts w:hint="eastAsia" w:ascii="仿宋" w:hAnsi="仿宋" w:eastAsia="仿宋" w:cs="Times New Roman"/>
          <w:kern w:val="2"/>
          <w:sz w:val="24"/>
          <w:szCs w:val="24"/>
          <w:lang w:val="en-US" w:eastAsia="zh-CN" w:bidi="ar-SA"/>
        </w:rPr>
        <w:t>1.3</w:t>
      </w:r>
      <w:r>
        <w:rPr>
          <w:rFonts w:hint="eastAsia" w:ascii="仿宋" w:hAnsi="仿宋" w:eastAsia="仿宋"/>
          <w:sz w:val="24"/>
        </w:rPr>
        <w:t>合同合计金额包括采购范围内货物货款、货物标准附件、备品备件、专用工具、包装、运输、装卸、保险、税金、货到就位以及安装、调试、培训、保修等一切税金和费用。如招标文件（采购文件）对其另有规定的，从其规定。</w:t>
      </w:r>
    </w:p>
    <w:p w14:paraId="7A19B842">
      <w:pPr>
        <w:numPr>
          <w:ilvl w:val="0"/>
          <w:numId w:val="0"/>
        </w:numPr>
        <w:tabs>
          <w:tab w:val="left" w:pos="420"/>
        </w:tabs>
        <w:snapToGrid w:val="0"/>
        <w:spacing w:line="400" w:lineRule="exact"/>
        <w:ind w:left="845" w:leftChars="0" w:hanging="425" w:firstLineChars="0"/>
        <w:rPr>
          <w:rFonts w:ascii="仿宋" w:hAnsi="仿宋" w:eastAsia="仿宋"/>
          <w:b/>
          <w:sz w:val="24"/>
        </w:rPr>
      </w:pPr>
      <w:r>
        <w:rPr>
          <w:rFonts w:hint="eastAsia" w:ascii="仿宋" w:hAnsi="仿宋" w:eastAsia="仿宋" w:cs="Times New Roman"/>
          <w:b/>
          <w:kern w:val="2"/>
          <w:sz w:val="24"/>
          <w:szCs w:val="24"/>
          <w:lang w:val="en-US" w:eastAsia="zh-CN" w:bidi="ar-SA"/>
        </w:rPr>
        <w:t xml:space="preserve">第二条 </w:t>
      </w:r>
      <w:r>
        <w:rPr>
          <w:rFonts w:hint="eastAsia" w:ascii="仿宋" w:hAnsi="仿宋" w:eastAsia="仿宋"/>
          <w:b/>
          <w:sz w:val="24"/>
        </w:rPr>
        <w:t>质量保证</w:t>
      </w:r>
    </w:p>
    <w:p w14:paraId="5C5821B9">
      <w:pPr>
        <w:numPr>
          <w:ilvl w:val="1"/>
          <w:numId w:val="0"/>
        </w:numPr>
        <w:snapToGrid w:val="0"/>
        <w:spacing w:line="400" w:lineRule="exact"/>
        <w:ind w:left="0" w:leftChars="0" w:firstLine="420" w:firstLineChars="0"/>
        <w:rPr>
          <w:rFonts w:ascii="仿宋" w:hAnsi="仿宋" w:eastAsia="仿宋"/>
          <w:sz w:val="24"/>
        </w:rPr>
      </w:pPr>
      <w:r>
        <w:rPr>
          <w:rFonts w:hint="eastAsia" w:ascii="仿宋" w:hAnsi="仿宋" w:eastAsia="仿宋" w:cs="Times New Roman"/>
          <w:kern w:val="2"/>
          <w:sz w:val="24"/>
          <w:szCs w:val="24"/>
          <w:lang w:val="en-US" w:eastAsia="zh-CN" w:bidi="ar-SA"/>
        </w:rPr>
        <w:t>2.1</w:t>
      </w:r>
      <w:r>
        <w:rPr>
          <w:rFonts w:hint="eastAsia" w:ascii="仿宋" w:hAnsi="仿宋" w:eastAsia="仿宋"/>
          <w:sz w:val="24"/>
        </w:rPr>
        <w:t>乙方所提供的货物型号、技术规格、技术参数等质量必须与投标文件（响应文件）的承诺相一致。乙方提供的自主创新产品、节能和环保产品必须是列入政府采购清单的产品。</w:t>
      </w:r>
    </w:p>
    <w:p w14:paraId="09287F45">
      <w:pPr>
        <w:numPr>
          <w:ilvl w:val="1"/>
          <w:numId w:val="0"/>
        </w:numPr>
        <w:snapToGrid w:val="0"/>
        <w:spacing w:line="400" w:lineRule="exact"/>
        <w:ind w:left="0" w:leftChars="0" w:firstLine="420" w:firstLineChars="0"/>
        <w:rPr>
          <w:rFonts w:ascii="仿宋" w:hAnsi="仿宋" w:eastAsia="仿宋"/>
          <w:sz w:val="24"/>
        </w:rPr>
      </w:pPr>
      <w:r>
        <w:rPr>
          <w:rFonts w:hint="eastAsia" w:ascii="仿宋" w:hAnsi="仿宋" w:eastAsia="仿宋" w:cs="Times New Roman"/>
          <w:kern w:val="2"/>
          <w:sz w:val="24"/>
          <w:szCs w:val="24"/>
          <w:lang w:val="en-US" w:eastAsia="zh-CN" w:bidi="ar-SA"/>
        </w:rPr>
        <w:t>2.2</w:t>
      </w:r>
      <w:r>
        <w:rPr>
          <w:rFonts w:hint="eastAsia" w:ascii="仿宋" w:hAnsi="仿宋" w:eastAsia="仿宋"/>
          <w:sz w:val="24"/>
        </w:rPr>
        <w:t>乙方所提供的货物必须是全新、未使用的原装产品(出厂日期距离合同签订之日或本项目开标之日不得超过壹年)，且在正常安装、使用和保养条件下，其使用寿命期内各项指标均达到质量要求。不符合要求的，根据实际情况，经双方协商，可按以下办法处理：</w:t>
      </w:r>
    </w:p>
    <w:p w14:paraId="1B55DB8C">
      <w:pPr>
        <w:snapToGrid w:val="0"/>
        <w:spacing w:line="400" w:lineRule="exact"/>
        <w:ind w:firstLine="480" w:firstLineChars="200"/>
        <w:rPr>
          <w:rFonts w:ascii="仿宋" w:hAnsi="仿宋" w:eastAsia="仿宋"/>
          <w:sz w:val="24"/>
        </w:rPr>
      </w:pPr>
      <w:r>
        <w:rPr>
          <w:rFonts w:hint="eastAsia" w:ascii="仿宋" w:hAnsi="仿宋" w:eastAsia="仿宋"/>
          <w:sz w:val="24"/>
        </w:rPr>
        <w:t>（1）更换：由乙方承担所发生的全部费用。</w:t>
      </w:r>
    </w:p>
    <w:p w14:paraId="0DCF2F38">
      <w:pPr>
        <w:snapToGrid w:val="0"/>
        <w:spacing w:line="400" w:lineRule="exact"/>
        <w:ind w:firstLine="480" w:firstLineChars="200"/>
        <w:rPr>
          <w:rFonts w:ascii="仿宋" w:hAnsi="仿宋" w:eastAsia="仿宋"/>
          <w:sz w:val="24"/>
        </w:rPr>
      </w:pPr>
      <w:r>
        <w:rPr>
          <w:rFonts w:hint="eastAsia" w:ascii="仿宋" w:hAnsi="仿宋" w:eastAsia="仿宋"/>
          <w:sz w:val="24"/>
        </w:rPr>
        <w:t>（2）贬值处理：由甲乙双方合议定价。</w:t>
      </w:r>
    </w:p>
    <w:p w14:paraId="3F910295">
      <w:pPr>
        <w:snapToGrid w:val="0"/>
        <w:spacing w:line="400" w:lineRule="exact"/>
        <w:ind w:firstLine="480" w:firstLineChars="200"/>
        <w:rPr>
          <w:rFonts w:ascii="仿宋" w:hAnsi="仿宋" w:eastAsia="仿宋"/>
          <w:sz w:val="24"/>
        </w:rPr>
      </w:pPr>
      <w:r>
        <w:rPr>
          <w:rFonts w:hint="eastAsia" w:ascii="仿宋" w:hAnsi="仿宋" w:eastAsia="仿宋"/>
          <w:sz w:val="24"/>
        </w:rPr>
        <w:t>（3）退货处理：乙方应退还甲方支付的合同价款，同时应承担该货物的直接费用（运输、保险、检验、货款利息及银行手续费等）。</w:t>
      </w:r>
    </w:p>
    <w:p w14:paraId="4827DABA">
      <w:pPr>
        <w:numPr>
          <w:ilvl w:val="1"/>
          <w:numId w:val="0"/>
        </w:numPr>
        <w:snapToGrid w:val="0"/>
        <w:spacing w:line="400" w:lineRule="exact"/>
        <w:ind w:left="0" w:leftChars="0" w:firstLine="420" w:firstLineChars="0"/>
        <w:rPr>
          <w:rFonts w:ascii="仿宋" w:hAnsi="仿宋" w:eastAsia="仿宋"/>
          <w:sz w:val="24"/>
        </w:rPr>
      </w:pPr>
      <w:r>
        <w:rPr>
          <w:rFonts w:hint="eastAsia" w:ascii="仿宋" w:hAnsi="仿宋" w:eastAsia="仿宋" w:cs="Times New Roman"/>
          <w:kern w:val="2"/>
          <w:sz w:val="24"/>
          <w:szCs w:val="24"/>
          <w:lang w:val="en-US" w:eastAsia="zh-CN" w:bidi="ar-SA"/>
        </w:rPr>
        <w:t>2.3</w:t>
      </w:r>
      <w:r>
        <w:rPr>
          <w:rFonts w:hint="eastAsia" w:ascii="仿宋" w:hAnsi="仿宋" w:eastAsia="仿宋"/>
          <w:sz w:val="24"/>
        </w:rPr>
        <w:t>如在使用过程中发生质量问题，乙方在接到甲方通知后在按乙方投标文件（响应文件）中承诺的不超过招标要求的响应时间小时内到达甲方现场处理。</w:t>
      </w:r>
    </w:p>
    <w:p w14:paraId="25551497">
      <w:pPr>
        <w:numPr>
          <w:ilvl w:val="1"/>
          <w:numId w:val="0"/>
        </w:numPr>
        <w:snapToGrid w:val="0"/>
        <w:spacing w:line="400" w:lineRule="exact"/>
        <w:ind w:left="0" w:leftChars="0" w:firstLine="420" w:firstLineChars="0"/>
        <w:rPr>
          <w:rFonts w:ascii="仿宋" w:hAnsi="仿宋" w:eastAsia="仿宋"/>
          <w:sz w:val="24"/>
        </w:rPr>
      </w:pPr>
      <w:r>
        <w:rPr>
          <w:rFonts w:hint="eastAsia" w:ascii="仿宋" w:hAnsi="仿宋" w:eastAsia="仿宋" w:cs="Times New Roman"/>
          <w:kern w:val="2"/>
          <w:sz w:val="24"/>
          <w:szCs w:val="24"/>
          <w:lang w:val="en-US" w:eastAsia="zh-CN" w:bidi="ar-SA"/>
        </w:rPr>
        <w:t>2.4</w:t>
      </w:r>
      <w:r>
        <w:rPr>
          <w:rFonts w:hint="eastAsia" w:ascii="仿宋" w:hAnsi="仿宋" w:eastAsia="仿宋"/>
          <w:sz w:val="24"/>
        </w:rPr>
        <w:t>产品在安装使用一个月内，若因产品质量问题，同一故障连续发生</w:t>
      </w:r>
      <w:r>
        <w:rPr>
          <w:rFonts w:hint="eastAsia" w:ascii="仿宋" w:hAnsi="仿宋" w:eastAsia="仿宋"/>
          <w:sz w:val="24"/>
          <w:u w:val="single"/>
        </w:rPr>
        <w:t xml:space="preserve"> 3 </w:t>
      </w:r>
      <w:r>
        <w:rPr>
          <w:rFonts w:hint="eastAsia" w:ascii="仿宋" w:hAnsi="仿宋" w:eastAsia="仿宋"/>
          <w:sz w:val="24"/>
        </w:rPr>
        <w:t>次(非人为)，甲方有权更换新设备或退货，乙方必须无条件予以更换新设备或退货，更换后的产品应从更换之日起重新计算保修期；若为退货，乙方必须无条件退回所收甲方全部货款。</w:t>
      </w:r>
    </w:p>
    <w:p w14:paraId="4BD5C7E5">
      <w:pPr>
        <w:numPr>
          <w:ilvl w:val="1"/>
          <w:numId w:val="0"/>
        </w:numPr>
        <w:snapToGrid w:val="0"/>
        <w:spacing w:line="400" w:lineRule="exact"/>
        <w:ind w:left="0" w:leftChars="0" w:firstLine="420" w:firstLineChars="0"/>
        <w:rPr>
          <w:rFonts w:ascii="仿宋" w:hAnsi="仿宋" w:eastAsia="仿宋"/>
          <w:sz w:val="24"/>
        </w:rPr>
      </w:pPr>
      <w:r>
        <w:rPr>
          <w:rFonts w:hint="eastAsia" w:ascii="仿宋" w:hAnsi="仿宋" w:eastAsia="仿宋" w:cs="Times New Roman"/>
          <w:kern w:val="2"/>
          <w:sz w:val="24"/>
          <w:szCs w:val="24"/>
          <w:lang w:val="en-US" w:eastAsia="zh-CN" w:bidi="ar-SA"/>
        </w:rPr>
        <w:t>2.5</w:t>
      </w:r>
      <w:r>
        <w:rPr>
          <w:rFonts w:hint="eastAsia" w:ascii="仿宋" w:hAnsi="仿宋" w:eastAsia="仿宋"/>
          <w:sz w:val="24"/>
        </w:rPr>
        <w:t>在质保期内，乙方应对货物出现的质量及安全问题负责处理解决并承担一切费用。</w:t>
      </w:r>
    </w:p>
    <w:p w14:paraId="32602AB2">
      <w:pPr>
        <w:numPr>
          <w:ilvl w:val="1"/>
          <w:numId w:val="0"/>
        </w:numPr>
        <w:snapToGrid w:val="0"/>
        <w:spacing w:line="400" w:lineRule="exact"/>
        <w:ind w:left="0" w:leftChars="0" w:firstLine="420" w:firstLineChars="0"/>
        <w:rPr>
          <w:rFonts w:ascii="仿宋" w:hAnsi="仿宋" w:eastAsia="仿宋"/>
          <w:sz w:val="24"/>
        </w:rPr>
      </w:pPr>
      <w:r>
        <w:rPr>
          <w:rFonts w:hint="eastAsia" w:ascii="仿宋" w:hAnsi="仿宋" w:eastAsia="仿宋" w:cs="Times New Roman"/>
          <w:kern w:val="2"/>
          <w:sz w:val="24"/>
          <w:szCs w:val="24"/>
          <w:lang w:val="en-US" w:eastAsia="zh-CN" w:bidi="ar-SA"/>
        </w:rPr>
        <w:t>2.6</w:t>
      </w:r>
      <w:r>
        <w:rPr>
          <w:rFonts w:hint="eastAsia" w:ascii="仿宋" w:hAnsi="仿宋" w:eastAsia="仿宋"/>
          <w:sz w:val="24"/>
        </w:rPr>
        <w:t>因设备自身的质量问题引发医疗纠纷、事故时。其中所产生的所有损失由乙方承担责任(人为因素除外)，甲方保留设备不良事件的永久索赔权。</w:t>
      </w:r>
    </w:p>
    <w:p w14:paraId="52F56827">
      <w:pPr>
        <w:numPr>
          <w:ilvl w:val="0"/>
          <w:numId w:val="0"/>
        </w:numPr>
        <w:tabs>
          <w:tab w:val="left" w:pos="420"/>
        </w:tabs>
        <w:snapToGrid w:val="0"/>
        <w:spacing w:line="400" w:lineRule="exact"/>
        <w:ind w:left="845" w:leftChars="0" w:hanging="425" w:firstLineChars="0"/>
        <w:rPr>
          <w:rFonts w:ascii="仿宋" w:hAnsi="仿宋" w:eastAsia="仿宋"/>
          <w:b/>
          <w:sz w:val="24"/>
        </w:rPr>
      </w:pPr>
      <w:r>
        <w:rPr>
          <w:rFonts w:hint="eastAsia" w:ascii="仿宋" w:hAnsi="仿宋" w:eastAsia="仿宋" w:cs="Times New Roman"/>
          <w:b/>
          <w:kern w:val="2"/>
          <w:sz w:val="24"/>
          <w:szCs w:val="24"/>
          <w:lang w:val="en-US" w:eastAsia="zh-CN" w:bidi="ar-SA"/>
        </w:rPr>
        <w:t xml:space="preserve">第三条 </w:t>
      </w:r>
      <w:r>
        <w:rPr>
          <w:rFonts w:hint="eastAsia" w:ascii="仿宋" w:hAnsi="仿宋" w:eastAsia="仿宋"/>
          <w:b/>
          <w:sz w:val="24"/>
        </w:rPr>
        <w:t>权利保证</w:t>
      </w:r>
    </w:p>
    <w:p w14:paraId="0A8462DE">
      <w:pPr>
        <w:numPr>
          <w:ilvl w:val="1"/>
          <w:numId w:val="0"/>
        </w:numPr>
        <w:snapToGrid w:val="0"/>
        <w:spacing w:line="400" w:lineRule="exact"/>
        <w:ind w:left="0" w:leftChars="0" w:firstLine="420" w:firstLineChars="0"/>
        <w:rPr>
          <w:rFonts w:ascii="仿宋" w:hAnsi="仿宋" w:eastAsia="仿宋"/>
          <w:sz w:val="24"/>
        </w:rPr>
      </w:pPr>
      <w:r>
        <w:rPr>
          <w:rFonts w:hint="eastAsia" w:ascii="仿宋" w:hAnsi="仿宋" w:eastAsia="仿宋" w:cs="Times New Roman"/>
          <w:kern w:val="2"/>
          <w:sz w:val="24"/>
          <w:szCs w:val="24"/>
          <w:lang w:val="en-US" w:eastAsia="zh-CN" w:bidi="ar-SA"/>
        </w:rPr>
        <w:t>3.1</w:t>
      </w:r>
      <w:r>
        <w:rPr>
          <w:rFonts w:hint="eastAsia" w:ascii="仿宋" w:hAnsi="仿宋" w:eastAsia="仿宋"/>
          <w:sz w:val="24"/>
        </w:rPr>
        <w:t>乙方对其所销售的货物应当享有知识产权或经权利人合法授权，保证没有侵犯任何第三方的知识产权等权利。</w:t>
      </w:r>
    </w:p>
    <w:p w14:paraId="04245D76">
      <w:pPr>
        <w:numPr>
          <w:ilvl w:val="1"/>
          <w:numId w:val="0"/>
        </w:numPr>
        <w:snapToGrid w:val="0"/>
        <w:spacing w:line="400" w:lineRule="exact"/>
        <w:ind w:left="0" w:leftChars="0" w:firstLine="420" w:firstLineChars="0"/>
        <w:rPr>
          <w:rFonts w:ascii="仿宋" w:hAnsi="仿宋" w:eastAsia="仿宋"/>
          <w:sz w:val="24"/>
        </w:rPr>
      </w:pPr>
      <w:r>
        <w:rPr>
          <w:rFonts w:hint="eastAsia" w:ascii="仿宋" w:hAnsi="仿宋" w:eastAsia="仿宋" w:cs="Times New Roman"/>
          <w:kern w:val="2"/>
          <w:sz w:val="24"/>
          <w:szCs w:val="24"/>
          <w:lang w:val="en-US" w:eastAsia="zh-CN" w:bidi="ar-SA"/>
        </w:rPr>
        <w:t>3.2</w:t>
      </w:r>
      <w:r>
        <w:rPr>
          <w:rFonts w:hint="eastAsia" w:ascii="仿宋" w:hAnsi="仿宋" w:eastAsia="仿宋"/>
          <w:sz w:val="24"/>
        </w:rPr>
        <w:t>乙方应按招标文件（采购文件）规定的时间向甲方提供使用货物的有关技术资料。</w:t>
      </w:r>
    </w:p>
    <w:p w14:paraId="7D783412">
      <w:pPr>
        <w:numPr>
          <w:ilvl w:val="1"/>
          <w:numId w:val="0"/>
        </w:numPr>
        <w:snapToGrid w:val="0"/>
        <w:spacing w:line="400" w:lineRule="exact"/>
        <w:ind w:left="0" w:leftChars="0" w:firstLine="420" w:firstLineChars="0"/>
        <w:rPr>
          <w:rFonts w:ascii="仿宋" w:hAnsi="仿宋" w:eastAsia="仿宋"/>
          <w:sz w:val="24"/>
        </w:rPr>
      </w:pPr>
      <w:r>
        <w:rPr>
          <w:rFonts w:hint="eastAsia" w:ascii="仿宋" w:hAnsi="仿宋" w:eastAsia="仿宋" w:cs="Times New Roman"/>
          <w:kern w:val="2"/>
          <w:sz w:val="24"/>
          <w:szCs w:val="24"/>
          <w:lang w:val="en-US" w:eastAsia="zh-CN" w:bidi="ar-SA"/>
        </w:rPr>
        <w:t>3.3</w:t>
      </w:r>
      <w:r>
        <w:rPr>
          <w:rFonts w:hint="eastAsia" w:ascii="仿宋" w:hAnsi="仿宋" w:eastAsia="仿宋"/>
          <w:sz w:val="24"/>
        </w:rPr>
        <w:t>甲、乙双方对采购和合同履行过程中所获悉的国家秘密、工作秘密、商业秘密或者其他应当保密的信息，均有保密义务且不受合同有效期所限，直至该信息成为公开信息。泄露、不正当地使用国家秘密、工作秘密、商业秘密或者其他应当保密的信息，应当承担相应责任。</w:t>
      </w:r>
    </w:p>
    <w:p w14:paraId="2975874E">
      <w:pPr>
        <w:numPr>
          <w:ilvl w:val="1"/>
          <w:numId w:val="0"/>
        </w:numPr>
        <w:snapToGrid w:val="0"/>
        <w:spacing w:line="400" w:lineRule="exact"/>
        <w:ind w:left="0" w:leftChars="0" w:firstLine="420" w:firstLineChars="0"/>
        <w:rPr>
          <w:rFonts w:ascii="仿宋" w:hAnsi="仿宋" w:eastAsia="仿宋"/>
          <w:sz w:val="24"/>
        </w:rPr>
      </w:pPr>
      <w:r>
        <w:rPr>
          <w:rFonts w:hint="eastAsia" w:ascii="仿宋" w:hAnsi="仿宋" w:eastAsia="仿宋" w:cs="Times New Roman"/>
          <w:kern w:val="2"/>
          <w:sz w:val="24"/>
          <w:szCs w:val="24"/>
          <w:lang w:val="en-US" w:eastAsia="zh-CN" w:bidi="ar-SA"/>
        </w:rPr>
        <w:t>3.4</w:t>
      </w:r>
      <w:r>
        <w:rPr>
          <w:rFonts w:hint="eastAsia" w:ascii="仿宋" w:hAnsi="仿宋" w:eastAsia="仿宋"/>
          <w:sz w:val="24"/>
        </w:rPr>
        <w:t>乙方保证对其出售的货物享有合法的权利，货物的所有权完全属于乙方，保证在交付的货物上不存在抵押权等担保物权，且无任何产权瑕疵。</w:t>
      </w:r>
    </w:p>
    <w:p w14:paraId="0C4AD3A6">
      <w:pPr>
        <w:numPr>
          <w:ilvl w:val="0"/>
          <w:numId w:val="0"/>
        </w:numPr>
        <w:tabs>
          <w:tab w:val="left" w:pos="420"/>
        </w:tabs>
        <w:snapToGrid w:val="0"/>
        <w:spacing w:line="400" w:lineRule="exact"/>
        <w:ind w:left="845" w:leftChars="0" w:hanging="425" w:firstLineChars="0"/>
        <w:rPr>
          <w:rFonts w:ascii="仿宋" w:hAnsi="仿宋" w:eastAsia="仿宋"/>
          <w:b/>
          <w:sz w:val="24"/>
        </w:rPr>
      </w:pPr>
      <w:r>
        <w:rPr>
          <w:rFonts w:hint="eastAsia" w:ascii="仿宋" w:hAnsi="仿宋" w:eastAsia="仿宋" w:cs="Times New Roman"/>
          <w:b/>
          <w:kern w:val="2"/>
          <w:sz w:val="24"/>
          <w:szCs w:val="24"/>
          <w:lang w:val="en-US" w:eastAsia="zh-CN" w:bidi="ar-SA"/>
        </w:rPr>
        <w:t xml:space="preserve">第四条 </w:t>
      </w:r>
      <w:r>
        <w:rPr>
          <w:rFonts w:hint="eastAsia" w:ascii="仿宋" w:hAnsi="仿宋" w:eastAsia="仿宋"/>
          <w:b/>
          <w:sz w:val="24"/>
        </w:rPr>
        <w:t>包装和运输</w:t>
      </w:r>
    </w:p>
    <w:p w14:paraId="6199635F">
      <w:pPr>
        <w:numPr>
          <w:ilvl w:val="1"/>
          <w:numId w:val="0"/>
        </w:numPr>
        <w:snapToGrid w:val="0"/>
        <w:spacing w:line="400" w:lineRule="exact"/>
        <w:ind w:left="0" w:leftChars="0" w:firstLine="420" w:firstLineChars="0"/>
        <w:rPr>
          <w:rFonts w:ascii="仿宋" w:hAnsi="仿宋" w:eastAsia="仿宋"/>
          <w:sz w:val="24"/>
        </w:rPr>
      </w:pPr>
      <w:r>
        <w:rPr>
          <w:rFonts w:hint="eastAsia" w:ascii="仿宋" w:hAnsi="仿宋" w:eastAsia="仿宋" w:cs="Times New Roman"/>
          <w:kern w:val="2"/>
          <w:sz w:val="24"/>
          <w:szCs w:val="24"/>
          <w:lang w:val="en-US" w:eastAsia="zh-CN" w:bidi="ar-SA"/>
        </w:rPr>
        <w:t>4.1</w:t>
      </w:r>
      <w:r>
        <w:rPr>
          <w:rFonts w:hint="eastAsia" w:ascii="仿宋" w:hAnsi="仿宋" w:eastAsia="仿宋"/>
          <w:sz w:val="24"/>
        </w:rPr>
        <w:t>乙方提供的货物均应按照公告规定、采购文件或投标文件承诺的包装材料、包装标准、包装方式进行包装。乙方应在货物发运前对其进行满足运输距离、防潮、防震、防锈和防破损装卸等要求包装，包装不低于《商品包装政府采购需求标准（试行）》《快递包装政府采购需求标准（试行）》标准，以保证货物安全运达甲方指定地点。凡由于包装不良及运输造成的损失和由此产生的费用均由乙方承担。</w:t>
      </w:r>
    </w:p>
    <w:p w14:paraId="5532180B">
      <w:pPr>
        <w:numPr>
          <w:ilvl w:val="1"/>
          <w:numId w:val="0"/>
        </w:numPr>
        <w:snapToGrid w:val="0"/>
        <w:spacing w:line="400" w:lineRule="exact"/>
        <w:ind w:left="0" w:leftChars="0" w:firstLine="420" w:firstLineChars="0"/>
        <w:rPr>
          <w:rFonts w:ascii="仿宋" w:hAnsi="仿宋" w:eastAsia="仿宋"/>
          <w:sz w:val="24"/>
        </w:rPr>
      </w:pPr>
      <w:r>
        <w:rPr>
          <w:rFonts w:hint="eastAsia" w:ascii="仿宋" w:hAnsi="仿宋" w:eastAsia="仿宋" w:cs="Times New Roman"/>
          <w:kern w:val="2"/>
          <w:sz w:val="24"/>
          <w:szCs w:val="24"/>
          <w:lang w:val="en-US" w:eastAsia="zh-CN" w:bidi="ar-SA"/>
        </w:rPr>
        <w:t>4.2</w:t>
      </w:r>
      <w:r>
        <w:rPr>
          <w:rFonts w:hint="eastAsia" w:ascii="仿宋" w:hAnsi="仿宋" w:eastAsia="仿宋"/>
          <w:sz w:val="24"/>
        </w:rPr>
        <w:t>货物的运输方式：。</w:t>
      </w:r>
    </w:p>
    <w:p w14:paraId="25BF4D55">
      <w:pPr>
        <w:numPr>
          <w:ilvl w:val="1"/>
          <w:numId w:val="0"/>
        </w:numPr>
        <w:snapToGrid w:val="0"/>
        <w:spacing w:line="400" w:lineRule="exact"/>
        <w:ind w:left="0" w:leftChars="0" w:firstLine="420" w:firstLineChars="0"/>
        <w:rPr>
          <w:rFonts w:ascii="仿宋" w:hAnsi="仿宋" w:eastAsia="仿宋"/>
          <w:sz w:val="24"/>
        </w:rPr>
      </w:pPr>
      <w:r>
        <w:rPr>
          <w:rFonts w:hint="eastAsia" w:ascii="仿宋" w:hAnsi="仿宋" w:eastAsia="仿宋" w:cs="Times New Roman"/>
          <w:kern w:val="2"/>
          <w:sz w:val="24"/>
          <w:szCs w:val="24"/>
          <w:lang w:val="en-US" w:eastAsia="zh-CN" w:bidi="ar-SA"/>
        </w:rPr>
        <w:t>4.3</w:t>
      </w:r>
      <w:r>
        <w:rPr>
          <w:rFonts w:hint="eastAsia" w:ascii="仿宋" w:hAnsi="仿宋" w:eastAsia="仿宋"/>
          <w:sz w:val="24"/>
        </w:rPr>
        <w:t>乙方负责货物运输，货物运输合理损耗及计算方法：</w:t>
      </w:r>
      <w:r>
        <w:rPr>
          <w:rFonts w:hint="eastAsia" w:ascii="仿宋" w:hAnsi="仿宋" w:eastAsia="仿宋"/>
          <w:sz w:val="24"/>
          <w:u w:val="single"/>
        </w:rPr>
        <w:t xml:space="preserve"> 乙方负责 </w:t>
      </w:r>
      <w:r>
        <w:rPr>
          <w:rFonts w:hint="eastAsia" w:ascii="仿宋" w:hAnsi="仿宋" w:eastAsia="仿宋"/>
          <w:sz w:val="24"/>
        </w:rPr>
        <w:t>。</w:t>
      </w:r>
    </w:p>
    <w:p w14:paraId="4494CB00">
      <w:pPr>
        <w:numPr>
          <w:ilvl w:val="1"/>
          <w:numId w:val="0"/>
        </w:numPr>
        <w:snapToGrid w:val="0"/>
        <w:spacing w:line="400" w:lineRule="exact"/>
        <w:ind w:left="0" w:leftChars="0" w:firstLine="420" w:firstLineChars="0"/>
        <w:rPr>
          <w:rFonts w:ascii="仿宋" w:hAnsi="仿宋" w:eastAsia="仿宋"/>
          <w:sz w:val="24"/>
        </w:rPr>
      </w:pPr>
      <w:r>
        <w:rPr>
          <w:rFonts w:hint="eastAsia" w:ascii="仿宋" w:hAnsi="仿宋" w:eastAsia="仿宋" w:cs="Times New Roman"/>
          <w:kern w:val="2"/>
          <w:sz w:val="24"/>
          <w:szCs w:val="24"/>
          <w:lang w:val="en-US" w:eastAsia="zh-CN" w:bidi="ar-SA"/>
        </w:rPr>
        <w:t>4.4</w:t>
      </w:r>
      <w:r>
        <w:rPr>
          <w:rFonts w:hint="eastAsia" w:ascii="仿宋" w:hAnsi="仿宋" w:eastAsia="仿宋"/>
          <w:sz w:val="24"/>
        </w:rPr>
        <w:t>乙方在交付产品的同时需向甲方提供有关货物的附随资料，包括但不限于：</w:t>
      </w:r>
      <w:r>
        <w:rPr>
          <w:rFonts w:hint="eastAsia" w:ascii="仿宋" w:hAnsi="仿宋" w:eastAsia="仿宋"/>
          <w:sz w:val="24"/>
          <w:u w:val="single"/>
        </w:rPr>
        <w:t>商品目录、安装图纸、使用说明书、质量证明及其他技术资料（如有）</w:t>
      </w:r>
      <w:r>
        <w:rPr>
          <w:rFonts w:hint="eastAsia" w:ascii="仿宋" w:hAnsi="仿宋" w:eastAsia="仿宋"/>
          <w:sz w:val="24"/>
        </w:rPr>
        <w:t>。</w:t>
      </w:r>
    </w:p>
    <w:p w14:paraId="555AB701">
      <w:pPr>
        <w:numPr>
          <w:ilvl w:val="1"/>
          <w:numId w:val="0"/>
        </w:numPr>
        <w:snapToGrid w:val="0"/>
        <w:spacing w:line="400" w:lineRule="exact"/>
        <w:ind w:left="0" w:leftChars="0" w:firstLine="420" w:firstLineChars="0"/>
        <w:rPr>
          <w:rFonts w:ascii="仿宋" w:hAnsi="仿宋" w:eastAsia="仿宋"/>
          <w:sz w:val="24"/>
        </w:rPr>
      </w:pPr>
      <w:r>
        <w:rPr>
          <w:rFonts w:hint="eastAsia" w:ascii="仿宋" w:hAnsi="仿宋" w:eastAsia="仿宋" w:cs="Times New Roman"/>
          <w:kern w:val="2"/>
          <w:sz w:val="24"/>
          <w:szCs w:val="24"/>
          <w:lang w:val="en-US" w:eastAsia="zh-CN" w:bidi="ar-SA"/>
        </w:rPr>
        <w:t>4.5</w:t>
      </w:r>
      <w:r>
        <w:rPr>
          <w:rFonts w:hint="eastAsia" w:ascii="仿宋" w:hAnsi="仿宋" w:eastAsia="仿宋"/>
          <w:sz w:val="24"/>
        </w:rPr>
        <w:t>乙方在货物发运手续办理完毕后及时派人到指定地点接货，货到前至少小时通知甲方，以便共同验货。</w:t>
      </w:r>
    </w:p>
    <w:p w14:paraId="7F3FC9A0">
      <w:pPr>
        <w:numPr>
          <w:ilvl w:val="0"/>
          <w:numId w:val="0"/>
        </w:numPr>
        <w:tabs>
          <w:tab w:val="left" w:pos="420"/>
        </w:tabs>
        <w:snapToGrid w:val="0"/>
        <w:spacing w:line="400" w:lineRule="exact"/>
        <w:ind w:left="845" w:leftChars="0" w:hanging="425" w:firstLineChars="0"/>
        <w:rPr>
          <w:rFonts w:ascii="仿宋" w:hAnsi="仿宋" w:eastAsia="仿宋"/>
          <w:b/>
          <w:sz w:val="24"/>
        </w:rPr>
      </w:pPr>
      <w:r>
        <w:rPr>
          <w:rFonts w:hint="eastAsia" w:ascii="仿宋" w:hAnsi="仿宋" w:eastAsia="仿宋" w:cs="Times New Roman"/>
          <w:b/>
          <w:kern w:val="2"/>
          <w:sz w:val="24"/>
          <w:szCs w:val="24"/>
          <w:lang w:val="en-US" w:eastAsia="zh-CN" w:bidi="ar-SA"/>
        </w:rPr>
        <w:t xml:space="preserve">第五条 </w:t>
      </w:r>
      <w:r>
        <w:rPr>
          <w:rFonts w:hint="eastAsia" w:ascii="仿宋" w:hAnsi="仿宋" w:eastAsia="仿宋"/>
          <w:b/>
          <w:sz w:val="24"/>
        </w:rPr>
        <w:t>收货和验货</w:t>
      </w:r>
    </w:p>
    <w:p w14:paraId="6694B260">
      <w:pPr>
        <w:numPr>
          <w:ilvl w:val="1"/>
          <w:numId w:val="0"/>
        </w:numPr>
        <w:snapToGrid w:val="0"/>
        <w:spacing w:line="400" w:lineRule="exact"/>
        <w:ind w:left="0" w:leftChars="0" w:firstLine="420" w:firstLineChars="0"/>
        <w:rPr>
          <w:rFonts w:ascii="仿宋" w:hAnsi="仿宋" w:eastAsia="仿宋"/>
          <w:sz w:val="24"/>
        </w:rPr>
      </w:pPr>
      <w:r>
        <w:rPr>
          <w:rFonts w:hint="eastAsia" w:ascii="仿宋" w:hAnsi="仿宋" w:eastAsia="仿宋" w:cs="Times New Roman"/>
          <w:kern w:val="2"/>
          <w:sz w:val="24"/>
          <w:szCs w:val="24"/>
          <w:lang w:val="en-US" w:eastAsia="zh-CN" w:bidi="ar-SA"/>
        </w:rPr>
        <w:t>5.1</w:t>
      </w:r>
      <w:r>
        <w:rPr>
          <w:rFonts w:hint="eastAsia" w:ascii="仿宋" w:hAnsi="仿宋" w:eastAsia="仿宋"/>
          <w:sz w:val="24"/>
        </w:rPr>
        <w:t>交货时间：自签订合同之日起</w:t>
      </w:r>
      <w:r>
        <w:rPr>
          <w:rFonts w:hint="eastAsia" w:ascii="仿宋" w:hAnsi="仿宋" w:eastAsia="仿宋"/>
          <w:sz w:val="24"/>
          <w:u w:val="single"/>
        </w:rPr>
        <w:t>30</w:t>
      </w:r>
      <w:r>
        <w:rPr>
          <w:rFonts w:hint="eastAsia" w:ascii="仿宋" w:hAnsi="仿宋" w:eastAsia="仿宋"/>
          <w:sz w:val="24"/>
        </w:rPr>
        <w:t>日历天内全部安装调试合格完毕并交付使用</w:t>
      </w:r>
    </w:p>
    <w:p w14:paraId="09444591">
      <w:pPr>
        <w:numPr>
          <w:ilvl w:val="1"/>
          <w:numId w:val="0"/>
        </w:numPr>
        <w:snapToGrid w:val="0"/>
        <w:spacing w:line="400" w:lineRule="exact"/>
        <w:ind w:left="0" w:leftChars="0" w:firstLine="420" w:firstLineChars="0"/>
        <w:rPr>
          <w:rFonts w:ascii="仿宋" w:hAnsi="仿宋" w:eastAsia="仿宋"/>
          <w:sz w:val="24"/>
        </w:rPr>
      </w:pPr>
      <w:r>
        <w:rPr>
          <w:rFonts w:hint="eastAsia" w:ascii="仿宋" w:hAnsi="仿宋" w:eastAsia="仿宋" w:cs="Times New Roman"/>
          <w:kern w:val="2"/>
          <w:sz w:val="24"/>
          <w:szCs w:val="24"/>
          <w:lang w:val="en-US" w:eastAsia="zh-CN" w:bidi="ar-SA"/>
        </w:rPr>
        <w:t>5.2</w:t>
      </w:r>
      <w:r>
        <w:rPr>
          <w:rFonts w:hint="eastAsia" w:ascii="仿宋" w:hAnsi="仿宋" w:eastAsia="仿宋"/>
          <w:sz w:val="24"/>
        </w:rPr>
        <w:t>交货地点：</w:t>
      </w:r>
      <w:r>
        <w:rPr>
          <w:rFonts w:hint="eastAsia" w:ascii="仿宋" w:hAnsi="仿宋" w:eastAsia="仿宋"/>
          <w:sz w:val="24"/>
          <w:u w:val="single"/>
        </w:rPr>
        <w:t>甲方指定地点</w:t>
      </w:r>
      <w:r>
        <w:rPr>
          <w:rFonts w:hint="eastAsia" w:ascii="仿宋" w:hAnsi="仿宋" w:eastAsia="仿宋"/>
          <w:sz w:val="24"/>
        </w:rPr>
        <w:t>。</w:t>
      </w:r>
    </w:p>
    <w:p w14:paraId="3D8214C7">
      <w:pPr>
        <w:numPr>
          <w:ilvl w:val="1"/>
          <w:numId w:val="0"/>
        </w:numPr>
        <w:snapToGrid w:val="0"/>
        <w:spacing w:line="400" w:lineRule="exact"/>
        <w:ind w:left="0" w:leftChars="0" w:firstLine="420" w:firstLineChars="0"/>
        <w:rPr>
          <w:rFonts w:ascii="仿宋" w:hAnsi="仿宋" w:eastAsia="仿宋"/>
          <w:sz w:val="24"/>
        </w:rPr>
      </w:pPr>
      <w:r>
        <w:rPr>
          <w:rFonts w:hint="eastAsia" w:ascii="仿宋" w:hAnsi="仿宋" w:eastAsia="仿宋" w:cs="Times New Roman"/>
          <w:kern w:val="2"/>
          <w:sz w:val="24"/>
          <w:szCs w:val="24"/>
          <w:lang w:val="en-US" w:eastAsia="zh-CN" w:bidi="ar-SA"/>
        </w:rPr>
        <w:t>5.3</w:t>
      </w:r>
      <w:r>
        <w:rPr>
          <w:rFonts w:hint="eastAsia" w:ascii="仿宋" w:hAnsi="仿宋" w:eastAsia="仿宋"/>
          <w:sz w:val="24"/>
        </w:rPr>
        <w:t>乙方交货前应对产品作出全面检查和对验收文件进行整理，并列出清单，作为甲方收货验收和使用的技术条件依据，检验的结果应随货物交甲方。</w:t>
      </w:r>
    </w:p>
    <w:p w14:paraId="6893EB5E">
      <w:pPr>
        <w:numPr>
          <w:ilvl w:val="1"/>
          <w:numId w:val="0"/>
        </w:numPr>
        <w:snapToGrid w:val="0"/>
        <w:spacing w:line="400" w:lineRule="exact"/>
        <w:ind w:left="0" w:leftChars="0" w:firstLine="420" w:firstLineChars="0"/>
        <w:rPr>
          <w:rFonts w:ascii="仿宋" w:hAnsi="仿宋" w:eastAsia="仿宋"/>
          <w:sz w:val="24"/>
        </w:rPr>
      </w:pPr>
      <w:r>
        <w:rPr>
          <w:rFonts w:hint="eastAsia" w:ascii="仿宋" w:hAnsi="仿宋" w:eastAsia="仿宋" w:cs="Times New Roman"/>
          <w:kern w:val="2"/>
          <w:sz w:val="24"/>
          <w:szCs w:val="24"/>
          <w:lang w:val="en-US" w:eastAsia="zh-CN" w:bidi="ar-SA"/>
        </w:rPr>
        <w:t>5.4</w:t>
      </w:r>
      <w:r>
        <w:rPr>
          <w:rFonts w:hint="eastAsia" w:ascii="仿宋" w:hAnsi="仿宋" w:eastAsia="仿宋"/>
          <w:sz w:val="24"/>
        </w:rPr>
        <w:t>甲方对乙方提交的货物根据招标文件（采购文件）上的技术规格要求和国家有关质量标准进行现场初步验收，外观、说明书符合要求的，给予签收，初步验收不合格的不予签收。该签收仅指外观、说明书符合采购文件技术要求而非认可货物验收合格，并不因此减轻或免除乙方所承担的质量保证责任。</w:t>
      </w:r>
    </w:p>
    <w:p w14:paraId="5727C620">
      <w:pPr>
        <w:numPr>
          <w:ilvl w:val="1"/>
          <w:numId w:val="0"/>
        </w:numPr>
        <w:snapToGrid w:val="0"/>
        <w:spacing w:line="400" w:lineRule="exact"/>
        <w:ind w:left="0" w:leftChars="0" w:firstLine="420" w:firstLineChars="0"/>
        <w:rPr>
          <w:rFonts w:ascii="仿宋" w:hAnsi="仿宋" w:eastAsia="仿宋"/>
          <w:sz w:val="24"/>
        </w:rPr>
      </w:pPr>
      <w:r>
        <w:rPr>
          <w:rFonts w:hint="eastAsia" w:ascii="仿宋" w:hAnsi="仿宋" w:eastAsia="仿宋" w:cs="Times New Roman"/>
          <w:kern w:val="2"/>
          <w:sz w:val="24"/>
          <w:szCs w:val="24"/>
          <w:lang w:val="en-US" w:eastAsia="zh-CN" w:bidi="ar-SA"/>
        </w:rPr>
        <w:t>5.5</w:t>
      </w:r>
      <w:r>
        <w:rPr>
          <w:rFonts w:hint="eastAsia" w:ascii="仿宋" w:hAnsi="仿宋" w:eastAsia="仿宋"/>
          <w:sz w:val="24"/>
        </w:rPr>
        <w:t>乙方应在货到后及时通知甲方组织开箱验货，并将所提供货物的装箱清单、用户手册、原厂保修卡、随机资料、工具和备品、备件等交付给甲方，如有缺失应及时补齐，否则视为逾期交货。</w:t>
      </w:r>
    </w:p>
    <w:p w14:paraId="4AA0D147">
      <w:pPr>
        <w:numPr>
          <w:ilvl w:val="1"/>
          <w:numId w:val="0"/>
        </w:numPr>
        <w:snapToGrid w:val="0"/>
        <w:spacing w:line="400" w:lineRule="exact"/>
        <w:ind w:left="0" w:leftChars="0" w:firstLine="420" w:firstLineChars="0"/>
        <w:rPr>
          <w:rFonts w:ascii="仿宋" w:hAnsi="仿宋" w:eastAsia="仿宋"/>
          <w:sz w:val="24"/>
        </w:rPr>
      </w:pPr>
      <w:r>
        <w:rPr>
          <w:rFonts w:hint="eastAsia" w:ascii="仿宋" w:hAnsi="仿宋" w:eastAsia="仿宋" w:cs="Times New Roman"/>
          <w:kern w:val="2"/>
          <w:sz w:val="24"/>
          <w:szCs w:val="24"/>
          <w:lang w:val="en-US" w:eastAsia="zh-CN" w:bidi="ar-SA"/>
        </w:rPr>
        <w:t>5.6</w:t>
      </w:r>
      <w:r>
        <w:rPr>
          <w:rFonts w:hint="eastAsia" w:ascii="仿宋" w:hAnsi="仿宋" w:eastAsia="仿宋"/>
          <w:sz w:val="24"/>
        </w:rPr>
        <w:t>货物验收合格之前，货物的风险由乙方承担。</w:t>
      </w:r>
    </w:p>
    <w:p w14:paraId="2C087461">
      <w:pPr>
        <w:numPr>
          <w:ilvl w:val="0"/>
          <w:numId w:val="0"/>
        </w:numPr>
        <w:tabs>
          <w:tab w:val="left" w:pos="420"/>
        </w:tabs>
        <w:snapToGrid w:val="0"/>
        <w:spacing w:line="400" w:lineRule="exact"/>
        <w:ind w:left="845" w:leftChars="0" w:hanging="425" w:firstLineChars="0"/>
        <w:rPr>
          <w:rFonts w:ascii="仿宋" w:hAnsi="仿宋" w:eastAsia="仿宋"/>
          <w:b/>
          <w:sz w:val="24"/>
        </w:rPr>
      </w:pPr>
      <w:r>
        <w:rPr>
          <w:rFonts w:hint="eastAsia" w:ascii="仿宋" w:hAnsi="仿宋" w:eastAsia="仿宋" w:cs="Times New Roman"/>
          <w:b/>
          <w:kern w:val="2"/>
          <w:sz w:val="24"/>
          <w:szCs w:val="24"/>
          <w:lang w:val="en-US" w:eastAsia="zh-CN" w:bidi="ar-SA"/>
        </w:rPr>
        <w:t xml:space="preserve">第六条 </w:t>
      </w:r>
      <w:r>
        <w:rPr>
          <w:rFonts w:hint="eastAsia" w:ascii="仿宋" w:hAnsi="仿宋" w:eastAsia="仿宋"/>
          <w:b/>
          <w:sz w:val="24"/>
        </w:rPr>
        <w:t>安装和培训</w:t>
      </w:r>
    </w:p>
    <w:p w14:paraId="6B925757">
      <w:pPr>
        <w:numPr>
          <w:ilvl w:val="1"/>
          <w:numId w:val="0"/>
        </w:numPr>
        <w:snapToGrid w:val="0"/>
        <w:spacing w:line="400" w:lineRule="exact"/>
        <w:ind w:left="0" w:leftChars="0" w:firstLine="420" w:firstLineChars="0"/>
        <w:rPr>
          <w:rFonts w:ascii="仿宋" w:hAnsi="仿宋" w:eastAsia="仿宋"/>
          <w:sz w:val="24"/>
        </w:rPr>
      </w:pPr>
      <w:r>
        <w:rPr>
          <w:rFonts w:hint="eastAsia" w:ascii="仿宋" w:hAnsi="仿宋" w:eastAsia="仿宋" w:cs="Times New Roman"/>
          <w:kern w:val="2"/>
          <w:sz w:val="24"/>
          <w:szCs w:val="24"/>
          <w:lang w:val="en-US" w:eastAsia="zh-CN" w:bidi="ar-SA"/>
        </w:rPr>
        <w:t>6.1</w:t>
      </w:r>
      <w:r>
        <w:rPr>
          <w:rFonts w:hint="eastAsia" w:ascii="仿宋" w:hAnsi="仿宋" w:eastAsia="仿宋"/>
          <w:sz w:val="24"/>
        </w:rPr>
        <w:t>甲方应提供必要安装条件（如场地、电源、水源等）。</w:t>
      </w:r>
    </w:p>
    <w:p w14:paraId="5FB90FD6">
      <w:pPr>
        <w:numPr>
          <w:ilvl w:val="1"/>
          <w:numId w:val="0"/>
        </w:numPr>
        <w:snapToGrid w:val="0"/>
        <w:spacing w:line="400" w:lineRule="exact"/>
        <w:ind w:left="0" w:leftChars="0" w:firstLine="420" w:firstLineChars="0"/>
        <w:rPr>
          <w:rFonts w:ascii="仿宋" w:hAnsi="仿宋" w:eastAsia="仿宋"/>
          <w:sz w:val="24"/>
        </w:rPr>
      </w:pPr>
      <w:r>
        <w:rPr>
          <w:rFonts w:hint="eastAsia" w:ascii="仿宋" w:hAnsi="仿宋" w:eastAsia="仿宋" w:cs="Times New Roman"/>
          <w:kern w:val="2"/>
          <w:sz w:val="24"/>
          <w:szCs w:val="24"/>
          <w:lang w:val="en-US" w:eastAsia="zh-CN" w:bidi="ar-SA"/>
        </w:rPr>
        <w:t>6.2</w:t>
      </w:r>
      <w:r>
        <w:rPr>
          <w:rFonts w:hint="eastAsia" w:ascii="仿宋" w:hAnsi="仿宋" w:eastAsia="仿宋"/>
          <w:sz w:val="24"/>
        </w:rPr>
        <w:t>乙方负责合同项下的安装，一切费用由乙方负责。安装时须对各安装场地内的其他设备、设施有良好保护措施。</w:t>
      </w:r>
    </w:p>
    <w:p w14:paraId="1D16EAEE">
      <w:pPr>
        <w:numPr>
          <w:ilvl w:val="1"/>
          <w:numId w:val="0"/>
        </w:numPr>
        <w:snapToGrid w:val="0"/>
        <w:spacing w:line="400" w:lineRule="exact"/>
        <w:ind w:left="0" w:leftChars="0" w:firstLine="420" w:firstLineChars="0"/>
        <w:rPr>
          <w:rFonts w:ascii="仿宋" w:hAnsi="仿宋" w:eastAsia="仿宋"/>
          <w:sz w:val="24"/>
        </w:rPr>
      </w:pPr>
      <w:r>
        <w:rPr>
          <w:rFonts w:hint="eastAsia" w:ascii="仿宋" w:hAnsi="仿宋" w:eastAsia="仿宋" w:cs="Times New Roman"/>
          <w:kern w:val="2"/>
          <w:sz w:val="24"/>
          <w:szCs w:val="24"/>
          <w:lang w:val="en-US" w:eastAsia="zh-CN" w:bidi="ar-SA"/>
        </w:rPr>
        <w:t>6.3</w:t>
      </w:r>
      <w:r>
        <w:rPr>
          <w:rFonts w:hint="eastAsia" w:ascii="仿宋" w:hAnsi="仿宋" w:eastAsia="仿宋"/>
          <w:sz w:val="24"/>
        </w:rPr>
        <w:t>乙方无偿培训甲方使用人员、维护及维修人员，主要内容为合同标的的基本结构、性能、主要部件/模块的构造及维护，日常使用与管理，常见故障的排除，紧急情况的处理等，培训地点主要在产品安装现场或按甲方安排。</w:t>
      </w:r>
    </w:p>
    <w:p w14:paraId="37520A71">
      <w:pPr>
        <w:numPr>
          <w:ilvl w:val="0"/>
          <w:numId w:val="0"/>
        </w:numPr>
        <w:tabs>
          <w:tab w:val="left" w:pos="420"/>
        </w:tabs>
        <w:snapToGrid w:val="0"/>
        <w:spacing w:line="400" w:lineRule="exact"/>
        <w:ind w:left="845" w:leftChars="0" w:hanging="425" w:firstLineChars="0"/>
        <w:rPr>
          <w:rFonts w:ascii="仿宋" w:hAnsi="仿宋" w:eastAsia="仿宋"/>
          <w:b/>
          <w:sz w:val="24"/>
        </w:rPr>
      </w:pPr>
      <w:r>
        <w:rPr>
          <w:rFonts w:hint="eastAsia" w:ascii="仿宋" w:hAnsi="仿宋" w:eastAsia="仿宋" w:cs="Times New Roman"/>
          <w:b/>
          <w:kern w:val="2"/>
          <w:sz w:val="24"/>
          <w:szCs w:val="24"/>
          <w:lang w:val="en-US" w:eastAsia="zh-CN" w:bidi="ar-SA"/>
        </w:rPr>
        <w:t xml:space="preserve">第七条 </w:t>
      </w:r>
      <w:r>
        <w:rPr>
          <w:rFonts w:hint="eastAsia" w:ascii="仿宋" w:hAnsi="仿宋" w:eastAsia="仿宋"/>
          <w:b/>
          <w:sz w:val="24"/>
        </w:rPr>
        <w:t>验收</w:t>
      </w:r>
    </w:p>
    <w:p w14:paraId="6FE6976D">
      <w:pPr>
        <w:numPr>
          <w:ilvl w:val="1"/>
          <w:numId w:val="0"/>
        </w:numPr>
        <w:snapToGrid w:val="0"/>
        <w:spacing w:line="400" w:lineRule="exact"/>
        <w:ind w:left="0" w:leftChars="0" w:firstLine="420" w:firstLineChars="0"/>
        <w:rPr>
          <w:rFonts w:ascii="仿宋" w:hAnsi="仿宋" w:eastAsia="仿宋"/>
          <w:sz w:val="24"/>
        </w:rPr>
      </w:pPr>
      <w:r>
        <w:rPr>
          <w:rFonts w:hint="eastAsia" w:ascii="仿宋" w:hAnsi="仿宋" w:eastAsia="仿宋" w:cs="Times New Roman"/>
          <w:kern w:val="2"/>
          <w:sz w:val="24"/>
          <w:szCs w:val="24"/>
          <w:lang w:val="en-US" w:eastAsia="zh-CN" w:bidi="ar-SA"/>
        </w:rPr>
        <w:t>7.1</w:t>
      </w:r>
      <w:r>
        <w:rPr>
          <w:rFonts w:hint="eastAsia" w:ascii="仿宋" w:hAnsi="仿宋" w:eastAsia="仿宋"/>
          <w:sz w:val="24"/>
        </w:rPr>
        <w:t>合同货物、软件及配套设备安装完成且甲方试用其性能达标后</w:t>
      </w:r>
      <w:r>
        <w:rPr>
          <w:rFonts w:hint="eastAsia" w:ascii="仿宋" w:hAnsi="仿宋" w:eastAsia="仿宋"/>
          <w:sz w:val="24"/>
          <w:u w:val="single"/>
          <w:lang w:val="en-US" w:eastAsia="zh-CN"/>
        </w:rPr>
        <w:t xml:space="preserve">   </w:t>
      </w:r>
      <w:r>
        <w:rPr>
          <w:rFonts w:hint="eastAsia" w:ascii="仿宋" w:hAnsi="仿宋" w:eastAsia="仿宋"/>
          <w:sz w:val="24"/>
        </w:rPr>
        <w:t>个工作日内验收，验收应在甲乙双方共同参加下进行。逾期不验收的，乙方可视同验收合格。验收合格后由甲乙双方签署货物验收单，甲乙双方各执一份。</w:t>
      </w:r>
    </w:p>
    <w:p w14:paraId="7FCE7226">
      <w:pPr>
        <w:numPr>
          <w:ilvl w:val="1"/>
          <w:numId w:val="0"/>
        </w:numPr>
        <w:snapToGrid w:val="0"/>
        <w:spacing w:line="400" w:lineRule="exact"/>
        <w:ind w:left="0" w:leftChars="0" w:firstLine="420" w:firstLineChars="0"/>
        <w:rPr>
          <w:rFonts w:ascii="仿宋" w:hAnsi="仿宋" w:eastAsia="仿宋"/>
          <w:sz w:val="24"/>
        </w:rPr>
      </w:pPr>
      <w:r>
        <w:rPr>
          <w:rFonts w:hint="eastAsia" w:ascii="仿宋" w:hAnsi="仿宋" w:eastAsia="仿宋" w:cs="Times New Roman"/>
          <w:kern w:val="2"/>
          <w:sz w:val="24"/>
          <w:szCs w:val="24"/>
          <w:lang w:val="en-US" w:eastAsia="zh-CN" w:bidi="ar-SA"/>
        </w:rPr>
        <w:t>7.2</w:t>
      </w:r>
      <w:r>
        <w:rPr>
          <w:rFonts w:hint="eastAsia" w:ascii="仿宋" w:hAnsi="仿宋" w:eastAsia="仿宋"/>
          <w:sz w:val="24"/>
        </w:rPr>
        <w:t>若甲方委托第三方组织的验收项目，其验收时间以该项目验收方案确定的验收时间为准，验收结果以该项目验收报告结论为准。在验收过程中发现乙方有违约问题，可暂缓资金结算，待违约问题解决后，方可办理资金结算事宜，在此期间，甲方不承担逾期付款责任。</w:t>
      </w:r>
    </w:p>
    <w:p w14:paraId="2D1DD024">
      <w:pPr>
        <w:numPr>
          <w:ilvl w:val="1"/>
          <w:numId w:val="0"/>
        </w:numPr>
        <w:snapToGrid w:val="0"/>
        <w:spacing w:line="400" w:lineRule="exact"/>
        <w:ind w:left="0" w:leftChars="0" w:firstLine="420" w:firstLineChars="0"/>
        <w:rPr>
          <w:rFonts w:ascii="仿宋" w:hAnsi="仿宋" w:eastAsia="仿宋"/>
          <w:sz w:val="24"/>
        </w:rPr>
      </w:pPr>
      <w:r>
        <w:rPr>
          <w:rFonts w:hint="eastAsia" w:ascii="仿宋" w:hAnsi="仿宋" w:eastAsia="仿宋" w:cs="Times New Roman"/>
          <w:kern w:val="2"/>
          <w:sz w:val="24"/>
          <w:szCs w:val="24"/>
          <w:lang w:val="en-US" w:eastAsia="zh-CN" w:bidi="ar-SA"/>
        </w:rPr>
        <w:t>7.3</w:t>
      </w:r>
      <w:r>
        <w:rPr>
          <w:rFonts w:hint="eastAsia" w:ascii="仿宋" w:hAnsi="仿宋" w:eastAsia="仿宋"/>
          <w:sz w:val="24"/>
        </w:rPr>
        <w:t>甲方对乙方提交的货物依据招标文件（采购文件）、合同上的技术规格要求和国家有关质量标准进行验收，外观、说明书符合招标文件（采购文件）、合同技术要求的，验收合格。甲方对验收有异议的，在验收后个工作日内以书面形式向乙方提出，乙方应自收到甲方书面异议后日内及时予以解决。如果甲方同意更换的，乙方应于收到甲方拒绝收货通知书之日起按国产货物个工作日内、进口货物个工作日内的期限重新提供符合合同约定的货物，否则，视为乙方逾期交货。</w:t>
      </w:r>
    </w:p>
    <w:p w14:paraId="06AD8E0B">
      <w:pPr>
        <w:numPr>
          <w:ilvl w:val="1"/>
          <w:numId w:val="0"/>
        </w:numPr>
        <w:snapToGrid w:val="0"/>
        <w:spacing w:line="400" w:lineRule="exact"/>
        <w:ind w:left="0" w:leftChars="0" w:firstLine="420" w:firstLineChars="0"/>
        <w:rPr>
          <w:rFonts w:ascii="仿宋" w:hAnsi="仿宋" w:eastAsia="仿宋"/>
          <w:sz w:val="24"/>
        </w:rPr>
      </w:pPr>
      <w:r>
        <w:rPr>
          <w:rFonts w:hint="eastAsia" w:ascii="仿宋" w:hAnsi="仿宋" w:eastAsia="仿宋" w:cs="Times New Roman"/>
          <w:kern w:val="2"/>
          <w:sz w:val="24"/>
          <w:szCs w:val="24"/>
          <w:lang w:val="en-US" w:eastAsia="zh-CN" w:bidi="ar-SA"/>
        </w:rPr>
        <w:t>7.4</w:t>
      </w:r>
      <w:r>
        <w:rPr>
          <w:rFonts w:hint="eastAsia" w:ascii="仿宋" w:hAnsi="仿宋" w:eastAsia="仿宋"/>
          <w:sz w:val="24"/>
        </w:rPr>
        <w:t>甲方对乙方提供的货物在使用前进行调试时，乙方需负责安装并培训甲方的使用操作人员，并协助甲方一起调试，直到符合技术要求，甲方才做最终验收。</w:t>
      </w:r>
    </w:p>
    <w:p w14:paraId="58B1964C">
      <w:pPr>
        <w:numPr>
          <w:ilvl w:val="1"/>
          <w:numId w:val="0"/>
        </w:numPr>
        <w:snapToGrid w:val="0"/>
        <w:spacing w:line="400" w:lineRule="exact"/>
        <w:ind w:left="0" w:leftChars="0" w:firstLine="420" w:firstLineChars="0"/>
        <w:rPr>
          <w:rFonts w:ascii="仿宋" w:hAnsi="仿宋" w:eastAsia="仿宋"/>
          <w:sz w:val="24"/>
        </w:rPr>
      </w:pPr>
      <w:r>
        <w:rPr>
          <w:rFonts w:hint="eastAsia" w:ascii="仿宋" w:hAnsi="仿宋" w:eastAsia="仿宋" w:cs="Times New Roman"/>
          <w:kern w:val="2"/>
          <w:sz w:val="24"/>
          <w:szCs w:val="24"/>
          <w:lang w:val="en-US" w:eastAsia="zh-CN" w:bidi="ar-SA"/>
        </w:rPr>
        <w:t>7.5</w:t>
      </w:r>
      <w:r>
        <w:rPr>
          <w:rFonts w:hint="eastAsia" w:ascii="仿宋" w:hAnsi="仿宋" w:eastAsia="仿宋"/>
          <w:sz w:val="24"/>
        </w:rPr>
        <w:t>对技术复杂的货物，甲方应请</w:t>
      </w:r>
      <w:r>
        <w:rPr>
          <w:rFonts w:hint="eastAsia" w:ascii="仿宋" w:hAnsi="仿宋" w:eastAsia="仿宋"/>
          <w:strike w:val="0"/>
          <w:dstrike w:val="0"/>
          <w:color w:val="auto"/>
          <w:sz w:val="24"/>
          <w:lang w:val="en-US" w:eastAsia="zh-CN"/>
        </w:rPr>
        <w:t>有相应资质</w:t>
      </w:r>
      <w:r>
        <w:rPr>
          <w:rFonts w:hint="eastAsia" w:ascii="仿宋" w:hAnsi="仿宋" w:eastAsia="仿宋"/>
          <w:sz w:val="24"/>
        </w:rPr>
        <w:t xml:space="preserve">的专业检测机构参与初步验收及最终验收，并由其出具质量检测报告，费用由乙方承担。 </w:t>
      </w:r>
    </w:p>
    <w:p w14:paraId="2DE6E147">
      <w:pPr>
        <w:numPr>
          <w:ilvl w:val="1"/>
          <w:numId w:val="0"/>
        </w:numPr>
        <w:snapToGrid w:val="0"/>
        <w:spacing w:line="400" w:lineRule="exact"/>
        <w:ind w:left="0" w:leftChars="0" w:firstLine="420" w:firstLineChars="0"/>
        <w:rPr>
          <w:rFonts w:ascii="仿宋" w:hAnsi="仿宋" w:eastAsia="仿宋"/>
          <w:sz w:val="24"/>
        </w:rPr>
      </w:pPr>
      <w:r>
        <w:rPr>
          <w:rFonts w:hint="eastAsia" w:ascii="仿宋" w:hAnsi="仿宋" w:eastAsia="仿宋" w:cs="Times New Roman"/>
          <w:kern w:val="2"/>
          <w:sz w:val="24"/>
          <w:szCs w:val="24"/>
          <w:lang w:val="en-US" w:eastAsia="zh-CN" w:bidi="ar-SA"/>
        </w:rPr>
        <w:t>7.6</w:t>
      </w:r>
      <w:r>
        <w:rPr>
          <w:rFonts w:hint="eastAsia" w:ascii="仿宋" w:hAnsi="仿宋" w:eastAsia="仿宋"/>
          <w:sz w:val="24"/>
        </w:rPr>
        <w:t>验收时乙方必须在现场，验收完毕后作出验收结果报告；验收费用由乙方负责。</w:t>
      </w:r>
    </w:p>
    <w:p w14:paraId="32A237B5">
      <w:pPr>
        <w:numPr>
          <w:ilvl w:val="1"/>
          <w:numId w:val="0"/>
        </w:numPr>
        <w:snapToGrid w:val="0"/>
        <w:spacing w:line="400" w:lineRule="exact"/>
        <w:ind w:left="0" w:leftChars="0" w:firstLine="420" w:firstLineChars="0"/>
        <w:rPr>
          <w:rFonts w:ascii="仿宋" w:hAnsi="仿宋" w:eastAsia="仿宋"/>
          <w:sz w:val="24"/>
        </w:rPr>
      </w:pPr>
      <w:r>
        <w:rPr>
          <w:rFonts w:hint="eastAsia" w:ascii="仿宋" w:hAnsi="仿宋" w:eastAsia="仿宋" w:cs="Times New Roman"/>
          <w:kern w:val="2"/>
          <w:sz w:val="24"/>
          <w:szCs w:val="24"/>
          <w:lang w:val="en-US" w:eastAsia="zh-CN" w:bidi="ar-SA"/>
        </w:rPr>
        <w:t>7.7</w:t>
      </w:r>
      <w:r>
        <w:rPr>
          <w:rFonts w:hint="eastAsia" w:ascii="仿宋" w:hAnsi="仿宋" w:eastAsia="仿宋"/>
          <w:sz w:val="24"/>
        </w:rPr>
        <w:t>其他未尽事宜应严格参照《关于印发广西壮族自治区政府采购项目履约验收管理办法的通知》[桂财采〔2015〕22号]以及《财政部关于进一步加强政府采购需求和履约验收管理的指导意见》[财库〔2016〕205号]规定执行。</w:t>
      </w:r>
    </w:p>
    <w:p w14:paraId="1A67A280">
      <w:pPr>
        <w:numPr>
          <w:ilvl w:val="0"/>
          <w:numId w:val="0"/>
        </w:numPr>
        <w:tabs>
          <w:tab w:val="left" w:pos="420"/>
        </w:tabs>
        <w:snapToGrid w:val="0"/>
        <w:spacing w:line="400" w:lineRule="exact"/>
        <w:ind w:left="845" w:leftChars="0" w:hanging="425" w:firstLineChars="0"/>
        <w:rPr>
          <w:rFonts w:ascii="仿宋" w:hAnsi="仿宋" w:eastAsia="仿宋"/>
          <w:b/>
          <w:sz w:val="24"/>
        </w:rPr>
      </w:pPr>
      <w:r>
        <w:rPr>
          <w:rFonts w:hint="eastAsia" w:ascii="仿宋" w:hAnsi="仿宋" w:eastAsia="仿宋" w:cs="Times New Roman"/>
          <w:b/>
          <w:kern w:val="2"/>
          <w:sz w:val="24"/>
          <w:szCs w:val="24"/>
          <w:lang w:val="en-US" w:eastAsia="zh-CN" w:bidi="ar-SA"/>
        </w:rPr>
        <w:t xml:space="preserve">第八条 </w:t>
      </w:r>
      <w:r>
        <w:rPr>
          <w:rFonts w:hint="eastAsia" w:ascii="仿宋" w:hAnsi="仿宋" w:eastAsia="仿宋"/>
          <w:b/>
          <w:sz w:val="24"/>
        </w:rPr>
        <w:t>付款时间及方式</w:t>
      </w:r>
    </w:p>
    <w:p w14:paraId="0C767C07">
      <w:pPr>
        <w:numPr>
          <w:ilvl w:val="1"/>
          <w:numId w:val="0"/>
        </w:numPr>
        <w:snapToGrid w:val="0"/>
        <w:spacing w:line="400" w:lineRule="exact"/>
        <w:ind w:left="0" w:leftChars="0" w:firstLine="420" w:firstLineChars="0"/>
        <w:rPr>
          <w:rFonts w:hint="eastAsia" w:ascii="宋体" w:hAnsi="宋体" w:eastAsia="宋体" w:cs="宋体"/>
          <w:b w:val="0"/>
          <w:bCs/>
          <w:color w:val="auto"/>
          <w:szCs w:val="21"/>
          <w:highlight w:val="yellow"/>
          <w:lang w:val="en-US" w:eastAsia="zh-CN"/>
        </w:rPr>
      </w:pPr>
      <w:r>
        <w:rPr>
          <w:rFonts w:hint="eastAsia" w:ascii="仿宋" w:hAnsi="仿宋" w:eastAsia="仿宋" w:cs="Times New Roman"/>
          <w:kern w:val="2"/>
          <w:sz w:val="24"/>
          <w:szCs w:val="24"/>
          <w:lang w:val="en-US" w:eastAsia="zh-CN" w:bidi="ar-SA"/>
        </w:rPr>
        <w:t>8.1合同签订后，成交供应商按照合同供货，采购人及时组织开箱验货，开箱验货合格且具备安装调试条件后，成交供应商开展设备的安装调试工作。设备安装调试合格后，采购人及时组织开展合同完工验收，验收合格后，成交供应商开具增值税发票连同其他相关资料一并提交给采购人。采购人收到全额发票及其他相关资料后，按如下情况支付：设备安装验收合格后凭乙方开具货款全额发票付至合同总金额的30%;设备安装验收合格满半年后，甲方再支付合同总金额的40%;设备安装验收合格满一年后，甲方结清尾款(无息)(以验收报告日期为准)。</w:t>
      </w:r>
    </w:p>
    <w:p w14:paraId="6206E6FD">
      <w:pPr>
        <w:numPr>
          <w:ilvl w:val="1"/>
          <w:numId w:val="0"/>
        </w:numPr>
        <w:snapToGrid w:val="0"/>
        <w:spacing w:line="400" w:lineRule="exact"/>
        <w:ind w:left="0" w:leftChars="0" w:firstLine="420" w:firstLineChars="0"/>
        <w:rPr>
          <w:rFonts w:ascii="仿宋" w:hAnsi="仿宋" w:eastAsia="仿宋"/>
          <w:color w:val="auto"/>
          <w:sz w:val="24"/>
        </w:rPr>
      </w:pPr>
      <w:r>
        <w:rPr>
          <w:rFonts w:hint="eastAsia" w:ascii="仿宋" w:hAnsi="仿宋" w:eastAsia="仿宋" w:cs="Times New Roman"/>
          <w:color w:val="auto"/>
          <w:kern w:val="2"/>
          <w:sz w:val="24"/>
          <w:szCs w:val="24"/>
          <w:lang w:val="en-US" w:eastAsia="zh-CN" w:bidi="ar-SA"/>
        </w:rPr>
        <w:t>8.2</w:t>
      </w:r>
      <w:r>
        <w:rPr>
          <w:rFonts w:hint="eastAsia" w:ascii="仿宋" w:hAnsi="仿宋" w:eastAsia="仿宋"/>
          <w:color w:val="auto"/>
          <w:sz w:val="24"/>
        </w:rPr>
        <w:t>本合同执行中相关的一切税费均由乙方负担。</w:t>
      </w:r>
    </w:p>
    <w:p w14:paraId="024B4229">
      <w:pPr>
        <w:numPr>
          <w:ilvl w:val="1"/>
          <w:numId w:val="0"/>
        </w:numPr>
        <w:snapToGrid w:val="0"/>
        <w:spacing w:line="400" w:lineRule="exact"/>
        <w:ind w:left="0" w:leftChars="0" w:firstLine="420" w:firstLineChars="0"/>
        <w:rPr>
          <w:rFonts w:ascii="仿宋" w:hAnsi="仿宋" w:eastAsia="仿宋"/>
          <w:color w:val="auto"/>
          <w:sz w:val="24"/>
        </w:rPr>
      </w:pPr>
      <w:r>
        <w:rPr>
          <w:rFonts w:hint="eastAsia" w:ascii="仿宋" w:hAnsi="仿宋" w:eastAsia="仿宋" w:cs="Times New Roman"/>
          <w:color w:val="auto"/>
          <w:kern w:val="2"/>
          <w:sz w:val="24"/>
          <w:szCs w:val="24"/>
          <w:lang w:val="en-US" w:eastAsia="zh-CN" w:bidi="ar-SA"/>
        </w:rPr>
        <w:t>8.3</w:t>
      </w:r>
      <w:r>
        <w:rPr>
          <w:rFonts w:hint="eastAsia" w:ascii="仿宋" w:hAnsi="仿宋" w:eastAsia="仿宋"/>
          <w:color w:val="auto"/>
          <w:sz w:val="24"/>
        </w:rPr>
        <w:t>甲方开票信息</w:t>
      </w:r>
    </w:p>
    <w:tbl>
      <w:tblPr>
        <w:tblStyle w:val="51"/>
        <w:tblW w:w="0" w:type="auto"/>
        <w:tblInd w:w="645"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2550"/>
        <w:gridCol w:w="5321"/>
      </w:tblGrid>
      <w:tr w14:paraId="242A95AD">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2892" w:type="dxa"/>
            <w:tcBorders>
              <w:top w:val="single" w:color="000000" w:sz="4" w:space="0"/>
              <w:left w:val="single" w:color="000000" w:sz="4" w:space="0"/>
              <w:bottom w:val="single" w:color="000000" w:sz="4" w:space="0"/>
              <w:right w:val="single" w:color="000000" w:sz="4" w:space="0"/>
            </w:tcBorders>
            <w:noWrap/>
            <w:tcMar>
              <w:top w:w="0" w:type="dxa"/>
              <w:left w:w="105" w:type="dxa"/>
              <w:bottom w:w="0" w:type="dxa"/>
              <w:right w:w="105" w:type="dxa"/>
            </w:tcMar>
          </w:tcPr>
          <w:p w14:paraId="66B19914">
            <w:pPr>
              <w:snapToGrid w:val="0"/>
              <w:spacing w:line="400" w:lineRule="exact"/>
              <w:jc w:val="center"/>
              <w:rPr>
                <w:rFonts w:ascii="仿宋" w:hAnsi="仿宋" w:eastAsia="仿宋"/>
                <w:color w:val="auto"/>
                <w:sz w:val="24"/>
              </w:rPr>
            </w:pPr>
            <w:r>
              <w:rPr>
                <w:rFonts w:hint="eastAsia" w:ascii="仿宋" w:hAnsi="仿宋" w:eastAsia="仿宋"/>
                <w:color w:val="auto"/>
                <w:sz w:val="24"/>
              </w:rPr>
              <w:t>单位名称</w:t>
            </w:r>
          </w:p>
        </w:tc>
        <w:tc>
          <w:tcPr>
            <w:tcW w:w="6068" w:type="dxa"/>
            <w:tcBorders>
              <w:top w:val="single" w:color="000000" w:sz="4" w:space="0"/>
              <w:left w:val="nil"/>
              <w:bottom w:val="single" w:color="000000" w:sz="4" w:space="0"/>
              <w:right w:val="single" w:color="000000" w:sz="4" w:space="0"/>
            </w:tcBorders>
            <w:noWrap/>
            <w:tcMar>
              <w:top w:w="0" w:type="dxa"/>
              <w:left w:w="105" w:type="dxa"/>
              <w:bottom w:w="0" w:type="dxa"/>
              <w:right w:w="105" w:type="dxa"/>
            </w:tcMar>
          </w:tcPr>
          <w:p w14:paraId="4A92FF55">
            <w:pPr>
              <w:snapToGrid w:val="0"/>
              <w:spacing w:line="400" w:lineRule="exact"/>
              <w:rPr>
                <w:rFonts w:ascii="仿宋" w:hAnsi="仿宋" w:eastAsia="仿宋"/>
                <w:color w:val="auto"/>
                <w:sz w:val="24"/>
              </w:rPr>
            </w:pPr>
            <w:r>
              <w:rPr>
                <w:rFonts w:hint="eastAsia" w:ascii="仿宋" w:hAnsi="仿宋" w:eastAsia="仿宋"/>
                <w:color w:val="auto"/>
                <w:sz w:val="24"/>
              </w:rPr>
              <w:t>河池市中医医院</w:t>
            </w:r>
          </w:p>
        </w:tc>
      </w:tr>
      <w:tr w14:paraId="73FC483C">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24" w:hRule="atLeast"/>
        </w:trPr>
        <w:tc>
          <w:tcPr>
            <w:tcW w:w="2892" w:type="dxa"/>
            <w:tcBorders>
              <w:top w:val="nil"/>
              <w:left w:val="single" w:color="000000" w:sz="4" w:space="0"/>
              <w:bottom w:val="single" w:color="000000" w:sz="4" w:space="0"/>
              <w:right w:val="single" w:color="000000" w:sz="4" w:space="0"/>
            </w:tcBorders>
            <w:noWrap/>
            <w:tcMar>
              <w:top w:w="0" w:type="dxa"/>
              <w:left w:w="105" w:type="dxa"/>
              <w:bottom w:w="0" w:type="dxa"/>
              <w:right w:w="105" w:type="dxa"/>
            </w:tcMar>
          </w:tcPr>
          <w:p w14:paraId="3F6237B3">
            <w:pPr>
              <w:snapToGrid w:val="0"/>
              <w:spacing w:line="400" w:lineRule="exact"/>
              <w:jc w:val="center"/>
              <w:rPr>
                <w:rFonts w:ascii="仿宋" w:hAnsi="仿宋" w:eastAsia="仿宋"/>
                <w:color w:val="auto"/>
                <w:sz w:val="24"/>
              </w:rPr>
            </w:pPr>
            <w:r>
              <w:rPr>
                <w:rFonts w:hint="eastAsia" w:ascii="仿宋" w:hAnsi="仿宋" w:eastAsia="仿宋"/>
                <w:color w:val="auto"/>
                <w:sz w:val="24"/>
              </w:rPr>
              <w:t>统一社会信用代码</w:t>
            </w:r>
          </w:p>
        </w:tc>
        <w:tc>
          <w:tcPr>
            <w:tcW w:w="6068" w:type="dxa"/>
            <w:tcBorders>
              <w:top w:val="nil"/>
              <w:left w:val="nil"/>
              <w:bottom w:val="single" w:color="000000" w:sz="4" w:space="0"/>
              <w:right w:val="single" w:color="000000" w:sz="4" w:space="0"/>
            </w:tcBorders>
            <w:noWrap/>
            <w:tcMar>
              <w:top w:w="0" w:type="dxa"/>
              <w:left w:w="105" w:type="dxa"/>
              <w:bottom w:w="0" w:type="dxa"/>
              <w:right w:w="105" w:type="dxa"/>
            </w:tcMar>
          </w:tcPr>
          <w:p w14:paraId="1C1A58EE">
            <w:pPr>
              <w:snapToGrid w:val="0"/>
              <w:spacing w:line="400" w:lineRule="exact"/>
              <w:rPr>
                <w:rFonts w:ascii="仿宋" w:hAnsi="仿宋" w:eastAsia="仿宋"/>
                <w:color w:val="auto"/>
                <w:sz w:val="24"/>
              </w:rPr>
            </w:pPr>
            <w:r>
              <w:rPr>
                <w:rFonts w:hint="eastAsia" w:ascii="仿宋" w:hAnsi="仿宋" w:eastAsia="仿宋"/>
                <w:color w:val="auto"/>
                <w:sz w:val="24"/>
              </w:rPr>
              <w:t>12451200499598047W</w:t>
            </w:r>
          </w:p>
        </w:tc>
      </w:tr>
      <w:tr w14:paraId="64682E28">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2892" w:type="dxa"/>
            <w:tcBorders>
              <w:top w:val="nil"/>
              <w:left w:val="single" w:color="000000" w:sz="4" w:space="0"/>
              <w:bottom w:val="single" w:color="000000" w:sz="4" w:space="0"/>
              <w:right w:val="single" w:color="000000" w:sz="4" w:space="0"/>
            </w:tcBorders>
            <w:noWrap/>
            <w:tcMar>
              <w:top w:w="0" w:type="dxa"/>
              <w:left w:w="105" w:type="dxa"/>
              <w:bottom w:w="0" w:type="dxa"/>
              <w:right w:w="105" w:type="dxa"/>
            </w:tcMar>
          </w:tcPr>
          <w:p w14:paraId="70A83B57">
            <w:pPr>
              <w:snapToGrid w:val="0"/>
              <w:spacing w:line="400" w:lineRule="exact"/>
              <w:jc w:val="center"/>
              <w:rPr>
                <w:rFonts w:ascii="仿宋" w:hAnsi="仿宋" w:eastAsia="仿宋"/>
                <w:color w:val="auto"/>
                <w:sz w:val="24"/>
              </w:rPr>
            </w:pPr>
            <w:r>
              <w:rPr>
                <w:rFonts w:hint="eastAsia" w:ascii="仿宋" w:hAnsi="仿宋" w:eastAsia="仿宋"/>
                <w:color w:val="auto"/>
                <w:sz w:val="24"/>
              </w:rPr>
              <w:t>地址</w:t>
            </w:r>
          </w:p>
        </w:tc>
        <w:tc>
          <w:tcPr>
            <w:tcW w:w="6068" w:type="dxa"/>
            <w:tcBorders>
              <w:top w:val="nil"/>
              <w:left w:val="nil"/>
              <w:bottom w:val="single" w:color="000000" w:sz="4" w:space="0"/>
              <w:right w:val="single" w:color="000000" w:sz="4" w:space="0"/>
            </w:tcBorders>
            <w:noWrap/>
            <w:tcMar>
              <w:top w:w="0" w:type="dxa"/>
              <w:left w:w="105" w:type="dxa"/>
              <w:bottom w:w="0" w:type="dxa"/>
              <w:right w:w="105" w:type="dxa"/>
            </w:tcMar>
          </w:tcPr>
          <w:p w14:paraId="1062E08A">
            <w:pPr>
              <w:snapToGrid w:val="0"/>
              <w:spacing w:line="400" w:lineRule="exact"/>
              <w:rPr>
                <w:rFonts w:ascii="仿宋" w:hAnsi="仿宋" w:eastAsia="仿宋"/>
                <w:color w:val="auto"/>
                <w:sz w:val="24"/>
              </w:rPr>
            </w:pPr>
            <w:r>
              <w:rPr>
                <w:rFonts w:hint="eastAsia" w:ascii="仿宋" w:hAnsi="仿宋" w:eastAsia="仿宋"/>
                <w:color w:val="auto"/>
                <w:sz w:val="24"/>
              </w:rPr>
              <w:t>广西壮族自治区河池市金城江区中山路70号</w:t>
            </w:r>
          </w:p>
        </w:tc>
      </w:tr>
      <w:tr w14:paraId="42680D85">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2892" w:type="dxa"/>
            <w:tcBorders>
              <w:top w:val="nil"/>
              <w:left w:val="single" w:color="000000" w:sz="4" w:space="0"/>
              <w:bottom w:val="single" w:color="000000" w:sz="4" w:space="0"/>
              <w:right w:val="single" w:color="000000" w:sz="4" w:space="0"/>
            </w:tcBorders>
            <w:noWrap/>
            <w:tcMar>
              <w:top w:w="0" w:type="dxa"/>
              <w:left w:w="105" w:type="dxa"/>
              <w:bottom w:w="0" w:type="dxa"/>
              <w:right w:w="105" w:type="dxa"/>
            </w:tcMar>
          </w:tcPr>
          <w:p w14:paraId="1E1F2AC0">
            <w:pPr>
              <w:snapToGrid w:val="0"/>
              <w:spacing w:line="400" w:lineRule="exact"/>
              <w:jc w:val="center"/>
              <w:rPr>
                <w:rFonts w:ascii="仿宋" w:hAnsi="仿宋" w:eastAsia="仿宋"/>
                <w:color w:val="auto"/>
                <w:sz w:val="24"/>
              </w:rPr>
            </w:pPr>
            <w:r>
              <w:rPr>
                <w:rFonts w:hint="eastAsia" w:ascii="仿宋" w:hAnsi="仿宋" w:eastAsia="仿宋"/>
                <w:color w:val="auto"/>
                <w:sz w:val="24"/>
              </w:rPr>
              <w:t>电话</w:t>
            </w:r>
          </w:p>
        </w:tc>
        <w:tc>
          <w:tcPr>
            <w:tcW w:w="6068" w:type="dxa"/>
            <w:tcBorders>
              <w:top w:val="nil"/>
              <w:left w:val="nil"/>
              <w:bottom w:val="single" w:color="000000" w:sz="4" w:space="0"/>
              <w:right w:val="single" w:color="000000" w:sz="4" w:space="0"/>
            </w:tcBorders>
            <w:noWrap/>
            <w:tcMar>
              <w:top w:w="0" w:type="dxa"/>
              <w:left w:w="105" w:type="dxa"/>
              <w:bottom w:w="0" w:type="dxa"/>
              <w:right w:w="105" w:type="dxa"/>
            </w:tcMar>
          </w:tcPr>
          <w:p w14:paraId="4F3FF7B4">
            <w:pPr>
              <w:snapToGrid w:val="0"/>
              <w:spacing w:line="400" w:lineRule="exact"/>
              <w:rPr>
                <w:rFonts w:ascii="仿宋" w:hAnsi="仿宋" w:eastAsia="仿宋"/>
                <w:color w:val="auto"/>
                <w:sz w:val="24"/>
              </w:rPr>
            </w:pPr>
            <w:r>
              <w:rPr>
                <w:rFonts w:hint="eastAsia" w:ascii="仿宋" w:hAnsi="仿宋" w:eastAsia="仿宋"/>
                <w:color w:val="auto"/>
                <w:sz w:val="24"/>
              </w:rPr>
              <w:t>0778-2560217</w:t>
            </w:r>
          </w:p>
        </w:tc>
      </w:tr>
      <w:tr w14:paraId="1A7E733C">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2892" w:type="dxa"/>
            <w:tcBorders>
              <w:top w:val="nil"/>
              <w:left w:val="single" w:color="000000" w:sz="4" w:space="0"/>
              <w:bottom w:val="single" w:color="000000" w:sz="4" w:space="0"/>
              <w:right w:val="single" w:color="000000" w:sz="4" w:space="0"/>
            </w:tcBorders>
            <w:noWrap/>
            <w:tcMar>
              <w:top w:w="0" w:type="dxa"/>
              <w:left w:w="105" w:type="dxa"/>
              <w:bottom w:w="0" w:type="dxa"/>
              <w:right w:w="105" w:type="dxa"/>
            </w:tcMar>
          </w:tcPr>
          <w:p w14:paraId="1674E917">
            <w:pPr>
              <w:snapToGrid w:val="0"/>
              <w:spacing w:line="400" w:lineRule="exact"/>
              <w:jc w:val="center"/>
              <w:rPr>
                <w:rFonts w:ascii="仿宋" w:hAnsi="仿宋" w:eastAsia="仿宋"/>
                <w:color w:val="auto"/>
                <w:sz w:val="24"/>
              </w:rPr>
            </w:pPr>
            <w:r>
              <w:rPr>
                <w:rFonts w:hint="eastAsia" w:ascii="仿宋" w:hAnsi="仿宋" w:eastAsia="仿宋"/>
                <w:color w:val="auto"/>
                <w:sz w:val="24"/>
              </w:rPr>
              <w:t>开户行</w:t>
            </w:r>
          </w:p>
        </w:tc>
        <w:tc>
          <w:tcPr>
            <w:tcW w:w="6068" w:type="dxa"/>
            <w:tcBorders>
              <w:top w:val="nil"/>
              <w:left w:val="nil"/>
              <w:bottom w:val="single" w:color="000000" w:sz="4" w:space="0"/>
              <w:right w:val="single" w:color="000000" w:sz="4" w:space="0"/>
            </w:tcBorders>
            <w:noWrap/>
            <w:tcMar>
              <w:top w:w="0" w:type="dxa"/>
              <w:left w:w="105" w:type="dxa"/>
              <w:bottom w:w="0" w:type="dxa"/>
              <w:right w:w="105" w:type="dxa"/>
            </w:tcMar>
          </w:tcPr>
          <w:p w14:paraId="301BD111">
            <w:pPr>
              <w:snapToGrid w:val="0"/>
              <w:spacing w:line="400" w:lineRule="exact"/>
              <w:rPr>
                <w:rFonts w:ascii="仿宋" w:hAnsi="仿宋" w:eastAsia="仿宋"/>
                <w:color w:val="auto"/>
                <w:sz w:val="24"/>
              </w:rPr>
            </w:pPr>
            <w:r>
              <w:rPr>
                <w:rFonts w:hint="eastAsia" w:ascii="仿宋" w:hAnsi="仿宋" w:eastAsia="仿宋"/>
                <w:color w:val="auto"/>
                <w:sz w:val="24"/>
              </w:rPr>
              <w:t xml:space="preserve">中国建设银行股份有限公司河池分行城东支行 </w:t>
            </w:r>
          </w:p>
        </w:tc>
      </w:tr>
      <w:tr w14:paraId="2AF440DE">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2892" w:type="dxa"/>
            <w:tcBorders>
              <w:top w:val="nil"/>
              <w:left w:val="single" w:color="000000" w:sz="4" w:space="0"/>
              <w:bottom w:val="single" w:color="000000" w:sz="4" w:space="0"/>
              <w:right w:val="single" w:color="000000" w:sz="4" w:space="0"/>
            </w:tcBorders>
            <w:noWrap/>
            <w:tcMar>
              <w:top w:w="0" w:type="dxa"/>
              <w:left w:w="105" w:type="dxa"/>
              <w:bottom w:w="0" w:type="dxa"/>
              <w:right w:w="105" w:type="dxa"/>
            </w:tcMar>
          </w:tcPr>
          <w:p w14:paraId="4ED48CEE">
            <w:pPr>
              <w:snapToGrid w:val="0"/>
              <w:spacing w:line="400" w:lineRule="exact"/>
              <w:jc w:val="center"/>
              <w:rPr>
                <w:rFonts w:ascii="仿宋" w:hAnsi="仿宋" w:eastAsia="仿宋"/>
                <w:color w:val="auto"/>
                <w:sz w:val="24"/>
              </w:rPr>
            </w:pPr>
            <w:r>
              <w:rPr>
                <w:rFonts w:hint="eastAsia" w:ascii="仿宋" w:hAnsi="仿宋" w:eastAsia="仿宋"/>
                <w:color w:val="auto"/>
                <w:sz w:val="24"/>
              </w:rPr>
              <w:t>账号</w:t>
            </w:r>
          </w:p>
        </w:tc>
        <w:tc>
          <w:tcPr>
            <w:tcW w:w="6068" w:type="dxa"/>
            <w:tcBorders>
              <w:top w:val="nil"/>
              <w:left w:val="nil"/>
              <w:bottom w:val="single" w:color="000000" w:sz="4" w:space="0"/>
              <w:right w:val="single" w:color="000000" w:sz="4" w:space="0"/>
            </w:tcBorders>
            <w:noWrap/>
            <w:tcMar>
              <w:top w:w="0" w:type="dxa"/>
              <w:left w:w="105" w:type="dxa"/>
              <w:bottom w:w="0" w:type="dxa"/>
              <w:right w:w="105" w:type="dxa"/>
            </w:tcMar>
          </w:tcPr>
          <w:p w14:paraId="64E9EAB5">
            <w:pPr>
              <w:snapToGrid w:val="0"/>
              <w:spacing w:line="400" w:lineRule="exact"/>
              <w:rPr>
                <w:rFonts w:ascii="仿宋" w:hAnsi="仿宋" w:eastAsia="仿宋"/>
                <w:color w:val="auto"/>
                <w:sz w:val="24"/>
              </w:rPr>
            </w:pPr>
            <w:r>
              <w:rPr>
                <w:rFonts w:hint="eastAsia" w:ascii="仿宋" w:hAnsi="仿宋" w:eastAsia="仿宋"/>
                <w:color w:val="auto"/>
                <w:sz w:val="24"/>
              </w:rPr>
              <w:t>4500  1690  9900  5966  6666</w:t>
            </w:r>
          </w:p>
        </w:tc>
      </w:tr>
    </w:tbl>
    <w:p w14:paraId="26FF5800">
      <w:pPr>
        <w:numPr>
          <w:ilvl w:val="1"/>
          <w:numId w:val="0"/>
        </w:numPr>
        <w:snapToGrid w:val="0"/>
        <w:spacing w:line="400" w:lineRule="exact"/>
        <w:ind w:left="0" w:leftChars="0" w:firstLine="420" w:firstLineChars="0"/>
        <w:rPr>
          <w:rFonts w:ascii="仿宋" w:hAnsi="仿宋" w:eastAsia="仿宋"/>
          <w:sz w:val="24"/>
        </w:rPr>
      </w:pPr>
      <w:r>
        <w:rPr>
          <w:rFonts w:hint="eastAsia" w:ascii="仿宋" w:hAnsi="仿宋" w:eastAsia="仿宋" w:cs="Times New Roman"/>
          <w:kern w:val="2"/>
          <w:sz w:val="24"/>
          <w:szCs w:val="24"/>
          <w:lang w:val="en-US" w:eastAsia="zh-CN" w:bidi="ar-SA"/>
        </w:rPr>
        <w:t>8.4</w:t>
      </w:r>
      <w:r>
        <w:rPr>
          <w:rFonts w:hint="eastAsia" w:ascii="仿宋" w:hAnsi="仿宋" w:eastAsia="仿宋"/>
          <w:sz w:val="24"/>
        </w:rPr>
        <w:t>乙方收款账户</w:t>
      </w:r>
    </w:p>
    <w:tbl>
      <w:tblPr>
        <w:tblStyle w:val="51"/>
        <w:tblW w:w="0" w:type="auto"/>
        <w:tblInd w:w="675"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2523"/>
        <w:gridCol w:w="5318"/>
      </w:tblGrid>
      <w:tr w14:paraId="30383FA5">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2862" w:type="dxa"/>
            <w:tcBorders>
              <w:top w:val="single" w:color="000000" w:sz="4" w:space="0"/>
              <w:left w:val="single" w:color="000000" w:sz="4" w:space="0"/>
              <w:bottom w:val="single" w:color="000000" w:sz="4" w:space="0"/>
              <w:right w:val="single" w:color="000000" w:sz="4" w:space="0"/>
            </w:tcBorders>
            <w:noWrap/>
            <w:tcMar>
              <w:top w:w="0" w:type="dxa"/>
              <w:left w:w="105" w:type="dxa"/>
              <w:bottom w:w="0" w:type="dxa"/>
              <w:right w:w="105" w:type="dxa"/>
            </w:tcMar>
          </w:tcPr>
          <w:p w14:paraId="25D91C05">
            <w:pPr>
              <w:pStyle w:val="215"/>
              <w:ind w:firstLine="480" w:firstLineChars="200"/>
              <w:jc w:val="both"/>
              <w:rPr>
                <w:rFonts w:hint="default" w:ascii="仿宋" w:hAnsi="仿宋" w:eastAsia="仿宋"/>
                <w:kern w:val="2"/>
                <w:sz w:val="24"/>
                <w:szCs w:val="24"/>
                <w:lang w:eastAsia="zh-CN"/>
              </w:rPr>
            </w:pPr>
            <w:r>
              <w:rPr>
                <w:rFonts w:ascii="仿宋" w:hAnsi="仿宋" w:eastAsia="仿宋"/>
                <w:kern w:val="2"/>
                <w:sz w:val="24"/>
                <w:szCs w:val="24"/>
                <w:lang w:eastAsia="zh-CN"/>
              </w:rPr>
              <w:t>户名</w:t>
            </w:r>
          </w:p>
        </w:tc>
        <w:tc>
          <w:tcPr>
            <w:tcW w:w="6068" w:type="dxa"/>
            <w:tcBorders>
              <w:top w:val="single" w:color="000000" w:sz="4" w:space="0"/>
              <w:left w:val="single" w:color="000000" w:sz="4" w:space="0"/>
              <w:bottom w:val="single" w:color="000000" w:sz="4" w:space="0"/>
              <w:right w:val="single" w:color="000000" w:sz="4" w:space="0"/>
            </w:tcBorders>
            <w:noWrap/>
            <w:tcMar>
              <w:top w:w="0" w:type="dxa"/>
              <w:left w:w="105" w:type="dxa"/>
              <w:bottom w:w="0" w:type="dxa"/>
              <w:right w:w="105" w:type="dxa"/>
            </w:tcMar>
          </w:tcPr>
          <w:p w14:paraId="571EDD47">
            <w:pPr>
              <w:pStyle w:val="215"/>
              <w:ind w:firstLine="480" w:firstLineChars="200"/>
              <w:jc w:val="both"/>
              <w:rPr>
                <w:rFonts w:hint="default" w:ascii="仿宋" w:hAnsi="仿宋" w:eastAsia="仿宋"/>
                <w:kern w:val="2"/>
                <w:sz w:val="24"/>
                <w:szCs w:val="24"/>
                <w:lang w:eastAsia="zh-CN"/>
              </w:rPr>
            </w:pPr>
          </w:p>
        </w:tc>
      </w:tr>
      <w:tr w14:paraId="62C60F47">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2862" w:type="dxa"/>
            <w:tcBorders>
              <w:top w:val="nil"/>
              <w:left w:val="single" w:color="000000" w:sz="4" w:space="0"/>
              <w:bottom w:val="single" w:color="000000" w:sz="4" w:space="0"/>
              <w:right w:val="single" w:color="000000" w:sz="4" w:space="0"/>
            </w:tcBorders>
            <w:noWrap/>
            <w:tcMar>
              <w:top w:w="0" w:type="dxa"/>
              <w:left w:w="105" w:type="dxa"/>
              <w:bottom w:w="0" w:type="dxa"/>
              <w:right w:w="105" w:type="dxa"/>
            </w:tcMar>
          </w:tcPr>
          <w:p w14:paraId="62BD5740">
            <w:pPr>
              <w:pStyle w:val="215"/>
              <w:ind w:firstLine="480" w:firstLineChars="200"/>
              <w:jc w:val="both"/>
              <w:rPr>
                <w:rFonts w:hint="default" w:ascii="仿宋" w:hAnsi="仿宋" w:eastAsia="仿宋"/>
                <w:kern w:val="2"/>
                <w:sz w:val="24"/>
                <w:szCs w:val="24"/>
                <w:lang w:eastAsia="zh-CN"/>
              </w:rPr>
            </w:pPr>
            <w:r>
              <w:rPr>
                <w:rFonts w:ascii="仿宋" w:hAnsi="仿宋" w:eastAsia="仿宋"/>
                <w:kern w:val="2"/>
                <w:sz w:val="24"/>
                <w:szCs w:val="24"/>
                <w:lang w:eastAsia="zh-CN"/>
              </w:rPr>
              <w:t>开户银行</w:t>
            </w:r>
          </w:p>
        </w:tc>
        <w:tc>
          <w:tcPr>
            <w:tcW w:w="6068" w:type="dxa"/>
            <w:tcBorders>
              <w:top w:val="nil"/>
              <w:left w:val="single" w:color="000000" w:sz="4" w:space="0"/>
              <w:bottom w:val="single" w:color="000000" w:sz="4" w:space="0"/>
              <w:right w:val="single" w:color="000000" w:sz="4" w:space="0"/>
            </w:tcBorders>
            <w:noWrap/>
            <w:tcMar>
              <w:top w:w="0" w:type="dxa"/>
              <w:left w:w="105" w:type="dxa"/>
              <w:bottom w:w="0" w:type="dxa"/>
              <w:right w:w="105" w:type="dxa"/>
            </w:tcMar>
          </w:tcPr>
          <w:p w14:paraId="5FB9666B">
            <w:pPr>
              <w:pStyle w:val="215"/>
              <w:ind w:firstLine="480" w:firstLineChars="200"/>
              <w:jc w:val="both"/>
              <w:rPr>
                <w:rFonts w:hint="default" w:ascii="仿宋" w:hAnsi="仿宋" w:eastAsia="仿宋"/>
                <w:kern w:val="2"/>
                <w:sz w:val="24"/>
                <w:szCs w:val="24"/>
                <w:lang w:eastAsia="zh-CN"/>
              </w:rPr>
            </w:pPr>
          </w:p>
        </w:tc>
      </w:tr>
      <w:tr w14:paraId="047198EC">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2862" w:type="dxa"/>
            <w:tcBorders>
              <w:top w:val="nil"/>
              <w:left w:val="single" w:color="000000" w:sz="4" w:space="0"/>
              <w:bottom w:val="single" w:color="000000" w:sz="4" w:space="0"/>
              <w:right w:val="single" w:color="000000" w:sz="4" w:space="0"/>
            </w:tcBorders>
            <w:noWrap/>
            <w:tcMar>
              <w:top w:w="0" w:type="dxa"/>
              <w:left w:w="105" w:type="dxa"/>
              <w:bottom w:w="0" w:type="dxa"/>
              <w:right w:w="105" w:type="dxa"/>
            </w:tcMar>
          </w:tcPr>
          <w:p w14:paraId="75A8099A">
            <w:pPr>
              <w:pStyle w:val="215"/>
              <w:ind w:firstLine="480" w:firstLineChars="200"/>
              <w:jc w:val="both"/>
              <w:rPr>
                <w:rFonts w:hint="default" w:ascii="仿宋" w:hAnsi="仿宋" w:eastAsia="仿宋"/>
                <w:kern w:val="2"/>
                <w:sz w:val="24"/>
                <w:szCs w:val="24"/>
                <w:lang w:eastAsia="zh-CN"/>
              </w:rPr>
            </w:pPr>
            <w:r>
              <w:rPr>
                <w:rFonts w:ascii="仿宋" w:hAnsi="仿宋" w:eastAsia="仿宋"/>
                <w:kern w:val="2"/>
                <w:sz w:val="24"/>
                <w:szCs w:val="24"/>
                <w:lang w:eastAsia="zh-CN"/>
              </w:rPr>
              <w:t>帐号</w:t>
            </w:r>
          </w:p>
        </w:tc>
        <w:tc>
          <w:tcPr>
            <w:tcW w:w="6068" w:type="dxa"/>
            <w:tcBorders>
              <w:top w:val="nil"/>
              <w:left w:val="single" w:color="000000" w:sz="4" w:space="0"/>
              <w:bottom w:val="single" w:color="000000" w:sz="4" w:space="0"/>
              <w:right w:val="single" w:color="000000" w:sz="4" w:space="0"/>
            </w:tcBorders>
            <w:noWrap/>
            <w:tcMar>
              <w:top w:w="0" w:type="dxa"/>
              <w:left w:w="105" w:type="dxa"/>
              <w:bottom w:w="0" w:type="dxa"/>
              <w:right w:w="105" w:type="dxa"/>
            </w:tcMar>
          </w:tcPr>
          <w:p w14:paraId="28034184">
            <w:pPr>
              <w:pStyle w:val="215"/>
              <w:ind w:firstLine="480" w:firstLineChars="200"/>
              <w:jc w:val="both"/>
              <w:rPr>
                <w:rFonts w:hint="default" w:ascii="仿宋" w:hAnsi="仿宋" w:eastAsia="仿宋"/>
                <w:kern w:val="2"/>
                <w:sz w:val="24"/>
                <w:szCs w:val="24"/>
                <w:lang w:eastAsia="zh-CN"/>
              </w:rPr>
            </w:pPr>
          </w:p>
        </w:tc>
      </w:tr>
      <w:tr w14:paraId="2478C324">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2862" w:type="dxa"/>
            <w:tcBorders>
              <w:top w:val="nil"/>
              <w:left w:val="single" w:color="000000" w:sz="4" w:space="0"/>
              <w:bottom w:val="single" w:color="000000" w:sz="4" w:space="0"/>
              <w:right w:val="single" w:color="000000" w:sz="4" w:space="0"/>
            </w:tcBorders>
            <w:noWrap/>
            <w:tcMar>
              <w:top w:w="0" w:type="dxa"/>
              <w:left w:w="105" w:type="dxa"/>
              <w:bottom w:w="0" w:type="dxa"/>
              <w:right w:w="105" w:type="dxa"/>
            </w:tcMar>
          </w:tcPr>
          <w:p w14:paraId="449E666F">
            <w:pPr>
              <w:pStyle w:val="215"/>
              <w:ind w:firstLine="480" w:firstLineChars="200"/>
              <w:jc w:val="both"/>
              <w:rPr>
                <w:rFonts w:hint="default" w:ascii="仿宋" w:hAnsi="仿宋" w:eastAsia="仿宋"/>
                <w:kern w:val="2"/>
                <w:sz w:val="24"/>
                <w:szCs w:val="24"/>
                <w:lang w:eastAsia="zh-CN"/>
              </w:rPr>
            </w:pPr>
            <w:r>
              <w:rPr>
                <w:rFonts w:ascii="仿宋" w:hAnsi="仿宋" w:eastAsia="仿宋"/>
                <w:kern w:val="2"/>
                <w:sz w:val="24"/>
                <w:szCs w:val="24"/>
                <w:lang w:eastAsia="zh-CN"/>
              </w:rPr>
              <w:t>纳税人识别号</w:t>
            </w:r>
          </w:p>
        </w:tc>
        <w:tc>
          <w:tcPr>
            <w:tcW w:w="6068" w:type="dxa"/>
            <w:tcBorders>
              <w:top w:val="nil"/>
              <w:left w:val="single" w:color="000000" w:sz="4" w:space="0"/>
              <w:bottom w:val="single" w:color="000000" w:sz="4" w:space="0"/>
              <w:right w:val="single" w:color="000000" w:sz="4" w:space="0"/>
            </w:tcBorders>
            <w:noWrap/>
            <w:tcMar>
              <w:top w:w="0" w:type="dxa"/>
              <w:left w:w="105" w:type="dxa"/>
              <w:bottom w:w="0" w:type="dxa"/>
              <w:right w:w="105" w:type="dxa"/>
            </w:tcMar>
          </w:tcPr>
          <w:p w14:paraId="796F4784">
            <w:pPr>
              <w:pStyle w:val="215"/>
              <w:ind w:firstLine="480" w:firstLineChars="200"/>
              <w:jc w:val="both"/>
              <w:rPr>
                <w:rFonts w:hint="default" w:ascii="仿宋" w:hAnsi="仿宋" w:eastAsia="仿宋"/>
                <w:kern w:val="2"/>
                <w:sz w:val="24"/>
                <w:szCs w:val="24"/>
                <w:lang w:eastAsia="zh-CN"/>
              </w:rPr>
            </w:pPr>
          </w:p>
        </w:tc>
      </w:tr>
    </w:tbl>
    <w:p w14:paraId="0D87E887">
      <w:pPr>
        <w:numPr>
          <w:ilvl w:val="0"/>
          <w:numId w:val="0"/>
        </w:numPr>
        <w:tabs>
          <w:tab w:val="left" w:pos="420"/>
        </w:tabs>
        <w:snapToGrid w:val="0"/>
        <w:spacing w:line="400" w:lineRule="exact"/>
        <w:ind w:left="845" w:leftChars="0" w:hanging="425" w:firstLineChars="0"/>
        <w:rPr>
          <w:rFonts w:ascii="仿宋" w:hAnsi="仿宋" w:eastAsia="仿宋"/>
          <w:b/>
          <w:sz w:val="24"/>
          <w:highlight w:val="yellow"/>
        </w:rPr>
      </w:pPr>
      <w:r>
        <w:rPr>
          <w:rFonts w:hint="eastAsia" w:ascii="仿宋" w:hAnsi="仿宋" w:eastAsia="仿宋" w:cs="Times New Roman"/>
          <w:b/>
          <w:kern w:val="2"/>
          <w:sz w:val="24"/>
          <w:szCs w:val="24"/>
          <w:lang w:val="en-US" w:eastAsia="zh-CN" w:bidi="ar-SA"/>
        </w:rPr>
        <w:t xml:space="preserve">第九条 </w:t>
      </w:r>
      <w:r>
        <w:rPr>
          <w:rFonts w:hint="eastAsia" w:ascii="仿宋" w:hAnsi="仿宋" w:eastAsia="仿宋"/>
          <w:b/>
          <w:color w:val="auto"/>
          <w:sz w:val="24"/>
          <w:highlight w:val="none"/>
        </w:rPr>
        <w:t>售后服务</w:t>
      </w:r>
    </w:p>
    <w:p w14:paraId="36F594E3">
      <w:pPr>
        <w:numPr>
          <w:ilvl w:val="1"/>
          <w:numId w:val="0"/>
        </w:numPr>
        <w:snapToGrid w:val="0"/>
        <w:spacing w:line="400" w:lineRule="exact"/>
        <w:ind w:left="0" w:leftChars="0" w:firstLine="420" w:firstLineChars="0"/>
        <w:rPr>
          <w:rFonts w:ascii="仿宋" w:hAnsi="仿宋" w:eastAsia="仿宋"/>
          <w:sz w:val="24"/>
        </w:rPr>
      </w:pPr>
      <w:r>
        <w:rPr>
          <w:rFonts w:hint="eastAsia" w:ascii="仿宋" w:hAnsi="仿宋" w:eastAsia="仿宋" w:cs="Times New Roman"/>
          <w:kern w:val="2"/>
          <w:sz w:val="24"/>
          <w:szCs w:val="24"/>
          <w:lang w:val="en-US" w:eastAsia="zh-CN" w:bidi="ar-SA"/>
        </w:rPr>
        <w:t>9.1</w:t>
      </w:r>
      <w:r>
        <w:rPr>
          <w:rFonts w:hint="eastAsia" w:ascii="仿宋" w:hAnsi="仿宋" w:eastAsia="仿宋"/>
          <w:sz w:val="24"/>
        </w:rPr>
        <w:t>乙方应按照国家有关法律法规和“三包”规定以及招投标文件（采购文件）和本合同所附的《服务承诺》（如有），为甲方提供售后服务。</w:t>
      </w:r>
    </w:p>
    <w:p w14:paraId="7996724F">
      <w:pPr>
        <w:numPr>
          <w:ilvl w:val="1"/>
          <w:numId w:val="0"/>
        </w:numPr>
        <w:snapToGrid w:val="0"/>
        <w:spacing w:line="400" w:lineRule="exact"/>
        <w:ind w:left="0" w:leftChars="0" w:firstLine="420" w:firstLineChars="0"/>
        <w:rPr>
          <w:rFonts w:ascii="仿宋" w:hAnsi="仿宋" w:eastAsia="仿宋"/>
          <w:sz w:val="24"/>
        </w:rPr>
      </w:pPr>
      <w:r>
        <w:rPr>
          <w:rFonts w:hint="eastAsia" w:ascii="仿宋" w:hAnsi="仿宋" w:eastAsia="仿宋" w:cs="Times New Roman"/>
          <w:kern w:val="2"/>
          <w:sz w:val="24"/>
          <w:szCs w:val="24"/>
          <w:lang w:val="en-US" w:eastAsia="zh-CN" w:bidi="ar-SA"/>
        </w:rPr>
        <w:t>9.2</w:t>
      </w:r>
      <w:r>
        <w:rPr>
          <w:rFonts w:hint="eastAsia" w:ascii="仿宋" w:hAnsi="仿宋" w:eastAsia="仿宋"/>
          <w:sz w:val="24"/>
        </w:rPr>
        <w:t>货物质保期：按乙方投标文件（响应文件）中承诺的不少于招标要求的</w:t>
      </w:r>
      <w:r>
        <w:rPr>
          <w:rFonts w:hint="eastAsia" w:ascii="仿宋" w:hAnsi="仿宋" w:eastAsia="仿宋"/>
          <w:sz w:val="24"/>
          <w:lang w:val="en-US" w:eastAsia="zh-CN"/>
        </w:rPr>
        <w:t>免费</w:t>
      </w:r>
      <w:r>
        <w:rPr>
          <w:rFonts w:hint="eastAsia" w:ascii="仿宋" w:hAnsi="仿宋" w:eastAsia="仿宋"/>
          <w:sz w:val="24"/>
        </w:rPr>
        <w:t>保修期限。</w:t>
      </w:r>
    </w:p>
    <w:p w14:paraId="31C26B84">
      <w:pPr>
        <w:numPr>
          <w:ilvl w:val="1"/>
          <w:numId w:val="0"/>
        </w:numPr>
        <w:snapToGrid w:val="0"/>
        <w:spacing w:line="400" w:lineRule="exact"/>
        <w:ind w:left="0" w:leftChars="0" w:firstLine="420" w:firstLineChars="0"/>
        <w:rPr>
          <w:rFonts w:ascii="仿宋" w:hAnsi="仿宋" w:eastAsia="仿宋"/>
          <w:sz w:val="24"/>
        </w:rPr>
      </w:pPr>
      <w:r>
        <w:rPr>
          <w:rFonts w:hint="eastAsia" w:ascii="仿宋" w:hAnsi="仿宋" w:eastAsia="仿宋" w:cs="Times New Roman"/>
          <w:kern w:val="2"/>
          <w:sz w:val="24"/>
          <w:szCs w:val="24"/>
          <w:lang w:val="en-US" w:eastAsia="zh-CN" w:bidi="ar-SA"/>
        </w:rPr>
        <w:t>9.3</w:t>
      </w:r>
      <w:r>
        <w:rPr>
          <w:rFonts w:hint="eastAsia" w:ascii="仿宋" w:hAnsi="仿宋" w:eastAsia="仿宋"/>
          <w:sz w:val="24"/>
        </w:rPr>
        <w:t>货物免费保修期为自验收合格之日起年，保修期内非因甲方的人为原因而出现产品质量及安全问题，由乙方负责处理解决并承担因此而产生的一切费用。超过保修期的机器设备，终生维修，维修时只收部件成本费，成本费不能超过市场价格。</w:t>
      </w:r>
    </w:p>
    <w:p w14:paraId="0367CEFE">
      <w:pPr>
        <w:numPr>
          <w:ilvl w:val="1"/>
          <w:numId w:val="0"/>
        </w:numPr>
        <w:snapToGrid w:val="0"/>
        <w:spacing w:line="400" w:lineRule="exact"/>
        <w:ind w:left="0" w:leftChars="0" w:firstLine="420" w:firstLineChars="0"/>
        <w:rPr>
          <w:rFonts w:ascii="仿宋" w:hAnsi="仿宋" w:eastAsia="仿宋"/>
          <w:color w:val="auto"/>
          <w:sz w:val="24"/>
        </w:rPr>
      </w:pPr>
      <w:r>
        <w:rPr>
          <w:rFonts w:hint="eastAsia" w:ascii="仿宋" w:hAnsi="仿宋" w:eastAsia="仿宋" w:cs="Times New Roman"/>
          <w:color w:val="auto"/>
          <w:kern w:val="2"/>
          <w:sz w:val="24"/>
          <w:szCs w:val="24"/>
          <w:lang w:val="en-US" w:eastAsia="zh-CN" w:bidi="ar-SA"/>
        </w:rPr>
        <w:t>9.4</w:t>
      </w:r>
      <w:r>
        <w:rPr>
          <w:rFonts w:hint="eastAsia" w:ascii="仿宋" w:hAnsi="仿宋" w:eastAsia="仿宋"/>
          <w:color w:val="auto"/>
          <w:sz w:val="24"/>
        </w:rPr>
        <w:t>乙方应在收到甲方报修通知后</w:t>
      </w:r>
      <w:r>
        <w:rPr>
          <w:rFonts w:hint="eastAsia" w:ascii="仿宋" w:hAnsi="仿宋" w:eastAsia="仿宋"/>
          <w:color w:val="auto"/>
          <w:sz w:val="24"/>
          <w:u w:val="single"/>
          <w:lang w:val="en-US" w:eastAsia="zh-CN"/>
        </w:rPr>
        <w:t xml:space="preserve">   </w:t>
      </w:r>
      <w:r>
        <w:rPr>
          <w:rFonts w:hint="eastAsia" w:ascii="仿宋" w:hAnsi="仿宋" w:eastAsia="仿宋"/>
          <w:color w:val="auto"/>
          <w:sz w:val="24"/>
        </w:rPr>
        <w:t>小时内派人员到现场维修，</w:t>
      </w:r>
      <w:r>
        <w:rPr>
          <w:rFonts w:hint="eastAsia" w:ascii="仿宋" w:hAnsi="仿宋" w:eastAsia="仿宋"/>
          <w:color w:val="auto"/>
          <w:sz w:val="24"/>
          <w:u w:val="single"/>
        </w:rPr>
        <w:t xml:space="preserve"> </w:t>
      </w:r>
      <w:r>
        <w:rPr>
          <w:rFonts w:hint="eastAsia" w:ascii="仿宋" w:hAnsi="仿宋" w:eastAsia="仿宋"/>
          <w:color w:val="auto"/>
          <w:sz w:val="24"/>
          <w:u w:val="single"/>
          <w:lang w:val="en-US" w:eastAsia="zh-CN"/>
        </w:rPr>
        <w:t xml:space="preserve">  </w:t>
      </w:r>
      <w:r>
        <w:rPr>
          <w:rFonts w:hint="eastAsia" w:ascii="仿宋" w:hAnsi="仿宋" w:eastAsia="仿宋"/>
          <w:color w:val="auto"/>
          <w:sz w:val="24"/>
          <w:u w:val="single"/>
        </w:rPr>
        <w:t xml:space="preserve"> </w:t>
      </w:r>
      <w:r>
        <w:rPr>
          <w:rFonts w:hint="eastAsia" w:ascii="仿宋" w:hAnsi="仿宋" w:eastAsia="仿宋"/>
          <w:color w:val="auto"/>
          <w:sz w:val="24"/>
        </w:rPr>
        <w:t>小时内无法修复提供备用机，否则每耽误</w:t>
      </w:r>
      <w:r>
        <w:rPr>
          <w:rFonts w:hint="eastAsia" w:ascii="仿宋" w:hAnsi="仿宋" w:eastAsia="仿宋"/>
          <w:color w:val="auto"/>
          <w:sz w:val="24"/>
          <w:u w:val="single"/>
        </w:rPr>
        <w:t xml:space="preserve"> </w:t>
      </w:r>
      <w:r>
        <w:rPr>
          <w:rFonts w:hint="eastAsia" w:ascii="仿宋" w:hAnsi="仿宋" w:eastAsia="仿宋"/>
          <w:color w:val="auto"/>
          <w:sz w:val="24"/>
          <w:u w:val="single"/>
          <w:lang w:val="en-US" w:eastAsia="zh-CN"/>
        </w:rPr>
        <w:t xml:space="preserve">  </w:t>
      </w:r>
      <w:r>
        <w:rPr>
          <w:rFonts w:hint="eastAsia" w:ascii="仿宋" w:hAnsi="仿宋" w:eastAsia="仿宋"/>
          <w:color w:val="auto"/>
          <w:sz w:val="24"/>
          <w:u w:val="single"/>
        </w:rPr>
        <w:t xml:space="preserve"> </w:t>
      </w:r>
      <w:r>
        <w:rPr>
          <w:rFonts w:hint="eastAsia" w:ascii="仿宋" w:hAnsi="仿宋" w:eastAsia="仿宋"/>
          <w:color w:val="auto"/>
          <w:sz w:val="24"/>
        </w:rPr>
        <w:t>天，保修期顺延</w:t>
      </w:r>
      <w:r>
        <w:rPr>
          <w:rFonts w:hint="eastAsia" w:ascii="仿宋" w:hAnsi="仿宋" w:eastAsia="仿宋"/>
          <w:color w:val="auto"/>
          <w:sz w:val="24"/>
          <w:u w:val="single"/>
        </w:rPr>
        <w:t xml:space="preserve"> </w:t>
      </w:r>
      <w:r>
        <w:rPr>
          <w:rFonts w:hint="eastAsia" w:ascii="仿宋" w:hAnsi="仿宋" w:eastAsia="仿宋"/>
          <w:color w:val="auto"/>
          <w:sz w:val="24"/>
          <w:u w:val="single"/>
          <w:lang w:val="en-US" w:eastAsia="zh-CN"/>
        </w:rPr>
        <w:t xml:space="preserve">  </w:t>
      </w:r>
      <w:r>
        <w:rPr>
          <w:rFonts w:hint="eastAsia" w:ascii="仿宋" w:hAnsi="仿宋" w:eastAsia="仿宋"/>
          <w:color w:val="auto"/>
          <w:sz w:val="24"/>
          <w:u w:val="single"/>
        </w:rPr>
        <w:t xml:space="preserve"> </w:t>
      </w:r>
      <w:r>
        <w:rPr>
          <w:rFonts w:hint="eastAsia" w:ascii="仿宋" w:hAnsi="仿宋" w:eastAsia="仿宋"/>
          <w:color w:val="auto"/>
          <w:sz w:val="24"/>
        </w:rPr>
        <w:t>天。</w:t>
      </w:r>
    </w:p>
    <w:p w14:paraId="342A0037">
      <w:pPr>
        <w:numPr>
          <w:ilvl w:val="1"/>
          <w:numId w:val="0"/>
        </w:numPr>
        <w:snapToGrid w:val="0"/>
        <w:spacing w:line="400" w:lineRule="exact"/>
        <w:ind w:left="0" w:leftChars="0" w:firstLine="420" w:firstLineChars="0"/>
        <w:rPr>
          <w:rFonts w:ascii="仿宋" w:hAnsi="仿宋" w:eastAsia="仿宋"/>
          <w:color w:val="auto"/>
          <w:sz w:val="24"/>
        </w:rPr>
      </w:pPr>
      <w:r>
        <w:rPr>
          <w:rFonts w:hint="eastAsia" w:ascii="仿宋" w:hAnsi="仿宋" w:eastAsia="仿宋" w:cs="Times New Roman"/>
          <w:color w:val="auto"/>
          <w:kern w:val="2"/>
          <w:sz w:val="24"/>
          <w:szCs w:val="24"/>
          <w:lang w:val="en-US" w:eastAsia="zh-CN" w:bidi="ar-SA"/>
        </w:rPr>
        <w:t>9.5</w:t>
      </w:r>
      <w:r>
        <w:rPr>
          <w:rFonts w:hint="eastAsia" w:ascii="仿宋" w:hAnsi="仿宋" w:eastAsia="仿宋"/>
          <w:color w:val="auto"/>
          <w:sz w:val="24"/>
        </w:rPr>
        <w:t>易损零配件和专机专用试剂耗材价格表：本项目合同/协议中，应附易损零配件和专机专用试剂耗材价格表。（如有）</w:t>
      </w:r>
    </w:p>
    <w:p w14:paraId="608A97A3">
      <w:pPr>
        <w:numPr>
          <w:ilvl w:val="1"/>
          <w:numId w:val="0"/>
        </w:numPr>
        <w:snapToGrid w:val="0"/>
        <w:spacing w:line="400" w:lineRule="exact"/>
        <w:ind w:left="0" w:leftChars="0" w:firstLine="420" w:firstLineChars="0"/>
        <w:rPr>
          <w:rFonts w:ascii="仿宋" w:hAnsi="仿宋" w:eastAsia="仿宋"/>
          <w:sz w:val="24"/>
        </w:rPr>
      </w:pPr>
      <w:r>
        <w:rPr>
          <w:rFonts w:hint="eastAsia" w:ascii="仿宋" w:hAnsi="仿宋" w:eastAsia="仿宋" w:cs="Times New Roman"/>
          <w:kern w:val="2"/>
          <w:sz w:val="24"/>
          <w:szCs w:val="24"/>
          <w:lang w:val="en-US" w:eastAsia="zh-CN" w:bidi="ar-SA"/>
        </w:rPr>
        <w:t>9.6</w:t>
      </w:r>
      <w:r>
        <w:rPr>
          <w:rFonts w:hint="eastAsia" w:ascii="仿宋" w:hAnsi="仿宋" w:eastAsia="仿宋"/>
          <w:sz w:val="24"/>
        </w:rPr>
        <w:t>维修技术支持：乙方一次性免费提供维护手册、维修手册、软件备份、故障代码表、备件清单等维护维修必需的材料和信息，否则不予验收。保修期外，无偿提供维修密码及软件在该项目中的使用权，按合同约定价格提供零部件、以及快速响应的技术支持。</w:t>
      </w:r>
    </w:p>
    <w:p w14:paraId="20967A67">
      <w:pPr>
        <w:numPr>
          <w:ilvl w:val="1"/>
          <w:numId w:val="0"/>
        </w:numPr>
        <w:snapToGrid w:val="0"/>
        <w:spacing w:line="400" w:lineRule="exact"/>
        <w:ind w:left="0" w:leftChars="0" w:firstLine="420" w:firstLineChars="0"/>
        <w:rPr>
          <w:rFonts w:ascii="仿宋" w:hAnsi="仿宋" w:eastAsia="仿宋"/>
          <w:sz w:val="24"/>
        </w:rPr>
      </w:pPr>
      <w:r>
        <w:rPr>
          <w:rFonts w:hint="eastAsia" w:ascii="仿宋" w:hAnsi="仿宋" w:eastAsia="仿宋" w:cs="Times New Roman"/>
          <w:kern w:val="2"/>
          <w:sz w:val="24"/>
          <w:szCs w:val="24"/>
          <w:lang w:val="en-US" w:eastAsia="zh-CN" w:bidi="ar-SA"/>
        </w:rPr>
        <w:t>9.7</w:t>
      </w:r>
      <w:r>
        <w:rPr>
          <w:rFonts w:hint="eastAsia" w:ascii="仿宋" w:hAnsi="仿宋" w:eastAsia="仿宋"/>
          <w:sz w:val="24"/>
        </w:rPr>
        <w:t>乙方无偿保证甲方获得合同约定范围内所有软件功能，终生单机软件使用权。不得限制硬件配件采购，并在甲方自主更换配件后，无偿帮助甲方恢复原有的软件及系统，使甲方能够正常使用该器械/设备、项目。</w:t>
      </w:r>
    </w:p>
    <w:p w14:paraId="4799DEAC">
      <w:pPr>
        <w:numPr>
          <w:ilvl w:val="1"/>
          <w:numId w:val="0"/>
        </w:numPr>
        <w:snapToGrid w:val="0"/>
        <w:spacing w:line="400" w:lineRule="exact"/>
        <w:ind w:left="0" w:leftChars="0" w:firstLine="420" w:firstLineChars="0"/>
        <w:rPr>
          <w:rFonts w:ascii="仿宋" w:hAnsi="仿宋" w:eastAsia="仿宋"/>
          <w:sz w:val="24"/>
        </w:rPr>
      </w:pPr>
      <w:r>
        <w:rPr>
          <w:rFonts w:hint="eastAsia" w:ascii="仿宋" w:hAnsi="仿宋" w:eastAsia="仿宋" w:cs="Times New Roman"/>
          <w:kern w:val="2"/>
          <w:sz w:val="24"/>
          <w:szCs w:val="24"/>
          <w:lang w:val="en-US" w:eastAsia="zh-CN" w:bidi="ar-SA"/>
        </w:rPr>
        <w:t>9.8</w:t>
      </w:r>
      <w:r>
        <w:rPr>
          <w:rFonts w:hint="eastAsia" w:ascii="仿宋" w:hAnsi="仿宋" w:eastAsia="仿宋"/>
          <w:sz w:val="24"/>
        </w:rPr>
        <w:t>乙方负责产品系统软件终身</w:t>
      </w:r>
      <w:r>
        <w:rPr>
          <w:rFonts w:hint="eastAsia"/>
          <w:b w:val="0"/>
          <w:bCs w:val="0"/>
          <w:color w:val="auto"/>
          <w:highlight w:val="none"/>
          <w:lang w:val="en-US" w:eastAsia="zh-CN"/>
        </w:rPr>
        <w:t>无偿</w:t>
      </w:r>
      <w:r>
        <w:rPr>
          <w:rFonts w:hint="eastAsia" w:ascii="仿宋" w:hAnsi="仿宋" w:eastAsia="仿宋"/>
          <w:sz w:val="24"/>
        </w:rPr>
        <w:t>升级。</w:t>
      </w:r>
    </w:p>
    <w:p w14:paraId="7C13769B">
      <w:pPr>
        <w:numPr>
          <w:ilvl w:val="1"/>
          <w:numId w:val="0"/>
        </w:numPr>
        <w:snapToGrid w:val="0"/>
        <w:spacing w:line="400" w:lineRule="exact"/>
        <w:ind w:left="0" w:leftChars="0" w:firstLine="420" w:firstLineChars="0"/>
        <w:rPr>
          <w:rFonts w:ascii="仿宋" w:hAnsi="仿宋" w:eastAsia="仿宋"/>
          <w:sz w:val="24"/>
        </w:rPr>
      </w:pPr>
      <w:r>
        <w:rPr>
          <w:rFonts w:hint="eastAsia" w:ascii="仿宋" w:hAnsi="仿宋" w:eastAsia="仿宋" w:cs="Times New Roman"/>
          <w:kern w:val="2"/>
          <w:sz w:val="24"/>
          <w:szCs w:val="24"/>
          <w:lang w:val="en-US" w:eastAsia="zh-CN" w:bidi="ar-SA"/>
        </w:rPr>
        <w:t>9.9</w:t>
      </w:r>
      <w:r>
        <w:rPr>
          <w:rFonts w:hint="eastAsia" w:ascii="仿宋" w:hAnsi="仿宋" w:eastAsia="仿宋"/>
          <w:sz w:val="24"/>
        </w:rPr>
        <w:t>乙方承诺保修期内，按国家相关规定，执行保养及预防性维护，并提供报告。</w:t>
      </w:r>
    </w:p>
    <w:p w14:paraId="27C9B3AB">
      <w:pPr>
        <w:numPr>
          <w:ilvl w:val="1"/>
          <w:numId w:val="0"/>
        </w:numPr>
        <w:snapToGrid w:val="0"/>
        <w:spacing w:line="400" w:lineRule="exact"/>
        <w:ind w:left="0" w:leftChars="0" w:firstLine="420" w:firstLineChars="0"/>
        <w:rPr>
          <w:rFonts w:ascii="仿宋" w:hAnsi="仿宋" w:eastAsia="仿宋"/>
          <w:sz w:val="24"/>
        </w:rPr>
      </w:pPr>
      <w:r>
        <w:rPr>
          <w:rFonts w:hint="eastAsia" w:ascii="仿宋" w:hAnsi="仿宋" w:eastAsia="仿宋" w:cs="Times New Roman"/>
          <w:kern w:val="2"/>
          <w:sz w:val="24"/>
          <w:szCs w:val="24"/>
          <w:lang w:val="en-US" w:eastAsia="zh-CN" w:bidi="ar-SA"/>
        </w:rPr>
        <w:t>9.10</w:t>
      </w:r>
      <w:r>
        <w:rPr>
          <w:rFonts w:hint="eastAsia" w:ascii="仿宋" w:hAnsi="仿宋" w:eastAsia="仿宋"/>
          <w:sz w:val="24"/>
        </w:rPr>
        <w:t>在设备规定的使用期限内，乙方必须保证配件供应。</w:t>
      </w:r>
    </w:p>
    <w:p w14:paraId="3F701610">
      <w:pPr>
        <w:numPr>
          <w:ilvl w:val="1"/>
          <w:numId w:val="0"/>
        </w:numPr>
        <w:snapToGrid w:val="0"/>
        <w:spacing w:line="400" w:lineRule="exact"/>
        <w:ind w:left="0" w:leftChars="0" w:firstLine="420" w:firstLineChars="0"/>
        <w:rPr>
          <w:rFonts w:ascii="仿宋" w:hAnsi="仿宋" w:eastAsia="仿宋"/>
          <w:sz w:val="24"/>
        </w:rPr>
      </w:pPr>
      <w:r>
        <w:rPr>
          <w:rFonts w:hint="eastAsia" w:ascii="仿宋" w:hAnsi="仿宋" w:eastAsia="仿宋" w:cs="Times New Roman"/>
          <w:kern w:val="2"/>
          <w:sz w:val="24"/>
          <w:szCs w:val="24"/>
          <w:lang w:val="en-US" w:eastAsia="zh-CN" w:bidi="ar-SA"/>
        </w:rPr>
        <w:t>9.11</w:t>
      </w:r>
      <w:r>
        <w:rPr>
          <w:rFonts w:hint="eastAsia" w:ascii="仿宋" w:hAnsi="仿宋" w:eastAsia="仿宋"/>
          <w:sz w:val="24"/>
        </w:rPr>
        <w:t>其他售后服务条款，详见投标文件（响应文件）。</w:t>
      </w:r>
    </w:p>
    <w:p w14:paraId="3F25E714">
      <w:pPr>
        <w:numPr>
          <w:ilvl w:val="0"/>
          <w:numId w:val="0"/>
        </w:numPr>
        <w:tabs>
          <w:tab w:val="left" w:pos="420"/>
        </w:tabs>
        <w:snapToGrid w:val="0"/>
        <w:spacing w:line="400" w:lineRule="exact"/>
        <w:ind w:left="845" w:leftChars="0" w:hanging="425" w:firstLineChars="0"/>
        <w:rPr>
          <w:rFonts w:ascii="仿宋" w:hAnsi="仿宋" w:eastAsia="仿宋"/>
          <w:b/>
          <w:sz w:val="24"/>
        </w:rPr>
      </w:pPr>
      <w:r>
        <w:rPr>
          <w:rFonts w:hint="eastAsia" w:ascii="仿宋" w:hAnsi="仿宋" w:eastAsia="仿宋" w:cs="Times New Roman"/>
          <w:b/>
          <w:kern w:val="2"/>
          <w:sz w:val="24"/>
          <w:szCs w:val="24"/>
          <w:lang w:val="en-US" w:eastAsia="zh-CN" w:bidi="ar-SA"/>
        </w:rPr>
        <w:t xml:space="preserve">第十条 </w:t>
      </w:r>
      <w:r>
        <w:rPr>
          <w:rFonts w:hint="eastAsia" w:ascii="仿宋" w:hAnsi="仿宋" w:eastAsia="仿宋"/>
          <w:b/>
          <w:sz w:val="24"/>
        </w:rPr>
        <w:t>违约责任</w:t>
      </w:r>
    </w:p>
    <w:p w14:paraId="37EB2D5E">
      <w:pPr>
        <w:numPr>
          <w:ilvl w:val="1"/>
          <w:numId w:val="0"/>
        </w:numPr>
        <w:snapToGrid w:val="0"/>
        <w:spacing w:line="400" w:lineRule="exact"/>
        <w:ind w:left="0" w:leftChars="0" w:firstLine="420" w:firstLineChars="0"/>
        <w:rPr>
          <w:rFonts w:ascii="仿宋" w:hAnsi="仿宋" w:eastAsia="仿宋"/>
          <w:sz w:val="24"/>
        </w:rPr>
      </w:pPr>
      <w:r>
        <w:rPr>
          <w:rFonts w:hint="eastAsia" w:ascii="仿宋" w:hAnsi="仿宋" w:eastAsia="仿宋" w:cs="Times New Roman"/>
          <w:kern w:val="2"/>
          <w:sz w:val="24"/>
          <w:szCs w:val="24"/>
          <w:lang w:val="en-US" w:eastAsia="zh-CN" w:bidi="ar-SA"/>
        </w:rPr>
        <w:t>10.1</w:t>
      </w:r>
      <w:r>
        <w:rPr>
          <w:rFonts w:hint="eastAsia" w:ascii="仿宋" w:hAnsi="仿宋" w:eastAsia="仿宋"/>
          <w:sz w:val="24"/>
        </w:rPr>
        <w:t>乙方所提供的货物规格、技术标准、材料等质量不合格的，应及时更换，更换不及时的按逾期交货承担违约责任；因质量问题甲方不同意接收的或特殊情况甲方同意接收的，乙方应向甲方支付违约货款额</w:t>
      </w:r>
      <w:r>
        <w:rPr>
          <w:rFonts w:hint="eastAsia" w:ascii="仿宋" w:hAnsi="仿宋" w:eastAsia="仿宋"/>
          <w:sz w:val="24"/>
          <w:u w:val="single"/>
        </w:rPr>
        <w:t xml:space="preserve"> 5% </w:t>
      </w:r>
      <w:r>
        <w:rPr>
          <w:rFonts w:hint="eastAsia" w:ascii="仿宋" w:hAnsi="仿宋" w:eastAsia="仿宋"/>
          <w:sz w:val="24"/>
        </w:rPr>
        <w:t xml:space="preserve">违约金并赔偿甲方经济损失，包括但不限于维权费用。                                       </w:t>
      </w:r>
    </w:p>
    <w:p w14:paraId="566A2A87">
      <w:pPr>
        <w:numPr>
          <w:ilvl w:val="1"/>
          <w:numId w:val="0"/>
        </w:numPr>
        <w:snapToGrid w:val="0"/>
        <w:spacing w:line="400" w:lineRule="exact"/>
        <w:ind w:left="0" w:leftChars="0" w:firstLine="420" w:firstLineChars="0"/>
        <w:rPr>
          <w:rFonts w:ascii="仿宋" w:hAnsi="仿宋" w:eastAsia="仿宋"/>
          <w:sz w:val="24"/>
        </w:rPr>
      </w:pPr>
      <w:r>
        <w:rPr>
          <w:rFonts w:hint="eastAsia" w:ascii="仿宋" w:hAnsi="仿宋" w:eastAsia="仿宋" w:cs="Times New Roman"/>
          <w:kern w:val="2"/>
          <w:sz w:val="24"/>
          <w:szCs w:val="24"/>
          <w:lang w:val="en-US" w:eastAsia="zh-CN" w:bidi="ar-SA"/>
        </w:rPr>
        <w:t>10.2</w:t>
      </w:r>
      <w:r>
        <w:rPr>
          <w:rFonts w:hint="eastAsia" w:ascii="仿宋" w:hAnsi="仿宋" w:eastAsia="仿宋"/>
          <w:sz w:val="24"/>
        </w:rPr>
        <w:t>乙方提供的货物如侵犯了第三方合法权益而引发的任何纠纷或诉讼，均由乙方负责交涉并承担全部责任。</w:t>
      </w:r>
    </w:p>
    <w:p w14:paraId="61618C60">
      <w:pPr>
        <w:numPr>
          <w:ilvl w:val="1"/>
          <w:numId w:val="0"/>
        </w:numPr>
        <w:snapToGrid w:val="0"/>
        <w:spacing w:line="400" w:lineRule="exact"/>
        <w:ind w:left="0" w:leftChars="0" w:firstLine="420" w:firstLineChars="0"/>
        <w:rPr>
          <w:rFonts w:ascii="仿宋" w:hAnsi="仿宋" w:eastAsia="仿宋"/>
          <w:sz w:val="24"/>
        </w:rPr>
      </w:pPr>
      <w:r>
        <w:rPr>
          <w:rFonts w:hint="eastAsia" w:ascii="仿宋" w:hAnsi="仿宋" w:eastAsia="仿宋" w:cs="Times New Roman"/>
          <w:kern w:val="2"/>
          <w:sz w:val="24"/>
          <w:szCs w:val="24"/>
          <w:lang w:val="en-US" w:eastAsia="zh-CN" w:bidi="ar-SA"/>
        </w:rPr>
        <w:t>10.3</w:t>
      </w:r>
      <w:r>
        <w:rPr>
          <w:rFonts w:hint="eastAsia" w:ascii="仿宋" w:hAnsi="仿宋" w:eastAsia="仿宋"/>
          <w:sz w:val="24"/>
        </w:rPr>
        <w:t>因包装、运输引起的货物损坏，按质量不合格处理。</w:t>
      </w:r>
    </w:p>
    <w:p w14:paraId="5581BC4A">
      <w:pPr>
        <w:numPr>
          <w:ilvl w:val="1"/>
          <w:numId w:val="0"/>
        </w:numPr>
        <w:snapToGrid w:val="0"/>
        <w:spacing w:line="400" w:lineRule="exact"/>
        <w:ind w:left="0" w:leftChars="0" w:firstLine="420" w:firstLineChars="0"/>
        <w:rPr>
          <w:rFonts w:ascii="仿宋" w:hAnsi="仿宋" w:eastAsia="仿宋"/>
          <w:sz w:val="24"/>
        </w:rPr>
      </w:pPr>
      <w:r>
        <w:rPr>
          <w:rFonts w:hint="eastAsia" w:ascii="仿宋" w:hAnsi="仿宋" w:eastAsia="仿宋" w:cs="Times New Roman"/>
          <w:kern w:val="2"/>
          <w:sz w:val="24"/>
          <w:szCs w:val="24"/>
          <w:lang w:val="en-US" w:eastAsia="zh-CN" w:bidi="ar-SA"/>
        </w:rPr>
        <w:t>10.4</w:t>
      </w:r>
      <w:r>
        <w:rPr>
          <w:rFonts w:hint="eastAsia" w:ascii="仿宋" w:hAnsi="仿宋" w:eastAsia="仿宋"/>
          <w:sz w:val="24"/>
        </w:rPr>
        <w:t>乙方逾期交货的，自逾期之日起，每日向甲方偿付违约货款额3‰违约金，但违约金累计不得超过违约货款额</w:t>
      </w:r>
      <w:r>
        <w:rPr>
          <w:rFonts w:hint="eastAsia" w:ascii="仿宋" w:hAnsi="仿宋" w:eastAsia="仿宋"/>
          <w:sz w:val="24"/>
          <w:u w:val="single"/>
        </w:rPr>
        <w:t xml:space="preserve"> 5% </w:t>
      </w:r>
      <w:r>
        <w:rPr>
          <w:rFonts w:hint="eastAsia" w:ascii="仿宋" w:hAnsi="仿宋" w:eastAsia="仿宋"/>
          <w:sz w:val="24"/>
        </w:rPr>
        <w:t>，超过</w:t>
      </w:r>
      <w:r>
        <w:rPr>
          <w:rFonts w:hint="eastAsia" w:ascii="仿宋" w:hAnsi="仿宋" w:eastAsia="仿宋"/>
          <w:sz w:val="24"/>
          <w:u w:val="single"/>
        </w:rPr>
        <w:t xml:space="preserve"> 30 </w:t>
      </w:r>
      <w:r>
        <w:rPr>
          <w:rFonts w:hint="eastAsia" w:ascii="仿宋" w:hAnsi="仿宋" w:eastAsia="仿宋"/>
          <w:sz w:val="24"/>
        </w:rPr>
        <w:t>天甲方有权解除合同，乙方承担甲方损失，包括但不限于维权费用。</w:t>
      </w:r>
    </w:p>
    <w:p w14:paraId="7FA6EF30">
      <w:pPr>
        <w:numPr>
          <w:ilvl w:val="1"/>
          <w:numId w:val="0"/>
        </w:numPr>
        <w:snapToGrid w:val="0"/>
        <w:spacing w:line="400" w:lineRule="exact"/>
        <w:ind w:left="0" w:leftChars="0" w:firstLine="420" w:firstLineChars="0"/>
        <w:rPr>
          <w:rFonts w:ascii="仿宋" w:hAnsi="仿宋" w:eastAsia="仿宋"/>
          <w:sz w:val="24"/>
        </w:rPr>
      </w:pPr>
      <w:r>
        <w:rPr>
          <w:rFonts w:hint="eastAsia" w:ascii="仿宋" w:hAnsi="仿宋" w:eastAsia="仿宋" w:cs="Times New Roman"/>
          <w:kern w:val="2"/>
          <w:sz w:val="24"/>
          <w:szCs w:val="24"/>
          <w:lang w:val="en-US" w:eastAsia="zh-CN" w:bidi="ar-SA"/>
        </w:rPr>
        <w:t>10.5</w:t>
      </w:r>
      <w:r>
        <w:rPr>
          <w:rFonts w:hint="eastAsia" w:ascii="仿宋" w:hAnsi="仿宋" w:eastAsia="仿宋"/>
          <w:sz w:val="24"/>
        </w:rPr>
        <w:t>甲方向本合同乙方账号汇出款项即视为甲方已履行付款义务，在合同履行过程中，因乙方账户的原因（包括但不限于账号被注销、被冻结等）导致乙方无法收取款项的，由乙方承担相应后果。非因甲方过错导致迟延付款的，甲方不承担任何责任。</w:t>
      </w:r>
    </w:p>
    <w:p w14:paraId="7F97505F">
      <w:pPr>
        <w:numPr>
          <w:ilvl w:val="1"/>
          <w:numId w:val="0"/>
        </w:numPr>
        <w:snapToGrid w:val="0"/>
        <w:spacing w:line="400" w:lineRule="exact"/>
        <w:ind w:left="0" w:leftChars="0" w:firstLine="420" w:firstLineChars="0"/>
        <w:rPr>
          <w:rFonts w:ascii="仿宋" w:hAnsi="仿宋" w:eastAsia="仿宋"/>
          <w:sz w:val="24"/>
        </w:rPr>
      </w:pPr>
      <w:r>
        <w:rPr>
          <w:rFonts w:hint="eastAsia" w:ascii="仿宋" w:hAnsi="仿宋" w:eastAsia="仿宋" w:cs="Times New Roman"/>
          <w:kern w:val="2"/>
          <w:sz w:val="24"/>
          <w:szCs w:val="24"/>
          <w:lang w:val="en-US" w:eastAsia="zh-CN" w:bidi="ar-SA"/>
        </w:rPr>
        <w:t>10.6</w:t>
      </w:r>
      <w:r>
        <w:rPr>
          <w:rFonts w:hint="eastAsia" w:ascii="仿宋" w:hAnsi="仿宋" w:eastAsia="仿宋"/>
          <w:sz w:val="24"/>
        </w:rPr>
        <w:t>乙方未按本合同和投标文件（响应文件）中规定的服务承诺提供售后服务的，乙方应按本合同合计金额</w:t>
      </w:r>
      <w:r>
        <w:rPr>
          <w:rFonts w:hint="eastAsia" w:ascii="仿宋" w:hAnsi="仿宋" w:eastAsia="仿宋"/>
          <w:sz w:val="24"/>
          <w:u w:val="single"/>
        </w:rPr>
        <w:t xml:space="preserve">  5% </w:t>
      </w:r>
      <w:r>
        <w:rPr>
          <w:rFonts w:hint="eastAsia" w:ascii="仿宋" w:hAnsi="仿宋" w:eastAsia="仿宋"/>
          <w:sz w:val="24"/>
        </w:rPr>
        <w:t>向甲方支付违约金，包括但不限于维权费用。</w:t>
      </w:r>
    </w:p>
    <w:p w14:paraId="7EF1601B">
      <w:pPr>
        <w:numPr>
          <w:ilvl w:val="1"/>
          <w:numId w:val="0"/>
        </w:numPr>
        <w:snapToGrid w:val="0"/>
        <w:spacing w:line="400" w:lineRule="exact"/>
        <w:ind w:left="0" w:leftChars="0" w:firstLine="420" w:firstLineChars="0"/>
        <w:rPr>
          <w:rFonts w:ascii="仿宋" w:hAnsi="仿宋" w:eastAsia="仿宋"/>
          <w:sz w:val="24"/>
        </w:rPr>
      </w:pPr>
      <w:r>
        <w:rPr>
          <w:rFonts w:hint="eastAsia" w:ascii="仿宋" w:hAnsi="仿宋" w:eastAsia="仿宋" w:cs="Times New Roman"/>
          <w:kern w:val="2"/>
          <w:sz w:val="24"/>
          <w:szCs w:val="24"/>
          <w:lang w:val="en-US" w:eastAsia="zh-CN" w:bidi="ar-SA"/>
        </w:rPr>
        <w:t>10.7</w:t>
      </w:r>
      <w:r>
        <w:rPr>
          <w:rFonts w:hint="eastAsia" w:ascii="仿宋" w:hAnsi="仿宋" w:eastAsia="仿宋"/>
          <w:sz w:val="24"/>
        </w:rPr>
        <w:t>乙方提供的货物在质量保证期内，因设计、工艺或材料的缺陷和其它质量原因造成的问题，乙方承担甲方损失，包括但不限于维权费用。费用从未付款项中扣除，不足另补。</w:t>
      </w:r>
    </w:p>
    <w:p w14:paraId="047BFB96">
      <w:pPr>
        <w:numPr>
          <w:ilvl w:val="1"/>
          <w:numId w:val="0"/>
        </w:numPr>
        <w:snapToGrid w:val="0"/>
        <w:spacing w:line="400" w:lineRule="exact"/>
        <w:ind w:left="0" w:leftChars="0" w:firstLine="420" w:firstLineChars="0"/>
        <w:rPr>
          <w:rFonts w:ascii="仿宋" w:hAnsi="仿宋" w:eastAsia="仿宋"/>
          <w:sz w:val="24"/>
        </w:rPr>
      </w:pPr>
      <w:r>
        <w:rPr>
          <w:rFonts w:hint="eastAsia" w:ascii="仿宋" w:hAnsi="仿宋" w:eastAsia="仿宋" w:cs="Times New Roman"/>
          <w:kern w:val="2"/>
          <w:sz w:val="24"/>
          <w:szCs w:val="24"/>
          <w:lang w:val="en-US" w:eastAsia="zh-CN" w:bidi="ar-SA"/>
        </w:rPr>
        <w:t>10.8</w:t>
      </w:r>
      <w:r>
        <w:rPr>
          <w:rFonts w:hint="eastAsia" w:ascii="仿宋" w:hAnsi="仿宋" w:eastAsia="仿宋"/>
          <w:sz w:val="24"/>
        </w:rPr>
        <w:t>其它违约行为按违约货款额</w:t>
      </w:r>
      <w:r>
        <w:rPr>
          <w:rFonts w:hint="eastAsia" w:ascii="仿宋" w:hAnsi="仿宋" w:eastAsia="仿宋"/>
          <w:sz w:val="24"/>
          <w:u w:val="single"/>
        </w:rPr>
        <w:t xml:space="preserve"> 5% </w:t>
      </w:r>
      <w:r>
        <w:rPr>
          <w:rFonts w:hint="eastAsia" w:ascii="仿宋" w:hAnsi="仿宋" w:eastAsia="仿宋"/>
          <w:sz w:val="24"/>
        </w:rPr>
        <w:t>收取违约金并赔偿经济损失。</w:t>
      </w:r>
    </w:p>
    <w:p w14:paraId="7BC38AAB">
      <w:pPr>
        <w:numPr>
          <w:ilvl w:val="0"/>
          <w:numId w:val="0"/>
        </w:numPr>
        <w:tabs>
          <w:tab w:val="left" w:pos="420"/>
        </w:tabs>
        <w:snapToGrid w:val="0"/>
        <w:spacing w:line="400" w:lineRule="exact"/>
        <w:ind w:left="845" w:leftChars="0" w:hanging="425" w:firstLineChars="0"/>
        <w:rPr>
          <w:rFonts w:ascii="仿宋" w:hAnsi="仿宋" w:eastAsia="仿宋"/>
          <w:b/>
          <w:sz w:val="24"/>
        </w:rPr>
      </w:pPr>
      <w:r>
        <w:rPr>
          <w:rFonts w:hint="eastAsia" w:ascii="仿宋" w:hAnsi="仿宋" w:eastAsia="仿宋" w:cs="Times New Roman"/>
          <w:b/>
          <w:kern w:val="2"/>
          <w:sz w:val="24"/>
          <w:szCs w:val="24"/>
          <w:lang w:val="en-US" w:eastAsia="zh-CN" w:bidi="ar-SA"/>
        </w:rPr>
        <w:t xml:space="preserve">第十一条 </w:t>
      </w:r>
      <w:r>
        <w:rPr>
          <w:rFonts w:hint="eastAsia" w:ascii="仿宋" w:hAnsi="仿宋" w:eastAsia="仿宋"/>
          <w:b/>
          <w:sz w:val="24"/>
        </w:rPr>
        <w:t>不可抗力事件处理</w:t>
      </w:r>
    </w:p>
    <w:p w14:paraId="21BFDE01">
      <w:pPr>
        <w:numPr>
          <w:ilvl w:val="1"/>
          <w:numId w:val="0"/>
        </w:numPr>
        <w:snapToGrid w:val="0"/>
        <w:spacing w:line="400" w:lineRule="exact"/>
        <w:ind w:left="0" w:leftChars="0" w:firstLine="420" w:firstLineChars="0"/>
        <w:rPr>
          <w:rFonts w:ascii="仿宋" w:hAnsi="仿宋" w:eastAsia="仿宋"/>
          <w:sz w:val="24"/>
        </w:rPr>
      </w:pPr>
      <w:r>
        <w:rPr>
          <w:rFonts w:hint="eastAsia" w:ascii="仿宋" w:hAnsi="仿宋" w:eastAsia="仿宋" w:cs="Times New Roman"/>
          <w:kern w:val="2"/>
          <w:sz w:val="24"/>
          <w:szCs w:val="24"/>
          <w:lang w:val="en-US" w:eastAsia="zh-CN" w:bidi="ar-SA"/>
        </w:rPr>
        <w:t>11.1</w:t>
      </w:r>
      <w:r>
        <w:rPr>
          <w:rFonts w:hint="eastAsia" w:ascii="仿宋" w:hAnsi="仿宋" w:eastAsia="仿宋"/>
          <w:sz w:val="24"/>
        </w:rPr>
        <w:t>在合同有效期内，任何一方因不可抗力事件导致不能履行合同，则合同履行期可延长，其延长期与不可抗力影响期相同。</w:t>
      </w:r>
    </w:p>
    <w:p w14:paraId="757D556E">
      <w:pPr>
        <w:numPr>
          <w:ilvl w:val="1"/>
          <w:numId w:val="0"/>
        </w:numPr>
        <w:snapToGrid w:val="0"/>
        <w:spacing w:line="400" w:lineRule="exact"/>
        <w:ind w:left="0" w:leftChars="0" w:firstLine="420" w:firstLineChars="0"/>
        <w:rPr>
          <w:rFonts w:ascii="仿宋" w:hAnsi="仿宋" w:eastAsia="仿宋"/>
          <w:sz w:val="24"/>
        </w:rPr>
      </w:pPr>
      <w:r>
        <w:rPr>
          <w:rFonts w:hint="eastAsia" w:ascii="仿宋" w:hAnsi="仿宋" w:eastAsia="仿宋" w:cs="Times New Roman"/>
          <w:kern w:val="2"/>
          <w:sz w:val="24"/>
          <w:szCs w:val="24"/>
          <w:lang w:val="en-US" w:eastAsia="zh-CN" w:bidi="ar-SA"/>
        </w:rPr>
        <w:t>11.2</w:t>
      </w:r>
      <w:r>
        <w:rPr>
          <w:rFonts w:hint="eastAsia" w:ascii="仿宋" w:hAnsi="仿宋" w:eastAsia="仿宋"/>
          <w:sz w:val="24"/>
        </w:rPr>
        <w:t>不可抗力事件发生后，应立即通知对方，并寄送有关权威机构出具的证明。</w:t>
      </w:r>
    </w:p>
    <w:p w14:paraId="3EEC86E9">
      <w:pPr>
        <w:numPr>
          <w:ilvl w:val="1"/>
          <w:numId w:val="0"/>
        </w:numPr>
        <w:snapToGrid w:val="0"/>
        <w:spacing w:line="400" w:lineRule="exact"/>
        <w:ind w:left="0" w:leftChars="0" w:firstLine="420" w:firstLineChars="0"/>
        <w:rPr>
          <w:rFonts w:ascii="仿宋" w:hAnsi="仿宋" w:eastAsia="仿宋"/>
          <w:sz w:val="24"/>
        </w:rPr>
      </w:pPr>
      <w:r>
        <w:rPr>
          <w:rFonts w:hint="eastAsia" w:ascii="仿宋" w:hAnsi="仿宋" w:eastAsia="仿宋" w:cs="Times New Roman"/>
          <w:kern w:val="2"/>
          <w:sz w:val="24"/>
          <w:szCs w:val="24"/>
          <w:lang w:val="en-US" w:eastAsia="zh-CN" w:bidi="ar-SA"/>
        </w:rPr>
        <w:t>11.3</w:t>
      </w:r>
      <w:r>
        <w:rPr>
          <w:rFonts w:hint="eastAsia" w:ascii="仿宋" w:hAnsi="仿宋" w:eastAsia="仿宋"/>
          <w:sz w:val="24"/>
        </w:rPr>
        <w:t>不可抗力事件延续一百二十天以上，双方应通过友好协商，确定是否继续履行合同。</w:t>
      </w:r>
    </w:p>
    <w:p w14:paraId="5B52BFE9">
      <w:pPr>
        <w:numPr>
          <w:ilvl w:val="1"/>
          <w:numId w:val="0"/>
        </w:numPr>
        <w:snapToGrid w:val="0"/>
        <w:spacing w:line="400" w:lineRule="exact"/>
        <w:ind w:left="0" w:leftChars="0" w:firstLine="420" w:firstLineChars="0"/>
        <w:rPr>
          <w:rFonts w:ascii="仿宋" w:hAnsi="仿宋" w:eastAsia="仿宋"/>
          <w:sz w:val="24"/>
        </w:rPr>
      </w:pPr>
      <w:r>
        <w:rPr>
          <w:rFonts w:hint="eastAsia" w:ascii="仿宋" w:hAnsi="仿宋" w:eastAsia="仿宋" w:cs="Times New Roman"/>
          <w:kern w:val="2"/>
          <w:sz w:val="24"/>
          <w:szCs w:val="24"/>
          <w:lang w:val="en-US" w:eastAsia="zh-CN" w:bidi="ar-SA"/>
        </w:rPr>
        <w:t>11.4</w:t>
      </w:r>
      <w:r>
        <w:rPr>
          <w:rFonts w:hint="eastAsia" w:ascii="仿宋" w:hAnsi="仿宋" w:eastAsia="仿宋"/>
          <w:sz w:val="24"/>
        </w:rPr>
        <w:t>当事人迟延履行后发生不可抗力的，不免除其违约责任。</w:t>
      </w:r>
    </w:p>
    <w:p w14:paraId="5FCA0501">
      <w:pPr>
        <w:numPr>
          <w:ilvl w:val="0"/>
          <w:numId w:val="0"/>
        </w:numPr>
        <w:tabs>
          <w:tab w:val="left" w:pos="420"/>
        </w:tabs>
        <w:snapToGrid w:val="0"/>
        <w:spacing w:line="400" w:lineRule="exact"/>
        <w:ind w:left="845" w:leftChars="0" w:hanging="425" w:firstLineChars="0"/>
        <w:rPr>
          <w:rFonts w:ascii="仿宋" w:hAnsi="仿宋" w:eastAsia="仿宋"/>
          <w:b/>
          <w:sz w:val="24"/>
        </w:rPr>
      </w:pPr>
      <w:r>
        <w:rPr>
          <w:rFonts w:hint="eastAsia" w:ascii="仿宋" w:hAnsi="仿宋" w:eastAsia="仿宋" w:cs="Times New Roman"/>
          <w:b/>
          <w:kern w:val="2"/>
          <w:sz w:val="24"/>
          <w:szCs w:val="24"/>
          <w:lang w:val="en-US" w:eastAsia="zh-CN" w:bidi="ar-SA"/>
        </w:rPr>
        <w:t xml:space="preserve">第十二条 </w:t>
      </w:r>
      <w:r>
        <w:rPr>
          <w:rFonts w:hint="eastAsia" w:ascii="仿宋" w:hAnsi="仿宋" w:eastAsia="仿宋"/>
          <w:b/>
          <w:sz w:val="24"/>
        </w:rPr>
        <w:t>合同争议解决</w:t>
      </w:r>
    </w:p>
    <w:p w14:paraId="6D916432">
      <w:pPr>
        <w:numPr>
          <w:ilvl w:val="1"/>
          <w:numId w:val="0"/>
        </w:numPr>
        <w:snapToGrid w:val="0"/>
        <w:spacing w:line="400" w:lineRule="exact"/>
        <w:ind w:left="0" w:leftChars="0" w:firstLine="420" w:firstLineChars="0"/>
        <w:rPr>
          <w:rFonts w:ascii="仿宋" w:hAnsi="仿宋" w:eastAsia="仿宋"/>
          <w:sz w:val="24"/>
        </w:rPr>
      </w:pPr>
      <w:r>
        <w:rPr>
          <w:rFonts w:hint="eastAsia" w:ascii="仿宋" w:hAnsi="仿宋" w:eastAsia="仿宋" w:cs="Times New Roman"/>
          <w:kern w:val="2"/>
          <w:sz w:val="24"/>
          <w:szCs w:val="24"/>
          <w:lang w:val="en-US" w:eastAsia="zh-CN" w:bidi="ar-SA"/>
        </w:rPr>
        <w:t>12.1</w:t>
      </w:r>
      <w:r>
        <w:rPr>
          <w:rFonts w:hint="eastAsia" w:ascii="仿宋" w:hAnsi="仿宋" w:eastAsia="仿宋"/>
          <w:sz w:val="24"/>
        </w:rPr>
        <w:t>因货物质量问题发生争议的，应邀请</w:t>
      </w:r>
      <w:r>
        <w:rPr>
          <w:rFonts w:hint="eastAsia" w:ascii="仿宋" w:hAnsi="仿宋" w:eastAsia="仿宋"/>
          <w:strike w:val="0"/>
          <w:dstrike w:val="0"/>
          <w:color w:val="auto"/>
          <w:sz w:val="24"/>
          <w:u w:val="none"/>
          <w:lang w:val="en-US" w:eastAsia="zh-CN"/>
        </w:rPr>
        <w:t>有相应资质</w:t>
      </w:r>
      <w:r>
        <w:rPr>
          <w:rFonts w:hint="eastAsia" w:ascii="仿宋" w:hAnsi="仿宋" w:eastAsia="仿宋"/>
          <w:sz w:val="24"/>
        </w:rPr>
        <w:t>的质量检测机构对货物质量进行鉴定。由乙方垫付鉴定费用：货物符合标准的，鉴定费由甲方承担；货物不符合标准的，鉴定费由乙方承担。</w:t>
      </w:r>
    </w:p>
    <w:p w14:paraId="51C55817">
      <w:pPr>
        <w:numPr>
          <w:ilvl w:val="1"/>
          <w:numId w:val="0"/>
        </w:numPr>
        <w:snapToGrid w:val="0"/>
        <w:spacing w:line="400" w:lineRule="exact"/>
        <w:ind w:left="0" w:leftChars="0" w:firstLine="420" w:firstLineChars="0"/>
        <w:rPr>
          <w:rFonts w:ascii="仿宋" w:hAnsi="仿宋" w:eastAsia="仿宋"/>
          <w:sz w:val="24"/>
        </w:rPr>
      </w:pPr>
      <w:r>
        <w:rPr>
          <w:rFonts w:hint="eastAsia" w:ascii="仿宋" w:hAnsi="仿宋" w:eastAsia="仿宋" w:cs="Times New Roman"/>
          <w:kern w:val="2"/>
          <w:sz w:val="24"/>
          <w:szCs w:val="24"/>
          <w:lang w:val="en-US" w:eastAsia="zh-CN" w:bidi="ar-SA"/>
        </w:rPr>
        <w:t>12.2</w:t>
      </w:r>
      <w:r>
        <w:rPr>
          <w:rFonts w:hint="eastAsia" w:ascii="仿宋" w:hAnsi="仿宋" w:eastAsia="仿宋"/>
          <w:sz w:val="24"/>
        </w:rPr>
        <w:t>因履行本合同引起的或与本合同有关的争议，甲乙双方应首先通过友好协商解决，如果协商不能解决，按下列第</w:t>
      </w:r>
      <w:r>
        <w:rPr>
          <w:rFonts w:hint="eastAsia" w:ascii="仿宋" w:hAnsi="仿宋" w:eastAsia="仿宋"/>
          <w:sz w:val="24"/>
          <w:u w:val="single"/>
        </w:rPr>
        <w:t>（2）</w:t>
      </w:r>
      <w:r>
        <w:rPr>
          <w:rFonts w:hint="eastAsia" w:ascii="仿宋" w:hAnsi="仿宋" w:eastAsia="仿宋"/>
          <w:sz w:val="24"/>
        </w:rPr>
        <w:t>种方式解决：</w:t>
      </w:r>
    </w:p>
    <w:p w14:paraId="65739557">
      <w:pPr>
        <w:pStyle w:val="215"/>
        <w:numPr>
          <w:ilvl w:val="0"/>
          <w:numId w:val="3"/>
        </w:numPr>
        <w:spacing w:line="400" w:lineRule="exact"/>
        <w:jc w:val="both"/>
        <w:rPr>
          <w:rFonts w:hint="default" w:ascii="仿宋" w:hAnsi="仿宋" w:eastAsia="仿宋"/>
          <w:kern w:val="2"/>
          <w:sz w:val="24"/>
          <w:szCs w:val="24"/>
          <w:lang w:eastAsia="zh-CN"/>
        </w:rPr>
      </w:pPr>
      <w:r>
        <w:rPr>
          <w:rFonts w:ascii="仿宋" w:hAnsi="仿宋" w:eastAsia="仿宋"/>
          <w:kern w:val="2"/>
          <w:sz w:val="24"/>
          <w:szCs w:val="24"/>
          <w:lang w:eastAsia="zh-CN"/>
        </w:rPr>
        <w:t>向甲方所在地仲裁委员会申请仲裁；</w:t>
      </w:r>
    </w:p>
    <w:p w14:paraId="7BFD5303">
      <w:pPr>
        <w:pStyle w:val="215"/>
        <w:numPr>
          <w:ilvl w:val="0"/>
          <w:numId w:val="3"/>
        </w:numPr>
        <w:spacing w:line="400" w:lineRule="exact"/>
        <w:jc w:val="both"/>
        <w:rPr>
          <w:rFonts w:hint="default" w:ascii="仿宋" w:hAnsi="仿宋" w:eastAsia="仿宋"/>
          <w:sz w:val="24"/>
        </w:rPr>
      </w:pPr>
      <w:r>
        <w:rPr>
          <w:rFonts w:ascii="仿宋" w:hAnsi="仿宋" w:eastAsia="仿宋"/>
          <w:kern w:val="2"/>
          <w:sz w:val="24"/>
          <w:szCs w:val="24"/>
          <w:lang w:eastAsia="zh-CN"/>
        </w:rPr>
        <w:t xml:space="preserve">向甲方所在地人民法院起诉。 </w:t>
      </w:r>
    </w:p>
    <w:p w14:paraId="02FB5E9E">
      <w:pPr>
        <w:numPr>
          <w:ilvl w:val="1"/>
          <w:numId w:val="0"/>
        </w:numPr>
        <w:snapToGrid w:val="0"/>
        <w:spacing w:line="400" w:lineRule="exact"/>
        <w:ind w:left="0" w:leftChars="0" w:firstLine="420" w:firstLineChars="0"/>
        <w:rPr>
          <w:rFonts w:ascii="仿宋" w:hAnsi="仿宋" w:eastAsia="仿宋"/>
          <w:sz w:val="24"/>
        </w:rPr>
      </w:pPr>
      <w:r>
        <w:rPr>
          <w:rFonts w:hint="eastAsia" w:ascii="仿宋" w:hAnsi="仿宋" w:eastAsia="仿宋" w:cs="Times New Roman"/>
          <w:kern w:val="2"/>
          <w:sz w:val="24"/>
          <w:szCs w:val="24"/>
          <w:lang w:val="en-US" w:eastAsia="zh-CN" w:bidi="ar-SA"/>
        </w:rPr>
        <w:t>12.3</w:t>
      </w:r>
      <w:r>
        <w:rPr>
          <w:rFonts w:hint="eastAsia" w:ascii="仿宋" w:hAnsi="仿宋" w:eastAsia="仿宋"/>
          <w:sz w:val="24"/>
        </w:rPr>
        <w:t>在法院审理期间，除提交法院审理的事项外，合同其他部分仍应继续履行。</w:t>
      </w:r>
    </w:p>
    <w:p w14:paraId="79778508">
      <w:pPr>
        <w:numPr>
          <w:ilvl w:val="0"/>
          <w:numId w:val="0"/>
        </w:numPr>
        <w:tabs>
          <w:tab w:val="left" w:pos="420"/>
        </w:tabs>
        <w:snapToGrid w:val="0"/>
        <w:spacing w:line="400" w:lineRule="exact"/>
        <w:ind w:left="845" w:leftChars="0" w:hanging="425" w:firstLineChars="0"/>
        <w:rPr>
          <w:rFonts w:ascii="仿宋" w:hAnsi="仿宋" w:eastAsia="仿宋"/>
          <w:b/>
          <w:sz w:val="24"/>
        </w:rPr>
      </w:pPr>
      <w:r>
        <w:rPr>
          <w:rFonts w:hint="eastAsia" w:ascii="仿宋" w:hAnsi="仿宋" w:eastAsia="仿宋" w:cs="Times New Roman"/>
          <w:b/>
          <w:kern w:val="2"/>
          <w:sz w:val="24"/>
          <w:szCs w:val="24"/>
          <w:lang w:val="en-US" w:eastAsia="zh-CN" w:bidi="ar-SA"/>
        </w:rPr>
        <w:t xml:space="preserve">第十三条 </w:t>
      </w:r>
      <w:r>
        <w:rPr>
          <w:rFonts w:hint="eastAsia" w:ascii="仿宋" w:hAnsi="仿宋" w:eastAsia="仿宋"/>
          <w:b/>
          <w:sz w:val="24"/>
        </w:rPr>
        <w:t>合同生效及其它</w:t>
      </w:r>
    </w:p>
    <w:p w14:paraId="29A4B675">
      <w:pPr>
        <w:numPr>
          <w:ilvl w:val="1"/>
          <w:numId w:val="0"/>
        </w:numPr>
        <w:snapToGrid w:val="0"/>
        <w:spacing w:line="400" w:lineRule="exact"/>
        <w:ind w:left="0" w:leftChars="0" w:firstLine="420" w:firstLineChars="0"/>
        <w:rPr>
          <w:rFonts w:ascii="仿宋" w:hAnsi="仿宋" w:eastAsia="仿宋"/>
          <w:sz w:val="24"/>
        </w:rPr>
      </w:pPr>
      <w:r>
        <w:rPr>
          <w:rFonts w:hint="eastAsia" w:ascii="仿宋" w:hAnsi="仿宋" w:eastAsia="仿宋" w:cs="Times New Roman"/>
          <w:kern w:val="2"/>
          <w:sz w:val="24"/>
          <w:szCs w:val="24"/>
          <w:lang w:val="en-US" w:eastAsia="zh-CN" w:bidi="ar-SA"/>
        </w:rPr>
        <w:t>13.1</w:t>
      </w:r>
      <w:r>
        <w:rPr>
          <w:rFonts w:hint="eastAsia" w:ascii="仿宋" w:hAnsi="仿宋" w:eastAsia="仿宋"/>
          <w:sz w:val="24"/>
        </w:rPr>
        <w:t>合同经双方法定代表人或被授权人签字并加盖单位公章后生效。</w:t>
      </w:r>
    </w:p>
    <w:p w14:paraId="6CB4EAF1">
      <w:pPr>
        <w:numPr>
          <w:ilvl w:val="1"/>
          <w:numId w:val="0"/>
        </w:numPr>
        <w:snapToGrid w:val="0"/>
        <w:spacing w:line="400" w:lineRule="exact"/>
        <w:ind w:left="0" w:leftChars="0" w:firstLine="420" w:firstLineChars="0"/>
        <w:rPr>
          <w:rFonts w:ascii="仿宋" w:hAnsi="仿宋" w:eastAsia="仿宋"/>
          <w:sz w:val="24"/>
        </w:rPr>
      </w:pPr>
      <w:r>
        <w:rPr>
          <w:rFonts w:hint="eastAsia" w:ascii="仿宋" w:hAnsi="仿宋" w:eastAsia="仿宋" w:cs="Times New Roman"/>
          <w:kern w:val="2"/>
          <w:sz w:val="24"/>
          <w:szCs w:val="24"/>
          <w:lang w:val="en-US" w:eastAsia="zh-CN" w:bidi="ar-SA"/>
        </w:rPr>
        <w:t>13.2</w:t>
      </w:r>
      <w:r>
        <w:rPr>
          <w:rFonts w:hint="eastAsia" w:ascii="仿宋" w:hAnsi="仿宋" w:eastAsia="仿宋"/>
          <w:sz w:val="24"/>
        </w:rPr>
        <w:t>本合同未尽事宜，遵照《中华人民共和国民法典》有关条文执行。</w:t>
      </w:r>
    </w:p>
    <w:p w14:paraId="107F0125">
      <w:pPr>
        <w:numPr>
          <w:ilvl w:val="0"/>
          <w:numId w:val="0"/>
        </w:numPr>
        <w:tabs>
          <w:tab w:val="left" w:pos="420"/>
        </w:tabs>
        <w:snapToGrid w:val="0"/>
        <w:spacing w:line="400" w:lineRule="exact"/>
        <w:ind w:left="845" w:leftChars="0" w:hanging="425" w:firstLineChars="0"/>
        <w:rPr>
          <w:rFonts w:ascii="仿宋" w:hAnsi="仿宋" w:eastAsia="仿宋"/>
          <w:b/>
          <w:sz w:val="24"/>
        </w:rPr>
      </w:pPr>
      <w:r>
        <w:rPr>
          <w:rFonts w:hint="eastAsia" w:ascii="仿宋" w:hAnsi="仿宋" w:eastAsia="仿宋" w:cs="Times New Roman"/>
          <w:b/>
          <w:kern w:val="2"/>
          <w:sz w:val="24"/>
          <w:szCs w:val="24"/>
          <w:lang w:val="en-US" w:eastAsia="zh-CN" w:bidi="ar-SA"/>
        </w:rPr>
        <w:t xml:space="preserve">第十四条 </w:t>
      </w:r>
      <w:r>
        <w:rPr>
          <w:rFonts w:hint="eastAsia" w:ascii="仿宋" w:hAnsi="仿宋" w:eastAsia="仿宋"/>
          <w:b/>
          <w:sz w:val="24"/>
        </w:rPr>
        <w:t>合同的变更、终止与转让</w:t>
      </w:r>
    </w:p>
    <w:p w14:paraId="311BA82F">
      <w:pPr>
        <w:numPr>
          <w:ilvl w:val="1"/>
          <w:numId w:val="0"/>
        </w:numPr>
        <w:snapToGrid w:val="0"/>
        <w:spacing w:line="400" w:lineRule="exact"/>
        <w:ind w:left="0" w:leftChars="0" w:firstLine="420" w:firstLineChars="0"/>
        <w:rPr>
          <w:rFonts w:ascii="仿宋" w:hAnsi="仿宋" w:eastAsia="仿宋"/>
          <w:sz w:val="24"/>
        </w:rPr>
      </w:pPr>
      <w:r>
        <w:rPr>
          <w:rFonts w:hint="eastAsia" w:ascii="仿宋" w:hAnsi="仿宋" w:eastAsia="仿宋" w:cs="Times New Roman"/>
          <w:kern w:val="2"/>
          <w:sz w:val="24"/>
          <w:szCs w:val="24"/>
          <w:lang w:val="en-US" w:eastAsia="zh-CN" w:bidi="ar-SA"/>
        </w:rPr>
        <w:t>14.1</w:t>
      </w:r>
      <w:r>
        <w:rPr>
          <w:rFonts w:hint="eastAsia" w:ascii="仿宋" w:hAnsi="仿宋" w:eastAsia="仿宋"/>
          <w:sz w:val="24"/>
        </w:rPr>
        <w:t>政府采购合同履行中，在不改变合同其他条款的前提下，甲方可以在合同价款10%的范围内追加与合同标的相同的货物，并就此与乙方协商一致后签订补充协议。</w:t>
      </w:r>
    </w:p>
    <w:p w14:paraId="26ED2466">
      <w:pPr>
        <w:numPr>
          <w:ilvl w:val="1"/>
          <w:numId w:val="0"/>
        </w:numPr>
        <w:snapToGrid w:val="0"/>
        <w:spacing w:line="400" w:lineRule="exact"/>
        <w:ind w:left="0" w:leftChars="0" w:firstLine="420" w:firstLineChars="0"/>
        <w:rPr>
          <w:rFonts w:ascii="仿宋" w:hAnsi="仿宋" w:eastAsia="仿宋"/>
          <w:sz w:val="24"/>
        </w:rPr>
      </w:pPr>
      <w:r>
        <w:rPr>
          <w:rFonts w:hint="eastAsia" w:ascii="仿宋" w:hAnsi="仿宋" w:eastAsia="仿宋" w:cs="Times New Roman"/>
          <w:kern w:val="2"/>
          <w:sz w:val="24"/>
          <w:szCs w:val="24"/>
          <w:lang w:val="en-US" w:eastAsia="zh-CN" w:bidi="ar-SA"/>
        </w:rPr>
        <w:t>14.2</w:t>
      </w:r>
      <w:r>
        <w:rPr>
          <w:rFonts w:hint="eastAsia" w:ascii="仿宋" w:hAnsi="仿宋" w:eastAsia="仿宋"/>
          <w:sz w:val="24"/>
        </w:rPr>
        <w:t>合同的中止</w:t>
      </w:r>
    </w:p>
    <w:p w14:paraId="576DE4F8">
      <w:pPr>
        <w:snapToGrid w:val="0"/>
        <w:spacing w:line="400" w:lineRule="exact"/>
        <w:ind w:firstLine="480" w:firstLineChars="200"/>
        <w:rPr>
          <w:rFonts w:ascii="仿宋" w:hAnsi="仿宋" w:eastAsia="仿宋"/>
          <w:sz w:val="24"/>
        </w:rPr>
      </w:pPr>
      <w:r>
        <w:rPr>
          <w:rFonts w:hint="eastAsia" w:ascii="仿宋" w:hAnsi="仿宋" w:eastAsia="仿宋"/>
          <w:sz w:val="24"/>
        </w:rPr>
        <w:t>(1)合同履行过程中因供应商就采购文件、采购过程或结果提起投诉的，甲方认为有必要的，可以中止合同的履行。</w:t>
      </w:r>
    </w:p>
    <w:p w14:paraId="32A85091">
      <w:pPr>
        <w:snapToGrid w:val="0"/>
        <w:spacing w:line="400" w:lineRule="exact"/>
        <w:ind w:firstLine="480" w:firstLineChars="200"/>
        <w:rPr>
          <w:rFonts w:ascii="仿宋" w:hAnsi="仿宋" w:eastAsia="仿宋"/>
          <w:sz w:val="24"/>
        </w:rPr>
      </w:pPr>
      <w:r>
        <w:rPr>
          <w:rFonts w:hint="eastAsia" w:ascii="仿宋" w:hAnsi="仿宋" w:eastAsia="仿宋"/>
          <w:sz w:val="24"/>
        </w:rPr>
        <w:t>(2)合同履行过程中，如果乙方出现以下情形之一的：1．经营状况严重恶化；2．转移财产、抽逃资金，以逃避债务；3．丧失商业信誉；4．有丧失或者可能丧失履约能力的其他情形，乙方有义务及时告知甲方。甲方有权以书面形式通知乙方中止合同并要求乙方在合理期限内消除相关情形或者提供适当担保。乙方提供适当担保的，合同继续履行；乙方在合理期限内未恢复履约能力且未提供适当担保的，视为拒绝继续履约，甲方有权解除合同并要求乙方承担由此给甲方造成的损失。</w:t>
      </w:r>
    </w:p>
    <w:p w14:paraId="1F807BEA">
      <w:pPr>
        <w:snapToGrid w:val="0"/>
        <w:spacing w:line="400" w:lineRule="exact"/>
        <w:ind w:firstLine="480" w:firstLineChars="200"/>
        <w:rPr>
          <w:rFonts w:ascii="仿宋" w:hAnsi="仿宋" w:eastAsia="仿宋"/>
          <w:sz w:val="24"/>
        </w:rPr>
      </w:pPr>
      <w:r>
        <w:rPr>
          <w:rFonts w:hint="eastAsia" w:ascii="仿宋" w:hAnsi="仿宋" w:eastAsia="仿宋"/>
          <w:sz w:val="24"/>
        </w:rPr>
        <w:t>(3)乙方分立、合并或者变更住所的，应当及时以书面形式告知甲方。乙方没有及时告知甲方，致使合同履行发生困难的，甲方可以中止合同履行并要求乙方承担由此给甲方造成的损失。</w:t>
      </w:r>
    </w:p>
    <w:p w14:paraId="170E2DEF">
      <w:pPr>
        <w:snapToGrid w:val="0"/>
        <w:spacing w:line="400" w:lineRule="exact"/>
        <w:ind w:firstLine="480" w:firstLineChars="200"/>
        <w:rPr>
          <w:rFonts w:ascii="仿宋" w:hAnsi="仿宋" w:eastAsia="仿宋"/>
          <w:sz w:val="24"/>
        </w:rPr>
      </w:pPr>
      <w:r>
        <w:rPr>
          <w:rFonts w:hint="eastAsia" w:ascii="仿宋" w:hAnsi="仿宋" w:eastAsia="仿宋"/>
          <w:sz w:val="24"/>
        </w:rPr>
        <w:t>(4)甲方不得以行政区划调整、政府换届、机构或者职能调整以及相关责任人更替为由中止合同。</w:t>
      </w:r>
    </w:p>
    <w:p w14:paraId="07774D35">
      <w:pPr>
        <w:numPr>
          <w:ilvl w:val="1"/>
          <w:numId w:val="0"/>
        </w:numPr>
        <w:snapToGrid w:val="0"/>
        <w:spacing w:line="400" w:lineRule="exact"/>
        <w:ind w:left="0" w:leftChars="0" w:firstLine="420" w:firstLineChars="0"/>
        <w:rPr>
          <w:rFonts w:ascii="仿宋" w:hAnsi="仿宋" w:eastAsia="仿宋"/>
          <w:sz w:val="24"/>
        </w:rPr>
      </w:pPr>
      <w:r>
        <w:rPr>
          <w:rFonts w:hint="eastAsia" w:ascii="仿宋" w:hAnsi="仿宋" w:eastAsia="仿宋" w:cs="Times New Roman"/>
          <w:kern w:val="2"/>
          <w:sz w:val="24"/>
          <w:szCs w:val="24"/>
          <w:lang w:val="en-US" w:eastAsia="zh-CN" w:bidi="ar-SA"/>
        </w:rPr>
        <w:t>14.3</w:t>
      </w:r>
      <w:r>
        <w:rPr>
          <w:rFonts w:hint="eastAsia" w:ascii="仿宋" w:hAnsi="仿宋" w:eastAsia="仿宋"/>
          <w:sz w:val="24"/>
        </w:rPr>
        <w:t>合同的终止</w:t>
      </w:r>
    </w:p>
    <w:p w14:paraId="352C5592">
      <w:pPr>
        <w:snapToGrid w:val="0"/>
        <w:spacing w:line="400" w:lineRule="exact"/>
        <w:ind w:firstLine="480" w:firstLineChars="200"/>
        <w:rPr>
          <w:rFonts w:ascii="仿宋" w:hAnsi="仿宋" w:eastAsia="仿宋"/>
          <w:sz w:val="24"/>
        </w:rPr>
      </w:pPr>
      <w:r>
        <w:rPr>
          <w:rFonts w:hint="eastAsia" w:ascii="仿宋" w:hAnsi="仿宋" w:eastAsia="仿宋"/>
          <w:sz w:val="24"/>
        </w:rPr>
        <w:t>(1)本合同期满且合同内双方所有义务履行完毕后此合同自动终止；</w:t>
      </w:r>
    </w:p>
    <w:p w14:paraId="4AF84277">
      <w:pPr>
        <w:snapToGrid w:val="0"/>
        <w:spacing w:line="400" w:lineRule="exact"/>
        <w:ind w:firstLine="480" w:firstLineChars="200"/>
        <w:rPr>
          <w:rFonts w:ascii="仿宋" w:hAnsi="仿宋" w:eastAsia="仿宋"/>
          <w:sz w:val="24"/>
        </w:rPr>
      </w:pPr>
      <w:r>
        <w:rPr>
          <w:rFonts w:hint="eastAsia" w:ascii="仿宋" w:hAnsi="仿宋" w:eastAsia="仿宋"/>
          <w:sz w:val="24"/>
        </w:rPr>
        <w:t>(2)乙方未按合同约定履行，构成根本性违约的，甲方有权终止合同，并追究乙方的违约责任。</w:t>
      </w:r>
    </w:p>
    <w:p w14:paraId="30117103">
      <w:pPr>
        <w:numPr>
          <w:ilvl w:val="1"/>
          <w:numId w:val="0"/>
        </w:numPr>
        <w:snapToGrid w:val="0"/>
        <w:spacing w:line="400" w:lineRule="exact"/>
        <w:ind w:left="0" w:leftChars="0" w:firstLine="420" w:firstLineChars="0"/>
        <w:rPr>
          <w:rFonts w:ascii="仿宋" w:hAnsi="仿宋" w:eastAsia="仿宋"/>
          <w:sz w:val="24"/>
        </w:rPr>
      </w:pPr>
      <w:r>
        <w:rPr>
          <w:rFonts w:hint="eastAsia" w:ascii="仿宋" w:hAnsi="仿宋" w:eastAsia="仿宋" w:cs="Times New Roman"/>
          <w:kern w:val="2"/>
          <w:sz w:val="24"/>
          <w:szCs w:val="24"/>
          <w:lang w:val="en-US" w:eastAsia="zh-CN" w:bidi="ar-SA"/>
        </w:rPr>
        <w:t>14.4</w:t>
      </w:r>
      <w:r>
        <w:rPr>
          <w:rFonts w:hint="eastAsia" w:ascii="仿宋" w:hAnsi="仿宋" w:eastAsia="仿宋"/>
          <w:sz w:val="24"/>
        </w:rPr>
        <w:t>政府采购合同继续履行将损害国家利益和社会公共利益的，双方当事人应当变更、中止或者终止合同。有过错的一方应当承担赔偿责任，双方都有过错的，各自承担相应的责任。</w:t>
      </w:r>
    </w:p>
    <w:p w14:paraId="41A211B0">
      <w:pPr>
        <w:numPr>
          <w:ilvl w:val="1"/>
          <w:numId w:val="0"/>
        </w:numPr>
        <w:snapToGrid w:val="0"/>
        <w:spacing w:line="400" w:lineRule="exact"/>
        <w:ind w:left="0" w:leftChars="0" w:firstLine="420" w:firstLineChars="0"/>
        <w:rPr>
          <w:rFonts w:ascii="仿宋" w:hAnsi="仿宋" w:eastAsia="仿宋"/>
          <w:sz w:val="24"/>
        </w:rPr>
      </w:pPr>
      <w:r>
        <w:rPr>
          <w:rFonts w:hint="eastAsia" w:ascii="仿宋" w:hAnsi="仿宋" w:eastAsia="仿宋" w:cs="Times New Roman"/>
          <w:kern w:val="2"/>
          <w:sz w:val="24"/>
          <w:szCs w:val="24"/>
          <w:lang w:val="en-US" w:eastAsia="zh-CN" w:bidi="ar-SA"/>
        </w:rPr>
        <w:t>14.5</w:t>
      </w:r>
      <w:r>
        <w:rPr>
          <w:rFonts w:hint="eastAsia" w:ascii="仿宋" w:hAnsi="仿宋" w:eastAsia="仿宋"/>
          <w:sz w:val="24"/>
        </w:rPr>
        <w:t>乙方不得擅自转让其应履行的合同义务。</w:t>
      </w:r>
    </w:p>
    <w:p w14:paraId="20D8C455">
      <w:pPr>
        <w:numPr>
          <w:ilvl w:val="0"/>
          <w:numId w:val="0"/>
        </w:numPr>
        <w:tabs>
          <w:tab w:val="left" w:pos="420"/>
        </w:tabs>
        <w:snapToGrid w:val="0"/>
        <w:spacing w:line="400" w:lineRule="exact"/>
        <w:ind w:left="845" w:leftChars="0" w:hanging="425" w:firstLineChars="0"/>
        <w:rPr>
          <w:rFonts w:ascii="仿宋" w:hAnsi="仿宋" w:eastAsia="仿宋"/>
          <w:b/>
          <w:sz w:val="24"/>
        </w:rPr>
      </w:pPr>
      <w:r>
        <w:rPr>
          <w:rFonts w:hint="eastAsia" w:ascii="仿宋" w:hAnsi="仿宋" w:eastAsia="仿宋" w:cs="Times New Roman"/>
          <w:b/>
          <w:kern w:val="2"/>
          <w:sz w:val="24"/>
          <w:szCs w:val="24"/>
          <w:lang w:val="en-US" w:eastAsia="zh-CN" w:bidi="ar-SA"/>
        </w:rPr>
        <w:t xml:space="preserve">第十五条 </w:t>
      </w:r>
      <w:r>
        <w:rPr>
          <w:rFonts w:hint="eastAsia" w:ascii="仿宋" w:hAnsi="仿宋" w:eastAsia="仿宋"/>
          <w:b/>
          <w:sz w:val="24"/>
        </w:rPr>
        <w:t>组成合同的文件</w:t>
      </w:r>
    </w:p>
    <w:p w14:paraId="0531836E">
      <w:pPr>
        <w:numPr>
          <w:ilvl w:val="1"/>
          <w:numId w:val="0"/>
        </w:numPr>
        <w:snapToGrid w:val="0"/>
        <w:spacing w:line="400" w:lineRule="exact"/>
        <w:ind w:left="0" w:leftChars="0" w:firstLine="420" w:firstLineChars="0"/>
        <w:rPr>
          <w:rFonts w:ascii="仿宋" w:hAnsi="仿宋" w:eastAsia="仿宋"/>
          <w:sz w:val="24"/>
        </w:rPr>
      </w:pPr>
      <w:r>
        <w:rPr>
          <w:rFonts w:hint="eastAsia" w:ascii="仿宋" w:hAnsi="仿宋" w:eastAsia="仿宋" w:cs="Times New Roman"/>
          <w:kern w:val="2"/>
          <w:sz w:val="24"/>
          <w:szCs w:val="24"/>
          <w:lang w:val="en-US" w:eastAsia="zh-CN" w:bidi="ar-SA"/>
        </w:rPr>
        <w:t>15.1</w:t>
      </w:r>
      <w:r>
        <w:rPr>
          <w:rFonts w:hint="eastAsia" w:ascii="仿宋" w:hAnsi="仿宋" w:eastAsia="仿宋"/>
          <w:sz w:val="24"/>
        </w:rPr>
        <w:t>招标文件（采购文件）；</w:t>
      </w:r>
    </w:p>
    <w:p w14:paraId="3C845655">
      <w:pPr>
        <w:numPr>
          <w:ilvl w:val="1"/>
          <w:numId w:val="0"/>
        </w:numPr>
        <w:snapToGrid w:val="0"/>
        <w:spacing w:line="400" w:lineRule="exact"/>
        <w:ind w:left="0" w:leftChars="0" w:firstLine="420" w:firstLineChars="0"/>
        <w:rPr>
          <w:rFonts w:ascii="仿宋" w:hAnsi="仿宋" w:eastAsia="仿宋"/>
          <w:sz w:val="24"/>
        </w:rPr>
      </w:pPr>
      <w:r>
        <w:rPr>
          <w:rFonts w:hint="eastAsia" w:ascii="仿宋" w:hAnsi="仿宋" w:eastAsia="仿宋" w:cs="Times New Roman"/>
          <w:kern w:val="2"/>
          <w:sz w:val="24"/>
          <w:szCs w:val="24"/>
          <w:lang w:val="en-US" w:eastAsia="zh-CN" w:bidi="ar-SA"/>
        </w:rPr>
        <w:t>15.2</w:t>
      </w:r>
      <w:r>
        <w:rPr>
          <w:rFonts w:hint="eastAsia" w:ascii="仿宋" w:hAnsi="仿宋" w:eastAsia="仿宋"/>
          <w:sz w:val="24"/>
        </w:rPr>
        <w:t>乙方提供的投标（或应答）文件；</w:t>
      </w:r>
    </w:p>
    <w:p w14:paraId="00325F5F">
      <w:pPr>
        <w:numPr>
          <w:ilvl w:val="1"/>
          <w:numId w:val="0"/>
        </w:numPr>
        <w:snapToGrid w:val="0"/>
        <w:spacing w:line="400" w:lineRule="exact"/>
        <w:ind w:left="0" w:leftChars="0" w:firstLine="420" w:firstLineChars="0"/>
        <w:rPr>
          <w:rFonts w:ascii="仿宋" w:hAnsi="仿宋" w:eastAsia="仿宋"/>
          <w:sz w:val="24"/>
        </w:rPr>
      </w:pPr>
      <w:r>
        <w:rPr>
          <w:rFonts w:hint="eastAsia" w:ascii="仿宋" w:hAnsi="仿宋" w:eastAsia="仿宋" w:cs="Times New Roman"/>
          <w:kern w:val="2"/>
          <w:sz w:val="24"/>
          <w:szCs w:val="24"/>
          <w:lang w:val="en-US" w:eastAsia="zh-CN" w:bidi="ar-SA"/>
        </w:rPr>
        <w:t>15.3</w:t>
      </w:r>
      <w:r>
        <w:rPr>
          <w:rFonts w:hint="eastAsia" w:ascii="仿宋" w:hAnsi="仿宋" w:eastAsia="仿宋"/>
          <w:sz w:val="24"/>
        </w:rPr>
        <w:t>国家法律、行政法规和规章制度规定或合同约定的作为合同组成部分的其他文件。</w:t>
      </w:r>
    </w:p>
    <w:p w14:paraId="616F447F">
      <w:pPr>
        <w:snapToGrid w:val="0"/>
        <w:spacing w:line="400" w:lineRule="exact"/>
        <w:ind w:firstLine="480" w:firstLineChars="200"/>
        <w:rPr>
          <w:rFonts w:ascii="仿宋" w:hAnsi="仿宋" w:eastAsia="仿宋"/>
          <w:sz w:val="24"/>
        </w:rPr>
      </w:pPr>
      <w:r>
        <w:rPr>
          <w:rFonts w:hint="eastAsia" w:ascii="仿宋" w:hAnsi="仿宋" w:eastAsia="仿宋"/>
          <w:sz w:val="24"/>
        </w:rPr>
        <w:t>上述合同文件互相补充和解释。如果合同文件之间存在矛盾或者不一致之处，首先以本合同为准，其次以上述文件的排列顺序在先者为准。</w:t>
      </w:r>
    </w:p>
    <w:p w14:paraId="565C08BA">
      <w:pPr>
        <w:numPr>
          <w:ilvl w:val="0"/>
          <w:numId w:val="0"/>
        </w:numPr>
        <w:tabs>
          <w:tab w:val="left" w:pos="420"/>
        </w:tabs>
        <w:snapToGrid w:val="0"/>
        <w:spacing w:line="400" w:lineRule="exact"/>
        <w:ind w:left="845" w:leftChars="0" w:hanging="425" w:firstLineChars="0"/>
        <w:rPr>
          <w:rFonts w:ascii="仿宋" w:hAnsi="仿宋" w:eastAsia="仿宋"/>
          <w:b/>
          <w:sz w:val="24"/>
        </w:rPr>
      </w:pPr>
      <w:r>
        <w:rPr>
          <w:rFonts w:hint="eastAsia" w:ascii="仿宋" w:hAnsi="仿宋" w:eastAsia="仿宋" w:cs="Times New Roman"/>
          <w:b/>
          <w:kern w:val="2"/>
          <w:sz w:val="24"/>
          <w:szCs w:val="24"/>
          <w:lang w:val="en-US" w:eastAsia="zh-CN" w:bidi="ar-SA"/>
        </w:rPr>
        <w:t xml:space="preserve">第十六条 </w:t>
      </w:r>
      <w:r>
        <w:rPr>
          <w:rFonts w:hint="eastAsia" w:ascii="仿宋" w:hAnsi="仿宋" w:eastAsia="仿宋"/>
          <w:b/>
          <w:sz w:val="24"/>
        </w:rPr>
        <w:t xml:space="preserve">附则 </w:t>
      </w:r>
    </w:p>
    <w:p w14:paraId="70FDA414">
      <w:pPr>
        <w:numPr>
          <w:ilvl w:val="1"/>
          <w:numId w:val="0"/>
        </w:numPr>
        <w:snapToGrid w:val="0"/>
        <w:spacing w:line="400" w:lineRule="exact"/>
        <w:ind w:left="0" w:leftChars="0" w:firstLine="420" w:firstLineChars="0"/>
        <w:rPr>
          <w:rFonts w:ascii="仿宋" w:hAnsi="仿宋" w:eastAsia="仿宋"/>
          <w:sz w:val="24"/>
        </w:rPr>
      </w:pPr>
      <w:r>
        <w:rPr>
          <w:rFonts w:hint="eastAsia" w:ascii="仿宋" w:hAnsi="仿宋" w:eastAsia="仿宋" w:cs="Times New Roman"/>
          <w:kern w:val="2"/>
          <w:sz w:val="24"/>
          <w:szCs w:val="24"/>
          <w:lang w:val="en-US" w:eastAsia="zh-CN" w:bidi="ar-SA"/>
        </w:rPr>
        <w:t>16.1</w:t>
      </w:r>
      <w:r>
        <w:rPr>
          <w:rFonts w:hint="eastAsia" w:ascii="仿宋" w:hAnsi="仿宋" w:eastAsia="仿宋"/>
          <w:sz w:val="24"/>
        </w:rPr>
        <w:t>本合同经甲乙双方签字盖章后生效。一式份，甲方份乙方份。</w:t>
      </w:r>
    </w:p>
    <w:p w14:paraId="5753763F">
      <w:pPr>
        <w:numPr>
          <w:ilvl w:val="1"/>
          <w:numId w:val="0"/>
        </w:numPr>
        <w:snapToGrid w:val="0"/>
        <w:spacing w:line="400" w:lineRule="exact"/>
        <w:ind w:left="0" w:leftChars="0" w:firstLine="420" w:firstLineChars="0"/>
        <w:rPr>
          <w:rFonts w:ascii="仿宋" w:hAnsi="仿宋" w:eastAsia="仿宋"/>
          <w:sz w:val="24"/>
        </w:rPr>
      </w:pPr>
      <w:r>
        <w:rPr>
          <w:rFonts w:hint="eastAsia" w:ascii="仿宋" w:hAnsi="仿宋" w:eastAsia="仿宋" w:cs="Times New Roman"/>
          <w:kern w:val="2"/>
          <w:sz w:val="24"/>
          <w:szCs w:val="24"/>
          <w:lang w:val="en-US" w:eastAsia="zh-CN" w:bidi="ar-SA"/>
        </w:rPr>
        <w:t>16.2</w:t>
      </w:r>
      <w:r>
        <w:rPr>
          <w:rFonts w:hint="eastAsia" w:ascii="仿宋" w:hAnsi="仿宋" w:eastAsia="仿宋"/>
          <w:sz w:val="24"/>
        </w:rPr>
        <w:t>对于本合同未尽事宜，甲乙双方应友好协商，另行签订书面补充协议。该补充协议为本合同不可分割的部分，与本合同具有共同法律效力。</w:t>
      </w:r>
    </w:p>
    <w:p w14:paraId="6B75A7BD">
      <w:pPr>
        <w:pStyle w:val="215"/>
        <w:spacing w:line="400" w:lineRule="exact"/>
        <w:ind w:firstLine="482" w:firstLineChars="200"/>
        <w:jc w:val="both"/>
        <w:rPr>
          <w:rFonts w:hint="default" w:ascii="仿宋" w:hAnsi="仿宋" w:eastAsia="仿宋"/>
          <w:kern w:val="2"/>
          <w:sz w:val="24"/>
          <w:szCs w:val="24"/>
          <w:lang w:eastAsia="zh-CN"/>
        </w:rPr>
      </w:pPr>
      <w:r>
        <w:rPr>
          <w:b/>
          <w:sz w:val="24"/>
        </w:rPr>
        <w:t>（以下</w:t>
      </w:r>
      <w:r>
        <w:rPr>
          <w:b/>
          <w:sz w:val="24"/>
          <w:lang w:eastAsia="zh-CN"/>
        </w:rPr>
        <w:t>签署页</w:t>
      </w:r>
      <w:r>
        <w:rPr>
          <w:b/>
          <w:sz w:val="24"/>
        </w:rPr>
        <w:t>无正文）</w:t>
      </w:r>
    </w:p>
    <w:tbl>
      <w:tblPr>
        <w:tblStyle w:val="5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16"/>
        <w:gridCol w:w="4592"/>
      </w:tblGrid>
      <w:tr w14:paraId="0494AE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727" w:hRule="atLeast"/>
        </w:trPr>
        <w:tc>
          <w:tcPr>
            <w:tcW w:w="4516" w:type="dxa"/>
            <w:noWrap/>
            <w:vAlign w:val="center"/>
          </w:tcPr>
          <w:p w14:paraId="76E188F1">
            <w:pPr>
              <w:snapToGrid w:val="0"/>
              <w:spacing w:line="400" w:lineRule="exact"/>
              <w:rPr>
                <w:rFonts w:ascii="仿宋" w:hAnsi="仿宋" w:eastAsia="仿宋"/>
                <w:b/>
                <w:bCs/>
                <w:color w:val="000000"/>
                <w:sz w:val="24"/>
              </w:rPr>
            </w:pPr>
            <w:r>
              <w:rPr>
                <w:rFonts w:hint="eastAsia" w:ascii="仿宋" w:hAnsi="仿宋" w:eastAsia="仿宋"/>
                <w:b/>
                <w:bCs/>
                <w:color w:val="000000"/>
                <w:sz w:val="24"/>
              </w:rPr>
              <w:t xml:space="preserve">甲方（盖章）     </w:t>
            </w:r>
          </w:p>
        </w:tc>
        <w:tc>
          <w:tcPr>
            <w:tcW w:w="4592" w:type="dxa"/>
            <w:noWrap/>
            <w:vAlign w:val="center"/>
          </w:tcPr>
          <w:p w14:paraId="04AF2923">
            <w:pPr>
              <w:snapToGrid w:val="0"/>
              <w:spacing w:line="400" w:lineRule="exact"/>
              <w:rPr>
                <w:rFonts w:ascii="仿宋" w:hAnsi="仿宋" w:eastAsia="仿宋"/>
                <w:b/>
                <w:bCs/>
                <w:color w:val="000000"/>
                <w:sz w:val="24"/>
              </w:rPr>
            </w:pPr>
            <w:r>
              <w:rPr>
                <w:rFonts w:hint="eastAsia" w:ascii="仿宋" w:hAnsi="仿宋" w:eastAsia="仿宋"/>
                <w:b/>
                <w:bCs/>
                <w:color w:val="000000"/>
                <w:sz w:val="24"/>
              </w:rPr>
              <w:t xml:space="preserve">乙方（盖章）  </w:t>
            </w:r>
          </w:p>
        </w:tc>
      </w:tr>
      <w:tr w14:paraId="05743E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3" w:hRule="atLeast"/>
        </w:trPr>
        <w:tc>
          <w:tcPr>
            <w:tcW w:w="4516" w:type="dxa"/>
            <w:noWrap/>
            <w:vAlign w:val="center"/>
          </w:tcPr>
          <w:p w14:paraId="21EB29CD">
            <w:pPr>
              <w:snapToGrid w:val="0"/>
              <w:spacing w:beforeLines="50" w:afterLines="50" w:line="400" w:lineRule="exact"/>
              <w:rPr>
                <w:rFonts w:ascii="仿宋" w:hAnsi="仿宋" w:eastAsia="仿宋"/>
                <w:color w:val="000000"/>
                <w:sz w:val="24"/>
              </w:rPr>
            </w:pPr>
            <w:r>
              <w:rPr>
                <w:rFonts w:hint="eastAsia" w:ascii="仿宋" w:hAnsi="仿宋" w:eastAsia="仿宋"/>
                <w:color w:val="000000"/>
                <w:sz w:val="24"/>
              </w:rPr>
              <w:t>单位地址：</w:t>
            </w:r>
          </w:p>
        </w:tc>
        <w:tc>
          <w:tcPr>
            <w:tcW w:w="4592" w:type="dxa"/>
            <w:noWrap/>
            <w:vAlign w:val="center"/>
          </w:tcPr>
          <w:p w14:paraId="67CAF638">
            <w:pPr>
              <w:snapToGrid w:val="0"/>
              <w:spacing w:beforeLines="50" w:afterLines="50" w:line="400" w:lineRule="exact"/>
              <w:rPr>
                <w:rFonts w:ascii="仿宋" w:hAnsi="仿宋" w:eastAsia="仿宋"/>
                <w:color w:val="000000"/>
                <w:sz w:val="24"/>
              </w:rPr>
            </w:pPr>
            <w:r>
              <w:rPr>
                <w:rFonts w:hint="eastAsia" w:ascii="仿宋" w:hAnsi="仿宋" w:eastAsia="仿宋"/>
                <w:color w:val="000000"/>
                <w:sz w:val="24"/>
              </w:rPr>
              <w:t>单位地址：</w:t>
            </w:r>
          </w:p>
        </w:tc>
      </w:tr>
      <w:tr w14:paraId="680BCE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9" w:hRule="atLeast"/>
        </w:trPr>
        <w:tc>
          <w:tcPr>
            <w:tcW w:w="4516" w:type="dxa"/>
            <w:noWrap/>
            <w:vAlign w:val="center"/>
          </w:tcPr>
          <w:p w14:paraId="717DF59B">
            <w:pPr>
              <w:snapToGrid w:val="0"/>
              <w:spacing w:beforeLines="50" w:afterLines="50" w:line="400" w:lineRule="exact"/>
              <w:rPr>
                <w:rFonts w:ascii="仿宋" w:hAnsi="仿宋" w:eastAsia="仿宋"/>
                <w:color w:val="000000"/>
                <w:sz w:val="24"/>
              </w:rPr>
            </w:pPr>
            <w:r>
              <w:rPr>
                <w:rFonts w:hint="eastAsia" w:ascii="仿宋" w:hAnsi="仿宋" w:eastAsia="仿宋"/>
                <w:color w:val="000000"/>
                <w:sz w:val="24"/>
              </w:rPr>
              <w:t>法定代表人：</w:t>
            </w:r>
          </w:p>
        </w:tc>
        <w:tc>
          <w:tcPr>
            <w:tcW w:w="4592" w:type="dxa"/>
            <w:noWrap/>
            <w:vAlign w:val="center"/>
          </w:tcPr>
          <w:p w14:paraId="20044BAC">
            <w:pPr>
              <w:snapToGrid w:val="0"/>
              <w:spacing w:beforeLines="50" w:afterLines="50" w:line="400" w:lineRule="exact"/>
              <w:rPr>
                <w:rFonts w:ascii="仿宋" w:hAnsi="仿宋" w:eastAsia="仿宋"/>
                <w:color w:val="000000"/>
                <w:sz w:val="24"/>
              </w:rPr>
            </w:pPr>
            <w:r>
              <w:rPr>
                <w:rFonts w:hint="eastAsia" w:ascii="仿宋" w:hAnsi="仿宋" w:eastAsia="仿宋"/>
                <w:color w:val="000000"/>
                <w:sz w:val="24"/>
              </w:rPr>
              <w:t>法定代表人：</w:t>
            </w:r>
          </w:p>
        </w:tc>
      </w:tr>
      <w:tr w14:paraId="5D9FDB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1" w:hRule="atLeast"/>
        </w:trPr>
        <w:tc>
          <w:tcPr>
            <w:tcW w:w="4516" w:type="dxa"/>
            <w:noWrap/>
            <w:vAlign w:val="center"/>
          </w:tcPr>
          <w:p w14:paraId="00E22721">
            <w:pPr>
              <w:snapToGrid w:val="0"/>
              <w:spacing w:beforeLines="50" w:afterLines="50" w:line="400" w:lineRule="exact"/>
              <w:rPr>
                <w:rFonts w:ascii="仿宋" w:hAnsi="仿宋" w:eastAsia="仿宋"/>
                <w:color w:val="000000"/>
                <w:sz w:val="24"/>
              </w:rPr>
            </w:pPr>
            <w:r>
              <w:rPr>
                <w:rFonts w:hint="eastAsia" w:ascii="仿宋" w:hAnsi="仿宋" w:eastAsia="仿宋"/>
                <w:color w:val="000000"/>
                <w:sz w:val="24"/>
              </w:rPr>
              <w:t>委托代理人：</w:t>
            </w:r>
          </w:p>
        </w:tc>
        <w:tc>
          <w:tcPr>
            <w:tcW w:w="4592" w:type="dxa"/>
            <w:noWrap/>
            <w:vAlign w:val="center"/>
          </w:tcPr>
          <w:p w14:paraId="7D9AD209">
            <w:pPr>
              <w:snapToGrid w:val="0"/>
              <w:spacing w:beforeLines="50" w:afterLines="50" w:line="400" w:lineRule="exact"/>
              <w:rPr>
                <w:rFonts w:ascii="仿宋" w:hAnsi="仿宋" w:eastAsia="仿宋"/>
                <w:color w:val="000000"/>
                <w:sz w:val="24"/>
              </w:rPr>
            </w:pPr>
            <w:r>
              <w:rPr>
                <w:rFonts w:hint="eastAsia" w:ascii="仿宋" w:hAnsi="仿宋" w:eastAsia="仿宋"/>
                <w:color w:val="000000"/>
                <w:sz w:val="24"/>
              </w:rPr>
              <w:t>委托代理人</w:t>
            </w:r>
          </w:p>
        </w:tc>
      </w:tr>
      <w:tr w14:paraId="1540C2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3" w:hRule="atLeast"/>
        </w:trPr>
        <w:tc>
          <w:tcPr>
            <w:tcW w:w="4516" w:type="dxa"/>
            <w:noWrap/>
            <w:vAlign w:val="center"/>
          </w:tcPr>
          <w:p w14:paraId="5C23B88E">
            <w:pPr>
              <w:snapToGrid w:val="0"/>
              <w:spacing w:beforeLines="50" w:afterLines="50" w:line="400" w:lineRule="exact"/>
              <w:rPr>
                <w:rFonts w:ascii="仿宋" w:hAnsi="仿宋" w:eastAsia="仿宋"/>
                <w:color w:val="000000"/>
                <w:sz w:val="24"/>
              </w:rPr>
            </w:pPr>
            <w:r>
              <w:rPr>
                <w:rFonts w:hint="eastAsia" w:ascii="仿宋" w:hAnsi="仿宋" w:eastAsia="仿宋"/>
                <w:color w:val="000000"/>
                <w:sz w:val="24"/>
              </w:rPr>
              <w:t>电话：</w:t>
            </w:r>
          </w:p>
          <w:p w14:paraId="34ED351F">
            <w:pPr>
              <w:snapToGrid w:val="0"/>
              <w:spacing w:beforeLines="50" w:afterLines="50" w:line="400" w:lineRule="exact"/>
              <w:rPr>
                <w:rFonts w:ascii="仿宋" w:hAnsi="仿宋" w:eastAsia="仿宋"/>
                <w:color w:val="000000"/>
                <w:sz w:val="24"/>
              </w:rPr>
            </w:pPr>
          </w:p>
        </w:tc>
        <w:tc>
          <w:tcPr>
            <w:tcW w:w="4592" w:type="dxa"/>
            <w:noWrap/>
            <w:vAlign w:val="center"/>
          </w:tcPr>
          <w:p w14:paraId="3F1DC7A3">
            <w:pPr>
              <w:snapToGrid w:val="0"/>
              <w:spacing w:beforeLines="50" w:afterLines="50" w:line="400" w:lineRule="exact"/>
              <w:rPr>
                <w:rFonts w:ascii="仿宋" w:hAnsi="仿宋" w:eastAsia="仿宋"/>
                <w:color w:val="000000"/>
                <w:sz w:val="24"/>
              </w:rPr>
            </w:pPr>
            <w:r>
              <w:rPr>
                <w:rFonts w:hint="eastAsia" w:ascii="仿宋" w:hAnsi="仿宋" w:eastAsia="仿宋"/>
                <w:color w:val="000000"/>
                <w:sz w:val="24"/>
              </w:rPr>
              <w:t>电话：</w:t>
            </w:r>
          </w:p>
          <w:p w14:paraId="092335E3">
            <w:pPr>
              <w:snapToGrid w:val="0"/>
              <w:spacing w:beforeLines="50" w:afterLines="50" w:line="400" w:lineRule="exact"/>
              <w:rPr>
                <w:rFonts w:ascii="仿宋" w:hAnsi="仿宋" w:eastAsia="仿宋"/>
                <w:color w:val="000000"/>
                <w:sz w:val="24"/>
              </w:rPr>
            </w:pPr>
            <w:r>
              <w:rPr>
                <w:rFonts w:hint="eastAsia" w:ascii="仿宋" w:hAnsi="仿宋" w:eastAsia="仿宋"/>
                <w:color w:val="000000"/>
                <w:sz w:val="24"/>
              </w:rPr>
              <w:t>手机：</w:t>
            </w:r>
          </w:p>
        </w:tc>
      </w:tr>
      <w:tr w14:paraId="4D9586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6" w:hRule="atLeast"/>
        </w:trPr>
        <w:tc>
          <w:tcPr>
            <w:tcW w:w="4516" w:type="dxa"/>
            <w:noWrap/>
            <w:vAlign w:val="center"/>
          </w:tcPr>
          <w:p w14:paraId="4A076C40">
            <w:pPr>
              <w:snapToGrid w:val="0"/>
              <w:spacing w:beforeLines="50" w:afterLines="50" w:line="400" w:lineRule="exact"/>
              <w:rPr>
                <w:rFonts w:ascii="仿宋" w:hAnsi="仿宋" w:eastAsia="仿宋"/>
                <w:color w:val="000000"/>
                <w:sz w:val="24"/>
              </w:rPr>
            </w:pPr>
            <w:r>
              <w:rPr>
                <w:rFonts w:hint="eastAsia" w:ascii="仿宋" w:hAnsi="仿宋" w:eastAsia="仿宋"/>
                <w:color w:val="000000"/>
                <w:sz w:val="24"/>
              </w:rPr>
              <w:t>开户银行：</w:t>
            </w:r>
          </w:p>
        </w:tc>
        <w:tc>
          <w:tcPr>
            <w:tcW w:w="4592" w:type="dxa"/>
            <w:noWrap/>
            <w:vAlign w:val="center"/>
          </w:tcPr>
          <w:p w14:paraId="586C232F">
            <w:pPr>
              <w:snapToGrid w:val="0"/>
              <w:spacing w:beforeLines="50" w:afterLines="50"/>
              <w:rPr>
                <w:rFonts w:ascii="仿宋" w:hAnsi="仿宋" w:eastAsia="仿宋"/>
                <w:color w:val="000000"/>
                <w:sz w:val="24"/>
              </w:rPr>
            </w:pPr>
            <w:r>
              <w:rPr>
                <w:rFonts w:hint="eastAsia" w:ascii="仿宋" w:hAnsi="仿宋" w:eastAsia="仿宋"/>
                <w:color w:val="000000"/>
                <w:sz w:val="24"/>
              </w:rPr>
              <w:t>开户银行：</w:t>
            </w:r>
          </w:p>
        </w:tc>
      </w:tr>
      <w:tr w14:paraId="0E986A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1" w:hRule="atLeast"/>
        </w:trPr>
        <w:tc>
          <w:tcPr>
            <w:tcW w:w="4516" w:type="dxa"/>
            <w:noWrap/>
            <w:vAlign w:val="center"/>
          </w:tcPr>
          <w:p w14:paraId="5C37CFDB">
            <w:pPr>
              <w:snapToGrid w:val="0"/>
              <w:spacing w:beforeLines="50" w:afterLines="50" w:line="400" w:lineRule="exact"/>
              <w:rPr>
                <w:rFonts w:ascii="仿宋" w:hAnsi="仿宋" w:eastAsia="仿宋"/>
                <w:color w:val="000000"/>
                <w:sz w:val="24"/>
              </w:rPr>
            </w:pPr>
            <w:r>
              <w:rPr>
                <w:rFonts w:hint="eastAsia" w:ascii="仿宋" w:hAnsi="仿宋" w:eastAsia="仿宋"/>
                <w:color w:val="000000"/>
                <w:sz w:val="24"/>
              </w:rPr>
              <w:t>账号：</w:t>
            </w:r>
          </w:p>
        </w:tc>
        <w:tc>
          <w:tcPr>
            <w:tcW w:w="4592" w:type="dxa"/>
            <w:noWrap/>
            <w:vAlign w:val="center"/>
          </w:tcPr>
          <w:p w14:paraId="226CCE73">
            <w:pPr>
              <w:snapToGrid w:val="0"/>
              <w:spacing w:beforeLines="50" w:afterLines="50"/>
              <w:rPr>
                <w:rFonts w:ascii="仿宋" w:hAnsi="仿宋" w:eastAsia="仿宋"/>
                <w:color w:val="000000"/>
                <w:sz w:val="24"/>
              </w:rPr>
            </w:pPr>
            <w:r>
              <w:rPr>
                <w:rFonts w:hint="eastAsia" w:ascii="仿宋" w:hAnsi="仿宋" w:eastAsia="仿宋"/>
                <w:color w:val="000000"/>
                <w:sz w:val="24"/>
              </w:rPr>
              <w:t>账号：</w:t>
            </w:r>
          </w:p>
        </w:tc>
      </w:tr>
      <w:tr w14:paraId="3208DD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8" w:hRule="atLeast"/>
        </w:trPr>
        <w:tc>
          <w:tcPr>
            <w:tcW w:w="4516" w:type="dxa"/>
            <w:noWrap/>
            <w:vAlign w:val="center"/>
          </w:tcPr>
          <w:p w14:paraId="75A3DB23">
            <w:pPr>
              <w:snapToGrid w:val="0"/>
              <w:spacing w:beforeLines="50" w:afterLines="50" w:line="400" w:lineRule="exact"/>
              <w:rPr>
                <w:rFonts w:ascii="仿宋" w:hAnsi="仿宋" w:eastAsia="仿宋"/>
                <w:color w:val="000000"/>
                <w:sz w:val="24"/>
              </w:rPr>
            </w:pPr>
            <w:r>
              <w:rPr>
                <w:rFonts w:hint="eastAsia" w:ascii="仿宋" w:hAnsi="仿宋" w:eastAsia="仿宋"/>
                <w:color w:val="000000"/>
                <w:sz w:val="24"/>
              </w:rPr>
              <w:t>经办人：</w:t>
            </w:r>
          </w:p>
        </w:tc>
        <w:tc>
          <w:tcPr>
            <w:tcW w:w="4592" w:type="dxa"/>
            <w:noWrap/>
            <w:vAlign w:val="center"/>
          </w:tcPr>
          <w:p w14:paraId="71454B5B">
            <w:pPr>
              <w:snapToGrid w:val="0"/>
              <w:spacing w:beforeLines="50" w:afterLines="50"/>
              <w:rPr>
                <w:rFonts w:ascii="仿宋" w:hAnsi="仿宋" w:eastAsia="仿宋"/>
                <w:color w:val="000000"/>
                <w:sz w:val="24"/>
              </w:rPr>
            </w:pPr>
            <w:r>
              <w:rPr>
                <w:rFonts w:hint="eastAsia" w:ascii="仿宋" w:hAnsi="仿宋" w:eastAsia="仿宋"/>
                <w:color w:val="000000"/>
                <w:sz w:val="24"/>
              </w:rPr>
              <w:t>经办人：</w:t>
            </w:r>
          </w:p>
        </w:tc>
      </w:tr>
      <w:tr w14:paraId="6DCE0F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8" w:hRule="atLeast"/>
        </w:trPr>
        <w:tc>
          <w:tcPr>
            <w:tcW w:w="4516" w:type="dxa"/>
            <w:noWrap/>
            <w:vAlign w:val="center"/>
          </w:tcPr>
          <w:p w14:paraId="4DA9AEEB">
            <w:pPr>
              <w:snapToGrid w:val="0"/>
              <w:spacing w:beforeLines="50" w:afterLines="50" w:line="400" w:lineRule="exact"/>
              <w:rPr>
                <w:rFonts w:ascii="仿宋" w:hAnsi="仿宋" w:eastAsia="仿宋"/>
                <w:color w:val="000000"/>
                <w:sz w:val="24"/>
              </w:rPr>
            </w:pPr>
            <w:r>
              <w:rPr>
                <w:rFonts w:hint="eastAsia" w:ascii="仿宋" w:hAnsi="仿宋" w:eastAsia="仿宋"/>
                <w:color w:val="000000"/>
                <w:sz w:val="24"/>
              </w:rPr>
              <w:t>签订日期：</w:t>
            </w:r>
          </w:p>
        </w:tc>
        <w:tc>
          <w:tcPr>
            <w:tcW w:w="4592" w:type="dxa"/>
            <w:noWrap/>
            <w:vAlign w:val="center"/>
          </w:tcPr>
          <w:p w14:paraId="709E4F45">
            <w:pPr>
              <w:snapToGrid w:val="0"/>
              <w:spacing w:beforeLines="50" w:afterLines="50"/>
              <w:rPr>
                <w:rFonts w:ascii="仿宋" w:hAnsi="仿宋" w:eastAsia="仿宋"/>
                <w:color w:val="000000"/>
                <w:sz w:val="24"/>
              </w:rPr>
            </w:pPr>
            <w:r>
              <w:rPr>
                <w:rFonts w:hint="eastAsia" w:ascii="仿宋" w:hAnsi="仿宋" w:eastAsia="仿宋"/>
                <w:color w:val="000000"/>
                <w:sz w:val="24"/>
              </w:rPr>
              <w:t>签订日期：</w:t>
            </w:r>
          </w:p>
        </w:tc>
      </w:tr>
    </w:tbl>
    <w:p w14:paraId="203F2B15">
      <w:pPr>
        <w:snapToGrid w:val="0"/>
        <w:spacing w:line="400" w:lineRule="exact"/>
        <w:rPr>
          <w:rFonts w:ascii="仿宋" w:hAnsi="仿宋" w:eastAsia="仿宋"/>
          <w:sz w:val="24"/>
        </w:rPr>
      </w:pPr>
    </w:p>
    <w:p w14:paraId="2E29703D">
      <w:pPr>
        <w:snapToGrid w:val="0"/>
        <w:spacing w:line="400" w:lineRule="exact"/>
        <w:ind w:firstLine="480" w:firstLineChars="200"/>
        <w:rPr>
          <w:rFonts w:ascii="仿宋" w:hAnsi="仿宋" w:eastAsia="仿宋"/>
          <w:sz w:val="24"/>
        </w:rPr>
      </w:pPr>
    </w:p>
    <w:p w14:paraId="0B6DA5C1">
      <w:pPr>
        <w:snapToGrid w:val="0"/>
        <w:spacing w:line="400" w:lineRule="exact"/>
        <w:ind w:firstLine="480" w:firstLineChars="200"/>
        <w:rPr>
          <w:rFonts w:ascii="仿宋" w:hAnsi="仿宋" w:eastAsia="仿宋"/>
          <w:sz w:val="24"/>
        </w:rPr>
      </w:pPr>
    </w:p>
    <w:p w14:paraId="0A9AEF6C">
      <w:pPr>
        <w:snapToGrid w:val="0"/>
        <w:spacing w:line="400" w:lineRule="exact"/>
        <w:ind w:firstLine="480" w:firstLineChars="200"/>
        <w:rPr>
          <w:rFonts w:ascii="仿宋" w:hAnsi="仿宋" w:eastAsia="仿宋"/>
          <w:sz w:val="24"/>
        </w:rPr>
      </w:pPr>
    </w:p>
    <w:p w14:paraId="725E6577">
      <w:pPr>
        <w:snapToGrid w:val="0"/>
        <w:spacing w:line="400" w:lineRule="exact"/>
        <w:ind w:firstLine="480" w:firstLineChars="200"/>
        <w:rPr>
          <w:rFonts w:ascii="仿宋" w:hAnsi="仿宋" w:eastAsia="仿宋"/>
          <w:color w:val="FF0000"/>
          <w:sz w:val="24"/>
        </w:rPr>
      </w:pPr>
    </w:p>
    <w:p w14:paraId="29DDC878">
      <w:pPr>
        <w:rPr>
          <w:rFonts w:hint="eastAsia" w:ascii="仿宋" w:hAnsi="仿宋" w:eastAsia="仿宋"/>
          <w:color w:val="auto"/>
          <w:sz w:val="24"/>
        </w:rPr>
      </w:pPr>
      <w:r>
        <w:rPr>
          <w:rFonts w:hint="eastAsia" w:ascii="仿宋" w:hAnsi="仿宋" w:eastAsia="仿宋"/>
          <w:color w:val="auto"/>
          <w:sz w:val="24"/>
        </w:rPr>
        <w:br w:type="page"/>
      </w:r>
    </w:p>
    <w:p w14:paraId="6CE045EE">
      <w:pPr>
        <w:snapToGrid w:val="0"/>
        <w:spacing w:line="400" w:lineRule="exact"/>
        <w:ind w:firstLine="480" w:firstLineChars="200"/>
        <w:rPr>
          <w:rFonts w:ascii="仿宋" w:hAnsi="仿宋" w:eastAsia="仿宋"/>
          <w:color w:val="auto"/>
          <w:sz w:val="24"/>
        </w:rPr>
      </w:pPr>
      <w:r>
        <w:rPr>
          <w:rFonts w:hint="eastAsia" w:ascii="仿宋" w:hAnsi="仿宋" w:eastAsia="仿宋"/>
          <w:color w:val="auto"/>
          <w:sz w:val="24"/>
        </w:rPr>
        <w:t>附件1：本设备适用耗材、试剂的价格表（如有）</w:t>
      </w:r>
    </w:p>
    <w:tbl>
      <w:tblPr>
        <w:tblStyle w:val="51"/>
        <w:tblW w:w="9782" w:type="dxa"/>
        <w:tblInd w:w="-176"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2010"/>
        <w:gridCol w:w="1725"/>
        <w:gridCol w:w="802"/>
        <w:gridCol w:w="1958"/>
        <w:gridCol w:w="585"/>
        <w:gridCol w:w="600"/>
        <w:gridCol w:w="968"/>
        <w:gridCol w:w="1134"/>
      </w:tblGrid>
      <w:tr w14:paraId="6E8351D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97" w:hRule="atLeast"/>
        </w:trPr>
        <w:tc>
          <w:tcPr>
            <w:tcW w:w="2010" w:type="dxa"/>
            <w:tcBorders>
              <w:top w:val="single" w:color="auto" w:sz="4" w:space="0"/>
              <w:left w:val="single" w:color="auto" w:sz="4" w:space="0"/>
              <w:bottom w:val="single" w:color="auto" w:sz="4" w:space="0"/>
              <w:right w:val="single" w:color="auto" w:sz="4" w:space="0"/>
            </w:tcBorders>
            <w:noWrap/>
            <w:vAlign w:val="center"/>
          </w:tcPr>
          <w:p w14:paraId="3E71DD97">
            <w:pPr>
              <w:snapToGrid w:val="0"/>
              <w:spacing w:line="400" w:lineRule="exact"/>
              <w:jc w:val="center"/>
              <w:rPr>
                <w:rFonts w:ascii="仿宋" w:hAnsi="仿宋" w:eastAsia="仿宋"/>
                <w:color w:val="auto"/>
                <w:sz w:val="24"/>
              </w:rPr>
            </w:pPr>
            <w:r>
              <w:rPr>
                <w:rFonts w:hint="eastAsia" w:ascii="仿宋" w:hAnsi="仿宋" w:eastAsia="仿宋"/>
                <w:color w:val="auto"/>
                <w:sz w:val="24"/>
              </w:rPr>
              <w:t>耗材、试剂名称</w:t>
            </w:r>
          </w:p>
        </w:tc>
        <w:tc>
          <w:tcPr>
            <w:tcW w:w="1725" w:type="dxa"/>
            <w:tcBorders>
              <w:top w:val="single" w:color="auto" w:sz="4" w:space="0"/>
              <w:left w:val="single" w:color="auto" w:sz="4" w:space="0"/>
              <w:bottom w:val="single" w:color="auto" w:sz="4" w:space="0"/>
              <w:right w:val="single" w:color="auto" w:sz="4" w:space="0"/>
            </w:tcBorders>
            <w:noWrap/>
            <w:vAlign w:val="center"/>
          </w:tcPr>
          <w:p w14:paraId="5D7A864E">
            <w:pPr>
              <w:snapToGrid w:val="0"/>
              <w:spacing w:line="400" w:lineRule="exact"/>
              <w:jc w:val="center"/>
              <w:rPr>
                <w:rFonts w:ascii="仿宋" w:hAnsi="仿宋" w:eastAsia="仿宋"/>
                <w:color w:val="auto"/>
                <w:sz w:val="24"/>
              </w:rPr>
            </w:pPr>
            <w:r>
              <w:rPr>
                <w:rFonts w:hint="eastAsia" w:ascii="仿宋" w:hAnsi="仿宋" w:eastAsia="仿宋"/>
                <w:color w:val="auto"/>
                <w:sz w:val="24"/>
              </w:rPr>
              <w:t>产品注册证号</w:t>
            </w:r>
          </w:p>
        </w:tc>
        <w:tc>
          <w:tcPr>
            <w:tcW w:w="802" w:type="dxa"/>
            <w:tcBorders>
              <w:top w:val="single" w:color="auto" w:sz="4" w:space="0"/>
              <w:left w:val="single" w:color="auto" w:sz="4" w:space="0"/>
              <w:bottom w:val="single" w:color="auto" w:sz="4" w:space="0"/>
              <w:right w:val="single" w:color="auto" w:sz="4" w:space="0"/>
            </w:tcBorders>
            <w:noWrap/>
            <w:vAlign w:val="center"/>
          </w:tcPr>
          <w:p w14:paraId="61B97546">
            <w:pPr>
              <w:snapToGrid w:val="0"/>
              <w:spacing w:line="400" w:lineRule="exact"/>
              <w:jc w:val="center"/>
              <w:rPr>
                <w:rFonts w:ascii="仿宋" w:hAnsi="仿宋" w:eastAsia="仿宋"/>
                <w:color w:val="auto"/>
                <w:sz w:val="24"/>
              </w:rPr>
            </w:pPr>
            <w:r>
              <w:rPr>
                <w:rFonts w:hint="eastAsia" w:ascii="仿宋" w:hAnsi="仿宋" w:eastAsia="仿宋"/>
                <w:color w:val="auto"/>
                <w:sz w:val="24"/>
              </w:rPr>
              <w:t>型号</w:t>
            </w:r>
          </w:p>
          <w:p w14:paraId="187B1976">
            <w:pPr>
              <w:snapToGrid w:val="0"/>
              <w:spacing w:line="400" w:lineRule="exact"/>
              <w:jc w:val="center"/>
              <w:rPr>
                <w:rFonts w:ascii="仿宋" w:hAnsi="仿宋" w:eastAsia="仿宋"/>
                <w:color w:val="auto"/>
                <w:sz w:val="24"/>
              </w:rPr>
            </w:pPr>
            <w:r>
              <w:rPr>
                <w:rFonts w:hint="eastAsia" w:ascii="仿宋" w:hAnsi="仿宋" w:eastAsia="仿宋"/>
                <w:color w:val="auto"/>
                <w:sz w:val="24"/>
              </w:rPr>
              <w:t>规格</w:t>
            </w:r>
          </w:p>
        </w:tc>
        <w:tc>
          <w:tcPr>
            <w:tcW w:w="1958" w:type="dxa"/>
            <w:tcBorders>
              <w:top w:val="single" w:color="auto" w:sz="4" w:space="0"/>
              <w:left w:val="single" w:color="auto" w:sz="4" w:space="0"/>
              <w:bottom w:val="single" w:color="auto" w:sz="4" w:space="0"/>
              <w:right w:val="single" w:color="auto" w:sz="4" w:space="0"/>
            </w:tcBorders>
            <w:noWrap/>
            <w:vAlign w:val="center"/>
          </w:tcPr>
          <w:p w14:paraId="30122D8F">
            <w:pPr>
              <w:snapToGrid w:val="0"/>
              <w:spacing w:line="400" w:lineRule="exact"/>
              <w:jc w:val="center"/>
              <w:rPr>
                <w:rFonts w:ascii="仿宋" w:hAnsi="仿宋" w:eastAsia="仿宋"/>
                <w:color w:val="auto"/>
                <w:sz w:val="24"/>
              </w:rPr>
            </w:pPr>
            <w:r>
              <w:rPr>
                <w:rFonts w:hint="eastAsia" w:ascii="仿宋" w:hAnsi="仿宋" w:eastAsia="仿宋"/>
                <w:color w:val="auto"/>
                <w:sz w:val="24"/>
              </w:rPr>
              <w:t>生产厂家及品牌</w:t>
            </w:r>
          </w:p>
        </w:tc>
        <w:tc>
          <w:tcPr>
            <w:tcW w:w="585" w:type="dxa"/>
            <w:tcBorders>
              <w:top w:val="single" w:color="auto" w:sz="4" w:space="0"/>
              <w:left w:val="single" w:color="auto" w:sz="4" w:space="0"/>
              <w:bottom w:val="single" w:color="auto" w:sz="4" w:space="0"/>
              <w:right w:val="single" w:color="auto" w:sz="4" w:space="0"/>
            </w:tcBorders>
            <w:noWrap/>
            <w:vAlign w:val="center"/>
          </w:tcPr>
          <w:p w14:paraId="67F1EE0F">
            <w:pPr>
              <w:snapToGrid w:val="0"/>
              <w:spacing w:line="400" w:lineRule="exact"/>
              <w:jc w:val="center"/>
              <w:rPr>
                <w:rFonts w:ascii="仿宋" w:hAnsi="仿宋" w:eastAsia="仿宋"/>
                <w:color w:val="auto"/>
                <w:sz w:val="24"/>
              </w:rPr>
            </w:pPr>
            <w:r>
              <w:rPr>
                <w:rFonts w:hint="eastAsia" w:ascii="仿宋" w:hAnsi="仿宋" w:eastAsia="仿宋"/>
                <w:color w:val="auto"/>
                <w:sz w:val="24"/>
              </w:rPr>
              <w:t>单位</w:t>
            </w:r>
          </w:p>
        </w:tc>
        <w:tc>
          <w:tcPr>
            <w:tcW w:w="600" w:type="dxa"/>
            <w:tcBorders>
              <w:top w:val="single" w:color="auto" w:sz="4" w:space="0"/>
              <w:left w:val="single" w:color="auto" w:sz="4" w:space="0"/>
              <w:bottom w:val="single" w:color="auto" w:sz="4" w:space="0"/>
              <w:right w:val="single" w:color="auto" w:sz="4" w:space="0"/>
            </w:tcBorders>
            <w:noWrap/>
            <w:vAlign w:val="center"/>
          </w:tcPr>
          <w:p w14:paraId="7801DB05">
            <w:pPr>
              <w:snapToGrid w:val="0"/>
              <w:spacing w:line="400" w:lineRule="exact"/>
              <w:jc w:val="center"/>
              <w:rPr>
                <w:rFonts w:ascii="仿宋" w:hAnsi="仿宋" w:eastAsia="仿宋"/>
                <w:color w:val="auto"/>
                <w:sz w:val="24"/>
              </w:rPr>
            </w:pPr>
            <w:r>
              <w:rPr>
                <w:rFonts w:hint="eastAsia" w:ascii="仿宋" w:hAnsi="仿宋" w:eastAsia="仿宋"/>
                <w:color w:val="auto"/>
                <w:sz w:val="24"/>
              </w:rPr>
              <w:t>数量</w:t>
            </w:r>
          </w:p>
        </w:tc>
        <w:tc>
          <w:tcPr>
            <w:tcW w:w="968" w:type="dxa"/>
            <w:tcBorders>
              <w:top w:val="single" w:color="auto" w:sz="4" w:space="0"/>
              <w:left w:val="single" w:color="auto" w:sz="4" w:space="0"/>
              <w:bottom w:val="single" w:color="auto" w:sz="4" w:space="0"/>
              <w:right w:val="single" w:color="auto" w:sz="4" w:space="0"/>
            </w:tcBorders>
            <w:noWrap/>
            <w:vAlign w:val="center"/>
          </w:tcPr>
          <w:p w14:paraId="371AB426">
            <w:pPr>
              <w:snapToGrid w:val="0"/>
              <w:spacing w:line="400" w:lineRule="exact"/>
              <w:jc w:val="center"/>
              <w:rPr>
                <w:rFonts w:ascii="仿宋" w:hAnsi="仿宋" w:eastAsia="仿宋"/>
                <w:color w:val="auto"/>
                <w:sz w:val="24"/>
              </w:rPr>
            </w:pPr>
            <w:r>
              <w:rPr>
                <w:rFonts w:hint="eastAsia" w:ascii="仿宋" w:hAnsi="仿宋" w:eastAsia="仿宋"/>
                <w:color w:val="auto"/>
                <w:sz w:val="24"/>
              </w:rPr>
              <w:t>单价</w:t>
            </w:r>
          </w:p>
          <w:p w14:paraId="78B03FF4">
            <w:pPr>
              <w:snapToGrid w:val="0"/>
              <w:spacing w:line="400" w:lineRule="exact"/>
              <w:jc w:val="center"/>
              <w:rPr>
                <w:rFonts w:ascii="仿宋" w:hAnsi="仿宋" w:eastAsia="仿宋"/>
                <w:color w:val="auto"/>
                <w:sz w:val="24"/>
              </w:rPr>
            </w:pPr>
            <w:r>
              <w:rPr>
                <w:rFonts w:hint="eastAsia" w:ascii="仿宋" w:hAnsi="仿宋" w:eastAsia="仿宋"/>
                <w:color w:val="auto"/>
                <w:sz w:val="24"/>
              </w:rPr>
              <w:t>（元）</w:t>
            </w:r>
          </w:p>
        </w:tc>
        <w:tc>
          <w:tcPr>
            <w:tcW w:w="1134" w:type="dxa"/>
            <w:tcBorders>
              <w:top w:val="single" w:color="auto" w:sz="4" w:space="0"/>
              <w:left w:val="single" w:color="auto" w:sz="4" w:space="0"/>
              <w:bottom w:val="single" w:color="auto" w:sz="4" w:space="0"/>
              <w:right w:val="single" w:color="auto" w:sz="4" w:space="0"/>
            </w:tcBorders>
            <w:noWrap/>
            <w:vAlign w:val="center"/>
          </w:tcPr>
          <w:p w14:paraId="6EE16164">
            <w:pPr>
              <w:snapToGrid w:val="0"/>
              <w:spacing w:line="400" w:lineRule="exact"/>
              <w:jc w:val="center"/>
              <w:rPr>
                <w:rFonts w:ascii="仿宋" w:hAnsi="仿宋" w:eastAsia="仿宋"/>
                <w:color w:val="auto"/>
                <w:sz w:val="24"/>
              </w:rPr>
            </w:pPr>
            <w:r>
              <w:rPr>
                <w:rFonts w:hint="eastAsia" w:ascii="仿宋" w:hAnsi="仿宋" w:eastAsia="仿宋"/>
                <w:color w:val="auto"/>
                <w:sz w:val="24"/>
              </w:rPr>
              <w:t>总价（元）</w:t>
            </w:r>
          </w:p>
        </w:tc>
      </w:tr>
      <w:tr w14:paraId="696549D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84" w:hRule="atLeast"/>
        </w:trPr>
        <w:tc>
          <w:tcPr>
            <w:tcW w:w="2010" w:type="dxa"/>
            <w:tcBorders>
              <w:top w:val="single" w:color="auto" w:sz="4" w:space="0"/>
              <w:left w:val="single" w:color="auto" w:sz="4" w:space="0"/>
              <w:bottom w:val="single" w:color="auto" w:sz="4" w:space="0"/>
              <w:right w:val="single" w:color="auto" w:sz="4" w:space="0"/>
            </w:tcBorders>
            <w:noWrap/>
            <w:vAlign w:val="center"/>
          </w:tcPr>
          <w:p w14:paraId="632FC7FF">
            <w:pPr>
              <w:snapToGrid w:val="0"/>
              <w:spacing w:line="400" w:lineRule="exact"/>
              <w:ind w:firstLine="480" w:firstLineChars="200"/>
              <w:rPr>
                <w:rFonts w:ascii="仿宋" w:hAnsi="仿宋" w:eastAsia="仿宋"/>
                <w:color w:val="auto"/>
                <w:sz w:val="24"/>
              </w:rPr>
            </w:pPr>
          </w:p>
        </w:tc>
        <w:tc>
          <w:tcPr>
            <w:tcW w:w="1725" w:type="dxa"/>
            <w:tcBorders>
              <w:top w:val="single" w:color="auto" w:sz="4" w:space="0"/>
              <w:left w:val="single" w:color="auto" w:sz="4" w:space="0"/>
              <w:bottom w:val="single" w:color="auto" w:sz="4" w:space="0"/>
              <w:right w:val="single" w:color="auto" w:sz="4" w:space="0"/>
            </w:tcBorders>
            <w:noWrap/>
            <w:vAlign w:val="center"/>
          </w:tcPr>
          <w:p w14:paraId="77B79D7E">
            <w:pPr>
              <w:snapToGrid w:val="0"/>
              <w:spacing w:line="400" w:lineRule="exact"/>
              <w:ind w:firstLine="480" w:firstLineChars="200"/>
              <w:rPr>
                <w:rFonts w:ascii="仿宋" w:hAnsi="仿宋" w:eastAsia="仿宋"/>
                <w:color w:val="auto"/>
                <w:sz w:val="24"/>
              </w:rPr>
            </w:pPr>
          </w:p>
        </w:tc>
        <w:tc>
          <w:tcPr>
            <w:tcW w:w="802" w:type="dxa"/>
            <w:tcBorders>
              <w:top w:val="single" w:color="auto" w:sz="4" w:space="0"/>
              <w:left w:val="single" w:color="auto" w:sz="4" w:space="0"/>
              <w:bottom w:val="single" w:color="auto" w:sz="4" w:space="0"/>
              <w:right w:val="single" w:color="auto" w:sz="4" w:space="0"/>
            </w:tcBorders>
            <w:noWrap/>
            <w:vAlign w:val="center"/>
          </w:tcPr>
          <w:p w14:paraId="1963CB9E">
            <w:pPr>
              <w:snapToGrid w:val="0"/>
              <w:spacing w:line="400" w:lineRule="exact"/>
              <w:ind w:firstLine="480" w:firstLineChars="200"/>
              <w:rPr>
                <w:rFonts w:ascii="仿宋" w:hAnsi="仿宋" w:eastAsia="仿宋"/>
                <w:color w:val="auto"/>
                <w:sz w:val="24"/>
              </w:rPr>
            </w:pPr>
          </w:p>
        </w:tc>
        <w:tc>
          <w:tcPr>
            <w:tcW w:w="1958" w:type="dxa"/>
            <w:tcBorders>
              <w:top w:val="single" w:color="auto" w:sz="4" w:space="0"/>
              <w:left w:val="single" w:color="auto" w:sz="4" w:space="0"/>
              <w:bottom w:val="single" w:color="auto" w:sz="4" w:space="0"/>
              <w:right w:val="single" w:color="auto" w:sz="4" w:space="0"/>
            </w:tcBorders>
            <w:noWrap/>
            <w:vAlign w:val="center"/>
          </w:tcPr>
          <w:p w14:paraId="74AC1F70">
            <w:pPr>
              <w:snapToGrid w:val="0"/>
              <w:spacing w:line="400" w:lineRule="exact"/>
              <w:ind w:firstLine="480" w:firstLineChars="200"/>
              <w:rPr>
                <w:rFonts w:ascii="仿宋" w:hAnsi="仿宋" w:eastAsia="仿宋"/>
                <w:color w:val="auto"/>
                <w:sz w:val="24"/>
              </w:rPr>
            </w:pPr>
          </w:p>
        </w:tc>
        <w:tc>
          <w:tcPr>
            <w:tcW w:w="585" w:type="dxa"/>
            <w:tcBorders>
              <w:top w:val="single" w:color="auto" w:sz="4" w:space="0"/>
              <w:left w:val="single" w:color="auto" w:sz="4" w:space="0"/>
              <w:bottom w:val="single" w:color="auto" w:sz="4" w:space="0"/>
              <w:right w:val="single" w:color="auto" w:sz="4" w:space="0"/>
            </w:tcBorders>
            <w:noWrap/>
            <w:vAlign w:val="center"/>
          </w:tcPr>
          <w:p w14:paraId="79498929">
            <w:pPr>
              <w:snapToGrid w:val="0"/>
              <w:spacing w:line="400" w:lineRule="exact"/>
              <w:ind w:firstLine="480" w:firstLineChars="200"/>
              <w:rPr>
                <w:rFonts w:ascii="仿宋" w:hAnsi="仿宋" w:eastAsia="仿宋"/>
                <w:color w:val="auto"/>
                <w:sz w:val="24"/>
              </w:rPr>
            </w:pPr>
          </w:p>
        </w:tc>
        <w:tc>
          <w:tcPr>
            <w:tcW w:w="600" w:type="dxa"/>
            <w:tcBorders>
              <w:top w:val="single" w:color="auto" w:sz="4" w:space="0"/>
              <w:left w:val="single" w:color="auto" w:sz="4" w:space="0"/>
              <w:bottom w:val="single" w:color="auto" w:sz="4" w:space="0"/>
              <w:right w:val="single" w:color="auto" w:sz="4" w:space="0"/>
            </w:tcBorders>
            <w:noWrap/>
            <w:vAlign w:val="center"/>
          </w:tcPr>
          <w:p w14:paraId="71FBDB20">
            <w:pPr>
              <w:snapToGrid w:val="0"/>
              <w:spacing w:line="400" w:lineRule="exact"/>
              <w:ind w:firstLine="480" w:firstLineChars="200"/>
              <w:rPr>
                <w:rFonts w:ascii="仿宋" w:hAnsi="仿宋" w:eastAsia="仿宋"/>
                <w:color w:val="auto"/>
                <w:sz w:val="24"/>
              </w:rPr>
            </w:pPr>
          </w:p>
        </w:tc>
        <w:tc>
          <w:tcPr>
            <w:tcW w:w="968" w:type="dxa"/>
            <w:tcBorders>
              <w:top w:val="single" w:color="auto" w:sz="4" w:space="0"/>
              <w:left w:val="single" w:color="auto" w:sz="4" w:space="0"/>
              <w:bottom w:val="single" w:color="auto" w:sz="4" w:space="0"/>
              <w:right w:val="single" w:color="auto" w:sz="4" w:space="0"/>
            </w:tcBorders>
            <w:noWrap/>
            <w:vAlign w:val="center"/>
          </w:tcPr>
          <w:p w14:paraId="55510563">
            <w:pPr>
              <w:snapToGrid w:val="0"/>
              <w:spacing w:line="400" w:lineRule="exact"/>
              <w:ind w:firstLine="480" w:firstLineChars="200"/>
              <w:rPr>
                <w:rFonts w:ascii="仿宋" w:hAnsi="仿宋" w:eastAsia="仿宋"/>
                <w:color w:val="auto"/>
                <w:sz w:val="24"/>
              </w:rPr>
            </w:pPr>
          </w:p>
        </w:tc>
        <w:tc>
          <w:tcPr>
            <w:tcW w:w="1134" w:type="dxa"/>
            <w:tcBorders>
              <w:top w:val="single" w:color="auto" w:sz="4" w:space="0"/>
              <w:left w:val="single" w:color="auto" w:sz="4" w:space="0"/>
              <w:bottom w:val="single" w:color="auto" w:sz="4" w:space="0"/>
              <w:right w:val="single" w:color="auto" w:sz="4" w:space="0"/>
            </w:tcBorders>
            <w:noWrap/>
            <w:vAlign w:val="center"/>
          </w:tcPr>
          <w:p w14:paraId="3C0B567D">
            <w:pPr>
              <w:snapToGrid w:val="0"/>
              <w:spacing w:line="400" w:lineRule="exact"/>
              <w:ind w:firstLine="480" w:firstLineChars="200"/>
              <w:rPr>
                <w:rFonts w:ascii="仿宋" w:hAnsi="仿宋" w:eastAsia="仿宋"/>
                <w:color w:val="auto"/>
                <w:sz w:val="24"/>
              </w:rPr>
            </w:pPr>
          </w:p>
        </w:tc>
      </w:tr>
    </w:tbl>
    <w:p w14:paraId="79ABFFF8">
      <w:pPr>
        <w:snapToGrid w:val="0"/>
        <w:spacing w:line="400" w:lineRule="exact"/>
        <w:ind w:firstLine="480" w:firstLineChars="200"/>
        <w:rPr>
          <w:rFonts w:ascii="仿宋" w:hAnsi="仿宋" w:eastAsia="仿宋"/>
          <w:color w:val="auto"/>
          <w:sz w:val="24"/>
        </w:rPr>
      </w:pPr>
    </w:p>
    <w:p w14:paraId="7EEECA31">
      <w:pPr>
        <w:snapToGrid w:val="0"/>
        <w:spacing w:line="400" w:lineRule="exact"/>
        <w:ind w:firstLine="480" w:firstLineChars="200"/>
        <w:rPr>
          <w:rFonts w:ascii="仿宋" w:hAnsi="仿宋" w:eastAsia="仿宋"/>
          <w:color w:val="auto"/>
          <w:sz w:val="24"/>
        </w:rPr>
      </w:pPr>
      <w:r>
        <w:rPr>
          <w:rFonts w:hint="eastAsia" w:ascii="仿宋" w:hAnsi="仿宋" w:eastAsia="仿宋"/>
          <w:color w:val="auto"/>
          <w:sz w:val="24"/>
        </w:rPr>
        <w:t>附件2：本设备易损零配件的价格表（如有）</w:t>
      </w:r>
    </w:p>
    <w:tbl>
      <w:tblPr>
        <w:tblStyle w:val="51"/>
        <w:tblW w:w="9782" w:type="dxa"/>
        <w:tblInd w:w="-176"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2010"/>
        <w:gridCol w:w="1710"/>
        <w:gridCol w:w="817"/>
        <w:gridCol w:w="1898"/>
        <w:gridCol w:w="630"/>
        <w:gridCol w:w="630"/>
        <w:gridCol w:w="953"/>
        <w:gridCol w:w="1134"/>
      </w:tblGrid>
      <w:tr w14:paraId="5D6DA87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97" w:hRule="atLeast"/>
        </w:trPr>
        <w:tc>
          <w:tcPr>
            <w:tcW w:w="2010" w:type="dxa"/>
            <w:tcBorders>
              <w:top w:val="single" w:color="auto" w:sz="4" w:space="0"/>
              <w:left w:val="single" w:color="auto" w:sz="4" w:space="0"/>
              <w:bottom w:val="single" w:color="auto" w:sz="4" w:space="0"/>
              <w:right w:val="single" w:color="auto" w:sz="4" w:space="0"/>
            </w:tcBorders>
            <w:noWrap/>
            <w:vAlign w:val="center"/>
          </w:tcPr>
          <w:p w14:paraId="66AE7946">
            <w:pPr>
              <w:snapToGrid w:val="0"/>
              <w:spacing w:line="400" w:lineRule="exact"/>
              <w:jc w:val="center"/>
              <w:rPr>
                <w:rFonts w:ascii="仿宋" w:hAnsi="仿宋" w:eastAsia="仿宋"/>
                <w:color w:val="auto"/>
                <w:sz w:val="24"/>
              </w:rPr>
            </w:pPr>
            <w:r>
              <w:rPr>
                <w:rFonts w:hint="eastAsia" w:ascii="仿宋" w:hAnsi="仿宋" w:eastAsia="仿宋"/>
                <w:color w:val="auto"/>
                <w:sz w:val="24"/>
              </w:rPr>
              <w:t>易损配件名称</w:t>
            </w:r>
          </w:p>
        </w:tc>
        <w:tc>
          <w:tcPr>
            <w:tcW w:w="1710" w:type="dxa"/>
            <w:tcBorders>
              <w:top w:val="single" w:color="auto" w:sz="4" w:space="0"/>
              <w:left w:val="single" w:color="auto" w:sz="4" w:space="0"/>
              <w:bottom w:val="single" w:color="auto" w:sz="4" w:space="0"/>
              <w:right w:val="single" w:color="auto" w:sz="4" w:space="0"/>
            </w:tcBorders>
            <w:noWrap/>
            <w:vAlign w:val="center"/>
          </w:tcPr>
          <w:p w14:paraId="32CB22D0">
            <w:pPr>
              <w:snapToGrid w:val="0"/>
              <w:spacing w:line="400" w:lineRule="exact"/>
              <w:jc w:val="center"/>
              <w:rPr>
                <w:rFonts w:ascii="仿宋" w:hAnsi="仿宋" w:eastAsia="仿宋"/>
                <w:color w:val="auto"/>
                <w:sz w:val="24"/>
              </w:rPr>
            </w:pPr>
            <w:r>
              <w:rPr>
                <w:rFonts w:hint="eastAsia" w:ascii="仿宋" w:hAnsi="仿宋" w:eastAsia="仿宋"/>
                <w:color w:val="auto"/>
                <w:sz w:val="24"/>
              </w:rPr>
              <w:t>产品注册证号</w:t>
            </w:r>
          </w:p>
        </w:tc>
        <w:tc>
          <w:tcPr>
            <w:tcW w:w="817" w:type="dxa"/>
            <w:tcBorders>
              <w:top w:val="single" w:color="auto" w:sz="4" w:space="0"/>
              <w:left w:val="single" w:color="auto" w:sz="4" w:space="0"/>
              <w:bottom w:val="single" w:color="auto" w:sz="4" w:space="0"/>
              <w:right w:val="single" w:color="auto" w:sz="4" w:space="0"/>
            </w:tcBorders>
            <w:noWrap/>
            <w:vAlign w:val="center"/>
          </w:tcPr>
          <w:p w14:paraId="23EEB677">
            <w:pPr>
              <w:snapToGrid w:val="0"/>
              <w:spacing w:line="400" w:lineRule="exact"/>
              <w:jc w:val="center"/>
              <w:rPr>
                <w:rFonts w:ascii="仿宋" w:hAnsi="仿宋" w:eastAsia="仿宋"/>
                <w:color w:val="auto"/>
                <w:sz w:val="24"/>
              </w:rPr>
            </w:pPr>
            <w:r>
              <w:rPr>
                <w:rFonts w:hint="eastAsia" w:ascii="仿宋" w:hAnsi="仿宋" w:eastAsia="仿宋"/>
                <w:color w:val="auto"/>
                <w:sz w:val="24"/>
              </w:rPr>
              <w:t>型号</w:t>
            </w:r>
          </w:p>
          <w:p w14:paraId="1CB80053">
            <w:pPr>
              <w:snapToGrid w:val="0"/>
              <w:spacing w:line="400" w:lineRule="exact"/>
              <w:jc w:val="center"/>
              <w:rPr>
                <w:rFonts w:ascii="仿宋" w:hAnsi="仿宋" w:eastAsia="仿宋"/>
                <w:color w:val="auto"/>
                <w:sz w:val="24"/>
              </w:rPr>
            </w:pPr>
            <w:r>
              <w:rPr>
                <w:rFonts w:hint="eastAsia" w:ascii="仿宋" w:hAnsi="仿宋" w:eastAsia="仿宋"/>
                <w:color w:val="auto"/>
                <w:sz w:val="24"/>
              </w:rPr>
              <w:t>规格</w:t>
            </w:r>
          </w:p>
        </w:tc>
        <w:tc>
          <w:tcPr>
            <w:tcW w:w="1898" w:type="dxa"/>
            <w:tcBorders>
              <w:top w:val="single" w:color="auto" w:sz="4" w:space="0"/>
              <w:left w:val="single" w:color="auto" w:sz="4" w:space="0"/>
              <w:bottom w:val="single" w:color="auto" w:sz="4" w:space="0"/>
              <w:right w:val="single" w:color="auto" w:sz="4" w:space="0"/>
            </w:tcBorders>
            <w:noWrap/>
            <w:vAlign w:val="center"/>
          </w:tcPr>
          <w:p w14:paraId="5EB5C475">
            <w:pPr>
              <w:snapToGrid w:val="0"/>
              <w:spacing w:line="400" w:lineRule="exact"/>
              <w:jc w:val="center"/>
              <w:rPr>
                <w:rFonts w:ascii="仿宋" w:hAnsi="仿宋" w:eastAsia="仿宋"/>
                <w:color w:val="auto"/>
                <w:sz w:val="24"/>
              </w:rPr>
            </w:pPr>
            <w:r>
              <w:rPr>
                <w:rFonts w:hint="eastAsia" w:ascii="仿宋" w:hAnsi="仿宋" w:eastAsia="仿宋"/>
                <w:color w:val="auto"/>
                <w:sz w:val="24"/>
              </w:rPr>
              <w:t>生产厂家及品牌</w:t>
            </w:r>
          </w:p>
        </w:tc>
        <w:tc>
          <w:tcPr>
            <w:tcW w:w="630" w:type="dxa"/>
            <w:tcBorders>
              <w:top w:val="single" w:color="auto" w:sz="4" w:space="0"/>
              <w:left w:val="single" w:color="auto" w:sz="4" w:space="0"/>
              <w:bottom w:val="single" w:color="auto" w:sz="4" w:space="0"/>
              <w:right w:val="single" w:color="auto" w:sz="4" w:space="0"/>
            </w:tcBorders>
            <w:noWrap/>
            <w:vAlign w:val="center"/>
          </w:tcPr>
          <w:p w14:paraId="3ACB18F8">
            <w:pPr>
              <w:snapToGrid w:val="0"/>
              <w:spacing w:line="400" w:lineRule="exact"/>
              <w:jc w:val="center"/>
              <w:rPr>
                <w:rFonts w:ascii="仿宋" w:hAnsi="仿宋" w:eastAsia="仿宋"/>
                <w:color w:val="auto"/>
                <w:sz w:val="24"/>
              </w:rPr>
            </w:pPr>
            <w:r>
              <w:rPr>
                <w:rFonts w:hint="eastAsia" w:ascii="仿宋" w:hAnsi="仿宋" w:eastAsia="仿宋"/>
                <w:color w:val="auto"/>
                <w:sz w:val="24"/>
              </w:rPr>
              <w:t>单位</w:t>
            </w:r>
          </w:p>
        </w:tc>
        <w:tc>
          <w:tcPr>
            <w:tcW w:w="630" w:type="dxa"/>
            <w:tcBorders>
              <w:top w:val="single" w:color="auto" w:sz="4" w:space="0"/>
              <w:left w:val="single" w:color="auto" w:sz="4" w:space="0"/>
              <w:bottom w:val="single" w:color="auto" w:sz="4" w:space="0"/>
              <w:right w:val="single" w:color="auto" w:sz="4" w:space="0"/>
            </w:tcBorders>
            <w:noWrap/>
            <w:vAlign w:val="center"/>
          </w:tcPr>
          <w:p w14:paraId="3FE4F4CA">
            <w:pPr>
              <w:snapToGrid w:val="0"/>
              <w:spacing w:line="400" w:lineRule="exact"/>
              <w:jc w:val="center"/>
              <w:rPr>
                <w:rFonts w:ascii="仿宋" w:hAnsi="仿宋" w:eastAsia="仿宋"/>
                <w:color w:val="auto"/>
                <w:sz w:val="24"/>
              </w:rPr>
            </w:pPr>
            <w:r>
              <w:rPr>
                <w:rFonts w:hint="eastAsia" w:ascii="仿宋" w:hAnsi="仿宋" w:eastAsia="仿宋"/>
                <w:color w:val="auto"/>
                <w:sz w:val="24"/>
              </w:rPr>
              <w:t>数量</w:t>
            </w:r>
          </w:p>
        </w:tc>
        <w:tc>
          <w:tcPr>
            <w:tcW w:w="953" w:type="dxa"/>
            <w:tcBorders>
              <w:top w:val="single" w:color="auto" w:sz="4" w:space="0"/>
              <w:left w:val="single" w:color="auto" w:sz="4" w:space="0"/>
              <w:bottom w:val="single" w:color="auto" w:sz="4" w:space="0"/>
              <w:right w:val="single" w:color="auto" w:sz="4" w:space="0"/>
            </w:tcBorders>
            <w:noWrap/>
            <w:vAlign w:val="center"/>
          </w:tcPr>
          <w:p w14:paraId="7CD7A7CA">
            <w:pPr>
              <w:snapToGrid w:val="0"/>
              <w:spacing w:line="400" w:lineRule="exact"/>
              <w:jc w:val="center"/>
              <w:rPr>
                <w:rFonts w:ascii="仿宋" w:hAnsi="仿宋" w:eastAsia="仿宋"/>
                <w:color w:val="auto"/>
                <w:sz w:val="24"/>
              </w:rPr>
            </w:pPr>
            <w:r>
              <w:rPr>
                <w:rFonts w:hint="eastAsia" w:ascii="仿宋" w:hAnsi="仿宋" w:eastAsia="仿宋"/>
                <w:color w:val="auto"/>
                <w:sz w:val="24"/>
              </w:rPr>
              <w:t>单价（元）</w:t>
            </w:r>
          </w:p>
        </w:tc>
        <w:tc>
          <w:tcPr>
            <w:tcW w:w="1134" w:type="dxa"/>
            <w:tcBorders>
              <w:top w:val="single" w:color="auto" w:sz="4" w:space="0"/>
              <w:left w:val="single" w:color="auto" w:sz="4" w:space="0"/>
              <w:bottom w:val="single" w:color="auto" w:sz="4" w:space="0"/>
              <w:right w:val="single" w:color="auto" w:sz="4" w:space="0"/>
            </w:tcBorders>
            <w:noWrap/>
            <w:vAlign w:val="center"/>
          </w:tcPr>
          <w:p w14:paraId="4DA7E5AF">
            <w:pPr>
              <w:snapToGrid w:val="0"/>
              <w:spacing w:line="400" w:lineRule="exact"/>
              <w:jc w:val="center"/>
              <w:rPr>
                <w:rFonts w:ascii="仿宋" w:hAnsi="仿宋" w:eastAsia="仿宋"/>
                <w:color w:val="auto"/>
                <w:sz w:val="24"/>
              </w:rPr>
            </w:pPr>
            <w:r>
              <w:rPr>
                <w:rFonts w:hint="eastAsia" w:ascii="仿宋" w:hAnsi="仿宋" w:eastAsia="仿宋"/>
                <w:color w:val="auto"/>
                <w:sz w:val="24"/>
              </w:rPr>
              <w:t>总价（元）</w:t>
            </w:r>
          </w:p>
        </w:tc>
      </w:tr>
      <w:tr w14:paraId="7C892D5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84" w:hRule="atLeast"/>
        </w:trPr>
        <w:tc>
          <w:tcPr>
            <w:tcW w:w="2010" w:type="dxa"/>
            <w:tcBorders>
              <w:top w:val="single" w:color="auto" w:sz="4" w:space="0"/>
              <w:left w:val="single" w:color="auto" w:sz="4" w:space="0"/>
              <w:bottom w:val="single" w:color="auto" w:sz="4" w:space="0"/>
              <w:right w:val="single" w:color="auto" w:sz="4" w:space="0"/>
            </w:tcBorders>
            <w:noWrap/>
            <w:vAlign w:val="center"/>
          </w:tcPr>
          <w:p w14:paraId="0F588D65">
            <w:pPr>
              <w:snapToGrid w:val="0"/>
              <w:spacing w:line="400" w:lineRule="exact"/>
              <w:ind w:firstLine="480" w:firstLineChars="200"/>
              <w:rPr>
                <w:rFonts w:ascii="仿宋" w:hAnsi="仿宋" w:eastAsia="仿宋"/>
                <w:color w:val="auto"/>
                <w:sz w:val="24"/>
              </w:rPr>
            </w:pPr>
          </w:p>
        </w:tc>
        <w:tc>
          <w:tcPr>
            <w:tcW w:w="1710" w:type="dxa"/>
            <w:tcBorders>
              <w:top w:val="single" w:color="auto" w:sz="4" w:space="0"/>
              <w:left w:val="single" w:color="auto" w:sz="4" w:space="0"/>
              <w:bottom w:val="single" w:color="auto" w:sz="4" w:space="0"/>
              <w:right w:val="single" w:color="auto" w:sz="4" w:space="0"/>
            </w:tcBorders>
            <w:noWrap/>
            <w:vAlign w:val="center"/>
          </w:tcPr>
          <w:p w14:paraId="5CF93AFC">
            <w:pPr>
              <w:snapToGrid w:val="0"/>
              <w:spacing w:line="400" w:lineRule="exact"/>
              <w:ind w:firstLine="480" w:firstLineChars="200"/>
              <w:rPr>
                <w:rFonts w:ascii="仿宋" w:hAnsi="仿宋" w:eastAsia="仿宋"/>
                <w:color w:val="auto"/>
                <w:sz w:val="24"/>
              </w:rPr>
            </w:pPr>
          </w:p>
        </w:tc>
        <w:tc>
          <w:tcPr>
            <w:tcW w:w="817" w:type="dxa"/>
            <w:tcBorders>
              <w:top w:val="single" w:color="auto" w:sz="4" w:space="0"/>
              <w:left w:val="single" w:color="auto" w:sz="4" w:space="0"/>
              <w:bottom w:val="single" w:color="auto" w:sz="4" w:space="0"/>
              <w:right w:val="single" w:color="auto" w:sz="4" w:space="0"/>
            </w:tcBorders>
            <w:noWrap/>
            <w:vAlign w:val="center"/>
          </w:tcPr>
          <w:p w14:paraId="6F563B36">
            <w:pPr>
              <w:snapToGrid w:val="0"/>
              <w:spacing w:line="400" w:lineRule="exact"/>
              <w:ind w:firstLine="480" w:firstLineChars="200"/>
              <w:rPr>
                <w:rFonts w:ascii="仿宋" w:hAnsi="仿宋" w:eastAsia="仿宋"/>
                <w:color w:val="auto"/>
                <w:sz w:val="24"/>
              </w:rPr>
            </w:pPr>
          </w:p>
        </w:tc>
        <w:tc>
          <w:tcPr>
            <w:tcW w:w="1898" w:type="dxa"/>
            <w:tcBorders>
              <w:top w:val="single" w:color="auto" w:sz="4" w:space="0"/>
              <w:left w:val="single" w:color="auto" w:sz="4" w:space="0"/>
              <w:bottom w:val="single" w:color="auto" w:sz="4" w:space="0"/>
              <w:right w:val="single" w:color="auto" w:sz="4" w:space="0"/>
            </w:tcBorders>
            <w:noWrap/>
            <w:vAlign w:val="center"/>
          </w:tcPr>
          <w:p w14:paraId="2781A47E">
            <w:pPr>
              <w:snapToGrid w:val="0"/>
              <w:spacing w:line="400" w:lineRule="exact"/>
              <w:ind w:firstLine="480" w:firstLineChars="200"/>
              <w:rPr>
                <w:rFonts w:ascii="仿宋" w:hAnsi="仿宋" w:eastAsia="仿宋"/>
                <w:color w:val="auto"/>
                <w:sz w:val="24"/>
              </w:rPr>
            </w:pPr>
          </w:p>
        </w:tc>
        <w:tc>
          <w:tcPr>
            <w:tcW w:w="630" w:type="dxa"/>
            <w:tcBorders>
              <w:top w:val="single" w:color="auto" w:sz="4" w:space="0"/>
              <w:left w:val="single" w:color="auto" w:sz="4" w:space="0"/>
              <w:bottom w:val="single" w:color="auto" w:sz="4" w:space="0"/>
              <w:right w:val="single" w:color="auto" w:sz="4" w:space="0"/>
            </w:tcBorders>
            <w:noWrap/>
            <w:vAlign w:val="center"/>
          </w:tcPr>
          <w:p w14:paraId="61738084">
            <w:pPr>
              <w:snapToGrid w:val="0"/>
              <w:spacing w:line="400" w:lineRule="exact"/>
              <w:ind w:firstLine="480" w:firstLineChars="200"/>
              <w:rPr>
                <w:rFonts w:ascii="仿宋" w:hAnsi="仿宋" w:eastAsia="仿宋"/>
                <w:color w:val="auto"/>
                <w:sz w:val="24"/>
              </w:rPr>
            </w:pPr>
          </w:p>
        </w:tc>
        <w:tc>
          <w:tcPr>
            <w:tcW w:w="630" w:type="dxa"/>
            <w:tcBorders>
              <w:top w:val="single" w:color="auto" w:sz="4" w:space="0"/>
              <w:left w:val="single" w:color="auto" w:sz="4" w:space="0"/>
              <w:bottom w:val="single" w:color="auto" w:sz="4" w:space="0"/>
              <w:right w:val="single" w:color="auto" w:sz="4" w:space="0"/>
            </w:tcBorders>
            <w:noWrap/>
            <w:vAlign w:val="center"/>
          </w:tcPr>
          <w:p w14:paraId="4845D607">
            <w:pPr>
              <w:snapToGrid w:val="0"/>
              <w:spacing w:line="400" w:lineRule="exact"/>
              <w:ind w:firstLine="480" w:firstLineChars="200"/>
              <w:rPr>
                <w:rFonts w:ascii="仿宋" w:hAnsi="仿宋" w:eastAsia="仿宋"/>
                <w:color w:val="auto"/>
                <w:sz w:val="24"/>
              </w:rPr>
            </w:pPr>
          </w:p>
        </w:tc>
        <w:tc>
          <w:tcPr>
            <w:tcW w:w="953" w:type="dxa"/>
            <w:tcBorders>
              <w:top w:val="single" w:color="auto" w:sz="4" w:space="0"/>
              <w:left w:val="single" w:color="auto" w:sz="4" w:space="0"/>
              <w:bottom w:val="single" w:color="auto" w:sz="4" w:space="0"/>
              <w:right w:val="single" w:color="auto" w:sz="4" w:space="0"/>
            </w:tcBorders>
            <w:noWrap/>
            <w:vAlign w:val="center"/>
          </w:tcPr>
          <w:p w14:paraId="3522842B">
            <w:pPr>
              <w:snapToGrid w:val="0"/>
              <w:spacing w:line="400" w:lineRule="exact"/>
              <w:ind w:firstLine="480" w:firstLineChars="200"/>
              <w:rPr>
                <w:rFonts w:ascii="仿宋" w:hAnsi="仿宋" w:eastAsia="仿宋"/>
                <w:color w:val="auto"/>
                <w:sz w:val="24"/>
              </w:rPr>
            </w:pPr>
          </w:p>
        </w:tc>
        <w:tc>
          <w:tcPr>
            <w:tcW w:w="1134" w:type="dxa"/>
            <w:tcBorders>
              <w:top w:val="single" w:color="auto" w:sz="4" w:space="0"/>
              <w:left w:val="single" w:color="auto" w:sz="4" w:space="0"/>
              <w:bottom w:val="single" w:color="auto" w:sz="4" w:space="0"/>
              <w:right w:val="single" w:color="auto" w:sz="4" w:space="0"/>
            </w:tcBorders>
            <w:noWrap/>
            <w:vAlign w:val="center"/>
          </w:tcPr>
          <w:p w14:paraId="786C4C2B">
            <w:pPr>
              <w:snapToGrid w:val="0"/>
              <w:spacing w:line="400" w:lineRule="exact"/>
              <w:ind w:firstLine="480" w:firstLineChars="200"/>
              <w:rPr>
                <w:rFonts w:ascii="仿宋" w:hAnsi="仿宋" w:eastAsia="仿宋"/>
                <w:color w:val="auto"/>
                <w:sz w:val="24"/>
              </w:rPr>
            </w:pPr>
          </w:p>
        </w:tc>
      </w:tr>
    </w:tbl>
    <w:p w14:paraId="783F648F">
      <w:pPr>
        <w:snapToGrid w:val="0"/>
        <w:spacing w:line="400" w:lineRule="exact"/>
        <w:ind w:firstLine="480" w:firstLineChars="200"/>
        <w:rPr>
          <w:rFonts w:ascii="仿宋" w:hAnsi="仿宋" w:eastAsia="仿宋"/>
          <w:color w:val="auto"/>
          <w:sz w:val="24"/>
        </w:rPr>
      </w:pPr>
    </w:p>
    <w:p w14:paraId="3987384D">
      <w:pPr>
        <w:snapToGrid w:val="0"/>
        <w:spacing w:line="400" w:lineRule="exact"/>
        <w:ind w:firstLine="480" w:firstLineChars="200"/>
        <w:rPr>
          <w:rFonts w:ascii="仿宋" w:hAnsi="仿宋" w:eastAsia="仿宋"/>
          <w:color w:val="auto"/>
          <w:sz w:val="24"/>
        </w:rPr>
      </w:pPr>
      <w:r>
        <w:rPr>
          <w:rFonts w:hint="eastAsia" w:ascii="仿宋" w:hAnsi="仿宋" w:eastAsia="仿宋"/>
          <w:color w:val="auto"/>
          <w:sz w:val="24"/>
        </w:rPr>
        <w:t>附件3：本设备配置清单（如有）</w:t>
      </w:r>
    </w:p>
    <w:tbl>
      <w:tblPr>
        <w:tblStyle w:val="51"/>
        <w:tblW w:w="9756" w:type="dxa"/>
        <w:tblInd w:w="-176"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851"/>
        <w:gridCol w:w="1418"/>
        <w:gridCol w:w="2977"/>
        <w:gridCol w:w="850"/>
        <w:gridCol w:w="992"/>
        <w:gridCol w:w="1708"/>
        <w:gridCol w:w="960"/>
      </w:tblGrid>
      <w:tr w14:paraId="67315DE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78" w:hRule="atLeast"/>
        </w:trPr>
        <w:tc>
          <w:tcPr>
            <w:tcW w:w="851" w:type="dxa"/>
            <w:tcBorders>
              <w:top w:val="single" w:color="auto" w:sz="4" w:space="0"/>
              <w:left w:val="single" w:color="auto" w:sz="4" w:space="0"/>
              <w:bottom w:val="single" w:color="auto" w:sz="4" w:space="0"/>
              <w:right w:val="single" w:color="auto" w:sz="4" w:space="0"/>
            </w:tcBorders>
            <w:noWrap/>
            <w:vAlign w:val="center"/>
          </w:tcPr>
          <w:p w14:paraId="7A19AF47">
            <w:pPr>
              <w:snapToGrid w:val="0"/>
              <w:spacing w:line="400" w:lineRule="exact"/>
              <w:jc w:val="center"/>
              <w:rPr>
                <w:rFonts w:ascii="仿宋" w:hAnsi="仿宋" w:eastAsia="仿宋"/>
                <w:color w:val="auto"/>
                <w:sz w:val="24"/>
              </w:rPr>
            </w:pPr>
            <w:r>
              <w:rPr>
                <w:rFonts w:hint="eastAsia" w:ascii="仿宋" w:hAnsi="仿宋" w:eastAsia="仿宋"/>
                <w:color w:val="auto"/>
                <w:sz w:val="24"/>
              </w:rPr>
              <w:t>序号</w:t>
            </w:r>
          </w:p>
        </w:tc>
        <w:tc>
          <w:tcPr>
            <w:tcW w:w="1418" w:type="dxa"/>
            <w:tcBorders>
              <w:top w:val="single" w:color="auto" w:sz="4" w:space="0"/>
              <w:left w:val="single" w:color="auto" w:sz="4" w:space="0"/>
              <w:bottom w:val="single" w:color="auto" w:sz="4" w:space="0"/>
              <w:right w:val="single" w:color="auto" w:sz="4" w:space="0"/>
            </w:tcBorders>
            <w:noWrap/>
            <w:vAlign w:val="center"/>
          </w:tcPr>
          <w:p w14:paraId="2560E7AE">
            <w:pPr>
              <w:snapToGrid w:val="0"/>
              <w:spacing w:line="400" w:lineRule="exact"/>
              <w:jc w:val="center"/>
              <w:rPr>
                <w:rFonts w:ascii="仿宋" w:hAnsi="仿宋" w:eastAsia="仿宋"/>
                <w:color w:val="auto"/>
                <w:sz w:val="24"/>
              </w:rPr>
            </w:pPr>
            <w:r>
              <w:rPr>
                <w:rFonts w:hint="eastAsia" w:ascii="仿宋" w:hAnsi="仿宋" w:eastAsia="仿宋"/>
                <w:color w:val="auto"/>
                <w:sz w:val="24"/>
              </w:rPr>
              <w:t>部件编号</w:t>
            </w:r>
          </w:p>
        </w:tc>
        <w:tc>
          <w:tcPr>
            <w:tcW w:w="2977" w:type="dxa"/>
            <w:tcBorders>
              <w:top w:val="single" w:color="auto" w:sz="4" w:space="0"/>
              <w:left w:val="single" w:color="auto" w:sz="4" w:space="0"/>
              <w:bottom w:val="single" w:color="auto" w:sz="4" w:space="0"/>
              <w:right w:val="single" w:color="auto" w:sz="4" w:space="0"/>
            </w:tcBorders>
            <w:noWrap/>
            <w:vAlign w:val="center"/>
          </w:tcPr>
          <w:p w14:paraId="497BE290">
            <w:pPr>
              <w:snapToGrid w:val="0"/>
              <w:spacing w:line="400" w:lineRule="exact"/>
              <w:jc w:val="center"/>
              <w:rPr>
                <w:rFonts w:ascii="仿宋" w:hAnsi="仿宋" w:eastAsia="仿宋"/>
                <w:color w:val="auto"/>
                <w:sz w:val="24"/>
              </w:rPr>
            </w:pPr>
            <w:r>
              <w:rPr>
                <w:rFonts w:hint="eastAsia" w:ascii="仿宋" w:hAnsi="仿宋" w:eastAsia="仿宋"/>
                <w:color w:val="auto"/>
                <w:sz w:val="24"/>
              </w:rPr>
              <w:t>名称</w:t>
            </w:r>
          </w:p>
        </w:tc>
        <w:tc>
          <w:tcPr>
            <w:tcW w:w="850" w:type="dxa"/>
            <w:tcBorders>
              <w:top w:val="single" w:color="auto" w:sz="4" w:space="0"/>
              <w:left w:val="single" w:color="auto" w:sz="4" w:space="0"/>
              <w:bottom w:val="single" w:color="auto" w:sz="4" w:space="0"/>
              <w:right w:val="single" w:color="auto" w:sz="4" w:space="0"/>
            </w:tcBorders>
            <w:noWrap/>
            <w:vAlign w:val="center"/>
          </w:tcPr>
          <w:p w14:paraId="22D865F1">
            <w:pPr>
              <w:snapToGrid w:val="0"/>
              <w:spacing w:line="400" w:lineRule="exact"/>
              <w:jc w:val="center"/>
              <w:rPr>
                <w:rFonts w:ascii="仿宋" w:hAnsi="仿宋" w:eastAsia="仿宋"/>
                <w:color w:val="auto"/>
                <w:sz w:val="24"/>
              </w:rPr>
            </w:pPr>
            <w:r>
              <w:rPr>
                <w:rFonts w:hint="eastAsia" w:ascii="仿宋" w:hAnsi="仿宋" w:eastAsia="仿宋"/>
                <w:color w:val="auto"/>
                <w:sz w:val="24"/>
              </w:rPr>
              <w:t>单位</w:t>
            </w:r>
          </w:p>
        </w:tc>
        <w:tc>
          <w:tcPr>
            <w:tcW w:w="992" w:type="dxa"/>
            <w:tcBorders>
              <w:top w:val="single" w:color="auto" w:sz="4" w:space="0"/>
              <w:left w:val="single" w:color="auto" w:sz="4" w:space="0"/>
              <w:bottom w:val="single" w:color="auto" w:sz="4" w:space="0"/>
              <w:right w:val="single" w:color="auto" w:sz="4" w:space="0"/>
            </w:tcBorders>
            <w:noWrap/>
            <w:vAlign w:val="center"/>
          </w:tcPr>
          <w:p w14:paraId="4DC8FCC3">
            <w:pPr>
              <w:snapToGrid w:val="0"/>
              <w:spacing w:line="400" w:lineRule="exact"/>
              <w:jc w:val="center"/>
              <w:rPr>
                <w:rFonts w:ascii="仿宋" w:hAnsi="仿宋" w:eastAsia="仿宋"/>
                <w:color w:val="auto"/>
                <w:sz w:val="24"/>
              </w:rPr>
            </w:pPr>
            <w:r>
              <w:rPr>
                <w:rFonts w:hint="eastAsia" w:ascii="仿宋" w:hAnsi="仿宋" w:eastAsia="仿宋"/>
                <w:color w:val="auto"/>
                <w:sz w:val="24"/>
              </w:rPr>
              <w:t>数量</w:t>
            </w:r>
          </w:p>
        </w:tc>
        <w:tc>
          <w:tcPr>
            <w:tcW w:w="1708" w:type="dxa"/>
            <w:tcBorders>
              <w:top w:val="single" w:color="auto" w:sz="4" w:space="0"/>
              <w:left w:val="single" w:color="auto" w:sz="4" w:space="0"/>
              <w:bottom w:val="single" w:color="auto" w:sz="4" w:space="0"/>
              <w:right w:val="single" w:color="auto" w:sz="4" w:space="0"/>
            </w:tcBorders>
            <w:noWrap/>
            <w:vAlign w:val="center"/>
          </w:tcPr>
          <w:p w14:paraId="75743A34">
            <w:pPr>
              <w:snapToGrid w:val="0"/>
              <w:spacing w:line="400" w:lineRule="exact"/>
              <w:jc w:val="center"/>
              <w:rPr>
                <w:rFonts w:ascii="仿宋" w:hAnsi="仿宋" w:eastAsia="仿宋"/>
                <w:color w:val="auto"/>
                <w:sz w:val="24"/>
              </w:rPr>
            </w:pPr>
            <w:r>
              <w:rPr>
                <w:rFonts w:hint="eastAsia" w:ascii="仿宋" w:hAnsi="仿宋" w:eastAsia="仿宋"/>
                <w:color w:val="auto"/>
                <w:sz w:val="24"/>
              </w:rPr>
              <w:t>分项价格（元）</w:t>
            </w:r>
          </w:p>
        </w:tc>
        <w:tc>
          <w:tcPr>
            <w:tcW w:w="960" w:type="dxa"/>
            <w:tcBorders>
              <w:top w:val="single" w:color="auto" w:sz="4" w:space="0"/>
              <w:left w:val="single" w:color="auto" w:sz="4" w:space="0"/>
              <w:bottom w:val="single" w:color="auto" w:sz="4" w:space="0"/>
              <w:right w:val="single" w:color="auto" w:sz="4" w:space="0"/>
            </w:tcBorders>
            <w:noWrap/>
            <w:vAlign w:val="center"/>
          </w:tcPr>
          <w:p w14:paraId="0C3390D3">
            <w:pPr>
              <w:snapToGrid w:val="0"/>
              <w:spacing w:line="400" w:lineRule="exact"/>
              <w:jc w:val="center"/>
              <w:rPr>
                <w:rFonts w:ascii="仿宋" w:hAnsi="仿宋" w:eastAsia="仿宋"/>
                <w:color w:val="auto"/>
                <w:sz w:val="24"/>
              </w:rPr>
            </w:pPr>
            <w:r>
              <w:rPr>
                <w:rFonts w:hint="eastAsia" w:ascii="仿宋" w:hAnsi="仿宋" w:eastAsia="仿宋"/>
                <w:color w:val="auto"/>
                <w:sz w:val="24"/>
              </w:rPr>
              <w:t>备注</w:t>
            </w:r>
          </w:p>
        </w:tc>
      </w:tr>
      <w:tr w14:paraId="655E87F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56" w:hRule="atLeast"/>
        </w:trPr>
        <w:tc>
          <w:tcPr>
            <w:tcW w:w="851" w:type="dxa"/>
            <w:tcBorders>
              <w:top w:val="single" w:color="auto" w:sz="4" w:space="0"/>
              <w:left w:val="single" w:color="auto" w:sz="4" w:space="0"/>
              <w:bottom w:val="single" w:color="auto" w:sz="4" w:space="0"/>
              <w:right w:val="single" w:color="auto" w:sz="4" w:space="0"/>
            </w:tcBorders>
            <w:noWrap/>
            <w:vAlign w:val="center"/>
          </w:tcPr>
          <w:p w14:paraId="2C64B6AC">
            <w:pPr>
              <w:snapToGrid w:val="0"/>
              <w:spacing w:line="400" w:lineRule="exact"/>
              <w:ind w:firstLine="480" w:firstLineChars="200"/>
              <w:jc w:val="center"/>
              <w:rPr>
                <w:rFonts w:ascii="仿宋" w:hAnsi="仿宋" w:eastAsia="仿宋"/>
                <w:color w:val="auto"/>
                <w:sz w:val="24"/>
              </w:rPr>
            </w:pPr>
            <w:r>
              <w:rPr>
                <w:rFonts w:hint="eastAsia" w:ascii="仿宋" w:hAnsi="仿宋" w:eastAsia="仿宋"/>
                <w:color w:val="auto"/>
                <w:sz w:val="24"/>
              </w:rPr>
              <w:t>1</w:t>
            </w:r>
          </w:p>
        </w:tc>
        <w:tc>
          <w:tcPr>
            <w:tcW w:w="1418" w:type="dxa"/>
            <w:tcBorders>
              <w:top w:val="single" w:color="auto" w:sz="4" w:space="0"/>
              <w:left w:val="single" w:color="auto" w:sz="4" w:space="0"/>
              <w:bottom w:val="single" w:color="auto" w:sz="4" w:space="0"/>
              <w:right w:val="single" w:color="auto" w:sz="4" w:space="0"/>
            </w:tcBorders>
            <w:noWrap/>
            <w:vAlign w:val="center"/>
          </w:tcPr>
          <w:p w14:paraId="72C0979A">
            <w:pPr>
              <w:snapToGrid w:val="0"/>
              <w:spacing w:line="400" w:lineRule="exact"/>
              <w:ind w:firstLine="480" w:firstLineChars="200"/>
              <w:jc w:val="center"/>
              <w:rPr>
                <w:rFonts w:ascii="仿宋" w:hAnsi="仿宋" w:eastAsia="仿宋"/>
                <w:color w:val="auto"/>
                <w:sz w:val="24"/>
              </w:rPr>
            </w:pPr>
          </w:p>
        </w:tc>
        <w:tc>
          <w:tcPr>
            <w:tcW w:w="2977" w:type="dxa"/>
            <w:tcBorders>
              <w:top w:val="single" w:color="auto" w:sz="4" w:space="0"/>
              <w:left w:val="single" w:color="auto" w:sz="4" w:space="0"/>
              <w:bottom w:val="single" w:color="auto" w:sz="4" w:space="0"/>
              <w:right w:val="single" w:color="auto" w:sz="4" w:space="0"/>
            </w:tcBorders>
            <w:noWrap/>
            <w:vAlign w:val="center"/>
          </w:tcPr>
          <w:p w14:paraId="13423DAD">
            <w:pPr>
              <w:snapToGrid w:val="0"/>
              <w:spacing w:line="400" w:lineRule="exact"/>
              <w:ind w:firstLine="480" w:firstLineChars="200"/>
              <w:jc w:val="center"/>
              <w:rPr>
                <w:rFonts w:ascii="仿宋" w:hAnsi="仿宋" w:eastAsia="仿宋"/>
                <w:color w:val="auto"/>
                <w:sz w:val="24"/>
              </w:rPr>
            </w:pPr>
          </w:p>
        </w:tc>
        <w:tc>
          <w:tcPr>
            <w:tcW w:w="850" w:type="dxa"/>
            <w:tcBorders>
              <w:top w:val="single" w:color="auto" w:sz="4" w:space="0"/>
              <w:left w:val="single" w:color="auto" w:sz="4" w:space="0"/>
              <w:bottom w:val="single" w:color="auto" w:sz="4" w:space="0"/>
              <w:right w:val="single" w:color="auto" w:sz="4" w:space="0"/>
            </w:tcBorders>
            <w:noWrap/>
            <w:vAlign w:val="center"/>
          </w:tcPr>
          <w:p w14:paraId="799B8260">
            <w:pPr>
              <w:snapToGrid w:val="0"/>
              <w:spacing w:line="400" w:lineRule="exact"/>
              <w:ind w:firstLine="480" w:firstLineChars="200"/>
              <w:jc w:val="center"/>
              <w:rPr>
                <w:rFonts w:ascii="仿宋" w:hAnsi="仿宋" w:eastAsia="仿宋"/>
                <w:color w:val="auto"/>
                <w:sz w:val="24"/>
              </w:rPr>
            </w:pPr>
          </w:p>
        </w:tc>
        <w:tc>
          <w:tcPr>
            <w:tcW w:w="992" w:type="dxa"/>
            <w:tcBorders>
              <w:top w:val="single" w:color="auto" w:sz="4" w:space="0"/>
              <w:left w:val="single" w:color="auto" w:sz="4" w:space="0"/>
              <w:bottom w:val="single" w:color="auto" w:sz="4" w:space="0"/>
              <w:right w:val="single" w:color="auto" w:sz="4" w:space="0"/>
            </w:tcBorders>
            <w:noWrap/>
            <w:vAlign w:val="center"/>
          </w:tcPr>
          <w:p w14:paraId="29166290">
            <w:pPr>
              <w:snapToGrid w:val="0"/>
              <w:spacing w:line="400" w:lineRule="exact"/>
              <w:ind w:firstLine="480" w:firstLineChars="200"/>
              <w:jc w:val="center"/>
              <w:rPr>
                <w:rFonts w:ascii="仿宋" w:hAnsi="仿宋" w:eastAsia="仿宋"/>
                <w:color w:val="auto"/>
                <w:sz w:val="24"/>
              </w:rPr>
            </w:pPr>
          </w:p>
        </w:tc>
        <w:tc>
          <w:tcPr>
            <w:tcW w:w="1708" w:type="dxa"/>
            <w:tcBorders>
              <w:top w:val="single" w:color="auto" w:sz="4" w:space="0"/>
              <w:left w:val="single" w:color="auto" w:sz="4" w:space="0"/>
              <w:bottom w:val="single" w:color="auto" w:sz="4" w:space="0"/>
              <w:right w:val="single" w:color="auto" w:sz="4" w:space="0"/>
            </w:tcBorders>
            <w:noWrap/>
            <w:vAlign w:val="center"/>
          </w:tcPr>
          <w:p w14:paraId="5AC47F6D">
            <w:pPr>
              <w:snapToGrid w:val="0"/>
              <w:spacing w:line="400" w:lineRule="exact"/>
              <w:ind w:firstLine="480" w:firstLineChars="200"/>
              <w:jc w:val="center"/>
              <w:rPr>
                <w:rFonts w:ascii="仿宋" w:hAnsi="仿宋" w:eastAsia="仿宋"/>
                <w:color w:val="auto"/>
                <w:sz w:val="24"/>
              </w:rPr>
            </w:pPr>
          </w:p>
        </w:tc>
        <w:tc>
          <w:tcPr>
            <w:tcW w:w="960" w:type="dxa"/>
            <w:tcBorders>
              <w:top w:val="single" w:color="auto" w:sz="4" w:space="0"/>
              <w:left w:val="single" w:color="auto" w:sz="4" w:space="0"/>
              <w:bottom w:val="single" w:color="auto" w:sz="4" w:space="0"/>
              <w:right w:val="single" w:color="auto" w:sz="4" w:space="0"/>
            </w:tcBorders>
            <w:noWrap/>
            <w:vAlign w:val="center"/>
          </w:tcPr>
          <w:p w14:paraId="2F41A810">
            <w:pPr>
              <w:snapToGrid w:val="0"/>
              <w:spacing w:line="400" w:lineRule="exact"/>
              <w:ind w:firstLine="480" w:firstLineChars="200"/>
              <w:jc w:val="center"/>
              <w:rPr>
                <w:rFonts w:ascii="仿宋" w:hAnsi="仿宋" w:eastAsia="仿宋"/>
                <w:color w:val="auto"/>
                <w:sz w:val="24"/>
              </w:rPr>
            </w:pPr>
          </w:p>
        </w:tc>
      </w:tr>
    </w:tbl>
    <w:p w14:paraId="03D2A37E">
      <w:pPr>
        <w:spacing w:line="360" w:lineRule="auto"/>
        <w:ind w:left="420" w:leftChars="200"/>
        <w:rPr>
          <w:sz w:val="32"/>
          <w:szCs w:val="32"/>
        </w:rPr>
      </w:pPr>
      <w:r>
        <w:rPr>
          <w:rFonts w:hint="eastAsia"/>
          <w:sz w:val="32"/>
          <w:szCs w:val="32"/>
        </w:rPr>
        <w:t xml:space="preserve">    </w:t>
      </w:r>
      <w:r>
        <w:rPr>
          <w:sz w:val="32"/>
          <w:szCs w:val="32"/>
        </w:rPr>
        <w:t xml:space="preserve">           </w:t>
      </w:r>
      <w:r>
        <w:rPr>
          <w:rFonts w:hint="eastAsia"/>
          <w:sz w:val="32"/>
          <w:szCs w:val="32"/>
        </w:rPr>
        <w:t xml:space="preserve">            </w:t>
      </w:r>
    </w:p>
    <w:p w14:paraId="10520341">
      <w:pPr>
        <w:rPr>
          <w:sz w:val="32"/>
          <w:szCs w:val="32"/>
        </w:rPr>
      </w:pPr>
    </w:p>
    <w:p w14:paraId="01371A97">
      <w:pPr>
        <w:rPr>
          <w:sz w:val="32"/>
          <w:szCs w:val="32"/>
        </w:rPr>
      </w:pPr>
      <w:r>
        <w:rPr>
          <w:sz w:val="32"/>
          <w:szCs w:val="32"/>
        </w:rPr>
        <w:br w:type="page"/>
      </w:r>
    </w:p>
    <w:p w14:paraId="6568BBE5">
      <w:pPr>
        <w:ind w:firstLine="880" w:firstLineChars="200"/>
        <w:rPr>
          <w:rFonts w:eastAsia="黑体"/>
          <w:sz w:val="44"/>
          <w:szCs w:val="44"/>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720" w:num="1"/>
          <w:docGrid w:type="lines" w:linePitch="312" w:charSpace="0"/>
        </w:sectPr>
      </w:pPr>
    </w:p>
    <w:bookmarkEnd w:id="123"/>
    <w:bookmarkEnd w:id="124"/>
    <w:p w14:paraId="71206B74">
      <w:pPr>
        <w:pStyle w:val="26"/>
        <w:snapToGrid w:val="0"/>
        <w:spacing w:before="120" w:after="120" w:line="320" w:lineRule="exact"/>
        <w:jc w:val="center"/>
        <w:outlineLvl w:val="0"/>
        <w:rPr>
          <w:rFonts w:ascii="Times New Roman" w:hAnsi="Times New Roman" w:cs="Times New Roman"/>
          <w:sz w:val="32"/>
          <w:szCs w:val="32"/>
        </w:rPr>
      </w:pPr>
      <w:bookmarkStart w:id="125" w:name="_Toc2605"/>
      <w:r>
        <w:rPr>
          <w:rFonts w:ascii="Times New Roman" w:hAnsi="Times New Roman" w:cs="Times New Roman"/>
          <w:sz w:val="32"/>
          <w:szCs w:val="32"/>
        </w:rPr>
        <w:t>第六章  投标文件格式</w:t>
      </w:r>
      <w:bookmarkEnd w:id="125"/>
    </w:p>
    <w:p w14:paraId="4B743FAC">
      <w:pPr>
        <w:rPr>
          <w:sz w:val="28"/>
          <w:szCs w:val="28"/>
        </w:rPr>
      </w:pPr>
    </w:p>
    <w:p w14:paraId="793E6CA0">
      <w:pPr>
        <w:rPr>
          <w:sz w:val="28"/>
          <w:szCs w:val="28"/>
        </w:rPr>
      </w:pPr>
    </w:p>
    <w:p w14:paraId="0EA9453E">
      <w:pPr>
        <w:spacing w:line="500" w:lineRule="exact"/>
        <w:ind w:firstLine="560" w:firstLineChars="200"/>
        <w:rPr>
          <w:sz w:val="28"/>
          <w:szCs w:val="28"/>
        </w:rPr>
      </w:pPr>
      <w:bookmarkStart w:id="126" w:name="_Hlk19114175"/>
      <w:r>
        <w:rPr>
          <w:rFonts w:hint="eastAsia"/>
          <w:sz w:val="28"/>
          <w:szCs w:val="28"/>
        </w:rPr>
        <w:t>注：有签字、盖章要求的应按要求</w:t>
      </w:r>
      <w:bookmarkStart w:id="127" w:name="_Hlk89032274"/>
      <w:r>
        <w:rPr>
          <w:rFonts w:hint="eastAsia"/>
          <w:sz w:val="28"/>
          <w:szCs w:val="28"/>
        </w:rPr>
        <w:t>签字（签章）、盖章（签章）</w:t>
      </w:r>
      <w:bookmarkEnd w:id="127"/>
      <w:r>
        <w:rPr>
          <w:rFonts w:hint="eastAsia"/>
          <w:sz w:val="28"/>
          <w:szCs w:val="28"/>
        </w:rPr>
        <w:t>。</w:t>
      </w:r>
    </w:p>
    <w:bookmarkEnd w:id="126"/>
    <w:p w14:paraId="25522A79">
      <w:pPr>
        <w:spacing w:line="500" w:lineRule="exact"/>
        <w:ind w:firstLine="480" w:firstLineChars="200"/>
        <w:rPr>
          <w:rFonts w:hint="eastAsia" w:ascii="宋体" w:hAnsi="宋体"/>
          <w:sz w:val="24"/>
        </w:rPr>
      </w:pPr>
    </w:p>
    <w:p w14:paraId="40DC364F">
      <w:pPr>
        <w:spacing w:line="500" w:lineRule="exact"/>
        <w:rPr>
          <w:bCs/>
          <w:sz w:val="24"/>
        </w:rPr>
      </w:pPr>
      <w:r>
        <w:rPr>
          <w:rFonts w:ascii="宋体" w:hAnsi="宋体"/>
          <w:sz w:val="24"/>
        </w:rPr>
        <w:br w:type="page"/>
      </w:r>
      <w:bookmarkEnd w:id="0"/>
      <w:bookmarkEnd w:id="1"/>
    </w:p>
    <w:p w14:paraId="5159DB8C">
      <w:pPr>
        <w:snapToGrid w:val="0"/>
        <w:spacing w:before="120" w:beforeLines="50" w:after="50" w:line="440" w:lineRule="exact"/>
        <w:jc w:val="left"/>
        <w:outlineLvl w:val="1"/>
        <w:rPr>
          <w:bCs/>
          <w:sz w:val="24"/>
        </w:rPr>
      </w:pPr>
      <w:r>
        <w:rPr>
          <w:bCs/>
          <w:sz w:val="24"/>
        </w:rPr>
        <w:t>1．投标文件封面参考格式</w:t>
      </w:r>
      <w:bookmarkStart w:id="128" w:name="_Hlk92966991"/>
      <w:r>
        <w:rPr>
          <w:rFonts w:hint="eastAsia"/>
          <w:bCs/>
          <w:sz w:val="24"/>
        </w:rPr>
        <w:t>（资格证明文件）</w:t>
      </w:r>
      <w:bookmarkEnd w:id="128"/>
      <w:r>
        <w:rPr>
          <w:bCs/>
          <w:sz w:val="24"/>
        </w:rPr>
        <w:t xml:space="preserve">： </w:t>
      </w:r>
    </w:p>
    <w:p w14:paraId="4CA46232">
      <w:pPr>
        <w:snapToGrid w:val="0"/>
        <w:spacing w:before="120" w:beforeLines="50" w:after="50" w:line="360" w:lineRule="exact"/>
        <w:rPr>
          <w:sz w:val="24"/>
        </w:rPr>
      </w:pPr>
    </w:p>
    <w:p w14:paraId="485D2EA3">
      <w:pPr>
        <w:snapToGrid w:val="0"/>
        <w:spacing w:before="120" w:beforeLines="50" w:after="50" w:line="360" w:lineRule="exact"/>
        <w:jc w:val="center"/>
        <w:rPr>
          <w:bCs/>
          <w:sz w:val="24"/>
        </w:rPr>
      </w:pPr>
    </w:p>
    <w:p w14:paraId="50F62142">
      <w:pPr>
        <w:snapToGrid w:val="0"/>
        <w:spacing w:before="120" w:beforeLines="50" w:after="50" w:line="360" w:lineRule="exact"/>
        <w:jc w:val="center"/>
        <w:rPr>
          <w:b/>
          <w:bCs/>
          <w:sz w:val="44"/>
          <w:szCs w:val="44"/>
        </w:rPr>
      </w:pPr>
      <w:r>
        <w:rPr>
          <w:rFonts w:hint="eastAsia"/>
          <w:b/>
          <w:bCs/>
          <w:sz w:val="44"/>
          <w:szCs w:val="44"/>
        </w:rPr>
        <w:t>电子</w:t>
      </w:r>
      <w:r>
        <w:rPr>
          <w:b/>
          <w:bCs/>
          <w:sz w:val="44"/>
          <w:szCs w:val="44"/>
        </w:rPr>
        <w:t>投标文件</w:t>
      </w:r>
    </w:p>
    <w:p w14:paraId="74F7353D">
      <w:pPr>
        <w:snapToGrid w:val="0"/>
        <w:spacing w:before="120" w:beforeLines="50" w:after="50" w:line="360" w:lineRule="exact"/>
        <w:jc w:val="center"/>
        <w:rPr>
          <w:b/>
          <w:bCs/>
          <w:sz w:val="44"/>
          <w:szCs w:val="44"/>
        </w:rPr>
      </w:pPr>
    </w:p>
    <w:p w14:paraId="22E64F5D">
      <w:pPr>
        <w:snapToGrid w:val="0"/>
        <w:spacing w:before="120" w:beforeLines="50" w:after="50" w:line="360" w:lineRule="exact"/>
        <w:jc w:val="center"/>
        <w:rPr>
          <w:b/>
          <w:bCs/>
          <w:sz w:val="44"/>
          <w:szCs w:val="44"/>
        </w:rPr>
      </w:pPr>
    </w:p>
    <w:p w14:paraId="5EAFA673">
      <w:pPr>
        <w:snapToGrid w:val="0"/>
        <w:spacing w:before="120" w:beforeLines="50" w:after="50" w:line="360" w:lineRule="exact"/>
        <w:jc w:val="center"/>
        <w:rPr>
          <w:b/>
          <w:bCs/>
          <w:sz w:val="44"/>
          <w:szCs w:val="44"/>
        </w:rPr>
      </w:pPr>
      <w:bookmarkStart w:id="129" w:name="_Hlk92967018"/>
      <w:r>
        <w:rPr>
          <w:b/>
          <w:bCs/>
          <w:sz w:val="44"/>
          <w:szCs w:val="44"/>
        </w:rPr>
        <w:t>资格</w:t>
      </w:r>
      <w:r>
        <w:rPr>
          <w:rFonts w:hint="eastAsia"/>
          <w:b/>
          <w:bCs/>
          <w:sz w:val="44"/>
          <w:szCs w:val="44"/>
        </w:rPr>
        <w:t>证明文件</w:t>
      </w:r>
    </w:p>
    <w:bookmarkEnd w:id="129"/>
    <w:p w14:paraId="76A06558">
      <w:pPr>
        <w:snapToGrid w:val="0"/>
        <w:spacing w:before="120" w:beforeLines="50" w:after="50" w:line="360" w:lineRule="exact"/>
        <w:rPr>
          <w:bCs/>
          <w:sz w:val="24"/>
        </w:rPr>
      </w:pPr>
    </w:p>
    <w:p w14:paraId="55718783">
      <w:pPr>
        <w:snapToGrid w:val="0"/>
        <w:spacing w:before="120" w:beforeLines="50" w:after="50" w:line="360" w:lineRule="exact"/>
        <w:rPr>
          <w:bCs/>
          <w:sz w:val="24"/>
        </w:rPr>
      </w:pPr>
    </w:p>
    <w:p w14:paraId="7635960C">
      <w:pPr>
        <w:snapToGrid w:val="0"/>
        <w:spacing w:before="120" w:beforeLines="50" w:after="50" w:line="360" w:lineRule="exact"/>
        <w:rPr>
          <w:bCs/>
          <w:sz w:val="24"/>
        </w:rPr>
      </w:pPr>
    </w:p>
    <w:p w14:paraId="62F1168B">
      <w:pPr>
        <w:snapToGrid w:val="0"/>
        <w:spacing w:before="120" w:beforeLines="50" w:after="50" w:line="360" w:lineRule="exact"/>
        <w:ind w:firstLine="720" w:firstLineChars="300"/>
        <w:rPr>
          <w:bCs/>
          <w:sz w:val="24"/>
        </w:rPr>
      </w:pPr>
      <w:r>
        <w:rPr>
          <w:bCs/>
          <w:sz w:val="24"/>
        </w:rPr>
        <w:t xml:space="preserve">项目名称： </w:t>
      </w:r>
    </w:p>
    <w:p w14:paraId="6E618778">
      <w:pPr>
        <w:snapToGrid w:val="0"/>
        <w:spacing w:before="120" w:beforeLines="50" w:after="50" w:line="360" w:lineRule="exact"/>
        <w:ind w:firstLine="720" w:firstLineChars="300"/>
        <w:rPr>
          <w:bCs/>
          <w:sz w:val="24"/>
        </w:rPr>
      </w:pPr>
      <w:r>
        <w:rPr>
          <w:bCs/>
          <w:sz w:val="24"/>
        </w:rPr>
        <w:t>项目编号：</w:t>
      </w:r>
    </w:p>
    <w:p w14:paraId="6C63DBE4">
      <w:pPr>
        <w:snapToGrid w:val="0"/>
        <w:spacing w:before="120" w:beforeLines="50" w:after="50" w:line="360" w:lineRule="exact"/>
        <w:ind w:firstLine="720" w:firstLineChars="300"/>
        <w:rPr>
          <w:bCs/>
          <w:sz w:val="24"/>
        </w:rPr>
      </w:pPr>
      <w:r>
        <w:rPr>
          <w:bCs/>
          <w:sz w:val="24"/>
        </w:rPr>
        <w:t>分标号：（若无</w:t>
      </w:r>
      <w:r>
        <w:rPr>
          <w:rFonts w:hint="eastAsia"/>
          <w:bCs/>
          <w:sz w:val="24"/>
        </w:rPr>
        <w:t>留空或写</w:t>
      </w:r>
      <w:r>
        <w:rPr>
          <w:bCs/>
          <w:sz w:val="24"/>
        </w:rPr>
        <w:t>“/”）</w:t>
      </w:r>
    </w:p>
    <w:p w14:paraId="12A057F9">
      <w:pPr>
        <w:snapToGrid w:val="0"/>
        <w:spacing w:before="120" w:beforeLines="50" w:after="50" w:line="360" w:lineRule="exact"/>
        <w:ind w:firstLine="720" w:firstLineChars="300"/>
        <w:rPr>
          <w:bCs/>
          <w:sz w:val="24"/>
        </w:rPr>
      </w:pPr>
      <w:r>
        <w:rPr>
          <w:bCs/>
          <w:sz w:val="24"/>
        </w:rPr>
        <w:t>供应商名称：</w:t>
      </w:r>
    </w:p>
    <w:p w14:paraId="10D854B3">
      <w:pPr>
        <w:snapToGrid w:val="0"/>
        <w:spacing w:before="120" w:beforeLines="50" w:after="50" w:line="360" w:lineRule="exact"/>
        <w:ind w:firstLine="720" w:firstLineChars="300"/>
        <w:rPr>
          <w:bCs/>
          <w:sz w:val="24"/>
        </w:rPr>
      </w:pPr>
      <w:r>
        <w:rPr>
          <w:bCs/>
          <w:sz w:val="24"/>
        </w:rPr>
        <w:t>供应商地址：</w:t>
      </w:r>
    </w:p>
    <w:p w14:paraId="61FB685B">
      <w:pPr>
        <w:pStyle w:val="7"/>
        <w:snapToGrid w:val="0"/>
        <w:spacing w:before="50" w:after="50" w:line="360" w:lineRule="exact"/>
        <w:ind w:firstLine="960" w:firstLineChars="400"/>
        <w:rPr>
          <w:bCs/>
          <w:sz w:val="24"/>
          <w:szCs w:val="24"/>
        </w:rPr>
      </w:pPr>
    </w:p>
    <w:p w14:paraId="56734E9A">
      <w:pPr>
        <w:snapToGrid w:val="0"/>
        <w:spacing w:before="120" w:beforeLines="50" w:after="50" w:line="360" w:lineRule="exact"/>
        <w:jc w:val="center"/>
        <w:rPr>
          <w:sz w:val="24"/>
        </w:rPr>
      </w:pPr>
      <w:r>
        <w:rPr>
          <w:sz w:val="24"/>
        </w:rPr>
        <w:t xml:space="preserve">                        年  月  日</w:t>
      </w:r>
    </w:p>
    <w:p w14:paraId="68B64C7E">
      <w:bookmarkStart w:id="130" w:name="_Toc254970557"/>
      <w:bookmarkStart w:id="131" w:name="_Toc254970698"/>
      <w:r>
        <w:br w:type="page"/>
      </w:r>
      <w:bookmarkEnd w:id="130"/>
      <w:bookmarkEnd w:id="131"/>
      <w:r>
        <w:rPr>
          <w:b/>
          <w:bCs/>
        </w:rPr>
        <w:t xml:space="preserve"> </w:t>
      </w:r>
    </w:p>
    <w:p w14:paraId="0AF6F105">
      <w:pPr>
        <w:snapToGrid w:val="0"/>
        <w:spacing w:before="50" w:after="50" w:line="440" w:lineRule="exact"/>
        <w:ind w:firstLine="138" w:firstLineChars="49"/>
        <w:jc w:val="center"/>
        <w:rPr>
          <w:b/>
          <w:sz w:val="28"/>
          <w:szCs w:val="28"/>
        </w:rPr>
      </w:pPr>
      <w:r>
        <w:rPr>
          <w:b/>
          <w:sz w:val="28"/>
          <w:szCs w:val="28"/>
        </w:rPr>
        <w:t>目录</w:t>
      </w:r>
    </w:p>
    <w:p w14:paraId="7A8CAC0F">
      <w:pPr>
        <w:snapToGrid w:val="0"/>
        <w:spacing w:before="50" w:after="50" w:line="440" w:lineRule="exact"/>
        <w:ind w:firstLine="118" w:firstLineChars="49"/>
        <w:jc w:val="center"/>
        <w:rPr>
          <w:b/>
          <w:sz w:val="24"/>
        </w:rPr>
      </w:pPr>
      <w:r>
        <w:rPr>
          <w:b/>
          <w:sz w:val="24"/>
        </w:rPr>
        <w:t>（应有页码）</w:t>
      </w:r>
    </w:p>
    <w:p w14:paraId="61EF468D">
      <w:pPr>
        <w:snapToGrid w:val="0"/>
        <w:spacing w:before="50" w:after="50" w:line="440" w:lineRule="exact"/>
        <w:ind w:firstLine="118" w:firstLineChars="49"/>
        <w:jc w:val="center"/>
        <w:rPr>
          <w:b/>
          <w:sz w:val="24"/>
        </w:rPr>
      </w:pPr>
      <w:r>
        <w:rPr>
          <w:b/>
          <w:sz w:val="24"/>
        </w:rPr>
        <w:br w:type="page"/>
      </w:r>
    </w:p>
    <w:p w14:paraId="0EE96A9D">
      <w:pPr>
        <w:snapToGrid w:val="0"/>
        <w:spacing w:before="50" w:after="50" w:line="440" w:lineRule="exact"/>
        <w:jc w:val="left"/>
        <w:rPr>
          <w:b/>
          <w:szCs w:val="21"/>
        </w:rPr>
      </w:pPr>
      <w:bookmarkStart w:id="132" w:name="_Hlk19114217"/>
      <w:r>
        <w:rPr>
          <w:b/>
          <w:szCs w:val="21"/>
        </w:rPr>
        <w:t>1．投标声明书格式：</w:t>
      </w:r>
    </w:p>
    <w:p w14:paraId="04E58CD9">
      <w:pPr>
        <w:snapToGrid w:val="0"/>
        <w:spacing w:before="120" w:beforeLines="50" w:after="50" w:line="360" w:lineRule="exact"/>
        <w:jc w:val="center"/>
        <w:rPr>
          <w:b/>
          <w:szCs w:val="21"/>
        </w:rPr>
      </w:pPr>
    </w:p>
    <w:p w14:paraId="2ED6C6F6">
      <w:pPr>
        <w:snapToGrid w:val="0"/>
        <w:spacing w:before="120" w:beforeLines="50" w:after="50" w:line="360" w:lineRule="exact"/>
        <w:jc w:val="center"/>
        <w:rPr>
          <w:b/>
          <w:szCs w:val="21"/>
        </w:rPr>
      </w:pPr>
      <w:r>
        <w:rPr>
          <w:b/>
          <w:szCs w:val="21"/>
        </w:rPr>
        <w:t>投标声明书</w:t>
      </w:r>
    </w:p>
    <w:p w14:paraId="02316F9C">
      <w:pPr>
        <w:snapToGrid w:val="0"/>
        <w:spacing w:before="120" w:beforeLines="50" w:after="50" w:line="360" w:lineRule="exact"/>
        <w:jc w:val="center"/>
        <w:rPr>
          <w:szCs w:val="21"/>
        </w:rPr>
      </w:pPr>
    </w:p>
    <w:p w14:paraId="7E74C89B">
      <w:pPr>
        <w:snapToGrid w:val="0"/>
        <w:spacing w:before="120" w:beforeLines="50" w:after="50" w:line="360" w:lineRule="exact"/>
        <w:rPr>
          <w:szCs w:val="21"/>
        </w:rPr>
      </w:pPr>
      <w:r>
        <w:rPr>
          <w:szCs w:val="21"/>
        </w:rPr>
        <w:t>致：</w:t>
      </w:r>
      <w:r>
        <w:rPr>
          <w:i/>
          <w:iCs/>
          <w:szCs w:val="21"/>
          <w:u w:val="single"/>
        </w:rPr>
        <w:t>（采购</w:t>
      </w:r>
      <w:r>
        <w:rPr>
          <w:rFonts w:hint="eastAsia"/>
          <w:i/>
          <w:iCs/>
          <w:szCs w:val="21"/>
          <w:u w:val="single"/>
        </w:rPr>
        <w:t>人</w:t>
      </w:r>
      <w:r>
        <w:rPr>
          <w:i/>
          <w:iCs/>
          <w:szCs w:val="21"/>
          <w:u w:val="single"/>
        </w:rPr>
        <w:t>名称）</w:t>
      </w:r>
      <w:r>
        <w:rPr>
          <w:szCs w:val="21"/>
        </w:rPr>
        <w:t>：</w:t>
      </w:r>
    </w:p>
    <w:p w14:paraId="33C26FAF">
      <w:pPr>
        <w:snapToGrid w:val="0"/>
        <w:spacing w:before="120" w:beforeLines="50" w:after="50" w:line="360" w:lineRule="exact"/>
        <w:ind w:firstLine="630" w:firstLineChars="300"/>
        <w:rPr>
          <w:szCs w:val="21"/>
        </w:rPr>
      </w:pPr>
      <w:r>
        <w:rPr>
          <w:i/>
          <w:iCs/>
          <w:szCs w:val="21"/>
          <w:u w:val="single"/>
        </w:rPr>
        <w:t>（供应商名称）</w:t>
      </w:r>
      <w:r>
        <w:rPr>
          <w:szCs w:val="21"/>
        </w:rPr>
        <w:t>系中华人民共和国合法企业，</w:t>
      </w:r>
      <w:r>
        <w:rPr>
          <w:rFonts w:hint="eastAsia"/>
          <w:szCs w:val="21"/>
          <w:u w:val="single"/>
        </w:rPr>
        <w:t xml:space="preserve"> </w:t>
      </w:r>
      <w:r>
        <w:rPr>
          <w:i/>
          <w:iCs/>
          <w:szCs w:val="21"/>
          <w:u w:val="single"/>
        </w:rPr>
        <w:t xml:space="preserve"> </w:t>
      </w:r>
      <w:r>
        <w:rPr>
          <w:rFonts w:hint="eastAsia"/>
          <w:i/>
          <w:iCs/>
          <w:szCs w:val="21"/>
          <w:u w:val="single"/>
        </w:rPr>
        <w:t>（</w:t>
      </w:r>
      <w:r>
        <w:rPr>
          <w:i/>
          <w:iCs/>
          <w:szCs w:val="21"/>
          <w:u w:val="single"/>
        </w:rPr>
        <w:t>经营地址</w:t>
      </w:r>
      <w:r>
        <w:rPr>
          <w:rFonts w:hint="eastAsia"/>
          <w:i/>
          <w:iCs/>
          <w:szCs w:val="21"/>
          <w:u w:val="single"/>
        </w:rPr>
        <w:t xml:space="preserve">） </w:t>
      </w:r>
      <w:r>
        <w:rPr>
          <w:i/>
          <w:iCs/>
          <w:szCs w:val="21"/>
          <w:u w:val="single"/>
        </w:rPr>
        <w:t xml:space="preserve"> </w:t>
      </w:r>
      <w:r>
        <w:rPr>
          <w:szCs w:val="21"/>
          <w:u w:val="single"/>
        </w:rPr>
        <w:t xml:space="preserve"> </w:t>
      </w:r>
      <w:r>
        <w:rPr>
          <w:szCs w:val="21"/>
        </w:rPr>
        <w:t>。</w:t>
      </w:r>
    </w:p>
    <w:p w14:paraId="2DA5ACBE">
      <w:pPr>
        <w:snapToGrid w:val="0"/>
        <w:spacing w:before="120" w:beforeLines="50" w:after="50" w:line="360" w:lineRule="exact"/>
        <w:ind w:firstLine="645"/>
        <w:rPr>
          <w:szCs w:val="21"/>
        </w:rPr>
      </w:pPr>
      <w:r>
        <w:rPr>
          <w:szCs w:val="21"/>
        </w:rPr>
        <w:t>我</w:t>
      </w:r>
      <w:r>
        <w:rPr>
          <w:i/>
          <w:iCs/>
          <w:szCs w:val="21"/>
          <w:u w:val="single"/>
        </w:rPr>
        <w:t>（姓名）</w:t>
      </w:r>
      <w:r>
        <w:rPr>
          <w:rFonts w:hint="eastAsia"/>
          <w:i/>
          <w:iCs/>
          <w:szCs w:val="21"/>
          <w:u w:val="single"/>
        </w:rPr>
        <w:t xml:space="preserve"> </w:t>
      </w:r>
      <w:r>
        <w:rPr>
          <w:szCs w:val="21"/>
        </w:rPr>
        <w:t>系</w:t>
      </w:r>
      <w:r>
        <w:rPr>
          <w:i/>
          <w:iCs/>
          <w:szCs w:val="21"/>
          <w:u w:val="single"/>
        </w:rPr>
        <w:t>（供应商名称）</w:t>
      </w:r>
      <w:r>
        <w:rPr>
          <w:szCs w:val="21"/>
        </w:rPr>
        <w:t>的法定代表人，我方愿意参加贵方组织的</w:t>
      </w:r>
      <w:r>
        <w:rPr>
          <w:rFonts w:hint="eastAsia"/>
          <w:szCs w:val="21"/>
        </w:rPr>
        <w:t xml:space="preserve"> </w:t>
      </w:r>
      <w:r>
        <w:rPr>
          <w:rFonts w:hint="eastAsia"/>
          <w:i/>
          <w:iCs/>
          <w:szCs w:val="21"/>
          <w:u w:val="single"/>
        </w:rPr>
        <w:t xml:space="preserve">（项目名称） </w:t>
      </w:r>
      <w:r>
        <w:rPr>
          <w:szCs w:val="21"/>
        </w:rPr>
        <w:t>项目的投标，为便于贵方公正、择优地确定中标人及其投标产品和服务，我方就本次投标有关事项郑重声明如下：</w:t>
      </w:r>
    </w:p>
    <w:p w14:paraId="52008B1A">
      <w:pPr>
        <w:snapToGrid w:val="0"/>
        <w:spacing w:before="120" w:beforeLines="50" w:line="360" w:lineRule="exact"/>
        <w:ind w:firstLine="420" w:firstLineChars="200"/>
        <w:rPr>
          <w:szCs w:val="21"/>
        </w:rPr>
      </w:pPr>
      <w:r>
        <w:rPr>
          <w:szCs w:val="21"/>
        </w:rPr>
        <w:t>（1）我方向贵方提交的所有投标文件、资料都是准确的和真实的</w:t>
      </w:r>
      <w:r>
        <w:rPr>
          <w:rFonts w:hint="eastAsia"/>
          <w:szCs w:val="21"/>
        </w:rPr>
        <w:t>。</w:t>
      </w:r>
      <w:r>
        <w:rPr>
          <w:szCs w:val="21"/>
        </w:rPr>
        <w:t xml:space="preserve"> </w:t>
      </w:r>
    </w:p>
    <w:p w14:paraId="2A012573">
      <w:pPr>
        <w:snapToGrid w:val="0"/>
        <w:spacing w:before="120" w:beforeLines="50" w:line="360" w:lineRule="exact"/>
        <w:ind w:firstLine="420" w:firstLineChars="200"/>
        <w:rPr>
          <w:szCs w:val="21"/>
        </w:rPr>
      </w:pPr>
      <w:r>
        <w:rPr>
          <w:szCs w:val="21"/>
        </w:rPr>
        <w:t>（2）我方不是采购人的附属机构；也不是为本项目提供整体设计、规范编制或者项目管理、监理、检测等服务的供应商或其附属机构。</w:t>
      </w:r>
    </w:p>
    <w:p w14:paraId="6F6CD020">
      <w:pPr>
        <w:snapToGrid w:val="0"/>
        <w:spacing w:before="120" w:beforeLines="50" w:line="360" w:lineRule="exact"/>
        <w:ind w:firstLine="420" w:firstLineChars="200"/>
        <w:rPr>
          <w:szCs w:val="21"/>
        </w:rPr>
      </w:pPr>
      <w:r>
        <w:rPr>
          <w:szCs w:val="21"/>
        </w:rPr>
        <w:t>（3）我方承诺在参加本政府采购项目活动前，没有被纳入政府部门或银行认定的失信名单，我方具有良好的商业信誉。</w:t>
      </w:r>
    </w:p>
    <w:p w14:paraId="7C1084A1">
      <w:pPr>
        <w:snapToGrid w:val="0"/>
        <w:spacing w:before="120" w:beforeLines="50" w:line="360" w:lineRule="exact"/>
        <w:ind w:firstLine="420" w:firstLineChars="200"/>
        <w:rPr>
          <w:szCs w:val="21"/>
        </w:rPr>
      </w:pPr>
      <w:r>
        <w:rPr>
          <w:szCs w:val="21"/>
        </w:rPr>
        <w:t>（4）我方及本人承诺在参加本政府采购项目活动前三年内，在经营活动中没有重大违法记录。重大违法记录是指供</w:t>
      </w:r>
      <w:r>
        <w:rPr>
          <w:rFonts w:hint="eastAsia"/>
          <w:szCs w:val="21"/>
          <w:lang w:eastAsia="zh-CN"/>
        </w:rPr>
        <w:t>应商</w:t>
      </w:r>
      <w:r>
        <w:rPr>
          <w:szCs w:val="21"/>
        </w:rPr>
        <w:t>因违法经营受到刑事处罚或者责令停产停业、吊销许可证或者执照、较大数额罚款等行政处罚。如我方提供的声明不实，则自愿承担《政府采购法》有关提供虚假材料的规定给予的处罚。</w:t>
      </w:r>
    </w:p>
    <w:p w14:paraId="109C1751">
      <w:pPr>
        <w:snapToGrid w:val="0"/>
        <w:spacing w:before="120" w:beforeLines="50" w:line="360" w:lineRule="exact"/>
        <w:ind w:firstLine="420" w:firstLineChars="200"/>
        <w:rPr>
          <w:szCs w:val="21"/>
        </w:rPr>
      </w:pPr>
      <w:r>
        <w:rPr>
          <w:szCs w:val="21"/>
        </w:rPr>
        <w:t>（5）我方承诺具有履行本项目合同所必需的设备和专业技术能力。</w:t>
      </w:r>
    </w:p>
    <w:p w14:paraId="4588D518">
      <w:pPr>
        <w:snapToGrid w:val="0"/>
        <w:spacing w:before="120" w:beforeLines="50" w:line="360" w:lineRule="exact"/>
        <w:ind w:firstLine="420" w:firstLineChars="200"/>
        <w:rPr>
          <w:szCs w:val="21"/>
        </w:rPr>
      </w:pPr>
      <w:r>
        <w:rPr>
          <w:rFonts w:hint="eastAsia"/>
          <w:szCs w:val="21"/>
        </w:rPr>
        <w:t>（6）我方承诺</w:t>
      </w:r>
      <w:r>
        <w:rPr>
          <w:szCs w:val="21"/>
        </w:rPr>
        <w:t>未被列入失信被执行人、重大税收违法失信主体、政府采购严重违法失信行为记录名单</w:t>
      </w:r>
      <w:r>
        <w:rPr>
          <w:rFonts w:hint="eastAsia"/>
          <w:szCs w:val="21"/>
        </w:rPr>
        <w:t>，如我方提供的声明不实，则接受本次投标作为否决投标的处理，</w:t>
      </w:r>
      <w:r>
        <w:rPr>
          <w:szCs w:val="21"/>
        </w:rPr>
        <w:t>并根据财库〔2016〕125号《财政部关于在政府采购活动中查询及使用信用记录有关问题的通知》规定接受失信联合惩戒。</w:t>
      </w:r>
    </w:p>
    <w:p w14:paraId="3F17AB22">
      <w:pPr>
        <w:snapToGrid w:val="0"/>
        <w:spacing w:before="120" w:beforeLines="50" w:line="360" w:lineRule="exact"/>
        <w:ind w:firstLine="420" w:firstLineChars="200"/>
        <w:rPr>
          <w:szCs w:val="21"/>
        </w:rPr>
      </w:pPr>
      <w:r>
        <w:rPr>
          <w:rFonts w:hint="eastAsia"/>
          <w:szCs w:val="21"/>
        </w:rPr>
        <w:t>（7）我方承诺中标后按</w:t>
      </w:r>
      <w:r>
        <w:rPr>
          <w:szCs w:val="21"/>
        </w:rPr>
        <w:t>规定缴纳代理服务费</w:t>
      </w:r>
      <w:r>
        <w:rPr>
          <w:rFonts w:hint="eastAsia"/>
          <w:szCs w:val="21"/>
        </w:rPr>
        <w:t>。如未按时缴纳，</w:t>
      </w:r>
      <w:r>
        <w:rPr>
          <w:szCs w:val="21"/>
        </w:rPr>
        <w:t>贵方可</w:t>
      </w:r>
      <w:r>
        <w:rPr>
          <w:rFonts w:hint="eastAsia"/>
          <w:szCs w:val="21"/>
        </w:rPr>
        <w:t>不退还</w:t>
      </w:r>
      <w:r>
        <w:rPr>
          <w:szCs w:val="21"/>
        </w:rPr>
        <w:t>我</w:t>
      </w:r>
      <w:r>
        <w:rPr>
          <w:rFonts w:hint="eastAsia"/>
          <w:szCs w:val="21"/>
        </w:rPr>
        <w:t>方</w:t>
      </w:r>
      <w:r>
        <w:rPr>
          <w:szCs w:val="21"/>
        </w:rPr>
        <w:t>提交的投标保证金</w:t>
      </w:r>
      <w:r>
        <w:rPr>
          <w:rFonts w:hint="eastAsia"/>
          <w:szCs w:val="21"/>
        </w:rPr>
        <w:t>，并从中</w:t>
      </w:r>
      <w:r>
        <w:rPr>
          <w:szCs w:val="21"/>
        </w:rPr>
        <w:t>扣除</w:t>
      </w:r>
      <w:r>
        <w:rPr>
          <w:rFonts w:hint="eastAsia"/>
          <w:szCs w:val="21"/>
        </w:rPr>
        <w:t>代理服务费。</w:t>
      </w:r>
    </w:p>
    <w:p w14:paraId="6AA6D610">
      <w:pPr>
        <w:snapToGrid w:val="0"/>
        <w:spacing w:before="120" w:beforeLines="50" w:line="360" w:lineRule="exact"/>
        <w:ind w:firstLine="420" w:firstLineChars="200"/>
        <w:rPr>
          <w:szCs w:val="21"/>
        </w:rPr>
      </w:pPr>
      <w:r>
        <w:rPr>
          <w:szCs w:val="21"/>
        </w:rPr>
        <w:t>我方对以上声明负全部法律责任。如有虚假或隐瞒，我方愿意承担一切后果，并不再寻求任何旨在减轻或免除法律责任的辩解。</w:t>
      </w:r>
    </w:p>
    <w:bookmarkEnd w:id="132"/>
    <w:p w14:paraId="06E84AD9">
      <w:pPr>
        <w:snapToGrid w:val="0"/>
        <w:spacing w:before="120" w:beforeLines="50" w:line="360" w:lineRule="exact"/>
        <w:ind w:firstLine="420" w:firstLineChars="200"/>
        <w:rPr>
          <w:szCs w:val="21"/>
        </w:rPr>
      </w:pPr>
    </w:p>
    <w:p w14:paraId="3AD0BAFD">
      <w:pPr>
        <w:snapToGrid w:val="0"/>
        <w:spacing w:before="120" w:beforeLines="50" w:line="360" w:lineRule="exact"/>
        <w:rPr>
          <w:szCs w:val="21"/>
          <w:u w:val="single"/>
        </w:rPr>
      </w:pPr>
    </w:p>
    <w:p w14:paraId="23FE66BC">
      <w:pPr>
        <w:snapToGrid w:val="0"/>
        <w:spacing w:before="120" w:beforeLines="50" w:after="50" w:line="360" w:lineRule="exact"/>
        <w:ind w:firstLine="3570" w:firstLineChars="1700"/>
        <w:rPr>
          <w:szCs w:val="21"/>
        </w:rPr>
      </w:pPr>
      <w:bookmarkStart w:id="133" w:name="_Hlk88990289"/>
      <w:r>
        <w:rPr>
          <w:szCs w:val="21"/>
        </w:rPr>
        <w:t>供应商</w:t>
      </w:r>
      <w:r>
        <w:rPr>
          <w:rFonts w:hint="eastAsia"/>
          <w:szCs w:val="21"/>
        </w:rPr>
        <w:t>名称（电子签章）</w:t>
      </w:r>
      <w:bookmarkEnd w:id="133"/>
      <w:r>
        <w:rPr>
          <w:szCs w:val="21"/>
        </w:rPr>
        <w:t>：</w:t>
      </w:r>
      <w:r>
        <w:rPr>
          <w:szCs w:val="21"/>
          <w:u w:val="single"/>
        </w:rPr>
        <w:t xml:space="preserve">                </w:t>
      </w:r>
    </w:p>
    <w:p w14:paraId="5762877B">
      <w:pPr>
        <w:snapToGrid w:val="0"/>
        <w:spacing w:before="120" w:beforeLines="50" w:after="50" w:line="360" w:lineRule="exact"/>
        <w:ind w:firstLine="210" w:firstLineChars="100"/>
        <w:rPr>
          <w:szCs w:val="21"/>
        </w:rPr>
      </w:pPr>
      <w:r>
        <w:rPr>
          <w:szCs w:val="21"/>
        </w:rPr>
        <w:t xml:space="preserve">                                                                        年    月    日</w:t>
      </w:r>
    </w:p>
    <w:p w14:paraId="5A1526E2">
      <w:pPr>
        <w:snapToGrid w:val="0"/>
        <w:spacing w:before="120" w:beforeLines="50" w:after="50" w:line="360" w:lineRule="exact"/>
        <w:rPr>
          <w:szCs w:val="21"/>
        </w:rPr>
      </w:pPr>
      <w:r>
        <w:rPr>
          <w:szCs w:val="21"/>
        </w:rPr>
        <w:br w:type="page"/>
      </w:r>
      <w:r>
        <w:rPr>
          <w:szCs w:val="21"/>
        </w:rPr>
        <w:t>2．法人或者其他组织的营业执照等证明文件、自然人的身份证明。即供应商是企业则提供营业执照（副本）复印件；供应商是事业单位，则提供事业单位法人证书（副本）复印件；供应商是非企业专业服务机构的，则提供执业许可证等证明文件复印件；供应商是个体工商户，则提供个体工商户营业执照复印件；供应商是自然人，则提供有效的自然人身份证明复印件；如供应商不是以上所列的法人、组织、自然人的，则提供国家规定的相关证明材料。（加盖供应商</w:t>
      </w:r>
      <w:r>
        <w:rPr>
          <w:rFonts w:hint="eastAsia"/>
          <w:szCs w:val="21"/>
        </w:rPr>
        <w:t>电子签章</w:t>
      </w:r>
      <w:r>
        <w:rPr>
          <w:szCs w:val="21"/>
        </w:rPr>
        <w:t>）。</w:t>
      </w:r>
    </w:p>
    <w:p w14:paraId="06A1EA53">
      <w:pPr>
        <w:snapToGrid w:val="0"/>
        <w:spacing w:before="120" w:beforeLines="50" w:after="50" w:line="440" w:lineRule="exact"/>
        <w:rPr>
          <w:sz w:val="18"/>
          <w:szCs w:val="18"/>
        </w:rPr>
      </w:pPr>
    </w:p>
    <w:p w14:paraId="67CAEEF8">
      <w:pPr>
        <w:snapToGrid w:val="0"/>
        <w:spacing w:before="120" w:beforeLines="50" w:after="50" w:line="440" w:lineRule="exact"/>
        <w:rPr>
          <w:b/>
          <w:szCs w:val="21"/>
        </w:rPr>
      </w:pPr>
      <w:bookmarkStart w:id="134" w:name="_Hlk19114230"/>
      <w:r>
        <w:rPr>
          <w:szCs w:val="21"/>
        </w:rPr>
        <w:t>3．财务状况报告（表）复印件或银行出具的资信证明复印件。</w:t>
      </w:r>
      <w:r>
        <w:t>对于从取得营业执照时间起到开标时间为止不足1年的供应商，只需提交</w:t>
      </w:r>
      <w:r>
        <w:rPr>
          <w:szCs w:val="21"/>
        </w:rPr>
        <w:t>开标时间前一个月的财务状况报告（表）复印件。（按“评审方法及标准” “资格审查表”规定提供）。（加盖供应商</w:t>
      </w:r>
      <w:r>
        <w:rPr>
          <w:rFonts w:hint="eastAsia"/>
          <w:szCs w:val="21"/>
        </w:rPr>
        <w:t>电子签章</w:t>
      </w:r>
      <w:r>
        <w:rPr>
          <w:szCs w:val="21"/>
        </w:rPr>
        <w:t>）</w:t>
      </w:r>
      <w:r>
        <w:rPr>
          <w:rFonts w:hint="eastAsia"/>
          <w:szCs w:val="21"/>
        </w:rPr>
        <w:t>。</w:t>
      </w:r>
    </w:p>
    <w:p w14:paraId="4DC4134C">
      <w:pPr>
        <w:snapToGrid w:val="0"/>
        <w:spacing w:before="120" w:beforeLines="50" w:after="50" w:line="440" w:lineRule="exact"/>
        <w:rPr>
          <w:szCs w:val="21"/>
        </w:rPr>
      </w:pPr>
    </w:p>
    <w:bookmarkEnd w:id="134"/>
    <w:p w14:paraId="58C3A967">
      <w:pPr>
        <w:snapToGrid w:val="0"/>
        <w:spacing w:before="120" w:beforeLines="50" w:after="50" w:line="440" w:lineRule="exact"/>
      </w:pPr>
      <w:r>
        <w:t>4．依法缴纳税费证明和社会保险缴纳证明材料</w:t>
      </w:r>
      <w:r>
        <w:rPr>
          <w:rFonts w:hint="eastAsia"/>
        </w:rPr>
        <w:t>。</w:t>
      </w:r>
      <w:r>
        <w:t>供应商成立不足</w:t>
      </w:r>
      <w:r>
        <w:rPr>
          <w:rFonts w:hint="eastAsia"/>
        </w:rPr>
        <w:t>1个月的，无须提供</w:t>
      </w:r>
      <w:r>
        <w:t>缴纳税费证明及社保缴费证明</w:t>
      </w:r>
      <w:r>
        <w:rPr>
          <w:rFonts w:hint="eastAsia"/>
        </w:rPr>
        <w:t>。</w:t>
      </w:r>
      <w:r>
        <w:t>依法免税或不需要缴纳社会保障资金的供应商，须提供相应文件证明其依法免税或不需要缴纳社会保障资金。</w:t>
      </w:r>
      <w:r>
        <w:rPr>
          <w:szCs w:val="21"/>
        </w:rPr>
        <w:t>（按“评审方法及标准” “资格审查表”规定提供）（加盖供应商</w:t>
      </w:r>
      <w:r>
        <w:rPr>
          <w:rFonts w:hint="eastAsia"/>
          <w:szCs w:val="21"/>
        </w:rPr>
        <w:t>电子签章</w:t>
      </w:r>
      <w:r>
        <w:rPr>
          <w:szCs w:val="21"/>
        </w:rPr>
        <w:t>）</w:t>
      </w:r>
      <w:r>
        <w:rPr>
          <w:rFonts w:hint="eastAsia"/>
          <w:szCs w:val="21"/>
        </w:rPr>
        <w:t>。</w:t>
      </w:r>
    </w:p>
    <w:p w14:paraId="4AE4355B">
      <w:pPr>
        <w:snapToGrid w:val="0"/>
        <w:spacing w:before="120" w:beforeLines="50" w:after="50" w:line="440" w:lineRule="exact"/>
        <w:rPr>
          <w:szCs w:val="21"/>
        </w:rPr>
      </w:pPr>
    </w:p>
    <w:p w14:paraId="28B03779">
      <w:pPr>
        <w:snapToGrid w:val="0"/>
        <w:spacing w:before="50" w:after="120" w:afterLines="50" w:line="440" w:lineRule="exact"/>
        <w:jc w:val="left"/>
      </w:pPr>
    </w:p>
    <w:p w14:paraId="53E8E6F3">
      <w:pPr>
        <w:snapToGrid w:val="0"/>
        <w:spacing w:before="50" w:after="120" w:afterLines="50" w:line="440" w:lineRule="exact"/>
        <w:jc w:val="left"/>
        <w:rPr>
          <w:b/>
          <w:szCs w:val="21"/>
        </w:rPr>
      </w:pPr>
      <w:bookmarkStart w:id="135" w:name="_Hlk19114283"/>
      <w:r>
        <w:rPr>
          <w:szCs w:val="21"/>
        </w:rPr>
        <w:t>5．具备法律、行政法规规定的其他要求的证明材料</w:t>
      </w:r>
      <w:r>
        <w:t>（</w:t>
      </w:r>
      <w:r>
        <w:rPr>
          <w:szCs w:val="21"/>
        </w:rPr>
        <w:t>按“评审方法及标准” “资格审查表”规定提供</w:t>
      </w:r>
      <w:r>
        <w:t>）。</w:t>
      </w:r>
      <w:bookmarkStart w:id="136" w:name="_Hlk48144477"/>
      <w:r>
        <w:rPr>
          <w:rFonts w:hint="eastAsia"/>
          <w:b/>
          <w:szCs w:val="21"/>
        </w:rPr>
        <w:t>（如招标文件有要求时提供）</w:t>
      </w:r>
      <w:bookmarkEnd w:id="136"/>
    </w:p>
    <w:p w14:paraId="5DCBCAC0">
      <w:pPr>
        <w:widowControl/>
        <w:jc w:val="left"/>
        <w:rPr>
          <w:b/>
          <w:szCs w:val="21"/>
        </w:rPr>
      </w:pPr>
    </w:p>
    <w:p w14:paraId="61A2C7A4">
      <w:pPr>
        <w:widowControl/>
        <w:jc w:val="left"/>
        <w:rPr>
          <w:b/>
          <w:szCs w:val="21"/>
        </w:rPr>
      </w:pPr>
    </w:p>
    <w:p w14:paraId="6096614C">
      <w:pPr>
        <w:snapToGrid w:val="0"/>
        <w:spacing w:before="50" w:after="120" w:afterLines="50" w:line="440" w:lineRule="exact"/>
        <w:jc w:val="left"/>
        <w:rPr>
          <w:b/>
          <w:color w:val="4472C4"/>
          <w:szCs w:val="21"/>
        </w:rPr>
      </w:pPr>
      <w:bookmarkStart w:id="137" w:name="_Hlk132792497"/>
      <w:r>
        <w:rPr>
          <w:szCs w:val="21"/>
        </w:rPr>
        <w:t>6．</w:t>
      </w:r>
      <w:r>
        <w:rPr>
          <w:rFonts w:hint="eastAsia"/>
        </w:rPr>
        <w:t>落实政府采购政策需满足的资格要求</w:t>
      </w:r>
      <w:r>
        <w:t>（</w:t>
      </w:r>
      <w:r>
        <w:rPr>
          <w:szCs w:val="21"/>
        </w:rPr>
        <w:t>按“评审方法及标准” “资格审查表”规定提供</w:t>
      </w:r>
      <w:r>
        <w:t>）。</w:t>
      </w:r>
      <w:r>
        <w:rPr>
          <w:rFonts w:hint="eastAsia"/>
          <w:b/>
          <w:szCs w:val="21"/>
        </w:rPr>
        <w:t>（如招标文件有要求时提供）</w:t>
      </w:r>
    </w:p>
    <w:bookmarkEnd w:id="137"/>
    <w:p w14:paraId="6AA4659D">
      <w:pPr>
        <w:rPr>
          <w:szCs w:val="21"/>
        </w:rPr>
      </w:pPr>
      <w:r>
        <w:rPr>
          <w:b/>
          <w:szCs w:val="21"/>
        </w:rPr>
        <w:br w:type="page"/>
      </w:r>
      <w:bookmarkStart w:id="138" w:name="_Hlk132801855"/>
      <w:bookmarkStart w:id="139" w:name="_Hlk132792727"/>
      <w:r>
        <w:rPr>
          <w:szCs w:val="21"/>
        </w:rPr>
        <w:t>6.1</w:t>
      </w:r>
      <w:r>
        <w:rPr>
          <w:rFonts w:hint="eastAsia"/>
          <w:bCs/>
          <w:szCs w:val="21"/>
        </w:rPr>
        <w:t>中小企业声明函</w:t>
      </w:r>
      <w:r>
        <w:rPr>
          <w:szCs w:val="21"/>
        </w:rPr>
        <w:t>。</w:t>
      </w:r>
    </w:p>
    <w:p w14:paraId="73B6FC0D">
      <w:pPr>
        <w:spacing w:line="360" w:lineRule="auto"/>
        <w:ind w:firstLine="3584" w:firstLineChars="1700"/>
        <w:rPr>
          <w:b/>
          <w:szCs w:val="21"/>
        </w:rPr>
      </w:pPr>
    </w:p>
    <w:p w14:paraId="7ACA1A42">
      <w:pPr>
        <w:spacing w:line="360" w:lineRule="auto"/>
        <w:ind w:firstLine="3584" w:firstLineChars="1700"/>
        <w:rPr>
          <w:b/>
          <w:szCs w:val="21"/>
        </w:rPr>
      </w:pPr>
      <w:r>
        <w:rPr>
          <w:rFonts w:hint="eastAsia"/>
          <w:b/>
          <w:szCs w:val="21"/>
        </w:rPr>
        <w:t>中小企业声明函（货物）</w:t>
      </w:r>
    </w:p>
    <w:p w14:paraId="07FE940D">
      <w:pPr>
        <w:spacing w:line="360" w:lineRule="auto"/>
        <w:ind w:firstLine="420"/>
        <w:rPr>
          <w:bCs/>
          <w:szCs w:val="21"/>
        </w:rPr>
      </w:pPr>
      <w:r>
        <w:rPr>
          <w:rFonts w:hint="eastAsia"/>
          <w:bCs/>
          <w:szCs w:val="21"/>
        </w:rPr>
        <w:t>本公司（联合体）郑重声明，根据《政府采购促进中小企业发展管理办法》（财库﹝2020﹞46 号）的规定，本公司（联合体）参加</w:t>
      </w:r>
      <w:r>
        <w:rPr>
          <w:rFonts w:hint="eastAsia"/>
          <w:bCs/>
          <w:szCs w:val="21"/>
          <w:u w:val="single"/>
        </w:rPr>
        <w:t>（单位名称）</w:t>
      </w:r>
      <w:r>
        <w:rPr>
          <w:rFonts w:hint="eastAsia"/>
          <w:bCs/>
          <w:szCs w:val="21"/>
        </w:rPr>
        <w:t>的</w:t>
      </w:r>
      <w:r>
        <w:rPr>
          <w:rFonts w:hint="eastAsia"/>
          <w:bCs/>
          <w:szCs w:val="21"/>
          <w:u w:val="single"/>
        </w:rPr>
        <w:t>（项目名称）</w:t>
      </w:r>
      <w:r>
        <w:rPr>
          <w:rFonts w:hint="eastAsia"/>
          <w:bCs/>
          <w:szCs w:val="21"/>
        </w:rPr>
        <w:t>采购活动，提供的货物全部由符合政策要求的中小企业制造。相关企业（含联合体中的中小企业、签订分包意向协议的中小企业） 的具体情况如下：</w:t>
      </w:r>
    </w:p>
    <w:p w14:paraId="55178544">
      <w:pPr>
        <w:spacing w:line="360" w:lineRule="auto"/>
        <w:ind w:firstLine="420"/>
        <w:rPr>
          <w:bCs/>
          <w:szCs w:val="21"/>
        </w:rPr>
      </w:pPr>
      <w:r>
        <w:rPr>
          <w:bCs/>
          <w:szCs w:val="21"/>
        </w:rPr>
        <w:t>1.</w:t>
      </w:r>
      <w:r>
        <w:rPr>
          <w:rFonts w:hint="eastAsia"/>
          <w:bCs/>
          <w:szCs w:val="21"/>
          <w:u w:val="single"/>
        </w:rPr>
        <w:t>（标的名称）</w:t>
      </w:r>
      <w:r>
        <w:rPr>
          <w:rFonts w:hint="eastAsia"/>
          <w:bCs/>
          <w:szCs w:val="21"/>
        </w:rPr>
        <w:t>，属于</w:t>
      </w:r>
      <w:r>
        <w:rPr>
          <w:rFonts w:hint="eastAsia"/>
          <w:bCs/>
          <w:szCs w:val="21"/>
          <w:u w:val="single"/>
        </w:rPr>
        <w:t>（招标文件中明确的所属行业）</w:t>
      </w:r>
      <w:r>
        <w:rPr>
          <w:rFonts w:hint="eastAsia"/>
          <w:bCs/>
          <w:szCs w:val="21"/>
        </w:rPr>
        <w:t>行业；制造商为</w:t>
      </w:r>
      <w:r>
        <w:rPr>
          <w:rFonts w:hint="eastAsia"/>
          <w:bCs/>
          <w:szCs w:val="21"/>
          <w:u w:val="single"/>
        </w:rPr>
        <w:t>（企业名称）</w:t>
      </w:r>
      <w:r>
        <w:rPr>
          <w:rFonts w:hint="eastAsia"/>
          <w:bCs/>
          <w:szCs w:val="21"/>
        </w:rPr>
        <w:t>，从业人员</w:t>
      </w:r>
      <w:r>
        <w:rPr>
          <w:bCs/>
          <w:szCs w:val="21"/>
          <w:u w:val="single"/>
        </w:rPr>
        <w:t xml:space="preserve">    </w:t>
      </w:r>
      <w:r>
        <w:rPr>
          <w:rFonts w:hint="eastAsia"/>
          <w:bCs/>
          <w:szCs w:val="21"/>
        </w:rPr>
        <w:t>人，营业收入为</w:t>
      </w:r>
      <w:r>
        <w:rPr>
          <w:rFonts w:hint="eastAsia"/>
          <w:bCs/>
          <w:szCs w:val="21"/>
          <w:u w:val="single"/>
        </w:rPr>
        <w:t xml:space="preserve"> </w:t>
      </w:r>
      <w:r>
        <w:rPr>
          <w:bCs/>
          <w:szCs w:val="21"/>
          <w:u w:val="single"/>
        </w:rPr>
        <w:t xml:space="preserve">  </w:t>
      </w:r>
      <w:r>
        <w:rPr>
          <w:rFonts w:hint="eastAsia"/>
          <w:bCs/>
          <w:szCs w:val="21"/>
          <w:u w:val="single"/>
        </w:rPr>
        <w:t xml:space="preserve"> </w:t>
      </w:r>
      <w:r>
        <w:rPr>
          <w:rFonts w:hint="eastAsia"/>
          <w:bCs/>
          <w:szCs w:val="21"/>
        </w:rPr>
        <w:t>万元，资产总额为</w:t>
      </w:r>
      <w:r>
        <w:rPr>
          <w:rFonts w:hint="eastAsia"/>
          <w:bCs/>
          <w:szCs w:val="21"/>
          <w:u w:val="single"/>
        </w:rPr>
        <w:t xml:space="preserve">    </w:t>
      </w:r>
      <w:r>
        <w:rPr>
          <w:rFonts w:hint="eastAsia"/>
          <w:bCs/>
          <w:szCs w:val="21"/>
        </w:rPr>
        <w:t>万元，属于</w:t>
      </w:r>
      <w:r>
        <w:rPr>
          <w:rFonts w:hint="eastAsia"/>
          <w:bCs/>
          <w:szCs w:val="21"/>
          <w:u w:val="single"/>
        </w:rPr>
        <w:t>（中型企业、小型企业、微型企业）</w:t>
      </w:r>
      <w:r>
        <w:rPr>
          <w:rFonts w:hint="eastAsia"/>
          <w:bCs/>
          <w:szCs w:val="21"/>
        </w:rPr>
        <w:t>；</w:t>
      </w:r>
    </w:p>
    <w:p w14:paraId="5553B403">
      <w:pPr>
        <w:spacing w:line="360" w:lineRule="auto"/>
        <w:ind w:firstLine="420"/>
        <w:rPr>
          <w:bCs/>
          <w:szCs w:val="21"/>
        </w:rPr>
      </w:pPr>
      <w:r>
        <w:rPr>
          <w:bCs/>
          <w:szCs w:val="21"/>
        </w:rPr>
        <w:t>2.</w:t>
      </w:r>
      <w:r>
        <w:rPr>
          <w:rFonts w:hint="eastAsia"/>
          <w:bCs/>
          <w:szCs w:val="21"/>
          <w:u w:val="single"/>
        </w:rPr>
        <w:t>（标的名称）</w:t>
      </w:r>
      <w:r>
        <w:rPr>
          <w:rFonts w:hint="eastAsia"/>
          <w:bCs/>
          <w:szCs w:val="21"/>
        </w:rPr>
        <w:t>，属于</w:t>
      </w:r>
      <w:r>
        <w:rPr>
          <w:rFonts w:hint="eastAsia"/>
          <w:bCs/>
          <w:szCs w:val="21"/>
          <w:u w:val="single"/>
        </w:rPr>
        <w:t>（招标文件中明确的所属行业）</w:t>
      </w:r>
      <w:r>
        <w:rPr>
          <w:rFonts w:hint="eastAsia"/>
          <w:bCs/>
          <w:szCs w:val="21"/>
        </w:rPr>
        <w:t>行业；制造商为</w:t>
      </w:r>
      <w:r>
        <w:rPr>
          <w:rFonts w:hint="eastAsia"/>
          <w:bCs/>
          <w:szCs w:val="21"/>
          <w:u w:val="single"/>
        </w:rPr>
        <w:t>（企业名称）</w:t>
      </w:r>
      <w:r>
        <w:rPr>
          <w:rFonts w:hint="eastAsia"/>
          <w:bCs/>
          <w:szCs w:val="21"/>
        </w:rPr>
        <w:t>，从业人员</w:t>
      </w:r>
      <w:r>
        <w:rPr>
          <w:rFonts w:hint="eastAsia"/>
          <w:bCs/>
          <w:szCs w:val="21"/>
          <w:u w:val="single"/>
        </w:rPr>
        <w:t xml:space="preserve">       </w:t>
      </w:r>
      <w:r>
        <w:rPr>
          <w:rFonts w:hint="eastAsia"/>
          <w:bCs/>
          <w:szCs w:val="21"/>
        </w:rPr>
        <w:t>人，营业收入为</w:t>
      </w:r>
      <w:r>
        <w:rPr>
          <w:rFonts w:hint="eastAsia"/>
          <w:bCs/>
          <w:szCs w:val="21"/>
          <w:u w:val="single"/>
        </w:rPr>
        <w:t xml:space="preserve">     </w:t>
      </w:r>
      <w:r>
        <w:rPr>
          <w:rFonts w:hint="eastAsia"/>
          <w:bCs/>
          <w:szCs w:val="21"/>
        </w:rPr>
        <w:t>万元，资产总额为</w:t>
      </w:r>
      <w:r>
        <w:rPr>
          <w:rFonts w:hint="eastAsia"/>
          <w:bCs/>
          <w:szCs w:val="21"/>
          <w:u w:val="single"/>
        </w:rPr>
        <w:t xml:space="preserve"> </w:t>
      </w:r>
      <w:r>
        <w:rPr>
          <w:bCs/>
          <w:szCs w:val="21"/>
          <w:u w:val="single"/>
        </w:rPr>
        <w:t xml:space="preserve">     </w:t>
      </w:r>
      <w:r>
        <w:rPr>
          <w:rFonts w:hint="eastAsia"/>
          <w:bCs/>
          <w:szCs w:val="21"/>
          <w:u w:val="single"/>
        </w:rPr>
        <w:t xml:space="preserve"> </w:t>
      </w:r>
      <w:r>
        <w:rPr>
          <w:rFonts w:hint="eastAsia"/>
          <w:bCs/>
          <w:szCs w:val="21"/>
        </w:rPr>
        <w:t>万元，属于</w:t>
      </w:r>
      <w:r>
        <w:rPr>
          <w:rFonts w:hint="eastAsia"/>
          <w:bCs/>
          <w:szCs w:val="21"/>
          <w:u w:val="single"/>
        </w:rPr>
        <w:t>（中型企业、小型企业、微型企业）</w:t>
      </w:r>
      <w:r>
        <w:rPr>
          <w:rFonts w:hint="eastAsia"/>
          <w:bCs/>
          <w:szCs w:val="21"/>
        </w:rPr>
        <w:t>；</w:t>
      </w:r>
    </w:p>
    <w:p w14:paraId="266BE6F5">
      <w:pPr>
        <w:spacing w:line="360" w:lineRule="auto"/>
        <w:ind w:firstLine="420"/>
        <w:rPr>
          <w:bCs/>
          <w:szCs w:val="21"/>
        </w:rPr>
      </w:pPr>
      <w:r>
        <w:rPr>
          <w:rFonts w:hint="eastAsia"/>
          <w:bCs/>
          <w:szCs w:val="21"/>
        </w:rPr>
        <w:t>……</w:t>
      </w:r>
    </w:p>
    <w:p w14:paraId="0F84C646">
      <w:pPr>
        <w:spacing w:line="360" w:lineRule="auto"/>
        <w:ind w:firstLine="420"/>
        <w:rPr>
          <w:bCs/>
          <w:szCs w:val="21"/>
        </w:rPr>
      </w:pPr>
      <w:r>
        <w:rPr>
          <w:rFonts w:hint="eastAsia"/>
          <w:bCs/>
          <w:szCs w:val="21"/>
        </w:rPr>
        <w:t>以上企业，不属于大企业的分支机构，不存在控股股东为大企业的情形，也不存在与大企业的负责人为同一人的情形。</w:t>
      </w:r>
    </w:p>
    <w:p w14:paraId="2706D05A">
      <w:pPr>
        <w:spacing w:line="360" w:lineRule="auto"/>
        <w:ind w:firstLine="420"/>
        <w:rPr>
          <w:bCs/>
          <w:szCs w:val="21"/>
        </w:rPr>
      </w:pPr>
      <w:r>
        <w:rPr>
          <w:rFonts w:hint="eastAsia"/>
          <w:bCs/>
          <w:szCs w:val="21"/>
        </w:rPr>
        <w:t>本企业对上述声明内容的真实性负责。如有虚假，将依法承担相应责任。</w:t>
      </w:r>
    </w:p>
    <w:p w14:paraId="1FA40616">
      <w:pPr>
        <w:spacing w:line="360" w:lineRule="auto"/>
        <w:ind w:firstLine="3150" w:firstLineChars="1500"/>
        <w:rPr>
          <w:bCs/>
          <w:szCs w:val="21"/>
        </w:rPr>
      </w:pPr>
      <w:r>
        <w:rPr>
          <w:rFonts w:hint="eastAsia"/>
          <w:bCs/>
          <w:szCs w:val="21"/>
        </w:rPr>
        <w:t>企业名称</w:t>
      </w:r>
      <w:r>
        <w:rPr>
          <w:rFonts w:hint="eastAsia"/>
          <w:szCs w:val="21"/>
        </w:rPr>
        <w:t xml:space="preserve"> (电子签章</w:t>
      </w:r>
      <w:r>
        <w:rPr>
          <w:szCs w:val="21"/>
        </w:rPr>
        <w:t>)</w:t>
      </w:r>
      <w:r>
        <w:rPr>
          <w:rFonts w:hint="eastAsia"/>
          <w:bCs/>
          <w:szCs w:val="21"/>
        </w:rPr>
        <w:t xml:space="preserve">： </w:t>
      </w:r>
      <w:r>
        <w:rPr>
          <w:bCs/>
          <w:szCs w:val="21"/>
        </w:rPr>
        <w:t xml:space="preserve">   </w:t>
      </w:r>
      <w:r>
        <w:rPr>
          <w:rFonts w:hint="eastAsia"/>
          <w:bCs/>
          <w:szCs w:val="21"/>
        </w:rPr>
        <w:t>日期：</w:t>
      </w:r>
    </w:p>
    <w:p w14:paraId="500A1E96">
      <w:pPr>
        <w:spacing w:line="360" w:lineRule="auto"/>
        <w:jc w:val="left"/>
        <w:rPr>
          <w:bCs/>
          <w:szCs w:val="21"/>
        </w:rPr>
      </w:pPr>
      <w:r>
        <w:rPr>
          <w:rFonts w:hint="eastAsia"/>
          <w:bCs/>
          <w:szCs w:val="21"/>
        </w:rPr>
        <w:t>注：</w:t>
      </w:r>
    </w:p>
    <w:p w14:paraId="7DB2B0FF">
      <w:pPr>
        <w:spacing w:line="360" w:lineRule="auto"/>
        <w:jc w:val="left"/>
        <w:rPr>
          <w:bCs/>
          <w:szCs w:val="21"/>
        </w:rPr>
      </w:pPr>
      <w:r>
        <w:rPr>
          <w:rFonts w:hint="eastAsia"/>
          <w:bCs/>
          <w:szCs w:val="21"/>
        </w:rPr>
        <w:t>（1）标的名称按照第二章采购需求一览表中的货物名称填写，</w:t>
      </w:r>
      <w:r>
        <w:rPr>
          <w:szCs w:val="21"/>
        </w:rPr>
        <w:t>所属行业标明“/”的</w:t>
      </w:r>
      <w:r>
        <w:rPr>
          <w:rFonts w:hint="eastAsia"/>
          <w:bCs/>
          <w:szCs w:val="21"/>
        </w:rPr>
        <w:t>，无需在上表填写。</w:t>
      </w:r>
    </w:p>
    <w:p w14:paraId="5903C821">
      <w:pPr>
        <w:spacing w:line="360" w:lineRule="auto"/>
        <w:jc w:val="left"/>
        <w:rPr>
          <w:bCs/>
          <w:szCs w:val="21"/>
        </w:rPr>
      </w:pPr>
      <w:r>
        <w:rPr>
          <w:rFonts w:hint="eastAsia"/>
          <w:bCs/>
          <w:szCs w:val="21"/>
        </w:rPr>
        <w:t>（</w:t>
      </w:r>
      <w:r>
        <w:rPr>
          <w:bCs/>
          <w:szCs w:val="21"/>
        </w:rPr>
        <w:t>2</w:t>
      </w:r>
      <w:r>
        <w:rPr>
          <w:rFonts w:hint="eastAsia"/>
          <w:bCs/>
          <w:szCs w:val="21"/>
        </w:rPr>
        <w:t>）如供应商为联合体或分包的，声明函中“项目名称”应填写联合体中小微企业承担的具体内容或者小微企业具体分包内容。</w:t>
      </w:r>
    </w:p>
    <w:p w14:paraId="2FB36E22">
      <w:pPr>
        <w:spacing w:line="360" w:lineRule="auto"/>
        <w:jc w:val="left"/>
        <w:rPr>
          <w:bCs/>
          <w:szCs w:val="21"/>
        </w:rPr>
      </w:pPr>
      <w:r>
        <w:rPr>
          <w:rFonts w:hint="eastAsia"/>
          <w:bCs/>
          <w:szCs w:val="21"/>
        </w:rPr>
        <w:t>（</w:t>
      </w:r>
      <w:r>
        <w:rPr>
          <w:bCs/>
          <w:szCs w:val="21"/>
        </w:rPr>
        <w:t>3</w:t>
      </w:r>
      <w:r>
        <w:rPr>
          <w:rFonts w:hint="eastAsia"/>
          <w:bCs/>
          <w:szCs w:val="21"/>
        </w:rPr>
        <w:t>）从业人员、营业收入、资产总额填报上一年度数据，无上一年度数据的新成立企业参照国务院批准的中小企业划分标准，根据企业自身情况如实判断。</w:t>
      </w:r>
    </w:p>
    <w:p w14:paraId="500A12CD">
      <w:pPr>
        <w:spacing w:line="360" w:lineRule="auto"/>
        <w:jc w:val="left"/>
        <w:rPr>
          <w:bCs/>
          <w:szCs w:val="21"/>
        </w:rPr>
      </w:pPr>
      <w:r>
        <w:rPr>
          <w:rFonts w:hint="eastAsia"/>
          <w:bCs/>
          <w:szCs w:val="21"/>
        </w:rPr>
        <w:t>（</w:t>
      </w:r>
      <w:r>
        <w:rPr>
          <w:bCs/>
          <w:szCs w:val="21"/>
        </w:rPr>
        <w:t>4</w:t>
      </w:r>
      <w:r>
        <w:rPr>
          <w:rFonts w:hint="eastAsia"/>
          <w:bCs/>
          <w:szCs w:val="21"/>
        </w:rPr>
        <w:t>）根据工业和信息化部对“从业人员”定义的答复，《民法典》、《公司法》等法律规定，分公司不具有法人资格，其民事责任由总公司承担。企业划型时，应将分公司的从业人员、营业收入、资产总额等指标数据纳入合并计算。</w:t>
      </w:r>
    </w:p>
    <w:p w14:paraId="3B730057">
      <w:pPr>
        <w:spacing w:line="360" w:lineRule="auto"/>
        <w:jc w:val="left"/>
        <w:rPr>
          <w:bCs/>
          <w:szCs w:val="21"/>
        </w:rPr>
      </w:pPr>
      <w:r>
        <w:rPr>
          <w:rFonts w:hint="eastAsia"/>
          <w:bCs/>
          <w:szCs w:val="21"/>
        </w:rPr>
        <w:t>（5）根据</w:t>
      </w:r>
      <w:r>
        <w:rPr>
          <w:rFonts w:hint="eastAsia"/>
          <w:bCs/>
          <w:szCs w:val="21"/>
          <w:lang w:eastAsia="zh-CN"/>
        </w:rPr>
        <w:t>国家统计局</w:t>
      </w:r>
      <w:r>
        <w:rPr>
          <w:rFonts w:hint="eastAsia"/>
          <w:bCs/>
          <w:szCs w:val="21"/>
        </w:rPr>
        <w:t>《劳动工资统计报表制度》，从业人员数是指本单位工作，并取得工资或其他形式劳动报酬的人员数，是在岗职工、劳务派遣人员及其他从业人员之和。</w:t>
      </w:r>
    </w:p>
    <w:p w14:paraId="2001B583">
      <w:pPr>
        <w:spacing w:line="360" w:lineRule="auto"/>
        <w:jc w:val="left"/>
        <w:rPr>
          <w:bCs/>
          <w:szCs w:val="21"/>
        </w:rPr>
      </w:pPr>
      <w:r>
        <w:rPr>
          <w:rFonts w:hint="eastAsia"/>
          <w:bCs/>
          <w:szCs w:val="21"/>
        </w:rPr>
        <w:t>（</w:t>
      </w:r>
      <w:r>
        <w:rPr>
          <w:bCs/>
          <w:szCs w:val="21"/>
        </w:rPr>
        <w:t>6</w:t>
      </w:r>
      <w:r>
        <w:rPr>
          <w:rFonts w:hint="eastAsia"/>
          <w:bCs/>
          <w:szCs w:val="21"/>
        </w:rPr>
        <w:t>）本声明函由供应商填写，供应商应按中小企业划分标准《关于印发中小企业划型标准规定的通知》（工信部联企业〔2011〕300号</w:t>
      </w:r>
      <w:r>
        <w:rPr>
          <w:rFonts w:hint="eastAsia"/>
          <w:szCs w:val="21"/>
        </w:rPr>
        <w:t>以及《金融业企业划型标准规定》（银发〔2015〕309号）</w:t>
      </w:r>
      <w:r>
        <w:rPr>
          <w:rFonts w:hint="eastAsia"/>
          <w:bCs/>
          <w:szCs w:val="21"/>
        </w:rPr>
        <w:t>）判断是否为中小企业。</w:t>
      </w:r>
    </w:p>
    <w:p w14:paraId="7BB6F51B">
      <w:pPr>
        <w:spacing w:line="360" w:lineRule="auto"/>
        <w:jc w:val="left"/>
        <w:rPr>
          <w:bCs/>
          <w:szCs w:val="21"/>
        </w:rPr>
      </w:pPr>
      <w:r>
        <w:rPr>
          <w:rFonts w:hint="eastAsia"/>
          <w:bCs/>
          <w:szCs w:val="21"/>
        </w:rPr>
        <w:t>（</w:t>
      </w:r>
      <w:r>
        <w:rPr>
          <w:bCs/>
          <w:szCs w:val="21"/>
        </w:rPr>
        <w:t>7</w:t>
      </w:r>
      <w:r>
        <w:rPr>
          <w:rFonts w:hint="eastAsia"/>
          <w:bCs/>
          <w:szCs w:val="21"/>
        </w:rPr>
        <w:t>）供应商对《中小企业声明函》的真实性负责，如有虚假则需承担不利后果。依法享受中小企业优惠政策的，采购人或采购代理机构在公告成交结果时，同时公告其《中小企业声明函》，接受社会监督。</w:t>
      </w:r>
    </w:p>
    <w:p w14:paraId="7E2FD175">
      <w:pPr>
        <w:spacing w:line="360" w:lineRule="auto"/>
        <w:jc w:val="left"/>
        <w:rPr>
          <w:rFonts w:hint="eastAsia"/>
          <w:bCs/>
          <w:szCs w:val="21"/>
        </w:rPr>
      </w:pPr>
      <w:r>
        <w:rPr>
          <w:rFonts w:hint="eastAsia"/>
          <w:bCs/>
          <w:szCs w:val="21"/>
        </w:rPr>
        <w:t>（</w:t>
      </w:r>
      <w:r>
        <w:rPr>
          <w:bCs/>
          <w:szCs w:val="21"/>
        </w:rPr>
        <w:t>8</w:t>
      </w:r>
      <w:r>
        <w:rPr>
          <w:rFonts w:hint="eastAsia"/>
          <w:bCs/>
          <w:szCs w:val="21"/>
        </w:rPr>
        <w:t>）上述企业属于大企业的分支机构或控股股东为大企业或与大企业的负责人为同一人的，不得享受价格扣除优惠政策。接受分包的小微企业与分包企业之间存在直接控股、管理关系的，不得享受价格扣除优惠政策。</w:t>
      </w:r>
    </w:p>
    <w:p w14:paraId="66114FAE">
      <w:pPr>
        <w:spacing w:line="528" w:lineRule="exact"/>
        <w:ind w:firstLine="280" w:firstLineChars="100"/>
        <w:jc w:val="center"/>
        <w:rPr>
          <w:sz w:val="28"/>
          <w:szCs w:val="28"/>
        </w:rPr>
      </w:pPr>
      <w:r>
        <w:rPr>
          <w:rFonts w:hint="eastAsia"/>
          <w:sz w:val="28"/>
          <w:szCs w:val="28"/>
        </w:rPr>
        <w:t>中小微企业划型标准</w:t>
      </w:r>
    </w:p>
    <w:tbl>
      <w:tblPr>
        <w:tblStyle w:val="51"/>
        <w:tblW w:w="8706" w:type="dxa"/>
        <w:tblInd w:w="250" w:type="dxa"/>
        <w:tblLayout w:type="fixed"/>
        <w:tblCellMar>
          <w:top w:w="0" w:type="dxa"/>
          <w:left w:w="108" w:type="dxa"/>
          <w:bottom w:w="0" w:type="dxa"/>
          <w:right w:w="108" w:type="dxa"/>
        </w:tblCellMar>
      </w:tblPr>
      <w:tblGrid>
        <w:gridCol w:w="1446"/>
        <w:gridCol w:w="1701"/>
        <w:gridCol w:w="1134"/>
        <w:gridCol w:w="1846"/>
        <w:gridCol w:w="1570"/>
        <w:gridCol w:w="1009"/>
      </w:tblGrid>
      <w:tr w14:paraId="783AE847">
        <w:tblPrEx>
          <w:tblCellMar>
            <w:top w:w="0" w:type="dxa"/>
            <w:left w:w="108" w:type="dxa"/>
            <w:bottom w:w="0" w:type="dxa"/>
            <w:right w:w="108" w:type="dxa"/>
          </w:tblCellMar>
        </w:tblPrEx>
        <w:trPr>
          <w:trHeight w:val="279" w:hRule="atLeast"/>
        </w:trPr>
        <w:tc>
          <w:tcPr>
            <w:tcW w:w="1446" w:type="dxa"/>
            <w:tcBorders>
              <w:top w:val="single" w:color="auto" w:sz="4" w:space="0"/>
              <w:left w:val="single" w:color="auto" w:sz="4" w:space="0"/>
              <w:bottom w:val="single" w:color="auto" w:sz="4" w:space="0"/>
              <w:right w:val="single" w:color="auto" w:sz="4" w:space="0"/>
            </w:tcBorders>
            <w:noWrap w:val="0"/>
            <w:vAlign w:val="center"/>
          </w:tcPr>
          <w:p w14:paraId="31EAA8C5">
            <w:pPr>
              <w:widowControl/>
              <w:jc w:val="left"/>
              <w:rPr>
                <w:szCs w:val="21"/>
              </w:rPr>
            </w:pPr>
            <w:r>
              <w:rPr>
                <w:rFonts w:hint="eastAsia"/>
                <w:szCs w:val="21"/>
              </w:rPr>
              <w:t>行业名称</w:t>
            </w:r>
          </w:p>
        </w:tc>
        <w:tc>
          <w:tcPr>
            <w:tcW w:w="1701" w:type="dxa"/>
            <w:tcBorders>
              <w:top w:val="single" w:color="auto" w:sz="4" w:space="0"/>
              <w:left w:val="nil"/>
              <w:bottom w:val="single" w:color="auto" w:sz="4" w:space="0"/>
              <w:right w:val="single" w:color="auto" w:sz="4" w:space="0"/>
            </w:tcBorders>
            <w:noWrap w:val="0"/>
            <w:vAlign w:val="center"/>
          </w:tcPr>
          <w:p w14:paraId="60F1E689">
            <w:pPr>
              <w:widowControl/>
              <w:jc w:val="left"/>
              <w:rPr>
                <w:szCs w:val="21"/>
              </w:rPr>
            </w:pPr>
            <w:r>
              <w:rPr>
                <w:rFonts w:hint="eastAsia"/>
                <w:szCs w:val="21"/>
              </w:rPr>
              <w:t>指标名称</w:t>
            </w:r>
          </w:p>
        </w:tc>
        <w:tc>
          <w:tcPr>
            <w:tcW w:w="1134" w:type="dxa"/>
            <w:tcBorders>
              <w:top w:val="single" w:color="auto" w:sz="4" w:space="0"/>
              <w:left w:val="nil"/>
              <w:bottom w:val="single" w:color="auto" w:sz="4" w:space="0"/>
              <w:right w:val="single" w:color="auto" w:sz="4" w:space="0"/>
            </w:tcBorders>
            <w:noWrap w:val="0"/>
            <w:vAlign w:val="center"/>
          </w:tcPr>
          <w:p w14:paraId="467F635A">
            <w:pPr>
              <w:widowControl/>
              <w:jc w:val="left"/>
              <w:rPr>
                <w:szCs w:val="21"/>
              </w:rPr>
            </w:pPr>
            <w:r>
              <w:rPr>
                <w:rFonts w:hint="eastAsia"/>
                <w:szCs w:val="21"/>
              </w:rPr>
              <w:t>计量单位</w:t>
            </w:r>
          </w:p>
        </w:tc>
        <w:tc>
          <w:tcPr>
            <w:tcW w:w="1846" w:type="dxa"/>
            <w:tcBorders>
              <w:top w:val="single" w:color="auto" w:sz="4" w:space="0"/>
              <w:left w:val="nil"/>
              <w:bottom w:val="single" w:color="auto" w:sz="4" w:space="0"/>
              <w:right w:val="single" w:color="auto" w:sz="4" w:space="0"/>
            </w:tcBorders>
            <w:noWrap w:val="0"/>
            <w:vAlign w:val="center"/>
          </w:tcPr>
          <w:p w14:paraId="13484D96">
            <w:pPr>
              <w:widowControl/>
              <w:jc w:val="left"/>
              <w:rPr>
                <w:szCs w:val="21"/>
              </w:rPr>
            </w:pPr>
            <w:r>
              <w:rPr>
                <w:rFonts w:hint="eastAsia"/>
                <w:szCs w:val="21"/>
              </w:rPr>
              <w:t>中型</w:t>
            </w:r>
          </w:p>
        </w:tc>
        <w:tc>
          <w:tcPr>
            <w:tcW w:w="1570" w:type="dxa"/>
            <w:tcBorders>
              <w:top w:val="single" w:color="auto" w:sz="4" w:space="0"/>
              <w:left w:val="nil"/>
              <w:bottom w:val="single" w:color="auto" w:sz="4" w:space="0"/>
              <w:right w:val="single" w:color="auto" w:sz="4" w:space="0"/>
            </w:tcBorders>
            <w:noWrap w:val="0"/>
            <w:vAlign w:val="center"/>
          </w:tcPr>
          <w:p w14:paraId="2D499C1B">
            <w:pPr>
              <w:widowControl/>
              <w:jc w:val="left"/>
              <w:rPr>
                <w:szCs w:val="21"/>
              </w:rPr>
            </w:pPr>
            <w:r>
              <w:rPr>
                <w:rFonts w:hint="eastAsia"/>
                <w:szCs w:val="21"/>
              </w:rPr>
              <w:t>小型</w:t>
            </w:r>
          </w:p>
        </w:tc>
        <w:tc>
          <w:tcPr>
            <w:tcW w:w="1009" w:type="dxa"/>
            <w:tcBorders>
              <w:top w:val="single" w:color="auto" w:sz="4" w:space="0"/>
              <w:left w:val="nil"/>
              <w:bottom w:val="single" w:color="auto" w:sz="4" w:space="0"/>
              <w:right w:val="single" w:color="auto" w:sz="4" w:space="0"/>
            </w:tcBorders>
            <w:noWrap w:val="0"/>
            <w:vAlign w:val="center"/>
          </w:tcPr>
          <w:p w14:paraId="4E61F000">
            <w:pPr>
              <w:widowControl/>
              <w:jc w:val="left"/>
              <w:rPr>
                <w:szCs w:val="21"/>
              </w:rPr>
            </w:pPr>
            <w:r>
              <w:rPr>
                <w:rFonts w:hint="eastAsia"/>
                <w:szCs w:val="21"/>
              </w:rPr>
              <w:t>微型</w:t>
            </w:r>
          </w:p>
        </w:tc>
      </w:tr>
      <w:tr w14:paraId="29491FD1">
        <w:tblPrEx>
          <w:tblCellMar>
            <w:top w:w="0" w:type="dxa"/>
            <w:left w:w="108" w:type="dxa"/>
            <w:bottom w:w="0" w:type="dxa"/>
            <w:right w:w="108" w:type="dxa"/>
          </w:tblCellMar>
        </w:tblPrEx>
        <w:trPr>
          <w:trHeight w:val="220" w:hRule="atLeast"/>
        </w:trPr>
        <w:tc>
          <w:tcPr>
            <w:tcW w:w="1446" w:type="dxa"/>
            <w:tcBorders>
              <w:top w:val="nil"/>
              <w:left w:val="single" w:color="auto" w:sz="4" w:space="0"/>
              <w:bottom w:val="single" w:color="auto" w:sz="4" w:space="0"/>
              <w:right w:val="single" w:color="auto" w:sz="4" w:space="0"/>
            </w:tcBorders>
            <w:noWrap w:val="0"/>
            <w:vAlign w:val="bottom"/>
          </w:tcPr>
          <w:p w14:paraId="1B6A14CB">
            <w:pPr>
              <w:widowControl/>
              <w:jc w:val="center"/>
              <w:rPr>
                <w:szCs w:val="21"/>
              </w:rPr>
            </w:pPr>
            <w:r>
              <w:rPr>
                <w:rFonts w:hint="eastAsia"/>
                <w:szCs w:val="21"/>
              </w:rPr>
              <w:t>农、林、牧、渔</w:t>
            </w:r>
          </w:p>
        </w:tc>
        <w:tc>
          <w:tcPr>
            <w:tcW w:w="1701" w:type="dxa"/>
            <w:tcBorders>
              <w:top w:val="nil"/>
              <w:left w:val="nil"/>
              <w:bottom w:val="single" w:color="auto" w:sz="4" w:space="0"/>
              <w:right w:val="single" w:color="auto" w:sz="4" w:space="0"/>
            </w:tcBorders>
            <w:noWrap w:val="0"/>
            <w:vAlign w:val="center"/>
          </w:tcPr>
          <w:p w14:paraId="0AAE24DC">
            <w:pPr>
              <w:widowControl/>
              <w:jc w:val="left"/>
              <w:rPr>
                <w:szCs w:val="21"/>
              </w:rPr>
            </w:pPr>
            <w:r>
              <w:rPr>
                <w:rFonts w:hint="eastAsia"/>
                <w:szCs w:val="21"/>
              </w:rPr>
              <w:t>营业收入（Y）</w:t>
            </w:r>
          </w:p>
        </w:tc>
        <w:tc>
          <w:tcPr>
            <w:tcW w:w="1134" w:type="dxa"/>
            <w:tcBorders>
              <w:top w:val="nil"/>
              <w:left w:val="nil"/>
              <w:bottom w:val="single" w:color="auto" w:sz="4" w:space="0"/>
              <w:right w:val="single" w:color="auto" w:sz="4" w:space="0"/>
            </w:tcBorders>
            <w:noWrap w:val="0"/>
            <w:vAlign w:val="center"/>
          </w:tcPr>
          <w:p w14:paraId="287546D2">
            <w:pPr>
              <w:widowControl/>
              <w:jc w:val="left"/>
              <w:rPr>
                <w:szCs w:val="21"/>
              </w:rPr>
            </w:pPr>
            <w:r>
              <w:rPr>
                <w:rFonts w:hint="eastAsia"/>
                <w:szCs w:val="21"/>
              </w:rPr>
              <w:t>万元</w:t>
            </w:r>
          </w:p>
        </w:tc>
        <w:tc>
          <w:tcPr>
            <w:tcW w:w="1846" w:type="dxa"/>
            <w:tcBorders>
              <w:top w:val="nil"/>
              <w:left w:val="nil"/>
              <w:bottom w:val="single" w:color="auto" w:sz="4" w:space="0"/>
              <w:right w:val="single" w:color="auto" w:sz="4" w:space="0"/>
            </w:tcBorders>
            <w:noWrap w:val="0"/>
            <w:vAlign w:val="center"/>
          </w:tcPr>
          <w:p w14:paraId="1004D71B">
            <w:pPr>
              <w:widowControl/>
              <w:jc w:val="left"/>
              <w:rPr>
                <w:szCs w:val="21"/>
              </w:rPr>
            </w:pPr>
            <w:r>
              <w:rPr>
                <w:rFonts w:hint="eastAsia"/>
                <w:szCs w:val="21"/>
              </w:rPr>
              <w:t>500≤Y</w:t>
            </w:r>
            <w:r>
              <w:rPr>
                <w:rFonts w:hint="eastAsia"/>
                <w:szCs w:val="21"/>
                <w:lang w:eastAsia="zh-CN"/>
              </w:rPr>
              <w:t>＜</w:t>
            </w:r>
            <w:r>
              <w:rPr>
                <w:rFonts w:hint="eastAsia"/>
                <w:szCs w:val="21"/>
              </w:rPr>
              <w:t>20000</w:t>
            </w:r>
          </w:p>
        </w:tc>
        <w:tc>
          <w:tcPr>
            <w:tcW w:w="1570" w:type="dxa"/>
            <w:tcBorders>
              <w:top w:val="nil"/>
              <w:left w:val="nil"/>
              <w:bottom w:val="single" w:color="auto" w:sz="4" w:space="0"/>
              <w:right w:val="single" w:color="auto" w:sz="4" w:space="0"/>
            </w:tcBorders>
            <w:noWrap w:val="0"/>
            <w:vAlign w:val="center"/>
          </w:tcPr>
          <w:p w14:paraId="35315341">
            <w:pPr>
              <w:widowControl/>
              <w:jc w:val="left"/>
              <w:rPr>
                <w:szCs w:val="21"/>
              </w:rPr>
            </w:pPr>
            <w:r>
              <w:rPr>
                <w:rFonts w:hint="eastAsia"/>
                <w:szCs w:val="21"/>
              </w:rPr>
              <w:t>50≤Y</w:t>
            </w:r>
            <w:r>
              <w:rPr>
                <w:rFonts w:hint="eastAsia"/>
                <w:szCs w:val="21"/>
                <w:lang w:eastAsia="zh-CN"/>
              </w:rPr>
              <w:t>＜</w:t>
            </w:r>
            <w:r>
              <w:rPr>
                <w:rFonts w:hint="eastAsia"/>
                <w:szCs w:val="21"/>
              </w:rPr>
              <w:t>500</w:t>
            </w:r>
          </w:p>
        </w:tc>
        <w:tc>
          <w:tcPr>
            <w:tcW w:w="1009" w:type="dxa"/>
            <w:tcBorders>
              <w:top w:val="nil"/>
              <w:left w:val="nil"/>
              <w:bottom w:val="single" w:color="auto" w:sz="4" w:space="0"/>
              <w:right w:val="single" w:color="auto" w:sz="4" w:space="0"/>
            </w:tcBorders>
            <w:noWrap w:val="0"/>
            <w:vAlign w:val="center"/>
          </w:tcPr>
          <w:p w14:paraId="5268DDDE">
            <w:pPr>
              <w:widowControl/>
              <w:jc w:val="left"/>
              <w:rPr>
                <w:szCs w:val="21"/>
              </w:rPr>
            </w:pPr>
            <w:r>
              <w:rPr>
                <w:rFonts w:hint="eastAsia"/>
                <w:szCs w:val="21"/>
              </w:rPr>
              <w:t>Y</w:t>
            </w:r>
            <w:r>
              <w:rPr>
                <w:rFonts w:hint="eastAsia"/>
                <w:szCs w:val="21"/>
                <w:lang w:eastAsia="zh-CN"/>
              </w:rPr>
              <w:t>＜</w:t>
            </w:r>
            <w:r>
              <w:rPr>
                <w:rFonts w:hint="eastAsia"/>
                <w:szCs w:val="21"/>
              </w:rPr>
              <w:t>50</w:t>
            </w:r>
          </w:p>
        </w:tc>
      </w:tr>
      <w:tr w14:paraId="6886E32E">
        <w:tblPrEx>
          <w:tblCellMar>
            <w:top w:w="0" w:type="dxa"/>
            <w:left w:w="108" w:type="dxa"/>
            <w:bottom w:w="0" w:type="dxa"/>
            <w:right w:w="108" w:type="dxa"/>
          </w:tblCellMar>
        </w:tblPrEx>
        <w:trPr>
          <w:trHeight w:val="220" w:hRule="atLeast"/>
        </w:trPr>
        <w:tc>
          <w:tcPr>
            <w:tcW w:w="1446" w:type="dxa"/>
            <w:vMerge w:val="restart"/>
            <w:tcBorders>
              <w:top w:val="nil"/>
              <w:left w:val="single" w:color="auto" w:sz="4" w:space="0"/>
              <w:bottom w:val="single" w:color="auto" w:sz="4" w:space="0"/>
              <w:right w:val="single" w:color="auto" w:sz="4" w:space="0"/>
            </w:tcBorders>
            <w:noWrap w:val="0"/>
            <w:vAlign w:val="bottom"/>
          </w:tcPr>
          <w:p w14:paraId="78C7C565">
            <w:pPr>
              <w:widowControl/>
              <w:jc w:val="center"/>
              <w:rPr>
                <w:szCs w:val="21"/>
              </w:rPr>
            </w:pPr>
            <w:r>
              <w:rPr>
                <w:rFonts w:hint="eastAsia"/>
                <w:szCs w:val="21"/>
              </w:rPr>
              <w:t>工业</w:t>
            </w:r>
          </w:p>
        </w:tc>
        <w:tc>
          <w:tcPr>
            <w:tcW w:w="1701" w:type="dxa"/>
            <w:tcBorders>
              <w:top w:val="nil"/>
              <w:left w:val="nil"/>
              <w:bottom w:val="single" w:color="auto" w:sz="4" w:space="0"/>
              <w:right w:val="single" w:color="auto" w:sz="4" w:space="0"/>
            </w:tcBorders>
            <w:noWrap w:val="0"/>
            <w:vAlign w:val="center"/>
          </w:tcPr>
          <w:p w14:paraId="700545F7">
            <w:pPr>
              <w:widowControl/>
              <w:jc w:val="left"/>
              <w:rPr>
                <w:szCs w:val="21"/>
              </w:rPr>
            </w:pPr>
            <w:r>
              <w:rPr>
                <w:rFonts w:hint="eastAsia"/>
                <w:szCs w:val="21"/>
              </w:rPr>
              <w:t>从业人员（X）</w:t>
            </w:r>
          </w:p>
        </w:tc>
        <w:tc>
          <w:tcPr>
            <w:tcW w:w="1134" w:type="dxa"/>
            <w:tcBorders>
              <w:top w:val="nil"/>
              <w:left w:val="nil"/>
              <w:bottom w:val="single" w:color="auto" w:sz="4" w:space="0"/>
              <w:right w:val="single" w:color="auto" w:sz="4" w:space="0"/>
            </w:tcBorders>
            <w:noWrap w:val="0"/>
            <w:vAlign w:val="center"/>
          </w:tcPr>
          <w:p w14:paraId="0ACCEF22">
            <w:pPr>
              <w:widowControl/>
              <w:jc w:val="left"/>
              <w:rPr>
                <w:szCs w:val="21"/>
              </w:rPr>
            </w:pPr>
            <w:r>
              <w:rPr>
                <w:rFonts w:hint="eastAsia"/>
                <w:szCs w:val="21"/>
              </w:rPr>
              <w:t>人</w:t>
            </w:r>
          </w:p>
        </w:tc>
        <w:tc>
          <w:tcPr>
            <w:tcW w:w="1846" w:type="dxa"/>
            <w:tcBorders>
              <w:top w:val="nil"/>
              <w:left w:val="nil"/>
              <w:bottom w:val="single" w:color="auto" w:sz="4" w:space="0"/>
              <w:right w:val="single" w:color="auto" w:sz="4" w:space="0"/>
            </w:tcBorders>
            <w:noWrap w:val="0"/>
            <w:vAlign w:val="center"/>
          </w:tcPr>
          <w:p w14:paraId="4D3A3D90">
            <w:pPr>
              <w:widowControl/>
              <w:jc w:val="left"/>
              <w:rPr>
                <w:szCs w:val="21"/>
              </w:rPr>
            </w:pPr>
            <w:r>
              <w:rPr>
                <w:rFonts w:hint="eastAsia"/>
                <w:szCs w:val="21"/>
              </w:rPr>
              <w:t>300≤X</w:t>
            </w:r>
            <w:r>
              <w:rPr>
                <w:rFonts w:hint="eastAsia"/>
                <w:szCs w:val="21"/>
                <w:lang w:eastAsia="zh-CN"/>
              </w:rPr>
              <w:t>＜</w:t>
            </w:r>
            <w:r>
              <w:rPr>
                <w:rFonts w:hint="eastAsia"/>
                <w:szCs w:val="21"/>
              </w:rPr>
              <w:t>1000</w:t>
            </w:r>
          </w:p>
        </w:tc>
        <w:tc>
          <w:tcPr>
            <w:tcW w:w="1570" w:type="dxa"/>
            <w:tcBorders>
              <w:top w:val="nil"/>
              <w:left w:val="nil"/>
              <w:bottom w:val="single" w:color="auto" w:sz="4" w:space="0"/>
              <w:right w:val="single" w:color="auto" w:sz="4" w:space="0"/>
            </w:tcBorders>
            <w:noWrap w:val="0"/>
            <w:vAlign w:val="center"/>
          </w:tcPr>
          <w:p w14:paraId="748A8F5B">
            <w:pPr>
              <w:widowControl/>
              <w:jc w:val="left"/>
              <w:rPr>
                <w:szCs w:val="21"/>
              </w:rPr>
            </w:pPr>
            <w:r>
              <w:rPr>
                <w:rFonts w:hint="eastAsia"/>
                <w:szCs w:val="21"/>
              </w:rPr>
              <w:t>20≤X</w:t>
            </w:r>
            <w:r>
              <w:rPr>
                <w:rFonts w:hint="eastAsia"/>
                <w:szCs w:val="21"/>
                <w:lang w:eastAsia="zh-CN"/>
              </w:rPr>
              <w:t>＜</w:t>
            </w:r>
            <w:r>
              <w:rPr>
                <w:rFonts w:hint="eastAsia"/>
                <w:szCs w:val="21"/>
              </w:rPr>
              <w:t>300</w:t>
            </w:r>
          </w:p>
        </w:tc>
        <w:tc>
          <w:tcPr>
            <w:tcW w:w="1009" w:type="dxa"/>
            <w:tcBorders>
              <w:top w:val="nil"/>
              <w:left w:val="nil"/>
              <w:bottom w:val="single" w:color="auto" w:sz="4" w:space="0"/>
              <w:right w:val="single" w:color="auto" w:sz="4" w:space="0"/>
            </w:tcBorders>
            <w:noWrap w:val="0"/>
            <w:vAlign w:val="center"/>
          </w:tcPr>
          <w:p w14:paraId="1F3C7633">
            <w:pPr>
              <w:widowControl/>
              <w:jc w:val="left"/>
              <w:rPr>
                <w:szCs w:val="21"/>
              </w:rPr>
            </w:pPr>
            <w:r>
              <w:rPr>
                <w:rFonts w:hint="eastAsia"/>
                <w:szCs w:val="21"/>
              </w:rPr>
              <w:t>X</w:t>
            </w:r>
            <w:r>
              <w:rPr>
                <w:rFonts w:hint="eastAsia"/>
                <w:szCs w:val="21"/>
                <w:lang w:eastAsia="zh-CN"/>
              </w:rPr>
              <w:t>＜</w:t>
            </w:r>
            <w:r>
              <w:rPr>
                <w:rFonts w:hint="eastAsia"/>
                <w:szCs w:val="21"/>
              </w:rPr>
              <w:t>20</w:t>
            </w:r>
          </w:p>
        </w:tc>
      </w:tr>
      <w:tr w14:paraId="4803EA98">
        <w:tblPrEx>
          <w:tblCellMar>
            <w:top w:w="0" w:type="dxa"/>
            <w:left w:w="108" w:type="dxa"/>
            <w:bottom w:w="0" w:type="dxa"/>
            <w:right w:w="108" w:type="dxa"/>
          </w:tblCellMar>
        </w:tblPrEx>
        <w:trPr>
          <w:trHeight w:val="220" w:hRule="atLeast"/>
        </w:trPr>
        <w:tc>
          <w:tcPr>
            <w:tcW w:w="1446" w:type="dxa"/>
            <w:vMerge w:val="continue"/>
            <w:tcBorders>
              <w:top w:val="nil"/>
              <w:left w:val="single" w:color="auto" w:sz="4" w:space="0"/>
              <w:bottom w:val="single" w:color="auto" w:sz="4" w:space="0"/>
              <w:right w:val="single" w:color="auto" w:sz="4" w:space="0"/>
            </w:tcBorders>
            <w:noWrap w:val="0"/>
            <w:vAlign w:val="center"/>
          </w:tcPr>
          <w:p w14:paraId="3EA81E81">
            <w:pPr>
              <w:widowControl/>
              <w:jc w:val="left"/>
              <w:rPr>
                <w:szCs w:val="21"/>
              </w:rPr>
            </w:pPr>
          </w:p>
        </w:tc>
        <w:tc>
          <w:tcPr>
            <w:tcW w:w="1701" w:type="dxa"/>
            <w:tcBorders>
              <w:top w:val="nil"/>
              <w:left w:val="nil"/>
              <w:bottom w:val="single" w:color="auto" w:sz="4" w:space="0"/>
              <w:right w:val="single" w:color="auto" w:sz="4" w:space="0"/>
            </w:tcBorders>
            <w:noWrap w:val="0"/>
            <w:vAlign w:val="center"/>
          </w:tcPr>
          <w:p w14:paraId="0507681E">
            <w:pPr>
              <w:widowControl/>
              <w:jc w:val="left"/>
              <w:rPr>
                <w:szCs w:val="21"/>
              </w:rPr>
            </w:pPr>
            <w:r>
              <w:rPr>
                <w:rFonts w:hint="eastAsia"/>
                <w:szCs w:val="21"/>
              </w:rPr>
              <w:t>营业收入（Y）</w:t>
            </w:r>
          </w:p>
        </w:tc>
        <w:tc>
          <w:tcPr>
            <w:tcW w:w="1134" w:type="dxa"/>
            <w:tcBorders>
              <w:top w:val="nil"/>
              <w:left w:val="nil"/>
              <w:bottom w:val="single" w:color="auto" w:sz="4" w:space="0"/>
              <w:right w:val="single" w:color="auto" w:sz="4" w:space="0"/>
            </w:tcBorders>
            <w:noWrap w:val="0"/>
            <w:vAlign w:val="center"/>
          </w:tcPr>
          <w:p w14:paraId="536DB87D">
            <w:pPr>
              <w:widowControl/>
              <w:jc w:val="left"/>
              <w:rPr>
                <w:szCs w:val="21"/>
              </w:rPr>
            </w:pPr>
            <w:r>
              <w:rPr>
                <w:rFonts w:hint="eastAsia"/>
                <w:szCs w:val="21"/>
              </w:rPr>
              <w:t>万元</w:t>
            </w:r>
          </w:p>
        </w:tc>
        <w:tc>
          <w:tcPr>
            <w:tcW w:w="1846" w:type="dxa"/>
            <w:tcBorders>
              <w:top w:val="nil"/>
              <w:left w:val="nil"/>
              <w:bottom w:val="single" w:color="auto" w:sz="4" w:space="0"/>
              <w:right w:val="single" w:color="auto" w:sz="4" w:space="0"/>
            </w:tcBorders>
            <w:noWrap w:val="0"/>
            <w:vAlign w:val="center"/>
          </w:tcPr>
          <w:p w14:paraId="7D82E896">
            <w:pPr>
              <w:widowControl/>
              <w:jc w:val="left"/>
              <w:rPr>
                <w:szCs w:val="21"/>
              </w:rPr>
            </w:pPr>
            <w:r>
              <w:rPr>
                <w:rFonts w:hint="eastAsia"/>
                <w:szCs w:val="21"/>
              </w:rPr>
              <w:t>2000≤Y</w:t>
            </w:r>
            <w:r>
              <w:rPr>
                <w:rFonts w:hint="eastAsia"/>
                <w:szCs w:val="21"/>
                <w:lang w:eastAsia="zh-CN"/>
              </w:rPr>
              <w:t>＜</w:t>
            </w:r>
            <w:r>
              <w:rPr>
                <w:rFonts w:hint="eastAsia"/>
                <w:szCs w:val="21"/>
              </w:rPr>
              <w:t>40000</w:t>
            </w:r>
          </w:p>
        </w:tc>
        <w:tc>
          <w:tcPr>
            <w:tcW w:w="1570" w:type="dxa"/>
            <w:tcBorders>
              <w:top w:val="nil"/>
              <w:left w:val="nil"/>
              <w:bottom w:val="single" w:color="auto" w:sz="4" w:space="0"/>
              <w:right w:val="single" w:color="auto" w:sz="4" w:space="0"/>
            </w:tcBorders>
            <w:noWrap w:val="0"/>
            <w:vAlign w:val="center"/>
          </w:tcPr>
          <w:p w14:paraId="1546948D">
            <w:pPr>
              <w:widowControl/>
              <w:jc w:val="left"/>
              <w:rPr>
                <w:szCs w:val="21"/>
              </w:rPr>
            </w:pPr>
            <w:r>
              <w:rPr>
                <w:rFonts w:hint="eastAsia"/>
                <w:szCs w:val="21"/>
              </w:rPr>
              <w:t>300≤Y＜2000</w:t>
            </w:r>
          </w:p>
        </w:tc>
        <w:tc>
          <w:tcPr>
            <w:tcW w:w="1009" w:type="dxa"/>
            <w:tcBorders>
              <w:top w:val="nil"/>
              <w:left w:val="nil"/>
              <w:bottom w:val="single" w:color="auto" w:sz="4" w:space="0"/>
              <w:right w:val="single" w:color="auto" w:sz="4" w:space="0"/>
            </w:tcBorders>
            <w:noWrap w:val="0"/>
            <w:vAlign w:val="center"/>
          </w:tcPr>
          <w:p w14:paraId="0FC1F729">
            <w:pPr>
              <w:widowControl/>
              <w:jc w:val="left"/>
              <w:rPr>
                <w:szCs w:val="21"/>
              </w:rPr>
            </w:pPr>
            <w:r>
              <w:rPr>
                <w:rFonts w:hint="eastAsia"/>
                <w:szCs w:val="21"/>
              </w:rPr>
              <w:t>Y＜300</w:t>
            </w:r>
          </w:p>
        </w:tc>
      </w:tr>
      <w:tr w14:paraId="358BB259">
        <w:tblPrEx>
          <w:tblCellMar>
            <w:top w:w="0" w:type="dxa"/>
            <w:left w:w="108" w:type="dxa"/>
            <w:bottom w:w="0" w:type="dxa"/>
            <w:right w:w="108" w:type="dxa"/>
          </w:tblCellMar>
        </w:tblPrEx>
        <w:trPr>
          <w:trHeight w:val="220" w:hRule="atLeast"/>
        </w:trPr>
        <w:tc>
          <w:tcPr>
            <w:tcW w:w="1446" w:type="dxa"/>
            <w:vMerge w:val="restart"/>
            <w:tcBorders>
              <w:top w:val="nil"/>
              <w:left w:val="single" w:color="auto" w:sz="4" w:space="0"/>
              <w:bottom w:val="single" w:color="auto" w:sz="4" w:space="0"/>
              <w:right w:val="single" w:color="auto" w:sz="4" w:space="0"/>
            </w:tcBorders>
            <w:noWrap w:val="0"/>
            <w:vAlign w:val="bottom"/>
          </w:tcPr>
          <w:p w14:paraId="3E99FF28">
            <w:pPr>
              <w:widowControl/>
              <w:jc w:val="center"/>
              <w:rPr>
                <w:szCs w:val="21"/>
              </w:rPr>
            </w:pPr>
            <w:r>
              <w:rPr>
                <w:rFonts w:hint="eastAsia"/>
                <w:szCs w:val="21"/>
              </w:rPr>
              <w:t>建筑业</w:t>
            </w:r>
          </w:p>
        </w:tc>
        <w:tc>
          <w:tcPr>
            <w:tcW w:w="1701" w:type="dxa"/>
            <w:tcBorders>
              <w:top w:val="nil"/>
              <w:left w:val="nil"/>
              <w:bottom w:val="single" w:color="auto" w:sz="4" w:space="0"/>
              <w:right w:val="single" w:color="auto" w:sz="4" w:space="0"/>
            </w:tcBorders>
            <w:noWrap w:val="0"/>
            <w:vAlign w:val="center"/>
          </w:tcPr>
          <w:p w14:paraId="0D5FBFB9">
            <w:pPr>
              <w:widowControl/>
              <w:jc w:val="left"/>
              <w:rPr>
                <w:szCs w:val="21"/>
              </w:rPr>
            </w:pPr>
            <w:r>
              <w:rPr>
                <w:rFonts w:hint="eastAsia"/>
                <w:szCs w:val="21"/>
              </w:rPr>
              <w:t>营业收入（Y）</w:t>
            </w:r>
          </w:p>
        </w:tc>
        <w:tc>
          <w:tcPr>
            <w:tcW w:w="1134" w:type="dxa"/>
            <w:tcBorders>
              <w:top w:val="nil"/>
              <w:left w:val="nil"/>
              <w:bottom w:val="single" w:color="auto" w:sz="4" w:space="0"/>
              <w:right w:val="single" w:color="auto" w:sz="4" w:space="0"/>
            </w:tcBorders>
            <w:noWrap w:val="0"/>
            <w:vAlign w:val="center"/>
          </w:tcPr>
          <w:p w14:paraId="4B953968">
            <w:pPr>
              <w:widowControl/>
              <w:jc w:val="left"/>
              <w:rPr>
                <w:szCs w:val="21"/>
              </w:rPr>
            </w:pPr>
            <w:r>
              <w:rPr>
                <w:rFonts w:hint="eastAsia"/>
                <w:szCs w:val="21"/>
              </w:rPr>
              <w:t>万元</w:t>
            </w:r>
          </w:p>
        </w:tc>
        <w:tc>
          <w:tcPr>
            <w:tcW w:w="1846" w:type="dxa"/>
            <w:tcBorders>
              <w:top w:val="nil"/>
              <w:left w:val="nil"/>
              <w:bottom w:val="single" w:color="auto" w:sz="4" w:space="0"/>
              <w:right w:val="single" w:color="auto" w:sz="4" w:space="0"/>
            </w:tcBorders>
            <w:noWrap w:val="0"/>
            <w:vAlign w:val="center"/>
          </w:tcPr>
          <w:p w14:paraId="2B70F918">
            <w:pPr>
              <w:widowControl/>
              <w:jc w:val="left"/>
              <w:rPr>
                <w:szCs w:val="21"/>
              </w:rPr>
            </w:pPr>
            <w:r>
              <w:rPr>
                <w:rFonts w:hint="eastAsia"/>
                <w:szCs w:val="21"/>
              </w:rPr>
              <w:t>6000≤Y＜80000</w:t>
            </w:r>
          </w:p>
        </w:tc>
        <w:tc>
          <w:tcPr>
            <w:tcW w:w="1570" w:type="dxa"/>
            <w:tcBorders>
              <w:top w:val="nil"/>
              <w:left w:val="nil"/>
              <w:bottom w:val="single" w:color="auto" w:sz="4" w:space="0"/>
              <w:right w:val="single" w:color="auto" w:sz="4" w:space="0"/>
            </w:tcBorders>
            <w:noWrap w:val="0"/>
            <w:vAlign w:val="center"/>
          </w:tcPr>
          <w:p w14:paraId="720948DA">
            <w:pPr>
              <w:widowControl/>
              <w:jc w:val="left"/>
              <w:rPr>
                <w:szCs w:val="21"/>
              </w:rPr>
            </w:pPr>
            <w:r>
              <w:rPr>
                <w:rFonts w:hint="eastAsia"/>
                <w:szCs w:val="21"/>
              </w:rPr>
              <w:t>300≤Y＜6000</w:t>
            </w:r>
          </w:p>
        </w:tc>
        <w:tc>
          <w:tcPr>
            <w:tcW w:w="1009" w:type="dxa"/>
            <w:tcBorders>
              <w:top w:val="nil"/>
              <w:left w:val="nil"/>
              <w:bottom w:val="single" w:color="auto" w:sz="4" w:space="0"/>
              <w:right w:val="single" w:color="auto" w:sz="4" w:space="0"/>
            </w:tcBorders>
            <w:noWrap w:val="0"/>
            <w:vAlign w:val="center"/>
          </w:tcPr>
          <w:p w14:paraId="63B8F755">
            <w:pPr>
              <w:widowControl/>
              <w:jc w:val="left"/>
              <w:rPr>
                <w:szCs w:val="21"/>
              </w:rPr>
            </w:pPr>
            <w:r>
              <w:rPr>
                <w:rFonts w:hint="eastAsia"/>
                <w:szCs w:val="21"/>
              </w:rPr>
              <w:t>Y＜300</w:t>
            </w:r>
          </w:p>
        </w:tc>
      </w:tr>
      <w:tr w14:paraId="031C2454">
        <w:tblPrEx>
          <w:tblCellMar>
            <w:top w:w="0" w:type="dxa"/>
            <w:left w:w="108" w:type="dxa"/>
            <w:bottom w:w="0" w:type="dxa"/>
            <w:right w:w="108" w:type="dxa"/>
          </w:tblCellMar>
        </w:tblPrEx>
        <w:trPr>
          <w:trHeight w:val="220" w:hRule="atLeast"/>
        </w:trPr>
        <w:tc>
          <w:tcPr>
            <w:tcW w:w="1446" w:type="dxa"/>
            <w:vMerge w:val="continue"/>
            <w:tcBorders>
              <w:top w:val="nil"/>
              <w:left w:val="single" w:color="auto" w:sz="4" w:space="0"/>
              <w:bottom w:val="single" w:color="auto" w:sz="4" w:space="0"/>
              <w:right w:val="single" w:color="auto" w:sz="4" w:space="0"/>
            </w:tcBorders>
            <w:noWrap w:val="0"/>
            <w:vAlign w:val="center"/>
          </w:tcPr>
          <w:p w14:paraId="3DBA8F3B">
            <w:pPr>
              <w:widowControl/>
              <w:jc w:val="left"/>
              <w:rPr>
                <w:szCs w:val="21"/>
              </w:rPr>
            </w:pPr>
          </w:p>
        </w:tc>
        <w:tc>
          <w:tcPr>
            <w:tcW w:w="1701" w:type="dxa"/>
            <w:tcBorders>
              <w:top w:val="nil"/>
              <w:left w:val="nil"/>
              <w:bottom w:val="single" w:color="auto" w:sz="4" w:space="0"/>
              <w:right w:val="single" w:color="auto" w:sz="4" w:space="0"/>
            </w:tcBorders>
            <w:noWrap w:val="0"/>
            <w:vAlign w:val="center"/>
          </w:tcPr>
          <w:p w14:paraId="5AD01F50">
            <w:pPr>
              <w:widowControl/>
              <w:jc w:val="left"/>
              <w:rPr>
                <w:szCs w:val="21"/>
              </w:rPr>
            </w:pPr>
            <w:r>
              <w:rPr>
                <w:rFonts w:hint="eastAsia"/>
                <w:szCs w:val="21"/>
              </w:rPr>
              <w:t>资产总额（Z）</w:t>
            </w:r>
          </w:p>
        </w:tc>
        <w:tc>
          <w:tcPr>
            <w:tcW w:w="1134" w:type="dxa"/>
            <w:tcBorders>
              <w:top w:val="nil"/>
              <w:left w:val="nil"/>
              <w:bottom w:val="single" w:color="auto" w:sz="4" w:space="0"/>
              <w:right w:val="single" w:color="auto" w:sz="4" w:space="0"/>
            </w:tcBorders>
            <w:noWrap w:val="0"/>
            <w:vAlign w:val="center"/>
          </w:tcPr>
          <w:p w14:paraId="2E0DE493">
            <w:pPr>
              <w:widowControl/>
              <w:jc w:val="left"/>
              <w:rPr>
                <w:szCs w:val="21"/>
              </w:rPr>
            </w:pPr>
            <w:r>
              <w:rPr>
                <w:rFonts w:hint="eastAsia"/>
                <w:szCs w:val="21"/>
              </w:rPr>
              <w:t>万元</w:t>
            </w:r>
          </w:p>
        </w:tc>
        <w:tc>
          <w:tcPr>
            <w:tcW w:w="1846" w:type="dxa"/>
            <w:tcBorders>
              <w:top w:val="nil"/>
              <w:left w:val="nil"/>
              <w:bottom w:val="single" w:color="auto" w:sz="4" w:space="0"/>
              <w:right w:val="single" w:color="auto" w:sz="4" w:space="0"/>
            </w:tcBorders>
            <w:noWrap w:val="0"/>
            <w:vAlign w:val="center"/>
          </w:tcPr>
          <w:p w14:paraId="1F11EC2B">
            <w:pPr>
              <w:widowControl/>
              <w:jc w:val="left"/>
              <w:rPr>
                <w:szCs w:val="21"/>
              </w:rPr>
            </w:pPr>
            <w:r>
              <w:rPr>
                <w:rFonts w:hint="eastAsia"/>
                <w:szCs w:val="21"/>
              </w:rPr>
              <w:t>5000≤Z＜80000</w:t>
            </w:r>
          </w:p>
        </w:tc>
        <w:tc>
          <w:tcPr>
            <w:tcW w:w="1570" w:type="dxa"/>
            <w:tcBorders>
              <w:top w:val="nil"/>
              <w:left w:val="nil"/>
              <w:bottom w:val="single" w:color="auto" w:sz="4" w:space="0"/>
              <w:right w:val="single" w:color="auto" w:sz="4" w:space="0"/>
            </w:tcBorders>
            <w:noWrap w:val="0"/>
            <w:vAlign w:val="center"/>
          </w:tcPr>
          <w:p w14:paraId="6A4D0EF8">
            <w:pPr>
              <w:widowControl/>
              <w:jc w:val="left"/>
              <w:rPr>
                <w:szCs w:val="21"/>
              </w:rPr>
            </w:pPr>
            <w:r>
              <w:rPr>
                <w:rFonts w:hint="eastAsia"/>
                <w:szCs w:val="21"/>
              </w:rPr>
              <w:t>300≤Z＜5000</w:t>
            </w:r>
          </w:p>
        </w:tc>
        <w:tc>
          <w:tcPr>
            <w:tcW w:w="1009" w:type="dxa"/>
            <w:tcBorders>
              <w:top w:val="nil"/>
              <w:left w:val="nil"/>
              <w:bottom w:val="single" w:color="auto" w:sz="4" w:space="0"/>
              <w:right w:val="single" w:color="auto" w:sz="4" w:space="0"/>
            </w:tcBorders>
            <w:noWrap w:val="0"/>
            <w:vAlign w:val="center"/>
          </w:tcPr>
          <w:p w14:paraId="5BBAA085">
            <w:pPr>
              <w:widowControl/>
              <w:jc w:val="left"/>
              <w:rPr>
                <w:szCs w:val="21"/>
              </w:rPr>
            </w:pPr>
            <w:r>
              <w:rPr>
                <w:rFonts w:hint="eastAsia"/>
                <w:szCs w:val="21"/>
              </w:rPr>
              <w:t>Z＜300</w:t>
            </w:r>
          </w:p>
        </w:tc>
      </w:tr>
      <w:tr w14:paraId="28AD3063">
        <w:tblPrEx>
          <w:tblCellMar>
            <w:top w:w="0" w:type="dxa"/>
            <w:left w:w="108" w:type="dxa"/>
            <w:bottom w:w="0" w:type="dxa"/>
            <w:right w:w="108" w:type="dxa"/>
          </w:tblCellMar>
        </w:tblPrEx>
        <w:trPr>
          <w:trHeight w:val="220" w:hRule="atLeast"/>
        </w:trPr>
        <w:tc>
          <w:tcPr>
            <w:tcW w:w="1446" w:type="dxa"/>
            <w:vMerge w:val="restart"/>
            <w:tcBorders>
              <w:top w:val="nil"/>
              <w:left w:val="single" w:color="auto" w:sz="4" w:space="0"/>
              <w:bottom w:val="single" w:color="auto" w:sz="4" w:space="0"/>
              <w:right w:val="single" w:color="auto" w:sz="4" w:space="0"/>
            </w:tcBorders>
            <w:noWrap w:val="0"/>
            <w:vAlign w:val="bottom"/>
          </w:tcPr>
          <w:p w14:paraId="581F5099">
            <w:pPr>
              <w:widowControl/>
              <w:ind w:firstLine="315" w:firstLineChars="150"/>
              <w:rPr>
                <w:szCs w:val="21"/>
              </w:rPr>
            </w:pPr>
            <w:r>
              <w:rPr>
                <w:rFonts w:hint="eastAsia"/>
                <w:szCs w:val="21"/>
              </w:rPr>
              <w:t>批发业</w:t>
            </w:r>
          </w:p>
        </w:tc>
        <w:tc>
          <w:tcPr>
            <w:tcW w:w="1701" w:type="dxa"/>
            <w:tcBorders>
              <w:top w:val="nil"/>
              <w:left w:val="nil"/>
              <w:bottom w:val="single" w:color="auto" w:sz="4" w:space="0"/>
              <w:right w:val="single" w:color="auto" w:sz="4" w:space="0"/>
            </w:tcBorders>
            <w:noWrap w:val="0"/>
            <w:vAlign w:val="center"/>
          </w:tcPr>
          <w:p w14:paraId="4A1548EF">
            <w:pPr>
              <w:widowControl/>
              <w:jc w:val="left"/>
              <w:rPr>
                <w:szCs w:val="21"/>
              </w:rPr>
            </w:pPr>
            <w:r>
              <w:rPr>
                <w:rFonts w:hint="eastAsia"/>
                <w:szCs w:val="21"/>
              </w:rPr>
              <w:t>从业人员（X）</w:t>
            </w:r>
          </w:p>
        </w:tc>
        <w:tc>
          <w:tcPr>
            <w:tcW w:w="1134" w:type="dxa"/>
            <w:tcBorders>
              <w:top w:val="nil"/>
              <w:left w:val="nil"/>
              <w:bottom w:val="single" w:color="auto" w:sz="4" w:space="0"/>
              <w:right w:val="single" w:color="auto" w:sz="4" w:space="0"/>
            </w:tcBorders>
            <w:noWrap w:val="0"/>
            <w:vAlign w:val="center"/>
          </w:tcPr>
          <w:p w14:paraId="1930BFDD">
            <w:pPr>
              <w:widowControl/>
              <w:jc w:val="left"/>
              <w:rPr>
                <w:szCs w:val="21"/>
              </w:rPr>
            </w:pPr>
            <w:r>
              <w:rPr>
                <w:rFonts w:hint="eastAsia"/>
                <w:szCs w:val="21"/>
              </w:rPr>
              <w:t>人</w:t>
            </w:r>
          </w:p>
        </w:tc>
        <w:tc>
          <w:tcPr>
            <w:tcW w:w="1846" w:type="dxa"/>
            <w:tcBorders>
              <w:top w:val="nil"/>
              <w:left w:val="nil"/>
              <w:bottom w:val="single" w:color="auto" w:sz="4" w:space="0"/>
              <w:right w:val="single" w:color="auto" w:sz="4" w:space="0"/>
            </w:tcBorders>
            <w:noWrap w:val="0"/>
            <w:vAlign w:val="center"/>
          </w:tcPr>
          <w:p w14:paraId="0C7F2CD3">
            <w:pPr>
              <w:widowControl/>
              <w:jc w:val="left"/>
              <w:rPr>
                <w:szCs w:val="21"/>
              </w:rPr>
            </w:pPr>
            <w:r>
              <w:rPr>
                <w:rFonts w:hint="eastAsia"/>
                <w:szCs w:val="21"/>
              </w:rPr>
              <w:t>20≤X＜200</w:t>
            </w:r>
          </w:p>
        </w:tc>
        <w:tc>
          <w:tcPr>
            <w:tcW w:w="1570" w:type="dxa"/>
            <w:tcBorders>
              <w:top w:val="nil"/>
              <w:left w:val="nil"/>
              <w:bottom w:val="single" w:color="auto" w:sz="4" w:space="0"/>
              <w:right w:val="single" w:color="auto" w:sz="4" w:space="0"/>
            </w:tcBorders>
            <w:noWrap w:val="0"/>
            <w:vAlign w:val="center"/>
          </w:tcPr>
          <w:p w14:paraId="39623B11">
            <w:pPr>
              <w:widowControl/>
              <w:jc w:val="left"/>
              <w:rPr>
                <w:szCs w:val="21"/>
              </w:rPr>
            </w:pPr>
            <w:r>
              <w:rPr>
                <w:rFonts w:hint="eastAsia"/>
                <w:szCs w:val="21"/>
              </w:rPr>
              <w:t>5≤X＜20</w:t>
            </w:r>
          </w:p>
        </w:tc>
        <w:tc>
          <w:tcPr>
            <w:tcW w:w="1009" w:type="dxa"/>
            <w:tcBorders>
              <w:top w:val="nil"/>
              <w:left w:val="nil"/>
              <w:bottom w:val="single" w:color="auto" w:sz="4" w:space="0"/>
              <w:right w:val="single" w:color="auto" w:sz="4" w:space="0"/>
            </w:tcBorders>
            <w:noWrap w:val="0"/>
            <w:vAlign w:val="center"/>
          </w:tcPr>
          <w:p w14:paraId="6A8A4B85">
            <w:pPr>
              <w:widowControl/>
              <w:jc w:val="left"/>
              <w:rPr>
                <w:szCs w:val="21"/>
              </w:rPr>
            </w:pPr>
            <w:r>
              <w:rPr>
                <w:rFonts w:hint="eastAsia"/>
                <w:szCs w:val="21"/>
              </w:rPr>
              <w:t>X＜5</w:t>
            </w:r>
          </w:p>
        </w:tc>
      </w:tr>
      <w:tr w14:paraId="7B8FC803">
        <w:tblPrEx>
          <w:tblCellMar>
            <w:top w:w="0" w:type="dxa"/>
            <w:left w:w="108" w:type="dxa"/>
            <w:bottom w:w="0" w:type="dxa"/>
            <w:right w:w="108" w:type="dxa"/>
          </w:tblCellMar>
        </w:tblPrEx>
        <w:trPr>
          <w:trHeight w:val="220" w:hRule="atLeast"/>
        </w:trPr>
        <w:tc>
          <w:tcPr>
            <w:tcW w:w="1446" w:type="dxa"/>
            <w:vMerge w:val="continue"/>
            <w:tcBorders>
              <w:top w:val="nil"/>
              <w:left w:val="single" w:color="auto" w:sz="4" w:space="0"/>
              <w:bottom w:val="single" w:color="auto" w:sz="4" w:space="0"/>
              <w:right w:val="single" w:color="auto" w:sz="4" w:space="0"/>
            </w:tcBorders>
            <w:noWrap w:val="0"/>
            <w:vAlign w:val="center"/>
          </w:tcPr>
          <w:p w14:paraId="777B42BA">
            <w:pPr>
              <w:widowControl/>
              <w:jc w:val="left"/>
              <w:rPr>
                <w:szCs w:val="21"/>
              </w:rPr>
            </w:pPr>
          </w:p>
        </w:tc>
        <w:tc>
          <w:tcPr>
            <w:tcW w:w="1701" w:type="dxa"/>
            <w:tcBorders>
              <w:top w:val="nil"/>
              <w:left w:val="nil"/>
              <w:bottom w:val="single" w:color="auto" w:sz="4" w:space="0"/>
              <w:right w:val="single" w:color="auto" w:sz="4" w:space="0"/>
            </w:tcBorders>
            <w:noWrap w:val="0"/>
            <w:vAlign w:val="center"/>
          </w:tcPr>
          <w:p w14:paraId="70C269E4">
            <w:pPr>
              <w:widowControl/>
              <w:jc w:val="left"/>
              <w:rPr>
                <w:szCs w:val="21"/>
              </w:rPr>
            </w:pPr>
            <w:r>
              <w:rPr>
                <w:rFonts w:hint="eastAsia"/>
                <w:szCs w:val="21"/>
              </w:rPr>
              <w:t>营业收入（Y）</w:t>
            </w:r>
          </w:p>
        </w:tc>
        <w:tc>
          <w:tcPr>
            <w:tcW w:w="1134" w:type="dxa"/>
            <w:tcBorders>
              <w:top w:val="nil"/>
              <w:left w:val="nil"/>
              <w:bottom w:val="single" w:color="auto" w:sz="4" w:space="0"/>
              <w:right w:val="single" w:color="auto" w:sz="4" w:space="0"/>
            </w:tcBorders>
            <w:noWrap w:val="0"/>
            <w:vAlign w:val="center"/>
          </w:tcPr>
          <w:p w14:paraId="386D86BF">
            <w:pPr>
              <w:widowControl/>
              <w:jc w:val="left"/>
              <w:rPr>
                <w:szCs w:val="21"/>
              </w:rPr>
            </w:pPr>
            <w:r>
              <w:rPr>
                <w:rFonts w:hint="eastAsia"/>
                <w:szCs w:val="21"/>
              </w:rPr>
              <w:t>万元</w:t>
            </w:r>
          </w:p>
        </w:tc>
        <w:tc>
          <w:tcPr>
            <w:tcW w:w="1846" w:type="dxa"/>
            <w:tcBorders>
              <w:top w:val="nil"/>
              <w:left w:val="nil"/>
              <w:bottom w:val="single" w:color="auto" w:sz="4" w:space="0"/>
              <w:right w:val="single" w:color="auto" w:sz="4" w:space="0"/>
            </w:tcBorders>
            <w:noWrap w:val="0"/>
            <w:vAlign w:val="center"/>
          </w:tcPr>
          <w:p w14:paraId="08D69E32">
            <w:pPr>
              <w:widowControl/>
              <w:jc w:val="left"/>
              <w:rPr>
                <w:szCs w:val="21"/>
              </w:rPr>
            </w:pPr>
            <w:r>
              <w:rPr>
                <w:rFonts w:hint="eastAsia"/>
                <w:szCs w:val="21"/>
              </w:rPr>
              <w:t>5000≤Y＜40000</w:t>
            </w:r>
          </w:p>
        </w:tc>
        <w:tc>
          <w:tcPr>
            <w:tcW w:w="1570" w:type="dxa"/>
            <w:tcBorders>
              <w:top w:val="nil"/>
              <w:left w:val="nil"/>
              <w:bottom w:val="single" w:color="auto" w:sz="4" w:space="0"/>
              <w:right w:val="single" w:color="auto" w:sz="4" w:space="0"/>
            </w:tcBorders>
            <w:noWrap w:val="0"/>
            <w:vAlign w:val="center"/>
          </w:tcPr>
          <w:p w14:paraId="0B19935E">
            <w:pPr>
              <w:widowControl/>
              <w:jc w:val="left"/>
              <w:rPr>
                <w:szCs w:val="21"/>
              </w:rPr>
            </w:pPr>
            <w:r>
              <w:rPr>
                <w:rFonts w:hint="eastAsia"/>
                <w:szCs w:val="21"/>
              </w:rPr>
              <w:t>1000≤Y＜5000</w:t>
            </w:r>
          </w:p>
        </w:tc>
        <w:tc>
          <w:tcPr>
            <w:tcW w:w="1009" w:type="dxa"/>
            <w:tcBorders>
              <w:top w:val="nil"/>
              <w:left w:val="nil"/>
              <w:bottom w:val="single" w:color="auto" w:sz="4" w:space="0"/>
              <w:right w:val="single" w:color="auto" w:sz="4" w:space="0"/>
            </w:tcBorders>
            <w:noWrap w:val="0"/>
            <w:vAlign w:val="center"/>
          </w:tcPr>
          <w:p w14:paraId="3395632B">
            <w:pPr>
              <w:widowControl/>
              <w:jc w:val="left"/>
              <w:rPr>
                <w:szCs w:val="21"/>
              </w:rPr>
            </w:pPr>
            <w:r>
              <w:rPr>
                <w:rFonts w:hint="eastAsia"/>
                <w:szCs w:val="21"/>
              </w:rPr>
              <w:t>Y＜1000</w:t>
            </w:r>
          </w:p>
        </w:tc>
      </w:tr>
      <w:tr w14:paraId="512D39B9">
        <w:tblPrEx>
          <w:tblCellMar>
            <w:top w:w="0" w:type="dxa"/>
            <w:left w:w="108" w:type="dxa"/>
            <w:bottom w:w="0" w:type="dxa"/>
            <w:right w:w="108" w:type="dxa"/>
          </w:tblCellMar>
        </w:tblPrEx>
        <w:trPr>
          <w:trHeight w:val="220" w:hRule="atLeast"/>
        </w:trPr>
        <w:tc>
          <w:tcPr>
            <w:tcW w:w="1446" w:type="dxa"/>
            <w:vMerge w:val="restart"/>
            <w:tcBorders>
              <w:top w:val="nil"/>
              <w:left w:val="single" w:color="auto" w:sz="4" w:space="0"/>
              <w:bottom w:val="single" w:color="auto" w:sz="4" w:space="0"/>
              <w:right w:val="single" w:color="auto" w:sz="4" w:space="0"/>
            </w:tcBorders>
            <w:noWrap w:val="0"/>
            <w:vAlign w:val="bottom"/>
          </w:tcPr>
          <w:p w14:paraId="3B88A70A">
            <w:pPr>
              <w:widowControl/>
              <w:jc w:val="center"/>
              <w:rPr>
                <w:szCs w:val="21"/>
              </w:rPr>
            </w:pPr>
            <w:r>
              <w:rPr>
                <w:rFonts w:hint="eastAsia"/>
                <w:szCs w:val="21"/>
              </w:rPr>
              <w:t>零售业</w:t>
            </w:r>
          </w:p>
        </w:tc>
        <w:tc>
          <w:tcPr>
            <w:tcW w:w="1701" w:type="dxa"/>
            <w:tcBorders>
              <w:top w:val="nil"/>
              <w:left w:val="nil"/>
              <w:bottom w:val="single" w:color="auto" w:sz="4" w:space="0"/>
              <w:right w:val="single" w:color="auto" w:sz="4" w:space="0"/>
            </w:tcBorders>
            <w:noWrap w:val="0"/>
            <w:vAlign w:val="center"/>
          </w:tcPr>
          <w:p w14:paraId="6FDD9C94">
            <w:pPr>
              <w:widowControl/>
              <w:jc w:val="left"/>
              <w:rPr>
                <w:szCs w:val="21"/>
              </w:rPr>
            </w:pPr>
            <w:r>
              <w:rPr>
                <w:rFonts w:hint="eastAsia"/>
                <w:szCs w:val="21"/>
              </w:rPr>
              <w:t>从业人员（X）</w:t>
            </w:r>
          </w:p>
        </w:tc>
        <w:tc>
          <w:tcPr>
            <w:tcW w:w="1134" w:type="dxa"/>
            <w:tcBorders>
              <w:top w:val="nil"/>
              <w:left w:val="nil"/>
              <w:bottom w:val="single" w:color="auto" w:sz="4" w:space="0"/>
              <w:right w:val="single" w:color="auto" w:sz="4" w:space="0"/>
            </w:tcBorders>
            <w:noWrap w:val="0"/>
            <w:vAlign w:val="center"/>
          </w:tcPr>
          <w:p w14:paraId="72E5A8D4">
            <w:pPr>
              <w:widowControl/>
              <w:jc w:val="left"/>
              <w:rPr>
                <w:szCs w:val="21"/>
              </w:rPr>
            </w:pPr>
            <w:r>
              <w:rPr>
                <w:rFonts w:hint="eastAsia"/>
                <w:szCs w:val="21"/>
              </w:rPr>
              <w:t>人</w:t>
            </w:r>
          </w:p>
        </w:tc>
        <w:tc>
          <w:tcPr>
            <w:tcW w:w="1846" w:type="dxa"/>
            <w:tcBorders>
              <w:top w:val="nil"/>
              <w:left w:val="nil"/>
              <w:bottom w:val="single" w:color="auto" w:sz="4" w:space="0"/>
              <w:right w:val="single" w:color="auto" w:sz="4" w:space="0"/>
            </w:tcBorders>
            <w:noWrap w:val="0"/>
            <w:vAlign w:val="center"/>
          </w:tcPr>
          <w:p w14:paraId="454A3FF9">
            <w:pPr>
              <w:widowControl/>
              <w:jc w:val="left"/>
              <w:rPr>
                <w:szCs w:val="21"/>
              </w:rPr>
            </w:pPr>
            <w:r>
              <w:rPr>
                <w:rFonts w:hint="eastAsia"/>
                <w:szCs w:val="21"/>
              </w:rPr>
              <w:t>50≤X＜300</w:t>
            </w:r>
          </w:p>
        </w:tc>
        <w:tc>
          <w:tcPr>
            <w:tcW w:w="1570" w:type="dxa"/>
            <w:tcBorders>
              <w:top w:val="nil"/>
              <w:left w:val="nil"/>
              <w:bottom w:val="single" w:color="auto" w:sz="4" w:space="0"/>
              <w:right w:val="single" w:color="auto" w:sz="4" w:space="0"/>
            </w:tcBorders>
            <w:noWrap w:val="0"/>
            <w:vAlign w:val="center"/>
          </w:tcPr>
          <w:p w14:paraId="7EA3E92D">
            <w:pPr>
              <w:widowControl/>
              <w:jc w:val="left"/>
              <w:rPr>
                <w:szCs w:val="21"/>
              </w:rPr>
            </w:pPr>
            <w:r>
              <w:rPr>
                <w:rFonts w:hint="eastAsia"/>
                <w:szCs w:val="21"/>
              </w:rPr>
              <w:t>10≤X＜50</w:t>
            </w:r>
          </w:p>
        </w:tc>
        <w:tc>
          <w:tcPr>
            <w:tcW w:w="1009" w:type="dxa"/>
            <w:tcBorders>
              <w:top w:val="nil"/>
              <w:left w:val="nil"/>
              <w:bottom w:val="single" w:color="auto" w:sz="4" w:space="0"/>
              <w:right w:val="single" w:color="auto" w:sz="4" w:space="0"/>
            </w:tcBorders>
            <w:noWrap w:val="0"/>
            <w:vAlign w:val="center"/>
          </w:tcPr>
          <w:p w14:paraId="19AB947B">
            <w:pPr>
              <w:widowControl/>
              <w:jc w:val="left"/>
              <w:rPr>
                <w:szCs w:val="21"/>
              </w:rPr>
            </w:pPr>
            <w:r>
              <w:rPr>
                <w:rFonts w:hint="eastAsia"/>
                <w:szCs w:val="21"/>
              </w:rPr>
              <w:t>X＜10</w:t>
            </w:r>
          </w:p>
        </w:tc>
      </w:tr>
      <w:tr w14:paraId="1643436F">
        <w:tblPrEx>
          <w:tblCellMar>
            <w:top w:w="0" w:type="dxa"/>
            <w:left w:w="108" w:type="dxa"/>
            <w:bottom w:w="0" w:type="dxa"/>
            <w:right w:w="108" w:type="dxa"/>
          </w:tblCellMar>
        </w:tblPrEx>
        <w:trPr>
          <w:trHeight w:val="220" w:hRule="atLeast"/>
        </w:trPr>
        <w:tc>
          <w:tcPr>
            <w:tcW w:w="1446" w:type="dxa"/>
            <w:vMerge w:val="continue"/>
            <w:tcBorders>
              <w:top w:val="nil"/>
              <w:left w:val="single" w:color="auto" w:sz="4" w:space="0"/>
              <w:bottom w:val="single" w:color="auto" w:sz="4" w:space="0"/>
              <w:right w:val="single" w:color="auto" w:sz="4" w:space="0"/>
            </w:tcBorders>
            <w:noWrap w:val="0"/>
            <w:vAlign w:val="center"/>
          </w:tcPr>
          <w:p w14:paraId="2BE3B2EC">
            <w:pPr>
              <w:widowControl/>
              <w:jc w:val="left"/>
              <w:rPr>
                <w:szCs w:val="21"/>
              </w:rPr>
            </w:pPr>
          </w:p>
        </w:tc>
        <w:tc>
          <w:tcPr>
            <w:tcW w:w="1701" w:type="dxa"/>
            <w:tcBorders>
              <w:top w:val="nil"/>
              <w:left w:val="nil"/>
              <w:bottom w:val="single" w:color="auto" w:sz="4" w:space="0"/>
              <w:right w:val="single" w:color="auto" w:sz="4" w:space="0"/>
            </w:tcBorders>
            <w:noWrap w:val="0"/>
            <w:vAlign w:val="center"/>
          </w:tcPr>
          <w:p w14:paraId="1F72775D">
            <w:pPr>
              <w:widowControl/>
              <w:jc w:val="left"/>
              <w:rPr>
                <w:szCs w:val="21"/>
              </w:rPr>
            </w:pPr>
            <w:r>
              <w:rPr>
                <w:rFonts w:hint="eastAsia"/>
                <w:szCs w:val="21"/>
              </w:rPr>
              <w:t>营业收入（Y）</w:t>
            </w:r>
          </w:p>
        </w:tc>
        <w:tc>
          <w:tcPr>
            <w:tcW w:w="1134" w:type="dxa"/>
            <w:tcBorders>
              <w:top w:val="nil"/>
              <w:left w:val="nil"/>
              <w:bottom w:val="single" w:color="auto" w:sz="4" w:space="0"/>
              <w:right w:val="single" w:color="auto" w:sz="4" w:space="0"/>
            </w:tcBorders>
            <w:noWrap w:val="0"/>
            <w:vAlign w:val="center"/>
          </w:tcPr>
          <w:p w14:paraId="161FFC41">
            <w:pPr>
              <w:widowControl/>
              <w:jc w:val="left"/>
              <w:rPr>
                <w:szCs w:val="21"/>
              </w:rPr>
            </w:pPr>
            <w:r>
              <w:rPr>
                <w:rFonts w:hint="eastAsia"/>
                <w:szCs w:val="21"/>
              </w:rPr>
              <w:t>万元</w:t>
            </w:r>
          </w:p>
        </w:tc>
        <w:tc>
          <w:tcPr>
            <w:tcW w:w="1846" w:type="dxa"/>
            <w:tcBorders>
              <w:top w:val="nil"/>
              <w:left w:val="nil"/>
              <w:bottom w:val="single" w:color="auto" w:sz="4" w:space="0"/>
              <w:right w:val="single" w:color="auto" w:sz="4" w:space="0"/>
            </w:tcBorders>
            <w:noWrap w:val="0"/>
            <w:vAlign w:val="center"/>
          </w:tcPr>
          <w:p w14:paraId="38303C63">
            <w:pPr>
              <w:widowControl/>
              <w:jc w:val="left"/>
              <w:rPr>
                <w:szCs w:val="21"/>
              </w:rPr>
            </w:pPr>
            <w:r>
              <w:rPr>
                <w:rFonts w:hint="eastAsia"/>
                <w:szCs w:val="21"/>
              </w:rPr>
              <w:t>500≤Y＜20000</w:t>
            </w:r>
          </w:p>
        </w:tc>
        <w:tc>
          <w:tcPr>
            <w:tcW w:w="1570" w:type="dxa"/>
            <w:tcBorders>
              <w:top w:val="nil"/>
              <w:left w:val="nil"/>
              <w:bottom w:val="single" w:color="auto" w:sz="4" w:space="0"/>
              <w:right w:val="single" w:color="auto" w:sz="4" w:space="0"/>
            </w:tcBorders>
            <w:noWrap w:val="0"/>
            <w:vAlign w:val="center"/>
          </w:tcPr>
          <w:p w14:paraId="45F4AE42">
            <w:pPr>
              <w:widowControl/>
              <w:jc w:val="left"/>
              <w:rPr>
                <w:szCs w:val="21"/>
              </w:rPr>
            </w:pPr>
            <w:r>
              <w:rPr>
                <w:rFonts w:hint="eastAsia"/>
                <w:szCs w:val="21"/>
              </w:rPr>
              <w:t>100≤Y＜500</w:t>
            </w:r>
          </w:p>
        </w:tc>
        <w:tc>
          <w:tcPr>
            <w:tcW w:w="1009" w:type="dxa"/>
            <w:tcBorders>
              <w:top w:val="nil"/>
              <w:left w:val="nil"/>
              <w:bottom w:val="single" w:color="auto" w:sz="4" w:space="0"/>
              <w:right w:val="single" w:color="auto" w:sz="4" w:space="0"/>
            </w:tcBorders>
            <w:noWrap w:val="0"/>
            <w:vAlign w:val="center"/>
          </w:tcPr>
          <w:p w14:paraId="0C0D653A">
            <w:pPr>
              <w:widowControl/>
              <w:jc w:val="left"/>
              <w:rPr>
                <w:szCs w:val="21"/>
              </w:rPr>
            </w:pPr>
            <w:r>
              <w:rPr>
                <w:rFonts w:hint="eastAsia"/>
                <w:szCs w:val="21"/>
              </w:rPr>
              <w:t>Y＜100</w:t>
            </w:r>
          </w:p>
        </w:tc>
      </w:tr>
      <w:tr w14:paraId="5E5E15F1">
        <w:tblPrEx>
          <w:tblCellMar>
            <w:top w:w="0" w:type="dxa"/>
            <w:left w:w="108" w:type="dxa"/>
            <w:bottom w:w="0" w:type="dxa"/>
            <w:right w:w="108" w:type="dxa"/>
          </w:tblCellMar>
        </w:tblPrEx>
        <w:trPr>
          <w:trHeight w:val="220" w:hRule="atLeast"/>
        </w:trPr>
        <w:tc>
          <w:tcPr>
            <w:tcW w:w="1446" w:type="dxa"/>
            <w:vMerge w:val="restart"/>
            <w:tcBorders>
              <w:top w:val="nil"/>
              <w:left w:val="single" w:color="auto" w:sz="4" w:space="0"/>
              <w:bottom w:val="single" w:color="auto" w:sz="4" w:space="0"/>
              <w:right w:val="single" w:color="auto" w:sz="4" w:space="0"/>
            </w:tcBorders>
            <w:noWrap w:val="0"/>
            <w:vAlign w:val="bottom"/>
          </w:tcPr>
          <w:p w14:paraId="1B5178BD">
            <w:pPr>
              <w:widowControl/>
              <w:jc w:val="center"/>
              <w:rPr>
                <w:szCs w:val="21"/>
              </w:rPr>
            </w:pPr>
            <w:r>
              <w:rPr>
                <w:rFonts w:hint="eastAsia"/>
                <w:szCs w:val="21"/>
              </w:rPr>
              <w:t>交通运输业</w:t>
            </w:r>
          </w:p>
        </w:tc>
        <w:tc>
          <w:tcPr>
            <w:tcW w:w="1701" w:type="dxa"/>
            <w:tcBorders>
              <w:top w:val="nil"/>
              <w:left w:val="nil"/>
              <w:bottom w:val="single" w:color="auto" w:sz="4" w:space="0"/>
              <w:right w:val="single" w:color="auto" w:sz="4" w:space="0"/>
            </w:tcBorders>
            <w:noWrap w:val="0"/>
            <w:vAlign w:val="center"/>
          </w:tcPr>
          <w:p w14:paraId="05D6E516">
            <w:pPr>
              <w:widowControl/>
              <w:jc w:val="left"/>
              <w:rPr>
                <w:szCs w:val="21"/>
              </w:rPr>
            </w:pPr>
            <w:r>
              <w:rPr>
                <w:rFonts w:hint="eastAsia"/>
                <w:szCs w:val="21"/>
              </w:rPr>
              <w:t>从业人员（X）</w:t>
            </w:r>
          </w:p>
        </w:tc>
        <w:tc>
          <w:tcPr>
            <w:tcW w:w="1134" w:type="dxa"/>
            <w:tcBorders>
              <w:top w:val="nil"/>
              <w:left w:val="nil"/>
              <w:bottom w:val="single" w:color="auto" w:sz="4" w:space="0"/>
              <w:right w:val="single" w:color="auto" w:sz="4" w:space="0"/>
            </w:tcBorders>
            <w:noWrap w:val="0"/>
            <w:vAlign w:val="center"/>
          </w:tcPr>
          <w:p w14:paraId="09803AFD">
            <w:pPr>
              <w:widowControl/>
              <w:jc w:val="left"/>
              <w:rPr>
                <w:szCs w:val="21"/>
              </w:rPr>
            </w:pPr>
            <w:r>
              <w:rPr>
                <w:rFonts w:hint="eastAsia"/>
                <w:szCs w:val="21"/>
              </w:rPr>
              <w:t>人</w:t>
            </w:r>
          </w:p>
        </w:tc>
        <w:tc>
          <w:tcPr>
            <w:tcW w:w="1846" w:type="dxa"/>
            <w:tcBorders>
              <w:top w:val="nil"/>
              <w:left w:val="nil"/>
              <w:bottom w:val="single" w:color="auto" w:sz="4" w:space="0"/>
              <w:right w:val="single" w:color="auto" w:sz="4" w:space="0"/>
            </w:tcBorders>
            <w:noWrap w:val="0"/>
            <w:vAlign w:val="center"/>
          </w:tcPr>
          <w:p w14:paraId="21996A46">
            <w:pPr>
              <w:widowControl/>
              <w:jc w:val="left"/>
              <w:rPr>
                <w:szCs w:val="21"/>
              </w:rPr>
            </w:pPr>
            <w:r>
              <w:rPr>
                <w:rFonts w:hint="eastAsia"/>
                <w:szCs w:val="21"/>
              </w:rPr>
              <w:t>300≤X＜1000</w:t>
            </w:r>
          </w:p>
        </w:tc>
        <w:tc>
          <w:tcPr>
            <w:tcW w:w="1570" w:type="dxa"/>
            <w:tcBorders>
              <w:top w:val="nil"/>
              <w:left w:val="nil"/>
              <w:bottom w:val="single" w:color="auto" w:sz="4" w:space="0"/>
              <w:right w:val="single" w:color="auto" w:sz="4" w:space="0"/>
            </w:tcBorders>
            <w:noWrap w:val="0"/>
            <w:vAlign w:val="center"/>
          </w:tcPr>
          <w:p w14:paraId="5864C0C8">
            <w:pPr>
              <w:widowControl/>
              <w:jc w:val="left"/>
              <w:rPr>
                <w:szCs w:val="21"/>
              </w:rPr>
            </w:pPr>
            <w:r>
              <w:rPr>
                <w:rFonts w:hint="eastAsia"/>
                <w:szCs w:val="21"/>
              </w:rPr>
              <w:t>20≤X＜300</w:t>
            </w:r>
          </w:p>
        </w:tc>
        <w:tc>
          <w:tcPr>
            <w:tcW w:w="1009" w:type="dxa"/>
            <w:tcBorders>
              <w:top w:val="nil"/>
              <w:left w:val="nil"/>
              <w:bottom w:val="single" w:color="auto" w:sz="4" w:space="0"/>
              <w:right w:val="single" w:color="auto" w:sz="4" w:space="0"/>
            </w:tcBorders>
            <w:noWrap w:val="0"/>
            <w:vAlign w:val="center"/>
          </w:tcPr>
          <w:p w14:paraId="16D0FC94">
            <w:pPr>
              <w:widowControl/>
              <w:jc w:val="left"/>
              <w:rPr>
                <w:szCs w:val="21"/>
              </w:rPr>
            </w:pPr>
            <w:r>
              <w:rPr>
                <w:rFonts w:hint="eastAsia"/>
                <w:szCs w:val="21"/>
              </w:rPr>
              <w:t>X＜20</w:t>
            </w:r>
          </w:p>
        </w:tc>
      </w:tr>
      <w:tr w14:paraId="04D9CE1B">
        <w:tblPrEx>
          <w:tblCellMar>
            <w:top w:w="0" w:type="dxa"/>
            <w:left w:w="108" w:type="dxa"/>
            <w:bottom w:w="0" w:type="dxa"/>
            <w:right w:w="108" w:type="dxa"/>
          </w:tblCellMar>
        </w:tblPrEx>
        <w:trPr>
          <w:trHeight w:val="220" w:hRule="atLeast"/>
        </w:trPr>
        <w:tc>
          <w:tcPr>
            <w:tcW w:w="1446" w:type="dxa"/>
            <w:vMerge w:val="continue"/>
            <w:tcBorders>
              <w:top w:val="nil"/>
              <w:left w:val="single" w:color="auto" w:sz="4" w:space="0"/>
              <w:bottom w:val="single" w:color="auto" w:sz="4" w:space="0"/>
              <w:right w:val="single" w:color="auto" w:sz="4" w:space="0"/>
            </w:tcBorders>
            <w:noWrap w:val="0"/>
            <w:vAlign w:val="center"/>
          </w:tcPr>
          <w:p w14:paraId="093EB787">
            <w:pPr>
              <w:widowControl/>
              <w:jc w:val="left"/>
              <w:rPr>
                <w:szCs w:val="21"/>
              </w:rPr>
            </w:pPr>
          </w:p>
        </w:tc>
        <w:tc>
          <w:tcPr>
            <w:tcW w:w="1701" w:type="dxa"/>
            <w:tcBorders>
              <w:top w:val="nil"/>
              <w:left w:val="nil"/>
              <w:bottom w:val="single" w:color="auto" w:sz="4" w:space="0"/>
              <w:right w:val="single" w:color="auto" w:sz="4" w:space="0"/>
            </w:tcBorders>
            <w:noWrap w:val="0"/>
            <w:vAlign w:val="center"/>
          </w:tcPr>
          <w:p w14:paraId="4BA575B0">
            <w:pPr>
              <w:widowControl/>
              <w:jc w:val="left"/>
              <w:rPr>
                <w:szCs w:val="21"/>
              </w:rPr>
            </w:pPr>
            <w:r>
              <w:rPr>
                <w:rFonts w:hint="eastAsia"/>
                <w:szCs w:val="21"/>
              </w:rPr>
              <w:t>营业收入（Y）</w:t>
            </w:r>
          </w:p>
        </w:tc>
        <w:tc>
          <w:tcPr>
            <w:tcW w:w="1134" w:type="dxa"/>
            <w:tcBorders>
              <w:top w:val="nil"/>
              <w:left w:val="nil"/>
              <w:bottom w:val="single" w:color="auto" w:sz="4" w:space="0"/>
              <w:right w:val="single" w:color="auto" w:sz="4" w:space="0"/>
            </w:tcBorders>
            <w:noWrap w:val="0"/>
            <w:vAlign w:val="center"/>
          </w:tcPr>
          <w:p w14:paraId="6FBB7DE2">
            <w:pPr>
              <w:widowControl/>
              <w:jc w:val="left"/>
              <w:rPr>
                <w:szCs w:val="21"/>
              </w:rPr>
            </w:pPr>
            <w:r>
              <w:rPr>
                <w:rFonts w:hint="eastAsia"/>
                <w:szCs w:val="21"/>
              </w:rPr>
              <w:t>万元</w:t>
            </w:r>
          </w:p>
        </w:tc>
        <w:tc>
          <w:tcPr>
            <w:tcW w:w="1846" w:type="dxa"/>
            <w:tcBorders>
              <w:top w:val="nil"/>
              <w:left w:val="nil"/>
              <w:bottom w:val="single" w:color="auto" w:sz="4" w:space="0"/>
              <w:right w:val="single" w:color="auto" w:sz="4" w:space="0"/>
            </w:tcBorders>
            <w:noWrap w:val="0"/>
            <w:vAlign w:val="center"/>
          </w:tcPr>
          <w:p w14:paraId="54FE478E">
            <w:pPr>
              <w:widowControl/>
              <w:jc w:val="left"/>
              <w:rPr>
                <w:szCs w:val="21"/>
              </w:rPr>
            </w:pPr>
            <w:r>
              <w:rPr>
                <w:rFonts w:hint="eastAsia"/>
                <w:szCs w:val="21"/>
              </w:rPr>
              <w:t>3000≤Y＜30000</w:t>
            </w:r>
          </w:p>
        </w:tc>
        <w:tc>
          <w:tcPr>
            <w:tcW w:w="1570" w:type="dxa"/>
            <w:tcBorders>
              <w:top w:val="nil"/>
              <w:left w:val="nil"/>
              <w:bottom w:val="single" w:color="auto" w:sz="4" w:space="0"/>
              <w:right w:val="single" w:color="auto" w:sz="4" w:space="0"/>
            </w:tcBorders>
            <w:noWrap w:val="0"/>
            <w:vAlign w:val="center"/>
          </w:tcPr>
          <w:p w14:paraId="4C6731C0">
            <w:pPr>
              <w:widowControl/>
              <w:jc w:val="left"/>
              <w:rPr>
                <w:szCs w:val="21"/>
              </w:rPr>
            </w:pPr>
            <w:r>
              <w:rPr>
                <w:rFonts w:hint="eastAsia"/>
                <w:szCs w:val="21"/>
              </w:rPr>
              <w:t>200≤Y＜3000</w:t>
            </w:r>
          </w:p>
        </w:tc>
        <w:tc>
          <w:tcPr>
            <w:tcW w:w="1009" w:type="dxa"/>
            <w:tcBorders>
              <w:top w:val="nil"/>
              <w:left w:val="nil"/>
              <w:bottom w:val="single" w:color="auto" w:sz="4" w:space="0"/>
              <w:right w:val="single" w:color="auto" w:sz="4" w:space="0"/>
            </w:tcBorders>
            <w:noWrap w:val="0"/>
            <w:vAlign w:val="center"/>
          </w:tcPr>
          <w:p w14:paraId="14C12B10">
            <w:pPr>
              <w:widowControl/>
              <w:jc w:val="left"/>
              <w:rPr>
                <w:szCs w:val="21"/>
              </w:rPr>
            </w:pPr>
            <w:r>
              <w:rPr>
                <w:rFonts w:hint="eastAsia"/>
                <w:szCs w:val="21"/>
              </w:rPr>
              <w:t>Y＜200</w:t>
            </w:r>
          </w:p>
        </w:tc>
      </w:tr>
      <w:tr w14:paraId="4DD56282">
        <w:tblPrEx>
          <w:tblCellMar>
            <w:top w:w="0" w:type="dxa"/>
            <w:left w:w="108" w:type="dxa"/>
            <w:bottom w:w="0" w:type="dxa"/>
            <w:right w:w="108" w:type="dxa"/>
          </w:tblCellMar>
        </w:tblPrEx>
        <w:trPr>
          <w:trHeight w:val="220" w:hRule="atLeast"/>
        </w:trPr>
        <w:tc>
          <w:tcPr>
            <w:tcW w:w="1446" w:type="dxa"/>
            <w:vMerge w:val="restart"/>
            <w:tcBorders>
              <w:top w:val="nil"/>
              <w:left w:val="single" w:color="auto" w:sz="4" w:space="0"/>
              <w:bottom w:val="single" w:color="auto" w:sz="4" w:space="0"/>
              <w:right w:val="single" w:color="auto" w:sz="4" w:space="0"/>
            </w:tcBorders>
            <w:noWrap w:val="0"/>
            <w:vAlign w:val="bottom"/>
          </w:tcPr>
          <w:p w14:paraId="4CF8AF69">
            <w:pPr>
              <w:widowControl/>
              <w:jc w:val="center"/>
              <w:rPr>
                <w:szCs w:val="21"/>
              </w:rPr>
            </w:pPr>
            <w:r>
              <w:rPr>
                <w:rFonts w:hint="eastAsia"/>
                <w:szCs w:val="21"/>
              </w:rPr>
              <w:t>仓储业</w:t>
            </w:r>
          </w:p>
        </w:tc>
        <w:tc>
          <w:tcPr>
            <w:tcW w:w="1701" w:type="dxa"/>
            <w:tcBorders>
              <w:top w:val="nil"/>
              <w:left w:val="nil"/>
              <w:bottom w:val="single" w:color="auto" w:sz="4" w:space="0"/>
              <w:right w:val="single" w:color="auto" w:sz="4" w:space="0"/>
            </w:tcBorders>
            <w:noWrap w:val="0"/>
            <w:vAlign w:val="center"/>
          </w:tcPr>
          <w:p w14:paraId="745511ED">
            <w:pPr>
              <w:widowControl/>
              <w:jc w:val="left"/>
              <w:rPr>
                <w:szCs w:val="21"/>
              </w:rPr>
            </w:pPr>
            <w:r>
              <w:rPr>
                <w:rFonts w:hint="eastAsia"/>
                <w:szCs w:val="21"/>
              </w:rPr>
              <w:t>从业人员（X）</w:t>
            </w:r>
          </w:p>
        </w:tc>
        <w:tc>
          <w:tcPr>
            <w:tcW w:w="1134" w:type="dxa"/>
            <w:tcBorders>
              <w:top w:val="nil"/>
              <w:left w:val="nil"/>
              <w:bottom w:val="single" w:color="auto" w:sz="4" w:space="0"/>
              <w:right w:val="single" w:color="auto" w:sz="4" w:space="0"/>
            </w:tcBorders>
            <w:noWrap w:val="0"/>
            <w:vAlign w:val="center"/>
          </w:tcPr>
          <w:p w14:paraId="04CD69EA">
            <w:pPr>
              <w:widowControl/>
              <w:jc w:val="left"/>
              <w:rPr>
                <w:szCs w:val="21"/>
              </w:rPr>
            </w:pPr>
            <w:r>
              <w:rPr>
                <w:rFonts w:hint="eastAsia"/>
                <w:szCs w:val="21"/>
              </w:rPr>
              <w:t>人</w:t>
            </w:r>
          </w:p>
        </w:tc>
        <w:tc>
          <w:tcPr>
            <w:tcW w:w="1846" w:type="dxa"/>
            <w:tcBorders>
              <w:top w:val="nil"/>
              <w:left w:val="nil"/>
              <w:bottom w:val="single" w:color="auto" w:sz="4" w:space="0"/>
              <w:right w:val="single" w:color="auto" w:sz="4" w:space="0"/>
            </w:tcBorders>
            <w:noWrap w:val="0"/>
            <w:vAlign w:val="center"/>
          </w:tcPr>
          <w:p w14:paraId="34F369E8">
            <w:pPr>
              <w:widowControl/>
              <w:jc w:val="left"/>
              <w:rPr>
                <w:szCs w:val="21"/>
              </w:rPr>
            </w:pPr>
            <w:r>
              <w:rPr>
                <w:rFonts w:hint="eastAsia"/>
                <w:szCs w:val="21"/>
              </w:rPr>
              <w:t>100≤X＜200</w:t>
            </w:r>
          </w:p>
        </w:tc>
        <w:tc>
          <w:tcPr>
            <w:tcW w:w="1570" w:type="dxa"/>
            <w:tcBorders>
              <w:top w:val="nil"/>
              <w:left w:val="nil"/>
              <w:bottom w:val="single" w:color="auto" w:sz="4" w:space="0"/>
              <w:right w:val="single" w:color="auto" w:sz="4" w:space="0"/>
            </w:tcBorders>
            <w:noWrap w:val="0"/>
            <w:vAlign w:val="center"/>
          </w:tcPr>
          <w:p w14:paraId="13A284B2">
            <w:pPr>
              <w:widowControl/>
              <w:jc w:val="left"/>
              <w:rPr>
                <w:szCs w:val="21"/>
              </w:rPr>
            </w:pPr>
            <w:r>
              <w:rPr>
                <w:rFonts w:hint="eastAsia"/>
                <w:szCs w:val="21"/>
              </w:rPr>
              <w:t>20≤X＜100</w:t>
            </w:r>
          </w:p>
        </w:tc>
        <w:tc>
          <w:tcPr>
            <w:tcW w:w="1009" w:type="dxa"/>
            <w:tcBorders>
              <w:top w:val="nil"/>
              <w:left w:val="nil"/>
              <w:bottom w:val="single" w:color="auto" w:sz="4" w:space="0"/>
              <w:right w:val="single" w:color="auto" w:sz="4" w:space="0"/>
            </w:tcBorders>
            <w:noWrap w:val="0"/>
            <w:vAlign w:val="center"/>
          </w:tcPr>
          <w:p w14:paraId="7659D0FD">
            <w:pPr>
              <w:widowControl/>
              <w:jc w:val="left"/>
              <w:rPr>
                <w:szCs w:val="21"/>
              </w:rPr>
            </w:pPr>
            <w:r>
              <w:rPr>
                <w:rFonts w:hint="eastAsia"/>
                <w:szCs w:val="21"/>
              </w:rPr>
              <w:t>X＜20</w:t>
            </w:r>
          </w:p>
        </w:tc>
      </w:tr>
      <w:tr w14:paraId="08CDC0BC">
        <w:tblPrEx>
          <w:tblCellMar>
            <w:top w:w="0" w:type="dxa"/>
            <w:left w:w="108" w:type="dxa"/>
            <w:bottom w:w="0" w:type="dxa"/>
            <w:right w:w="108" w:type="dxa"/>
          </w:tblCellMar>
        </w:tblPrEx>
        <w:trPr>
          <w:trHeight w:val="220" w:hRule="atLeast"/>
        </w:trPr>
        <w:tc>
          <w:tcPr>
            <w:tcW w:w="1446" w:type="dxa"/>
            <w:vMerge w:val="continue"/>
            <w:tcBorders>
              <w:top w:val="nil"/>
              <w:left w:val="single" w:color="auto" w:sz="4" w:space="0"/>
              <w:bottom w:val="single" w:color="auto" w:sz="4" w:space="0"/>
              <w:right w:val="single" w:color="auto" w:sz="4" w:space="0"/>
            </w:tcBorders>
            <w:noWrap w:val="0"/>
            <w:vAlign w:val="center"/>
          </w:tcPr>
          <w:p w14:paraId="3C1F9F12">
            <w:pPr>
              <w:widowControl/>
              <w:jc w:val="left"/>
              <w:rPr>
                <w:szCs w:val="21"/>
              </w:rPr>
            </w:pPr>
          </w:p>
        </w:tc>
        <w:tc>
          <w:tcPr>
            <w:tcW w:w="1701" w:type="dxa"/>
            <w:tcBorders>
              <w:top w:val="nil"/>
              <w:left w:val="nil"/>
              <w:bottom w:val="single" w:color="auto" w:sz="4" w:space="0"/>
              <w:right w:val="single" w:color="auto" w:sz="4" w:space="0"/>
            </w:tcBorders>
            <w:noWrap w:val="0"/>
            <w:vAlign w:val="center"/>
          </w:tcPr>
          <w:p w14:paraId="5F1BD023">
            <w:pPr>
              <w:widowControl/>
              <w:jc w:val="left"/>
              <w:rPr>
                <w:szCs w:val="21"/>
              </w:rPr>
            </w:pPr>
            <w:r>
              <w:rPr>
                <w:rFonts w:hint="eastAsia"/>
                <w:szCs w:val="21"/>
              </w:rPr>
              <w:t>营业收入（Y）</w:t>
            </w:r>
          </w:p>
        </w:tc>
        <w:tc>
          <w:tcPr>
            <w:tcW w:w="1134" w:type="dxa"/>
            <w:tcBorders>
              <w:top w:val="nil"/>
              <w:left w:val="nil"/>
              <w:bottom w:val="single" w:color="auto" w:sz="4" w:space="0"/>
              <w:right w:val="single" w:color="auto" w:sz="4" w:space="0"/>
            </w:tcBorders>
            <w:noWrap w:val="0"/>
            <w:vAlign w:val="center"/>
          </w:tcPr>
          <w:p w14:paraId="52532010">
            <w:pPr>
              <w:widowControl/>
              <w:jc w:val="left"/>
              <w:rPr>
                <w:szCs w:val="21"/>
              </w:rPr>
            </w:pPr>
            <w:r>
              <w:rPr>
                <w:rFonts w:hint="eastAsia"/>
                <w:szCs w:val="21"/>
              </w:rPr>
              <w:t>万元</w:t>
            </w:r>
          </w:p>
        </w:tc>
        <w:tc>
          <w:tcPr>
            <w:tcW w:w="1846" w:type="dxa"/>
            <w:tcBorders>
              <w:top w:val="nil"/>
              <w:left w:val="nil"/>
              <w:bottom w:val="single" w:color="auto" w:sz="4" w:space="0"/>
              <w:right w:val="single" w:color="auto" w:sz="4" w:space="0"/>
            </w:tcBorders>
            <w:noWrap w:val="0"/>
            <w:vAlign w:val="center"/>
          </w:tcPr>
          <w:p w14:paraId="4CA2977F">
            <w:pPr>
              <w:widowControl/>
              <w:jc w:val="left"/>
              <w:rPr>
                <w:szCs w:val="21"/>
              </w:rPr>
            </w:pPr>
            <w:r>
              <w:rPr>
                <w:rFonts w:hint="eastAsia"/>
                <w:szCs w:val="21"/>
              </w:rPr>
              <w:t>1000≤Y＜30000</w:t>
            </w:r>
          </w:p>
        </w:tc>
        <w:tc>
          <w:tcPr>
            <w:tcW w:w="1570" w:type="dxa"/>
            <w:tcBorders>
              <w:top w:val="nil"/>
              <w:left w:val="nil"/>
              <w:bottom w:val="single" w:color="auto" w:sz="4" w:space="0"/>
              <w:right w:val="single" w:color="auto" w:sz="4" w:space="0"/>
            </w:tcBorders>
            <w:noWrap w:val="0"/>
            <w:vAlign w:val="center"/>
          </w:tcPr>
          <w:p w14:paraId="24C845E3">
            <w:pPr>
              <w:widowControl/>
              <w:jc w:val="left"/>
              <w:rPr>
                <w:szCs w:val="21"/>
              </w:rPr>
            </w:pPr>
            <w:r>
              <w:rPr>
                <w:rFonts w:hint="eastAsia"/>
                <w:szCs w:val="21"/>
              </w:rPr>
              <w:t>100≤Y＜1000</w:t>
            </w:r>
          </w:p>
        </w:tc>
        <w:tc>
          <w:tcPr>
            <w:tcW w:w="1009" w:type="dxa"/>
            <w:tcBorders>
              <w:top w:val="nil"/>
              <w:left w:val="nil"/>
              <w:bottom w:val="single" w:color="auto" w:sz="4" w:space="0"/>
              <w:right w:val="single" w:color="auto" w:sz="4" w:space="0"/>
            </w:tcBorders>
            <w:noWrap w:val="0"/>
            <w:vAlign w:val="center"/>
          </w:tcPr>
          <w:p w14:paraId="0789ED04">
            <w:pPr>
              <w:widowControl/>
              <w:jc w:val="left"/>
              <w:rPr>
                <w:szCs w:val="21"/>
              </w:rPr>
            </w:pPr>
            <w:r>
              <w:rPr>
                <w:rFonts w:hint="eastAsia"/>
                <w:szCs w:val="21"/>
              </w:rPr>
              <w:t>Y＜100</w:t>
            </w:r>
          </w:p>
        </w:tc>
      </w:tr>
      <w:tr w14:paraId="04173518">
        <w:tblPrEx>
          <w:tblCellMar>
            <w:top w:w="0" w:type="dxa"/>
            <w:left w:w="108" w:type="dxa"/>
            <w:bottom w:w="0" w:type="dxa"/>
            <w:right w:w="108" w:type="dxa"/>
          </w:tblCellMar>
        </w:tblPrEx>
        <w:trPr>
          <w:trHeight w:val="220" w:hRule="atLeast"/>
        </w:trPr>
        <w:tc>
          <w:tcPr>
            <w:tcW w:w="1446" w:type="dxa"/>
            <w:vMerge w:val="restart"/>
            <w:tcBorders>
              <w:top w:val="nil"/>
              <w:left w:val="single" w:color="auto" w:sz="4" w:space="0"/>
              <w:bottom w:val="single" w:color="auto" w:sz="4" w:space="0"/>
              <w:right w:val="single" w:color="auto" w:sz="4" w:space="0"/>
            </w:tcBorders>
            <w:noWrap w:val="0"/>
            <w:vAlign w:val="bottom"/>
          </w:tcPr>
          <w:p w14:paraId="76CF7095">
            <w:pPr>
              <w:widowControl/>
              <w:jc w:val="center"/>
              <w:rPr>
                <w:szCs w:val="21"/>
              </w:rPr>
            </w:pPr>
            <w:r>
              <w:rPr>
                <w:rFonts w:hint="eastAsia"/>
                <w:szCs w:val="21"/>
              </w:rPr>
              <w:t>邮政业</w:t>
            </w:r>
          </w:p>
        </w:tc>
        <w:tc>
          <w:tcPr>
            <w:tcW w:w="1701" w:type="dxa"/>
            <w:tcBorders>
              <w:top w:val="nil"/>
              <w:left w:val="nil"/>
              <w:bottom w:val="single" w:color="auto" w:sz="4" w:space="0"/>
              <w:right w:val="single" w:color="auto" w:sz="4" w:space="0"/>
            </w:tcBorders>
            <w:noWrap w:val="0"/>
            <w:vAlign w:val="center"/>
          </w:tcPr>
          <w:p w14:paraId="13CA2B3B">
            <w:pPr>
              <w:widowControl/>
              <w:jc w:val="left"/>
              <w:rPr>
                <w:szCs w:val="21"/>
              </w:rPr>
            </w:pPr>
            <w:r>
              <w:rPr>
                <w:rFonts w:hint="eastAsia"/>
                <w:szCs w:val="21"/>
              </w:rPr>
              <w:t>从业人员（X）</w:t>
            </w:r>
          </w:p>
        </w:tc>
        <w:tc>
          <w:tcPr>
            <w:tcW w:w="1134" w:type="dxa"/>
            <w:tcBorders>
              <w:top w:val="nil"/>
              <w:left w:val="nil"/>
              <w:bottom w:val="single" w:color="auto" w:sz="4" w:space="0"/>
              <w:right w:val="single" w:color="auto" w:sz="4" w:space="0"/>
            </w:tcBorders>
            <w:noWrap w:val="0"/>
            <w:vAlign w:val="center"/>
          </w:tcPr>
          <w:p w14:paraId="1322AE45">
            <w:pPr>
              <w:widowControl/>
              <w:jc w:val="left"/>
              <w:rPr>
                <w:szCs w:val="21"/>
              </w:rPr>
            </w:pPr>
            <w:r>
              <w:rPr>
                <w:rFonts w:hint="eastAsia"/>
                <w:szCs w:val="21"/>
              </w:rPr>
              <w:t>人</w:t>
            </w:r>
          </w:p>
        </w:tc>
        <w:tc>
          <w:tcPr>
            <w:tcW w:w="1846" w:type="dxa"/>
            <w:tcBorders>
              <w:top w:val="nil"/>
              <w:left w:val="nil"/>
              <w:bottom w:val="single" w:color="auto" w:sz="4" w:space="0"/>
              <w:right w:val="single" w:color="auto" w:sz="4" w:space="0"/>
            </w:tcBorders>
            <w:noWrap w:val="0"/>
            <w:vAlign w:val="center"/>
          </w:tcPr>
          <w:p w14:paraId="7DD1A2BD">
            <w:pPr>
              <w:widowControl/>
              <w:jc w:val="left"/>
              <w:rPr>
                <w:szCs w:val="21"/>
              </w:rPr>
            </w:pPr>
            <w:r>
              <w:rPr>
                <w:rFonts w:hint="eastAsia"/>
                <w:szCs w:val="21"/>
              </w:rPr>
              <w:t>300≤X＜1000</w:t>
            </w:r>
          </w:p>
        </w:tc>
        <w:tc>
          <w:tcPr>
            <w:tcW w:w="1570" w:type="dxa"/>
            <w:tcBorders>
              <w:top w:val="nil"/>
              <w:left w:val="nil"/>
              <w:bottom w:val="single" w:color="auto" w:sz="4" w:space="0"/>
              <w:right w:val="single" w:color="auto" w:sz="4" w:space="0"/>
            </w:tcBorders>
            <w:noWrap w:val="0"/>
            <w:vAlign w:val="center"/>
          </w:tcPr>
          <w:p w14:paraId="1DCCF234">
            <w:pPr>
              <w:widowControl/>
              <w:jc w:val="left"/>
              <w:rPr>
                <w:szCs w:val="21"/>
              </w:rPr>
            </w:pPr>
            <w:r>
              <w:rPr>
                <w:rFonts w:hint="eastAsia"/>
                <w:szCs w:val="21"/>
              </w:rPr>
              <w:t>20≤X＜300</w:t>
            </w:r>
          </w:p>
        </w:tc>
        <w:tc>
          <w:tcPr>
            <w:tcW w:w="1009" w:type="dxa"/>
            <w:tcBorders>
              <w:top w:val="nil"/>
              <w:left w:val="nil"/>
              <w:bottom w:val="single" w:color="auto" w:sz="4" w:space="0"/>
              <w:right w:val="single" w:color="auto" w:sz="4" w:space="0"/>
            </w:tcBorders>
            <w:noWrap w:val="0"/>
            <w:vAlign w:val="center"/>
          </w:tcPr>
          <w:p w14:paraId="432F662D">
            <w:pPr>
              <w:widowControl/>
              <w:jc w:val="left"/>
              <w:rPr>
                <w:szCs w:val="21"/>
              </w:rPr>
            </w:pPr>
            <w:r>
              <w:rPr>
                <w:rFonts w:hint="eastAsia"/>
                <w:szCs w:val="21"/>
              </w:rPr>
              <w:t>X＜20</w:t>
            </w:r>
          </w:p>
        </w:tc>
      </w:tr>
      <w:tr w14:paraId="2014C2B6">
        <w:trPr>
          <w:trHeight w:val="220" w:hRule="atLeast"/>
        </w:trPr>
        <w:tc>
          <w:tcPr>
            <w:tcW w:w="1446" w:type="dxa"/>
            <w:vMerge w:val="continue"/>
            <w:tcBorders>
              <w:top w:val="nil"/>
              <w:left w:val="single" w:color="auto" w:sz="4" w:space="0"/>
              <w:bottom w:val="single" w:color="auto" w:sz="4" w:space="0"/>
              <w:right w:val="single" w:color="auto" w:sz="4" w:space="0"/>
            </w:tcBorders>
            <w:noWrap w:val="0"/>
            <w:vAlign w:val="center"/>
          </w:tcPr>
          <w:p w14:paraId="6C6E8282">
            <w:pPr>
              <w:widowControl/>
              <w:jc w:val="left"/>
              <w:rPr>
                <w:szCs w:val="21"/>
              </w:rPr>
            </w:pPr>
          </w:p>
        </w:tc>
        <w:tc>
          <w:tcPr>
            <w:tcW w:w="1701" w:type="dxa"/>
            <w:tcBorders>
              <w:top w:val="nil"/>
              <w:left w:val="nil"/>
              <w:bottom w:val="single" w:color="auto" w:sz="4" w:space="0"/>
              <w:right w:val="single" w:color="auto" w:sz="4" w:space="0"/>
            </w:tcBorders>
            <w:noWrap w:val="0"/>
            <w:vAlign w:val="center"/>
          </w:tcPr>
          <w:p w14:paraId="6BE47553">
            <w:pPr>
              <w:widowControl/>
              <w:jc w:val="left"/>
              <w:rPr>
                <w:szCs w:val="21"/>
              </w:rPr>
            </w:pPr>
            <w:r>
              <w:rPr>
                <w:rFonts w:hint="eastAsia"/>
                <w:szCs w:val="21"/>
              </w:rPr>
              <w:t>营业收入（Y）</w:t>
            </w:r>
          </w:p>
        </w:tc>
        <w:tc>
          <w:tcPr>
            <w:tcW w:w="1134" w:type="dxa"/>
            <w:tcBorders>
              <w:top w:val="nil"/>
              <w:left w:val="nil"/>
              <w:bottom w:val="single" w:color="auto" w:sz="4" w:space="0"/>
              <w:right w:val="single" w:color="auto" w:sz="4" w:space="0"/>
            </w:tcBorders>
            <w:noWrap w:val="0"/>
            <w:vAlign w:val="center"/>
          </w:tcPr>
          <w:p w14:paraId="57080E4D">
            <w:pPr>
              <w:widowControl/>
              <w:jc w:val="left"/>
              <w:rPr>
                <w:szCs w:val="21"/>
              </w:rPr>
            </w:pPr>
            <w:r>
              <w:rPr>
                <w:rFonts w:hint="eastAsia"/>
                <w:szCs w:val="21"/>
              </w:rPr>
              <w:t>万元</w:t>
            </w:r>
          </w:p>
        </w:tc>
        <w:tc>
          <w:tcPr>
            <w:tcW w:w="1846" w:type="dxa"/>
            <w:tcBorders>
              <w:top w:val="nil"/>
              <w:left w:val="nil"/>
              <w:bottom w:val="single" w:color="auto" w:sz="4" w:space="0"/>
              <w:right w:val="single" w:color="auto" w:sz="4" w:space="0"/>
            </w:tcBorders>
            <w:noWrap w:val="0"/>
            <w:vAlign w:val="center"/>
          </w:tcPr>
          <w:p w14:paraId="09D658EA">
            <w:pPr>
              <w:widowControl/>
              <w:jc w:val="left"/>
              <w:rPr>
                <w:szCs w:val="21"/>
              </w:rPr>
            </w:pPr>
            <w:r>
              <w:rPr>
                <w:rFonts w:hint="eastAsia"/>
                <w:szCs w:val="21"/>
              </w:rPr>
              <w:t>2000≤Y＜30000</w:t>
            </w:r>
          </w:p>
        </w:tc>
        <w:tc>
          <w:tcPr>
            <w:tcW w:w="1570" w:type="dxa"/>
            <w:tcBorders>
              <w:top w:val="nil"/>
              <w:left w:val="nil"/>
              <w:bottom w:val="single" w:color="auto" w:sz="4" w:space="0"/>
              <w:right w:val="single" w:color="auto" w:sz="4" w:space="0"/>
            </w:tcBorders>
            <w:noWrap w:val="0"/>
            <w:vAlign w:val="center"/>
          </w:tcPr>
          <w:p w14:paraId="4F9A01C6">
            <w:pPr>
              <w:widowControl/>
              <w:jc w:val="left"/>
              <w:rPr>
                <w:szCs w:val="21"/>
              </w:rPr>
            </w:pPr>
            <w:r>
              <w:rPr>
                <w:rFonts w:hint="eastAsia"/>
                <w:szCs w:val="21"/>
              </w:rPr>
              <w:t>100≤Y＜2000</w:t>
            </w:r>
          </w:p>
        </w:tc>
        <w:tc>
          <w:tcPr>
            <w:tcW w:w="1009" w:type="dxa"/>
            <w:tcBorders>
              <w:top w:val="nil"/>
              <w:left w:val="nil"/>
              <w:bottom w:val="single" w:color="auto" w:sz="4" w:space="0"/>
              <w:right w:val="single" w:color="auto" w:sz="4" w:space="0"/>
            </w:tcBorders>
            <w:noWrap w:val="0"/>
            <w:vAlign w:val="center"/>
          </w:tcPr>
          <w:p w14:paraId="001E827D">
            <w:pPr>
              <w:widowControl/>
              <w:jc w:val="left"/>
              <w:rPr>
                <w:szCs w:val="21"/>
              </w:rPr>
            </w:pPr>
            <w:r>
              <w:rPr>
                <w:rFonts w:hint="eastAsia"/>
                <w:szCs w:val="21"/>
              </w:rPr>
              <w:t>Y＜100</w:t>
            </w:r>
          </w:p>
        </w:tc>
      </w:tr>
      <w:tr w14:paraId="70C5BF2C">
        <w:trPr>
          <w:trHeight w:val="220" w:hRule="atLeast"/>
        </w:trPr>
        <w:tc>
          <w:tcPr>
            <w:tcW w:w="1446" w:type="dxa"/>
            <w:vMerge w:val="restart"/>
            <w:tcBorders>
              <w:top w:val="nil"/>
              <w:left w:val="single" w:color="auto" w:sz="4" w:space="0"/>
              <w:bottom w:val="single" w:color="auto" w:sz="4" w:space="0"/>
              <w:right w:val="single" w:color="auto" w:sz="4" w:space="0"/>
            </w:tcBorders>
            <w:noWrap w:val="0"/>
            <w:vAlign w:val="bottom"/>
          </w:tcPr>
          <w:p w14:paraId="3B007CCB">
            <w:pPr>
              <w:widowControl/>
              <w:jc w:val="center"/>
              <w:rPr>
                <w:szCs w:val="21"/>
              </w:rPr>
            </w:pPr>
            <w:r>
              <w:rPr>
                <w:rFonts w:hint="eastAsia"/>
                <w:szCs w:val="21"/>
              </w:rPr>
              <w:t>住宿业</w:t>
            </w:r>
          </w:p>
        </w:tc>
        <w:tc>
          <w:tcPr>
            <w:tcW w:w="1701" w:type="dxa"/>
            <w:tcBorders>
              <w:top w:val="nil"/>
              <w:left w:val="nil"/>
              <w:bottom w:val="single" w:color="auto" w:sz="4" w:space="0"/>
              <w:right w:val="single" w:color="auto" w:sz="4" w:space="0"/>
            </w:tcBorders>
            <w:noWrap w:val="0"/>
            <w:vAlign w:val="center"/>
          </w:tcPr>
          <w:p w14:paraId="089C16BB">
            <w:pPr>
              <w:widowControl/>
              <w:jc w:val="left"/>
              <w:rPr>
                <w:szCs w:val="21"/>
              </w:rPr>
            </w:pPr>
            <w:r>
              <w:rPr>
                <w:rFonts w:hint="eastAsia"/>
                <w:szCs w:val="21"/>
              </w:rPr>
              <w:t>从业人员（X）</w:t>
            </w:r>
          </w:p>
        </w:tc>
        <w:tc>
          <w:tcPr>
            <w:tcW w:w="1134" w:type="dxa"/>
            <w:tcBorders>
              <w:top w:val="nil"/>
              <w:left w:val="nil"/>
              <w:bottom w:val="single" w:color="auto" w:sz="4" w:space="0"/>
              <w:right w:val="single" w:color="auto" w:sz="4" w:space="0"/>
            </w:tcBorders>
            <w:noWrap w:val="0"/>
            <w:vAlign w:val="center"/>
          </w:tcPr>
          <w:p w14:paraId="26596247">
            <w:pPr>
              <w:widowControl/>
              <w:jc w:val="left"/>
              <w:rPr>
                <w:szCs w:val="21"/>
              </w:rPr>
            </w:pPr>
            <w:r>
              <w:rPr>
                <w:rFonts w:hint="eastAsia"/>
                <w:szCs w:val="21"/>
              </w:rPr>
              <w:t>人</w:t>
            </w:r>
          </w:p>
        </w:tc>
        <w:tc>
          <w:tcPr>
            <w:tcW w:w="1846" w:type="dxa"/>
            <w:tcBorders>
              <w:top w:val="nil"/>
              <w:left w:val="nil"/>
              <w:bottom w:val="single" w:color="auto" w:sz="4" w:space="0"/>
              <w:right w:val="single" w:color="auto" w:sz="4" w:space="0"/>
            </w:tcBorders>
            <w:noWrap w:val="0"/>
            <w:vAlign w:val="center"/>
          </w:tcPr>
          <w:p w14:paraId="009E5851">
            <w:pPr>
              <w:widowControl/>
              <w:jc w:val="left"/>
              <w:rPr>
                <w:szCs w:val="21"/>
              </w:rPr>
            </w:pPr>
            <w:r>
              <w:rPr>
                <w:rFonts w:hint="eastAsia"/>
                <w:szCs w:val="21"/>
              </w:rPr>
              <w:t>100≤X＜300</w:t>
            </w:r>
          </w:p>
        </w:tc>
        <w:tc>
          <w:tcPr>
            <w:tcW w:w="1570" w:type="dxa"/>
            <w:tcBorders>
              <w:top w:val="nil"/>
              <w:left w:val="nil"/>
              <w:bottom w:val="single" w:color="auto" w:sz="4" w:space="0"/>
              <w:right w:val="single" w:color="auto" w:sz="4" w:space="0"/>
            </w:tcBorders>
            <w:noWrap w:val="0"/>
            <w:vAlign w:val="center"/>
          </w:tcPr>
          <w:p w14:paraId="14AD76D5">
            <w:pPr>
              <w:widowControl/>
              <w:jc w:val="left"/>
              <w:rPr>
                <w:szCs w:val="21"/>
              </w:rPr>
            </w:pPr>
            <w:r>
              <w:rPr>
                <w:rFonts w:hint="eastAsia"/>
                <w:szCs w:val="21"/>
              </w:rPr>
              <w:t>10≤X＜100</w:t>
            </w:r>
          </w:p>
        </w:tc>
        <w:tc>
          <w:tcPr>
            <w:tcW w:w="1009" w:type="dxa"/>
            <w:tcBorders>
              <w:top w:val="nil"/>
              <w:left w:val="nil"/>
              <w:bottom w:val="single" w:color="auto" w:sz="4" w:space="0"/>
              <w:right w:val="single" w:color="auto" w:sz="4" w:space="0"/>
            </w:tcBorders>
            <w:noWrap w:val="0"/>
            <w:vAlign w:val="center"/>
          </w:tcPr>
          <w:p w14:paraId="5D83E78C">
            <w:pPr>
              <w:widowControl/>
              <w:jc w:val="left"/>
              <w:rPr>
                <w:szCs w:val="21"/>
              </w:rPr>
            </w:pPr>
            <w:r>
              <w:rPr>
                <w:rFonts w:hint="eastAsia"/>
                <w:szCs w:val="21"/>
              </w:rPr>
              <w:t>X＜10</w:t>
            </w:r>
          </w:p>
        </w:tc>
      </w:tr>
      <w:tr w14:paraId="619E7D28">
        <w:tblPrEx>
          <w:tblCellMar>
            <w:top w:w="0" w:type="dxa"/>
            <w:left w:w="108" w:type="dxa"/>
            <w:bottom w:w="0" w:type="dxa"/>
            <w:right w:w="108" w:type="dxa"/>
          </w:tblCellMar>
        </w:tblPrEx>
        <w:trPr>
          <w:trHeight w:val="220" w:hRule="atLeast"/>
        </w:trPr>
        <w:tc>
          <w:tcPr>
            <w:tcW w:w="1446" w:type="dxa"/>
            <w:vMerge w:val="continue"/>
            <w:tcBorders>
              <w:top w:val="nil"/>
              <w:left w:val="single" w:color="auto" w:sz="4" w:space="0"/>
              <w:bottom w:val="single" w:color="auto" w:sz="4" w:space="0"/>
              <w:right w:val="single" w:color="auto" w:sz="4" w:space="0"/>
            </w:tcBorders>
            <w:noWrap w:val="0"/>
            <w:vAlign w:val="center"/>
          </w:tcPr>
          <w:p w14:paraId="67E95DB9">
            <w:pPr>
              <w:widowControl/>
              <w:jc w:val="left"/>
              <w:rPr>
                <w:szCs w:val="21"/>
              </w:rPr>
            </w:pPr>
          </w:p>
        </w:tc>
        <w:tc>
          <w:tcPr>
            <w:tcW w:w="1701" w:type="dxa"/>
            <w:tcBorders>
              <w:top w:val="nil"/>
              <w:left w:val="nil"/>
              <w:bottom w:val="single" w:color="auto" w:sz="4" w:space="0"/>
              <w:right w:val="single" w:color="auto" w:sz="4" w:space="0"/>
            </w:tcBorders>
            <w:noWrap w:val="0"/>
            <w:vAlign w:val="center"/>
          </w:tcPr>
          <w:p w14:paraId="459B685A">
            <w:pPr>
              <w:widowControl/>
              <w:jc w:val="left"/>
              <w:rPr>
                <w:szCs w:val="21"/>
              </w:rPr>
            </w:pPr>
            <w:r>
              <w:rPr>
                <w:rFonts w:hint="eastAsia"/>
                <w:szCs w:val="21"/>
              </w:rPr>
              <w:t>营业收入（Y）</w:t>
            </w:r>
          </w:p>
        </w:tc>
        <w:tc>
          <w:tcPr>
            <w:tcW w:w="1134" w:type="dxa"/>
            <w:tcBorders>
              <w:top w:val="nil"/>
              <w:left w:val="nil"/>
              <w:bottom w:val="single" w:color="auto" w:sz="4" w:space="0"/>
              <w:right w:val="single" w:color="auto" w:sz="4" w:space="0"/>
            </w:tcBorders>
            <w:noWrap w:val="0"/>
            <w:vAlign w:val="center"/>
          </w:tcPr>
          <w:p w14:paraId="6B2FA059">
            <w:pPr>
              <w:widowControl/>
              <w:jc w:val="left"/>
              <w:rPr>
                <w:szCs w:val="21"/>
              </w:rPr>
            </w:pPr>
            <w:r>
              <w:rPr>
                <w:rFonts w:hint="eastAsia"/>
                <w:szCs w:val="21"/>
              </w:rPr>
              <w:t>万元</w:t>
            </w:r>
          </w:p>
        </w:tc>
        <w:tc>
          <w:tcPr>
            <w:tcW w:w="1846" w:type="dxa"/>
            <w:tcBorders>
              <w:top w:val="nil"/>
              <w:left w:val="nil"/>
              <w:bottom w:val="single" w:color="auto" w:sz="4" w:space="0"/>
              <w:right w:val="single" w:color="auto" w:sz="4" w:space="0"/>
            </w:tcBorders>
            <w:noWrap w:val="0"/>
            <w:vAlign w:val="center"/>
          </w:tcPr>
          <w:p w14:paraId="0FFE67AE">
            <w:pPr>
              <w:widowControl/>
              <w:jc w:val="left"/>
              <w:rPr>
                <w:szCs w:val="21"/>
              </w:rPr>
            </w:pPr>
            <w:r>
              <w:rPr>
                <w:rFonts w:hint="eastAsia"/>
                <w:szCs w:val="21"/>
              </w:rPr>
              <w:t>2000≤Y＜10000</w:t>
            </w:r>
          </w:p>
        </w:tc>
        <w:tc>
          <w:tcPr>
            <w:tcW w:w="1570" w:type="dxa"/>
            <w:tcBorders>
              <w:top w:val="nil"/>
              <w:left w:val="nil"/>
              <w:bottom w:val="single" w:color="auto" w:sz="4" w:space="0"/>
              <w:right w:val="single" w:color="auto" w:sz="4" w:space="0"/>
            </w:tcBorders>
            <w:noWrap w:val="0"/>
            <w:vAlign w:val="center"/>
          </w:tcPr>
          <w:p w14:paraId="58835D40">
            <w:pPr>
              <w:widowControl/>
              <w:jc w:val="left"/>
              <w:rPr>
                <w:szCs w:val="21"/>
              </w:rPr>
            </w:pPr>
            <w:r>
              <w:rPr>
                <w:rFonts w:hint="eastAsia"/>
                <w:szCs w:val="21"/>
              </w:rPr>
              <w:t>100≤Y＜2000</w:t>
            </w:r>
          </w:p>
        </w:tc>
        <w:tc>
          <w:tcPr>
            <w:tcW w:w="1009" w:type="dxa"/>
            <w:tcBorders>
              <w:top w:val="nil"/>
              <w:left w:val="nil"/>
              <w:bottom w:val="single" w:color="auto" w:sz="4" w:space="0"/>
              <w:right w:val="single" w:color="auto" w:sz="4" w:space="0"/>
            </w:tcBorders>
            <w:noWrap w:val="0"/>
            <w:vAlign w:val="center"/>
          </w:tcPr>
          <w:p w14:paraId="5C15169C">
            <w:pPr>
              <w:widowControl/>
              <w:jc w:val="left"/>
              <w:rPr>
                <w:szCs w:val="21"/>
              </w:rPr>
            </w:pPr>
            <w:r>
              <w:rPr>
                <w:rFonts w:hint="eastAsia"/>
                <w:szCs w:val="21"/>
              </w:rPr>
              <w:t>Y＜100</w:t>
            </w:r>
          </w:p>
        </w:tc>
      </w:tr>
      <w:tr w14:paraId="3B6ED6B4">
        <w:tblPrEx>
          <w:tblCellMar>
            <w:top w:w="0" w:type="dxa"/>
            <w:left w:w="108" w:type="dxa"/>
            <w:bottom w:w="0" w:type="dxa"/>
            <w:right w:w="108" w:type="dxa"/>
          </w:tblCellMar>
        </w:tblPrEx>
        <w:trPr>
          <w:trHeight w:val="220" w:hRule="atLeast"/>
        </w:trPr>
        <w:tc>
          <w:tcPr>
            <w:tcW w:w="1446" w:type="dxa"/>
            <w:vMerge w:val="restart"/>
            <w:tcBorders>
              <w:top w:val="nil"/>
              <w:left w:val="single" w:color="auto" w:sz="4" w:space="0"/>
              <w:bottom w:val="single" w:color="auto" w:sz="4" w:space="0"/>
              <w:right w:val="single" w:color="auto" w:sz="4" w:space="0"/>
            </w:tcBorders>
            <w:noWrap w:val="0"/>
            <w:vAlign w:val="bottom"/>
          </w:tcPr>
          <w:p w14:paraId="40DF4CEA">
            <w:pPr>
              <w:widowControl/>
              <w:jc w:val="center"/>
              <w:rPr>
                <w:szCs w:val="21"/>
              </w:rPr>
            </w:pPr>
            <w:r>
              <w:rPr>
                <w:rFonts w:hint="eastAsia"/>
                <w:szCs w:val="21"/>
              </w:rPr>
              <w:t>餐饮业</w:t>
            </w:r>
          </w:p>
        </w:tc>
        <w:tc>
          <w:tcPr>
            <w:tcW w:w="1701" w:type="dxa"/>
            <w:tcBorders>
              <w:top w:val="nil"/>
              <w:left w:val="nil"/>
              <w:bottom w:val="single" w:color="auto" w:sz="4" w:space="0"/>
              <w:right w:val="single" w:color="auto" w:sz="4" w:space="0"/>
            </w:tcBorders>
            <w:noWrap w:val="0"/>
            <w:vAlign w:val="center"/>
          </w:tcPr>
          <w:p w14:paraId="7F2397D8">
            <w:pPr>
              <w:widowControl/>
              <w:jc w:val="left"/>
              <w:rPr>
                <w:szCs w:val="21"/>
              </w:rPr>
            </w:pPr>
            <w:r>
              <w:rPr>
                <w:rFonts w:hint="eastAsia"/>
                <w:szCs w:val="21"/>
              </w:rPr>
              <w:t>从业人员（X）</w:t>
            </w:r>
          </w:p>
        </w:tc>
        <w:tc>
          <w:tcPr>
            <w:tcW w:w="1134" w:type="dxa"/>
            <w:tcBorders>
              <w:top w:val="nil"/>
              <w:left w:val="nil"/>
              <w:bottom w:val="single" w:color="auto" w:sz="4" w:space="0"/>
              <w:right w:val="single" w:color="auto" w:sz="4" w:space="0"/>
            </w:tcBorders>
            <w:noWrap w:val="0"/>
            <w:vAlign w:val="center"/>
          </w:tcPr>
          <w:p w14:paraId="3861EBA8">
            <w:pPr>
              <w:widowControl/>
              <w:jc w:val="left"/>
              <w:rPr>
                <w:szCs w:val="21"/>
              </w:rPr>
            </w:pPr>
            <w:r>
              <w:rPr>
                <w:rFonts w:hint="eastAsia"/>
                <w:szCs w:val="21"/>
              </w:rPr>
              <w:t>人</w:t>
            </w:r>
          </w:p>
        </w:tc>
        <w:tc>
          <w:tcPr>
            <w:tcW w:w="1846" w:type="dxa"/>
            <w:tcBorders>
              <w:top w:val="nil"/>
              <w:left w:val="nil"/>
              <w:bottom w:val="single" w:color="auto" w:sz="4" w:space="0"/>
              <w:right w:val="single" w:color="auto" w:sz="4" w:space="0"/>
            </w:tcBorders>
            <w:noWrap w:val="0"/>
            <w:vAlign w:val="center"/>
          </w:tcPr>
          <w:p w14:paraId="706F0582">
            <w:pPr>
              <w:widowControl/>
              <w:jc w:val="left"/>
              <w:rPr>
                <w:szCs w:val="21"/>
              </w:rPr>
            </w:pPr>
            <w:r>
              <w:rPr>
                <w:rFonts w:hint="eastAsia"/>
                <w:szCs w:val="21"/>
              </w:rPr>
              <w:t>100≤X＜300</w:t>
            </w:r>
          </w:p>
        </w:tc>
        <w:tc>
          <w:tcPr>
            <w:tcW w:w="1570" w:type="dxa"/>
            <w:tcBorders>
              <w:top w:val="nil"/>
              <w:left w:val="nil"/>
              <w:bottom w:val="single" w:color="auto" w:sz="4" w:space="0"/>
              <w:right w:val="single" w:color="auto" w:sz="4" w:space="0"/>
            </w:tcBorders>
            <w:noWrap w:val="0"/>
            <w:vAlign w:val="center"/>
          </w:tcPr>
          <w:p w14:paraId="1CA1DBA5">
            <w:pPr>
              <w:widowControl/>
              <w:jc w:val="left"/>
              <w:rPr>
                <w:szCs w:val="21"/>
              </w:rPr>
            </w:pPr>
            <w:r>
              <w:rPr>
                <w:rFonts w:hint="eastAsia"/>
                <w:szCs w:val="21"/>
              </w:rPr>
              <w:t>10≤X＜100</w:t>
            </w:r>
          </w:p>
        </w:tc>
        <w:tc>
          <w:tcPr>
            <w:tcW w:w="1009" w:type="dxa"/>
            <w:tcBorders>
              <w:top w:val="nil"/>
              <w:left w:val="nil"/>
              <w:bottom w:val="single" w:color="auto" w:sz="4" w:space="0"/>
              <w:right w:val="single" w:color="auto" w:sz="4" w:space="0"/>
            </w:tcBorders>
            <w:noWrap w:val="0"/>
            <w:vAlign w:val="center"/>
          </w:tcPr>
          <w:p w14:paraId="1E7798A8">
            <w:pPr>
              <w:widowControl/>
              <w:jc w:val="left"/>
              <w:rPr>
                <w:szCs w:val="21"/>
              </w:rPr>
            </w:pPr>
            <w:r>
              <w:rPr>
                <w:rFonts w:hint="eastAsia"/>
                <w:szCs w:val="21"/>
              </w:rPr>
              <w:t>X＜10</w:t>
            </w:r>
          </w:p>
        </w:tc>
      </w:tr>
      <w:tr w14:paraId="1E3061CB">
        <w:trPr>
          <w:trHeight w:val="220" w:hRule="atLeast"/>
        </w:trPr>
        <w:tc>
          <w:tcPr>
            <w:tcW w:w="1446" w:type="dxa"/>
            <w:vMerge w:val="continue"/>
            <w:tcBorders>
              <w:top w:val="nil"/>
              <w:left w:val="single" w:color="auto" w:sz="4" w:space="0"/>
              <w:bottom w:val="single" w:color="auto" w:sz="4" w:space="0"/>
              <w:right w:val="single" w:color="auto" w:sz="4" w:space="0"/>
            </w:tcBorders>
            <w:noWrap w:val="0"/>
            <w:vAlign w:val="center"/>
          </w:tcPr>
          <w:p w14:paraId="4EEF66E3">
            <w:pPr>
              <w:widowControl/>
              <w:jc w:val="left"/>
              <w:rPr>
                <w:szCs w:val="21"/>
              </w:rPr>
            </w:pPr>
          </w:p>
        </w:tc>
        <w:tc>
          <w:tcPr>
            <w:tcW w:w="1701" w:type="dxa"/>
            <w:tcBorders>
              <w:top w:val="nil"/>
              <w:left w:val="nil"/>
              <w:bottom w:val="single" w:color="auto" w:sz="4" w:space="0"/>
              <w:right w:val="single" w:color="auto" w:sz="4" w:space="0"/>
            </w:tcBorders>
            <w:noWrap w:val="0"/>
            <w:vAlign w:val="center"/>
          </w:tcPr>
          <w:p w14:paraId="0A240CD5">
            <w:pPr>
              <w:widowControl/>
              <w:jc w:val="left"/>
              <w:rPr>
                <w:szCs w:val="21"/>
              </w:rPr>
            </w:pPr>
            <w:r>
              <w:rPr>
                <w:rFonts w:hint="eastAsia"/>
                <w:szCs w:val="21"/>
              </w:rPr>
              <w:t>营业收入（Y）</w:t>
            </w:r>
          </w:p>
        </w:tc>
        <w:tc>
          <w:tcPr>
            <w:tcW w:w="1134" w:type="dxa"/>
            <w:tcBorders>
              <w:top w:val="nil"/>
              <w:left w:val="nil"/>
              <w:bottom w:val="single" w:color="auto" w:sz="4" w:space="0"/>
              <w:right w:val="single" w:color="auto" w:sz="4" w:space="0"/>
            </w:tcBorders>
            <w:noWrap w:val="0"/>
            <w:vAlign w:val="center"/>
          </w:tcPr>
          <w:p w14:paraId="051E65FC">
            <w:pPr>
              <w:widowControl/>
              <w:jc w:val="left"/>
              <w:rPr>
                <w:szCs w:val="21"/>
              </w:rPr>
            </w:pPr>
            <w:r>
              <w:rPr>
                <w:rFonts w:hint="eastAsia"/>
                <w:szCs w:val="21"/>
              </w:rPr>
              <w:t>万元</w:t>
            </w:r>
          </w:p>
        </w:tc>
        <w:tc>
          <w:tcPr>
            <w:tcW w:w="1846" w:type="dxa"/>
            <w:tcBorders>
              <w:top w:val="nil"/>
              <w:left w:val="nil"/>
              <w:bottom w:val="single" w:color="auto" w:sz="4" w:space="0"/>
              <w:right w:val="single" w:color="auto" w:sz="4" w:space="0"/>
            </w:tcBorders>
            <w:noWrap w:val="0"/>
            <w:vAlign w:val="center"/>
          </w:tcPr>
          <w:p w14:paraId="5BE491A1">
            <w:pPr>
              <w:widowControl/>
              <w:jc w:val="left"/>
              <w:rPr>
                <w:szCs w:val="21"/>
              </w:rPr>
            </w:pPr>
            <w:r>
              <w:rPr>
                <w:rFonts w:hint="eastAsia"/>
                <w:szCs w:val="21"/>
              </w:rPr>
              <w:t>2000≤Y＜10000</w:t>
            </w:r>
          </w:p>
        </w:tc>
        <w:tc>
          <w:tcPr>
            <w:tcW w:w="1570" w:type="dxa"/>
            <w:tcBorders>
              <w:top w:val="nil"/>
              <w:left w:val="nil"/>
              <w:bottom w:val="single" w:color="auto" w:sz="4" w:space="0"/>
              <w:right w:val="single" w:color="auto" w:sz="4" w:space="0"/>
            </w:tcBorders>
            <w:noWrap w:val="0"/>
            <w:vAlign w:val="center"/>
          </w:tcPr>
          <w:p w14:paraId="59D02254">
            <w:pPr>
              <w:widowControl/>
              <w:jc w:val="left"/>
              <w:rPr>
                <w:szCs w:val="21"/>
              </w:rPr>
            </w:pPr>
            <w:r>
              <w:rPr>
                <w:rFonts w:hint="eastAsia"/>
                <w:szCs w:val="21"/>
              </w:rPr>
              <w:t>100≤Y＜2000</w:t>
            </w:r>
          </w:p>
        </w:tc>
        <w:tc>
          <w:tcPr>
            <w:tcW w:w="1009" w:type="dxa"/>
            <w:tcBorders>
              <w:top w:val="nil"/>
              <w:left w:val="nil"/>
              <w:bottom w:val="single" w:color="auto" w:sz="4" w:space="0"/>
              <w:right w:val="single" w:color="auto" w:sz="4" w:space="0"/>
            </w:tcBorders>
            <w:noWrap w:val="0"/>
            <w:vAlign w:val="center"/>
          </w:tcPr>
          <w:p w14:paraId="585212A2">
            <w:pPr>
              <w:widowControl/>
              <w:jc w:val="left"/>
              <w:rPr>
                <w:szCs w:val="21"/>
              </w:rPr>
            </w:pPr>
            <w:r>
              <w:rPr>
                <w:rFonts w:hint="eastAsia"/>
                <w:szCs w:val="21"/>
              </w:rPr>
              <w:t>Y＜100</w:t>
            </w:r>
          </w:p>
        </w:tc>
      </w:tr>
      <w:tr w14:paraId="51ADDF71">
        <w:tblPrEx>
          <w:tblCellMar>
            <w:top w:w="0" w:type="dxa"/>
            <w:left w:w="108" w:type="dxa"/>
            <w:bottom w:w="0" w:type="dxa"/>
            <w:right w:w="108" w:type="dxa"/>
          </w:tblCellMar>
        </w:tblPrEx>
        <w:trPr>
          <w:trHeight w:val="220" w:hRule="atLeast"/>
        </w:trPr>
        <w:tc>
          <w:tcPr>
            <w:tcW w:w="1446" w:type="dxa"/>
            <w:vMerge w:val="restart"/>
            <w:tcBorders>
              <w:top w:val="nil"/>
              <w:left w:val="single" w:color="auto" w:sz="4" w:space="0"/>
              <w:bottom w:val="single" w:color="auto" w:sz="4" w:space="0"/>
              <w:right w:val="single" w:color="auto" w:sz="4" w:space="0"/>
            </w:tcBorders>
            <w:noWrap w:val="0"/>
            <w:vAlign w:val="bottom"/>
          </w:tcPr>
          <w:p w14:paraId="5D0678FD">
            <w:pPr>
              <w:widowControl/>
              <w:jc w:val="center"/>
              <w:rPr>
                <w:szCs w:val="21"/>
              </w:rPr>
            </w:pPr>
            <w:r>
              <w:rPr>
                <w:rFonts w:hint="eastAsia"/>
                <w:szCs w:val="21"/>
              </w:rPr>
              <w:t>信息传输业</w:t>
            </w:r>
          </w:p>
        </w:tc>
        <w:tc>
          <w:tcPr>
            <w:tcW w:w="1701" w:type="dxa"/>
            <w:tcBorders>
              <w:top w:val="nil"/>
              <w:left w:val="nil"/>
              <w:bottom w:val="single" w:color="auto" w:sz="4" w:space="0"/>
              <w:right w:val="single" w:color="auto" w:sz="4" w:space="0"/>
            </w:tcBorders>
            <w:noWrap w:val="0"/>
            <w:vAlign w:val="center"/>
          </w:tcPr>
          <w:p w14:paraId="24C5C3AA">
            <w:pPr>
              <w:widowControl/>
              <w:jc w:val="left"/>
              <w:rPr>
                <w:szCs w:val="21"/>
              </w:rPr>
            </w:pPr>
            <w:r>
              <w:rPr>
                <w:rFonts w:hint="eastAsia"/>
                <w:szCs w:val="21"/>
              </w:rPr>
              <w:t>从业人员（X）</w:t>
            </w:r>
          </w:p>
        </w:tc>
        <w:tc>
          <w:tcPr>
            <w:tcW w:w="1134" w:type="dxa"/>
            <w:tcBorders>
              <w:top w:val="nil"/>
              <w:left w:val="nil"/>
              <w:bottom w:val="single" w:color="auto" w:sz="4" w:space="0"/>
              <w:right w:val="single" w:color="auto" w:sz="4" w:space="0"/>
            </w:tcBorders>
            <w:noWrap w:val="0"/>
            <w:vAlign w:val="center"/>
          </w:tcPr>
          <w:p w14:paraId="67258EE5">
            <w:pPr>
              <w:widowControl/>
              <w:jc w:val="left"/>
              <w:rPr>
                <w:szCs w:val="21"/>
              </w:rPr>
            </w:pPr>
            <w:r>
              <w:rPr>
                <w:rFonts w:hint="eastAsia"/>
                <w:szCs w:val="21"/>
              </w:rPr>
              <w:t>人</w:t>
            </w:r>
          </w:p>
        </w:tc>
        <w:tc>
          <w:tcPr>
            <w:tcW w:w="1846" w:type="dxa"/>
            <w:tcBorders>
              <w:top w:val="nil"/>
              <w:left w:val="nil"/>
              <w:bottom w:val="single" w:color="auto" w:sz="4" w:space="0"/>
              <w:right w:val="single" w:color="auto" w:sz="4" w:space="0"/>
            </w:tcBorders>
            <w:noWrap w:val="0"/>
            <w:vAlign w:val="center"/>
          </w:tcPr>
          <w:p w14:paraId="12E41B2C">
            <w:pPr>
              <w:widowControl/>
              <w:jc w:val="left"/>
              <w:rPr>
                <w:szCs w:val="21"/>
              </w:rPr>
            </w:pPr>
            <w:r>
              <w:rPr>
                <w:rFonts w:hint="eastAsia"/>
                <w:szCs w:val="21"/>
              </w:rPr>
              <w:t>100≤X＜2000</w:t>
            </w:r>
          </w:p>
        </w:tc>
        <w:tc>
          <w:tcPr>
            <w:tcW w:w="1570" w:type="dxa"/>
            <w:tcBorders>
              <w:top w:val="nil"/>
              <w:left w:val="nil"/>
              <w:bottom w:val="single" w:color="auto" w:sz="4" w:space="0"/>
              <w:right w:val="single" w:color="auto" w:sz="4" w:space="0"/>
            </w:tcBorders>
            <w:noWrap w:val="0"/>
            <w:vAlign w:val="center"/>
          </w:tcPr>
          <w:p w14:paraId="222D7E02">
            <w:pPr>
              <w:widowControl/>
              <w:jc w:val="left"/>
              <w:rPr>
                <w:szCs w:val="21"/>
              </w:rPr>
            </w:pPr>
            <w:r>
              <w:rPr>
                <w:rFonts w:hint="eastAsia"/>
                <w:szCs w:val="21"/>
              </w:rPr>
              <w:t>10≤X＜100</w:t>
            </w:r>
          </w:p>
        </w:tc>
        <w:tc>
          <w:tcPr>
            <w:tcW w:w="1009" w:type="dxa"/>
            <w:tcBorders>
              <w:top w:val="nil"/>
              <w:left w:val="nil"/>
              <w:bottom w:val="single" w:color="auto" w:sz="4" w:space="0"/>
              <w:right w:val="single" w:color="auto" w:sz="4" w:space="0"/>
            </w:tcBorders>
            <w:noWrap w:val="0"/>
            <w:vAlign w:val="center"/>
          </w:tcPr>
          <w:p w14:paraId="23659E06">
            <w:pPr>
              <w:widowControl/>
              <w:jc w:val="left"/>
              <w:rPr>
                <w:szCs w:val="21"/>
              </w:rPr>
            </w:pPr>
            <w:r>
              <w:rPr>
                <w:rFonts w:hint="eastAsia"/>
                <w:szCs w:val="21"/>
              </w:rPr>
              <w:t>X＜10</w:t>
            </w:r>
          </w:p>
        </w:tc>
      </w:tr>
      <w:tr w14:paraId="54AA4D3A">
        <w:tblPrEx>
          <w:tblCellMar>
            <w:top w:w="0" w:type="dxa"/>
            <w:left w:w="108" w:type="dxa"/>
            <w:bottom w:w="0" w:type="dxa"/>
            <w:right w:w="108" w:type="dxa"/>
          </w:tblCellMar>
        </w:tblPrEx>
        <w:trPr>
          <w:trHeight w:val="220" w:hRule="atLeast"/>
        </w:trPr>
        <w:tc>
          <w:tcPr>
            <w:tcW w:w="1446" w:type="dxa"/>
            <w:vMerge w:val="continue"/>
            <w:tcBorders>
              <w:top w:val="nil"/>
              <w:left w:val="single" w:color="auto" w:sz="4" w:space="0"/>
              <w:bottom w:val="single" w:color="auto" w:sz="4" w:space="0"/>
              <w:right w:val="single" w:color="auto" w:sz="4" w:space="0"/>
            </w:tcBorders>
            <w:noWrap w:val="0"/>
            <w:vAlign w:val="center"/>
          </w:tcPr>
          <w:p w14:paraId="21D5C97F">
            <w:pPr>
              <w:widowControl/>
              <w:jc w:val="left"/>
              <w:rPr>
                <w:szCs w:val="21"/>
              </w:rPr>
            </w:pPr>
          </w:p>
        </w:tc>
        <w:tc>
          <w:tcPr>
            <w:tcW w:w="1701" w:type="dxa"/>
            <w:tcBorders>
              <w:top w:val="nil"/>
              <w:left w:val="nil"/>
              <w:bottom w:val="single" w:color="auto" w:sz="4" w:space="0"/>
              <w:right w:val="single" w:color="auto" w:sz="4" w:space="0"/>
            </w:tcBorders>
            <w:noWrap w:val="0"/>
            <w:vAlign w:val="center"/>
          </w:tcPr>
          <w:p w14:paraId="7C4093EA">
            <w:pPr>
              <w:widowControl/>
              <w:jc w:val="left"/>
              <w:rPr>
                <w:szCs w:val="21"/>
              </w:rPr>
            </w:pPr>
            <w:r>
              <w:rPr>
                <w:rFonts w:hint="eastAsia"/>
                <w:szCs w:val="21"/>
              </w:rPr>
              <w:t>营业收入（Y）</w:t>
            </w:r>
          </w:p>
        </w:tc>
        <w:tc>
          <w:tcPr>
            <w:tcW w:w="1134" w:type="dxa"/>
            <w:tcBorders>
              <w:top w:val="nil"/>
              <w:left w:val="nil"/>
              <w:bottom w:val="single" w:color="auto" w:sz="4" w:space="0"/>
              <w:right w:val="single" w:color="auto" w:sz="4" w:space="0"/>
            </w:tcBorders>
            <w:noWrap w:val="0"/>
            <w:vAlign w:val="center"/>
          </w:tcPr>
          <w:p w14:paraId="0ECFF2B2">
            <w:pPr>
              <w:widowControl/>
              <w:jc w:val="left"/>
              <w:rPr>
                <w:szCs w:val="21"/>
              </w:rPr>
            </w:pPr>
            <w:r>
              <w:rPr>
                <w:rFonts w:hint="eastAsia"/>
                <w:szCs w:val="21"/>
              </w:rPr>
              <w:t>万元</w:t>
            </w:r>
          </w:p>
        </w:tc>
        <w:tc>
          <w:tcPr>
            <w:tcW w:w="1846" w:type="dxa"/>
            <w:tcBorders>
              <w:top w:val="nil"/>
              <w:left w:val="nil"/>
              <w:bottom w:val="single" w:color="auto" w:sz="4" w:space="0"/>
              <w:right w:val="single" w:color="auto" w:sz="4" w:space="0"/>
            </w:tcBorders>
            <w:noWrap w:val="0"/>
            <w:vAlign w:val="center"/>
          </w:tcPr>
          <w:p w14:paraId="548B26F6">
            <w:pPr>
              <w:widowControl/>
              <w:jc w:val="left"/>
              <w:rPr>
                <w:szCs w:val="21"/>
              </w:rPr>
            </w:pPr>
            <w:r>
              <w:rPr>
                <w:rFonts w:hint="eastAsia"/>
                <w:szCs w:val="21"/>
              </w:rPr>
              <w:t>1000≤Y＜100000</w:t>
            </w:r>
          </w:p>
        </w:tc>
        <w:tc>
          <w:tcPr>
            <w:tcW w:w="1570" w:type="dxa"/>
            <w:tcBorders>
              <w:top w:val="nil"/>
              <w:left w:val="nil"/>
              <w:bottom w:val="single" w:color="auto" w:sz="4" w:space="0"/>
              <w:right w:val="single" w:color="auto" w:sz="4" w:space="0"/>
            </w:tcBorders>
            <w:noWrap w:val="0"/>
            <w:vAlign w:val="center"/>
          </w:tcPr>
          <w:p w14:paraId="37C665EA">
            <w:pPr>
              <w:widowControl/>
              <w:jc w:val="left"/>
              <w:rPr>
                <w:szCs w:val="21"/>
              </w:rPr>
            </w:pPr>
            <w:r>
              <w:rPr>
                <w:rFonts w:hint="eastAsia"/>
                <w:szCs w:val="21"/>
              </w:rPr>
              <w:t>100≤Y＜1000</w:t>
            </w:r>
          </w:p>
        </w:tc>
        <w:tc>
          <w:tcPr>
            <w:tcW w:w="1009" w:type="dxa"/>
            <w:tcBorders>
              <w:top w:val="nil"/>
              <w:left w:val="nil"/>
              <w:bottom w:val="single" w:color="auto" w:sz="4" w:space="0"/>
              <w:right w:val="single" w:color="auto" w:sz="4" w:space="0"/>
            </w:tcBorders>
            <w:noWrap w:val="0"/>
            <w:vAlign w:val="center"/>
          </w:tcPr>
          <w:p w14:paraId="3884905C">
            <w:pPr>
              <w:widowControl/>
              <w:jc w:val="left"/>
              <w:rPr>
                <w:szCs w:val="21"/>
              </w:rPr>
            </w:pPr>
            <w:r>
              <w:rPr>
                <w:rFonts w:hint="eastAsia"/>
                <w:szCs w:val="21"/>
              </w:rPr>
              <w:t>Y＜100</w:t>
            </w:r>
          </w:p>
        </w:tc>
      </w:tr>
      <w:tr w14:paraId="0FA53866">
        <w:tblPrEx>
          <w:tblCellMar>
            <w:top w:w="0" w:type="dxa"/>
            <w:left w:w="108" w:type="dxa"/>
            <w:bottom w:w="0" w:type="dxa"/>
            <w:right w:w="108" w:type="dxa"/>
          </w:tblCellMar>
        </w:tblPrEx>
        <w:trPr>
          <w:trHeight w:val="220" w:hRule="atLeast"/>
        </w:trPr>
        <w:tc>
          <w:tcPr>
            <w:tcW w:w="1446" w:type="dxa"/>
            <w:vMerge w:val="restart"/>
            <w:tcBorders>
              <w:top w:val="nil"/>
              <w:left w:val="single" w:color="auto" w:sz="4" w:space="0"/>
              <w:bottom w:val="single" w:color="auto" w:sz="4" w:space="0"/>
              <w:right w:val="single" w:color="auto" w:sz="4" w:space="0"/>
            </w:tcBorders>
            <w:noWrap w:val="0"/>
            <w:vAlign w:val="bottom"/>
          </w:tcPr>
          <w:p w14:paraId="0743F3D5">
            <w:pPr>
              <w:widowControl/>
              <w:jc w:val="center"/>
              <w:rPr>
                <w:szCs w:val="21"/>
              </w:rPr>
            </w:pPr>
            <w:r>
              <w:rPr>
                <w:rFonts w:hint="eastAsia"/>
                <w:szCs w:val="21"/>
              </w:rPr>
              <w:t>软件和信息技术服务业</w:t>
            </w:r>
          </w:p>
        </w:tc>
        <w:tc>
          <w:tcPr>
            <w:tcW w:w="1701" w:type="dxa"/>
            <w:tcBorders>
              <w:top w:val="nil"/>
              <w:left w:val="nil"/>
              <w:bottom w:val="single" w:color="auto" w:sz="4" w:space="0"/>
              <w:right w:val="single" w:color="auto" w:sz="4" w:space="0"/>
            </w:tcBorders>
            <w:noWrap w:val="0"/>
            <w:vAlign w:val="center"/>
          </w:tcPr>
          <w:p w14:paraId="2518BD05">
            <w:pPr>
              <w:widowControl/>
              <w:jc w:val="left"/>
              <w:rPr>
                <w:szCs w:val="21"/>
              </w:rPr>
            </w:pPr>
            <w:r>
              <w:rPr>
                <w:rFonts w:hint="eastAsia"/>
                <w:szCs w:val="21"/>
              </w:rPr>
              <w:t>从业人员（X）</w:t>
            </w:r>
          </w:p>
        </w:tc>
        <w:tc>
          <w:tcPr>
            <w:tcW w:w="1134" w:type="dxa"/>
            <w:tcBorders>
              <w:top w:val="nil"/>
              <w:left w:val="nil"/>
              <w:bottom w:val="single" w:color="auto" w:sz="4" w:space="0"/>
              <w:right w:val="single" w:color="auto" w:sz="4" w:space="0"/>
            </w:tcBorders>
            <w:noWrap w:val="0"/>
            <w:vAlign w:val="center"/>
          </w:tcPr>
          <w:p w14:paraId="12EB4D7A">
            <w:pPr>
              <w:widowControl/>
              <w:jc w:val="left"/>
              <w:rPr>
                <w:szCs w:val="21"/>
              </w:rPr>
            </w:pPr>
            <w:r>
              <w:rPr>
                <w:rFonts w:hint="eastAsia"/>
                <w:szCs w:val="21"/>
              </w:rPr>
              <w:t>人</w:t>
            </w:r>
          </w:p>
        </w:tc>
        <w:tc>
          <w:tcPr>
            <w:tcW w:w="1846" w:type="dxa"/>
            <w:tcBorders>
              <w:top w:val="nil"/>
              <w:left w:val="nil"/>
              <w:bottom w:val="single" w:color="auto" w:sz="4" w:space="0"/>
              <w:right w:val="single" w:color="auto" w:sz="4" w:space="0"/>
            </w:tcBorders>
            <w:noWrap w:val="0"/>
            <w:vAlign w:val="center"/>
          </w:tcPr>
          <w:p w14:paraId="448B82F8">
            <w:pPr>
              <w:widowControl/>
              <w:jc w:val="left"/>
              <w:rPr>
                <w:szCs w:val="21"/>
              </w:rPr>
            </w:pPr>
            <w:r>
              <w:rPr>
                <w:rFonts w:hint="eastAsia"/>
                <w:szCs w:val="21"/>
              </w:rPr>
              <w:t>100≤X＜300</w:t>
            </w:r>
          </w:p>
        </w:tc>
        <w:tc>
          <w:tcPr>
            <w:tcW w:w="1570" w:type="dxa"/>
            <w:tcBorders>
              <w:top w:val="nil"/>
              <w:left w:val="nil"/>
              <w:bottom w:val="single" w:color="auto" w:sz="4" w:space="0"/>
              <w:right w:val="single" w:color="auto" w:sz="4" w:space="0"/>
            </w:tcBorders>
            <w:noWrap w:val="0"/>
            <w:vAlign w:val="center"/>
          </w:tcPr>
          <w:p w14:paraId="5C901E96">
            <w:pPr>
              <w:widowControl/>
              <w:jc w:val="left"/>
              <w:rPr>
                <w:szCs w:val="21"/>
              </w:rPr>
            </w:pPr>
            <w:r>
              <w:rPr>
                <w:rFonts w:hint="eastAsia"/>
                <w:szCs w:val="21"/>
              </w:rPr>
              <w:t>10≤X＜100</w:t>
            </w:r>
          </w:p>
        </w:tc>
        <w:tc>
          <w:tcPr>
            <w:tcW w:w="1009" w:type="dxa"/>
            <w:tcBorders>
              <w:top w:val="nil"/>
              <w:left w:val="nil"/>
              <w:bottom w:val="single" w:color="auto" w:sz="4" w:space="0"/>
              <w:right w:val="single" w:color="auto" w:sz="4" w:space="0"/>
            </w:tcBorders>
            <w:noWrap w:val="0"/>
            <w:vAlign w:val="center"/>
          </w:tcPr>
          <w:p w14:paraId="5FC84D48">
            <w:pPr>
              <w:widowControl/>
              <w:jc w:val="left"/>
              <w:rPr>
                <w:szCs w:val="21"/>
              </w:rPr>
            </w:pPr>
            <w:r>
              <w:rPr>
                <w:rFonts w:hint="eastAsia"/>
                <w:szCs w:val="21"/>
              </w:rPr>
              <w:t>X＜10</w:t>
            </w:r>
          </w:p>
        </w:tc>
      </w:tr>
      <w:tr w14:paraId="0651C9AE">
        <w:tblPrEx>
          <w:tblCellMar>
            <w:top w:w="0" w:type="dxa"/>
            <w:left w:w="108" w:type="dxa"/>
            <w:bottom w:w="0" w:type="dxa"/>
            <w:right w:w="108" w:type="dxa"/>
          </w:tblCellMar>
        </w:tblPrEx>
        <w:trPr>
          <w:trHeight w:val="220" w:hRule="atLeast"/>
        </w:trPr>
        <w:tc>
          <w:tcPr>
            <w:tcW w:w="1446" w:type="dxa"/>
            <w:vMerge w:val="continue"/>
            <w:tcBorders>
              <w:top w:val="nil"/>
              <w:left w:val="single" w:color="auto" w:sz="4" w:space="0"/>
              <w:bottom w:val="single" w:color="auto" w:sz="4" w:space="0"/>
              <w:right w:val="single" w:color="auto" w:sz="4" w:space="0"/>
            </w:tcBorders>
            <w:noWrap w:val="0"/>
            <w:vAlign w:val="center"/>
          </w:tcPr>
          <w:p w14:paraId="77A0D16A">
            <w:pPr>
              <w:widowControl/>
              <w:jc w:val="left"/>
              <w:rPr>
                <w:szCs w:val="21"/>
              </w:rPr>
            </w:pPr>
          </w:p>
        </w:tc>
        <w:tc>
          <w:tcPr>
            <w:tcW w:w="1701" w:type="dxa"/>
            <w:tcBorders>
              <w:top w:val="nil"/>
              <w:left w:val="nil"/>
              <w:bottom w:val="single" w:color="auto" w:sz="4" w:space="0"/>
              <w:right w:val="single" w:color="auto" w:sz="4" w:space="0"/>
            </w:tcBorders>
            <w:noWrap w:val="0"/>
            <w:vAlign w:val="center"/>
          </w:tcPr>
          <w:p w14:paraId="250856FB">
            <w:pPr>
              <w:widowControl/>
              <w:jc w:val="left"/>
              <w:rPr>
                <w:szCs w:val="21"/>
              </w:rPr>
            </w:pPr>
            <w:r>
              <w:rPr>
                <w:rFonts w:hint="eastAsia"/>
                <w:szCs w:val="21"/>
              </w:rPr>
              <w:t>营业收入（Y）</w:t>
            </w:r>
          </w:p>
        </w:tc>
        <w:tc>
          <w:tcPr>
            <w:tcW w:w="1134" w:type="dxa"/>
            <w:tcBorders>
              <w:top w:val="nil"/>
              <w:left w:val="nil"/>
              <w:bottom w:val="single" w:color="auto" w:sz="4" w:space="0"/>
              <w:right w:val="single" w:color="auto" w:sz="4" w:space="0"/>
            </w:tcBorders>
            <w:noWrap w:val="0"/>
            <w:vAlign w:val="center"/>
          </w:tcPr>
          <w:p w14:paraId="2879CE7A">
            <w:pPr>
              <w:widowControl/>
              <w:jc w:val="left"/>
              <w:rPr>
                <w:szCs w:val="21"/>
              </w:rPr>
            </w:pPr>
            <w:r>
              <w:rPr>
                <w:rFonts w:hint="eastAsia"/>
                <w:szCs w:val="21"/>
              </w:rPr>
              <w:t>万元</w:t>
            </w:r>
          </w:p>
        </w:tc>
        <w:tc>
          <w:tcPr>
            <w:tcW w:w="1846" w:type="dxa"/>
            <w:tcBorders>
              <w:top w:val="nil"/>
              <w:left w:val="nil"/>
              <w:bottom w:val="single" w:color="auto" w:sz="4" w:space="0"/>
              <w:right w:val="single" w:color="auto" w:sz="4" w:space="0"/>
            </w:tcBorders>
            <w:noWrap w:val="0"/>
            <w:vAlign w:val="center"/>
          </w:tcPr>
          <w:p w14:paraId="130155E8">
            <w:pPr>
              <w:widowControl/>
              <w:jc w:val="left"/>
              <w:rPr>
                <w:szCs w:val="21"/>
              </w:rPr>
            </w:pPr>
            <w:r>
              <w:rPr>
                <w:rFonts w:hint="eastAsia"/>
                <w:szCs w:val="21"/>
              </w:rPr>
              <w:t>1000≤Y＜10000</w:t>
            </w:r>
          </w:p>
        </w:tc>
        <w:tc>
          <w:tcPr>
            <w:tcW w:w="1570" w:type="dxa"/>
            <w:tcBorders>
              <w:top w:val="nil"/>
              <w:left w:val="nil"/>
              <w:bottom w:val="single" w:color="auto" w:sz="4" w:space="0"/>
              <w:right w:val="single" w:color="auto" w:sz="4" w:space="0"/>
            </w:tcBorders>
            <w:noWrap w:val="0"/>
            <w:vAlign w:val="center"/>
          </w:tcPr>
          <w:p w14:paraId="1682145D">
            <w:pPr>
              <w:widowControl/>
              <w:jc w:val="left"/>
              <w:rPr>
                <w:szCs w:val="21"/>
              </w:rPr>
            </w:pPr>
            <w:r>
              <w:rPr>
                <w:rFonts w:hint="eastAsia"/>
                <w:szCs w:val="21"/>
              </w:rPr>
              <w:t>50≤Y＜1000</w:t>
            </w:r>
          </w:p>
        </w:tc>
        <w:tc>
          <w:tcPr>
            <w:tcW w:w="1009" w:type="dxa"/>
            <w:tcBorders>
              <w:top w:val="nil"/>
              <w:left w:val="nil"/>
              <w:bottom w:val="single" w:color="auto" w:sz="4" w:space="0"/>
              <w:right w:val="single" w:color="auto" w:sz="4" w:space="0"/>
            </w:tcBorders>
            <w:noWrap w:val="0"/>
            <w:vAlign w:val="center"/>
          </w:tcPr>
          <w:p w14:paraId="3029B39D">
            <w:pPr>
              <w:widowControl/>
              <w:jc w:val="left"/>
              <w:rPr>
                <w:szCs w:val="21"/>
              </w:rPr>
            </w:pPr>
            <w:r>
              <w:rPr>
                <w:rFonts w:hint="eastAsia"/>
                <w:szCs w:val="21"/>
              </w:rPr>
              <w:t>Y＜50</w:t>
            </w:r>
          </w:p>
        </w:tc>
      </w:tr>
      <w:tr w14:paraId="4DCBDE26">
        <w:tblPrEx>
          <w:tblCellMar>
            <w:top w:w="0" w:type="dxa"/>
            <w:left w:w="108" w:type="dxa"/>
            <w:bottom w:w="0" w:type="dxa"/>
            <w:right w:w="108" w:type="dxa"/>
          </w:tblCellMar>
        </w:tblPrEx>
        <w:trPr>
          <w:trHeight w:val="220" w:hRule="atLeast"/>
        </w:trPr>
        <w:tc>
          <w:tcPr>
            <w:tcW w:w="1446" w:type="dxa"/>
            <w:vMerge w:val="restart"/>
            <w:tcBorders>
              <w:top w:val="nil"/>
              <w:left w:val="single" w:color="auto" w:sz="4" w:space="0"/>
              <w:bottom w:val="single" w:color="auto" w:sz="4" w:space="0"/>
              <w:right w:val="single" w:color="auto" w:sz="4" w:space="0"/>
            </w:tcBorders>
            <w:noWrap w:val="0"/>
            <w:vAlign w:val="bottom"/>
          </w:tcPr>
          <w:p w14:paraId="7C01A68F">
            <w:pPr>
              <w:widowControl/>
              <w:jc w:val="center"/>
              <w:rPr>
                <w:szCs w:val="21"/>
              </w:rPr>
            </w:pPr>
            <w:r>
              <w:rPr>
                <w:rFonts w:hint="eastAsia"/>
                <w:szCs w:val="21"/>
              </w:rPr>
              <w:t>房地产开发经营</w:t>
            </w:r>
          </w:p>
        </w:tc>
        <w:tc>
          <w:tcPr>
            <w:tcW w:w="1701" w:type="dxa"/>
            <w:tcBorders>
              <w:top w:val="nil"/>
              <w:left w:val="nil"/>
              <w:bottom w:val="single" w:color="auto" w:sz="4" w:space="0"/>
              <w:right w:val="single" w:color="auto" w:sz="4" w:space="0"/>
            </w:tcBorders>
            <w:noWrap w:val="0"/>
            <w:vAlign w:val="center"/>
          </w:tcPr>
          <w:p w14:paraId="47E231C8">
            <w:pPr>
              <w:widowControl/>
              <w:jc w:val="left"/>
              <w:rPr>
                <w:szCs w:val="21"/>
              </w:rPr>
            </w:pPr>
            <w:r>
              <w:rPr>
                <w:rFonts w:hint="eastAsia"/>
                <w:szCs w:val="21"/>
              </w:rPr>
              <w:t>营业收入（Y）</w:t>
            </w:r>
          </w:p>
        </w:tc>
        <w:tc>
          <w:tcPr>
            <w:tcW w:w="1134" w:type="dxa"/>
            <w:tcBorders>
              <w:top w:val="nil"/>
              <w:left w:val="nil"/>
              <w:bottom w:val="single" w:color="auto" w:sz="4" w:space="0"/>
              <w:right w:val="single" w:color="auto" w:sz="4" w:space="0"/>
            </w:tcBorders>
            <w:noWrap w:val="0"/>
            <w:vAlign w:val="center"/>
          </w:tcPr>
          <w:p w14:paraId="33B42321">
            <w:pPr>
              <w:widowControl/>
              <w:jc w:val="left"/>
              <w:rPr>
                <w:szCs w:val="21"/>
              </w:rPr>
            </w:pPr>
            <w:r>
              <w:rPr>
                <w:rFonts w:hint="eastAsia"/>
                <w:szCs w:val="21"/>
              </w:rPr>
              <w:t>万元</w:t>
            </w:r>
          </w:p>
        </w:tc>
        <w:tc>
          <w:tcPr>
            <w:tcW w:w="1846" w:type="dxa"/>
            <w:tcBorders>
              <w:top w:val="nil"/>
              <w:left w:val="nil"/>
              <w:bottom w:val="single" w:color="auto" w:sz="4" w:space="0"/>
              <w:right w:val="single" w:color="auto" w:sz="4" w:space="0"/>
            </w:tcBorders>
            <w:noWrap w:val="0"/>
            <w:vAlign w:val="center"/>
          </w:tcPr>
          <w:p w14:paraId="102BC3DC">
            <w:pPr>
              <w:widowControl/>
              <w:jc w:val="left"/>
              <w:rPr>
                <w:szCs w:val="21"/>
              </w:rPr>
            </w:pPr>
            <w:r>
              <w:rPr>
                <w:rFonts w:hint="eastAsia"/>
                <w:szCs w:val="21"/>
              </w:rPr>
              <w:t>1000≤Y＜200000</w:t>
            </w:r>
          </w:p>
        </w:tc>
        <w:tc>
          <w:tcPr>
            <w:tcW w:w="1570" w:type="dxa"/>
            <w:tcBorders>
              <w:top w:val="nil"/>
              <w:left w:val="nil"/>
              <w:bottom w:val="single" w:color="auto" w:sz="4" w:space="0"/>
              <w:right w:val="single" w:color="auto" w:sz="4" w:space="0"/>
            </w:tcBorders>
            <w:noWrap w:val="0"/>
            <w:vAlign w:val="center"/>
          </w:tcPr>
          <w:p w14:paraId="16639E11">
            <w:pPr>
              <w:widowControl/>
              <w:jc w:val="left"/>
              <w:rPr>
                <w:szCs w:val="21"/>
              </w:rPr>
            </w:pPr>
            <w:r>
              <w:rPr>
                <w:rFonts w:hint="eastAsia"/>
                <w:szCs w:val="21"/>
              </w:rPr>
              <w:t>100≤X＜1000</w:t>
            </w:r>
          </w:p>
        </w:tc>
        <w:tc>
          <w:tcPr>
            <w:tcW w:w="1009" w:type="dxa"/>
            <w:tcBorders>
              <w:top w:val="nil"/>
              <w:left w:val="nil"/>
              <w:bottom w:val="single" w:color="auto" w:sz="4" w:space="0"/>
              <w:right w:val="single" w:color="auto" w:sz="4" w:space="0"/>
            </w:tcBorders>
            <w:noWrap w:val="0"/>
            <w:vAlign w:val="center"/>
          </w:tcPr>
          <w:p w14:paraId="1CBFA800">
            <w:pPr>
              <w:widowControl/>
              <w:jc w:val="left"/>
              <w:rPr>
                <w:szCs w:val="21"/>
              </w:rPr>
            </w:pPr>
            <w:r>
              <w:rPr>
                <w:rFonts w:hint="eastAsia"/>
                <w:szCs w:val="21"/>
              </w:rPr>
              <w:t>X＜100</w:t>
            </w:r>
          </w:p>
        </w:tc>
      </w:tr>
      <w:tr w14:paraId="33BD4049">
        <w:tblPrEx>
          <w:tblCellMar>
            <w:top w:w="0" w:type="dxa"/>
            <w:left w:w="108" w:type="dxa"/>
            <w:bottom w:w="0" w:type="dxa"/>
            <w:right w:w="108" w:type="dxa"/>
          </w:tblCellMar>
        </w:tblPrEx>
        <w:trPr>
          <w:trHeight w:val="220" w:hRule="atLeast"/>
        </w:trPr>
        <w:tc>
          <w:tcPr>
            <w:tcW w:w="1446" w:type="dxa"/>
            <w:vMerge w:val="continue"/>
            <w:tcBorders>
              <w:top w:val="nil"/>
              <w:left w:val="single" w:color="auto" w:sz="4" w:space="0"/>
              <w:bottom w:val="single" w:color="auto" w:sz="4" w:space="0"/>
              <w:right w:val="single" w:color="auto" w:sz="4" w:space="0"/>
            </w:tcBorders>
            <w:noWrap w:val="0"/>
            <w:vAlign w:val="center"/>
          </w:tcPr>
          <w:p w14:paraId="4793A9DD">
            <w:pPr>
              <w:widowControl/>
              <w:jc w:val="left"/>
              <w:rPr>
                <w:szCs w:val="21"/>
              </w:rPr>
            </w:pPr>
          </w:p>
        </w:tc>
        <w:tc>
          <w:tcPr>
            <w:tcW w:w="1701" w:type="dxa"/>
            <w:tcBorders>
              <w:top w:val="nil"/>
              <w:left w:val="nil"/>
              <w:bottom w:val="single" w:color="auto" w:sz="4" w:space="0"/>
              <w:right w:val="single" w:color="auto" w:sz="4" w:space="0"/>
            </w:tcBorders>
            <w:noWrap w:val="0"/>
            <w:vAlign w:val="center"/>
          </w:tcPr>
          <w:p w14:paraId="140C322A">
            <w:pPr>
              <w:widowControl/>
              <w:jc w:val="left"/>
              <w:rPr>
                <w:szCs w:val="21"/>
              </w:rPr>
            </w:pPr>
            <w:r>
              <w:rPr>
                <w:rFonts w:hint="eastAsia"/>
                <w:szCs w:val="21"/>
              </w:rPr>
              <w:t>资产总额（Z）</w:t>
            </w:r>
          </w:p>
        </w:tc>
        <w:tc>
          <w:tcPr>
            <w:tcW w:w="1134" w:type="dxa"/>
            <w:tcBorders>
              <w:top w:val="nil"/>
              <w:left w:val="nil"/>
              <w:bottom w:val="single" w:color="auto" w:sz="4" w:space="0"/>
              <w:right w:val="single" w:color="auto" w:sz="4" w:space="0"/>
            </w:tcBorders>
            <w:noWrap w:val="0"/>
            <w:vAlign w:val="center"/>
          </w:tcPr>
          <w:p w14:paraId="34A84B06">
            <w:pPr>
              <w:widowControl/>
              <w:jc w:val="left"/>
              <w:rPr>
                <w:szCs w:val="21"/>
              </w:rPr>
            </w:pPr>
            <w:r>
              <w:rPr>
                <w:rFonts w:hint="eastAsia"/>
                <w:szCs w:val="21"/>
              </w:rPr>
              <w:t>万元</w:t>
            </w:r>
          </w:p>
        </w:tc>
        <w:tc>
          <w:tcPr>
            <w:tcW w:w="1846" w:type="dxa"/>
            <w:tcBorders>
              <w:top w:val="nil"/>
              <w:left w:val="nil"/>
              <w:bottom w:val="single" w:color="auto" w:sz="4" w:space="0"/>
              <w:right w:val="single" w:color="auto" w:sz="4" w:space="0"/>
            </w:tcBorders>
            <w:noWrap w:val="0"/>
            <w:vAlign w:val="center"/>
          </w:tcPr>
          <w:p w14:paraId="319CB659">
            <w:pPr>
              <w:widowControl/>
              <w:jc w:val="left"/>
              <w:rPr>
                <w:szCs w:val="21"/>
              </w:rPr>
            </w:pPr>
            <w:r>
              <w:rPr>
                <w:rFonts w:hint="eastAsia"/>
                <w:szCs w:val="21"/>
              </w:rPr>
              <w:t>5000≤Z＜10000</w:t>
            </w:r>
          </w:p>
        </w:tc>
        <w:tc>
          <w:tcPr>
            <w:tcW w:w="1570" w:type="dxa"/>
            <w:tcBorders>
              <w:top w:val="nil"/>
              <w:left w:val="nil"/>
              <w:bottom w:val="single" w:color="auto" w:sz="4" w:space="0"/>
              <w:right w:val="single" w:color="auto" w:sz="4" w:space="0"/>
            </w:tcBorders>
            <w:noWrap w:val="0"/>
            <w:vAlign w:val="center"/>
          </w:tcPr>
          <w:p w14:paraId="1704E20A">
            <w:pPr>
              <w:widowControl/>
              <w:jc w:val="left"/>
              <w:rPr>
                <w:szCs w:val="21"/>
              </w:rPr>
            </w:pPr>
            <w:r>
              <w:rPr>
                <w:rFonts w:hint="eastAsia"/>
                <w:szCs w:val="21"/>
              </w:rPr>
              <w:t>2000≤Y＜5000</w:t>
            </w:r>
          </w:p>
        </w:tc>
        <w:tc>
          <w:tcPr>
            <w:tcW w:w="1009" w:type="dxa"/>
            <w:tcBorders>
              <w:top w:val="nil"/>
              <w:left w:val="nil"/>
              <w:bottom w:val="single" w:color="auto" w:sz="4" w:space="0"/>
              <w:right w:val="single" w:color="auto" w:sz="4" w:space="0"/>
            </w:tcBorders>
            <w:noWrap w:val="0"/>
            <w:vAlign w:val="center"/>
          </w:tcPr>
          <w:p w14:paraId="7E539B2B">
            <w:pPr>
              <w:widowControl/>
              <w:jc w:val="left"/>
              <w:rPr>
                <w:szCs w:val="21"/>
              </w:rPr>
            </w:pPr>
            <w:r>
              <w:rPr>
                <w:rFonts w:hint="eastAsia"/>
                <w:szCs w:val="21"/>
              </w:rPr>
              <w:t>Y＜2000</w:t>
            </w:r>
          </w:p>
        </w:tc>
      </w:tr>
      <w:tr w14:paraId="0BE9E56D">
        <w:tblPrEx>
          <w:tblCellMar>
            <w:top w:w="0" w:type="dxa"/>
            <w:left w:w="108" w:type="dxa"/>
            <w:bottom w:w="0" w:type="dxa"/>
            <w:right w:w="108" w:type="dxa"/>
          </w:tblCellMar>
        </w:tblPrEx>
        <w:trPr>
          <w:trHeight w:val="220" w:hRule="atLeast"/>
        </w:trPr>
        <w:tc>
          <w:tcPr>
            <w:tcW w:w="1446" w:type="dxa"/>
            <w:vMerge w:val="restart"/>
            <w:tcBorders>
              <w:top w:val="nil"/>
              <w:left w:val="single" w:color="auto" w:sz="4" w:space="0"/>
              <w:bottom w:val="single" w:color="auto" w:sz="4" w:space="0"/>
              <w:right w:val="single" w:color="auto" w:sz="4" w:space="0"/>
            </w:tcBorders>
            <w:noWrap w:val="0"/>
            <w:vAlign w:val="bottom"/>
          </w:tcPr>
          <w:p w14:paraId="516E919E">
            <w:pPr>
              <w:widowControl/>
              <w:jc w:val="center"/>
              <w:rPr>
                <w:szCs w:val="21"/>
              </w:rPr>
            </w:pPr>
            <w:r>
              <w:rPr>
                <w:rFonts w:hint="eastAsia"/>
                <w:szCs w:val="21"/>
              </w:rPr>
              <w:t>物业管理</w:t>
            </w:r>
          </w:p>
        </w:tc>
        <w:tc>
          <w:tcPr>
            <w:tcW w:w="1701" w:type="dxa"/>
            <w:tcBorders>
              <w:top w:val="nil"/>
              <w:left w:val="nil"/>
              <w:bottom w:val="single" w:color="auto" w:sz="4" w:space="0"/>
              <w:right w:val="single" w:color="auto" w:sz="4" w:space="0"/>
            </w:tcBorders>
            <w:noWrap w:val="0"/>
            <w:vAlign w:val="center"/>
          </w:tcPr>
          <w:p w14:paraId="5B2EFC73">
            <w:pPr>
              <w:widowControl/>
              <w:jc w:val="left"/>
              <w:rPr>
                <w:szCs w:val="21"/>
              </w:rPr>
            </w:pPr>
            <w:r>
              <w:rPr>
                <w:rFonts w:hint="eastAsia"/>
                <w:szCs w:val="21"/>
              </w:rPr>
              <w:t>从业人员（X）</w:t>
            </w:r>
          </w:p>
        </w:tc>
        <w:tc>
          <w:tcPr>
            <w:tcW w:w="1134" w:type="dxa"/>
            <w:tcBorders>
              <w:top w:val="nil"/>
              <w:left w:val="nil"/>
              <w:bottom w:val="single" w:color="auto" w:sz="4" w:space="0"/>
              <w:right w:val="single" w:color="auto" w:sz="4" w:space="0"/>
            </w:tcBorders>
            <w:noWrap w:val="0"/>
            <w:vAlign w:val="center"/>
          </w:tcPr>
          <w:p w14:paraId="34A32A49">
            <w:pPr>
              <w:widowControl/>
              <w:jc w:val="left"/>
              <w:rPr>
                <w:szCs w:val="21"/>
              </w:rPr>
            </w:pPr>
            <w:r>
              <w:rPr>
                <w:rFonts w:hint="eastAsia"/>
                <w:szCs w:val="21"/>
              </w:rPr>
              <w:t>人</w:t>
            </w:r>
          </w:p>
        </w:tc>
        <w:tc>
          <w:tcPr>
            <w:tcW w:w="1846" w:type="dxa"/>
            <w:tcBorders>
              <w:top w:val="nil"/>
              <w:left w:val="nil"/>
              <w:bottom w:val="single" w:color="auto" w:sz="4" w:space="0"/>
              <w:right w:val="single" w:color="auto" w:sz="4" w:space="0"/>
            </w:tcBorders>
            <w:noWrap w:val="0"/>
            <w:vAlign w:val="center"/>
          </w:tcPr>
          <w:p w14:paraId="77D1E3A4">
            <w:pPr>
              <w:widowControl/>
              <w:jc w:val="left"/>
              <w:rPr>
                <w:szCs w:val="21"/>
              </w:rPr>
            </w:pPr>
            <w:r>
              <w:rPr>
                <w:rFonts w:hint="eastAsia"/>
                <w:szCs w:val="21"/>
              </w:rPr>
              <w:t>300≤X＜1000</w:t>
            </w:r>
          </w:p>
        </w:tc>
        <w:tc>
          <w:tcPr>
            <w:tcW w:w="1570" w:type="dxa"/>
            <w:tcBorders>
              <w:top w:val="nil"/>
              <w:left w:val="nil"/>
              <w:bottom w:val="single" w:color="auto" w:sz="4" w:space="0"/>
              <w:right w:val="single" w:color="auto" w:sz="4" w:space="0"/>
            </w:tcBorders>
            <w:noWrap w:val="0"/>
            <w:vAlign w:val="center"/>
          </w:tcPr>
          <w:p w14:paraId="2C627375">
            <w:pPr>
              <w:widowControl/>
              <w:jc w:val="left"/>
              <w:rPr>
                <w:szCs w:val="21"/>
              </w:rPr>
            </w:pPr>
            <w:r>
              <w:rPr>
                <w:rFonts w:hint="eastAsia"/>
                <w:szCs w:val="21"/>
              </w:rPr>
              <w:t>100≤X＜300</w:t>
            </w:r>
          </w:p>
        </w:tc>
        <w:tc>
          <w:tcPr>
            <w:tcW w:w="1009" w:type="dxa"/>
            <w:tcBorders>
              <w:top w:val="nil"/>
              <w:left w:val="nil"/>
              <w:bottom w:val="single" w:color="auto" w:sz="4" w:space="0"/>
              <w:right w:val="single" w:color="auto" w:sz="4" w:space="0"/>
            </w:tcBorders>
            <w:noWrap w:val="0"/>
            <w:vAlign w:val="center"/>
          </w:tcPr>
          <w:p w14:paraId="42CD48D5">
            <w:pPr>
              <w:widowControl/>
              <w:jc w:val="left"/>
              <w:rPr>
                <w:szCs w:val="21"/>
              </w:rPr>
            </w:pPr>
            <w:r>
              <w:rPr>
                <w:rFonts w:hint="eastAsia"/>
                <w:szCs w:val="21"/>
              </w:rPr>
              <w:t>X＜100</w:t>
            </w:r>
          </w:p>
        </w:tc>
      </w:tr>
      <w:tr w14:paraId="6780294D">
        <w:tblPrEx>
          <w:tblCellMar>
            <w:top w:w="0" w:type="dxa"/>
            <w:left w:w="108" w:type="dxa"/>
            <w:bottom w:w="0" w:type="dxa"/>
            <w:right w:w="108" w:type="dxa"/>
          </w:tblCellMar>
        </w:tblPrEx>
        <w:trPr>
          <w:trHeight w:val="220" w:hRule="atLeast"/>
        </w:trPr>
        <w:tc>
          <w:tcPr>
            <w:tcW w:w="1446" w:type="dxa"/>
            <w:vMerge w:val="continue"/>
            <w:tcBorders>
              <w:top w:val="nil"/>
              <w:left w:val="single" w:color="auto" w:sz="4" w:space="0"/>
              <w:bottom w:val="single" w:color="auto" w:sz="4" w:space="0"/>
              <w:right w:val="single" w:color="auto" w:sz="4" w:space="0"/>
            </w:tcBorders>
            <w:noWrap w:val="0"/>
            <w:vAlign w:val="center"/>
          </w:tcPr>
          <w:p w14:paraId="35C1D544">
            <w:pPr>
              <w:widowControl/>
              <w:jc w:val="left"/>
              <w:rPr>
                <w:szCs w:val="21"/>
              </w:rPr>
            </w:pPr>
          </w:p>
        </w:tc>
        <w:tc>
          <w:tcPr>
            <w:tcW w:w="1701" w:type="dxa"/>
            <w:tcBorders>
              <w:top w:val="nil"/>
              <w:left w:val="nil"/>
              <w:bottom w:val="single" w:color="auto" w:sz="4" w:space="0"/>
              <w:right w:val="single" w:color="auto" w:sz="4" w:space="0"/>
            </w:tcBorders>
            <w:noWrap w:val="0"/>
            <w:vAlign w:val="center"/>
          </w:tcPr>
          <w:p w14:paraId="671EE56A">
            <w:pPr>
              <w:widowControl/>
              <w:jc w:val="left"/>
              <w:rPr>
                <w:szCs w:val="21"/>
              </w:rPr>
            </w:pPr>
            <w:r>
              <w:rPr>
                <w:rFonts w:hint="eastAsia"/>
                <w:szCs w:val="21"/>
              </w:rPr>
              <w:t>营业收入（Y）</w:t>
            </w:r>
          </w:p>
        </w:tc>
        <w:tc>
          <w:tcPr>
            <w:tcW w:w="1134" w:type="dxa"/>
            <w:tcBorders>
              <w:top w:val="nil"/>
              <w:left w:val="nil"/>
              <w:bottom w:val="single" w:color="auto" w:sz="4" w:space="0"/>
              <w:right w:val="single" w:color="auto" w:sz="4" w:space="0"/>
            </w:tcBorders>
            <w:noWrap w:val="0"/>
            <w:vAlign w:val="center"/>
          </w:tcPr>
          <w:p w14:paraId="4E04A29B">
            <w:pPr>
              <w:widowControl/>
              <w:jc w:val="left"/>
              <w:rPr>
                <w:szCs w:val="21"/>
              </w:rPr>
            </w:pPr>
            <w:r>
              <w:rPr>
                <w:rFonts w:hint="eastAsia"/>
                <w:szCs w:val="21"/>
              </w:rPr>
              <w:t>万元</w:t>
            </w:r>
          </w:p>
        </w:tc>
        <w:tc>
          <w:tcPr>
            <w:tcW w:w="1846" w:type="dxa"/>
            <w:tcBorders>
              <w:top w:val="nil"/>
              <w:left w:val="nil"/>
              <w:bottom w:val="single" w:color="auto" w:sz="4" w:space="0"/>
              <w:right w:val="single" w:color="auto" w:sz="4" w:space="0"/>
            </w:tcBorders>
            <w:noWrap w:val="0"/>
            <w:vAlign w:val="center"/>
          </w:tcPr>
          <w:p w14:paraId="4F97662E">
            <w:pPr>
              <w:widowControl/>
              <w:jc w:val="left"/>
              <w:rPr>
                <w:szCs w:val="21"/>
              </w:rPr>
            </w:pPr>
            <w:r>
              <w:rPr>
                <w:rFonts w:hint="eastAsia"/>
                <w:szCs w:val="21"/>
              </w:rPr>
              <w:t>1000≤Y＜5000</w:t>
            </w:r>
          </w:p>
        </w:tc>
        <w:tc>
          <w:tcPr>
            <w:tcW w:w="1570" w:type="dxa"/>
            <w:tcBorders>
              <w:top w:val="nil"/>
              <w:left w:val="nil"/>
              <w:bottom w:val="single" w:color="auto" w:sz="4" w:space="0"/>
              <w:right w:val="single" w:color="auto" w:sz="4" w:space="0"/>
            </w:tcBorders>
            <w:noWrap w:val="0"/>
            <w:vAlign w:val="center"/>
          </w:tcPr>
          <w:p w14:paraId="477C89EB">
            <w:pPr>
              <w:widowControl/>
              <w:jc w:val="left"/>
              <w:rPr>
                <w:szCs w:val="21"/>
              </w:rPr>
            </w:pPr>
            <w:r>
              <w:rPr>
                <w:rFonts w:hint="eastAsia"/>
                <w:szCs w:val="21"/>
              </w:rPr>
              <w:t>500≤Y＜1000</w:t>
            </w:r>
          </w:p>
        </w:tc>
        <w:tc>
          <w:tcPr>
            <w:tcW w:w="1009" w:type="dxa"/>
            <w:tcBorders>
              <w:top w:val="nil"/>
              <w:left w:val="nil"/>
              <w:bottom w:val="single" w:color="auto" w:sz="4" w:space="0"/>
              <w:right w:val="single" w:color="auto" w:sz="4" w:space="0"/>
            </w:tcBorders>
            <w:noWrap w:val="0"/>
            <w:vAlign w:val="center"/>
          </w:tcPr>
          <w:p w14:paraId="3399925D">
            <w:pPr>
              <w:widowControl/>
              <w:jc w:val="left"/>
              <w:rPr>
                <w:szCs w:val="21"/>
              </w:rPr>
            </w:pPr>
            <w:r>
              <w:rPr>
                <w:rFonts w:hint="eastAsia"/>
                <w:szCs w:val="21"/>
              </w:rPr>
              <w:t>Y＜500</w:t>
            </w:r>
          </w:p>
        </w:tc>
      </w:tr>
      <w:tr w14:paraId="29F4C34B">
        <w:trPr>
          <w:trHeight w:val="220" w:hRule="atLeast"/>
        </w:trPr>
        <w:tc>
          <w:tcPr>
            <w:tcW w:w="1446" w:type="dxa"/>
            <w:vMerge w:val="restart"/>
            <w:tcBorders>
              <w:top w:val="nil"/>
              <w:left w:val="single" w:color="auto" w:sz="4" w:space="0"/>
              <w:bottom w:val="single" w:color="auto" w:sz="4" w:space="0"/>
              <w:right w:val="single" w:color="auto" w:sz="4" w:space="0"/>
            </w:tcBorders>
            <w:noWrap w:val="0"/>
            <w:vAlign w:val="bottom"/>
          </w:tcPr>
          <w:p w14:paraId="35D35CFF">
            <w:pPr>
              <w:widowControl/>
              <w:jc w:val="center"/>
              <w:rPr>
                <w:szCs w:val="21"/>
              </w:rPr>
            </w:pPr>
            <w:r>
              <w:rPr>
                <w:rFonts w:hint="eastAsia"/>
                <w:szCs w:val="21"/>
              </w:rPr>
              <w:t>租赁和商务服务业</w:t>
            </w:r>
          </w:p>
        </w:tc>
        <w:tc>
          <w:tcPr>
            <w:tcW w:w="1701" w:type="dxa"/>
            <w:tcBorders>
              <w:top w:val="nil"/>
              <w:left w:val="nil"/>
              <w:bottom w:val="single" w:color="auto" w:sz="4" w:space="0"/>
              <w:right w:val="single" w:color="auto" w:sz="4" w:space="0"/>
            </w:tcBorders>
            <w:noWrap w:val="0"/>
            <w:vAlign w:val="center"/>
          </w:tcPr>
          <w:p w14:paraId="6520B372">
            <w:pPr>
              <w:widowControl/>
              <w:jc w:val="left"/>
              <w:rPr>
                <w:szCs w:val="21"/>
              </w:rPr>
            </w:pPr>
            <w:r>
              <w:rPr>
                <w:rFonts w:hint="eastAsia"/>
                <w:szCs w:val="21"/>
              </w:rPr>
              <w:t>从业人员（X）</w:t>
            </w:r>
          </w:p>
        </w:tc>
        <w:tc>
          <w:tcPr>
            <w:tcW w:w="1134" w:type="dxa"/>
            <w:tcBorders>
              <w:top w:val="nil"/>
              <w:left w:val="nil"/>
              <w:bottom w:val="single" w:color="auto" w:sz="4" w:space="0"/>
              <w:right w:val="single" w:color="auto" w:sz="4" w:space="0"/>
            </w:tcBorders>
            <w:noWrap w:val="0"/>
            <w:vAlign w:val="center"/>
          </w:tcPr>
          <w:p w14:paraId="1EC045AA">
            <w:pPr>
              <w:widowControl/>
              <w:jc w:val="left"/>
              <w:rPr>
                <w:szCs w:val="21"/>
              </w:rPr>
            </w:pPr>
            <w:r>
              <w:rPr>
                <w:rFonts w:hint="eastAsia"/>
                <w:szCs w:val="21"/>
              </w:rPr>
              <w:t>人</w:t>
            </w:r>
          </w:p>
        </w:tc>
        <w:tc>
          <w:tcPr>
            <w:tcW w:w="1846" w:type="dxa"/>
            <w:tcBorders>
              <w:top w:val="nil"/>
              <w:left w:val="nil"/>
              <w:bottom w:val="single" w:color="auto" w:sz="4" w:space="0"/>
              <w:right w:val="single" w:color="auto" w:sz="4" w:space="0"/>
            </w:tcBorders>
            <w:noWrap w:val="0"/>
            <w:vAlign w:val="center"/>
          </w:tcPr>
          <w:p w14:paraId="008A7F29">
            <w:pPr>
              <w:widowControl/>
              <w:jc w:val="left"/>
              <w:rPr>
                <w:szCs w:val="21"/>
              </w:rPr>
            </w:pPr>
            <w:r>
              <w:rPr>
                <w:rFonts w:hint="eastAsia"/>
                <w:szCs w:val="21"/>
              </w:rPr>
              <w:t>100≤X＜300</w:t>
            </w:r>
          </w:p>
        </w:tc>
        <w:tc>
          <w:tcPr>
            <w:tcW w:w="1570" w:type="dxa"/>
            <w:tcBorders>
              <w:top w:val="nil"/>
              <w:left w:val="nil"/>
              <w:bottom w:val="single" w:color="auto" w:sz="4" w:space="0"/>
              <w:right w:val="single" w:color="auto" w:sz="4" w:space="0"/>
            </w:tcBorders>
            <w:noWrap w:val="0"/>
            <w:vAlign w:val="center"/>
          </w:tcPr>
          <w:p w14:paraId="2F0C9E35">
            <w:pPr>
              <w:widowControl/>
              <w:jc w:val="left"/>
              <w:rPr>
                <w:szCs w:val="21"/>
              </w:rPr>
            </w:pPr>
            <w:r>
              <w:rPr>
                <w:rFonts w:hint="eastAsia"/>
                <w:szCs w:val="21"/>
              </w:rPr>
              <w:t>10≤X＜100</w:t>
            </w:r>
          </w:p>
        </w:tc>
        <w:tc>
          <w:tcPr>
            <w:tcW w:w="1009" w:type="dxa"/>
            <w:tcBorders>
              <w:top w:val="nil"/>
              <w:left w:val="nil"/>
              <w:bottom w:val="single" w:color="auto" w:sz="4" w:space="0"/>
              <w:right w:val="single" w:color="auto" w:sz="4" w:space="0"/>
            </w:tcBorders>
            <w:noWrap w:val="0"/>
            <w:vAlign w:val="center"/>
          </w:tcPr>
          <w:p w14:paraId="7231F70E">
            <w:pPr>
              <w:widowControl/>
              <w:jc w:val="left"/>
              <w:rPr>
                <w:szCs w:val="21"/>
              </w:rPr>
            </w:pPr>
            <w:r>
              <w:rPr>
                <w:rFonts w:hint="eastAsia"/>
                <w:szCs w:val="21"/>
              </w:rPr>
              <w:t>X＜10</w:t>
            </w:r>
          </w:p>
        </w:tc>
      </w:tr>
      <w:tr w14:paraId="43B329DD">
        <w:trPr>
          <w:trHeight w:val="220" w:hRule="atLeast"/>
        </w:trPr>
        <w:tc>
          <w:tcPr>
            <w:tcW w:w="1446" w:type="dxa"/>
            <w:vMerge w:val="continue"/>
            <w:tcBorders>
              <w:top w:val="nil"/>
              <w:left w:val="single" w:color="auto" w:sz="4" w:space="0"/>
              <w:bottom w:val="single" w:color="auto" w:sz="4" w:space="0"/>
              <w:right w:val="single" w:color="auto" w:sz="4" w:space="0"/>
            </w:tcBorders>
            <w:noWrap w:val="0"/>
            <w:vAlign w:val="center"/>
          </w:tcPr>
          <w:p w14:paraId="7F7F846F">
            <w:pPr>
              <w:widowControl/>
              <w:jc w:val="left"/>
              <w:rPr>
                <w:szCs w:val="21"/>
              </w:rPr>
            </w:pPr>
          </w:p>
        </w:tc>
        <w:tc>
          <w:tcPr>
            <w:tcW w:w="1701" w:type="dxa"/>
            <w:tcBorders>
              <w:top w:val="nil"/>
              <w:left w:val="nil"/>
              <w:bottom w:val="single" w:color="auto" w:sz="4" w:space="0"/>
              <w:right w:val="single" w:color="auto" w:sz="4" w:space="0"/>
            </w:tcBorders>
            <w:noWrap w:val="0"/>
            <w:vAlign w:val="center"/>
          </w:tcPr>
          <w:p w14:paraId="4C2B3CC6">
            <w:pPr>
              <w:widowControl/>
              <w:jc w:val="left"/>
              <w:rPr>
                <w:szCs w:val="21"/>
              </w:rPr>
            </w:pPr>
            <w:r>
              <w:rPr>
                <w:rFonts w:hint="eastAsia"/>
                <w:szCs w:val="21"/>
              </w:rPr>
              <w:t>资产总额（Z）</w:t>
            </w:r>
          </w:p>
        </w:tc>
        <w:tc>
          <w:tcPr>
            <w:tcW w:w="1134" w:type="dxa"/>
            <w:tcBorders>
              <w:top w:val="nil"/>
              <w:left w:val="nil"/>
              <w:bottom w:val="single" w:color="auto" w:sz="4" w:space="0"/>
              <w:right w:val="single" w:color="auto" w:sz="4" w:space="0"/>
            </w:tcBorders>
            <w:noWrap w:val="0"/>
            <w:vAlign w:val="center"/>
          </w:tcPr>
          <w:p w14:paraId="6B3FA4D6">
            <w:pPr>
              <w:widowControl/>
              <w:jc w:val="left"/>
              <w:rPr>
                <w:szCs w:val="21"/>
              </w:rPr>
            </w:pPr>
            <w:r>
              <w:rPr>
                <w:rFonts w:hint="eastAsia"/>
                <w:szCs w:val="21"/>
              </w:rPr>
              <w:t>万元</w:t>
            </w:r>
          </w:p>
        </w:tc>
        <w:tc>
          <w:tcPr>
            <w:tcW w:w="1846" w:type="dxa"/>
            <w:tcBorders>
              <w:top w:val="nil"/>
              <w:left w:val="nil"/>
              <w:bottom w:val="single" w:color="auto" w:sz="4" w:space="0"/>
              <w:right w:val="single" w:color="auto" w:sz="4" w:space="0"/>
            </w:tcBorders>
            <w:noWrap w:val="0"/>
            <w:vAlign w:val="center"/>
          </w:tcPr>
          <w:p w14:paraId="4B63997A">
            <w:pPr>
              <w:widowControl/>
              <w:jc w:val="left"/>
              <w:rPr>
                <w:szCs w:val="21"/>
              </w:rPr>
            </w:pPr>
            <w:r>
              <w:rPr>
                <w:rFonts w:hint="eastAsia"/>
                <w:szCs w:val="21"/>
              </w:rPr>
              <w:t>8000≤Z＜120000</w:t>
            </w:r>
          </w:p>
        </w:tc>
        <w:tc>
          <w:tcPr>
            <w:tcW w:w="1570" w:type="dxa"/>
            <w:tcBorders>
              <w:top w:val="nil"/>
              <w:left w:val="nil"/>
              <w:bottom w:val="single" w:color="auto" w:sz="4" w:space="0"/>
              <w:right w:val="single" w:color="auto" w:sz="4" w:space="0"/>
            </w:tcBorders>
            <w:noWrap w:val="0"/>
            <w:vAlign w:val="center"/>
          </w:tcPr>
          <w:p w14:paraId="20991F69">
            <w:pPr>
              <w:widowControl/>
              <w:jc w:val="left"/>
              <w:rPr>
                <w:szCs w:val="21"/>
              </w:rPr>
            </w:pPr>
            <w:r>
              <w:rPr>
                <w:rFonts w:hint="eastAsia"/>
                <w:szCs w:val="21"/>
              </w:rPr>
              <w:t>100≤Z＜8000</w:t>
            </w:r>
          </w:p>
        </w:tc>
        <w:tc>
          <w:tcPr>
            <w:tcW w:w="1009" w:type="dxa"/>
            <w:tcBorders>
              <w:top w:val="nil"/>
              <w:left w:val="nil"/>
              <w:bottom w:val="single" w:color="auto" w:sz="4" w:space="0"/>
              <w:right w:val="single" w:color="auto" w:sz="4" w:space="0"/>
            </w:tcBorders>
            <w:noWrap w:val="0"/>
            <w:vAlign w:val="center"/>
          </w:tcPr>
          <w:p w14:paraId="320EFF61">
            <w:pPr>
              <w:widowControl/>
              <w:jc w:val="left"/>
              <w:rPr>
                <w:szCs w:val="21"/>
              </w:rPr>
            </w:pPr>
            <w:r>
              <w:rPr>
                <w:rFonts w:hint="eastAsia"/>
                <w:szCs w:val="21"/>
              </w:rPr>
              <w:t>Y＜100</w:t>
            </w:r>
          </w:p>
        </w:tc>
      </w:tr>
      <w:tr w14:paraId="3A07DB02">
        <w:tblPrEx>
          <w:tblCellMar>
            <w:top w:w="0" w:type="dxa"/>
            <w:left w:w="108" w:type="dxa"/>
            <w:bottom w:w="0" w:type="dxa"/>
            <w:right w:w="108" w:type="dxa"/>
          </w:tblCellMar>
        </w:tblPrEx>
        <w:trPr>
          <w:trHeight w:val="220" w:hRule="atLeast"/>
        </w:trPr>
        <w:tc>
          <w:tcPr>
            <w:tcW w:w="1446" w:type="dxa"/>
            <w:tcBorders>
              <w:top w:val="nil"/>
              <w:left w:val="single" w:color="auto" w:sz="4" w:space="0"/>
              <w:bottom w:val="single" w:color="auto" w:sz="4" w:space="0"/>
              <w:right w:val="single" w:color="auto" w:sz="4" w:space="0"/>
            </w:tcBorders>
            <w:noWrap w:val="0"/>
            <w:vAlign w:val="bottom"/>
          </w:tcPr>
          <w:p w14:paraId="35868CD9">
            <w:pPr>
              <w:widowControl/>
              <w:jc w:val="center"/>
              <w:rPr>
                <w:szCs w:val="21"/>
              </w:rPr>
            </w:pPr>
            <w:r>
              <w:rPr>
                <w:rFonts w:hint="eastAsia"/>
                <w:szCs w:val="21"/>
              </w:rPr>
              <w:t>其他未列明行业</w:t>
            </w:r>
          </w:p>
        </w:tc>
        <w:tc>
          <w:tcPr>
            <w:tcW w:w="1701" w:type="dxa"/>
            <w:tcBorders>
              <w:top w:val="nil"/>
              <w:left w:val="nil"/>
              <w:bottom w:val="single" w:color="auto" w:sz="4" w:space="0"/>
              <w:right w:val="single" w:color="auto" w:sz="4" w:space="0"/>
            </w:tcBorders>
            <w:noWrap w:val="0"/>
            <w:vAlign w:val="center"/>
          </w:tcPr>
          <w:p w14:paraId="33EB167A">
            <w:pPr>
              <w:widowControl/>
              <w:jc w:val="left"/>
              <w:rPr>
                <w:szCs w:val="21"/>
              </w:rPr>
            </w:pPr>
            <w:r>
              <w:rPr>
                <w:rFonts w:hint="eastAsia"/>
                <w:szCs w:val="21"/>
              </w:rPr>
              <w:t>从业人员（X）</w:t>
            </w:r>
          </w:p>
        </w:tc>
        <w:tc>
          <w:tcPr>
            <w:tcW w:w="1134" w:type="dxa"/>
            <w:tcBorders>
              <w:top w:val="nil"/>
              <w:left w:val="nil"/>
              <w:bottom w:val="single" w:color="auto" w:sz="4" w:space="0"/>
              <w:right w:val="single" w:color="auto" w:sz="4" w:space="0"/>
            </w:tcBorders>
            <w:noWrap w:val="0"/>
            <w:vAlign w:val="center"/>
          </w:tcPr>
          <w:p w14:paraId="4D938F12">
            <w:pPr>
              <w:widowControl/>
              <w:jc w:val="left"/>
              <w:rPr>
                <w:szCs w:val="21"/>
              </w:rPr>
            </w:pPr>
            <w:r>
              <w:rPr>
                <w:rFonts w:hint="eastAsia"/>
                <w:szCs w:val="21"/>
              </w:rPr>
              <w:t>人</w:t>
            </w:r>
          </w:p>
        </w:tc>
        <w:tc>
          <w:tcPr>
            <w:tcW w:w="1846" w:type="dxa"/>
            <w:tcBorders>
              <w:top w:val="nil"/>
              <w:left w:val="nil"/>
              <w:bottom w:val="single" w:color="auto" w:sz="4" w:space="0"/>
              <w:right w:val="single" w:color="auto" w:sz="4" w:space="0"/>
            </w:tcBorders>
            <w:noWrap w:val="0"/>
            <w:vAlign w:val="center"/>
          </w:tcPr>
          <w:p w14:paraId="0AA520E3">
            <w:pPr>
              <w:widowControl/>
              <w:jc w:val="left"/>
              <w:rPr>
                <w:szCs w:val="21"/>
              </w:rPr>
            </w:pPr>
            <w:r>
              <w:rPr>
                <w:rFonts w:hint="eastAsia"/>
                <w:szCs w:val="21"/>
              </w:rPr>
              <w:t>100≤X＜300</w:t>
            </w:r>
          </w:p>
        </w:tc>
        <w:tc>
          <w:tcPr>
            <w:tcW w:w="1570" w:type="dxa"/>
            <w:tcBorders>
              <w:top w:val="nil"/>
              <w:left w:val="nil"/>
              <w:bottom w:val="single" w:color="auto" w:sz="4" w:space="0"/>
              <w:right w:val="single" w:color="auto" w:sz="4" w:space="0"/>
            </w:tcBorders>
            <w:noWrap w:val="0"/>
            <w:vAlign w:val="center"/>
          </w:tcPr>
          <w:p w14:paraId="501DB5E5">
            <w:pPr>
              <w:widowControl/>
              <w:jc w:val="left"/>
              <w:rPr>
                <w:szCs w:val="21"/>
              </w:rPr>
            </w:pPr>
            <w:r>
              <w:rPr>
                <w:rFonts w:hint="eastAsia"/>
                <w:szCs w:val="21"/>
              </w:rPr>
              <w:t>10≤X＜100</w:t>
            </w:r>
          </w:p>
        </w:tc>
        <w:tc>
          <w:tcPr>
            <w:tcW w:w="1009" w:type="dxa"/>
            <w:tcBorders>
              <w:top w:val="nil"/>
              <w:left w:val="nil"/>
              <w:bottom w:val="single" w:color="auto" w:sz="4" w:space="0"/>
              <w:right w:val="single" w:color="auto" w:sz="4" w:space="0"/>
            </w:tcBorders>
            <w:noWrap w:val="0"/>
            <w:vAlign w:val="center"/>
          </w:tcPr>
          <w:p w14:paraId="2F33C22A">
            <w:pPr>
              <w:widowControl/>
              <w:jc w:val="left"/>
              <w:rPr>
                <w:szCs w:val="21"/>
              </w:rPr>
            </w:pPr>
            <w:r>
              <w:rPr>
                <w:rFonts w:hint="eastAsia"/>
                <w:szCs w:val="21"/>
              </w:rPr>
              <w:t>X＜10</w:t>
            </w:r>
          </w:p>
        </w:tc>
      </w:tr>
    </w:tbl>
    <w:p w14:paraId="670354B4">
      <w:pPr>
        <w:spacing w:line="360" w:lineRule="auto"/>
        <w:ind w:firstLine="525" w:firstLineChars="250"/>
        <w:rPr>
          <w:szCs w:val="21"/>
        </w:rPr>
      </w:pPr>
      <w:r>
        <w:rPr>
          <w:rFonts w:hint="eastAsia"/>
          <w:szCs w:val="21"/>
        </w:rPr>
        <w:t>说明：上述标准参照《关于印发中小企业划型标准规定的通知》（工信部联企业</w:t>
      </w:r>
      <w:r>
        <w:rPr>
          <w:rFonts w:hint="eastAsia"/>
          <w:szCs w:val="21"/>
          <w:lang w:eastAsia="zh-CN"/>
        </w:rPr>
        <w:t>〔2011〕300号</w:t>
      </w:r>
      <w:r>
        <w:rPr>
          <w:rFonts w:hint="eastAsia"/>
          <w:szCs w:val="21"/>
        </w:rPr>
        <w:t>），大型、中型和小型企业须同时满足所列指标的下限，否则下划一档；微型企业只须满足所列指标中的一项即可。</w:t>
      </w:r>
    </w:p>
    <w:p w14:paraId="5182BC0B">
      <w:pPr>
        <w:spacing w:line="360" w:lineRule="auto"/>
        <w:jc w:val="left"/>
        <w:rPr>
          <w:rFonts w:hint="eastAsia"/>
          <w:bCs/>
          <w:szCs w:val="21"/>
        </w:rPr>
      </w:pPr>
    </w:p>
    <w:p w14:paraId="2FBBBE3F">
      <w:pPr>
        <w:spacing w:line="360" w:lineRule="auto"/>
        <w:jc w:val="left"/>
        <w:rPr>
          <w:rFonts w:hint="eastAsia"/>
          <w:bCs/>
          <w:szCs w:val="21"/>
        </w:rPr>
      </w:pPr>
    </w:p>
    <w:p w14:paraId="655B0611">
      <w:pPr>
        <w:spacing w:line="360" w:lineRule="auto"/>
        <w:jc w:val="left"/>
        <w:rPr>
          <w:rFonts w:hint="eastAsia"/>
          <w:bCs/>
          <w:szCs w:val="21"/>
        </w:rPr>
      </w:pPr>
    </w:p>
    <w:p w14:paraId="54EEC355">
      <w:pPr>
        <w:spacing w:line="360" w:lineRule="auto"/>
        <w:jc w:val="left"/>
        <w:rPr>
          <w:rFonts w:hint="eastAsia"/>
          <w:bCs/>
          <w:szCs w:val="21"/>
        </w:rPr>
      </w:pPr>
    </w:p>
    <w:p w14:paraId="1BAD347D">
      <w:pPr>
        <w:spacing w:line="360" w:lineRule="auto"/>
        <w:jc w:val="left"/>
        <w:rPr>
          <w:rFonts w:hint="eastAsia"/>
          <w:bCs/>
          <w:szCs w:val="21"/>
        </w:rPr>
      </w:pPr>
    </w:p>
    <w:p w14:paraId="32E23BF9">
      <w:pPr>
        <w:snapToGrid w:val="0"/>
        <w:spacing w:before="50" w:after="120" w:afterLines="50"/>
        <w:jc w:val="left"/>
        <w:rPr>
          <w:szCs w:val="21"/>
        </w:rPr>
      </w:pPr>
      <w:r>
        <w:rPr>
          <w:szCs w:val="21"/>
        </w:rPr>
        <w:t>6.2监狱企业须提供最新一期《XX省监狱企业产品目录》或其他监狱企业证明材料。（非监狱企业无需提供）</w:t>
      </w:r>
    </w:p>
    <w:p w14:paraId="70DD1B4B">
      <w:pPr>
        <w:snapToGrid w:val="0"/>
        <w:spacing w:before="50" w:after="120" w:afterLines="50"/>
        <w:jc w:val="left"/>
        <w:rPr>
          <w:szCs w:val="21"/>
        </w:rPr>
      </w:pPr>
    </w:p>
    <w:p w14:paraId="328203EE">
      <w:pPr>
        <w:widowControl/>
        <w:jc w:val="left"/>
        <w:rPr>
          <w:szCs w:val="21"/>
        </w:rPr>
      </w:pPr>
      <w:r>
        <w:rPr>
          <w:szCs w:val="21"/>
        </w:rPr>
        <w:t>6.3</w:t>
      </w:r>
      <w:r>
        <w:t>残疾人福利性单位须提供《残疾人福利性单位声明函》，格式如下。</w:t>
      </w:r>
      <w:r>
        <w:rPr>
          <w:szCs w:val="21"/>
        </w:rPr>
        <w:t>（非残疾人福利性单位无需提供）</w:t>
      </w:r>
    </w:p>
    <w:p w14:paraId="1317F8B9">
      <w:pPr>
        <w:spacing w:line="360" w:lineRule="auto"/>
        <w:jc w:val="center"/>
        <w:rPr>
          <w:b/>
          <w:szCs w:val="21"/>
        </w:rPr>
      </w:pPr>
      <w:r>
        <w:rPr>
          <w:b/>
          <w:szCs w:val="21"/>
        </w:rPr>
        <w:t>残疾人福利性单位声明函</w:t>
      </w:r>
    </w:p>
    <w:p w14:paraId="16D3085F">
      <w:pPr>
        <w:spacing w:line="360" w:lineRule="auto"/>
        <w:ind w:firstLine="420"/>
        <w:jc w:val="left"/>
        <w:rPr>
          <w:szCs w:val="21"/>
        </w:rPr>
      </w:pPr>
      <w:r>
        <w:rPr>
          <w:szCs w:val="21"/>
        </w:rPr>
        <w:t>本单位郑重声明，根据《财政部 民政部 中国残疾人联合会关于促进残疾人就业政府采购政策的通知》（财库〔2017〕141号）的规定，本单位为符合条件的残疾人福利性单位，且本单位参加</w:t>
      </w:r>
      <w:r>
        <w:rPr>
          <w:szCs w:val="21"/>
          <w:u w:val="single"/>
        </w:rPr>
        <w:t xml:space="preserve">        </w:t>
      </w:r>
      <w:r>
        <w:rPr>
          <w:szCs w:val="21"/>
        </w:rPr>
        <w:t>单位的</w:t>
      </w:r>
      <w:r>
        <w:rPr>
          <w:szCs w:val="21"/>
          <w:u w:val="single"/>
        </w:rPr>
        <w:t xml:space="preserve">           </w:t>
      </w:r>
      <w:r>
        <w:rPr>
          <w:szCs w:val="21"/>
        </w:rPr>
        <w:t>项目采购活动提供本单位制造的货物（由本单位承担工程/提供服务），或者提供其他残疾人福利性单位制造的货物（不包括使用非残疾人福利性单位注册商标的货物）。</w:t>
      </w:r>
    </w:p>
    <w:p w14:paraId="3FBB8C7E">
      <w:pPr>
        <w:spacing w:line="360" w:lineRule="auto"/>
        <w:ind w:firstLine="420"/>
        <w:rPr>
          <w:szCs w:val="21"/>
        </w:rPr>
      </w:pPr>
      <w:r>
        <w:rPr>
          <w:szCs w:val="21"/>
        </w:rPr>
        <w:t>本单位对上述声明的真实性负责。如有虚假，将依法承担相应责任。</w:t>
      </w:r>
    </w:p>
    <w:p w14:paraId="690EBD1F">
      <w:pPr>
        <w:spacing w:line="360" w:lineRule="auto"/>
        <w:ind w:firstLine="420"/>
        <w:jc w:val="right"/>
        <w:rPr>
          <w:spacing w:val="6"/>
          <w:szCs w:val="21"/>
        </w:rPr>
      </w:pPr>
      <w:r>
        <w:rPr>
          <w:spacing w:val="6"/>
          <w:sz w:val="30"/>
          <w:szCs w:val="30"/>
        </w:rPr>
        <w:t xml:space="preserve"> </w:t>
      </w:r>
      <w:r>
        <w:rPr>
          <w:spacing w:val="6"/>
          <w:szCs w:val="21"/>
        </w:rPr>
        <w:t xml:space="preserve"> </w:t>
      </w:r>
      <w:r>
        <w:rPr>
          <w:rFonts w:hint="eastAsia"/>
          <w:spacing w:val="6"/>
          <w:szCs w:val="21"/>
        </w:rPr>
        <w:t xml:space="preserve">                                            </w:t>
      </w:r>
      <w:r>
        <w:rPr>
          <w:spacing w:val="6"/>
          <w:szCs w:val="21"/>
        </w:rPr>
        <w:t>单位名称</w:t>
      </w:r>
      <w:r>
        <w:rPr>
          <w:rFonts w:hint="eastAsia"/>
          <w:szCs w:val="21"/>
        </w:rPr>
        <w:t>(电子签章</w:t>
      </w:r>
      <w:r>
        <w:rPr>
          <w:szCs w:val="21"/>
        </w:rPr>
        <w:t>)</w:t>
      </w:r>
      <w:r>
        <w:rPr>
          <w:spacing w:val="6"/>
          <w:szCs w:val="21"/>
        </w:rPr>
        <w:t xml:space="preserve">：          </w:t>
      </w:r>
    </w:p>
    <w:p w14:paraId="7FF32C7F">
      <w:pPr>
        <w:spacing w:line="360" w:lineRule="auto"/>
        <w:ind w:firstLine="420"/>
        <w:jc w:val="right"/>
        <w:rPr>
          <w:spacing w:val="6"/>
          <w:szCs w:val="21"/>
        </w:rPr>
      </w:pPr>
      <w:r>
        <w:rPr>
          <w:spacing w:val="6"/>
          <w:szCs w:val="21"/>
        </w:rPr>
        <w:t xml:space="preserve"> </w:t>
      </w:r>
      <w:r>
        <w:rPr>
          <w:rFonts w:hint="eastAsia"/>
          <w:spacing w:val="6"/>
          <w:szCs w:val="21"/>
        </w:rPr>
        <w:t xml:space="preserve">                                                      </w:t>
      </w:r>
      <w:r>
        <w:rPr>
          <w:spacing w:val="6"/>
          <w:szCs w:val="21"/>
        </w:rPr>
        <w:t>日  期：</w:t>
      </w:r>
    </w:p>
    <w:p w14:paraId="33F0D4EE">
      <w:pPr>
        <w:spacing w:line="360" w:lineRule="auto"/>
        <w:rPr>
          <w:szCs w:val="21"/>
        </w:rPr>
      </w:pPr>
    </w:p>
    <w:p w14:paraId="30A089BE">
      <w:pPr>
        <w:widowControl/>
        <w:jc w:val="left"/>
        <w:rPr>
          <w:szCs w:val="21"/>
        </w:rPr>
      </w:pPr>
      <w:r>
        <w:rPr>
          <w:szCs w:val="21"/>
        </w:rPr>
        <w:br w:type="page"/>
      </w:r>
    </w:p>
    <w:bookmarkEnd w:id="138"/>
    <w:bookmarkEnd w:id="139"/>
    <w:p w14:paraId="6D4DFC47">
      <w:pPr>
        <w:snapToGrid w:val="0"/>
        <w:spacing w:before="50" w:after="120" w:afterLines="50" w:line="440" w:lineRule="exact"/>
        <w:jc w:val="left"/>
        <w:rPr>
          <w:b/>
          <w:szCs w:val="21"/>
        </w:rPr>
      </w:pPr>
      <w:r>
        <w:rPr>
          <w:szCs w:val="21"/>
        </w:rPr>
        <w:t>7．</w:t>
      </w:r>
      <w:r>
        <w:t>满足供应商特定资格条件的其他证明材料</w:t>
      </w:r>
      <w:r>
        <w:rPr>
          <w:szCs w:val="21"/>
        </w:rPr>
        <w:t>加盖供应商</w:t>
      </w:r>
      <w:r>
        <w:rPr>
          <w:rFonts w:hint="eastAsia"/>
          <w:szCs w:val="21"/>
        </w:rPr>
        <w:t>电子签章</w:t>
      </w:r>
      <w:r>
        <w:t>（</w:t>
      </w:r>
      <w:r>
        <w:rPr>
          <w:szCs w:val="21"/>
        </w:rPr>
        <w:t>按“评审方法及标准” “资格审查表”“</w:t>
      </w:r>
      <w:r>
        <w:rPr>
          <w:szCs w:val="21"/>
          <w:lang w:val="zh-CN"/>
        </w:rPr>
        <w:t xml:space="preserve"> 供应商应符合的</w:t>
      </w:r>
      <w:r>
        <w:rPr>
          <w:szCs w:val="21"/>
        </w:rPr>
        <w:t>特定资格条件”规定提供</w:t>
      </w:r>
      <w:r>
        <w:t>）。</w:t>
      </w:r>
      <w:r>
        <w:rPr>
          <w:rFonts w:hint="eastAsia"/>
          <w:b/>
          <w:szCs w:val="21"/>
        </w:rPr>
        <w:t>（如招标文件有要求时提供）</w:t>
      </w:r>
    </w:p>
    <w:p w14:paraId="272C9CE5">
      <w:pPr>
        <w:snapToGrid w:val="0"/>
        <w:spacing w:before="50" w:after="120" w:afterLines="50" w:line="440" w:lineRule="exact"/>
        <w:jc w:val="left"/>
      </w:pPr>
    </w:p>
    <w:p w14:paraId="40536B95">
      <w:pPr>
        <w:widowControl/>
        <w:jc w:val="left"/>
      </w:pPr>
      <w:r>
        <w:br w:type="page"/>
      </w:r>
    </w:p>
    <w:p w14:paraId="51331710">
      <w:pPr>
        <w:snapToGrid w:val="0"/>
        <w:spacing w:before="50" w:after="120" w:afterLines="50" w:line="360" w:lineRule="auto"/>
        <w:jc w:val="left"/>
        <w:rPr>
          <w:szCs w:val="21"/>
        </w:rPr>
      </w:pPr>
      <w:bookmarkStart w:id="140" w:name="_Hlk93048232"/>
      <w:r>
        <w:rPr>
          <w:szCs w:val="21"/>
        </w:rPr>
        <w:t>7.1</w:t>
      </w:r>
      <w:r>
        <w:rPr>
          <w:rFonts w:hint="eastAsia"/>
          <w:szCs w:val="21"/>
        </w:rPr>
        <w:t>投标人直接控股股东信息表</w:t>
      </w:r>
    </w:p>
    <w:tbl>
      <w:tblPr>
        <w:tblStyle w:val="51"/>
        <w:tblW w:w="0" w:type="auto"/>
        <w:tblInd w:w="0" w:type="dxa"/>
        <w:tblLayout w:type="fixed"/>
        <w:tblCellMar>
          <w:top w:w="0" w:type="dxa"/>
          <w:left w:w="0" w:type="dxa"/>
          <w:bottom w:w="0" w:type="dxa"/>
          <w:right w:w="0" w:type="dxa"/>
        </w:tblCellMar>
      </w:tblPr>
      <w:tblGrid>
        <w:gridCol w:w="828"/>
        <w:gridCol w:w="2269"/>
        <w:gridCol w:w="1239"/>
        <w:gridCol w:w="3722"/>
        <w:gridCol w:w="1418"/>
      </w:tblGrid>
      <w:tr w14:paraId="2F928DA6">
        <w:trPr>
          <w:tblHeader/>
        </w:trPr>
        <w:tc>
          <w:tcPr>
            <w:tcW w:w="828" w:type="dxa"/>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6ECAAEAA">
            <w:pPr>
              <w:spacing w:line="360" w:lineRule="auto"/>
              <w:jc w:val="center"/>
              <w:rPr>
                <w:szCs w:val="21"/>
              </w:rPr>
            </w:pPr>
            <w:r>
              <w:rPr>
                <w:rFonts w:hint="eastAsia"/>
                <w:szCs w:val="21"/>
              </w:rPr>
              <w:t>序号</w:t>
            </w:r>
          </w:p>
        </w:tc>
        <w:tc>
          <w:tcPr>
            <w:tcW w:w="2269" w:type="dxa"/>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0B366077">
            <w:pPr>
              <w:spacing w:line="360" w:lineRule="auto"/>
              <w:jc w:val="center"/>
              <w:rPr>
                <w:szCs w:val="21"/>
              </w:rPr>
            </w:pPr>
            <w:r>
              <w:rPr>
                <w:rFonts w:hint="eastAsia"/>
                <w:szCs w:val="21"/>
              </w:rPr>
              <w:t>直接控股股东名称</w:t>
            </w:r>
          </w:p>
        </w:tc>
        <w:tc>
          <w:tcPr>
            <w:tcW w:w="1239" w:type="dxa"/>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78F3F66D">
            <w:pPr>
              <w:spacing w:line="360" w:lineRule="auto"/>
              <w:jc w:val="center"/>
              <w:rPr>
                <w:szCs w:val="21"/>
              </w:rPr>
            </w:pPr>
            <w:r>
              <w:rPr>
                <w:rFonts w:hint="eastAsia"/>
                <w:szCs w:val="21"/>
              </w:rPr>
              <w:t>出资比例</w:t>
            </w:r>
          </w:p>
        </w:tc>
        <w:tc>
          <w:tcPr>
            <w:tcW w:w="3722" w:type="dxa"/>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6E2CDE16">
            <w:pPr>
              <w:spacing w:line="360" w:lineRule="auto"/>
              <w:jc w:val="center"/>
              <w:rPr>
                <w:szCs w:val="21"/>
              </w:rPr>
            </w:pPr>
            <w:r>
              <w:rPr>
                <w:rFonts w:hint="eastAsia"/>
                <w:szCs w:val="21"/>
              </w:rPr>
              <w:t>身份证号码或者统一社会信用代码</w:t>
            </w:r>
          </w:p>
        </w:tc>
        <w:tc>
          <w:tcPr>
            <w:tcW w:w="1418" w:type="dxa"/>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6186FCA8">
            <w:pPr>
              <w:spacing w:line="360" w:lineRule="auto"/>
              <w:jc w:val="center"/>
              <w:rPr>
                <w:szCs w:val="21"/>
              </w:rPr>
            </w:pPr>
            <w:r>
              <w:rPr>
                <w:rFonts w:hint="eastAsia"/>
                <w:szCs w:val="21"/>
              </w:rPr>
              <w:t>备注</w:t>
            </w:r>
          </w:p>
        </w:tc>
      </w:tr>
      <w:tr w14:paraId="4FDFD063">
        <w:tblPrEx>
          <w:tblCellMar>
            <w:top w:w="0" w:type="dxa"/>
            <w:left w:w="0" w:type="dxa"/>
            <w:bottom w:w="0" w:type="dxa"/>
            <w:right w:w="0" w:type="dxa"/>
          </w:tblCellMar>
        </w:tblPrEx>
        <w:tc>
          <w:tcPr>
            <w:tcW w:w="828" w:type="dxa"/>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4830DAB3">
            <w:pPr>
              <w:spacing w:line="360" w:lineRule="auto"/>
              <w:jc w:val="center"/>
              <w:rPr>
                <w:szCs w:val="21"/>
              </w:rPr>
            </w:pPr>
            <w:r>
              <w:rPr>
                <w:szCs w:val="21"/>
              </w:rPr>
              <w:t>1</w:t>
            </w:r>
          </w:p>
        </w:tc>
        <w:tc>
          <w:tcPr>
            <w:tcW w:w="2269" w:type="dxa"/>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73465A9C">
            <w:pPr>
              <w:spacing w:line="360" w:lineRule="auto"/>
              <w:jc w:val="center"/>
              <w:rPr>
                <w:szCs w:val="21"/>
              </w:rPr>
            </w:pPr>
          </w:p>
        </w:tc>
        <w:tc>
          <w:tcPr>
            <w:tcW w:w="1239" w:type="dxa"/>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3B5764AC">
            <w:pPr>
              <w:spacing w:line="360" w:lineRule="auto"/>
              <w:jc w:val="center"/>
              <w:rPr>
                <w:szCs w:val="21"/>
              </w:rPr>
            </w:pPr>
          </w:p>
        </w:tc>
        <w:tc>
          <w:tcPr>
            <w:tcW w:w="3722" w:type="dxa"/>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69E1BC48">
            <w:pPr>
              <w:spacing w:line="360" w:lineRule="auto"/>
              <w:jc w:val="center"/>
              <w:rPr>
                <w:szCs w:val="21"/>
              </w:rPr>
            </w:pPr>
          </w:p>
        </w:tc>
        <w:tc>
          <w:tcPr>
            <w:tcW w:w="1418" w:type="dxa"/>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6C030474">
            <w:pPr>
              <w:spacing w:line="360" w:lineRule="auto"/>
              <w:jc w:val="center"/>
              <w:rPr>
                <w:szCs w:val="21"/>
              </w:rPr>
            </w:pPr>
          </w:p>
        </w:tc>
      </w:tr>
      <w:tr w14:paraId="0A6ECF3A">
        <w:tblPrEx>
          <w:tblCellMar>
            <w:top w:w="0" w:type="dxa"/>
            <w:left w:w="0" w:type="dxa"/>
            <w:bottom w:w="0" w:type="dxa"/>
            <w:right w:w="0" w:type="dxa"/>
          </w:tblCellMar>
        </w:tblPrEx>
        <w:tc>
          <w:tcPr>
            <w:tcW w:w="828" w:type="dxa"/>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3DC1C4DD">
            <w:pPr>
              <w:spacing w:line="360" w:lineRule="auto"/>
              <w:jc w:val="center"/>
              <w:rPr>
                <w:szCs w:val="21"/>
              </w:rPr>
            </w:pPr>
            <w:r>
              <w:rPr>
                <w:szCs w:val="21"/>
              </w:rPr>
              <w:t>2</w:t>
            </w:r>
          </w:p>
        </w:tc>
        <w:tc>
          <w:tcPr>
            <w:tcW w:w="2269" w:type="dxa"/>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778E0C86">
            <w:pPr>
              <w:spacing w:line="360" w:lineRule="auto"/>
              <w:jc w:val="center"/>
              <w:rPr>
                <w:szCs w:val="21"/>
              </w:rPr>
            </w:pPr>
          </w:p>
        </w:tc>
        <w:tc>
          <w:tcPr>
            <w:tcW w:w="1239" w:type="dxa"/>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0862793F">
            <w:pPr>
              <w:spacing w:line="360" w:lineRule="auto"/>
              <w:jc w:val="center"/>
              <w:rPr>
                <w:szCs w:val="21"/>
              </w:rPr>
            </w:pPr>
          </w:p>
        </w:tc>
        <w:tc>
          <w:tcPr>
            <w:tcW w:w="3722" w:type="dxa"/>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318C876B">
            <w:pPr>
              <w:spacing w:line="360" w:lineRule="auto"/>
              <w:jc w:val="center"/>
              <w:rPr>
                <w:szCs w:val="21"/>
              </w:rPr>
            </w:pPr>
          </w:p>
        </w:tc>
        <w:tc>
          <w:tcPr>
            <w:tcW w:w="1418" w:type="dxa"/>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3B510060">
            <w:pPr>
              <w:spacing w:line="360" w:lineRule="auto"/>
              <w:jc w:val="center"/>
              <w:rPr>
                <w:szCs w:val="21"/>
              </w:rPr>
            </w:pPr>
          </w:p>
        </w:tc>
      </w:tr>
      <w:tr w14:paraId="79B4EBB6">
        <w:tblPrEx>
          <w:tblCellMar>
            <w:top w:w="0" w:type="dxa"/>
            <w:left w:w="0" w:type="dxa"/>
            <w:bottom w:w="0" w:type="dxa"/>
            <w:right w:w="0" w:type="dxa"/>
          </w:tblCellMar>
        </w:tblPrEx>
        <w:tc>
          <w:tcPr>
            <w:tcW w:w="828" w:type="dxa"/>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7A8E9548">
            <w:pPr>
              <w:spacing w:line="360" w:lineRule="auto"/>
              <w:jc w:val="center"/>
              <w:rPr>
                <w:szCs w:val="21"/>
              </w:rPr>
            </w:pPr>
            <w:r>
              <w:rPr>
                <w:szCs w:val="21"/>
              </w:rPr>
              <w:t>3</w:t>
            </w:r>
          </w:p>
        </w:tc>
        <w:tc>
          <w:tcPr>
            <w:tcW w:w="2269" w:type="dxa"/>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379BC6C2">
            <w:pPr>
              <w:spacing w:line="360" w:lineRule="auto"/>
              <w:jc w:val="center"/>
              <w:rPr>
                <w:szCs w:val="21"/>
              </w:rPr>
            </w:pPr>
          </w:p>
        </w:tc>
        <w:tc>
          <w:tcPr>
            <w:tcW w:w="1239" w:type="dxa"/>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67CB6F58">
            <w:pPr>
              <w:spacing w:line="360" w:lineRule="auto"/>
              <w:jc w:val="center"/>
              <w:rPr>
                <w:szCs w:val="21"/>
              </w:rPr>
            </w:pPr>
          </w:p>
        </w:tc>
        <w:tc>
          <w:tcPr>
            <w:tcW w:w="3722" w:type="dxa"/>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4B0B7155">
            <w:pPr>
              <w:spacing w:line="360" w:lineRule="auto"/>
              <w:jc w:val="center"/>
              <w:rPr>
                <w:szCs w:val="21"/>
              </w:rPr>
            </w:pPr>
          </w:p>
        </w:tc>
        <w:tc>
          <w:tcPr>
            <w:tcW w:w="1418" w:type="dxa"/>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3F6DF420">
            <w:pPr>
              <w:spacing w:line="360" w:lineRule="auto"/>
              <w:jc w:val="center"/>
              <w:rPr>
                <w:szCs w:val="21"/>
              </w:rPr>
            </w:pPr>
          </w:p>
        </w:tc>
      </w:tr>
      <w:tr w14:paraId="41149F19">
        <w:tblPrEx>
          <w:tblCellMar>
            <w:top w:w="0" w:type="dxa"/>
            <w:left w:w="0" w:type="dxa"/>
            <w:bottom w:w="0" w:type="dxa"/>
            <w:right w:w="0" w:type="dxa"/>
          </w:tblCellMar>
        </w:tblPrEx>
        <w:tc>
          <w:tcPr>
            <w:tcW w:w="828" w:type="dxa"/>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5F6DC5CE">
            <w:pPr>
              <w:spacing w:line="360" w:lineRule="auto"/>
              <w:jc w:val="center"/>
              <w:rPr>
                <w:szCs w:val="21"/>
              </w:rPr>
            </w:pPr>
            <w:r>
              <w:rPr>
                <w:rFonts w:hint="eastAsia"/>
                <w:szCs w:val="21"/>
              </w:rPr>
              <w:t>……</w:t>
            </w:r>
          </w:p>
        </w:tc>
        <w:tc>
          <w:tcPr>
            <w:tcW w:w="2269" w:type="dxa"/>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25F57736">
            <w:pPr>
              <w:spacing w:line="360" w:lineRule="auto"/>
              <w:jc w:val="center"/>
              <w:rPr>
                <w:szCs w:val="21"/>
              </w:rPr>
            </w:pPr>
          </w:p>
        </w:tc>
        <w:tc>
          <w:tcPr>
            <w:tcW w:w="1239" w:type="dxa"/>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38962E35">
            <w:pPr>
              <w:spacing w:line="360" w:lineRule="auto"/>
              <w:jc w:val="center"/>
              <w:rPr>
                <w:szCs w:val="21"/>
              </w:rPr>
            </w:pPr>
          </w:p>
        </w:tc>
        <w:tc>
          <w:tcPr>
            <w:tcW w:w="3722" w:type="dxa"/>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35006F24">
            <w:pPr>
              <w:spacing w:line="360" w:lineRule="auto"/>
              <w:jc w:val="center"/>
              <w:rPr>
                <w:szCs w:val="21"/>
              </w:rPr>
            </w:pPr>
          </w:p>
        </w:tc>
        <w:tc>
          <w:tcPr>
            <w:tcW w:w="1418" w:type="dxa"/>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07548205">
            <w:pPr>
              <w:spacing w:line="360" w:lineRule="auto"/>
              <w:jc w:val="center"/>
              <w:rPr>
                <w:szCs w:val="21"/>
              </w:rPr>
            </w:pPr>
          </w:p>
        </w:tc>
      </w:tr>
    </w:tbl>
    <w:p w14:paraId="119F512E">
      <w:pPr>
        <w:snapToGrid w:val="0"/>
        <w:spacing w:line="360" w:lineRule="auto"/>
        <w:jc w:val="left"/>
        <w:rPr>
          <w:szCs w:val="21"/>
        </w:rPr>
      </w:pPr>
      <w:r>
        <w:rPr>
          <w:rFonts w:hint="eastAsia"/>
          <w:szCs w:val="21"/>
        </w:rPr>
        <w:t>注：</w:t>
      </w:r>
    </w:p>
    <w:p w14:paraId="3F8353AE">
      <w:pPr>
        <w:snapToGrid w:val="0"/>
        <w:spacing w:line="360" w:lineRule="auto"/>
        <w:jc w:val="left"/>
        <w:rPr>
          <w:szCs w:val="21"/>
        </w:rPr>
      </w:pPr>
      <w:r>
        <w:rPr>
          <w:szCs w:val="21"/>
        </w:rPr>
        <w:t>1.</w:t>
      </w:r>
      <w:r>
        <w:rPr>
          <w:rFonts w:hint="eastAsia"/>
          <w:szCs w:val="21"/>
        </w:rPr>
        <w:t>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66651AED">
      <w:pPr>
        <w:snapToGrid w:val="0"/>
        <w:spacing w:line="360" w:lineRule="auto"/>
        <w:jc w:val="left"/>
        <w:rPr>
          <w:szCs w:val="21"/>
        </w:rPr>
      </w:pPr>
      <w:r>
        <w:rPr>
          <w:szCs w:val="21"/>
        </w:rPr>
        <w:t>2.</w:t>
      </w:r>
      <w:r>
        <w:rPr>
          <w:rFonts w:hint="eastAsia"/>
          <w:szCs w:val="21"/>
        </w:rPr>
        <w:t>本表所指的控股关系仅限于直接控股关系，不包括间接的控股关系。公司实际控制人与公司之间的关系不属于本表所指的直接控股关系。</w:t>
      </w:r>
    </w:p>
    <w:p w14:paraId="17DB1554">
      <w:pPr>
        <w:snapToGrid w:val="0"/>
        <w:spacing w:line="360" w:lineRule="auto"/>
        <w:jc w:val="left"/>
        <w:rPr>
          <w:szCs w:val="21"/>
        </w:rPr>
      </w:pPr>
      <w:r>
        <w:rPr>
          <w:szCs w:val="21"/>
        </w:rPr>
        <w:t>3.</w:t>
      </w:r>
      <w:r>
        <w:rPr>
          <w:rFonts w:hint="eastAsia"/>
          <w:szCs w:val="21"/>
        </w:rPr>
        <w:t>供应商不存在直接控股股东的，则填“无”。</w:t>
      </w:r>
    </w:p>
    <w:p w14:paraId="7923D6ED">
      <w:pPr>
        <w:snapToGrid w:val="0"/>
        <w:spacing w:line="360" w:lineRule="auto"/>
        <w:jc w:val="left"/>
        <w:rPr>
          <w:szCs w:val="21"/>
        </w:rPr>
      </w:pPr>
    </w:p>
    <w:p w14:paraId="5B390EA9">
      <w:pPr>
        <w:snapToGrid w:val="0"/>
        <w:spacing w:line="360" w:lineRule="auto"/>
        <w:jc w:val="left"/>
        <w:rPr>
          <w:szCs w:val="21"/>
        </w:rPr>
      </w:pPr>
    </w:p>
    <w:p w14:paraId="725351FE">
      <w:pPr>
        <w:snapToGrid w:val="0"/>
        <w:spacing w:line="360" w:lineRule="auto"/>
        <w:jc w:val="left"/>
        <w:rPr>
          <w:szCs w:val="21"/>
        </w:rPr>
      </w:pPr>
    </w:p>
    <w:p w14:paraId="30EAC81E">
      <w:pPr>
        <w:snapToGrid w:val="0"/>
        <w:spacing w:line="360" w:lineRule="auto"/>
        <w:jc w:val="left"/>
        <w:rPr>
          <w:szCs w:val="21"/>
        </w:rPr>
      </w:pPr>
    </w:p>
    <w:p w14:paraId="7DFFEE27">
      <w:pPr>
        <w:snapToGrid w:val="0"/>
        <w:spacing w:line="360" w:lineRule="auto"/>
        <w:jc w:val="left"/>
        <w:rPr>
          <w:szCs w:val="21"/>
        </w:rPr>
      </w:pPr>
    </w:p>
    <w:p w14:paraId="2E5C93C3">
      <w:pPr>
        <w:snapToGrid w:val="0"/>
        <w:spacing w:line="360" w:lineRule="auto"/>
        <w:ind w:firstLine="4410" w:firstLineChars="2100"/>
        <w:rPr>
          <w:szCs w:val="21"/>
        </w:rPr>
      </w:pPr>
      <w:r>
        <w:rPr>
          <w:rFonts w:hint="eastAsia"/>
          <w:szCs w:val="21"/>
        </w:rPr>
        <w:t>供应商名称</w:t>
      </w:r>
      <w:r>
        <w:rPr>
          <w:szCs w:val="21"/>
        </w:rPr>
        <w:t>(</w:t>
      </w:r>
      <w:r>
        <w:rPr>
          <w:rFonts w:hint="eastAsia"/>
          <w:szCs w:val="21"/>
        </w:rPr>
        <w:t>电子签章</w:t>
      </w:r>
      <w:r>
        <w:rPr>
          <w:szCs w:val="21"/>
        </w:rPr>
        <w:t>)</w:t>
      </w:r>
      <w:r>
        <w:rPr>
          <w:rFonts w:hint="eastAsia"/>
          <w:szCs w:val="21"/>
        </w:rPr>
        <w:t>：</w:t>
      </w:r>
    </w:p>
    <w:p w14:paraId="3ABE64F8">
      <w:pPr>
        <w:snapToGrid w:val="0"/>
        <w:spacing w:line="360" w:lineRule="auto"/>
        <w:ind w:firstLine="4515" w:firstLineChars="2150"/>
        <w:rPr>
          <w:szCs w:val="21"/>
        </w:rPr>
      </w:pPr>
      <w:r>
        <w:rPr>
          <w:rFonts w:hint="eastAsia"/>
          <w:szCs w:val="21"/>
        </w:rPr>
        <w:t>日期：</w:t>
      </w:r>
      <w:r>
        <w:rPr>
          <w:szCs w:val="21"/>
        </w:rPr>
        <w:t xml:space="preserve">  </w:t>
      </w:r>
      <w:r>
        <w:rPr>
          <w:rFonts w:hint="eastAsia"/>
          <w:szCs w:val="21"/>
        </w:rPr>
        <w:t>年</w:t>
      </w:r>
      <w:r>
        <w:rPr>
          <w:szCs w:val="21"/>
        </w:rPr>
        <w:t xml:space="preserve">  </w:t>
      </w:r>
      <w:r>
        <w:rPr>
          <w:rFonts w:hint="eastAsia"/>
          <w:szCs w:val="21"/>
        </w:rPr>
        <w:t>月</w:t>
      </w:r>
      <w:r>
        <w:rPr>
          <w:szCs w:val="21"/>
        </w:rPr>
        <w:t xml:space="preserve">   </w:t>
      </w:r>
      <w:r>
        <w:rPr>
          <w:rFonts w:hint="eastAsia"/>
          <w:szCs w:val="21"/>
        </w:rPr>
        <w:t>日</w:t>
      </w:r>
    </w:p>
    <w:p w14:paraId="639802CF">
      <w:pPr>
        <w:snapToGrid w:val="0"/>
        <w:jc w:val="center"/>
        <w:rPr>
          <w:rFonts w:hint="eastAsia" w:ascii="宋体" w:hAnsi="宋体"/>
          <w:b/>
          <w:color w:val="000000"/>
          <w:sz w:val="28"/>
          <w:szCs w:val="28"/>
        </w:rPr>
      </w:pPr>
      <w:r>
        <w:rPr>
          <w:rFonts w:hint="eastAsia" w:ascii="宋体" w:hAnsi="宋体"/>
          <w:b/>
          <w:color w:val="000000"/>
          <w:sz w:val="28"/>
          <w:szCs w:val="28"/>
        </w:rPr>
        <w:br w:type="page"/>
      </w:r>
    </w:p>
    <w:p w14:paraId="6F98EBBF">
      <w:pPr>
        <w:snapToGrid w:val="0"/>
        <w:spacing w:line="360" w:lineRule="auto"/>
        <w:jc w:val="left"/>
        <w:rPr>
          <w:szCs w:val="21"/>
        </w:rPr>
      </w:pPr>
      <w:r>
        <w:rPr>
          <w:szCs w:val="21"/>
        </w:rPr>
        <w:t>7.2</w:t>
      </w:r>
      <w:r>
        <w:rPr>
          <w:rFonts w:hint="eastAsia"/>
          <w:szCs w:val="21"/>
        </w:rPr>
        <w:t>投标人直接管理关系信息表</w:t>
      </w:r>
    </w:p>
    <w:tbl>
      <w:tblPr>
        <w:tblStyle w:val="51"/>
        <w:tblW w:w="0" w:type="auto"/>
        <w:tblInd w:w="0" w:type="dxa"/>
        <w:shd w:val="clear" w:color="auto" w:fill="FBFBFB"/>
        <w:tblLayout w:type="fixed"/>
        <w:tblCellMar>
          <w:top w:w="0" w:type="dxa"/>
          <w:left w:w="0" w:type="dxa"/>
          <w:bottom w:w="0" w:type="dxa"/>
          <w:right w:w="0" w:type="dxa"/>
        </w:tblCellMar>
      </w:tblPr>
      <w:tblGrid>
        <w:gridCol w:w="1005"/>
        <w:gridCol w:w="2659"/>
        <w:gridCol w:w="3924"/>
        <w:gridCol w:w="2064"/>
      </w:tblGrid>
      <w:tr w14:paraId="68E75086">
        <w:tblPrEx>
          <w:shd w:val="clear" w:color="auto" w:fill="FBFBFB"/>
          <w:tblCellMar>
            <w:top w:w="0" w:type="dxa"/>
            <w:left w:w="0" w:type="dxa"/>
            <w:bottom w:w="0" w:type="dxa"/>
            <w:right w:w="0" w:type="dxa"/>
          </w:tblCellMar>
        </w:tblPrEx>
        <w:trPr>
          <w:tblHeader/>
        </w:trPr>
        <w:tc>
          <w:tcPr>
            <w:tcW w:w="100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3EC44DFD">
            <w:pPr>
              <w:spacing w:line="360" w:lineRule="auto"/>
              <w:jc w:val="center"/>
              <w:rPr>
                <w:szCs w:val="21"/>
              </w:rPr>
            </w:pPr>
            <w:r>
              <w:rPr>
                <w:rFonts w:hint="eastAsia"/>
                <w:szCs w:val="21"/>
              </w:rPr>
              <w:t>序号</w:t>
            </w:r>
          </w:p>
        </w:tc>
        <w:tc>
          <w:tcPr>
            <w:tcW w:w="2659"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16D76E91">
            <w:pPr>
              <w:spacing w:line="360" w:lineRule="auto"/>
              <w:jc w:val="center"/>
              <w:rPr>
                <w:szCs w:val="21"/>
              </w:rPr>
            </w:pPr>
            <w:r>
              <w:rPr>
                <w:rFonts w:hint="eastAsia"/>
                <w:szCs w:val="21"/>
              </w:rPr>
              <w:t>直接管理关系单位名称</w:t>
            </w:r>
          </w:p>
        </w:tc>
        <w:tc>
          <w:tcPr>
            <w:tcW w:w="3924"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2733C3C2">
            <w:pPr>
              <w:spacing w:line="360" w:lineRule="auto"/>
              <w:jc w:val="center"/>
              <w:rPr>
                <w:szCs w:val="21"/>
              </w:rPr>
            </w:pPr>
            <w:r>
              <w:rPr>
                <w:rFonts w:hint="eastAsia"/>
                <w:szCs w:val="21"/>
              </w:rPr>
              <w:t>统一社会信用代码</w:t>
            </w:r>
          </w:p>
        </w:tc>
        <w:tc>
          <w:tcPr>
            <w:tcW w:w="2064"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05DB6699">
            <w:pPr>
              <w:spacing w:line="360" w:lineRule="auto"/>
              <w:jc w:val="center"/>
              <w:rPr>
                <w:szCs w:val="21"/>
              </w:rPr>
            </w:pPr>
            <w:r>
              <w:rPr>
                <w:rFonts w:hint="eastAsia"/>
                <w:szCs w:val="21"/>
              </w:rPr>
              <w:t>备注</w:t>
            </w:r>
          </w:p>
        </w:tc>
      </w:tr>
      <w:tr w14:paraId="6B7F6EAB">
        <w:tblPrEx>
          <w:tblCellMar>
            <w:top w:w="0" w:type="dxa"/>
            <w:left w:w="0" w:type="dxa"/>
            <w:bottom w:w="0" w:type="dxa"/>
            <w:right w:w="0" w:type="dxa"/>
          </w:tblCellMar>
        </w:tblPrEx>
        <w:tc>
          <w:tcPr>
            <w:tcW w:w="100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693A62EB">
            <w:pPr>
              <w:spacing w:line="360" w:lineRule="auto"/>
              <w:jc w:val="center"/>
              <w:rPr>
                <w:szCs w:val="21"/>
              </w:rPr>
            </w:pPr>
            <w:r>
              <w:rPr>
                <w:szCs w:val="21"/>
              </w:rPr>
              <w:t>1</w:t>
            </w:r>
          </w:p>
        </w:tc>
        <w:tc>
          <w:tcPr>
            <w:tcW w:w="2659"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69B0386F">
            <w:pPr>
              <w:spacing w:line="360" w:lineRule="auto"/>
              <w:jc w:val="center"/>
              <w:rPr>
                <w:szCs w:val="21"/>
              </w:rPr>
            </w:pPr>
          </w:p>
        </w:tc>
        <w:tc>
          <w:tcPr>
            <w:tcW w:w="3924"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6454CF68">
            <w:pPr>
              <w:spacing w:line="360" w:lineRule="auto"/>
              <w:jc w:val="center"/>
              <w:rPr>
                <w:szCs w:val="21"/>
              </w:rPr>
            </w:pPr>
          </w:p>
        </w:tc>
        <w:tc>
          <w:tcPr>
            <w:tcW w:w="2064"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6D4CE129">
            <w:pPr>
              <w:spacing w:line="360" w:lineRule="auto"/>
              <w:jc w:val="center"/>
              <w:rPr>
                <w:szCs w:val="21"/>
              </w:rPr>
            </w:pPr>
          </w:p>
        </w:tc>
      </w:tr>
      <w:tr w14:paraId="59CBF86B">
        <w:tblPrEx>
          <w:shd w:val="clear" w:color="auto" w:fill="FBFBFB"/>
          <w:tblCellMar>
            <w:top w:w="0" w:type="dxa"/>
            <w:left w:w="0" w:type="dxa"/>
            <w:bottom w:w="0" w:type="dxa"/>
            <w:right w:w="0" w:type="dxa"/>
          </w:tblCellMar>
        </w:tblPrEx>
        <w:tc>
          <w:tcPr>
            <w:tcW w:w="100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436EBC96">
            <w:pPr>
              <w:spacing w:line="360" w:lineRule="auto"/>
              <w:jc w:val="center"/>
              <w:rPr>
                <w:szCs w:val="21"/>
              </w:rPr>
            </w:pPr>
            <w:r>
              <w:rPr>
                <w:szCs w:val="21"/>
              </w:rPr>
              <w:t>2</w:t>
            </w:r>
          </w:p>
        </w:tc>
        <w:tc>
          <w:tcPr>
            <w:tcW w:w="2659"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7A49CD56">
            <w:pPr>
              <w:spacing w:line="360" w:lineRule="auto"/>
              <w:jc w:val="center"/>
              <w:rPr>
                <w:szCs w:val="21"/>
              </w:rPr>
            </w:pPr>
          </w:p>
        </w:tc>
        <w:tc>
          <w:tcPr>
            <w:tcW w:w="3924"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1185AB03">
            <w:pPr>
              <w:spacing w:line="360" w:lineRule="auto"/>
              <w:jc w:val="center"/>
              <w:rPr>
                <w:szCs w:val="21"/>
              </w:rPr>
            </w:pPr>
          </w:p>
        </w:tc>
        <w:tc>
          <w:tcPr>
            <w:tcW w:w="2064"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0E7BD066">
            <w:pPr>
              <w:spacing w:line="360" w:lineRule="auto"/>
              <w:jc w:val="center"/>
              <w:rPr>
                <w:szCs w:val="21"/>
              </w:rPr>
            </w:pPr>
          </w:p>
        </w:tc>
      </w:tr>
      <w:tr w14:paraId="1DBE752B">
        <w:tblPrEx>
          <w:tblCellMar>
            <w:top w:w="0" w:type="dxa"/>
            <w:left w:w="0" w:type="dxa"/>
            <w:bottom w:w="0" w:type="dxa"/>
            <w:right w:w="0" w:type="dxa"/>
          </w:tblCellMar>
        </w:tblPrEx>
        <w:tc>
          <w:tcPr>
            <w:tcW w:w="100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67759522">
            <w:pPr>
              <w:spacing w:line="360" w:lineRule="auto"/>
              <w:jc w:val="center"/>
              <w:rPr>
                <w:szCs w:val="21"/>
              </w:rPr>
            </w:pPr>
            <w:r>
              <w:rPr>
                <w:szCs w:val="21"/>
              </w:rPr>
              <w:t>3</w:t>
            </w:r>
          </w:p>
        </w:tc>
        <w:tc>
          <w:tcPr>
            <w:tcW w:w="2659"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0B21B6E3">
            <w:pPr>
              <w:spacing w:line="360" w:lineRule="auto"/>
              <w:jc w:val="center"/>
              <w:rPr>
                <w:szCs w:val="21"/>
              </w:rPr>
            </w:pPr>
          </w:p>
        </w:tc>
        <w:tc>
          <w:tcPr>
            <w:tcW w:w="3924"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16DA9A38">
            <w:pPr>
              <w:spacing w:line="360" w:lineRule="auto"/>
              <w:jc w:val="center"/>
              <w:rPr>
                <w:szCs w:val="21"/>
              </w:rPr>
            </w:pPr>
          </w:p>
        </w:tc>
        <w:tc>
          <w:tcPr>
            <w:tcW w:w="2064"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4841AC9D">
            <w:pPr>
              <w:spacing w:line="360" w:lineRule="auto"/>
              <w:jc w:val="center"/>
              <w:rPr>
                <w:szCs w:val="21"/>
              </w:rPr>
            </w:pPr>
          </w:p>
        </w:tc>
      </w:tr>
      <w:tr w14:paraId="0E7A1B44">
        <w:tblPrEx>
          <w:tblCellMar>
            <w:top w:w="0" w:type="dxa"/>
            <w:left w:w="0" w:type="dxa"/>
            <w:bottom w:w="0" w:type="dxa"/>
            <w:right w:w="0" w:type="dxa"/>
          </w:tblCellMar>
        </w:tblPrEx>
        <w:tc>
          <w:tcPr>
            <w:tcW w:w="100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5B2971B8">
            <w:pPr>
              <w:spacing w:line="360" w:lineRule="auto"/>
              <w:jc w:val="center"/>
              <w:rPr>
                <w:szCs w:val="21"/>
              </w:rPr>
            </w:pPr>
            <w:r>
              <w:rPr>
                <w:rFonts w:hint="eastAsia"/>
                <w:szCs w:val="21"/>
              </w:rPr>
              <w:t>……</w:t>
            </w:r>
          </w:p>
        </w:tc>
        <w:tc>
          <w:tcPr>
            <w:tcW w:w="2659"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2C4D8250">
            <w:pPr>
              <w:spacing w:line="360" w:lineRule="auto"/>
              <w:jc w:val="center"/>
              <w:rPr>
                <w:szCs w:val="21"/>
              </w:rPr>
            </w:pPr>
          </w:p>
        </w:tc>
        <w:tc>
          <w:tcPr>
            <w:tcW w:w="3924"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799428B4">
            <w:pPr>
              <w:spacing w:line="360" w:lineRule="auto"/>
              <w:jc w:val="center"/>
              <w:rPr>
                <w:szCs w:val="21"/>
              </w:rPr>
            </w:pPr>
          </w:p>
        </w:tc>
        <w:tc>
          <w:tcPr>
            <w:tcW w:w="2064"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7FEEA38E">
            <w:pPr>
              <w:spacing w:line="360" w:lineRule="auto"/>
              <w:jc w:val="center"/>
              <w:rPr>
                <w:szCs w:val="21"/>
              </w:rPr>
            </w:pPr>
          </w:p>
        </w:tc>
      </w:tr>
    </w:tbl>
    <w:p w14:paraId="259EC082">
      <w:pPr>
        <w:snapToGrid w:val="0"/>
        <w:spacing w:line="360" w:lineRule="auto"/>
        <w:jc w:val="left"/>
        <w:rPr>
          <w:szCs w:val="21"/>
        </w:rPr>
      </w:pPr>
      <w:r>
        <w:rPr>
          <w:rFonts w:hint="eastAsia"/>
          <w:szCs w:val="21"/>
        </w:rPr>
        <w:t>注：</w:t>
      </w:r>
    </w:p>
    <w:p w14:paraId="03A54E8E">
      <w:pPr>
        <w:snapToGrid w:val="0"/>
        <w:spacing w:line="360" w:lineRule="auto"/>
        <w:ind w:firstLine="420" w:firstLineChars="200"/>
        <w:jc w:val="left"/>
        <w:rPr>
          <w:szCs w:val="21"/>
        </w:rPr>
      </w:pPr>
      <w:r>
        <w:rPr>
          <w:szCs w:val="21"/>
        </w:rPr>
        <w:t>1.</w:t>
      </w:r>
      <w:r>
        <w:rPr>
          <w:rFonts w:hint="eastAsia"/>
          <w:szCs w:val="21"/>
        </w:rPr>
        <w:t>管理关系：是指不具有出资持股关系的其他单位之间存在的管理与被管理关系，如一些上下级关系的事业单位和团体组织。</w:t>
      </w:r>
    </w:p>
    <w:p w14:paraId="79E5D557">
      <w:pPr>
        <w:snapToGrid w:val="0"/>
        <w:spacing w:line="360" w:lineRule="auto"/>
        <w:ind w:firstLine="420" w:firstLineChars="200"/>
        <w:jc w:val="left"/>
        <w:rPr>
          <w:szCs w:val="21"/>
        </w:rPr>
      </w:pPr>
      <w:r>
        <w:rPr>
          <w:szCs w:val="21"/>
        </w:rPr>
        <w:t>2.</w:t>
      </w:r>
      <w:r>
        <w:rPr>
          <w:rFonts w:hint="eastAsia"/>
          <w:szCs w:val="21"/>
        </w:rPr>
        <w:t>本表所指的管理关系仅限于直接管理关系，不包括间接的管理关系。</w:t>
      </w:r>
    </w:p>
    <w:p w14:paraId="186A4BDC">
      <w:pPr>
        <w:snapToGrid w:val="0"/>
        <w:spacing w:line="360" w:lineRule="auto"/>
        <w:ind w:firstLine="420" w:firstLineChars="200"/>
        <w:jc w:val="left"/>
        <w:rPr>
          <w:szCs w:val="21"/>
        </w:rPr>
      </w:pPr>
      <w:r>
        <w:rPr>
          <w:szCs w:val="21"/>
        </w:rPr>
        <w:t>3.</w:t>
      </w:r>
      <w:r>
        <w:rPr>
          <w:rFonts w:hint="eastAsia"/>
          <w:szCs w:val="21"/>
        </w:rPr>
        <w:t>供应商不存在直接管理关系的，则填“无”。</w:t>
      </w:r>
    </w:p>
    <w:p w14:paraId="172C7C1A">
      <w:pPr>
        <w:snapToGrid w:val="0"/>
        <w:spacing w:line="360" w:lineRule="auto"/>
        <w:jc w:val="left"/>
        <w:rPr>
          <w:szCs w:val="21"/>
        </w:rPr>
      </w:pPr>
    </w:p>
    <w:p w14:paraId="4FE64B19">
      <w:pPr>
        <w:snapToGrid w:val="0"/>
        <w:spacing w:line="360" w:lineRule="auto"/>
        <w:jc w:val="left"/>
        <w:rPr>
          <w:szCs w:val="21"/>
        </w:rPr>
      </w:pPr>
    </w:p>
    <w:p w14:paraId="3482B2C9">
      <w:pPr>
        <w:snapToGrid w:val="0"/>
        <w:spacing w:line="360" w:lineRule="auto"/>
        <w:jc w:val="left"/>
        <w:rPr>
          <w:szCs w:val="21"/>
        </w:rPr>
      </w:pPr>
    </w:p>
    <w:p w14:paraId="230545C2">
      <w:pPr>
        <w:snapToGrid w:val="0"/>
        <w:spacing w:line="360" w:lineRule="auto"/>
        <w:jc w:val="left"/>
        <w:rPr>
          <w:szCs w:val="21"/>
        </w:rPr>
      </w:pPr>
    </w:p>
    <w:p w14:paraId="48DB7108">
      <w:pPr>
        <w:snapToGrid w:val="0"/>
        <w:spacing w:line="360" w:lineRule="auto"/>
        <w:jc w:val="left"/>
        <w:rPr>
          <w:szCs w:val="21"/>
        </w:rPr>
      </w:pPr>
    </w:p>
    <w:p w14:paraId="697AE771">
      <w:pPr>
        <w:snapToGrid w:val="0"/>
        <w:spacing w:line="360" w:lineRule="auto"/>
        <w:jc w:val="left"/>
        <w:rPr>
          <w:szCs w:val="21"/>
        </w:rPr>
      </w:pPr>
    </w:p>
    <w:p w14:paraId="647F219B">
      <w:pPr>
        <w:snapToGrid w:val="0"/>
        <w:spacing w:line="360" w:lineRule="auto"/>
        <w:jc w:val="left"/>
        <w:rPr>
          <w:szCs w:val="21"/>
        </w:rPr>
      </w:pPr>
    </w:p>
    <w:p w14:paraId="703787A4">
      <w:pPr>
        <w:snapToGrid w:val="0"/>
        <w:spacing w:line="360" w:lineRule="auto"/>
        <w:jc w:val="left"/>
        <w:rPr>
          <w:szCs w:val="21"/>
        </w:rPr>
      </w:pPr>
    </w:p>
    <w:p w14:paraId="10F0F727">
      <w:pPr>
        <w:snapToGrid w:val="0"/>
        <w:spacing w:line="360" w:lineRule="auto"/>
        <w:ind w:firstLine="4410" w:firstLineChars="2100"/>
        <w:rPr>
          <w:szCs w:val="21"/>
        </w:rPr>
      </w:pPr>
      <w:r>
        <w:rPr>
          <w:rFonts w:hint="eastAsia"/>
          <w:szCs w:val="21"/>
        </w:rPr>
        <w:t>供应商名称</w:t>
      </w:r>
      <w:r>
        <w:rPr>
          <w:szCs w:val="21"/>
        </w:rPr>
        <w:t>(</w:t>
      </w:r>
      <w:r>
        <w:rPr>
          <w:rFonts w:hint="eastAsia"/>
          <w:szCs w:val="21"/>
        </w:rPr>
        <w:t>电子签章</w:t>
      </w:r>
      <w:r>
        <w:rPr>
          <w:szCs w:val="21"/>
        </w:rPr>
        <w:t>)</w:t>
      </w:r>
      <w:r>
        <w:rPr>
          <w:rFonts w:hint="eastAsia"/>
          <w:szCs w:val="21"/>
        </w:rPr>
        <w:t>：</w:t>
      </w:r>
    </w:p>
    <w:p w14:paraId="1645D1BD">
      <w:pPr>
        <w:snapToGrid w:val="0"/>
        <w:spacing w:line="360" w:lineRule="auto"/>
        <w:ind w:firstLine="4515" w:firstLineChars="2150"/>
        <w:rPr>
          <w:szCs w:val="21"/>
        </w:rPr>
      </w:pPr>
      <w:r>
        <w:rPr>
          <w:rFonts w:hint="eastAsia"/>
          <w:szCs w:val="21"/>
        </w:rPr>
        <w:t>日期：</w:t>
      </w:r>
      <w:r>
        <w:rPr>
          <w:szCs w:val="21"/>
        </w:rPr>
        <w:t xml:space="preserve">  </w:t>
      </w:r>
      <w:r>
        <w:rPr>
          <w:rFonts w:hint="eastAsia"/>
          <w:szCs w:val="21"/>
        </w:rPr>
        <w:t>年</w:t>
      </w:r>
      <w:r>
        <w:rPr>
          <w:szCs w:val="21"/>
        </w:rPr>
        <w:t xml:space="preserve">  </w:t>
      </w:r>
      <w:r>
        <w:rPr>
          <w:rFonts w:hint="eastAsia"/>
          <w:szCs w:val="21"/>
        </w:rPr>
        <w:t>月</w:t>
      </w:r>
      <w:r>
        <w:rPr>
          <w:szCs w:val="21"/>
        </w:rPr>
        <w:t xml:space="preserve">   </w:t>
      </w:r>
      <w:r>
        <w:rPr>
          <w:rFonts w:hint="eastAsia"/>
          <w:szCs w:val="21"/>
        </w:rPr>
        <w:t>日</w:t>
      </w:r>
    </w:p>
    <w:p w14:paraId="4A225240">
      <w:pPr>
        <w:snapToGrid w:val="0"/>
        <w:spacing w:before="50" w:after="120" w:afterLines="50" w:line="440" w:lineRule="exact"/>
        <w:jc w:val="left"/>
        <w:rPr>
          <w:szCs w:val="21"/>
        </w:rPr>
      </w:pPr>
    </w:p>
    <w:bookmarkEnd w:id="140"/>
    <w:p w14:paraId="545F9C80">
      <w:pPr>
        <w:widowControl/>
        <w:jc w:val="left"/>
        <w:rPr>
          <w:szCs w:val="21"/>
        </w:rPr>
      </w:pPr>
      <w:r>
        <w:rPr>
          <w:szCs w:val="21"/>
        </w:rPr>
        <w:br w:type="page"/>
      </w:r>
      <w:bookmarkStart w:id="141" w:name="_Hlk65854557"/>
      <w:bookmarkStart w:id="142" w:name="_Hlk60652166"/>
      <w:bookmarkStart w:id="143" w:name="_Hlk65852070"/>
    </w:p>
    <w:bookmarkEnd w:id="141"/>
    <w:bookmarkEnd w:id="142"/>
    <w:p w14:paraId="224A48A0">
      <w:pPr>
        <w:snapToGrid w:val="0"/>
        <w:spacing w:before="50" w:after="120" w:afterLines="50"/>
        <w:jc w:val="left"/>
        <w:rPr>
          <w:color w:val="4472C4"/>
          <w:szCs w:val="21"/>
        </w:rPr>
      </w:pPr>
      <w:r>
        <w:rPr>
          <w:rFonts w:hint="eastAsia"/>
          <w:szCs w:val="21"/>
          <w:lang w:val="en-US" w:eastAsia="zh-CN"/>
        </w:rPr>
        <w:t>8</w:t>
      </w:r>
      <w:r>
        <w:rPr>
          <w:szCs w:val="21"/>
        </w:rPr>
        <w:t>．供应商认为应当要提交的</w:t>
      </w:r>
      <w:r>
        <w:rPr>
          <w:rFonts w:hint="eastAsia"/>
          <w:szCs w:val="21"/>
        </w:rPr>
        <w:t>其他</w:t>
      </w:r>
      <w:r>
        <w:rPr>
          <w:szCs w:val="21"/>
        </w:rPr>
        <w:t>资格证明材料。</w:t>
      </w:r>
      <w:r>
        <w:rPr>
          <w:bCs/>
          <w:sz w:val="24"/>
        </w:rPr>
        <w:t xml:space="preserve"> </w:t>
      </w:r>
    </w:p>
    <w:p w14:paraId="369A5C00">
      <w:pPr>
        <w:spacing w:line="276" w:lineRule="auto"/>
        <w:rPr>
          <w:szCs w:val="21"/>
        </w:rPr>
      </w:pPr>
    </w:p>
    <w:p w14:paraId="314F1333">
      <w:pPr>
        <w:widowControl/>
        <w:jc w:val="left"/>
        <w:rPr>
          <w:szCs w:val="21"/>
        </w:rPr>
      </w:pPr>
      <w:r>
        <w:rPr>
          <w:szCs w:val="21"/>
        </w:rPr>
        <w:br w:type="page"/>
      </w:r>
      <w:bookmarkEnd w:id="143"/>
    </w:p>
    <w:bookmarkEnd w:id="135"/>
    <w:p w14:paraId="6A039E40">
      <w:pPr>
        <w:snapToGrid w:val="0"/>
        <w:spacing w:before="120" w:beforeLines="50" w:after="50" w:line="440" w:lineRule="exact"/>
        <w:jc w:val="left"/>
        <w:outlineLvl w:val="1"/>
        <w:rPr>
          <w:bCs/>
          <w:sz w:val="24"/>
        </w:rPr>
      </w:pPr>
      <w:r>
        <w:rPr>
          <w:bCs/>
          <w:sz w:val="24"/>
        </w:rPr>
        <w:t>2．投标文件封面参考格式</w:t>
      </w:r>
      <w:r>
        <w:rPr>
          <w:rFonts w:hint="eastAsia"/>
          <w:bCs/>
          <w:sz w:val="24"/>
        </w:rPr>
        <w:t>（商务技术文件）</w:t>
      </w:r>
      <w:r>
        <w:rPr>
          <w:bCs/>
          <w:sz w:val="24"/>
        </w:rPr>
        <w:t xml:space="preserve">： </w:t>
      </w:r>
    </w:p>
    <w:p w14:paraId="46A0F082">
      <w:pPr>
        <w:snapToGrid w:val="0"/>
        <w:spacing w:before="50" w:after="120" w:afterLines="50" w:line="400" w:lineRule="exact"/>
        <w:jc w:val="left"/>
        <w:rPr>
          <w:bCs/>
          <w:sz w:val="24"/>
        </w:rPr>
      </w:pPr>
    </w:p>
    <w:p w14:paraId="21FDB4D0">
      <w:pPr>
        <w:snapToGrid w:val="0"/>
        <w:spacing w:before="120" w:beforeLines="50" w:after="50" w:line="360" w:lineRule="exact"/>
        <w:rPr>
          <w:sz w:val="24"/>
        </w:rPr>
      </w:pPr>
    </w:p>
    <w:p w14:paraId="1723285B">
      <w:pPr>
        <w:snapToGrid w:val="0"/>
        <w:spacing w:before="120" w:beforeLines="50" w:after="50" w:line="360" w:lineRule="exact"/>
        <w:jc w:val="center"/>
        <w:rPr>
          <w:bCs/>
          <w:color w:val="FF0000"/>
          <w:sz w:val="24"/>
        </w:rPr>
      </w:pPr>
    </w:p>
    <w:p w14:paraId="3FFD8058">
      <w:pPr>
        <w:snapToGrid w:val="0"/>
        <w:spacing w:before="120" w:beforeLines="50" w:after="50" w:line="360" w:lineRule="exact"/>
        <w:jc w:val="center"/>
        <w:rPr>
          <w:b/>
          <w:bCs/>
          <w:sz w:val="44"/>
          <w:szCs w:val="44"/>
        </w:rPr>
      </w:pPr>
      <w:r>
        <w:rPr>
          <w:rFonts w:hint="eastAsia"/>
          <w:b/>
          <w:bCs/>
          <w:sz w:val="44"/>
          <w:szCs w:val="44"/>
        </w:rPr>
        <w:t>电子</w:t>
      </w:r>
      <w:r>
        <w:rPr>
          <w:b/>
          <w:bCs/>
          <w:sz w:val="44"/>
          <w:szCs w:val="44"/>
        </w:rPr>
        <w:t>投标文件</w:t>
      </w:r>
    </w:p>
    <w:p w14:paraId="5C4B4F3E">
      <w:pPr>
        <w:snapToGrid w:val="0"/>
        <w:spacing w:before="120" w:beforeLines="50" w:after="50" w:line="360" w:lineRule="exact"/>
        <w:jc w:val="center"/>
        <w:rPr>
          <w:b/>
          <w:bCs/>
          <w:sz w:val="44"/>
          <w:szCs w:val="44"/>
        </w:rPr>
      </w:pPr>
    </w:p>
    <w:p w14:paraId="5E9F7969">
      <w:pPr>
        <w:snapToGrid w:val="0"/>
        <w:spacing w:before="120" w:beforeLines="50" w:after="50" w:line="360" w:lineRule="exact"/>
        <w:jc w:val="center"/>
        <w:rPr>
          <w:b/>
          <w:bCs/>
          <w:sz w:val="44"/>
          <w:szCs w:val="44"/>
        </w:rPr>
      </w:pPr>
    </w:p>
    <w:p w14:paraId="414CD2B1">
      <w:pPr>
        <w:snapToGrid w:val="0"/>
        <w:spacing w:before="120" w:beforeLines="50" w:after="50" w:line="360" w:lineRule="exact"/>
        <w:jc w:val="center"/>
        <w:rPr>
          <w:b/>
          <w:bCs/>
          <w:sz w:val="44"/>
          <w:szCs w:val="44"/>
        </w:rPr>
      </w:pPr>
      <w:r>
        <w:rPr>
          <w:b/>
          <w:bCs/>
          <w:sz w:val="44"/>
          <w:szCs w:val="44"/>
        </w:rPr>
        <w:t xml:space="preserve"> 商务技术文件</w:t>
      </w:r>
    </w:p>
    <w:p w14:paraId="5A75A11B">
      <w:pPr>
        <w:snapToGrid w:val="0"/>
        <w:spacing w:before="120" w:beforeLines="50" w:after="50" w:line="360" w:lineRule="exact"/>
        <w:rPr>
          <w:bCs/>
          <w:sz w:val="24"/>
        </w:rPr>
      </w:pPr>
    </w:p>
    <w:p w14:paraId="080C4513">
      <w:pPr>
        <w:snapToGrid w:val="0"/>
        <w:spacing w:before="120" w:beforeLines="50" w:after="50" w:line="360" w:lineRule="exact"/>
        <w:rPr>
          <w:bCs/>
          <w:sz w:val="24"/>
        </w:rPr>
      </w:pPr>
    </w:p>
    <w:p w14:paraId="6EA9EBEB">
      <w:pPr>
        <w:snapToGrid w:val="0"/>
        <w:spacing w:before="120" w:beforeLines="50" w:after="50" w:line="360" w:lineRule="exact"/>
        <w:rPr>
          <w:bCs/>
          <w:sz w:val="24"/>
        </w:rPr>
      </w:pPr>
    </w:p>
    <w:p w14:paraId="40A8D83C">
      <w:pPr>
        <w:snapToGrid w:val="0"/>
        <w:spacing w:before="120" w:beforeLines="50" w:after="50" w:line="360" w:lineRule="exact"/>
        <w:ind w:firstLine="720" w:firstLineChars="300"/>
        <w:rPr>
          <w:bCs/>
          <w:sz w:val="24"/>
        </w:rPr>
      </w:pPr>
      <w:r>
        <w:rPr>
          <w:bCs/>
          <w:sz w:val="24"/>
        </w:rPr>
        <w:t xml:space="preserve">项目名称： </w:t>
      </w:r>
    </w:p>
    <w:p w14:paraId="5064BF16">
      <w:pPr>
        <w:snapToGrid w:val="0"/>
        <w:spacing w:before="120" w:beforeLines="50" w:after="50" w:line="360" w:lineRule="exact"/>
        <w:ind w:firstLine="720" w:firstLineChars="300"/>
        <w:rPr>
          <w:bCs/>
          <w:sz w:val="24"/>
        </w:rPr>
      </w:pPr>
      <w:r>
        <w:rPr>
          <w:bCs/>
          <w:sz w:val="24"/>
        </w:rPr>
        <w:t>项目编号：</w:t>
      </w:r>
    </w:p>
    <w:p w14:paraId="18817775">
      <w:pPr>
        <w:snapToGrid w:val="0"/>
        <w:spacing w:before="120" w:beforeLines="50" w:after="50" w:line="360" w:lineRule="exact"/>
        <w:ind w:firstLine="720" w:firstLineChars="300"/>
        <w:rPr>
          <w:bCs/>
          <w:sz w:val="24"/>
        </w:rPr>
      </w:pPr>
      <w:r>
        <w:rPr>
          <w:bCs/>
          <w:sz w:val="24"/>
        </w:rPr>
        <w:t>分标号：（若无</w:t>
      </w:r>
      <w:r>
        <w:rPr>
          <w:rFonts w:hint="eastAsia"/>
          <w:bCs/>
          <w:sz w:val="24"/>
        </w:rPr>
        <w:t>留空或写</w:t>
      </w:r>
      <w:r>
        <w:rPr>
          <w:bCs/>
          <w:sz w:val="24"/>
        </w:rPr>
        <w:t>“/”）</w:t>
      </w:r>
    </w:p>
    <w:p w14:paraId="52DB8D30">
      <w:pPr>
        <w:snapToGrid w:val="0"/>
        <w:spacing w:before="120" w:beforeLines="50" w:after="50" w:line="360" w:lineRule="exact"/>
        <w:ind w:firstLine="720" w:firstLineChars="300"/>
        <w:rPr>
          <w:bCs/>
          <w:sz w:val="24"/>
        </w:rPr>
      </w:pPr>
      <w:r>
        <w:rPr>
          <w:bCs/>
          <w:sz w:val="24"/>
        </w:rPr>
        <w:t>供应商名称：</w:t>
      </w:r>
    </w:p>
    <w:p w14:paraId="41B7E462">
      <w:pPr>
        <w:snapToGrid w:val="0"/>
        <w:spacing w:before="120" w:beforeLines="50" w:after="50" w:line="360" w:lineRule="exact"/>
        <w:ind w:firstLine="720" w:firstLineChars="300"/>
        <w:rPr>
          <w:bCs/>
          <w:sz w:val="24"/>
        </w:rPr>
      </w:pPr>
      <w:r>
        <w:rPr>
          <w:bCs/>
          <w:sz w:val="24"/>
        </w:rPr>
        <w:t>供应商地址：</w:t>
      </w:r>
    </w:p>
    <w:p w14:paraId="63FB5ABE">
      <w:pPr>
        <w:snapToGrid w:val="0"/>
        <w:spacing w:before="120" w:beforeLines="50" w:after="50" w:line="360" w:lineRule="exact"/>
        <w:ind w:firstLine="720" w:firstLineChars="300"/>
        <w:rPr>
          <w:bCs/>
          <w:sz w:val="24"/>
        </w:rPr>
      </w:pPr>
    </w:p>
    <w:p w14:paraId="6D465F56">
      <w:pPr>
        <w:pStyle w:val="7"/>
        <w:snapToGrid w:val="0"/>
        <w:spacing w:before="50" w:after="50" w:line="360" w:lineRule="exact"/>
        <w:ind w:firstLine="960" w:firstLineChars="400"/>
        <w:rPr>
          <w:bCs/>
          <w:sz w:val="24"/>
          <w:szCs w:val="24"/>
        </w:rPr>
      </w:pPr>
    </w:p>
    <w:p w14:paraId="36ABBCAE">
      <w:pPr>
        <w:snapToGrid w:val="0"/>
        <w:spacing w:before="120" w:beforeLines="50" w:after="50" w:line="360" w:lineRule="exact"/>
        <w:jc w:val="center"/>
        <w:rPr>
          <w:sz w:val="24"/>
        </w:rPr>
      </w:pPr>
      <w:r>
        <w:rPr>
          <w:sz w:val="24"/>
        </w:rPr>
        <w:t xml:space="preserve">                        年  月  日</w:t>
      </w:r>
    </w:p>
    <w:p w14:paraId="615AD2EC">
      <w:r>
        <w:br w:type="page"/>
      </w:r>
    </w:p>
    <w:p w14:paraId="18546B45">
      <w:pPr>
        <w:snapToGrid w:val="0"/>
        <w:spacing w:before="50" w:after="50" w:line="440" w:lineRule="exact"/>
        <w:ind w:firstLine="138" w:firstLineChars="49"/>
        <w:jc w:val="center"/>
        <w:rPr>
          <w:b/>
          <w:sz w:val="28"/>
          <w:szCs w:val="28"/>
        </w:rPr>
      </w:pPr>
      <w:r>
        <w:rPr>
          <w:b/>
          <w:sz w:val="28"/>
          <w:szCs w:val="28"/>
        </w:rPr>
        <w:t>目录</w:t>
      </w:r>
    </w:p>
    <w:p w14:paraId="273F8F0C">
      <w:pPr>
        <w:snapToGrid w:val="0"/>
        <w:spacing w:before="50" w:after="50" w:line="440" w:lineRule="exact"/>
        <w:ind w:firstLine="118" w:firstLineChars="49"/>
        <w:jc w:val="center"/>
        <w:rPr>
          <w:b/>
          <w:sz w:val="24"/>
        </w:rPr>
      </w:pPr>
      <w:r>
        <w:rPr>
          <w:b/>
          <w:sz w:val="24"/>
        </w:rPr>
        <w:t>（应有页码）</w:t>
      </w:r>
    </w:p>
    <w:p w14:paraId="62CA2923">
      <w:pPr>
        <w:rPr>
          <w:b/>
          <w:szCs w:val="21"/>
        </w:rPr>
      </w:pPr>
      <w:r>
        <w:br w:type="page"/>
      </w:r>
      <w:bookmarkStart w:id="144" w:name="_Toc462223472"/>
      <w:bookmarkStart w:id="145" w:name="_Toc462320613"/>
      <w:bookmarkStart w:id="146" w:name="_Toc455309222"/>
      <w:bookmarkStart w:id="147" w:name="_Hlk19114325"/>
      <w:r>
        <w:rPr>
          <w:szCs w:val="21"/>
        </w:rPr>
        <w:t>1．法定代表人身份证明</w:t>
      </w:r>
      <w:r>
        <w:rPr>
          <w:rFonts w:hint="eastAsia"/>
          <w:b/>
          <w:szCs w:val="21"/>
        </w:rPr>
        <w:t>（无授权</w:t>
      </w:r>
      <w:r>
        <w:rPr>
          <w:b/>
          <w:szCs w:val="21"/>
        </w:rPr>
        <w:t>代表</w:t>
      </w:r>
      <w:r>
        <w:rPr>
          <w:rFonts w:hint="eastAsia"/>
          <w:b/>
          <w:szCs w:val="21"/>
        </w:rPr>
        <w:t>时提供）</w:t>
      </w:r>
      <w:r>
        <w:rPr>
          <w:b/>
          <w:szCs w:val="21"/>
        </w:rPr>
        <w:t>：</w:t>
      </w:r>
    </w:p>
    <w:p w14:paraId="32C5B367">
      <w:pPr>
        <w:snapToGrid w:val="0"/>
        <w:spacing w:before="120" w:beforeLines="50" w:after="50" w:line="440" w:lineRule="exact"/>
        <w:jc w:val="center"/>
        <w:rPr>
          <w:szCs w:val="21"/>
        </w:rPr>
      </w:pPr>
    </w:p>
    <w:p w14:paraId="2E3E2F69">
      <w:pPr>
        <w:snapToGrid w:val="0"/>
        <w:spacing w:before="120" w:beforeLines="50" w:after="50" w:line="440" w:lineRule="exact"/>
        <w:jc w:val="center"/>
        <w:rPr>
          <w:b/>
          <w:szCs w:val="21"/>
        </w:rPr>
      </w:pPr>
      <w:r>
        <w:rPr>
          <w:b/>
          <w:szCs w:val="21"/>
        </w:rPr>
        <w:t>法定代表人身份证明</w:t>
      </w:r>
      <w:bookmarkEnd w:id="144"/>
      <w:bookmarkEnd w:id="145"/>
      <w:bookmarkEnd w:id="146"/>
    </w:p>
    <w:p w14:paraId="22FE8607">
      <w:pPr>
        <w:spacing w:line="360" w:lineRule="auto"/>
      </w:pPr>
    </w:p>
    <w:p w14:paraId="122A5675">
      <w:pPr>
        <w:spacing w:line="540" w:lineRule="exact"/>
        <w:rPr>
          <w:szCs w:val="21"/>
        </w:rPr>
      </w:pPr>
      <w:r>
        <w:rPr>
          <w:szCs w:val="21"/>
        </w:rPr>
        <w:t>供应商名称：</w:t>
      </w:r>
      <w:r>
        <w:rPr>
          <w:szCs w:val="21"/>
          <w:u w:val="single"/>
        </w:rPr>
        <w:t xml:space="preserve">                                         </w:t>
      </w:r>
    </w:p>
    <w:p w14:paraId="5433ADEC">
      <w:pPr>
        <w:spacing w:line="540" w:lineRule="exact"/>
        <w:rPr>
          <w:szCs w:val="21"/>
        </w:rPr>
      </w:pPr>
      <w:r>
        <w:rPr>
          <w:szCs w:val="21"/>
        </w:rPr>
        <w:t>单位性质：</w:t>
      </w:r>
      <w:r>
        <w:rPr>
          <w:szCs w:val="21"/>
          <w:u w:val="single"/>
        </w:rPr>
        <w:t xml:space="preserve">                                           </w:t>
      </w:r>
    </w:p>
    <w:p w14:paraId="5EC6B8EB">
      <w:pPr>
        <w:spacing w:line="540" w:lineRule="exact"/>
        <w:rPr>
          <w:szCs w:val="21"/>
        </w:rPr>
      </w:pPr>
      <w:r>
        <w:rPr>
          <w:szCs w:val="21"/>
        </w:rPr>
        <w:t>地址：</w:t>
      </w:r>
      <w:r>
        <w:rPr>
          <w:szCs w:val="21"/>
          <w:u w:val="single"/>
        </w:rPr>
        <w:t xml:space="preserve">                                               </w:t>
      </w:r>
    </w:p>
    <w:p w14:paraId="22C6479A">
      <w:pPr>
        <w:spacing w:line="540" w:lineRule="exact"/>
        <w:rPr>
          <w:szCs w:val="21"/>
          <w:u w:val="single"/>
        </w:rPr>
      </w:pPr>
      <w:r>
        <w:rPr>
          <w:szCs w:val="21"/>
        </w:rPr>
        <w:t>成立时间：</w:t>
      </w:r>
      <w:r>
        <w:rPr>
          <w:szCs w:val="21"/>
          <w:u w:val="single"/>
        </w:rPr>
        <w:t xml:space="preserve">          年        月        日</w:t>
      </w:r>
    </w:p>
    <w:p w14:paraId="7ADFADCC">
      <w:pPr>
        <w:spacing w:line="540" w:lineRule="exact"/>
        <w:rPr>
          <w:szCs w:val="21"/>
        </w:rPr>
      </w:pPr>
      <w:r>
        <w:rPr>
          <w:szCs w:val="21"/>
        </w:rPr>
        <w:t>经营期限：</w:t>
      </w:r>
      <w:r>
        <w:rPr>
          <w:szCs w:val="21"/>
          <w:u w:val="single"/>
        </w:rPr>
        <w:t xml:space="preserve">                                           </w:t>
      </w:r>
    </w:p>
    <w:p w14:paraId="443B6329">
      <w:pPr>
        <w:spacing w:line="540" w:lineRule="exact"/>
        <w:rPr>
          <w:szCs w:val="21"/>
        </w:rPr>
      </w:pPr>
      <w:r>
        <w:rPr>
          <w:szCs w:val="21"/>
        </w:rPr>
        <w:t>姓名：</w:t>
      </w:r>
      <w:r>
        <w:rPr>
          <w:szCs w:val="21"/>
          <w:u w:val="single"/>
        </w:rPr>
        <w:t xml:space="preserve">                   </w:t>
      </w:r>
      <w:r>
        <w:rPr>
          <w:szCs w:val="21"/>
        </w:rPr>
        <w:t>；性别：</w:t>
      </w:r>
      <w:r>
        <w:rPr>
          <w:szCs w:val="21"/>
          <w:u w:val="single"/>
        </w:rPr>
        <w:t xml:space="preserve">              </w:t>
      </w:r>
      <w:r>
        <w:rPr>
          <w:szCs w:val="21"/>
        </w:rPr>
        <w:t xml:space="preserve">        </w:t>
      </w:r>
    </w:p>
    <w:p w14:paraId="5AC53863">
      <w:pPr>
        <w:spacing w:line="540" w:lineRule="exact"/>
        <w:rPr>
          <w:szCs w:val="21"/>
        </w:rPr>
      </w:pPr>
      <w:r>
        <w:rPr>
          <w:szCs w:val="21"/>
        </w:rPr>
        <w:t>年龄：</w:t>
      </w:r>
      <w:r>
        <w:rPr>
          <w:szCs w:val="21"/>
          <w:u w:val="single"/>
        </w:rPr>
        <w:t xml:space="preserve">         </w:t>
      </w:r>
      <w:r>
        <w:rPr>
          <w:szCs w:val="21"/>
        </w:rPr>
        <w:t>；职务：</w:t>
      </w:r>
      <w:r>
        <w:rPr>
          <w:szCs w:val="21"/>
          <w:u w:val="single"/>
        </w:rPr>
        <w:t xml:space="preserve">              </w:t>
      </w:r>
      <w:r>
        <w:rPr>
          <w:szCs w:val="21"/>
        </w:rPr>
        <w:t>；身份证：</w:t>
      </w:r>
      <w:r>
        <w:rPr>
          <w:szCs w:val="21"/>
          <w:u w:val="single"/>
        </w:rPr>
        <w:t xml:space="preserve">                                      </w:t>
      </w:r>
    </w:p>
    <w:p w14:paraId="7AB86B7D">
      <w:pPr>
        <w:spacing w:line="540" w:lineRule="exact"/>
        <w:rPr>
          <w:szCs w:val="21"/>
        </w:rPr>
      </w:pPr>
      <w:r>
        <w:rPr>
          <w:szCs w:val="21"/>
        </w:rPr>
        <w:t>系</w:t>
      </w:r>
      <w:r>
        <w:rPr>
          <w:szCs w:val="21"/>
          <w:u w:val="single"/>
        </w:rPr>
        <w:t xml:space="preserve">                                      （ 供应商名称）</w:t>
      </w:r>
      <w:r>
        <w:rPr>
          <w:szCs w:val="21"/>
        </w:rPr>
        <w:t>的法定代表人。</w:t>
      </w:r>
    </w:p>
    <w:p w14:paraId="6DF229C1">
      <w:pPr>
        <w:spacing w:line="540" w:lineRule="exact"/>
        <w:rPr>
          <w:szCs w:val="21"/>
        </w:rPr>
      </w:pPr>
    </w:p>
    <w:p w14:paraId="1EA48E79">
      <w:pPr>
        <w:spacing w:line="540" w:lineRule="exact"/>
        <w:ind w:firstLine="420" w:firstLineChars="200"/>
        <w:rPr>
          <w:szCs w:val="21"/>
        </w:rPr>
      </w:pPr>
      <w:r>
        <w:rPr>
          <w:szCs w:val="21"/>
        </w:rPr>
        <w:t>特此证明。</w:t>
      </w:r>
    </w:p>
    <w:p w14:paraId="73514C26">
      <w:pPr>
        <w:spacing w:line="360" w:lineRule="auto"/>
        <w:ind w:firstLine="4830" w:firstLineChars="2300"/>
        <w:rPr>
          <w:szCs w:val="21"/>
        </w:rPr>
      </w:pPr>
      <w:r>
        <w:rPr>
          <w:szCs w:val="21"/>
        </w:rPr>
        <w:t>供应商</w:t>
      </w:r>
      <w:r>
        <w:rPr>
          <w:rFonts w:hint="eastAsia"/>
          <w:szCs w:val="21"/>
        </w:rPr>
        <w:t>名称(电子签章</w:t>
      </w:r>
      <w:r>
        <w:rPr>
          <w:szCs w:val="21"/>
        </w:rPr>
        <w:t>)：</w:t>
      </w:r>
      <w:r>
        <w:rPr>
          <w:szCs w:val="21"/>
          <w:u w:val="single"/>
        </w:rPr>
        <w:t xml:space="preserve">                </w:t>
      </w:r>
    </w:p>
    <w:p w14:paraId="0BE7EA09">
      <w:pPr>
        <w:spacing w:line="360" w:lineRule="auto"/>
        <w:rPr>
          <w:szCs w:val="21"/>
        </w:rPr>
      </w:pPr>
      <w:r>
        <w:rPr>
          <w:szCs w:val="21"/>
        </w:rPr>
        <w:t xml:space="preserve">                                                                                               年       月       日 </w:t>
      </w:r>
    </w:p>
    <w:p w14:paraId="283EE58F">
      <w:pPr>
        <w:spacing w:line="360" w:lineRule="auto"/>
        <w:ind w:firstLine="420" w:firstLineChars="200"/>
        <w:rPr>
          <w:szCs w:val="21"/>
        </w:rPr>
      </w:pPr>
    </w:p>
    <w:p w14:paraId="5EFA3222">
      <w:pPr>
        <w:spacing w:line="360" w:lineRule="auto"/>
        <w:rPr>
          <w:szCs w:val="21"/>
        </w:rPr>
      </w:pPr>
      <w:r>
        <w:rPr>
          <w:szCs w:val="21"/>
        </w:rPr>
        <w:t>附件：法定代表人身份证复印件</w:t>
      </w:r>
    </w:p>
    <w:p w14:paraId="3873BB66">
      <w:pPr>
        <w:spacing w:line="360" w:lineRule="auto"/>
        <w:rPr>
          <w:szCs w:val="21"/>
        </w:rPr>
      </w:pPr>
    </w:p>
    <w:bookmarkEnd w:id="147"/>
    <w:p w14:paraId="79E31A94">
      <w:pPr>
        <w:snapToGrid w:val="0"/>
        <w:spacing w:before="120" w:beforeLines="50" w:after="50" w:line="360" w:lineRule="exact"/>
        <w:rPr>
          <w:b/>
          <w:szCs w:val="21"/>
        </w:rPr>
      </w:pPr>
      <w:r>
        <w:rPr>
          <w:b/>
          <w:szCs w:val="21"/>
        </w:rPr>
        <w:br w:type="page"/>
      </w:r>
      <w:r>
        <w:rPr>
          <w:rFonts w:hint="eastAsia"/>
          <w:b/>
          <w:szCs w:val="21"/>
        </w:rPr>
        <w:t>1</w:t>
      </w:r>
      <w:r>
        <w:rPr>
          <w:b/>
          <w:szCs w:val="21"/>
        </w:rPr>
        <w:t>．</w:t>
      </w:r>
      <w:r>
        <w:rPr>
          <w:rFonts w:hint="eastAsia"/>
          <w:b/>
          <w:szCs w:val="21"/>
        </w:rPr>
        <w:t>授权</w:t>
      </w:r>
      <w:r>
        <w:rPr>
          <w:b/>
          <w:szCs w:val="21"/>
        </w:rPr>
        <w:t>委托书</w:t>
      </w:r>
      <w:r>
        <w:rPr>
          <w:rFonts w:hint="eastAsia"/>
          <w:b/>
          <w:szCs w:val="21"/>
        </w:rPr>
        <w:t>（有授权</w:t>
      </w:r>
      <w:r>
        <w:rPr>
          <w:b/>
          <w:szCs w:val="21"/>
        </w:rPr>
        <w:t>代表</w:t>
      </w:r>
      <w:r>
        <w:rPr>
          <w:rFonts w:hint="eastAsia"/>
          <w:b/>
          <w:szCs w:val="21"/>
        </w:rPr>
        <w:t>时提供）</w:t>
      </w:r>
      <w:r>
        <w:rPr>
          <w:b/>
          <w:szCs w:val="21"/>
        </w:rPr>
        <w:t>：</w:t>
      </w:r>
    </w:p>
    <w:p w14:paraId="1AF7A1C1">
      <w:pPr>
        <w:snapToGrid w:val="0"/>
        <w:spacing w:before="120" w:beforeLines="50" w:after="50" w:line="440" w:lineRule="exact"/>
        <w:jc w:val="center"/>
        <w:rPr>
          <w:b/>
          <w:szCs w:val="21"/>
        </w:rPr>
      </w:pPr>
    </w:p>
    <w:p w14:paraId="2515F77B">
      <w:pPr>
        <w:snapToGrid w:val="0"/>
        <w:spacing w:before="120" w:beforeLines="50" w:after="50" w:line="440" w:lineRule="exact"/>
        <w:jc w:val="center"/>
        <w:rPr>
          <w:b/>
          <w:szCs w:val="21"/>
        </w:rPr>
      </w:pPr>
      <w:r>
        <w:rPr>
          <w:b/>
          <w:szCs w:val="21"/>
        </w:rPr>
        <w:t>法定代表人授权委托书</w:t>
      </w:r>
    </w:p>
    <w:p w14:paraId="24DCF9D8">
      <w:pPr>
        <w:snapToGrid w:val="0"/>
        <w:spacing w:before="120" w:beforeLines="50" w:after="50" w:line="440" w:lineRule="exact"/>
        <w:rPr>
          <w:b/>
          <w:bCs/>
          <w:szCs w:val="21"/>
        </w:rPr>
      </w:pPr>
      <w:r>
        <w:rPr>
          <w:bCs/>
          <w:szCs w:val="21"/>
        </w:rPr>
        <w:t>致：</w:t>
      </w:r>
      <w:r>
        <w:rPr>
          <w:i/>
          <w:iCs/>
          <w:szCs w:val="21"/>
          <w:u w:val="single"/>
        </w:rPr>
        <w:t>（采购</w:t>
      </w:r>
      <w:r>
        <w:rPr>
          <w:rFonts w:hint="eastAsia"/>
          <w:i/>
          <w:iCs/>
          <w:szCs w:val="21"/>
          <w:u w:val="single"/>
        </w:rPr>
        <w:t>人</w:t>
      </w:r>
      <w:r>
        <w:rPr>
          <w:i/>
          <w:iCs/>
          <w:szCs w:val="21"/>
          <w:u w:val="single"/>
        </w:rPr>
        <w:t>名称）</w:t>
      </w:r>
      <w:r>
        <w:rPr>
          <w:szCs w:val="21"/>
        </w:rPr>
        <w:t>：</w:t>
      </w:r>
    </w:p>
    <w:p w14:paraId="5C305870">
      <w:pPr>
        <w:snapToGrid w:val="0"/>
        <w:spacing w:before="120" w:beforeLines="50" w:after="50" w:line="440" w:lineRule="exact"/>
        <w:ind w:firstLine="420" w:firstLineChars="200"/>
        <w:rPr>
          <w:szCs w:val="21"/>
        </w:rPr>
      </w:pPr>
      <w:r>
        <w:rPr>
          <w:szCs w:val="21"/>
        </w:rPr>
        <w:t>我</w:t>
      </w:r>
      <w:r>
        <w:rPr>
          <w:i/>
          <w:iCs/>
          <w:szCs w:val="21"/>
          <w:u w:val="single"/>
        </w:rPr>
        <w:t>（</w:t>
      </w:r>
      <w:r>
        <w:rPr>
          <w:rFonts w:hint="eastAsia"/>
          <w:i/>
          <w:iCs/>
          <w:szCs w:val="21"/>
          <w:u w:val="single"/>
        </w:rPr>
        <w:t>法定代表人姓名</w:t>
      </w:r>
      <w:r>
        <w:rPr>
          <w:i/>
          <w:iCs/>
          <w:szCs w:val="21"/>
          <w:u w:val="single"/>
        </w:rPr>
        <w:t>）</w:t>
      </w:r>
      <w:r>
        <w:rPr>
          <w:szCs w:val="21"/>
        </w:rPr>
        <w:t>系</w:t>
      </w:r>
      <w:r>
        <w:rPr>
          <w:i/>
          <w:iCs/>
          <w:szCs w:val="21"/>
          <w:u w:val="single"/>
        </w:rPr>
        <w:t>（供应商名称）</w:t>
      </w:r>
      <w:r>
        <w:rPr>
          <w:szCs w:val="21"/>
        </w:rPr>
        <w:t xml:space="preserve">的法定代表人，现授权委托本单位在职职工 </w:t>
      </w:r>
      <w:r>
        <w:rPr>
          <w:szCs w:val="21"/>
          <w:u w:val="single"/>
        </w:rPr>
        <w:t xml:space="preserve">        </w:t>
      </w:r>
      <w:r>
        <w:rPr>
          <w:szCs w:val="21"/>
        </w:rPr>
        <w:t>（姓名）以我方的名义参加</w:t>
      </w:r>
      <w:r>
        <w:rPr>
          <w:szCs w:val="21"/>
          <w:u w:val="single"/>
        </w:rPr>
        <w:t xml:space="preserve"> </w:t>
      </w:r>
      <w:r>
        <w:rPr>
          <w:rFonts w:hint="eastAsia"/>
          <w:i/>
          <w:iCs/>
          <w:szCs w:val="21"/>
          <w:u w:val="single"/>
        </w:rPr>
        <w:t>（项目名称）</w:t>
      </w:r>
      <w:r>
        <w:rPr>
          <w:szCs w:val="21"/>
          <w:u w:val="single"/>
        </w:rPr>
        <w:t xml:space="preserve"> </w:t>
      </w:r>
      <w:r>
        <w:rPr>
          <w:szCs w:val="21"/>
        </w:rPr>
        <w:t>项目的投标活动，并代表我方全权办理针对上述项目的投标、开标、评审、签约等具体事务和签署相关文件。</w:t>
      </w:r>
    </w:p>
    <w:p w14:paraId="249879FF">
      <w:pPr>
        <w:snapToGrid w:val="0"/>
        <w:spacing w:before="120" w:beforeLines="50" w:after="50" w:line="440" w:lineRule="exact"/>
        <w:rPr>
          <w:szCs w:val="21"/>
        </w:rPr>
      </w:pPr>
      <w:r>
        <w:rPr>
          <w:szCs w:val="21"/>
        </w:rPr>
        <w:t xml:space="preserve">    我方对被授权人的签名事项负全部责任。</w:t>
      </w:r>
    </w:p>
    <w:p w14:paraId="2E0F44C2">
      <w:pPr>
        <w:snapToGrid w:val="0"/>
        <w:spacing w:before="120" w:beforeLines="50" w:after="50" w:line="440" w:lineRule="exact"/>
        <w:ind w:firstLine="480"/>
        <w:rPr>
          <w:szCs w:val="21"/>
        </w:rPr>
      </w:pPr>
      <w:r>
        <w:rPr>
          <w:szCs w:val="21"/>
        </w:rPr>
        <w:t>在撤销授权的书面通知以前，本授权书一直有效。被授权人在授权书有效期内签署的所有文件不因授权的撤销而失效。</w:t>
      </w:r>
    </w:p>
    <w:p w14:paraId="59775762">
      <w:pPr>
        <w:snapToGrid w:val="0"/>
        <w:spacing w:before="120" w:beforeLines="50" w:after="50" w:line="440" w:lineRule="exact"/>
        <w:ind w:firstLine="480"/>
        <w:rPr>
          <w:szCs w:val="21"/>
        </w:rPr>
      </w:pPr>
      <w:r>
        <w:rPr>
          <w:szCs w:val="21"/>
        </w:rPr>
        <w:t>被授权人无转委托权，特此委托。</w:t>
      </w:r>
    </w:p>
    <w:p w14:paraId="2DCE01B9">
      <w:pPr>
        <w:snapToGrid w:val="0"/>
        <w:spacing w:before="120" w:beforeLines="50" w:after="50" w:line="440" w:lineRule="exact"/>
        <w:rPr>
          <w:szCs w:val="21"/>
          <w:u w:val="single"/>
        </w:rPr>
      </w:pPr>
      <w:r>
        <w:rPr>
          <w:szCs w:val="21"/>
        </w:rPr>
        <w:t>被授权人签字或</w:t>
      </w:r>
      <w:r>
        <w:rPr>
          <w:rFonts w:hint="eastAsia"/>
          <w:szCs w:val="21"/>
        </w:rPr>
        <w:t>签</w:t>
      </w:r>
      <w:r>
        <w:rPr>
          <w:szCs w:val="21"/>
        </w:rPr>
        <w:t>章：</w:t>
      </w:r>
      <w:r>
        <w:rPr>
          <w:szCs w:val="21"/>
          <w:u w:val="single"/>
        </w:rPr>
        <w:t xml:space="preserve">          </w:t>
      </w:r>
      <w:r>
        <w:rPr>
          <w:szCs w:val="21"/>
        </w:rPr>
        <w:t xml:space="preserve">                     法定代表人签字或</w:t>
      </w:r>
      <w:r>
        <w:rPr>
          <w:rFonts w:hint="eastAsia"/>
          <w:szCs w:val="21"/>
        </w:rPr>
        <w:t>签</w:t>
      </w:r>
      <w:r>
        <w:rPr>
          <w:szCs w:val="21"/>
        </w:rPr>
        <w:t>章：</w:t>
      </w:r>
      <w:r>
        <w:rPr>
          <w:szCs w:val="21"/>
          <w:u w:val="single"/>
        </w:rPr>
        <w:t xml:space="preserve">          </w:t>
      </w:r>
    </w:p>
    <w:p w14:paraId="39DF78DF">
      <w:pPr>
        <w:snapToGrid w:val="0"/>
        <w:spacing w:before="120" w:beforeLines="50" w:after="50" w:line="440" w:lineRule="exact"/>
        <w:rPr>
          <w:szCs w:val="21"/>
        </w:rPr>
      </w:pPr>
      <w:r>
        <w:rPr>
          <w:szCs w:val="21"/>
        </w:rPr>
        <w:t>职务：</w:t>
      </w:r>
      <w:r>
        <w:rPr>
          <w:szCs w:val="21"/>
          <w:u w:val="single"/>
        </w:rPr>
        <w:t xml:space="preserve">           </w:t>
      </w:r>
      <w:r>
        <w:rPr>
          <w:szCs w:val="21"/>
        </w:rPr>
        <w:t xml:space="preserve">                                                 职务：</w:t>
      </w:r>
      <w:r>
        <w:rPr>
          <w:szCs w:val="21"/>
          <w:u w:val="single"/>
        </w:rPr>
        <w:t xml:space="preserve">           </w:t>
      </w:r>
    </w:p>
    <w:p w14:paraId="04D9507B">
      <w:pPr>
        <w:snapToGrid w:val="0"/>
        <w:spacing w:before="120" w:beforeLines="50" w:after="50" w:line="440" w:lineRule="exact"/>
        <w:rPr>
          <w:szCs w:val="21"/>
          <w:u w:val="single"/>
        </w:rPr>
      </w:pPr>
      <w:bookmarkStart w:id="148" w:name="_Hlk138844890"/>
      <w:r>
        <w:rPr>
          <w:szCs w:val="21"/>
        </w:rPr>
        <w:t>被授权人身份证号码：</w:t>
      </w:r>
      <w:r>
        <w:rPr>
          <w:szCs w:val="21"/>
          <w:u w:val="single"/>
        </w:rPr>
        <w:t xml:space="preserve">                   </w:t>
      </w:r>
      <w:r>
        <w:rPr>
          <w:szCs w:val="21"/>
        </w:rPr>
        <w:t xml:space="preserve">  </w:t>
      </w:r>
      <w:bookmarkEnd w:id="148"/>
      <w:r>
        <w:rPr>
          <w:szCs w:val="21"/>
        </w:rPr>
        <w:t xml:space="preserve">          授权人身份证号码：</w:t>
      </w:r>
      <w:r>
        <w:rPr>
          <w:szCs w:val="21"/>
          <w:u w:val="single"/>
        </w:rPr>
        <w:t xml:space="preserve">                 </w:t>
      </w:r>
    </w:p>
    <w:p w14:paraId="03C7681F">
      <w:pPr>
        <w:snapToGrid w:val="0"/>
        <w:spacing w:before="120" w:beforeLines="50" w:after="50" w:line="440" w:lineRule="exact"/>
        <w:rPr>
          <w:szCs w:val="21"/>
        </w:rPr>
      </w:pPr>
      <w:r>
        <w:rPr>
          <w:rFonts w:hint="eastAsia"/>
          <w:szCs w:val="21"/>
        </w:rPr>
        <w:t>被授权人</w:t>
      </w:r>
      <w:bookmarkStart w:id="149" w:name="_Hlk132793041"/>
      <w:r>
        <w:rPr>
          <w:rFonts w:hint="eastAsia"/>
          <w:szCs w:val="21"/>
        </w:rPr>
        <w:t>手机号码及邮箱：</w:t>
      </w:r>
      <w:bookmarkEnd w:id="149"/>
      <w:r>
        <w:rPr>
          <w:rFonts w:hint="eastAsia"/>
          <w:szCs w:val="21"/>
          <w:u w:val="single"/>
        </w:rPr>
        <w:t xml:space="preserve"> </w:t>
      </w:r>
      <w:r>
        <w:rPr>
          <w:szCs w:val="21"/>
          <w:u w:val="single"/>
        </w:rPr>
        <w:t xml:space="preserve">                       </w:t>
      </w:r>
      <w:r>
        <w:rPr>
          <w:rFonts w:hint="eastAsia"/>
          <w:szCs w:val="21"/>
        </w:rPr>
        <w:t xml:space="preserve"> </w:t>
      </w:r>
      <w:r>
        <w:rPr>
          <w:szCs w:val="21"/>
        </w:rPr>
        <w:t xml:space="preserve">                  </w:t>
      </w:r>
    </w:p>
    <w:p w14:paraId="23AE5BA5">
      <w:pPr>
        <w:snapToGrid w:val="0"/>
        <w:spacing w:before="120" w:beforeLines="50" w:after="50" w:line="440" w:lineRule="exact"/>
        <w:rPr>
          <w:szCs w:val="21"/>
        </w:rPr>
      </w:pPr>
      <w:r>
        <w:rPr>
          <w:szCs w:val="21"/>
        </w:rPr>
        <w:t xml:space="preserve">                                  </w:t>
      </w:r>
    </w:p>
    <w:p w14:paraId="791F2919">
      <w:pPr>
        <w:snapToGrid w:val="0"/>
        <w:spacing w:before="120" w:beforeLines="50" w:after="50" w:line="440" w:lineRule="exact"/>
        <w:ind w:firstLine="5250" w:firstLineChars="2500"/>
        <w:rPr>
          <w:szCs w:val="21"/>
        </w:rPr>
      </w:pPr>
      <w:r>
        <w:rPr>
          <w:szCs w:val="21"/>
        </w:rPr>
        <w:t>供应商</w:t>
      </w:r>
      <w:r>
        <w:rPr>
          <w:rFonts w:hint="eastAsia"/>
          <w:szCs w:val="21"/>
        </w:rPr>
        <w:t>名称(电子签章</w:t>
      </w:r>
      <w:r>
        <w:rPr>
          <w:szCs w:val="21"/>
        </w:rPr>
        <w:t>)：</w:t>
      </w:r>
      <w:r>
        <w:rPr>
          <w:szCs w:val="21"/>
          <w:u w:val="single"/>
        </w:rPr>
        <w:t xml:space="preserve">                </w:t>
      </w:r>
    </w:p>
    <w:p w14:paraId="36F9D366">
      <w:pPr>
        <w:snapToGrid w:val="0"/>
        <w:spacing w:before="120" w:beforeLines="50" w:after="50" w:line="440" w:lineRule="exact"/>
        <w:jc w:val="center"/>
        <w:rPr>
          <w:szCs w:val="21"/>
        </w:rPr>
      </w:pPr>
      <w:r>
        <w:rPr>
          <w:szCs w:val="21"/>
        </w:rPr>
        <w:t xml:space="preserve">                                        年    月    日</w:t>
      </w:r>
    </w:p>
    <w:p w14:paraId="583F761C">
      <w:pPr>
        <w:spacing w:line="360" w:lineRule="auto"/>
        <w:rPr>
          <w:color w:val="FF0000"/>
          <w:szCs w:val="21"/>
        </w:rPr>
      </w:pPr>
    </w:p>
    <w:p w14:paraId="40ADDC8D">
      <w:pPr>
        <w:spacing w:line="360" w:lineRule="auto"/>
        <w:rPr>
          <w:color w:val="FF0000"/>
          <w:szCs w:val="21"/>
        </w:rPr>
      </w:pPr>
    </w:p>
    <w:p w14:paraId="5B1E830C">
      <w:pPr>
        <w:spacing w:line="360" w:lineRule="auto"/>
        <w:rPr>
          <w:szCs w:val="21"/>
        </w:rPr>
      </w:pPr>
      <w:r>
        <w:rPr>
          <w:szCs w:val="21"/>
        </w:rPr>
        <w:t>附件：法定代表人身份证复印件及授权代表身份证复印件</w:t>
      </w:r>
    </w:p>
    <w:p w14:paraId="169C0C63">
      <w:pPr>
        <w:jc w:val="center"/>
        <w:rPr>
          <w:bCs/>
          <w:sz w:val="28"/>
          <w:szCs w:val="28"/>
        </w:rPr>
      </w:pPr>
      <w:r>
        <w:rPr>
          <w:bCs/>
          <w:sz w:val="24"/>
        </w:rPr>
        <w:br w:type="page"/>
      </w:r>
      <w:r>
        <w:rPr>
          <w:sz w:val="28"/>
          <w:szCs w:val="28"/>
        </w:rPr>
        <w:t>第一部分 商务文件</w:t>
      </w:r>
    </w:p>
    <w:p w14:paraId="0620C4E2">
      <w:pPr>
        <w:jc w:val="center"/>
        <w:rPr>
          <w:bCs/>
          <w:sz w:val="24"/>
        </w:rPr>
      </w:pPr>
      <w:r>
        <w:t>（本商务文件供应商可自行编写，也可参照下述提纲编写）</w:t>
      </w:r>
    </w:p>
    <w:p w14:paraId="2638C455">
      <w:pPr>
        <w:snapToGrid w:val="0"/>
        <w:spacing w:before="50" w:after="120" w:afterLines="50" w:line="440" w:lineRule="exact"/>
        <w:jc w:val="left"/>
        <w:rPr>
          <w:color w:val="auto"/>
          <w:szCs w:val="21"/>
        </w:rPr>
      </w:pPr>
    </w:p>
    <w:p w14:paraId="268AF7E3">
      <w:pPr>
        <w:snapToGrid w:val="0"/>
        <w:spacing w:before="50" w:after="120" w:afterLines="50" w:line="440" w:lineRule="exact"/>
        <w:jc w:val="left"/>
        <w:rPr>
          <w:color w:val="auto"/>
          <w:szCs w:val="21"/>
        </w:rPr>
      </w:pPr>
      <w:r>
        <w:rPr>
          <w:rFonts w:hint="eastAsia"/>
          <w:color w:val="auto"/>
          <w:szCs w:val="21"/>
        </w:rPr>
        <w:t>1</w:t>
      </w:r>
      <w:r>
        <w:rPr>
          <w:color w:val="auto"/>
          <w:szCs w:val="21"/>
        </w:rPr>
        <w:t>．</w:t>
      </w:r>
      <w:r>
        <w:rPr>
          <w:rFonts w:hint="eastAsia"/>
          <w:color w:val="auto"/>
          <w:szCs w:val="21"/>
        </w:rPr>
        <w:t>对</w:t>
      </w:r>
      <w:r>
        <w:rPr>
          <w:color w:val="auto"/>
          <w:szCs w:val="21"/>
        </w:rPr>
        <w:t>本项目第</w:t>
      </w:r>
      <w:r>
        <w:rPr>
          <w:rFonts w:hint="eastAsia"/>
          <w:color w:val="auto"/>
          <w:szCs w:val="21"/>
        </w:rPr>
        <w:t>二</w:t>
      </w:r>
      <w:r>
        <w:rPr>
          <w:color w:val="auto"/>
          <w:szCs w:val="21"/>
        </w:rPr>
        <w:t>章</w:t>
      </w:r>
      <w:r>
        <w:rPr>
          <w:rFonts w:hint="eastAsia"/>
          <w:color w:val="auto"/>
          <w:szCs w:val="21"/>
        </w:rPr>
        <w:t>《采购需求》“</w:t>
      </w:r>
      <w:r>
        <w:rPr>
          <w:color w:val="auto"/>
          <w:szCs w:val="21"/>
        </w:rPr>
        <w:t>商务要求</w:t>
      </w:r>
      <w:r>
        <w:rPr>
          <w:rFonts w:hint="eastAsia"/>
          <w:color w:val="auto"/>
          <w:szCs w:val="21"/>
        </w:rPr>
        <w:t>”</w:t>
      </w:r>
      <w:r>
        <w:rPr>
          <w:color w:val="auto"/>
          <w:szCs w:val="21"/>
        </w:rPr>
        <w:t>的</w:t>
      </w:r>
      <w:r>
        <w:rPr>
          <w:rFonts w:hint="eastAsia"/>
          <w:color w:val="auto"/>
          <w:szCs w:val="21"/>
        </w:rPr>
        <w:t>响应表</w:t>
      </w:r>
    </w:p>
    <w:tbl>
      <w:tblPr>
        <w:tblStyle w:val="51"/>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46"/>
        <w:gridCol w:w="2110"/>
        <w:gridCol w:w="4085"/>
        <w:gridCol w:w="1887"/>
      </w:tblGrid>
      <w:tr w14:paraId="4438EF0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39" w:hRule="atLeast"/>
          <w:jc w:val="center"/>
        </w:trPr>
        <w:tc>
          <w:tcPr>
            <w:tcW w:w="746" w:type="dxa"/>
            <w:tcBorders>
              <w:top w:val="single" w:color="auto" w:sz="4" w:space="0"/>
              <w:left w:val="single" w:color="auto" w:sz="4" w:space="0"/>
              <w:bottom w:val="single" w:color="auto" w:sz="4" w:space="0"/>
              <w:right w:val="single" w:color="auto" w:sz="4" w:space="0"/>
            </w:tcBorders>
            <w:noWrap w:val="0"/>
            <w:vAlign w:val="center"/>
          </w:tcPr>
          <w:p w14:paraId="58A4BBAE">
            <w:pPr>
              <w:snapToGrid w:val="0"/>
              <w:spacing w:before="120" w:beforeLines="50"/>
              <w:jc w:val="center"/>
              <w:rPr>
                <w:color w:val="auto"/>
                <w:szCs w:val="21"/>
              </w:rPr>
            </w:pPr>
            <w:r>
              <w:rPr>
                <w:color w:val="auto"/>
                <w:szCs w:val="21"/>
              </w:rPr>
              <w:t>序号</w:t>
            </w:r>
          </w:p>
        </w:tc>
        <w:tc>
          <w:tcPr>
            <w:tcW w:w="2110" w:type="dxa"/>
            <w:tcBorders>
              <w:top w:val="single" w:color="auto" w:sz="4" w:space="0"/>
              <w:left w:val="single" w:color="auto" w:sz="4" w:space="0"/>
              <w:bottom w:val="single" w:color="auto" w:sz="4" w:space="0"/>
              <w:right w:val="single" w:color="auto" w:sz="4" w:space="0"/>
            </w:tcBorders>
            <w:noWrap w:val="0"/>
            <w:vAlign w:val="center"/>
          </w:tcPr>
          <w:p w14:paraId="3D6A507F">
            <w:pPr>
              <w:snapToGrid w:val="0"/>
              <w:spacing w:before="120" w:beforeLines="50"/>
              <w:jc w:val="center"/>
              <w:rPr>
                <w:color w:val="auto"/>
                <w:szCs w:val="21"/>
              </w:rPr>
            </w:pPr>
            <w:r>
              <w:rPr>
                <w:color w:val="auto"/>
                <w:szCs w:val="21"/>
              </w:rPr>
              <w:t>招标文件的商务要求</w:t>
            </w:r>
          </w:p>
        </w:tc>
        <w:tc>
          <w:tcPr>
            <w:tcW w:w="4085" w:type="dxa"/>
            <w:tcBorders>
              <w:top w:val="single" w:color="auto" w:sz="4" w:space="0"/>
              <w:left w:val="single" w:color="auto" w:sz="4" w:space="0"/>
              <w:bottom w:val="single" w:color="auto" w:sz="4" w:space="0"/>
              <w:right w:val="single" w:color="auto" w:sz="4" w:space="0"/>
            </w:tcBorders>
            <w:noWrap w:val="0"/>
            <w:vAlign w:val="center"/>
          </w:tcPr>
          <w:p w14:paraId="3AD05BF5">
            <w:pPr>
              <w:snapToGrid w:val="0"/>
              <w:spacing w:before="120" w:beforeLines="50"/>
              <w:jc w:val="center"/>
              <w:rPr>
                <w:color w:val="auto"/>
                <w:szCs w:val="21"/>
              </w:rPr>
            </w:pPr>
            <w:r>
              <w:rPr>
                <w:color w:val="auto"/>
                <w:szCs w:val="21"/>
              </w:rPr>
              <w:t>投标文件响应内容</w:t>
            </w:r>
          </w:p>
        </w:tc>
        <w:tc>
          <w:tcPr>
            <w:tcW w:w="1887" w:type="dxa"/>
            <w:tcBorders>
              <w:top w:val="single" w:color="auto" w:sz="4" w:space="0"/>
              <w:left w:val="single" w:color="auto" w:sz="4" w:space="0"/>
              <w:bottom w:val="single" w:color="auto" w:sz="4" w:space="0"/>
              <w:right w:val="single" w:color="auto" w:sz="4" w:space="0"/>
            </w:tcBorders>
            <w:noWrap w:val="0"/>
            <w:vAlign w:val="center"/>
          </w:tcPr>
          <w:p w14:paraId="655786EC">
            <w:pPr>
              <w:snapToGrid w:val="0"/>
              <w:spacing w:before="120" w:beforeLines="50"/>
              <w:jc w:val="center"/>
              <w:rPr>
                <w:color w:val="auto"/>
                <w:szCs w:val="21"/>
              </w:rPr>
            </w:pPr>
            <w:r>
              <w:rPr>
                <w:color w:val="auto"/>
              </w:rPr>
              <w:t>偏离</w:t>
            </w:r>
            <w:r>
              <w:rPr>
                <w:color w:val="auto"/>
                <w:szCs w:val="21"/>
              </w:rPr>
              <w:t>说明</w:t>
            </w:r>
          </w:p>
        </w:tc>
      </w:tr>
      <w:tr w14:paraId="25BF27A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4" w:hRule="exact"/>
          <w:jc w:val="center"/>
        </w:trPr>
        <w:tc>
          <w:tcPr>
            <w:tcW w:w="746" w:type="dxa"/>
            <w:tcBorders>
              <w:top w:val="single" w:color="auto" w:sz="4" w:space="0"/>
              <w:left w:val="single" w:color="auto" w:sz="4" w:space="0"/>
              <w:bottom w:val="single" w:color="auto" w:sz="4" w:space="0"/>
              <w:right w:val="single" w:color="auto" w:sz="4" w:space="0"/>
            </w:tcBorders>
            <w:noWrap w:val="0"/>
            <w:vAlign w:val="center"/>
          </w:tcPr>
          <w:p w14:paraId="34F3EDAA">
            <w:pPr>
              <w:snapToGrid w:val="0"/>
              <w:spacing w:before="120" w:beforeLines="50"/>
              <w:jc w:val="center"/>
              <w:rPr>
                <w:color w:val="auto"/>
                <w:szCs w:val="21"/>
              </w:rPr>
            </w:pPr>
          </w:p>
        </w:tc>
        <w:tc>
          <w:tcPr>
            <w:tcW w:w="2110" w:type="dxa"/>
            <w:tcBorders>
              <w:top w:val="single" w:color="auto" w:sz="4" w:space="0"/>
              <w:left w:val="single" w:color="auto" w:sz="4" w:space="0"/>
              <w:bottom w:val="single" w:color="auto" w:sz="4" w:space="0"/>
              <w:right w:val="single" w:color="auto" w:sz="4" w:space="0"/>
            </w:tcBorders>
            <w:noWrap w:val="0"/>
            <w:vAlign w:val="center"/>
          </w:tcPr>
          <w:p w14:paraId="2232F6D0">
            <w:pPr>
              <w:snapToGrid w:val="0"/>
              <w:spacing w:before="120" w:beforeLines="50"/>
              <w:jc w:val="center"/>
              <w:rPr>
                <w:color w:val="auto"/>
                <w:szCs w:val="21"/>
              </w:rPr>
            </w:pPr>
          </w:p>
        </w:tc>
        <w:tc>
          <w:tcPr>
            <w:tcW w:w="4085" w:type="dxa"/>
            <w:tcBorders>
              <w:top w:val="single" w:color="auto" w:sz="4" w:space="0"/>
              <w:left w:val="single" w:color="auto" w:sz="4" w:space="0"/>
              <w:bottom w:val="single" w:color="auto" w:sz="4" w:space="0"/>
              <w:right w:val="single" w:color="auto" w:sz="4" w:space="0"/>
            </w:tcBorders>
            <w:noWrap w:val="0"/>
            <w:vAlign w:val="center"/>
          </w:tcPr>
          <w:p w14:paraId="2CADFE1B">
            <w:pPr>
              <w:snapToGrid w:val="0"/>
              <w:spacing w:before="120" w:beforeLines="50"/>
              <w:jc w:val="center"/>
              <w:rPr>
                <w:color w:val="auto"/>
                <w:szCs w:val="21"/>
              </w:rPr>
            </w:pPr>
          </w:p>
        </w:tc>
        <w:tc>
          <w:tcPr>
            <w:tcW w:w="1887" w:type="dxa"/>
            <w:tcBorders>
              <w:top w:val="single" w:color="auto" w:sz="4" w:space="0"/>
              <w:left w:val="single" w:color="auto" w:sz="4" w:space="0"/>
              <w:bottom w:val="single" w:color="auto" w:sz="4" w:space="0"/>
              <w:right w:val="single" w:color="auto" w:sz="4" w:space="0"/>
            </w:tcBorders>
            <w:noWrap w:val="0"/>
            <w:vAlign w:val="center"/>
          </w:tcPr>
          <w:p w14:paraId="42729462">
            <w:pPr>
              <w:snapToGrid w:val="0"/>
              <w:spacing w:before="120" w:beforeLines="50"/>
              <w:jc w:val="center"/>
              <w:rPr>
                <w:color w:val="auto"/>
                <w:szCs w:val="21"/>
              </w:rPr>
            </w:pPr>
          </w:p>
        </w:tc>
      </w:tr>
      <w:tr w14:paraId="4057B09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4" w:hRule="exact"/>
          <w:jc w:val="center"/>
        </w:trPr>
        <w:tc>
          <w:tcPr>
            <w:tcW w:w="746" w:type="dxa"/>
            <w:tcBorders>
              <w:top w:val="single" w:color="auto" w:sz="4" w:space="0"/>
              <w:left w:val="single" w:color="auto" w:sz="4" w:space="0"/>
              <w:bottom w:val="single" w:color="auto" w:sz="4" w:space="0"/>
              <w:right w:val="single" w:color="auto" w:sz="4" w:space="0"/>
            </w:tcBorders>
            <w:noWrap w:val="0"/>
            <w:vAlign w:val="center"/>
          </w:tcPr>
          <w:p w14:paraId="7F321466">
            <w:pPr>
              <w:snapToGrid w:val="0"/>
              <w:spacing w:before="120" w:beforeLines="50"/>
              <w:jc w:val="center"/>
              <w:rPr>
                <w:color w:val="auto"/>
                <w:szCs w:val="21"/>
              </w:rPr>
            </w:pPr>
          </w:p>
        </w:tc>
        <w:tc>
          <w:tcPr>
            <w:tcW w:w="2110" w:type="dxa"/>
            <w:tcBorders>
              <w:top w:val="single" w:color="auto" w:sz="4" w:space="0"/>
              <w:left w:val="single" w:color="auto" w:sz="4" w:space="0"/>
              <w:bottom w:val="single" w:color="auto" w:sz="4" w:space="0"/>
              <w:right w:val="single" w:color="auto" w:sz="4" w:space="0"/>
            </w:tcBorders>
            <w:noWrap w:val="0"/>
            <w:vAlign w:val="center"/>
          </w:tcPr>
          <w:p w14:paraId="298080E7">
            <w:pPr>
              <w:snapToGrid w:val="0"/>
              <w:spacing w:before="120" w:beforeLines="50"/>
              <w:jc w:val="center"/>
              <w:rPr>
                <w:color w:val="auto"/>
                <w:szCs w:val="21"/>
              </w:rPr>
            </w:pPr>
          </w:p>
        </w:tc>
        <w:tc>
          <w:tcPr>
            <w:tcW w:w="4085" w:type="dxa"/>
            <w:tcBorders>
              <w:top w:val="single" w:color="auto" w:sz="4" w:space="0"/>
              <w:left w:val="single" w:color="auto" w:sz="4" w:space="0"/>
              <w:bottom w:val="single" w:color="auto" w:sz="4" w:space="0"/>
              <w:right w:val="single" w:color="auto" w:sz="4" w:space="0"/>
            </w:tcBorders>
            <w:noWrap w:val="0"/>
            <w:vAlign w:val="center"/>
          </w:tcPr>
          <w:p w14:paraId="02A82DF3">
            <w:pPr>
              <w:snapToGrid w:val="0"/>
              <w:spacing w:before="120" w:beforeLines="50"/>
              <w:jc w:val="center"/>
              <w:rPr>
                <w:color w:val="auto"/>
                <w:szCs w:val="21"/>
              </w:rPr>
            </w:pPr>
          </w:p>
        </w:tc>
        <w:tc>
          <w:tcPr>
            <w:tcW w:w="1887" w:type="dxa"/>
            <w:tcBorders>
              <w:top w:val="single" w:color="auto" w:sz="4" w:space="0"/>
              <w:left w:val="single" w:color="auto" w:sz="4" w:space="0"/>
              <w:bottom w:val="single" w:color="auto" w:sz="4" w:space="0"/>
              <w:right w:val="single" w:color="auto" w:sz="4" w:space="0"/>
            </w:tcBorders>
            <w:noWrap w:val="0"/>
            <w:vAlign w:val="center"/>
          </w:tcPr>
          <w:p w14:paraId="4F040AE2">
            <w:pPr>
              <w:snapToGrid w:val="0"/>
              <w:spacing w:before="120" w:beforeLines="50"/>
              <w:jc w:val="center"/>
              <w:rPr>
                <w:color w:val="auto"/>
                <w:szCs w:val="21"/>
              </w:rPr>
            </w:pPr>
          </w:p>
        </w:tc>
      </w:tr>
      <w:tr w14:paraId="7FC807F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02" w:hRule="exact"/>
          <w:jc w:val="center"/>
        </w:trPr>
        <w:tc>
          <w:tcPr>
            <w:tcW w:w="746" w:type="dxa"/>
            <w:tcBorders>
              <w:top w:val="single" w:color="auto" w:sz="4" w:space="0"/>
              <w:left w:val="single" w:color="auto" w:sz="4" w:space="0"/>
              <w:bottom w:val="single" w:color="auto" w:sz="4" w:space="0"/>
              <w:right w:val="single" w:color="auto" w:sz="4" w:space="0"/>
            </w:tcBorders>
            <w:noWrap w:val="0"/>
            <w:vAlign w:val="center"/>
          </w:tcPr>
          <w:p w14:paraId="4F0D8CF8">
            <w:pPr>
              <w:snapToGrid w:val="0"/>
              <w:spacing w:before="120" w:beforeLines="50"/>
              <w:jc w:val="center"/>
              <w:rPr>
                <w:color w:val="auto"/>
                <w:szCs w:val="21"/>
              </w:rPr>
            </w:pPr>
          </w:p>
        </w:tc>
        <w:tc>
          <w:tcPr>
            <w:tcW w:w="2110" w:type="dxa"/>
            <w:tcBorders>
              <w:top w:val="single" w:color="auto" w:sz="4" w:space="0"/>
              <w:left w:val="single" w:color="auto" w:sz="4" w:space="0"/>
              <w:bottom w:val="single" w:color="auto" w:sz="4" w:space="0"/>
              <w:right w:val="single" w:color="auto" w:sz="4" w:space="0"/>
            </w:tcBorders>
            <w:noWrap w:val="0"/>
            <w:vAlign w:val="center"/>
          </w:tcPr>
          <w:p w14:paraId="1CBC0673">
            <w:pPr>
              <w:snapToGrid w:val="0"/>
              <w:spacing w:before="120" w:beforeLines="50"/>
              <w:jc w:val="center"/>
              <w:rPr>
                <w:color w:val="auto"/>
                <w:szCs w:val="21"/>
              </w:rPr>
            </w:pPr>
            <w:r>
              <w:rPr>
                <w:color w:val="auto"/>
                <w:szCs w:val="21"/>
              </w:rPr>
              <w:t>……</w:t>
            </w:r>
          </w:p>
        </w:tc>
        <w:tc>
          <w:tcPr>
            <w:tcW w:w="4085" w:type="dxa"/>
            <w:tcBorders>
              <w:top w:val="single" w:color="auto" w:sz="4" w:space="0"/>
              <w:left w:val="single" w:color="auto" w:sz="4" w:space="0"/>
              <w:bottom w:val="single" w:color="auto" w:sz="4" w:space="0"/>
              <w:right w:val="single" w:color="auto" w:sz="4" w:space="0"/>
            </w:tcBorders>
            <w:noWrap w:val="0"/>
            <w:vAlign w:val="center"/>
          </w:tcPr>
          <w:p w14:paraId="7221874F">
            <w:pPr>
              <w:snapToGrid w:val="0"/>
              <w:spacing w:before="120" w:beforeLines="50"/>
              <w:jc w:val="center"/>
              <w:rPr>
                <w:color w:val="auto"/>
                <w:szCs w:val="21"/>
              </w:rPr>
            </w:pPr>
          </w:p>
        </w:tc>
        <w:tc>
          <w:tcPr>
            <w:tcW w:w="1887" w:type="dxa"/>
            <w:tcBorders>
              <w:top w:val="single" w:color="auto" w:sz="4" w:space="0"/>
              <w:left w:val="single" w:color="auto" w:sz="4" w:space="0"/>
              <w:bottom w:val="single" w:color="auto" w:sz="4" w:space="0"/>
              <w:right w:val="single" w:color="auto" w:sz="4" w:space="0"/>
            </w:tcBorders>
            <w:noWrap w:val="0"/>
            <w:vAlign w:val="center"/>
          </w:tcPr>
          <w:p w14:paraId="0FF22AF9">
            <w:pPr>
              <w:snapToGrid w:val="0"/>
              <w:spacing w:before="120" w:beforeLines="50"/>
              <w:jc w:val="center"/>
              <w:rPr>
                <w:color w:val="auto"/>
                <w:szCs w:val="21"/>
              </w:rPr>
            </w:pPr>
          </w:p>
        </w:tc>
      </w:tr>
    </w:tbl>
    <w:p w14:paraId="570F9DCF">
      <w:pPr>
        <w:pStyle w:val="26"/>
        <w:tabs>
          <w:tab w:val="left" w:pos="2127"/>
        </w:tabs>
        <w:spacing w:line="340" w:lineRule="exact"/>
        <w:ind w:firstLine="420" w:firstLineChars="200"/>
        <w:jc w:val="left"/>
        <w:rPr>
          <w:rFonts w:ascii="Times New Roman" w:hAnsi="Times New Roman" w:cs="Times New Roman"/>
          <w:color w:val="auto"/>
        </w:rPr>
      </w:pPr>
      <w:bookmarkStart w:id="150" w:name="_Hlk48144603"/>
      <w:bookmarkStart w:id="151" w:name="_Hlk88990584"/>
      <w:r>
        <w:rPr>
          <w:rFonts w:ascii="Times New Roman" w:hAnsi="Times New Roman" w:cs="Times New Roman"/>
          <w:color w:val="auto"/>
        </w:rPr>
        <w:t>注：</w:t>
      </w:r>
      <w:bookmarkStart w:id="152" w:name="_Hlk19049081"/>
      <w:r>
        <w:rPr>
          <w:rFonts w:ascii="Times New Roman" w:hAnsi="Times New Roman" w:cs="Times New Roman"/>
          <w:color w:val="auto"/>
        </w:rPr>
        <w:t>（1）本表应对招标文件</w:t>
      </w:r>
      <w:r>
        <w:rPr>
          <w:color w:val="auto"/>
        </w:rPr>
        <w:t>第</w:t>
      </w:r>
      <w:r>
        <w:rPr>
          <w:rFonts w:hint="eastAsia"/>
          <w:color w:val="auto"/>
        </w:rPr>
        <w:t>二</w:t>
      </w:r>
      <w:r>
        <w:rPr>
          <w:color w:val="auto"/>
        </w:rPr>
        <w:t>章</w:t>
      </w:r>
      <w:r>
        <w:rPr>
          <w:rFonts w:hint="eastAsia"/>
          <w:color w:val="auto"/>
        </w:rPr>
        <w:t>《采购需求》</w:t>
      </w:r>
      <w:r>
        <w:rPr>
          <w:rFonts w:ascii="Times New Roman" w:hAnsi="Times New Roman" w:cs="Times New Roman"/>
          <w:color w:val="auto"/>
        </w:rPr>
        <w:t>中所列商务要求进行响应，并根据响应情况在“偏离说明”栏填写正偏离或负偏离及原因，完全符合的填写</w:t>
      </w:r>
      <w:r>
        <w:rPr>
          <w:rFonts w:hint="eastAsia" w:ascii="Times New Roman" w:hAnsi="Times New Roman" w:cs="Times New Roman"/>
          <w:color w:val="auto"/>
        </w:rPr>
        <w:t>“</w:t>
      </w:r>
      <w:r>
        <w:rPr>
          <w:rFonts w:ascii="Times New Roman" w:hAnsi="Times New Roman" w:cs="Times New Roman"/>
          <w:color w:val="auto"/>
        </w:rPr>
        <w:t>无偏离</w:t>
      </w:r>
      <w:r>
        <w:rPr>
          <w:rFonts w:hint="eastAsia" w:ascii="Times New Roman" w:hAnsi="Times New Roman" w:cs="Times New Roman"/>
          <w:color w:val="auto"/>
        </w:rPr>
        <w:t>”</w:t>
      </w:r>
      <w:r>
        <w:rPr>
          <w:rFonts w:ascii="Times New Roman" w:hAnsi="Times New Roman" w:cs="Times New Roman"/>
          <w:color w:val="auto"/>
        </w:rPr>
        <w:t>。</w:t>
      </w:r>
    </w:p>
    <w:p w14:paraId="459CBC37">
      <w:pPr>
        <w:pStyle w:val="26"/>
        <w:tabs>
          <w:tab w:val="left" w:pos="2127"/>
        </w:tabs>
        <w:spacing w:line="340" w:lineRule="exact"/>
        <w:ind w:firstLine="420" w:firstLineChars="200"/>
        <w:jc w:val="left"/>
        <w:rPr>
          <w:rFonts w:ascii="Times New Roman" w:hAnsi="Times New Roman" w:cs="Times New Roman"/>
          <w:color w:val="auto"/>
        </w:rPr>
      </w:pPr>
      <w:r>
        <w:rPr>
          <w:rFonts w:hint="eastAsia" w:ascii="Times New Roman" w:hAnsi="Times New Roman" w:cs="Times New Roman"/>
          <w:color w:val="auto"/>
        </w:rPr>
        <w:t>（2）</w:t>
      </w:r>
      <w:r>
        <w:rPr>
          <w:color w:val="auto"/>
        </w:rPr>
        <w:t>第</w:t>
      </w:r>
      <w:r>
        <w:rPr>
          <w:rFonts w:hint="eastAsia"/>
          <w:color w:val="auto"/>
        </w:rPr>
        <w:t>二</w:t>
      </w:r>
      <w:r>
        <w:rPr>
          <w:color w:val="auto"/>
        </w:rPr>
        <w:t>章</w:t>
      </w:r>
      <w:r>
        <w:rPr>
          <w:rFonts w:hint="eastAsia"/>
          <w:color w:val="auto"/>
        </w:rPr>
        <w:t>《采购需求》</w:t>
      </w:r>
      <w:r>
        <w:rPr>
          <w:rFonts w:hint="eastAsia" w:ascii="Times New Roman" w:hAnsi="Times New Roman" w:cs="Times New Roman"/>
          <w:color w:val="auto"/>
        </w:rPr>
        <w:t>中的总体要求无需响应。</w:t>
      </w:r>
    </w:p>
    <w:p w14:paraId="6101E3F0">
      <w:pPr>
        <w:ind w:firstLine="420" w:firstLineChars="200"/>
        <w:rPr>
          <w:color w:val="auto"/>
        </w:rPr>
      </w:pPr>
      <w:r>
        <w:rPr>
          <w:rFonts w:hint="eastAsia"/>
          <w:color w:val="auto"/>
        </w:rPr>
        <w:t>（</w:t>
      </w:r>
      <w:r>
        <w:rPr>
          <w:color w:val="auto"/>
        </w:rPr>
        <w:t>3</w:t>
      </w:r>
      <w:r>
        <w:rPr>
          <w:rFonts w:hint="eastAsia"/>
          <w:color w:val="auto"/>
        </w:rPr>
        <w:t>）偏离认定说明详见评审方法及标准。</w:t>
      </w:r>
    </w:p>
    <w:bookmarkEnd w:id="152"/>
    <w:p w14:paraId="381D0A08">
      <w:pPr>
        <w:pStyle w:val="26"/>
        <w:tabs>
          <w:tab w:val="left" w:pos="2127"/>
        </w:tabs>
        <w:spacing w:line="340" w:lineRule="exact"/>
        <w:ind w:firstLine="420" w:firstLineChars="200"/>
        <w:jc w:val="left"/>
        <w:rPr>
          <w:rFonts w:ascii="Times New Roman" w:hAnsi="Times New Roman" w:cs="Times New Roman"/>
          <w:color w:val="auto"/>
        </w:rPr>
      </w:pPr>
      <w:r>
        <w:rPr>
          <w:rFonts w:ascii="Times New Roman" w:hAnsi="Times New Roman" w:cs="Times New Roman"/>
          <w:color w:val="auto"/>
        </w:rPr>
        <w:t>（4）本表可扩展。</w:t>
      </w:r>
    </w:p>
    <w:bookmarkEnd w:id="150"/>
    <w:p w14:paraId="596275D4">
      <w:pPr>
        <w:snapToGrid w:val="0"/>
        <w:spacing w:before="50" w:after="120" w:afterLines="50" w:line="440" w:lineRule="exact"/>
        <w:jc w:val="left"/>
        <w:rPr>
          <w:color w:val="auto"/>
          <w:spacing w:val="20"/>
          <w:szCs w:val="21"/>
          <w:u w:val="single"/>
        </w:rPr>
      </w:pPr>
      <w:r>
        <w:rPr>
          <w:color w:val="auto"/>
          <w:szCs w:val="21"/>
        </w:rPr>
        <w:t>供应商</w:t>
      </w:r>
      <w:r>
        <w:rPr>
          <w:rFonts w:hint="eastAsia"/>
          <w:color w:val="auto"/>
          <w:szCs w:val="21"/>
        </w:rPr>
        <w:t>名称(电子签章</w:t>
      </w:r>
      <w:r>
        <w:rPr>
          <w:color w:val="auto"/>
          <w:szCs w:val="21"/>
        </w:rPr>
        <w:t>)</w:t>
      </w:r>
      <w:r>
        <w:rPr>
          <w:color w:val="auto"/>
          <w:spacing w:val="20"/>
          <w:szCs w:val="21"/>
        </w:rPr>
        <w:t>：</w:t>
      </w:r>
      <w:r>
        <w:rPr>
          <w:color w:val="auto"/>
          <w:spacing w:val="20"/>
          <w:szCs w:val="21"/>
          <w:u w:val="single"/>
        </w:rPr>
        <w:t xml:space="preserve">            </w:t>
      </w:r>
      <w:r>
        <w:rPr>
          <w:color w:val="auto"/>
          <w:spacing w:val="20"/>
          <w:szCs w:val="21"/>
        </w:rPr>
        <w:t xml:space="preserve">             日  期：</w:t>
      </w:r>
      <w:r>
        <w:rPr>
          <w:color w:val="auto"/>
          <w:spacing w:val="20"/>
          <w:szCs w:val="21"/>
          <w:u w:val="single"/>
        </w:rPr>
        <w:t xml:space="preserve">        </w:t>
      </w:r>
    </w:p>
    <w:bookmarkEnd w:id="151"/>
    <w:p w14:paraId="2D9FDFDB">
      <w:pPr>
        <w:snapToGrid w:val="0"/>
        <w:spacing w:before="50" w:after="120" w:afterLines="50" w:line="440" w:lineRule="exact"/>
        <w:jc w:val="left"/>
        <w:rPr>
          <w:color w:val="auto"/>
          <w:szCs w:val="21"/>
        </w:rPr>
      </w:pPr>
    </w:p>
    <w:p w14:paraId="0881B1A9">
      <w:pPr>
        <w:snapToGrid w:val="0"/>
        <w:spacing w:before="50" w:after="120" w:afterLines="50" w:line="440" w:lineRule="exact"/>
        <w:jc w:val="left"/>
        <w:rPr>
          <w:color w:val="auto"/>
          <w:szCs w:val="21"/>
        </w:rPr>
      </w:pPr>
      <w:r>
        <w:rPr>
          <w:rFonts w:hint="eastAsia"/>
          <w:color w:val="auto"/>
          <w:szCs w:val="21"/>
        </w:rPr>
        <w:t>2</w:t>
      </w:r>
      <w:r>
        <w:rPr>
          <w:color w:val="auto"/>
          <w:szCs w:val="21"/>
        </w:rPr>
        <w:t>．售后服务方案（如有</w:t>
      </w:r>
      <w:r>
        <w:rPr>
          <w:rFonts w:hint="eastAsia"/>
          <w:color w:val="auto"/>
          <w:szCs w:val="21"/>
        </w:rPr>
        <w:t>，</w:t>
      </w:r>
      <w:r>
        <w:rPr>
          <w:color w:val="auto"/>
          <w:szCs w:val="21"/>
        </w:rPr>
        <w:t>供应商自行编写）</w:t>
      </w:r>
    </w:p>
    <w:p w14:paraId="5027C931">
      <w:pPr>
        <w:snapToGrid w:val="0"/>
        <w:spacing w:before="50" w:after="120" w:afterLines="50" w:line="440" w:lineRule="exact"/>
        <w:jc w:val="left"/>
        <w:rPr>
          <w:color w:val="auto"/>
          <w:szCs w:val="21"/>
        </w:rPr>
      </w:pPr>
    </w:p>
    <w:p w14:paraId="5BC5F6DF">
      <w:pPr>
        <w:snapToGrid w:val="0"/>
        <w:spacing w:before="50" w:after="120" w:afterLines="50" w:line="440" w:lineRule="exact"/>
        <w:jc w:val="left"/>
        <w:rPr>
          <w:color w:val="auto"/>
          <w:spacing w:val="20"/>
          <w:szCs w:val="21"/>
          <w:u w:val="single"/>
        </w:rPr>
      </w:pPr>
    </w:p>
    <w:p w14:paraId="3239DDF0">
      <w:pPr>
        <w:snapToGrid w:val="0"/>
        <w:spacing w:before="50" w:after="120" w:afterLines="50" w:line="440" w:lineRule="exact"/>
        <w:jc w:val="left"/>
        <w:rPr>
          <w:color w:val="auto"/>
          <w:spacing w:val="20"/>
          <w:szCs w:val="21"/>
          <w:u w:val="single"/>
        </w:rPr>
        <w:sectPr>
          <w:headerReference r:id="rId15" w:type="first"/>
          <w:headerReference r:id="rId14" w:type="default"/>
          <w:pgSz w:w="11906" w:h="16838"/>
          <w:pgMar w:top="1418" w:right="1133" w:bottom="1246" w:left="1418" w:header="851" w:footer="992" w:gutter="0"/>
          <w:pgBorders>
            <w:top w:val="none" w:sz="0" w:space="0"/>
            <w:left w:val="none" w:sz="0" w:space="0"/>
            <w:bottom w:val="none" w:sz="0" w:space="0"/>
            <w:right w:val="none" w:sz="0" w:space="0"/>
          </w:pgBorders>
          <w:pgNumType w:fmt="decimal"/>
          <w:cols w:space="720" w:num="1"/>
          <w:docGrid w:linePitch="312" w:charSpace="0"/>
        </w:sectPr>
      </w:pPr>
    </w:p>
    <w:p w14:paraId="14E25C38">
      <w:pPr>
        <w:snapToGrid w:val="0"/>
        <w:spacing w:before="50" w:after="120" w:afterLines="50"/>
        <w:jc w:val="left"/>
        <w:rPr>
          <w:b/>
          <w:color w:val="auto"/>
          <w:szCs w:val="21"/>
        </w:rPr>
      </w:pPr>
      <w:r>
        <w:rPr>
          <w:rFonts w:hint="eastAsia"/>
          <w:color w:val="auto"/>
          <w:szCs w:val="21"/>
          <w:lang w:val="en-US" w:eastAsia="zh-CN"/>
        </w:rPr>
        <w:t>3</w:t>
      </w:r>
      <w:r>
        <w:rPr>
          <w:color w:val="auto"/>
          <w:szCs w:val="21"/>
        </w:rPr>
        <w:t>．近年供应商类似成功案例的业绩证明</w:t>
      </w:r>
      <w:r>
        <w:rPr>
          <w:rFonts w:hint="eastAsia"/>
          <w:color w:val="auto"/>
          <w:szCs w:val="21"/>
        </w:rPr>
        <w:t>。</w:t>
      </w:r>
    </w:p>
    <w:p w14:paraId="1AD330FF">
      <w:pPr>
        <w:snapToGrid w:val="0"/>
        <w:spacing w:before="50" w:after="120" w:afterLines="50"/>
        <w:jc w:val="center"/>
        <w:rPr>
          <w:color w:val="auto"/>
          <w:szCs w:val="21"/>
        </w:rPr>
      </w:pPr>
      <w:r>
        <w:rPr>
          <w:b/>
          <w:color w:val="auto"/>
          <w:szCs w:val="21"/>
        </w:rPr>
        <w:t>类似成功案例业绩一览表</w:t>
      </w:r>
    </w:p>
    <w:tbl>
      <w:tblPr>
        <w:tblStyle w:val="51"/>
        <w:tblW w:w="13375"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635"/>
        <w:gridCol w:w="2943"/>
        <w:gridCol w:w="4123"/>
        <w:gridCol w:w="958"/>
        <w:gridCol w:w="958"/>
        <w:gridCol w:w="1278"/>
        <w:gridCol w:w="2480"/>
      </w:tblGrid>
      <w:tr w14:paraId="089CB47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1363" w:hRule="atLeast"/>
        </w:trPr>
        <w:tc>
          <w:tcPr>
            <w:tcW w:w="635" w:type="dxa"/>
            <w:tcBorders>
              <w:top w:val="single" w:color="auto" w:sz="4" w:space="0"/>
              <w:left w:val="single" w:color="auto" w:sz="4" w:space="0"/>
              <w:right w:val="single" w:color="auto" w:sz="4" w:space="0"/>
            </w:tcBorders>
            <w:noWrap w:val="0"/>
            <w:vAlign w:val="top"/>
          </w:tcPr>
          <w:p w14:paraId="7F4A2788">
            <w:pPr>
              <w:snapToGrid w:val="0"/>
              <w:spacing w:line="240" w:lineRule="exact"/>
              <w:jc w:val="center"/>
              <w:rPr>
                <w:color w:val="auto"/>
                <w:szCs w:val="21"/>
              </w:rPr>
            </w:pPr>
          </w:p>
          <w:p w14:paraId="0B622D7F">
            <w:pPr>
              <w:snapToGrid w:val="0"/>
              <w:spacing w:line="240" w:lineRule="exact"/>
              <w:jc w:val="center"/>
              <w:rPr>
                <w:color w:val="auto"/>
                <w:szCs w:val="21"/>
              </w:rPr>
            </w:pPr>
          </w:p>
          <w:p w14:paraId="42D30064">
            <w:pPr>
              <w:snapToGrid w:val="0"/>
              <w:spacing w:line="240" w:lineRule="exact"/>
              <w:jc w:val="center"/>
              <w:rPr>
                <w:color w:val="auto"/>
                <w:szCs w:val="21"/>
              </w:rPr>
            </w:pPr>
            <w:r>
              <w:rPr>
                <w:rFonts w:hint="eastAsia"/>
                <w:color w:val="auto"/>
                <w:szCs w:val="21"/>
              </w:rPr>
              <w:t>序号</w:t>
            </w:r>
          </w:p>
        </w:tc>
        <w:tc>
          <w:tcPr>
            <w:tcW w:w="2943" w:type="dxa"/>
            <w:tcBorders>
              <w:top w:val="single" w:color="auto" w:sz="4" w:space="0"/>
              <w:left w:val="single" w:color="auto" w:sz="4" w:space="0"/>
              <w:bottom w:val="single" w:color="auto" w:sz="4" w:space="0"/>
              <w:right w:val="single" w:color="auto" w:sz="4" w:space="0"/>
            </w:tcBorders>
            <w:noWrap w:val="0"/>
            <w:vAlign w:val="center"/>
          </w:tcPr>
          <w:p w14:paraId="04AA010E">
            <w:pPr>
              <w:snapToGrid w:val="0"/>
              <w:spacing w:line="240" w:lineRule="exact"/>
              <w:jc w:val="center"/>
              <w:rPr>
                <w:color w:val="auto"/>
                <w:szCs w:val="21"/>
              </w:rPr>
            </w:pPr>
            <w:r>
              <w:rPr>
                <w:color w:val="auto"/>
                <w:szCs w:val="21"/>
              </w:rPr>
              <w:t>采购单位名称</w:t>
            </w:r>
          </w:p>
        </w:tc>
        <w:tc>
          <w:tcPr>
            <w:tcW w:w="4123" w:type="dxa"/>
            <w:tcBorders>
              <w:top w:val="single" w:color="auto" w:sz="4" w:space="0"/>
              <w:left w:val="single" w:color="auto" w:sz="4" w:space="0"/>
              <w:bottom w:val="single" w:color="auto" w:sz="4" w:space="0"/>
              <w:right w:val="single" w:color="auto" w:sz="4" w:space="0"/>
            </w:tcBorders>
            <w:noWrap w:val="0"/>
            <w:vAlign w:val="center"/>
          </w:tcPr>
          <w:p w14:paraId="77E85E25">
            <w:pPr>
              <w:snapToGrid w:val="0"/>
              <w:spacing w:line="240" w:lineRule="exact"/>
              <w:jc w:val="center"/>
              <w:rPr>
                <w:color w:val="auto"/>
                <w:szCs w:val="21"/>
              </w:rPr>
            </w:pPr>
            <w:r>
              <w:rPr>
                <w:color w:val="auto"/>
                <w:szCs w:val="21"/>
              </w:rPr>
              <w:t>产品或项目名称</w:t>
            </w:r>
          </w:p>
        </w:tc>
        <w:tc>
          <w:tcPr>
            <w:tcW w:w="958" w:type="dxa"/>
            <w:tcBorders>
              <w:top w:val="single" w:color="auto" w:sz="4" w:space="0"/>
              <w:left w:val="single" w:color="auto" w:sz="4" w:space="0"/>
              <w:bottom w:val="single" w:color="auto" w:sz="4" w:space="0"/>
              <w:right w:val="single" w:color="auto" w:sz="4" w:space="0"/>
            </w:tcBorders>
            <w:noWrap w:val="0"/>
            <w:vAlign w:val="center"/>
          </w:tcPr>
          <w:p w14:paraId="656D30B3">
            <w:pPr>
              <w:snapToGrid w:val="0"/>
              <w:spacing w:line="240" w:lineRule="exact"/>
              <w:jc w:val="center"/>
              <w:rPr>
                <w:color w:val="auto"/>
                <w:szCs w:val="21"/>
              </w:rPr>
            </w:pPr>
            <w:r>
              <w:rPr>
                <w:color w:val="auto"/>
                <w:szCs w:val="21"/>
              </w:rPr>
              <w:t>采购</w:t>
            </w:r>
          </w:p>
          <w:p w14:paraId="78516B72">
            <w:pPr>
              <w:snapToGrid w:val="0"/>
              <w:spacing w:line="240" w:lineRule="exact"/>
              <w:jc w:val="center"/>
              <w:rPr>
                <w:color w:val="auto"/>
                <w:szCs w:val="21"/>
              </w:rPr>
            </w:pPr>
            <w:r>
              <w:rPr>
                <w:color w:val="auto"/>
                <w:szCs w:val="21"/>
              </w:rPr>
              <w:t>数量</w:t>
            </w:r>
          </w:p>
        </w:tc>
        <w:tc>
          <w:tcPr>
            <w:tcW w:w="958" w:type="dxa"/>
            <w:tcBorders>
              <w:top w:val="single" w:color="auto" w:sz="4" w:space="0"/>
              <w:left w:val="single" w:color="auto" w:sz="4" w:space="0"/>
              <w:bottom w:val="single" w:color="auto" w:sz="4" w:space="0"/>
              <w:right w:val="single" w:color="auto" w:sz="4" w:space="0"/>
            </w:tcBorders>
            <w:noWrap w:val="0"/>
            <w:vAlign w:val="center"/>
          </w:tcPr>
          <w:p w14:paraId="1C6F78DF">
            <w:pPr>
              <w:snapToGrid w:val="0"/>
              <w:spacing w:line="240" w:lineRule="exact"/>
              <w:jc w:val="center"/>
              <w:rPr>
                <w:color w:val="auto"/>
                <w:szCs w:val="21"/>
              </w:rPr>
            </w:pPr>
            <w:r>
              <w:rPr>
                <w:color w:val="auto"/>
                <w:szCs w:val="21"/>
              </w:rPr>
              <w:t>单价</w:t>
            </w:r>
            <w:r>
              <w:rPr>
                <w:rFonts w:hint="eastAsia"/>
                <w:color w:val="auto"/>
                <w:szCs w:val="21"/>
              </w:rPr>
              <w:t>（元）</w:t>
            </w:r>
          </w:p>
        </w:tc>
        <w:tc>
          <w:tcPr>
            <w:tcW w:w="1278" w:type="dxa"/>
            <w:tcBorders>
              <w:top w:val="single" w:color="auto" w:sz="4" w:space="0"/>
              <w:left w:val="single" w:color="auto" w:sz="4" w:space="0"/>
              <w:bottom w:val="single" w:color="auto" w:sz="4" w:space="0"/>
              <w:right w:val="single" w:color="auto" w:sz="4" w:space="0"/>
            </w:tcBorders>
            <w:noWrap w:val="0"/>
            <w:vAlign w:val="center"/>
          </w:tcPr>
          <w:p w14:paraId="620A06D1">
            <w:pPr>
              <w:snapToGrid w:val="0"/>
              <w:spacing w:line="240" w:lineRule="exact"/>
              <w:jc w:val="center"/>
              <w:rPr>
                <w:color w:val="auto"/>
                <w:szCs w:val="21"/>
              </w:rPr>
            </w:pPr>
            <w:r>
              <w:rPr>
                <w:color w:val="auto"/>
                <w:szCs w:val="21"/>
              </w:rPr>
              <w:t>合同总价</w:t>
            </w:r>
            <w:r>
              <w:rPr>
                <w:rFonts w:hint="eastAsia"/>
                <w:color w:val="auto"/>
                <w:szCs w:val="21"/>
              </w:rPr>
              <w:t>（元）</w:t>
            </w:r>
          </w:p>
        </w:tc>
        <w:tc>
          <w:tcPr>
            <w:tcW w:w="2480" w:type="dxa"/>
            <w:tcBorders>
              <w:top w:val="single" w:color="auto" w:sz="4" w:space="0"/>
              <w:left w:val="single" w:color="auto" w:sz="4" w:space="0"/>
              <w:right w:val="single" w:color="auto" w:sz="4" w:space="0"/>
            </w:tcBorders>
            <w:noWrap w:val="0"/>
            <w:vAlign w:val="center"/>
          </w:tcPr>
          <w:p w14:paraId="734D71BF">
            <w:pPr>
              <w:jc w:val="center"/>
              <w:rPr>
                <w:color w:val="auto"/>
                <w:szCs w:val="21"/>
              </w:rPr>
            </w:pPr>
            <w:r>
              <w:rPr>
                <w:color w:val="auto"/>
                <w:szCs w:val="21"/>
              </w:rPr>
              <w:t>采购单位联系人及联系电话</w:t>
            </w:r>
          </w:p>
        </w:tc>
      </w:tr>
      <w:tr w14:paraId="0D19C73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63" w:hRule="atLeast"/>
        </w:trPr>
        <w:tc>
          <w:tcPr>
            <w:tcW w:w="635" w:type="dxa"/>
            <w:tcBorders>
              <w:top w:val="single" w:color="auto" w:sz="4" w:space="0"/>
              <w:left w:val="single" w:color="auto" w:sz="4" w:space="0"/>
              <w:bottom w:val="single" w:color="auto" w:sz="4" w:space="0"/>
              <w:right w:val="single" w:color="auto" w:sz="4" w:space="0"/>
            </w:tcBorders>
            <w:noWrap w:val="0"/>
            <w:vAlign w:val="top"/>
          </w:tcPr>
          <w:p w14:paraId="79689066">
            <w:pPr>
              <w:snapToGrid w:val="0"/>
              <w:spacing w:line="240" w:lineRule="exact"/>
              <w:jc w:val="left"/>
              <w:rPr>
                <w:color w:val="auto"/>
                <w:szCs w:val="21"/>
              </w:rPr>
            </w:pPr>
          </w:p>
        </w:tc>
        <w:tc>
          <w:tcPr>
            <w:tcW w:w="2943" w:type="dxa"/>
            <w:tcBorders>
              <w:top w:val="single" w:color="auto" w:sz="4" w:space="0"/>
              <w:left w:val="single" w:color="auto" w:sz="4" w:space="0"/>
              <w:bottom w:val="single" w:color="auto" w:sz="4" w:space="0"/>
              <w:right w:val="single" w:color="auto" w:sz="4" w:space="0"/>
            </w:tcBorders>
            <w:noWrap w:val="0"/>
            <w:vAlign w:val="top"/>
          </w:tcPr>
          <w:p w14:paraId="7317562A">
            <w:pPr>
              <w:snapToGrid w:val="0"/>
              <w:spacing w:line="240" w:lineRule="exact"/>
              <w:jc w:val="left"/>
              <w:rPr>
                <w:color w:val="auto"/>
                <w:szCs w:val="21"/>
              </w:rPr>
            </w:pPr>
          </w:p>
        </w:tc>
        <w:tc>
          <w:tcPr>
            <w:tcW w:w="4123" w:type="dxa"/>
            <w:tcBorders>
              <w:top w:val="single" w:color="auto" w:sz="4" w:space="0"/>
              <w:left w:val="single" w:color="auto" w:sz="4" w:space="0"/>
              <w:bottom w:val="single" w:color="auto" w:sz="4" w:space="0"/>
              <w:right w:val="single" w:color="auto" w:sz="4" w:space="0"/>
            </w:tcBorders>
            <w:noWrap w:val="0"/>
            <w:vAlign w:val="top"/>
          </w:tcPr>
          <w:p w14:paraId="6B910C82">
            <w:pPr>
              <w:snapToGrid w:val="0"/>
              <w:spacing w:line="240" w:lineRule="exact"/>
              <w:jc w:val="left"/>
              <w:rPr>
                <w:color w:val="auto"/>
                <w:szCs w:val="21"/>
              </w:rPr>
            </w:pPr>
          </w:p>
        </w:tc>
        <w:tc>
          <w:tcPr>
            <w:tcW w:w="958" w:type="dxa"/>
            <w:tcBorders>
              <w:top w:val="single" w:color="auto" w:sz="4" w:space="0"/>
              <w:left w:val="single" w:color="auto" w:sz="4" w:space="0"/>
              <w:bottom w:val="single" w:color="auto" w:sz="4" w:space="0"/>
              <w:right w:val="single" w:color="auto" w:sz="4" w:space="0"/>
            </w:tcBorders>
            <w:noWrap w:val="0"/>
            <w:vAlign w:val="top"/>
          </w:tcPr>
          <w:p w14:paraId="7675B0C5">
            <w:pPr>
              <w:snapToGrid w:val="0"/>
              <w:spacing w:line="240" w:lineRule="exact"/>
              <w:jc w:val="left"/>
              <w:rPr>
                <w:color w:val="auto"/>
                <w:szCs w:val="21"/>
              </w:rPr>
            </w:pPr>
          </w:p>
        </w:tc>
        <w:tc>
          <w:tcPr>
            <w:tcW w:w="958" w:type="dxa"/>
            <w:tcBorders>
              <w:top w:val="single" w:color="auto" w:sz="4" w:space="0"/>
              <w:left w:val="single" w:color="auto" w:sz="4" w:space="0"/>
              <w:bottom w:val="single" w:color="auto" w:sz="4" w:space="0"/>
              <w:right w:val="single" w:color="auto" w:sz="4" w:space="0"/>
            </w:tcBorders>
            <w:noWrap w:val="0"/>
            <w:vAlign w:val="top"/>
          </w:tcPr>
          <w:p w14:paraId="5540A088">
            <w:pPr>
              <w:snapToGrid w:val="0"/>
              <w:spacing w:line="240" w:lineRule="exact"/>
              <w:jc w:val="left"/>
              <w:rPr>
                <w:color w:val="auto"/>
                <w:szCs w:val="21"/>
              </w:rPr>
            </w:pPr>
          </w:p>
        </w:tc>
        <w:tc>
          <w:tcPr>
            <w:tcW w:w="1278" w:type="dxa"/>
            <w:tcBorders>
              <w:top w:val="single" w:color="auto" w:sz="4" w:space="0"/>
              <w:left w:val="single" w:color="auto" w:sz="4" w:space="0"/>
              <w:bottom w:val="single" w:color="auto" w:sz="4" w:space="0"/>
              <w:right w:val="single" w:color="auto" w:sz="4" w:space="0"/>
            </w:tcBorders>
            <w:noWrap w:val="0"/>
            <w:vAlign w:val="top"/>
          </w:tcPr>
          <w:p w14:paraId="3274B994">
            <w:pPr>
              <w:snapToGrid w:val="0"/>
              <w:spacing w:line="240" w:lineRule="exact"/>
              <w:jc w:val="left"/>
              <w:rPr>
                <w:color w:val="auto"/>
                <w:szCs w:val="21"/>
              </w:rPr>
            </w:pPr>
          </w:p>
        </w:tc>
        <w:tc>
          <w:tcPr>
            <w:tcW w:w="2480" w:type="dxa"/>
            <w:tcBorders>
              <w:top w:val="single" w:color="auto" w:sz="4" w:space="0"/>
              <w:left w:val="single" w:color="auto" w:sz="4" w:space="0"/>
              <w:bottom w:val="single" w:color="auto" w:sz="4" w:space="0"/>
              <w:right w:val="single" w:color="auto" w:sz="4" w:space="0"/>
            </w:tcBorders>
            <w:noWrap w:val="0"/>
            <w:vAlign w:val="top"/>
          </w:tcPr>
          <w:p w14:paraId="7AF3ACD9">
            <w:pPr>
              <w:snapToGrid w:val="0"/>
              <w:spacing w:line="240" w:lineRule="exact"/>
              <w:jc w:val="left"/>
              <w:rPr>
                <w:color w:val="auto"/>
                <w:szCs w:val="21"/>
              </w:rPr>
            </w:pPr>
          </w:p>
        </w:tc>
      </w:tr>
      <w:tr w14:paraId="5EE5810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83" w:hRule="atLeast"/>
        </w:trPr>
        <w:tc>
          <w:tcPr>
            <w:tcW w:w="635" w:type="dxa"/>
            <w:tcBorders>
              <w:top w:val="single" w:color="auto" w:sz="4" w:space="0"/>
              <w:left w:val="single" w:color="auto" w:sz="4" w:space="0"/>
              <w:bottom w:val="single" w:color="auto" w:sz="4" w:space="0"/>
              <w:right w:val="single" w:color="auto" w:sz="4" w:space="0"/>
            </w:tcBorders>
            <w:noWrap w:val="0"/>
            <w:vAlign w:val="top"/>
          </w:tcPr>
          <w:p w14:paraId="5DDAA6A0">
            <w:pPr>
              <w:snapToGrid w:val="0"/>
              <w:spacing w:before="50" w:after="120" w:afterLines="50" w:line="400" w:lineRule="exact"/>
              <w:jc w:val="left"/>
              <w:rPr>
                <w:color w:val="auto"/>
                <w:szCs w:val="21"/>
              </w:rPr>
            </w:pPr>
          </w:p>
        </w:tc>
        <w:tc>
          <w:tcPr>
            <w:tcW w:w="2943" w:type="dxa"/>
            <w:tcBorders>
              <w:top w:val="single" w:color="auto" w:sz="4" w:space="0"/>
              <w:left w:val="single" w:color="auto" w:sz="4" w:space="0"/>
              <w:bottom w:val="single" w:color="auto" w:sz="4" w:space="0"/>
              <w:right w:val="single" w:color="auto" w:sz="4" w:space="0"/>
            </w:tcBorders>
            <w:noWrap w:val="0"/>
            <w:vAlign w:val="top"/>
          </w:tcPr>
          <w:p w14:paraId="45BBC473">
            <w:pPr>
              <w:snapToGrid w:val="0"/>
              <w:spacing w:before="50" w:after="120" w:afterLines="50" w:line="400" w:lineRule="exact"/>
              <w:jc w:val="left"/>
              <w:rPr>
                <w:color w:val="auto"/>
                <w:szCs w:val="21"/>
              </w:rPr>
            </w:pPr>
          </w:p>
        </w:tc>
        <w:tc>
          <w:tcPr>
            <w:tcW w:w="4123" w:type="dxa"/>
            <w:tcBorders>
              <w:top w:val="single" w:color="auto" w:sz="4" w:space="0"/>
              <w:left w:val="single" w:color="auto" w:sz="4" w:space="0"/>
              <w:bottom w:val="single" w:color="auto" w:sz="4" w:space="0"/>
              <w:right w:val="single" w:color="auto" w:sz="4" w:space="0"/>
            </w:tcBorders>
            <w:noWrap w:val="0"/>
            <w:vAlign w:val="top"/>
          </w:tcPr>
          <w:p w14:paraId="443693C2">
            <w:pPr>
              <w:snapToGrid w:val="0"/>
              <w:spacing w:before="50" w:after="120" w:afterLines="50" w:line="400" w:lineRule="exact"/>
              <w:jc w:val="left"/>
              <w:rPr>
                <w:color w:val="auto"/>
                <w:szCs w:val="21"/>
              </w:rPr>
            </w:pPr>
          </w:p>
        </w:tc>
        <w:tc>
          <w:tcPr>
            <w:tcW w:w="958" w:type="dxa"/>
            <w:tcBorders>
              <w:top w:val="single" w:color="auto" w:sz="4" w:space="0"/>
              <w:left w:val="single" w:color="auto" w:sz="4" w:space="0"/>
              <w:bottom w:val="single" w:color="auto" w:sz="4" w:space="0"/>
              <w:right w:val="single" w:color="auto" w:sz="4" w:space="0"/>
            </w:tcBorders>
            <w:noWrap w:val="0"/>
            <w:vAlign w:val="top"/>
          </w:tcPr>
          <w:p w14:paraId="3DCF2CB6">
            <w:pPr>
              <w:snapToGrid w:val="0"/>
              <w:spacing w:before="50" w:after="120" w:afterLines="50" w:line="400" w:lineRule="exact"/>
              <w:jc w:val="left"/>
              <w:rPr>
                <w:color w:val="auto"/>
                <w:szCs w:val="21"/>
              </w:rPr>
            </w:pPr>
          </w:p>
        </w:tc>
        <w:tc>
          <w:tcPr>
            <w:tcW w:w="958" w:type="dxa"/>
            <w:tcBorders>
              <w:top w:val="single" w:color="auto" w:sz="4" w:space="0"/>
              <w:left w:val="single" w:color="auto" w:sz="4" w:space="0"/>
              <w:bottom w:val="single" w:color="auto" w:sz="4" w:space="0"/>
              <w:right w:val="single" w:color="auto" w:sz="4" w:space="0"/>
            </w:tcBorders>
            <w:noWrap w:val="0"/>
            <w:vAlign w:val="top"/>
          </w:tcPr>
          <w:p w14:paraId="14159038">
            <w:pPr>
              <w:snapToGrid w:val="0"/>
              <w:spacing w:before="50" w:after="120" w:afterLines="50" w:line="400" w:lineRule="exact"/>
              <w:jc w:val="left"/>
              <w:rPr>
                <w:color w:val="auto"/>
                <w:szCs w:val="21"/>
              </w:rPr>
            </w:pPr>
          </w:p>
        </w:tc>
        <w:tc>
          <w:tcPr>
            <w:tcW w:w="1278" w:type="dxa"/>
            <w:tcBorders>
              <w:top w:val="single" w:color="auto" w:sz="4" w:space="0"/>
              <w:left w:val="single" w:color="auto" w:sz="4" w:space="0"/>
              <w:bottom w:val="single" w:color="auto" w:sz="4" w:space="0"/>
              <w:right w:val="single" w:color="auto" w:sz="4" w:space="0"/>
            </w:tcBorders>
            <w:noWrap w:val="0"/>
            <w:vAlign w:val="top"/>
          </w:tcPr>
          <w:p w14:paraId="37F11879">
            <w:pPr>
              <w:snapToGrid w:val="0"/>
              <w:spacing w:before="50" w:after="120" w:afterLines="50" w:line="400" w:lineRule="exact"/>
              <w:jc w:val="left"/>
              <w:rPr>
                <w:color w:val="auto"/>
                <w:szCs w:val="21"/>
              </w:rPr>
            </w:pPr>
          </w:p>
        </w:tc>
        <w:tc>
          <w:tcPr>
            <w:tcW w:w="2480" w:type="dxa"/>
            <w:tcBorders>
              <w:top w:val="single" w:color="auto" w:sz="4" w:space="0"/>
              <w:left w:val="single" w:color="auto" w:sz="4" w:space="0"/>
              <w:bottom w:val="single" w:color="auto" w:sz="4" w:space="0"/>
              <w:right w:val="single" w:color="auto" w:sz="4" w:space="0"/>
            </w:tcBorders>
            <w:noWrap w:val="0"/>
            <w:vAlign w:val="top"/>
          </w:tcPr>
          <w:p w14:paraId="5379ACE5">
            <w:pPr>
              <w:snapToGrid w:val="0"/>
              <w:spacing w:before="50" w:after="120" w:afterLines="50" w:line="400" w:lineRule="exact"/>
              <w:jc w:val="left"/>
              <w:rPr>
                <w:color w:val="auto"/>
                <w:szCs w:val="21"/>
              </w:rPr>
            </w:pPr>
          </w:p>
        </w:tc>
      </w:tr>
      <w:tr w14:paraId="696BF10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26" w:hRule="atLeast"/>
        </w:trPr>
        <w:tc>
          <w:tcPr>
            <w:tcW w:w="635" w:type="dxa"/>
            <w:tcBorders>
              <w:top w:val="single" w:color="auto" w:sz="4" w:space="0"/>
              <w:left w:val="single" w:color="auto" w:sz="4" w:space="0"/>
              <w:bottom w:val="single" w:color="auto" w:sz="4" w:space="0"/>
              <w:right w:val="single" w:color="auto" w:sz="4" w:space="0"/>
            </w:tcBorders>
            <w:noWrap w:val="0"/>
            <w:vAlign w:val="top"/>
          </w:tcPr>
          <w:p w14:paraId="16F7D5DF">
            <w:pPr>
              <w:snapToGrid w:val="0"/>
              <w:spacing w:before="50" w:after="120" w:afterLines="50" w:line="400" w:lineRule="exact"/>
              <w:jc w:val="left"/>
              <w:rPr>
                <w:color w:val="auto"/>
                <w:szCs w:val="21"/>
              </w:rPr>
            </w:pPr>
          </w:p>
        </w:tc>
        <w:tc>
          <w:tcPr>
            <w:tcW w:w="2943" w:type="dxa"/>
            <w:tcBorders>
              <w:top w:val="single" w:color="auto" w:sz="4" w:space="0"/>
              <w:left w:val="single" w:color="auto" w:sz="4" w:space="0"/>
              <w:bottom w:val="single" w:color="auto" w:sz="4" w:space="0"/>
              <w:right w:val="single" w:color="auto" w:sz="4" w:space="0"/>
            </w:tcBorders>
            <w:noWrap w:val="0"/>
            <w:vAlign w:val="top"/>
          </w:tcPr>
          <w:p w14:paraId="4F80D620">
            <w:pPr>
              <w:snapToGrid w:val="0"/>
              <w:spacing w:before="50" w:after="120" w:afterLines="50" w:line="400" w:lineRule="exact"/>
              <w:jc w:val="left"/>
              <w:rPr>
                <w:color w:val="auto"/>
                <w:szCs w:val="21"/>
              </w:rPr>
            </w:pPr>
          </w:p>
        </w:tc>
        <w:tc>
          <w:tcPr>
            <w:tcW w:w="4123" w:type="dxa"/>
            <w:tcBorders>
              <w:top w:val="single" w:color="auto" w:sz="4" w:space="0"/>
              <w:left w:val="single" w:color="auto" w:sz="4" w:space="0"/>
              <w:bottom w:val="single" w:color="auto" w:sz="4" w:space="0"/>
              <w:right w:val="single" w:color="auto" w:sz="4" w:space="0"/>
            </w:tcBorders>
            <w:noWrap w:val="0"/>
            <w:vAlign w:val="top"/>
          </w:tcPr>
          <w:p w14:paraId="4E0388DC">
            <w:pPr>
              <w:snapToGrid w:val="0"/>
              <w:spacing w:before="50" w:after="120" w:afterLines="50" w:line="400" w:lineRule="exact"/>
              <w:jc w:val="left"/>
              <w:rPr>
                <w:color w:val="auto"/>
                <w:szCs w:val="21"/>
              </w:rPr>
            </w:pPr>
          </w:p>
        </w:tc>
        <w:tc>
          <w:tcPr>
            <w:tcW w:w="958" w:type="dxa"/>
            <w:tcBorders>
              <w:top w:val="single" w:color="auto" w:sz="4" w:space="0"/>
              <w:left w:val="single" w:color="auto" w:sz="4" w:space="0"/>
              <w:bottom w:val="single" w:color="auto" w:sz="4" w:space="0"/>
              <w:right w:val="single" w:color="auto" w:sz="4" w:space="0"/>
            </w:tcBorders>
            <w:noWrap w:val="0"/>
            <w:vAlign w:val="top"/>
          </w:tcPr>
          <w:p w14:paraId="769FF310">
            <w:pPr>
              <w:snapToGrid w:val="0"/>
              <w:spacing w:before="50" w:after="120" w:afterLines="50" w:line="400" w:lineRule="exact"/>
              <w:jc w:val="left"/>
              <w:rPr>
                <w:color w:val="auto"/>
                <w:szCs w:val="21"/>
              </w:rPr>
            </w:pPr>
          </w:p>
        </w:tc>
        <w:tc>
          <w:tcPr>
            <w:tcW w:w="958" w:type="dxa"/>
            <w:tcBorders>
              <w:top w:val="single" w:color="auto" w:sz="4" w:space="0"/>
              <w:left w:val="single" w:color="auto" w:sz="4" w:space="0"/>
              <w:bottom w:val="single" w:color="auto" w:sz="4" w:space="0"/>
              <w:right w:val="single" w:color="auto" w:sz="4" w:space="0"/>
            </w:tcBorders>
            <w:noWrap w:val="0"/>
            <w:vAlign w:val="top"/>
          </w:tcPr>
          <w:p w14:paraId="6C858AD6">
            <w:pPr>
              <w:snapToGrid w:val="0"/>
              <w:spacing w:before="50" w:after="120" w:afterLines="50" w:line="400" w:lineRule="exact"/>
              <w:jc w:val="left"/>
              <w:rPr>
                <w:color w:val="auto"/>
                <w:szCs w:val="21"/>
              </w:rPr>
            </w:pPr>
          </w:p>
        </w:tc>
        <w:tc>
          <w:tcPr>
            <w:tcW w:w="1278" w:type="dxa"/>
            <w:tcBorders>
              <w:top w:val="single" w:color="auto" w:sz="4" w:space="0"/>
              <w:left w:val="single" w:color="auto" w:sz="4" w:space="0"/>
              <w:bottom w:val="single" w:color="auto" w:sz="4" w:space="0"/>
              <w:right w:val="single" w:color="auto" w:sz="4" w:space="0"/>
            </w:tcBorders>
            <w:noWrap w:val="0"/>
            <w:vAlign w:val="top"/>
          </w:tcPr>
          <w:p w14:paraId="0AD24551">
            <w:pPr>
              <w:snapToGrid w:val="0"/>
              <w:spacing w:before="50" w:after="120" w:afterLines="50" w:line="400" w:lineRule="exact"/>
              <w:jc w:val="left"/>
              <w:rPr>
                <w:color w:val="auto"/>
                <w:szCs w:val="21"/>
              </w:rPr>
            </w:pPr>
          </w:p>
        </w:tc>
        <w:tc>
          <w:tcPr>
            <w:tcW w:w="2480" w:type="dxa"/>
            <w:tcBorders>
              <w:top w:val="single" w:color="auto" w:sz="4" w:space="0"/>
              <w:left w:val="single" w:color="auto" w:sz="4" w:space="0"/>
              <w:bottom w:val="single" w:color="auto" w:sz="4" w:space="0"/>
              <w:right w:val="single" w:color="auto" w:sz="4" w:space="0"/>
            </w:tcBorders>
            <w:noWrap w:val="0"/>
            <w:vAlign w:val="top"/>
          </w:tcPr>
          <w:p w14:paraId="2AAAA845">
            <w:pPr>
              <w:snapToGrid w:val="0"/>
              <w:spacing w:before="50" w:after="120" w:afterLines="50" w:line="400" w:lineRule="exact"/>
              <w:jc w:val="left"/>
              <w:rPr>
                <w:color w:val="auto"/>
                <w:szCs w:val="21"/>
              </w:rPr>
            </w:pPr>
          </w:p>
        </w:tc>
      </w:tr>
      <w:tr w14:paraId="234A54D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83" w:hRule="atLeast"/>
        </w:trPr>
        <w:tc>
          <w:tcPr>
            <w:tcW w:w="635" w:type="dxa"/>
            <w:tcBorders>
              <w:top w:val="single" w:color="auto" w:sz="4" w:space="0"/>
              <w:left w:val="single" w:color="auto" w:sz="4" w:space="0"/>
              <w:bottom w:val="single" w:color="auto" w:sz="4" w:space="0"/>
              <w:right w:val="single" w:color="auto" w:sz="4" w:space="0"/>
            </w:tcBorders>
            <w:noWrap w:val="0"/>
            <w:vAlign w:val="top"/>
          </w:tcPr>
          <w:p w14:paraId="13273797">
            <w:pPr>
              <w:snapToGrid w:val="0"/>
              <w:spacing w:before="50" w:after="120" w:afterLines="50" w:line="400" w:lineRule="exact"/>
              <w:jc w:val="left"/>
              <w:rPr>
                <w:color w:val="auto"/>
                <w:szCs w:val="21"/>
              </w:rPr>
            </w:pPr>
          </w:p>
        </w:tc>
        <w:tc>
          <w:tcPr>
            <w:tcW w:w="2943" w:type="dxa"/>
            <w:tcBorders>
              <w:top w:val="single" w:color="auto" w:sz="4" w:space="0"/>
              <w:left w:val="single" w:color="auto" w:sz="4" w:space="0"/>
              <w:bottom w:val="single" w:color="auto" w:sz="4" w:space="0"/>
              <w:right w:val="single" w:color="auto" w:sz="4" w:space="0"/>
            </w:tcBorders>
            <w:noWrap w:val="0"/>
            <w:vAlign w:val="top"/>
          </w:tcPr>
          <w:p w14:paraId="2D80C696">
            <w:pPr>
              <w:snapToGrid w:val="0"/>
              <w:spacing w:before="50" w:after="120" w:afterLines="50" w:line="400" w:lineRule="exact"/>
              <w:jc w:val="left"/>
              <w:rPr>
                <w:color w:val="auto"/>
                <w:szCs w:val="21"/>
              </w:rPr>
            </w:pPr>
          </w:p>
        </w:tc>
        <w:tc>
          <w:tcPr>
            <w:tcW w:w="4123" w:type="dxa"/>
            <w:tcBorders>
              <w:top w:val="single" w:color="auto" w:sz="4" w:space="0"/>
              <w:left w:val="single" w:color="auto" w:sz="4" w:space="0"/>
              <w:bottom w:val="single" w:color="auto" w:sz="4" w:space="0"/>
              <w:right w:val="single" w:color="auto" w:sz="4" w:space="0"/>
            </w:tcBorders>
            <w:noWrap w:val="0"/>
            <w:vAlign w:val="top"/>
          </w:tcPr>
          <w:p w14:paraId="6CF8386C">
            <w:pPr>
              <w:snapToGrid w:val="0"/>
              <w:spacing w:before="50" w:after="120" w:afterLines="50" w:line="400" w:lineRule="exact"/>
              <w:jc w:val="left"/>
              <w:rPr>
                <w:color w:val="auto"/>
                <w:szCs w:val="21"/>
              </w:rPr>
            </w:pPr>
          </w:p>
        </w:tc>
        <w:tc>
          <w:tcPr>
            <w:tcW w:w="958" w:type="dxa"/>
            <w:tcBorders>
              <w:top w:val="single" w:color="auto" w:sz="4" w:space="0"/>
              <w:left w:val="single" w:color="auto" w:sz="4" w:space="0"/>
              <w:bottom w:val="single" w:color="auto" w:sz="4" w:space="0"/>
              <w:right w:val="single" w:color="auto" w:sz="4" w:space="0"/>
            </w:tcBorders>
            <w:noWrap w:val="0"/>
            <w:vAlign w:val="top"/>
          </w:tcPr>
          <w:p w14:paraId="1EC2D362">
            <w:pPr>
              <w:snapToGrid w:val="0"/>
              <w:spacing w:before="50" w:after="120" w:afterLines="50" w:line="400" w:lineRule="exact"/>
              <w:jc w:val="left"/>
              <w:rPr>
                <w:color w:val="auto"/>
                <w:szCs w:val="21"/>
              </w:rPr>
            </w:pPr>
          </w:p>
        </w:tc>
        <w:tc>
          <w:tcPr>
            <w:tcW w:w="958" w:type="dxa"/>
            <w:tcBorders>
              <w:top w:val="single" w:color="auto" w:sz="4" w:space="0"/>
              <w:left w:val="single" w:color="auto" w:sz="4" w:space="0"/>
              <w:bottom w:val="single" w:color="auto" w:sz="4" w:space="0"/>
              <w:right w:val="single" w:color="auto" w:sz="4" w:space="0"/>
            </w:tcBorders>
            <w:noWrap w:val="0"/>
            <w:vAlign w:val="top"/>
          </w:tcPr>
          <w:p w14:paraId="45570F0D">
            <w:pPr>
              <w:snapToGrid w:val="0"/>
              <w:spacing w:before="50" w:after="120" w:afterLines="50" w:line="400" w:lineRule="exact"/>
              <w:jc w:val="left"/>
              <w:rPr>
                <w:color w:val="auto"/>
                <w:szCs w:val="21"/>
              </w:rPr>
            </w:pPr>
          </w:p>
        </w:tc>
        <w:tc>
          <w:tcPr>
            <w:tcW w:w="1278" w:type="dxa"/>
            <w:tcBorders>
              <w:top w:val="single" w:color="auto" w:sz="4" w:space="0"/>
              <w:left w:val="single" w:color="auto" w:sz="4" w:space="0"/>
              <w:bottom w:val="single" w:color="auto" w:sz="4" w:space="0"/>
              <w:right w:val="single" w:color="auto" w:sz="4" w:space="0"/>
            </w:tcBorders>
            <w:noWrap w:val="0"/>
            <w:vAlign w:val="top"/>
          </w:tcPr>
          <w:p w14:paraId="2A966BCF">
            <w:pPr>
              <w:snapToGrid w:val="0"/>
              <w:spacing w:before="50" w:after="120" w:afterLines="50" w:line="400" w:lineRule="exact"/>
              <w:jc w:val="left"/>
              <w:rPr>
                <w:color w:val="auto"/>
                <w:szCs w:val="21"/>
              </w:rPr>
            </w:pPr>
          </w:p>
        </w:tc>
        <w:tc>
          <w:tcPr>
            <w:tcW w:w="2480" w:type="dxa"/>
            <w:tcBorders>
              <w:top w:val="single" w:color="auto" w:sz="4" w:space="0"/>
              <w:left w:val="single" w:color="auto" w:sz="4" w:space="0"/>
              <w:bottom w:val="single" w:color="auto" w:sz="4" w:space="0"/>
              <w:right w:val="single" w:color="auto" w:sz="4" w:space="0"/>
            </w:tcBorders>
            <w:noWrap w:val="0"/>
            <w:vAlign w:val="top"/>
          </w:tcPr>
          <w:p w14:paraId="458739E1">
            <w:pPr>
              <w:snapToGrid w:val="0"/>
              <w:spacing w:before="50" w:after="120" w:afterLines="50" w:line="400" w:lineRule="exact"/>
              <w:jc w:val="left"/>
              <w:rPr>
                <w:color w:val="auto"/>
                <w:szCs w:val="21"/>
              </w:rPr>
            </w:pPr>
          </w:p>
        </w:tc>
      </w:tr>
      <w:tr w14:paraId="0C7B585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83" w:hRule="atLeast"/>
        </w:trPr>
        <w:tc>
          <w:tcPr>
            <w:tcW w:w="635" w:type="dxa"/>
            <w:tcBorders>
              <w:top w:val="single" w:color="auto" w:sz="4" w:space="0"/>
              <w:left w:val="single" w:color="auto" w:sz="4" w:space="0"/>
              <w:bottom w:val="single" w:color="auto" w:sz="4" w:space="0"/>
              <w:right w:val="single" w:color="auto" w:sz="4" w:space="0"/>
            </w:tcBorders>
            <w:noWrap w:val="0"/>
            <w:vAlign w:val="top"/>
          </w:tcPr>
          <w:p w14:paraId="2D282A02">
            <w:pPr>
              <w:snapToGrid w:val="0"/>
              <w:spacing w:before="50" w:after="120" w:afterLines="50" w:line="400" w:lineRule="exact"/>
              <w:jc w:val="left"/>
              <w:rPr>
                <w:color w:val="auto"/>
                <w:szCs w:val="21"/>
              </w:rPr>
            </w:pPr>
          </w:p>
        </w:tc>
        <w:tc>
          <w:tcPr>
            <w:tcW w:w="2943" w:type="dxa"/>
            <w:tcBorders>
              <w:top w:val="single" w:color="auto" w:sz="4" w:space="0"/>
              <w:left w:val="single" w:color="auto" w:sz="4" w:space="0"/>
              <w:bottom w:val="single" w:color="auto" w:sz="4" w:space="0"/>
              <w:right w:val="single" w:color="auto" w:sz="4" w:space="0"/>
            </w:tcBorders>
            <w:noWrap w:val="0"/>
            <w:vAlign w:val="top"/>
          </w:tcPr>
          <w:p w14:paraId="610135EE">
            <w:pPr>
              <w:snapToGrid w:val="0"/>
              <w:spacing w:before="50" w:after="120" w:afterLines="50" w:line="400" w:lineRule="exact"/>
              <w:jc w:val="left"/>
              <w:rPr>
                <w:color w:val="auto"/>
                <w:szCs w:val="21"/>
              </w:rPr>
            </w:pPr>
          </w:p>
        </w:tc>
        <w:tc>
          <w:tcPr>
            <w:tcW w:w="4123" w:type="dxa"/>
            <w:tcBorders>
              <w:top w:val="single" w:color="auto" w:sz="4" w:space="0"/>
              <w:left w:val="single" w:color="auto" w:sz="4" w:space="0"/>
              <w:bottom w:val="single" w:color="auto" w:sz="4" w:space="0"/>
              <w:right w:val="single" w:color="auto" w:sz="4" w:space="0"/>
            </w:tcBorders>
            <w:noWrap w:val="0"/>
            <w:vAlign w:val="top"/>
          </w:tcPr>
          <w:p w14:paraId="19F2DAFC">
            <w:pPr>
              <w:snapToGrid w:val="0"/>
              <w:spacing w:before="50" w:after="120" w:afterLines="50" w:line="400" w:lineRule="exact"/>
              <w:jc w:val="left"/>
              <w:rPr>
                <w:color w:val="auto"/>
                <w:szCs w:val="21"/>
              </w:rPr>
            </w:pPr>
          </w:p>
        </w:tc>
        <w:tc>
          <w:tcPr>
            <w:tcW w:w="958" w:type="dxa"/>
            <w:tcBorders>
              <w:top w:val="single" w:color="auto" w:sz="4" w:space="0"/>
              <w:left w:val="single" w:color="auto" w:sz="4" w:space="0"/>
              <w:bottom w:val="single" w:color="auto" w:sz="4" w:space="0"/>
              <w:right w:val="single" w:color="auto" w:sz="4" w:space="0"/>
            </w:tcBorders>
            <w:noWrap w:val="0"/>
            <w:vAlign w:val="top"/>
          </w:tcPr>
          <w:p w14:paraId="5ABC905C">
            <w:pPr>
              <w:snapToGrid w:val="0"/>
              <w:spacing w:before="50" w:after="120" w:afterLines="50" w:line="400" w:lineRule="exact"/>
              <w:jc w:val="left"/>
              <w:rPr>
                <w:color w:val="auto"/>
                <w:szCs w:val="21"/>
              </w:rPr>
            </w:pPr>
          </w:p>
        </w:tc>
        <w:tc>
          <w:tcPr>
            <w:tcW w:w="958" w:type="dxa"/>
            <w:tcBorders>
              <w:top w:val="single" w:color="auto" w:sz="4" w:space="0"/>
              <w:left w:val="single" w:color="auto" w:sz="4" w:space="0"/>
              <w:bottom w:val="single" w:color="auto" w:sz="4" w:space="0"/>
              <w:right w:val="single" w:color="auto" w:sz="4" w:space="0"/>
            </w:tcBorders>
            <w:noWrap w:val="0"/>
            <w:vAlign w:val="top"/>
          </w:tcPr>
          <w:p w14:paraId="379E01C7">
            <w:pPr>
              <w:snapToGrid w:val="0"/>
              <w:spacing w:before="50" w:after="120" w:afterLines="50" w:line="400" w:lineRule="exact"/>
              <w:jc w:val="left"/>
              <w:rPr>
                <w:color w:val="auto"/>
                <w:szCs w:val="21"/>
              </w:rPr>
            </w:pPr>
          </w:p>
        </w:tc>
        <w:tc>
          <w:tcPr>
            <w:tcW w:w="1278" w:type="dxa"/>
            <w:tcBorders>
              <w:top w:val="single" w:color="auto" w:sz="4" w:space="0"/>
              <w:left w:val="single" w:color="auto" w:sz="4" w:space="0"/>
              <w:bottom w:val="single" w:color="auto" w:sz="4" w:space="0"/>
              <w:right w:val="single" w:color="auto" w:sz="4" w:space="0"/>
            </w:tcBorders>
            <w:noWrap w:val="0"/>
            <w:vAlign w:val="top"/>
          </w:tcPr>
          <w:p w14:paraId="29D360AE">
            <w:pPr>
              <w:snapToGrid w:val="0"/>
              <w:spacing w:before="50" w:after="120" w:afterLines="50" w:line="400" w:lineRule="exact"/>
              <w:jc w:val="left"/>
              <w:rPr>
                <w:color w:val="auto"/>
                <w:szCs w:val="21"/>
              </w:rPr>
            </w:pPr>
          </w:p>
        </w:tc>
        <w:tc>
          <w:tcPr>
            <w:tcW w:w="2480" w:type="dxa"/>
            <w:tcBorders>
              <w:top w:val="single" w:color="auto" w:sz="4" w:space="0"/>
              <w:left w:val="single" w:color="auto" w:sz="4" w:space="0"/>
              <w:bottom w:val="single" w:color="auto" w:sz="4" w:space="0"/>
              <w:right w:val="single" w:color="auto" w:sz="4" w:space="0"/>
            </w:tcBorders>
            <w:noWrap w:val="0"/>
            <w:vAlign w:val="top"/>
          </w:tcPr>
          <w:p w14:paraId="55735DA7">
            <w:pPr>
              <w:snapToGrid w:val="0"/>
              <w:spacing w:before="50" w:after="120" w:afterLines="50" w:line="400" w:lineRule="exact"/>
              <w:jc w:val="left"/>
              <w:rPr>
                <w:color w:val="auto"/>
                <w:szCs w:val="21"/>
              </w:rPr>
            </w:pPr>
          </w:p>
        </w:tc>
      </w:tr>
    </w:tbl>
    <w:p w14:paraId="2D0281F5">
      <w:pPr>
        <w:pStyle w:val="15"/>
        <w:snapToGrid w:val="0"/>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注：</w:t>
      </w:r>
    </w:p>
    <w:p w14:paraId="217E091F">
      <w:pPr>
        <w:pStyle w:val="15"/>
        <w:snapToGrid w:val="0"/>
        <w:rPr>
          <w:rFonts w:ascii="Times New Roman" w:hAnsi="Times New Roman" w:eastAsia="宋体" w:cs="Times New Roman"/>
          <w:color w:val="auto"/>
          <w:sz w:val="21"/>
          <w:szCs w:val="21"/>
        </w:rPr>
      </w:pPr>
      <w:r>
        <w:rPr>
          <w:rFonts w:ascii="Times New Roman" w:hAnsi="Times New Roman" w:eastAsia="宋体" w:cs="Times New Roman"/>
          <w:color w:val="auto"/>
          <w:szCs w:val="21"/>
        </w:rPr>
        <w:t>（1）</w:t>
      </w:r>
      <w:r>
        <w:rPr>
          <w:rFonts w:ascii="Times New Roman" w:hAnsi="Times New Roman" w:eastAsia="宋体" w:cs="Times New Roman"/>
          <w:color w:val="auto"/>
          <w:sz w:val="21"/>
          <w:szCs w:val="21"/>
        </w:rPr>
        <w:t>未附</w:t>
      </w:r>
      <w:r>
        <w:rPr>
          <w:rFonts w:hint="eastAsia" w:ascii="Times New Roman" w:hAnsi="Times New Roman" w:eastAsia="宋体" w:cs="Times New Roman"/>
          <w:color w:val="auto"/>
          <w:sz w:val="21"/>
          <w:szCs w:val="21"/>
        </w:rPr>
        <w:t>证明材料</w:t>
      </w:r>
      <w:r>
        <w:rPr>
          <w:rFonts w:ascii="Times New Roman" w:hAnsi="Times New Roman" w:eastAsia="宋体" w:cs="Times New Roman"/>
          <w:color w:val="auto"/>
          <w:sz w:val="21"/>
          <w:szCs w:val="21"/>
        </w:rPr>
        <w:t>的业绩无效</w:t>
      </w:r>
      <w:r>
        <w:rPr>
          <w:rFonts w:hint="eastAsia" w:ascii="Times New Roman" w:hAnsi="Times New Roman" w:eastAsia="宋体" w:cs="Times New Roman"/>
          <w:color w:val="auto"/>
          <w:sz w:val="21"/>
          <w:szCs w:val="21"/>
        </w:rPr>
        <w:t>，证明材料</w:t>
      </w:r>
      <w:r>
        <w:rPr>
          <w:rFonts w:ascii="Times New Roman" w:hAnsi="Times New Roman" w:eastAsia="宋体" w:cs="Times New Roman"/>
          <w:color w:val="auto"/>
          <w:sz w:val="21"/>
          <w:szCs w:val="21"/>
        </w:rPr>
        <w:t>见第四章《评审方法及标准》规定</w:t>
      </w:r>
    </w:p>
    <w:p w14:paraId="2D2D3552">
      <w:pPr>
        <w:pStyle w:val="15"/>
        <w:snapToGrid w:val="0"/>
        <w:rPr>
          <w:rFonts w:ascii="Times New Roman" w:hAnsi="Times New Roman" w:eastAsia="宋体" w:cs="Times New Roman"/>
          <w:color w:val="auto"/>
          <w:sz w:val="21"/>
          <w:szCs w:val="21"/>
        </w:rPr>
      </w:pPr>
      <w:r>
        <w:rPr>
          <w:rFonts w:ascii="Times New Roman" w:hAnsi="Times New Roman" w:eastAsia="宋体" w:cs="Times New Roman"/>
          <w:color w:val="auto"/>
          <w:szCs w:val="21"/>
        </w:rPr>
        <w:t>（</w:t>
      </w:r>
      <w:r>
        <w:rPr>
          <w:rFonts w:hint="eastAsia" w:ascii="Times New Roman" w:hAnsi="Times New Roman" w:eastAsia="宋体" w:cs="Times New Roman"/>
          <w:color w:val="auto"/>
          <w:szCs w:val="21"/>
        </w:rPr>
        <w:t>2</w:t>
      </w:r>
      <w:r>
        <w:rPr>
          <w:rFonts w:ascii="Times New Roman" w:hAnsi="Times New Roman" w:eastAsia="宋体" w:cs="Times New Roman"/>
          <w:color w:val="auto"/>
          <w:szCs w:val="21"/>
        </w:rPr>
        <w:t>）</w:t>
      </w:r>
      <w:r>
        <w:rPr>
          <w:rFonts w:ascii="Times New Roman" w:hAnsi="Times New Roman" w:eastAsia="宋体" w:cs="Times New Roman"/>
          <w:color w:val="auto"/>
          <w:sz w:val="21"/>
          <w:szCs w:val="21"/>
        </w:rPr>
        <w:t>类似项目的定义见第四章《评审方法及标准》规定。</w:t>
      </w:r>
    </w:p>
    <w:p w14:paraId="174B3E2E">
      <w:pPr>
        <w:rPr>
          <w:color w:val="auto"/>
        </w:rPr>
      </w:pPr>
      <w:r>
        <w:rPr>
          <w:color w:val="auto"/>
          <w:szCs w:val="21"/>
        </w:rPr>
        <w:t>（</w:t>
      </w:r>
      <w:r>
        <w:rPr>
          <w:rFonts w:hint="eastAsia"/>
          <w:color w:val="auto"/>
          <w:szCs w:val="21"/>
        </w:rPr>
        <w:t>3</w:t>
      </w:r>
      <w:r>
        <w:rPr>
          <w:color w:val="auto"/>
          <w:szCs w:val="21"/>
        </w:rPr>
        <w:t>）</w:t>
      </w:r>
      <w:bookmarkStart w:id="153" w:name="_Hlk19049505"/>
      <w:r>
        <w:rPr>
          <w:color w:val="auto"/>
        </w:rPr>
        <w:t>本表可拓展。</w:t>
      </w:r>
      <w:bookmarkEnd w:id="153"/>
    </w:p>
    <w:p w14:paraId="2C903246">
      <w:pPr>
        <w:snapToGrid w:val="0"/>
        <w:spacing w:before="50"/>
        <w:jc w:val="left"/>
        <w:rPr>
          <w:color w:val="auto"/>
          <w:szCs w:val="21"/>
        </w:rPr>
      </w:pPr>
    </w:p>
    <w:p w14:paraId="0BF3B8CC">
      <w:pPr>
        <w:snapToGrid w:val="0"/>
        <w:spacing w:before="50"/>
        <w:jc w:val="left"/>
        <w:rPr>
          <w:color w:val="auto"/>
          <w:szCs w:val="21"/>
        </w:rPr>
      </w:pPr>
      <w:bookmarkStart w:id="154" w:name="_Hlk88990617"/>
      <w:r>
        <w:rPr>
          <w:color w:val="auto"/>
          <w:szCs w:val="21"/>
        </w:rPr>
        <w:t>供应商</w:t>
      </w:r>
      <w:r>
        <w:rPr>
          <w:rFonts w:hint="eastAsia"/>
          <w:color w:val="auto"/>
          <w:szCs w:val="21"/>
        </w:rPr>
        <w:t>名称(电子签章</w:t>
      </w:r>
      <w:r>
        <w:rPr>
          <w:color w:val="auto"/>
          <w:szCs w:val="21"/>
        </w:rPr>
        <w:t>)：</w:t>
      </w:r>
      <w:bookmarkEnd w:id="154"/>
      <w:r>
        <w:rPr>
          <w:color w:val="auto"/>
          <w:szCs w:val="21"/>
          <w:u w:val="single"/>
        </w:rPr>
        <w:t xml:space="preserve">                 </w:t>
      </w:r>
      <w:r>
        <w:rPr>
          <w:color w:val="auto"/>
          <w:szCs w:val="21"/>
        </w:rPr>
        <w:t xml:space="preserve">                                           年    月   日</w:t>
      </w:r>
    </w:p>
    <w:p w14:paraId="19015F58">
      <w:pPr>
        <w:snapToGrid w:val="0"/>
        <w:spacing w:before="50"/>
        <w:jc w:val="left"/>
        <w:rPr>
          <w:color w:val="auto"/>
          <w:szCs w:val="21"/>
        </w:rPr>
      </w:pPr>
    </w:p>
    <w:p w14:paraId="11EFE644">
      <w:pPr>
        <w:snapToGrid w:val="0"/>
        <w:spacing w:before="50"/>
        <w:jc w:val="left"/>
        <w:rPr>
          <w:color w:val="auto"/>
          <w:szCs w:val="21"/>
        </w:rPr>
        <w:sectPr>
          <w:pgSz w:w="16838" w:h="11906" w:orient="landscape"/>
          <w:pgMar w:top="1418" w:right="1418" w:bottom="1133" w:left="1246" w:header="851" w:footer="992" w:gutter="0"/>
          <w:pgBorders>
            <w:top w:val="none" w:sz="0" w:space="0"/>
            <w:left w:val="none" w:sz="0" w:space="0"/>
            <w:bottom w:val="none" w:sz="0" w:space="0"/>
            <w:right w:val="none" w:sz="0" w:space="0"/>
          </w:pgBorders>
          <w:pgNumType w:fmt="decimal"/>
          <w:cols w:space="720" w:num="1"/>
          <w:docGrid w:linePitch="312" w:charSpace="0"/>
        </w:sectPr>
      </w:pPr>
    </w:p>
    <w:p w14:paraId="00EC1365">
      <w:pPr>
        <w:snapToGrid w:val="0"/>
        <w:spacing w:before="50" w:after="120" w:afterLines="50"/>
        <w:jc w:val="left"/>
        <w:rPr>
          <w:color w:val="auto"/>
          <w:szCs w:val="21"/>
        </w:rPr>
      </w:pPr>
      <w:r>
        <w:rPr>
          <w:rFonts w:hint="eastAsia"/>
          <w:color w:val="auto"/>
          <w:szCs w:val="21"/>
          <w:lang w:val="en-US" w:eastAsia="zh-CN"/>
        </w:rPr>
        <w:t>4</w:t>
      </w:r>
      <w:r>
        <w:rPr>
          <w:color w:val="auto"/>
          <w:szCs w:val="21"/>
        </w:rPr>
        <w:t>．</w:t>
      </w:r>
      <w:r>
        <w:rPr>
          <w:rFonts w:hint="eastAsia"/>
          <w:color w:val="auto"/>
          <w:szCs w:val="21"/>
        </w:rPr>
        <w:t>提供投标产品由中共中央网络安全和信息化委员会办公室网站最新发布的《网络关键设备和网络安全专用产品安全认证和安全检测结果》截图证明材料或提供有效期内的《计算机信息系统安全专用产品销售许可证》（采购标的包含时提供）</w:t>
      </w:r>
    </w:p>
    <w:p w14:paraId="53A08D13">
      <w:pPr>
        <w:widowControl/>
        <w:jc w:val="left"/>
        <w:rPr>
          <w:color w:val="auto"/>
          <w:szCs w:val="21"/>
        </w:rPr>
      </w:pPr>
    </w:p>
    <w:p w14:paraId="654CB7B8">
      <w:pPr>
        <w:widowControl/>
        <w:jc w:val="left"/>
        <w:rPr>
          <w:color w:val="auto"/>
          <w:szCs w:val="21"/>
        </w:rPr>
      </w:pPr>
    </w:p>
    <w:p w14:paraId="44C4EB72">
      <w:pPr>
        <w:widowControl/>
        <w:jc w:val="left"/>
        <w:rPr>
          <w:color w:val="auto"/>
          <w:szCs w:val="21"/>
        </w:rPr>
      </w:pPr>
      <w:r>
        <w:rPr>
          <w:rFonts w:hint="eastAsia"/>
          <w:color w:val="auto"/>
          <w:szCs w:val="21"/>
          <w:lang w:val="en-US" w:eastAsia="zh-CN"/>
        </w:rPr>
        <w:t>5</w:t>
      </w:r>
      <w:r>
        <w:rPr>
          <w:color w:val="auto"/>
          <w:szCs w:val="21"/>
        </w:rPr>
        <w:t>．符合政府采购政策</w:t>
      </w:r>
      <w:r>
        <w:rPr>
          <w:rFonts w:hint="eastAsia"/>
          <w:color w:val="auto"/>
          <w:szCs w:val="21"/>
        </w:rPr>
        <w:t>的</w:t>
      </w:r>
      <w:r>
        <w:rPr>
          <w:color w:val="auto"/>
          <w:szCs w:val="21"/>
        </w:rPr>
        <w:t>证明材料。</w:t>
      </w:r>
    </w:p>
    <w:p w14:paraId="0F2E9F8A">
      <w:pPr>
        <w:snapToGrid w:val="0"/>
        <w:spacing w:before="50" w:after="120" w:afterLines="50"/>
        <w:jc w:val="left"/>
        <w:rPr>
          <w:color w:val="auto"/>
          <w:szCs w:val="21"/>
        </w:rPr>
      </w:pPr>
      <w:r>
        <w:rPr>
          <w:rFonts w:hint="eastAsia"/>
          <w:color w:val="auto"/>
          <w:szCs w:val="21"/>
          <w:lang w:val="en-US" w:eastAsia="zh-CN"/>
        </w:rPr>
        <w:t>5</w:t>
      </w:r>
      <w:r>
        <w:rPr>
          <w:rFonts w:hint="eastAsia"/>
          <w:color w:val="auto"/>
          <w:szCs w:val="21"/>
        </w:rPr>
        <w:t>.1列入节能产品政府采购品目清单及环境标志产品政府采购品目清单的货物清单。</w:t>
      </w:r>
      <w:r>
        <w:rPr>
          <w:rFonts w:hint="eastAsia"/>
          <w:b/>
          <w:color w:val="auto"/>
          <w:szCs w:val="21"/>
        </w:rPr>
        <w:t>（如有，须提供）</w:t>
      </w:r>
    </w:p>
    <w:p w14:paraId="13A04303">
      <w:pPr>
        <w:snapToGrid w:val="0"/>
        <w:spacing w:before="50" w:after="120" w:afterLines="50"/>
        <w:jc w:val="left"/>
        <w:rPr>
          <w:rFonts w:hint="eastAsia" w:eastAsia="宋体"/>
          <w:color w:val="auto"/>
          <w:szCs w:val="21"/>
          <w:lang w:eastAsia="zh-CN"/>
        </w:rPr>
      </w:pPr>
      <w:r>
        <w:rPr>
          <w:rFonts w:hint="eastAsia"/>
          <w:color w:val="auto"/>
          <w:szCs w:val="21"/>
        </w:rPr>
        <w:t>投标产品中如有列入节能产品政府采购品目清单及环境标志产品政府采购品目清单的货物，应按下表提供清单。投标文件中</w:t>
      </w:r>
      <w:r>
        <w:rPr>
          <w:rFonts w:hint="eastAsia"/>
          <w:color w:val="auto"/>
          <w:szCs w:val="21"/>
          <w:lang w:val="en-US" w:eastAsia="zh-CN"/>
        </w:rPr>
        <w:t>同时</w:t>
      </w:r>
      <w:r>
        <w:rPr>
          <w:rFonts w:hint="eastAsia"/>
          <w:color w:val="auto"/>
          <w:szCs w:val="21"/>
        </w:rPr>
        <w:t>提供所投标产品的节能产品及环境标志认证证书扫描件</w:t>
      </w:r>
      <w:r>
        <w:rPr>
          <w:rFonts w:hint="eastAsia"/>
          <w:color w:val="auto"/>
          <w:lang w:eastAsia="zh-CN"/>
        </w:rPr>
        <w:t>。</w:t>
      </w:r>
    </w:p>
    <w:p w14:paraId="3078411B">
      <w:pPr>
        <w:spacing w:line="360" w:lineRule="auto"/>
        <w:jc w:val="center"/>
        <w:rPr>
          <w:color w:val="auto"/>
          <w:szCs w:val="21"/>
        </w:rPr>
      </w:pPr>
      <w:r>
        <w:rPr>
          <w:rFonts w:hint="eastAsia"/>
          <w:b/>
          <w:color w:val="auto"/>
          <w:szCs w:val="21"/>
        </w:rPr>
        <w:t>节能产品及环境标志产品清单</w:t>
      </w:r>
    </w:p>
    <w:tbl>
      <w:tblPr>
        <w:tblStyle w:val="51"/>
        <w:tblW w:w="9328" w:type="dxa"/>
        <w:jc w:val="center"/>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0" w:type="dxa"/>
          <w:left w:w="0" w:type="dxa"/>
          <w:bottom w:w="0" w:type="dxa"/>
          <w:right w:w="0" w:type="dxa"/>
        </w:tblCellMar>
      </w:tblPr>
      <w:tblGrid>
        <w:gridCol w:w="767"/>
        <w:gridCol w:w="1134"/>
        <w:gridCol w:w="897"/>
        <w:gridCol w:w="1088"/>
        <w:gridCol w:w="1409"/>
        <w:gridCol w:w="1851"/>
        <w:gridCol w:w="1412"/>
        <w:gridCol w:w="770"/>
      </w:tblGrid>
      <w:tr w14:paraId="064F81F4">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454" w:hRule="atLeast"/>
          <w:jc w:val="center"/>
        </w:trPr>
        <w:tc>
          <w:tcPr>
            <w:tcW w:w="767" w:type="dxa"/>
            <w:tcBorders>
              <w:top w:val="single" w:color="auto" w:sz="12" w:space="0"/>
              <w:left w:val="single" w:color="auto" w:sz="12" w:space="0"/>
              <w:bottom w:val="single" w:color="auto" w:sz="8" w:space="0"/>
              <w:right w:val="single" w:color="auto" w:sz="8" w:space="0"/>
            </w:tcBorders>
            <w:noWrap w:val="0"/>
            <w:tcMar>
              <w:top w:w="0" w:type="dxa"/>
              <w:left w:w="57" w:type="dxa"/>
              <w:bottom w:w="0" w:type="dxa"/>
              <w:right w:w="57" w:type="dxa"/>
            </w:tcMar>
            <w:vAlign w:val="center"/>
          </w:tcPr>
          <w:p w14:paraId="6BFE2B00">
            <w:pPr>
              <w:widowControl/>
              <w:spacing w:before="100" w:beforeAutospacing="1" w:after="100" w:afterAutospacing="1" w:line="376" w:lineRule="atLeast"/>
              <w:jc w:val="center"/>
              <w:rPr>
                <w:color w:val="auto"/>
                <w:kern w:val="0"/>
                <w:szCs w:val="21"/>
              </w:rPr>
            </w:pPr>
            <w:r>
              <w:rPr>
                <w:color w:val="auto"/>
                <w:kern w:val="0"/>
                <w:szCs w:val="21"/>
              </w:rPr>
              <w:t>序号</w:t>
            </w:r>
          </w:p>
        </w:tc>
        <w:tc>
          <w:tcPr>
            <w:tcW w:w="1134" w:type="dxa"/>
            <w:tcBorders>
              <w:top w:val="single" w:color="auto" w:sz="12" w:space="0"/>
              <w:left w:val="nil"/>
              <w:bottom w:val="single" w:color="auto" w:sz="8" w:space="0"/>
              <w:right w:val="single" w:color="auto" w:sz="4" w:space="0"/>
            </w:tcBorders>
            <w:noWrap w:val="0"/>
            <w:tcMar>
              <w:top w:w="0" w:type="dxa"/>
              <w:left w:w="57" w:type="dxa"/>
              <w:bottom w:w="0" w:type="dxa"/>
              <w:right w:w="57" w:type="dxa"/>
            </w:tcMar>
            <w:vAlign w:val="center"/>
          </w:tcPr>
          <w:p w14:paraId="657CBCF3">
            <w:pPr>
              <w:widowControl/>
              <w:spacing w:before="100" w:beforeAutospacing="1" w:after="100" w:afterAutospacing="1" w:line="376" w:lineRule="atLeast"/>
              <w:jc w:val="center"/>
              <w:rPr>
                <w:color w:val="auto"/>
                <w:kern w:val="0"/>
                <w:szCs w:val="21"/>
              </w:rPr>
            </w:pPr>
            <w:r>
              <w:rPr>
                <w:rFonts w:hint="eastAsia"/>
                <w:color w:val="auto"/>
                <w:kern w:val="0"/>
                <w:szCs w:val="21"/>
              </w:rPr>
              <w:t>类别</w:t>
            </w:r>
          </w:p>
        </w:tc>
        <w:tc>
          <w:tcPr>
            <w:tcW w:w="897" w:type="dxa"/>
            <w:tcBorders>
              <w:top w:val="single" w:color="auto" w:sz="12" w:space="0"/>
              <w:left w:val="single" w:color="auto" w:sz="4" w:space="0"/>
              <w:bottom w:val="single" w:color="auto" w:sz="8" w:space="0"/>
              <w:right w:val="single" w:color="auto" w:sz="8" w:space="0"/>
            </w:tcBorders>
            <w:noWrap w:val="0"/>
            <w:vAlign w:val="center"/>
          </w:tcPr>
          <w:p w14:paraId="3841B31F">
            <w:pPr>
              <w:widowControl/>
              <w:spacing w:before="100" w:beforeAutospacing="1" w:after="100" w:afterAutospacing="1" w:line="376" w:lineRule="atLeast"/>
              <w:jc w:val="center"/>
              <w:rPr>
                <w:color w:val="auto"/>
                <w:kern w:val="0"/>
                <w:szCs w:val="21"/>
              </w:rPr>
            </w:pPr>
            <w:r>
              <w:rPr>
                <w:rFonts w:hint="eastAsia"/>
                <w:color w:val="auto"/>
                <w:kern w:val="0"/>
                <w:szCs w:val="21"/>
              </w:rPr>
              <w:t>品目</w:t>
            </w:r>
          </w:p>
        </w:tc>
        <w:tc>
          <w:tcPr>
            <w:tcW w:w="1088" w:type="dxa"/>
            <w:tcBorders>
              <w:top w:val="single" w:color="auto" w:sz="12" w:space="0"/>
              <w:left w:val="nil"/>
              <w:bottom w:val="single" w:color="auto" w:sz="8" w:space="0"/>
              <w:right w:val="single" w:color="auto" w:sz="4" w:space="0"/>
            </w:tcBorders>
            <w:noWrap w:val="0"/>
            <w:tcMar>
              <w:top w:w="0" w:type="dxa"/>
              <w:left w:w="57" w:type="dxa"/>
              <w:bottom w:w="0" w:type="dxa"/>
              <w:right w:w="57" w:type="dxa"/>
            </w:tcMar>
            <w:vAlign w:val="center"/>
          </w:tcPr>
          <w:p w14:paraId="1843D44D">
            <w:pPr>
              <w:widowControl/>
              <w:spacing w:before="100" w:beforeAutospacing="1" w:after="100" w:afterAutospacing="1" w:line="376" w:lineRule="atLeast"/>
              <w:jc w:val="center"/>
              <w:rPr>
                <w:color w:val="auto"/>
                <w:kern w:val="0"/>
                <w:szCs w:val="21"/>
              </w:rPr>
            </w:pPr>
            <w:r>
              <w:rPr>
                <w:rFonts w:hint="eastAsia"/>
                <w:color w:val="auto"/>
                <w:kern w:val="0"/>
                <w:szCs w:val="21"/>
              </w:rPr>
              <w:t>品牌</w:t>
            </w:r>
          </w:p>
        </w:tc>
        <w:tc>
          <w:tcPr>
            <w:tcW w:w="1409" w:type="dxa"/>
            <w:tcBorders>
              <w:top w:val="single" w:color="auto" w:sz="12" w:space="0"/>
              <w:left w:val="single" w:color="auto" w:sz="4" w:space="0"/>
              <w:bottom w:val="single" w:color="auto" w:sz="8" w:space="0"/>
              <w:right w:val="single" w:color="auto" w:sz="8" w:space="0"/>
            </w:tcBorders>
            <w:noWrap w:val="0"/>
            <w:vAlign w:val="center"/>
          </w:tcPr>
          <w:p w14:paraId="7C4F7836">
            <w:pPr>
              <w:widowControl/>
              <w:spacing w:before="100" w:beforeAutospacing="1" w:after="100" w:afterAutospacing="1" w:line="376" w:lineRule="atLeast"/>
              <w:jc w:val="center"/>
              <w:rPr>
                <w:color w:val="auto"/>
                <w:kern w:val="0"/>
                <w:szCs w:val="21"/>
              </w:rPr>
            </w:pPr>
            <w:r>
              <w:rPr>
                <w:color w:val="auto"/>
                <w:kern w:val="0"/>
                <w:szCs w:val="21"/>
              </w:rPr>
              <w:t>规格型号</w:t>
            </w:r>
          </w:p>
        </w:tc>
        <w:tc>
          <w:tcPr>
            <w:tcW w:w="1851" w:type="dxa"/>
            <w:tcBorders>
              <w:top w:val="single" w:color="auto" w:sz="12" w:space="0"/>
              <w:left w:val="nil"/>
              <w:bottom w:val="single" w:color="auto" w:sz="8" w:space="0"/>
              <w:right w:val="single" w:color="auto" w:sz="8" w:space="0"/>
            </w:tcBorders>
            <w:noWrap w:val="0"/>
            <w:tcMar>
              <w:top w:w="0" w:type="dxa"/>
              <w:left w:w="57" w:type="dxa"/>
              <w:bottom w:w="0" w:type="dxa"/>
              <w:right w:w="57" w:type="dxa"/>
            </w:tcMar>
            <w:vAlign w:val="center"/>
          </w:tcPr>
          <w:p w14:paraId="294C048B">
            <w:pPr>
              <w:widowControl/>
              <w:spacing w:before="100" w:beforeAutospacing="1" w:after="100" w:afterAutospacing="1" w:line="376" w:lineRule="atLeast"/>
              <w:jc w:val="center"/>
              <w:rPr>
                <w:color w:val="auto"/>
                <w:kern w:val="0"/>
                <w:szCs w:val="21"/>
              </w:rPr>
            </w:pPr>
            <w:r>
              <w:rPr>
                <w:rFonts w:ascii="Helvetica" w:hAnsi="Helvetica" w:cs="Helvetica"/>
                <w:color w:val="auto"/>
                <w:szCs w:val="21"/>
                <w:shd w:val="clear" w:color="auto" w:fill="FFFFFF"/>
              </w:rPr>
              <w:t>生产者（制造商）</w:t>
            </w:r>
          </w:p>
        </w:tc>
        <w:tc>
          <w:tcPr>
            <w:tcW w:w="1412" w:type="dxa"/>
            <w:tcBorders>
              <w:top w:val="single" w:color="auto" w:sz="12" w:space="0"/>
              <w:left w:val="nil"/>
              <w:bottom w:val="single" w:color="auto" w:sz="8" w:space="0"/>
              <w:right w:val="single" w:color="auto" w:sz="8" w:space="0"/>
            </w:tcBorders>
            <w:noWrap w:val="0"/>
            <w:tcMar>
              <w:top w:w="0" w:type="dxa"/>
              <w:left w:w="57" w:type="dxa"/>
              <w:bottom w:w="0" w:type="dxa"/>
              <w:right w:w="57" w:type="dxa"/>
            </w:tcMar>
            <w:vAlign w:val="center"/>
          </w:tcPr>
          <w:p w14:paraId="1787215C">
            <w:pPr>
              <w:widowControl/>
              <w:spacing w:before="100" w:beforeAutospacing="1" w:after="100" w:afterAutospacing="1" w:line="376" w:lineRule="atLeast"/>
              <w:jc w:val="center"/>
              <w:rPr>
                <w:color w:val="auto"/>
                <w:kern w:val="0"/>
                <w:szCs w:val="21"/>
              </w:rPr>
            </w:pPr>
            <w:r>
              <w:rPr>
                <w:rFonts w:hint="eastAsia"/>
                <w:color w:val="auto"/>
                <w:kern w:val="0"/>
                <w:szCs w:val="21"/>
              </w:rPr>
              <w:t>证书编号及证书到期日期</w:t>
            </w:r>
          </w:p>
        </w:tc>
        <w:tc>
          <w:tcPr>
            <w:tcW w:w="770" w:type="dxa"/>
            <w:tcBorders>
              <w:top w:val="single" w:color="auto" w:sz="12" w:space="0"/>
              <w:left w:val="nil"/>
              <w:bottom w:val="single" w:color="auto" w:sz="8" w:space="0"/>
              <w:right w:val="single" w:color="auto" w:sz="12" w:space="0"/>
            </w:tcBorders>
            <w:noWrap w:val="0"/>
            <w:tcMar>
              <w:top w:w="0" w:type="dxa"/>
              <w:left w:w="57" w:type="dxa"/>
              <w:bottom w:w="0" w:type="dxa"/>
              <w:right w:w="57" w:type="dxa"/>
            </w:tcMar>
            <w:vAlign w:val="center"/>
          </w:tcPr>
          <w:p w14:paraId="46342A55">
            <w:pPr>
              <w:widowControl/>
              <w:spacing w:before="100" w:beforeAutospacing="1" w:after="100" w:afterAutospacing="1" w:line="376" w:lineRule="atLeast"/>
              <w:jc w:val="center"/>
              <w:rPr>
                <w:color w:val="auto"/>
                <w:kern w:val="0"/>
                <w:szCs w:val="21"/>
              </w:rPr>
            </w:pPr>
            <w:r>
              <w:rPr>
                <w:color w:val="auto"/>
                <w:kern w:val="0"/>
                <w:szCs w:val="21"/>
              </w:rPr>
              <w:t>备注</w:t>
            </w:r>
          </w:p>
        </w:tc>
      </w:tr>
      <w:tr w14:paraId="522E2E27">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233" w:hRule="atLeast"/>
          <w:jc w:val="center"/>
        </w:trPr>
        <w:tc>
          <w:tcPr>
            <w:tcW w:w="767" w:type="dxa"/>
            <w:tcBorders>
              <w:top w:val="nil"/>
              <w:left w:val="single" w:color="auto" w:sz="12" w:space="0"/>
              <w:bottom w:val="single" w:color="auto" w:sz="8" w:space="0"/>
              <w:right w:val="single" w:color="auto" w:sz="8" w:space="0"/>
            </w:tcBorders>
            <w:noWrap w:val="0"/>
            <w:tcMar>
              <w:top w:w="0" w:type="dxa"/>
              <w:left w:w="57" w:type="dxa"/>
              <w:bottom w:w="0" w:type="dxa"/>
              <w:right w:w="57" w:type="dxa"/>
            </w:tcMar>
            <w:vAlign w:val="center"/>
          </w:tcPr>
          <w:p w14:paraId="03DB58BB">
            <w:pPr>
              <w:widowControl/>
              <w:spacing w:before="100" w:beforeAutospacing="1" w:after="100" w:afterAutospacing="1" w:line="376" w:lineRule="atLeast"/>
              <w:jc w:val="center"/>
              <w:rPr>
                <w:color w:val="auto"/>
                <w:kern w:val="0"/>
                <w:szCs w:val="21"/>
              </w:rPr>
            </w:pPr>
            <w:r>
              <w:rPr>
                <w:color w:val="auto"/>
                <w:kern w:val="0"/>
                <w:szCs w:val="21"/>
              </w:rPr>
              <w:t>1</w:t>
            </w:r>
          </w:p>
        </w:tc>
        <w:tc>
          <w:tcPr>
            <w:tcW w:w="1134" w:type="dxa"/>
            <w:tcBorders>
              <w:top w:val="nil"/>
              <w:left w:val="nil"/>
              <w:bottom w:val="single" w:color="auto" w:sz="8" w:space="0"/>
              <w:right w:val="single" w:color="auto" w:sz="4" w:space="0"/>
            </w:tcBorders>
            <w:noWrap w:val="0"/>
            <w:tcMar>
              <w:top w:w="0" w:type="dxa"/>
              <w:left w:w="57" w:type="dxa"/>
              <w:bottom w:w="0" w:type="dxa"/>
              <w:right w:w="57" w:type="dxa"/>
            </w:tcMar>
            <w:vAlign w:val="center"/>
          </w:tcPr>
          <w:p w14:paraId="497A66B2">
            <w:pPr>
              <w:widowControl/>
              <w:spacing w:before="100" w:beforeAutospacing="1" w:after="100" w:afterAutospacing="1" w:line="376" w:lineRule="atLeast"/>
              <w:jc w:val="center"/>
              <w:rPr>
                <w:color w:val="auto"/>
                <w:kern w:val="0"/>
                <w:szCs w:val="21"/>
              </w:rPr>
            </w:pPr>
          </w:p>
        </w:tc>
        <w:tc>
          <w:tcPr>
            <w:tcW w:w="897" w:type="dxa"/>
            <w:tcBorders>
              <w:top w:val="nil"/>
              <w:left w:val="single" w:color="auto" w:sz="4" w:space="0"/>
              <w:bottom w:val="single" w:color="auto" w:sz="8" w:space="0"/>
              <w:right w:val="single" w:color="auto" w:sz="8" w:space="0"/>
            </w:tcBorders>
            <w:noWrap w:val="0"/>
            <w:vAlign w:val="center"/>
          </w:tcPr>
          <w:p w14:paraId="280ABEA6">
            <w:pPr>
              <w:widowControl/>
              <w:spacing w:before="100" w:beforeAutospacing="1" w:after="100" w:afterAutospacing="1" w:line="376" w:lineRule="atLeast"/>
              <w:jc w:val="center"/>
              <w:rPr>
                <w:color w:val="auto"/>
                <w:kern w:val="0"/>
                <w:szCs w:val="21"/>
              </w:rPr>
            </w:pPr>
          </w:p>
        </w:tc>
        <w:tc>
          <w:tcPr>
            <w:tcW w:w="1088" w:type="dxa"/>
            <w:tcBorders>
              <w:top w:val="nil"/>
              <w:left w:val="nil"/>
              <w:bottom w:val="single" w:color="auto" w:sz="8" w:space="0"/>
              <w:right w:val="single" w:color="auto" w:sz="4" w:space="0"/>
            </w:tcBorders>
            <w:noWrap w:val="0"/>
            <w:tcMar>
              <w:top w:w="0" w:type="dxa"/>
              <w:left w:w="57" w:type="dxa"/>
              <w:bottom w:w="0" w:type="dxa"/>
              <w:right w:w="57" w:type="dxa"/>
            </w:tcMar>
            <w:vAlign w:val="center"/>
          </w:tcPr>
          <w:p w14:paraId="4DECDEC6">
            <w:pPr>
              <w:widowControl/>
              <w:spacing w:before="100" w:beforeAutospacing="1" w:after="100" w:afterAutospacing="1" w:line="376" w:lineRule="atLeast"/>
              <w:jc w:val="center"/>
              <w:rPr>
                <w:color w:val="auto"/>
                <w:kern w:val="0"/>
                <w:szCs w:val="21"/>
              </w:rPr>
            </w:pPr>
          </w:p>
        </w:tc>
        <w:tc>
          <w:tcPr>
            <w:tcW w:w="1409" w:type="dxa"/>
            <w:tcBorders>
              <w:top w:val="nil"/>
              <w:left w:val="single" w:color="auto" w:sz="4" w:space="0"/>
              <w:bottom w:val="single" w:color="auto" w:sz="8" w:space="0"/>
              <w:right w:val="single" w:color="auto" w:sz="8" w:space="0"/>
            </w:tcBorders>
            <w:noWrap w:val="0"/>
            <w:vAlign w:val="center"/>
          </w:tcPr>
          <w:p w14:paraId="5C5B6106">
            <w:pPr>
              <w:widowControl/>
              <w:spacing w:before="100" w:beforeAutospacing="1" w:after="100" w:afterAutospacing="1" w:line="376" w:lineRule="atLeast"/>
              <w:jc w:val="center"/>
              <w:rPr>
                <w:color w:val="auto"/>
                <w:kern w:val="0"/>
                <w:szCs w:val="21"/>
              </w:rPr>
            </w:pPr>
          </w:p>
        </w:tc>
        <w:tc>
          <w:tcPr>
            <w:tcW w:w="1851"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6A671059">
            <w:pPr>
              <w:widowControl/>
              <w:spacing w:before="100" w:beforeAutospacing="1" w:after="100" w:afterAutospacing="1" w:line="376" w:lineRule="atLeast"/>
              <w:jc w:val="center"/>
              <w:rPr>
                <w:color w:val="auto"/>
                <w:kern w:val="0"/>
                <w:szCs w:val="21"/>
              </w:rPr>
            </w:pPr>
          </w:p>
        </w:tc>
        <w:tc>
          <w:tcPr>
            <w:tcW w:w="1412"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6BD40D24">
            <w:pPr>
              <w:widowControl/>
              <w:spacing w:before="100" w:beforeAutospacing="1" w:after="100" w:afterAutospacing="1" w:line="376" w:lineRule="atLeast"/>
              <w:jc w:val="center"/>
              <w:rPr>
                <w:color w:val="auto"/>
                <w:kern w:val="0"/>
                <w:szCs w:val="21"/>
              </w:rPr>
            </w:pPr>
          </w:p>
        </w:tc>
        <w:tc>
          <w:tcPr>
            <w:tcW w:w="770" w:type="dxa"/>
            <w:tcBorders>
              <w:top w:val="nil"/>
              <w:left w:val="nil"/>
              <w:bottom w:val="single" w:color="auto" w:sz="8" w:space="0"/>
              <w:right w:val="single" w:color="auto" w:sz="12" w:space="0"/>
            </w:tcBorders>
            <w:noWrap w:val="0"/>
            <w:tcMar>
              <w:top w:w="0" w:type="dxa"/>
              <w:left w:w="57" w:type="dxa"/>
              <w:bottom w:w="0" w:type="dxa"/>
              <w:right w:w="57" w:type="dxa"/>
            </w:tcMar>
            <w:vAlign w:val="center"/>
          </w:tcPr>
          <w:p w14:paraId="709FC20D">
            <w:pPr>
              <w:widowControl/>
              <w:spacing w:before="100" w:beforeAutospacing="1" w:after="100" w:afterAutospacing="1" w:line="376" w:lineRule="atLeast"/>
              <w:jc w:val="center"/>
              <w:rPr>
                <w:color w:val="auto"/>
                <w:kern w:val="0"/>
                <w:szCs w:val="21"/>
              </w:rPr>
            </w:pPr>
          </w:p>
        </w:tc>
      </w:tr>
      <w:tr w14:paraId="2AEEEB96">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281" w:hRule="atLeast"/>
          <w:jc w:val="center"/>
        </w:trPr>
        <w:tc>
          <w:tcPr>
            <w:tcW w:w="767" w:type="dxa"/>
            <w:tcBorders>
              <w:top w:val="nil"/>
              <w:left w:val="single" w:color="auto" w:sz="12" w:space="0"/>
              <w:bottom w:val="single" w:color="auto" w:sz="8" w:space="0"/>
              <w:right w:val="single" w:color="auto" w:sz="8" w:space="0"/>
            </w:tcBorders>
            <w:noWrap w:val="0"/>
            <w:tcMar>
              <w:top w:w="0" w:type="dxa"/>
              <w:left w:w="57" w:type="dxa"/>
              <w:bottom w:w="0" w:type="dxa"/>
              <w:right w:w="57" w:type="dxa"/>
            </w:tcMar>
            <w:vAlign w:val="center"/>
          </w:tcPr>
          <w:p w14:paraId="2C3D0058">
            <w:pPr>
              <w:widowControl/>
              <w:spacing w:before="100" w:beforeAutospacing="1" w:after="100" w:afterAutospacing="1" w:line="376" w:lineRule="atLeast"/>
              <w:jc w:val="center"/>
              <w:rPr>
                <w:color w:val="auto"/>
                <w:kern w:val="0"/>
                <w:szCs w:val="21"/>
              </w:rPr>
            </w:pPr>
            <w:r>
              <w:rPr>
                <w:color w:val="auto"/>
                <w:kern w:val="0"/>
                <w:szCs w:val="21"/>
              </w:rPr>
              <w:t>2</w:t>
            </w:r>
          </w:p>
        </w:tc>
        <w:tc>
          <w:tcPr>
            <w:tcW w:w="1134" w:type="dxa"/>
            <w:tcBorders>
              <w:top w:val="nil"/>
              <w:left w:val="nil"/>
              <w:bottom w:val="single" w:color="auto" w:sz="8" w:space="0"/>
              <w:right w:val="single" w:color="auto" w:sz="4" w:space="0"/>
            </w:tcBorders>
            <w:noWrap w:val="0"/>
            <w:tcMar>
              <w:top w:w="0" w:type="dxa"/>
              <w:left w:w="57" w:type="dxa"/>
              <w:bottom w:w="0" w:type="dxa"/>
              <w:right w:w="57" w:type="dxa"/>
            </w:tcMar>
            <w:vAlign w:val="center"/>
          </w:tcPr>
          <w:p w14:paraId="50C525EE">
            <w:pPr>
              <w:widowControl/>
              <w:spacing w:before="100" w:beforeAutospacing="1" w:after="100" w:afterAutospacing="1" w:line="376" w:lineRule="atLeast"/>
              <w:jc w:val="center"/>
              <w:rPr>
                <w:color w:val="auto"/>
                <w:kern w:val="0"/>
                <w:szCs w:val="21"/>
              </w:rPr>
            </w:pPr>
          </w:p>
        </w:tc>
        <w:tc>
          <w:tcPr>
            <w:tcW w:w="897" w:type="dxa"/>
            <w:tcBorders>
              <w:top w:val="nil"/>
              <w:left w:val="single" w:color="auto" w:sz="4" w:space="0"/>
              <w:bottom w:val="single" w:color="auto" w:sz="8" w:space="0"/>
              <w:right w:val="single" w:color="auto" w:sz="8" w:space="0"/>
            </w:tcBorders>
            <w:noWrap w:val="0"/>
            <w:vAlign w:val="center"/>
          </w:tcPr>
          <w:p w14:paraId="5E78D8D4">
            <w:pPr>
              <w:widowControl/>
              <w:spacing w:before="100" w:beforeAutospacing="1" w:after="100" w:afterAutospacing="1" w:line="376" w:lineRule="atLeast"/>
              <w:jc w:val="center"/>
              <w:rPr>
                <w:color w:val="auto"/>
                <w:kern w:val="0"/>
                <w:szCs w:val="21"/>
              </w:rPr>
            </w:pPr>
          </w:p>
        </w:tc>
        <w:tc>
          <w:tcPr>
            <w:tcW w:w="1088" w:type="dxa"/>
            <w:tcBorders>
              <w:top w:val="nil"/>
              <w:left w:val="nil"/>
              <w:bottom w:val="single" w:color="auto" w:sz="8" w:space="0"/>
              <w:right w:val="single" w:color="auto" w:sz="4" w:space="0"/>
            </w:tcBorders>
            <w:noWrap w:val="0"/>
            <w:tcMar>
              <w:top w:w="0" w:type="dxa"/>
              <w:left w:w="57" w:type="dxa"/>
              <w:bottom w:w="0" w:type="dxa"/>
              <w:right w:w="57" w:type="dxa"/>
            </w:tcMar>
            <w:vAlign w:val="center"/>
          </w:tcPr>
          <w:p w14:paraId="073FE278">
            <w:pPr>
              <w:widowControl/>
              <w:spacing w:before="100" w:beforeAutospacing="1" w:after="100" w:afterAutospacing="1" w:line="376" w:lineRule="atLeast"/>
              <w:jc w:val="center"/>
              <w:rPr>
                <w:color w:val="auto"/>
                <w:kern w:val="0"/>
                <w:szCs w:val="21"/>
              </w:rPr>
            </w:pPr>
          </w:p>
        </w:tc>
        <w:tc>
          <w:tcPr>
            <w:tcW w:w="1409" w:type="dxa"/>
            <w:tcBorders>
              <w:top w:val="nil"/>
              <w:left w:val="single" w:color="auto" w:sz="4" w:space="0"/>
              <w:bottom w:val="single" w:color="auto" w:sz="8" w:space="0"/>
              <w:right w:val="single" w:color="auto" w:sz="8" w:space="0"/>
            </w:tcBorders>
            <w:noWrap w:val="0"/>
            <w:vAlign w:val="center"/>
          </w:tcPr>
          <w:p w14:paraId="1CF74511">
            <w:pPr>
              <w:widowControl/>
              <w:spacing w:before="100" w:beforeAutospacing="1" w:after="100" w:afterAutospacing="1" w:line="376" w:lineRule="atLeast"/>
              <w:jc w:val="center"/>
              <w:rPr>
                <w:color w:val="auto"/>
                <w:kern w:val="0"/>
                <w:szCs w:val="21"/>
              </w:rPr>
            </w:pPr>
          </w:p>
        </w:tc>
        <w:tc>
          <w:tcPr>
            <w:tcW w:w="1851"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51F52957">
            <w:pPr>
              <w:widowControl/>
              <w:spacing w:before="100" w:beforeAutospacing="1" w:after="100" w:afterAutospacing="1" w:line="376" w:lineRule="atLeast"/>
              <w:jc w:val="center"/>
              <w:rPr>
                <w:color w:val="auto"/>
                <w:kern w:val="0"/>
                <w:szCs w:val="21"/>
              </w:rPr>
            </w:pPr>
          </w:p>
        </w:tc>
        <w:tc>
          <w:tcPr>
            <w:tcW w:w="1412"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7505BA47">
            <w:pPr>
              <w:widowControl/>
              <w:spacing w:before="100" w:beforeAutospacing="1" w:after="100" w:afterAutospacing="1" w:line="376" w:lineRule="atLeast"/>
              <w:jc w:val="center"/>
              <w:rPr>
                <w:color w:val="auto"/>
                <w:kern w:val="0"/>
                <w:szCs w:val="21"/>
              </w:rPr>
            </w:pPr>
          </w:p>
        </w:tc>
        <w:tc>
          <w:tcPr>
            <w:tcW w:w="770" w:type="dxa"/>
            <w:tcBorders>
              <w:top w:val="nil"/>
              <w:left w:val="nil"/>
              <w:bottom w:val="single" w:color="auto" w:sz="8" w:space="0"/>
              <w:right w:val="single" w:color="auto" w:sz="12" w:space="0"/>
            </w:tcBorders>
            <w:noWrap w:val="0"/>
            <w:tcMar>
              <w:top w:w="0" w:type="dxa"/>
              <w:left w:w="57" w:type="dxa"/>
              <w:bottom w:w="0" w:type="dxa"/>
              <w:right w:w="57" w:type="dxa"/>
            </w:tcMar>
            <w:vAlign w:val="center"/>
          </w:tcPr>
          <w:p w14:paraId="41D76364">
            <w:pPr>
              <w:widowControl/>
              <w:spacing w:before="100" w:beforeAutospacing="1" w:after="100" w:afterAutospacing="1" w:line="376" w:lineRule="atLeast"/>
              <w:jc w:val="center"/>
              <w:rPr>
                <w:color w:val="auto"/>
                <w:kern w:val="0"/>
                <w:szCs w:val="21"/>
              </w:rPr>
            </w:pPr>
          </w:p>
        </w:tc>
      </w:tr>
      <w:tr w14:paraId="7FF69899">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00" w:hRule="atLeast"/>
          <w:jc w:val="center"/>
        </w:trPr>
        <w:tc>
          <w:tcPr>
            <w:tcW w:w="767" w:type="dxa"/>
            <w:tcBorders>
              <w:top w:val="nil"/>
              <w:left w:val="single" w:color="auto" w:sz="12" w:space="0"/>
              <w:bottom w:val="single" w:color="auto" w:sz="8" w:space="0"/>
              <w:right w:val="single" w:color="auto" w:sz="8" w:space="0"/>
            </w:tcBorders>
            <w:noWrap w:val="0"/>
            <w:tcMar>
              <w:top w:w="0" w:type="dxa"/>
              <w:left w:w="57" w:type="dxa"/>
              <w:bottom w:w="0" w:type="dxa"/>
              <w:right w:w="57" w:type="dxa"/>
            </w:tcMar>
            <w:vAlign w:val="center"/>
          </w:tcPr>
          <w:p w14:paraId="370573C0">
            <w:pPr>
              <w:widowControl/>
              <w:spacing w:before="100" w:beforeAutospacing="1" w:after="100" w:afterAutospacing="1" w:line="376" w:lineRule="atLeast"/>
              <w:jc w:val="center"/>
              <w:rPr>
                <w:color w:val="auto"/>
                <w:kern w:val="0"/>
                <w:szCs w:val="21"/>
              </w:rPr>
            </w:pPr>
            <w:r>
              <w:rPr>
                <w:color w:val="auto"/>
                <w:kern w:val="0"/>
                <w:szCs w:val="21"/>
              </w:rPr>
              <w:t>……</w:t>
            </w:r>
          </w:p>
        </w:tc>
        <w:tc>
          <w:tcPr>
            <w:tcW w:w="1134" w:type="dxa"/>
            <w:tcBorders>
              <w:top w:val="nil"/>
              <w:left w:val="nil"/>
              <w:bottom w:val="single" w:color="auto" w:sz="8" w:space="0"/>
              <w:right w:val="single" w:color="auto" w:sz="4" w:space="0"/>
            </w:tcBorders>
            <w:noWrap w:val="0"/>
            <w:tcMar>
              <w:top w:w="0" w:type="dxa"/>
              <w:left w:w="57" w:type="dxa"/>
              <w:bottom w:w="0" w:type="dxa"/>
              <w:right w:w="57" w:type="dxa"/>
            </w:tcMar>
            <w:vAlign w:val="center"/>
          </w:tcPr>
          <w:p w14:paraId="586016CD">
            <w:pPr>
              <w:widowControl/>
              <w:spacing w:before="100" w:beforeAutospacing="1" w:after="100" w:afterAutospacing="1" w:line="376" w:lineRule="atLeast"/>
              <w:jc w:val="center"/>
              <w:rPr>
                <w:color w:val="auto"/>
                <w:kern w:val="0"/>
                <w:szCs w:val="21"/>
              </w:rPr>
            </w:pPr>
          </w:p>
        </w:tc>
        <w:tc>
          <w:tcPr>
            <w:tcW w:w="897" w:type="dxa"/>
            <w:tcBorders>
              <w:top w:val="nil"/>
              <w:left w:val="single" w:color="auto" w:sz="4" w:space="0"/>
              <w:bottom w:val="single" w:color="auto" w:sz="8" w:space="0"/>
              <w:right w:val="single" w:color="auto" w:sz="8" w:space="0"/>
            </w:tcBorders>
            <w:noWrap w:val="0"/>
            <w:vAlign w:val="center"/>
          </w:tcPr>
          <w:p w14:paraId="489F3746">
            <w:pPr>
              <w:widowControl/>
              <w:spacing w:before="100" w:beforeAutospacing="1" w:after="100" w:afterAutospacing="1" w:line="376" w:lineRule="atLeast"/>
              <w:jc w:val="center"/>
              <w:rPr>
                <w:color w:val="auto"/>
                <w:kern w:val="0"/>
                <w:szCs w:val="21"/>
              </w:rPr>
            </w:pPr>
          </w:p>
        </w:tc>
        <w:tc>
          <w:tcPr>
            <w:tcW w:w="1088" w:type="dxa"/>
            <w:tcBorders>
              <w:top w:val="nil"/>
              <w:left w:val="nil"/>
              <w:bottom w:val="single" w:color="auto" w:sz="8" w:space="0"/>
              <w:right w:val="single" w:color="auto" w:sz="4" w:space="0"/>
            </w:tcBorders>
            <w:noWrap w:val="0"/>
            <w:tcMar>
              <w:top w:w="0" w:type="dxa"/>
              <w:left w:w="57" w:type="dxa"/>
              <w:bottom w:w="0" w:type="dxa"/>
              <w:right w:w="57" w:type="dxa"/>
            </w:tcMar>
            <w:vAlign w:val="center"/>
          </w:tcPr>
          <w:p w14:paraId="195FEBF9">
            <w:pPr>
              <w:widowControl/>
              <w:spacing w:before="100" w:beforeAutospacing="1" w:after="100" w:afterAutospacing="1" w:line="376" w:lineRule="atLeast"/>
              <w:jc w:val="center"/>
              <w:rPr>
                <w:color w:val="auto"/>
                <w:kern w:val="0"/>
                <w:szCs w:val="21"/>
              </w:rPr>
            </w:pPr>
          </w:p>
        </w:tc>
        <w:tc>
          <w:tcPr>
            <w:tcW w:w="1409" w:type="dxa"/>
            <w:tcBorders>
              <w:top w:val="nil"/>
              <w:left w:val="single" w:color="auto" w:sz="4" w:space="0"/>
              <w:bottom w:val="single" w:color="auto" w:sz="8" w:space="0"/>
              <w:right w:val="single" w:color="auto" w:sz="8" w:space="0"/>
            </w:tcBorders>
            <w:noWrap w:val="0"/>
            <w:vAlign w:val="center"/>
          </w:tcPr>
          <w:p w14:paraId="4BD08C80">
            <w:pPr>
              <w:widowControl/>
              <w:spacing w:before="100" w:beforeAutospacing="1" w:after="100" w:afterAutospacing="1" w:line="376" w:lineRule="atLeast"/>
              <w:jc w:val="center"/>
              <w:rPr>
                <w:color w:val="auto"/>
                <w:kern w:val="0"/>
                <w:szCs w:val="21"/>
              </w:rPr>
            </w:pPr>
          </w:p>
        </w:tc>
        <w:tc>
          <w:tcPr>
            <w:tcW w:w="1851"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1BD48CF4">
            <w:pPr>
              <w:widowControl/>
              <w:spacing w:before="100" w:beforeAutospacing="1" w:after="100" w:afterAutospacing="1" w:line="376" w:lineRule="atLeast"/>
              <w:jc w:val="center"/>
              <w:rPr>
                <w:color w:val="auto"/>
                <w:kern w:val="0"/>
                <w:szCs w:val="21"/>
              </w:rPr>
            </w:pPr>
          </w:p>
        </w:tc>
        <w:tc>
          <w:tcPr>
            <w:tcW w:w="1412"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0CF35899">
            <w:pPr>
              <w:widowControl/>
              <w:spacing w:before="100" w:beforeAutospacing="1" w:after="100" w:afterAutospacing="1" w:line="376" w:lineRule="atLeast"/>
              <w:jc w:val="center"/>
              <w:rPr>
                <w:color w:val="auto"/>
                <w:kern w:val="0"/>
                <w:szCs w:val="21"/>
              </w:rPr>
            </w:pPr>
          </w:p>
        </w:tc>
        <w:tc>
          <w:tcPr>
            <w:tcW w:w="770" w:type="dxa"/>
            <w:tcBorders>
              <w:top w:val="nil"/>
              <w:left w:val="nil"/>
              <w:bottom w:val="single" w:color="auto" w:sz="8" w:space="0"/>
              <w:right w:val="single" w:color="auto" w:sz="12" w:space="0"/>
            </w:tcBorders>
            <w:noWrap w:val="0"/>
            <w:tcMar>
              <w:top w:w="0" w:type="dxa"/>
              <w:left w:w="57" w:type="dxa"/>
              <w:bottom w:w="0" w:type="dxa"/>
              <w:right w:w="57" w:type="dxa"/>
            </w:tcMar>
            <w:vAlign w:val="center"/>
          </w:tcPr>
          <w:p w14:paraId="67F4590E">
            <w:pPr>
              <w:widowControl/>
              <w:spacing w:before="100" w:beforeAutospacing="1" w:after="100" w:afterAutospacing="1" w:line="376" w:lineRule="atLeast"/>
              <w:jc w:val="center"/>
              <w:rPr>
                <w:color w:val="auto"/>
                <w:kern w:val="0"/>
                <w:szCs w:val="21"/>
              </w:rPr>
            </w:pPr>
          </w:p>
        </w:tc>
      </w:tr>
    </w:tbl>
    <w:p w14:paraId="0F9B5AB9">
      <w:pPr>
        <w:snapToGrid w:val="0"/>
        <w:spacing w:before="50" w:after="120" w:afterLines="50"/>
        <w:jc w:val="left"/>
        <w:rPr>
          <w:color w:val="auto"/>
          <w:szCs w:val="21"/>
        </w:rPr>
      </w:pPr>
      <w:r>
        <w:rPr>
          <w:rFonts w:hint="eastAsia"/>
          <w:color w:val="auto"/>
          <w:szCs w:val="21"/>
        </w:rPr>
        <w:t>注：类别填写节能或环境标志，品目填写编号及产品名称如A</w:t>
      </w:r>
      <w:r>
        <w:rPr>
          <w:color w:val="auto"/>
          <w:szCs w:val="21"/>
        </w:rPr>
        <w:t>02010104</w:t>
      </w:r>
      <w:r>
        <w:rPr>
          <w:rFonts w:hint="eastAsia"/>
          <w:color w:val="auto"/>
          <w:szCs w:val="21"/>
        </w:rPr>
        <w:t>台式计算机。</w:t>
      </w:r>
    </w:p>
    <w:p w14:paraId="6224C9C9">
      <w:pPr>
        <w:snapToGrid w:val="0"/>
        <w:spacing w:before="50" w:after="120" w:afterLines="50"/>
        <w:jc w:val="left"/>
        <w:rPr>
          <w:color w:val="auto"/>
          <w:szCs w:val="21"/>
        </w:rPr>
      </w:pPr>
    </w:p>
    <w:p w14:paraId="3C61293E">
      <w:pPr>
        <w:widowControl/>
        <w:jc w:val="left"/>
        <w:rPr>
          <w:color w:val="auto"/>
          <w:szCs w:val="21"/>
        </w:rPr>
      </w:pPr>
      <w:bookmarkStart w:id="155" w:name="_Hlk19050322"/>
      <w:r>
        <w:rPr>
          <w:color w:val="auto"/>
          <w:szCs w:val="21"/>
        </w:rPr>
        <w:br w:type="page"/>
      </w:r>
    </w:p>
    <w:p w14:paraId="0C5A122C">
      <w:pPr>
        <w:snapToGrid w:val="0"/>
        <w:spacing w:before="50" w:after="120" w:afterLines="50"/>
        <w:jc w:val="left"/>
        <w:rPr>
          <w:szCs w:val="21"/>
        </w:rPr>
        <w:sectPr>
          <w:headerReference r:id="rId16" w:type="default"/>
          <w:pgSz w:w="11906" w:h="16838"/>
          <w:pgMar w:top="1418" w:right="1133" w:bottom="1246" w:left="1418" w:header="851" w:footer="992" w:gutter="0"/>
          <w:pgBorders>
            <w:top w:val="none" w:sz="0" w:space="0"/>
            <w:left w:val="none" w:sz="0" w:space="0"/>
            <w:bottom w:val="none" w:sz="0" w:space="0"/>
            <w:right w:val="none" w:sz="0" w:space="0"/>
          </w:pgBorders>
          <w:pgNumType w:fmt="decimal"/>
          <w:cols w:space="720" w:num="1"/>
          <w:docGrid w:linePitch="312" w:charSpace="0"/>
        </w:sectPr>
      </w:pPr>
    </w:p>
    <w:p w14:paraId="5DAE6C34">
      <w:pPr>
        <w:keepNext w:val="0"/>
        <w:keepLines w:val="0"/>
        <w:widowControl/>
        <w:suppressLineNumbers w:val="0"/>
        <w:pBdr>
          <w:top w:val="none" w:color="auto" w:sz="0" w:space="0"/>
          <w:left w:val="none" w:color="auto" w:sz="0" w:space="0"/>
          <w:bottom w:val="none" w:color="auto" w:sz="0" w:space="0"/>
          <w:right w:val="none" w:color="auto" w:sz="0" w:space="0"/>
        </w:pBdr>
        <w:spacing w:before="30" w:beforeAutospacing="0" w:after="30" w:afterAutospacing="0" w:line="560" w:lineRule="atLeast"/>
        <w:ind w:left="0" w:right="0" w:firstLine="0"/>
        <w:jc w:val="left"/>
        <w:textAlignment w:val="baseline"/>
        <w:rPr>
          <w:rFonts w:ascii="Calibri" w:hAnsi="Calibri" w:eastAsia="宋体" w:cs="Times New Roman"/>
          <w:kern w:val="0"/>
          <w:sz w:val="28"/>
          <w:szCs w:val="28"/>
          <w:lang w:val="en-US" w:eastAsia="zh-CN" w:bidi="ar"/>
        </w:rPr>
      </w:pPr>
      <w:r>
        <w:rPr>
          <w:rFonts w:hint="eastAsia"/>
          <w:szCs w:val="21"/>
          <w:lang w:val="en-US" w:eastAsia="zh-CN"/>
        </w:rPr>
        <w:t>5.2 如供应商提供的产品属于本国产品</w:t>
      </w:r>
      <w:r>
        <w:rPr>
          <w:rFonts w:hint="eastAsia"/>
          <w:szCs w:val="21"/>
        </w:rPr>
        <w:t>，按以下格式提供</w:t>
      </w:r>
      <w:r>
        <w:rPr>
          <w:rFonts w:hint="eastAsia"/>
          <w:szCs w:val="21"/>
          <w:lang w:val="en-US" w:eastAsia="zh-CN"/>
        </w:rPr>
        <w:t>关于符合本国产品标准的声明函</w:t>
      </w:r>
      <w:r>
        <w:rPr>
          <w:rFonts w:hint="eastAsia"/>
          <w:szCs w:val="21"/>
        </w:rPr>
        <w:t>。</w:t>
      </w:r>
    </w:p>
    <w:p w14:paraId="66FF0805">
      <w:pPr>
        <w:spacing w:line="360" w:lineRule="auto"/>
        <w:ind w:firstLine="3584" w:firstLineChars="1700"/>
        <w:rPr>
          <w:rFonts w:hint="eastAsia"/>
          <w:b/>
          <w:szCs w:val="21"/>
          <w:lang w:val="en-US" w:eastAsia="zh-CN"/>
        </w:rPr>
      </w:pPr>
    </w:p>
    <w:p w14:paraId="594A8CD8">
      <w:pPr>
        <w:spacing w:line="360" w:lineRule="auto"/>
        <w:ind w:firstLine="3584" w:firstLineChars="1700"/>
        <w:rPr>
          <w:rFonts w:hint="eastAsia"/>
          <w:b/>
          <w:szCs w:val="21"/>
          <w:lang w:val="en-US" w:eastAsia="zh-CN"/>
        </w:rPr>
      </w:pPr>
      <w:r>
        <w:rPr>
          <w:rFonts w:hint="eastAsia"/>
          <w:b/>
          <w:szCs w:val="21"/>
          <w:lang w:val="en-US" w:eastAsia="zh-CN"/>
        </w:rPr>
        <w:t>关于符合本国产品标准的声明函</w:t>
      </w:r>
    </w:p>
    <w:p w14:paraId="5F0BFF7F">
      <w:pPr>
        <w:spacing w:line="360" w:lineRule="auto"/>
        <w:ind w:firstLine="3584" w:firstLineChars="1700"/>
        <w:rPr>
          <w:rFonts w:hint="eastAsia"/>
          <w:b/>
          <w:szCs w:val="21"/>
          <w:lang w:val="en-US" w:eastAsia="zh-CN"/>
        </w:rPr>
      </w:pPr>
    </w:p>
    <w:p w14:paraId="3037E81F">
      <w:pPr>
        <w:spacing w:line="360" w:lineRule="auto"/>
        <w:ind w:firstLine="420" w:firstLineChars="200"/>
        <w:rPr>
          <w:rFonts w:hint="eastAsia" w:ascii="Times New Roman" w:hAnsi="Times New Roman" w:eastAsia="宋体" w:cs="Times New Roman"/>
          <w:kern w:val="2"/>
          <w:sz w:val="21"/>
          <w:szCs w:val="21"/>
          <w:lang w:val="en-US" w:eastAsia="zh-CN" w:bidi="ar-SA"/>
        </w:rPr>
      </w:pPr>
      <w:r>
        <w:rPr>
          <w:rFonts w:hint="eastAsia" w:ascii="Times New Roman" w:hAnsi="Times New Roman" w:eastAsia="宋体" w:cs="Times New Roman"/>
          <w:kern w:val="2"/>
          <w:sz w:val="21"/>
          <w:szCs w:val="21"/>
          <w:lang w:val="en-US" w:eastAsia="zh-CN" w:bidi="ar-SA"/>
        </w:rPr>
        <w:t>本公司（单位）郑重声明，根据《国务院办公厅关于在政府采购中实施本国产品标准及相关政策的通知》（国办发〔2025〕34号）的规定，本公司（单位）提供的以下产品属于本国产品。具体情况如下：</w:t>
      </w:r>
    </w:p>
    <w:p w14:paraId="0F629E88">
      <w:pPr>
        <w:spacing w:line="360" w:lineRule="auto"/>
        <w:ind w:firstLine="420" w:firstLineChars="200"/>
        <w:rPr>
          <w:rFonts w:hint="eastAsia" w:ascii="Times New Roman" w:hAnsi="Times New Roman" w:eastAsia="宋体" w:cs="Times New Roman"/>
          <w:kern w:val="2"/>
          <w:sz w:val="21"/>
          <w:szCs w:val="21"/>
          <w:lang w:val="en-US" w:eastAsia="zh-CN" w:bidi="ar-SA"/>
        </w:rPr>
      </w:pPr>
      <w:r>
        <w:rPr>
          <w:rFonts w:hint="eastAsia" w:ascii="Times New Roman" w:hAnsi="Times New Roman" w:eastAsia="宋体" w:cs="Times New Roman"/>
          <w:kern w:val="2"/>
          <w:sz w:val="21"/>
          <w:szCs w:val="21"/>
          <w:lang w:val="en-US" w:eastAsia="zh-CN" w:bidi="ar-SA"/>
        </w:rPr>
        <w:t>1.（产品名称1）1，生产厂为（厂名）2，厂址为（生产厂址）。（产品名称1）的中国境内生产的组件成本占比≥（规定比例）3。（产品名称1）的（关键组件）4在中国境内生产。（产品名称1）的（关键工序）5在中国境内完成。</w:t>
      </w:r>
    </w:p>
    <w:p w14:paraId="3BB489E6">
      <w:pPr>
        <w:spacing w:line="360" w:lineRule="auto"/>
        <w:ind w:firstLine="420" w:firstLineChars="200"/>
        <w:rPr>
          <w:rFonts w:hint="eastAsia" w:ascii="Times New Roman" w:hAnsi="Times New Roman" w:eastAsia="宋体" w:cs="Times New Roman"/>
          <w:kern w:val="2"/>
          <w:sz w:val="21"/>
          <w:szCs w:val="21"/>
          <w:lang w:val="en-US" w:eastAsia="zh-CN" w:bidi="ar-SA"/>
        </w:rPr>
      </w:pPr>
      <w:r>
        <w:rPr>
          <w:rFonts w:hint="eastAsia" w:ascii="Times New Roman" w:hAnsi="Times New Roman" w:eastAsia="宋体" w:cs="Times New Roman"/>
          <w:kern w:val="2"/>
          <w:sz w:val="21"/>
          <w:szCs w:val="21"/>
          <w:lang w:val="en-US" w:eastAsia="zh-CN" w:bidi="ar-SA"/>
        </w:rPr>
        <w:t>2.（产品名称2），生产厂为（厂名），厂址为（生产厂址）。（产品名称2）的中国境内生产的组件成本占比≥（规定比例）。（产品名称2）的（关键组件）在中国境内生产。（产品名称2）的（关键工序）在中国境内完成。</w:t>
      </w:r>
    </w:p>
    <w:p w14:paraId="5FC29288">
      <w:pPr>
        <w:spacing w:line="360" w:lineRule="auto"/>
        <w:ind w:firstLine="420" w:firstLineChars="200"/>
        <w:rPr>
          <w:rFonts w:hint="eastAsia" w:ascii="Times New Roman" w:hAnsi="Times New Roman" w:eastAsia="宋体" w:cs="Times New Roman"/>
          <w:kern w:val="2"/>
          <w:sz w:val="21"/>
          <w:szCs w:val="21"/>
          <w:lang w:val="en-US" w:eastAsia="zh-CN" w:bidi="ar-SA"/>
        </w:rPr>
      </w:pPr>
      <w:r>
        <w:rPr>
          <w:rFonts w:hint="eastAsia" w:ascii="Times New Roman" w:hAnsi="Times New Roman" w:eastAsia="宋体" w:cs="Times New Roman"/>
          <w:kern w:val="2"/>
          <w:sz w:val="21"/>
          <w:szCs w:val="21"/>
          <w:lang w:val="en-US" w:eastAsia="zh-CN" w:bidi="ar-SA"/>
        </w:rPr>
        <w:t>……</w:t>
      </w:r>
    </w:p>
    <w:p w14:paraId="42B07A80">
      <w:pPr>
        <w:spacing w:line="360" w:lineRule="auto"/>
        <w:ind w:firstLine="420" w:firstLineChars="200"/>
        <w:rPr>
          <w:rFonts w:hint="eastAsia" w:ascii="Times New Roman" w:hAnsi="Times New Roman" w:eastAsia="宋体" w:cs="Times New Roman"/>
          <w:kern w:val="2"/>
          <w:sz w:val="21"/>
          <w:szCs w:val="21"/>
          <w:lang w:val="en-US" w:eastAsia="zh-CN" w:bidi="ar-SA"/>
        </w:rPr>
      </w:pPr>
      <w:r>
        <w:rPr>
          <w:rFonts w:hint="eastAsia" w:ascii="Times New Roman" w:hAnsi="Times New Roman" w:eastAsia="宋体" w:cs="Times New Roman"/>
          <w:kern w:val="2"/>
          <w:sz w:val="21"/>
          <w:szCs w:val="21"/>
          <w:lang w:val="en-US" w:eastAsia="zh-CN" w:bidi="ar-SA"/>
        </w:rPr>
        <w:t>本公司（单位）对上述声明内容的真实性负责。如有虚假，愿承担相应法律责任。</w:t>
      </w:r>
    </w:p>
    <w:p w14:paraId="35C49BAE">
      <w:pPr>
        <w:keepNext w:val="0"/>
        <w:keepLines w:val="0"/>
        <w:widowControl/>
        <w:suppressLineNumbers w:val="0"/>
        <w:pBdr>
          <w:top w:val="none" w:color="auto" w:sz="0" w:space="0"/>
          <w:left w:val="none" w:color="auto" w:sz="0" w:space="0"/>
          <w:bottom w:val="none" w:color="auto" w:sz="0" w:space="0"/>
          <w:right w:val="none" w:color="auto" w:sz="0" w:space="0"/>
        </w:pBdr>
        <w:spacing w:before="30" w:beforeAutospacing="0" w:after="30" w:afterAutospacing="0" w:line="560" w:lineRule="atLeast"/>
        <w:ind w:left="0" w:right="0" w:firstLine="0"/>
        <w:jc w:val="left"/>
        <w:textAlignment w:val="baseline"/>
        <w:rPr>
          <w:rFonts w:hint="eastAsia" w:ascii="Times New Roman" w:hAnsi="Times New Roman" w:eastAsia="宋体" w:cs="Times New Roman"/>
          <w:kern w:val="2"/>
          <w:sz w:val="21"/>
          <w:szCs w:val="21"/>
          <w:lang w:val="en-US" w:eastAsia="zh-CN" w:bidi="ar-SA"/>
        </w:rPr>
      </w:pPr>
      <w:r>
        <w:rPr>
          <w:rFonts w:hint="eastAsia" w:ascii="Times New Roman" w:hAnsi="Times New Roman" w:eastAsia="宋体" w:cs="Times New Roman"/>
          <w:kern w:val="2"/>
          <w:sz w:val="21"/>
          <w:szCs w:val="21"/>
          <w:lang w:val="en-US" w:eastAsia="zh-CN" w:bidi="ar-SA"/>
        </w:rPr>
        <w:t> </w:t>
      </w:r>
    </w:p>
    <w:p w14:paraId="3123647C">
      <w:pPr>
        <w:keepNext w:val="0"/>
        <w:keepLines w:val="0"/>
        <w:widowControl/>
        <w:suppressLineNumbers w:val="0"/>
        <w:pBdr>
          <w:top w:val="none" w:color="auto" w:sz="0" w:space="0"/>
          <w:left w:val="none" w:color="auto" w:sz="0" w:space="0"/>
          <w:bottom w:val="none" w:color="auto" w:sz="0" w:space="0"/>
          <w:right w:val="none" w:color="auto" w:sz="0" w:space="0"/>
        </w:pBdr>
        <w:spacing w:before="30" w:beforeAutospacing="0" w:after="30" w:afterAutospacing="0" w:line="560" w:lineRule="atLeast"/>
        <w:ind w:left="0" w:right="0" w:firstLine="0"/>
        <w:jc w:val="right"/>
        <w:textAlignment w:val="baseline"/>
        <w:rPr>
          <w:rFonts w:hint="eastAsia" w:ascii="Times New Roman" w:hAnsi="Times New Roman" w:eastAsia="宋体" w:cs="Times New Roman"/>
          <w:kern w:val="2"/>
          <w:sz w:val="21"/>
          <w:szCs w:val="21"/>
          <w:lang w:val="en-US" w:eastAsia="zh-CN" w:bidi="ar-SA"/>
        </w:rPr>
      </w:pPr>
      <w:r>
        <w:rPr>
          <w:rFonts w:hint="eastAsia" w:ascii="Times New Roman" w:hAnsi="Times New Roman" w:eastAsia="宋体" w:cs="Times New Roman"/>
          <w:kern w:val="2"/>
          <w:sz w:val="21"/>
          <w:szCs w:val="21"/>
          <w:lang w:val="en-US" w:eastAsia="zh-CN" w:bidi="ar-SA"/>
        </w:rPr>
        <w:t>供应商名称（盖章）：　        </w:t>
      </w:r>
    </w:p>
    <w:p w14:paraId="50B234DB">
      <w:pPr>
        <w:keepNext w:val="0"/>
        <w:keepLines w:val="0"/>
        <w:widowControl/>
        <w:suppressLineNumbers w:val="0"/>
        <w:pBdr>
          <w:top w:val="none" w:color="auto" w:sz="0" w:space="0"/>
          <w:left w:val="none" w:color="auto" w:sz="0" w:space="0"/>
          <w:bottom w:val="none" w:color="auto" w:sz="0" w:space="0"/>
          <w:right w:val="none" w:color="auto" w:sz="0" w:space="0"/>
        </w:pBdr>
        <w:spacing w:before="30" w:beforeAutospacing="0" w:after="30" w:afterAutospacing="0" w:line="560" w:lineRule="atLeast"/>
        <w:ind w:left="0" w:right="0" w:firstLine="0"/>
        <w:jc w:val="right"/>
        <w:textAlignment w:val="baseline"/>
        <w:rPr>
          <w:rFonts w:ascii="Calibri" w:hAnsi="Calibri" w:eastAsia="宋体" w:cs="Times New Roman"/>
          <w:kern w:val="0"/>
          <w:sz w:val="28"/>
          <w:szCs w:val="28"/>
          <w:lang w:val="en-US" w:eastAsia="zh-CN" w:bidi="ar"/>
        </w:rPr>
      </w:pPr>
      <w:r>
        <w:rPr>
          <w:rFonts w:hint="eastAsia" w:ascii="Times New Roman" w:hAnsi="Times New Roman" w:eastAsia="宋体" w:cs="Times New Roman"/>
          <w:kern w:val="2"/>
          <w:sz w:val="21"/>
          <w:szCs w:val="21"/>
          <w:lang w:val="en-US" w:eastAsia="zh-CN" w:bidi="ar-SA"/>
        </w:rPr>
        <w:t>日期：　     年　  月　  日  </w:t>
      </w:r>
      <w:r>
        <w:rPr>
          <w:rFonts w:hint="eastAsia" w:ascii="仿宋" w:hAnsi="仿宋" w:eastAsia="仿宋" w:cs="仿宋"/>
          <w:i w:val="0"/>
          <w:iCs w:val="0"/>
          <w:caps w:val="0"/>
          <w:color w:val="000000"/>
          <w:spacing w:val="0"/>
          <w:kern w:val="0"/>
          <w:sz w:val="28"/>
          <w:szCs w:val="28"/>
          <w:u w:val="none"/>
          <w:shd w:val="clear" w:fill="FFFFFF"/>
          <w:vertAlign w:val="baseline"/>
          <w:lang w:val="en-US" w:eastAsia="zh-CN" w:bidi="ar"/>
        </w:rPr>
        <w:t>       </w:t>
      </w:r>
    </w:p>
    <w:p w14:paraId="5B638928">
      <w:pPr>
        <w:keepNext w:val="0"/>
        <w:keepLines w:val="0"/>
        <w:widowControl/>
        <w:suppressLineNumbers w:val="0"/>
        <w:pBdr>
          <w:top w:val="none" w:color="auto" w:sz="0" w:space="0"/>
          <w:left w:val="none" w:color="auto" w:sz="0" w:space="0"/>
          <w:bottom w:val="none" w:color="auto" w:sz="0" w:space="0"/>
          <w:right w:val="none" w:color="auto" w:sz="0" w:space="0"/>
        </w:pBdr>
        <w:spacing w:before="30" w:beforeAutospacing="0" w:after="30" w:afterAutospacing="0" w:line="560" w:lineRule="atLeast"/>
        <w:ind w:left="0" w:right="0" w:firstLine="0"/>
        <w:jc w:val="left"/>
        <w:textAlignment w:val="baseline"/>
        <w:rPr>
          <w:rFonts w:ascii="Calibri" w:hAnsi="Calibri" w:eastAsia="宋体" w:cs="Times New Roman"/>
          <w:kern w:val="0"/>
          <w:sz w:val="28"/>
          <w:szCs w:val="28"/>
          <w:lang w:val="en-US" w:eastAsia="zh-CN" w:bidi="ar"/>
        </w:rPr>
      </w:pPr>
      <w:r>
        <w:rPr>
          <w:rFonts w:hint="eastAsia" w:ascii="仿宋" w:hAnsi="仿宋" w:eastAsia="仿宋" w:cs="仿宋"/>
          <w:i w:val="0"/>
          <w:iCs w:val="0"/>
          <w:caps w:val="0"/>
          <w:color w:val="000000"/>
          <w:spacing w:val="0"/>
          <w:kern w:val="0"/>
          <w:sz w:val="28"/>
          <w:szCs w:val="28"/>
          <w:u w:val="none"/>
          <w:shd w:val="clear" w:fill="FFFFFF"/>
          <w:vertAlign w:val="baseline"/>
          <w:lang w:val="en-US" w:eastAsia="zh-CN" w:bidi="ar"/>
        </w:rPr>
        <w:t>__________________</w:t>
      </w:r>
    </w:p>
    <w:p w14:paraId="40052B96">
      <w:pPr>
        <w:keepNext w:val="0"/>
        <w:keepLines w:val="0"/>
        <w:widowControl/>
        <w:suppressLineNumbers w:val="0"/>
        <w:pBdr>
          <w:top w:val="none" w:color="auto" w:sz="0" w:space="0"/>
          <w:left w:val="none" w:color="auto" w:sz="0" w:space="0"/>
          <w:bottom w:val="none" w:color="auto" w:sz="0" w:space="0"/>
          <w:right w:val="none" w:color="auto" w:sz="0" w:space="0"/>
        </w:pBdr>
        <w:spacing w:before="30" w:beforeAutospacing="0" w:after="30" w:afterAutospacing="0" w:line="560" w:lineRule="atLeast"/>
        <w:ind w:left="0" w:right="0" w:firstLine="420"/>
        <w:jc w:val="left"/>
        <w:textAlignment w:val="baseline"/>
        <w:rPr>
          <w:rFonts w:hint="eastAsia" w:ascii="Times New Roman" w:hAnsi="Times New Roman" w:eastAsia="宋体" w:cs="Times New Roman"/>
          <w:kern w:val="2"/>
          <w:sz w:val="21"/>
          <w:szCs w:val="21"/>
          <w:lang w:val="en-US" w:eastAsia="zh-CN" w:bidi="ar-SA"/>
        </w:rPr>
      </w:pPr>
      <w:r>
        <w:rPr>
          <w:rFonts w:hint="eastAsia" w:ascii="Times New Roman" w:hAnsi="Times New Roman" w:eastAsia="宋体" w:cs="Times New Roman"/>
          <w:kern w:val="2"/>
          <w:sz w:val="21"/>
          <w:szCs w:val="21"/>
          <w:lang w:val="en-US" w:eastAsia="zh-CN" w:bidi="ar-SA"/>
        </w:rPr>
        <w:t>1.产品如有型号，请在“产品名称”栏一并填写。</w:t>
      </w:r>
    </w:p>
    <w:p w14:paraId="4D2C0694">
      <w:pPr>
        <w:keepNext w:val="0"/>
        <w:keepLines w:val="0"/>
        <w:widowControl/>
        <w:suppressLineNumbers w:val="0"/>
        <w:pBdr>
          <w:top w:val="none" w:color="auto" w:sz="0" w:space="0"/>
          <w:left w:val="none" w:color="auto" w:sz="0" w:space="0"/>
          <w:bottom w:val="none" w:color="auto" w:sz="0" w:space="0"/>
          <w:right w:val="none" w:color="auto" w:sz="0" w:space="0"/>
        </w:pBdr>
        <w:spacing w:before="30" w:beforeAutospacing="0" w:after="30" w:afterAutospacing="0" w:line="560" w:lineRule="atLeast"/>
        <w:ind w:left="0" w:right="0" w:firstLine="420"/>
        <w:jc w:val="left"/>
        <w:textAlignment w:val="baseline"/>
        <w:rPr>
          <w:rFonts w:hint="eastAsia" w:ascii="Times New Roman" w:hAnsi="Times New Roman" w:eastAsia="宋体" w:cs="Times New Roman"/>
          <w:kern w:val="2"/>
          <w:sz w:val="21"/>
          <w:szCs w:val="21"/>
          <w:lang w:val="en-US" w:eastAsia="zh-CN" w:bidi="ar-SA"/>
        </w:rPr>
      </w:pPr>
      <w:r>
        <w:rPr>
          <w:rFonts w:hint="eastAsia" w:ascii="Times New Roman" w:hAnsi="Times New Roman" w:eastAsia="宋体" w:cs="Times New Roman"/>
          <w:kern w:val="2"/>
          <w:sz w:val="21"/>
          <w:szCs w:val="21"/>
          <w:lang w:val="en-US" w:eastAsia="zh-CN" w:bidi="ar-SA"/>
        </w:rPr>
        <w:t>2.生产厂名与厂址应与生产厂营业执照载明的相关信息保持一致。</w:t>
      </w:r>
    </w:p>
    <w:p w14:paraId="57F58A09">
      <w:pPr>
        <w:keepNext w:val="0"/>
        <w:keepLines w:val="0"/>
        <w:widowControl/>
        <w:suppressLineNumbers w:val="0"/>
        <w:pBdr>
          <w:top w:val="none" w:color="auto" w:sz="0" w:space="0"/>
          <w:left w:val="none" w:color="auto" w:sz="0" w:space="0"/>
          <w:bottom w:val="none" w:color="auto" w:sz="0" w:space="0"/>
          <w:right w:val="none" w:color="auto" w:sz="0" w:space="0"/>
        </w:pBdr>
        <w:spacing w:before="30" w:beforeAutospacing="0" w:after="30" w:afterAutospacing="0" w:line="560" w:lineRule="atLeast"/>
        <w:ind w:left="0" w:right="0" w:firstLine="420"/>
        <w:jc w:val="left"/>
        <w:textAlignment w:val="baseline"/>
        <w:rPr>
          <w:rFonts w:hint="eastAsia" w:ascii="Times New Roman" w:hAnsi="Times New Roman" w:eastAsia="宋体" w:cs="Times New Roman"/>
          <w:kern w:val="2"/>
          <w:sz w:val="21"/>
          <w:szCs w:val="21"/>
          <w:lang w:val="en-US" w:eastAsia="zh-CN" w:bidi="ar-SA"/>
        </w:rPr>
      </w:pPr>
      <w:r>
        <w:rPr>
          <w:rFonts w:hint="eastAsia" w:ascii="Times New Roman" w:hAnsi="Times New Roman" w:eastAsia="宋体" w:cs="Times New Roman"/>
          <w:kern w:val="2"/>
          <w:sz w:val="21"/>
          <w:szCs w:val="21"/>
          <w:lang w:val="en-US" w:eastAsia="zh-CN" w:bidi="ar-SA"/>
        </w:rPr>
        <w:t>3.该产品的中国境内生产的组件成本占比相关要求实施前，“规定比例”栏可不填，下同。</w:t>
      </w:r>
    </w:p>
    <w:p w14:paraId="5AEB85C0">
      <w:pPr>
        <w:keepNext w:val="0"/>
        <w:keepLines w:val="0"/>
        <w:widowControl/>
        <w:suppressLineNumbers w:val="0"/>
        <w:pBdr>
          <w:top w:val="none" w:color="auto" w:sz="0" w:space="0"/>
          <w:left w:val="none" w:color="auto" w:sz="0" w:space="0"/>
          <w:bottom w:val="none" w:color="auto" w:sz="0" w:space="0"/>
          <w:right w:val="none" w:color="auto" w:sz="0" w:space="0"/>
        </w:pBdr>
        <w:spacing w:before="30" w:beforeAutospacing="0" w:after="30" w:afterAutospacing="0" w:line="560" w:lineRule="atLeast"/>
        <w:ind w:left="0" w:right="0" w:firstLine="420"/>
        <w:jc w:val="left"/>
        <w:textAlignment w:val="baseline"/>
        <w:rPr>
          <w:rFonts w:hint="eastAsia" w:ascii="Times New Roman" w:hAnsi="Times New Roman" w:eastAsia="宋体" w:cs="Times New Roman"/>
          <w:kern w:val="2"/>
          <w:sz w:val="21"/>
          <w:szCs w:val="21"/>
          <w:lang w:val="en-US" w:eastAsia="zh-CN" w:bidi="ar-SA"/>
        </w:rPr>
      </w:pPr>
      <w:r>
        <w:rPr>
          <w:rFonts w:hint="eastAsia" w:ascii="Times New Roman" w:hAnsi="Times New Roman" w:eastAsia="宋体" w:cs="Times New Roman"/>
          <w:kern w:val="2"/>
          <w:sz w:val="21"/>
          <w:szCs w:val="21"/>
          <w:lang w:val="en-US" w:eastAsia="zh-CN" w:bidi="ar-SA"/>
        </w:rPr>
        <w:t>4.该产品的关键组件要求实施前，“关键组件”栏可不填，下同。</w:t>
      </w:r>
    </w:p>
    <w:p w14:paraId="1DBC61FE">
      <w:pPr>
        <w:keepNext w:val="0"/>
        <w:keepLines w:val="0"/>
        <w:widowControl/>
        <w:suppressLineNumbers w:val="0"/>
        <w:pBdr>
          <w:top w:val="none" w:color="auto" w:sz="0" w:space="0"/>
          <w:left w:val="none" w:color="auto" w:sz="0" w:space="0"/>
          <w:bottom w:val="none" w:color="auto" w:sz="0" w:space="0"/>
          <w:right w:val="none" w:color="auto" w:sz="0" w:space="0"/>
        </w:pBdr>
        <w:spacing w:before="30" w:beforeAutospacing="0" w:after="30" w:afterAutospacing="0" w:line="560" w:lineRule="atLeast"/>
        <w:ind w:left="0" w:right="0" w:firstLine="420"/>
        <w:jc w:val="left"/>
        <w:textAlignment w:val="baseline"/>
        <w:rPr>
          <w:rFonts w:ascii="Calibri" w:hAnsi="Calibri" w:eastAsia="宋体" w:cs="Times New Roman"/>
          <w:kern w:val="0"/>
          <w:sz w:val="21"/>
          <w:szCs w:val="21"/>
          <w:lang w:val="en-US" w:eastAsia="zh-CN" w:bidi="ar"/>
        </w:rPr>
      </w:pPr>
      <w:r>
        <w:rPr>
          <w:rFonts w:hint="eastAsia" w:ascii="Times New Roman" w:hAnsi="Times New Roman" w:eastAsia="宋体" w:cs="Times New Roman"/>
          <w:kern w:val="2"/>
          <w:sz w:val="21"/>
          <w:szCs w:val="21"/>
          <w:lang w:val="en-US" w:eastAsia="zh-CN" w:bidi="ar-SA"/>
        </w:rPr>
        <w:t>5.该产品的关键工序要求实施前，“关键工序”栏可不填，下同</w:t>
      </w:r>
      <w:r>
        <w:rPr>
          <w:rFonts w:hint="eastAsia" w:ascii="仿宋" w:hAnsi="仿宋" w:eastAsia="仿宋" w:cs="仿宋"/>
          <w:i w:val="0"/>
          <w:iCs w:val="0"/>
          <w:caps w:val="0"/>
          <w:color w:val="000000"/>
          <w:spacing w:val="0"/>
          <w:kern w:val="0"/>
          <w:sz w:val="21"/>
          <w:szCs w:val="21"/>
          <w:u w:val="none"/>
          <w:shd w:val="clear" w:fill="FFFFFF"/>
          <w:vertAlign w:val="baseline"/>
          <w:lang w:val="en-US" w:eastAsia="zh-CN" w:bidi="ar"/>
        </w:rPr>
        <w:t>。</w:t>
      </w:r>
    </w:p>
    <w:p w14:paraId="7419FF0C">
      <w:pPr>
        <w:snapToGrid w:val="0"/>
        <w:spacing w:before="50" w:after="120" w:afterLines="50"/>
        <w:jc w:val="left"/>
        <w:rPr>
          <w:szCs w:val="21"/>
        </w:rPr>
        <w:sectPr>
          <w:pgSz w:w="11906" w:h="16838"/>
          <w:pgMar w:top="1418" w:right="1133" w:bottom="1246" w:left="1418" w:header="851" w:footer="992" w:gutter="0"/>
          <w:pgBorders>
            <w:top w:val="none" w:sz="0" w:space="0"/>
            <w:left w:val="none" w:sz="0" w:space="0"/>
            <w:bottom w:val="none" w:sz="0" w:space="0"/>
            <w:right w:val="none" w:sz="0" w:space="0"/>
          </w:pgBorders>
          <w:pgNumType w:fmt="decimal"/>
          <w:cols w:space="720" w:num="1"/>
          <w:docGrid w:linePitch="312" w:charSpace="0"/>
        </w:sectPr>
      </w:pPr>
    </w:p>
    <w:p w14:paraId="7419EDF2">
      <w:pPr>
        <w:pStyle w:val="19"/>
        <w:rPr>
          <w:rFonts w:hint="default" w:ascii="Times New Roman" w:hAnsi="Times New Roman" w:eastAsia="宋体" w:cs="Times New Roman"/>
          <w:kern w:val="2"/>
          <w:sz w:val="21"/>
          <w:szCs w:val="21"/>
          <w:lang w:val="en-US" w:eastAsia="zh-CN" w:bidi="ar-SA"/>
        </w:rPr>
      </w:pPr>
      <w:r>
        <w:rPr>
          <w:rFonts w:hint="eastAsia" w:ascii="Times New Roman" w:hAnsi="Times New Roman" w:eastAsia="宋体" w:cs="Times New Roman"/>
          <w:kern w:val="2"/>
          <w:sz w:val="21"/>
          <w:szCs w:val="21"/>
          <w:lang w:val="en-US" w:eastAsia="zh-CN" w:bidi="ar-SA"/>
        </w:rPr>
        <w:t>5.</w:t>
      </w:r>
      <w:r>
        <w:rPr>
          <w:rFonts w:hint="eastAsia" w:cs="Times New Roman"/>
          <w:kern w:val="2"/>
          <w:sz w:val="21"/>
          <w:szCs w:val="21"/>
          <w:lang w:val="en-US" w:eastAsia="zh-CN" w:bidi="ar-SA"/>
        </w:rPr>
        <w:t>3</w:t>
      </w:r>
      <w:r>
        <w:rPr>
          <w:rFonts w:hint="eastAsia" w:ascii="Times New Roman" w:hAnsi="Times New Roman" w:eastAsia="宋体" w:cs="Times New Roman"/>
          <w:kern w:val="2"/>
          <w:sz w:val="21"/>
          <w:szCs w:val="21"/>
          <w:lang w:val="en-US" w:eastAsia="zh-CN" w:bidi="ar-SA"/>
        </w:rPr>
        <w:t>关于符合本国产品标准</w:t>
      </w:r>
      <w:r>
        <w:rPr>
          <w:rFonts w:hint="eastAsia" w:cs="Times New Roman"/>
          <w:kern w:val="2"/>
          <w:sz w:val="21"/>
          <w:szCs w:val="21"/>
          <w:lang w:val="en-US" w:eastAsia="zh-CN" w:bidi="ar-SA"/>
        </w:rPr>
        <w:t>的</w:t>
      </w:r>
      <w:r>
        <w:rPr>
          <w:rFonts w:hint="eastAsia" w:ascii="Times New Roman" w:hAnsi="Times New Roman" w:eastAsia="宋体" w:cs="Times New Roman"/>
          <w:kern w:val="2"/>
          <w:sz w:val="21"/>
          <w:szCs w:val="21"/>
          <w:lang w:val="en-US" w:eastAsia="zh-CN" w:bidi="ar-SA"/>
        </w:rPr>
        <w:t>成本占比承诺函</w:t>
      </w:r>
      <w:r>
        <w:rPr>
          <w:rFonts w:hint="eastAsia" w:cs="Times New Roman"/>
          <w:kern w:val="2"/>
          <w:sz w:val="21"/>
          <w:szCs w:val="21"/>
          <w:lang w:val="en-US" w:eastAsia="zh-CN" w:bidi="ar-SA"/>
        </w:rPr>
        <w:t>（单一产品采购不填写此函，多产品采购项目或采购包如供应商所有产品均为本国产品且填写《关于符合本国产品标准的声明函》可不填写此函。格式内容仅供参考）</w:t>
      </w:r>
    </w:p>
    <w:p w14:paraId="021FE4D1">
      <w:pPr>
        <w:pStyle w:val="19"/>
        <w:rPr>
          <w:rFonts w:hint="eastAsia"/>
          <w:lang w:val="en-US" w:eastAsia="zh-CN"/>
        </w:rPr>
      </w:pPr>
    </w:p>
    <w:p w14:paraId="1BF86DF3">
      <w:pPr>
        <w:pStyle w:val="19"/>
        <w:jc w:val="center"/>
        <w:rPr>
          <w:rFonts w:hint="default" w:ascii="Times New Roman" w:hAnsi="Times New Roman" w:eastAsia="宋体" w:cs="Times New Roman"/>
          <w:b/>
          <w:kern w:val="2"/>
          <w:sz w:val="21"/>
          <w:szCs w:val="21"/>
          <w:lang w:val="en-US" w:eastAsia="zh-CN" w:bidi="ar-SA"/>
        </w:rPr>
      </w:pPr>
      <w:r>
        <w:rPr>
          <w:rFonts w:hint="default" w:ascii="Times New Roman" w:hAnsi="Times New Roman" w:eastAsia="宋体" w:cs="Times New Roman"/>
          <w:b/>
          <w:kern w:val="2"/>
          <w:sz w:val="21"/>
          <w:szCs w:val="21"/>
          <w:lang w:val="en-US" w:eastAsia="zh-CN" w:bidi="ar-SA"/>
        </w:rPr>
        <w:t>关于符合本国产品标准</w:t>
      </w:r>
      <w:r>
        <w:rPr>
          <w:rFonts w:hint="eastAsia" w:cs="Times New Roman"/>
          <w:b/>
          <w:kern w:val="2"/>
          <w:sz w:val="21"/>
          <w:szCs w:val="21"/>
          <w:lang w:val="en-US" w:eastAsia="zh-CN" w:bidi="ar-SA"/>
        </w:rPr>
        <w:t>的</w:t>
      </w:r>
      <w:r>
        <w:rPr>
          <w:rFonts w:hint="default" w:ascii="Times New Roman" w:hAnsi="Times New Roman" w:eastAsia="宋体" w:cs="Times New Roman"/>
          <w:b/>
          <w:kern w:val="2"/>
          <w:sz w:val="21"/>
          <w:szCs w:val="21"/>
          <w:lang w:val="en-US" w:eastAsia="zh-CN" w:bidi="ar-SA"/>
        </w:rPr>
        <w:t>成本占比承诺函</w:t>
      </w:r>
    </w:p>
    <w:p w14:paraId="2F9583F3">
      <w:pPr>
        <w:pStyle w:val="19"/>
        <w:rPr>
          <w:rFonts w:hint="default"/>
          <w:lang w:val="en-US" w:eastAsia="zh-CN"/>
        </w:rPr>
      </w:pPr>
    </w:p>
    <w:p w14:paraId="1B02CA98">
      <w:pPr>
        <w:pStyle w:val="19"/>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kern w:val="2"/>
          <w:sz w:val="21"/>
          <w:szCs w:val="21"/>
          <w:lang w:val="en-US" w:eastAsia="zh-CN" w:bidi="ar-SA"/>
        </w:rPr>
        <w:t>致：[采购人/采购代理机构名称]</w:t>
      </w:r>
    </w:p>
    <w:p w14:paraId="57CC7D7D">
      <w:pPr>
        <w:pStyle w:val="19"/>
        <w:rPr>
          <w:rFonts w:hint="default" w:ascii="Times New Roman" w:hAnsi="Times New Roman" w:eastAsia="宋体" w:cs="Times New Roman"/>
          <w:kern w:val="2"/>
          <w:sz w:val="21"/>
          <w:szCs w:val="21"/>
          <w:lang w:val="en-US" w:eastAsia="zh-CN" w:bidi="ar-SA"/>
        </w:rPr>
      </w:pPr>
    </w:p>
    <w:p w14:paraId="586402C1">
      <w:pPr>
        <w:pStyle w:val="19"/>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kern w:val="2"/>
          <w:sz w:val="21"/>
          <w:szCs w:val="21"/>
          <w:lang w:val="en-US" w:eastAsia="zh-CN" w:bidi="ar-SA"/>
        </w:rPr>
        <w:t>本单位就参与[项目名称、编号]项目，郑重承诺如下：</w:t>
      </w:r>
    </w:p>
    <w:p w14:paraId="4318DAA5">
      <w:pPr>
        <w:pStyle w:val="19"/>
        <w:rPr>
          <w:rFonts w:hint="default" w:ascii="Times New Roman" w:hAnsi="Times New Roman" w:eastAsia="宋体" w:cs="Times New Roman"/>
          <w:kern w:val="2"/>
          <w:sz w:val="21"/>
          <w:szCs w:val="21"/>
          <w:lang w:val="en-US" w:eastAsia="zh-CN" w:bidi="ar-SA"/>
        </w:rPr>
      </w:pPr>
    </w:p>
    <w:p w14:paraId="039F8D0B">
      <w:pPr>
        <w:pStyle w:val="19"/>
        <w:ind w:firstLine="420" w:firstLineChars="200"/>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kern w:val="2"/>
          <w:sz w:val="21"/>
          <w:szCs w:val="21"/>
          <w:lang w:val="en-US" w:eastAsia="zh-CN" w:bidi="ar-SA"/>
        </w:rPr>
        <w:t>本单位为该项目（或采购包）提供的符合本国产品标准的产品成本之和，占所提供全部产品成本之和的比例达到80%以上。本公司（单位）对上述承诺内容的真实性负责。如有虚假，愿承担相应法律责任。</w:t>
      </w:r>
    </w:p>
    <w:p w14:paraId="3B704340">
      <w:pPr>
        <w:pStyle w:val="19"/>
        <w:rPr>
          <w:rFonts w:hint="default" w:ascii="Times New Roman" w:hAnsi="Times New Roman" w:eastAsia="宋体" w:cs="Times New Roman"/>
          <w:kern w:val="2"/>
          <w:sz w:val="21"/>
          <w:szCs w:val="21"/>
          <w:lang w:val="en-US" w:eastAsia="zh-CN" w:bidi="ar-SA"/>
        </w:rPr>
      </w:pPr>
    </w:p>
    <w:p w14:paraId="58DC5B11">
      <w:pPr>
        <w:pStyle w:val="19"/>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kern w:val="2"/>
          <w:sz w:val="21"/>
          <w:szCs w:val="21"/>
          <w:lang w:val="en-US" w:eastAsia="zh-CN" w:bidi="ar-SA"/>
        </w:rPr>
        <w:t xml:space="preserve"> </w:t>
      </w:r>
    </w:p>
    <w:p w14:paraId="1D09A427">
      <w:pPr>
        <w:pStyle w:val="19"/>
        <w:rPr>
          <w:rFonts w:hint="default" w:ascii="Times New Roman" w:hAnsi="Times New Roman" w:eastAsia="宋体" w:cs="Times New Roman"/>
          <w:kern w:val="2"/>
          <w:sz w:val="21"/>
          <w:szCs w:val="21"/>
          <w:lang w:val="en-US" w:eastAsia="zh-CN" w:bidi="ar-SA"/>
        </w:rPr>
      </w:pPr>
    </w:p>
    <w:p w14:paraId="61925803">
      <w:pPr>
        <w:pStyle w:val="19"/>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kern w:val="2"/>
          <w:sz w:val="21"/>
          <w:szCs w:val="21"/>
          <w:lang w:val="en-US" w:eastAsia="zh-CN" w:bidi="ar-SA"/>
        </w:rPr>
        <w:t xml:space="preserve"> </w:t>
      </w:r>
    </w:p>
    <w:p w14:paraId="67B92C14">
      <w:pPr>
        <w:pStyle w:val="19"/>
        <w:rPr>
          <w:rFonts w:hint="default" w:ascii="Times New Roman" w:hAnsi="Times New Roman" w:eastAsia="宋体" w:cs="Times New Roman"/>
          <w:kern w:val="2"/>
          <w:sz w:val="21"/>
          <w:szCs w:val="21"/>
          <w:lang w:val="en-US" w:eastAsia="zh-CN" w:bidi="ar-SA"/>
        </w:rPr>
      </w:pPr>
    </w:p>
    <w:p w14:paraId="770AA358">
      <w:pPr>
        <w:pStyle w:val="19"/>
        <w:jc w:val="right"/>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kern w:val="2"/>
          <w:sz w:val="21"/>
          <w:szCs w:val="21"/>
          <w:lang w:val="en-US" w:eastAsia="zh-CN" w:bidi="ar-SA"/>
        </w:rPr>
        <w:t>供应商名称（盖章）：　        </w:t>
      </w:r>
    </w:p>
    <w:p w14:paraId="7F04756D">
      <w:pPr>
        <w:pStyle w:val="19"/>
        <w:jc w:val="right"/>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kern w:val="2"/>
          <w:sz w:val="21"/>
          <w:szCs w:val="21"/>
          <w:lang w:val="en-US" w:eastAsia="zh-CN" w:bidi="ar-SA"/>
        </w:rPr>
        <w:t>日期：　     年　  月　  日 </w:t>
      </w:r>
    </w:p>
    <w:p w14:paraId="05CE5EE1">
      <w:pPr>
        <w:pStyle w:val="19"/>
        <w:rPr>
          <w:rFonts w:hint="default"/>
          <w:lang w:val="en-US" w:eastAsia="zh-CN"/>
        </w:rPr>
      </w:pPr>
    </w:p>
    <w:p w14:paraId="7E5A29F2">
      <w:pPr>
        <w:pStyle w:val="19"/>
        <w:rPr>
          <w:rFonts w:hint="default"/>
          <w:lang w:val="en-US" w:eastAsia="zh-CN"/>
        </w:rPr>
      </w:pPr>
    </w:p>
    <w:p w14:paraId="25E93B0A">
      <w:pPr>
        <w:pStyle w:val="19"/>
        <w:rPr>
          <w:rFonts w:hint="default"/>
          <w:lang w:val="en-US" w:eastAsia="zh-CN"/>
        </w:rPr>
      </w:pPr>
    </w:p>
    <w:p w14:paraId="485AE7B4">
      <w:pPr>
        <w:pStyle w:val="19"/>
        <w:rPr>
          <w:rFonts w:hint="default"/>
          <w:lang w:val="en-US" w:eastAsia="zh-CN"/>
        </w:rPr>
        <w:sectPr>
          <w:pgSz w:w="11906" w:h="16838"/>
          <w:pgMar w:top="1418" w:right="1133" w:bottom="1246" w:left="1418" w:header="851" w:footer="992" w:gutter="0"/>
          <w:pgBorders>
            <w:top w:val="none" w:sz="0" w:space="0"/>
            <w:left w:val="none" w:sz="0" w:space="0"/>
            <w:bottom w:val="none" w:sz="0" w:space="0"/>
            <w:right w:val="none" w:sz="0" w:space="0"/>
          </w:pgBorders>
          <w:pgNumType w:fmt="decimal"/>
          <w:cols w:space="720" w:num="1"/>
          <w:docGrid w:linePitch="312" w:charSpace="0"/>
        </w:sectPr>
      </w:pPr>
    </w:p>
    <w:p w14:paraId="40DB0B79">
      <w:pPr>
        <w:widowControl/>
        <w:snapToGrid/>
        <w:spacing w:before="0" w:after="0" w:afterLines="-2147483648"/>
        <w:jc w:val="left"/>
        <w:rPr>
          <w:szCs w:val="21"/>
        </w:rPr>
      </w:pPr>
      <w:bookmarkStart w:id="156" w:name="_Hlk93046716"/>
      <w:r>
        <w:rPr>
          <w:rFonts w:hint="eastAsia"/>
          <w:szCs w:val="21"/>
          <w:lang w:val="en-US" w:eastAsia="zh-CN"/>
        </w:rPr>
        <w:t>6</w:t>
      </w:r>
      <w:r>
        <w:rPr>
          <w:szCs w:val="21"/>
        </w:rPr>
        <w:t>.</w:t>
      </w:r>
      <w:r>
        <w:rPr>
          <w:rFonts w:hint="eastAsia"/>
        </w:rPr>
        <w:t xml:space="preserve"> </w:t>
      </w:r>
      <w:r>
        <w:rPr>
          <w:rFonts w:hint="eastAsia"/>
          <w:szCs w:val="21"/>
        </w:rPr>
        <w:t>无串标行为承诺函</w:t>
      </w:r>
    </w:p>
    <w:p w14:paraId="16D0213A">
      <w:pPr>
        <w:snapToGrid w:val="0"/>
        <w:spacing w:before="50" w:after="120" w:afterLines="50"/>
        <w:jc w:val="center"/>
        <w:rPr>
          <w:szCs w:val="21"/>
        </w:rPr>
      </w:pPr>
    </w:p>
    <w:p w14:paraId="72EB1508">
      <w:pPr>
        <w:snapToGrid w:val="0"/>
        <w:spacing w:before="50" w:after="120" w:afterLines="50"/>
        <w:jc w:val="center"/>
        <w:rPr>
          <w:szCs w:val="21"/>
        </w:rPr>
      </w:pPr>
      <w:r>
        <w:rPr>
          <w:rFonts w:hint="eastAsia"/>
          <w:szCs w:val="21"/>
        </w:rPr>
        <w:t>投标人参加本项目无围标串标行为的承诺函</w:t>
      </w:r>
    </w:p>
    <w:p w14:paraId="6AB6B555">
      <w:pPr>
        <w:snapToGrid w:val="0"/>
        <w:spacing w:before="50" w:after="120" w:afterLines="50"/>
        <w:jc w:val="left"/>
        <w:rPr>
          <w:szCs w:val="21"/>
        </w:rPr>
      </w:pPr>
    </w:p>
    <w:p w14:paraId="2E403E2A">
      <w:pPr>
        <w:snapToGrid w:val="0"/>
        <w:spacing w:before="50" w:after="120" w:afterLines="50"/>
        <w:jc w:val="left"/>
        <w:rPr>
          <w:szCs w:val="21"/>
        </w:rPr>
      </w:pPr>
      <w:r>
        <w:rPr>
          <w:rFonts w:hint="eastAsia"/>
          <w:szCs w:val="21"/>
        </w:rPr>
        <w:t>一、我方承诺无下列相互串通投标的情形：</w:t>
      </w:r>
    </w:p>
    <w:p w14:paraId="3D0A0A29">
      <w:pPr>
        <w:snapToGrid w:val="0"/>
        <w:spacing w:before="50" w:after="120" w:afterLines="50"/>
        <w:jc w:val="left"/>
        <w:rPr>
          <w:szCs w:val="21"/>
        </w:rPr>
      </w:pPr>
      <w:r>
        <w:rPr>
          <w:rFonts w:hint="eastAsia"/>
          <w:szCs w:val="21"/>
        </w:rPr>
        <w:t>1.不同投标人的投标文件由同一单位或者个人编制；或者不同投标人报名的IP地址一致的；</w:t>
      </w:r>
    </w:p>
    <w:p w14:paraId="1EFB662E">
      <w:pPr>
        <w:snapToGrid w:val="0"/>
        <w:spacing w:before="50" w:after="120" w:afterLines="50"/>
        <w:jc w:val="left"/>
        <w:rPr>
          <w:szCs w:val="21"/>
        </w:rPr>
      </w:pPr>
      <w:r>
        <w:rPr>
          <w:rFonts w:hint="eastAsia"/>
          <w:szCs w:val="21"/>
        </w:rPr>
        <w:t>2.不同投标人委托同一单位或者个人办理投标事宜；</w:t>
      </w:r>
    </w:p>
    <w:p w14:paraId="2ED4696B">
      <w:pPr>
        <w:snapToGrid w:val="0"/>
        <w:spacing w:before="50" w:after="120" w:afterLines="50"/>
        <w:jc w:val="left"/>
        <w:rPr>
          <w:szCs w:val="21"/>
        </w:rPr>
      </w:pPr>
      <w:r>
        <w:rPr>
          <w:rFonts w:hint="eastAsia"/>
          <w:szCs w:val="21"/>
        </w:rPr>
        <w:t>3.不同的投标人的投标文件载明的项目管理员为同一个人；</w:t>
      </w:r>
    </w:p>
    <w:p w14:paraId="610B733F">
      <w:pPr>
        <w:snapToGrid w:val="0"/>
        <w:spacing w:before="50" w:after="120" w:afterLines="50"/>
        <w:jc w:val="left"/>
        <w:rPr>
          <w:szCs w:val="21"/>
        </w:rPr>
      </w:pPr>
      <w:r>
        <w:rPr>
          <w:rFonts w:hint="eastAsia"/>
          <w:szCs w:val="21"/>
        </w:rPr>
        <w:t>4.不同投标人的投标文件异常一致或者投标报价呈规律性差异；</w:t>
      </w:r>
    </w:p>
    <w:p w14:paraId="1F1D9918">
      <w:pPr>
        <w:snapToGrid w:val="0"/>
        <w:spacing w:before="50" w:after="120" w:afterLines="50"/>
        <w:jc w:val="left"/>
        <w:rPr>
          <w:szCs w:val="21"/>
        </w:rPr>
      </w:pPr>
      <w:r>
        <w:rPr>
          <w:rFonts w:hint="eastAsia"/>
          <w:szCs w:val="21"/>
        </w:rPr>
        <w:t>5.不同投标人的投标文件相互混装；</w:t>
      </w:r>
    </w:p>
    <w:p w14:paraId="4FC2B82E">
      <w:pPr>
        <w:snapToGrid w:val="0"/>
        <w:spacing w:before="50" w:after="120" w:afterLines="50"/>
        <w:jc w:val="left"/>
        <w:rPr>
          <w:szCs w:val="21"/>
        </w:rPr>
      </w:pPr>
      <w:r>
        <w:rPr>
          <w:rFonts w:hint="eastAsia"/>
          <w:szCs w:val="21"/>
        </w:rPr>
        <w:t>6.不同投标人的投标保证金从同一单位或者个人账户转出。</w:t>
      </w:r>
    </w:p>
    <w:p w14:paraId="0E2C03FD">
      <w:pPr>
        <w:snapToGrid w:val="0"/>
        <w:spacing w:before="50" w:after="120" w:afterLines="50"/>
        <w:jc w:val="left"/>
        <w:rPr>
          <w:szCs w:val="21"/>
        </w:rPr>
      </w:pPr>
      <w:r>
        <w:rPr>
          <w:rFonts w:hint="eastAsia"/>
          <w:szCs w:val="21"/>
        </w:rPr>
        <w:t>二、我方承诺无下列恶意串通的情形：</w:t>
      </w:r>
    </w:p>
    <w:p w14:paraId="1E76B1DB">
      <w:pPr>
        <w:snapToGrid w:val="0"/>
        <w:spacing w:before="50" w:after="120" w:afterLines="50"/>
        <w:jc w:val="left"/>
        <w:rPr>
          <w:szCs w:val="21"/>
        </w:rPr>
      </w:pPr>
      <w:r>
        <w:rPr>
          <w:rFonts w:hint="eastAsia"/>
          <w:szCs w:val="21"/>
        </w:rPr>
        <w:t>1.投标人直接或者间接从采购人或者采购代理机构处获得其他投标人的相关信息并修改其投标文件或者投标文件；</w:t>
      </w:r>
    </w:p>
    <w:p w14:paraId="5ECAEC5F">
      <w:pPr>
        <w:snapToGrid w:val="0"/>
        <w:spacing w:before="50" w:after="120" w:afterLines="50"/>
        <w:jc w:val="left"/>
        <w:rPr>
          <w:szCs w:val="21"/>
        </w:rPr>
      </w:pPr>
      <w:r>
        <w:rPr>
          <w:rFonts w:hint="eastAsia"/>
          <w:szCs w:val="21"/>
        </w:rPr>
        <w:t>2.投标人按照采购人或者采购代理机构的授意撤换、修改投标文件或者投标文件；</w:t>
      </w:r>
    </w:p>
    <w:p w14:paraId="7EEC7CCB">
      <w:pPr>
        <w:snapToGrid w:val="0"/>
        <w:spacing w:before="50" w:after="120" w:afterLines="50"/>
        <w:jc w:val="left"/>
        <w:rPr>
          <w:szCs w:val="21"/>
        </w:rPr>
      </w:pPr>
      <w:r>
        <w:rPr>
          <w:rFonts w:hint="eastAsia"/>
          <w:szCs w:val="21"/>
        </w:rPr>
        <w:t>3.投标人之间协商报价、技术方案等投标文件或者投标文件的实质性内容；</w:t>
      </w:r>
    </w:p>
    <w:p w14:paraId="60BB31E7">
      <w:pPr>
        <w:snapToGrid w:val="0"/>
        <w:spacing w:before="50" w:after="120" w:afterLines="50"/>
        <w:jc w:val="left"/>
        <w:rPr>
          <w:szCs w:val="21"/>
        </w:rPr>
      </w:pPr>
      <w:r>
        <w:rPr>
          <w:rFonts w:hint="eastAsia"/>
          <w:szCs w:val="21"/>
        </w:rPr>
        <w:t>4.属于同一集团、协会、商会等组织成员的投标人按照该组织要求协同参加政府采购活动；</w:t>
      </w:r>
    </w:p>
    <w:p w14:paraId="5D8E6359">
      <w:pPr>
        <w:snapToGrid w:val="0"/>
        <w:spacing w:before="50" w:after="120" w:afterLines="50"/>
        <w:jc w:val="left"/>
        <w:rPr>
          <w:szCs w:val="21"/>
        </w:rPr>
      </w:pPr>
      <w:r>
        <w:rPr>
          <w:rFonts w:hint="eastAsia"/>
          <w:szCs w:val="21"/>
        </w:rPr>
        <w:t>5.投标人之间事先约定一致抬高或者压低投标报价，或者在招标项目中事先约定轮流以高价位或者低价位中标，或者事先约定由某一特定投标人中标，然后再参加投标；</w:t>
      </w:r>
    </w:p>
    <w:p w14:paraId="4182AC7A">
      <w:pPr>
        <w:snapToGrid w:val="0"/>
        <w:spacing w:before="50" w:after="120" w:afterLines="50"/>
        <w:jc w:val="left"/>
        <w:rPr>
          <w:szCs w:val="21"/>
        </w:rPr>
      </w:pPr>
      <w:r>
        <w:rPr>
          <w:rFonts w:hint="eastAsia"/>
          <w:szCs w:val="21"/>
        </w:rPr>
        <w:t>6.投标人之间商定部分投标人放弃参加政府采购活动或者放弃中标；</w:t>
      </w:r>
    </w:p>
    <w:p w14:paraId="6459999D">
      <w:pPr>
        <w:snapToGrid w:val="0"/>
        <w:spacing w:before="50" w:after="120" w:afterLines="50"/>
        <w:jc w:val="left"/>
        <w:rPr>
          <w:szCs w:val="21"/>
        </w:rPr>
      </w:pPr>
      <w:r>
        <w:rPr>
          <w:rFonts w:hint="eastAsia"/>
          <w:szCs w:val="21"/>
        </w:rPr>
        <w:t>7.投标人与采购人或者采购代理机构之间、投标人相互之间，为谋求特定投标人中标或者排斥其他投标人的其他串通行为。</w:t>
      </w:r>
    </w:p>
    <w:p w14:paraId="31451B14">
      <w:pPr>
        <w:snapToGrid w:val="0"/>
        <w:spacing w:before="50" w:after="120" w:afterLines="50"/>
        <w:jc w:val="left"/>
        <w:rPr>
          <w:szCs w:val="21"/>
        </w:rPr>
      </w:pPr>
      <w:r>
        <w:rPr>
          <w:rFonts w:hint="eastAsia"/>
          <w:szCs w:val="21"/>
        </w:rPr>
        <w:t>以上情形一经核查属实，我方愿意承担一切后果，并不再寻求任何旨在减轻或者免除法律责任的辩解。</w:t>
      </w:r>
    </w:p>
    <w:p w14:paraId="3672E7AC">
      <w:pPr>
        <w:snapToGrid w:val="0"/>
        <w:spacing w:before="50" w:after="120" w:afterLines="50"/>
        <w:jc w:val="center"/>
        <w:rPr>
          <w:szCs w:val="21"/>
        </w:rPr>
      </w:pPr>
      <w:r>
        <w:rPr>
          <w:rFonts w:hint="eastAsia"/>
          <w:szCs w:val="21"/>
        </w:rPr>
        <w:t xml:space="preserve"> </w:t>
      </w:r>
      <w:r>
        <w:rPr>
          <w:szCs w:val="21"/>
        </w:rPr>
        <w:t xml:space="preserve"> </w:t>
      </w:r>
    </w:p>
    <w:p w14:paraId="0005BE11">
      <w:pPr>
        <w:snapToGrid w:val="0"/>
        <w:spacing w:before="50" w:after="120" w:afterLines="50"/>
        <w:jc w:val="center"/>
        <w:rPr>
          <w:szCs w:val="21"/>
        </w:rPr>
      </w:pPr>
    </w:p>
    <w:p w14:paraId="23CBE42F">
      <w:pPr>
        <w:snapToGrid w:val="0"/>
        <w:spacing w:before="50" w:after="120" w:afterLines="50"/>
        <w:jc w:val="center"/>
        <w:rPr>
          <w:szCs w:val="21"/>
        </w:rPr>
      </w:pPr>
    </w:p>
    <w:p w14:paraId="5F6B9973">
      <w:pPr>
        <w:snapToGrid w:val="0"/>
        <w:spacing w:before="50" w:after="120" w:afterLines="50"/>
        <w:jc w:val="center"/>
        <w:rPr>
          <w:szCs w:val="21"/>
        </w:rPr>
      </w:pPr>
      <w:r>
        <w:rPr>
          <w:szCs w:val="21"/>
        </w:rPr>
        <w:t>供应商</w:t>
      </w:r>
      <w:r>
        <w:rPr>
          <w:rFonts w:hint="eastAsia"/>
          <w:szCs w:val="21"/>
        </w:rPr>
        <w:t>名称(电子签章</w:t>
      </w:r>
      <w:r>
        <w:rPr>
          <w:szCs w:val="21"/>
        </w:rPr>
        <w:t>)</w:t>
      </w:r>
      <w:r>
        <w:rPr>
          <w:rFonts w:hint="eastAsia"/>
          <w:szCs w:val="21"/>
        </w:rPr>
        <w:t>：</w:t>
      </w:r>
    </w:p>
    <w:p w14:paraId="1116A42A">
      <w:pPr>
        <w:snapToGrid w:val="0"/>
        <w:spacing w:before="50" w:after="120" w:afterLines="50"/>
        <w:jc w:val="center"/>
        <w:rPr>
          <w:szCs w:val="21"/>
        </w:rPr>
      </w:pPr>
      <w:r>
        <w:rPr>
          <w:rFonts w:hint="eastAsia"/>
          <w:szCs w:val="21"/>
        </w:rPr>
        <w:t>日期：  年  月   日</w:t>
      </w:r>
    </w:p>
    <w:bookmarkEnd w:id="155"/>
    <w:p w14:paraId="47D69AB6">
      <w:pPr>
        <w:jc w:val="center"/>
        <w:rPr>
          <w:b/>
          <w:bCs/>
          <w:szCs w:val="21"/>
        </w:rPr>
      </w:pPr>
      <w:r>
        <w:rPr>
          <w:szCs w:val="21"/>
        </w:rPr>
        <w:br w:type="page"/>
      </w:r>
      <w:bookmarkEnd w:id="156"/>
    </w:p>
    <w:p w14:paraId="654C4331">
      <w:pPr>
        <w:tabs>
          <w:tab w:val="left" w:pos="327"/>
          <w:tab w:val="center" w:pos="4737"/>
        </w:tabs>
        <w:jc w:val="left"/>
        <w:rPr>
          <w:color w:val="auto"/>
          <w:sz w:val="28"/>
          <w:szCs w:val="28"/>
        </w:rPr>
      </w:pPr>
      <w:r>
        <w:rPr>
          <w:rFonts w:hint="eastAsia"/>
          <w:sz w:val="28"/>
          <w:szCs w:val="28"/>
          <w:lang w:eastAsia="zh-CN"/>
        </w:rPr>
        <w:tab/>
      </w:r>
      <w:r>
        <w:rPr>
          <w:rFonts w:hint="eastAsia"/>
          <w:sz w:val="28"/>
          <w:szCs w:val="28"/>
          <w:lang w:eastAsia="zh-CN"/>
        </w:rPr>
        <w:tab/>
      </w:r>
      <w:r>
        <w:rPr>
          <w:color w:val="auto"/>
          <w:sz w:val="28"/>
          <w:szCs w:val="28"/>
        </w:rPr>
        <w:t>第二部分 技术文件</w:t>
      </w:r>
    </w:p>
    <w:p w14:paraId="6588A58E">
      <w:pPr>
        <w:jc w:val="center"/>
        <w:rPr>
          <w:color w:val="auto"/>
        </w:rPr>
      </w:pPr>
      <w:r>
        <w:rPr>
          <w:color w:val="auto"/>
        </w:rPr>
        <w:t>（本</w:t>
      </w:r>
      <w:r>
        <w:rPr>
          <w:rFonts w:hint="eastAsia"/>
          <w:color w:val="auto"/>
        </w:rPr>
        <w:t>技术</w:t>
      </w:r>
      <w:r>
        <w:rPr>
          <w:color w:val="auto"/>
        </w:rPr>
        <w:t>文件供应商可自行编写，也可参照下述提纲编写）</w:t>
      </w:r>
    </w:p>
    <w:p w14:paraId="5DA5C672">
      <w:pPr>
        <w:snapToGrid w:val="0"/>
        <w:spacing w:before="50" w:after="120" w:afterLines="50"/>
        <w:jc w:val="left"/>
        <w:rPr>
          <w:color w:val="auto"/>
          <w:szCs w:val="21"/>
        </w:rPr>
      </w:pPr>
    </w:p>
    <w:p w14:paraId="66D9B899">
      <w:pPr>
        <w:rPr>
          <w:color w:val="auto"/>
          <w:szCs w:val="21"/>
        </w:rPr>
      </w:pPr>
      <w:r>
        <w:rPr>
          <w:rFonts w:hint="eastAsia"/>
          <w:color w:val="auto"/>
          <w:szCs w:val="21"/>
        </w:rPr>
        <w:t>1</w:t>
      </w:r>
      <w:r>
        <w:rPr>
          <w:color w:val="auto"/>
          <w:szCs w:val="21"/>
        </w:rPr>
        <w:t>．</w:t>
      </w:r>
      <w:r>
        <w:rPr>
          <w:rFonts w:hint="eastAsia"/>
          <w:color w:val="auto"/>
          <w:szCs w:val="21"/>
        </w:rPr>
        <w:t>对</w:t>
      </w:r>
      <w:r>
        <w:rPr>
          <w:color w:val="auto"/>
          <w:szCs w:val="21"/>
        </w:rPr>
        <w:t>本项目第</w:t>
      </w:r>
      <w:r>
        <w:rPr>
          <w:rFonts w:hint="eastAsia"/>
          <w:color w:val="auto"/>
          <w:szCs w:val="21"/>
        </w:rPr>
        <w:t>二</w:t>
      </w:r>
      <w:r>
        <w:rPr>
          <w:color w:val="auto"/>
          <w:szCs w:val="21"/>
        </w:rPr>
        <w:t>章</w:t>
      </w:r>
      <w:r>
        <w:rPr>
          <w:rFonts w:hint="eastAsia"/>
          <w:color w:val="auto"/>
          <w:szCs w:val="21"/>
        </w:rPr>
        <w:t>《采购需求》技术</w:t>
      </w:r>
      <w:r>
        <w:rPr>
          <w:color w:val="auto"/>
          <w:szCs w:val="21"/>
        </w:rPr>
        <w:t>要求的</w:t>
      </w:r>
      <w:r>
        <w:rPr>
          <w:rFonts w:hint="eastAsia"/>
          <w:color w:val="auto"/>
          <w:szCs w:val="21"/>
        </w:rPr>
        <w:t>响应表</w:t>
      </w:r>
    </w:p>
    <w:p w14:paraId="7BE82661">
      <w:pPr>
        <w:rPr>
          <w:color w:val="auto"/>
          <w:szCs w:val="21"/>
        </w:rPr>
      </w:pPr>
    </w:p>
    <w:p w14:paraId="5062CB91">
      <w:pPr>
        <w:ind w:firstLine="420" w:firstLineChars="200"/>
        <w:rPr>
          <w:color w:val="auto"/>
          <w:szCs w:val="21"/>
        </w:rPr>
      </w:pPr>
    </w:p>
    <w:tbl>
      <w:tblPr>
        <w:tblStyle w:val="51"/>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46"/>
        <w:gridCol w:w="3595"/>
        <w:gridCol w:w="3405"/>
        <w:gridCol w:w="1082"/>
      </w:tblGrid>
      <w:tr w14:paraId="6CA1E02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88" w:hRule="atLeast"/>
          <w:jc w:val="center"/>
        </w:trPr>
        <w:tc>
          <w:tcPr>
            <w:tcW w:w="746" w:type="dxa"/>
            <w:tcBorders>
              <w:top w:val="single" w:color="auto" w:sz="4" w:space="0"/>
              <w:left w:val="single" w:color="auto" w:sz="4" w:space="0"/>
              <w:bottom w:val="single" w:color="auto" w:sz="4" w:space="0"/>
              <w:right w:val="single" w:color="auto" w:sz="4" w:space="0"/>
            </w:tcBorders>
            <w:noWrap w:val="0"/>
            <w:vAlign w:val="center"/>
          </w:tcPr>
          <w:p w14:paraId="21394065">
            <w:pPr>
              <w:snapToGrid w:val="0"/>
              <w:spacing w:before="120" w:beforeLines="50"/>
              <w:jc w:val="center"/>
              <w:rPr>
                <w:color w:val="auto"/>
                <w:szCs w:val="21"/>
              </w:rPr>
            </w:pPr>
            <w:r>
              <w:rPr>
                <w:color w:val="auto"/>
                <w:szCs w:val="21"/>
              </w:rPr>
              <w:t>序号</w:t>
            </w:r>
          </w:p>
        </w:tc>
        <w:tc>
          <w:tcPr>
            <w:tcW w:w="3595" w:type="dxa"/>
            <w:tcBorders>
              <w:top w:val="single" w:color="auto" w:sz="4" w:space="0"/>
              <w:left w:val="single" w:color="auto" w:sz="4" w:space="0"/>
              <w:bottom w:val="single" w:color="auto" w:sz="4" w:space="0"/>
              <w:right w:val="single" w:color="auto" w:sz="4" w:space="0"/>
            </w:tcBorders>
            <w:noWrap w:val="0"/>
            <w:vAlign w:val="center"/>
          </w:tcPr>
          <w:p w14:paraId="0EB04EC6">
            <w:pPr>
              <w:snapToGrid w:val="0"/>
              <w:spacing w:before="120" w:beforeLines="50"/>
              <w:jc w:val="center"/>
              <w:rPr>
                <w:color w:val="auto"/>
                <w:szCs w:val="21"/>
              </w:rPr>
            </w:pPr>
            <w:r>
              <w:rPr>
                <w:color w:val="auto"/>
                <w:szCs w:val="21"/>
              </w:rPr>
              <w:t>招标文件要求</w:t>
            </w:r>
          </w:p>
          <w:p w14:paraId="14BB86C7">
            <w:pPr>
              <w:snapToGrid w:val="0"/>
              <w:spacing w:before="120" w:beforeLines="50"/>
              <w:jc w:val="center"/>
              <w:rPr>
                <w:color w:val="auto"/>
                <w:szCs w:val="21"/>
              </w:rPr>
            </w:pPr>
            <w:r>
              <w:rPr>
                <w:color w:val="auto"/>
                <w:szCs w:val="21"/>
              </w:rPr>
              <w:t>（注明章节及条款号）</w:t>
            </w:r>
          </w:p>
        </w:tc>
        <w:tc>
          <w:tcPr>
            <w:tcW w:w="3405" w:type="dxa"/>
            <w:tcBorders>
              <w:top w:val="single" w:color="auto" w:sz="4" w:space="0"/>
              <w:left w:val="single" w:color="auto" w:sz="4" w:space="0"/>
              <w:bottom w:val="single" w:color="auto" w:sz="4" w:space="0"/>
              <w:right w:val="single" w:color="auto" w:sz="4" w:space="0"/>
            </w:tcBorders>
            <w:noWrap w:val="0"/>
            <w:vAlign w:val="center"/>
          </w:tcPr>
          <w:p w14:paraId="2CD27A77">
            <w:pPr>
              <w:snapToGrid w:val="0"/>
              <w:spacing w:before="120" w:beforeLines="50"/>
              <w:jc w:val="center"/>
              <w:rPr>
                <w:color w:val="auto"/>
                <w:szCs w:val="21"/>
              </w:rPr>
            </w:pPr>
            <w:r>
              <w:rPr>
                <w:color w:val="auto"/>
                <w:szCs w:val="21"/>
              </w:rPr>
              <w:t>投标文件响应内容</w:t>
            </w:r>
          </w:p>
        </w:tc>
        <w:tc>
          <w:tcPr>
            <w:tcW w:w="1082" w:type="dxa"/>
            <w:tcBorders>
              <w:top w:val="single" w:color="auto" w:sz="4" w:space="0"/>
              <w:left w:val="single" w:color="auto" w:sz="4" w:space="0"/>
              <w:bottom w:val="single" w:color="auto" w:sz="4" w:space="0"/>
              <w:right w:val="single" w:color="auto" w:sz="4" w:space="0"/>
            </w:tcBorders>
            <w:noWrap w:val="0"/>
            <w:vAlign w:val="center"/>
          </w:tcPr>
          <w:p w14:paraId="7F7071EE">
            <w:pPr>
              <w:snapToGrid w:val="0"/>
              <w:spacing w:before="120" w:beforeLines="50"/>
              <w:jc w:val="center"/>
              <w:rPr>
                <w:color w:val="auto"/>
                <w:szCs w:val="21"/>
              </w:rPr>
            </w:pPr>
            <w:r>
              <w:rPr>
                <w:color w:val="auto"/>
              </w:rPr>
              <w:t>偏离</w:t>
            </w:r>
            <w:r>
              <w:rPr>
                <w:color w:val="auto"/>
                <w:szCs w:val="21"/>
              </w:rPr>
              <w:t>说明</w:t>
            </w:r>
          </w:p>
        </w:tc>
      </w:tr>
      <w:tr w14:paraId="00FDD33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4" w:hRule="exact"/>
          <w:jc w:val="center"/>
        </w:trPr>
        <w:tc>
          <w:tcPr>
            <w:tcW w:w="746" w:type="dxa"/>
            <w:tcBorders>
              <w:top w:val="single" w:color="auto" w:sz="4" w:space="0"/>
              <w:left w:val="single" w:color="auto" w:sz="4" w:space="0"/>
              <w:bottom w:val="single" w:color="auto" w:sz="4" w:space="0"/>
              <w:right w:val="single" w:color="auto" w:sz="4" w:space="0"/>
            </w:tcBorders>
            <w:noWrap w:val="0"/>
            <w:vAlign w:val="center"/>
          </w:tcPr>
          <w:p w14:paraId="76902815">
            <w:pPr>
              <w:snapToGrid w:val="0"/>
              <w:spacing w:before="120" w:beforeLines="50"/>
              <w:jc w:val="center"/>
              <w:rPr>
                <w:color w:val="auto"/>
                <w:szCs w:val="21"/>
              </w:rPr>
            </w:pPr>
          </w:p>
        </w:tc>
        <w:tc>
          <w:tcPr>
            <w:tcW w:w="3595" w:type="dxa"/>
            <w:tcBorders>
              <w:top w:val="single" w:color="auto" w:sz="4" w:space="0"/>
              <w:left w:val="single" w:color="auto" w:sz="4" w:space="0"/>
              <w:bottom w:val="single" w:color="auto" w:sz="4" w:space="0"/>
              <w:right w:val="single" w:color="auto" w:sz="4" w:space="0"/>
            </w:tcBorders>
            <w:noWrap w:val="0"/>
            <w:vAlign w:val="center"/>
          </w:tcPr>
          <w:p w14:paraId="092E10D5">
            <w:pPr>
              <w:snapToGrid w:val="0"/>
              <w:spacing w:before="120" w:beforeLines="50"/>
              <w:jc w:val="center"/>
              <w:rPr>
                <w:color w:val="auto"/>
                <w:szCs w:val="21"/>
              </w:rPr>
            </w:pPr>
          </w:p>
        </w:tc>
        <w:tc>
          <w:tcPr>
            <w:tcW w:w="3405" w:type="dxa"/>
            <w:tcBorders>
              <w:top w:val="single" w:color="auto" w:sz="4" w:space="0"/>
              <w:left w:val="single" w:color="auto" w:sz="4" w:space="0"/>
              <w:bottom w:val="single" w:color="auto" w:sz="4" w:space="0"/>
              <w:right w:val="single" w:color="auto" w:sz="4" w:space="0"/>
            </w:tcBorders>
            <w:noWrap w:val="0"/>
            <w:vAlign w:val="center"/>
          </w:tcPr>
          <w:p w14:paraId="60CDAAAE">
            <w:pPr>
              <w:snapToGrid w:val="0"/>
              <w:spacing w:before="120" w:beforeLines="50"/>
              <w:jc w:val="center"/>
              <w:rPr>
                <w:color w:val="auto"/>
                <w:szCs w:val="21"/>
              </w:rPr>
            </w:pPr>
          </w:p>
        </w:tc>
        <w:tc>
          <w:tcPr>
            <w:tcW w:w="1082" w:type="dxa"/>
            <w:tcBorders>
              <w:top w:val="single" w:color="auto" w:sz="4" w:space="0"/>
              <w:left w:val="single" w:color="auto" w:sz="4" w:space="0"/>
              <w:bottom w:val="single" w:color="auto" w:sz="4" w:space="0"/>
              <w:right w:val="single" w:color="auto" w:sz="4" w:space="0"/>
            </w:tcBorders>
            <w:noWrap w:val="0"/>
            <w:vAlign w:val="center"/>
          </w:tcPr>
          <w:p w14:paraId="3646775E">
            <w:pPr>
              <w:snapToGrid w:val="0"/>
              <w:spacing w:before="120" w:beforeLines="50"/>
              <w:jc w:val="center"/>
              <w:rPr>
                <w:color w:val="auto"/>
                <w:szCs w:val="21"/>
              </w:rPr>
            </w:pPr>
          </w:p>
        </w:tc>
      </w:tr>
      <w:tr w14:paraId="488EE70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4" w:hRule="exact"/>
          <w:jc w:val="center"/>
        </w:trPr>
        <w:tc>
          <w:tcPr>
            <w:tcW w:w="746" w:type="dxa"/>
            <w:tcBorders>
              <w:top w:val="single" w:color="auto" w:sz="4" w:space="0"/>
              <w:left w:val="single" w:color="auto" w:sz="4" w:space="0"/>
              <w:bottom w:val="single" w:color="auto" w:sz="4" w:space="0"/>
              <w:right w:val="single" w:color="auto" w:sz="4" w:space="0"/>
            </w:tcBorders>
            <w:noWrap w:val="0"/>
            <w:vAlign w:val="center"/>
          </w:tcPr>
          <w:p w14:paraId="3B617D6A">
            <w:pPr>
              <w:snapToGrid w:val="0"/>
              <w:spacing w:before="120" w:beforeLines="50"/>
              <w:jc w:val="center"/>
              <w:rPr>
                <w:color w:val="auto"/>
                <w:szCs w:val="21"/>
              </w:rPr>
            </w:pPr>
          </w:p>
        </w:tc>
        <w:tc>
          <w:tcPr>
            <w:tcW w:w="3595" w:type="dxa"/>
            <w:tcBorders>
              <w:top w:val="single" w:color="auto" w:sz="4" w:space="0"/>
              <w:left w:val="single" w:color="auto" w:sz="4" w:space="0"/>
              <w:bottom w:val="single" w:color="auto" w:sz="4" w:space="0"/>
              <w:right w:val="single" w:color="auto" w:sz="4" w:space="0"/>
            </w:tcBorders>
            <w:noWrap w:val="0"/>
            <w:vAlign w:val="center"/>
          </w:tcPr>
          <w:p w14:paraId="47143054">
            <w:pPr>
              <w:snapToGrid w:val="0"/>
              <w:spacing w:before="120" w:beforeLines="50"/>
              <w:jc w:val="center"/>
              <w:rPr>
                <w:color w:val="auto"/>
                <w:szCs w:val="21"/>
              </w:rPr>
            </w:pPr>
          </w:p>
        </w:tc>
        <w:tc>
          <w:tcPr>
            <w:tcW w:w="3405" w:type="dxa"/>
            <w:tcBorders>
              <w:top w:val="single" w:color="auto" w:sz="4" w:space="0"/>
              <w:left w:val="single" w:color="auto" w:sz="4" w:space="0"/>
              <w:bottom w:val="single" w:color="auto" w:sz="4" w:space="0"/>
              <w:right w:val="single" w:color="auto" w:sz="4" w:space="0"/>
            </w:tcBorders>
            <w:noWrap w:val="0"/>
            <w:vAlign w:val="center"/>
          </w:tcPr>
          <w:p w14:paraId="1A46E10A">
            <w:pPr>
              <w:snapToGrid w:val="0"/>
              <w:spacing w:before="120" w:beforeLines="50"/>
              <w:jc w:val="center"/>
              <w:rPr>
                <w:color w:val="auto"/>
                <w:szCs w:val="21"/>
              </w:rPr>
            </w:pPr>
          </w:p>
        </w:tc>
        <w:tc>
          <w:tcPr>
            <w:tcW w:w="1082" w:type="dxa"/>
            <w:tcBorders>
              <w:top w:val="single" w:color="auto" w:sz="4" w:space="0"/>
              <w:left w:val="single" w:color="auto" w:sz="4" w:space="0"/>
              <w:bottom w:val="single" w:color="auto" w:sz="4" w:space="0"/>
              <w:right w:val="single" w:color="auto" w:sz="4" w:space="0"/>
            </w:tcBorders>
            <w:noWrap w:val="0"/>
            <w:vAlign w:val="center"/>
          </w:tcPr>
          <w:p w14:paraId="1963E229">
            <w:pPr>
              <w:snapToGrid w:val="0"/>
              <w:spacing w:before="120" w:beforeLines="50"/>
              <w:jc w:val="center"/>
              <w:rPr>
                <w:color w:val="auto"/>
                <w:szCs w:val="21"/>
              </w:rPr>
            </w:pPr>
          </w:p>
        </w:tc>
      </w:tr>
      <w:tr w14:paraId="43C0EF2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PrEx>
        <w:trPr>
          <w:trHeight w:val="464" w:hRule="exact"/>
          <w:jc w:val="center"/>
        </w:trPr>
        <w:tc>
          <w:tcPr>
            <w:tcW w:w="746" w:type="dxa"/>
            <w:tcBorders>
              <w:top w:val="single" w:color="auto" w:sz="4" w:space="0"/>
              <w:left w:val="single" w:color="auto" w:sz="4" w:space="0"/>
              <w:bottom w:val="single" w:color="auto" w:sz="4" w:space="0"/>
              <w:right w:val="single" w:color="auto" w:sz="4" w:space="0"/>
            </w:tcBorders>
            <w:noWrap w:val="0"/>
            <w:vAlign w:val="center"/>
          </w:tcPr>
          <w:p w14:paraId="4451C700">
            <w:pPr>
              <w:snapToGrid w:val="0"/>
              <w:spacing w:before="120" w:beforeLines="50"/>
              <w:jc w:val="center"/>
              <w:rPr>
                <w:color w:val="auto"/>
                <w:szCs w:val="21"/>
              </w:rPr>
            </w:pPr>
          </w:p>
        </w:tc>
        <w:tc>
          <w:tcPr>
            <w:tcW w:w="3595" w:type="dxa"/>
            <w:tcBorders>
              <w:top w:val="single" w:color="auto" w:sz="4" w:space="0"/>
              <w:left w:val="single" w:color="auto" w:sz="4" w:space="0"/>
              <w:bottom w:val="single" w:color="auto" w:sz="4" w:space="0"/>
              <w:right w:val="single" w:color="auto" w:sz="4" w:space="0"/>
            </w:tcBorders>
            <w:noWrap w:val="0"/>
            <w:vAlign w:val="center"/>
          </w:tcPr>
          <w:p w14:paraId="281D3D55">
            <w:pPr>
              <w:snapToGrid w:val="0"/>
              <w:spacing w:before="120" w:beforeLines="50"/>
              <w:jc w:val="center"/>
              <w:rPr>
                <w:color w:val="auto"/>
                <w:szCs w:val="21"/>
              </w:rPr>
            </w:pPr>
          </w:p>
        </w:tc>
        <w:tc>
          <w:tcPr>
            <w:tcW w:w="3405" w:type="dxa"/>
            <w:tcBorders>
              <w:top w:val="single" w:color="auto" w:sz="4" w:space="0"/>
              <w:left w:val="single" w:color="auto" w:sz="4" w:space="0"/>
              <w:bottom w:val="single" w:color="auto" w:sz="4" w:space="0"/>
              <w:right w:val="single" w:color="auto" w:sz="4" w:space="0"/>
            </w:tcBorders>
            <w:noWrap w:val="0"/>
            <w:vAlign w:val="center"/>
          </w:tcPr>
          <w:p w14:paraId="30DDAFA9">
            <w:pPr>
              <w:snapToGrid w:val="0"/>
              <w:spacing w:before="120" w:beforeLines="50"/>
              <w:jc w:val="center"/>
              <w:rPr>
                <w:color w:val="auto"/>
                <w:szCs w:val="21"/>
              </w:rPr>
            </w:pPr>
          </w:p>
        </w:tc>
        <w:tc>
          <w:tcPr>
            <w:tcW w:w="1082" w:type="dxa"/>
            <w:tcBorders>
              <w:top w:val="single" w:color="auto" w:sz="4" w:space="0"/>
              <w:left w:val="single" w:color="auto" w:sz="4" w:space="0"/>
              <w:bottom w:val="single" w:color="auto" w:sz="4" w:space="0"/>
              <w:right w:val="single" w:color="auto" w:sz="4" w:space="0"/>
            </w:tcBorders>
            <w:noWrap w:val="0"/>
            <w:vAlign w:val="center"/>
          </w:tcPr>
          <w:p w14:paraId="1B6B1005">
            <w:pPr>
              <w:snapToGrid w:val="0"/>
              <w:spacing w:before="120" w:beforeLines="50"/>
              <w:jc w:val="center"/>
              <w:rPr>
                <w:color w:val="auto"/>
                <w:szCs w:val="21"/>
              </w:rPr>
            </w:pPr>
          </w:p>
        </w:tc>
      </w:tr>
      <w:tr w14:paraId="64D0930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PrEx>
        <w:trPr>
          <w:trHeight w:val="464" w:hRule="exact"/>
          <w:jc w:val="center"/>
        </w:trPr>
        <w:tc>
          <w:tcPr>
            <w:tcW w:w="746" w:type="dxa"/>
            <w:tcBorders>
              <w:top w:val="single" w:color="auto" w:sz="4" w:space="0"/>
              <w:left w:val="single" w:color="auto" w:sz="4" w:space="0"/>
              <w:bottom w:val="single" w:color="auto" w:sz="4" w:space="0"/>
              <w:right w:val="single" w:color="auto" w:sz="4" w:space="0"/>
            </w:tcBorders>
            <w:noWrap w:val="0"/>
            <w:vAlign w:val="center"/>
          </w:tcPr>
          <w:p w14:paraId="68BD6CC9">
            <w:pPr>
              <w:snapToGrid w:val="0"/>
              <w:spacing w:before="120" w:beforeLines="50"/>
              <w:jc w:val="center"/>
              <w:rPr>
                <w:color w:val="auto"/>
                <w:szCs w:val="21"/>
              </w:rPr>
            </w:pPr>
            <w:r>
              <w:rPr>
                <w:color w:val="auto"/>
                <w:szCs w:val="21"/>
              </w:rPr>
              <w:t>……</w:t>
            </w:r>
          </w:p>
        </w:tc>
        <w:tc>
          <w:tcPr>
            <w:tcW w:w="3595" w:type="dxa"/>
            <w:tcBorders>
              <w:top w:val="single" w:color="auto" w:sz="4" w:space="0"/>
              <w:left w:val="single" w:color="auto" w:sz="4" w:space="0"/>
              <w:bottom w:val="single" w:color="auto" w:sz="4" w:space="0"/>
              <w:right w:val="single" w:color="auto" w:sz="4" w:space="0"/>
            </w:tcBorders>
            <w:noWrap w:val="0"/>
            <w:vAlign w:val="center"/>
          </w:tcPr>
          <w:p w14:paraId="6FEFC115">
            <w:pPr>
              <w:snapToGrid w:val="0"/>
              <w:spacing w:before="120" w:beforeLines="50"/>
              <w:jc w:val="center"/>
              <w:rPr>
                <w:color w:val="auto"/>
                <w:szCs w:val="21"/>
              </w:rPr>
            </w:pPr>
            <w:r>
              <w:rPr>
                <w:color w:val="auto"/>
                <w:szCs w:val="21"/>
              </w:rPr>
              <w:t>……</w:t>
            </w:r>
          </w:p>
        </w:tc>
        <w:tc>
          <w:tcPr>
            <w:tcW w:w="3405" w:type="dxa"/>
            <w:tcBorders>
              <w:top w:val="single" w:color="auto" w:sz="4" w:space="0"/>
              <w:left w:val="single" w:color="auto" w:sz="4" w:space="0"/>
              <w:bottom w:val="single" w:color="auto" w:sz="4" w:space="0"/>
              <w:right w:val="single" w:color="auto" w:sz="4" w:space="0"/>
            </w:tcBorders>
            <w:noWrap w:val="0"/>
            <w:vAlign w:val="center"/>
          </w:tcPr>
          <w:p w14:paraId="5A40A6C8">
            <w:pPr>
              <w:snapToGrid w:val="0"/>
              <w:spacing w:before="120" w:beforeLines="50"/>
              <w:jc w:val="center"/>
              <w:rPr>
                <w:color w:val="auto"/>
                <w:szCs w:val="21"/>
              </w:rPr>
            </w:pPr>
            <w:r>
              <w:rPr>
                <w:color w:val="auto"/>
                <w:szCs w:val="21"/>
              </w:rPr>
              <w:t>……</w:t>
            </w:r>
          </w:p>
        </w:tc>
        <w:tc>
          <w:tcPr>
            <w:tcW w:w="1082" w:type="dxa"/>
            <w:tcBorders>
              <w:top w:val="single" w:color="auto" w:sz="4" w:space="0"/>
              <w:left w:val="single" w:color="auto" w:sz="4" w:space="0"/>
              <w:bottom w:val="single" w:color="auto" w:sz="4" w:space="0"/>
              <w:right w:val="single" w:color="auto" w:sz="4" w:space="0"/>
            </w:tcBorders>
            <w:noWrap w:val="0"/>
            <w:vAlign w:val="center"/>
          </w:tcPr>
          <w:p w14:paraId="269E6B5B">
            <w:pPr>
              <w:snapToGrid w:val="0"/>
              <w:spacing w:before="120" w:beforeLines="50"/>
              <w:jc w:val="center"/>
              <w:rPr>
                <w:color w:val="auto"/>
                <w:szCs w:val="21"/>
              </w:rPr>
            </w:pPr>
            <w:r>
              <w:rPr>
                <w:color w:val="auto"/>
                <w:szCs w:val="21"/>
              </w:rPr>
              <w:t>……</w:t>
            </w:r>
          </w:p>
        </w:tc>
      </w:tr>
    </w:tbl>
    <w:p w14:paraId="5E02BF0B">
      <w:pPr>
        <w:rPr>
          <w:color w:val="auto"/>
          <w:szCs w:val="21"/>
        </w:rPr>
      </w:pPr>
    </w:p>
    <w:p w14:paraId="3625C022">
      <w:pPr>
        <w:pStyle w:val="26"/>
        <w:tabs>
          <w:tab w:val="left" w:pos="2127"/>
        </w:tabs>
        <w:spacing w:line="340" w:lineRule="exact"/>
        <w:ind w:firstLine="420" w:firstLineChars="200"/>
        <w:jc w:val="left"/>
        <w:rPr>
          <w:rFonts w:ascii="Times New Roman" w:hAnsi="Times New Roman" w:cs="Times New Roman"/>
          <w:color w:val="auto"/>
        </w:rPr>
      </w:pPr>
      <w:bookmarkStart w:id="157" w:name="_Hlk88990482"/>
      <w:r>
        <w:rPr>
          <w:color w:val="auto"/>
        </w:rPr>
        <w:t>注：（1）</w:t>
      </w:r>
      <w:r>
        <w:rPr>
          <w:rFonts w:ascii="Times New Roman" w:hAnsi="Times New Roman" w:cs="Times New Roman"/>
          <w:color w:val="auto"/>
        </w:rPr>
        <w:t>本表应对招标文件</w:t>
      </w:r>
      <w:r>
        <w:rPr>
          <w:color w:val="auto"/>
        </w:rPr>
        <w:t>第</w:t>
      </w:r>
      <w:r>
        <w:rPr>
          <w:rFonts w:hint="eastAsia"/>
          <w:color w:val="auto"/>
        </w:rPr>
        <w:t>二</w:t>
      </w:r>
      <w:r>
        <w:rPr>
          <w:color w:val="auto"/>
        </w:rPr>
        <w:t>章</w:t>
      </w:r>
      <w:r>
        <w:rPr>
          <w:rFonts w:hint="eastAsia"/>
          <w:color w:val="auto"/>
        </w:rPr>
        <w:t>《采购需求》</w:t>
      </w:r>
      <w:r>
        <w:rPr>
          <w:rFonts w:ascii="Times New Roman" w:hAnsi="Times New Roman" w:cs="Times New Roman"/>
          <w:color w:val="auto"/>
        </w:rPr>
        <w:t>中所列</w:t>
      </w:r>
      <w:r>
        <w:rPr>
          <w:rFonts w:hint="eastAsia" w:ascii="Times New Roman" w:hAnsi="Times New Roman" w:cs="Times New Roman"/>
          <w:color w:val="auto"/>
        </w:rPr>
        <w:t>技术</w:t>
      </w:r>
      <w:r>
        <w:rPr>
          <w:rFonts w:ascii="Times New Roman" w:hAnsi="Times New Roman" w:cs="Times New Roman"/>
          <w:color w:val="auto"/>
        </w:rPr>
        <w:t>要求进行响应，并根据响应情况在“偏离说明”栏填写正偏离或负偏离及原因，完全符合的填写</w:t>
      </w:r>
      <w:r>
        <w:rPr>
          <w:rFonts w:hint="eastAsia" w:ascii="Times New Roman" w:hAnsi="Times New Roman" w:cs="Times New Roman"/>
          <w:color w:val="auto"/>
        </w:rPr>
        <w:t>“</w:t>
      </w:r>
      <w:r>
        <w:rPr>
          <w:rFonts w:ascii="Times New Roman" w:hAnsi="Times New Roman" w:cs="Times New Roman"/>
          <w:color w:val="auto"/>
        </w:rPr>
        <w:t>无偏离</w:t>
      </w:r>
      <w:r>
        <w:rPr>
          <w:rFonts w:hint="eastAsia" w:ascii="Times New Roman" w:hAnsi="Times New Roman" w:cs="Times New Roman"/>
          <w:color w:val="auto"/>
        </w:rPr>
        <w:t>”</w:t>
      </w:r>
      <w:r>
        <w:rPr>
          <w:rFonts w:ascii="Times New Roman" w:hAnsi="Times New Roman" w:cs="Times New Roman"/>
          <w:color w:val="auto"/>
        </w:rPr>
        <w:t>。</w:t>
      </w:r>
    </w:p>
    <w:p w14:paraId="5DDCD346">
      <w:pPr>
        <w:rPr>
          <w:color w:val="auto"/>
        </w:rPr>
      </w:pPr>
      <w:r>
        <w:rPr>
          <w:rFonts w:hint="eastAsia"/>
          <w:color w:val="auto"/>
        </w:rPr>
        <w:t>（2）</w:t>
      </w:r>
      <w:r>
        <w:rPr>
          <w:color w:val="auto"/>
        </w:rPr>
        <w:t>第</w:t>
      </w:r>
      <w:r>
        <w:rPr>
          <w:rFonts w:hint="eastAsia"/>
          <w:color w:val="auto"/>
        </w:rPr>
        <w:t>二</w:t>
      </w:r>
      <w:r>
        <w:rPr>
          <w:color w:val="auto"/>
        </w:rPr>
        <w:t>章</w:t>
      </w:r>
      <w:r>
        <w:rPr>
          <w:rFonts w:hint="eastAsia"/>
          <w:color w:val="auto"/>
        </w:rPr>
        <w:t>《采购需求》中的总体要求无需响应。</w:t>
      </w:r>
    </w:p>
    <w:p w14:paraId="049FC7B7">
      <w:pPr>
        <w:rPr>
          <w:color w:val="auto"/>
        </w:rPr>
      </w:pPr>
      <w:r>
        <w:rPr>
          <w:rFonts w:hint="eastAsia"/>
          <w:color w:val="auto"/>
        </w:rPr>
        <w:t>（</w:t>
      </w:r>
      <w:r>
        <w:rPr>
          <w:color w:val="auto"/>
        </w:rPr>
        <w:t>3</w:t>
      </w:r>
      <w:r>
        <w:rPr>
          <w:rFonts w:hint="eastAsia"/>
          <w:color w:val="auto"/>
        </w:rPr>
        <w:t>）偏离认定说明详见评审方法及标准。</w:t>
      </w:r>
    </w:p>
    <w:p w14:paraId="228AA1F2">
      <w:pPr>
        <w:rPr>
          <w:color w:val="auto"/>
        </w:rPr>
      </w:pPr>
      <w:r>
        <w:rPr>
          <w:color w:val="auto"/>
        </w:rPr>
        <w:t>（4）本表可扩展。</w:t>
      </w:r>
    </w:p>
    <w:bookmarkEnd w:id="157"/>
    <w:p w14:paraId="164E2BA5">
      <w:pPr>
        <w:rPr>
          <w:color w:val="auto"/>
          <w:szCs w:val="21"/>
        </w:rPr>
      </w:pPr>
    </w:p>
    <w:p w14:paraId="305B9E21">
      <w:pPr>
        <w:rPr>
          <w:color w:val="auto"/>
          <w:spacing w:val="20"/>
          <w:szCs w:val="21"/>
          <w:u w:val="single"/>
        </w:rPr>
      </w:pPr>
      <w:bookmarkStart w:id="158" w:name="_Hlk88990507"/>
    </w:p>
    <w:p w14:paraId="20077C4E">
      <w:pPr>
        <w:rPr>
          <w:color w:val="auto"/>
          <w:szCs w:val="21"/>
        </w:rPr>
      </w:pPr>
      <w:r>
        <w:rPr>
          <w:color w:val="auto"/>
          <w:szCs w:val="21"/>
        </w:rPr>
        <w:t>供应商</w:t>
      </w:r>
      <w:r>
        <w:rPr>
          <w:rFonts w:hint="eastAsia"/>
          <w:color w:val="auto"/>
          <w:szCs w:val="21"/>
        </w:rPr>
        <w:t>名称(电子签章</w:t>
      </w:r>
      <w:r>
        <w:rPr>
          <w:color w:val="auto"/>
          <w:szCs w:val="21"/>
        </w:rPr>
        <w:t>)</w:t>
      </w:r>
      <w:bookmarkEnd w:id="158"/>
      <w:r>
        <w:rPr>
          <w:color w:val="auto"/>
          <w:spacing w:val="20"/>
          <w:szCs w:val="21"/>
        </w:rPr>
        <w:t>：</w:t>
      </w:r>
      <w:r>
        <w:rPr>
          <w:color w:val="auto"/>
          <w:spacing w:val="20"/>
          <w:szCs w:val="21"/>
          <w:u w:val="single"/>
        </w:rPr>
        <w:t xml:space="preserve">            </w:t>
      </w:r>
      <w:r>
        <w:rPr>
          <w:color w:val="auto"/>
          <w:spacing w:val="20"/>
          <w:szCs w:val="21"/>
        </w:rPr>
        <w:t xml:space="preserve">              日 期：</w:t>
      </w:r>
      <w:r>
        <w:rPr>
          <w:color w:val="auto"/>
          <w:spacing w:val="20"/>
          <w:szCs w:val="21"/>
          <w:u w:val="single"/>
        </w:rPr>
        <w:t xml:space="preserve">            </w:t>
      </w:r>
    </w:p>
    <w:p w14:paraId="7D2A6750">
      <w:pPr>
        <w:rPr>
          <w:color w:val="auto"/>
          <w:szCs w:val="21"/>
        </w:rPr>
      </w:pPr>
    </w:p>
    <w:p w14:paraId="0779AD1F">
      <w:pPr>
        <w:snapToGrid w:val="0"/>
        <w:spacing w:before="50" w:after="120" w:afterLines="50"/>
        <w:jc w:val="left"/>
        <w:rPr>
          <w:color w:val="auto"/>
          <w:szCs w:val="21"/>
        </w:rPr>
      </w:pPr>
      <w:r>
        <w:rPr>
          <w:color w:val="auto"/>
          <w:szCs w:val="21"/>
        </w:rPr>
        <w:t>2．</w:t>
      </w:r>
      <w:r>
        <w:rPr>
          <w:rFonts w:hint="eastAsia"/>
          <w:color w:val="auto"/>
          <w:szCs w:val="21"/>
        </w:rPr>
        <w:t>货物或产品</w:t>
      </w:r>
      <w:r>
        <w:rPr>
          <w:color w:val="auto"/>
          <w:szCs w:val="21"/>
        </w:rPr>
        <w:t>配置清单格式：</w:t>
      </w:r>
    </w:p>
    <w:tbl>
      <w:tblPr>
        <w:tblStyle w:val="51"/>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554"/>
        <w:gridCol w:w="1681"/>
        <w:gridCol w:w="1174"/>
        <w:gridCol w:w="1163"/>
        <w:gridCol w:w="1596"/>
        <w:gridCol w:w="1695"/>
        <w:gridCol w:w="1080"/>
      </w:tblGrid>
      <w:tr w14:paraId="36F050C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30" w:hRule="atLeast"/>
          <w:jc w:val="center"/>
        </w:trPr>
        <w:tc>
          <w:tcPr>
            <w:tcW w:w="554" w:type="dxa"/>
            <w:tcBorders>
              <w:top w:val="single" w:color="auto" w:sz="4" w:space="0"/>
              <w:left w:val="single" w:color="auto" w:sz="4" w:space="0"/>
              <w:bottom w:val="single" w:color="auto" w:sz="4" w:space="0"/>
              <w:right w:val="single" w:color="auto" w:sz="4" w:space="0"/>
            </w:tcBorders>
            <w:noWrap w:val="0"/>
            <w:vAlign w:val="center"/>
          </w:tcPr>
          <w:p w14:paraId="6E2B0B79">
            <w:pPr>
              <w:snapToGrid w:val="0"/>
              <w:spacing w:before="50" w:after="50" w:line="440" w:lineRule="exact"/>
              <w:jc w:val="center"/>
              <w:rPr>
                <w:color w:val="auto"/>
                <w:szCs w:val="21"/>
              </w:rPr>
            </w:pPr>
            <w:r>
              <w:rPr>
                <w:color w:val="auto"/>
                <w:szCs w:val="21"/>
              </w:rPr>
              <w:t>序号</w:t>
            </w:r>
          </w:p>
        </w:tc>
        <w:tc>
          <w:tcPr>
            <w:tcW w:w="1681" w:type="dxa"/>
            <w:tcBorders>
              <w:top w:val="single" w:color="auto" w:sz="4" w:space="0"/>
              <w:left w:val="single" w:color="auto" w:sz="4" w:space="0"/>
              <w:bottom w:val="single" w:color="auto" w:sz="4" w:space="0"/>
              <w:right w:val="single" w:color="auto" w:sz="4" w:space="0"/>
            </w:tcBorders>
            <w:noWrap w:val="0"/>
            <w:vAlign w:val="center"/>
          </w:tcPr>
          <w:p w14:paraId="7A91FD18">
            <w:pPr>
              <w:snapToGrid w:val="0"/>
              <w:spacing w:before="50" w:after="50" w:line="440" w:lineRule="exact"/>
              <w:jc w:val="center"/>
              <w:rPr>
                <w:color w:val="auto"/>
                <w:szCs w:val="21"/>
              </w:rPr>
            </w:pPr>
            <w:r>
              <w:rPr>
                <w:rFonts w:hint="eastAsia"/>
                <w:color w:val="auto"/>
                <w:szCs w:val="21"/>
              </w:rPr>
              <w:t>货物或产品</w:t>
            </w:r>
          </w:p>
          <w:p w14:paraId="0E88E717">
            <w:pPr>
              <w:snapToGrid w:val="0"/>
              <w:spacing w:before="50" w:after="50" w:line="440" w:lineRule="exact"/>
              <w:jc w:val="center"/>
              <w:rPr>
                <w:color w:val="auto"/>
                <w:szCs w:val="21"/>
              </w:rPr>
            </w:pPr>
            <w:r>
              <w:rPr>
                <w:color w:val="auto"/>
                <w:szCs w:val="21"/>
              </w:rPr>
              <w:t>名称</w:t>
            </w:r>
          </w:p>
        </w:tc>
        <w:tc>
          <w:tcPr>
            <w:tcW w:w="1174" w:type="dxa"/>
            <w:tcBorders>
              <w:top w:val="single" w:color="auto" w:sz="4" w:space="0"/>
              <w:left w:val="single" w:color="auto" w:sz="4" w:space="0"/>
              <w:bottom w:val="single" w:color="auto" w:sz="4" w:space="0"/>
              <w:right w:val="single" w:color="auto" w:sz="4" w:space="0"/>
            </w:tcBorders>
            <w:noWrap w:val="0"/>
            <w:vAlign w:val="center"/>
          </w:tcPr>
          <w:p w14:paraId="61647FE9">
            <w:pPr>
              <w:snapToGrid w:val="0"/>
              <w:spacing w:before="50" w:after="50" w:line="440" w:lineRule="exact"/>
              <w:jc w:val="center"/>
              <w:rPr>
                <w:color w:val="auto"/>
                <w:szCs w:val="21"/>
              </w:rPr>
            </w:pPr>
            <w:r>
              <w:rPr>
                <w:color w:val="auto"/>
                <w:szCs w:val="21"/>
              </w:rPr>
              <w:t>品牌或制造商</w:t>
            </w:r>
          </w:p>
        </w:tc>
        <w:tc>
          <w:tcPr>
            <w:tcW w:w="1163" w:type="dxa"/>
            <w:tcBorders>
              <w:top w:val="single" w:color="auto" w:sz="4" w:space="0"/>
              <w:left w:val="single" w:color="auto" w:sz="4" w:space="0"/>
              <w:bottom w:val="single" w:color="auto" w:sz="4" w:space="0"/>
              <w:right w:val="single" w:color="auto" w:sz="4" w:space="0"/>
            </w:tcBorders>
            <w:noWrap w:val="0"/>
            <w:vAlign w:val="center"/>
          </w:tcPr>
          <w:p w14:paraId="46560A84">
            <w:pPr>
              <w:snapToGrid w:val="0"/>
              <w:spacing w:before="50" w:after="50" w:line="440" w:lineRule="exact"/>
              <w:jc w:val="center"/>
              <w:rPr>
                <w:color w:val="auto"/>
                <w:szCs w:val="21"/>
              </w:rPr>
            </w:pPr>
            <w:r>
              <w:rPr>
                <w:color w:val="auto"/>
                <w:szCs w:val="21"/>
              </w:rPr>
              <w:t>规格型号</w:t>
            </w:r>
          </w:p>
        </w:tc>
        <w:tc>
          <w:tcPr>
            <w:tcW w:w="1596" w:type="dxa"/>
            <w:tcBorders>
              <w:top w:val="single" w:color="auto" w:sz="4" w:space="0"/>
              <w:left w:val="single" w:color="auto" w:sz="4" w:space="0"/>
              <w:bottom w:val="single" w:color="auto" w:sz="4" w:space="0"/>
              <w:right w:val="single" w:color="auto" w:sz="4" w:space="0"/>
            </w:tcBorders>
            <w:noWrap w:val="0"/>
            <w:vAlign w:val="center"/>
          </w:tcPr>
          <w:p w14:paraId="4780A34F">
            <w:pPr>
              <w:snapToGrid w:val="0"/>
              <w:spacing w:before="50" w:after="50" w:line="440" w:lineRule="exact"/>
              <w:jc w:val="center"/>
              <w:rPr>
                <w:color w:val="auto"/>
                <w:szCs w:val="21"/>
              </w:rPr>
            </w:pPr>
            <w:r>
              <w:rPr>
                <w:color w:val="auto"/>
                <w:szCs w:val="21"/>
              </w:rPr>
              <w:t>单位及数量</w:t>
            </w:r>
          </w:p>
        </w:tc>
        <w:tc>
          <w:tcPr>
            <w:tcW w:w="1695" w:type="dxa"/>
            <w:tcBorders>
              <w:top w:val="single" w:color="auto" w:sz="4" w:space="0"/>
              <w:left w:val="single" w:color="auto" w:sz="4" w:space="0"/>
              <w:bottom w:val="single" w:color="auto" w:sz="4" w:space="0"/>
              <w:right w:val="single" w:color="auto" w:sz="4" w:space="0"/>
            </w:tcBorders>
            <w:noWrap w:val="0"/>
            <w:vAlign w:val="center"/>
          </w:tcPr>
          <w:p w14:paraId="09EBE177">
            <w:pPr>
              <w:snapToGrid w:val="0"/>
              <w:spacing w:before="50" w:after="50" w:line="440" w:lineRule="exact"/>
              <w:jc w:val="center"/>
              <w:rPr>
                <w:color w:val="auto"/>
                <w:szCs w:val="21"/>
              </w:rPr>
            </w:pPr>
            <w:r>
              <w:rPr>
                <w:color w:val="auto"/>
                <w:szCs w:val="21"/>
              </w:rPr>
              <w:t>性能及指标</w:t>
            </w:r>
          </w:p>
        </w:tc>
        <w:tc>
          <w:tcPr>
            <w:tcW w:w="1080" w:type="dxa"/>
            <w:tcBorders>
              <w:top w:val="single" w:color="auto" w:sz="4" w:space="0"/>
              <w:left w:val="single" w:color="auto" w:sz="4" w:space="0"/>
              <w:bottom w:val="single" w:color="auto" w:sz="4" w:space="0"/>
              <w:right w:val="single" w:color="auto" w:sz="4" w:space="0"/>
            </w:tcBorders>
            <w:noWrap w:val="0"/>
            <w:vAlign w:val="center"/>
          </w:tcPr>
          <w:p w14:paraId="595AD732">
            <w:pPr>
              <w:snapToGrid w:val="0"/>
              <w:spacing w:before="50" w:after="50" w:line="440" w:lineRule="exact"/>
              <w:jc w:val="center"/>
              <w:rPr>
                <w:color w:val="auto"/>
                <w:szCs w:val="21"/>
              </w:rPr>
            </w:pPr>
            <w:r>
              <w:rPr>
                <w:color w:val="auto"/>
                <w:szCs w:val="21"/>
              </w:rPr>
              <w:t>产地</w:t>
            </w:r>
          </w:p>
        </w:tc>
      </w:tr>
      <w:tr w14:paraId="25D8E63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3" w:hRule="atLeast"/>
          <w:jc w:val="center"/>
        </w:trPr>
        <w:tc>
          <w:tcPr>
            <w:tcW w:w="554" w:type="dxa"/>
            <w:tcBorders>
              <w:top w:val="single" w:color="auto" w:sz="4" w:space="0"/>
              <w:left w:val="single" w:color="auto" w:sz="4" w:space="0"/>
              <w:bottom w:val="single" w:color="auto" w:sz="4" w:space="0"/>
              <w:right w:val="single" w:color="auto" w:sz="4" w:space="0"/>
            </w:tcBorders>
            <w:noWrap w:val="0"/>
            <w:vAlign w:val="center"/>
          </w:tcPr>
          <w:p w14:paraId="58006637">
            <w:pPr>
              <w:snapToGrid w:val="0"/>
              <w:spacing w:before="50" w:after="50" w:line="440" w:lineRule="exact"/>
              <w:jc w:val="center"/>
              <w:rPr>
                <w:color w:val="auto"/>
                <w:szCs w:val="21"/>
              </w:rPr>
            </w:pPr>
          </w:p>
        </w:tc>
        <w:tc>
          <w:tcPr>
            <w:tcW w:w="1681" w:type="dxa"/>
            <w:tcBorders>
              <w:top w:val="single" w:color="auto" w:sz="4" w:space="0"/>
              <w:left w:val="single" w:color="auto" w:sz="4" w:space="0"/>
              <w:bottom w:val="single" w:color="auto" w:sz="4" w:space="0"/>
              <w:right w:val="single" w:color="auto" w:sz="4" w:space="0"/>
            </w:tcBorders>
            <w:noWrap w:val="0"/>
            <w:vAlign w:val="center"/>
          </w:tcPr>
          <w:p w14:paraId="1AEBF81F">
            <w:pPr>
              <w:snapToGrid w:val="0"/>
              <w:spacing w:before="50" w:after="50" w:line="440" w:lineRule="exact"/>
              <w:rPr>
                <w:color w:val="auto"/>
                <w:szCs w:val="21"/>
              </w:rPr>
            </w:pPr>
          </w:p>
        </w:tc>
        <w:tc>
          <w:tcPr>
            <w:tcW w:w="1174" w:type="dxa"/>
            <w:tcBorders>
              <w:top w:val="single" w:color="auto" w:sz="4" w:space="0"/>
              <w:left w:val="single" w:color="auto" w:sz="4" w:space="0"/>
              <w:bottom w:val="single" w:color="auto" w:sz="4" w:space="0"/>
              <w:right w:val="single" w:color="auto" w:sz="4" w:space="0"/>
            </w:tcBorders>
            <w:noWrap w:val="0"/>
            <w:vAlign w:val="center"/>
          </w:tcPr>
          <w:p w14:paraId="70233A61">
            <w:pPr>
              <w:snapToGrid w:val="0"/>
              <w:spacing w:before="50" w:after="50" w:line="440" w:lineRule="exact"/>
              <w:jc w:val="center"/>
              <w:rPr>
                <w:color w:val="auto"/>
                <w:szCs w:val="21"/>
              </w:rPr>
            </w:pPr>
          </w:p>
        </w:tc>
        <w:tc>
          <w:tcPr>
            <w:tcW w:w="1163" w:type="dxa"/>
            <w:tcBorders>
              <w:top w:val="single" w:color="auto" w:sz="4" w:space="0"/>
              <w:left w:val="single" w:color="auto" w:sz="4" w:space="0"/>
              <w:bottom w:val="single" w:color="auto" w:sz="4" w:space="0"/>
              <w:right w:val="single" w:color="auto" w:sz="4" w:space="0"/>
            </w:tcBorders>
            <w:noWrap w:val="0"/>
            <w:vAlign w:val="center"/>
          </w:tcPr>
          <w:p w14:paraId="79EF5FA0">
            <w:pPr>
              <w:snapToGrid w:val="0"/>
              <w:spacing w:before="50" w:after="50" w:line="440" w:lineRule="exact"/>
              <w:jc w:val="center"/>
              <w:rPr>
                <w:color w:val="auto"/>
                <w:szCs w:val="21"/>
              </w:rPr>
            </w:pPr>
          </w:p>
        </w:tc>
        <w:tc>
          <w:tcPr>
            <w:tcW w:w="1596" w:type="dxa"/>
            <w:tcBorders>
              <w:top w:val="single" w:color="auto" w:sz="4" w:space="0"/>
              <w:left w:val="single" w:color="auto" w:sz="4" w:space="0"/>
              <w:bottom w:val="single" w:color="auto" w:sz="4" w:space="0"/>
              <w:right w:val="single" w:color="auto" w:sz="4" w:space="0"/>
            </w:tcBorders>
            <w:noWrap w:val="0"/>
            <w:vAlign w:val="center"/>
          </w:tcPr>
          <w:p w14:paraId="5911D897">
            <w:pPr>
              <w:snapToGrid w:val="0"/>
              <w:spacing w:before="50" w:after="50" w:line="440" w:lineRule="exact"/>
              <w:jc w:val="center"/>
              <w:rPr>
                <w:color w:val="auto"/>
                <w:szCs w:val="21"/>
              </w:rPr>
            </w:pPr>
          </w:p>
        </w:tc>
        <w:tc>
          <w:tcPr>
            <w:tcW w:w="1695" w:type="dxa"/>
            <w:tcBorders>
              <w:top w:val="single" w:color="auto" w:sz="4" w:space="0"/>
              <w:left w:val="single" w:color="auto" w:sz="4" w:space="0"/>
              <w:bottom w:val="single" w:color="auto" w:sz="4" w:space="0"/>
              <w:right w:val="single" w:color="auto" w:sz="4" w:space="0"/>
            </w:tcBorders>
            <w:noWrap w:val="0"/>
            <w:vAlign w:val="center"/>
          </w:tcPr>
          <w:p w14:paraId="34621D98">
            <w:pPr>
              <w:snapToGrid w:val="0"/>
              <w:spacing w:before="50" w:after="50" w:line="440" w:lineRule="exact"/>
              <w:jc w:val="center"/>
              <w:rPr>
                <w:color w:val="auto"/>
                <w:szCs w:val="21"/>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14:paraId="4889A5A9">
            <w:pPr>
              <w:snapToGrid w:val="0"/>
              <w:spacing w:before="50" w:after="50" w:line="440" w:lineRule="exact"/>
              <w:jc w:val="center"/>
              <w:rPr>
                <w:color w:val="auto"/>
                <w:szCs w:val="21"/>
              </w:rPr>
            </w:pPr>
          </w:p>
        </w:tc>
      </w:tr>
      <w:tr w14:paraId="5F8D009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58" w:hRule="atLeast"/>
          <w:jc w:val="center"/>
        </w:trPr>
        <w:tc>
          <w:tcPr>
            <w:tcW w:w="554" w:type="dxa"/>
            <w:tcBorders>
              <w:top w:val="single" w:color="auto" w:sz="4" w:space="0"/>
              <w:left w:val="single" w:color="auto" w:sz="4" w:space="0"/>
              <w:bottom w:val="single" w:color="auto" w:sz="4" w:space="0"/>
              <w:right w:val="single" w:color="auto" w:sz="4" w:space="0"/>
            </w:tcBorders>
            <w:noWrap w:val="0"/>
            <w:vAlign w:val="center"/>
          </w:tcPr>
          <w:p w14:paraId="3906D6B3">
            <w:pPr>
              <w:snapToGrid w:val="0"/>
              <w:spacing w:before="50" w:after="50" w:line="440" w:lineRule="exact"/>
              <w:jc w:val="center"/>
              <w:rPr>
                <w:color w:val="auto"/>
                <w:szCs w:val="21"/>
              </w:rPr>
            </w:pPr>
          </w:p>
        </w:tc>
        <w:tc>
          <w:tcPr>
            <w:tcW w:w="1681" w:type="dxa"/>
            <w:tcBorders>
              <w:top w:val="single" w:color="auto" w:sz="4" w:space="0"/>
              <w:left w:val="single" w:color="auto" w:sz="4" w:space="0"/>
              <w:bottom w:val="single" w:color="auto" w:sz="4" w:space="0"/>
              <w:right w:val="single" w:color="auto" w:sz="4" w:space="0"/>
            </w:tcBorders>
            <w:noWrap w:val="0"/>
            <w:vAlign w:val="center"/>
          </w:tcPr>
          <w:p w14:paraId="47207C99">
            <w:pPr>
              <w:snapToGrid w:val="0"/>
              <w:spacing w:before="50" w:after="50" w:line="440" w:lineRule="exact"/>
              <w:jc w:val="center"/>
              <w:rPr>
                <w:color w:val="auto"/>
                <w:szCs w:val="21"/>
              </w:rPr>
            </w:pPr>
          </w:p>
        </w:tc>
        <w:tc>
          <w:tcPr>
            <w:tcW w:w="1174" w:type="dxa"/>
            <w:tcBorders>
              <w:top w:val="single" w:color="auto" w:sz="4" w:space="0"/>
              <w:left w:val="single" w:color="auto" w:sz="4" w:space="0"/>
              <w:bottom w:val="single" w:color="auto" w:sz="4" w:space="0"/>
              <w:right w:val="single" w:color="auto" w:sz="4" w:space="0"/>
            </w:tcBorders>
            <w:noWrap w:val="0"/>
            <w:vAlign w:val="center"/>
          </w:tcPr>
          <w:p w14:paraId="359E21BB">
            <w:pPr>
              <w:snapToGrid w:val="0"/>
              <w:spacing w:before="50" w:after="50" w:line="440" w:lineRule="exact"/>
              <w:jc w:val="center"/>
              <w:rPr>
                <w:color w:val="auto"/>
                <w:szCs w:val="21"/>
              </w:rPr>
            </w:pPr>
          </w:p>
        </w:tc>
        <w:tc>
          <w:tcPr>
            <w:tcW w:w="1163" w:type="dxa"/>
            <w:tcBorders>
              <w:top w:val="single" w:color="auto" w:sz="4" w:space="0"/>
              <w:left w:val="single" w:color="auto" w:sz="4" w:space="0"/>
              <w:bottom w:val="single" w:color="auto" w:sz="4" w:space="0"/>
              <w:right w:val="single" w:color="auto" w:sz="4" w:space="0"/>
            </w:tcBorders>
            <w:noWrap w:val="0"/>
            <w:vAlign w:val="center"/>
          </w:tcPr>
          <w:p w14:paraId="2E5FD8B7">
            <w:pPr>
              <w:snapToGrid w:val="0"/>
              <w:spacing w:before="50" w:after="50" w:line="440" w:lineRule="exact"/>
              <w:jc w:val="center"/>
              <w:rPr>
                <w:color w:val="auto"/>
                <w:szCs w:val="21"/>
              </w:rPr>
            </w:pPr>
          </w:p>
        </w:tc>
        <w:tc>
          <w:tcPr>
            <w:tcW w:w="1596" w:type="dxa"/>
            <w:tcBorders>
              <w:top w:val="single" w:color="auto" w:sz="4" w:space="0"/>
              <w:left w:val="single" w:color="auto" w:sz="4" w:space="0"/>
              <w:bottom w:val="single" w:color="auto" w:sz="4" w:space="0"/>
              <w:right w:val="single" w:color="auto" w:sz="4" w:space="0"/>
            </w:tcBorders>
            <w:noWrap w:val="0"/>
            <w:vAlign w:val="center"/>
          </w:tcPr>
          <w:p w14:paraId="1081131E">
            <w:pPr>
              <w:snapToGrid w:val="0"/>
              <w:spacing w:before="50" w:after="50" w:line="440" w:lineRule="exact"/>
              <w:jc w:val="center"/>
              <w:rPr>
                <w:color w:val="auto"/>
                <w:szCs w:val="21"/>
              </w:rPr>
            </w:pPr>
          </w:p>
        </w:tc>
        <w:tc>
          <w:tcPr>
            <w:tcW w:w="1695" w:type="dxa"/>
            <w:tcBorders>
              <w:top w:val="single" w:color="auto" w:sz="4" w:space="0"/>
              <w:left w:val="single" w:color="auto" w:sz="4" w:space="0"/>
              <w:bottom w:val="single" w:color="auto" w:sz="4" w:space="0"/>
              <w:right w:val="single" w:color="auto" w:sz="4" w:space="0"/>
            </w:tcBorders>
            <w:noWrap w:val="0"/>
            <w:vAlign w:val="center"/>
          </w:tcPr>
          <w:p w14:paraId="27D7BEA3">
            <w:pPr>
              <w:snapToGrid w:val="0"/>
              <w:spacing w:before="50" w:after="50" w:line="440" w:lineRule="exact"/>
              <w:jc w:val="center"/>
              <w:rPr>
                <w:color w:val="auto"/>
                <w:szCs w:val="21"/>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14:paraId="06424D2A">
            <w:pPr>
              <w:snapToGrid w:val="0"/>
              <w:spacing w:before="50" w:after="50" w:line="440" w:lineRule="exact"/>
              <w:jc w:val="center"/>
              <w:rPr>
                <w:color w:val="auto"/>
                <w:szCs w:val="21"/>
              </w:rPr>
            </w:pPr>
          </w:p>
        </w:tc>
      </w:tr>
      <w:tr w14:paraId="49A231B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79" w:hRule="atLeast"/>
          <w:jc w:val="center"/>
        </w:trPr>
        <w:tc>
          <w:tcPr>
            <w:tcW w:w="554" w:type="dxa"/>
            <w:tcBorders>
              <w:top w:val="single" w:color="auto" w:sz="4" w:space="0"/>
              <w:left w:val="single" w:color="auto" w:sz="4" w:space="0"/>
              <w:bottom w:val="single" w:color="auto" w:sz="4" w:space="0"/>
              <w:right w:val="single" w:color="auto" w:sz="4" w:space="0"/>
            </w:tcBorders>
            <w:noWrap w:val="0"/>
            <w:vAlign w:val="center"/>
          </w:tcPr>
          <w:p w14:paraId="5D65A174">
            <w:pPr>
              <w:snapToGrid w:val="0"/>
              <w:spacing w:before="50" w:after="50" w:line="440" w:lineRule="exact"/>
              <w:jc w:val="center"/>
              <w:rPr>
                <w:color w:val="auto"/>
                <w:szCs w:val="21"/>
              </w:rPr>
            </w:pPr>
          </w:p>
        </w:tc>
        <w:tc>
          <w:tcPr>
            <w:tcW w:w="1681" w:type="dxa"/>
            <w:tcBorders>
              <w:top w:val="single" w:color="auto" w:sz="4" w:space="0"/>
              <w:left w:val="single" w:color="auto" w:sz="4" w:space="0"/>
              <w:bottom w:val="single" w:color="auto" w:sz="4" w:space="0"/>
              <w:right w:val="single" w:color="auto" w:sz="4" w:space="0"/>
            </w:tcBorders>
            <w:noWrap w:val="0"/>
            <w:vAlign w:val="center"/>
          </w:tcPr>
          <w:p w14:paraId="719924F2">
            <w:pPr>
              <w:snapToGrid w:val="0"/>
              <w:spacing w:before="50" w:after="50" w:line="440" w:lineRule="exact"/>
              <w:jc w:val="center"/>
              <w:rPr>
                <w:color w:val="auto"/>
                <w:szCs w:val="21"/>
              </w:rPr>
            </w:pPr>
          </w:p>
        </w:tc>
        <w:tc>
          <w:tcPr>
            <w:tcW w:w="1174" w:type="dxa"/>
            <w:tcBorders>
              <w:top w:val="single" w:color="auto" w:sz="4" w:space="0"/>
              <w:left w:val="single" w:color="auto" w:sz="4" w:space="0"/>
              <w:bottom w:val="single" w:color="auto" w:sz="4" w:space="0"/>
              <w:right w:val="single" w:color="auto" w:sz="4" w:space="0"/>
            </w:tcBorders>
            <w:noWrap w:val="0"/>
            <w:vAlign w:val="center"/>
          </w:tcPr>
          <w:p w14:paraId="4F727DC5">
            <w:pPr>
              <w:snapToGrid w:val="0"/>
              <w:spacing w:before="50" w:after="50" w:line="440" w:lineRule="exact"/>
              <w:jc w:val="center"/>
              <w:rPr>
                <w:color w:val="auto"/>
                <w:szCs w:val="21"/>
              </w:rPr>
            </w:pPr>
          </w:p>
        </w:tc>
        <w:tc>
          <w:tcPr>
            <w:tcW w:w="1163" w:type="dxa"/>
            <w:tcBorders>
              <w:top w:val="single" w:color="auto" w:sz="4" w:space="0"/>
              <w:left w:val="single" w:color="auto" w:sz="4" w:space="0"/>
              <w:bottom w:val="single" w:color="auto" w:sz="4" w:space="0"/>
              <w:right w:val="single" w:color="auto" w:sz="4" w:space="0"/>
            </w:tcBorders>
            <w:noWrap w:val="0"/>
            <w:vAlign w:val="center"/>
          </w:tcPr>
          <w:p w14:paraId="1B515530">
            <w:pPr>
              <w:snapToGrid w:val="0"/>
              <w:spacing w:before="50" w:after="50" w:line="440" w:lineRule="exact"/>
              <w:jc w:val="center"/>
              <w:rPr>
                <w:color w:val="auto"/>
                <w:szCs w:val="21"/>
              </w:rPr>
            </w:pPr>
          </w:p>
        </w:tc>
        <w:tc>
          <w:tcPr>
            <w:tcW w:w="1596" w:type="dxa"/>
            <w:tcBorders>
              <w:top w:val="single" w:color="auto" w:sz="4" w:space="0"/>
              <w:left w:val="single" w:color="auto" w:sz="4" w:space="0"/>
              <w:bottom w:val="single" w:color="auto" w:sz="4" w:space="0"/>
              <w:right w:val="single" w:color="auto" w:sz="4" w:space="0"/>
            </w:tcBorders>
            <w:noWrap w:val="0"/>
            <w:vAlign w:val="center"/>
          </w:tcPr>
          <w:p w14:paraId="3052FE16">
            <w:pPr>
              <w:snapToGrid w:val="0"/>
              <w:spacing w:before="50" w:after="50" w:line="440" w:lineRule="exact"/>
              <w:jc w:val="center"/>
              <w:rPr>
                <w:color w:val="auto"/>
                <w:szCs w:val="21"/>
              </w:rPr>
            </w:pPr>
          </w:p>
        </w:tc>
        <w:tc>
          <w:tcPr>
            <w:tcW w:w="1695" w:type="dxa"/>
            <w:tcBorders>
              <w:top w:val="single" w:color="auto" w:sz="4" w:space="0"/>
              <w:left w:val="single" w:color="auto" w:sz="4" w:space="0"/>
              <w:bottom w:val="single" w:color="auto" w:sz="4" w:space="0"/>
              <w:right w:val="single" w:color="auto" w:sz="4" w:space="0"/>
            </w:tcBorders>
            <w:noWrap w:val="0"/>
            <w:vAlign w:val="center"/>
          </w:tcPr>
          <w:p w14:paraId="25E43877">
            <w:pPr>
              <w:snapToGrid w:val="0"/>
              <w:spacing w:before="50" w:after="50" w:line="440" w:lineRule="exact"/>
              <w:jc w:val="center"/>
              <w:rPr>
                <w:color w:val="auto"/>
                <w:szCs w:val="21"/>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14:paraId="2D971AA3">
            <w:pPr>
              <w:snapToGrid w:val="0"/>
              <w:spacing w:before="50" w:after="50" w:line="440" w:lineRule="exact"/>
              <w:jc w:val="center"/>
              <w:rPr>
                <w:color w:val="auto"/>
                <w:szCs w:val="21"/>
              </w:rPr>
            </w:pPr>
          </w:p>
        </w:tc>
      </w:tr>
    </w:tbl>
    <w:p w14:paraId="23307406">
      <w:pPr>
        <w:snapToGrid w:val="0"/>
        <w:spacing w:before="50" w:after="50" w:line="440" w:lineRule="exact"/>
        <w:rPr>
          <w:color w:val="auto"/>
          <w:szCs w:val="21"/>
        </w:rPr>
      </w:pPr>
      <w:r>
        <w:rPr>
          <w:color w:val="auto"/>
          <w:szCs w:val="21"/>
        </w:rPr>
        <w:t>供应商</w:t>
      </w:r>
      <w:r>
        <w:rPr>
          <w:rFonts w:hint="eastAsia"/>
          <w:color w:val="auto"/>
          <w:szCs w:val="21"/>
        </w:rPr>
        <w:t>名称(电子签章</w:t>
      </w:r>
      <w:r>
        <w:rPr>
          <w:color w:val="auto"/>
          <w:szCs w:val="21"/>
        </w:rPr>
        <w:t>)</w:t>
      </w:r>
      <w:r>
        <w:rPr>
          <w:color w:val="auto"/>
          <w:spacing w:val="20"/>
          <w:szCs w:val="21"/>
        </w:rPr>
        <w:t>：</w:t>
      </w:r>
      <w:r>
        <w:rPr>
          <w:color w:val="auto"/>
          <w:spacing w:val="20"/>
          <w:szCs w:val="21"/>
          <w:u w:val="single"/>
        </w:rPr>
        <w:t xml:space="preserve">            </w:t>
      </w:r>
      <w:r>
        <w:rPr>
          <w:color w:val="auto"/>
          <w:spacing w:val="20"/>
          <w:szCs w:val="21"/>
        </w:rPr>
        <w:t xml:space="preserve">              日  期：</w:t>
      </w:r>
      <w:r>
        <w:rPr>
          <w:color w:val="auto"/>
          <w:spacing w:val="20"/>
          <w:szCs w:val="21"/>
          <w:u w:val="single"/>
        </w:rPr>
        <w:t xml:space="preserve">          </w:t>
      </w:r>
    </w:p>
    <w:p w14:paraId="5B6F328C">
      <w:pPr>
        <w:rPr>
          <w:color w:val="auto"/>
          <w:szCs w:val="21"/>
        </w:rPr>
      </w:pPr>
    </w:p>
    <w:p w14:paraId="0580D1C5">
      <w:pPr>
        <w:rPr>
          <w:color w:val="auto"/>
          <w:szCs w:val="21"/>
        </w:rPr>
      </w:pPr>
      <w:bookmarkStart w:id="159" w:name="_Hlk19115689"/>
      <w:r>
        <w:rPr>
          <w:color w:val="auto"/>
          <w:szCs w:val="21"/>
        </w:rPr>
        <w:t>3．</w:t>
      </w:r>
      <w:r>
        <w:rPr>
          <w:rFonts w:hint="eastAsia"/>
          <w:color w:val="auto"/>
          <w:szCs w:val="21"/>
        </w:rPr>
        <w:t>投标货物或产品的质量保证说明</w:t>
      </w:r>
    </w:p>
    <w:p w14:paraId="05707007">
      <w:pPr>
        <w:rPr>
          <w:color w:val="auto"/>
          <w:szCs w:val="21"/>
        </w:rPr>
      </w:pPr>
    </w:p>
    <w:p w14:paraId="6585F867">
      <w:pPr>
        <w:rPr>
          <w:color w:val="auto"/>
          <w:szCs w:val="21"/>
        </w:rPr>
      </w:pPr>
    </w:p>
    <w:p w14:paraId="23ECCDB6">
      <w:pPr>
        <w:jc w:val="left"/>
        <w:rPr>
          <w:color w:val="auto"/>
          <w:szCs w:val="21"/>
        </w:rPr>
      </w:pPr>
      <w:r>
        <w:rPr>
          <w:rFonts w:hint="eastAsia"/>
          <w:color w:val="auto"/>
          <w:szCs w:val="21"/>
        </w:rPr>
        <w:t>4</w:t>
      </w:r>
      <w:r>
        <w:rPr>
          <w:color w:val="auto"/>
          <w:szCs w:val="21"/>
        </w:rPr>
        <w:t>．质量保证期过后的优惠条件：供应商承诺给予采购人的各种优惠条件，包括</w:t>
      </w:r>
      <w:r>
        <w:rPr>
          <w:rFonts w:hint="eastAsia"/>
          <w:color w:val="auto"/>
          <w:szCs w:val="21"/>
        </w:rPr>
        <w:t>货物或产品的</w:t>
      </w:r>
      <w:r>
        <w:rPr>
          <w:color w:val="auto"/>
          <w:szCs w:val="21"/>
        </w:rPr>
        <w:t>售后服务、备品备件、专用耗材等方面的优惠条件。</w:t>
      </w:r>
    </w:p>
    <w:p w14:paraId="7EE51E61">
      <w:pPr>
        <w:jc w:val="center"/>
        <w:rPr>
          <w:color w:val="auto"/>
          <w:szCs w:val="21"/>
        </w:rPr>
      </w:pPr>
      <w:r>
        <w:rPr>
          <w:color w:val="auto"/>
          <w:szCs w:val="21"/>
        </w:rPr>
        <w:t>常用的、容易损坏的备品备件及易损件的优惠价格清单</w:t>
      </w:r>
    </w:p>
    <w:tbl>
      <w:tblPr>
        <w:tblStyle w:val="51"/>
        <w:tblW w:w="8972"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0" w:type="dxa"/>
          <w:bottom w:w="0" w:type="dxa"/>
          <w:right w:w="0" w:type="dxa"/>
        </w:tblCellMar>
      </w:tblPr>
      <w:tblGrid>
        <w:gridCol w:w="850"/>
        <w:gridCol w:w="3124"/>
        <w:gridCol w:w="2276"/>
        <w:gridCol w:w="1639"/>
        <w:gridCol w:w="1083"/>
      </w:tblGrid>
      <w:tr w14:paraId="5879345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612" w:hRule="atLeast"/>
        </w:trPr>
        <w:tc>
          <w:tcPr>
            <w:tcW w:w="850" w:type="dxa"/>
            <w:tcBorders>
              <w:top w:val="single" w:color="auto" w:sz="4" w:space="0"/>
              <w:left w:val="single" w:color="auto" w:sz="4" w:space="0"/>
              <w:bottom w:val="single" w:color="auto" w:sz="4" w:space="0"/>
              <w:right w:val="single" w:color="auto" w:sz="4" w:space="0"/>
            </w:tcBorders>
            <w:noWrap w:val="0"/>
            <w:tcMar>
              <w:top w:w="15" w:type="dxa"/>
              <w:left w:w="15" w:type="dxa"/>
              <w:bottom w:w="0" w:type="dxa"/>
              <w:right w:w="15" w:type="dxa"/>
            </w:tcMar>
            <w:vAlign w:val="center"/>
          </w:tcPr>
          <w:p w14:paraId="1B89F0BA">
            <w:pPr>
              <w:rPr>
                <w:color w:val="auto"/>
                <w:szCs w:val="21"/>
              </w:rPr>
            </w:pPr>
            <w:r>
              <w:rPr>
                <w:color w:val="auto"/>
                <w:szCs w:val="21"/>
              </w:rPr>
              <w:t>序号</w:t>
            </w:r>
          </w:p>
        </w:tc>
        <w:tc>
          <w:tcPr>
            <w:tcW w:w="3124" w:type="dxa"/>
            <w:tcBorders>
              <w:top w:val="single" w:color="auto" w:sz="4" w:space="0"/>
              <w:left w:val="single" w:color="auto" w:sz="4" w:space="0"/>
              <w:bottom w:val="single" w:color="auto" w:sz="2" w:space="0"/>
              <w:right w:val="single" w:color="auto" w:sz="4" w:space="0"/>
            </w:tcBorders>
            <w:noWrap w:val="0"/>
            <w:vAlign w:val="center"/>
          </w:tcPr>
          <w:p w14:paraId="561466B7">
            <w:pPr>
              <w:snapToGrid w:val="0"/>
              <w:spacing w:before="50" w:after="50" w:line="440" w:lineRule="exact"/>
              <w:jc w:val="center"/>
              <w:rPr>
                <w:color w:val="auto"/>
                <w:szCs w:val="21"/>
              </w:rPr>
            </w:pPr>
            <w:r>
              <w:rPr>
                <w:color w:val="auto"/>
                <w:szCs w:val="21"/>
              </w:rPr>
              <w:t>备品备件、专用耗材名称</w:t>
            </w:r>
          </w:p>
        </w:tc>
        <w:tc>
          <w:tcPr>
            <w:tcW w:w="2276" w:type="dxa"/>
            <w:tcBorders>
              <w:top w:val="single" w:color="auto" w:sz="4" w:space="0"/>
              <w:left w:val="single" w:color="auto" w:sz="4" w:space="0"/>
              <w:bottom w:val="single" w:color="auto" w:sz="2" w:space="0"/>
              <w:right w:val="single" w:color="auto" w:sz="4" w:space="0"/>
            </w:tcBorders>
            <w:noWrap w:val="0"/>
            <w:vAlign w:val="center"/>
          </w:tcPr>
          <w:p w14:paraId="6D51C763">
            <w:pPr>
              <w:jc w:val="center"/>
              <w:rPr>
                <w:color w:val="auto"/>
                <w:szCs w:val="21"/>
              </w:rPr>
            </w:pPr>
            <w:r>
              <w:rPr>
                <w:color w:val="auto"/>
                <w:szCs w:val="21"/>
              </w:rPr>
              <w:t>适用于</w:t>
            </w:r>
            <w:r>
              <w:rPr>
                <w:rFonts w:hint="eastAsia"/>
                <w:color w:val="auto"/>
                <w:szCs w:val="21"/>
              </w:rPr>
              <w:t>何种投标货物（产品）名称及规格型号</w:t>
            </w:r>
          </w:p>
        </w:tc>
        <w:tc>
          <w:tcPr>
            <w:tcW w:w="1639" w:type="dxa"/>
            <w:tcBorders>
              <w:top w:val="single" w:color="auto" w:sz="4" w:space="0"/>
              <w:left w:val="single" w:color="auto" w:sz="4" w:space="0"/>
              <w:bottom w:val="single" w:color="auto" w:sz="2" w:space="0"/>
              <w:right w:val="single" w:color="auto" w:sz="4" w:space="0"/>
            </w:tcBorders>
            <w:noWrap w:val="0"/>
            <w:vAlign w:val="center"/>
          </w:tcPr>
          <w:p w14:paraId="3F492B45">
            <w:pPr>
              <w:jc w:val="center"/>
              <w:rPr>
                <w:color w:val="auto"/>
                <w:szCs w:val="21"/>
              </w:rPr>
            </w:pPr>
            <w:r>
              <w:rPr>
                <w:color w:val="auto"/>
                <w:szCs w:val="21"/>
              </w:rPr>
              <w:t>优惠内容</w:t>
            </w:r>
          </w:p>
        </w:tc>
        <w:tc>
          <w:tcPr>
            <w:tcW w:w="1083" w:type="dxa"/>
            <w:tcBorders>
              <w:top w:val="single" w:color="auto" w:sz="4" w:space="0"/>
              <w:left w:val="single" w:color="auto" w:sz="4" w:space="0"/>
              <w:bottom w:val="single" w:color="auto" w:sz="2" w:space="0"/>
              <w:right w:val="single" w:color="auto" w:sz="4" w:space="0"/>
            </w:tcBorders>
            <w:noWrap w:val="0"/>
            <w:tcMar>
              <w:top w:w="15" w:type="dxa"/>
              <w:left w:w="15" w:type="dxa"/>
              <w:bottom w:w="0" w:type="dxa"/>
              <w:right w:w="15" w:type="dxa"/>
            </w:tcMar>
            <w:vAlign w:val="center"/>
          </w:tcPr>
          <w:p w14:paraId="4853E0B0">
            <w:pPr>
              <w:jc w:val="center"/>
              <w:rPr>
                <w:color w:val="auto"/>
                <w:szCs w:val="21"/>
              </w:rPr>
            </w:pPr>
            <w:r>
              <w:rPr>
                <w:color w:val="auto"/>
                <w:szCs w:val="21"/>
              </w:rPr>
              <w:t>优惠单价</w:t>
            </w:r>
          </w:p>
        </w:tc>
      </w:tr>
      <w:tr w14:paraId="10EE5CC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290" w:hRule="atLeast"/>
        </w:trPr>
        <w:tc>
          <w:tcPr>
            <w:tcW w:w="850" w:type="dxa"/>
            <w:tcBorders>
              <w:top w:val="single" w:color="auto" w:sz="4" w:space="0"/>
              <w:left w:val="single" w:color="auto" w:sz="4" w:space="0"/>
              <w:bottom w:val="single" w:color="auto" w:sz="4" w:space="0"/>
              <w:right w:val="single" w:color="auto" w:sz="2" w:space="0"/>
            </w:tcBorders>
            <w:noWrap w:val="0"/>
            <w:tcMar>
              <w:top w:w="15" w:type="dxa"/>
              <w:left w:w="15" w:type="dxa"/>
              <w:bottom w:w="0" w:type="dxa"/>
              <w:right w:w="15" w:type="dxa"/>
            </w:tcMar>
            <w:vAlign w:val="center"/>
          </w:tcPr>
          <w:p w14:paraId="3FD421EA">
            <w:pPr>
              <w:jc w:val="center"/>
              <w:rPr>
                <w:color w:val="auto"/>
                <w:szCs w:val="21"/>
              </w:rPr>
            </w:pPr>
            <w:r>
              <w:rPr>
                <w:color w:val="auto"/>
                <w:szCs w:val="21"/>
              </w:rPr>
              <w:t>1</w:t>
            </w:r>
          </w:p>
        </w:tc>
        <w:tc>
          <w:tcPr>
            <w:tcW w:w="3124" w:type="dxa"/>
            <w:tcBorders>
              <w:top w:val="single" w:color="auto" w:sz="2" w:space="0"/>
              <w:left w:val="single" w:color="auto" w:sz="2" w:space="0"/>
              <w:bottom w:val="single" w:color="auto" w:sz="6" w:space="0"/>
              <w:right w:val="single" w:color="auto" w:sz="4" w:space="0"/>
            </w:tcBorders>
            <w:noWrap w:val="0"/>
            <w:vAlign w:val="center"/>
          </w:tcPr>
          <w:p w14:paraId="584ABC83">
            <w:pPr>
              <w:rPr>
                <w:color w:val="auto"/>
                <w:szCs w:val="21"/>
              </w:rPr>
            </w:pPr>
          </w:p>
        </w:tc>
        <w:tc>
          <w:tcPr>
            <w:tcW w:w="2276" w:type="dxa"/>
            <w:tcBorders>
              <w:top w:val="single" w:color="auto" w:sz="2" w:space="0"/>
              <w:left w:val="single" w:color="auto" w:sz="4" w:space="0"/>
              <w:bottom w:val="single" w:color="auto" w:sz="6" w:space="0"/>
              <w:right w:val="single" w:color="auto" w:sz="6" w:space="0"/>
            </w:tcBorders>
            <w:noWrap w:val="0"/>
            <w:vAlign w:val="center"/>
          </w:tcPr>
          <w:p w14:paraId="49BBDD2D">
            <w:pPr>
              <w:rPr>
                <w:color w:val="auto"/>
                <w:szCs w:val="21"/>
              </w:rPr>
            </w:pPr>
          </w:p>
        </w:tc>
        <w:tc>
          <w:tcPr>
            <w:tcW w:w="1639" w:type="dxa"/>
            <w:tcBorders>
              <w:top w:val="single" w:color="auto" w:sz="2" w:space="0"/>
              <w:left w:val="single" w:color="auto" w:sz="6" w:space="0"/>
              <w:bottom w:val="single" w:color="auto" w:sz="6" w:space="0"/>
              <w:right w:val="single" w:color="auto" w:sz="6" w:space="0"/>
            </w:tcBorders>
            <w:noWrap w:val="0"/>
            <w:vAlign w:val="top"/>
          </w:tcPr>
          <w:p w14:paraId="06E6DD08">
            <w:pPr>
              <w:rPr>
                <w:color w:val="auto"/>
                <w:szCs w:val="21"/>
              </w:rPr>
            </w:pPr>
          </w:p>
        </w:tc>
        <w:tc>
          <w:tcPr>
            <w:tcW w:w="1083" w:type="dxa"/>
            <w:tcBorders>
              <w:top w:val="single" w:color="auto" w:sz="2" w:space="0"/>
              <w:left w:val="single" w:color="auto" w:sz="6" w:space="0"/>
              <w:bottom w:val="single" w:color="auto" w:sz="6" w:space="0"/>
              <w:right w:val="single" w:color="auto" w:sz="6" w:space="0"/>
            </w:tcBorders>
            <w:noWrap w:val="0"/>
            <w:tcMar>
              <w:top w:w="15" w:type="dxa"/>
              <w:left w:w="15" w:type="dxa"/>
              <w:bottom w:w="0" w:type="dxa"/>
              <w:right w:w="15" w:type="dxa"/>
            </w:tcMar>
            <w:vAlign w:val="center"/>
          </w:tcPr>
          <w:p w14:paraId="0CBA6802">
            <w:pPr>
              <w:rPr>
                <w:color w:val="auto"/>
                <w:szCs w:val="21"/>
              </w:rPr>
            </w:pPr>
          </w:p>
        </w:tc>
      </w:tr>
      <w:tr w14:paraId="2160996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290" w:hRule="atLeast"/>
        </w:trPr>
        <w:tc>
          <w:tcPr>
            <w:tcW w:w="850" w:type="dxa"/>
            <w:tcBorders>
              <w:top w:val="single" w:color="auto" w:sz="4" w:space="0"/>
              <w:left w:val="single" w:color="auto" w:sz="4" w:space="0"/>
              <w:bottom w:val="single" w:color="auto" w:sz="4" w:space="0"/>
              <w:right w:val="single" w:color="auto" w:sz="2" w:space="0"/>
            </w:tcBorders>
            <w:noWrap w:val="0"/>
            <w:tcMar>
              <w:top w:w="15" w:type="dxa"/>
              <w:left w:w="15" w:type="dxa"/>
              <w:bottom w:w="0" w:type="dxa"/>
              <w:right w:w="15" w:type="dxa"/>
            </w:tcMar>
            <w:vAlign w:val="center"/>
          </w:tcPr>
          <w:p w14:paraId="5B06F041">
            <w:pPr>
              <w:jc w:val="center"/>
              <w:rPr>
                <w:color w:val="auto"/>
                <w:szCs w:val="21"/>
              </w:rPr>
            </w:pPr>
            <w:r>
              <w:rPr>
                <w:color w:val="auto"/>
                <w:szCs w:val="21"/>
              </w:rPr>
              <w:t>2</w:t>
            </w:r>
          </w:p>
        </w:tc>
        <w:tc>
          <w:tcPr>
            <w:tcW w:w="3124" w:type="dxa"/>
            <w:tcBorders>
              <w:top w:val="single" w:color="auto" w:sz="6" w:space="0"/>
              <w:left w:val="single" w:color="auto" w:sz="2" w:space="0"/>
              <w:bottom w:val="single" w:color="auto" w:sz="6" w:space="0"/>
              <w:right w:val="single" w:color="auto" w:sz="4" w:space="0"/>
            </w:tcBorders>
            <w:noWrap w:val="0"/>
            <w:vAlign w:val="center"/>
          </w:tcPr>
          <w:p w14:paraId="002B9A47">
            <w:pPr>
              <w:rPr>
                <w:color w:val="auto"/>
                <w:szCs w:val="21"/>
              </w:rPr>
            </w:pPr>
          </w:p>
        </w:tc>
        <w:tc>
          <w:tcPr>
            <w:tcW w:w="2276" w:type="dxa"/>
            <w:tcBorders>
              <w:top w:val="single" w:color="auto" w:sz="6" w:space="0"/>
              <w:left w:val="single" w:color="auto" w:sz="4" w:space="0"/>
              <w:bottom w:val="single" w:color="auto" w:sz="6" w:space="0"/>
              <w:right w:val="single" w:color="auto" w:sz="6" w:space="0"/>
            </w:tcBorders>
            <w:noWrap w:val="0"/>
            <w:vAlign w:val="center"/>
          </w:tcPr>
          <w:p w14:paraId="28911103">
            <w:pPr>
              <w:rPr>
                <w:color w:val="auto"/>
                <w:szCs w:val="21"/>
              </w:rPr>
            </w:pPr>
          </w:p>
        </w:tc>
        <w:tc>
          <w:tcPr>
            <w:tcW w:w="1639" w:type="dxa"/>
            <w:tcBorders>
              <w:top w:val="single" w:color="auto" w:sz="6" w:space="0"/>
              <w:left w:val="single" w:color="auto" w:sz="6" w:space="0"/>
              <w:bottom w:val="single" w:color="auto" w:sz="6" w:space="0"/>
              <w:right w:val="single" w:color="auto" w:sz="6" w:space="0"/>
            </w:tcBorders>
            <w:noWrap w:val="0"/>
            <w:vAlign w:val="top"/>
          </w:tcPr>
          <w:p w14:paraId="60E49ED6">
            <w:pPr>
              <w:rPr>
                <w:color w:val="auto"/>
                <w:szCs w:val="21"/>
              </w:rPr>
            </w:pPr>
          </w:p>
        </w:tc>
        <w:tc>
          <w:tcPr>
            <w:tcW w:w="1083" w:type="dxa"/>
            <w:tcBorders>
              <w:top w:val="single" w:color="auto" w:sz="6" w:space="0"/>
              <w:left w:val="single" w:color="auto" w:sz="6" w:space="0"/>
              <w:bottom w:val="single" w:color="auto" w:sz="6" w:space="0"/>
              <w:right w:val="single" w:color="auto" w:sz="6" w:space="0"/>
            </w:tcBorders>
            <w:noWrap w:val="0"/>
            <w:tcMar>
              <w:top w:w="15" w:type="dxa"/>
              <w:left w:w="15" w:type="dxa"/>
              <w:bottom w:w="0" w:type="dxa"/>
              <w:right w:w="15" w:type="dxa"/>
            </w:tcMar>
            <w:vAlign w:val="center"/>
          </w:tcPr>
          <w:p w14:paraId="6B963E39">
            <w:pPr>
              <w:rPr>
                <w:color w:val="auto"/>
                <w:szCs w:val="21"/>
              </w:rPr>
            </w:pPr>
          </w:p>
        </w:tc>
      </w:tr>
      <w:tr w14:paraId="3462F0C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290" w:hRule="atLeast"/>
        </w:trPr>
        <w:tc>
          <w:tcPr>
            <w:tcW w:w="850" w:type="dxa"/>
            <w:tcBorders>
              <w:top w:val="single" w:color="auto" w:sz="4" w:space="0"/>
              <w:left w:val="single" w:color="auto" w:sz="4" w:space="0"/>
              <w:bottom w:val="single" w:color="auto" w:sz="4" w:space="0"/>
              <w:right w:val="single" w:color="auto" w:sz="2" w:space="0"/>
            </w:tcBorders>
            <w:noWrap w:val="0"/>
            <w:tcMar>
              <w:top w:w="15" w:type="dxa"/>
              <w:left w:w="15" w:type="dxa"/>
              <w:bottom w:w="0" w:type="dxa"/>
              <w:right w:w="15" w:type="dxa"/>
            </w:tcMar>
            <w:vAlign w:val="center"/>
          </w:tcPr>
          <w:p w14:paraId="5728387A">
            <w:pPr>
              <w:jc w:val="center"/>
              <w:rPr>
                <w:color w:val="auto"/>
                <w:szCs w:val="21"/>
              </w:rPr>
            </w:pPr>
            <w:r>
              <w:rPr>
                <w:color w:val="auto"/>
                <w:szCs w:val="21"/>
              </w:rPr>
              <w:t>3</w:t>
            </w:r>
          </w:p>
        </w:tc>
        <w:tc>
          <w:tcPr>
            <w:tcW w:w="3124" w:type="dxa"/>
            <w:tcBorders>
              <w:top w:val="single" w:color="auto" w:sz="6" w:space="0"/>
              <w:left w:val="single" w:color="auto" w:sz="2" w:space="0"/>
              <w:bottom w:val="single" w:color="auto" w:sz="6" w:space="0"/>
              <w:right w:val="single" w:color="auto" w:sz="4" w:space="0"/>
            </w:tcBorders>
            <w:noWrap w:val="0"/>
            <w:vAlign w:val="center"/>
          </w:tcPr>
          <w:p w14:paraId="32336684">
            <w:pPr>
              <w:rPr>
                <w:color w:val="auto"/>
                <w:szCs w:val="21"/>
              </w:rPr>
            </w:pPr>
          </w:p>
        </w:tc>
        <w:tc>
          <w:tcPr>
            <w:tcW w:w="2276" w:type="dxa"/>
            <w:tcBorders>
              <w:top w:val="single" w:color="auto" w:sz="6" w:space="0"/>
              <w:left w:val="single" w:color="auto" w:sz="4" w:space="0"/>
              <w:bottom w:val="single" w:color="auto" w:sz="6" w:space="0"/>
              <w:right w:val="single" w:color="auto" w:sz="6" w:space="0"/>
            </w:tcBorders>
            <w:noWrap w:val="0"/>
            <w:vAlign w:val="center"/>
          </w:tcPr>
          <w:p w14:paraId="4971B09B">
            <w:pPr>
              <w:rPr>
                <w:color w:val="auto"/>
                <w:szCs w:val="21"/>
              </w:rPr>
            </w:pPr>
          </w:p>
        </w:tc>
        <w:tc>
          <w:tcPr>
            <w:tcW w:w="1639" w:type="dxa"/>
            <w:tcBorders>
              <w:top w:val="single" w:color="auto" w:sz="6" w:space="0"/>
              <w:left w:val="single" w:color="auto" w:sz="6" w:space="0"/>
              <w:bottom w:val="single" w:color="auto" w:sz="6" w:space="0"/>
              <w:right w:val="single" w:color="auto" w:sz="6" w:space="0"/>
            </w:tcBorders>
            <w:noWrap w:val="0"/>
            <w:vAlign w:val="top"/>
          </w:tcPr>
          <w:p w14:paraId="45779C9F">
            <w:pPr>
              <w:rPr>
                <w:color w:val="auto"/>
                <w:szCs w:val="21"/>
              </w:rPr>
            </w:pPr>
          </w:p>
        </w:tc>
        <w:tc>
          <w:tcPr>
            <w:tcW w:w="1083" w:type="dxa"/>
            <w:tcBorders>
              <w:top w:val="single" w:color="auto" w:sz="6" w:space="0"/>
              <w:left w:val="single" w:color="auto" w:sz="6" w:space="0"/>
              <w:bottom w:val="single" w:color="auto" w:sz="6" w:space="0"/>
              <w:right w:val="single" w:color="auto" w:sz="6" w:space="0"/>
            </w:tcBorders>
            <w:noWrap w:val="0"/>
            <w:tcMar>
              <w:top w:w="15" w:type="dxa"/>
              <w:left w:w="15" w:type="dxa"/>
              <w:bottom w:w="0" w:type="dxa"/>
              <w:right w:w="15" w:type="dxa"/>
            </w:tcMar>
            <w:vAlign w:val="center"/>
          </w:tcPr>
          <w:p w14:paraId="71CABF5B">
            <w:pPr>
              <w:rPr>
                <w:color w:val="auto"/>
                <w:szCs w:val="21"/>
              </w:rPr>
            </w:pPr>
          </w:p>
        </w:tc>
      </w:tr>
    </w:tbl>
    <w:p w14:paraId="56C37E6B">
      <w:pPr>
        <w:rPr>
          <w:color w:val="auto"/>
          <w:szCs w:val="21"/>
        </w:rPr>
      </w:pPr>
    </w:p>
    <w:p w14:paraId="7EA6014B">
      <w:pPr>
        <w:rPr>
          <w:color w:val="auto"/>
          <w:szCs w:val="21"/>
        </w:rPr>
      </w:pPr>
      <w:r>
        <w:rPr>
          <w:color w:val="auto"/>
          <w:szCs w:val="21"/>
        </w:rPr>
        <w:t>供应商</w:t>
      </w:r>
      <w:r>
        <w:rPr>
          <w:rFonts w:hint="eastAsia"/>
          <w:color w:val="auto"/>
          <w:szCs w:val="21"/>
        </w:rPr>
        <w:t>名称(电子签章</w:t>
      </w:r>
      <w:r>
        <w:rPr>
          <w:color w:val="auto"/>
          <w:szCs w:val="21"/>
        </w:rPr>
        <w:t>)</w:t>
      </w:r>
      <w:r>
        <w:rPr>
          <w:color w:val="auto"/>
          <w:spacing w:val="20"/>
          <w:szCs w:val="21"/>
        </w:rPr>
        <w:t>：</w:t>
      </w:r>
      <w:r>
        <w:rPr>
          <w:color w:val="auto"/>
          <w:spacing w:val="20"/>
          <w:szCs w:val="21"/>
          <w:u w:val="single"/>
        </w:rPr>
        <w:t xml:space="preserve">            </w:t>
      </w:r>
      <w:r>
        <w:rPr>
          <w:color w:val="auto"/>
          <w:spacing w:val="20"/>
          <w:szCs w:val="21"/>
        </w:rPr>
        <w:t xml:space="preserve">            日 期：</w:t>
      </w:r>
      <w:r>
        <w:rPr>
          <w:color w:val="auto"/>
          <w:spacing w:val="20"/>
          <w:szCs w:val="21"/>
          <w:u w:val="single"/>
        </w:rPr>
        <w:t xml:space="preserve">            </w:t>
      </w:r>
    </w:p>
    <w:bookmarkEnd w:id="159"/>
    <w:p w14:paraId="4C112710">
      <w:pPr>
        <w:rPr>
          <w:color w:val="auto"/>
          <w:szCs w:val="21"/>
        </w:rPr>
      </w:pPr>
    </w:p>
    <w:p w14:paraId="0992CE7E">
      <w:pPr>
        <w:rPr>
          <w:color w:val="auto"/>
          <w:szCs w:val="21"/>
        </w:rPr>
      </w:pPr>
    </w:p>
    <w:p w14:paraId="4952C15E">
      <w:pPr>
        <w:rPr>
          <w:color w:val="auto"/>
          <w:szCs w:val="21"/>
        </w:rPr>
      </w:pPr>
    </w:p>
    <w:p w14:paraId="094F5C2F">
      <w:pPr>
        <w:snapToGrid w:val="0"/>
        <w:spacing w:before="50" w:after="120" w:afterLines="50"/>
        <w:jc w:val="left"/>
        <w:rPr>
          <w:color w:val="auto"/>
          <w:szCs w:val="21"/>
        </w:rPr>
      </w:pPr>
      <w:r>
        <w:rPr>
          <w:rFonts w:hint="eastAsia"/>
          <w:color w:val="auto"/>
          <w:szCs w:val="21"/>
        </w:rPr>
        <w:t>5</w:t>
      </w:r>
      <w:r>
        <w:rPr>
          <w:color w:val="auto"/>
          <w:szCs w:val="21"/>
        </w:rPr>
        <w:t>．产品出厂标准、质量检测报告。</w:t>
      </w:r>
    </w:p>
    <w:p w14:paraId="1CF6B541">
      <w:pPr>
        <w:rPr>
          <w:color w:val="auto"/>
          <w:szCs w:val="21"/>
        </w:rPr>
      </w:pPr>
    </w:p>
    <w:p w14:paraId="1CC17770">
      <w:pPr>
        <w:rPr>
          <w:color w:val="auto"/>
          <w:szCs w:val="21"/>
        </w:rPr>
      </w:pPr>
    </w:p>
    <w:p w14:paraId="25CADA4C">
      <w:pPr>
        <w:rPr>
          <w:color w:val="auto"/>
          <w:szCs w:val="21"/>
        </w:rPr>
      </w:pPr>
    </w:p>
    <w:p w14:paraId="0290BBF9">
      <w:pPr>
        <w:snapToGrid w:val="0"/>
        <w:spacing w:before="50" w:after="120" w:afterLines="50"/>
        <w:jc w:val="left"/>
        <w:rPr>
          <w:color w:val="auto"/>
          <w:szCs w:val="21"/>
        </w:rPr>
      </w:pPr>
      <w:r>
        <w:rPr>
          <w:rFonts w:hint="eastAsia"/>
          <w:color w:val="auto"/>
          <w:szCs w:val="21"/>
        </w:rPr>
        <w:t>6</w:t>
      </w:r>
      <w:r>
        <w:rPr>
          <w:color w:val="auto"/>
          <w:szCs w:val="21"/>
        </w:rPr>
        <w:t>．原厂出厂配置表及原厂中文使用说明书。</w:t>
      </w:r>
    </w:p>
    <w:p w14:paraId="2EDE1A08">
      <w:pPr>
        <w:rPr>
          <w:color w:val="auto"/>
          <w:szCs w:val="21"/>
        </w:rPr>
      </w:pPr>
    </w:p>
    <w:p w14:paraId="56D3E30E">
      <w:pPr>
        <w:rPr>
          <w:color w:val="auto"/>
          <w:szCs w:val="21"/>
        </w:rPr>
      </w:pPr>
    </w:p>
    <w:p w14:paraId="12145E53">
      <w:pPr>
        <w:rPr>
          <w:color w:val="auto"/>
          <w:szCs w:val="21"/>
        </w:rPr>
      </w:pPr>
    </w:p>
    <w:p w14:paraId="1C91E4D5">
      <w:pPr>
        <w:rPr>
          <w:color w:val="auto"/>
          <w:szCs w:val="21"/>
        </w:rPr>
      </w:pPr>
      <w:r>
        <w:rPr>
          <w:rFonts w:hint="eastAsia"/>
          <w:color w:val="auto"/>
          <w:szCs w:val="21"/>
        </w:rPr>
        <w:t>7</w:t>
      </w:r>
      <w:r>
        <w:rPr>
          <w:color w:val="auto"/>
          <w:szCs w:val="21"/>
        </w:rPr>
        <w:t>．供应商建议的安装、调试、验收方法或方案。</w:t>
      </w:r>
    </w:p>
    <w:p w14:paraId="6525B04A">
      <w:pPr>
        <w:rPr>
          <w:color w:val="auto"/>
          <w:szCs w:val="21"/>
        </w:rPr>
      </w:pPr>
    </w:p>
    <w:p w14:paraId="7591977C">
      <w:pPr>
        <w:rPr>
          <w:color w:val="auto"/>
          <w:szCs w:val="21"/>
        </w:rPr>
      </w:pPr>
    </w:p>
    <w:p w14:paraId="5A704DED">
      <w:pPr>
        <w:rPr>
          <w:color w:val="auto"/>
          <w:szCs w:val="21"/>
        </w:rPr>
      </w:pPr>
    </w:p>
    <w:p w14:paraId="61D93534">
      <w:pPr>
        <w:rPr>
          <w:color w:val="auto"/>
          <w:szCs w:val="21"/>
        </w:rPr>
      </w:pPr>
      <w:r>
        <w:rPr>
          <w:rFonts w:hint="eastAsia"/>
          <w:color w:val="auto"/>
          <w:szCs w:val="21"/>
        </w:rPr>
        <w:t>8</w:t>
      </w:r>
      <w:r>
        <w:rPr>
          <w:color w:val="auto"/>
          <w:szCs w:val="21"/>
        </w:rPr>
        <w:t>．项目实施人员一览表。</w:t>
      </w:r>
    </w:p>
    <w:p w14:paraId="41670690">
      <w:pPr>
        <w:rPr>
          <w:color w:val="auto"/>
          <w:szCs w:val="21"/>
        </w:rPr>
      </w:pPr>
    </w:p>
    <w:p w14:paraId="6F3C902E">
      <w:pPr>
        <w:snapToGrid w:val="0"/>
        <w:spacing w:before="120" w:beforeLines="50" w:after="50" w:line="400" w:lineRule="exact"/>
        <w:jc w:val="center"/>
        <w:rPr>
          <w:b/>
          <w:color w:val="auto"/>
          <w:szCs w:val="21"/>
        </w:rPr>
      </w:pPr>
      <w:r>
        <w:rPr>
          <w:b/>
          <w:color w:val="auto"/>
          <w:szCs w:val="21"/>
        </w:rPr>
        <w:t>项目实施人员（主要从业人员及其技术资格）一览表</w:t>
      </w:r>
    </w:p>
    <w:p w14:paraId="24BF883C">
      <w:pPr>
        <w:snapToGrid w:val="0"/>
        <w:spacing w:before="120" w:beforeLines="50" w:after="50" w:line="400" w:lineRule="exact"/>
        <w:rPr>
          <w:color w:val="auto"/>
          <w:szCs w:val="21"/>
        </w:rPr>
      </w:pPr>
    </w:p>
    <w:tbl>
      <w:tblPr>
        <w:tblStyle w:val="51"/>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331"/>
        <w:gridCol w:w="1260"/>
        <w:gridCol w:w="1440"/>
        <w:gridCol w:w="1516"/>
        <w:gridCol w:w="1620"/>
        <w:gridCol w:w="1980"/>
      </w:tblGrid>
      <w:tr w14:paraId="06C3D09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331" w:type="dxa"/>
            <w:tcBorders>
              <w:top w:val="single" w:color="auto" w:sz="4" w:space="0"/>
              <w:left w:val="single" w:color="auto" w:sz="4" w:space="0"/>
              <w:bottom w:val="single" w:color="auto" w:sz="4" w:space="0"/>
              <w:right w:val="single" w:color="auto" w:sz="4" w:space="0"/>
            </w:tcBorders>
            <w:noWrap w:val="0"/>
            <w:vAlign w:val="center"/>
          </w:tcPr>
          <w:p w14:paraId="0C458948">
            <w:pPr>
              <w:snapToGrid w:val="0"/>
              <w:spacing w:before="120" w:beforeLines="50" w:after="50"/>
              <w:jc w:val="center"/>
              <w:rPr>
                <w:color w:val="auto"/>
                <w:szCs w:val="21"/>
              </w:rPr>
            </w:pPr>
            <w:r>
              <w:rPr>
                <w:color w:val="auto"/>
                <w:szCs w:val="21"/>
              </w:rPr>
              <w:t>姓名</w:t>
            </w:r>
          </w:p>
        </w:tc>
        <w:tc>
          <w:tcPr>
            <w:tcW w:w="1260" w:type="dxa"/>
            <w:tcBorders>
              <w:top w:val="single" w:color="auto" w:sz="4" w:space="0"/>
              <w:left w:val="single" w:color="auto" w:sz="4" w:space="0"/>
              <w:bottom w:val="single" w:color="auto" w:sz="4" w:space="0"/>
              <w:right w:val="single" w:color="auto" w:sz="4" w:space="0"/>
            </w:tcBorders>
            <w:noWrap w:val="0"/>
            <w:vAlign w:val="center"/>
          </w:tcPr>
          <w:p w14:paraId="318EB02E">
            <w:pPr>
              <w:snapToGrid w:val="0"/>
              <w:spacing w:before="120" w:beforeLines="50" w:after="50"/>
              <w:jc w:val="center"/>
              <w:rPr>
                <w:color w:val="auto"/>
                <w:szCs w:val="21"/>
              </w:rPr>
            </w:pPr>
            <w:r>
              <w:rPr>
                <w:color w:val="auto"/>
                <w:szCs w:val="21"/>
              </w:rPr>
              <w:t>职务</w:t>
            </w:r>
          </w:p>
        </w:tc>
        <w:tc>
          <w:tcPr>
            <w:tcW w:w="1440" w:type="dxa"/>
            <w:tcBorders>
              <w:top w:val="single" w:color="auto" w:sz="4" w:space="0"/>
              <w:left w:val="single" w:color="auto" w:sz="4" w:space="0"/>
              <w:bottom w:val="single" w:color="auto" w:sz="4" w:space="0"/>
              <w:right w:val="single" w:color="auto" w:sz="4" w:space="0"/>
            </w:tcBorders>
            <w:noWrap w:val="0"/>
            <w:vAlign w:val="center"/>
          </w:tcPr>
          <w:p w14:paraId="77DBD82C">
            <w:pPr>
              <w:snapToGrid w:val="0"/>
              <w:spacing w:before="120" w:beforeLines="50" w:after="50"/>
              <w:jc w:val="center"/>
              <w:rPr>
                <w:color w:val="auto"/>
                <w:szCs w:val="21"/>
              </w:rPr>
            </w:pPr>
            <w:r>
              <w:rPr>
                <w:color w:val="auto"/>
                <w:szCs w:val="21"/>
              </w:rPr>
              <w:t>专业技术资格</w:t>
            </w:r>
          </w:p>
        </w:tc>
        <w:tc>
          <w:tcPr>
            <w:tcW w:w="1516" w:type="dxa"/>
            <w:tcBorders>
              <w:top w:val="single" w:color="auto" w:sz="4" w:space="0"/>
              <w:left w:val="single" w:color="auto" w:sz="4" w:space="0"/>
              <w:bottom w:val="single" w:color="auto" w:sz="4" w:space="0"/>
              <w:right w:val="single" w:color="auto" w:sz="4" w:space="0"/>
            </w:tcBorders>
            <w:noWrap w:val="0"/>
            <w:vAlign w:val="center"/>
          </w:tcPr>
          <w:p w14:paraId="35BEDC8D">
            <w:pPr>
              <w:snapToGrid w:val="0"/>
              <w:spacing w:before="120" w:beforeLines="50" w:after="50"/>
              <w:jc w:val="center"/>
              <w:rPr>
                <w:color w:val="auto"/>
                <w:szCs w:val="21"/>
              </w:rPr>
            </w:pPr>
            <w:r>
              <w:rPr>
                <w:color w:val="auto"/>
                <w:szCs w:val="21"/>
              </w:rPr>
              <w:t>证书编号</w:t>
            </w:r>
          </w:p>
        </w:tc>
        <w:tc>
          <w:tcPr>
            <w:tcW w:w="1620" w:type="dxa"/>
            <w:tcBorders>
              <w:top w:val="single" w:color="auto" w:sz="4" w:space="0"/>
              <w:left w:val="single" w:color="auto" w:sz="4" w:space="0"/>
              <w:bottom w:val="single" w:color="auto" w:sz="4" w:space="0"/>
              <w:right w:val="single" w:color="auto" w:sz="4" w:space="0"/>
            </w:tcBorders>
            <w:noWrap w:val="0"/>
            <w:vAlign w:val="center"/>
          </w:tcPr>
          <w:p w14:paraId="3B7D30AA">
            <w:pPr>
              <w:snapToGrid w:val="0"/>
              <w:spacing w:before="120" w:beforeLines="50" w:after="50"/>
              <w:jc w:val="center"/>
              <w:rPr>
                <w:bCs/>
                <w:color w:val="auto"/>
                <w:szCs w:val="21"/>
              </w:rPr>
            </w:pPr>
            <w:r>
              <w:rPr>
                <w:bCs/>
                <w:color w:val="auto"/>
                <w:szCs w:val="21"/>
              </w:rPr>
              <w:t>参加本单位工作时间</w:t>
            </w:r>
          </w:p>
        </w:tc>
        <w:tc>
          <w:tcPr>
            <w:tcW w:w="1980" w:type="dxa"/>
            <w:tcBorders>
              <w:top w:val="single" w:color="auto" w:sz="4" w:space="0"/>
              <w:left w:val="single" w:color="auto" w:sz="4" w:space="0"/>
              <w:bottom w:val="single" w:color="auto" w:sz="4" w:space="0"/>
              <w:right w:val="single" w:color="auto" w:sz="4" w:space="0"/>
            </w:tcBorders>
            <w:noWrap w:val="0"/>
            <w:vAlign w:val="center"/>
          </w:tcPr>
          <w:p w14:paraId="37A6AE79">
            <w:pPr>
              <w:snapToGrid w:val="0"/>
              <w:spacing w:before="120" w:beforeLines="50" w:after="50"/>
              <w:jc w:val="center"/>
              <w:rPr>
                <w:bCs/>
                <w:color w:val="auto"/>
                <w:szCs w:val="21"/>
              </w:rPr>
            </w:pPr>
            <w:r>
              <w:rPr>
                <w:bCs/>
                <w:color w:val="auto"/>
                <w:szCs w:val="21"/>
              </w:rPr>
              <w:t>劳动合同编号</w:t>
            </w:r>
          </w:p>
        </w:tc>
      </w:tr>
      <w:tr w14:paraId="5A5C8FD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331" w:type="dxa"/>
            <w:tcBorders>
              <w:top w:val="single" w:color="auto" w:sz="4" w:space="0"/>
              <w:left w:val="single" w:color="auto" w:sz="4" w:space="0"/>
              <w:bottom w:val="single" w:color="auto" w:sz="4" w:space="0"/>
              <w:right w:val="single" w:color="auto" w:sz="4" w:space="0"/>
            </w:tcBorders>
            <w:noWrap w:val="0"/>
            <w:vAlign w:val="top"/>
          </w:tcPr>
          <w:p w14:paraId="18411CC3">
            <w:pPr>
              <w:snapToGrid w:val="0"/>
              <w:spacing w:before="120" w:beforeLines="50" w:after="50"/>
              <w:rPr>
                <w:color w:val="auto"/>
                <w:szCs w:val="21"/>
              </w:rPr>
            </w:pPr>
          </w:p>
        </w:tc>
        <w:tc>
          <w:tcPr>
            <w:tcW w:w="1260" w:type="dxa"/>
            <w:tcBorders>
              <w:top w:val="single" w:color="auto" w:sz="4" w:space="0"/>
              <w:left w:val="single" w:color="auto" w:sz="4" w:space="0"/>
              <w:bottom w:val="single" w:color="auto" w:sz="4" w:space="0"/>
              <w:right w:val="single" w:color="auto" w:sz="4" w:space="0"/>
            </w:tcBorders>
            <w:noWrap w:val="0"/>
            <w:vAlign w:val="top"/>
          </w:tcPr>
          <w:p w14:paraId="15FCFEA2">
            <w:pPr>
              <w:snapToGrid w:val="0"/>
              <w:spacing w:before="120" w:beforeLines="50" w:after="50"/>
              <w:rPr>
                <w:color w:val="auto"/>
                <w:szCs w:val="21"/>
              </w:rPr>
            </w:pPr>
          </w:p>
        </w:tc>
        <w:tc>
          <w:tcPr>
            <w:tcW w:w="1440" w:type="dxa"/>
            <w:tcBorders>
              <w:top w:val="single" w:color="auto" w:sz="4" w:space="0"/>
              <w:left w:val="single" w:color="auto" w:sz="4" w:space="0"/>
              <w:bottom w:val="single" w:color="auto" w:sz="4" w:space="0"/>
              <w:right w:val="single" w:color="auto" w:sz="4" w:space="0"/>
            </w:tcBorders>
            <w:noWrap w:val="0"/>
            <w:vAlign w:val="top"/>
          </w:tcPr>
          <w:p w14:paraId="03FCD912">
            <w:pPr>
              <w:snapToGrid w:val="0"/>
              <w:spacing w:before="120" w:beforeLines="50" w:after="50"/>
              <w:rPr>
                <w:color w:val="auto"/>
                <w:szCs w:val="21"/>
              </w:rPr>
            </w:pPr>
          </w:p>
        </w:tc>
        <w:tc>
          <w:tcPr>
            <w:tcW w:w="1516" w:type="dxa"/>
            <w:tcBorders>
              <w:top w:val="single" w:color="auto" w:sz="4" w:space="0"/>
              <w:left w:val="single" w:color="auto" w:sz="4" w:space="0"/>
              <w:bottom w:val="single" w:color="auto" w:sz="4" w:space="0"/>
              <w:right w:val="single" w:color="auto" w:sz="4" w:space="0"/>
            </w:tcBorders>
            <w:noWrap w:val="0"/>
            <w:vAlign w:val="top"/>
          </w:tcPr>
          <w:p w14:paraId="354EBEA6">
            <w:pPr>
              <w:snapToGrid w:val="0"/>
              <w:spacing w:before="120" w:beforeLines="50" w:after="50"/>
              <w:rPr>
                <w:color w:val="auto"/>
                <w:szCs w:val="21"/>
              </w:rPr>
            </w:pPr>
          </w:p>
        </w:tc>
        <w:tc>
          <w:tcPr>
            <w:tcW w:w="1620" w:type="dxa"/>
            <w:tcBorders>
              <w:top w:val="single" w:color="auto" w:sz="4" w:space="0"/>
              <w:left w:val="single" w:color="auto" w:sz="4" w:space="0"/>
              <w:bottom w:val="single" w:color="auto" w:sz="4" w:space="0"/>
              <w:right w:val="single" w:color="auto" w:sz="4" w:space="0"/>
            </w:tcBorders>
            <w:noWrap w:val="0"/>
            <w:vAlign w:val="top"/>
          </w:tcPr>
          <w:p w14:paraId="599EACE3">
            <w:pPr>
              <w:snapToGrid w:val="0"/>
              <w:spacing w:before="120" w:beforeLines="50" w:after="50"/>
              <w:rPr>
                <w:color w:val="auto"/>
                <w:szCs w:val="21"/>
              </w:rPr>
            </w:pPr>
          </w:p>
        </w:tc>
        <w:tc>
          <w:tcPr>
            <w:tcW w:w="1980" w:type="dxa"/>
            <w:tcBorders>
              <w:top w:val="single" w:color="auto" w:sz="4" w:space="0"/>
              <w:left w:val="single" w:color="auto" w:sz="4" w:space="0"/>
              <w:bottom w:val="single" w:color="auto" w:sz="4" w:space="0"/>
              <w:right w:val="single" w:color="auto" w:sz="4" w:space="0"/>
            </w:tcBorders>
            <w:noWrap w:val="0"/>
            <w:vAlign w:val="top"/>
          </w:tcPr>
          <w:p w14:paraId="5C8130FD">
            <w:pPr>
              <w:snapToGrid w:val="0"/>
              <w:spacing w:before="120" w:beforeLines="50" w:after="50"/>
              <w:rPr>
                <w:color w:val="auto"/>
                <w:szCs w:val="21"/>
              </w:rPr>
            </w:pPr>
          </w:p>
        </w:tc>
      </w:tr>
      <w:tr w14:paraId="7CE5F07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331" w:type="dxa"/>
            <w:tcBorders>
              <w:top w:val="single" w:color="auto" w:sz="4" w:space="0"/>
              <w:left w:val="single" w:color="auto" w:sz="4" w:space="0"/>
              <w:bottom w:val="single" w:color="auto" w:sz="4" w:space="0"/>
              <w:right w:val="single" w:color="auto" w:sz="4" w:space="0"/>
            </w:tcBorders>
            <w:noWrap w:val="0"/>
            <w:vAlign w:val="top"/>
          </w:tcPr>
          <w:p w14:paraId="407AB541">
            <w:pPr>
              <w:snapToGrid w:val="0"/>
              <w:spacing w:before="120" w:beforeLines="50" w:after="50"/>
              <w:rPr>
                <w:color w:val="auto"/>
                <w:szCs w:val="21"/>
              </w:rPr>
            </w:pPr>
          </w:p>
        </w:tc>
        <w:tc>
          <w:tcPr>
            <w:tcW w:w="1260" w:type="dxa"/>
            <w:tcBorders>
              <w:top w:val="single" w:color="auto" w:sz="4" w:space="0"/>
              <w:left w:val="single" w:color="auto" w:sz="4" w:space="0"/>
              <w:bottom w:val="single" w:color="auto" w:sz="4" w:space="0"/>
              <w:right w:val="single" w:color="auto" w:sz="4" w:space="0"/>
            </w:tcBorders>
            <w:noWrap w:val="0"/>
            <w:vAlign w:val="top"/>
          </w:tcPr>
          <w:p w14:paraId="7B430A50">
            <w:pPr>
              <w:snapToGrid w:val="0"/>
              <w:spacing w:before="120" w:beforeLines="50" w:after="50"/>
              <w:rPr>
                <w:color w:val="auto"/>
                <w:szCs w:val="21"/>
              </w:rPr>
            </w:pPr>
          </w:p>
        </w:tc>
        <w:tc>
          <w:tcPr>
            <w:tcW w:w="1440" w:type="dxa"/>
            <w:tcBorders>
              <w:top w:val="single" w:color="auto" w:sz="4" w:space="0"/>
              <w:left w:val="single" w:color="auto" w:sz="4" w:space="0"/>
              <w:bottom w:val="single" w:color="auto" w:sz="4" w:space="0"/>
              <w:right w:val="single" w:color="auto" w:sz="4" w:space="0"/>
            </w:tcBorders>
            <w:noWrap w:val="0"/>
            <w:vAlign w:val="top"/>
          </w:tcPr>
          <w:p w14:paraId="46E461F3">
            <w:pPr>
              <w:snapToGrid w:val="0"/>
              <w:spacing w:before="120" w:beforeLines="50" w:after="50"/>
              <w:rPr>
                <w:color w:val="auto"/>
                <w:szCs w:val="21"/>
              </w:rPr>
            </w:pPr>
          </w:p>
        </w:tc>
        <w:tc>
          <w:tcPr>
            <w:tcW w:w="1516" w:type="dxa"/>
            <w:tcBorders>
              <w:top w:val="single" w:color="auto" w:sz="4" w:space="0"/>
              <w:left w:val="single" w:color="auto" w:sz="4" w:space="0"/>
              <w:bottom w:val="single" w:color="auto" w:sz="4" w:space="0"/>
              <w:right w:val="single" w:color="auto" w:sz="4" w:space="0"/>
            </w:tcBorders>
            <w:noWrap w:val="0"/>
            <w:vAlign w:val="top"/>
          </w:tcPr>
          <w:p w14:paraId="21EE75E2">
            <w:pPr>
              <w:snapToGrid w:val="0"/>
              <w:spacing w:before="120" w:beforeLines="50" w:after="50"/>
              <w:rPr>
                <w:color w:val="auto"/>
                <w:szCs w:val="21"/>
              </w:rPr>
            </w:pPr>
          </w:p>
        </w:tc>
        <w:tc>
          <w:tcPr>
            <w:tcW w:w="1620" w:type="dxa"/>
            <w:tcBorders>
              <w:top w:val="single" w:color="auto" w:sz="4" w:space="0"/>
              <w:left w:val="single" w:color="auto" w:sz="4" w:space="0"/>
              <w:bottom w:val="single" w:color="auto" w:sz="4" w:space="0"/>
              <w:right w:val="single" w:color="auto" w:sz="4" w:space="0"/>
            </w:tcBorders>
            <w:noWrap w:val="0"/>
            <w:vAlign w:val="top"/>
          </w:tcPr>
          <w:p w14:paraId="21CC0CB4">
            <w:pPr>
              <w:snapToGrid w:val="0"/>
              <w:spacing w:before="120" w:beforeLines="50" w:after="50"/>
              <w:rPr>
                <w:color w:val="auto"/>
                <w:szCs w:val="21"/>
              </w:rPr>
            </w:pPr>
          </w:p>
        </w:tc>
        <w:tc>
          <w:tcPr>
            <w:tcW w:w="1980" w:type="dxa"/>
            <w:tcBorders>
              <w:top w:val="single" w:color="auto" w:sz="4" w:space="0"/>
              <w:left w:val="single" w:color="auto" w:sz="4" w:space="0"/>
              <w:bottom w:val="single" w:color="auto" w:sz="4" w:space="0"/>
              <w:right w:val="single" w:color="auto" w:sz="4" w:space="0"/>
            </w:tcBorders>
            <w:noWrap w:val="0"/>
            <w:vAlign w:val="top"/>
          </w:tcPr>
          <w:p w14:paraId="58B6A62E">
            <w:pPr>
              <w:snapToGrid w:val="0"/>
              <w:spacing w:before="120" w:beforeLines="50" w:after="50"/>
              <w:rPr>
                <w:color w:val="auto"/>
                <w:szCs w:val="21"/>
              </w:rPr>
            </w:pPr>
          </w:p>
        </w:tc>
      </w:tr>
      <w:tr w14:paraId="27C98B8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331" w:type="dxa"/>
            <w:tcBorders>
              <w:top w:val="single" w:color="auto" w:sz="4" w:space="0"/>
              <w:left w:val="single" w:color="auto" w:sz="4" w:space="0"/>
              <w:bottom w:val="single" w:color="auto" w:sz="4" w:space="0"/>
              <w:right w:val="single" w:color="auto" w:sz="4" w:space="0"/>
            </w:tcBorders>
            <w:noWrap w:val="0"/>
            <w:vAlign w:val="top"/>
          </w:tcPr>
          <w:p w14:paraId="25E7E16B">
            <w:pPr>
              <w:snapToGrid w:val="0"/>
              <w:spacing w:before="120" w:beforeLines="50" w:after="50"/>
              <w:rPr>
                <w:color w:val="auto"/>
                <w:szCs w:val="21"/>
              </w:rPr>
            </w:pPr>
          </w:p>
        </w:tc>
        <w:tc>
          <w:tcPr>
            <w:tcW w:w="1260" w:type="dxa"/>
            <w:tcBorders>
              <w:top w:val="single" w:color="auto" w:sz="4" w:space="0"/>
              <w:left w:val="single" w:color="auto" w:sz="4" w:space="0"/>
              <w:bottom w:val="single" w:color="auto" w:sz="4" w:space="0"/>
              <w:right w:val="single" w:color="auto" w:sz="4" w:space="0"/>
            </w:tcBorders>
            <w:noWrap w:val="0"/>
            <w:vAlign w:val="top"/>
          </w:tcPr>
          <w:p w14:paraId="7BC2E804">
            <w:pPr>
              <w:snapToGrid w:val="0"/>
              <w:spacing w:before="120" w:beforeLines="50" w:after="50"/>
              <w:rPr>
                <w:color w:val="auto"/>
                <w:szCs w:val="21"/>
              </w:rPr>
            </w:pPr>
          </w:p>
        </w:tc>
        <w:tc>
          <w:tcPr>
            <w:tcW w:w="1440" w:type="dxa"/>
            <w:tcBorders>
              <w:top w:val="single" w:color="auto" w:sz="4" w:space="0"/>
              <w:left w:val="single" w:color="auto" w:sz="4" w:space="0"/>
              <w:bottom w:val="single" w:color="auto" w:sz="4" w:space="0"/>
              <w:right w:val="single" w:color="auto" w:sz="4" w:space="0"/>
            </w:tcBorders>
            <w:noWrap w:val="0"/>
            <w:vAlign w:val="top"/>
          </w:tcPr>
          <w:p w14:paraId="5C1674EC">
            <w:pPr>
              <w:pStyle w:val="28"/>
              <w:snapToGrid w:val="0"/>
              <w:spacing w:before="120" w:beforeLines="50" w:after="50"/>
              <w:ind w:left="5670" w:hanging="420"/>
              <w:rPr>
                <w:rFonts w:ascii="Times New Roman" w:hAnsi="Times New Roman"/>
                <w:color w:val="auto"/>
              </w:rPr>
            </w:pPr>
          </w:p>
        </w:tc>
        <w:tc>
          <w:tcPr>
            <w:tcW w:w="1516" w:type="dxa"/>
            <w:tcBorders>
              <w:top w:val="single" w:color="auto" w:sz="4" w:space="0"/>
              <w:left w:val="single" w:color="auto" w:sz="4" w:space="0"/>
              <w:bottom w:val="single" w:color="auto" w:sz="4" w:space="0"/>
              <w:right w:val="single" w:color="auto" w:sz="4" w:space="0"/>
            </w:tcBorders>
            <w:noWrap w:val="0"/>
            <w:vAlign w:val="top"/>
          </w:tcPr>
          <w:p w14:paraId="46C5C2BF">
            <w:pPr>
              <w:snapToGrid w:val="0"/>
              <w:spacing w:before="120" w:beforeLines="50" w:after="50"/>
              <w:rPr>
                <w:color w:val="auto"/>
                <w:szCs w:val="21"/>
              </w:rPr>
            </w:pPr>
          </w:p>
        </w:tc>
        <w:tc>
          <w:tcPr>
            <w:tcW w:w="1620" w:type="dxa"/>
            <w:tcBorders>
              <w:top w:val="single" w:color="auto" w:sz="4" w:space="0"/>
              <w:left w:val="single" w:color="auto" w:sz="4" w:space="0"/>
              <w:bottom w:val="single" w:color="auto" w:sz="4" w:space="0"/>
              <w:right w:val="single" w:color="auto" w:sz="4" w:space="0"/>
            </w:tcBorders>
            <w:noWrap w:val="0"/>
            <w:vAlign w:val="top"/>
          </w:tcPr>
          <w:p w14:paraId="17398266">
            <w:pPr>
              <w:snapToGrid w:val="0"/>
              <w:spacing w:before="120" w:beforeLines="50" w:after="50"/>
              <w:rPr>
                <w:color w:val="auto"/>
                <w:szCs w:val="21"/>
              </w:rPr>
            </w:pPr>
          </w:p>
        </w:tc>
        <w:tc>
          <w:tcPr>
            <w:tcW w:w="1980" w:type="dxa"/>
            <w:tcBorders>
              <w:top w:val="single" w:color="auto" w:sz="4" w:space="0"/>
              <w:left w:val="single" w:color="auto" w:sz="4" w:space="0"/>
              <w:bottom w:val="single" w:color="auto" w:sz="4" w:space="0"/>
              <w:right w:val="single" w:color="auto" w:sz="4" w:space="0"/>
            </w:tcBorders>
            <w:noWrap w:val="0"/>
            <w:vAlign w:val="top"/>
          </w:tcPr>
          <w:p w14:paraId="0939E021">
            <w:pPr>
              <w:snapToGrid w:val="0"/>
              <w:spacing w:before="120" w:beforeLines="50" w:after="50"/>
              <w:rPr>
                <w:color w:val="auto"/>
                <w:szCs w:val="21"/>
              </w:rPr>
            </w:pPr>
          </w:p>
        </w:tc>
      </w:tr>
    </w:tbl>
    <w:p w14:paraId="675C836A">
      <w:pPr>
        <w:snapToGrid w:val="0"/>
        <w:spacing w:before="50" w:after="120" w:afterLines="50" w:line="440" w:lineRule="exact"/>
        <w:jc w:val="left"/>
        <w:rPr>
          <w:color w:val="auto"/>
          <w:szCs w:val="21"/>
        </w:rPr>
      </w:pPr>
      <w:r>
        <w:rPr>
          <w:color w:val="auto"/>
          <w:szCs w:val="21"/>
        </w:rPr>
        <w:t>注：在填写时，如本表格不适合投标单位的实际情况，可根据本表格式自行填写。</w:t>
      </w:r>
    </w:p>
    <w:p w14:paraId="5BFE6E6A">
      <w:pPr>
        <w:rPr>
          <w:color w:val="auto"/>
          <w:spacing w:val="20"/>
          <w:szCs w:val="21"/>
          <w:u w:val="single"/>
        </w:rPr>
      </w:pPr>
      <w:r>
        <w:rPr>
          <w:color w:val="auto"/>
          <w:szCs w:val="21"/>
        </w:rPr>
        <w:t>供应商</w:t>
      </w:r>
      <w:r>
        <w:rPr>
          <w:rFonts w:hint="eastAsia"/>
          <w:color w:val="auto"/>
          <w:szCs w:val="21"/>
        </w:rPr>
        <w:t>名称(电子签章</w:t>
      </w:r>
      <w:r>
        <w:rPr>
          <w:color w:val="auto"/>
          <w:szCs w:val="21"/>
        </w:rPr>
        <w:t>)</w:t>
      </w:r>
      <w:r>
        <w:rPr>
          <w:color w:val="auto"/>
          <w:spacing w:val="20"/>
          <w:szCs w:val="21"/>
        </w:rPr>
        <w:t>：</w:t>
      </w:r>
      <w:r>
        <w:rPr>
          <w:color w:val="auto"/>
          <w:spacing w:val="20"/>
          <w:szCs w:val="21"/>
          <w:u w:val="single"/>
        </w:rPr>
        <w:t xml:space="preserve">            </w:t>
      </w:r>
      <w:r>
        <w:rPr>
          <w:color w:val="auto"/>
          <w:spacing w:val="20"/>
          <w:szCs w:val="21"/>
        </w:rPr>
        <w:t xml:space="preserve">             日  期：</w:t>
      </w:r>
      <w:r>
        <w:rPr>
          <w:color w:val="auto"/>
          <w:spacing w:val="20"/>
          <w:szCs w:val="21"/>
          <w:u w:val="single"/>
        </w:rPr>
        <w:t xml:space="preserve">        </w:t>
      </w:r>
    </w:p>
    <w:p w14:paraId="30F64414">
      <w:pPr>
        <w:rPr>
          <w:color w:val="auto"/>
          <w:szCs w:val="21"/>
        </w:rPr>
      </w:pPr>
    </w:p>
    <w:p w14:paraId="45BFBD1E">
      <w:pPr>
        <w:rPr>
          <w:color w:val="auto"/>
          <w:szCs w:val="21"/>
        </w:rPr>
      </w:pPr>
    </w:p>
    <w:p w14:paraId="1F748B6C">
      <w:pPr>
        <w:rPr>
          <w:color w:val="auto"/>
          <w:szCs w:val="21"/>
        </w:rPr>
      </w:pPr>
      <w:r>
        <w:rPr>
          <w:color w:val="auto"/>
          <w:szCs w:val="21"/>
        </w:rPr>
        <w:t>9．技术服务、技术培训、售后服务的内容和措施。</w:t>
      </w:r>
    </w:p>
    <w:p w14:paraId="53E7A2E2">
      <w:pPr>
        <w:rPr>
          <w:color w:val="auto"/>
          <w:szCs w:val="21"/>
        </w:rPr>
      </w:pPr>
    </w:p>
    <w:p w14:paraId="22A47CD2">
      <w:pPr>
        <w:rPr>
          <w:color w:val="auto"/>
          <w:szCs w:val="21"/>
        </w:rPr>
      </w:pPr>
    </w:p>
    <w:p w14:paraId="65273F4B">
      <w:pPr>
        <w:rPr>
          <w:color w:val="auto"/>
          <w:szCs w:val="21"/>
        </w:rPr>
      </w:pPr>
      <w:r>
        <w:rPr>
          <w:color w:val="auto"/>
          <w:szCs w:val="21"/>
        </w:rPr>
        <w:t>10．供应商对本项目的合理化建议和改进措施。</w:t>
      </w:r>
    </w:p>
    <w:p w14:paraId="1DA7BEE8">
      <w:pPr>
        <w:rPr>
          <w:color w:val="auto"/>
          <w:szCs w:val="21"/>
        </w:rPr>
      </w:pPr>
    </w:p>
    <w:p w14:paraId="268072BF">
      <w:pPr>
        <w:rPr>
          <w:color w:val="auto"/>
          <w:szCs w:val="21"/>
        </w:rPr>
      </w:pPr>
    </w:p>
    <w:p w14:paraId="428FC297">
      <w:pPr>
        <w:rPr>
          <w:color w:val="auto"/>
          <w:szCs w:val="21"/>
        </w:rPr>
      </w:pPr>
      <w:r>
        <w:rPr>
          <w:color w:val="auto"/>
          <w:szCs w:val="21"/>
        </w:rPr>
        <w:t>11．供应商需要说明的其他文件和说明。</w:t>
      </w:r>
    </w:p>
    <w:p w14:paraId="59DA486F">
      <w:pPr>
        <w:jc w:val="center"/>
        <w:rPr>
          <w:b/>
          <w:bCs/>
          <w:szCs w:val="21"/>
        </w:rPr>
      </w:pPr>
      <w:r>
        <w:rPr>
          <w:b/>
          <w:color w:val="4472C4"/>
          <w:szCs w:val="21"/>
        </w:rPr>
        <w:br w:type="page"/>
      </w:r>
    </w:p>
    <w:p w14:paraId="7877D296">
      <w:pPr>
        <w:snapToGrid w:val="0"/>
        <w:spacing w:before="120" w:beforeLines="50" w:after="50" w:line="440" w:lineRule="exact"/>
        <w:jc w:val="left"/>
        <w:outlineLvl w:val="1"/>
        <w:rPr>
          <w:bCs/>
          <w:sz w:val="24"/>
        </w:rPr>
      </w:pPr>
      <w:r>
        <w:rPr>
          <w:bCs/>
          <w:sz w:val="24"/>
        </w:rPr>
        <w:t>3．投标文件封面参考格式</w:t>
      </w:r>
      <w:r>
        <w:rPr>
          <w:rFonts w:hint="eastAsia"/>
          <w:bCs/>
          <w:sz w:val="24"/>
        </w:rPr>
        <w:t>（报价文件）</w:t>
      </w:r>
      <w:r>
        <w:rPr>
          <w:bCs/>
          <w:sz w:val="24"/>
        </w:rPr>
        <w:t xml:space="preserve">： </w:t>
      </w:r>
    </w:p>
    <w:p w14:paraId="0E32C579">
      <w:pPr>
        <w:snapToGrid w:val="0"/>
        <w:spacing w:before="50" w:after="120" w:afterLines="50" w:line="400" w:lineRule="exact"/>
        <w:jc w:val="left"/>
        <w:rPr>
          <w:bCs/>
          <w:sz w:val="24"/>
        </w:rPr>
      </w:pPr>
    </w:p>
    <w:p w14:paraId="6274370D">
      <w:pPr>
        <w:snapToGrid w:val="0"/>
        <w:spacing w:before="120" w:beforeLines="50" w:after="50" w:line="360" w:lineRule="exact"/>
        <w:rPr>
          <w:sz w:val="24"/>
        </w:rPr>
      </w:pPr>
    </w:p>
    <w:p w14:paraId="7E40AD69">
      <w:pPr>
        <w:snapToGrid w:val="0"/>
        <w:spacing w:before="120" w:beforeLines="50" w:after="50" w:line="360" w:lineRule="exact"/>
        <w:jc w:val="center"/>
        <w:rPr>
          <w:bCs/>
          <w:color w:val="FF0000"/>
          <w:sz w:val="24"/>
        </w:rPr>
      </w:pPr>
    </w:p>
    <w:p w14:paraId="21AEA7E9">
      <w:pPr>
        <w:snapToGrid w:val="0"/>
        <w:spacing w:before="120" w:beforeLines="50" w:after="50" w:line="360" w:lineRule="exact"/>
        <w:jc w:val="center"/>
        <w:rPr>
          <w:b/>
          <w:bCs/>
          <w:sz w:val="44"/>
          <w:szCs w:val="44"/>
        </w:rPr>
      </w:pPr>
      <w:r>
        <w:rPr>
          <w:rFonts w:hint="eastAsia"/>
          <w:b/>
          <w:bCs/>
          <w:sz w:val="44"/>
          <w:szCs w:val="44"/>
        </w:rPr>
        <w:t>电子</w:t>
      </w:r>
      <w:r>
        <w:rPr>
          <w:b/>
          <w:bCs/>
          <w:sz w:val="44"/>
          <w:szCs w:val="44"/>
        </w:rPr>
        <w:t>投标文件</w:t>
      </w:r>
    </w:p>
    <w:p w14:paraId="377A3F0A">
      <w:pPr>
        <w:snapToGrid w:val="0"/>
        <w:spacing w:before="120" w:beforeLines="50" w:after="50" w:line="360" w:lineRule="exact"/>
        <w:jc w:val="center"/>
        <w:rPr>
          <w:b/>
          <w:bCs/>
          <w:sz w:val="44"/>
          <w:szCs w:val="44"/>
        </w:rPr>
      </w:pPr>
    </w:p>
    <w:p w14:paraId="6531066A">
      <w:pPr>
        <w:snapToGrid w:val="0"/>
        <w:spacing w:before="120" w:beforeLines="50" w:after="50" w:line="360" w:lineRule="exact"/>
        <w:jc w:val="center"/>
        <w:rPr>
          <w:b/>
          <w:bCs/>
          <w:sz w:val="44"/>
          <w:szCs w:val="44"/>
        </w:rPr>
      </w:pPr>
    </w:p>
    <w:p w14:paraId="1EB41E1A">
      <w:pPr>
        <w:snapToGrid w:val="0"/>
        <w:spacing w:before="120" w:beforeLines="50" w:after="50" w:line="360" w:lineRule="exact"/>
        <w:jc w:val="center"/>
        <w:rPr>
          <w:b/>
          <w:bCs/>
          <w:sz w:val="44"/>
          <w:szCs w:val="44"/>
        </w:rPr>
      </w:pPr>
      <w:r>
        <w:rPr>
          <w:rFonts w:hint="eastAsia"/>
          <w:b/>
          <w:bCs/>
          <w:sz w:val="44"/>
          <w:szCs w:val="44"/>
        </w:rPr>
        <w:t>报价</w:t>
      </w:r>
      <w:r>
        <w:rPr>
          <w:b/>
          <w:bCs/>
          <w:sz w:val="44"/>
          <w:szCs w:val="44"/>
        </w:rPr>
        <w:t>文件</w:t>
      </w:r>
    </w:p>
    <w:p w14:paraId="18C0384A">
      <w:pPr>
        <w:snapToGrid w:val="0"/>
        <w:spacing w:before="120" w:beforeLines="50" w:after="50" w:line="360" w:lineRule="exact"/>
        <w:rPr>
          <w:bCs/>
          <w:sz w:val="24"/>
        </w:rPr>
      </w:pPr>
    </w:p>
    <w:p w14:paraId="47BDE2D7">
      <w:pPr>
        <w:snapToGrid w:val="0"/>
        <w:spacing w:before="120" w:beforeLines="50" w:after="50" w:line="360" w:lineRule="exact"/>
        <w:rPr>
          <w:bCs/>
          <w:sz w:val="24"/>
        </w:rPr>
      </w:pPr>
    </w:p>
    <w:p w14:paraId="2349A9B5">
      <w:pPr>
        <w:snapToGrid w:val="0"/>
        <w:spacing w:before="120" w:beforeLines="50" w:after="50" w:line="360" w:lineRule="exact"/>
        <w:rPr>
          <w:bCs/>
          <w:sz w:val="24"/>
        </w:rPr>
      </w:pPr>
    </w:p>
    <w:p w14:paraId="40EB51F2">
      <w:pPr>
        <w:snapToGrid w:val="0"/>
        <w:spacing w:before="120" w:beforeLines="50" w:after="50" w:line="360" w:lineRule="exact"/>
        <w:ind w:firstLine="720" w:firstLineChars="300"/>
        <w:rPr>
          <w:bCs/>
          <w:sz w:val="24"/>
        </w:rPr>
      </w:pPr>
      <w:r>
        <w:rPr>
          <w:bCs/>
          <w:sz w:val="24"/>
        </w:rPr>
        <w:t xml:space="preserve">项目名称： </w:t>
      </w:r>
    </w:p>
    <w:p w14:paraId="5F5DBF4C">
      <w:pPr>
        <w:snapToGrid w:val="0"/>
        <w:spacing w:before="120" w:beforeLines="50" w:after="50" w:line="360" w:lineRule="exact"/>
        <w:ind w:firstLine="720" w:firstLineChars="300"/>
        <w:rPr>
          <w:bCs/>
          <w:sz w:val="24"/>
        </w:rPr>
      </w:pPr>
      <w:r>
        <w:rPr>
          <w:bCs/>
          <w:sz w:val="24"/>
        </w:rPr>
        <w:t>项目编号：</w:t>
      </w:r>
    </w:p>
    <w:p w14:paraId="794CA8D3">
      <w:pPr>
        <w:snapToGrid w:val="0"/>
        <w:spacing w:before="120" w:beforeLines="50" w:after="50" w:line="360" w:lineRule="exact"/>
        <w:ind w:firstLine="720" w:firstLineChars="300"/>
        <w:rPr>
          <w:bCs/>
          <w:sz w:val="24"/>
        </w:rPr>
      </w:pPr>
      <w:r>
        <w:rPr>
          <w:bCs/>
          <w:sz w:val="24"/>
        </w:rPr>
        <w:t>分标号：（若无</w:t>
      </w:r>
      <w:r>
        <w:rPr>
          <w:rFonts w:hint="eastAsia"/>
          <w:bCs/>
          <w:sz w:val="24"/>
        </w:rPr>
        <w:t>留空或写</w:t>
      </w:r>
      <w:r>
        <w:rPr>
          <w:bCs/>
          <w:sz w:val="24"/>
        </w:rPr>
        <w:t>“/”）</w:t>
      </w:r>
    </w:p>
    <w:p w14:paraId="0AE07C66">
      <w:pPr>
        <w:snapToGrid w:val="0"/>
        <w:spacing w:before="120" w:beforeLines="50" w:after="50" w:line="360" w:lineRule="exact"/>
        <w:ind w:firstLine="720" w:firstLineChars="300"/>
        <w:rPr>
          <w:bCs/>
          <w:sz w:val="24"/>
        </w:rPr>
      </w:pPr>
      <w:r>
        <w:rPr>
          <w:bCs/>
          <w:sz w:val="24"/>
        </w:rPr>
        <w:t>供应商名称：</w:t>
      </w:r>
    </w:p>
    <w:p w14:paraId="4CBB40AD">
      <w:pPr>
        <w:snapToGrid w:val="0"/>
        <w:spacing w:before="120" w:beforeLines="50" w:after="50" w:line="360" w:lineRule="exact"/>
        <w:ind w:firstLine="720" w:firstLineChars="300"/>
        <w:rPr>
          <w:bCs/>
          <w:sz w:val="24"/>
        </w:rPr>
      </w:pPr>
      <w:r>
        <w:rPr>
          <w:bCs/>
          <w:sz w:val="24"/>
        </w:rPr>
        <w:t>供应商地址：</w:t>
      </w:r>
    </w:p>
    <w:p w14:paraId="53C183DB">
      <w:pPr>
        <w:snapToGrid w:val="0"/>
        <w:spacing w:before="120" w:beforeLines="50" w:after="50" w:line="360" w:lineRule="exact"/>
        <w:ind w:firstLine="720" w:firstLineChars="300"/>
        <w:rPr>
          <w:bCs/>
          <w:sz w:val="24"/>
        </w:rPr>
      </w:pPr>
    </w:p>
    <w:p w14:paraId="75597DD0">
      <w:pPr>
        <w:pStyle w:val="7"/>
        <w:snapToGrid w:val="0"/>
        <w:spacing w:before="50" w:after="50" w:line="360" w:lineRule="exact"/>
        <w:ind w:firstLine="960" w:firstLineChars="400"/>
        <w:rPr>
          <w:bCs/>
          <w:sz w:val="24"/>
          <w:szCs w:val="24"/>
        </w:rPr>
      </w:pPr>
    </w:p>
    <w:p w14:paraId="19D4C994">
      <w:pPr>
        <w:snapToGrid w:val="0"/>
        <w:spacing w:before="120" w:beforeLines="50" w:after="50" w:line="360" w:lineRule="exact"/>
        <w:jc w:val="center"/>
        <w:rPr>
          <w:sz w:val="24"/>
        </w:rPr>
      </w:pPr>
      <w:r>
        <w:rPr>
          <w:sz w:val="24"/>
        </w:rPr>
        <w:t xml:space="preserve">                        年  月  日</w:t>
      </w:r>
    </w:p>
    <w:p w14:paraId="68BAC2E6">
      <w:r>
        <w:br w:type="page"/>
      </w:r>
    </w:p>
    <w:p w14:paraId="76615236">
      <w:pPr>
        <w:widowControl/>
        <w:jc w:val="left"/>
        <w:rPr>
          <w:b/>
          <w:bCs/>
          <w:szCs w:val="21"/>
        </w:rPr>
      </w:pPr>
    </w:p>
    <w:p w14:paraId="5FF8A996">
      <w:pPr>
        <w:jc w:val="center"/>
        <w:rPr>
          <w:b/>
          <w:bCs/>
          <w:szCs w:val="21"/>
        </w:rPr>
      </w:pPr>
    </w:p>
    <w:p w14:paraId="45996FD2">
      <w:pPr>
        <w:jc w:val="center"/>
        <w:rPr>
          <w:sz w:val="28"/>
          <w:szCs w:val="28"/>
        </w:rPr>
      </w:pPr>
      <w:r>
        <w:rPr>
          <w:sz w:val="28"/>
          <w:szCs w:val="28"/>
        </w:rPr>
        <w:t>第三部分 报价文件</w:t>
      </w:r>
    </w:p>
    <w:p w14:paraId="56194519">
      <w:pPr>
        <w:jc w:val="center"/>
        <w:rPr>
          <w:b/>
          <w:bCs/>
          <w:szCs w:val="21"/>
        </w:rPr>
      </w:pPr>
    </w:p>
    <w:p w14:paraId="0064AA99">
      <w:bookmarkStart w:id="160" w:name="_Hlk19115777"/>
      <w:r>
        <w:t>1．投标函格式：</w:t>
      </w:r>
    </w:p>
    <w:p w14:paraId="009B7710">
      <w:pPr>
        <w:jc w:val="center"/>
        <w:rPr>
          <w:b/>
          <w:szCs w:val="21"/>
        </w:rPr>
      </w:pPr>
    </w:p>
    <w:p w14:paraId="0AA25B9E">
      <w:pPr>
        <w:jc w:val="center"/>
        <w:rPr>
          <w:b/>
          <w:szCs w:val="21"/>
        </w:rPr>
      </w:pPr>
      <w:r>
        <w:rPr>
          <w:b/>
          <w:szCs w:val="21"/>
        </w:rPr>
        <w:t>投 标 函</w:t>
      </w:r>
    </w:p>
    <w:p w14:paraId="343A6EEE">
      <w:pPr>
        <w:rPr>
          <w:b/>
          <w:szCs w:val="21"/>
        </w:rPr>
      </w:pPr>
    </w:p>
    <w:p w14:paraId="45F2B2DF">
      <w:pPr>
        <w:spacing w:line="360" w:lineRule="auto"/>
        <w:rPr>
          <w:szCs w:val="21"/>
        </w:rPr>
      </w:pPr>
      <w:r>
        <w:rPr>
          <w:szCs w:val="21"/>
        </w:rPr>
        <w:t>致：</w:t>
      </w:r>
      <w:bookmarkStart w:id="161" w:name="_Hlk19051378"/>
      <w:r>
        <w:rPr>
          <w:szCs w:val="21"/>
        </w:rPr>
        <w:t>_</w:t>
      </w:r>
      <w:r>
        <w:rPr>
          <w:i/>
          <w:iCs/>
          <w:szCs w:val="21"/>
          <w:u w:val="single"/>
        </w:rPr>
        <w:t>（采购</w:t>
      </w:r>
      <w:r>
        <w:rPr>
          <w:rFonts w:hint="eastAsia"/>
          <w:i/>
          <w:iCs/>
          <w:szCs w:val="21"/>
          <w:u w:val="single"/>
        </w:rPr>
        <w:t>人</w:t>
      </w:r>
      <w:r>
        <w:rPr>
          <w:i/>
          <w:iCs/>
          <w:szCs w:val="21"/>
          <w:u w:val="single"/>
        </w:rPr>
        <w:t>名称）</w:t>
      </w:r>
      <w:r>
        <w:rPr>
          <w:i/>
          <w:iCs/>
          <w:szCs w:val="21"/>
        </w:rPr>
        <w:t>_</w:t>
      </w:r>
      <w:bookmarkEnd w:id="161"/>
      <w:r>
        <w:rPr>
          <w:szCs w:val="21"/>
        </w:rPr>
        <w:t>：</w:t>
      </w:r>
    </w:p>
    <w:p w14:paraId="557BC2C8">
      <w:pPr>
        <w:spacing w:line="360" w:lineRule="auto"/>
        <w:ind w:firstLine="420" w:firstLineChars="200"/>
        <w:rPr>
          <w:szCs w:val="21"/>
        </w:rPr>
      </w:pPr>
      <w:r>
        <w:rPr>
          <w:szCs w:val="21"/>
        </w:rPr>
        <w:t>我方已仔细研究了</w:t>
      </w:r>
      <w:bookmarkStart w:id="162" w:name="_Hlk19051388"/>
      <w:r>
        <w:rPr>
          <w:rFonts w:hint="eastAsia"/>
          <w:i/>
          <w:iCs/>
          <w:szCs w:val="21"/>
          <w:u w:val="single"/>
        </w:rPr>
        <w:t>（项目名称）</w:t>
      </w:r>
      <w:bookmarkEnd w:id="162"/>
      <w:r>
        <w:rPr>
          <w:szCs w:val="21"/>
        </w:rPr>
        <w:t>的招标文件的全部内容。签字代表</w:t>
      </w:r>
      <w:bookmarkStart w:id="163" w:name="_Hlk19051393"/>
      <w:r>
        <w:rPr>
          <w:rFonts w:hint="eastAsia"/>
          <w:i/>
          <w:iCs/>
          <w:szCs w:val="21"/>
          <w:u w:val="single"/>
        </w:rPr>
        <w:t>（授权代表姓名）</w:t>
      </w:r>
      <w:bookmarkEnd w:id="163"/>
      <w:r>
        <w:rPr>
          <w:szCs w:val="21"/>
        </w:rPr>
        <w:t>经正式授权并代表供应商_</w:t>
      </w:r>
      <w:bookmarkStart w:id="164" w:name="_Hlk19051402"/>
      <w:r>
        <w:rPr>
          <w:i/>
          <w:iCs/>
          <w:szCs w:val="21"/>
          <w:u w:val="single"/>
        </w:rPr>
        <w:t>（供应商名称）</w:t>
      </w:r>
      <w:bookmarkEnd w:id="164"/>
      <w:r>
        <w:rPr>
          <w:szCs w:val="21"/>
        </w:rPr>
        <w:t>提交投标文件</w:t>
      </w:r>
      <w:r>
        <w:rPr>
          <w:rFonts w:hint="eastAsia"/>
          <w:szCs w:val="21"/>
        </w:rPr>
        <w:t>。</w:t>
      </w:r>
    </w:p>
    <w:p w14:paraId="074FA8EF">
      <w:pPr>
        <w:spacing w:line="360" w:lineRule="auto"/>
        <w:ind w:firstLine="420" w:firstLineChars="200"/>
        <w:rPr>
          <w:szCs w:val="21"/>
        </w:rPr>
      </w:pPr>
      <w:r>
        <w:rPr>
          <w:szCs w:val="21"/>
        </w:rPr>
        <w:t>据此函，签字代表宣布同意如下：</w:t>
      </w:r>
    </w:p>
    <w:p w14:paraId="39A48F6F">
      <w:pPr>
        <w:spacing w:line="360" w:lineRule="auto"/>
        <w:rPr>
          <w:szCs w:val="21"/>
        </w:rPr>
      </w:pPr>
      <w:r>
        <w:rPr>
          <w:szCs w:val="21"/>
        </w:rPr>
        <w:t>（1）</w:t>
      </w:r>
      <w:r>
        <w:rPr>
          <w:rFonts w:hint="eastAsia"/>
          <w:szCs w:val="21"/>
        </w:rPr>
        <w:t>我方</w:t>
      </w:r>
      <w:r>
        <w:rPr>
          <w:szCs w:val="21"/>
        </w:rPr>
        <w:t>已详细审查全部“招标文件”，包括修改文件（如有的话）以及全部参考资料和有关附件，已经了解我方对于招标文件、采购过程、采购结果有依法进行询问、质疑、投诉的权利及相关渠道和要求。</w:t>
      </w:r>
    </w:p>
    <w:p w14:paraId="7C811CCF">
      <w:pPr>
        <w:spacing w:line="360" w:lineRule="auto"/>
        <w:rPr>
          <w:szCs w:val="21"/>
        </w:rPr>
      </w:pPr>
      <w:r>
        <w:rPr>
          <w:szCs w:val="21"/>
        </w:rPr>
        <w:t>（2）</w:t>
      </w:r>
      <w:r>
        <w:rPr>
          <w:rFonts w:hint="eastAsia"/>
          <w:szCs w:val="21"/>
        </w:rPr>
        <w:t>我方</w:t>
      </w:r>
      <w:r>
        <w:rPr>
          <w:szCs w:val="21"/>
        </w:rPr>
        <w:t>在投标之前已经与贵方进行了充分的沟通，完全理解并接受招标文件的各项规定和要求，对招标文件的合理性、合法性不再有异议。</w:t>
      </w:r>
    </w:p>
    <w:p w14:paraId="05E6EF93">
      <w:pPr>
        <w:spacing w:line="360" w:lineRule="auto"/>
        <w:rPr>
          <w:szCs w:val="21"/>
        </w:rPr>
      </w:pPr>
      <w:r>
        <w:rPr>
          <w:szCs w:val="21"/>
        </w:rPr>
        <w:t>（3）</w:t>
      </w:r>
      <w:r>
        <w:rPr>
          <w:rFonts w:hint="eastAsia"/>
          <w:szCs w:val="21"/>
        </w:rPr>
        <w:t>我方承诺本投标有效期为第三章投标人须知规定的期限。</w:t>
      </w:r>
    </w:p>
    <w:p w14:paraId="03EB4524">
      <w:pPr>
        <w:spacing w:line="360" w:lineRule="auto"/>
        <w:rPr>
          <w:szCs w:val="21"/>
        </w:rPr>
      </w:pPr>
      <w:r>
        <w:rPr>
          <w:szCs w:val="21"/>
        </w:rPr>
        <w:t>（4）如中标，本投标文件至本项目合同履行完毕止均保持有效，</w:t>
      </w:r>
      <w:r>
        <w:rPr>
          <w:rFonts w:hint="eastAsia"/>
          <w:szCs w:val="21"/>
        </w:rPr>
        <w:t>我方</w:t>
      </w:r>
      <w:r>
        <w:rPr>
          <w:szCs w:val="21"/>
        </w:rPr>
        <w:t>将按“招标文件”及政府采购法律、法规的规定履行合同责任和义务</w:t>
      </w:r>
      <w:r>
        <w:rPr>
          <w:rFonts w:hint="eastAsia"/>
          <w:szCs w:val="21"/>
        </w:rPr>
        <w:t>，并承诺</w:t>
      </w:r>
      <w:r>
        <w:rPr>
          <w:szCs w:val="21"/>
        </w:rPr>
        <w:t>不分包及转包他人。</w:t>
      </w:r>
    </w:p>
    <w:p w14:paraId="6C71D1FA">
      <w:pPr>
        <w:spacing w:line="360" w:lineRule="auto"/>
        <w:rPr>
          <w:szCs w:val="21"/>
        </w:rPr>
      </w:pPr>
      <w:r>
        <w:rPr>
          <w:szCs w:val="21"/>
        </w:rPr>
        <w:t>（5）</w:t>
      </w:r>
      <w:r>
        <w:rPr>
          <w:rFonts w:hint="eastAsia"/>
          <w:szCs w:val="21"/>
        </w:rPr>
        <w:t>我方</w:t>
      </w:r>
      <w:r>
        <w:rPr>
          <w:szCs w:val="21"/>
        </w:rPr>
        <w:t>同意按照贵方要求提供与投标有关的一切数据或资料。</w:t>
      </w:r>
    </w:p>
    <w:p w14:paraId="3A76D7B2">
      <w:pPr>
        <w:spacing w:line="360" w:lineRule="auto"/>
        <w:rPr>
          <w:szCs w:val="21"/>
        </w:rPr>
      </w:pPr>
      <w:r>
        <w:rPr>
          <w:szCs w:val="21"/>
        </w:rPr>
        <w:t>（6）与本项目有关的一切正式往来信函请寄：</w:t>
      </w:r>
    </w:p>
    <w:p w14:paraId="2BEAB71C">
      <w:pPr>
        <w:spacing w:line="360" w:lineRule="auto"/>
        <w:rPr>
          <w:szCs w:val="21"/>
        </w:rPr>
      </w:pPr>
      <w:r>
        <w:rPr>
          <w:szCs w:val="21"/>
        </w:rPr>
        <w:t>地址：</w:t>
      </w:r>
      <w:r>
        <w:rPr>
          <w:szCs w:val="21"/>
          <w:u w:val="single"/>
        </w:rPr>
        <w:t xml:space="preserve">                      </w:t>
      </w:r>
      <w:r>
        <w:rPr>
          <w:szCs w:val="21"/>
        </w:rPr>
        <w:t>邮编：</w:t>
      </w:r>
      <w:r>
        <w:rPr>
          <w:szCs w:val="21"/>
          <w:u w:val="single"/>
        </w:rPr>
        <w:t xml:space="preserve">         </w:t>
      </w:r>
      <w:r>
        <w:rPr>
          <w:szCs w:val="21"/>
        </w:rPr>
        <w:t xml:space="preserve">  电话：</w:t>
      </w:r>
      <w:r>
        <w:rPr>
          <w:szCs w:val="21"/>
          <w:u w:val="single"/>
        </w:rPr>
        <w:t xml:space="preserve">            </w:t>
      </w:r>
    </w:p>
    <w:p w14:paraId="7B1A9AA7">
      <w:pPr>
        <w:spacing w:line="360" w:lineRule="auto"/>
        <w:rPr>
          <w:szCs w:val="21"/>
        </w:rPr>
      </w:pPr>
      <w:r>
        <w:rPr>
          <w:szCs w:val="21"/>
        </w:rPr>
        <w:t>传真：</w:t>
      </w:r>
      <w:r>
        <w:rPr>
          <w:szCs w:val="21"/>
          <w:u w:val="single"/>
        </w:rPr>
        <w:t xml:space="preserve">           </w:t>
      </w:r>
      <w:r>
        <w:rPr>
          <w:szCs w:val="21"/>
        </w:rPr>
        <w:t xml:space="preserve">  </w:t>
      </w:r>
    </w:p>
    <w:p w14:paraId="7C5EA712">
      <w:pPr>
        <w:spacing w:line="360" w:lineRule="auto"/>
        <w:rPr>
          <w:szCs w:val="21"/>
        </w:rPr>
      </w:pPr>
      <w:r>
        <w:rPr>
          <w:szCs w:val="21"/>
        </w:rPr>
        <w:t>供应商代表姓名</w:t>
      </w:r>
      <w:r>
        <w:rPr>
          <w:szCs w:val="21"/>
          <w:u w:val="single"/>
        </w:rPr>
        <w:t xml:space="preserve">         </w:t>
      </w:r>
      <w:r>
        <w:rPr>
          <w:szCs w:val="21"/>
        </w:rPr>
        <w:t xml:space="preserve">  职务：</w:t>
      </w:r>
      <w:r>
        <w:rPr>
          <w:szCs w:val="21"/>
          <w:u w:val="single"/>
        </w:rPr>
        <w:t xml:space="preserve">         </w:t>
      </w:r>
      <w:r>
        <w:rPr>
          <w:szCs w:val="21"/>
        </w:rPr>
        <w:t xml:space="preserve">    </w:t>
      </w:r>
      <w:r>
        <w:rPr>
          <w:rFonts w:hint="eastAsia"/>
          <w:szCs w:val="21"/>
        </w:rPr>
        <w:t>邮箱：</w:t>
      </w:r>
      <w:r>
        <w:rPr>
          <w:rFonts w:hint="eastAsia"/>
          <w:szCs w:val="21"/>
          <w:u w:val="single"/>
        </w:rPr>
        <w:t xml:space="preserve"> </w:t>
      </w:r>
      <w:r>
        <w:rPr>
          <w:szCs w:val="21"/>
          <w:u w:val="single"/>
        </w:rPr>
        <w:t xml:space="preserve">             </w:t>
      </w:r>
      <w:r>
        <w:rPr>
          <w:szCs w:val="21"/>
        </w:rPr>
        <w:t xml:space="preserve"> </w:t>
      </w:r>
    </w:p>
    <w:bookmarkEnd w:id="160"/>
    <w:p w14:paraId="17077F31">
      <w:pPr>
        <w:spacing w:line="360" w:lineRule="auto"/>
        <w:rPr>
          <w:szCs w:val="21"/>
        </w:rPr>
      </w:pPr>
    </w:p>
    <w:p w14:paraId="66CE40B8">
      <w:pPr>
        <w:spacing w:line="360" w:lineRule="auto"/>
        <w:rPr>
          <w:szCs w:val="21"/>
        </w:rPr>
      </w:pPr>
    </w:p>
    <w:p w14:paraId="519EEA21">
      <w:pPr>
        <w:spacing w:line="360" w:lineRule="auto"/>
        <w:rPr>
          <w:szCs w:val="21"/>
          <w:u w:val="single"/>
        </w:rPr>
      </w:pPr>
      <w:r>
        <w:rPr>
          <w:szCs w:val="21"/>
        </w:rPr>
        <w:t>供应商</w:t>
      </w:r>
      <w:r>
        <w:rPr>
          <w:rFonts w:hint="eastAsia"/>
          <w:szCs w:val="21"/>
        </w:rPr>
        <w:t>名称(电子签章</w:t>
      </w:r>
      <w:r>
        <w:rPr>
          <w:szCs w:val="21"/>
        </w:rPr>
        <w:t>)：</w:t>
      </w:r>
      <w:r>
        <w:rPr>
          <w:szCs w:val="21"/>
          <w:u w:val="single"/>
        </w:rPr>
        <w:t xml:space="preserve">                  </w:t>
      </w:r>
      <w:r>
        <w:rPr>
          <w:szCs w:val="21"/>
        </w:rPr>
        <w:t xml:space="preserve">        </w:t>
      </w:r>
    </w:p>
    <w:p w14:paraId="074231A3">
      <w:pPr>
        <w:spacing w:line="360" w:lineRule="auto"/>
        <w:rPr>
          <w:szCs w:val="21"/>
        </w:rPr>
      </w:pPr>
    </w:p>
    <w:p w14:paraId="575B263D">
      <w:pPr>
        <w:spacing w:line="360" w:lineRule="auto"/>
        <w:rPr>
          <w:szCs w:val="21"/>
        </w:rPr>
      </w:pPr>
      <w:r>
        <w:rPr>
          <w:szCs w:val="21"/>
        </w:rPr>
        <w:t>日期：</w:t>
      </w:r>
      <w:r>
        <w:rPr>
          <w:szCs w:val="21"/>
          <w:u w:val="single"/>
        </w:rPr>
        <w:t xml:space="preserve">      </w:t>
      </w:r>
      <w:r>
        <w:rPr>
          <w:szCs w:val="21"/>
        </w:rPr>
        <w:t>年</w:t>
      </w:r>
      <w:r>
        <w:rPr>
          <w:szCs w:val="21"/>
          <w:u w:val="single"/>
        </w:rPr>
        <w:t xml:space="preserve">    </w:t>
      </w:r>
      <w:r>
        <w:rPr>
          <w:szCs w:val="21"/>
        </w:rPr>
        <w:t>月</w:t>
      </w:r>
      <w:r>
        <w:rPr>
          <w:szCs w:val="21"/>
          <w:u w:val="single"/>
        </w:rPr>
        <w:t xml:space="preserve">   </w:t>
      </w:r>
      <w:r>
        <w:rPr>
          <w:szCs w:val="21"/>
        </w:rPr>
        <w:t>日</w:t>
      </w:r>
    </w:p>
    <w:p w14:paraId="53C75D01">
      <w:r>
        <w:rPr>
          <w:b/>
          <w:szCs w:val="21"/>
        </w:rPr>
        <w:br w:type="page"/>
      </w:r>
      <w:r>
        <w:rPr>
          <w:rFonts w:hint="eastAsia"/>
          <w:b/>
          <w:szCs w:val="21"/>
          <w:lang w:val="en-US" w:eastAsia="zh-CN"/>
        </w:rPr>
        <w:t>2.</w:t>
      </w:r>
      <w:r>
        <w:t>投标报价明细表格式：</w:t>
      </w:r>
    </w:p>
    <w:p w14:paraId="16766DD6">
      <w:pPr>
        <w:jc w:val="center"/>
        <w:rPr>
          <w:b/>
          <w:szCs w:val="21"/>
        </w:rPr>
      </w:pPr>
      <w:r>
        <w:rPr>
          <w:b/>
          <w:szCs w:val="21"/>
        </w:rPr>
        <w:t>投标报价明细表</w:t>
      </w:r>
    </w:p>
    <w:p w14:paraId="518B8776">
      <w:pPr>
        <w:ind w:firstLine="2415" w:firstLineChars="1150"/>
        <w:rPr>
          <w:szCs w:val="21"/>
        </w:rPr>
      </w:pPr>
      <w:r>
        <w:rPr>
          <w:szCs w:val="21"/>
        </w:rPr>
        <w:t xml:space="preserve">                                    金额单位：人民币（元）</w:t>
      </w:r>
    </w:p>
    <w:tbl>
      <w:tblPr>
        <w:tblStyle w:val="51"/>
        <w:tblW w:w="8774"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830"/>
        <w:gridCol w:w="1620"/>
        <w:gridCol w:w="1080"/>
        <w:gridCol w:w="1268"/>
        <w:gridCol w:w="1599"/>
        <w:gridCol w:w="1118"/>
        <w:gridCol w:w="1259"/>
      </w:tblGrid>
      <w:tr w14:paraId="5F313DD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PrEx>
        <w:trPr>
          <w:trHeight w:val="851" w:hRule="exact"/>
          <w:jc w:val="center"/>
        </w:trPr>
        <w:tc>
          <w:tcPr>
            <w:tcW w:w="830" w:type="dxa"/>
            <w:tcBorders>
              <w:top w:val="single" w:color="auto" w:sz="4" w:space="0"/>
              <w:left w:val="single" w:color="auto" w:sz="4" w:space="0"/>
              <w:bottom w:val="single" w:color="auto" w:sz="4" w:space="0"/>
              <w:right w:val="single" w:color="auto" w:sz="4" w:space="0"/>
            </w:tcBorders>
            <w:noWrap w:val="0"/>
            <w:vAlign w:val="center"/>
          </w:tcPr>
          <w:p w14:paraId="3C417A66">
            <w:pPr>
              <w:jc w:val="center"/>
              <w:rPr>
                <w:color w:val="auto"/>
                <w:spacing w:val="20"/>
                <w:szCs w:val="21"/>
              </w:rPr>
            </w:pPr>
            <w:r>
              <w:rPr>
                <w:color w:val="auto"/>
                <w:szCs w:val="21"/>
              </w:rPr>
              <w:t>序号</w:t>
            </w:r>
          </w:p>
        </w:tc>
        <w:tc>
          <w:tcPr>
            <w:tcW w:w="1620" w:type="dxa"/>
            <w:tcBorders>
              <w:top w:val="single" w:color="auto" w:sz="4" w:space="0"/>
              <w:left w:val="single" w:color="auto" w:sz="4" w:space="0"/>
              <w:bottom w:val="single" w:color="auto" w:sz="4" w:space="0"/>
              <w:right w:val="single" w:color="auto" w:sz="4" w:space="0"/>
            </w:tcBorders>
            <w:noWrap w:val="0"/>
            <w:vAlign w:val="center"/>
          </w:tcPr>
          <w:p w14:paraId="67F2B023">
            <w:pPr>
              <w:jc w:val="center"/>
              <w:rPr>
                <w:color w:val="auto"/>
                <w:szCs w:val="21"/>
              </w:rPr>
            </w:pPr>
            <w:r>
              <w:rPr>
                <w:color w:val="auto"/>
                <w:szCs w:val="21"/>
              </w:rPr>
              <w:t>产品或服务名称</w:t>
            </w:r>
          </w:p>
        </w:tc>
        <w:tc>
          <w:tcPr>
            <w:tcW w:w="1080" w:type="dxa"/>
            <w:tcBorders>
              <w:top w:val="single" w:color="auto" w:sz="4" w:space="0"/>
              <w:left w:val="single" w:color="auto" w:sz="4" w:space="0"/>
              <w:bottom w:val="single" w:color="auto" w:sz="4" w:space="0"/>
              <w:right w:val="single" w:color="auto" w:sz="4" w:space="0"/>
            </w:tcBorders>
            <w:noWrap w:val="0"/>
            <w:vAlign w:val="center"/>
          </w:tcPr>
          <w:p w14:paraId="2D68EE04">
            <w:pPr>
              <w:jc w:val="center"/>
              <w:rPr>
                <w:color w:val="auto"/>
                <w:szCs w:val="21"/>
              </w:rPr>
            </w:pPr>
            <w:r>
              <w:rPr>
                <w:color w:val="auto"/>
                <w:szCs w:val="21"/>
              </w:rPr>
              <w:t>制造商或服务商</w:t>
            </w:r>
          </w:p>
        </w:tc>
        <w:tc>
          <w:tcPr>
            <w:tcW w:w="1268" w:type="dxa"/>
            <w:tcBorders>
              <w:top w:val="single" w:color="auto" w:sz="4" w:space="0"/>
              <w:left w:val="single" w:color="auto" w:sz="4" w:space="0"/>
              <w:bottom w:val="single" w:color="auto" w:sz="4" w:space="0"/>
              <w:right w:val="single" w:color="auto" w:sz="4" w:space="0"/>
            </w:tcBorders>
            <w:noWrap w:val="0"/>
            <w:vAlign w:val="center"/>
          </w:tcPr>
          <w:p w14:paraId="643AEEC2">
            <w:pPr>
              <w:jc w:val="center"/>
              <w:rPr>
                <w:color w:val="auto"/>
                <w:szCs w:val="21"/>
              </w:rPr>
            </w:pPr>
            <w:r>
              <w:rPr>
                <w:color w:val="auto"/>
                <w:szCs w:val="21"/>
              </w:rPr>
              <w:t>规格型号</w:t>
            </w:r>
          </w:p>
        </w:tc>
        <w:tc>
          <w:tcPr>
            <w:tcW w:w="1599" w:type="dxa"/>
            <w:tcBorders>
              <w:top w:val="single" w:color="auto" w:sz="4" w:space="0"/>
              <w:left w:val="single" w:color="auto" w:sz="4" w:space="0"/>
              <w:bottom w:val="single" w:color="auto" w:sz="4" w:space="0"/>
              <w:right w:val="single" w:color="auto" w:sz="4" w:space="0"/>
            </w:tcBorders>
            <w:noWrap w:val="0"/>
            <w:vAlign w:val="center"/>
          </w:tcPr>
          <w:p w14:paraId="4F6061B3">
            <w:pPr>
              <w:jc w:val="center"/>
              <w:rPr>
                <w:color w:val="auto"/>
                <w:szCs w:val="21"/>
              </w:rPr>
            </w:pPr>
            <w:r>
              <w:rPr>
                <w:color w:val="auto"/>
                <w:szCs w:val="21"/>
              </w:rPr>
              <w:t>单位及数量</w:t>
            </w:r>
          </w:p>
        </w:tc>
        <w:tc>
          <w:tcPr>
            <w:tcW w:w="1118" w:type="dxa"/>
            <w:tcBorders>
              <w:top w:val="single" w:color="auto" w:sz="4" w:space="0"/>
              <w:left w:val="single" w:color="auto" w:sz="4" w:space="0"/>
              <w:bottom w:val="single" w:color="auto" w:sz="4" w:space="0"/>
              <w:right w:val="single" w:color="auto" w:sz="4" w:space="0"/>
            </w:tcBorders>
            <w:noWrap w:val="0"/>
            <w:vAlign w:val="center"/>
          </w:tcPr>
          <w:p w14:paraId="6D041BD5">
            <w:pPr>
              <w:jc w:val="center"/>
              <w:rPr>
                <w:color w:val="auto"/>
                <w:szCs w:val="21"/>
              </w:rPr>
            </w:pPr>
            <w:r>
              <w:rPr>
                <w:color w:val="auto"/>
                <w:szCs w:val="21"/>
              </w:rPr>
              <w:t>单价</w:t>
            </w:r>
          </w:p>
        </w:tc>
        <w:tc>
          <w:tcPr>
            <w:tcW w:w="1259" w:type="dxa"/>
            <w:tcBorders>
              <w:top w:val="single" w:color="auto" w:sz="4" w:space="0"/>
              <w:left w:val="single" w:color="auto" w:sz="4" w:space="0"/>
              <w:bottom w:val="single" w:color="auto" w:sz="4" w:space="0"/>
              <w:right w:val="single" w:color="auto" w:sz="4" w:space="0"/>
            </w:tcBorders>
            <w:noWrap w:val="0"/>
            <w:vAlign w:val="center"/>
          </w:tcPr>
          <w:p w14:paraId="2D031DD7">
            <w:pPr>
              <w:jc w:val="center"/>
              <w:rPr>
                <w:color w:val="auto"/>
                <w:szCs w:val="21"/>
              </w:rPr>
            </w:pPr>
            <w:r>
              <w:rPr>
                <w:rFonts w:hint="eastAsia"/>
                <w:color w:val="auto"/>
                <w:szCs w:val="21"/>
              </w:rPr>
              <w:t>合计</w:t>
            </w:r>
          </w:p>
        </w:tc>
      </w:tr>
      <w:tr w14:paraId="352BB14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51" w:hRule="exact"/>
          <w:jc w:val="center"/>
        </w:trPr>
        <w:tc>
          <w:tcPr>
            <w:tcW w:w="830" w:type="dxa"/>
            <w:tcBorders>
              <w:top w:val="single" w:color="auto" w:sz="4" w:space="0"/>
              <w:left w:val="single" w:color="auto" w:sz="4" w:space="0"/>
              <w:bottom w:val="single" w:color="auto" w:sz="4" w:space="0"/>
              <w:right w:val="single" w:color="auto" w:sz="4" w:space="0"/>
            </w:tcBorders>
            <w:noWrap w:val="0"/>
            <w:vAlign w:val="center"/>
          </w:tcPr>
          <w:p w14:paraId="4E1250D2">
            <w:pPr>
              <w:jc w:val="center"/>
              <w:rPr>
                <w:color w:val="auto"/>
                <w:spacing w:val="20"/>
                <w:szCs w:val="21"/>
              </w:rPr>
            </w:pPr>
          </w:p>
        </w:tc>
        <w:tc>
          <w:tcPr>
            <w:tcW w:w="1620" w:type="dxa"/>
            <w:tcBorders>
              <w:top w:val="single" w:color="auto" w:sz="4" w:space="0"/>
              <w:left w:val="single" w:color="auto" w:sz="4" w:space="0"/>
              <w:bottom w:val="single" w:color="auto" w:sz="4" w:space="0"/>
              <w:right w:val="single" w:color="auto" w:sz="4" w:space="0"/>
            </w:tcBorders>
            <w:noWrap w:val="0"/>
            <w:vAlign w:val="center"/>
          </w:tcPr>
          <w:p w14:paraId="6F6EB97C">
            <w:pPr>
              <w:jc w:val="center"/>
              <w:rPr>
                <w:color w:val="auto"/>
                <w:spacing w:val="20"/>
                <w:szCs w:val="21"/>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14:paraId="105D31B8">
            <w:pPr>
              <w:jc w:val="center"/>
              <w:rPr>
                <w:color w:val="auto"/>
                <w:spacing w:val="20"/>
                <w:szCs w:val="21"/>
              </w:rPr>
            </w:pPr>
          </w:p>
        </w:tc>
        <w:tc>
          <w:tcPr>
            <w:tcW w:w="1268" w:type="dxa"/>
            <w:tcBorders>
              <w:top w:val="single" w:color="auto" w:sz="4" w:space="0"/>
              <w:left w:val="single" w:color="auto" w:sz="4" w:space="0"/>
              <w:bottom w:val="single" w:color="auto" w:sz="4" w:space="0"/>
              <w:right w:val="single" w:color="auto" w:sz="4" w:space="0"/>
            </w:tcBorders>
            <w:noWrap w:val="0"/>
            <w:vAlign w:val="center"/>
          </w:tcPr>
          <w:p w14:paraId="2155028E">
            <w:pPr>
              <w:jc w:val="center"/>
              <w:rPr>
                <w:color w:val="auto"/>
                <w:spacing w:val="20"/>
                <w:szCs w:val="21"/>
              </w:rPr>
            </w:pPr>
          </w:p>
        </w:tc>
        <w:tc>
          <w:tcPr>
            <w:tcW w:w="1599" w:type="dxa"/>
            <w:tcBorders>
              <w:top w:val="single" w:color="auto" w:sz="4" w:space="0"/>
              <w:left w:val="single" w:color="auto" w:sz="4" w:space="0"/>
              <w:bottom w:val="single" w:color="auto" w:sz="4" w:space="0"/>
              <w:right w:val="single" w:color="auto" w:sz="4" w:space="0"/>
            </w:tcBorders>
            <w:noWrap w:val="0"/>
            <w:vAlign w:val="center"/>
          </w:tcPr>
          <w:p w14:paraId="42CC8BD7">
            <w:pPr>
              <w:jc w:val="center"/>
              <w:rPr>
                <w:color w:val="auto"/>
                <w:spacing w:val="20"/>
                <w:szCs w:val="21"/>
              </w:rPr>
            </w:pPr>
          </w:p>
        </w:tc>
        <w:tc>
          <w:tcPr>
            <w:tcW w:w="1118" w:type="dxa"/>
            <w:tcBorders>
              <w:top w:val="single" w:color="auto" w:sz="4" w:space="0"/>
              <w:left w:val="single" w:color="auto" w:sz="4" w:space="0"/>
              <w:bottom w:val="single" w:color="auto" w:sz="4" w:space="0"/>
              <w:right w:val="single" w:color="auto" w:sz="4" w:space="0"/>
            </w:tcBorders>
            <w:noWrap w:val="0"/>
            <w:vAlign w:val="center"/>
          </w:tcPr>
          <w:p w14:paraId="2DC86E67">
            <w:pPr>
              <w:jc w:val="center"/>
              <w:rPr>
                <w:color w:val="auto"/>
                <w:spacing w:val="20"/>
                <w:szCs w:val="21"/>
              </w:rPr>
            </w:pPr>
          </w:p>
        </w:tc>
        <w:tc>
          <w:tcPr>
            <w:tcW w:w="1259" w:type="dxa"/>
            <w:tcBorders>
              <w:top w:val="single" w:color="auto" w:sz="4" w:space="0"/>
              <w:left w:val="single" w:color="auto" w:sz="4" w:space="0"/>
              <w:bottom w:val="single" w:color="auto" w:sz="4" w:space="0"/>
              <w:right w:val="single" w:color="auto" w:sz="4" w:space="0"/>
            </w:tcBorders>
            <w:noWrap w:val="0"/>
            <w:vAlign w:val="center"/>
          </w:tcPr>
          <w:p w14:paraId="549B3CE8">
            <w:pPr>
              <w:jc w:val="center"/>
              <w:rPr>
                <w:color w:val="auto"/>
                <w:spacing w:val="20"/>
                <w:szCs w:val="21"/>
              </w:rPr>
            </w:pPr>
          </w:p>
        </w:tc>
      </w:tr>
      <w:tr w14:paraId="24552C9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51" w:hRule="exact"/>
          <w:jc w:val="center"/>
        </w:trPr>
        <w:tc>
          <w:tcPr>
            <w:tcW w:w="830" w:type="dxa"/>
            <w:tcBorders>
              <w:top w:val="single" w:color="auto" w:sz="4" w:space="0"/>
              <w:left w:val="single" w:color="auto" w:sz="4" w:space="0"/>
              <w:bottom w:val="single" w:color="auto" w:sz="4" w:space="0"/>
              <w:right w:val="single" w:color="auto" w:sz="4" w:space="0"/>
            </w:tcBorders>
            <w:noWrap w:val="0"/>
            <w:vAlign w:val="center"/>
          </w:tcPr>
          <w:p w14:paraId="43DD3159">
            <w:pPr>
              <w:jc w:val="center"/>
              <w:rPr>
                <w:color w:val="auto"/>
                <w:spacing w:val="20"/>
                <w:szCs w:val="21"/>
              </w:rPr>
            </w:pPr>
          </w:p>
        </w:tc>
        <w:tc>
          <w:tcPr>
            <w:tcW w:w="1620" w:type="dxa"/>
            <w:tcBorders>
              <w:top w:val="single" w:color="auto" w:sz="4" w:space="0"/>
              <w:left w:val="single" w:color="auto" w:sz="4" w:space="0"/>
              <w:bottom w:val="single" w:color="auto" w:sz="4" w:space="0"/>
              <w:right w:val="single" w:color="auto" w:sz="4" w:space="0"/>
            </w:tcBorders>
            <w:noWrap w:val="0"/>
            <w:vAlign w:val="center"/>
          </w:tcPr>
          <w:p w14:paraId="7994BACF">
            <w:pPr>
              <w:jc w:val="center"/>
              <w:rPr>
                <w:color w:val="auto"/>
                <w:spacing w:val="20"/>
                <w:szCs w:val="21"/>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14:paraId="62AF00BD">
            <w:pPr>
              <w:jc w:val="center"/>
              <w:rPr>
                <w:color w:val="auto"/>
                <w:spacing w:val="20"/>
                <w:szCs w:val="21"/>
              </w:rPr>
            </w:pPr>
          </w:p>
        </w:tc>
        <w:tc>
          <w:tcPr>
            <w:tcW w:w="1268" w:type="dxa"/>
            <w:tcBorders>
              <w:top w:val="single" w:color="auto" w:sz="4" w:space="0"/>
              <w:left w:val="single" w:color="auto" w:sz="4" w:space="0"/>
              <w:bottom w:val="single" w:color="auto" w:sz="4" w:space="0"/>
              <w:right w:val="single" w:color="auto" w:sz="4" w:space="0"/>
            </w:tcBorders>
            <w:noWrap w:val="0"/>
            <w:vAlign w:val="center"/>
          </w:tcPr>
          <w:p w14:paraId="607AD862">
            <w:pPr>
              <w:jc w:val="center"/>
              <w:rPr>
                <w:color w:val="auto"/>
                <w:spacing w:val="20"/>
                <w:szCs w:val="21"/>
              </w:rPr>
            </w:pPr>
          </w:p>
        </w:tc>
        <w:tc>
          <w:tcPr>
            <w:tcW w:w="1599" w:type="dxa"/>
            <w:tcBorders>
              <w:top w:val="single" w:color="auto" w:sz="4" w:space="0"/>
              <w:left w:val="single" w:color="auto" w:sz="4" w:space="0"/>
              <w:bottom w:val="single" w:color="auto" w:sz="4" w:space="0"/>
              <w:right w:val="single" w:color="auto" w:sz="4" w:space="0"/>
            </w:tcBorders>
            <w:noWrap w:val="0"/>
            <w:vAlign w:val="center"/>
          </w:tcPr>
          <w:p w14:paraId="2A4AA35D">
            <w:pPr>
              <w:jc w:val="center"/>
              <w:rPr>
                <w:color w:val="auto"/>
                <w:spacing w:val="20"/>
                <w:szCs w:val="21"/>
              </w:rPr>
            </w:pPr>
          </w:p>
        </w:tc>
        <w:tc>
          <w:tcPr>
            <w:tcW w:w="1118" w:type="dxa"/>
            <w:tcBorders>
              <w:top w:val="single" w:color="auto" w:sz="4" w:space="0"/>
              <w:left w:val="single" w:color="auto" w:sz="4" w:space="0"/>
              <w:bottom w:val="single" w:color="auto" w:sz="4" w:space="0"/>
              <w:right w:val="single" w:color="auto" w:sz="4" w:space="0"/>
            </w:tcBorders>
            <w:noWrap w:val="0"/>
            <w:vAlign w:val="center"/>
          </w:tcPr>
          <w:p w14:paraId="18A69751">
            <w:pPr>
              <w:jc w:val="center"/>
              <w:rPr>
                <w:color w:val="auto"/>
                <w:spacing w:val="20"/>
                <w:szCs w:val="21"/>
              </w:rPr>
            </w:pPr>
          </w:p>
        </w:tc>
        <w:tc>
          <w:tcPr>
            <w:tcW w:w="1259" w:type="dxa"/>
            <w:tcBorders>
              <w:top w:val="single" w:color="auto" w:sz="4" w:space="0"/>
              <w:left w:val="single" w:color="auto" w:sz="4" w:space="0"/>
              <w:bottom w:val="single" w:color="auto" w:sz="4" w:space="0"/>
              <w:right w:val="single" w:color="auto" w:sz="4" w:space="0"/>
            </w:tcBorders>
            <w:noWrap w:val="0"/>
            <w:vAlign w:val="center"/>
          </w:tcPr>
          <w:p w14:paraId="4AFECF0C">
            <w:pPr>
              <w:jc w:val="center"/>
              <w:rPr>
                <w:color w:val="auto"/>
                <w:spacing w:val="20"/>
                <w:szCs w:val="21"/>
              </w:rPr>
            </w:pPr>
          </w:p>
        </w:tc>
      </w:tr>
      <w:tr w14:paraId="493F3E6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51" w:hRule="exact"/>
          <w:jc w:val="center"/>
        </w:trPr>
        <w:tc>
          <w:tcPr>
            <w:tcW w:w="830" w:type="dxa"/>
            <w:tcBorders>
              <w:top w:val="single" w:color="auto" w:sz="4" w:space="0"/>
              <w:left w:val="single" w:color="auto" w:sz="4" w:space="0"/>
              <w:bottom w:val="single" w:color="auto" w:sz="4" w:space="0"/>
              <w:right w:val="single" w:color="auto" w:sz="4" w:space="0"/>
            </w:tcBorders>
            <w:noWrap w:val="0"/>
            <w:vAlign w:val="center"/>
          </w:tcPr>
          <w:p w14:paraId="1E692A86">
            <w:pPr>
              <w:jc w:val="center"/>
              <w:rPr>
                <w:color w:val="auto"/>
                <w:spacing w:val="20"/>
                <w:szCs w:val="21"/>
              </w:rPr>
            </w:pPr>
          </w:p>
        </w:tc>
        <w:tc>
          <w:tcPr>
            <w:tcW w:w="1620" w:type="dxa"/>
            <w:tcBorders>
              <w:top w:val="single" w:color="auto" w:sz="4" w:space="0"/>
              <w:left w:val="single" w:color="auto" w:sz="4" w:space="0"/>
              <w:bottom w:val="single" w:color="auto" w:sz="4" w:space="0"/>
              <w:right w:val="single" w:color="auto" w:sz="4" w:space="0"/>
            </w:tcBorders>
            <w:noWrap w:val="0"/>
            <w:vAlign w:val="center"/>
          </w:tcPr>
          <w:p w14:paraId="7A664233">
            <w:pPr>
              <w:jc w:val="center"/>
              <w:rPr>
                <w:color w:val="auto"/>
                <w:spacing w:val="20"/>
                <w:szCs w:val="21"/>
              </w:rPr>
            </w:pPr>
            <w:r>
              <w:rPr>
                <w:color w:val="auto"/>
                <w:spacing w:val="20"/>
                <w:szCs w:val="21"/>
              </w:rPr>
              <w:t>……</w:t>
            </w:r>
          </w:p>
        </w:tc>
        <w:tc>
          <w:tcPr>
            <w:tcW w:w="1080" w:type="dxa"/>
            <w:tcBorders>
              <w:top w:val="single" w:color="auto" w:sz="4" w:space="0"/>
              <w:left w:val="single" w:color="auto" w:sz="4" w:space="0"/>
              <w:bottom w:val="single" w:color="auto" w:sz="4" w:space="0"/>
              <w:right w:val="single" w:color="auto" w:sz="4" w:space="0"/>
            </w:tcBorders>
            <w:noWrap w:val="0"/>
            <w:vAlign w:val="center"/>
          </w:tcPr>
          <w:p w14:paraId="1D31F61E">
            <w:pPr>
              <w:jc w:val="center"/>
              <w:rPr>
                <w:color w:val="auto"/>
                <w:spacing w:val="20"/>
                <w:szCs w:val="21"/>
              </w:rPr>
            </w:pPr>
          </w:p>
        </w:tc>
        <w:tc>
          <w:tcPr>
            <w:tcW w:w="1268" w:type="dxa"/>
            <w:tcBorders>
              <w:top w:val="single" w:color="auto" w:sz="4" w:space="0"/>
              <w:left w:val="single" w:color="auto" w:sz="4" w:space="0"/>
              <w:bottom w:val="single" w:color="auto" w:sz="4" w:space="0"/>
              <w:right w:val="single" w:color="auto" w:sz="4" w:space="0"/>
            </w:tcBorders>
            <w:noWrap w:val="0"/>
            <w:vAlign w:val="center"/>
          </w:tcPr>
          <w:p w14:paraId="27F53EE1">
            <w:pPr>
              <w:jc w:val="center"/>
              <w:rPr>
                <w:color w:val="auto"/>
                <w:spacing w:val="20"/>
                <w:szCs w:val="21"/>
              </w:rPr>
            </w:pPr>
          </w:p>
        </w:tc>
        <w:tc>
          <w:tcPr>
            <w:tcW w:w="1599" w:type="dxa"/>
            <w:tcBorders>
              <w:top w:val="single" w:color="auto" w:sz="4" w:space="0"/>
              <w:left w:val="single" w:color="auto" w:sz="4" w:space="0"/>
              <w:bottom w:val="single" w:color="auto" w:sz="4" w:space="0"/>
              <w:right w:val="single" w:color="auto" w:sz="4" w:space="0"/>
            </w:tcBorders>
            <w:noWrap w:val="0"/>
            <w:vAlign w:val="center"/>
          </w:tcPr>
          <w:p w14:paraId="50C4C4E3">
            <w:pPr>
              <w:jc w:val="center"/>
              <w:rPr>
                <w:color w:val="auto"/>
                <w:spacing w:val="20"/>
                <w:szCs w:val="21"/>
              </w:rPr>
            </w:pPr>
          </w:p>
        </w:tc>
        <w:tc>
          <w:tcPr>
            <w:tcW w:w="1118" w:type="dxa"/>
            <w:tcBorders>
              <w:top w:val="single" w:color="auto" w:sz="4" w:space="0"/>
              <w:left w:val="single" w:color="auto" w:sz="4" w:space="0"/>
              <w:bottom w:val="single" w:color="auto" w:sz="4" w:space="0"/>
              <w:right w:val="single" w:color="auto" w:sz="4" w:space="0"/>
            </w:tcBorders>
            <w:noWrap w:val="0"/>
            <w:vAlign w:val="center"/>
          </w:tcPr>
          <w:p w14:paraId="01EFE3A2">
            <w:pPr>
              <w:jc w:val="center"/>
              <w:rPr>
                <w:color w:val="auto"/>
                <w:spacing w:val="20"/>
                <w:szCs w:val="21"/>
              </w:rPr>
            </w:pPr>
          </w:p>
        </w:tc>
        <w:tc>
          <w:tcPr>
            <w:tcW w:w="1259" w:type="dxa"/>
            <w:tcBorders>
              <w:top w:val="single" w:color="auto" w:sz="4" w:space="0"/>
              <w:left w:val="single" w:color="auto" w:sz="4" w:space="0"/>
              <w:bottom w:val="single" w:color="auto" w:sz="4" w:space="0"/>
              <w:right w:val="single" w:color="auto" w:sz="4" w:space="0"/>
            </w:tcBorders>
            <w:noWrap w:val="0"/>
            <w:vAlign w:val="center"/>
          </w:tcPr>
          <w:p w14:paraId="1D5E1938">
            <w:pPr>
              <w:jc w:val="center"/>
              <w:rPr>
                <w:color w:val="auto"/>
                <w:spacing w:val="20"/>
                <w:szCs w:val="21"/>
              </w:rPr>
            </w:pPr>
          </w:p>
        </w:tc>
      </w:tr>
    </w:tbl>
    <w:p w14:paraId="5EE01B04">
      <w:pPr>
        <w:rPr>
          <w:spacing w:val="20"/>
          <w:szCs w:val="21"/>
          <w:u w:val="single"/>
        </w:rPr>
      </w:pPr>
    </w:p>
    <w:p w14:paraId="72C9E2AC">
      <w:pPr>
        <w:jc w:val="center"/>
        <w:rPr>
          <w:rFonts w:hint="eastAsia"/>
          <w:spacing w:val="20"/>
          <w:szCs w:val="21"/>
          <w:u w:val="none"/>
          <w:lang w:val="en-US" w:eastAsia="zh-CN"/>
        </w:rPr>
      </w:pPr>
    </w:p>
    <w:p w14:paraId="14E83B9D">
      <w:pPr>
        <w:spacing w:line="360" w:lineRule="auto"/>
        <w:rPr>
          <w:rFonts w:hint="default"/>
          <w:spacing w:val="20"/>
          <w:szCs w:val="21"/>
          <w:lang w:val="en-US" w:eastAsia="zh-CN"/>
        </w:rPr>
      </w:pPr>
    </w:p>
    <w:p w14:paraId="0F126450">
      <w:pPr>
        <w:pStyle w:val="17"/>
      </w:pPr>
      <w:bookmarkStart w:id="165" w:name="_Hlk88990717"/>
      <w:r>
        <w:rPr>
          <w:szCs w:val="21"/>
        </w:rPr>
        <w:t>注：</w:t>
      </w:r>
      <w:r>
        <w:rPr>
          <w:rFonts w:hint="eastAsia"/>
          <w:szCs w:val="21"/>
        </w:rPr>
        <w:t>本表如</w:t>
      </w:r>
      <w:r>
        <w:rPr>
          <w:rFonts w:hint="eastAsia"/>
        </w:rPr>
        <w:t>与</w:t>
      </w:r>
      <w:r>
        <w:rPr>
          <w:rFonts w:hint="eastAsia"/>
          <w:szCs w:val="21"/>
        </w:rPr>
        <w:t>广西政府采购云平台</w:t>
      </w:r>
      <w:r>
        <w:rPr>
          <w:rFonts w:hint="eastAsia"/>
        </w:rPr>
        <w:t>不一致的，以</w:t>
      </w:r>
      <w:r>
        <w:rPr>
          <w:rFonts w:hint="eastAsia"/>
          <w:szCs w:val="21"/>
        </w:rPr>
        <w:t>广西政府采购云平台</w:t>
      </w:r>
      <w:r>
        <w:rPr>
          <w:rFonts w:hint="eastAsia"/>
        </w:rPr>
        <w:t>为准。</w:t>
      </w:r>
    </w:p>
    <w:p w14:paraId="3A72FC75">
      <w:pPr>
        <w:jc w:val="left"/>
        <w:rPr>
          <w:szCs w:val="21"/>
        </w:rPr>
      </w:pPr>
    </w:p>
    <w:p w14:paraId="75960C4E">
      <w:pPr>
        <w:spacing w:line="360" w:lineRule="auto"/>
        <w:rPr>
          <w:spacing w:val="20"/>
          <w:szCs w:val="21"/>
        </w:rPr>
      </w:pPr>
    </w:p>
    <w:p w14:paraId="59AFDAAC">
      <w:pPr>
        <w:spacing w:line="360" w:lineRule="auto"/>
        <w:rPr>
          <w:szCs w:val="21"/>
        </w:rPr>
      </w:pPr>
      <w:r>
        <w:rPr>
          <w:szCs w:val="21"/>
        </w:rPr>
        <w:t>供应商名称（</w:t>
      </w:r>
      <w:r>
        <w:rPr>
          <w:rFonts w:hint="eastAsia"/>
          <w:szCs w:val="21"/>
        </w:rPr>
        <w:t>电子签章</w:t>
      </w:r>
      <w:r>
        <w:rPr>
          <w:szCs w:val="21"/>
        </w:rPr>
        <w:t>）：</w:t>
      </w:r>
      <w:r>
        <w:rPr>
          <w:szCs w:val="21"/>
          <w:u w:val="single"/>
        </w:rPr>
        <w:t xml:space="preserve">                          </w:t>
      </w:r>
    </w:p>
    <w:p w14:paraId="70C5EE12">
      <w:pPr>
        <w:spacing w:line="360" w:lineRule="auto"/>
        <w:rPr>
          <w:spacing w:val="20"/>
          <w:szCs w:val="21"/>
          <w:u w:val="single"/>
        </w:rPr>
      </w:pPr>
      <w:r>
        <w:rPr>
          <w:szCs w:val="21"/>
        </w:rPr>
        <w:t>日  期</w:t>
      </w:r>
      <w:r>
        <w:rPr>
          <w:rFonts w:hint="eastAsia"/>
          <w:szCs w:val="21"/>
          <w:lang w:eastAsia="zh-CN"/>
        </w:rPr>
        <w:t>：</w:t>
      </w:r>
      <w:r>
        <w:rPr>
          <w:szCs w:val="21"/>
          <w:u w:val="single"/>
        </w:rPr>
        <w:t xml:space="preserve">         </w:t>
      </w:r>
      <w:r>
        <w:rPr>
          <w:szCs w:val="21"/>
        </w:rPr>
        <w:t>年</w:t>
      </w:r>
      <w:r>
        <w:rPr>
          <w:szCs w:val="21"/>
          <w:u w:val="single"/>
        </w:rPr>
        <w:t xml:space="preserve">   </w:t>
      </w:r>
      <w:r>
        <w:rPr>
          <w:szCs w:val="21"/>
        </w:rPr>
        <w:t>月</w:t>
      </w:r>
      <w:r>
        <w:rPr>
          <w:szCs w:val="21"/>
          <w:u w:val="single"/>
        </w:rPr>
        <w:t xml:space="preserve">   </w:t>
      </w:r>
      <w:r>
        <w:rPr>
          <w:szCs w:val="21"/>
        </w:rPr>
        <w:t xml:space="preserve">日 </w:t>
      </w:r>
    </w:p>
    <w:bookmarkEnd w:id="165"/>
    <w:p w14:paraId="2128B702">
      <w:pPr>
        <w:snapToGrid w:val="0"/>
        <w:spacing w:before="50" w:after="120" w:afterLines="50"/>
        <w:jc w:val="left"/>
        <w:rPr>
          <w:szCs w:val="21"/>
        </w:rPr>
        <w:sectPr>
          <w:pgSz w:w="11906" w:h="16838"/>
          <w:pgMar w:top="1418" w:right="1133" w:bottom="1246" w:left="1418" w:header="851" w:footer="992" w:gutter="0"/>
          <w:pgBorders>
            <w:top w:val="none" w:sz="0" w:space="0"/>
            <w:left w:val="none" w:sz="0" w:space="0"/>
            <w:bottom w:val="none" w:sz="0" w:space="0"/>
            <w:right w:val="none" w:sz="0" w:space="0"/>
          </w:pgBorders>
          <w:pgNumType w:fmt="decimal"/>
          <w:cols w:space="720" w:num="1"/>
          <w:docGrid w:linePitch="312" w:charSpace="0"/>
        </w:sectPr>
      </w:pPr>
    </w:p>
    <w:p w14:paraId="052B5B6E">
      <w:pPr>
        <w:spacing w:line="360" w:lineRule="auto"/>
        <w:jc w:val="left"/>
        <w:rPr>
          <w:szCs w:val="21"/>
        </w:rPr>
      </w:pPr>
      <w:bookmarkStart w:id="166" w:name="_Hlk19115862"/>
      <w:r>
        <w:rPr>
          <w:szCs w:val="21"/>
        </w:rPr>
        <w:t>3．过低报价合理性的说明。（如有）</w:t>
      </w:r>
    </w:p>
    <w:p w14:paraId="11EB573B">
      <w:pPr>
        <w:spacing w:line="360" w:lineRule="auto"/>
        <w:ind w:firstLine="420" w:firstLineChars="200"/>
        <w:rPr>
          <w:rFonts w:hint="eastAsia"/>
          <w:szCs w:val="21"/>
        </w:rPr>
      </w:pPr>
      <w:r>
        <w:rPr>
          <w:szCs w:val="21"/>
        </w:rPr>
        <w:t>评审委员会认为的报价</w:t>
      </w:r>
      <w:r>
        <w:rPr>
          <w:rFonts w:hint="eastAsia"/>
          <w:szCs w:val="21"/>
          <w:lang w:val="en-US" w:eastAsia="zh-CN"/>
        </w:rPr>
        <w:t>存在异常低价问题的情形</w:t>
      </w:r>
      <w:r>
        <w:rPr>
          <w:szCs w:val="21"/>
        </w:rPr>
        <w:t>，供应商将被要求以书面方式提供</w:t>
      </w:r>
      <w:r>
        <w:rPr>
          <w:rFonts w:hint="eastAsia"/>
          <w:szCs w:val="21"/>
          <w:lang w:val="en-US" w:eastAsia="zh-CN"/>
        </w:rPr>
        <w:t>项目具体成本测算等与报价合理性相关的书面说明及必要的证明材料</w:t>
      </w:r>
      <w:r>
        <w:rPr>
          <w:szCs w:val="21"/>
        </w:rPr>
        <w:t>。为避免在评审现场因未能及时提供说明而导致被评审委员会作为无效投标，供应商</w:t>
      </w:r>
      <w:r>
        <w:rPr>
          <w:rFonts w:hint="eastAsia"/>
        </w:rPr>
        <w:t>自行决定是否</w:t>
      </w:r>
      <w:r>
        <w:rPr>
          <w:kern w:val="1"/>
          <w:szCs w:val="21"/>
        </w:rPr>
        <w:t>直接在</w:t>
      </w:r>
      <w:r>
        <w:rPr>
          <w:szCs w:val="21"/>
        </w:rPr>
        <w:t>此处</w:t>
      </w:r>
      <w:r>
        <w:rPr>
          <w:rFonts w:hint="eastAsia"/>
          <w:szCs w:val="21"/>
        </w:rPr>
        <w:t>进行陈述</w:t>
      </w:r>
      <w:r>
        <w:rPr>
          <w:szCs w:val="21"/>
        </w:rPr>
        <w:t>。格式自拟。</w:t>
      </w:r>
      <w:r>
        <w:rPr>
          <w:rFonts w:hint="eastAsia"/>
          <w:szCs w:val="21"/>
        </w:rPr>
        <w:t>（</w:t>
      </w:r>
      <w:r>
        <w:rPr>
          <w:rFonts w:hint="eastAsia"/>
          <w:kern w:val="1"/>
          <w:szCs w:val="21"/>
        </w:rPr>
        <w:t>具体要求详见第四章评审方法及标准“过低报价合理性的审查”</w:t>
      </w:r>
      <w:r>
        <w:rPr>
          <w:rFonts w:hint="eastAsia"/>
          <w:szCs w:val="21"/>
        </w:rPr>
        <w:t>）</w:t>
      </w:r>
    </w:p>
    <w:p w14:paraId="59C44341">
      <w:pPr>
        <w:pStyle w:val="173"/>
        <w:jc w:val="center"/>
        <w:rPr>
          <w:b/>
          <w:bCs/>
        </w:rPr>
      </w:pPr>
      <w:bookmarkStart w:id="167" w:name="_Hlk211331823"/>
    </w:p>
    <w:p w14:paraId="783E9B9E">
      <w:pPr>
        <w:pStyle w:val="173"/>
        <w:jc w:val="center"/>
      </w:pPr>
      <w:r>
        <w:rPr>
          <w:rFonts w:hint="eastAsia"/>
          <w:b/>
          <w:bCs/>
          <w:lang w:val="en-US" w:eastAsia="zh-CN"/>
        </w:rPr>
        <w:t>产品成本测算表（参考格式）</w:t>
      </w:r>
    </w:p>
    <w:p w14:paraId="2DB889C3">
      <w:pPr>
        <w:spacing w:line="360" w:lineRule="auto"/>
      </w:pPr>
    </w:p>
    <w:bookmarkEnd w:id="167"/>
    <w:tbl>
      <w:tblPr>
        <w:tblStyle w:val="51"/>
        <w:tblW w:w="4527" w:type="pct"/>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108" w:type="dxa"/>
          <w:bottom w:w="0" w:type="dxa"/>
          <w:right w:w="108" w:type="dxa"/>
        </w:tblCellMar>
      </w:tblPr>
      <w:tblGrid>
        <w:gridCol w:w="426"/>
        <w:gridCol w:w="348"/>
        <w:gridCol w:w="660"/>
        <w:gridCol w:w="490"/>
        <w:gridCol w:w="830"/>
        <w:gridCol w:w="1202"/>
        <w:gridCol w:w="972"/>
        <w:gridCol w:w="887"/>
        <w:gridCol w:w="1052"/>
        <w:gridCol w:w="780"/>
        <w:gridCol w:w="1019"/>
      </w:tblGrid>
      <w:tr w14:paraId="643B52A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098" w:hRule="atLeast"/>
          <w:jc w:val="center"/>
        </w:trPr>
        <w:tc>
          <w:tcPr>
            <w:tcW w:w="245" w:type="pct"/>
            <w:shd w:val="clear" w:color="C3BD96" w:themeColor="background2" w:themeShade="BF" w:fill="auto"/>
            <w:vAlign w:val="center"/>
          </w:tcPr>
          <w:p w14:paraId="3E050D07">
            <w:pPr>
              <w:ind w:left="-105" w:leftChars="-50" w:right="-105" w:rightChars="-50"/>
              <w:jc w:val="center"/>
              <w:rPr>
                <w:rFonts w:cs="宋体"/>
                <w:b/>
              </w:rPr>
            </w:pPr>
            <w:r>
              <w:rPr>
                <w:rFonts w:hint="eastAsia" w:cs="仿宋_GB2312"/>
                <w:b/>
                <w:szCs w:val="24"/>
              </w:rPr>
              <w:t>序号</w:t>
            </w:r>
          </w:p>
        </w:tc>
        <w:tc>
          <w:tcPr>
            <w:tcW w:w="201" w:type="pct"/>
            <w:shd w:val="clear" w:color="C3BD96" w:themeColor="background2" w:themeShade="BF" w:fill="auto"/>
            <w:vAlign w:val="center"/>
          </w:tcPr>
          <w:p w14:paraId="41F004A5">
            <w:pPr>
              <w:spacing w:line="360" w:lineRule="auto"/>
              <w:ind w:left="-48" w:leftChars="-23" w:right="-65" w:rightChars="-31"/>
              <w:jc w:val="center"/>
              <w:rPr>
                <w:rFonts w:cs="宋体"/>
                <w:b/>
              </w:rPr>
            </w:pPr>
            <w:r>
              <w:rPr>
                <w:rFonts w:hint="eastAsia" w:cs="宋体"/>
                <w:b/>
              </w:rPr>
              <w:t>名称</w:t>
            </w:r>
          </w:p>
        </w:tc>
        <w:tc>
          <w:tcPr>
            <w:tcW w:w="380" w:type="pct"/>
            <w:shd w:val="clear" w:color="C3BD96" w:themeColor="background2" w:themeShade="BF" w:fill="auto"/>
            <w:vAlign w:val="center"/>
          </w:tcPr>
          <w:p w14:paraId="56B5E2B5">
            <w:pPr>
              <w:spacing w:line="360" w:lineRule="auto"/>
              <w:ind w:left="-48" w:leftChars="-23" w:right="-65" w:rightChars="-31"/>
              <w:jc w:val="center"/>
              <w:rPr>
                <w:rFonts w:cs="宋体"/>
                <w:b/>
              </w:rPr>
            </w:pPr>
            <w:r>
              <w:rPr>
                <w:rFonts w:hint="eastAsia"/>
                <w:b/>
              </w:rPr>
              <w:t>品牌规格型号</w:t>
            </w:r>
          </w:p>
        </w:tc>
        <w:tc>
          <w:tcPr>
            <w:tcW w:w="282" w:type="pct"/>
            <w:tcBorders>
              <w:left w:val="single" w:color="auto" w:sz="4" w:space="0"/>
            </w:tcBorders>
            <w:shd w:val="clear" w:color="C3BD96" w:themeColor="background2" w:themeShade="BF" w:fill="auto"/>
            <w:vAlign w:val="center"/>
          </w:tcPr>
          <w:p w14:paraId="68FAEDED">
            <w:pPr>
              <w:spacing w:line="360" w:lineRule="auto"/>
              <w:ind w:left="-48" w:leftChars="-23" w:right="-65" w:rightChars="-31"/>
              <w:jc w:val="center"/>
              <w:rPr>
                <w:rFonts w:cs="宋体"/>
                <w:b/>
              </w:rPr>
            </w:pPr>
            <w:r>
              <w:rPr>
                <w:rFonts w:hint="eastAsia" w:cs="宋体"/>
                <w:b/>
              </w:rPr>
              <w:t>单位</w:t>
            </w:r>
          </w:p>
        </w:tc>
        <w:tc>
          <w:tcPr>
            <w:tcW w:w="478" w:type="pct"/>
            <w:tcBorders>
              <w:right w:val="single" w:color="auto" w:sz="4" w:space="0"/>
            </w:tcBorders>
            <w:shd w:val="clear" w:color="C3BD96" w:themeColor="background2" w:themeShade="BF" w:fill="auto"/>
            <w:vAlign w:val="center"/>
          </w:tcPr>
          <w:p w14:paraId="4A7D5C6E">
            <w:pPr>
              <w:spacing w:line="360" w:lineRule="auto"/>
              <w:ind w:left="-48" w:leftChars="-23" w:right="-65" w:rightChars="-31"/>
              <w:jc w:val="center"/>
              <w:rPr>
                <w:rFonts w:cs="宋体"/>
                <w:b/>
              </w:rPr>
            </w:pPr>
            <w:r>
              <w:rPr>
                <w:rFonts w:hint="eastAsia" w:cs="宋体"/>
                <w:b/>
                <w:lang w:val="en-US" w:eastAsia="zh-CN"/>
              </w:rPr>
              <w:t>报价</w:t>
            </w:r>
            <w:r>
              <w:rPr>
                <w:rFonts w:hint="eastAsia" w:cs="宋体"/>
                <w:b/>
              </w:rPr>
              <w:t>单价（</w:t>
            </w:r>
            <w:r>
              <w:rPr>
                <w:rFonts w:cs="宋体"/>
                <w:b/>
              </w:rPr>
              <w:t>元）</w:t>
            </w:r>
          </w:p>
        </w:tc>
        <w:tc>
          <w:tcPr>
            <w:tcW w:w="692" w:type="pct"/>
            <w:shd w:val="clear" w:color="C3BD96" w:themeColor="background2" w:themeShade="BF" w:fill="auto"/>
            <w:vAlign w:val="center"/>
          </w:tcPr>
          <w:p w14:paraId="4810EFDE">
            <w:pPr>
              <w:spacing w:line="360" w:lineRule="auto"/>
              <w:ind w:left="-48" w:leftChars="-23" w:right="-65" w:rightChars="-31"/>
              <w:jc w:val="center"/>
              <w:rPr>
                <w:rFonts w:hint="default" w:eastAsia="宋体" w:cs="宋体"/>
                <w:b/>
                <w:lang w:val="en-US" w:eastAsia="zh-CN"/>
              </w:rPr>
            </w:pPr>
            <w:r>
              <w:rPr>
                <w:rFonts w:hint="eastAsia" w:cs="宋体"/>
                <w:b/>
                <w:lang w:val="en-US" w:eastAsia="zh-CN"/>
              </w:rPr>
              <w:t>成本项目</w:t>
            </w:r>
          </w:p>
          <w:p w14:paraId="5AD3EE4D">
            <w:pPr>
              <w:spacing w:line="360" w:lineRule="auto"/>
              <w:ind w:right="-65" w:rightChars="-31"/>
              <w:jc w:val="both"/>
              <w:rPr>
                <w:rFonts w:hint="default" w:cs="宋体"/>
                <w:b/>
                <w:lang w:val="en-US" w:eastAsia="zh-CN"/>
              </w:rPr>
            </w:pPr>
          </w:p>
        </w:tc>
        <w:tc>
          <w:tcPr>
            <w:tcW w:w="560" w:type="pct"/>
            <w:shd w:val="clear" w:color="C3BD96" w:themeColor="background2" w:themeShade="BF" w:fill="auto"/>
            <w:vAlign w:val="center"/>
          </w:tcPr>
          <w:p w14:paraId="09333A32">
            <w:pPr>
              <w:spacing w:line="360" w:lineRule="auto"/>
              <w:ind w:left="-48" w:leftChars="-23" w:right="-65" w:rightChars="-31"/>
              <w:jc w:val="center"/>
              <w:rPr>
                <w:rFonts w:hint="eastAsia" w:cs="宋体"/>
                <w:b/>
                <w:lang w:val="en-US" w:eastAsia="zh-CN"/>
              </w:rPr>
            </w:pPr>
            <w:r>
              <w:rPr>
                <w:rFonts w:hint="eastAsia" w:cs="宋体"/>
                <w:b/>
                <w:lang w:val="en-US" w:eastAsia="zh-CN"/>
              </w:rPr>
              <w:t>具体明细</w:t>
            </w:r>
          </w:p>
          <w:p w14:paraId="7EF200FF">
            <w:pPr>
              <w:spacing w:line="360" w:lineRule="auto"/>
              <w:ind w:left="-48" w:leftChars="-23" w:right="-65" w:rightChars="-31"/>
              <w:jc w:val="center"/>
              <w:rPr>
                <w:rFonts w:hint="eastAsia" w:cs="宋体"/>
                <w:b/>
                <w:lang w:val="en-US" w:eastAsia="zh-CN"/>
              </w:rPr>
            </w:pPr>
          </w:p>
        </w:tc>
        <w:tc>
          <w:tcPr>
            <w:tcW w:w="511" w:type="pct"/>
            <w:shd w:val="clear" w:color="C3BD96" w:themeColor="background2" w:themeShade="BF" w:fill="auto"/>
            <w:vAlign w:val="center"/>
          </w:tcPr>
          <w:p w14:paraId="68567C70">
            <w:pPr>
              <w:spacing w:line="360" w:lineRule="auto"/>
              <w:ind w:left="-48" w:leftChars="-23" w:right="-65" w:rightChars="-31"/>
              <w:jc w:val="center"/>
              <w:rPr>
                <w:rFonts w:hint="eastAsia" w:cs="宋体"/>
                <w:b/>
                <w:lang w:val="en-US" w:eastAsia="zh-CN"/>
              </w:rPr>
            </w:pPr>
            <w:r>
              <w:rPr>
                <w:rFonts w:hint="eastAsia" w:cs="宋体"/>
                <w:b/>
                <w:lang w:val="en-US" w:eastAsia="zh-CN"/>
              </w:rPr>
              <w:t>单位产品用量</w:t>
            </w:r>
          </w:p>
          <w:p w14:paraId="27DC558F">
            <w:pPr>
              <w:spacing w:line="360" w:lineRule="auto"/>
              <w:ind w:left="-48" w:leftChars="-23" w:right="-65" w:rightChars="-31"/>
              <w:jc w:val="center"/>
              <w:rPr>
                <w:rFonts w:hint="eastAsia" w:cs="宋体"/>
                <w:b/>
                <w:lang w:val="en-US" w:eastAsia="zh-CN"/>
              </w:rPr>
            </w:pPr>
          </w:p>
        </w:tc>
        <w:tc>
          <w:tcPr>
            <w:tcW w:w="606" w:type="pct"/>
            <w:shd w:val="clear" w:color="C3BD96" w:themeColor="background2" w:themeShade="BF" w:fill="auto"/>
            <w:vAlign w:val="center"/>
          </w:tcPr>
          <w:p w14:paraId="5FE0F8B4">
            <w:pPr>
              <w:spacing w:line="360" w:lineRule="auto"/>
              <w:ind w:left="-48" w:leftChars="-23" w:right="-65" w:rightChars="-31"/>
              <w:jc w:val="center"/>
              <w:rPr>
                <w:rFonts w:hint="eastAsia" w:cs="宋体"/>
                <w:b/>
                <w:lang w:val="en-US" w:eastAsia="zh-CN"/>
              </w:rPr>
            </w:pPr>
            <w:r>
              <w:rPr>
                <w:rFonts w:hint="eastAsia" w:cs="宋体"/>
                <w:b/>
                <w:lang w:val="en-US" w:eastAsia="zh-CN"/>
              </w:rPr>
              <w:t>单位成本（元）</w:t>
            </w:r>
          </w:p>
        </w:tc>
        <w:tc>
          <w:tcPr>
            <w:tcW w:w="449" w:type="pct"/>
            <w:tcBorders>
              <w:left w:val="single" w:color="auto" w:sz="4" w:space="0"/>
            </w:tcBorders>
            <w:shd w:val="clear" w:color="C3BD96" w:themeColor="background2" w:themeShade="BF" w:fill="auto"/>
            <w:vAlign w:val="center"/>
          </w:tcPr>
          <w:p w14:paraId="2A09A13B">
            <w:pPr>
              <w:spacing w:line="360" w:lineRule="auto"/>
              <w:ind w:left="-48" w:leftChars="-23" w:right="-65" w:rightChars="-31"/>
              <w:jc w:val="center"/>
              <w:rPr>
                <w:rFonts w:cs="宋体"/>
                <w:b/>
              </w:rPr>
            </w:pPr>
            <w:r>
              <w:rPr>
                <w:rFonts w:hint="eastAsia" w:cs="宋体"/>
                <w:b/>
              </w:rPr>
              <w:t>成本</w:t>
            </w:r>
            <w:r>
              <w:rPr>
                <w:rFonts w:cs="宋体"/>
                <w:b/>
              </w:rPr>
              <w:t>合计（元）</w:t>
            </w:r>
          </w:p>
        </w:tc>
        <w:tc>
          <w:tcPr>
            <w:tcW w:w="587" w:type="pct"/>
            <w:tcBorders>
              <w:left w:val="single" w:color="auto" w:sz="4" w:space="0"/>
            </w:tcBorders>
            <w:shd w:val="clear" w:color="C3BD96" w:themeColor="background2" w:themeShade="BF" w:fill="auto"/>
            <w:vAlign w:val="center"/>
          </w:tcPr>
          <w:p w14:paraId="4F7624BA">
            <w:pPr>
              <w:spacing w:line="360" w:lineRule="auto"/>
              <w:ind w:left="-48" w:leftChars="-23" w:right="-65" w:rightChars="-31"/>
              <w:jc w:val="center"/>
              <w:rPr>
                <w:rFonts w:hint="eastAsia" w:cs="宋体"/>
                <w:b/>
              </w:rPr>
            </w:pPr>
            <w:r>
              <w:rPr>
                <w:rFonts w:hint="eastAsia" w:cs="宋体"/>
                <w:b/>
                <w:lang w:val="en-US" w:eastAsia="zh-CN"/>
              </w:rPr>
              <w:t>备注（测算依据/证明材料）</w:t>
            </w:r>
          </w:p>
        </w:tc>
      </w:tr>
      <w:tr w14:paraId="1373253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76" w:hRule="atLeast"/>
          <w:jc w:val="center"/>
        </w:trPr>
        <w:tc>
          <w:tcPr>
            <w:tcW w:w="245" w:type="pct"/>
            <w:vMerge w:val="restart"/>
            <w:shd w:val="clear" w:color="auto" w:fill="auto"/>
            <w:vAlign w:val="center"/>
          </w:tcPr>
          <w:p w14:paraId="31899164">
            <w:pPr>
              <w:numPr>
                <w:ilvl w:val="0"/>
                <w:numId w:val="4"/>
              </w:numPr>
              <w:tabs>
                <w:tab w:val="left" w:pos="61"/>
              </w:tabs>
              <w:jc w:val="center"/>
            </w:pPr>
          </w:p>
        </w:tc>
        <w:tc>
          <w:tcPr>
            <w:tcW w:w="201" w:type="pct"/>
            <w:vMerge w:val="restart"/>
            <w:shd w:val="clear" w:color="auto" w:fill="auto"/>
            <w:vAlign w:val="center"/>
          </w:tcPr>
          <w:p w14:paraId="65B757C2">
            <w:pPr>
              <w:tabs>
                <w:tab w:val="left" w:pos="0"/>
                <w:tab w:val="left" w:pos="56"/>
              </w:tabs>
              <w:ind w:left="547" w:hanging="478" w:hangingChars="228"/>
              <w:jc w:val="center"/>
            </w:pPr>
          </w:p>
        </w:tc>
        <w:tc>
          <w:tcPr>
            <w:tcW w:w="380" w:type="pct"/>
            <w:vMerge w:val="restart"/>
            <w:shd w:val="clear" w:color="auto" w:fill="auto"/>
            <w:vAlign w:val="center"/>
          </w:tcPr>
          <w:p w14:paraId="58C050D9">
            <w:pPr>
              <w:spacing w:line="240" w:lineRule="atLeast"/>
              <w:ind w:left="-48" w:leftChars="-23" w:right="-65" w:rightChars="-31"/>
              <w:jc w:val="left"/>
              <w:rPr>
                <w:rFonts w:cs="宋体"/>
                <w:szCs w:val="24"/>
              </w:rPr>
            </w:pPr>
          </w:p>
        </w:tc>
        <w:tc>
          <w:tcPr>
            <w:tcW w:w="282" w:type="pct"/>
            <w:vMerge w:val="restart"/>
            <w:tcBorders>
              <w:left w:val="single" w:color="auto" w:sz="4" w:space="0"/>
            </w:tcBorders>
            <w:shd w:val="clear" w:color="auto" w:fill="auto"/>
            <w:vAlign w:val="center"/>
          </w:tcPr>
          <w:p w14:paraId="3B157FD4">
            <w:pPr>
              <w:spacing w:line="240" w:lineRule="atLeast"/>
              <w:ind w:left="-48" w:leftChars="-23" w:right="-65" w:rightChars="-31"/>
              <w:jc w:val="left"/>
              <w:rPr>
                <w:rFonts w:cs="宋体"/>
                <w:szCs w:val="24"/>
              </w:rPr>
            </w:pPr>
          </w:p>
        </w:tc>
        <w:tc>
          <w:tcPr>
            <w:tcW w:w="478" w:type="pct"/>
            <w:vMerge w:val="restart"/>
            <w:tcBorders>
              <w:left w:val="single" w:color="auto" w:sz="4" w:space="0"/>
              <w:right w:val="single" w:color="auto" w:sz="4" w:space="0"/>
            </w:tcBorders>
            <w:shd w:val="clear" w:color="auto" w:fill="auto"/>
            <w:vAlign w:val="center"/>
          </w:tcPr>
          <w:p w14:paraId="67F6C6EE">
            <w:pPr>
              <w:spacing w:line="240" w:lineRule="atLeast"/>
              <w:ind w:left="-48" w:leftChars="-23" w:right="-65" w:rightChars="-31"/>
              <w:jc w:val="left"/>
              <w:rPr>
                <w:rFonts w:cs="宋体"/>
                <w:szCs w:val="24"/>
              </w:rPr>
            </w:pPr>
          </w:p>
        </w:tc>
        <w:tc>
          <w:tcPr>
            <w:tcW w:w="692" w:type="pct"/>
            <w:vMerge w:val="restart"/>
            <w:tcBorders>
              <w:left w:val="single" w:color="auto" w:sz="4" w:space="0"/>
              <w:right w:val="single" w:color="auto" w:sz="4" w:space="0"/>
            </w:tcBorders>
            <w:vAlign w:val="center"/>
          </w:tcPr>
          <w:p w14:paraId="4F6F6858">
            <w:pPr>
              <w:spacing w:line="240" w:lineRule="atLeast"/>
              <w:ind w:left="-48" w:leftChars="-23" w:right="-65" w:rightChars="-31"/>
              <w:jc w:val="left"/>
              <w:rPr>
                <w:rFonts w:cs="宋体"/>
                <w:szCs w:val="24"/>
              </w:rPr>
            </w:pPr>
            <w:r>
              <w:rPr>
                <w:rFonts w:hint="eastAsia" w:cs="宋体"/>
                <w:szCs w:val="24"/>
              </w:rPr>
              <w:t>原材料成本</w:t>
            </w:r>
          </w:p>
        </w:tc>
        <w:tc>
          <w:tcPr>
            <w:tcW w:w="560" w:type="pct"/>
            <w:tcBorders>
              <w:left w:val="single" w:color="auto" w:sz="4" w:space="0"/>
            </w:tcBorders>
            <w:shd w:val="clear" w:color="auto" w:fill="auto"/>
            <w:vAlign w:val="center"/>
          </w:tcPr>
          <w:p w14:paraId="33003AD0">
            <w:pPr>
              <w:spacing w:line="240" w:lineRule="atLeast"/>
              <w:ind w:left="-48" w:leftChars="-23" w:right="-65" w:rightChars="-31"/>
              <w:jc w:val="left"/>
              <w:rPr>
                <w:rFonts w:cs="宋体"/>
                <w:szCs w:val="24"/>
              </w:rPr>
            </w:pPr>
            <w:r>
              <w:rPr>
                <w:rFonts w:cs="宋体"/>
                <w:szCs w:val="24"/>
                <w:lang w:val="en-US" w:eastAsia="zh-CN"/>
              </w:rPr>
              <w:t>原材料1</w:t>
            </w:r>
          </w:p>
        </w:tc>
        <w:tc>
          <w:tcPr>
            <w:tcW w:w="511" w:type="pct"/>
            <w:tcBorders>
              <w:left w:val="single" w:color="auto" w:sz="4" w:space="0"/>
            </w:tcBorders>
            <w:shd w:val="clear" w:color="auto" w:fill="auto"/>
            <w:vAlign w:val="center"/>
          </w:tcPr>
          <w:p w14:paraId="2A7EE56F">
            <w:pPr>
              <w:spacing w:line="240" w:lineRule="atLeast"/>
              <w:ind w:left="-48" w:leftChars="-23" w:right="-65" w:rightChars="-31"/>
              <w:jc w:val="left"/>
              <w:rPr>
                <w:rFonts w:cs="宋体"/>
                <w:szCs w:val="24"/>
              </w:rPr>
            </w:pPr>
          </w:p>
        </w:tc>
        <w:tc>
          <w:tcPr>
            <w:tcW w:w="606" w:type="pct"/>
            <w:tcBorders>
              <w:left w:val="single" w:color="auto" w:sz="4" w:space="0"/>
            </w:tcBorders>
            <w:shd w:val="clear" w:color="auto" w:fill="auto"/>
            <w:vAlign w:val="center"/>
          </w:tcPr>
          <w:p w14:paraId="00318077">
            <w:pPr>
              <w:spacing w:line="240" w:lineRule="atLeast"/>
              <w:ind w:left="-48" w:leftChars="-23" w:right="-65" w:rightChars="-31"/>
              <w:jc w:val="left"/>
              <w:rPr>
                <w:rFonts w:cs="宋体"/>
                <w:szCs w:val="24"/>
              </w:rPr>
            </w:pPr>
          </w:p>
        </w:tc>
        <w:tc>
          <w:tcPr>
            <w:tcW w:w="449" w:type="pct"/>
            <w:vMerge w:val="restart"/>
            <w:tcBorders>
              <w:left w:val="single" w:color="auto" w:sz="4" w:space="0"/>
            </w:tcBorders>
            <w:shd w:val="clear" w:color="auto" w:fill="auto"/>
            <w:vAlign w:val="center"/>
          </w:tcPr>
          <w:p w14:paraId="17873F2F">
            <w:pPr>
              <w:spacing w:line="240" w:lineRule="atLeast"/>
              <w:ind w:left="-48" w:leftChars="-23" w:right="-65" w:rightChars="-31"/>
              <w:jc w:val="left"/>
              <w:rPr>
                <w:rFonts w:cs="宋体"/>
                <w:szCs w:val="24"/>
              </w:rPr>
            </w:pPr>
          </w:p>
        </w:tc>
        <w:tc>
          <w:tcPr>
            <w:tcW w:w="587" w:type="pct"/>
            <w:tcBorders>
              <w:left w:val="single" w:color="auto" w:sz="4" w:space="0"/>
            </w:tcBorders>
            <w:shd w:val="clear" w:color="auto" w:fill="auto"/>
            <w:vAlign w:val="center"/>
          </w:tcPr>
          <w:p w14:paraId="71C7FD89">
            <w:pPr>
              <w:spacing w:line="240" w:lineRule="atLeast"/>
              <w:ind w:left="-48" w:leftChars="-23" w:right="-65" w:rightChars="-31"/>
              <w:jc w:val="left"/>
              <w:rPr>
                <w:rFonts w:cs="宋体"/>
                <w:szCs w:val="24"/>
              </w:rPr>
            </w:pPr>
          </w:p>
        </w:tc>
      </w:tr>
      <w:tr w14:paraId="7005076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76" w:hRule="atLeast"/>
          <w:jc w:val="center"/>
        </w:trPr>
        <w:tc>
          <w:tcPr>
            <w:tcW w:w="245" w:type="pct"/>
            <w:vMerge w:val="continue"/>
            <w:shd w:val="clear" w:color="auto" w:fill="auto"/>
            <w:vAlign w:val="center"/>
          </w:tcPr>
          <w:p w14:paraId="7DA847D1">
            <w:pPr>
              <w:numPr>
                <w:ilvl w:val="0"/>
                <w:numId w:val="4"/>
              </w:numPr>
              <w:tabs>
                <w:tab w:val="left" w:pos="61"/>
              </w:tabs>
              <w:jc w:val="center"/>
            </w:pPr>
          </w:p>
        </w:tc>
        <w:tc>
          <w:tcPr>
            <w:tcW w:w="201" w:type="pct"/>
            <w:vMerge w:val="continue"/>
            <w:shd w:val="clear" w:color="auto" w:fill="auto"/>
            <w:vAlign w:val="center"/>
          </w:tcPr>
          <w:p w14:paraId="462E3DFC">
            <w:pPr>
              <w:tabs>
                <w:tab w:val="left" w:pos="0"/>
                <w:tab w:val="left" w:pos="56"/>
              </w:tabs>
              <w:ind w:left="547" w:hanging="478" w:hangingChars="228"/>
              <w:jc w:val="center"/>
            </w:pPr>
          </w:p>
        </w:tc>
        <w:tc>
          <w:tcPr>
            <w:tcW w:w="380" w:type="pct"/>
            <w:vMerge w:val="continue"/>
            <w:shd w:val="clear" w:color="auto" w:fill="auto"/>
            <w:vAlign w:val="center"/>
          </w:tcPr>
          <w:p w14:paraId="2E160B9A">
            <w:pPr>
              <w:spacing w:line="240" w:lineRule="atLeast"/>
              <w:ind w:left="-48" w:leftChars="-23" w:right="-65" w:rightChars="-31"/>
              <w:jc w:val="left"/>
              <w:rPr>
                <w:rFonts w:cs="宋体"/>
                <w:szCs w:val="24"/>
              </w:rPr>
            </w:pPr>
          </w:p>
        </w:tc>
        <w:tc>
          <w:tcPr>
            <w:tcW w:w="282" w:type="pct"/>
            <w:vMerge w:val="continue"/>
            <w:tcBorders>
              <w:left w:val="single" w:color="auto" w:sz="4" w:space="0"/>
            </w:tcBorders>
            <w:shd w:val="clear" w:color="auto" w:fill="auto"/>
            <w:vAlign w:val="center"/>
          </w:tcPr>
          <w:p w14:paraId="38DF83C2">
            <w:pPr>
              <w:spacing w:line="240" w:lineRule="atLeast"/>
              <w:ind w:left="-48" w:leftChars="-23" w:right="-65" w:rightChars="-31"/>
              <w:jc w:val="left"/>
              <w:rPr>
                <w:rFonts w:cs="宋体"/>
                <w:szCs w:val="24"/>
              </w:rPr>
            </w:pPr>
          </w:p>
        </w:tc>
        <w:tc>
          <w:tcPr>
            <w:tcW w:w="478" w:type="pct"/>
            <w:vMerge w:val="continue"/>
            <w:tcBorders>
              <w:left w:val="single" w:color="auto" w:sz="4" w:space="0"/>
              <w:right w:val="single" w:color="auto" w:sz="4" w:space="0"/>
            </w:tcBorders>
            <w:shd w:val="clear" w:color="auto" w:fill="auto"/>
            <w:vAlign w:val="center"/>
          </w:tcPr>
          <w:p w14:paraId="731170B0">
            <w:pPr>
              <w:spacing w:line="240" w:lineRule="atLeast"/>
              <w:ind w:left="-48" w:leftChars="-23" w:right="-65" w:rightChars="-31"/>
              <w:jc w:val="left"/>
              <w:rPr>
                <w:rFonts w:cs="宋体"/>
                <w:szCs w:val="24"/>
              </w:rPr>
            </w:pPr>
          </w:p>
        </w:tc>
        <w:tc>
          <w:tcPr>
            <w:tcW w:w="692" w:type="pct"/>
            <w:vMerge w:val="continue"/>
            <w:tcBorders>
              <w:left w:val="single" w:color="auto" w:sz="4" w:space="0"/>
              <w:right w:val="single" w:color="auto" w:sz="4" w:space="0"/>
            </w:tcBorders>
            <w:vAlign w:val="center"/>
          </w:tcPr>
          <w:p w14:paraId="1F910922">
            <w:pPr>
              <w:spacing w:line="240" w:lineRule="atLeast"/>
              <w:ind w:left="-48" w:leftChars="-23" w:right="-65" w:rightChars="-31"/>
              <w:jc w:val="left"/>
              <w:rPr>
                <w:rFonts w:hint="eastAsia" w:cs="宋体"/>
                <w:szCs w:val="24"/>
              </w:rPr>
            </w:pPr>
          </w:p>
        </w:tc>
        <w:tc>
          <w:tcPr>
            <w:tcW w:w="560" w:type="pct"/>
            <w:tcBorders>
              <w:left w:val="single" w:color="auto" w:sz="4" w:space="0"/>
            </w:tcBorders>
            <w:shd w:val="clear" w:color="auto" w:fill="auto"/>
            <w:vAlign w:val="center"/>
          </w:tcPr>
          <w:p w14:paraId="26F1672B">
            <w:pPr>
              <w:spacing w:line="240" w:lineRule="atLeast"/>
              <w:ind w:left="-48" w:leftChars="-23" w:right="-65" w:rightChars="-31"/>
              <w:jc w:val="left"/>
              <w:rPr>
                <w:rFonts w:hint="default" w:eastAsia="宋体" w:cs="宋体"/>
                <w:szCs w:val="24"/>
                <w:lang w:val="en-US" w:eastAsia="zh-CN"/>
              </w:rPr>
            </w:pPr>
            <w:r>
              <w:rPr>
                <w:rFonts w:hint="eastAsia" w:cs="宋体"/>
                <w:szCs w:val="24"/>
                <w:lang w:val="en-US" w:eastAsia="zh-CN"/>
              </w:rPr>
              <w:t>...</w:t>
            </w:r>
          </w:p>
        </w:tc>
        <w:tc>
          <w:tcPr>
            <w:tcW w:w="511" w:type="pct"/>
            <w:tcBorders>
              <w:left w:val="single" w:color="auto" w:sz="4" w:space="0"/>
            </w:tcBorders>
            <w:shd w:val="clear" w:color="auto" w:fill="auto"/>
            <w:vAlign w:val="center"/>
          </w:tcPr>
          <w:p w14:paraId="539CD006">
            <w:pPr>
              <w:spacing w:line="240" w:lineRule="atLeast"/>
              <w:ind w:left="-48" w:leftChars="-23" w:right="-65" w:rightChars="-31"/>
              <w:jc w:val="left"/>
              <w:rPr>
                <w:rFonts w:cs="宋体"/>
                <w:szCs w:val="24"/>
              </w:rPr>
            </w:pPr>
          </w:p>
        </w:tc>
        <w:tc>
          <w:tcPr>
            <w:tcW w:w="606" w:type="pct"/>
            <w:tcBorders>
              <w:left w:val="single" w:color="auto" w:sz="4" w:space="0"/>
            </w:tcBorders>
            <w:shd w:val="clear" w:color="auto" w:fill="auto"/>
            <w:vAlign w:val="center"/>
          </w:tcPr>
          <w:p w14:paraId="0960E9F9">
            <w:pPr>
              <w:spacing w:line="240" w:lineRule="atLeast"/>
              <w:ind w:left="-48" w:leftChars="-23" w:right="-65" w:rightChars="-31"/>
              <w:jc w:val="left"/>
              <w:rPr>
                <w:rFonts w:cs="宋体"/>
                <w:szCs w:val="24"/>
              </w:rPr>
            </w:pPr>
          </w:p>
        </w:tc>
        <w:tc>
          <w:tcPr>
            <w:tcW w:w="449" w:type="pct"/>
            <w:vMerge w:val="continue"/>
            <w:tcBorders>
              <w:left w:val="single" w:color="auto" w:sz="4" w:space="0"/>
            </w:tcBorders>
            <w:shd w:val="clear" w:color="auto" w:fill="auto"/>
            <w:vAlign w:val="center"/>
          </w:tcPr>
          <w:p w14:paraId="4AF14547">
            <w:pPr>
              <w:spacing w:line="240" w:lineRule="atLeast"/>
              <w:ind w:left="-48" w:leftChars="-23" w:right="-65" w:rightChars="-31"/>
              <w:jc w:val="left"/>
              <w:rPr>
                <w:rFonts w:cs="宋体"/>
                <w:szCs w:val="24"/>
              </w:rPr>
            </w:pPr>
          </w:p>
        </w:tc>
        <w:tc>
          <w:tcPr>
            <w:tcW w:w="587" w:type="pct"/>
            <w:tcBorders>
              <w:left w:val="single" w:color="auto" w:sz="4" w:space="0"/>
            </w:tcBorders>
            <w:shd w:val="clear" w:color="auto" w:fill="auto"/>
            <w:vAlign w:val="center"/>
          </w:tcPr>
          <w:p w14:paraId="580CE386">
            <w:pPr>
              <w:spacing w:line="240" w:lineRule="atLeast"/>
              <w:ind w:left="-48" w:leftChars="-23" w:right="-65" w:rightChars="-31"/>
              <w:jc w:val="left"/>
              <w:rPr>
                <w:rFonts w:cs="宋体"/>
                <w:szCs w:val="24"/>
              </w:rPr>
            </w:pPr>
          </w:p>
        </w:tc>
      </w:tr>
      <w:tr w14:paraId="78B1BE1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76" w:hRule="atLeast"/>
          <w:jc w:val="center"/>
        </w:trPr>
        <w:tc>
          <w:tcPr>
            <w:tcW w:w="245" w:type="pct"/>
            <w:vMerge w:val="continue"/>
            <w:shd w:val="clear" w:color="auto" w:fill="auto"/>
            <w:vAlign w:val="center"/>
          </w:tcPr>
          <w:p w14:paraId="047A0B9B">
            <w:pPr>
              <w:tabs>
                <w:tab w:val="left" w:pos="61"/>
              </w:tabs>
              <w:jc w:val="center"/>
            </w:pPr>
          </w:p>
        </w:tc>
        <w:tc>
          <w:tcPr>
            <w:tcW w:w="201" w:type="pct"/>
            <w:vMerge w:val="continue"/>
            <w:shd w:val="clear" w:color="auto" w:fill="auto"/>
            <w:vAlign w:val="center"/>
          </w:tcPr>
          <w:p w14:paraId="5EEB1F4F">
            <w:pPr>
              <w:tabs>
                <w:tab w:val="left" w:pos="0"/>
                <w:tab w:val="left" w:pos="56"/>
              </w:tabs>
              <w:ind w:left="547" w:hanging="478" w:hangingChars="228"/>
              <w:jc w:val="center"/>
            </w:pPr>
          </w:p>
        </w:tc>
        <w:tc>
          <w:tcPr>
            <w:tcW w:w="380" w:type="pct"/>
            <w:vMerge w:val="continue"/>
            <w:shd w:val="clear" w:color="auto" w:fill="auto"/>
            <w:vAlign w:val="center"/>
          </w:tcPr>
          <w:p w14:paraId="185BAC6B">
            <w:pPr>
              <w:spacing w:line="240" w:lineRule="atLeast"/>
              <w:ind w:left="-48" w:leftChars="-23" w:right="-65" w:rightChars="-31"/>
              <w:jc w:val="left"/>
              <w:rPr>
                <w:rFonts w:cs="宋体"/>
                <w:szCs w:val="24"/>
              </w:rPr>
            </w:pPr>
          </w:p>
        </w:tc>
        <w:tc>
          <w:tcPr>
            <w:tcW w:w="282" w:type="pct"/>
            <w:vMerge w:val="continue"/>
            <w:tcBorders>
              <w:left w:val="single" w:color="auto" w:sz="4" w:space="0"/>
            </w:tcBorders>
            <w:shd w:val="clear" w:color="auto" w:fill="auto"/>
            <w:vAlign w:val="center"/>
          </w:tcPr>
          <w:p w14:paraId="5F37CA61">
            <w:pPr>
              <w:spacing w:line="240" w:lineRule="atLeast"/>
              <w:ind w:left="-48" w:leftChars="-23" w:right="-65" w:rightChars="-31"/>
              <w:jc w:val="left"/>
              <w:rPr>
                <w:rFonts w:cs="宋体"/>
                <w:szCs w:val="24"/>
              </w:rPr>
            </w:pPr>
          </w:p>
        </w:tc>
        <w:tc>
          <w:tcPr>
            <w:tcW w:w="478" w:type="pct"/>
            <w:vMerge w:val="continue"/>
            <w:tcBorders>
              <w:left w:val="single" w:color="auto" w:sz="4" w:space="0"/>
              <w:right w:val="single" w:color="auto" w:sz="4" w:space="0"/>
            </w:tcBorders>
            <w:shd w:val="clear" w:color="auto" w:fill="auto"/>
            <w:vAlign w:val="center"/>
          </w:tcPr>
          <w:p w14:paraId="28855F02">
            <w:pPr>
              <w:spacing w:line="240" w:lineRule="atLeast"/>
              <w:ind w:left="-48" w:leftChars="-23" w:right="-65" w:rightChars="-31"/>
              <w:jc w:val="left"/>
              <w:rPr>
                <w:rFonts w:cs="宋体"/>
                <w:szCs w:val="24"/>
              </w:rPr>
            </w:pPr>
          </w:p>
        </w:tc>
        <w:tc>
          <w:tcPr>
            <w:tcW w:w="692" w:type="pct"/>
            <w:vMerge w:val="restart"/>
            <w:tcBorders>
              <w:left w:val="single" w:color="auto" w:sz="4" w:space="0"/>
              <w:right w:val="single" w:color="auto" w:sz="4" w:space="0"/>
            </w:tcBorders>
            <w:vAlign w:val="center"/>
          </w:tcPr>
          <w:p w14:paraId="4FD27713">
            <w:pPr>
              <w:spacing w:line="240" w:lineRule="atLeast"/>
              <w:ind w:left="-48" w:leftChars="-23" w:right="-65" w:rightChars="-31"/>
              <w:jc w:val="left"/>
              <w:rPr>
                <w:rFonts w:cs="宋体"/>
                <w:szCs w:val="24"/>
              </w:rPr>
            </w:pPr>
            <w:r>
              <w:rPr>
                <w:rFonts w:hint="eastAsia" w:cs="宋体"/>
                <w:szCs w:val="24"/>
              </w:rPr>
              <w:t>人工成本</w:t>
            </w:r>
          </w:p>
        </w:tc>
        <w:tc>
          <w:tcPr>
            <w:tcW w:w="560" w:type="pct"/>
            <w:tcBorders>
              <w:left w:val="single" w:color="auto" w:sz="4" w:space="0"/>
            </w:tcBorders>
            <w:shd w:val="clear" w:color="auto" w:fill="auto"/>
            <w:vAlign w:val="center"/>
          </w:tcPr>
          <w:p w14:paraId="3880182C">
            <w:pPr>
              <w:spacing w:line="240" w:lineRule="atLeast"/>
              <w:ind w:left="-48" w:leftChars="-23" w:right="-65" w:rightChars="-31"/>
              <w:jc w:val="left"/>
              <w:rPr>
                <w:rFonts w:cs="宋体"/>
                <w:szCs w:val="24"/>
              </w:rPr>
            </w:pPr>
            <w:r>
              <w:rPr>
                <w:rFonts w:cs="宋体"/>
                <w:szCs w:val="24"/>
                <w:lang w:val="en-US" w:eastAsia="zh-CN"/>
              </w:rPr>
              <w:t>生产工人工资</w:t>
            </w:r>
          </w:p>
        </w:tc>
        <w:tc>
          <w:tcPr>
            <w:tcW w:w="511" w:type="pct"/>
            <w:tcBorders>
              <w:left w:val="single" w:color="auto" w:sz="4" w:space="0"/>
            </w:tcBorders>
            <w:shd w:val="clear" w:color="auto" w:fill="auto"/>
            <w:vAlign w:val="center"/>
          </w:tcPr>
          <w:p w14:paraId="3FC90750">
            <w:pPr>
              <w:spacing w:line="240" w:lineRule="atLeast"/>
              <w:ind w:left="-48" w:leftChars="-23" w:right="-65" w:rightChars="-31"/>
              <w:jc w:val="left"/>
              <w:rPr>
                <w:rFonts w:cs="宋体"/>
                <w:szCs w:val="24"/>
              </w:rPr>
            </w:pPr>
          </w:p>
        </w:tc>
        <w:tc>
          <w:tcPr>
            <w:tcW w:w="606" w:type="pct"/>
            <w:tcBorders>
              <w:left w:val="single" w:color="auto" w:sz="4" w:space="0"/>
            </w:tcBorders>
            <w:shd w:val="clear" w:color="auto" w:fill="auto"/>
            <w:vAlign w:val="center"/>
          </w:tcPr>
          <w:p w14:paraId="6A222EF7">
            <w:pPr>
              <w:spacing w:line="240" w:lineRule="atLeast"/>
              <w:ind w:left="-48" w:leftChars="-23" w:right="-65" w:rightChars="-31"/>
              <w:jc w:val="left"/>
              <w:rPr>
                <w:rFonts w:cs="宋体"/>
                <w:szCs w:val="24"/>
              </w:rPr>
            </w:pPr>
          </w:p>
        </w:tc>
        <w:tc>
          <w:tcPr>
            <w:tcW w:w="449" w:type="pct"/>
            <w:vMerge w:val="continue"/>
            <w:tcBorders>
              <w:left w:val="single" w:color="auto" w:sz="4" w:space="0"/>
            </w:tcBorders>
            <w:shd w:val="clear" w:color="auto" w:fill="auto"/>
            <w:vAlign w:val="center"/>
          </w:tcPr>
          <w:p w14:paraId="2CB39DE6">
            <w:pPr>
              <w:spacing w:line="240" w:lineRule="atLeast"/>
              <w:ind w:left="-48" w:leftChars="-23" w:right="-65" w:rightChars="-31"/>
              <w:jc w:val="left"/>
              <w:rPr>
                <w:rFonts w:cs="宋体"/>
                <w:szCs w:val="24"/>
              </w:rPr>
            </w:pPr>
          </w:p>
        </w:tc>
        <w:tc>
          <w:tcPr>
            <w:tcW w:w="587" w:type="pct"/>
            <w:tcBorders>
              <w:left w:val="single" w:color="auto" w:sz="4" w:space="0"/>
            </w:tcBorders>
            <w:shd w:val="clear" w:color="auto" w:fill="auto"/>
            <w:vAlign w:val="center"/>
          </w:tcPr>
          <w:p w14:paraId="55657EF1">
            <w:pPr>
              <w:spacing w:line="240" w:lineRule="atLeast"/>
              <w:ind w:left="-48" w:leftChars="-23" w:right="-65" w:rightChars="-31"/>
              <w:jc w:val="left"/>
              <w:rPr>
                <w:rFonts w:cs="宋体"/>
                <w:szCs w:val="24"/>
              </w:rPr>
            </w:pPr>
          </w:p>
        </w:tc>
      </w:tr>
      <w:tr w14:paraId="3DA39AB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76" w:hRule="atLeast"/>
          <w:jc w:val="center"/>
        </w:trPr>
        <w:tc>
          <w:tcPr>
            <w:tcW w:w="245" w:type="pct"/>
            <w:vMerge w:val="continue"/>
            <w:shd w:val="clear" w:color="auto" w:fill="auto"/>
            <w:vAlign w:val="center"/>
          </w:tcPr>
          <w:p w14:paraId="6C5D4CED">
            <w:pPr>
              <w:tabs>
                <w:tab w:val="left" w:pos="61"/>
              </w:tabs>
              <w:jc w:val="center"/>
            </w:pPr>
          </w:p>
        </w:tc>
        <w:tc>
          <w:tcPr>
            <w:tcW w:w="201" w:type="pct"/>
            <w:vMerge w:val="continue"/>
            <w:shd w:val="clear" w:color="auto" w:fill="auto"/>
            <w:vAlign w:val="center"/>
          </w:tcPr>
          <w:p w14:paraId="25F98AE1">
            <w:pPr>
              <w:tabs>
                <w:tab w:val="left" w:pos="0"/>
                <w:tab w:val="left" w:pos="56"/>
              </w:tabs>
              <w:ind w:left="547" w:hanging="478" w:hangingChars="228"/>
              <w:jc w:val="center"/>
            </w:pPr>
          </w:p>
        </w:tc>
        <w:tc>
          <w:tcPr>
            <w:tcW w:w="380" w:type="pct"/>
            <w:vMerge w:val="continue"/>
            <w:shd w:val="clear" w:color="auto" w:fill="auto"/>
            <w:vAlign w:val="center"/>
          </w:tcPr>
          <w:p w14:paraId="71F08945">
            <w:pPr>
              <w:spacing w:line="240" w:lineRule="atLeast"/>
              <w:ind w:left="-48" w:leftChars="-23" w:right="-65" w:rightChars="-31"/>
              <w:jc w:val="left"/>
              <w:rPr>
                <w:rFonts w:cs="宋体"/>
                <w:szCs w:val="24"/>
              </w:rPr>
            </w:pPr>
          </w:p>
        </w:tc>
        <w:tc>
          <w:tcPr>
            <w:tcW w:w="282" w:type="pct"/>
            <w:vMerge w:val="continue"/>
            <w:tcBorders>
              <w:left w:val="single" w:color="auto" w:sz="4" w:space="0"/>
            </w:tcBorders>
            <w:shd w:val="clear" w:color="auto" w:fill="auto"/>
            <w:vAlign w:val="center"/>
          </w:tcPr>
          <w:p w14:paraId="6A7BEF54">
            <w:pPr>
              <w:spacing w:line="240" w:lineRule="atLeast"/>
              <w:ind w:left="-48" w:leftChars="-23" w:right="-65" w:rightChars="-31"/>
              <w:jc w:val="left"/>
              <w:rPr>
                <w:rFonts w:cs="宋体"/>
                <w:szCs w:val="24"/>
              </w:rPr>
            </w:pPr>
          </w:p>
        </w:tc>
        <w:tc>
          <w:tcPr>
            <w:tcW w:w="478" w:type="pct"/>
            <w:vMerge w:val="continue"/>
            <w:tcBorders>
              <w:left w:val="single" w:color="auto" w:sz="4" w:space="0"/>
              <w:right w:val="single" w:color="auto" w:sz="4" w:space="0"/>
            </w:tcBorders>
            <w:shd w:val="clear" w:color="auto" w:fill="auto"/>
            <w:vAlign w:val="center"/>
          </w:tcPr>
          <w:p w14:paraId="6DE32178">
            <w:pPr>
              <w:spacing w:line="240" w:lineRule="atLeast"/>
              <w:ind w:left="-48" w:leftChars="-23" w:right="-65" w:rightChars="-31"/>
              <w:jc w:val="left"/>
              <w:rPr>
                <w:rFonts w:cs="宋体"/>
                <w:szCs w:val="24"/>
              </w:rPr>
            </w:pPr>
          </w:p>
        </w:tc>
        <w:tc>
          <w:tcPr>
            <w:tcW w:w="692" w:type="pct"/>
            <w:vMerge w:val="continue"/>
            <w:tcBorders>
              <w:left w:val="single" w:color="auto" w:sz="4" w:space="0"/>
              <w:right w:val="single" w:color="auto" w:sz="4" w:space="0"/>
            </w:tcBorders>
            <w:vAlign w:val="center"/>
          </w:tcPr>
          <w:p w14:paraId="74A0A741">
            <w:pPr>
              <w:spacing w:line="240" w:lineRule="atLeast"/>
              <w:ind w:left="-48" w:leftChars="-23" w:right="-65" w:rightChars="-31"/>
              <w:jc w:val="left"/>
              <w:rPr>
                <w:rFonts w:hint="eastAsia" w:cs="宋体"/>
                <w:szCs w:val="24"/>
              </w:rPr>
            </w:pPr>
          </w:p>
        </w:tc>
        <w:tc>
          <w:tcPr>
            <w:tcW w:w="560" w:type="pct"/>
            <w:tcBorders>
              <w:left w:val="single" w:color="auto" w:sz="4" w:space="0"/>
            </w:tcBorders>
            <w:shd w:val="clear" w:color="auto" w:fill="auto"/>
            <w:vAlign w:val="center"/>
          </w:tcPr>
          <w:p w14:paraId="7C7461BE">
            <w:pPr>
              <w:spacing w:line="240" w:lineRule="atLeast"/>
              <w:ind w:left="-48" w:leftChars="-23" w:right="-65" w:rightChars="-31"/>
              <w:jc w:val="left"/>
              <w:rPr>
                <w:rFonts w:hint="default" w:eastAsia="宋体" w:cs="宋体"/>
                <w:szCs w:val="24"/>
                <w:lang w:val="en-US" w:eastAsia="zh-CN"/>
              </w:rPr>
            </w:pPr>
            <w:r>
              <w:rPr>
                <w:rFonts w:hint="eastAsia" w:cs="宋体"/>
                <w:szCs w:val="24"/>
                <w:lang w:val="en-US" w:eastAsia="zh-CN"/>
              </w:rPr>
              <w:t>....</w:t>
            </w:r>
          </w:p>
        </w:tc>
        <w:tc>
          <w:tcPr>
            <w:tcW w:w="511" w:type="pct"/>
            <w:tcBorders>
              <w:left w:val="single" w:color="auto" w:sz="4" w:space="0"/>
            </w:tcBorders>
            <w:shd w:val="clear" w:color="auto" w:fill="auto"/>
            <w:vAlign w:val="center"/>
          </w:tcPr>
          <w:p w14:paraId="22BA3532">
            <w:pPr>
              <w:spacing w:line="240" w:lineRule="atLeast"/>
              <w:ind w:left="-48" w:leftChars="-23" w:right="-65" w:rightChars="-31"/>
              <w:jc w:val="left"/>
              <w:rPr>
                <w:rFonts w:cs="宋体"/>
                <w:szCs w:val="24"/>
              </w:rPr>
            </w:pPr>
          </w:p>
        </w:tc>
        <w:tc>
          <w:tcPr>
            <w:tcW w:w="606" w:type="pct"/>
            <w:tcBorders>
              <w:left w:val="single" w:color="auto" w:sz="4" w:space="0"/>
            </w:tcBorders>
            <w:shd w:val="clear" w:color="auto" w:fill="auto"/>
            <w:vAlign w:val="center"/>
          </w:tcPr>
          <w:p w14:paraId="7735E1B2">
            <w:pPr>
              <w:spacing w:line="240" w:lineRule="atLeast"/>
              <w:ind w:left="-48" w:leftChars="-23" w:right="-65" w:rightChars="-31"/>
              <w:jc w:val="left"/>
              <w:rPr>
                <w:rFonts w:cs="宋体"/>
                <w:szCs w:val="24"/>
              </w:rPr>
            </w:pPr>
          </w:p>
        </w:tc>
        <w:tc>
          <w:tcPr>
            <w:tcW w:w="449" w:type="pct"/>
            <w:vMerge w:val="continue"/>
            <w:tcBorders>
              <w:left w:val="single" w:color="auto" w:sz="4" w:space="0"/>
            </w:tcBorders>
            <w:shd w:val="clear" w:color="auto" w:fill="auto"/>
            <w:vAlign w:val="center"/>
          </w:tcPr>
          <w:p w14:paraId="261E1BF4">
            <w:pPr>
              <w:spacing w:line="240" w:lineRule="atLeast"/>
              <w:ind w:left="-48" w:leftChars="-23" w:right="-65" w:rightChars="-31"/>
              <w:jc w:val="left"/>
              <w:rPr>
                <w:rFonts w:cs="宋体"/>
                <w:szCs w:val="24"/>
              </w:rPr>
            </w:pPr>
          </w:p>
        </w:tc>
        <w:tc>
          <w:tcPr>
            <w:tcW w:w="587" w:type="pct"/>
            <w:tcBorders>
              <w:left w:val="single" w:color="auto" w:sz="4" w:space="0"/>
            </w:tcBorders>
            <w:shd w:val="clear" w:color="auto" w:fill="auto"/>
            <w:vAlign w:val="center"/>
          </w:tcPr>
          <w:p w14:paraId="421563FB">
            <w:pPr>
              <w:spacing w:line="240" w:lineRule="atLeast"/>
              <w:ind w:left="-48" w:leftChars="-23" w:right="-65" w:rightChars="-31"/>
              <w:jc w:val="left"/>
              <w:rPr>
                <w:rFonts w:cs="宋体"/>
                <w:szCs w:val="24"/>
              </w:rPr>
            </w:pPr>
          </w:p>
        </w:tc>
      </w:tr>
      <w:tr w14:paraId="25FAD3E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76" w:hRule="atLeast"/>
          <w:jc w:val="center"/>
        </w:trPr>
        <w:tc>
          <w:tcPr>
            <w:tcW w:w="245" w:type="pct"/>
            <w:vMerge w:val="continue"/>
            <w:shd w:val="clear" w:color="auto" w:fill="auto"/>
            <w:vAlign w:val="center"/>
          </w:tcPr>
          <w:p w14:paraId="605F5DD7">
            <w:pPr>
              <w:tabs>
                <w:tab w:val="left" w:pos="61"/>
              </w:tabs>
              <w:jc w:val="center"/>
            </w:pPr>
          </w:p>
        </w:tc>
        <w:tc>
          <w:tcPr>
            <w:tcW w:w="201" w:type="pct"/>
            <w:vMerge w:val="continue"/>
            <w:shd w:val="clear" w:color="auto" w:fill="auto"/>
            <w:vAlign w:val="center"/>
          </w:tcPr>
          <w:p w14:paraId="49146DB7">
            <w:pPr>
              <w:tabs>
                <w:tab w:val="left" w:pos="0"/>
                <w:tab w:val="left" w:pos="56"/>
              </w:tabs>
              <w:ind w:left="547" w:hanging="478" w:hangingChars="228"/>
              <w:jc w:val="center"/>
            </w:pPr>
          </w:p>
        </w:tc>
        <w:tc>
          <w:tcPr>
            <w:tcW w:w="380" w:type="pct"/>
            <w:vMerge w:val="continue"/>
            <w:shd w:val="clear" w:color="auto" w:fill="auto"/>
            <w:vAlign w:val="center"/>
          </w:tcPr>
          <w:p w14:paraId="23B4217D">
            <w:pPr>
              <w:spacing w:line="240" w:lineRule="atLeast"/>
              <w:ind w:left="-48" w:leftChars="-23" w:right="-65" w:rightChars="-31"/>
              <w:jc w:val="left"/>
              <w:rPr>
                <w:rFonts w:cs="宋体"/>
                <w:szCs w:val="24"/>
              </w:rPr>
            </w:pPr>
          </w:p>
        </w:tc>
        <w:tc>
          <w:tcPr>
            <w:tcW w:w="282" w:type="pct"/>
            <w:vMerge w:val="continue"/>
            <w:tcBorders>
              <w:left w:val="single" w:color="auto" w:sz="4" w:space="0"/>
            </w:tcBorders>
            <w:shd w:val="clear" w:color="auto" w:fill="auto"/>
            <w:vAlign w:val="center"/>
          </w:tcPr>
          <w:p w14:paraId="5F08DA06">
            <w:pPr>
              <w:spacing w:line="240" w:lineRule="atLeast"/>
              <w:ind w:left="-48" w:leftChars="-23" w:right="-65" w:rightChars="-31"/>
              <w:jc w:val="left"/>
              <w:rPr>
                <w:rFonts w:cs="宋体"/>
                <w:szCs w:val="24"/>
              </w:rPr>
            </w:pPr>
          </w:p>
        </w:tc>
        <w:tc>
          <w:tcPr>
            <w:tcW w:w="478" w:type="pct"/>
            <w:vMerge w:val="continue"/>
            <w:tcBorders>
              <w:left w:val="single" w:color="auto" w:sz="4" w:space="0"/>
              <w:right w:val="single" w:color="auto" w:sz="4" w:space="0"/>
            </w:tcBorders>
            <w:shd w:val="clear" w:color="auto" w:fill="auto"/>
            <w:vAlign w:val="center"/>
          </w:tcPr>
          <w:p w14:paraId="75B959EE">
            <w:pPr>
              <w:spacing w:line="240" w:lineRule="atLeast"/>
              <w:ind w:left="-48" w:leftChars="-23" w:right="-65" w:rightChars="-31"/>
              <w:jc w:val="left"/>
              <w:rPr>
                <w:rFonts w:cs="宋体"/>
                <w:szCs w:val="24"/>
              </w:rPr>
            </w:pPr>
          </w:p>
        </w:tc>
        <w:tc>
          <w:tcPr>
            <w:tcW w:w="692" w:type="pct"/>
            <w:vMerge w:val="restart"/>
            <w:tcBorders>
              <w:left w:val="single" w:color="auto" w:sz="4" w:space="0"/>
              <w:right w:val="single" w:color="auto" w:sz="4" w:space="0"/>
            </w:tcBorders>
            <w:vAlign w:val="center"/>
          </w:tcPr>
          <w:p w14:paraId="6C2F56BC">
            <w:pPr>
              <w:spacing w:line="240" w:lineRule="atLeast"/>
              <w:ind w:left="-48" w:leftChars="-23" w:right="-65" w:rightChars="-31"/>
              <w:jc w:val="left"/>
              <w:rPr>
                <w:rFonts w:hint="eastAsia" w:cs="宋体"/>
                <w:szCs w:val="24"/>
              </w:rPr>
            </w:pPr>
            <w:r>
              <w:rPr>
                <w:rFonts w:hint="eastAsia" w:cs="宋体"/>
                <w:szCs w:val="24"/>
              </w:rPr>
              <w:t>制造费用</w:t>
            </w:r>
          </w:p>
        </w:tc>
        <w:tc>
          <w:tcPr>
            <w:tcW w:w="560" w:type="pct"/>
            <w:tcBorders>
              <w:left w:val="single" w:color="auto" w:sz="4" w:space="0"/>
            </w:tcBorders>
            <w:shd w:val="clear" w:color="auto" w:fill="auto"/>
            <w:vAlign w:val="center"/>
          </w:tcPr>
          <w:p w14:paraId="615956BA">
            <w:pPr>
              <w:spacing w:line="240" w:lineRule="atLeast"/>
              <w:ind w:left="-48" w:leftChars="-23" w:right="-65" w:rightChars="-31"/>
              <w:jc w:val="left"/>
              <w:rPr>
                <w:rFonts w:cs="宋体"/>
                <w:szCs w:val="24"/>
              </w:rPr>
            </w:pPr>
            <w:r>
              <w:rPr>
                <w:rFonts w:cs="宋体"/>
                <w:szCs w:val="24"/>
                <w:lang w:val="en-US" w:eastAsia="zh-CN"/>
              </w:rPr>
              <w:t>设备折旧费</w:t>
            </w:r>
          </w:p>
        </w:tc>
        <w:tc>
          <w:tcPr>
            <w:tcW w:w="511" w:type="pct"/>
            <w:tcBorders>
              <w:left w:val="single" w:color="auto" w:sz="4" w:space="0"/>
            </w:tcBorders>
            <w:shd w:val="clear" w:color="auto" w:fill="auto"/>
            <w:vAlign w:val="center"/>
          </w:tcPr>
          <w:p w14:paraId="03C89923">
            <w:pPr>
              <w:spacing w:line="240" w:lineRule="atLeast"/>
              <w:ind w:left="-48" w:leftChars="-23" w:right="-65" w:rightChars="-31"/>
              <w:jc w:val="left"/>
              <w:rPr>
                <w:rFonts w:hint="eastAsia" w:eastAsia="宋体" w:cs="宋体"/>
                <w:szCs w:val="24"/>
                <w:lang w:val="en-US" w:eastAsia="zh-CN"/>
              </w:rPr>
            </w:pPr>
          </w:p>
        </w:tc>
        <w:tc>
          <w:tcPr>
            <w:tcW w:w="606" w:type="pct"/>
            <w:tcBorders>
              <w:left w:val="single" w:color="auto" w:sz="4" w:space="0"/>
            </w:tcBorders>
            <w:shd w:val="clear" w:color="auto" w:fill="auto"/>
            <w:vAlign w:val="center"/>
          </w:tcPr>
          <w:p w14:paraId="38F9C2E1">
            <w:pPr>
              <w:spacing w:line="240" w:lineRule="atLeast"/>
              <w:ind w:left="-48" w:leftChars="-23" w:right="-65" w:rightChars="-31"/>
              <w:jc w:val="left"/>
              <w:rPr>
                <w:rFonts w:cs="宋体"/>
                <w:szCs w:val="24"/>
              </w:rPr>
            </w:pPr>
          </w:p>
        </w:tc>
        <w:tc>
          <w:tcPr>
            <w:tcW w:w="449" w:type="pct"/>
            <w:vMerge w:val="continue"/>
            <w:tcBorders>
              <w:left w:val="single" w:color="auto" w:sz="4" w:space="0"/>
            </w:tcBorders>
            <w:shd w:val="clear" w:color="auto" w:fill="auto"/>
            <w:vAlign w:val="center"/>
          </w:tcPr>
          <w:p w14:paraId="2D67D214">
            <w:pPr>
              <w:spacing w:line="240" w:lineRule="atLeast"/>
              <w:ind w:left="-48" w:leftChars="-23" w:right="-65" w:rightChars="-31"/>
              <w:jc w:val="left"/>
              <w:rPr>
                <w:rFonts w:cs="宋体"/>
                <w:szCs w:val="24"/>
              </w:rPr>
            </w:pPr>
          </w:p>
        </w:tc>
        <w:tc>
          <w:tcPr>
            <w:tcW w:w="587" w:type="pct"/>
            <w:tcBorders>
              <w:left w:val="single" w:color="auto" w:sz="4" w:space="0"/>
            </w:tcBorders>
            <w:shd w:val="clear" w:color="auto" w:fill="auto"/>
            <w:vAlign w:val="center"/>
          </w:tcPr>
          <w:p w14:paraId="412E883A">
            <w:pPr>
              <w:spacing w:line="240" w:lineRule="atLeast"/>
              <w:ind w:left="-48" w:leftChars="-23" w:right="-65" w:rightChars="-31"/>
              <w:jc w:val="left"/>
              <w:rPr>
                <w:rFonts w:cs="宋体"/>
                <w:szCs w:val="24"/>
              </w:rPr>
            </w:pPr>
          </w:p>
        </w:tc>
      </w:tr>
      <w:tr w14:paraId="67AFEB2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76" w:hRule="atLeast"/>
          <w:jc w:val="center"/>
        </w:trPr>
        <w:tc>
          <w:tcPr>
            <w:tcW w:w="245" w:type="pct"/>
            <w:vMerge w:val="continue"/>
            <w:shd w:val="clear" w:color="auto" w:fill="auto"/>
            <w:vAlign w:val="center"/>
          </w:tcPr>
          <w:p w14:paraId="078DF2BD">
            <w:pPr>
              <w:tabs>
                <w:tab w:val="left" w:pos="61"/>
              </w:tabs>
              <w:jc w:val="center"/>
            </w:pPr>
          </w:p>
        </w:tc>
        <w:tc>
          <w:tcPr>
            <w:tcW w:w="201" w:type="pct"/>
            <w:vMerge w:val="continue"/>
            <w:shd w:val="clear" w:color="auto" w:fill="auto"/>
            <w:vAlign w:val="center"/>
          </w:tcPr>
          <w:p w14:paraId="1D439CE3">
            <w:pPr>
              <w:tabs>
                <w:tab w:val="left" w:pos="0"/>
                <w:tab w:val="left" w:pos="56"/>
              </w:tabs>
              <w:ind w:left="547" w:hanging="478" w:hangingChars="228"/>
              <w:jc w:val="center"/>
            </w:pPr>
          </w:p>
        </w:tc>
        <w:tc>
          <w:tcPr>
            <w:tcW w:w="380" w:type="pct"/>
            <w:vMerge w:val="continue"/>
            <w:shd w:val="clear" w:color="auto" w:fill="auto"/>
            <w:vAlign w:val="center"/>
          </w:tcPr>
          <w:p w14:paraId="71BFE9FA">
            <w:pPr>
              <w:spacing w:line="240" w:lineRule="atLeast"/>
              <w:ind w:left="-48" w:leftChars="-23" w:right="-65" w:rightChars="-31"/>
              <w:jc w:val="left"/>
              <w:rPr>
                <w:rFonts w:cs="宋体"/>
                <w:szCs w:val="24"/>
              </w:rPr>
            </w:pPr>
          </w:p>
        </w:tc>
        <w:tc>
          <w:tcPr>
            <w:tcW w:w="282" w:type="pct"/>
            <w:vMerge w:val="continue"/>
            <w:tcBorders>
              <w:left w:val="single" w:color="auto" w:sz="4" w:space="0"/>
            </w:tcBorders>
            <w:shd w:val="clear" w:color="auto" w:fill="auto"/>
            <w:vAlign w:val="center"/>
          </w:tcPr>
          <w:p w14:paraId="56D75B0E">
            <w:pPr>
              <w:spacing w:line="240" w:lineRule="atLeast"/>
              <w:ind w:left="-48" w:leftChars="-23" w:right="-65" w:rightChars="-31"/>
              <w:jc w:val="left"/>
              <w:rPr>
                <w:rFonts w:cs="宋体"/>
                <w:szCs w:val="24"/>
              </w:rPr>
            </w:pPr>
          </w:p>
        </w:tc>
        <w:tc>
          <w:tcPr>
            <w:tcW w:w="478" w:type="pct"/>
            <w:vMerge w:val="continue"/>
            <w:tcBorders>
              <w:left w:val="single" w:color="auto" w:sz="4" w:space="0"/>
              <w:right w:val="single" w:color="auto" w:sz="4" w:space="0"/>
            </w:tcBorders>
            <w:shd w:val="clear" w:color="auto" w:fill="auto"/>
            <w:vAlign w:val="center"/>
          </w:tcPr>
          <w:p w14:paraId="2FB42261">
            <w:pPr>
              <w:spacing w:line="240" w:lineRule="atLeast"/>
              <w:ind w:left="-48" w:leftChars="-23" w:right="-65" w:rightChars="-31"/>
              <w:jc w:val="left"/>
              <w:rPr>
                <w:rFonts w:cs="宋体"/>
                <w:szCs w:val="24"/>
              </w:rPr>
            </w:pPr>
          </w:p>
        </w:tc>
        <w:tc>
          <w:tcPr>
            <w:tcW w:w="692" w:type="pct"/>
            <w:vMerge w:val="continue"/>
            <w:tcBorders>
              <w:left w:val="single" w:color="auto" w:sz="4" w:space="0"/>
              <w:right w:val="single" w:color="auto" w:sz="4" w:space="0"/>
            </w:tcBorders>
            <w:vAlign w:val="center"/>
          </w:tcPr>
          <w:p w14:paraId="236288DA">
            <w:pPr>
              <w:spacing w:line="240" w:lineRule="atLeast"/>
              <w:ind w:left="-48" w:leftChars="-23" w:right="-65" w:rightChars="-31"/>
              <w:jc w:val="left"/>
              <w:rPr>
                <w:rFonts w:hint="eastAsia" w:cs="宋体"/>
                <w:szCs w:val="24"/>
              </w:rPr>
            </w:pPr>
          </w:p>
        </w:tc>
        <w:tc>
          <w:tcPr>
            <w:tcW w:w="560" w:type="pct"/>
            <w:tcBorders>
              <w:left w:val="single" w:color="auto" w:sz="4" w:space="0"/>
            </w:tcBorders>
            <w:shd w:val="clear" w:color="auto" w:fill="auto"/>
            <w:vAlign w:val="center"/>
          </w:tcPr>
          <w:p w14:paraId="53B24EE4">
            <w:pPr>
              <w:spacing w:line="240" w:lineRule="atLeast"/>
              <w:ind w:left="-48" w:leftChars="-23" w:right="-65" w:rightChars="-31"/>
              <w:jc w:val="left"/>
              <w:rPr>
                <w:rFonts w:hint="default" w:eastAsia="宋体" w:cs="宋体"/>
                <w:szCs w:val="24"/>
                <w:lang w:val="en-US" w:eastAsia="zh-CN"/>
              </w:rPr>
            </w:pPr>
            <w:r>
              <w:rPr>
                <w:rFonts w:hint="eastAsia" w:cs="宋体"/>
                <w:szCs w:val="24"/>
                <w:lang w:val="en-US" w:eastAsia="zh-CN"/>
              </w:rPr>
              <w:t>...</w:t>
            </w:r>
          </w:p>
        </w:tc>
        <w:tc>
          <w:tcPr>
            <w:tcW w:w="511" w:type="pct"/>
            <w:tcBorders>
              <w:left w:val="single" w:color="auto" w:sz="4" w:space="0"/>
            </w:tcBorders>
            <w:shd w:val="clear" w:color="auto" w:fill="auto"/>
            <w:vAlign w:val="center"/>
          </w:tcPr>
          <w:p w14:paraId="2C7EE97E">
            <w:pPr>
              <w:spacing w:line="240" w:lineRule="atLeast"/>
              <w:ind w:left="-48" w:leftChars="-23" w:right="-65" w:rightChars="-31"/>
              <w:jc w:val="left"/>
              <w:rPr>
                <w:rFonts w:hint="eastAsia" w:eastAsia="宋体" w:cs="宋体"/>
                <w:szCs w:val="24"/>
                <w:lang w:val="en-US" w:eastAsia="zh-CN"/>
              </w:rPr>
            </w:pPr>
          </w:p>
        </w:tc>
        <w:tc>
          <w:tcPr>
            <w:tcW w:w="606" w:type="pct"/>
            <w:tcBorders>
              <w:left w:val="single" w:color="auto" w:sz="4" w:space="0"/>
            </w:tcBorders>
            <w:shd w:val="clear" w:color="auto" w:fill="auto"/>
            <w:vAlign w:val="center"/>
          </w:tcPr>
          <w:p w14:paraId="7D55CCBC">
            <w:pPr>
              <w:spacing w:line="240" w:lineRule="atLeast"/>
              <w:ind w:left="-48" w:leftChars="-23" w:right="-65" w:rightChars="-31"/>
              <w:jc w:val="left"/>
              <w:rPr>
                <w:rFonts w:cs="宋体"/>
                <w:szCs w:val="24"/>
              </w:rPr>
            </w:pPr>
          </w:p>
        </w:tc>
        <w:tc>
          <w:tcPr>
            <w:tcW w:w="449" w:type="pct"/>
            <w:vMerge w:val="continue"/>
            <w:tcBorders>
              <w:left w:val="single" w:color="auto" w:sz="4" w:space="0"/>
            </w:tcBorders>
            <w:shd w:val="clear" w:color="auto" w:fill="auto"/>
            <w:vAlign w:val="center"/>
          </w:tcPr>
          <w:p w14:paraId="4A3183CF">
            <w:pPr>
              <w:spacing w:line="240" w:lineRule="atLeast"/>
              <w:ind w:left="-48" w:leftChars="-23" w:right="-65" w:rightChars="-31"/>
              <w:jc w:val="left"/>
              <w:rPr>
                <w:rFonts w:cs="宋体"/>
                <w:szCs w:val="24"/>
              </w:rPr>
            </w:pPr>
          </w:p>
        </w:tc>
        <w:tc>
          <w:tcPr>
            <w:tcW w:w="587" w:type="pct"/>
            <w:tcBorders>
              <w:left w:val="single" w:color="auto" w:sz="4" w:space="0"/>
            </w:tcBorders>
            <w:shd w:val="clear" w:color="auto" w:fill="auto"/>
            <w:vAlign w:val="center"/>
          </w:tcPr>
          <w:p w14:paraId="689037C1">
            <w:pPr>
              <w:spacing w:line="240" w:lineRule="atLeast"/>
              <w:ind w:left="-48" w:leftChars="-23" w:right="-65" w:rightChars="-31"/>
              <w:jc w:val="left"/>
              <w:rPr>
                <w:rFonts w:cs="宋体"/>
                <w:szCs w:val="24"/>
              </w:rPr>
            </w:pPr>
          </w:p>
        </w:tc>
      </w:tr>
      <w:tr w14:paraId="291B38B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76" w:hRule="atLeast"/>
          <w:jc w:val="center"/>
        </w:trPr>
        <w:tc>
          <w:tcPr>
            <w:tcW w:w="245" w:type="pct"/>
            <w:vMerge w:val="continue"/>
            <w:shd w:val="clear" w:color="auto" w:fill="auto"/>
            <w:vAlign w:val="center"/>
          </w:tcPr>
          <w:p w14:paraId="5818CE3A">
            <w:pPr>
              <w:tabs>
                <w:tab w:val="left" w:pos="61"/>
              </w:tabs>
              <w:jc w:val="center"/>
            </w:pPr>
          </w:p>
        </w:tc>
        <w:tc>
          <w:tcPr>
            <w:tcW w:w="201" w:type="pct"/>
            <w:vMerge w:val="continue"/>
            <w:shd w:val="clear" w:color="auto" w:fill="auto"/>
            <w:vAlign w:val="center"/>
          </w:tcPr>
          <w:p w14:paraId="5530FE59">
            <w:pPr>
              <w:tabs>
                <w:tab w:val="left" w:pos="0"/>
                <w:tab w:val="left" w:pos="56"/>
              </w:tabs>
              <w:ind w:left="547" w:hanging="478" w:hangingChars="228"/>
              <w:jc w:val="center"/>
            </w:pPr>
          </w:p>
        </w:tc>
        <w:tc>
          <w:tcPr>
            <w:tcW w:w="380" w:type="pct"/>
            <w:vMerge w:val="continue"/>
            <w:shd w:val="clear" w:color="auto" w:fill="auto"/>
            <w:vAlign w:val="center"/>
          </w:tcPr>
          <w:p w14:paraId="68A909D4">
            <w:pPr>
              <w:spacing w:line="240" w:lineRule="atLeast"/>
              <w:ind w:left="-48" w:leftChars="-23" w:right="-65" w:rightChars="-31"/>
              <w:jc w:val="left"/>
              <w:rPr>
                <w:rFonts w:cs="宋体"/>
                <w:szCs w:val="24"/>
              </w:rPr>
            </w:pPr>
          </w:p>
        </w:tc>
        <w:tc>
          <w:tcPr>
            <w:tcW w:w="282" w:type="pct"/>
            <w:vMerge w:val="continue"/>
            <w:tcBorders>
              <w:left w:val="single" w:color="auto" w:sz="4" w:space="0"/>
            </w:tcBorders>
            <w:shd w:val="clear" w:color="auto" w:fill="auto"/>
            <w:vAlign w:val="center"/>
          </w:tcPr>
          <w:p w14:paraId="3B997D96">
            <w:pPr>
              <w:spacing w:line="240" w:lineRule="atLeast"/>
              <w:ind w:left="-48" w:leftChars="-23" w:right="-65" w:rightChars="-31"/>
              <w:jc w:val="left"/>
              <w:rPr>
                <w:rFonts w:cs="宋体"/>
                <w:szCs w:val="24"/>
              </w:rPr>
            </w:pPr>
          </w:p>
        </w:tc>
        <w:tc>
          <w:tcPr>
            <w:tcW w:w="478" w:type="pct"/>
            <w:vMerge w:val="continue"/>
            <w:tcBorders>
              <w:left w:val="single" w:color="auto" w:sz="4" w:space="0"/>
              <w:right w:val="single" w:color="auto" w:sz="4" w:space="0"/>
            </w:tcBorders>
            <w:shd w:val="clear" w:color="auto" w:fill="auto"/>
            <w:vAlign w:val="center"/>
          </w:tcPr>
          <w:p w14:paraId="0915F4C3">
            <w:pPr>
              <w:spacing w:line="240" w:lineRule="atLeast"/>
              <w:ind w:left="-48" w:leftChars="-23" w:right="-65" w:rightChars="-31"/>
              <w:jc w:val="left"/>
              <w:rPr>
                <w:rFonts w:cs="宋体"/>
                <w:szCs w:val="24"/>
              </w:rPr>
            </w:pPr>
          </w:p>
        </w:tc>
        <w:tc>
          <w:tcPr>
            <w:tcW w:w="692" w:type="pct"/>
            <w:tcBorders>
              <w:left w:val="single" w:color="auto" w:sz="4" w:space="0"/>
              <w:right w:val="single" w:color="auto" w:sz="4" w:space="0"/>
            </w:tcBorders>
            <w:vAlign w:val="center"/>
          </w:tcPr>
          <w:p w14:paraId="55B3EF5C">
            <w:pPr>
              <w:spacing w:line="240" w:lineRule="atLeast"/>
              <w:ind w:left="-48" w:leftChars="-23" w:right="-65" w:rightChars="-31"/>
              <w:jc w:val="left"/>
              <w:rPr>
                <w:rFonts w:hint="default" w:eastAsia="宋体" w:cs="宋体"/>
                <w:szCs w:val="24"/>
                <w:lang w:val="en-US" w:eastAsia="zh-CN"/>
              </w:rPr>
            </w:pPr>
            <w:r>
              <w:rPr>
                <w:rFonts w:hint="eastAsia" w:cs="宋体"/>
                <w:szCs w:val="24"/>
                <w:lang w:val="en-US" w:eastAsia="zh-CN"/>
              </w:rPr>
              <w:t>其他成本</w:t>
            </w:r>
          </w:p>
        </w:tc>
        <w:tc>
          <w:tcPr>
            <w:tcW w:w="560" w:type="pct"/>
            <w:tcBorders>
              <w:left w:val="single" w:color="auto" w:sz="4" w:space="0"/>
            </w:tcBorders>
            <w:shd w:val="clear" w:color="auto" w:fill="auto"/>
            <w:vAlign w:val="center"/>
          </w:tcPr>
          <w:p w14:paraId="28AD62CC">
            <w:pPr>
              <w:spacing w:line="240" w:lineRule="atLeast"/>
              <w:ind w:left="-48" w:leftChars="-23" w:right="-65" w:rightChars="-31"/>
              <w:jc w:val="left"/>
              <w:rPr>
                <w:rFonts w:hint="eastAsia" w:eastAsia="宋体" w:cs="宋体"/>
                <w:szCs w:val="24"/>
                <w:lang w:val="en-US" w:eastAsia="zh-CN"/>
              </w:rPr>
            </w:pPr>
          </w:p>
        </w:tc>
        <w:tc>
          <w:tcPr>
            <w:tcW w:w="511" w:type="pct"/>
            <w:tcBorders>
              <w:left w:val="single" w:color="auto" w:sz="4" w:space="0"/>
            </w:tcBorders>
            <w:shd w:val="clear" w:color="auto" w:fill="auto"/>
            <w:vAlign w:val="center"/>
          </w:tcPr>
          <w:p w14:paraId="480F1EE7">
            <w:pPr>
              <w:spacing w:line="240" w:lineRule="atLeast"/>
              <w:ind w:left="-48" w:leftChars="-23" w:right="-65" w:rightChars="-31"/>
              <w:jc w:val="left"/>
              <w:rPr>
                <w:rFonts w:hint="eastAsia" w:eastAsia="宋体" w:cs="宋体"/>
                <w:szCs w:val="24"/>
                <w:lang w:val="en-US" w:eastAsia="zh-CN"/>
              </w:rPr>
            </w:pPr>
          </w:p>
        </w:tc>
        <w:tc>
          <w:tcPr>
            <w:tcW w:w="606" w:type="pct"/>
            <w:tcBorders>
              <w:left w:val="single" w:color="auto" w:sz="4" w:space="0"/>
            </w:tcBorders>
            <w:shd w:val="clear" w:color="auto" w:fill="auto"/>
            <w:vAlign w:val="center"/>
          </w:tcPr>
          <w:p w14:paraId="1DFF4C39">
            <w:pPr>
              <w:spacing w:line="240" w:lineRule="atLeast"/>
              <w:ind w:left="-48" w:leftChars="-23" w:right="-65" w:rightChars="-31"/>
              <w:jc w:val="left"/>
              <w:rPr>
                <w:rFonts w:cs="宋体"/>
                <w:szCs w:val="24"/>
              </w:rPr>
            </w:pPr>
          </w:p>
        </w:tc>
        <w:tc>
          <w:tcPr>
            <w:tcW w:w="449" w:type="pct"/>
            <w:vMerge w:val="continue"/>
            <w:tcBorders>
              <w:left w:val="single" w:color="auto" w:sz="4" w:space="0"/>
            </w:tcBorders>
            <w:shd w:val="clear" w:color="auto" w:fill="auto"/>
            <w:vAlign w:val="center"/>
          </w:tcPr>
          <w:p w14:paraId="593452B9">
            <w:pPr>
              <w:spacing w:line="240" w:lineRule="atLeast"/>
              <w:ind w:left="-48" w:leftChars="-23" w:right="-65" w:rightChars="-31"/>
              <w:jc w:val="left"/>
              <w:rPr>
                <w:rFonts w:cs="宋体"/>
                <w:szCs w:val="24"/>
              </w:rPr>
            </w:pPr>
          </w:p>
        </w:tc>
        <w:tc>
          <w:tcPr>
            <w:tcW w:w="587" w:type="pct"/>
            <w:tcBorders>
              <w:left w:val="single" w:color="auto" w:sz="4" w:space="0"/>
            </w:tcBorders>
            <w:shd w:val="clear" w:color="auto" w:fill="auto"/>
            <w:vAlign w:val="center"/>
          </w:tcPr>
          <w:p w14:paraId="1EA1D96E">
            <w:pPr>
              <w:spacing w:line="240" w:lineRule="atLeast"/>
              <w:ind w:left="-48" w:leftChars="-23" w:right="-65" w:rightChars="-31"/>
              <w:jc w:val="left"/>
              <w:rPr>
                <w:rFonts w:cs="宋体"/>
                <w:szCs w:val="24"/>
              </w:rPr>
            </w:pPr>
          </w:p>
        </w:tc>
      </w:tr>
      <w:tr w14:paraId="3AF8D6B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76" w:hRule="atLeast"/>
          <w:jc w:val="center"/>
        </w:trPr>
        <w:tc>
          <w:tcPr>
            <w:tcW w:w="245" w:type="pct"/>
            <w:shd w:val="clear" w:color="auto" w:fill="auto"/>
            <w:vAlign w:val="center"/>
          </w:tcPr>
          <w:p w14:paraId="14707BF8">
            <w:pPr>
              <w:tabs>
                <w:tab w:val="left" w:pos="61"/>
              </w:tabs>
              <w:jc w:val="center"/>
              <w:rPr>
                <w:rFonts w:hint="eastAsia" w:eastAsia="宋体"/>
                <w:lang w:val="en-US" w:eastAsia="zh-CN"/>
              </w:rPr>
            </w:pPr>
            <w:r>
              <w:rPr>
                <w:rFonts w:hint="eastAsia"/>
                <w:lang w:val="en-US" w:eastAsia="zh-CN"/>
              </w:rPr>
              <w:t>2</w:t>
            </w:r>
          </w:p>
        </w:tc>
        <w:tc>
          <w:tcPr>
            <w:tcW w:w="201" w:type="pct"/>
            <w:shd w:val="clear" w:color="auto" w:fill="auto"/>
            <w:vAlign w:val="center"/>
          </w:tcPr>
          <w:p w14:paraId="2637B63F">
            <w:pPr>
              <w:tabs>
                <w:tab w:val="left" w:pos="0"/>
                <w:tab w:val="left" w:pos="56"/>
              </w:tabs>
              <w:ind w:left="547" w:hanging="478" w:hangingChars="228"/>
              <w:jc w:val="center"/>
            </w:pPr>
          </w:p>
        </w:tc>
        <w:tc>
          <w:tcPr>
            <w:tcW w:w="380" w:type="pct"/>
            <w:shd w:val="clear" w:color="auto" w:fill="auto"/>
            <w:vAlign w:val="center"/>
          </w:tcPr>
          <w:p w14:paraId="2118CF07">
            <w:pPr>
              <w:spacing w:line="240" w:lineRule="atLeast"/>
              <w:ind w:left="-48" w:leftChars="-23" w:right="-65" w:rightChars="-31"/>
              <w:jc w:val="left"/>
              <w:rPr>
                <w:rFonts w:cs="宋体"/>
                <w:szCs w:val="24"/>
              </w:rPr>
            </w:pPr>
          </w:p>
        </w:tc>
        <w:tc>
          <w:tcPr>
            <w:tcW w:w="282" w:type="pct"/>
            <w:tcBorders>
              <w:left w:val="single" w:color="auto" w:sz="4" w:space="0"/>
            </w:tcBorders>
            <w:shd w:val="clear" w:color="auto" w:fill="auto"/>
            <w:vAlign w:val="center"/>
          </w:tcPr>
          <w:p w14:paraId="1F00C114">
            <w:pPr>
              <w:spacing w:line="240" w:lineRule="atLeast"/>
              <w:ind w:left="-48" w:leftChars="-23" w:right="-65" w:rightChars="-31"/>
              <w:jc w:val="left"/>
              <w:rPr>
                <w:rFonts w:cs="宋体"/>
                <w:szCs w:val="24"/>
              </w:rPr>
            </w:pPr>
          </w:p>
        </w:tc>
        <w:tc>
          <w:tcPr>
            <w:tcW w:w="478" w:type="pct"/>
            <w:tcBorders>
              <w:left w:val="single" w:color="auto" w:sz="4" w:space="0"/>
              <w:right w:val="single" w:color="auto" w:sz="4" w:space="0"/>
            </w:tcBorders>
            <w:shd w:val="clear" w:color="auto" w:fill="auto"/>
            <w:vAlign w:val="center"/>
          </w:tcPr>
          <w:p w14:paraId="39DA2191">
            <w:pPr>
              <w:spacing w:line="240" w:lineRule="atLeast"/>
              <w:ind w:left="-48" w:leftChars="-23" w:right="-65" w:rightChars="-31"/>
              <w:jc w:val="left"/>
              <w:rPr>
                <w:rFonts w:cs="宋体"/>
                <w:szCs w:val="24"/>
              </w:rPr>
            </w:pPr>
          </w:p>
        </w:tc>
        <w:tc>
          <w:tcPr>
            <w:tcW w:w="692" w:type="pct"/>
            <w:tcBorders>
              <w:left w:val="single" w:color="auto" w:sz="4" w:space="0"/>
              <w:right w:val="single" w:color="auto" w:sz="4" w:space="0"/>
            </w:tcBorders>
          </w:tcPr>
          <w:p w14:paraId="65D21A97">
            <w:pPr>
              <w:spacing w:line="240" w:lineRule="atLeast"/>
              <w:ind w:left="-48" w:leftChars="-23" w:right="-65" w:rightChars="-31"/>
              <w:jc w:val="left"/>
              <w:rPr>
                <w:rFonts w:hint="eastAsia" w:cs="宋体"/>
                <w:szCs w:val="24"/>
              </w:rPr>
            </w:pPr>
          </w:p>
        </w:tc>
        <w:tc>
          <w:tcPr>
            <w:tcW w:w="560" w:type="pct"/>
            <w:tcBorders>
              <w:left w:val="single" w:color="auto" w:sz="4" w:space="0"/>
            </w:tcBorders>
            <w:shd w:val="clear" w:color="auto" w:fill="auto"/>
            <w:vAlign w:val="center"/>
          </w:tcPr>
          <w:p w14:paraId="488B511B">
            <w:pPr>
              <w:spacing w:line="240" w:lineRule="atLeast"/>
              <w:ind w:left="-48" w:leftChars="-23" w:right="-65" w:rightChars="-31"/>
              <w:jc w:val="left"/>
              <w:rPr>
                <w:rFonts w:cs="宋体"/>
                <w:szCs w:val="24"/>
              </w:rPr>
            </w:pPr>
          </w:p>
        </w:tc>
        <w:tc>
          <w:tcPr>
            <w:tcW w:w="511" w:type="pct"/>
            <w:tcBorders>
              <w:left w:val="single" w:color="auto" w:sz="4" w:space="0"/>
            </w:tcBorders>
            <w:shd w:val="clear" w:color="auto" w:fill="auto"/>
            <w:vAlign w:val="center"/>
          </w:tcPr>
          <w:p w14:paraId="630599EE">
            <w:pPr>
              <w:spacing w:line="240" w:lineRule="atLeast"/>
              <w:ind w:left="-48" w:leftChars="-23" w:right="-65" w:rightChars="-31"/>
              <w:jc w:val="left"/>
              <w:rPr>
                <w:rFonts w:cs="宋体"/>
                <w:szCs w:val="24"/>
              </w:rPr>
            </w:pPr>
          </w:p>
        </w:tc>
        <w:tc>
          <w:tcPr>
            <w:tcW w:w="606" w:type="pct"/>
            <w:tcBorders>
              <w:left w:val="single" w:color="auto" w:sz="4" w:space="0"/>
            </w:tcBorders>
            <w:shd w:val="clear" w:color="auto" w:fill="auto"/>
            <w:vAlign w:val="center"/>
          </w:tcPr>
          <w:p w14:paraId="2392663E">
            <w:pPr>
              <w:spacing w:line="240" w:lineRule="atLeast"/>
              <w:ind w:left="-48" w:leftChars="-23" w:right="-65" w:rightChars="-31"/>
              <w:jc w:val="left"/>
              <w:rPr>
                <w:rFonts w:cs="宋体"/>
                <w:szCs w:val="24"/>
              </w:rPr>
            </w:pPr>
          </w:p>
        </w:tc>
        <w:tc>
          <w:tcPr>
            <w:tcW w:w="449" w:type="pct"/>
            <w:tcBorders>
              <w:left w:val="single" w:color="auto" w:sz="4" w:space="0"/>
            </w:tcBorders>
            <w:shd w:val="clear" w:color="auto" w:fill="auto"/>
            <w:vAlign w:val="center"/>
          </w:tcPr>
          <w:p w14:paraId="729BB8DB">
            <w:pPr>
              <w:spacing w:line="240" w:lineRule="atLeast"/>
              <w:ind w:left="-48" w:leftChars="-23" w:right="-65" w:rightChars="-31"/>
              <w:jc w:val="left"/>
              <w:rPr>
                <w:rFonts w:cs="宋体"/>
                <w:szCs w:val="24"/>
              </w:rPr>
            </w:pPr>
          </w:p>
        </w:tc>
        <w:tc>
          <w:tcPr>
            <w:tcW w:w="587" w:type="pct"/>
            <w:tcBorders>
              <w:left w:val="single" w:color="auto" w:sz="4" w:space="0"/>
            </w:tcBorders>
            <w:shd w:val="clear" w:color="auto" w:fill="auto"/>
            <w:vAlign w:val="center"/>
          </w:tcPr>
          <w:p w14:paraId="24ACDC09">
            <w:pPr>
              <w:spacing w:line="240" w:lineRule="atLeast"/>
              <w:ind w:left="-48" w:leftChars="-23" w:right="-65" w:rightChars="-31"/>
              <w:jc w:val="left"/>
              <w:rPr>
                <w:rFonts w:cs="宋体"/>
                <w:szCs w:val="24"/>
              </w:rPr>
            </w:pPr>
          </w:p>
        </w:tc>
      </w:tr>
      <w:tr w14:paraId="645FD7D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34" w:hRule="atLeast"/>
          <w:jc w:val="center"/>
        </w:trPr>
        <w:tc>
          <w:tcPr>
            <w:tcW w:w="245" w:type="pct"/>
            <w:tcBorders>
              <w:bottom w:val="single" w:color="auto" w:sz="4" w:space="0"/>
            </w:tcBorders>
            <w:shd w:val="clear" w:color="auto" w:fill="auto"/>
            <w:vAlign w:val="center"/>
          </w:tcPr>
          <w:p w14:paraId="563A9DFF">
            <w:pPr>
              <w:tabs>
                <w:tab w:val="left" w:pos="82"/>
              </w:tabs>
              <w:jc w:val="center"/>
            </w:pPr>
            <w:r>
              <w:rPr>
                <w:rFonts w:hint="eastAsia"/>
              </w:rPr>
              <w:t>…</w:t>
            </w:r>
          </w:p>
        </w:tc>
        <w:tc>
          <w:tcPr>
            <w:tcW w:w="201" w:type="pct"/>
            <w:tcBorders>
              <w:bottom w:val="single" w:color="auto" w:sz="4" w:space="0"/>
            </w:tcBorders>
            <w:shd w:val="clear" w:color="auto" w:fill="auto"/>
            <w:vAlign w:val="center"/>
          </w:tcPr>
          <w:p w14:paraId="5E924863">
            <w:pPr>
              <w:spacing w:line="240" w:lineRule="atLeast"/>
              <w:ind w:left="-48" w:leftChars="-23" w:right="-65" w:rightChars="-31"/>
              <w:jc w:val="left"/>
              <w:rPr>
                <w:rFonts w:cs="宋体"/>
                <w:szCs w:val="24"/>
              </w:rPr>
            </w:pPr>
          </w:p>
        </w:tc>
        <w:tc>
          <w:tcPr>
            <w:tcW w:w="380" w:type="pct"/>
            <w:tcBorders>
              <w:bottom w:val="single" w:color="auto" w:sz="4" w:space="0"/>
            </w:tcBorders>
            <w:shd w:val="clear" w:color="auto" w:fill="auto"/>
            <w:vAlign w:val="center"/>
          </w:tcPr>
          <w:p w14:paraId="7F8C583D">
            <w:pPr>
              <w:spacing w:line="240" w:lineRule="atLeast"/>
              <w:ind w:left="-48" w:leftChars="-23" w:right="-65" w:rightChars="-31"/>
              <w:jc w:val="left"/>
              <w:rPr>
                <w:rFonts w:cs="宋体"/>
                <w:szCs w:val="24"/>
              </w:rPr>
            </w:pPr>
          </w:p>
        </w:tc>
        <w:tc>
          <w:tcPr>
            <w:tcW w:w="282" w:type="pct"/>
            <w:tcBorders>
              <w:left w:val="single" w:color="auto" w:sz="4" w:space="0"/>
              <w:bottom w:val="single" w:color="auto" w:sz="4" w:space="0"/>
            </w:tcBorders>
            <w:shd w:val="clear" w:color="auto" w:fill="auto"/>
            <w:vAlign w:val="center"/>
          </w:tcPr>
          <w:p w14:paraId="4319768C">
            <w:pPr>
              <w:spacing w:line="240" w:lineRule="atLeast"/>
              <w:ind w:left="-48" w:leftChars="-23" w:right="-65" w:rightChars="-31"/>
              <w:jc w:val="left"/>
              <w:rPr>
                <w:rFonts w:cs="宋体"/>
                <w:szCs w:val="24"/>
              </w:rPr>
            </w:pPr>
          </w:p>
        </w:tc>
        <w:tc>
          <w:tcPr>
            <w:tcW w:w="478" w:type="pct"/>
            <w:tcBorders>
              <w:left w:val="single" w:color="auto" w:sz="4" w:space="0"/>
              <w:bottom w:val="single" w:color="auto" w:sz="4" w:space="0"/>
              <w:right w:val="single" w:color="auto" w:sz="4" w:space="0"/>
            </w:tcBorders>
            <w:shd w:val="clear" w:color="auto" w:fill="auto"/>
            <w:vAlign w:val="center"/>
          </w:tcPr>
          <w:p w14:paraId="33135464">
            <w:pPr>
              <w:spacing w:line="240" w:lineRule="atLeast"/>
              <w:ind w:left="-48" w:leftChars="-23" w:right="-65" w:rightChars="-31"/>
              <w:jc w:val="left"/>
              <w:rPr>
                <w:rFonts w:cs="宋体"/>
                <w:szCs w:val="24"/>
              </w:rPr>
            </w:pPr>
          </w:p>
        </w:tc>
        <w:tc>
          <w:tcPr>
            <w:tcW w:w="692" w:type="pct"/>
            <w:tcBorders>
              <w:left w:val="single" w:color="auto" w:sz="4" w:space="0"/>
              <w:bottom w:val="single" w:color="auto" w:sz="4" w:space="0"/>
              <w:right w:val="single" w:color="auto" w:sz="4" w:space="0"/>
            </w:tcBorders>
          </w:tcPr>
          <w:p w14:paraId="57E57687">
            <w:pPr>
              <w:spacing w:line="240" w:lineRule="atLeast"/>
              <w:ind w:left="-48" w:leftChars="-23" w:right="-65" w:rightChars="-31"/>
              <w:jc w:val="left"/>
              <w:rPr>
                <w:rFonts w:cs="宋体"/>
                <w:szCs w:val="24"/>
              </w:rPr>
            </w:pPr>
          </w:p>
        </w:tc>
        <w:tc>
          <w:tcPr>
            <w:tcW w:w="560" w:type="pct"/>
            <w:tcBorders>
              <w:left w:val="single" w:color="auto" w:sz="4" w:space="0"/>
              <w:bottom w:val="single" w:color="auto" w:sz="4" w:space="0"/>
            </w:tcBorders>
            <w:shd w:val="clear" w:color="auto" w:fill="auto"/>
            <w:vAlign w:val="center"/>
          </w:tcPr>
          <w:p w14:paraId="1B29C270">
            <w:pPr>
              <w:spacing w:line="240" w:lineRule="atLeast"/>
              <w:ind w:left="-48" w:leftChars="-23" w:right="-65" w:rightChars="-31"/>
              <w:jc w:val="left"/>
              <w:rPr>
                <w:rFonts w:cs="宋体"/>
                <w:szCs w:val="24"/>
              </w:rPr>
            </w:pPr>
          </w:p>
        </w:tc>
        <w:tc>
          <w:tcPr>
            <w:tcW w:w="511" w:type="pct"/>
            <w:tcBorders>
              <w:left w:val="single" w:color="auto" w:sz="4" w:space="0"/>
              <w:bottom w:val="single" w:color="auto" w:sz="4" w:space="0"/>
            </w:tcBorders>
            <w:shd w:val="clear" w:color="auto" w:fill="auto"/>
            <w:vAlign w:val="center"/>
          </w:tcPr>
          <w:p w14:paraId="4EC1DCA5">
            <w:pPr>
              <w:spacing w:line="240" w:lineRule="atLeast"/>
              <w:ind w:left="-48" w:leftChars="-23" w:right="-65" w:rightChars="-31"/>
              <w:jc w:val="left"/>
              <w:rPr>
                <w:rFonts w:cs="宋体"/>
                <w:szCs w:val="24"/>
              </w:rPr>
            </w:pPr>
          </w:p>
          <w:p w14:paraId="56BF2198"/>
        </w:tc>
        <w:tc>
          <w:tcPr>
            <w:tcW w:w="606" w:type="pct"/>
            <w:tcBorders>
              <w:left w:val="single" w:color="auto" w:sz="4" w:space="0"/>
              <w:bottom w:val="single" w:color="auto" w:sz="4" w:space="0"/>
            </w:tcBorders>
            <w:shd w:val="clear" w:color="auto" w:fill="auto"/>
            <w:vAlign w:val="center"/>
          </w:tcPr>
          <w:p w14:paraId="6DA7B2EB"/>
        </w:tc>
        <w:tc>
          <w:tcPr>
            <w:tcW w:w="449" w:type="pct"/>
            <w:tcBorders>
              <w:left w:val="single" w:color="auto" w:sz="4" w:space="0"/>
              <w:bottom w:val="single" w:color="auto" w:sz="4" w:space="0"/>
            </w:tcBorders>
            <w:shd w:val="clear" w:color="auto" w:fill="auto"/>
            <w:vAlign w:val="center"/>
          </w:tcPr>
          <w:p w14:paraId="0D352044">
            <w:pPr>
              <w:spacing w:line="240" w:lineRule="atLeast"/>
              <w:ind w:left="-48" w:leftChars="-23" w:right="-65" w:rightChars="-31"/>
              <w:jc w:val="left"/>
              <w:rPr>
                <w:rFonts w:cs="宋体"/>
                <w:szCs w:val="24"/>
              </w:rPr>
            </w:pPr>
          </w:p>
        </w:tc>
        <w:tc>
          <w:tcPr>
            <w:tcW w:w="587" w:type="pct"/>
            <w:tcBorders>
              <w:left w:val="single" w:color="auto" w:sz="4" w:space="0"/>
              <w:bottom w:val="single" w:color="auto" w:sz="4" w:space="0"/>
            </w:tcBorders>
            <w:shd w:val="clear" w:color="auto" w:fill="auto"/>
            <w:vAlign w:val="center"/>
          </w:tcPr>
          <w:p w14:paraId="2EBEC3BF">
            <w:pPr>
              <w:spacing w:line="240" w:lineRule="atLeast"/>
              <w:ind w:left="-48" w:leftChars="-23" w:right="-65" w:rightChars="-31"/>
              <w:jc w:val="left"/>
              <w:rPr>
                <w:rFonts w:cs="宋体"/>
                <w:szCs w:val="24"/>
              </w:rPr>
            </w:pPr>
          </w:p>
        </w:tc>
      </w:tr>
    </w:tbl>
    <w:p w14:paraId="474E7602">
      <w:pPr>
        <w:spacing w:line="360" w:lineRule="auto"/>
        <w:jc w:val="left"/>
        <w:rPr>
          <w:szCs w:val="21"/>
        </w:rPr>
      </w:pPr>
    </w:p>
    <w:p w14:paraId="752808A1">
      <w:pPr>
        <w:spacing w:line="360" w:lineRule="auto"/>
        <w:jc w:val="left"/>
        <w:rPr>
          <w:szCs w:val="21"/>
        </w:rPr>
      </w:pPr>
      <w:r>
        <w:rPr>
          <w:rFonts w:hint="eastAsia"/>
          <w:szCs w:val="21"/>
          <w:lang w:val="en-US" w:eastAsia="zh-CN"/>
        </w:rPr>
        <w:t>说明：项目具体成本测算等与报价合理性相关的书面说明及必要的证明材料，包括但不限于原材料成本、人工成本、制造费用等</w:t>
      </w:r>
    </w:p>
    <w:p w14:paraId="598510DD">
      <w:pPr>
        <w:spacing w:line="360" w:lineRule="auto"/>
        <w:ind w:firstLine="6090" w:firstLineChars="2900"/>
        <w:jc w:val="left"/>
        <w:rPr>
          <w:szCs w:val="21"/>
        </w:rPr>
      </w:pPr>
      <w:r>
        <w:rPr>
          <w:szCs w:val="21"/>
        </w:rPr>
        <w:t>供应商名称（</w:t>
      </w:r>
      <w:r>
        <w:rPr>
          <w:rFonts w:hint="eastAsia"/>
          <w:szCs w:val="21"/>
        </w:rPr>
        <w:t>电子签章</w:t>
      </w:r>
      <w:r>
        <w:rPr>
          <w:szCs w:val="21"/>
        </w:rPr>
        <w:t>）：</w:t>
      </w:r>
      <w:r>
        <w:rPr>
          <w:szCs w:val="21"/>
          <w:u w:val="single"/>
        </w:rPr>
        <w:t xml:space="preserve">                          </w:t>
      </w:r>
    </w:p>
    <w:p w14:paraId="334743E0">
      <w:pPr>
        <w:spacing w:line="360" w:lineRule="auto"/>
        <w:ind w:firstLine="6090" w:firstLineChars="2900"/>
        <w:jc w:val="left"/>
        <w:rPr>
          <w:szCs w:val="21"/>
        </w:rPr>
        <w:sectPr>
          <w:pgSz w:w="11906" w:h="16838"/>
          <w:pgMar w:top="1418" w:right="1133" w:bottom="1246" w:left="1418" w:header="851" w:footer="992" w:gutter="0"/>
          <w:pgBorders>
            <w:top w:val="none" w:sz="0" w:space="0"/>
            <w:left w:val="none" w:sz="0" w:space="0"/>
            <w:bottom w:val="none" w:sz="0" w:space="0"/>
            <w:right w:val="none" w:sz="0" w:space="0"/>
          </w:pgBorders>
          <w:pgNumType w:fmt="decimal"/>
          <w:cols w:space="720" w:num="1"/>
          <w:docGrid w:linePitch="312" w:charSpace="0"/>
        </w:sectPr>
      </w:pPr>
      <w:r>
        <w:rPr>
          <w:szCs w:val="21"/>
        </w:rPr>
        <w:t>日  期</w:t>
      </w:r>
      <w:r>
        <w:rPr>
          <w:rFonts w:hint="eastAsia" w:eastAsia="宋体"/>
          <w:szCs w:val="21"/>
          <w:lang w:eastAsia="zh-CN"/>
        </w:rPr>
        <w:t>：</w:t>
      </w:r>
      <w:r>
        <w:rPr>
          <w:szCs w:val="21"/>
          <w:u w:val="single"/>
        </w:rPr>
        <w:t xml:space="preserve">         </w:t>
      </w:r>
      <w:r>
        <w:rPr>
          <w:szCs w:val="21"/>
        </w:rPr>
        <w:t>年</w:t>
      </w:r>
      <w:r>
        <w:rPr>
          <w:szCs w:val="21"/>
          <w:u w:val="single"/>
        </w:rPr>
        <w:t xml:space="preserve">   </w:t>
      </w:r>
      <w:r>
        <w:rPr>
          <w:szCs w:val="21"/>
        </w:rPr>
        <w:t>月</w:t>
      </w:r>
      <w:r>
        <w:rPr>
          <w:szCs w:val="21"/>
          <w:u w:val="single"/>
        </w:rPr>
        <w:t xml:space="preserve">   </w:t>
      </w:r>
      <w:r>
        <w:rPr>
          <w:szCs w:val="21"/>
        </w:rPr>
        <w:t xml:space="preserve">日 </w:t>
      </w:r>
    </w:p>
    <w:bookmarkEnd w:id="166"/>
    <w:p w14:paraId="446BD2DE">
      <w:pPr>
        <w:widowControl/>
        <w:jc w:val="left"/>
        <w:rPr>
          <w:szCs w:val="21"/>
        </w:rPr>
      </w:pPr>
    </w:p>
    <w:p w14:paraId="0A21D426">
      <w:pPr>
        <w:widowControl/>
        <w:jc w:val="left"/>
        <w:outlineLvl w:val="1"/>
        <w:rPr>
          <w:szCs w:val="21"/>
        </w:rPr>
      </w:pPr>
      <w:bookmarkStart w:id="168" w:name="_Hlk88990880"/>
      <w:r>
        <w:rPr>
          <w:rFonts w:hint="eastAsia"/>
          <w:szCs w:val="21"/>
          <w:lang w:val="en-US" w:eastAsia="zh-CN"/>
        </w:rPr>
        <w:t>4</w:t>
      </w:r>
      <w:r>
        <w:rPr>
          <w:rFonts w:hint="eastAsia"/>
          <w:szCs w:val="21"/>
        </w:rPr>
        <w:t>．开标一览表</w:t>
      </w:r>
    </w:p>
    <w:p w14:paraId="6E4CFAEB">
      <w:pPr>
        <w:widowControl/>
        <w:jc w:val="left"/>
        <w:rPr>
          <w:color w:val="4472C4"/>
          <w:szCs w:val="21"/>
        </w:rPr>
      </w:pPr>
    </w:p>
    <w:p w14:paraId="37AE0F2D">
      <w:pPr>
        <w:widowControl/>
        <w:jc w:val="left"/>
        <w:rPr>
          <w:color w:val="4472C4"/>
          <w:szCs w:val="21"/>
        </w:rPr>
      </w:pPr>
    </w:p>
    <w:p w14:paraId="3880E96A">
      <w:pPr>
        <w:widowControl/>
        <w:jc w:val="left"/>
        <w:rPr>
          <w:color w:val="4472C4"/>
          <w:szCs w:val="21"/>
        </w:rPr>
      </w:pPr>
    </w:p>
    <w:p w14:paraId="486EEAE2">
      <w:pPr>
        <w:rPr>
          <w:b/>
          <w:szCs w:val="21"/>
        </w:rPr>
      </w:pPr>
    </w:p>
    <w:p w14:paraId="5C860530">
      <w:pPr>
        <w:rPr>
          <w:b/>
          <w:szCs w:val="21"/>
        </w:rPr>
      </w:pPr>
    </w:p>
    <w:p w14:paraId="77D8EB09">
      <w:pPr>
        <w:rPr>
          <w:b/>
          <w:szCs w:val="21"/>
        </w:rPr>
      </w:pPr>
      <w:r>
        <w:rPr>
          <w:rFonts w:hint="eastAsia"/>
          <w:b/>
          <w:szCs w:val="21"/>
        </w:rPr>
        <w:t>格式详见</w:t>
      </w:r>
      <w:r>
        <w:rPr>
          <w:rFonts w:hint="eastAsia"/>
          <w:szCs w:val="21"/>
        </w:rPr>
        <w:t>广西政府采购云平台</w:t>
      </w:r>
      <w:r>
        <w:rPr>
          <w:rFonts w:hint="eastAsia"/>
          <w:b/>
          <w:szCs w:val="21"/>
        </w:rPr>
        <w:t>，且仅在</w:t>
      </w:r>
      <w:r>
        <w:rPr>
          <w:rFonts w:hint="eastAsia"/>
          <w:szCs w:val="21"/>
        </w:rPr>
        <w:t>广西政府采购云平台</w:t>
      </w:r>
      <w:r>
        <w:rPr>
          <w:rFonts w:hint="eastAsia"/>
          <w:b/>
          <w:szCs w:val="21"/>
        </w:rPr>
        <w:t>填写即可。</w:t>
      </w:r>
    </w:p>
    <w:bookmarkEnd w:id="168"/>
    <w:p w14:paraId="40F7433E">
      <w:pPr>
        <w:widowControl/>
        <w:jc w:val="left"/>
        <w:rPr>
          <w:color w:val="4472C4"/>
          <w:szCs w:val="21"/>
        </w:rPr>
      </w:pPr>
    </w:p>
    <w:sectPr>
      <w:pgSz w:w="11906" w:h="16838"/>
      <w:pgMar w:top="1418" w:right="1133" w:bottom="1246" w:left="1418" w:header="851" w:footer="992" w:gutter="0"/>
      <w:pgBorders>
        <w:top w:val="none" w:sz="0" w:space="0"/>
        <w:left w:val="none" w:sz="0" w:space="0"/>
        <w:bottom w:val="none" w:sz="0" w:space="0"/>
        <w:right w:val="none" w:sz="0" w:space="0"/>
      </w:pgBorders>
      <w:pgNumType w:fmt="decimal"/>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28"/>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等线 Light">
    <w:panose1 w:val="02010600030101010101"/>
    <w:charset w:val="86"/>
    <w:family w:val="auto"/>
    <w:pitch w:val="default"/>
    <w:sig w:usb0="A00002BF" w:usb1="38CF7CFA" w:usb2="00000016" w:usb3="00000000" w:csb0="0004000F" w:csb1="00000000"/>
  </w:font>
  <w:font w:name="Verdana">
    <w:panose1 w:val="020B0604030504040204"/>
    <w:charset w:val="00"/>
    <w:family w:val="swiss"/>
    <w:pitch w:val="default"/>
    <w:sig w:usb0="A00006FF" w:usb1="4000205B" w:usb2="00000010" w:usb3="00000000" w:csb0="2000019F" w:csb1="00000000"/>
  </w:font>
  <w:font w:name="Microsoft YaHei UI">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 w:name="华文楷体">
    <w:panose1 w:val="02010600040101010101"/>
    <w:charset w:val="86"/>
    <w:family w:val="auto"/>
    <w:pitch w:val="default"/>
    <w:sig w:usb0="00000287" w:usb1="080F0000" w:usb2="00000000" w:usb3="00000000" w:csb0="0004009F" w:csb1="DFD70000"/>
  </w:font>
  <w:font w:name="Wingdings 2">
    <w:panose1 w:val="05020102010507070707"/>
    <w:charset w:val="02"/>
    <w:family w:val="roman"/>
    <w:pitch w:val="default"/>
    <w:sig w:usb0="00000000" w:usb1="00000000" w:usb2="00000000" w:usb3="00000000" w:csb0="80000000"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方正小标宋简体">
    <w:altName w:val="方正舒体"/>
    <w:panose1 w:val="02000000000000000000"/>
    <w:charset w:val="86"/>
    <w:family w:val="script"/>
    <w:pitch w:val="default"/>
    <w:sig w:usb0="00000000" w:usb1="00000000" w:usb2="00000012" w:usb3="00000000" w:csb0="00040001" w:csb1="00000000"/>
  </w:font>
  <w:font w:name="方正舒体">
    <w:panose1 w:val="02010601030101010101"/>
    <w:charset w:val="86"/>
    <w:family w:val="auto"/>
    <w:pitch w:val="default"/>
    <w:sig w:usb0="00000003" w:usb1="080E0000" w:usb2="00000000" w:usb3="00000000" w:csb0="00040000" w:csb1="00000000"/>
  </w:font>
  <w:font w:name="Helvetica">
    <w:altName w:val="Arial"/>
    <w:panose1 w:val="020B0604020202020204"/>
    <w:charset w:val="00"/>
    <w:family w:val="swiss"/>
    <w:pitch w:val="default"/>
    <w:sig w:usb0="00000000"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4A09DC">
    <w:pPr>
      <w:pStyle w:val="31"/>
      <w:jc w:val="center"/>
    </w:pPr>
    <w:r>
      <w:fldChar w:fldCharType="begin"/>
    </w:r>
    <w:r>
      <w:instrText xml:space="preserve">PAGE   \* MERGEFORMAT</w:instrText>
    </w:r>
    <w:r>
      <w:fldChar w:fldCharType="separate"/>
    </w:r>
    <w:r>
      <w:rPr>
        <w:lang w:val="zh-CN"/>
      </w:rPr>
      <w:t>35</w:t>
    </w:r>
    <w:r>
      <w:fldChar w:fldCharType="end"/>
    </w:r>
  </w:p>
  <w:p w14:paraId="626EA9E5">
    <w:pPr>
      <w:pStyle w:val="3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68238A">
    <w:pPr>
      <w:pStyle w:val="31"/>
      <w:ind w:right="360"/>
      <w:jc w:val="cen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EBF9BF">
    <w:pPr>
      <w:pStyle w:val="31"/>
      <w:ind w:right="360"/>
      <w:jc w:val="cen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0168BC">
    <w:pPr>
      <w:pStyle w:val="31"/>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D721EB8">
                          <w:pPr>
                            <w:pStyle w:val="31"/>
                            <w:jc w:val="center"/>
                          </w:pPr>
                          <w:r>
                            <w:fldChar w:fldCharType="begin"/>
                          </w:r>
                          <w:r>
                            <w:instrText xml:space="preserve">PAGE   \* MERGEFORMAT</w:instrText>
                          </w:r>
                          <w:r>
                            <w:fldChar w:fldCharType="separate"/>
                          </w:r>
                          <w:r>
                            <w:rPr>
                              <w:lang w:val="zh-CN"/>
                            </w:rPr>
                            <w:t>35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0D721EB8">
                    <w:pPr>
                      <w:pStyle w:val="31"/>
                      <w:jc w:val="center"/>
                    </w:pPr>
                    <w:r>
                      <w:fldChar w:fldCharType="begin"/>
                    </w:r>
                    <w:r>
                      <w:instrText xml:space="preserve">PAGE   \* MERGEFORMAT</w:instrText>
                    </w:r>
                    <w:r>
                      <w:fldChar w:fldCharType="separate"/>
                    </w:r>
                    <w:r>
                      <w:rPr>
                        <w:lang w:val="zh-CN"/>
                      </w:rPr>
                      <w:t>35</w:t>
                    </w:r>
                    <w:r>
                      <w:fldChar w:fldCharType="end"/>
                    </w:r>
                  </w:p>
                </w:txbxContent>
              </v:textbox>
            </v:shape>
          </w:pict>
        </mc:Fallback>
      </mc:AlternateContent>
    </w:r>
  </w:p>
  <w:p w14:paraId="03587212">
    <w:pPr>
      <w:pStyle w:val="31"/>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E0411E">
    <w:pPr>
      <w:pStyle w:val="31"/>
      <w:ind w:right="360"/>
      <w:jc w:val="cente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A0B2C15">
                          <w:pPr>
                            <w:pStyle w:val="3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0A0B2C15">
                    <w:pPr>
                      <w:pStyle w:val="31"/>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2CEADD">
    <w:pPr>
      <w:pStyle w:val="31"/>
      <w:ind w:right="360"/>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55CF545">
                          <w:pPr>
                            <w:pStyle w:val="31"/>
                          </w:pPr>
                          <w:r>
                            <w:fldChar w:fldCharType="begin"/>
                          </w:r>
                          <w:r>
                            <w:instrText xml:space="preserve"> PAGE  \* MERGEFORMAT </w:instrText>
                          </w:r>
                          <w:r>
                            <w:fldChar w:fldCharType="separate"/>
                          </w:r>
                          <w:r>
                            <w:t>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55CF545">
                    <w:pPr>
                      <w:pStyle w:val="31"/>
                    </w:pPr>
                    <w:r>
                      <w:fldChar w:fldCharType="begin"/>
                    </w:r>
                    <w:r>
                      <w:instrText xml:space="preserve"> PAGE  \* MERGEFORMAT </w:instrText>
                    </w:r>
                    <w:r>
                      <w:fldChar w:fldCharType="separate"/>
                    </w:r>
                    <w:r>
                      <w:t>0</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E9BE55">
    <w:pPr>
      <w:pStyle w:val="31"/>
      <w:framePr w:wrap="around" w:vAnchor="text" w:hAnchor="margin" w:xAlign="right" w:y="1"/>
      <w:rPr>
        <w:rStyle w:val="55"/>
      </w:rPr>
    </w:pPr>
    <w:r>
      <w:fldChar w:fldCharType="begin"/>
    </w:r>
    <w:r>
      <w:rPr>
        <w:rStyle w:val="55"/>
      </w:rPr>
      <w:instrText xml:space="preserve">PAGE  </w:instrText>
    </w:r>
    <w:r>
      <w:fldChar w:fldCharType="end"/>
    </w:r>
  </w:p>
  <w:p w14:paraId="7BD9DA86">
    <w:pPr>
      <w:pStyle w:val="31"/>
      <w:ind w:right="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70CD10">
    <w:pPr>
      <w:pStyle w:val="32"/>
      <w:jc w:val="left"/>
    </w:pPr>
    <w:r>
      <w:rPr>
        <w:rFonts w:hint="eastAsia"/>
      </w:rPr>
      <w:t>广西机电设备招标有限公司招标文件</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96BFD7">
    <w:pPr>
      <w:pStyle w:val="32"/>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51E501">
    <w:pPr>
      <w:pStyle w:val="32"/>
      <w:jc w:val="left"/>
    </w:pPr>
    <w:r>
      <w:rPr>
        <w:rFonts w:hint="eastAsia"/>
      </w:rPr>
      <w:t xml:space="preserve">广西机电设备招标有限公司招标文件                                                               </w:t>
    </w:r>
  </w:p>
  <w:p w14:paraId="12C4BA08">
    <w:pPr>
      <w:pStyle w:val="32"/>
      <w:pBdr>
        <w:bottom w:val="none" w:color="auto" w:sz="0" w:space="0"/>
      </w:pBd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CDECD1">
    <w:pPr>
      <w:pStyle w:val="32"/>
      <w:jc w:val="left"/>
    </w:pPr>
    <w:r>
      <w:rPr>
        <w:rFonts w:hint="eastAsia"/>
      </w:rPr>
      <w:t xml:space="preserve">广西机电设备招标有限公司招标文件                                                    </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16B119">
    <w:pPr>
      <w:pStyle w:val="32"/>
      <w:jc w:val="left"/>
    </w:pPr>
    <w:r>
      <w:rPr>
        <w:rFonts w:hint="eastAsia"/>
      </w:rPr>
      <w:t xml:space="preserve">广西机电设备招标有限公司招标文件                                                          </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C43867">
    <w:pPr>
      <w:pStyle w:val="32"/>
      <w:jc w:val="left"/>
    </w:pPr>
    <w:r>
      <w:rPr>
        <w:rFonts w:hint="eastAsia"/>
      </w:rPr>
      <w:t>广西机电设备招标有限公司招标文件                                                     评标方法及评标标准</w:t>
    </w:r>
  </w:p>
  <w:p w14:paraId="7A0E49AB">
    <w:pPr>
      <w:pStyle w:val="32"/>
      <w:pBdr>
        <w:bottom w:val="none" w:color="auto" w:sz="0" w:space="0"/>
      </w:pBdr>
      <w:jc w:val="left"/>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925A24">
    <w:pPr>
      <w:rPr>
        <w:sz w:val="18"/>
        <w:szCs w:val="18"/>
        <w:u w:val="single"/>
      </w:rPr>
    </w:pPr>
    <w:r>
      <w:rPr>
        <w:rFonts w:hint="eastAsia"/>
        <w:sz w:val="18"/>
        <w:szCs w:val="18"/>
        <w:u w:val="single"/>
      </w:rPr>
      <w:t xml:space="preserve">广西机电设备招标有限公司招标文件                                             </w:t>
    </w:r>
    <w:r>
      <w:rPr>
        <w:sz w:val="18"/>
        <w:szCs w:val="18"/>
        <w:u w:val="single"/>
      </w:rPr>
      <w:t xml:space="preserve">            </w:t>
    </w:r>
    <w:r>
      <w:rPr>
        <w:rFonts w:hint="eastAsia"/>
        <w:sz w:val="18"/>
        <w:szCs w:val="18"/>
        <w:u w:val="single"/>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8F13207"/>
    <w:multiLevelType w:val="singleLevel"/>
    <w:tmpl w:val="98F13207"/>
    <w:lvl w:ilvl="0" w:tentative="0">
      <w:start w:val="8"/>
      <w:numFmt w:val="decimal"/>
      <w:lvlText w:val="%1."/>
      <w:lvlJc w:val="left"/>
      <w:pPr>
        <w:tabs>
          <w:tab w:val="left" w:pos="312"/>
        </w:tabs>
      </w:pPr>
    </w:lvl>
  </w:abstractNum>
  <w:abstractNum w:abstractNumId="1">
    <w:nsid w:val="00000013"/>
    <w:multiLevelType w:val="multilevel"/>
    <w:tmpl w:val="00000013"/>
    <w:lvl w:ilvl="0" w:tentative="0">
      <w:start w:val="1"/>
      <w:numFmt w:val="decimal"/>
      <w:lvlText w:val="（%1）"/>
      <w:lvlJc w:val="left"/>
      <w:pPr>
        <w:ind w:left="1140" w:hanging="72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2">
    <w:nsid w:val="3B026C45"/>
    <w:multiLevelType w:val="multilevel"/>
    <w:tmpl w:val="3B026C45"/>
    <w:lvl w:ilvl="0" w:tentative="0">
      <w:start w:val="1"/>
      <w:numFmt w:val="decimal"/>
      <w:lvlText w:val="%1"/>
      <w:lvlJc w:val="center"/>
      <w:pPr>
        <w:ind w:left="420" w:hanging="420"/>
      </w:pPr>
      <w:rPr>
        <w:rFonts w:hint="eastAsia"/>
        <w:b w:val="0"/>
        <w:i w:val="0"/>
        <w:color w:val="auto"/>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3D3E00F7"/>
    <w:multiLevelType w:val="singleLevel"/>
    <w:tmpl w:val="3D3E00F7"/>
    <w:lvl w:ilvl="0" w:tentative="0">
      <w:start w:val="1"/>
      <w:numFmt w:val="decimal"/>
      <w:lvlText w:val="(%1)"/>
      <w:lvlJc w:val="left"/>
      <w:pPr>
        <w:tabs>
          <w:tab w:val="left" w:pos="420"/>
        </w:tabs>
        <w:ind w:left="845" w:hanging="425"/>
      </w:pPr>
      <w:rPr>
        <w:rFonts w:hint="default"/>
      </w:r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isplayHorizontalDrawingGridEvery w:val="1"/>
  <w:displayVerticalDrawingGridEvery w:val="1"/>
  <w:noPunctuationKerning w:val="1"/>
  <w:characterSpacingControl w:val="doNotCompress"/>
  <w:compat>
    <w:doNotLeaveBackslashAlone/>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003B8"/>
    <w:rsid w:val="000003EF"/>
    <w:rsid w:val="00000653"/>
    <w:rsid w:val="000008B9"/>
    <w:rsid w:val="0000091B"/>
    <w:rsid w:val="00000ADC"/>
    <w:rsid w:val="00000D0A"/>
    <w:rsid w:val="00000D19"/>
    <w:rsid w:val="00000E1A"/>
    <w:rsid w:val="000011C3"/>
    <w:rsid w:val="00001B3E"/>
    <w:rsid w:val="00001B68"/>
    <w:rsid w:val="00001CD6"/>
    <w:rsid w:val="00001D8F"/>
    <w:rsid w:val="00001E6F"/>
    <w:rsid w:val="00001FB8"/>
    <w:rsid w:val="000020DA"/>
    <w:rsid w:val="00002AC8"/>
    <w:rsid w:val="00002DDA"/>
    <w:rsid w:val="00002F41"/>
    <w:rsid w:val="00003255"/>
    <w:rsid w:val="000033BC"/>
    <w:rsid w:val="00003428"/>
    <w:rsid w:val="00003544"/>
    <w:rsid w:val="00003C81"/>
    <w:rsid w:val="00003D02"/>
    <w:rsid w:val="00003DAE"/>
    <w:rsid w:val="00003DDF"/>
    <w:rsid w:val="0000436E"/>
    <w:rsid w:val="000046C2"/>
    <w:rsid w:val="000055C3"/>
    <w:rsid w:val="000056BC"/>
    <w:rsid w:val="000058D7"/>
    <w:rsid w:val="00005E55"/>
    <w:rsid w:val="0000644D"/>
    <w:rsid w:val="00006E2C"/>
    <w:rsid w:val="00007315"/>
    <w:rsid w:val="00007501"/>
    <w:rsid w:val="000079FF"/>
    <w:rsid w:val="00007B0D"/>
    <w:rsid w:val="00007F38"/>
    <w:rsid w:val="000102A9"/>
    <w:rsid w:val="00010339"/>
    <w:rsid w:val="000105C3"/>
    <w:rsid w:val="00011B70"/>
    <w:rsid w:val="00011D72"/>
    <w:rsid w:val="00011DE9"/>
    <w:rsid w:val="00012078"/>
    <w:rsid w:val="00012218"/>
    <w:rsid w:val="00012320"/>
    <w:rsid w:val="0001242C"/>
    <w:rsid w:val="00012447"/>
    <w:rsid w:val="000128AC"/>
    <w:rsid w:val="000129EA"/>
    <w:rsid w:val="00013034"/>
    <w:rsid w:val="00013166"/>
    <w:rsid w:val="00013350"/>
    <w:rsid w:val="0001338B"/>
    <w:rsid w:val="00013391"/>
    <w:rsid w:val="000136AF"/>
    <w:rsid w:val="00013748"/>
    <w:rsid w:val="00013AE8"/>
    <w:rsid w:val="00013D41"/>
    <w:rsid w:val="00013D8B"/>
    <w:rsid w:val="000143A3"/>
    <w:rsid w:val="000144F2"/>
    <w:rsid w:val="000145E3"/>
    <w:rsid w:val="00014CA6"/>
    <w:rsid w:val="00014DD6"/>
    <w:rsid w:val="0001532B"/>
    <w:rsid w:val="0001598C"/>
    <w:rsid w:val="00016007"/>
    <w:rsid w:val="000169F3"/>
    <w:rsid w:val="00016C31"/>
    <w:rsid w:val="00016CE3"/>
    <w:rsid w:val="00016D4C"/>
    <w:rsid w:val="0001710D"/>
    <w:rsid w:val="00017504"/>
    <w:rsid w:val="00017758"/>
    <w:rsid w:val="000178D7"/>
    <w:rsid w:val="00017900"/>
    <w:rsid w:val="00017C14"/>
    <w:rsid w:val="00017E50"/>
    <w:rsid w:val="00017F40"/>
    <w:rsid w:val="000204C7"/>
    <w:rsid w:val="0002053C"/>
    <w:rsid w:val="00020670"/>
    <w:rsid w:val="00020861"/>
    <w:rsid w:val="00020BB1"/>
    <w:rsid w:val="00020BF0"/>
    <w:rsid w:val="00020C0B"/>
    <w:rsid w:val="00020F60"/>
    <w:rsid w:val="00020FAF"/>
    <w:rsid w:val="000215B7"/>
    <w:rsid w:val="000217BF"/>
    <w:rsid w:val="00021C98"/>
    <w:rsid w:val="00021CCD"/>
    <w:rsid w:val="00021EE3"/>
    <w:rsid w:val="00022395"/>
    <w:rsid w:val="00022808"/>
    <w:rsid w:val="000228AB"/>
    <w:rsid w:val="00022C7D"/>
    <w:rsid w:val="00022E58"/>
    <w:rsid w:val="00022F2A"/>
    <w:rsid w:val="00022F8B"/>
    <w:rsid w:val="00022FB8"/>
    <w:rsid w:val="00023147"/>
    <w:rsid w:val="00023187"/>
    <w:rsid w:val="000233CA"/>
    <w:rsid w:val="00023436"/>
    <w:rsid w:val="0002351E"/>
    <w:rsid w:val="00023652"/>
    <w:rsid w:val="000236EE"/>
    <w:rsid w:val="00023731"/>
    <w:rsid w:val="00024633"/>
    <w:rsid w:val="0002469F"/>
    <w:rsid w:val="00024D61"/>
    <w:rsid w:val="0002535B"/>
    <w:rsid w:val="0002560A"/>
    <w:rsid w:val="00025B64"/>
    <w:rsid w:val="00025DA0"/>
    <w:rsid w:val="00026003"/>
    <w:rsid w:val="000262BC"/>
    <w:rsid w:val="0002696D"/>
    <w:rsid w:val="0002754D"/>
    <w:rsid w:val="00027666"/>
    <w:rsid w:val="000276B2"/>
    <w:rsid w:val="00027833"/>
    <w:rsid w:val="00027A1D"/>
    <w:rsid w:val="00027A46"/>
    <w:rsid w:val="00027AF3"/>
    <w:rsid w:val="00027C79"/>
    <w:rsid w:val="00030024"/>
    <w:rsid w:val="00030124"/>
    <w:rsid w:val="000302F0"/>
    <w:rsid w:val="000305FD"/>
    <w:rsid w:val="0003081E"/>
    <w:rsid w:val="0003084F"/>
    <w:rsid w:val="00030C2F"/>
    <w:rsid w:val="00031169"/>
    <w:rsid w:val="0003129D"/>
    <w:rsid w:val="00031692"/>
    <w:rsid w:val="00031757"/>
    <w:rsid w:val="00031B37"/>
    <w:rsid w:val="00031DDD"/>
    <w:rsid w:val="00031E69"/>
    <w:rsid w:val="00032686"/>
    <w:rsid w:val="0003274B"/>
    <w:rsid w:val="00032AD8"/>
    <w:rsid w:val="00032ADF"/>
    <w:rsid w:val="00032D8D"/>
    <w:rsid w:val="000331CC"/>
    <w:rsid w:val="0003322E"/>
    <w:rsid w:val="00033856"/>
    <w:rsid w:val="00033927"/>
    <w:rsid w:val="00034443"/>
    <w:rsid w:val="00034833"/>
    <w:rsid w:val="00034947"/>
    <w:rsid w:val="00034A89"/>
    <w:rsid w:val="000352BA"/>
    <w:rsid w:val="000357B7"/>
    <w:rsid w:val="00035840"/>
    <w:rsid w:val="00035844"/>
    <w:rsid w:val="00035A8D"/>
    <w:rsid w:val="00035C94"/>
    <w:rsid w:val="00035F2C"/>
    <w:rsid w:val="00035F8C"/>
    <w:rsid w:val="000360DB"/>
    <w:rsid w:val="00036107"/>
    <w:rsid w:val="0003613D"/>
    <w:rsid w:val="00036383"/>
    <w:rsid w:val="00036BAA"/>
    <w:rsid w:val="00036E33"/>
    <w:rsid w:val="00037101"/>
    <w:rsid w:val="00037C2D"/>
    <w:rsid w:val="00037C63"/>
    <w:rsid w:val="00037CE4"/>
    <w:rsid w:val="00037DB6"/>
    <w:rsid w:val="00037DD8"/>
    <w:rsid w:val="00037FD7"/>
    <w:rsid w:val="00040187"/>
    <w:rsid w:val="000401FD"/>
    <w:rsid w:val="0004079D"/>
    <w:rsid w:val="00040AC1"/>
    <w:rsid w:val="00040ED3"/>
    <w:rsid w:val="0004139C"/>
    <w:rsid w:val="000415E3"/>
    <w:rsid w:val="000418B1"/>
    <w:rsid w:val="00041C02"/>
    <w:rsid w:val="00042280"/>
    <w:rsid w:val="0004231D"/>
    <w:rsid w:val="000424AB"/>
    <w:rsid w:val="00042BF9"/>
    <w:rsid w:val="00042ED7"/>
    <w:rsid w:val="000431D3"/>
    <w:rsid w:val="00043295"/>
    <w:rsid w:val="0004377D"/>
    <w:rsid w:val="00043C71"/>
    <w:rsid w:val="00043FFA"/>
    <w:rsid w:val="00044236"/>
    <w:rsid w:val="00044578"/>
    <w:rsid w:val="00044990"/>
    <w:rsid w:val="00044A8C"/>
    <w:rsid w:val="00044AF1"/>
    <w:rsid w:val="00044D55"/>
    <w:rsid w:val="00045069"/>
    <w:rsid w:val="00045070"/>
    <w:rsid w:val="000450D9"/>
    <w:rsid w:val="000450F6"/>
    <w:rsid w:val="000451CD"/>
    <w:rsid w:val="000453FC"/>
    <w:rsid w:val="00045947"/>
    <w:rsid w:val="000459FB"/>
    <w:rsid w:val="000462A8"/>
    <w:rsid w:val="00046360"/>
    <w:rsid w:val="0004653D"/>
    <w:rsid w:val="000465AB"/>
    <w:rsid w:val="00046E59"/>
    <w:rsid w:val="000472E6"/>
    <w:rsid w:val="000479CD"/>
    <w:rsid w:val="000479FF"/>
    <w:rsid w:val="00047CF5"/>
    <w:rsid w:val="00047FDF"/>
    <w:rsid w:val="000500E6"/>
    <w:rsid w:val="000504FE"/>
    <w:rsid w:val="000513E2"/>
    <w:rsid w:val="00051C80"/>
    <w:rsid w:val="00051D87"/>
    <w:rsid w:val="00051F04"/>
    <w:rsid w:val="00052326"/>
    <w:rsid w:val="000529E7"/>
    <w:rsid w:val="00052DBE"/>
    <w:rsid w:val="00053175"/>
    <w:rsid w:val="000534EE"/>
    <w:rsid w:val="0005359C"/>
    <w:rsid w:val="00053628"/>
    <w:rsid w:val="0005387F"/>
    <w:rsid w:val="00053BFC"/>
    <w:rsid w:val="00053EED"/>
    <w:rsid w:val="0005428F"/>
    <w:rsid w:val="00054331"/>
    <w:rsid w:val="000544F4"/>
    <w:rsid w:val="000545D3"/>
    <w:rsid w:val="00054676"/>
    <w:rsid w:val="000547E4"/>
    <w:rsid w:val="00054870"/>
    <w:rsid w:val="00054AB0"/>
    <w:rsid w:val="00054ABD"/>
    <w:rsid w:val="00054CCC"/>
    <w:rsid w:val="00054D04"/>
    <w:rsid w:val="00054F7D"/>
    <w:rsid w:val="00055230"/>
    <w:rsid w:val="00055279"/>
    <w:rsid w:val="00055557"/>
    <w:rsid w:val="000555EA"/>
    <w:rsid w:val="00055945"/>
    <w:rsid w:val="00055A8A"/>
    <w:rsid w:val="00055AF4"/>
    <w:rsid w:val="00055E6D"/>
    <w:rsid w:val="00055FB0"/>
    <w:rsid w:val="0005625F"/>
    <w:rsid w:val="0005649E"/>
    <w:rsid w:val="0005682D"/>
    <w:rsid w:val="00056945"/>
    <w:rsid w:val="0005700C"/>
    <w:rsid w:val="00057393"/>
    <w:rsid w:val="00057988"/>
    <w:rsid w:val="00057E45"/>
    <w:rsid w:val="0006027F"/>
    <w:rsid w:val="00060523"/>
    <w:rsid w:val="000606B6"/>
    <w:rsid w:val="000609AC"/>
    <w:rsid w:val="0006122E"/>
    <w:rsid w:val="0006148A"/>
    <w:rsid w:val="000618AE"/>
    <w:rsid w:val="00062637"/>
    <w:rsid w:val="0006263C"/>
    <w:rsid w:val="00062653"/>
    <w:rsid w:val="00062949"/>
    <w:rsid w:val="000631AC"/>
    <w:rsid w:val="000631B7"/>
    <w:rsid w:val="000633DD"/>
    <w:rsid w:val="00063420"/>
    <w:rsid w:val="00063894"/>
    <w:rsid w:val="000639D4"/>
    <w:rsid w:val="00063B14"/>
    <w:rsid w:val="00063B29"/>
    <w:rsid w:val="0006408F"/>
    <w:rsid w:val="00064189"/>
    <w:rsid w:val="000642D1"/>
    <w:rsid w:val="000646CC"/>
    <w:rsid w:val="00064840"/>
    <w:rsid w:val="00064882"/>
    <w:rsid w:val="000648B7"/>
    <w:rsid w:val="00064A48"/>
    <w:rsid w:val="00064AEB"/>
    <w:rsid w:val="00064C80"/>
    <w:rsid w:val="00065429"/>
    <w:rsid w:val="00065587"/>
    <w:rsid w:val="000657C2"/>
    <w:rsid w:val="00065AB7"/>
    <w:rsid w:val="00065BFE"/>
    <w:rsid w:val="00065C40"/>
    <w:rsid w:val="00065D71"/>
    <w:rsid w:val="000666D4"/>
    <w:rsid w:val="000673D8"/>
    <w:rsid w:val="000673E7"/>
    <w:rsid w:val="00067DE7"/>
    <w:rsid w:val="00070106"/>
    <w:rsid w:val="0007014F"/>
    <w:rsid w:val="00070517"/>
    <w:rsid w:val="000706AC"/>
    <w:rsid w:val="00070950"/>
    <w:rsid w:val="000709D3"/>
    <w:rsid w:val="00070A7D"/>
    <w:rsid w:val="00070AAB"/>
    <w:rsid w:val="000712F8"/>
    <w:rsid w:val="00071A68"/>
    <w:rsid w:val="00071A6A"/>
    <w:rsid w:val="00071A8B"/>
    <w:rsid w:val="00071C95"/>
    <w:rsid w:val="0007240C"/>
    <w:rsid w:val="00072627"/>
    <w:rsid w:val="00072A95"/>
    <w:rsid w:val="00072AB4"/>
    <w:rsid w:val="00072CEC"/>
    <w:rsid w:val="0007368B"/>
    <w:rsid w:val="00073C3B"/>
    <w:rsid w:val="00074144"/>
    <w:rsid w:val="000744D4"/>
    <w:rsid w:val="000745E9"/>
    <w:rsid w:val="00074674"/>
    <w:rsid w:val="000747B7"/>
    <w:rsid w:val="00074923"/>
    <w:rsid w:val="00074EE8"/>
    <w:rsid w:val="00075092"/>
    <w:rsid w:val="000750EA"/>
    <w:rsid w:val="000750F3"/>
    <w:rsid w:val="0007539D"/>
    <w:rsid w:val="00075562"/>
    <w:rsid w:val="00075A8D"/>
    <w:rsid w:val="00076542"/>
    <w:rsid w:val="000770BC"/>
    <w:rsid w:val="00077359"/>
    <w:rsid w:val="000774F1"/>
    <w:rsid w:val="00077698"/>
    <w:rsid w:val="000777B1"/>
    <w:rsid w:val="00077891"/>
    <w:rsid w:val="0007797E"/>
    <w:rsid w:val="00077C1B"/>
    <w:rsid w:val="0008006B"/>
    <w:rsid w:val="0008017C"/>
    <w:rsid w:val="00080321"/>
    <w:rsid w:val="00080AA6"/>
    <w:rsid w:val="00080BE2"/>
    <w:rsid w:val="00080DA9"/>
    <w:rsid w:val="00080DF6"/>
    <w:rsid w:val="00081BF9"/>
    <w:rsid w:val="00081C1C"/>
    <w:rsid w:val="00081ECB"/>
    <w:rsid w:val="0008224F"/>
    <w:rsid w:val="000822F0"/>
    <w:rsid w:val="000824BD"/>
    <w:rsid w:val="00082611"/>
    <w:rsid w:val="00082617"/>
    <w:rsid w:val="0008264F"/>
    <w:rsid w:val="00082C85"/>
    <w:rsid w:val="0008304A"/>
    <w:rsid w:val="0008372E"/>
    <w:rsid w:val="00083A64"/>
    <w:rsid w:val="00083AC4"/>
    <w:rsid w:val="00083B97"/>
    <w:rsid w:val="000842B5"/>
    <w:rsid w:val="00085560"/>
    <w:rsid w:val="00085A86"/>
    <w:rsid w:val="00085E63"/>
    <w:rsid w:val="00086067"/>
    <w:rsid w:val="000866A9"/>
    <w:rsid w:val="00086975"/>
    <w:rsid w:val="00086EC2"/>
    <w:rsid w:val="000870C0"/>
    <w:rsid w:val="00087358"/>
    <w:rsid w:val="000873F5"/>
    <w:rsid w:val="000876C2"/>
    <w:rsid w:val="0008771A"/>
    <w:rsid w:val="00087736"/>
    <w:rsid w:val="00087B15"/>
    <w:rsid w:val="00087E2E"/>
    <w:rsid w:val="000900DF"/>
    <w:rsid w:val="00090193"/>
    <w:rsid w:val="0009021F"/>
    <w:rsid w:val="00090524"/>
    <w:rsid w:val="00090794"/>
    <w:rsid w:val="000907D1"/>
    <w:rsid w:val="00091332"/>
    <w:rsid w:val="0009134B"/>
    <w:rsid w:val="000919E1"/>
    <w:rsid w:val="00091AE8"/>
    <w:rsid w:val="00091D8D"/>
    <w:rsid w:val="00092F17"/>
    <w:rsid w:val="00093869"/>
    <w:rsid w:val="00093BC0"/>
    <w:rsid w:val="00093D1A"/>
    <w:rsid w:val="00093DF8"/>
    <w:rsid w:val="00093E53"/>
    <w:rsid w:val="000941F6"/>
    <w:rsid w:val="000942AF"/>
    <w:rsid w:val="0009454A"/>
    <w:rsid w:val="000945C5"/>
    <w:rsid w:val="00094ECF"/>
    <w:rsid w:val="00095092"/>
    <w:rsid w:val="000955B6"/>
    <w:rsid w:val="0009592E"/>
    <w:rsid w:val="00095AAF"/>
    <w:rsid w:val="00095B76"/>
    <w:rsid w:val="00095ECB"/>
    <w:rsid w:val="00096D28"/>
    <w:rsid w:val="0009715C"/>
    <w:rsid w:val="00097406"/>
    <w:rsid w:val="000975D5"/>
    <w:rsid w:val="00097D9D"/>
    <w:rsid w:val="00097F93"/>
    <w:rsid w:val="00097F98"/>
    <w:rsid w:val="00097FE0"/>
    <w:rsid w:val="000A062D"/>
    <w:rsid w:val="000A07F9"/>
    <w:rsid w:val="000A0A59"/>
    <w:rsid w:val="000A10DB"/>
    <w:rsid w:val="000A111D"/>
    <w:rsid w:val="000A117F"/>
    <w:rsid w:val="000A128A"/>
    <w:rsid w:val="000A147E"/>
    <w:rsid w:val="000A165F"/>
    <w:rsid w:val="000A21D0"/>
    <w:rsid w:val="000A262B"/>
    <w:rsid w:val="000A27A2"/>
    <w:rsid w:val="000A2960"/>
    <w:rsid w:val="000A2968"/>
    <w:rsid w:val="000A299E"/>
    <w:rsid w:val="000A2AE9"/>
    <w:rsid w:val="000A2C66"/>
    <w:rsid w:val="000A2D6D"/>
    <w:rsid w:val="000A2E12"/>
    <w:rsid w:val="000A2E97"/>
    <w:rsid w:val="000A32CC"/>
    <w:rsid w:val="000A3515"/>
    <w:rsid w:val="000A3518"/>
    <w:rsid w:val="000A3B53"/>
    <w:rsid w:val="000A4852"/>
    <w:rsid w:val="000A4ACE"/>
    <w:rsid w:val="000A4C12"/>
    <w:rsid w:val="000A509A"/>
    <w:rsid w:val="000A56E6"/>
    <w:rsid w:val="000A6C4D"/>
    <w:rsid w:val="000A6C54"/>
    <w:rsid w:val="000A6E22"/>
    <w:rsid w:val="000A6F1D"/>
    <w:rsid w:val="000A707B"/>
    <w:rsid w:val="000A70C7"/>
    <w:rsid w:val="000A7238"/>
    <w:rsid w:val="000A745D"/>
    <w:rsid w:val="000A78BB"/>
    <w:rsid w:val="000A791D"/>
    <w:rsid w:val="000A7931"/>
    <w:rsid w:val="000B034B"/>
    <w:rsid w:val="000B0720"/>
    <w:rsid w:val="000B08E4"/>
    <w:rsid w:val="000B09FE"/>
    <w:rsid w:val="000B0BB1"/>
    <w:rsid w:val="000B15EF"/>
    <w:rsid w:val="000B1F65"/>
    <w:rsid w:val="000B2185"/>
    <w:rsid w:val="000B23BA"/>
    <w:rsid w:val="000B2492"/>
    <w:rsid w:val="000B26D6"/>
    <w:rsid w:val="000B2D1E"/>
    <w:rsid w:val="000B316D"/>
    <w:rsid w:val="000B3194"/>
    <w:rsid w:val="000B3CFE"/>
    <w:rsid w:val="000B40B2"/>
    <w:rsid w:val="000B44CF"/>
    <w:rsid w:val="000B45B1"/>
    <w:rsid w:val="000B49F7"/>
    <w:rsid w:val="000B4EF3"/>
    <w:rsid w:val="000B51CB"/>
    <w:rsid w:val="000B554C"/>
    <w:rsid w:val="000B5D87"/>
    <w:rsid w:val="000B60C6"/>
    <w:rsid w:val="000B6115"/>
    <w:rsid w:val="000B68A5"/>
    <w:rsid w:val="000B6F18"/>
    <w:rsid w:val="000B70DB"/>
    <w:rsid w:val="000B71FC"/>
    <w:rsid w:val="000B76E7"/>
    <w:rsid w:val="000B797D"/>
    <w:rsid w:val="000B7AC2"/>
    <w:rsid w:val="000B7E6D"/>
    <w:rsid w:val="000B7F80"/>
    <w:rsid w:val="000C04DC"/>
    <w:rsid w:val="000C0869"/>
    <w:rsid w:val="000C099A"/>
    <w:rsid w:val="000C0A0F"/>
    <w:rsid w:val="000C0D4B"/>
    <w:rsid w:val="000C1322"/>
    <w:rsid w:val="000C1825"/>
    <w:rsid w:val="000C1979"/>
    <w:rsid w:val="000C19D0"/>
    <w:rsid w:val="000C1DBB"/>
    <w:rsid w:val="000C20B5"/>
    <w:rsid w:val="000C2508"/>
    <w:rsid w:val="000C270D"/>
    <w:rsid w:val="000C2AE8"/>
    <w:rsid w:val="000C2B1E"/>
    <w:rsid w:val="000C2C63"/>
    <w:rsid w:val="000C350A"/>
    <w:rsid w:val="000C3518"/>
    <w:rsid w:val="000C3762"/>
    <w:rsid w:val="000C41CD"/>
    <w:rsid w:val="000C4988"/>
    <w:rsid w:val="000C501B"/>
    <w:rsid w:val="000C5167"/>
    <w:rsid w:val="000C57DD"/>
    <w:rsid w:val="000C59D1"/>
    <w:rsid w:val="000C5C88"/>
    <w:rsid w:val="000C5E1C"/>
    <w:rsid w:val="000C6176"/>
    <w:rsid w:val="000C61B8"/>
    <w:rsid w:val="000C620D"/>
    <w:rsid w:val="000C64D1"/>
    <w:rsid w:val="000C655F"/>
    <w:rsid w:val="000C669B"/>
    <w:rsid w:val="000C66AB"/>
    <w:rsid w:val="000C6872"/>
    <w:rsid w:val="000C6DEA"/>
    <w:rsid w:val="000C7045"/>
    <w:rsid w:val="000C718C"/>
    <w:rsid w:val="000C71D4"/>
    <w:rsid w:val="000C7563"/>
    <w:rsid w:val="000C757A"/>
    <w:rsid w:val="000C77C4"/>
    <w:rsid w:val="000C7D9F"/>
    <w:rsid w:val="000D074C"/>
    <w:rsid w:val="000D0C28"/>
    <w:rsid w:val="000D0F0F"/>
    <w:rsid w:val="000D0F2E"/>
    <w:rsid w:val="000D1788"/>
    <w:rsid w:val="000D17CF"/>
    <w:rsid w:val="000D1ACF"/>
    <w:rsid w:val="000D1C4F"/>
    <w:rsid w:val="000D1D6C"/>
    <w:rsid w:val="000D2D0F"/>
    <w:rsid w:val="000D31CB"/>
    <w:rsid w:val="000D3ACA"/>
    <w:rsid w:val="000D3DCE"/>
    <w:rsid w:val="000D3E1B"/>
    <w:rsid w:val="000D3FBF"/>
    <w:rsid w:val="000D4061"/>
    <w:rsid w:val="000D44A4"/>
    <w:rsid w:val="000D47EF"/>
    <w:rsid w:val="000D4860"/>
    <w:rsid w:val="000D48FB"/>
    <w:rsid w:val="000D4933"/>
    <w:rsid w:val="000D4B4F"/>
    <w:rsid w:val="000D4E0B"/>
    <w:rsid w:val="000D4EC1"/>
    <w:rsid w:val="000D55FD"/>
    <w:rsid w:val="000D562F"/>
    <w:rsid w:val="000D56C7"/>
    <w:rsid w:val="000D672C"/>
    <w:rsid w:val="000D68F4"/>
    <w:rsid w:val="000D6A04"/>
    <w:rsid w:val="000D6A61"/>
    <w:rsid w:val="000D6B49"/>
    <w:rsid w:val="000D6C78"/>
    <w:rsid w:val="000D74B9"/>
    <w:rsid w:val="000D77A9"/>
    <w:rsid w:val="000E01DF"/>
    <w:rsid w:val="000E071A"/>
    <w:rsid w:val="000E1094"/>
    <w:rsid w:val="000E129F"/>
    <w:rsid w:val="000E1838"/>
    <w:rsid w:val="000E18A1"/>
    <w:rsid w:val="000E19D1"/>
    <w:rsid w:val="000E1AC3"/>
    <w:rsid w:val="000E1C04"/>
    <w:rsid w:val="000E20DA"/>
    <w:rsid w:val="000E29CF"/>
    <w:rsid w:val="000E2AD1"/>
    <w:rsid w:val="000E2AD8"/>
    <w:rsid w:val="000E2C47"/>
    <w:rsid w:val="000E2F86"/>
    <w:rsid w:val="000E3D2F"/>
    <w:rsid w:val="000E42EF"/>
    <w:rsid w:val="000E4712"/>
    <w:rsid w:val="000E4723"/>
    <w:rsid w:val="000E4757"/>
    <w:rsid w:val="000E4A4B"/>
    <w:rsid w:val="000E4F47"/>
    <w:rsid w:val="000E508E"/>
    <w:rsid w:val="000E565C"/>
    <w:rsid w:val="000E575A"/>
    <w:rsid w:val="000E612C"/>
    <w:rsid w:val="000E6372"/>
    <w:rsid w:val="000E6C14"/>
    <w:rsid w:val="000E6D38"/>
    <w:rsid w:val="000E6D94"/>
    <w:rsid w:val="000E72E7"/>
    <w:rsid w:val="000E72F6"/>
    <w:rsid w:val="000E7533"/>
    <w:rsid w:val="000E75B3"/>
    <w:rsid w:val="000E75D1"/>
    <w:rsid w:val="000E7C51"/>
    <w:rsid w:val="000E7CC8"/>
    <w:rsid w:val="000F0524"/>
    <w:rsid w:val="000F0608"/>
    <w:rsid w:val="000F0D10"/>
    <w:rsid w:val="000F0DEF"/>
    <w:rsid w:val="000F0E1D"/>
    <w:rsid w:val="000F12E7"/>
    <w:rsid w:val="000F1617"/>
    <w:rsid w:val="000F18D8"/>
    <w:rsid w:val="000F1AF3"/>
    <w:rsid w:val="000F1B78"/>
    <w:rsid w:val="000F1F51"/>
    <w:rsid w:val="000F1FB0"/>
    <w:rsid w:val="000F2181"/>
    <w:rsid w:val="000F238F"/>
    <w:rsid w:val="000F24AC"/>
    <w:rsid w:val="000F253C"/>
    <w:rsid w:val="000F28A5"/>
    <w:rsid w:val="000F2943"/>
    <w:rsid w:val="000F2E97"/>
    <w:rsid w:val="000F2F22"/>
    <w:rsid w:val="000F2F60"/>
    <w:rsid w:val="000F3461"/>
    <w:rsid w:val="000F38FC"/>
    <w:rsid w:val="000F40BA"/>
    <w:rsid w:val="000F4486"/>
    <w:rsid w:val="000F4B3A"/>
    <w:rsid w:val="000F4B82"/>
    <w:rsid w:val="000F500A"/>
    <w:rsid w:val="000F506D"/>
    <w:rsid w:val="000F5331"/>
    <w:rsid w:val="000F55C9"/>
    <w:rsid w:val="000F5CAA"/>
    <w:rsid w:val="000F60C1"/>
    <w:rsid w:val="000F6242"/>
    <w:rsid w:val="000F666F"/>
    <w:rsid w:val="000F6CFE"/>
    <w:rsid w:val="000F6F32"/>
    <w:rsid w:val="000F70DA"/>
    <w:rsid w:val="000F75A8"/>
    <w:rsid w:val="000F76E0"/>
    <w:rsid w:val="000F77B5"/>
    <w:rsid w:val="000F78FB"/>
    <w:rsid w:val="000F79FD"/>
    <w:rsid w:val="00100331"/>
    <w:rsid w:val="00101255"/>
    <w:rsid w:val="001014D2"/>
    <w:rsid w:val="001014F7"/>
    <w:rsid w:val="001016BB"/>
    <w:rsid w:val="001018E0"/>
    <w:rsid w:val="00101989"/>
    <w:rsid w:val="00101A37"/>
    <w:rsid w:val="0010251A"/>
    <w:rsid w:val="00102768"/>
    <w:rsid w:val="00102BC3"/>
    <w:rsid w:val="00102EF2"/>
    <w:rsid w:val="00103458"/>
    <w:rsid w:val="001037BD"/>
    <w:rsid w:val="00103BA3"/>
    <w:rsid w:val="0010425A"/>
    <w:rsid w:val="001047CB"/>
    <w:rsid w:val="00104AFF"/>
    <w:rsid w:val="00104E14"/>
    <w:rsid w:val="0010520D"/>
    <w:rsid w:val="001053EE"/>
    <w:rsid w:val="00105629"/>
    <w:rsid w:val="0010574F"/>
    <w:rsid w:val="00105863"/>
    <w:rsid w:val="0010590B"/>
    <w:rsid w:val="00105996"/>
    <w:rsid w:val="001059FC"/>
    <w:rsid w:val="00105A06"/>
    <w:rsid w:val="00105CCB"/>
    <w:rsid w:val="00105F3E"/>
    <w:rsid w:val="00106050"/>
    <w:rsid w:val="00106171"/>
    <w:rsid w:val="001061C3"/>
    <w:rsid w:val="0010624A"/>
    <w:rsid w:val="001066F6"/>
    <w:rsid w:val="00106DC3"/>
    <w:rsid w:val="00107889"/>
    <w:rsid w:val="001078F4"/>
    <w:rsid w:val="001101C7"/>
    <w:rsid w:val="001105FF"/>
    <w:rsid w:val="00110638"/>
    <w:rsid w:val="00110744"/>
    <w:rsid w:val="00110797"/>
    <w:rsid w:val="00110BFA"/>
    <w:rsid w:val="00110E04"/>
    <w:rsid w:val="00111062"/>
    <w:rsid w:val="0011170E"/>
    <w:rsid w:val="00111849"/>
    <w:rsid w:val="00111A34"/>
    <w:rsid w:val="00111ECD"/>
    <w:rsid w:val="001121DD"/>
    <w:rsid w:val="00112340"/>
    <w:rsid w:val="00112D31"/>
    <w:rsid w:val="00112DBF"/>
    <w:rsid w:val="00113646"/>
    <w:rsid w:val="0011371D"/>
    <w:rsid w:val="001137BE"/>
    <w:rsid w:val="00113A1E"/>
    <w:rsid w:val="00113CD1"/>
    <w:rsid w:val="00113FAA"/>
    <w:rsid w:val="00114359"/>
    <w:rsid w:val="0011487E"/>
    <w:rsid w:val="0011492A"/>
    <w:rsid w:val="00115093"/>
    <w:rsid w:val="00115417"/>
    <w:rsid w:val="00115757"/>
    <w:rsid w:val="00115825"/>
    <w:rsid w:val="00115960"/>
    <w:rsid w:val="001161CA"/>
    <w:rsid w:val="00116258"/>
    <w:rsid w:val="00116494"/>
    <w:rsid w:val="00116529"/>
    <w:rsid w:val="001166D3"/>
    <w:rsid w:val="001167AE"/>
    <w:rsid w:val="001167C6"/>
    <w:rsid w:val="00116BE3"/>
    <w:rsid w:val="001170F8"/>
    <w:rsid w:val="00117A39"/>
    <w:rsid w:val="001202C5"/>
    <w:rsid w:val="0012077F"/>
    <w:rsid w:val="00120813"/>
    <w:rsid w:val="0012099E"/>
    <w:rsid w:val="00120CE3"/>
    <w:rsid w:val="00120E60"/>
    <w:rsid w:val="0012130E"/>
    <w:rsid w:val="001213B0"/>
    <w:rsid w:val="00121741"/>
    <w:rsid w:val="001217BA"/>
    <w:rsid w:val="00121832"/>
    <w:rsid w:val="00122050"/>
    <w:rsid w:val="00122232"/>
    <w:rsid w:val="0012235C"/>
    <w:rsid w:val="00122857"/>
    <w:rsid w:val="001229E1"/>
    <w:rsid w:val="00122A75"/>
    <w:rsid w:val="00122E8B"/>
    <w:rsid w:val="00123529"/>
    <w:rsid w:val="0012388E"/>
    <w:rsid w:val="00123DA5"/>
    <w:rsid w:val="00123E7A"/>
    <w:rsid w:val="001241D1"/>
    <w:rsid w:val="00124271"/>
    <w:rsid w:val="00124457"/>
    <w:rsid w:val="00124669"/>
    <w:rsid w:val="0012466D"/>
    <w:rsid w:val="00124985"/>
    <w:rsid w:val="00124DA6"/>
    <w:rsid w:val="00125609"/>
    <w:rsid w:val="001257A9"/>
    <w:rsid w:val="00125CB3"/>
    <w:rsid w:val="00125D8A"/>
    <w:rsid w:val="001260EE"/>
    <w:rsid w:val="00126655"/>
    <w:rsid w:val="00126707"/>
    <w:rsid w:val="0012679D"/>
    <w:rsid w:val="001269E0"/>
    <w:rsid w:val="00126A92"/>
    <w:rsid w:val="00126F2B"/>
    <w:rsid w:val="00126FC8"/>
    <w:rsid w:val="001270F4"/>
    <w:rsid w:val="001274D7"/>
    <w:rsid w:val="00127514"/>
    <w:rsid w:val="001279A3"/>
    <w:rsid w:val="00127B28"/>
    <w:rsid w:val="00127BB4"/>
    <w:rsid w:val="00130992"/>
    <w:rsid w:val="00130D0F"/>
    <w:rsid w:val="00130D23"/>
    <w:rsid w:val="001311C9"/>
    <w:rsid w:val="001312E1"/>
    <w:rsid w:val="00131335"/>
    <w:rsid w:val="00131627"/>
    <w:rsid w:val="001318CD"/>
    <w:rsid w:val="0013190A"/>
    <w:rsid w:val="00131955"/>
    <w:rsid w:val="00131C94"/>
    <w:rsid w:val="00131DE6"/>
    <w:rsid w:val="001321CA"/>
    <w:rsid w:val="001323E6"/>
    <w:rsid w:val="001326D3"/>
    <w:rsid w:val="001326DF"/>
    <w:rsid w:val="00132848"/>
    <w:rsid w:val="001329EC"/>
    <w:rsid w:val="00132A53"/>
    <w:rsid w:val="00132A5F"/>
    <w:rsid w:val="00132AD8"/>
    <w:rsid w:val="00132CCE"/>
    <w:rsid w:val="00133BBE"/>
    <w:rsid w:val="00133D01"/>
    <w:rsid w:val="001342A2"/>
    <w:rsid w:val="00134510"/>
    <w:rsid w:val="00134DD2"/>
    <w:rsid w:val="001358D6"/>
    <w:rsid w:val="00135FDA"/>
    <w:rsid w:val="00136073"/>
    <w:rsid w:val="00136198"/>
    <w:rsid w:val="001361F7"/>
    <w:rsid w:val="00136606"/>
    <w:rsid w:val="0013663C"/>
    <w:rsid w:val="001367BA"/>
    <w:rsid w:val="00136806"/>
    <w:rsid w:val="001369A6"/>
    <w:rsid w:val="00136BD6"/>
    <w:rsid w:val="00136BF1"/>
    <w:rsid w:val="00136DBC"/>
    <w:rsid w:val="00136F77"/>
    <w:rsid w:val="001370A8"/>
    <w:rsid w:val="00137507"/>
    <w:rsid w:val="00137856"/>
    <w:rsid w:val="00137966"/>
    <w:rsid w:val="00137B4E"/>
    <w:rsid w:val="00137BD3"/>
    <w:rsid w:val="00137BD8"/>
    <w:rsid w:val="00137CFE"/>
    <w:rsid w:val="00140291"/>
    <w:rsid w:val="00140866"/>
    <w:rsid w:val="00140D22"/>
    <w:rsid w:val="0014226B"/>
    <w:rsid w:val="0014229D"/>
    <w:rsid w:val="001422BC"/>
    <w:rsid w:val="001422D4"/>
    <w:rsid w:val="0014235F"/>
    <w:rsid w:val="0014236F"/>
    <w:rsid w:val="00142705"/>
    <w:rsid w:val="00142853"/>
    <w:rsid w:val="001428FA"/>
    <w:rsid w:val="00142A87"/>
    <w:rsid w:val="00142C3F"/>
    <w:rsid w:val="001433C6"/>
    <w:rsid w:val="00143A59"/>
    <w:rsid w:val="00143B30"/>
    <w:rsid w:val="00143B37"/>
    <w:rsid w:val="00143B9F"/>
    <w:rsid w:val="0014427F"/>
    <w:rsid w:val="001442C2"/>
    <w:rsid w:val="001449E1"/>
    <w:rsid w:val="00144D5F"/>
    <w:rsid w:val="00144DD9"/>
    <w:rsid w:val="001455BA"/>
    <w:rsid w:val="00145DDE"/>
    <w:rsid w:val="00145F78"/>
    <w:rsid w:val="0014621F"/>
    <w:rsid w:val="0014647C"/>
    <w:rsid w:val="00146907"/>
    <w:rsid w:val="00146E85"/>
    <w:rsid w:val="00147916"/>
    <w:rsid w:val="0014795D"/>
    <w:rsid w:val="001479AA"/>
    <w:rsid w:val="00147F00"/>
    <w:rsid w:val="00150146"/>
    <w:rsid w:val="001502FF"/>
    <w:rsid w:val="00150536"/>
    <w:rsid w:val="00150564"/>
    <w:rsid w:val="001506A7"/>
    <w:rsid w:val="0015087C"/>
    <w:rsid w:val="00150882"/>
    <w:rsid w:val="00150A4A"/>
    <w:rsid w:val="00150D1D"/>
    <w:rsid w:val="00150FCC"/>
    <w:rsid w:val="00150FFB"/>
    <w:rsid w:val="00151671"/>
    <w:rsid w:val="001518B5"/>
    <w:rsid w:val="00151BBA"/>
    <w:rsid w:val="00151BDE"/>
    <w:rsid w:val="00151DC1"/>
    <w:rsid w:val="0015252D"/>
    <w:rsid w:val="00152656"/>
    <w:rsid w:val="00152C00"/>
    <w:rsid w:val="00152C2B"/>
    <w:rsid w:val="00152E98"/>
    <w:rsid w:val="00153084"/>
    <w:rsid w:val="00153A54"/>
    <w:rsid w:val="00153B4B"/>
    <w:rsid w:val="00154072"/>
    <w:rsid w:val="00154264"/>
    <w:rsid w:val="00154304"/>
    <w:rsid w:val="00154493"/>
    <w:rsid w:val="001544EE"/>
    <w:rsid w:val="001546EA"/>
    <w:rsid w:val="0015477A"/>
    <w:rsid w:val="00154902"/>
    <w:rsid w:val="00154913"/>
    <w:rsid w:val="00154951"/>
    <w:rsid w:val="001549E4"/>
    <w:rsid w:val="00154BA6"/>
    <w:rsid w:val="00154F0A"/>
    <w:rsid w:val="001551DA"/>
    <w:rsid w:val="001552AE"/>
    <w:rsid w:val="001559DA"/>
    <w:rsid w:val="00156891"/>
    <w:rsid w:val="00156BA3"/>
    <w:rsid w:val="00157320"/>
    <w:rsid w:val="001579B9"/>
    <w:rsid w:val="001602EB"/>
    <w:rsid w:val="0016080B"/>
    <w:rsid w:val="00160853"/>
    <w:rsid w:val="00160D29"/>
    <w:rsid w:val="00160F65"/>
    <w:rsid w:val="001610EB"/>
    <w:rsid w:val="00161216"/>
    <w:rsid w:val="001614D4"/>
    <w:rsid w:val="00161BB8"/>
    <w:rsid w:val="00161C1F"/>
    <w:rsid w:val="00161C2F"/>
    <w:rsid w:val="00161F11"/>
    <w:rsid w:val="001620B6"/>
    <w:rsid w:val="001622BA"/>
    <w:rsid w:val="00162664"/>
    <w:rsid w:val="00162C60"/>
    <w:rsid w:val="00163194"/>
    <w:rsid w:val="00163499"/>
    <w:rsid w:val="001634CD"/>
    <w:rsid w:val="001638DF"/>
    <w:rsid w:val="001639B6"/>
    <w:rsid w:val="00163DB9"/>
    <w:rsid w:val="00163DD8"/>
    <w:rsid w:val="00163EC3"/>
    <w:rsid w:val="001643DB"/>
    <w:rsid w:val="00164F8F"/>
    <w:rsid w:val="00165130"/>
    <w:rsid w:val="0016529F"/>
    <w:rsid w:val="00165645"/>
    <w:rsid w:val="001658F5"/>
    <w:rsid w:val="00165C1E"/>
    <w:rsid w:val="00165F38"/>
    <w:rsid w:val="001661B8"/>
    <w:rsid w:val="00166237"/>
    <w:rsid w:val="00166385"/>
    <w:rsid w:val="0016644D"/>
    <w:rsid w:val="0016655F"/>
    <w:rsid w:val="00166656"/>
    <w:rsid w:val="001666AA"/>
    <w:rsid w:val="00166EE6"/>
    <w:rsid w:val="001672AF"/>
    <w:rsid w:val="00167454"/>
    <w:rsid w:val="00167460"/>
    <w:rsid w:val="00167517"/>
    <w:rsid w:val="0016764C"/>
    <w:rsid w:val="00170307"/>
    <w:rsid w:val="00170377"/>
    <w:rsid w:val="001706B2"/>
    <w:rsid w:val="00170A14"/>
    <w:rsid w:val="00170B33"/>
    <w:rsid w:val="00170B4C"/>
    <w:rsid w:val="00170F8B"/>
    <w:rsid w:val="00171014"/>
    <w:rsid w:val="0017112B"/>
    <w:rsid w:val="0017113C"/>
    <w:rsid w:val="00171185"/>
    <w:rsid w:val="00171C71"/>
    <w:rsid w:val="00172202"/>
    <w:rsid w:val="001726CF"/>
    <w:rsid w:val="00172A27"/>
    <w:rsid w:val="00172A39"/>
    <w:rsid w:val="00172BAF"/>
    <w:rsid w:val="00172D05"/>
    <w:rsid w:val="00172EC0"/>
    <w:rsid w:val="00173191"/>
    <w:rsid w:val="0017339D"/>
    <w:rsid w:val="00173686"/>
    <w:rsid w:val="001737FE"/>
    <w:rsid w:val="00173E1F"/>
    <w:rsid w:val="00173F0C"/>
    <w:rsid w:val="0017426E"/>
    <w:rsid w:val="00174691"/>
    <w:rsid w:val="00175014"/>
    <w:rsid w:val="001751EE"/>
    <w:rsid w:val="001753D1"/>
    <w:rsid w:val="00175B11"/>
    <w:rsid w:val="00175B5B"/>
    <w:rsid w:val="00175F46"/>
    <w:rsid w:val="00176AFA"/>
    <w:rsid w:val="00176B0A"/>
    <w:rsid w:val="00176C25"/>
    <w:rsid w:val="00176D15"/>
    <w:rsid w:val="00176E50"/>
    <w:rsid w:val="0017723E"/>
    <w:rsid w:val="001775DA"/>
    <w:rsid w:val="00177935"/>
    <w:rsid w:val="00177AD0"/>
    <w:rsid w:val="00177B95"/>
    <w:rsid w:val="00180510"/>
    <w:rsid w:val="001807EF"/>
    <w:rsid w:val="00180952"/>
    <w:rsid w:val="0018095E"/>
    <w:rsid w:val="00181019"/>
    <w:rsid w:val="001810ED"/>
    <w:rsid w:val="00181135"/>
    <w:rsid w:val="00181394"/>
    <w:rsid w:val="001813A3"/>
    <w:rsid w:val="001816A8"/>
    <w:rsid w:val="00181C0B"/>
    <w:rsid w:val="00181EF7"/>
    <w:rsid w:val="00181F74"/>
    <w:rsid w:val="001820BF"/>
    <w:rsid w:val="00182382"/>
    <w:rsid w:val="0018274C"/>
    <w:rsid w:val="00182DEB"/>
    <w:rsid w:val="00182DF8"/>
    <w:rsid w:val="00182F66"/>
    <w:rsid w:val="0018315F"/>
    <w:rsid w:val="00183672"/>
    <w:rsid w:val="00183DA3"/>
    <w:rsid w:val="0018495A"/>
    <w:rsid w:val="0018502B"/>
    <w:rsid w:val="0018578E"/>
    <w:rsid w:val="00185DC9"/>
    <w:rsid w:val="00186403"/>
    <w:rsid w:val="00186455"/>
    <w:rsid w:val="00186B76"/>
    <w:rsid w:val="00186C91"/>
    <w:rsid w:val="00186DC9"/>
    <w:rsid w:val="0018707E"/>
    <w:rsid w:val="001872C9"/>
    <w:rsid w:val="0018776D"/>
    <w:rsid w:val="00187892"/>
    <w:rsid w:val="00187DFB"/>
    <w:rsid w:val="00190463"/>
    <w:rsid w:val="00191435"/>
    <w:rsid w:val="00191C69"/>
    <w:rsid w:val="00191F33"/>
    <w:rsid w:val="00192213"/>
    <w:rsid w:val="001927A2"/>
    <w:rsid w:val="00192BD1"/>
    <w:rsid w:val="00192FED"/>
    <w:rsid w:val="00192FF5"/>
    <w:rsid w:val="0019302D"/>
    <w:rsid w:val="0019335B"/>
    <w:rsid w:val="001938DB"/>
    <w:rsid w:val="00193DB1"/>
    <w:rsid w:val="00193EBE"/>
    <w:rsid w:val="001940F4"/>
    <w:rsid w:val="0019423A"/>
    <w:rsid w:val="00194277"/>
    <w:rsid w:val="001945BB"/>
    <w:rsid w:val="0019473A"/>
    <w:rsid w:val="00194FA4"/>
    <w:rsid w:val="00195203"/>
    <w:rsid w:val="00195234"/>
    <w:rsid w:val="00195384"/>
    <w:rsid w:val="0019557A"/>
    <w:rsid w:val="00195648"/>
    <w:rsid w:val="001959DC"/>
    <w:rsid w:val="00195A29"/>
    <w:rsid w:val="00195F44"/>
    <w:rsid w:val="00195FB5"/>
    <w:rsid w:val="00195FC6"/>
    <w:rsid w:val="00196019"/>
    <w:rsid w:val="001963F9"/>
    <w:rsid w:val="00196B1D"/>
    <w:rsid w:val="00196C83"/>
    <w:rsid w:val="00196E92"/>
    <w:rsid w:val="001972D7"/>
    <w:rsid w:val="00197AAA"/>
    <w:rsid w:val="00197C3A"/>
    <w:rsid w:val="00197FDE"/>
    <w:rsid w:val="001A0298"/>
    <w:rsid w:val="001A03EA"/>
    <w:rsid w:val="001A0896"/>
    <w:rsid w:val="001A0BA5"/>
    <w:rsid w:val="001A0F1F"/>
    <w:rsid w:val="001A0F97"/>
    <w:rsid w:val="001A0FF1"/>
    <w:rsid w:val="001A11A2"/>
    <w:rsid w:val="001A172F"/>
    <w:rsid w:val="001A1D22"/>
    <w:rsid w:val="001A2185"/>
    <w:rsid w:val="001A2679"/>
    <w:rsid w:val="001A315B"/>
    <w:rsid w:val="001A334F"/>
    <w:rsid w:val="001A3856"/>
    <w:rsid w:val="001A3954"/>
    <w:rsid w:val="001A3F6D"/>
    <w:rsid w:val="001A4126"/>
    <w:rsid w:val="001A4C94"/>
    <w:rsid w:val="001A4D77"/>
    <w:rsid w:val="001A4F40"/>
    <w:rsid w:val="001A5233"/>
    <w:rsid w:val="001A564C"/>
    <w:rsid w:val="001A56FD"/>
    <w:rsid w:val="001A57C8"/>
    <w:rsid w:val="001A5923"/>
    <w:rsid w:val="001A5AAB"/>
    <w:rsid w:val="001A5DA1"/>
    <w:rsid w:val="001A66E5"/>
    <w:rsid w:val="001A6A4C"/>
    <w:rsid w:val="001A7328"/>
    <w:rsid w:val="001A775C"/>
    <w:rsid w:val="001A7CA4"/>
    <w:rsid w:val="001A7CBA"/>
    <w:rsid w:val="001B0DF5"/>
    <w:rsid w:val="001B16E6"/>
    <w:rsid w:val="001B1736"/>
    <w:rsid w:val="001B1AE6"/>
    <w:rsid w:val="001B1CC8"/>
    <w:rsid w:val="001B1F0B"/>
    <w:rsid w:val="001B201D"/>
    <w:rsid w:val="001B2576"/>
    <w:rsid w:val="001B2E4E"/>
    <w:rsid w:val="001B32D3"/>
    <w:rsid w:val="001B32E4"/>
    <w:rsid w:val="001B3778"/>
    <w:rsid w:val="001B3783"/>
    <w:rsid w:val="001B3CB6"/>
    <w:rsid w:val="001B3E30"/>
    <w:rsid w:val="001B43A2"/>
    <w:rsid w:val="001B4634"/>
    <w:rsid w:val="001B4D03"/>
    <w:rsid w:val="001B4ED3"/>
    <w:rsid w:val="001B5091"/>
    <w:rsid w:val="001B50CC"/>
    <w:rsid w:val="001B5355"/>
    <w:rsid w:val="001B5426"/>
    <w:rsid w:val="001B593D"/>
    <w:rsid w:val="001B5D57"/>
    <w:rsid w:val="001B5D62"/>
    <w:rsid w:val="001B6049"/>
    <w:rsid w:val="001B60D4"/>
    <w:rsid w:val="001B618E"/>
    <w:rsid w:val="001B6482"/>
    <w:rsid w:val="001B6B01"/>
    <w:rsid w:val="001B6F4A"/>
    <w:rsid w:val="001B7014"/>
    <w:rsid w:val="001B739D"/>
    <w:rsid w:val="001B7432"/>
    <w:rsid w:val="001B7474"/>
    <w:rsid w:val="001B7C32"/>
    <w:rsid w:val="001B7CBF"/>
    <w:rsid w:val="001B7E06"/>
    <w:rsid w:val="001C0476"/>
    <w:rsid w:val="001C0846"/>
    <w:rsid w:val="001C0FCB"/>
    <w:rsid w:val="001C12CB"/>
    <w:rsid w:val="001C148A"/>
    <w:rsid w:val="001C15DB"/>
    <w:rsid w:val="001C16C8"/>
    <w:rsid w:val="001C17AC"/>
    <w:rsid w:val="001C1814"/>
    <w:rsid w:val="001C1B36"/>
    <w:rsid w:val="001C1F01"/>
    <w:rsid w:val="001C2831"/>
    <w:rsid w:val="001C31AC"/>
    <w:rsid w:val="001C320C"/>
    <w:rsid w:val="001C32D4"/>
    <w:rsid w:val="001C3BCE"/>
    <w:rsid w:val="001C3D5E"/>
    <w:rsid w:val="001C3D80"/>
    <w:rsid w:val="001C4222"/>
    <w:rsid w:val="001C4361"/>
    <w:rsid w:val="001C4AA8"/>
    <w:rsid w:val="001C4C81"/>
    <w:rsid w:val="001C51A3"/>
    <w:rsid w:val="001C5358"/>
    <w:rsid w:val="001C56D1"/>
    <w:rsid w:val="001C5A59"/>
    <w:rsid w:val="001C5E59"/>
    <w:rsid w:val="001C606C"/>
    <w:rsid w:val="001C61E9"/>
    <w:rsid w:val="001C67E7"/>
    <w:rsid w:val="001C6F0D"/>
    <w:rsid w:val="001C7325"/>
    <w:rsid w:val="001C7702"/>
    <w:rsid w:val="001C7A8C"/>
    <w:rsid w:val="001C7DF6"/>
    <w:rsid w:val="001C7F79"/>
    <w:rsid w:val="001C7FBB"/>
    <w:rsid w:val="001D0774"/>
    <w:rsid w:val="001D0AF1"/>
    <w:rsid w:val="001D0B07"/>
    <w:rsid w:val="001D0D82"/>
    <w:rsid w:val="001D0F05"/>
    <w:rsid w:val="001D1136"/>
    <w:rsid w:val="001D13E6"/>
    <w:rsid w:val="001D151F"/>
    <w:rsid w:val="001D15D9"/>
    <w:rsid w:val="001D1912"/>
    <w:rsid w:val="001D1DD7"/>
    <w:rsid w:val="001D1EC2"/>
    <w:rsid w:val="001D215D"/>
    <w:rsid w:val="001D21CD"/>
    <w:rsid w:val="001D23EF"/>
    <w:rsid w:val="001D2608"/>
    <w:rsid w:val="001D273D"/>
    <w:rsid w:val="001D285A"/>
    <w:rsid w:val="001D2A03"/>
    <w:rsid w:val="001D2E8F"/>
    <w:rsid w:val="001D3534"/>
    <w:rsid w:val="001D3652"/>
    <w:rsid w:val="001D4607"/>
    <w:rsid w:val="001D49FD"/>
    <w:rsid w:val="001D4EB1"/>
    <w:rsid w:val="001D5354"/>
    <w:rsid w:val="001D537F"/>
    <w:rsid w:val="001D565B"/>
    <w:rsid w:val="001D592E"/>
    <w:rsid w:val="001D6B8D"/>
    <w:rsid w:val="001D6D80"/>
    <w:rsid w:val="001D723E"/>
    <w:rsid w:val="001D75E1"/>
    <w:rsid w:val="001D7681"/>
    <w:rsid w:val="001D7CDE"/>
    <w:rsid w:val="001E0531"/>
    <w:rsid w:val="001E131D"/>
    <w:rsid w:val="001E15B4"/>
    <w:rsid w:val="001E1FA3"/>
    <w:rsid w:val="001E21AC"/>
    <w:rsid w:val="001E24A4"/>
    <w:rsid w:val="001E2756"/>
    <w:rsid w:val="001E28CC"/>
    <w:rsid w:val="001E28E4"/>
    <w:rsid w:val="001E290A"/>
    <w:rsid w:val="001E2DA9"/>
    <w:rsid w:val="001E317A"/>
    <w:rsid w:val="001E31A6"/>
    <w:rsid w:val="001E321D"/>
    <w:rsid w:val="001E327A"/>
    <w:rsid w:val="001E3315"/>
    <w:rsid w:val="001E33D6"/>
    <w:rsid w:val="001E38B1"/>
    <w:rsid w:val="001E3A2B"/>
    <w:rsid w:val="001E4004"/>
    <w:rsid w:val="001E4100"/>
    <w:rsid w:val="001E478C"/>
    <w:rsid w:val="001E47D9"/>
    <w:rsid w:val="001E4C00"/>
    <w:rsid w:val="001E4D12"/>
    <w:rsid w:val="001E4D56"/>
    <w:rsid w:val="001E4DB4"/>
    <w:rsid w:val="001E532C"/>
    <w:rsid w:val="001E5559"/>
    <w:rsid w:val="001E5BBC"/>
    <w:rsid w:val="001E5F00"/>
    <w:rsid w:val="001E62C7"/>
    <w:rsid w:val="001E6542"/>
    <w:rsid w:val="001E6685"/>
    <w:rsid w:val="001E66CC"/>
    <w:rsid w:val="001E6976"/>
    <w:rsid w:val="001E69FA"/>
    <w:rsid w:val="001E72E0"/>
    <w:rsid w:val="001E7739"/>
    <w:rsid w:val="001E7AB5"/>
    <w:rsid w:val="001E7B04"/>
    <w:rsid w:val="001F0064"/>
    <w:rsid w:val="001F03DE"/>
    <w:rsid w:val="001F0D9E"/>
    <w:rsid w:val="001F16DF"/>
    <w:rsid w:val="001F193B"/>
    <w:rsid w:val="001F1960"/>
    <w:rsid w:val="001F1FBA"/>
    <w:rsid w:val="001F2022"/>
    <w:rsid w:val="001F2202"/>
    <w:rsid w:val="001F2C58"/>
    <w:rsid w:val="001F3066"/>
    <w:rsid w:val="001F327B"/>
    <w:rsid w:val="001F32DA"/>
    <w:rsid w:val="001F3DAE"/>
    <w:rsid w:val="001F4A98"/>
    <w:rsid w:val="001F4C8F"/>
    <w:rsid w:val="001F4F82"/>
    <w:rsid w:val="001F6159"/>
    <w:rsid w:val="001F6680"/>
    <w:rsid w:val="001F6947"/>
    <w:rsid w:val="001F6C51"/>
    <w:rsid w:val="001F6DC6"/>
    <w:rsid w:val="001F6FB6"/>
    <w:rsid w:val="001F736C"/>
    <w:rsid w:val="001F740D"/>
    <w:rsid w:val="001F7432"/>
    <w:rsid w:val="001F792F"/>
    <w:rsid w:val="001F7AC9"/>
    <w:rsid w:val="001F7B9E"/>
    <w:rsid w:val="001F7BE1"/>
    <w:rsid w:val="001F7C97"/>
    <w:rsid w:val="00200A84"/>
    <w:rsid w:val="00200A89"/>
    <w:rsid w:val="00200C40"/>
    <w:rsid w:val="00200D7D"/>
    <w:rsid w:val="00201213"/>
    <w:rsid w:val="00201229"/>
    <w:rsid w:val="002013AF"/>
    <w:rsid w:val="002014F7"/>
    <w:rsid w:val="0020175B"/>
    <w:rsid w:val="00201C9F"/>
    <w:rsid w:val="00202359"/>
    <w:rsid w:val="002023BE"/>
    <w:rsid w:val="0020248C"/>
    <w:rsid w:val="00202576"/>
    <w:rsid w:val="00202583"/>
    <w:rsid w:val="0020269C"/>
    <w:rsid w:val="00202B50"/>
    <w:rsid w:val="00202E5D"/>
    <w:rsid w:val="00202EF9"/>
    <w:rsid w:val="00203204"/>
    <w:rsid w:val="00203236"/>
    <w:rsid w:val="00203395"/>
    <w:rsid w:val="002036E8"/>
    <w:rsid w:val="00203939"/>
    <w:rsid w:val="00203B3F"/>
    <w:rsid w:val="002048AD"/>
    <w:rsid w:val="00204967"/>
    <w:rsid w:val="00204BB7"/>
    <w:rsid w:val="0020511F"/>
    <w:rsid w:val="002051F7"/>
    <w:rsid w:val="0020531C"/>
    <w:rsid w:val="00205693"/>
    <w:rsid w:val="002056B0"/>
    <w:rsid w:val="00205AD3"/>
    <w:rsid w:val="00205B53"/>
    <w:rsid w:val="00205E98"/>
    <w:rsid w:val="002066C1"/>
    <w:rsid w:val="002067D2"/>
    <w:rsid w:val="00206D59"/>
    <w:rsid w:val="00206DC8"/>
    <w:rsid w:val="00206EF3"/>
    <w:rsid w:val="00207026"/>
    <w:rsid w:val="0020708A"/>
    <w:rsid w:val="00207402"/>
    <w:rsid w:val="00207435"/>
    <w:rsid w:val="00207642"/>
    <w:rsid w:val="00207877"/>
    <w:rsid w:val="00207A53"/>
    <w:rsid w:val="00207AAC"/>
    <w:rsid w:val="00207F6A"/>
    <w:rsid w:val="00210191"/>
    <w:rsid w:val="00210256"/>
    <w:rsid w:val="00210394"/>
    <w:rsid w:val="0021051F"/>
    <w:rsid w:val="002105C8"/>
    <w:rsid w:val="0021076E"/>
    <w:rsid w:val="002107A4"/>
    <w:rsid w:val="002109BC"/>
    <w:rsid w:val="00211511"/>
    <w:rsid w:val="00211A77"/>
    <w:rsid w:val="00211D58"/>
    <w:rsid w:val="00211E23"/>
    <w:rsid w:val="00211F07"/>
    <w:rsid w:val="00211F79"/>
    <w:rsid w:val="0021206E"/>
    <w:rsid w:val="00212451"/>
    <w:rsid w:val="002127B9"/>
    <w:rsid w:val="00212B08"/>
    <w:rsid w:val="00212B38"/>
    <w:rsid w:val="00213289"/>
    <w:rsid w:val="002132ED"/>
    <w:rsid w:val="00213825"/>
    <w:rsid w:val="00213CEF"/>
    <w:rsid w:val="00214189"/>
    <w:rsid w:val="0021432D"/>
    <w:rsid w:val="002143B4"/>
    <w:rsid w:val="00214532"/>
    <w:rsid w:val="00214ADD"/>
    <w:rsid w:val="0021525B"/>
    <w:rsid w:val="002160AD"/>
    <w:rsid w:val="00216356"/>
    <w:rsid w:val="002164F1"/>
    <w:rsid w:val="00216A00"/>
    <w:rsid w:val="00216A50"/>
    <w:rsid w:val="00216B19"/>
    <w:rsid w:val="00216CCC"/>
    <w:rsid w:val="00216E16"/>
    <w:rsid w:val="002172B5"/>
    <w:rsid w:val="0021738B"/>
    <w:rsid w:val="00217EE6"/>
    <w:rsid w:val="00220082"/>
    <w:rsid w:val="002203BD"/>
    <w:rsid w:val="002203F3"/>
    <w:rsid w:val="00220517"/>
    <w:rsid w:val="00220776"/>
    <w:rsid w:val="0022116D"/>
    <w:rsid w:val="002216CC"/>
    <w:rsid w:val="00221ED0"/>
    <w:rsid w:val="002221C3"/>
    <w:rsid w:val="002222FA"/>
    <w:rsid w:val="0022241C"/>
    <w:rsid w:val="0022256B"/>
    <w:rsid w:val="0022299A"/>
    <w:rsid w:val="00222A0B"/>
    <w:rsid w:val="00222B91"/>
    <w:rsid w:val="00222D7D"/>
    <w:rsid w:val="00222DE4"/>
    <w:rsid w:val="002230FD"/>
    <w:rsid w:val="002232B3"/>
    <w:rsid w:val="00223664"/>
    <w:rsid w:val="0022401E"/>
    <w:rsid w:val="00224756"/>
    <w:rsid w:val="002247AB"/>
    <w:rsid w:val="00224878"/>
    <w:rsid w:val="0022514D"/>
    <w:rsid w:val="00225CEE"/>
    <w:rsid w:val="00225E3F"/>
    <w:rsid w:val="00226447"/>
    <w:rsid w:val="002266DB"/>
    <w:rsid w:val="00226894"/>
    <w:rsid w:val="002268B0"/>
    <w:rsid w:val="00226C0B"/>
    <w:rsid w:val="002272F5"/>
    <w:rsid w:val="00227577"/>
    <w:rsid w:val="002277E9"/>
    <w:rsid w:val="00230153"/>
    <w:rsid w:val="002302AF"/>
    <w:rsid w:val="002303A6"/>
    <w:rsid w:val="00230894"/>
    <w:rsid w:val="002308E9"/>
    <w:rsid w:val="00231060"/>
    <w:rsid w:val="0023146B"/>
    <w:rsid w:val="00231B36"/>
    <w:rsid w:val="00231F9E"/>
    <w:rsid w:val="00232498"/>
    <w:rsid w:val="002324E2"/>
    <w:rsid w:val="0023254E"/>
    <w:rsid w:val="00232918"/>
    <w:rsid w:val="00232955"/>
    <w:rsid w:val="00232B27"/>
    <w:rsid w:val="00232E1E"/>
    <w:rsid w:val="0023350C"/>
    <w:rsid w:val="00233698"/>
    <w:rsid w:val="00233981"/>
    <w:rsid w:val="00233E70"/>
    <w:rsid w:val="002340E1"/>
    <w:rsid w:val="00234281"/>
    <w:rsid w:val="00234B9E"/>
    <w:rsid w:val="00234BBE"/>
    <w:rsid w:val="00234DD6"/>
    <w:rsid w:val="00234FD3"/>
    <w:rsid w:val="0023568A"/>
    <w:rsid w:val="00235B0E"/>
    <w:rsid w:val="00236382"/>
    <w:rsid w:val="00236B90"/>
    <w:rsid w:val="00236BCD"/>
    <w:rsid w:val="00236C21"/>
    <w:rsid w:val="00236FF2"/>
    <w:rsid w:val="002371BF"/>
    <w:rsid w:val="002371E1"/>
    <w:rsid w:val="00237249"/>
    <w:rsid w:val="00237662"/>
    <w:rsid w:val="00237A87"/>
    <w:rsid w:val="00237F71"/>
    <w:rsid w:val="00240262"/>
    <w:rsid w:val="002404C3"/>
    <w:rsid w:val="002410C4"/>
    <w:rsid w:val="00241129"/>
    <w:rsid w:val="002411AE"/>
    <w:rsid w:val="00241205"/>
    <w:rsid w:val="00241388"/>
    <w:rsid w:val="00241731"/>
    <w:rsid w:val="00241840"/>
    <w:rsid w:val="00241C36"/>
    <w:rsid w:val="002423E5"/>
    <w:rsid w:val="0024262D"/>
    <w:rsid w:val="002427EB"/>
    <w:rsid w:val="002427F0"/>
    <w:rsid w:val="002428BD"/>
    <w:rsid w:val="00242D15"/>
    <w:rsid w:val="00242E09"/>
    <w:rsid w:val="002432B7"/>
    <w:rsid w:val="002432E9"/>
    <w:rsid w:val="00243D23"/>
    <w:rsid w:val="002440B2"/>
    <w:rsid w:val="00244577"/>
    <w:rsid w:val="002445FE"/>
    <w:rsid w:val="002451B3"/>
    <w:rsid w:val="002458CE"/>
    <w:rsid w:val="002459C5"/>
    <w:rsid w:val="00245A3D"/>
    <w:rsid w:val="00245DE9"/>
    <w:rsid w:val="00245E81"/>
    <w:rsid w:val="00245F09"/>
    <w:rsid w:val="00246513"/>
    <w:rsid w:val="00246851"/>
    <w:rsid w:val="00246B1D"/>
    <w:rsid w:val="00246E71"/>
    <w:rsid w:val="00246F16"/>
    <w:rsid w:val="0024705A"/>
    <w:rsid w:val="002477AE"/>
    <w:rsid w:val="00247BDE"/>
    <w:rsid w:val="00247D10"/>
    <w:rsid w:val="00247D4D"/>
    <w:rsid w:val="00247F3A"/>
    <w:rsid w:val="002504FC"/>
    <w:rsid w:val="00250B11"/>
    <w:rsid w:val="00250D82"/>
    <w:rsid w:val="00250F7C"/>
    <w:rsid w:val="0025120C"/>
    <w:rsid w:val="00251CC2"/>
    <w:rsid w:val="00251EB3"/>
    <w:rsid w:val="00251EE5"/>
    <w:rsid w:val="00252136"/>
    <w:rsid w:val="002523D0"/>
    <w:rsid w:val="00252D18"/>
    <w:rsid w:val="0025329B"/>
    <w:rsid w:val="00253582"/>
    <w:rsid w:val="0025362C"/>
    <w:rsid w:val="002538BA"/>
    <w:rsid w:val="00253AC1"/>
    <w:rsid w:val="00253AE3"/>
    <w:rsid w:val="00253C3E"/>
    <w:rsid w:val="00253EC4"/>
    <w:rsid w:val="0025418A"/>
    <w:rsid w:val="00254240"/>
    <w:rsid w:val="0025425A"/>
    <w:rsid w:val="002547EA"/>
    <w:rsid w:val="0025531B"/>
    <w:rsid w:val="00255536"/>
    <w:rsid w:val="002557BB"/>
    <w:rsid w:val="002558AC"/>
    <w:rsid w:val="00255BC2"/>
    <w:rsid w:val="00255EFE"/>
    <w:rsid w:val="00256298"/>
    <w:rsid w:val="002564CF"/>
    <w:rsid w:val="00256539"/>
    <w:rsid w:val="00256DEA"/>
    <w:rsid w:val="00257117"/>
    <w:rsid w:val="002577B5"/>
    <w:rsid w:val="00257923"/>
    <w:rsid w:val="002579BB"/>
    <w:rsid w:val="00257AB4"/>
    <w:rsid w:val="00257ABE"/>
    <w:rsid w:val="00257C49"/>
    <w:rsid w:val="00260299"/>
    <w:rsid w:val="002603B3"/>
    <w:rsid w:val="0026072F"/>
    <w:rsid w:val="00260952"/>
    <w:rsid w:val="00260B2B"/>
    <w:rsid w:val="00260C11"/>
    <w:rsid w:val="00260F7B"/>
    <w:rsid w:val="002610D7"/>
    <w:rsid w:val="00261192"/>
    <w:rsid w:val="0026131A"/>
    <w:rsid w:val="0026176E"/>
    <w:rsid w:val="00261A11"/>
    <w:rsid w:val="00261CB5"/>
    <w:rsid w:val="00261D8A"/>
    <w:rsid w:val="002625F2"/>
    <w:rsid w:val="00262999"/>
    <w:rsid w:val="00262CA3"/>
    <w:rsid w:val="00262D43"/>
    <w:rsid w:val="00263413"/>
    <w:rsid w:val="00263AEC"/>
    <w:rsid w:val="00263B87"/>
    <w:rsid w:val="00263DE1"/>
    <w:rsid w:val="00263E3B"/>
    <w:rsid w:val="0026408F"/>
    <w:rsid w:val="0026431A"/>
    <w:rsid w:val="002644A4"/>
    <w:rsid w:val="00264634"/>
    <w:rsid w:val="0026485D"/>
    <w:rsid w:val="00264A11"/>
    <w:rsid w:val="00264C8F"/>
    <w:rsid w:val="00265066"/>
    <w:rsid w:val="002650EA"/>
    <w:rsid w:val="00265548"/>
    <w:rsid w:val="00265C93"/>
    <w:rsid w:val="00265CE9"/>
    <w:rsid w:val="00266300"/>
    <w:rsid w:val="002663F1"/>
    <w:rsid w:val="0026641E"/>
    <w:rsid w:val="00266678"/>
    <w:rsid w:val="002669B2"/>
    <w:rsid w:val="00266EE2"/>
    <w:rsid w:val="002674FD"/>
    <w:rsid w:val="0026774B"/>
    <w:rsid w:val="002678CA"/>
    <w:rsid w:val="00267BBD"/>
    <w:rsid w:val="00267EC5"/>
    <w:rsid w:val="00267F3E"/>
    <w:rsid w:val="00270297"/>
    <w:rsid w:val="0027038F"/>
    <w:rsid w:val="002707FA"/>
    <w:rsid w:val="00270DFB"/>
    <w:rsid w:val="00270EAC"/>
    <w:rsid w:val="00270ED2"/>
    <w:rsid w:val="00271150"/>
    <w:rsid w:val="00271DDF"/>
    <w:rsid w:val="0027297F"/>
    <w:rsid w:val="00272EB3"/>
    <w:rsid w:val="00273328"/>
    <w:rsid w:val="00273743"/>
    <w:rsid w:val="0027393F"/>
    <w:rsid w:val="0027438E"/>
    <w:rsid w:val="0027447A"/>
    <w:rsid w:val="00274682"/>
    <w:rsid w:val="002747CC"/>
    <w:rsid w:val="00274830"/>
    <w:rsid w:val="00274AAB"/>
    <w:rsid w:val="00274DF9"/>
    <w:rsid w:val="00275170"/>
    <w:rsid w:val="00275D77"/>
    <w:rsid w:val="00275EAD"/>
    <w:rsid w:val="0027602C"/>
    <w:rsid w:val="002760F9"/>
    <w:rsid w:val="00276A43"/>
    <w:rsid w:val="00276D2F"/>
    <w:rsid w:val="00276D5E"/>
    <w:rsid w:val="00276FBF"/>
    <w:rsid w:val="002775C7"/>
    <w:rsid w:val="002776B3"/>
    <w:rsid w:val="002778F2"/>
    <w:rsid w:val="00277AB9"/>
    <w:rsid w:val="00277F52"/>
    <w:rsid w:val="00277F90"/>
    <w:rsid w:val="002809A3"/>
    <w:rsid w:val="002809CB"/>
    <w:rsid w:val="00280AED"/>
    <w:rsid w:val="00280E91"/>
    <w:rsid w:val="0028107C"/>
    <w:rsid w:val="00281979"/>
    <w:rsid w:val="00281E85"/>
    <w:rsid w:val="0028200C"/>
    <w:rsid w:val="00282011"/>
    <w:rsid w:val="00282469"/>
    <w:rsid w:val="00282533"/>
    <w:rsid w:val="00282622"/>
    <w:rsid w:val="00283221"/>
    <w:rsid w:val="002837F8"/>
    <w:rsid w:val="00283A81"/>
    <w:rsid w:val="00283ACF"/>
    <w:rsid w:val="00283C99"/>
    <w:rsid w:val="00283D11"/>
    <w:rsid w:val="002845EA"/>
    <w:rsid w:val="0028473D"/>
    <w:rsid w:val="00284850"/>
    <w:rsid w:val="00284CEE"/>
    <w:rsid w:val="00284D22"/>
    <w:rsid w:val="00284DB4"/>
    <w:rsid w:val="00284F33"/>
    <w:rsid w:val="002851E8"/>
    <w:rsid w:val="0028529C"/>
    <w:rsid w:val="00285326"/>
    <w:rsid w:val="0028572F"/>
    <w:rsid w:val="00285DE8"/>
    <w:rsid w:val="00287067"/>
    <w:rsid w:val="00290337"/>
    <w:rsid w:val="00290461"/>
    <w:rsid w:val="002904A9"/>
    <w:rsid w:val="0029054D"/>
    <w:rsid w:val="00290891"/>
    <w:rsid w:val="00291DA9"/>
    <w:rsid w:val="00291E40"/>
    <w:rsid w:val="00292552"/>
    <w:rsid w:val="00292661"/>
    <w:rsid w:val="00292773"/>
    <w:rsid w:val="002927AC"/>
    <w:rsid w:val="002928D1"/>
    <w:rsid w:val="00292D88"/>
    <w:rsid w:val="00293689"/>
    <w:rsid w:val="00294241"/>
    <w:rsid w:val="002943E7"/>
    <w:rsid w:val="00294519"/>
    <w:rsid w:val="0029469F"/>
    <w:rsid w:val="0029476B"/>
    <w:rsid w:val="0029515F"/>
    <w:rsid w:val="00295405"/>
    <w:rsid w:val="002954FB"/>
    <w:rsid w:val="00295E06"/>
    <w:rsid w:val="00295E8B"/>
    <w:rsid w:val="0029618D"/>
    <w:rsid w:val="0029658F"/>
    <w:rsid w:val="002965BA"/>
    <w:rsid w:val="00296814"/>
    <w:rsid w:val="00296D48"/>
    <w:rsid w:val="00296EB8"/>
    <w:rsid w:val="00296F5F"/>
    <w:rsid w:val="0029716C"/>
    <w:rsid w:val="002976F2"/>
    <w:rsid w:val="00297A95"/>
    <w:rsid w:val="002A0070"/>
    <w:rsid w:val="002A02A0"/>
    <w:rsid w:val="002A068A"/>
    <w:rsid w:val="002A071D"/>
    <w:rsid w:val="002A076C"/>
    <w:rsid w:val="002A07C4"/>
    <w:rsid w:val="002A0D1C"/>
    <w:rsid w:val="002A0DD4"/>
    <w:rsid w:val="002A2381"/>
    <w:rsid w:val="002A24CF"/>
    <w:rsid w:val="002A2537"/>
    <w:rsid w:val="002A2AB8"/>
    <w:rsid w:val="002A2B8E"/>
    <w:rsid w:val="002A2B92"/>
    <w:rsid w:val="002A3123"/>
    <w:rsid w:val="002A3195"/>
    <w:rsid w:val="002A3789"/>
    <w:rsid w:val="002A399D"/>
    <w:rsid w:val="002A4B7B"/>
    <w:rsid w:val="002A5126"/>
    <w:rsid w:val="002A51EB"/>
    <w:rsid w:val="002A529E"/>
    <w:rsid w:val="002A5948"/>
    <w:rsid w:val="002A5BCC"/>
    <w:rsid w:val="002A5C4F"/>
    <w:rsid w:val="002A6115"/>
    <w:rsid w:val="002A639F"/>
    <w:rsid w:val="002A64F2"/>
    <w:rsid w:val="002A6590"/>
    <w:rsid w:val="002A6708"/>
    <w:rsid w:val="002A6960"/>
    <w:rsid w:val="002A7058"/>
    <w:rsid w:val="002A7478"/>
    <w:rsid w:val="002A7678"/>
    <w:rsid w:val="002A7B26"/>
    <w:rsid w:val="002B01AD"/>
    <w:rsid w:val="002B02F8"/>
    <w:rsid w:val="002B037F"/>
    <w:rsid w:val="002B047F"/>
    <w:rsid w:val="002B0A48"/>
    <w:rsid w:val="002B151D"/>
    <w:rsid w:val="002B1824"/>
    <w:rsid w:val="002B182C"/>
    <w:rsid w:val="002B1845"/>
    <w:rsid w:val="002B1A9F"/>
    <w:rsid w:val="002B210C"/>
    <w:rsid w:val="002B2402"/>
    <w:rsid w:val="002B2667"/>
    <w:rsid w:val="002B2847"/>
    <w:rsid w:val="002B2C8F"/>
    <w:rsid w:val="002B2D78"/>
    <w:rsid w:val="002B32B6"/>
    <w:rsid w:val="002B32C9"/>
    <w:rsid w:val="002B35D8"/>
    <w:rsid w:val="002B3736"/>
    <w:rsid w:val="002B4054"/>
    <w:rsid w:val="002B41A8"/>
    <w:rsid w:val="002B427C"/>
    <w:rsid w:val="002B435D"/>
    <w:rsid w:val="002B46A0"/>
    <w:rsid w:val="002B46FF"/>
    <w:rsid w:val="002B497D"/>
    <w:rsid w:val="002B4BBC"/>
    <w:rsid w:val="002B4D0E"/>
    <w:rsid w:val="002B4D3C"/>
    <w:rsid w:val="002B4EA1"/>
    <w:rsid w:val="002B4F54"/>
    <w:rsid w:val="002B542A"/>
    <w:rsid w:val="002B5495"/>
    <w:rsid w:val="002B54C5"/>
    <w:rsid w:val="002B55DD"/>
    <w:rsid w:val="002B55E5"/>
    <w:rsid w:val="002B6104"/>
    <w:rsid w:val="002B61C9"/>
    <w:rsid w:val="002B653E"/>
    <w:rsid w:val="002B6703"/>
    <w:rsid w:val="002B68A4"/>
    <w:rsid w:val="002B6D69"/>
    <w:rsid w:val="002B6E4E"/>
    <w:rsid w:val="002B6E5B"/>
    <w:rsid w:val="002B6F67"/>
    <w:rsid w:val="002B7411"/>
    <w:rsid w:val="002B7488"/>
    <w:rsid w:val="002B7F1B"/>
    <w:rsid w:val="002C0083"/>
    <w:rsid w:val="002C0186"/>
    <w:rsid w:val="002C0303"/>
    <w:rsid w:val="002C032E"/>
    <w:rsid w:val="002C081A"/>
    <w:rsid w:val="002C087B"/>
    <w:rsid w:val="002C0BA9"/>
    <w:rsid w:val="002C108A"/>
    <w:rsid w:val="002C1553"/>
    <w:rsid w:val="002C1B74"/>
    <w:rsid w:val="002C2035"/>
    <w:rsid w:val="002C231A"/>
    <w:rsid w:val="002C23E0"/>
    <w:rsid w:val="002C24C4"/>
    <w:rsid w:val="002C25D4"/>
    <w:rsid w:val="002C2A2B"/>
    <w:rsid w:val="002C2AB5"/>
    <w:rsid w:val="002C2C95"/>
    <w:rsid w:val="002C2CCD"/>
    <w:rsid w:val="002C2DBF"/>
    <w:rsid w:val="002C2F2D"/>
    <w:rsid w:val="002C2F7F"/>
    <w:rsid w:val="002C2FB4"/>
    <w:rsid w:val="002C2FD3"/>
    <w:rsid w:val="002C3027"/>
    <w:rsid w:val="002C30AA"/>
    <w:rsid w:val="002C3683"/>
    <w:rsid w:val="002C3C31"/>
    <w:rsid w:val="002C4417"/>
    <w:rsid w:val="002C475C"/>
    <w:rsid w:val="002C4AFD"/>
    <w:rsid w:val="002C5516"/>
    <w:rsid w:val="002C5A3A"/>
    <w:rsid w:val="002C5D7E"/>
    <w:rsid w:val="002C654E"/>
    <w:rsid w:val="002C6669"/>
    <w:rsid w:val="002C6A57"/>
    <w:rsid w:val="002C6BB3"/>
    <w:rsid w:val="002C6DC2"/>
    <w:rsid w:val="002C6DDA"/>
    <w:rsid w:val="002C713E"/>
    <w:rsid w:val="002C72FB"/>
    <w:rsid w:val="002C77B0"/>
    <w:rsid w:val="002C77C6"/>
    <w:rsid w:val="002C7C3D"/>
    <w:rsid w:val="002D0068"/>
    <w:rsid w:val="002D0466"/>
    <w:rsid w:val="002D053D"/>
    <w:rsid w:val="002D071B"/>
    <w:rsid w:val="002D0829"/>
    <w:rsid w:val="002D0B99"/>
    <w:rsid w:val="002D0BD0"/>
    <w:rsid w:val="002D1600"/>
    <w:rsid w:val="002D1936"/>
    <w:rsid w:val="002D1CE8"/>
    <w:rsid w:val="002D1F76"/>
    <w:rsid w:val="002D21F0"/>
    <w:rsid w:val="002D22E4"/>
    <w:rsid w:val="002D2403"/>
    <w:rsid w:val="002D2D0D"/>
    <w:rsid w:val="002D2FB2"/>
    <w:rsid w:val="002D3066"/>
    <w:rsid w:val="002D32C1"/>
    <w:rsid w:val="002D34FE"/>
    <w:rsid w:val="002D35EA"/>
    <w:rsid w:val="002D3782"/>
    <w:rsid w:val="002D3B24"/>
    <w:rsid w:val="002D3D02"/>
    <w:rsid w:val="002D3D77"/>
    <w:rsid w:val="002D4837"/>
    <w:rsid w:val="002D48E6"/>
    <w:rsid w:val="002D5331"/>
    <w:rsid w:val="002D55BB"/>
    <w:rsid w:val="002D5B16"/>
    <w:rsid w:val="002D5BC9"/>
    <w:rsid w:val="002D5DDC"/>
    <w:rsid w:val="002D64D5"/>
    <w:rsid w:val="002D67F7"/>
    <w:rsid w:val="002D6DE0"/>
    <w:rsid w:val="002D71F2"/>
    <w:rsid w:val="002D7621"/>
    <w:rsid w:val="002D769A"/>
    <w:rsid w:val="002D7736"/>
    <w:rsid w:val="002D7789"/>
    <w:rsid w:val="002D77B7"/>
    <w:rsid w:val="002D79D9"/>
    <w:rsid w:val="002D7CC4"/>
    <w:rsid w:val="002D7DBC"/>
    <w:rsid w:val="002E00AC"/>
    <w:rsid w:val="002E00DB"/>
    <w:rsid w:val="002E06C1"/>
    <w:rsid w:val="002E0A65"/>
    <w:rsid w:val="002E0C21"/>
    <w:rsid w:val="002E101F"/>
    <w:rsid w:val="002E192A"/>
    <w:rsid w:val="002E2048"/>
    <w:rsid w:val="002E2471"/>
    <w:rsid w:val="002E286E"/>
    <w:rsid w:val="002E2A52"/>
    <w:rsid w:val="002E2B84"/>
    <w:rsid w:val="002E2F11"/>
    <w:rsid w:val="002E300A"/>
    <w:rsid w:val="002E3449"/>
    <w:rsid w:val="002E3543"/>
    <w:rsid w:val="002E3A7E"/>
    <w:rsid w:val="002E3B82"/>
    <w:rsid w:val="002E3C95"/>
    <w:rsid w:val="002E40D7"/>
    <w:rsid w:val="002E4D81"/>
    <w:rsid w:val="002E4E88"/>
    <w:rsid w:val="002E5BC7"/>
    <w:rsid w:val="002E5CA3"/>
    <w:rsid w:val="002E5F0D"/>
    <w:rsid w:val="002E6EE7"/>
    <w:rsid w:val="002E6F4A"/>
    <w:rsid w:val="002E7655"/>
    <w:rsid w:val="002E7750"/>
    <w:rsid w:val="002E7964"/>
    <w:rsid w:val="002E79AB"/>
    <w:rsid w:val="002E7D40"/>
    <w:rsid w:val="002F01E3"/>
    <w:rsid w:val="002F0A52"/>
    <w:rsid w:val="002F0C6B"/>
    <w:rsid w:val="002F0CF2"/>
    <w:rsid w:val="002F0E24"/>
    <w:rsid w:val="002F1686"/>
    <w:rsid w:val="002F1771"/>
    <w:rsid w:val="002F1BD2"/>
    <w:rsid w:val="002F1CD0"/>
    <w:rsid w:val="002F1D5C"/>
    <w:rsid w:val="002F1D62"/>
    <w:rsid w:val="002F1D92"/>
    <w:rsid w:val="002F207F"/>
    <w:rsid w:val="002F23FA"/>
    <w:rsid w:val="002F249E"/>
    <w:rsid w:val="002F24AF"/>
    <w:rsid w:val="002F29E4"/>
    <w:rsid w:val="002F32ED"/>
    <w:rsid w:val="002F3799"/>
    <w:rsid w:val="002F41D5"/>
    <w:rsid w:val="002F43B6"/>
    <w:rsid w:val="002F49F9"/>
    <w:rsid w:val="002F4D5A"/>
    <w:rsid w:val="002F4E54"/>
    <w:rsid w:val="002F515D"/>
    <w:rsid w:val="002F59D7"/>
    <w:rsid w:val="002F5F68"/>
    <w:rsid w:val="002F6028"/>
    <w:rsid w:val="002F6673"/>
    <w:rsid w:val="002F66C9"/>
    <w:rsid w:val="002F66DB"/>
    <w:rsid w:val="002F6A20"/>
    <w:rsid w:val="002F6DE4"/>
    <w:rsid w:val="002F7155"/>
    <w:rsid w:val="002F7700"/>
    <w:rsid w:val="002F778A"/>
    <w:rsid w:val="002F7954"/>
    <w:rsid w:val="002F7C27"/>
    <w:rsid w:val="002F7CCB"/>
    <w:rsid w:val="002F7EB8"/>
    <w:rsid w:val="0030086D"/>
    <w:rsid w:val="00300C25"/>
    <w:rsid w:val="00300D86"/>
    <w:rsid w:val="00300E82"/>
    <w:rsid w:val="00301153"/>
    <w:rsid w:val="003015B5"/>
    <w:rsid w:val="00301655"/>
    <w:rsid w:val="003017E1"/>
    <w:rsid w:val="003021BB"/>
    <w:rsid w:val="00302588"/>
    <w:rsid w:val="00302643"/>
    <w:rsid w:val="00302D5B"/>
    <w:rsid w:val="00302F6A"/>
    <w:rsid w:val="00303061"/>
    <w:rsid w:val="00303314"/>
    <w:rsid w:val="0030359B"/>
    <w:rsid w:val="00303A66"/>
    <w:rsid w:val="00303D62"/>
    <w:rsid w:val="00303F85"/>
    <w:rsid w:val="00303FEF"/>
    <w:rsid w:val="00303FFA"/>
    <w:rsid w:val="00304041"/>
    <w:rsid w:val="003040C0"/>
    <w:rsid w:val="003044AD"/>
    <w:rsid w:val="00304501"/>
    <w:rsid w:val="00304917"/>
    <w:rsid w:val="00304DC8"/>
    <w:rsid w:val="00305040"/>
    <w:rsid w:val="003051FF"/>
    <w:rsid w:val="00305307"/>
    <w:rsid w:val="0030538B"/>
    <w:rsid w:val="00305BB3"/>
    <w:rsid w:val="00305CC7"/>
    <w:rsid w:val="00305F62"/>
    <w:rsid w:val="003067B8"/>
    <w:rsid w:val="003067DB"/>
    <w:rsid w:val="0030688B"/>
    <w:rsid w:val="00306AAF"/>
    <w:rsid w:val="00306E35"/>
    <w:rsid w:val="003074FD"/>
    <w:rsid w:val="00307728"/>
    <w:rsid w:val="00307A2D"/>
    <w:rsid w:val="003100AB"/>
    <w:rsid w:val="00310204"/>
    <w:rsid w:val="00310272"/>
    <w:rsid w:val="003107D8"/>
    <w:rsid w:val="00310BEF"/>
    <w:rsid w:val="00310D86"/>
    <w:rsid w:val="00310EC5"/>
    <w:rsid w:val="00310F34"/>
    <w:rsid w:val="0031157E"/>
    <w:rsid w:val="00312134"/>
    <w:rsid w:val="0031233D"/>
    <w:rsid w:val="003126B1"/>
    <w:rsid w:val="003126F6"/>
    <w:rsid w:val="00312AF6"/>
    <w:rsid w:val="00312CB7"/>
    <w:rsid w:val="00312E68"/>
    <w:rsid w:val="00312F97"/>
    <w:rsid w:val="00313103"/>
    <w:rsid w:val="0031351A"/>
    <w:rsid w:val="003138EC"/>
    <w:rsid w:val="00314039"/>
    <w:rsid w:val="0031460F"/>
    <w:rsid w:val="00314863"/>
    <w:rsid w:val="00314C8A"/>
    <w:rsid w:val="00314E33"/>
    <w:rsid w:val="003153A8"/>
    <w:rsid w:val="00315595"/>
    <w:rsid w:val="00315F66"/>
    <w:rsid w:val="00315FB7"/>
    <w:rsid w:val="003161E5"/>
    <w:rsid w:val="00316520"/>
    <w:rsid w:val="00316884"/>
    <w:rsid w:val="00316C18"/>
    <w:rsid w:val="00317071"/>
    <w:rsid w:val="003170F2"/>
    <w:rsid w:val="003171A9"/>
    <w:rsid w:val="00317767"/>
    <w:rsid w:val="00317F95"/>
    <w:rsid w:val="0032043F"/>
    <w:rsid w:val="003204DA"/>
    <w:rsid w:val="00320582"/>
    <w:rsid w:val="00321282"/>
    <w:rsid w:val="0032130E"/>
    <w:rsid w:val="0032187E"/>
    <w:rsid w:val="003218EA"/>
    <w:rsid w:val="00321A24"/>
    <w:rsid w:val="00321F93"/>
    <w:rsid w:val="0032278A"/>
    <w:rsid w:val="0032279E"/>
    <w:rsid w:val="003229D2"/>
    <w:rsid w:val="00322A25"/>
    <w:rsid w:val="00322C27"/>
    <w:rsid w:val="00322E8B"/>
    <w:rsid w:val="0032318E"/>
    <w:rsid w:val="00323389"/>
    <w:rsid w:val="003233D1"/>
    <w:rsid w:val="0032399E"/>
    <w:rsid w:val="00324067"/>
    <w:rsid w:val="003246F7"/>
    <w:rsid w:val="003248E7"/>
    <w:rsid w:val="00324925"/>
    <w:rsid w:val="00324A14"/>
    <w:rsid w:val="00324FF1"/>
    <w:rsid w:val="00325668"/>
    <w:rsid w:val="00325F1E"/>
    <w:rsid w:val="003260AB"/>
    <w:rsid w:val="003260D7"/>
    <w:rsid w:val="003262AB"/>
    <w:rsid w:val="0032659C"/>
    <w:rsid w:val="0032699B"/>
    <w:rsid w:val="00326D01"/>
    <w:rsid w:val="00326D28"/>
    <w:rsid w:val="00327292"/>
    <w:rsid w:val="003272FD"/>
    <w:rsid w:val="0032744E"/>
    <w:rsid w:val="00327480"/>
    <w:rsid w:val="00327A30"/>
    <w:rsid w:val="00327C6C"/>
    <w:rsid w:val="003300E1"/>
    <w:rsid w:val="00330380"/>
    <w:rsid w:val="003303B7"/>
    <w:rsid w:val="003304A1"/>
    <w:rsid w:val="003309B2"/>
    <w:rsid w:val="00330A37"/>
    <w:rsid w:val="00330A59"/>
    <w:rsid w:val="00330B81"/>
    <w:rsid w:val="003311FC"/>
    <w:rsid w:val="00331300"/>
    <w:rsid w:val="00331713"/>
    <w:rsid w:val="00331820"/>
    <w:rsid w:val="00331AB2"/>
    <w:rsid w:val="00331F6C"/>
    <w:rsid w:val="00332637"/>
    <w:rsid w:val="00332B88"/>
    <w:rsid w:val="00332F69"/>
    <w:rsid w:val="00333A15"/>
    <w:rsid w:val="00333A6D"/>
    <w:rsid w:val="00333D8E"/>
    <w:rsid w:val="00333DF6"/>
    <w:rsid w:val="00333F1D"/>
    <w:rsid w:val="003341BB"/>
    <w:rsid w:val="003341BD"/>
    <w:rsid w:val="003347E1"/>
    <w:rsid w:val="00335021"/>
    <w:rsid w:val="00335387"/>
    <w:rsid w:val="00335776"/>
    <w:rsid w:val="003357FF"/>
    <w:rsid w:val="00335DA6"/>
    <w:rsid w:val="00336075"/>
    <w:rsid w:val="0033623B"/>
    <w:rsid w:val="00336787"/>
    <w:rsid w:val="00336852"/>
    <w:rsid w:val="00337120"/>
    <w:rsid w:val="003371DD"/>
    <w:rsid w:val="003373C1"/>
    <w:rsid w:val="003374B9"/>
    <w:rsid w:val="003375AB"/>
    <w:rsid w:val="003375FE"/>
    <w:rsid w:val="00337717"/>
    <w:rsid w:val="003377A8"/>
    <w:rsid w:val="003378B1"/>
    <w:rsid w:val="003403D8"/>
    <w:rsid w:val="003403FA"/>
    <w:rsid w:val="003408E2"/>
    <w:rsid w:val="00340A5B"/>
    <w:rsid w:val="00340A83"/>
    <w:rsid w:val="00340CB6"/>
    <w:rsid w:val="00340D35"/>
    <w:rsid w:val="00340EE4"/>
    <w:rsid w:val="0034123C"/>
    <w:rsid w:val="003412BF"/>
    <w:rsid w:val="00341384"/>
    <w:rsid w:val="003415A2"/>
    <w:rsid w:val="0034168B"/>
    <w:rsid w:val="003416C0"/>
    <w:rsid w:val="00341CF7"/>
    <w:rsid w:val="00341DFD"/>
    <w:rsid w:val="0034295D"/>
    <w:rsid w:val="00342C62"/>
    <w:rsid w:val="0034312D"/>
    <w:rsid w:val="0034330F"/>
    <w:rsid w:val="0034335B"/>
    <w:rsid w:val="00343669"/>
    <w:rsid w:val="00343773"/>
    <w:rsid w:val="00343C67"/>
    <w:rsid w:val="003440AE"/>
    <w:rsid w:val="0034413A"/>
    <w:rsid w:val="00344BA3"/>
    <w:rsid w:val="00344BDC"/>
    <w:rsid w:val="00344D5E"/>
    <w:rsid w:val="00344E8E"/>
    <w:rsid w:val="00345475"/>
    <w:rsid w:val="0034578E"/>
    <w:rsid w:val="003457A1"/>
    <w:rsid w:val="00346AE5"/>
    <w:rsid w:val="00346C56"/>
    <w:rsid w:val="00347712"/>
    <w:rsid w:val="00347782"/>
    <w:rsid w:val="00347D51"/>
    <w:rsid w:val="00347E11"/>
    <w:rsid w:val="00347F4E"/>
    <w:rsid w:val="003500DB"/>
    <w:rsid w:val="00350268"/>
    <w:rsid w:val="003503A9"/>
    <w:rsid w:val="00350573"/>
    <w:rsid w:val="00350594"/>
    <w:rsid w:val="00350B46"/>
    <w:rsid w:val="0035101C"/>
    <w:rsid w:val="003518DC"/>
    <w:rsid w:val="00351EEA"/>
    <w:rsid w:val="00352012"/>
    <w:rsid w:val="00352542"/>
    <w:rsid w:val="00352668"/>
    <w:rsid w:val="00352677"/>
    <w:rsid w:val="00352780"/>
    <w:rsid w:val="0035326A"/>
    <w:rsid w:val="0035327A"/>
    <w:rsid w:val="003534CB"/>
    <w:rsid w:val="00353803"/>
    <w:rsid w:val="00353832"/>
    <w:rsid w:val="00353C27"/>
    <w:rsid w:val="00353C29"/>
    <w:rsid w:val="00353C8B"/>
    <w:rsid w:val="00353D69"/>
    <w:rsid w:val="00353FC5"/>
    <w:rsid w:val="003541B5"/>
    <w:rsid w:val="003542FC"/>
    <w:rsid w:val="00354407"/>
    <w:rsid w:val="00354730"/>
    <w:rsid w:val="00354C88"/>
    <w:rsid w:val="0035537B"/>
    <w:rsid w:val="003555CF"/>
    <w:rsid w:val="00355B59"/>
    <w:rsid w:val="00355F0D"/>
    <w:rsid w:val="0035620E"/>
    <w:rsid w:val="003562FE"/>
    <w:rsid w:val="003564B6"/>
    <w:rsid w:val="0035669E"/>
    <w:rsid w:val="003574FA"/>
    <w:rsid w:val="00357C05"/>
    <w:rsid w:val="00357DE5"/>
    <w:rsid w:val="00357F44"/>
    <w:rsid w:val="0036007F"/>
    <w:rsid w:val="00360354"/>
    <w:rsid w:val="0036071E"/>
    <w:rsid w:val="00360720"/>
    <w:rsid w:val="00360FEF"/>
    <w:rsid w:val="0036119E"/>
    <w:rsid w:val="00361D18"/>
    <w:rsid w:val="00362D66"/>
    <w:rsid w:val="00362E07"/>
    <w:rsid w:val="00363198"/>
    <w:rsid w:val="003631E0"/>
    <w:rsid w:val="003633CF"/>
    <w:rsid w:val="00363B12"/>
    <w:rsid w:val="00363E69"/>
    <w:rsid w:val="003640DD"/>
    <w:rsid w:val="0036423C"/>
    <w:rsid w:val="003648BB"/>
    <w:rsid w:val="00364C43"/>
    <w:rsid w:val="00364D2C"/>
    <w:rsid w:val="00364D59"/>
    <w:rsid w:val="00364E6A"/>
    <w:rsid w:val="00365433"/>
    <w:rsid w:val="003654BE"/>
    <w:rsid w:val="003654DD"/>
    <w:rsid w:val="003657EE"/>
    <w:rsid w:val="00365B5D"/>
    <w:rsid w:val="00365B9B"/>
    <w:rsid w:val="00365D2E"/>
    <w:rsid w:val="00365DBB"/>
    <w:rsid w:val="00365DF5"/>
    <w:rsid w:val="003668A0"/>
    <w:rsid w:val="0036695E"/>
    <w:rsid w:val="00366A1A"/>
    <w:rsid w:val="00366EE1"/>
    <w:rsid w:val="00367363"/>
    <w:rsid w:val="003673E6"/>
    <w:rsid w:val="003674C3"/>
    <w:rsid w:val="003675F0"/>
    <w:rsid w:val="003678EA"/>
    <w:rsid w:val="00367A90"/>
    <w:rsid w:val="00367E71"/>
    <w:rsid w:val="00370372"/>
    <w:rsid w:val="003703EC"/>
    <w:rsid w:val="003706D5"/>
    <w:rsid w:val="00370769"/>
    <w:rsid w:val="00370865"/>
    <w:rsid w:val="00370963"/>
    <w:rsid w:val="00371009"/>
    <w:rsid w:val="00371252"/>
    <w:rsid w:val="003714DB"/>
    <w:rsid w:val="0037165E"/>
    <w:rsid w:val="0037191D"/>
    <w:rsid w:val="00371AED"/>
    <w:rsid w:val="00371BC4"/>
    <w:rsid w:val="00371EEB"/>
    <w:rsid w:val="00372161"/>
    <w:rsid w:val="003722E8"/>
    <w:rsid w:val="00372733"/>
    <w:rsid w:val="0037280D"/>
    <w:rsid w:val="003728E1"/>
    <w:rsid w:val="00372C4C"/>
    <w:rsid w:val="00372F15"/>
    <w:rsid w:val="0037300F"/>
    <w:rsid w:val="00373198"/>
    <w:rsid w:val="00373B9D"/>
    <w:rsid w:val="00373E06"/>
    <w:rsid w:val="0037445B"/>
    <w:rsid w:val="003745D0"/>
    <w:rsid w:val="0037468A"/>
    <w:rsid w:val="003746A3"/>
    <w:rsid w:val="0037492D"/>
    <w:rsid w:val="00374D3E"/>
    <w:rsid w:val="003755E3"/>
    <w:rsid w:val="00375613"/>
    <w:rsid w:val="00375B8A"/>
    <w:rsid w:val="00375D5B"/>
    <w:rsid w:val="00375E04"/>
    <w:rsid w:val="00376300"/>
    <w:rsid w:val="0037642E"/>
    <w:rsid w:val="00376987"/>
    <w:rsid w:val="00376AF3"/>
    <w:rsid w:val="00376CFA"/>
    <w:rsid w:val="00376DF3"/>
    <w:rsid w:val="00377D45"/>
    <w:rsid w:val="003800E2"/>
    <w:rsid w:val="003801DC"/>
    <w:rsid w:val="00380E15"/>
    <w:rsid w:val="00380F29"/>
    <w:rsid w:val="00380F51"/>
    <w:rsid w:val="003811BA"/>
    <w:rsid w:val="00381993"/>
    <w:rsid w:val="00381AC4"/>
    <w:rsid w:val="00381B3A"/>
    <w:rsid w:val="00381F75"/>
    <w:rsid w:val="00381FAE"/>
    <w:rsid w:val="0038248C"/>
    <w:rsid w:val="00382980"/>
    <w:rsid w:val="00382ABA"/>
    <w:rsid w:val="00382C61"/>
    <w:rsid w:val="00382D1F"/>
    <w:rsid w:val="003830EF"/>
    <w:rsid w:val="00383162"/>
    <w:rsid w:val="00383177"/>
    <w:rsid w:val="003832B6"/>
    <w:rsid w:val="003839BF"/>
    <w:rsid w:val="00383A46"/>
    <w:rsid w:val="00383E24"/>
    <w:rsid w:val="00383F72"/>
    <w:rsid w:val="003840B7"/>
    <w:rsid w:val="003844E0"/>
    <w:rsid w:val="00384837"/>
    <w:rsid w:val="00384D6C"/>
    <w:rsid w:val="003851A1"/>
    <w:rsid w:val="00385367"/>
    <w:rsid w:val="0038549F"/>
    <w:rsid w:val="00385639"/>
    <w:rsid w:val="003856C6"/>
    <w:rsid w:val="0038576D"/>
    <w:rsid w:val="00385B28"/>
    <w:rsid w:val="00385BDE"/>
    <w:rsid w:val="00385DD1"/>
    <w:rsid w:val="00385E50"/>
    <w:rsid w:val="003863F2"/>
    <w:rsid w:val="00386677"/>
    <w:rsid w:val="0038685F"/>
    <w:rsid w:val="00386A40"/>
    <w:rsid w:val="00386B43"/>
    <w:rsid w:val="00386CBA"/>
    <w:rsid w:val="00386E82"/>
    <w:rsid w:val="00386FC4"/>
    <w:rsid w:val="0038728C"/>
    <w:rsid w:val="00387677"/>
    <w:rsid w:val="00387F7C"/>
    <w:rsid w:val="00390088"/>
    <w:rsid w:val="00391901"/>
    <w:rsid w:val="00391AC1"/>
    <w:rsid w:val="00391B2B"/>
    <w:rsid w:val="00391B84"/>
    <w:rsid w:val="00391E1C"/>
    <w:rsid w:val="00391FF2"/>
    <w:rsid w:val="003920C7"/>
    <w:rsid w:val="003923E6"/>
    <w:rsid w:val="0039284A"/>
    <w:rsid w:val="003929A4"/>
    <w:rsid w:val="00392BBB"/>
    <w:rsid w:val="00392FAF"/>
    <w:rsid w:val="00393FE9"/>
    <w:rsid w:val="0039447D"/>
    <w:rsid w:val="0039476B"/>
    <w:rsid w:val="003949BE"/>
    <w:rsid w:val="00394B29"/>
    <w:rsid w:val="00394E45"/>
    <w:rsid w:val="00395146"/>
    <w:rsid w:val="00395205"/>
    <w:rsid w:val="0039571B"/>
    <w:rsid w:val="00396113"/>
    <w:rsid w:val="0039627D"/>
    <w:rsid w:val="00396980"/>
    <w:rsid w:val="003969C2"/>
    <w:rsid w:val="00396F26"/>
    <w:rsid w:val="003970B3"/>
    <w:rsid w:val="003973FD"/>
    <w:rsid w:val="00397413"/>
    <w:rsid w:val="00397432"/>
    <w:rsid w:val="003976E4"/>
    <w:rsid w:val="0039772B"/>
    <w:rsid w:val="003977F5"/>
    <w:rsid w:val="00397A77"/>
    <w:rsid w:val="00397E07"/>
    <w:rsid w:val="00397E21"/>
    <w:rsid w:val="00397FDC"/>
    <w:rsid w:val="003A00BD"/>
    <w:rsid w:val="003A04AE"/>
    <w:rsid w:val="003A0667"/>
    <w:rsid w:val="003A0EA6"/>
    <w:rsid w:val="003A0F7E"/>
    <w:rsid w:val="003A1342"/>
    <w:rsid w:val="003A1719"/>
    <w:rsid w:val="003A18B8"/>
    <w:rsid w:val="003A1935"/>
    <w:rsid w:val="003A19D6"/>
    <w:rsid w:val="003A1AA1"/>
    <w:rsid w:val="003A1AF0"/>
    <w:rsid w:val="003A230D"/>
    <w:rsid w:val="003A269E"/>
    <w:rsid w:val="003A2CEE"/>
    <w:rsid w:val="003A2D4E"/>
    <w:rsid w:val="003A2EF2"/>
    <w:rsid w:val="003A2FE9"/>
    <w:rsid w:val="003A314E"/>
    <w:rsid w:val="003A36DC"/>
    <w:rsid w:val="003A3717"/>
    <w:rsid w:val="003A393F"/>
    <w:rsid w:val="003A3999"/>
    <w:rsid w:val="003A42AC"/>
    <w:rsid w:val="003A436A"/>
    <w:rsid w:val="003A43B8"/>
    <w:rsid w:val="003A4462"/>
    <w:rsid w:val="003A4497"/>
    <w:rsid w:val="003A4663"/>
    <w:rsid w:val="003A4BFF"/>
    <w:rsid w:val="003A4F4E"/>
    <w:rsid w:val="003A5400"/>
    <w:rsid w:val="003A5581"/>
    <w:rsid w:val="003A59CD"/>
    <w:rsid w:val="003A5A0A"/>
    <w:rsid w:val="003A5CFA"/>
    <w:rsid w:val="003A5D90"/>
    <w:rsid w:val="003A5FA4"/>
    <w:rsid w:val="003A6084"/>
    <w:rsid w:val="003A62DA"/>
    <w:rsid w:val="003A6366"/>
    <w:rsid w:val="003A6CC9"/>
    <w:rsid w:val="003A713A"/>
    <w:rsid w:val="003A71E5"/>
    <w:rsid w:val="003A75BB"/>
    <w:rsid w:val="003A77D8"/>
    <w:rsid w:val="003A7A69"/>
    <w:rsid w:val="003A7B14"/>
    <w:rsid w:val="003A7B7B"/>
    <w:rsid w:val="003A7D2A"/>
    <w:rsid w:val="003A7D38"/>
    <w:rsid w:val="003A7ED5"/>
    <w:rsid w:val="003B08CD"/>
    <w:rsid w:val="003B0C92"/>
    <w:rsid w:val="003B0D86"/>
    <w:rsid w:val="003B0E1D"/>
    <w:rsid w:val="003B0F13"/>
    <w:rsid w:val="003B0F7B"/>
    <w:rsid w:val="003B13E9"/>
    <w:rsid w:val="003B14FD"/>
    <w:rsid w:val="003B1539"/>
    <w:rsid w:val="003B16D4"/>
    <w:rsid w:val="003B1BB7"/>
    <w:rsid w:val="003B1E0D"/>
    <w:rsid w:val="003B2427"/>
    <w:rsid w:val="003B28A8"/>
    <w:rsid w:val="003B2904"/>
    <w:rsid w:val="003B2D2B"/>
    <w:rsid w:val="003B2D7D"/>
    <w:rsid w:val="003B2D8C"/>
    <w:rsid w:val="003B2F6C"/>
    <w:rsid w:val="003B3324"/>
    <w:rsid w:val="003B3B97"/>
    <w:rsid w:val="003B3CC4"/>
    <w:rsid w:val="003B3E12"/>
    <w:rsid w:val="003B4696"/>
    <w:rsid w:val="003B4859"/>
    <w:rsid w:val="003B4D81"/>
    <w:rsid w:val="003B4DBD"/>
    <w:rsid w:val="003B4E65"/>
    <w:rsid w:val="003B4EB6"/>
    <w:rsid w:val="003B50E8"/>
    <w:rsid w:val="003B5177"/>
    <w:rsid w:val="003B5200"/>
    <w:rsid w:val="003B53E7"/>
    <w:rsid w:val="003B5482"/>
    <w:rsid w:val="003B5663"/>
    <w:rsid w:val="003B5666"/>
    <w:rsid w:val="003B59DC"/>
    <w:rsid w:val="003B6031"/>
    <w:rsid w:val="003B6178"/>
    <w:rsid w:val="003B6223"/>
    <w:rsid w:val="003B6272"/>
    <w:rsid w:val="003B6294"/>
    <w:rsid w:val="003B638E"/>
    <w:rsid w:val="003B6BF1"/>
    <w:rsid w:val="003B6C19"/>
    <w:rsid w:val="003B6E81"/>
    <w:rsid w:val="003B7160"/>
    <w:rsid w:val="003B7661"/>
    <w:rsid w:val="003B76F3"/>
    <w:rsid w:val="003B7E05"/>
    <w:rsid w:val="003C029F"/>
    <w:rsid w:val="003C0456"/>
    <w:rsid w:val="003C052A"/>
    <w:rsid w:val="003C0590"/>
    <w:rsid w:val="003C0634"/>
    <w:rsid w:val="003C0AE9"/>
    <w:rsid w:val="003C131E"/>
    <w:rsid w:val="003C166B"/>
    <w:rsid w:val="003C19A5"/>
    <w:rsid w:val="003C1C85"/>
    <w:rsid w:val="003C1F69"/>
    <w:rsid w:val="003C2010"/>
    <w:rsid w:val="003C2323"/>
    <w:rsid w:val="003C2BA9"/>
    <w:rsid w:val="003C2C59"/>
    <w:rsid w:val="003C3495"/>
    <w:rsid w:val="003C3895"/>
    <w:rsid w:val="003C3A2A"/>
    <w:rsid w:val="003C3CC7"/>
    <w:rsid w:val="003C3E7F"/>
    <w:rsid w:val="003C4482"/>
    <w:rsid w:val="003C504B"/>
    <w:rsid w:val="003C50B5"/>
    <w:rsid w:val="003C5260"/>
    <w:rsid w:val="003C5936"/>
    <w:rsid w:val="003C5B64"/>
    <w:rsid w:val="003C607D"/>
    <w:rsid w:val="003C612F"/>
    <w:rsid w:val="003C619A"/>
    <w:rsid w:val="003C6468"/>
    <w:rsid w:val="003C64AF"/>
    <w:rsid w:val="003C676E"/>
    <w:rsid w:val="003C7A23"/>
    <w:rsid w:val="003C7A34"/>
    <w:rsid w:val="003C7B28"/>
    <w:rsid w:val="003D0AF6"/>
    <w:rsid w:val="003D0BFD"/>
    <w:rsid w:val="003D0FA5"/>
    <w:rsid w:val="003D1004"/>
    <w:rsid w:val="003D115F"/>
    <w:rsid w:val="003D11D9"/>
    <w:rsid w:val="003D1567"/>
    <w:rsid w:val="003D1E5A"/>
    <w:rsid w:val="003D228C"/>
    <w:rsid w:val="003D22F5"/>
    <w:rsid w:val="003D2939"/>
    <w:rsid w:val="003D2B3F"/>
    <w:rsid w:val="003D2BFE"/>
    <w:rsid w:val="003D2F40"/>
    <w:rsid w:val="003D32AA"/>
    <w:rsid w:val="003D33AE"/>
    <w:rsid w:val="003D3429"/>
    <w:rsid w:val="003D3574"/>
    <w:rsid w:val="003D3990"/>
    <w:rsid w:val="003D3A19"/>
    <w:rsid w:val="003D3C6E"/>
    <w:rsid w:val="003D3FA7"/>
    <w:rsid w:val="003D42CB"/>
    <w:rsid w:val="003D43E2"/>
    <w:rsid w:val="003D4572"/>
    <w:rsid w:val="003D4B62"/>
    <w:rsid w:val="003D4E9A"/>
    <w:rsid w:val="003D51D3"/>
    <w:rsid w:val="003D51F4"/>
    <w:rsid w:val="003D5231"/>
    <w:rsid w:val="003D5345"/>
    <w:rsid w:val="003D5811"/>
    <w:rsid w:val="003D58C5"/>
    <w:rsid w:val="003D5A13"/>
    <w:rsid w:val="003D6316"/>
    <w:rsid w:val="003D6638"/>
    <w:rsid w:val="003D6A51"/>
    <w:rsid w:val="003D6AE1"/>
    <w:rsid w:val="003D7211"/>
    <w:rsid w:val="003D7786"/>
    <w:rsid w:val="003D7FC4"/>
    <w:rsid w:val="003E0354"/>
    <w:rsid w:val="003E0437"/>
    <w:rsid w:val="003E08DC"/>
    <w:rsid w:val="003E10A8"/>
    <w:rsid w:val="003E127A"/>
    <w:rsid w:val="003E184A"/>
    <w:rsid w:val="003E1887"/>
    <w:rsid w:val="003E18C9"/>
    <w:rsid w:val="003E19E2"/>
    <w:rsid w:val="003E1EF3"/>
    <w:rsid w:val="003E2538"/>
    <w:rsid w:val="003E2784"/>
    <w:rsid w:val="003E278F"/>
    <w:rsid w:val="003E2E55"/>
    <w:rsid w:val="003E2F58"/>
    <w:rsid w:val="003E3028"/>
    <w:rsid w:val="003E311C"/>
    <w:rsid w:val="003E3A5D"/>
    <w:rsid w:val="003E3D4A"/>
    <w:rsid w:val="003E4250"/>
    <w:rsid w:val="003E4296"/>
    <w:rsid w:val="003E43C8"/>
    <w:rsid w:val="003E4528"/>
    <w:rsid w:val="003E4B5F"/>
    <w:rsid w:val="003E50BB"/>
    <w:rsid w:val="003E530F"/>
    <w:rsid w:val="003E5A33"/>
    <w:rsid w:val="003E5E27"/>
    <w:rsid w:val="003E5E65"/>
    <w:rsid w:val="003E65FD"/>
    <w:rsid w:val="003E69CF"/>
    <w:rsid w:val="003E6C56"/>
    <w:rsid w:val="003E6DA0"/>
    <w:rsid w:val="003E72DA"/>
    <w:rsid w:val="003E7963"/>
    <w:rsid w:val="003E7C3C"/>
    <w:rsid w:val="003E7C99"/>
    <w:rsid w:val="003F00B9"/>
    <w:rsid w:val="003F031C"/>
    <w:rsid w:val="003F0E59"/>
    <w:rsid w:val="003F0EED"/>
    <w:rsid w:val="003F0F93"/>
    <w:rsid w:val="003F0FBA"/>
    <w:rsid w:val="003F1622"/>
    <w:rsid w:val="003F1AA3"/>
    <w:rsid w:val="003F24EE"/>
    <w:rsid w:val="003F25EF"/>
    <w:rsid w:val="003F28CD"/>
    <w:rsid w:val="003F2A3E"/>
    <w:rsid w:val="003F2D59"/>
    <w:rsid w:val="003F3277"/>
    <w:rsid w:val="003F33C5"/>
    <w:rsid w:val="003F3645"/>
    <w:rsid w:val="003F3B6D"/>
    <w:rsid w:val="003F3BE5"/>
    <w:rsid w:val="003F3EC5"/>
    <w:rsid w:val="003F49D2"/>
    <w:rsid w:val="003F4C79"/>
    <w:rsid w:val="003F4E06"/>
    <w:rsid w:val="003F4FD7"/>
    <w:rsid w:val="003F5383"/>
    <w:rsid w:val="003F58E5"/>
    <w:rsid w:val="003F58F4"/>
    <w:rsid w:val="003F5990"/>
    <w:rsid w:val="003F5E3F"/>
    <w:rsid w:val="003F6068"/>
    <w:rsid w:val="003F6152"/>
    <w:rsid w:val="003F67CB"/>
    <w:rsid w:val="003F6D1A"/>
    <w:rsid w:val="003F6FA1"/>
    <w:rsid w:val="003F759C"/>
    <w:rsid w:val="00400541"/>
    <w:rsid w:val="00400688"/>
    <w:rsid w:val="004018B0"/>
    <w:rsid w:val="00401CD0"/>
    <w:rsid w:val="00402083"/>
    <w:rsid w:val="0040223A"/>
    <w:rsid w:val="0040257A"/>
    <w:rsid w:val="00402608"/>
    <w:rsid w:val="00403542"/>
    <w:rsid w:val="004036AC"/>
    <w:rsid w:val="00403A15"/>
    <w:rsid w:val="00403AD6"/>
    <w:rsid w:val="004042E5"/>
    <w:rsid w:val="00404A7D"/>
    <w:rsid w:val="00405461"/>
    <w:rsid w:val="00405477"/>
    <w:rsid w:val="0040566B"/>
    <w:rsid w:val="004058B9"/>
    <w:rsid w:val="00405AB5"/>
    <w:rsid w:val="00405C5D"/>
    <w:rsid w:val="00405E6C"/>
    <w:rsid w:val="00406079"/>
    <w:rsid w:val="0040654A"/>
    <w:rsid w:val="004066E7"/>
    <w:rsid w:val="004067F1"/>
    <w:rsid w:val="0040689D"/>
    <w:rsid w:val="00406A50"/>
    <w:rsid w:val="00406C91"/>
    <w:rsid w:val="00407363"/>
    <w:rsid w:val="0040798D"/>
    <w:rsid w:val="00407E6E"/>
    <w:rsid w:val="00410179"/>
    <w:rsid w:val="00410441"/>
    <w:rsid w:val="0041074C"/>
    <w:rsid w:val="0041078F"/>
    <w:rsid w:val="00410B78"/>
    <w:rsid w:val="0041102C"/>
    <w:rsid w:val="00411154"/>
    <w:rsid w:val="00411208"/>
    <w:rsid w:val="004114A9"/>
    <w:rsid w:val="004114C9"/>
    <w:rsid w:val="00411645"/>
    <w:rsid w:val="00411863"/>
    <w:rsid w:val="00411BD7"/>
    <w:rsid w:val="00411D31"/>
    <w:rsid w:val="004128FF"/>
    <w:rsid w:val="00412B52"/>
    <w:rsid w:val="00412BDE"/>
    <w:rsid w:val="00413022"/>
    <w:rsid w:val="0041398B"/>
    <w:rsid w:val="00413F0B"/>
    <w:rsid w:val="004143CB"/>
    <w:rsid w:val="00414601"/>
    <w:rsid w:val="004146E5"/>
    <w:rsid w:val="00414828"/>
    <w:rsid w:val="00414C5A"/>
    <w:rsid w:val="00414D14"/>
    <w:rsid w:val="00414DE0"/>
    <w:rsid w:val="00415052"/>
    <w:rsid w:val="004150FE"/>
    <w:rsid w:val="004158A0"/>
    <w:rsid w:val="00415D69"/>
    <w:rsid w:val="00415DEC"/>
    <w:rsid w:val="00415FAD"/>
    <w:rsid w:val="0041600F"/>
    <w:rsid w:val="0041619C"/>
    <w:rsid w:val="004162D3"/>
    <w:rsid w:val="00417377"/>
    <w:rsid w:val="0041747C"/>
    <w:rsid w:val="00417701"/>
    <w:rsid w:val="00417C68"/>
    <w:rsid w:val="00417D7A"/>
    <w:rsid w:val="004203AA"/>
    <w:rsid w:val="00420901"/>
    <w:rsid w:val="00420948"/>
    <w:rsid w:val="00420BA6"/>
    <w:rsid w:val="00420E13"/>
    <w:rsid w:val="00420E32"/>
    <w:rsid w:val="00421063"/>
    <w:rsid w:val="004210D7"/>
    <w:rsid w:val="0042121D"/>
    <w:rsid w:val="0042181C"/>
    <w:rsid w:val="004219E8"/>
    <w:rsid w:val="00421FAA"/>
    <w:rsid w:val="00422508"/>
    <w:rsid w:val="0042267A"/>
    <w:rsid w:val="0042282D"/>
    <w:rsid w:val="00422BE1"/>
    <w:rsid w:val="00422C59"/>
    <w:rsid w:val="00422CFC"/>
    <w:rsid w:val="00423A89"/>
    <w:rsid w:val="00423E35"/>
    <w:rsid w:val="0042409B"/>
    <w:rsid w:val="0042412E"/>
    <w:rsid w:val="0042472D"/>
    <w:rsid w:val="0042505E"/>
    <w:rsid w:val="00425115"/>
    <w:rsid w:val="004257A7"/>
    <w:rsid w:val="00425A22"/>
    <w:rsid w:val="00425A94"/>
    <w:rsid w:val="00425B0B"/>
    <w:rsid w:val="00425E7D"/>
    <w:rsid w:val="00425EF9"/>
    <w:rsid w:val="00426396"/>
    <w:rsid w:val="0042663A"/>
    <w:rsid w:val="004270B5"/>
    <w:rsid w:val="0042770D"/>
    <w:rsid w:val="00427843"/>
    <w:rsid w:val="004279C1"/>
    <w:rsid w:val="00427B37"/>
    <w:rsid w:val="0043009A"/>
    <w:rsid w:val="004303BB"/>
    <w:rsid w:val="004305C5"/>
    <w:rsid w:val="00430C05"/>
    <w:rsid w:val="0043115F"/>
    <w:rsid w:val="004318F9"/>
    <w:rsid w:val="00431BB8"/>
    <w:rsid w:val="004327A9"/>
    <w:rsid w:val="004329E5"/>
    <w:rsid w:val="00432B9E"/>
    <w:rsid w:val="00432BB8"/>
    <w:rsid w:val="00432E66"/>
    <w:rsid w:val="00432F84"/>
    <w:rsid w:val="0043362A"/>
    <w:rsid w:val="0043436F"/>
    <w:rsid w:val="00434374"/>
    <w:rsid w:val="00434476"/>
    <w:rsid w:val="00434A4A"/>
    <w:rsid w:val="00434E4F"/>
    <w:rsid w:val="00435197"/>
    <w:rsid w:val="0043557B"/>
    <w:rsid w:val="0043561C"/>
    <w:rsid w:val="00435BC9"/>
    <w:rsid w:val="00435DF5"/>
    <w:rsid w:val="0043678E"/>
    <w:rsid w:val="0043699B"/>
    <w:rsid w:val="00436DF9"/>
    <w:rsid w:val="00437005"/>
    <w:rsid w:val="00437876"/>
    <w:rsid w:val="00437B57"/>
    <w:rsid w:val="00440068"/>
    <w:rsid w:val="00440418"/>
    <w:rsid w:val="004410BC"/>
    <w:rsid w:val="00441164"/>
    <w:rsid w:val="004414D3"/>
    <w:rsid w:val="004415C2"/>
    <w:rsid w:val="00441A6C"/>
    <w:rsid w:val="004420F9"/>
    <w:rsid w:val="004422EC"/>
    <w:rsid w:val="0044249D"/>
    <w:rsid w:val="004426AD"/>
    <w:rsid w:val="00443250"/>
    <w:rsid w:val="004435D7"/>
    <w:rsid w:val="004436C4"/>
    <w:rsid w:val="00443CFE"/>
    <w:rsid w:val="00443F45"/>
    <w:rsid w:val="0044410A"/>
    <w:rsid w:val="00444188"/>
    <w:rsid w:val="00444473"/>
    <w:rsid w:val="0044482D"/>
    <w:rsid w:val="00444927"/>
    <w:rsid w:val="004449A6"/>
    <w:rsid w:val="00444D84"/>
    <w:rsid w:val="00444FEA"/>
    <w:rsid w:val="0044530D"/>
    <w:rsid w:val="0044536C"/>
    <w:rsid w:val="004458AB"/>
    <w:rsid w:val="00445C9F"/>
    <w:rsid w:val="00445F4E"/>
    <w:rsid w:val="004463E7"/>
    <w:rsid w:val="0044672C"/>
    <w:rsid w:val="00446D64"/>
    <w:rsid w:val="00446FB0"/>
    <w:rsid w:val="00447577"/>
    <w:rsid w:val="004477C4"/>
    <w:rsid w:val="004501E9"/>
    <w:rsid w:val="004503A1"/>
    <w:rsid w:val="0045059B"/>
    <w:rsid w:val="004505E7"/>
    <w:rsid w:val="00450674"/>
    <w:rsid w:val="00450CAE"/>
    <w:rsid w:val="004511C7"/>
    <w:rsid w:val="0045197A"/>
    <w:rsid w:val="00451B26"/>
    <w:rsid w:val="00451C64"/>
    <w:rsid w:val="0045201A"/>
    <w:rsid w:val="0045251E"/>
    <w:rsid w:val="00452687"/>
    <w:rsid w:val="00452691"/>
    <w:rsid w:val="0045283F"/>
    <w:rsid w:val="00453D2C"/>
    <w:rsid w:val="00453DB3"/>
    <w:rsid w:val="00453DC1"/>
    <w:rsid w:val="00453F48"/>
    <w:rsid w:val="00453FCD"/>
    <w:rsid w:val="00454A21"/>
    <w:rsid w:val="00454B72"/>
    <w:rsid w:val="00454B8F"/>
    <w:rsid w:val="00454C05"/>
    <w:rsid w:val="00454C20"/>
    <w:rsid w:val="00454C37"/>
    <w:rsid w:val="00454F4E"/>
    <w:rsid w:val="0045546F"/>
    <w:rsid w:val="004558FA"/>
    <w:rsid w:val="00455CAE"/>
    <w:rsid w:val="00455E9B"/>
    <w:rsid w:val="00456437"/>
    <w:rsid w:val="00456438"/>
    <w:rsid w:val="00456A0A"/>
    <w:rsid w:val="00456D15"/>
    <w:rsid w:val="00456DC0"/>
    <w:rsid w:val="0045725B"/>
    <w:rsid w:val="004578E3"/>
    <w:rsid w:val="00457CF5"/>
    <w:rsid w:val="004602D4"/>
    <w:rsid w:val="0046031D"/>
    <w:rsid w:val="00460657"/>
    <w:rsid w:val="004608BA"/>
    <w:rsid w:val="00460A4B"/>
    <w:rsid w:val="00460AA8"/>
    <w:rsid w:val="00461252"/>
    <w:rsid w:val="004613E4"/>
    <w:rsid w:val="0046159B"/>
    <w:rsid w:val="00461A7C"/>
    <w:rsid w:val="00461A84"/>
    <w:rsid w:val="00461ABF"/>
    <w:rsid w:val="00461E66"/>
    <w:rsid w:val="00461EBB"/>
    <w:rsid w:val="00461FFA"/>
    <w:rsid w:val="00462286"/>
    <w:rsid w:val="00462AAB"/>
    <w:rsid w:val="00462C80"/>
    <w:rsid w:val="00462D87"/>
    <w:rsid w:val="00462D95"/>
    <w:rsid w:val="00462F25"/>
    <w:rsid w:val="004631A1"/>
    <w:rsid w:val="0046330C"/>
    <w:rsid w:val="00463393"/>
    <w:rsid w:val="00463717"/>
    <w:rsid w:val="00463754"/>
    <w:rsid w:val="004637CD"/>
    <w:rsid w:val="00463EC9"/>
    <w:rsid w:val="004646B4"/>
    <w:rsid w:val="00464964"/>
    <w:rsid w:val="00464A75"/>
    <w:rsid w:val="004653AD"/>
    <w:rsid w:val="00465498"/>
    <w:rsid w:val="00465582"/>
    <w:rsid w:val="00465A3C"/>
    <w:rsid w:val="00465A7C"/>
    <w:rsid w:val="00465F55"/>
    <w:rsid w:val="00466093"/>
    <w:rsid w:val="0046615C"/>
    <w:rsid w:val="0046635D"/>
    <w:rsid w:val="00466668"/>
    <w:rsid w:val="004666B2"/>
    <w:rsid w:val="00466742"/>
    <w:rsid w:val="00466A2E"/>
    <w:rsid w:val="00466AE4"/>
    <w:rsid w:val="00467074"/>
    <w:rsid w:val="00467370"/>
    <w:rsid w:val="0046756D"/>
    <w:rsid w:val="0046774B"/>
    <w:rsid w:val="004677AD"/>
    <w:rsid w:val="004677E1"/>
    <w:rsid w:val="00467A1C"/>
    <w:rsid w:val="00467B68"/>
    <w:rsid w:val="00467D8B"/>
    <w:rsid w:val="00467EDD"/>
    <w:rsid w:val="00470D4C"/>
    <w:rsid w:val="0047122D"/>
    <w:rsid w:val="00471361"/>
    <w:rsid w:val="004717F4"/>
    <w:rsid w:val="00471A12"/>
    <w:rsid w:val="00471C14"/>
    <w:rsid w:val="004724CE"/>
    <w:rsid w:val="00472834"/>
    <w:rsid w:val="00472ADA"/>
    <w:rsid w:val="00472AF9"/>
    <w:rsid w:val="00472CA4"/>
    <w:rsid w:val="00472E87"/>
    <w:rsid w:val="004738BC"/>
    <w:rsid w:val="004738E8"/>
    <w:rsid w:val="00473C51"/>
    <w:rsid w:val="00473E89"/>
    <w:rsid w:val="00474322"/>
    <w:rsid w:val="0047443D"/>
    <w:rsid w:val="00474620"/>
    <w:rsid w:val="004746A9"/>
    <w:rsid w:val="004746DA"/>
    <w:rsid w:val="00474A03"/>
    <w:rsid w:val="004751FE"/>
    <w:rsid w:val="00475371"/>
    <w:rsid w:val="0047548C"/>
    <w:rsid w:val="004754C9"/>
    <w:rsid w:val="00475FB6"/>
    <w:rsid w:val="00476446"/>
    <w:rsid w:val="00476479"/>
    <w:rsid w:val="004767BC"/>
    <w:rsid w:val="00476D81"/>
    <w:rsid w:val="0047762B"/>
    <w:rsid w:val="004778B8"/>
    <w:rsid w:val="004779AB"/>
    <w:rsid w:val="00477B96"/>
    <w:rsid w:val="00477C52"/>
    <w:rsid w:val="00477CA1"/>
    <w:rsid w:val="00477FA2"/>
    <w:rsid w:val="004801BA"/>
    <w:rsid w:val="0048028B"/>
    <w:rsid w:val="00480316"/>
    <w:rsid w:val="00480762"/>
    <w:rsid w:val="00480BAF"/>
    <w:rsid w:val="00480C8E"/>
    <w:rsid w:val="00481382"/>
    <w:rsid w:val="00481A19"/>
    <w:rsid w:val="00481BAB"/>
    <w:rsid w:val="00481C87"/>
    <w:rsid w:val="004828B4"/>
    <w:rsid w:val="004829E4"/>
    <w:rsid w:val="00482F94"/>
    <w:rsid w:val="00483314"/>
    <w:rsid w:val="004835ED"/>
    <w:rsid w:val="004836CB"/>
    <w:rsid w:val="004840B7"/>
    <w:rsid w:val="00484D3F"/>
    <w:rsid w:val="004851C3"/>
    <w:rsid w:val="00485352"/>
    <w:rsid w:val="00485B74"/>
    <w:rsid w:val="00486122"/>
    <w:rsid w:val="0048639E"/>
    <w:rsid w:val="004867DA"/>
    <w:rsid w:val="00486EA4"/>
    <w:rsid w:val="00486F65"/>
    <w:rsid w:val="00486FCB"/>
    <w:rsid w:val="004876C2"/>
    <w:rsid w:val="004878B6"/>
    <w:rsid w:val="00487B62"/>
    <w:rsid w:val="00487C76"/>
    <w:rsid w:val="00487E61"/>
    <w:rsid w:val="00487F1E"/>
    <w:rsid w:val="00490130"/>
    <w:rsid w:val="004902C0"/>
    <w:rsid w:val="00490831"/>
    <w:rsid w:val="00490C38"/>
    <w:rsid w:val="00491095"/>
    <w:rsid w:val="00491630"/>
    <w:rsid w:val="004918B1"/>
    <w:rsid w:val="00491B3B"/>
    <w:rsid w:val="00491C5E"/>
    <w:rsid w:val="0049269C"/>
    <w:rsid w:val="004928A8"/>
    <w:rsid w:val="00492B8D"/>
    <w:rsid w:val="00492C56"/>
    <w:rsid w:val="00492D23"/>
    <w:rsid w:val="00492F1A"/>
    <w:rsid w:val="0049304E"/>
    <w:rsid w:val="00493211"/>
    <w:rsid w:val="004932D9"/>
    <w:rsid w:val="00493782"/>
    <w:rsid w:val="004938E0"/>
    <w:rsid w:val="0049398D"/>
    <w:rsid w:val="004939A6"/>
    <w:rsid w:val="00493CF5"/>
    <w:rsid w:val="00493E2D"/>
    <w:rsid w:val="00494B2E"/>
    <w:rsid w:val="00494E4F"/>
    <w:rsid w:val="004952A2"/>
    <w:rsid w:val="00495415"/>
    <w:rsid w:val="00495804"/>
    <w:rsid w:val="0049590C"/>
    <w:rsid w:val="00495CBB"/>
    <w:rsid w:val="00495D9A"/>
    <w:rsid w:val="004963CB"/>
    <w:rsid w:val="004966E0"/>
    <w:rsid w:val="00496FD6"/>
    <w:rsid w:val="0049793F"/>
    <w:rsid w:val="004979FF"/>
    <w:rsid w:val="00497D1D"/>
    <w:rsid w:val="004A05C8"/>
    <w:rsid w:val="004A0697"/>
    <w:rsid w:val="004A0B83"/>
    <w:rsid w:val="004A0ECC"/>
    <w:rsid w:val="004A1163"/>
    <w:rsid w:val="004A1246"/>
    <w:rsid w:val="004A17FA"/>
    <w:rsid w:val="004A1932"/>
    <w:rsid w:val="004A1DAD"/>
    <w:rsid w:val="004A2005"/>
    <w:rsid w:val="004A215B"/>
    <w:rsid w:val="004A23E5"/>
    <w:rsid w:val="004A25D9"/>
    <w:rsid w:val="004A270B"/>
    <w:rsid w:val="004A29C7"/>
    <w:rsid w:val="004A2B71"/>
    <w:rsid w:val="004A2CD5"/>
    <w:rsid w:val="004A321F"/>
    <w:rsid w:val="004A3429"/>
    <w:rsid w:val="004A3644"/>
    <w:rsid w:val="004A38A5"/>
    <w:rsid w:val="004A38D6"/>
    <w:rsid w:val="004A3A41"/>
    <w:rsid w:val="004A3A47"/>
    <w:rsid w:val="004A3ABF"/>
    <w:rsid w:val="004A3CB7"/>
    <w:rsid w:val="004A3F18"/>
    <w:rsid w:val="004A3F2E"/>
    <w:rsid w:val="004A42CE"/>
    <w:rsid w:val="004A43DF"/>
    <w:rsid w:val="004A441D"/>
    <w:rsid w:val="004A44DF"/>
    <w:rsid w:val="004A45FD"/>
    <w:rsid w:val="004A471D"/>
    <w:rsid w:val="004A493E"/>
    <w:rsid w:val="004A4D06"/>
    <w:rsid w:val="004A4FC8"/>
    <w:rsid w:val="004A50BC"/>
    <w:rsid w:val="004A5232"/>
    <w:rsid w:val="004A55BE"/>
    <w:rsid w:val="004A657D"/>
    <w:rsid w:val="004A664D"/>
    <w:rsid w:val="004A6825"/>
    <w:rsid w:val="004A69DA"/>
    <w:rsid w:val="004A6D5C"/>
    <w:rsid w:val="004A723F"/>
    <w:rsid w:val="004A72DD"/>
    <w:rsid w:val="004A74C3"/>
    <w:rsid w:val="004A76F0"/>
    <w:rsid w:val="004A76FD"/>
    <w:rsid w:val="004A7922"/>
    <w:rsid w:val="004B0033"/>
    <w:rsid w:val="004B04F1"/>
    <w:rsid w:val="004B0624"/>
    <w:rsid w:val="004B06D0"/>
    <w:rsid w:val="004B0A5F"/>
    <w:rsid w:val="004B0B6E"/>
    <w:rsid w:val="004B11AD"/>
    <w:rsid w:val="004B140D"/>
    <w:rsid w:val="004B15CE"/>
    <w:rsid w:val="004B1687"/>
    <w:rsid w:val="004B20E2"/>
    <w:rsid w:val="004B2575"/>
    <w:rsid w:val="004B2630"/>
    <w:rsid w:val="004B27E3"/>
    <w:rsid w:val="004B2918"/>
    <w:rsid w:val="004B29F6"/>
    <w:rsid w:val="004B34DD"/>
    <w:rsid w:val="004B358D"/>
    <w:rsid w:val="004B40A7"/>
    <w:rsid w:val="004B4249"/>
    <w:rsid w:val="004B4A60"/>
    <w:rsid w:val="004B4BC7"/>
    <w:rsid w:val="004B50E3"/>
    <w:rsid w:val="004B51A3"/>
    <w:rsid w:val="004B534E"/>
    <w:rsid w:val="004B5393"/>
    <w:rsid w:val="004B5551"/>
    <w:rsid w:val="004B59CB"/>
    <w:rsid w:val="004B625B"/>
    <w:rsid w:val="004B64D4"/>
    <w:rsid w:val="004B6901"/>
    <w:rsid w:val="004B6F05"/>
    <w:rsid w:val="004B702B"/>
    <w:rsid w:val="004B768B"/>
    <w:rsid w:val="004B774C"/>
    <w:rsid w:val="004B7AD9"/>
    <w:rsid w:val="004B7E64"/>
    <w:rsid w:val="004C0244"/>
    <w:rsid w:val="004C0712"/>
    <w:rsid w:val="004C0962"/>
    <w:rsid w:val="004C0EC9"/>
    <w:rsid w:val="004C0F0D"/>
    <w:rsid w:val="004C0FBF"/>
    <w:rsid w:val="004C142D"/>
    <w:rsid w:val="004C175A"/>
    <w:rsid w:val="004C1838"/>
    <w:rsid w:val="004C19D2"/>
    <w:rsid w:val="004C1AA7"/>
    <w:rsid w:val="004C1CE3"/>
    <w:rsid w:val="004C2AD4"/>
    <w:rsid w:val="004C2B40"/>
    <w:rsid w:val="004C2C19"/>
    <w:rsid w:val="004C2C95"/>
    <w:rsid w:val="004C2CAC"/>
    <w:rsid w:val="004C3539"/>
    <w:rsid w:val="004C381C"/>
    <w:rsid w:val="004C3F0D"/>
    <w:rsid w:val="004C3FD7"/>
    <w:rsid w:val="004C4648"/>
    <w:rsid w:val="004C48E5"/>
    <w:rsid w:val="004C4971"/>
    <w:rsid w:val="004C50C0"/>
    <w:rsid w:val="004C55E8"/>
    <w:rsid w:val="004C5AA1"/>
    <w:rsid w:val="004C5BBD"/>
    <w:rsid w:val="004C5D10"/>
    <w:rsid w:val="004C600D"/>
    <w:rsid w:val="004C6374"/>
    <w:rsid w:val="004C64D0"/>
    <w:rsid w:val="004C6641"/>
    <w:rsid w:val="004C683A"/>
    <w:rsid w:val="004C6B4F"/>
    <w:rsid w:val="004C6D63"/>
    <w:rsid w:val="004C6DF5"/>
    <w:rsid w:val="004C7754"/>
    <w:rsid w:val="004C784B"/>
    <w:rsid w:val="004C79D9"/>
    <w:rsid w:val="004D059B"/>
    <w:rsid w:val="004D0705"/>
    <w:rsid w:val="004D0EBA"/>
    <w:rsid w:val="004D14E1"/>
    <w:rsid w:val="004D199D"/>
    <w:rsid w:val="004D1E35"/>
    <w:rsid w:val="004D21E5"/>
    <w:rsid w:val="004D2237"/>
    <w:rsid w:val="004D259F"/>
    <w:rsid w:val="004D25E2"/>
    <w:rsid w:val="004D26A0"/>
    <w:rsid w:val="004D2844"/>
    <w:rsid w:val="004D3A17"/>
    <w:rsid w:val="004D3E36"/>
    <w:rsid w:val="004D4588"/>
    <w:rsid w:val="004D4AC2"/>
    <w:rsid w:val="004D4B5B"/>
    <w:rsid w:val="004D4CAE"/>
    <w:rsid w:val="004D5038"/>
    <w:rsid w:val="004D50DC"/>
    <w:rsid w:val="004D51D4"/>
    <w:rsid w:val="004D5251"/>
    <w:rsid w:val="004D53F8"/>
    <w:rsid w:val="004D5D9E"/>
    <w:rsid w:val="004D5EBD"/>
    <w:rsid w:val="004D6314"/>
    <w:rsid w:val="004D68BE"/>
    <w:rsid w:val="004D68ED"/>
    <w:rsid w:val="004D6A67"/>
    <w:rsid w:val="004D6D7B"/>
    <w:rsid w:val="004D7312"/>
    <w:rsid w:val="004D7420"/>
    <w:rsid w:val="004D7576"/>
    <w:rsid w:val="004E00E6"/>
    <w:rsid w:val="004E01C0"/>
    <w:rsid w:val="004E0242"/>
    <w:rsid w:val="004E054D"/>
    <w:rsid w:val="004E06B0"/>
    <w:rsid w:val="004E07DA"/>
    <w:rsid w:val="004E08E7"/>
    <w:rsid w:val="004E0A8F"/>
    <w:rsid w:val="004E111B"/>
    <w:rsid w:val="004E1454"/>
    <w:rsid w:val="004E1E3E"/>
    <w:rsid w:val="004E1EA8"/>
    <w:rsid w:val="004E2459"/>
    <w:rsid w:val="004E26C8"/>
    <w:rsid w:val="004E2822"/>
    <w:rsid w:val="004E2921"/>
    <w:rsid w:val="004E2BC5"/>
    <w:rsid w:val="004E2FD4"/>
    <w:rsid w:val="004E305F"/>
    <w:rsid w:val="004E368E"/>
    <w:rsid w:val="004E3834"/>
    <w:rsid w:val="004E3C85"/>
    <w:rsid w:val="004E3FB6"/>
    <w:rsid w:val="004E41AF"/>
    <w:rsid w:val="004E4277"/>
    <w:rsid w:val="004E46EE"/>
    <w:rsid w:val="004E49BD"/>
    <w:rsid w:val="004E4E85"/>
    <w:rsid w:val="004E4F95"/>
    <w:rsid w:val="004E53FC"/>
    <w:rsid w:val="004E578F"/>
    <w:rsid w:val="004E5CB9"/>
    <w:rsid w:val="004E5CF5"/>
    <w:rsid w:val="004E63EE"/>
    <w:rsid w:val="004E650B"/>
    <w:rsid w:val="004E6510"/>
    <w:rsid w:val="004E6593"/>
    <w:rsid w:val="004E6BC9"/>
    <w:rsid w:val="004E6CBA"/>
    <w:rsid w:val="004E73E8"/>
    <w:rsid w:val="004E7540"/>
    <w:rsid w:val="004E7FC0"/>
    <w:rsid w:val="004F0148"/>
    <w:rsid w:val="004F04C9"/>
    <w:rsid w:val="004F0564"/>
    <w:rsid w:val="004F056A"/>
    <w:rsid w:val="004F0571"/>
    <w:rsid w:val="004F05B8"/>
    <w:rsid w:val="004F06B9"/>
    <w:rsid w:val="004F083D"/>
    <w:rsid w:val="004F0C3F"/>
    <w:rsid w:val="004F0DF9"/>
    <w:rsid w:val="004F1A7E"/>
    <w:rsid w:val="004F2715"/>
    <w:rsid w:val="004F28AA"/>
    <w:rsid w:val="004F2A1D"/>
    <w:rsid w:val="004F2BB1"/>
    <w:rsid w:val="004F2F35"/>
    <w:rsid w:val="004F304A"/>
    <w:rsid w:val="004F30BF"/>
    <w:rsid w:val="004F34AC"/>
    <w:rsid w:val="004F37EE"/>
    <w:rsid w:val="004F3BE6"/>
    <w:rsid w:val="004F3BF4"/>
    <w:rsid w:val="004F3D20"/>
    <w:rsid w:val="004F3FD2"/>
    <w:rsid w:val="004F40AD"/>
    <w:rsid w:val="004F41C8"/>
    <w:rsid w:val="004F4978"/>
    <w:rsid w:val="004F4F47"/>
    <w:rsid w:val="004F56ED"/>
    <w:rsid w:val="004F588D"/>
    <w:rsid w:val="004F59FF"/>
    <w:rsid w:val="004F5C58"/>
    <w:rsid w:val="004F5D56"/>
    <w:rsid w:val="004F5F23"/>
    <w:rsid w:val="004F5FA0"/>
    <w:rsid w:val="004F6045"/>
    <w:rsid w:val="004F6147"/>
    <w:rsid w:val="004F614F"/>
    <w:rsid w:val="004F6677"/>
    <w:rsid w:val="004F6782"/>
    <w:rsid w:val="004F69FE"/>
    <w:rsid w:val="004F6ED6"/>
    <w:rsid w:val="004F6EE4"/>
    <w:rsid w:val="004F752A"/>
    <w:rsid w:val="004F781C"/>
    <w:rsid w:val="004F7918"/>
    <w:rsid w:val="004F7F31"/>
    <w:rsid w:val="0050098F"/>
    <w:rsid w:val="00500CC6"/>
    <w:rsid w:val="005017AF"/>
    <w:rsid w:val="00501A5D"/>
    <w:rsid w:val="00501C1C"/>
    <w:rsid w:val="00502190"/>
    <w:rsid w:val="005022AE"/>
    <w:rsid w:val="005034E2"/>
    <w:rsid w:val="00503738"/>
    <w:rsid w:val="00503797"/>
    <w:rsid w:val="005038CB"/>
    <w:rsid w:val="0050398F"/>
    <w:rsid w:val="005039EE"/>
    <w:rsid w:val="00503F6D"/>
    <w:rsid w:val="00504CF2"/>
    <w:rsid w:val="005051C5"/>
    <w:rsid w:val="00505714"/>
    <w:rsid w:val="005057FE"/>
    <w:rsid w:val="00505827"/>
    <w:rsid w:val="00505B35"/>
    <w:rsid w:val="0050634D"/>
    <w:rsid w:val="00506441"/>
    <w:rsid w:val="005067EB"/>
    <w:rsid w:val="00506A1E"/>
    <w:rsid w:val="00506B64"/>
    <w:rsid w:val="00506C00"/>
    <w:rsid w:val="00506E42"/>
    <w:rsid w:val="00507749"/>
    <w:rsid w:val="00507A41"/>
    <w:rsid w:val="00510162"/>
    <w:rsid w:val="005106A0"/>
    <w:rsid w:val="00510A77"/>
    <w:rsid w:val="00510B78"/>
    <w:rsid w:val="00510FFA"/>
    <w:rsid w:val="005111E1"/>
    <w:rsid w:val="00511586"/>
    <w:rsid w:val="0051180D"/>
    <w:rsid w:val="0051227C"/>
    <w:rsid w:val="0051254F"/>
    <w:rsid w:val="005125B3"/>
    <w:rsid w:val="005125B6"/>
    <w:rsid w:val="005129F7"/>
    <w:rsid w:val="00512AF0"/>
    <w:rsid w:val="00512E59"/>
    <w:rsid w:val="005130A1"/>
    <w:rsid w:val="005133C9"/>
    <w:rsid w:val="0051367A"/>
    <w:rsid w:val="005137A4"/>
    <w:rsid w:val="00513E25"/>
    <w:rsid w:val="0051430B"/>
    <w:rsid w:val="005144B5"/>
    <w:rsid w:val="00514710"/>
    <w:rsid w:val="00514CF7"/>
    <w:rsid w:val="00514E75"/>
    <w:rsid w:val="0051524A"/>
    <w:rsid w:val="0051535D"/>
    <w:rsid w:val="005158FB"/>
    <w:rsid w:val="00515A03"/>
    <w:rsid w:val="0051601C"/>
    <w:rsid w:val="005162F1"/>
    <w:rsid w:val="005162FB"/>
    <w:rsid w:val="00516603"/>
    <w:rsid w:val="0051788F"/>
    <w:rsid w:val="00517E75"/>
    <w:rsid w:val="0052095A"/>
    <w:rsid w:val="00520E0A"/>
    <w:rsid w:val="0052125B"/>
    <w:rsid w:val="00521565"/>
    <w:rsid w:val="00521745"/>
    <w:rsid w:val="005219BF"/>
    <w:rsid w:val="005221B4"/>
    <w:rsid w:val="005224A4"/>
    <w:rsid w:val="00522B66"/>
    <w:rsid w:val="00523055"/>
    <w:rsid w:val="005232C3"/>
    <w:rsid w:val="005234BC"/>
    <w:rsid w:val="00523D53"/>
    <w:rsid w:val="00523D66"/>
    <w:rsid w:val="00523F12"/>
    <w:rsid w:val="00523FCF"/>
    <w:rsid w:val="0052446A"/>
    <w:rsid w:val="00524490"/>
    <w:rsid w:val="005244CA"/>
    <w:rsid w:val="005248DC"/>
    <w:rsid w:val="005249CF"/>
    <w:rsid w:val="00524A48"/>
    <w:rsid w:val="00524ACF"/>
    <w:rsid w:val="005251FB"/>
    <w:rsid w:val="00525285"/>
    <w:rsid w:val="0052543F"/>
    <w:rsid w:val="0052553B"/>
    <w:rsid w:val="00525A58"/>
    <w:rsid w:val="00525A6A"/>
    <w:rsid w:val="00525BBB"/>
    <w:rsid w:val="00525DF6"/>
    <w:rsid w:val="00526118"/>
    <w:rsid w:val="005263EB"/>
    <w:rsid w:val="00526534"/>
    <w:rsid w:val="005267CF"/>
    <w:rsid w:val="0052699C"/>
    <w:rsid w:val="00526AE6"/>
    <w:rsid w:val="00526CF2"/>
    <w:rsid w:val="0052700A"/>
    <w:rsid w:val="005272A2"/>
    <w:rsid w:val="005275E5"/>
    <w:rsid w:val="00527868"/>
    <w:rsid w:val="00527A5E"/>
    <w:rsid w:val="00527B27"/>
    <w:rsid w:val="00527BA9"/>
    <w:rsid w:val="00530166"/>
    <w:rsid w:val="00530771"/>
    <w:rsid w:val="00530783"/>
    <w:rsid w:val="00530833"/>
    <w:rsid w:val="00530DE9"/>
    <w:rsid w:val="00530EBF"/>
    <w:rsid w:val="00531469"/>
    <w:rsid w:val="005314FB"/>
    <w:rsid w:val="0053199B"/>
    <w:rsid w:val="00531B9E"/>
    <w:rsid w:val="005320EA"/>
    <w:rsid w:val="00532EED"/>
    <w:rsid w:val="00533561"/>
    <w:rsid w:val="00533C9D"/>
    <w:rsid w:val="005348CE"/>
    <w:rsid w:val="00534A7B"/>
    <w:rsid w:val="00534FA1"/>
    <w:rsid w:val="0053567B"/>
    <w:rsid w:val="005356D8"/>
    <w:rsid w:val="0053578C"/>
    <w:rsid w:val="00535955"/>
    <w:rsid w:val="00535DC9"/>
    <w:rsid w:val="0053625D"/>
    <w:rsid w:val="00536816"/>
    <w:rsid w:val="00536F59"/>
    <w:rsid w:val="00537507"/>
    <w:rsid w:val="00537A32"/>
    <w:rsid w:val="00537F17"/>
    <w:rsid w:val="00540376"/>
    <w:rsid w:val="0054077E"/>
    <w:rsid w:val="00540889"/>
    <w:rsid w:val="00540997"/>
    <w:rsid w:val="005412F3"/>
    <w:rsid w:val="00541413"/>
    <w:rsid w:val="005414EF"/>
    <w:rsid w:val="005420CD"/>
    <w:rsid w:val="00542366"/>
    <w:rsid w:val="005424AA"/>
    <w:rsid w:val="005425AD"/>
    <w:rsid w:val="00542A02"/>
    <w:rsid w:val="005431F0"/>
    <w:rsid w:val="005431FC"/>
    <w:rsid w:val="00543B50"/>
    <w:rsid w:val="00543E78"/>
    <w:rsid w:val="00544329"/>
    <w:rsid w:val="00544453"/>
    <w:rsid w:val="005446AA"/>
    <w:rsid w:val="0054481C"/>
    <w:rsid w:val="005448CD"/>
    <w:rsid w:val="00545158"/>
    <w:rsid w:val="00545440"/>
    <w:rsid w:val="005454E8"/>
    <w:rsid w:val="00545C69"/>
    <w:rsid w:val="00546132"/>
    <w:rsid w:val="00546319"/>
    <w:rsid w:val="00546C4D"/>
    <w:rsid w:val="00546E90"/>
    <w:rsid w:val="00546FEB"/>
    <w:rsid w:val="0054766B"/>
    <w:rsid w:val="00547E0F"/>
    <w:rsid w:val="005501CE"/>
    <w:rsid w:val="00550242"/>
    <w:rsid w:val="00550733"/>
    <w:rsid w:val="00550AA6"/>
    <w:rsid w:val="00550BAA"/>
    <w:rsid w:val="00550D0E"/>
    <w:rsid w:val="005516BD"/>
    <w:rsid w:val="0055172A"/>
    <w:rsid w:val="00551A54"/>
    <w:rsid w:val="005520B1"/>
    <w:rsid w:val="00552731"/>
    <w:rsid w:val="0055280C"/>
    <w:rsid w:val="00552833"/>
    <w:rsid w:val="00552941"/>
    <w:rsid w:val="005529BB"/>
    <w:rsid w:val="00552F06"/>
    <w:rsid w:val="005530E3"/>
    <w:rsid w:val="00553198"/>
    <w:rsid w:val="00553457"/>
    <w:rsid w:val="0055347B"/>
    <w:rsid w:val="00553797"/>
    <w:rsid w:val="005539BE"/>
    <w:rsid w:val="005539EC"/>
    <w:rsid w:val="00553A0B"/>
    <w:rsid w:val="00553FFB"/>
    <w:rsid w:val="0055421A"/>
    <w:rsid w:val="005542EE"/>
    <w:rsid w:val="00554329"/>
    <w:rsid w:val="00554607"/>
    <w:rsid w:val="00554627"/>
    <w:rsid w:val="0055475C"/>
    <w:rsid w:val="005547FF"/>
    <w:rsid w:val="00554D86"/>
    <w:rsid w:val="00554E74"/>
    <w:rsid w:val="00554F04"/>
    <w:rsid w:val="00554F9C"/>
    <w:rsid w:val="00555E12"/>
    <w:rsid w:val="00556136"/>
    <w:rsid w:val="005563C9"/>
    <w:rsid w:val="005566AA"/>
    <w:rsid w:val="00556B93"/>
    <w:rsid w:val="00556D00"/>
    <w:rsid w:val="0055711B"/>
    <w:rsid w:val="0055738E"/>
    <w:rsid w:val="005574F9"/>
    <w:rsid w:val="0055758F"/>
    <w:rsid w:val="0055770D"/>
    <w:rsid w:val="00557DAC"/>
    <w:rsid w:val="00560031"/>
    <w:rsid w:val="00560194"/>
    <w:rsid w:val="005602C8"/>
    <w:rsid w:val="005602EA"/>
    <w:rsid w:val="00560404"/>
    <w:rsid w:val="00560469"/>
    <w:rsid w:val="00560624"/>
    <w:rsid w:val="00560748"/>
    <w:rsid w:val="00560881"/>
    <w:rsid w:val="00560978"/>
    <w:rsid w:val="00560A37"/>
    <w:rsid w:val="00560B65"/>
    <w:rsid w:val="00560C38"/>
    <w:rsid w:val="00560D2B"/>
    <w:rsid w:val="00560DE2"/>
    <w:rsid w:val="00560FAC"/>
    <w:rsid w:val="005611B9"/>
    <w:rsid w:val="005612D4"/>
    <w:rsid w:val="005613A3"/>
    <w:rsid w:val="005613A7"/>
    <w:rsid w:val="00561710"/>
    <w:rsid w:val="00561975"/>
    <w:rsid w:val="005619B7"/>
    <w:rsid w:val="00561AEE"/>
    <w:rsid w:val="00561C1C"/>
    <w:rsid w:val="00561CCE"/>
    <w:rsid w:val="00561D3C"/>
    <w:rsid w:val="00562A5F"/>
    <w:rsid w:val="00562BE5"/>
    <w:rsid w:val="00562D7E"/>
    <w:rsid w:val="00562E3D"/>
    <w:rsid w:val="005634BA"/>
    <w:rsid w:val="005639B1"/>
    <w:rsid w:val="00563ADB"/>
    <w:rsid w:val="00563EC3"/>
    <w:rsid w:val="00563F75"/>
    <w:rsid w:val="005640EB"/>
    <w:rsid w:val="00564600"/>
    <w:rsid w:val="0056495D"/>
    <w:rsid w:val="00564DA3"/>
    <w:rsid w:val="00564EB4"/>
    <w:rsid w:val="005651DE"/>
    <w:rsid w:val="00565514"/>
    <w:rsid w:val="0056557A"/>
    <w:rsid w:val="00565A48"/>
    <w:rsid w:val="00565FCB"/>
    <w:rsid w:val="00566076"/>
    <w:rsid w:val="00566282"/>
    <w:rsid w:val="00566571"/>
    <w:rsid w:val="005666B9"/>
    <w:rsid w:val="00566766"/>
    <w:rsid w:val="00566845"/>
    <w:rsid w:val="00566A6C"/>
    <w:rsid w:val="00566F82"/>
    <w:rsid w:val="00567218"/>
    <w:rsid w:val="00567646"/>
    <w:rsid w:val="00567851"/>
    <w:rsid w:val="00567B69"/>
    <w:rsid w:val="00570072"/>
    <w:rsid w:val="0057013D"/>
    <w:rsid w:val="0057031E"/>
    <w:rsid w:val="00570584"/>
    <w:rsid w:val="005705C8"/>
    <w:rsid w:val="0057094E"/>
    <w:rsid w:val="00570A00"/>
    <w:rsid w:val="00570E16"/>
    <w:rsid w:val="005712D6"/>
    <w:rsid w:val="00571812"/>
    <w:rsid w:val="00571DCD"/>
    <w:rsid w:val="0057218C"/>
    <w:rsid w:val="005723F9"/>
    <w:rsid w:val="00572C81"/>
    <w:rsid w:val="00572E70"/>
    <w:rsid w:val="00572EB6"/>
    <w:rsid w:val="00573348"/>
    <w:rsid w:val="00573369"/>
    <w:rsid w:val="0057337D"/>
    <w:rsid w:val="0057354E"/>
    <w:rsid w:val="005737C9"/>
    <w:rsid w:val="00573C20"/>
    <w:rsid w:val="00574098"/>
    <w:rsid w:val="0057418A"/>
    <w:rsid w:val="005747F1"/>
    <w:rsid w:val="00574923"/>
    <w:rsid w:val="005749F3"/>
    <w:rsid w:val="00574D59"/>
    <w:rsid w:val="0057512E"/>
    <w:rsid w:val="00575146"/>
    <w:rsid w:val="0057535A"/>
    <w:rsid w:val="00575641"/>
    <w:rsid w:val="00575BF7"/>
    <w:rsid w:val="00575C24"/>
    <w:rsid w:val="00576226"/>
    <w:rsid w:val="005762EA"/>
    <w:rsid w:val="005767AE"/>
    <w:rsid w:val="00576933"/>
    <w:rsid w:val="005773EC"/>
    <w:rsid w:val="00577AD2"/>
    <w:rsid w:val="00580390"/>
    <w:rsid w:val="00580491"/>
    <w:rsid w:val="00580C3F"/>
    <w:rsid w:val="00580D79"/>
    <w:rsid w:val="00580F52"/>
    <w:rsid w:val="0058137E"/>
    <w:rsid w:val="00581624"/>
    <w:rsid w:val="005816EE"/>
    <w:rsid w:val="005817B2"/>
    <w:rsid w:val="005819CB"/>
    <w:rsid w:val="005819F7"/>
    <w:rsid w:val="00581A20"/>
    <w:rsid w:val="00581BC4"/>
    <w:rsid w:val="00581C35"/>
    <w:rsid w:val="00581C62"/>
    <w:rsid w:val="0058204A"/>
    <w:rsid w:val="005820CE"/>
    <w:rsid w:val="005820EC"/>
    <w:rsid w:val="0058220C"/>
    <w:rsid w:val="00582265"/>
    <w:rsid w:val="005823A5"/>
    <w:rsid w:val="005824C6"/>
    <w:rsid w:val="00582629"/>
    <w:rsid w:val="00582674"/>
    <w:rsid w:val="0058267C"/>
    <w:rsid w:val="005826EE"/>
    <w:rsid w:val="0058271E"/>
    <w:rsid w:val="0058283F"/>
    <w:rsid w:val="00582ECE"/>
    <w:rsid w:val="00583198"/>
    <w:rsid w:val="005831BF"/>
    <w:rsid w:val="005834BC"/>
    <w:rsid w:val="00583930"/>
    <w:rsid w:val="00583BFE"/>
    <w:rsid w:val="00583D8A"/>
    <w:rsid w:val="00583DBE"/>
    <w:rsid w:val="005840EB"/>
    <w:rsid w:val="005840EF"/>
    <w:rsid w:val="005843BE"/>
    <w:rsid w:val="005845A3"/>
    <w:rsid w:val="005848F8"/>
    <w:rsid w:val="00584E2F"/>
    <w:rsid w:val="005850F8"/>
    <w:rsid w:val="00585151"/>
    <w:rsid w:val="0058523B"/>
    <w:rsid w:val="0058525B"/>
    <w:rsid w:val="00585AAE"/>
    <w:rsid w:val="00585C03"/>
    <w:rsid w:val="00585F1C"/>
    <w:rsid w:val="005863B2"/>
    <w:rsid w:val="005863F7"/>
    <w:rsid w:val="00586637"/>
    <w:rsid w:val="005868AB"/>
    <w:rsid w:val="005868C2"/>
    <w:rsid w:val="00587229"/>
    <w:rsid w:val="00587C46"/>
    <w:rsid w:val="00587F56"/>
    <w:rsid w:val="00587FD9"/>
    <w:rsid w:val="0059001E"/>
    <w:rsid w:val="005900B9"/>
    <w:rsid w:val="005902C9"/>
    <w:rsid w:val="005908B9"/>
    <w:rsid w:val="00591265"/>
    <w:rsid w:val="00591282"/>
    <w:rsid w:val="00591283"/>
    <w:rsid w:val="005915A4"/>
    <w:rsid w:val="005924D3"/>
    <w:rsid w:val="005924F1"/>
    <w:rsid w:val="005925E3"/>
    <w:rsid w:val="00592CF0"/>
    <w:rsid w:val="0059304D"/>
    <w:rsid w:val="00593058"/>
    <w:rsid w:val="005933AE"/>
    <w:rsid w:val="005934A8"/>
    <w:rsid w:val="0059382B"/>
    <w:rsid w:val="00593CBE"/>
    <w:rsid w:val="00593F5D"/>
    <w:rsid w:val="0059404E"/>
    <w:rsid w:val="0059406A"/>
    <w:rsid w:val="005944F1"/>
    <w:rsid w:val="005946CA"/>
    <w:rsid w:val="005948E1"/>
    <w:rsid w:val="005948F3"/>
    <w:rsid w:val="00594B14"/>
    <w:rsid w:val="00594CD9"/>
    <w:rsid w:val="00595156"/>
    <w:rsid w:val="005962ED"/>
    <w:rsid w:val="005965C9"/>
    <w:rsid w:val="005966C9"/>
    <w:rsid w:val="00596790"/>
    <w:rsid w:val="005967C0"/>
    <w:rsid w:val="00596832"/>
    <w:rsid w:val="00596CCB"/>
    <w:rsid w:val="00596DB6"/>
    <w:rsid w:val="005970CD"/>
    <w:rsid w:val="00597459"/>
    <w:rsid w:val="00597753"/>
    <w:rsid w:val="005979C3"/>
    <w:rsid w:val="00597D8A"/>
    <w:rsid w:val="00597E6F"/>
    <w:rsid w:val="00597F9D"/>
    <w:rsid w:val="005A0203"/>
    <w:rsid w:val="005A03BD"/>
    <w:rsid w:val="005A052F"/>
    <w:rsid w:val="005A05DF"/>
    <w:rsid w:val="005A0C7F"/>
    <w:rsid w:val="005A0ECA"/>
    <w:rsid w:val="005A0EFC"/>
    <w:rsid w:val="005A1018"/>
    <w:rsid w:val="005A1099"/>
    <w:rsid w:val="005A10AE"/>
    <w:rsid w:val="005A12EF"/>
    <w:rsid w:val="005A1396"/>
    <w:rsid w:val="005A13B0"/>
    <w:rsid w:val="005A1586"/>
    <w:rsid w:val="005A15BB"/>
    <w:rsid w:val="005A15D8"/>
    <w:rsid w:val="005A1980"/>
    <w:rsid w:val="005A1A26"/>
    <w:rsid w:val="005A1BC8"/>
    <w:rsid w:val="005A1C64"/>
    <w:rsid w:val="005A1CFF"/>
    <w:rsid w:val="005A1D75"/>
    <w:rsid w:val="005A1F74"/>
    <w:rsid w:val="005A207E"/>
    <w:rsid w:val="005A2293"/>
    <w:rsid w:val="005A2593"/>
    <w:rsid w:val="005A2FFB"/>
    <w:rsid w:val="005A3196"/>
    <w:rsid w:val="005A339E"/>
    <w:rsid w:val="005A35CE"/>
    <w:rsid w:val="005A3858"/>
    <w:rsid w:val="005A3993"/>
    <w:rsid w:val="005A3CF7"/>
    <w:rsid w:val="005A3E4B"/>
    <w:rsid w:val="005A3F81"/>
    <w:rsid w:val="005A408B"/>
    <w:rsid w:val="005A4142"/>
    <w:rsid w:val="005A414B"/>
    <w:rsid w:val="005A48B4"/>
    <w:rsid w:val="005A48BD"/>
    <w:rsid w:val="005A581C"/>
    <w:rsid w:val="005A5872"/>
    <w:rsid w:val="005A5A88"/>
    <w:rsid w:val="005A6A8A"/>
    <w:rsid w:val="005A6E32"/>
    <w:rsid w:val="005A6F80"/>
    <w:rsid w:val="005A7215"/>
    <w:rsid w:val="005A726F"/>
    <w:rsid w:val="005A7550"/>
    <w:rsid w:val="005A782E"/>
    <w:rsid w:val="005A793B"/>
    <w:rsid w:val="005A79AE"/>
    <w:rsid w:val="005A7A5C"/>
    <w:rsid w:val="005A7EBC"/>
    <w:rsid w:val="005B00B5"/>
    <w:rsid w:val="005B0168"/>
    <w:rsid w:val="005B01B7"/>
    <w:rsid w:val="005B05E7"/>
    <w:rsid w:val="005B0774"/>
    <w:rsid w:val="005B080D"/>
    <w:rsid w:val="005B0A29"/>
    <w:rsid w:val="005B0E02"/>
    <w:rsid w:val="005B1595"/>
    <w:rsid w:val="005B1731"/>
    <w:rsid w:val="005B1878"/>
    <w:rsid w:val="005B18B2"/>
    <w:rsid w:val="005B1965"/>
    <w:rsid w:val="005B1CF5"/>
    <w:rsid w:val="005B203F"/>
    <w:rsid w:val="005B2054"/>
    <w:rsid w:val="005B247D"/>
    <w:rsid w:val="005B2561"/>
    <w:rsid w:val="005B25AA"/>
    <w:rsid w:val="005B2607"/>
    <w:rsid w:val="005B26FD"/>
    <w:rsid w:val="005B2BC5"/>
    <w:rsid w:val="005B2E63"/>
    <w:rsid w:val="005B3176"/>
    <w:rsid w:val="005B39D8"/>
    <w:rsid w:val="005B3EF1"/>
    <w:rsid w:val="005B3F34"/>
    <w:rsid w:val="005B429E"/>
    <w:rsid w:val="005B42A7"/>
    <w:rsid w:val="005B44D0"/>
    <w:rsid w:val="005B4CD8"/>
    <w:rsid w:val="005B55D6"/>
    <w:rsid w:val="005B5B11"/>
    <w:rsid w:val="005B5C27"/>
    <w:rsid w:val="005B5C4A"/>
    <w:rsid w:val="005B5EDF"/>
    <w:rsid w:val="005B5FC3"/>
    <w:rsid w:val="005B60BD"/>
    <w:rsid w:val="005B61BF"/>
    <w:rsid w:val="005B668D"/>
    <w:rsid w:val="005B6717"/>
    <w:rsid w:val="005B67FE"/>
    <w:rsid w:val="005B6837"/>
    <w:rsid w:val="005B6913"/>
    <w:rsid w:val="005B6AD3"/>
    <w:rsid w:val="005B705F"/>
    <w:rsid w:val="005B72EF"/>
    <w:rsid w:val="005B799E"/>
    <w:rsid w:val="005B7A53"/>
    <w:rsid w:val="005B7C8C"/>
    <w:rsid w:val="005C0178"/>
    <w:rsid w:val="005C02BC"/>
    <w:rsid w:val="005C0423"/>
    <w:rsid w:val="005C0607"/>
    <w:rsid w:val="005C0873"/>
    <w:rsid w:val="005C0A76"/>
    <w:rsid w:val="005C0F3A"/>
    <w:rsid w:val="005C0F51"/>
    <w:rsid w:val="005C0FA9"/>
    <w:rsid w:val="005C0FE5"/>
    <w:rsid w:val="005C11E6"/>
    <w:rsid w:val="005C147A"/>
    <w:rsid w:val="005C1490"/>
    <w:rsid w:val="005C19D6"/>
    <w:rsid w:val="005C1F3B"/>
    <w:rsid w:val="005C208C"/>
    <w:rsid w:val="005C20F7"/>
    <w:rsid w:val="005C2469"/>
    <w:rsid w:val="005C28E4"/>
    <w:rsid w:val="005C2A7E"/>
    <w:rsid w:val="005C2E67"/>
    <w:rsid w:val="005C35ED"/>
    <w:rsid w:val="005C35FA"/>
    <w:rsid w:val="005C37F2"/>
    <w:rsid w:val="005C414B"/>
    <w:rsid w:val="005C42EA"/>
    <w:rsid w:val="005C4457"/>
    <w:rsid w:val="005C4616"/>
    <w:rsid w:val="005C4AD1"/>
    <w:rsid w:val="005C4AF0"/>
    <w:rsid w:val="005C4D24"/>
    <w:rsid w:val="005C4DD7"/>
    <w:rsid w:val="005C5284"/>
    <w:rsid w:val="005C539A"/>
    <w:rsid w:val="005C5693"/>
    <w:rsid w:val="005C59A0"/>
    <w:rsid w:val="005C5A2A"/>
    <w:rsid w:val="005C5BA0"/>
    <w:rsid w:val="005C5C9E"/>
    <w:rsid w:val="005C5D0A"/>
    <w:rsid w:val="005C60B1"/>
    <w:rsid w:val="005C6C12"/>
    <w:rsid w:val="005C6F04"/>
    <w:rsid w:val="005C74F8"/>
    <w:rsid w:val="005C75B9"/>
    <w:rsid w:val="005C778A"/>
    <w:rsid w:val="005C794A"/>
    <w:rsid w:val="005C7B1F"/>
    <w:rsid w:val="005C7E97"/>
    <w:rsid w:val="005D065D"/>
    <w:rsid w:val="005D070B"/>
    <w:rsid w:val="005D0C8D"/>
    <w:rsid w:val="005D12BF"/>
    <w:rsid w:val="005D14B2"/>
    <w:rsid w:val="005D14E9"/>
    <w:rsid w:val="005D19D4"/>
    <w:rsid w:val="005D1A3C"/>
    <w:rsid w:val="005D1B75"/>
    <w:rsid w:val="005D1B9B"/>
    <w:rsid w:val="005D1C71"/>
    <w:rsid w:val="005D1E86"/>
    <w:rsid w:val="005D21A6"/>
    <w:rsid w:val="005D29D5"/>
    <w:rsid w:val="005D29F6"/>
    <w:rsid w:val="005D383D"/>
    <w:rsid w:val="005D3947"/>
    <w:rsid w:val="005D3D18"/>
    <w:rsid w:val="005D3E4A"/>
    <w:rsid w:val="005D3E97"/>
    <w:rsid w:val="005D3F76"/>
    <w:rsid w:val="005D4095"/>
    <w:rsid w:val="005D4641"/>
    <w:rsid w:val="005D4750"/>
    <w:rsid w:val="005D49A2"/>
    <w:rsid w:val="005D49FF"/>
    <w:rsid w:val="005D4ACD"/>
    <w:rsid w:val="005D4C36"/>
    <w:rsid w:val="005D4D0A"/>
    <w:rsid w:val="005D4E41"/>
    <w:rsid w:val="005D526E"/>
    <w:rsid w:val="005D5625"/>
    <w:rsid w:val="005D5672"/>
    <w:rsid w:val="005D5695"/>
    <w:rsid w:val="005D5A82"/>
    <w:rsid w:val="005D5D34"/>
    <w:rsid w:val="005D6151"/>
    <w:rsid w:val="005D6156"/>
    <w:rsid w:val="005D6309"/>
    <w:rsid w:val="005D635A"/>
    <w:rsid w:val="005D63D6"/>
    <w:rsid w:val="005D64BF"/>
    <w:rsid w:val="005D6BF4"/>
    <w:rsid w:val="005D6CA0"/>
    <w:rsid w:val="005D72C3"/>
    <w:rsid w:val="005D7ED3"/>
    <w:rsid w:val="005D7FFC"/>
    <w:rsid w:val="005E06C9"/>
    <w:rsid w:val="005E0862"/>
    <w:rsid w:val="005E08CF"/>
    <w:rsid w:val="005E0E57"/>
    <w:rsid w:val="005E129D"/>
    <w:rsid w:val="005E1375"/>
    <w:rsid w:val="005E147F"/>
    <w:rsid w:val="005E14D8"/>
    <w:rsid w:val="005E178A"/>
    <w:rsid w:val="005E19FF"/>
    <w:rsid w:val="005E1CEB"/>
    <w:rsid w:val="005E2576"/>
    <w:rsid w:val="005E27F6"/>
    <w:rsid w:val="005E2A30"/>
    <w:rsid w:val="005E2BDE"/>
    <w:rsid w:val="005E2FF1"/>
    <w:rsid w:val="005E312D"/>
    <w:rsid w:val="005E3850"/>
    <w:rsid w:val="005E3B4D"/>
    <w:rsid w:val="005E3B5B"/>
    <w:rsid w:val="005E3C1A"/>
    <w:rsid w:val="005E3DEF"/>
    <w:rsid w:val="005E41A6"/>
    <w:rsid w:val="005E4266"/>
    <w:rsid w:val="005E427F"/>
    <w:rsid w:val="005E4E97"/>
    <w:rsid w:val="005E54F0"/>
    <w:rsid w:val="005E57F7"/>
    <w:rsid w:val="005E5C65"/>
    <w:rsid w:val="005E5DFA"/>
    <w:rsid w:val="005E609A"/>
    <w:rsid w:val="005E682E"/>
    <w:rsid w:val="005E68F3"/>
    <w:rsid w:val="005E6A57"/>
    <w:rsid w:val="005E6BB3"/>
    <w:rsid w:val="005E6F86"/>
    <w:rsid w:val="005E70D9"/>
    <w:rsid w:val="005E71E1"/>
    <w:rsid w:val="005E7479"/>
    <w:rsid w:val="005E756A"/>
    <w:rsid w:val="005E7892"/>
    <w:rsid w:val="005E78BB"/>
    <w:rsid w:val="005E7CCA"/>
    <w:rsid w:val="005F0245"/>
    <w:rsid w:val="005F0652"/>
    <w:rsid w:val="005F07BE"/>
    <w:rsid w:val="005F0AE1"/>
    <w:rsid w:val="005F0DE4"/>
    <w:rsid w:val="005F1146"/>
    <w:rsid w:val="005F191F"/>
    <w:rsid w:val="005F1997"/>
    <w:rsid w:val="005F1D63"/>
    <w:rsid w:val="005F1D68"/>
    <w:rsid w:val="005F28D5"/>
    <w:rsid w:val="005F2BC2"/>
    <w:rsid w:val="005F2FB8"/>
    <w:rsid w:val="005F3B11"/>
    <w:rsid w:val="005F3C0A"/>
    <w:rsid w:val="005F3CEA"/>
    <w:rsid w:val="005F44DE"/>
    <w:rsid w:val="005F4587"/>
    <w:rsid w:val="005F4A97"/>
    <w:rsid w:val="005F4E85"/>
    <w:rsid w:val="005F4EB2"/>
    <w:rsid w:val="005F5255"/>
    <w:rsid w:val="005F546F"/>
    <w:rsid w:val="005F5479"/>
    <w:rsid w:val="005F567B"/>
    <w:rsid w:val="005F5B32"/>
    <w:rsid w:val="005F6065"/>
    <w:rsid w:val="005F66AA"/>
    <w:rsid w:val="005F66DC"/>
    <w:rsid w:val="005F7084"/>
    <w:rsid w:val="005F7097"/>
    <w:rsid w:val="005F731B"/>
    <w:rsid w:val="005F786A"/>
    <w:rsid w:val="005F79F6"/>
    <w:rsid w:val="005F7AC1"/>
    <w:rsid w:val="005F7EA3"/>
    <w:rsid w:val="00600DA1"/>
    <w:rsid w:val="006013FB"/>
    <w:rsid w:val="00601583"/>
    <w:rsid w:val="00601CE8"/>
    <w:rsid w:val="00601CFD"/>
    <w:rsid w:val="00601DFB"/>
    <w:rsid w:val="00601F1A"/>
    <w:rsid w:val="00601F8B"/>
    <w:rsid w:val="0060259D"/>
    <w:rsid w:val="00602746"/>
    <w:rsid w:val="00602911"/>
    <w:rsid w:val="0060294C"/>
    <w:rsid w:val="00602FB1"/>
    <w:rsid w:val="00603073"/>
    <w:rsid w:val="00603105"/>
    <w:rsid w:val="00603128"/>
    <w:rsid w:val="006036E2"/>
    <w:rsid w:val="00603705"/>
    <w:rsid w:val="006037C5"/>
    <w:rsid w:val="00603976"/>
    <w:rsid w:val="00603A7A"/>
    <w:rsid w:val="00604319"/>
    <w:rsid w:val="00604485"/>
    <w:rsid w:val="00604861"/>
    <w:rsid w:val="00604C19"/>
    <w:rsid w:val="00604C32"/>
    <w:rsid w:val="00604D76"/>
    <w:rsid w:val="00604E89"/>
    <w:rsid w:val="00604F87"/>
    <w:rsid w:val="0060508A"/>
    <w:rsid w:val="006052B9"/>
    <w:rsid w:val="00605607"/>
    <w:rsid w:val="006059A8"/>
    <w:rsid w:val="00605E4D"/>
    <w:rsid w:val="00606002"/>
    <w:rsid w:val="00606458"/>
    <w:rsid w:val="00606720"/>
    <w:rsid w:val="00606841"/>
    <w:rsid w:val="00606CC5"/>
    <w:rsid w:val="00606E65"/>
    <w:rsid w:val="00607141"/>
    <w:rsid w:val="00607385"/>
    <w:rsid w:val="0060754F"/>
    <w:rsid w:val="00607B23"/>
    <w:rsid w:val="00610057"/>
    <w:rsid w:val="006109AE"/>
    <w:rsid w:val="00610BA7"/>
    <w:rsid w:val="00610C20"/>
    <w:rsid w:val="00611189"/>
    <w:rsid w:val="006116F6"/>
    <w:rsid w:val="00611765"/>
    <w:rsid w:val="00611FD0"/>
    <w:rsid w:val="0061233F"/>
    <w:rsid w:val="006125C5"/>
    <w:rsid w:val="006126E2"/>
    <w:rsid w:val="00612766"/>
    <w:rsid w:val="0061278B"/>
    <w:rsid w:val="00612B0D"/>
    <w:rsid w:val="00612EE9"/>
    <w:rsid w:val="0061385B"/>
    <w:rsid w:val="00613AB5"/>
    <w:rsid w:val="00614153"/>
    <w:rsid w:val="006144BB"/>
    <w:rsid w:val="00614667"/>
    <w:rsid w:val="0061489F"/>
    <w:rsid w:val="006149AD"/>
    <w:rsid w:val="00614CAC"/>
    <w:rsid w:val="00615189"/>
    <w:rsid w:val="0061549B"/>
    <w:rsid w:val="00616089"/>
    <w:rsid w:val="006160EF"/>
    <w:rsid w:val="00616900"/>
    <w:rsid w:val="00616A41"/>
    <w:rsid w:val="00616ACC"/>
    <w:rsid w:val="00616B2A"/>
    <w:rsid w:val="0061744E"/>
    <w:rsid w:val="0061747F"/>
    <w:rsid w:val="006174AA"/>
    <w:rsid w:val="0061799E"/>
    <w:rsid w:val="00617B9D"/>
    <w:rsid w:val="00617CDA"/>
    <w:rsid w:val="00620102"/>
    <w:rsid w:val="0062032D"/>
    <w:rsid w:val="006204D9"/>
    <w:rsid w:val="0062057F"/>
    <w:rsid w:val="006205AD"/>
    <w:rsid w:val="00620BE6"/>
    <w:rsid w:val="00620CA8"/>
    <w:rsid w:val="00620E5D"/>
    <w:rsid w:val="0062122F"/>
    <w:rsid w:val="0062165E"/>
    <w:rsid w:val="00621934"/>
    <w:rsid w:val="00621C89"/>
    <w:rsid w:val="00621D6D"/>
    <w:rsid w:val="00621FA9"/>
    <w:rsid w:val="00622007"/>
    <w:rsid w:val="00622079"/>
    <w:rsid w:val="0062237E"/>
    <w:rsid w:val="00622782"/>
    <w:rsid w:val="00622874"/>
    <w:rsid w:val="00622A90"/>
    <w:rsid w:val="006239A3"/>
    <w:rsid w:val="00623D94"/>
    <w:rsid w:val="00623F1D"/>
    <w:rsid w:val="00624529"/>
    <w:rsid w:val="00624544"/>
    <w:rsid w:val="00624CA0"/>
    <w:rsid w:val="00624D93"/>
    <w:rsid w:val="006250CF"/>
    <w:rsid w:val="006254B1"/>
    <w:rsid w:val="00625671"/>
    <w:rsid w:val="006261D9"/>
    <w:rsid w:val="006261E6"/>
    <w:rsid w:val="006265AF"/>
    <w:rsid w:val="006265BD"/>
    <w:rsid w:val="006265D8"/>
    <w:rsid w:val="00626AAB"/>
    <w:rsid w:val="00626BD8"/>
    <w:rsid w:val="0062797D"/>
    <w:rsid w:val="00627A7E"/>
    <w:rsid w:val="00630007"/>
    <w:rsid w:val="00630115"/>
    <w:rsid w:val="006305AE"/>
    <w:rsid w:val="00630770"/>
    <w:rsid w:val="00630940"/>
    <w:rsid w:val="00630B6A"/>
    <w:rsid w:val="006310C3"/>
    <w:rsid w:val="006312F7"/>
    <w:rsid w:val="00631B50"/>
    <w:rsid w:val="00631C3E"/>
    <w:rsid w:val="006320CB"/>
    <w:rsid w:val="006321A5"/>
    <w:rsid w:val="00632209"/>
    <w:rsid w:val="00632656"/>
    <w:rsid w:val="00632991"/>
    <w:rsid w:val="00632F67"/>
    <w:rsid w:val="006331E5"/>
    <w:rsid w:val="006333DD"/>
    <w:rsid w:val="006335DE"/>
    <w:rsid w:val="006339B8"/>
    <w:rsid w:val="00633CDD"/>
    <w:rsid w:val="00633FD6"/>
    <w:rsid w:val="0063450F"/>
    <w:rsid w:val="006345ED"/>
    <w:rsid w:val="006345EE"/>
    <w:rsid w:val="00634C72"/>
    <w:rsid w:val="00634E95"/>
    <w:rsid w:val="0063515E"/>
    <w:rsid w:val="00635D61"/>
    <w:rsid w:val="00635E30"/>
    <w:rsid w:val="006361DC"/>
    <w:rsid w:val="00636330"/>
    <w:rsid w:val="00636B1C"/>
    <w:rsid w:val="00636E2D"/>
    <w:rsid w:val="006370ED"/>
    <w:rsid w:val="0063731C"/>
    <w:rsid w:val="00637C31"/>
    <w:rsid w:val="00640005"/>
    <w:rsid w:val="00640169"/>
    <w:rsid w:val="0064043A"/>
    <w:rsid w:val="006407E9"/>
    <w:rsid w:val="0064099A"/>
    <w:rsid w:val="00640B61"/>
    <w:rsid w:val="00640EE9"/>
    <w:rsid w:val="00640FBA"/>
    <w:rsid w:val="0064166A"/>
    <w:rsid w:val="00641758"/>
    <w:rsid w:val="00641B57"/>
    <w:rsid w:val="00641CD9"/>
    <w:rsid w:val="00641DF1"/>
    <w:rsid w:val="00641E4F"/>
    <w:rsid w:val="006420AB"/>
    <w:rsid w:val="006420D7"/>
    <w:rsid w:val="00642128"/>
    <w:rsid w:val="006428DF"/>
    <w:rsid w:val="00642978"/>
    <w:rsid w:val="00642B83"/>
    <w:rsid w:val="0064341D"/>
    <w:rsid w:val="00644429"/>
    <w:rsid w:val="00644462"/>
    <w:rsid w:val="00644634"/>
    <w:rsid w:val="00644E33"/>
    <w:rsid w:val="00644FA1"/>
    <w:rsid w:val="00645164"/>
    <w:rsid w:val="006455FE"/>
    <w:rsid w:val="00645C8C"/>
    <w:rsid w:val="00645CDC"/>
    <w:rsid w:val="00646291"/>
    <w:rsid w:val="00646441"/>
    <w:rsid w:val="006469A2"/>
    <w:rsid w:val="00646AB8"/>
    <w:rsid w:val="00646D0D"/>
    <w:rsid w:val="006470E5"/>
    <w:rsid w:val="006471F9"/>
    <w:rsid w:val="006475CA"/>
    <w:rsid w:val="0064776F"/>
    <w:rsid w:val="0064782E"/>
    <w:rsid w:val="006479EC"/>
    <w:rsid w:val="00647A3C"/>
    <w:rsid w:val="0065045B"/>
    <w:rsid w:val="00650635"/>
    <w:rsid w:val="00650760"/>
    <w:rsid w:val="006507E9"/>
    <w:rsid w:val="00650822"/>
    <w:rsid w:val="00650A98"/>
    <w:rsid w:val="00650E05"/>
    <w:rsid w:val="00650E20"/>
    <w:rsid w:val="006516E7"/>
    <w:rsid w:val="006517A8"/>
    <w:rsid w:val="00651DE4"/>
    <w:rsid w:val="006521E6"/>
    <w:rsid w:val="006525F9"/>
    <w:rsid w:val="0065271E"/>
    <w:rsid w:val="00652863"/>
    <w:rsid w:val="0065290E"/>
    <w:rsid w:val="00652921"/>
    <w:rsid w:val="00652950"/>
    <w:rsid w:val="00652E02"/>
    <w:rsid w:val="006532FB"/>
    <w:rsid w:val="006533A9"/>
    <w:rsid w:val="00653C4B"/>
    <w:rsid w:val="00653D6D"/>
    <w:rsid w:val="006548AD"/>
    <w:rsid w:val="00654978"/>
    <w:rsid w:val="0065544C"/>
    <w:rsid w:val="006555F3"/>
    <w:rsid w:val="00655962"/>
    <w:rsid w:val="006559C6"/>
    <w:rsid w:val="00655E4B"/>
    <w:rsid w:val="006560A2"/>
    <w:rsid w:val="00656401"/>
    <w:rsid w:val="00656989"/>
    <w:rsid w:val="006572C7"/>
    <w:rsid w:val="00657372"/>
    <w:rsid w:val="00657575"/>
    <w:rsid w:val="00657674"/>
    <w:rsid w:val="0065775E"/>
    <w:rsid w:val="006578FA"/>
    <w:rsid w:val="0066025F"/>
    <w:rsid w:val="006602A6"/>
    <w:rsid w:val="0066041F"/>
    <w:rsid w:val="00660473"/>
    <w:rsid w:val="0066047B"/>
    <w:rsid w:val="00660D04"/>
    <w:rsid w:val="00660E13"/>
    <w:rsid w:val="0066141F"/>
    <w:rsid w:val="006614D8"/>
    <w:rsid w:val="006615CE"/>
    <w:rsid w:val="00661B9D"/>
    <w:rsid w:val="006624EE"/>
    <w:rsid w:val="006628C1"/>
    <w:rsid w:val="00662A84"/>
    <w:rsid w:val="00662C39"/>
    <w:rsid w:val="00662E8A"/>
    <w:rsid w:val="00663136"/>
    <w:rsid w:val="0066364A"/>
    <w:rsid w:val="006636ED"/>
    <w:rsid w:val="006637D3"/>
    <w:rsid w:val="00663BB8"/>
    <w:rsid w:val="00663CD7"/>
    <w:rsid w:val="00663E10"/>
    <w:rsid w:val="00663EBA"/>
    <w:rsid w:val="00663F2E"/>
    <w:rsid w:val="0066419D"/>
    <w:rsid w:val="0066434A"/>
    <w:rsid w:val="00664404"/>
    <w:rsid w:val="00664716"/>
    <w:rsid w:val="00664879"/>
    <w:rsid w:val="006655C3"/>
    <w:rsid w:val="00665E1E"/>
    <w:rsid w:val="006661AE"/>
    <w:rsid w:val="006661E7"/>
    <w:rsid w:val="00666763"/>
    <w:rsid w:val="0066694C"/>
    <w:rsid w:val="00666EAA"/>
    <w:rsid w:val="0066711D"/>
    <w:rsid w:val="006671D6"/>
    <w:rsid w:val="00667451"/>
    <w:rsid w:val="006674AF"/>
    <w:rsid w:val="00667861"/>
    <w:rsid w:val="00667B14"/>
    <w:rsid w:val="00667CE2"/>
    <w:rsid w:val="00667EF3"/>
    <w:rsid w:val="00667FEE"/>
    <w:rsid w:val="00670175"/>
    <w:rsid w:val="006701A1"/>
    <w:rsid w:val="00670560"/>
    <w:rsid w:val="006707CC"/>
    <w:rsid w:val="006708F6"/>
    <w:rsid w:val="00670DF0"/>
    <w:rsid w:val="00670E7B"/>
    <w:rsid w:val="00670ECD"/>
    <w:rsid w:val="0067129F"/>
    <w:rsid w:val="006714BB"/>
    <w:rsid w:val="00671629"/>
    <w:rsid w:val="00671766"/>
    <w:rsid w:val="00671A26"/>
    <w:rsid w:val="00671AF8"/>
    <w:rsid w:val="00671D87"/>
    <w:rsid w:val="00671D8A"/>
    <w:rsid w:val="00671E40"/>
    <w:rsid w:val="00672050"/>
    <w:rsid w:val="00672427"/>
    <w:rsid w:val="006729A4"/>
    <w:rsid w:val="00672F7D"/>
    <w:rsid w:val="0067356B"/>
    <w:rsid w:val="0067362A"/>
    <w:rsid w:val="00673669"/>
    <w:rsid w:val="00673A3B"/>
    <w:rsid w:val="00673BEE"/>
    <w:rsid w:val="00673D65"/>
    <w:rsid w:val="00673DCA"/>
    <w:rsid w:val="00673E42"/>
    <w:rsid w:val="006740EF"/>
    <w:rsid w:val="006741B8"/>
    <w:rsid w:val="006746D0"/>
    <w:rsid w:val="00675115"/>
    <w:rsid w:val="00675489"/>
    <w:rsid w:val="00675502"/>
    <w:rsid w:val="00675796"/>
    <w:rsid w:val="00675847"/>
    <w:rsid w:val="00675FA0"/>
    <w:rsid w:val="006770C5"/>
    <w:rsid w:val="006775D3"/>
    <w:rsid w:val="00677B79"/>
    <w:rsid w:val="00677E62"/>
    <w:rsid w:val="00677FAC"/>
    <w:rsid w:val="00680190"/>
    <w:rsid w:val="006805AC"/>
    <w:rsid w:val="006809EC"/>
    <w:rsid w:val="00680B1F"/>
    <w:rsid w:val="00680E20"/>
    <w:rsid w:val="00680E4A"/>
    <w:rsid w:val="00681209"/>
    <w:rsid w:val="00681436"/>
    <w:rsid w:val="006815F6"/>
    <w:rsid w:val="00681A6F"/>
    <w:rsid w:val="00681C2D"/>
    <w:rsid w:val="00681D97"/>
    <w:rsid w:val="00681E83"/>
    <w:rsid w:val="00681E9C"/>
    <w:rsid w:val="00681F0B"/>
    <w:rsid w:val="00681F24"/>
    <w:rsid w:val="006820A6"/>
    <w:rsid w:val="006821AB"/>
    <w:rsid w:val="00682324"/>
    <w:rsid w:val="006826D6"/>
    <w:rsid w:val="00682B55"/>
    <w:rsid w:val="00682D13"/>
    <w:rsid w:val="00682DEB"/>
    <w:rsid w:val="00682E6A"/>
    <w:rsid w:val="00682F49"/>
    <w:rsid w:val="006838FF"/>
    <w:rsid w:val="00683A08"/>
    <w:rsid w:val="00683C33"/>
    <w:rsid w:val="00683F65"/>
    <w:rsid w:val="0068401C"/>
    <w:rsid w:val="006840C7"/>
    <w:rsid w:val="0068441B"/>
    <w:rsid w:val="0068476F"/>
    <w:rsid w:val="00684C89"/>
    <w:rsid w:val="00685196"/>
    <w:rsid w:val="0068553C"/>
    <w:rsid w:val="006856C2"/>
    <w:rsid w:val="006857F9"/>
    <w:rsid w:val="006866BE"/>
    <w:rsid w:val="00686933"/>
    <w:rsid w:val="00686F72"/>
    <w:rsid w:val="0068744E"/>
    <w:rsid w:val="006875BF"/>
    <w:rsid w:val="00687644"/>
    <w:rsid w:val="00687A58"/>
    <w:rsid w:val="00687C95"/>
    <w:rsid w:val="00687CF6"/>
    <w:rsid w:val="00687D00"/>
    <w:rsid w:val="00687EA8"/>
    <w:rsid w:val="00687EE8"/>
    <w:rsid w:val="006900B3"/>
    <w:rsid w:val="0069098B"/>
    <w:rsid w:val="00691108"/>
    <w:rsid w:val="00691115"/>
    <w:rsid w:val="006914F0"/>
    <w:rsid w:val="006915D4"/>
    <w:rsid w:val="006915DB"/>
    <w:rsid w:val="00691734"/>
    <w:rsid w:val="00691C10"/>
    <w:rsid w:val="006923EA"/>
    <w:rsid w:val="006926D4"/>
    <w:rsid w:val="00692BB5"/>
    <w:rsid w:val="00692D1A"/>
    <w:rsid w:val="00692DC6"/>
    <w:rsid w:val="006930F8"/>
    <w:rsid w:val="006932A5"/>
    <w:rsid w:val="00693310"/>
    <w:rsid w:val="00693359"/>
    <w:rsid w:val="006935A3"/>
    <w:rsid w:val="00693912"/>
    <w:rsid w:val="00693BDB"/>
    <w:rsid w:val="00693D13"/>
    <w:rsid w:val="006940D3"/>
    <w:rsid w:val="006940F0"/>
    <w:rsid w:val="00694113"/>
    <w:rsid w:val="0069465F"/>
    <w:rsid w:val="006947F6"/>
    <w:rsid w:val="006949CD"/>
    <w:rsid w:val="00694D72"/>
    <w:rsid w:val="00694FE0"/>
    <w:rsid w:val="006957DE"/>
    <w:rsid w:val="00695A3D"/>
    <w:rsid w:val="00695C9D"/>
    <w:rsid w:val="006962AA"/>
    <w:rsid w:val="006966DF"/>
    <w:rsid w:val="00696FF1"/>
    <w:rsid w:val="006972F7"/>
    <w:rsid w:val="00697918"/>
    <w:rsid w:val="00697AC1"/>
    <w:rsid w:val="00697ED5"/>
    <w:rsid w:val="00697F3F"/>
    <w:rsid w:val="006A030E"/>
    <w:rsid w:val="006A0405"/>
    <w:rsid w:val="006A0534"/>
    <w:rsid w:val="006A0747"/>
    <w:rsid w:val="006A0942"/>
    <w:rsid w:val="006A0D24"/>
    <w:rsid w:val="006A120D"/>
    <w:rsid w:val="006A14AC"/>
    <w:rsid w:val="006A14EC"/>
    <w:rsid w:val="006A1640"/>
    <w:rsid w:val="006A1679"/>
    <w:rsid w:val="006A16A8"/>
    <w:rsid w:val="006A18E6"/>
    <w:rsid w:val="006A1DBF"/>
    <w:rsid w:val="006A273B"/>
    <w:rsid w:val="006A28CF"/>
    <w:rsid w:val="006A29F8"/>
    <w:rsid w:val="006A3097"/>
    <w:rsid w:val="006A3187"/>
    <w:rsid w:val="006A356D"/>
    <w:rsid w:val="006A3734"/>
    <w:rsid w:val="006A3786"/>
    <w:rsid w:val="006A39FB"/>
    <w:rsid w:val="006A3E95"/>
    <w:rsid w:val="006A4344"/>
    <w:rsid w:val="006A43FD"/>
    <w:rsid w:val="006A48EB"/>
    <w:rsid w:val="006A4E28"/>
    <w:rsid w:val="006A50E1"/>
    <w:rsid w:val="006A55B0"/>
    <w:rsid w:val="006A562D"/>
    <w:rsid w:val="006A5946"/>
    <w:rsid w:val="006A5A36"/>
    <w:rsid w:val="006A5BE3"/>
    <w:rsid w:val="006A5C43"/>
    <w:rsid w:val="006A5C90"/>
    <w:rsid w:val="006A6023"/>
    <w:rsid w:val="006A683D"/>
    <w:rsid w:val="006A693A"/>
    <w:rsid w:val="006A6C1F"/>
    <w:rsid w:val="006A6CA6"/>
    <w:rsid w:val="006A77AB"/>
    <w:rsid w:val="006A77B3"/>
    <w:rsid w:val="006A78B9"/>
    <w:rsid w:val="006A7A4D"/>
    <w:rsid w:val="006A7B27"/>
    <w:rsid w:val="006A7D09"/>
    <w:rsid w:val="006A7E1D"/>
    <w:rsid w:val="006B00FD"/>
    <w:rsid w:val="006B0723"/>
    <w:rsid w:val="006B0794"/>
    <w:rsid w:val="006B0B91"/>
    <w:rsid w:val="006B0EF2"/>
    <w:rsid w:val="006B1213"/>
    <w:rsid w:val="006B14B4"/>
    <w:rsid w:val="006B1692"/>
    <w:rsid w:val="006B1A4C"/>
    <w:rsid w:val="006B1B31"/>
    <w:rsid w:val="006B1B70"/>
    <w:rsid w:val="006B2203"/>
    <w:rsid w:val="006B2257"/>
    <w:rsid w:val="006B249D"/>
    <w:rsid w:val="006B253D"/>
    <w:rsid w:val="006B25B8"/>
    <w:rsid w:val="006B26C9"/>
    <w:rsid w:val="006B27DB"/>
    <w:rsid w:val="006B2CF1"/>
    <w:rsid w:val="006B31D8"/>
    <w:rsid w:val="006B3642"/>
    <w:rsid w:val="006B38F2"/>
    <w:rsid w:val="006B3E1A"/>
    <w:rsid w:val="006B3F37"/>
    <w:rsid w:val="006B4124"/>
    <w:rsid w:val="006B490F"/>
    <w:rsid w:val="006B4968"/>
    <w:rsid w:val="006B49F5"/>
    <w:rsid w:val="006B4DB0"/>
    <w:rsid w:val="006B51B9"/>
    <w:rsid w:val="006B54D8"/>
    <w:rsid w:val="006B6130"/>
    <w:rsid w:val="006B624D"/>
    <w:rsid w:val="006B632A"/>
    <w:rsid w:val="006B657B"/>
    <w:rsid w:val="006B66A3"/>
    <w:rsid w:val="006B6E38"/>
    <w:rsid w:val="006B7123"/>
    <w:rsid w:val="006B75B6"/>
    <w:rsid w:val="006B7772"/>
    <w:rsid w:val="006B7983"/>
    <w:rsid w:val="006B7A80"/>
    <w:rsid w:val="006C0484"/>
    <w:rsid w:val="006C05A9"/>
    <w:rsid w:val="006C0F83"/>
    <w:rsid w:val="006C0F9C"/>
    <w:rsid w:val="006C1165"/>
    <w:rsid w:val="006C179E"/>
    <w:rsid w:val="006C1850"/>
    <w:rsid w:val="006C192B"/>
    <w:rsid w:val="006C1A5F"/>
    <w:rsid w:val="006C1C99"/>
    <w:rsid w:val="006C1D4C"/>
    <w:rsid w:val="006C1F6C"/>
    <w:rsid w:val="006C2157"/>
    <w:rsid w:val="006C25DD"/>
    <w:rsid w:val="006C2910"/>
    <w:rsid w:val="006C2CB1"/>
    <w:rsid w:val="006C2D53"/>
    <w:rsid w:val="006C2DAE"/>
    <w:rsid w:val="006C3606"/>
    <w:rsid w:val="006C3AB5"/>
    <w:rsid w:val="006C3C49"/>
    <w:rsid w:val="006C47A7"/>
    <w:rsid w:val="006C495F"/>
    <w:rsid w:val="006C562C"/>
    <w:rsid w:val="006C5775"/>
    <w:rsid w:val="006C580C"/>
    <w:rsid w:val="006C588E"/>
    <w:rsid w:val="006C61A8"/>
    <w:rsid w:val="006C65A0"/>
    <w:rsid w:val="006C66A6"/>
    <w:rsid w:val="006C6782"/>
    <w:rsid w:val="006C6E7A"/>
    <w:rsid w:val="006C7394"/>
    <w:rsid w:val="006C76C7"/>
    <w:rsid w:val="006C7AA6"/>
    <w:rsid w:val="006C7BAC"/>
    <w:rsid w:val="006C7EC3"/>
    <w:rsid w:val="006D036D"/>
    <w:rsid w:val="006D0760"/>
    <w:rsid w:val="006D0793"/>
    <w:rsid w:val="006D0B8E"/>
    <w:rsid w:val="006D0E1D"/>
    <w:rsid w:val="006D0F97"/>
    <w:rsid w:val="006D101E"/>
    <w:rsid w:val="006D130E"/>
    <w:rsid w:val="006D1A28"/>
    <w:rsid w:val="006D1ABC"/>
    <w:rsid w:val="006D1B1C"/>
    <w:rsid w:val="006D1B4E"/>
    <w:rsid w:val="006D2146"/>
    <w:rsid w:val="006D217E"/>
    <w:rsid w:val="006D21C1"/>
    <w:rsid w:val="006D2699"/>
    <w:rsid w:val="006D2BDA"/>
    <w:rsid w:val="006D2DBC"/>
    <w:rsid w:val="006D2FED"/>
    <w:rsid w:val="006D348B"/>
    <w:rsid w:val="006D3522"/>
    <w:rsid w:val="006D3530"/>
    <w:rsid w:val="006D3751"/>
    <w:rsid w:val="006D4415"/>
    <w:rsid w:val="006D47F4"/>
    <w:rsid w:val="006D48BD"/>
    <w:rsid w:val="006D4C5C"/>
    <w:rsid w:val="006D4DAD"/>
    <w:rsid w:val="006D52D5"/>
    <w:rsid w:val="006D5683"/>
    <w:rsid w:val="006D60C9"/>
    <w:rsid w:val="006D6123"/>
    <w:rsid w:val="006D6772"/>
    <w:rsid w:val="006D6F11"/>
    <w:rsid w:val="006D716B"/>
    <w:rsid w:val="006D72A3"/>
    <w:rsid w:val="006D7E02"/>
    <w:rsid w:val="006D7EAC"/>
    <w:rsid w:val="006E03A8"/>
    <w:rsid w:val="006E04A0"/>
    <w:rsid w:val="006E0520"/>
    <w:rsid w:val="006E0CFF"/>
    <w:rsid w:val="006E0F5E"/>
    <w:rsid w:val="006E17E8"/>
    <w:rsid w:val="006E1A47"/>
    <w:rsid w:val="006E1B36"/>
    <w:rsid w:val="006E1EAC"/>
    <w:rsid w:val="006E21F4"/>
    <w:rsid w:val="006E23AB"/>
    <w:rsid w:val="006E255D"/>
    <w:rsid w:val="006E2E6A"/>
    <w:rsid w:val="006E3379"/>
    <w:rsid w:val="006E3648"/>
    <w:rsid w:val="006E38CF"/>
    <w:rsid w:val="006E3B32"/>
    <w:rsid w:val="006E40E4"/>
    <w:rsid w:val="006E4494"/>
    <w:rsid w:val="006E4844"/>
    <w:rsid w:val="006E48CC"/>
    <w:rsid w:val="006E49E7"/>
    <w:rsid w:val="006E4E59"/>
    <w:rsid w:val="006E551D"/>
    <w:rsid w:val="006E566A"/>
    <w:rsid w:val="006E566E"/>
    <w:rsid w:val="006E5CD9"/>
    <w:rsid w:val="006E6B3F"/>
    <w:rsid w:val="006E6F67"/>
    <w:rsid w:val="006E7035"/>
    <w:rsid w:val="006E737E"/>
    <w:rsid w:val="006E74B5"/>
    <w:rsid w:val="006E783E"/>
    <w:rsid w:val="006E7889"/>
    <w:rsid w:val="006E7CBD"/>
    <w:rsid w:val="006E7E39"/>
    <w:rsid w:val="006E7FC2"/>
    <w:rsid w:val="006F000F"/>
    <w:rsid w:val="006F003B"/>
    <w:rsid w:val="006F021B"/>
    <w:rsid w:val="006F0608"/>
    <w:rsid w:val="006F090F"/>
    <w:rsid w:val="006F0ED3"/>
    <w:rsid w:val="006F0F4F"/>
    <w:rsid w:val="006F1238"/>
    <w:rsid w:val="006F1358"/>
    <w:rsid w:val="006F1F39"/>
    <w:rsid w:val="006F2254"/>
    <w:rsid w:val="006F2668"/>
    <w:rsid w:val="006F26CE"/>
    <w:rsid w:val="006F27E3"/>
    <w:rsid w:val="006F28FB"/>
    <w:rsid w:val="006F2EE7"/>
    <w:rsid w:val="006F310C"/>
    <w:rsid w:val="006F316D"/>
    <w:rsid w:val="006F3298"/>
    <w:rsid w:val="006F337A"/>
    <w:rsid w:val="006F3593"/>
    <w:rsid w:val="006F3918"/>
    <w:rsid w:val="006F39CD"/>
    <w:rsid w:val="006F3A0F"/>
    <w:rsid w:val="006F3A12"/>
    <w:rsid w:val="006F3DAA"/>
    <w:rsid w:val="006F491F"/>
    <w:rsid w:val="006F4F72"/>
    <w:rsid w:val="006F529F"/>
    <w:rsid w:val="006F5643"/>
    <w:rsid w:val="006F5FB6"/>
    <w:rsid w:val="006F60C3"/>
    <w:rsid w:val="006F7DDF"/>
    <w:rsid w:val="00700123"/>
    <w:rsid w:val="007004A0"/>
    <w:rsid w:val="00700E5B"/>
    <w:rsid w:val="0070109F"/>
    <w:rsid w:val="00701447"/>
    <w:rsid w:val="007016A8"/>
    <w:rsid w:val="007016D3"/>
    <w:rsid w:val="00701979"/>
    <w:rsid w:val="00701F65"/>
    <w:rsid w:val="007021FC"/>
    <w:rsid w:val="00702260"/>
    <w:rsid w:val="007023A5"/>
    <w:rsid w:val="00702672"/>
    <w:rsid w:val="0070281F"/>
    <w:rsid w:val="00702CCE"/>
    <w:rsid w:val="00702F78"/>
    <w:rsid w:val="00702F7F"/>
    <w:rsid w:val="00703156"/>
    <w:rsid w:val="0070326E"/>
    <w:rsid w:val="00703425"/>
    <w:rsid w:val="0070369A"/>
    <w:rsid w:val="00703706"/>
    <w:rsid w:val="00703C9A"/>
    <w:rsid w:val="00703CFD"/>
    <w:rsid w:val="00703E2E"/>
    <w:rsid w:val="00703FAC"/>
    <w:rsid w:val="00704A0E"/>
    <w:rsid w:val="00704A76"/>
    <w:rsid w:val="00704B01"/>
    <w:rsid w:val="00704E72"/>
    <w:rsid w:val="00705320"/>
    <w:rsid w:val="0070538E"/>
    <w:rsid w:val="00705495"/>
    <w:rsid w:val="007055DE"/>
    <w:rsid w:val="007056E8"/>
    <w:rsid w:val="0070661B"/>
    <w:rsid w:val="0070698D"/>
    <w:rsid w:val="00706A08"/>
    <w:rsid w:val="00706F45"/>
    <w:rsid w:val="00706FCE"/>
    <w:rsid w:val="00707282"/>
    <w:rsid w:val="00707892"/>
    <w:rsid w:val="00707926"/>
    <w:rsid w:val="00707992"/>
    <w:rsid w:val="00707ACC"/>
    <w:rsid w:val="007102CB"/>
    <w:rsid w:val="00710376"/>
    <w:rsid w:val="007104DD"/>
    <w:rsid w:val="00710809"/>
    <w:rsid w:val="007108D9"/>
    <w:rsid w:val="00710A5C"/>
    <w:rsid w:val="00711196"/>
    <w:rsid w:val="00711564"/>
    <w:rsid w:val="00711B3F"/>
    <w:rsid w:val="00711D8C"/>
    <w:rsid w:val="00712024"/>
    <w:rsid w:val="007121B4"/>
    <w:rsid w:val="00712886"/>
    <w:rsid w:val="007129A2"/>
    <w:rsid w:val="00713423"/>
    <w:rsid w:val="00713D1E"/>
    <w:rsid w:val="00713DE8"/>
    <w:rsid w:val="00714306"/>
    <w:rsid w:val="00714870"/>
    <w:rsid w:val="007150D4"/>
    <w:rsid w:val="0071544C"/>
    <w:rsid w:val="00715633"/>
    <w:rsid w:val="00715664"/>
    <w:rsid w:val="00715A72"/>
    <w:rsid w:val="00715BF6"/>
    <w:rsid w:val="00715EA4"/>
    <w:rsid w:val="00716220"/>
    <w:rsid w:val="00716994"/>
    <w:rsid w:val="007177FC"/>
    <w:rsid w:val="00717B75"/>
    <w:rsid w:val="00717ECB"/>
    <w:rsid w:val="00717FE8"/>
    <w:rsid w:val="00720025"/>
    <w:rsid w:val="007203E3"/>
    <w:rsid w:val="0072064C"/>
    <w:rsid w:val="00720710"/>
    <w:rsid w:val="00720C72"/>
    <w:rsid w:val="00720FE8"/>
    <w:rsid w:val="007213E4"/>
    <w:rsid w:val="0072154F"/>
    <w:rsid w:val="0072161F"/>
    <w:rsid w:val="0072163E"/>
    <w:rsid w:val="007218C4"/>
    <w:rsid w:val="007219FB"/>
    <w:rsid w:val="00721B66"/>
    <w:rsid w:val="00721D3E"/>
    <w:rsid w:val="00722F64"/>
    <w:rsid w:val="00723F70"/>
    <w:rsid w:val="00723F81"/>
    <w:rsid w:val="007241E9"/>
    <w:rsid w:val="007244D5"/>
    <w:rsid w:val="007245DB"/>
    <w:rsid w:val="00724A61"/>
    <w:rsid w:val="00724F5C"/>
    <w:rsid w:val="00724F8A"/>
    <w:rsid w:val="0072521E"/>
    <w:rsid w:val="00725385"/>
    <w:rsid w:val="0072578A"/>
    <w:rsid w:val="00725F9F"/>
    <w:rsid w:val="007261CA"/>
    <w:rsid w:val="00726329"/>
    <w:rsid w:val="0072662E"/>
    <w:rsid w:val="00726C8F"/>
    <w:rsid w:val="00726CB3"/>
    <w:rsid w:val="00726DAC"/>
    <w:rsid w:val="0072715C"/>
    <w:rsid w:val="00727C11"/>
    <w:rsid w:val="00727FF0"/>
    <w:rsid w:val="00730355"/>
    <w:rsid w:val="00730825"/>
    <w:rsid w:val="00730894"/>
    <w:rsid w:val="00730A5F"/>
    <w:rsid w:val="00730D1A"/>
    <w:rsid w:val="00730E75"/>
    <w:rsid w:val="007311D1"/>
    <w:rsid w:val="00731544"/>
    <w:rsid w:val="0073158E"/>
    <w:rsid w:val="007315F4"/>
    <w:rsid w:val="00731679"/>
    <w:rsid w:val="0073172A"/>
    <w:rsid w:val="00732773"/>
    <w:rsid w:val="00732905"/>
    <w:rsid w:val="0073299D"/>
    <w:rsid w:val="00732EBC"/>
    <w:rsid w:val="00733672"/>
    <w:rsid w:val="0073379C"/>
    <w:rsid w:val="007339DE"/>
    <w:rsid w:val="00733B01"/>
    <w:rsid w:val="00733C84"/>
    <w:rsid w:val="00733E91"/>
    <w:rsid w:val="00733FAF"/>
    <w:rsid w:val="00733FFC"/>
    <w:rsid w:val="0073414D"/>
    <w:rsid w:val="00734191"/>
    <w:rsid w:val="00734289"/>
    <w:rsid w:val="007345C7"/>
    <w:rsid w:val="00734947"/>
    <w:rsid w:val="00734C17"/>
    <w:rsid w:val="00734DB4"/>
    <w:rsid w:val="00734EF6"/>
    <w:rsid w:val="00734F10"/>
    <w:rsid w:val="00735263"/>
    <w:rsid w:val="00735626"/>
    <w:rsid w:val="00735893"/>
    <w:rsid w:val="007358CC"/>
    <w:rsid w:val="007359D7"/>
    <w:rsid w:val="00735B47"/>
    <w:rsid w:val="00735C2D"/>
    <w:rsid w:val="00735E32"/>
    <w:rsid w:val="0073630A"/>
    <w:rsid w:val="00736733"/>
    <w:rsid w:val="00736A2F"/>
    <w:rsid w:val="00736AA2"/>
    <w:rsid w:val="007371A6"/>
    <w:rsid w:val="00737264"/>
    <w:rsid w:val="007379E4"/>
    <w:rsid w:val="00737B6E"/>
    <w:rsid w:val="00737BA6"/>
    <w:rsid w:val="00737C8A"/>
    <w:rsid w:val="00740267"/>
    <w:rsid w:val="007409B2"/>
    <w:rsid w:val="007409C1"/>
    <w:rsid w:val="00740BA0"/>
    <w:rsid w:val="00740DBC"/>
    <w:rsid w:val="00741015"/>
    <w:rsid w:val="00741510"/>
    <w:rsid w:val="0074157A"/>
    <w:rsid w:val="007417E5"/>
    <w:rsid w:val="00741DBC"/>
    <w:rsid w:val="00742506"/>
    <w:rsid w:val="00742D9E"/>
    <w:rsid w:val="00742DC6"/>
    <w:rsid w:val="007433F0"/>
    <w:rsid w:val="00743A40"/>
    <w:rsid w:val="00743AB9"/>
    <w:rsid w:val="00743ADC"/>
    <w:rsid w:val="00743CE3"/>
    <w:rsid w:val="00743E67"/>
    <w:rsid w:val="0074404B"/>
    <w:rsid w:val="00744416"/>
    <w:rsid w:val="00744493"/>
    <w:rsid w:val="00744649"/>
    <w:rsid w:val="007446F8"/>
    <w:rsid w:val="0074484C"/>
    <w:rsid w:val="00744C97"/>
    <w:rsid w:val="007455FE"/>
    <w:rsid w:val="00745C69"/>
    <w:rsid w:val="007461FF"/>
    <w:rsid w:val="007462EC"/>
    <w:rsid w:val="00746589"/>
    <w:rsid w:val="0074663B"/>
    <w:rsid w:val="007472AA"/>
    <w:rsid w:val="00747A23"/>
    <w:rsid w:val="00747C62"/>
    <w:rsid w:val="00747DCF"/>
    <w:rsid w:val="0075090A"/>
    <w:rsid w:val="00750B94"/>
    <w:rsid w:val="00750BEE"/>
    <w:rsid w:val="00751195"/>
    <w:rsid w:val="007514A9"/>
    <w:rsid w:val="00751657"/>
    <w:rsid w:val="00751720"/>
    <w:rsid w:val="007519BA"/>
    <w:rsid w:val="00751A88"/>
    <w:rsid w:val="00751FC9"/>
    <w:rsid w:val="0075215B"/>
    <w:rsid w:val="0075224C"/>
    <w:rsid w:val="007522AF"/>
    <w:rsid w:val="007532F4"/>
    <w:rsid w:val="007533C9"/>
    <w:rsid w:val="007539BF"/>
    <w:rsid w:val="007539CB"/>
    <w:rsid w:val="00753F62"/>
    <w:rsid w:val="007541A4"/>
    <w:rsid w:val="007544A9"/>
    <w:rsid w:val="00754C49"/>
    <w:rsid w:val="00755096"/>
    <w:rsid w:val="007550EE"/>
    <w:rsid w:val="00755901"/>
    <w:rsid w:val="00755D9A"/>
    <w:rsid w:val="00755FCE"/>
    <w:rsid w:val="0075689B"/>
    <w:rsid w:val="00756B31"/>
    <w:rsid w:val="00757425"/>
    <w:rsid w:val="0075771E"/>
    <w:rsid w:val="00757887"/>
    <w:rsid w:val="0075790F"/>
    <w:rsid w:val="00757AE7"/>
    <w:rsid w:val="00757DB6"/>
    <w:rsid w:val="0076077A"/>
    <w:rsid w:val="007613CB"/>
    <w:rsid w:val="00761795"/>
    <w:rsid w:val="00761AC8"/>
    <w:rsid w:val="00761AEE"/>
    <w:rsid w:val="00761DB1"/>
    <w:rsid w:val="0076206F"/>
    <w:rsid w:val="00762226"/>
    <w:rsid w:val="00762400"/>
    <w:rsid w:val="007624F5"/>
    <w:rsid w:val="00762CF0"/>
    <w:rsid w:val="00762D38"/>
    <w:rsid w:val="007632E0"/>
    <w:rsid w:val="0076345B"/>
    <w:rsid w:val="007634AC"/>
    <w:rsid w:val="00763566"/>
    <w:rsid w:val="00764453"/>
    <w:rsid w:val="0076449D"/>
    <w:rsid w:val="00764801"/>
    <w:rsid w:val="00764C4A"/>
    <w:rsid w:val="0076515D"/>
    <w:rsid w:val="007651D6"/>
    <w:rsid w:val="007652CA"/>
    <w:rsid w:val="007655FA"/>
    <w:rsid w:val="007658E5"/>
    <w:rsid w:val="00765AA7"/>
    <w:rsid w:val="00765B1B"/>
    <w:rsid w:val="00765C16"/>
    <w:rsid w:val="00765C3D"/>
    <w:rsid w:val="00765EC0"/>
    <w:rsid w:val="00766003"/>
    <w:rsid w:val="00766523"/>
    <w:rsid w:val="007669D7"/>
    <w:rsid w:val="00766FEB"/>
    <w:rsid w:val="00767397"/>
    <w:rsid w:val="007679EB"/>
    <w:rsid w:val="007704CA"/>
    <w:rsid w:val="00770C8A"/>
    <w:rsid w:val="00770D94"/>
    <w:rsid w:val="007715F2"/>
    <w:rsid w:val="0077160D"/>
    <w:rsid w:val="00771631"/>
    <w:rsid w:val="00771F9B"/>
    <w:rsid w:val="0077230E"/>
    <w:rsid w:val="007723F1"/>
    <w:rsid w:val="00772559"/>
    <w:rsid w:val="0077261D"/>
    <w:rsid w:val="00772656"/>
    <w:rsid w:val="0077271B"/>
    <w:rsid w:val="00772ADE"/>
    <w:rsid w:val="00772D6E"/>
    <w:rsid w:val="00772F01"/>
    <w:rsid w:val="0077306D"/>
    <w:rsid w:val="0077311A"/>
    <w:rsid w:val="007732F1"/>
    <w:rsid w:val="007738EC"/>
    <w:rsid w:val="00773F7A"/>
    <w:rsid w:val="00774114"/>
    <w:rsid w:val="007741FF"/>
    <w:rsid w:val="0077546B"/>
    <w:rsid w:val="007756C3"/>
    <w:rsid w:val="00775A2C"/>
    <w:rsid w:val="00775ACF"/>
    <w:rsid w:val="00775FCE"/>
    <w:rsid w:val="00776033"/>
    <w:rsid w:val="0077621D"/>
    <w:rsid w:val="007762CD"/>
    <w:rsid w:val="0077643C"/>
    <w:rsid w:val="0077684B"/>
    <w:rsid w:val="00777020"/>
    <w:rsid w:val="0077726D"/>
    <w:rsid w:val="00777290"/>
    <w:rsid w:val="007772E8"/>
    <w:rsid w:val="00777721"/>
    <w:rsid w:val="00780273"/>
    <w:rsid w:val="00780355"/>
    <w:rsid w:val="00780956"/>
    <w:rsid w:val="00780981"/>
    <w:rsid w:val="0078148C"/>
    <w:rsid w:val="00781552"/>
    <w:rsid w:val="00781619"/>
    <w:rsid w:val="00781725"/>
    <w:rsid w:val="007818C2"/>
    <w:rsid w:val="00781AC2"/>
    <w:rsid w:val="00781C82"/>
    <w:rsid w:val="0078233F"/>
    <w:rsid w:val="00782692"/>
    <w:rsid w:val="007828D5"/>
    <w:rsid w:val="00782A08"/>
    <w:rsid w:val="00782D8F"/>
    <w:rsid w:val="00782F00"/>
    <w:rsid w:val="00782FC5"/>
    <w:rsid w:val="00783263"/>
    <w:rsid w:val="00783345"/>
    <w:rsid w:val="0078357E"/>
    <w:rsid w:val="00783633"/>
    <w:rsid w:val="0078385A"/>
    <w:rsid w:val="007839E7"/>
    <w:rsid w:val="007841FF"/>
    <w:rsid w:val="00785009"/>
    <w:rsid w:val="007853D9"/>
    <w:rsid w:val="0078599A"/>
    <w:rsid w:val="00785A63"/>
    <w:rsid w:val="00785E26"/>
    <w:rsid w:val="00785EFF"/>
    <w:rsid w:val="00786824"/>
    <w:rsid w:val="00786C1E"/>
    <w:rsid w:val="0078724C"/>
    <w:rsid w:val="0078751E"/>
    <w:rsid w:val="00787C9D"/>
    <w:rsid w:val="0079013E"/>
    <w:rsid w:val="007906CA"/>
    <w:rsid w:val="00790D49"/>
    <w:rsid w:val="00791503"/>
    <w:rsid w:val="00791816"/>
    <w:rsid w:val="00791C4B"/>
    <w:rsid w:val="00791E96"/>
    <w:rsid w:val="0079215A"/>
    <w:rsid w:val="00792460"/>
    <w:rsid w:val="007934D4"/>
    <w:rsid w:val="0079377C"/>
    <w:rsid w:val="0079394A"/>
    <w:rsid w:val="0079399A"/>
    <w:rsid w:val="007939BD"/>
    <w:rsid w:val="00793A05"/>
    <w:rsid w:val="00793A0E"/>
    <w:rsid w:val="00793C16"/>
    <w:rsid w:val="00793FBD"/>
    <w:rsid w:val="00794725"/>
    <w:rsid w:val="00794AEE"/>
    <w:rsid w:val="007952E5"/>
    <w:rsid w:val="00795610"/>
    <w:rsid w:val="0079574C"/>
    <w:rsid w:val="00795792"/>
    <w:rsid w:val="00795B10"/>
    <w:rsid w:val="00795BA2"/>
    <w:rsid w:val="00795D98"/>
    <w:rsid w:val="0079663A"/>
    <w:rsid w:val="00796AC3"/>
    <w:rsid w:val="00796C5E"/>
    <w:rsid w:val="00796F84"/>
    <w:rsid w:val="00796F8B"/>
    <w:rsid w:val="007970F4"/>
    <w:rsid w:val="007974EC"/>
    <w:rsid w:val="0079775B"/>
    <w:rsid w:val="00797C38"/>
    <w:rsid w:val="00797E54"/>
    <w:rsid w:val="007A0692"/>
    <w:rsid w:val="007A0B62"/>
    <w:rsid w:val="007A0C8C"/>
    <w:rsid w:val="007A11B0"/>
    <w:rsid w:val="007A1236"/>
    <w:rsid w:val="007A125D"/>
    <w:rsid w:val="007A1760"/>
    <w:rsid w:val="007A1B02"/>
    <w:rsid w:val="007A1D32"/>
    <w:rsid w:val="007A21A0"/>
    <w:rsid w:val="007A2818"/>
    <w:rsid w:val="007A28A4"/>
    <w:rsid w:val="007A2A69"/>
    <w:rsid w:val="007A2A6F"/>
    <w:rsid w:val="007A3386"/>
    <w:rsid w:val="007A39D3"/>
    <w:rsid w:val="007A3BDD"/>
    <w:rsid w:val="007A3D3F"/>
    <w:rsid w:val="007A3E4D"/>
    <w:rsid w:val="007A4506"/>
    <w:rsid w:val="007A45AB"/>
    <w:rsid w:val="007A4BE7"/>
    <w:rsid w:val="007A4C59"/>
    <w:rsid w:val="007A518D"/>
    <w:rsid w:val="007A57AE"/>
    <w:rsid w:val="007A5BDB"/>
    <w:rsid w:val="007A6648"/>
    <w:rsid w:val="007A6B70"/>
    <w:rsid w:val="007A6E20"/>
    <w:rsid w:val="007A6FD8"/>
    <w:rsid w:val="007A7136"/>
    <w:rsid w:val="007A73DA"/>
    <w:rsid w:val="007A7498"/>
    <w:rsid w:val="007A74B2"/>
    <w:rsid w:val="007A771E"/>
    <w:rsid w:val="007A7C64"/>
    <w:rsid w:val="007B0037"/>
    <w:rsid w:val="007B0571"/>
    <w:rsid w:val="007B06B8"/>
    <w:rsid w:val="007B07C4"/>
    <w:rsid w:val="007B0B94"/>
    <w:rsid w:val="007B0C12"/>
    <w:rsid w:val="007B109A"/>
    <w:rsid w:val="007B11EC"/>
    <w:rsid w:val="007B139D"/>
    <w:rsid w:val="007B16E5"/>
    <w:rsid w:val="007B1F57"/>
    <w:rsid w:val="007B2135"/>
    <w:rsid w:val="007B216F"/>
    <w:rsid w:val="007B25D1"/>
    <w:rsid w:val="007B2616"/>
    <w:rsid w:val="007B2926"/>
    <w:rsid w:val="007B3057"/>
    <w:rsid w:val="007B3E8D"/>
    <w:rsid w:val="007B418D"/>
    <w:rsid w:val="007B41B5"/>
    <w:rsid w:val="007B4597"/>
    <w:rsid w:val="007B47A0"/>
    <w:rsid w:val="007B5174"/>
    <w:rsid w:val="007B5255"/>
    <w:rsid w:val="007B5336"/>
    <w:rsid w:val="007B55C5"/>
    <w:rsid w:val="007B561D"/>
    <w:rsid w:val="007B57D2"/>
    <w:rsid w:val="007B5E43"/>
    <w:rsid w:val="007B5F3C"/>
    <w:rsid w:val="007B6B9D"/>
    <w:rsid w:val="007B6CC6"/>
    <w:rsid w:val="007B6F4D"/>
    <w:rsid w:val="007B70FB"/>
    <w:rsid w:val="007B7136"/>
    <w:rsid w:val="007B72CD"/>
    <w:rsid w:val="007B74DB"/>
    <w:rsid w:val="007B7566"/>
    <w:rsid w:val="007B7A47"/>
    <w:rsid w:val="007B7A6C"/>
    <w:rsid w:val="007B7B3D"/>
    <w:rsid w:val="007C0482"/>
    <w:rsid w:val="007C0E18"/>
    <w:rsid w:val="007C0E80"/>
    <w:rsid w:val="007C123C"/>
    <w:rsid w:val="007C1637"/>
    <w:rsid w:val="007C1DC9"/>
    <w:rsid w:val="007C1E1A"/>
    <w:rsid w:val="007C20FE"/>
    <w:rsid w:val="007C2343"/>
    <w:rsid w:val="007C24BB"/>
    <w:rsid w:val="007C2678"/>
    <w:rsid w:val="007C3435"/>
    <w:rsid w:val="007C351D"/>
    <w:rsid w:val="007C35A9"/>
    <w:rsid w:val="007C35F6"/>
    <w:rsid w:val="007C360B"/>
    <w:rsid w:val="007C376A"/>
    <w:rsid w:val="007C3888"/>
    <w:rsid w:val="007C4526"/>
    <w:rsid w:val="007C49F2"/>
    <w:rsid w:val="007C4A77"/>
    <w:rsid w:val="007C4AC1"/>
    <w:rsid w:val="007C4ACA"/>
    <w:rsid w:val="007C4F4F"/>
    <w:rsid w:val="007C5084"/>
    <w:rsid w:val="007C5577"/>
    <w:rsid w:val="007C55A5"/>
    <w:rsid w:val="007C55BE"/>
    <w:rsid w:val="007C5686"/>
    <w:rsid w:val="007C5AB5"/>
    <w:rsid w:val="007C5DB4"/>
    <w:rsid w:val="007C62D0"/>
    <w:rsid w:val="007C6E2F"/>
    <w:rsid w:val="007C7506"/>
    <w:rsid w:val="007C7663"/>
    <w:rsid w:val="007C766F"/>
    <w:rsid w:val="007C7AD6"/>
    <w:rsid w:val="007C7C59"/>
    <w:rsid w:val="007C7D51"/>
    <w:rsid w:val="007C7DC7"/>
    <w:rsid w:val="007D033A"/>
    <w:rsid w:val="007D03B3"/>
    <w:rsid w:val="007D0816"/>
    <w:rsid w:val="007D0B72"/>
    <w:rsid w:val="007D132F"/>
    <w:rsid w:val="007D136E"/>
    <w:rsid w:val="007D15F0"/>
    <w:rsid w:val="007D178B"/>
    <w:rsid w:val="007D1AAA"/>
    <w:rsid w:val="007D1B64"/>
    <w:rsid w:val="007D1CE7"/>
    <w:rsid w:val="007D1F73"/>
    <w:rsid w:val="007D226F"/>
    <w:rsid w:val="007D22CE"/>
    <w:rsid w:val="007D2B9F"/>
    <w:rsid w:val="007D2C50"/>
    <w:rsid w:val="007D2FE3"/>
    <w:rsid w:val="007D3398"/>
    <w:rsid w:val="007D33FA"/>
    <w:rsid w:val="007D363F"/>
    <w:rsid w:val="007D3A86"/>
    <w:rsid w:val="007D3B12"/>
    <w:rsid w:val="007D3BC5"/>
    <w:rsid w:val="007D3CE9"/>
    <w:rsid w:val="007D3DF7"/>
    <w:rsid w:val="007D3F75"/>
    <w:rsid w:val="007D40F5"/>
    <w:rsid w:val="007D440A"/>
    <w:rsid w:val="007D457B"/>
    <w:rsid w:val="007D46D8"/>
    <w:rsid w:val="007D4832"/>
    <w:rsid w:val="007D4892"/>
    <w:rsid w:val="007D48E9"/>
    <w:rsid w:val="007D4A1A"/>
    <w:rsid w:val="007D4D44"/>
    <w:rsid w:val="007D4DC5"/>
    <w:rsid w:val="007D53CB"/>
    <w:rsid w:val="007D561F"/>
    <w:rsid w:val="007D5857"/>
    <w:rsid w:val="007D5BB4"/>
    <w:rsid w:val="007D6246"/>
    <w:rsid w:val="007D68DB"/>
    <w:rsid w:val="007D6A54"/>
    <w:rsid w:val="007D6CE6"/>
    <w:rsid w:val="007D6E43"/>
    <w:rsid w:val="007D6F86"/>
    <w:rsid w:val="007D72CB"/>
    <w:rsid w:val="007D72EB"/>
    <w:rsid w:val="007D735A"/>
    <w:rsid w:val="007D7CDD"/>
    <w:rsid w:val="007D7F37"/>
    <w:rsid w:val="007E016B"/>
    <w:rsid w:val="007E0416"/>
    <w:rsid w:val="007E08C9"/>
    <w:rsid w:val="007E0A12"/>
    <w:rsid w:val="007E0D35"/>
    <w:rsid w:val="007E0F8F"/>
    <w:rsid w:val="007E13A8"/>
    <w:rsid w:val="007E1A71"/>
    <w:rsid w:val="007E1AAD"/>
    <w:rsid w:val="007E2236"/>
    <w:rsid w:val="007E273A"/>
    <w:rsid w:val="007E296A"/>
    <w:rsid w:val="007E2A9F"/>
    <w:rsid w:val="007E317C"/>
    <w:rsid w:val="007E3456"/>
    <w:rsid w:val="007E35D0"/>
    <w:rsid w:val="007E3A03"/>
    <w:rsid w:val="007E3E82"/>
    <w:rsid w:val="007E44F9"/>
    <w:rsid w:val="007E4701"/>
    <w:rsid w:val="007E47D5"/>
    <w:rsid w:val="007E4C3C"/>
    <w:rsid w:val="007E4DA6"/>
    <w:rsid w:val="007E4F53"/>
    <w:rsid w:val="007E502A"/>
    <w:rsid w:val="007E5268"/>
    <w:rsid w:val="007E53AF"/>
    <w:rsid w:val="007E5725"/>
    <w:rsid w:val="007E5937"/>
    <w:rsid w:val="007E5A2C"/>
    <w:rsid w:val="007E5E82"/>
    <w:rsid w:val="007E5ED9"/>
    <w:rsid w:val="007E5EDC"/>
    <w:rsid w:val="007E6646"/>
    <w:rsid w:val="007E67D9"/>
    <w:rsid w:val="007E691D"/>
    <w:rsid w:val="007E6A96"/>
    <w:rsid w:val="007E6C51"/>
    <w:rsid w:val="007E6D20"/>
    <w:rsid w:val="007E7232"/>
    <w:rsid w:val="007E72AB"/>
    <w:rsid w:val="007E735E"/>
    <w:rsid w:val="007E7D5D"/>
    <w:rsid w:val="007E7E0F"/>
    <w:rsid w:val="007E7EC0"/>
    <w:rsid w:val="007F0378"/>
    <w:rsid w:val="007F0684"/>
    <w:rsid w:val="007F06B6"/>
    <w:rsid w:val="007F06E8"/>
    <w:rsid w:val="007F0AF8"/>
    <w:rsid w:val="007F0E4C"/>
    <w:rsid w:val="007F1933"/>
    <w:rsid w:val="007F1B94"/>
    <w:rsid w:val="007F1F1C"/>
    <w:rsid w:val="007F219A"/>
    <w:rsid w:val="007F2444"/>
    <w:rsid w:val="007F2C78"/>
    <w:rsid w:val="007F3088"/>
    <w:rsid w:val="007F3130"/>
    <w:rsid w:val="007F35B8"/>
    <w:rsid w:val="007F37EA"/>
    <w:rsid w:val="007F3D80"/>
    <w:rsid w:val="007F3F16"/>
    <w:rsid w:val="007F42F0"/>
    <w:rsid w:val="007F4748"/>
    <w:rsid w:val="007F4906"/>
    <w:rsid w:val="007F4981"/>
    <w:rsid w:val="007F4D34"/>
    <w:rsid w:val="007F56FC"/>
    <w:rsid w:val="007F62FD"/>
    <w:rsid w:val="007F6340"/>
    <w:rsid w:val="007F65DB"/>
    <w:rsid w:val="007F6761"/>
    <w:rsid w:val="007F6BC4"/>
    <w:rsid w:val="007F6C0E"/>
    <w:rsid w:val="007F6DA9"/>
    <w:rsid w:val="007F70D4"/>
    <w:rsid w:val="007F752E"/>
    <w:rsid w:val="007F76B6"/>
    <w:rsid w:val="007F7ABF"/>
    <w:rsid w:val="007F7CA1"/>
    <w:rsid w:val="0080059B"/>
    <w:rsid w:val="0080073F"/>
    <w:rsid w:val="00800917"/>
    <w:rsid w:val="00800DBB"/>
    <w:rsid w:val="00801607"/>
    <w:rsid w:val="00801713"/>
    <w:rsid w:val="0080176E"/>
    <w:rsid w:val="00801B94"/>
    <w:rsid w:val="00801CB1"/>
    <w:rsid w:val="00801DC9"/>
    <w:rsid w:val="0080238B"/>
    <w:rsid w:val="00802758"/>
    <w:rsid w:val="00802A50"/>
    <w:rsid w:val="00802A7A"/>
    <w:rsid w:val="00802AA7"/>
    <w:rsid w:val="00802B6F"/>
    <w:rsid w:val="00803003"/>
    <w:rsid w:val="008038AE"/>
    <w:rsid w:val="008039DB"/>
    <w:rsid w:val="00803AAC"/>
    <w:rsid w:val="00803ACE"/>
    <w:rsid w:val="00803F4E"/>
    <w:rsid w:val="008057B1"/>
    <w:rsid w:val="00805834"/>
    <w:rsid w:val="00805B99"/>
    <w:rsid w:val="00805D3E"/>
    <w:rsid w:val="00805EEC"/>
    <w:rsid w:val="00806026"/>
    <w:rsid w:val="008061C2"/>
    <w:rsid w:val="00806E9B"/>
    <w:rsid w:val="00807090"/>
    <w:rsid w:val="008074F3"/>
    <w:rsid w:val="00807926"/>
    <w:rsid w:val="0080796B"/>
    <w:rsid w:val="00807A15"/>
    <w:rsid w:val="00807AB5"/>
    <w:rsid w:val="00807EBB"/>
    <w:rsid w:val="00807FC3"/>
    <w:rsid w:val="008100A2"/>
    <w:rsid w:val="008104A0"/>
    <w:rsid w:val="008107F5"/>
    <w:rsid w:val="00810A75"/>
    <w:rsid w:val="00810D27"/>
    <w:rsid w:val="00810E30"/>
    <w:rsid w:val="00810ED7"/>
    <w:rsid w:val="00810F56"/>
    <w:rsid w:val="00811057"/>
    <w:rsid w:val="0081169E"/>
    <w:rsid w:val="00811914"/>
    <w:rsid w:val="00811A86"/>
    <w:rsid w:val="00811EE2"/>
    <w:rsid w:val="008123D4"/>
    <w:rsid w:val="00812B2D"/>
    <w:rsid w:val="00812C4E"/>
    <w:rsid w:val="0081353B"/>
    <w:rsid w:val="0081378B"/>
    <w:rsid w:val="00813AEB"/>
    <w:rsid w:val="00814049"/>
    <w:rsid w:val="008140B8"/>
    <w:rsid w:val="0081466A"/>
    <w:rsid w:val="008149A6"/>
    <w:rsid w:val="00814CAD"/>
    <w:rsid w:val="00814E29"/>
    <w:rsid w:val="0081580E"/>
    <w:rsid w:val="00815914"/>
    <w:rsid w:val="00815A49"/>
    <w:rsid w:val="00815BB1"/>
    <w:rsid w:val="00815BFA"/>
    <w:rsid w:val="00815CE0"/>
    <w:rsid w:val="0081623E"/>
    <w:rsid w:val="00816340"/>
    <w:rsid w:val="0081701B"/>
    <w:rsid w:val="008177AE"/>
    <w:rsid w:val="00817C6C"/>
    <w:rsid w:val="00817D96"/>
    <w:rsid w:val="00817E6F"/>
    <w:rsid w:val="00817F9A"/>
    <w:rsid w:val="00820896"/>
    <w:rsid w:val="00820A62"/>
    <w:rsid w:val="008211B5"/>
    <w:rsid w:val="00821912"/>
    <w:rsid w:val="0082194F"/>
    <w:rsid w:val="00821A07"/>
    <w:rsid w:val="0082222E"/>
    <w:rsid w:val="008222D8"/>
    <w:rsid w:val="0082242F"/>
    <w:rsid w:val="008227FA"/>
    <w:rsid w:val="008229A2"/>
    <w:rsid w:val="00822CDF"/>
    <w:rsid w:val="008235B7"/>
    <w:rsid w:val="008236A9"/>
    <w:rsid w:val="00823A6D"/>
    <w:rsid w:val="00823AA9"/>
    <w:rsid w:val="00823FF7"/>
    <w:rsid w:val="008240FA"/>
    <w:rsid w:val="008242B3"/>
    <w:rsid w:val="0082443D"/>
    <w:rsid w:val="00824A9E"/>
    <w:rsid w:val="00824E44"/>
    <w:rsid w:val="008255CE"/>
    <w:rsid w:val="00825966"/>
    <w:rsid w:val="00825ED1"/>
    <w:rsid w:val="00825EDB"/>
    <w:rsid w:val="00825F58"/>
    <w:rsid w:val="008264EB"/>
    <w:rsid w:val="00826635"/>
    <w:rsid w:val="008267E6"/>
    <w:rsid w:val="008268CF"/>
    <w:rsid w:val="00826DEF"/>
    <w:rsid w:val="008270EE"/>
    <w:rsid w:val="00827265"/>
    <w:rsid w:val="008272A7"/>
    <w:rsid w:val="008273A3"/>
    <w:rsid w:val="0082744A"/>
    <w:rsid w:val="00827497"/>
    <w:rsid w:val="008275A9"/>
    <w:rsid w:val="0083026B"/>
    <w:rsid w:val="008307F9"/>
    <w:rsid w:val="00830845"/>
    <w:rsid w:val="0083098F"/>
    <w:rsid w:val="008309E1"/>
    <w:rsid w:val="00830DA4"/>
    <w:rsid w:val="00831472"/>
    <w:rsid w:val="0083171A"/>
    <w:rsid w:val="00831ABE"/>
    <w:rsid w:val="008320C3"/>
    <w:rsid w:val="008322DF"/>
    <w:rsid w:val="008322F6"/>
    <w:rsid w:val="008327F0"/>
    <w:rsid w:val="00832922"/>
    <w:rsid w:val="008329FF"/>
    <w:rsid w:val="00832ECB"/>
    <w:rsid w:val="0083302B"/>
    <w:rsid w:val="00833526"/>
    <w:rsid w:val="008336EE"/>
    <w:rsid w:val="008340EC"/>
    <w:rsid w:val="00834B47"/>
    <w:rsid w:val="00835195"/>
    <w:rsid w:val="00835459"/>
    <w:rsid w:val="00835C3C"/>
    <w:rsid w:val="00835EE4"/>
    <w:rsid w:val="00836259"/>
    <w:rsid w:val="00836AC7"/>
    <w:rsid w:val="00836C77"/>
    <w:rsid w:val="00836E1B"/>
    <w:rsid w:val="008376CD"/>
    <w:rsid w:val="0083793C"/>
    <w:rsid w:val="00837BB6"/>
    <w:rsid w:val="00837C92"/>
    <w:rsid w:val="00837F0F"/>
    <w:rsid w:val="00837FEE"/>
    <w:rsid w:val="008404E0"/>
    <w:rsid w:val="008416E5"/>
    <w:rsid w:val="00841A00"/>
    <w:rsid w:val="00841ED7"/>
    <w:rsid w:val="0084210C"/>
    <w:rsid w:val="00842BBA"/>
    <w:rsid w:val="00842D41"/>
    <w:rsid w:val="00842E56"/>
    <w:rsid w:val="00843029"/>
    <w:rsid w:val="00843420"/>
    <w:rsid w:val="00843B5D"/>
    <w:rsid w:val="00843BE2"/>
    <w:rsid w:val="00843C5D"/>
    <w:rsid w:val="00843F87"/>
    <w:rsid w:val="00844448"/>
    <w:rsid w:val="008447D4"/>
    <w:rsid w:val="0084506C"/>
    <w:rsid w:val="008454BD"/>
    <w:rsid w:val="0084570E"/>
    <w:rsid w:val="00845B66"/>
    <w:rsid w:val="00846126"/>
    <w:rsid w:val="008463AA"/>
    <w:rsid w:val="008463F3"/>
    <w:rsid w:val="00846509"/>
    <w:rsid w:val="008467CB"/>
    <w:rsid w:val="008467D3"/>
    <w:rsid w:val="00846845"/>
    <w:rsid w:val="00846D76"/>
    <w:rsid w:val="00847650"/>
    <w:rsid w:val="008476DC"/>
    <w:rsid w:val="00847829"/>
    <w:rsid w:val="008479B1"/>
    <w:rsid w:val="0085005F"/>
    <w:rsid w:val="008500F5"/>
    <w:rsid w:val="0085030C"/>
    <w:rsid w:val="0085062F"/>
    <w:rsid w:val="00850CBE"/>
    <w:rsid w:val="00851307"/>
    <w:rsid w:val="008515B1"/>
    <w:rsid w:val="008518F3"/>
    <w:rsid w:val="00851C40"/>
    <w:rsid w:val="00851F2D"/>
    <w:rsid w:val="00852239"/>
    <w:rsid w:val="00852508"/>
    <w:rsid w:val="00852578"/>
    <w:rsid w:val="008525B6"/>
    <w:rsid w:val="00852E5B"/>
    <w:rsid w:val="0085323E"/>
    <w:rsid w:val="008535EB"/>
    <w:rsid w:val="00853677"/>
    <w:rsid w:val="00853943"/>
    <w:rsid w:val="00853A88"/>
    <w:rsid w:val="00853ACD"/>
    <w:rsid w:val="00853ACF"/>
    <w:rsid w:val="00853CA6"/>
    <w:rsid w:val="00853F1F"/>
    <w:rsid w:val="008544D3"/>
    <w:rsid w:val="00854AD2"/>
    <w:rsid w:val="00855089"/>
    <w:rsid w:val="0085525C"/>
    <w:rsid w:val="008558A1"/>
    <w:rsid w:val="00855A1E"/>
    <w:rsid w:val="00855DEB"/>
    <w:rsid w:val="0085642F"/>
    <w:rsid w:val="0085645A"/>
    <w:rsid w:val="00856554"/>
    <w:rsid w:val="0085717F"/>
    <w:rsid w:val="008573AF"/>
    <w:rsid w:val="008573F8"/>
    <w:rsid w:val="00857645"/>
    <w:rsid w:val="00857798"/>
    <w:rsid w:val="008577D9"/>
    <w:rsid w:val="00857BEA"/>
    <w:rsid w:val="00857D80"/>
    <w:rsid w:val="00857EAB"/>
    <w:rsid w:val="008602FC"/>
    <w:rsid w:val="0086045C"/>
    <w:rsid w:val="008607FA"/>
    <w:rsid w:val="00860989"/>
    <w:rsid w:val="00860CF9"/>
    <w:rsid w:val="008614A8"/>
    <w:rsid w:val="00861DEF"/>
    <w:rsid w:val="008622D3"/>
    <w:rsid w:val="0086268A"/>
    <w:rsid w:val="00862BD4"/>
    <w:rsid w:val="00862BFA"/>
    <w:rsid w:val="00862D35"/>
    <w:rsid w:val="00862DC6"/>
    <w:rsid w:val="00862EE5"/>
    <w:rsid w:val="008639A2"/>
    <w:rsid w:val="00863BBB"/>
    <w:rsid w:val="008640FD"/>
    <w:rsid w:val="0086426C"/>
    <w:rsid w:val="00864321"/>
    <w:rsid w:val="008644D5"/>
    <w:rsid w:val="00864A96"/>
    <w:rsid w:val="00864E19"/>
    <w:rsid w:val="00864FDD"/>
    <w:rsid w:val="00865020"/>
    <w:rsid w:val="0086526F"/>
    <w:rsid w:val="00865385"/>
    <w:rsid w:val="0086564F"/>
    <w:rsid w:val="00865676"/>
    <w:rsid w:val="00865681"/>
    <w:rsid w:val="00865A34"/>
    <w:rsid w:val="00865AF5"/>
    <w:rsid w:val="00865C9A"/>
    <w:rsid w:val="00866618"/>
    <w:rsid w:val="00866770"/>
    <w:rsid w:val="00867578"/>
    <w:rsid w:val="008678FC"/>
    <w:rsid w:val="00867B6B"/>
    <w:rsid w:val="00867FDD"/>
    <w:rsid w:val="0087000F"/>
    <w:rsid w:val="0087020C"/>
    <w:rsid w:val="008706D6"/>
    <w:rsid w:val="00870788"/>
    <w:rsid w:val="00870923"/>
    <w:rsid w:val="00870A8A"/>
    <w:rsid w:val="00870AFC"/>
    <w:rsid w:val="00870F67"/>
    <w:rsid w:val="00870F6E"/>
    <w:rsid w:val="00871028"/>
    <w:rsid w:val="008715CC"/>
    <w:rsid w:val="008717FE"/>
    <w:rsid w:val="00872589"/>
    <w:rsid w:val="00872770"/>
    <w:rsid w:val="00872A89"/>
    <w:rsid w:val="00872C07"/>
    <w:rsid w:val="00873125"/>
    <w:rsid w:val="008731F2"/>
    <w:rsid w:val="00873754"/>
    <w:rsid w:val="00873CF3"/>
    <w:rsid w:val="008746D7"/>
    <w:rsid w:val="00874D5D"/>
    <w:rsid w:val="0087502F"/>
    <w:rsid w:val="008752FC"/>
    <w:rsid w:val="008755BD"/>
    <w:rsid w:val="00875FA4"/>
    <w:rsid w:val="00876313"/>
    <w:rsid w:val="008763C8"/>
    <w:rsid w:val="0087656D"/>
    <w:rsid w:val="0087672D"/>
    <w:rsid w:val="00876902"/>
    <w:rsid w:val="00876E33"/>
    <w:rsid w:val="00877745"/>
    <w:rsid w:val="008779E9"/>
    <w:rsid w:val="00877ADA"/>
    <w:rsid w:val="00877D2C"/>
    <w:rsid w:val="00877D6E"/>
    <w:rsid w:val="00877E35"/>
    <w:rsid w:val="0088014E"/>
    <w:rsid w:val="008807CE"/>
    <w:rsid w:val="00880AA4"/>
    <w:rsid w:val="00880B6B"/>
    <w:rsid w:val="00880BAB"/>
    <w:rsid w:val="00880C8D"/>
    <w:rsid w:val="008812A7"/>
    <w:rsid w:val="00881646"/>
    <w:rsid w:val="008817FF"/>
    <w:rsid w:val="0088239C"/>
    <w:rsid w:val="00882745"/>
    <w:rsid w:val="008828F7"/>
    <w:rsid w:val="00882946"/>
    <w:rsid w:val="00882A65"/>
    <w:rsid w:val="00882C4D"/>
    <w:rsid w:val="00882D67"/>
    <w:rsid w:val="00882E58"/>
    <w:rsid w:val="00882F94"/>
    <w:rsid w:val="0088318D"/>
    <w:rsid w:val="008835B1"/>
    <w:rsid w:val="00883B3F"/>
    <w:rsid w:val="00883EE0"/>
    <w:rsid w:val="00883EFA"/>
    <w:rsid w:val="008840AD"/>
    <w:rsid w:val="008841BF"/>
    <w:rsid w:val="008846E2"/>
    <w:rsid w:val="00884A91"/>
    <w:rsid w:val="00884E92"/>
    <w:rsid w:val="008851BE"/>
    <w:rsid w:val="00885538"/>
    <w:rsid w:val="00885960"/>
    <w:rsid w:val="00885A63"/>
    <w:rsid w:val="00885ADA"/>
    <w:rsid w:val="00885B81"/>
    <w:rsid w:val="00886188"/>
    <w:rsid w:val="00886342"/>
    <w:rsid w:val="0088651F"/>
    <w:rsid w:val="00886632"/>
    <w:rsid w:val="00886EC6"/>
    <w:rsid w:val="00887063"/>
    <w:rsid w:val="008876D5"/>
    <w:rsid w:val="00887798"/>
    <w:rsid w:val="0088796B"/>
    <w:rsid w:val="00887D83"/>
    <w:rsid w:val="00887F1B"/>
    <w:rsid w:val="008900CF"/>
    <w:rsid w:val="008903F8"/>
    <w:rsid w:val="008905B9"/>
    <w:rsid w:val="00890709"/>
    <w:rsid w:val="00890F94"/>
    <w:rsid w:val="00891AE3"/>
    <w:rsid w:val="00891D67"/>
    <w:rsid w:val="0089203B"/>
    <w:rsid w:val="00892165"/>
    <w:rsid w:val="008922CF"/>
    <w:rsid w:val="008923D1"/>
    <w:rsid w:val="008925B9"/>
    <w:rsid w:val="00892827"/>
    <w:rsid w:val="00892AEE"/>
    <w:rsid w:val="008937AC"/>
    <w:rsid w:val="008937CB"/>
    <w:rsid w:val="00893EA3"/>
    <w:rsid w:val="00893FF7"/>
    <w:rsid w:val="0089427B"/>
    <w:rsid w:val="008942A5"/>
    <w:rsid w:val="008943FD"/>
    <w:rsid w:val="0089483C"/>
    <w:rsid w:val="00894A6B"/>
    <w:rsid w:val="00894A7F"/>
    <w:rsid w:val="00895214"/>
    <w:rsid w:val="00895670"/>
    <w:rsid w:val="00895DCC"/>
    <w:rsid w:val="00895E5A"/>
    <w:rsid w:val="008962BC"/>
    <w:rsid w:val="008973BA"/>
    <w:rsid w:val="00897502"/>
    <w:rsid w:val="00897602"/>
    <w:rsid w:val="0089773D"/>
    <w:rsid w:val="00897855"/>
    <w:rsid w:val="00897A17"/>
    <w:rsid w:val="00897BAC"/>
    <w:rsid w:val="008A03C3"/>
    <w:rsid w:val="008A045F"/>
    <w:rsid w:val="008A0555"/>
    <w:rsid w:val="008A097F"/>
    <w:rsid w:val="008A0994"/>
    <w:rsid w:val="008A0B6D"/>
    <w:rsid w:val="008A0E02"/>
    <w:rsid w:val="008A0E63"/>
    <w:rsid w:val="008A0F85"/>
    <w:rsid w:val="008A148F"/>
    <w:rsid w:val="008A14BA"/>
    <w:rsid w:val="008A14F8"/>
    <w:rsid w:val="008A173F"/>
    <w:rsid w:val="008A1EFD"/>
    <w:rsid w:val="008A1F90"/>
    <w:rsid w:val="008A210B"/>
    <w:rsid w:val="008A211F"/>
    <w:rsid w:val="008A2385"/>
    <w:rsid w:val="008A2790"/>
    <w:rsid w:val="008A279B"/>
    <w:rsid w:val="008A2830"/>
    <w:rsid w:val="008A2987"/>
    <w:rsid w:val="008A2ACB"/>
    <w:rsid w:val="008A2C5D"/>
    <w:rsid w:val="008A30BD"/>
    <w:rsid w:val="008A34B6"/>
    <w:rsid w:val="008A3C32"/>
    <w:rsid w:val="008A444A"/>
    <w:rsid w:val="008A46CB"/>
    <w:rsid w:val="008A4876"/>
    <w:rsid w:val="008A4B83"/>
    <w:rsid w:val="008A4CFD"/>
    <w:rsid w:val="008A4F57"/>
    <w:rsid w:val="008A52CE"/>
    <w:rsid w:val="008A5432"/>
    <w:rsid w:val="008A544C"/>
    <w:rsid w:val="008A574C"/>
    <w:rsid w:val="008A5800"/>
    <w:rsid w:val="008A5BC7"/>
    <w:rsid w:val="008A5E2C"/>
    <w:rsid w:val="008A5E8C"/>
    <w:rsid w:val="008A67A1"/>
    <w:rsid w:val="008A6A25"/>
    <w:rsid w:val="008A6ED8"/>
    <w:rsid w:val="008A720F"/>
    <w:rsid w:val="008A77BD"/>
    <w:rsid w:val="008A7949"/>
    <w:rsid w:val="008A7A03"/>
    <w:rsid w:val="008A7AF1"/>
    <w:rsid w:val="008A7B45"/>
    <w:rsid w:val="008B0BA7"/>
    <w:rsid w:val="008B0E9B"/>
    <w:rsid w:val="008B103F"/>
    <w:rsid w:val="008B12FC"/>
    <w:rsid w:val="008B19DC"/>
    <w:rsid w:val="008B1C8C"/>
    <w:rsid w:val="008B1DFA"/>
    <w:rsid w:val="008B1E06"/>
    <w:rsid w:val="008B200F"/>
    <w:rsid w:val="008B20A4"/>
    <w:rsid w:val="008B2520"/>
    <w:rsid w:val="008B2582"/>
    <w:rsid w:val="008B2720"/>
    <w:rsid w:val="008B2F1A"/>
    <w:rsid w:val="008B31AD"/>
    <w:rsid w:val="008B329A"/>
    <w:rsid w:val="008B331F"/>
    <w:rsid w:val="008B3960"/>
    <w:rsid w:val="008B3A87"/>
    <w:rsid w:val="008B3B8E"/>
    <w:rsid w:val="008B3C1B"/>
    <w:rsid w:val="008B3C1F"/>
    <w:rsid w:val="008B3D7A"/>
    <w:rsid w:val="008B4243"/>
    <w:rsid w:val="008B4700"/>
    <w:rsid w:val="008B47F4"/>
    <w:rsid w:val="008B4953"/>
    <w:rsid w:val="008B4BFD"/>
    <w:rsid w:val="008B4C60"/>
    <w:rsid w:val="008B4E19"/>
    <w:rsid w:val="008B4F72"/>
    <w:rsid w:val="008B58E4"/>
    <w:rsid w:val="008B5A61"/>
    <w:rsid w:val="008B5F19"/>
    <w:rsid w:val="008B5F58"/>
    <w:rsid w:val="008B6190"/>
    <w:rsid w:val="008B6231"/>
    <w:rsid w:val="008B6367"/>
    <w:rsid w:val="008B63AD"/>
    <w:rsid w:val="008B6939"/>
    <w:rsid w:val="008B6A05"/>
    <w:rsid w:val="008B6ADB"/>
    <w:rsid w:val="008B74A7"/>
    <w:rsid w:val="008B7546"/>
    <w:rsid w:val="008B757C"/>
    <w:rsid w:val="008B77EC"/>
    <w:rsid w:val="008B7C5A"/>
    <w:rsid w:val="008B7ECB"/>
    <w:rsid w:val="008C048E"/>
    <w:rsid w:val="008C052D"/>
    <w:rsid w:val="008C0557"/>
    <w:rsid w:val="008C0771"/>
    <w:rsid w:val="008C0845"/>
    <w:rsid w:val="008C08B7"/>
    <w:rsid w:val="008C0D3F"/>
    <w:rsid w:val="008C15BB"/>
    <w:rsid w:val="008C1779"/>
    <w:rsid w:val="008C186A"/>
    <w:rsid w:val="008C1DC1"/>
    <w:rsid w:val="008C21A0"/>
    <w:rsid w:val="008C287C"/>
    <w:rsid w:val="008C28B3"/>
    <w:rsid w:val="008C292B"/>
    <w:rsid w:val="008C34C1"/>
    <w:rsid w:val="008C3591"/>
    <w:rsid w:val="008C3853"/>
    <w:rsid w:val="008C3982"/>
    <w:rsid w:val="008C3A88"/>
    <w:rsid w:val="008C3AC1"/>
    <w:rsid w:val="008C3B2A"/>
    <w:rsid w:val="008C3D73"/>
    <w:rsid w:val="008C41CD"/>
    <w:rsid w:val="008C4270"/>
    <w:rsid w:val="008C44FA"/>
    <w:rsid w:val="008C482E"/>
    <w:rsid w:val="008C4BB0"/>
    <w:rsid w:val="008C4E7C"/>
    <w:rsid w:val="008C4E96"/>
    <w:rsid w:val="008C4EB8"/>
    <w:rsid w:val="008C4F08"/>
    <w:rsid w:val="008C4FFE"/>
    <w:rsid w:val="008C51AD"/>
    <w:rsid w:val="008C52AE"/>
    <w:rsid w:val="008C5A8B"/>
    <w:rsid w:val="008C5EAC"/>
    <w:rsid w:val="008C5F93"/>
    <w:rsid w:val="008C61B0"/>
    <w:rsid w:val="008C627C"/>
    <w:rsid w:val="008C6BA6"/>
    <w:rsid w:val="008C6E3D"/>
    <w:rsid w:val="008C6FD3"/>
    <w:rsid w:val="008C70EB"/>
    <w:rsid w:val="008C71DE"/>
    <w:rsid w:val="008C78EA"/>
    <w:rsid w:val="008C7C23"/>
    <w:rsid w:val="008C7FA7"/>
    <w:rsid w:val="008D0E8E"/>
    <w:rsid w:val="008D1047"/>
    <w:rsid w:val="008D155D"/>
    <w:rsid w:val="008D1566"/>
    <w:rsid w:val="008D15E6"/>
    <w:rsid w:val="008D21BB"/>
    <w:rsid w:val="008D229E"/>
    <w:rsid w:val="008D24C5"/>
    <w:rsid w:val="008D24FA"/>
    <w:rsid w:val="008D24FF"/>
    <w:rsid w:val="008D2F91"/>
    <w:rsid w:val="008D34B0"/>
    <w:rsid w:val="008D36D2"/>
    <w:rsid w:val="008D3E05"/>
    <w:rsid w:val="008D3FE4"/>
    <w:rsid w:val="008D415F"/>
    <w:rsid w:val="008D463D"/>
    <w:rsid w:val="008D4D84"/>
    <w:rsid w:val="008D5099"/>
    <w:rsid w:val="008D536E"/>
    <w:rsid w:val="008D5506"/>
    <w:rsid w:val="008D5659"/>
    <w:rsid w:val="008D57A3"/>
    <w:rsid w:val="008D5C9A"/>
    <w:rsid w:val="008D5D6F"/>
    <w:rsid w:val="008D5DAB"/>
    <w:rsid w:val="008D638E"/>
    <w:rsid w:val="008D6641"/>
    <w:rsid w:val="008D6847"/>
    <w:rsid w:val="008D6968"/>
    <w:rsid w:val="008D6C68"/>
    <w:rsid w:val="008D71F3"/>
    <w:rsid w:val="008D746A"/>
    <w:rsid w:val="008D75FA"/>
    <w:rsid w:val="008D7AFD"/>
    <w:rsid w:val="008D7DEB"/>
    <w:rsid w:val="008D7E3E"/>
    <w:rsid w:val="008D7EA6"/>
    <w:rsid w:val="008E0029"/>
    <w:rsid w:val="008E01BA"/>
    <w:rsid w:val="008E0219"/>
    <w:rsid w:val="008E030F"/>
    <w:rsid w:val="008E03B3"/>
    <w:rsid w:val="008E0535"/>
    <w:rsid w:val="008E054A"/>
    <w:rsid w:val="008E08F2"/>
    <w:rsid w:val="008E0ABF"/>
    <w:rsid w:val="008E0D33"/>
    <w:rsid w:val="008E0DE2"/>
    <w:rsid w:val="008E0EF1"/>
    <w:rsid w:val="008E19E9"/>
    <w:rsid w:val="008E1A0B"/>
    <w:rsid w:val="008E1CA4"/>
    <w:rsid w:val="008E22E0"/>
    <w:rsid w:val="008E2338"/>
    <w:rsid w:val="008E260B"/>
    <w:rsid w:val="008E288B"/>
    <w:rsid w:val="008E2BCC"/>
    <w:rsid w:val="008E2EE9"/>
    <w:rsid w:val="008E3A18"/>
    <w:rsid w:val="008E4157"/>
    <w:rsid w:val="008E46F6"/>
    <w:rsid w:val="008E4E17"/>
    <w:rsid w:val="008E52E7"/>
    <w:rsid w:val="008E53DB"/>
    <w:rsid w:val="008E55C1"/>
    <w:rsid w:val="008E5757"/>
    <w:rsid w:val="008E5909"/>
    <w:rsid w:val="008E5A4E"/>
    <w:rsid w:val="008E5C8F"/>
    <w:rsid w:val="008E5F66"/>
    <w:rsid w:val="008E646A"/>
    <w:rsid w:val="008E68B9"/>
    <w:rsid w:val="008E6D37"/>
    <w:rsid w:val="008E6E86"/>
    <w:rsid w:val="008E6F52"/>
    <w:rsid w:val="008E6F6B"/>
    <w:rsid w:val="008E6FF7"/>
    <w:rsid w:val="008E702F"/>
    <w:rsid w:val="008E712B"/>
    <w:rsid w:val="008E7155"/>
    <w:rsid w:val="008E71FB"/>
    <w:rsid w:val="008E7365"/>
    <w:rsid w:val="008E78ED"/>
    <w:rsid w:val="008F0248"/>
    <w:rsid w:val="008F0288"/>
    <w:rsid w:val="008F0671"/>
    <w:rsid w:val="008F07B8"/>
    <w:rsid w:val="008F080D"/>
    <w:rsid w:val="008F0932"/>
    <w:rsid w:val="008F0945"/>
    <w:rsid w:val="008F0A86"/>
    <w:rsid w:val="008F0AB8"/>
    <w:rsid w:val="008F0AED"/>
    <w:rsid w:val="008F0BD8"/>
    <w:rsid w:val="008F0D11"/>
    <w:rsid w:val="008F0EF5"/>
    <w:rsid w:val="008F0F0D"/>
    <w:rsid w:val="008F1238"/>
    <w:rsid w:val="008F1351"/>
    <w:rsid w:val="008F13E9"/>
    <w:rsid w:val="008F14CA"/>
    <w:rsid w:val="008F14E8"/>
    <w:rsid w:val="008F1C6B"/>
    <w:rsid w:val="008F20E0"/>
    <w:rsid w:val="008F24BD"/>
    <w:rsid w:val="008F257A"/>
    <w:rsid w:val="008F2A47"/>
    <w:rsid w:val="008F2FA5"/>
    <w:rsid w:val="008F35D9"/>
    <w:rsid w:val="008F3793"/>
    <w:rsid w:val="008F3F41"/>
    <w:rsid w:val="008F412A"/>
    <w:rsid w:val="008F438C"/>
    <w:rsid w:val="008F43D6"/>
    <w:rsid w:val="008F45AC"/>
    <w:rsid w:val="008F45BC"/>
    <w:rsid w:val="008F48C6"/>
    <w:rsid w:val="008F49F3"/>
    <w:rsid w:val="008F5138"/>
    <w:rsid w:val="008F525C"/>
    <w:rsid w:val="008F5309"/>
    <w:rsid w:val="008F540C"/>
    <w:rsid w:val="008F58A7"/>
    <w:rsid w:val="008F6060"/>
    <w:rsid w:val="008F6426"/>
    <w:rsid w:val="008F6607"/>
    <w:rsid w:val="008F6AB0"/>
    <w:rsid w:val="008F6B8B"/>
    <w:rsid w:val="008F6BEC"/>
    <w:rsid w:val="00900077"/>
    <w:rsid w:val="0090097F"/>
    <w:rsid w:val="00900D92"/>
    <w:rsid w:val="0090146E"/>
    <w:rsid w:val="009015F4"/>
    <w:rsid w:val="00901E4D"/>
    <w:rsid w:val="0090296B"/>
    <w:rsid w:val="00902972"/>
    <w:rsid w:val="00903424"/>
    <w:rsid w:val="00904206"/>
    <w:rsid w:val="0090441B"/>
    <w:rsid w:val="00904551"/>
    <w:rsid w:val="0090516B"/>
    <w:rsid w:val="00905456"/>
    <w:rsid w:val="00905BE3"/>
    <w:rsid w:val="0090621C"/>
    <w:rsid w:val="00906618"/>
    <w:rsid w:val="0090662F"/>
    <w:rsid w:val="00906BB6"/>
    <w:rsid w:val="00906C4A"/>
    <w:rsid w:val="00907397"/>
    <w:rsid w:val="00907986"/>
    <w:rsid w:val="00907A72"/>
    <w:rsid w:val="00907D90"/>
    <w:rsid w:val="00910078"/>
    <w:rsid w:val="0091026F"/>
    <w:rsid w:val="009104AB"/>
    <w:rsid w:val="00910866"/>
    <w:rsid w:val="0091095D"/>
    <w:rsid w:val="00910D99"/>
    <w:rsid w:val="00910E2C"/>
    <w:rsid w:val="009110AD"/>
    <w:rsid w:val="009111CC"/>
    <w:rsid w:val="009114FF"/>
    <w:rsid w:val="00911A79"/>
    <w:rsid w:val="00911D8B"/>
    <w:rsid w:val="00911DAD"/>
    <w:rsid w:val="0091244E"/>
    <w:rsid w:val="00912464"/>
    <w:rsid w:val="00912662"/>
    <w:rsid w:val="009127CC"/>
    <w:rsid w:val="00912D42"/>
    <w:rsid w:val="009133DD"/>
    <w:rsid w:val="00913BE6"/>
    <w:rsid w:val="009141D1"/>
    <w:rsid w:val="00914234"/>
    <w:rsid w:val="00914525"/>
    <w:rsid w:val="00914722"/>
    <w:rsid w:val="009151EB"/>
    <w:rsid w:val="00915465"/>
    <w:rsid w:val="009158B9"/>
    <w:rsid w:val="00915A71"/>
    <w:rsid w:val="009160F5"/>
    <w:rsid w:val="0091620A"/>
    <w:rsid w:val="00916242"/>
    <w:rsid w:val="00916301"/>
    <w:rsid w:val="00916863"/>
    <w:rsid w:val="0091688E"/>
    <w:rsid w:val="00916F1E"/>
    <w:rsid w:val="00917458"/>
    <w:rsid w:val="00917CA8"/>
    <w:rsid w:val="0092096D"/>
    <w:rsid w:val="00920975"/>
    <w:rsid w:val="009214FB"/>
    <w:rsid w:val="009217B9"/>
    <w:rsid w:val="00921D9C"/>
    <w:rsid w:val="00921E56"/>
    <w:rsid w:val="009221ED"/>
    <w:rsid w:val="0092259C"/>
    <w:rsid w:val="009227F6"/>
    <w:rsid w:val="009228A9"/>
    <w:rsid w:val="00923385"/>
    <w:rsid w:val="009234E2"/>
    <w:rsid w:val="00923EDA"/>
    <w:rsid w:val="009243BC"/>
    <w:rsid w:val="00925099"/>
    <w:rsid w:val="009261AF"/>
    <w:rsid w:val="00926AD0"/>
    <w:rsid w:val="00926F12"/>
    <w:rsid w:val="00927055"/>
    <w:rsid w:val="0092771A"/>
    <w:rsid w:val="009278B2"/>
    <w:rsid w:val="009278EB"/>
    <w:rsid w:val="00927984"/>
    <w:rsid w:val="00927C90"/>
    <w:rsid w:val="00927DE3"/>
    <w:rsid w:val="00930591"/>
    <w:rsid w:val="00930609"/>
    <w:rsid w:val="00930B72"/>
    <w:rsid w:val="0093110E"/>
    <w:rsid w:val="0093122C"/>
    <w:rsid w:val="009315FC"/>
    <w:rsid w:val="009316A9"/>
    <w:rsid w:val="009316C7"/>
    <w:rsid w:val="0093196E"/>
    <w:rsid w:val="00931A58"/>
    <w:rsid w:val="00932027"/>
    <w:rsid w:val="00932113"/>
    <w:rsid w:val="00932670"/>
    <w:rsid w:val="00932AD7"/>
    <w:rsid w:val="00932AFD"/>
    <w:rsid w:val="00932DAC"/>
    <w:rsid w:val="00932E71"/>
    <w:rsid w:val="009332E0"/>
    <w:rsid w:val="00933669"/>
    <w:rsid w:val="00933690"/>
    <w:rsid w:val="00933AC3"/>
    <w:rsid w:val="0093423C"/>
    <w:rsid w:val="00934641"/>
    <w:rsid w:val="00934A83"/>
    <w:rsid w:val="00934DE7"/>
    <w:rsid w:val="00934E11"/>
    <w:rsid w:val="00935130"/>
    <w:rsid w:val="00935153"/>
    <w:rsid w:val="009352C5"/>
    <w:rsid w:val="00935534"/>
    <w:rsid w:val="0093562F"/>
    <w:rsid w:val="00935727"/>
    <w:rsid w:val="0093573A"/>
    <w:rsid w:val="00935929"/>
    <w:rsid w:val="009359EE"/>
    <w:rsid w:val="00935D1C"/>
    <w:rsid w:val="00935DD0"/>
    <w:rsid w:val="00935F61"/>
    <w:rsid w:val="009360BB"/>
    <w:rsid w:val="00936493"/>
    <w:rsid w:val="009366CE"/>
    <w:rsid w:val="00936981"/>
    <w:rsid w:val="00936B1F"/>
    <w:rsid w:val="0093775C"/>
    <w:rsid w:val="00937887"/>
    <w:rsid w:val="009379F0"/>
    <w:rsid w:val="00937A54"/>
    <w:rsid w:val="00937A67"/>
    <w:rsid w:val="00937BEC"/>
    <w:rsid w:val="00940258"/>
    <w:rsid w:val="00940463"/>
    <w:rsid w:val="0094055F"/>
    <w:rsid w:val="009405FA"/>
    <w:rsid w:val="00940757"/>
    <w:rsid w:val="009407D4"/>
    <w:rsid w:val="00940DC6"/>
    <w:rsid w:val="00941639"/>
    <w:rsid w:val="00941A0C"/>
    <w:rsid w:val="00941A8A"/>
    <w:rsid w:val="00941B4B"/>
    <w:rsid w:val="00941FF5"/>
    <w:rsid w:val="009424D8"/>
    <w:rsid w:val="0094282B"/>
    <w:rsid w:val="00942B2E"/>
    <w:rsid w:val="00942DF0"/>
    <w:rsid w:val="00943238"/>
    <w:rsid w:val="00943429"/>
    <w:rsid w:val="00943463"/>
    <w:rsid w:val="00943464"/>
    <w:rsid w:val="009434EB"/>
    <w:rsid w:val="00943572"/>
    <w:rsid w:val="00943CFE"/>
    <w:rsid w:val="00943D56"/>
    <w:rsid w:val="00943EE9"/>
    <w:rsid w:val="00943F5C"/>
    <w:rsid w:val="00943F96"/>
    <w:rsid w:val="00943FA2"/>
    <w:rsid w:val="00944494"/>
    <w:rsid w:val="0094494D"/>
    <w:rsid w:val="00944BA5"/>
    <w:rsid w:val="00944E59"/>
    <w:rsid w:val="00944FD3"/>
    <w:rsid w:val="009451D2"/>
    <w:rsid w:val="00945401"/>
    <w:rsid w:val="009456F4"/>
    <w:rsid w:val="009459F4"/>
    <w:rsid w:val="00945ABE"/>
    <w:rsid w:val="00945D0F"/>
    <w:rsid w:val="00945E58"/>
    <w:rsid w:val="00945F58"/>
    <w:rsid w:val="00946127"/>
    <w:rsid w:val="009465FE"/>
    <w:rsid w:val="009466A9"/>
    <w:rsid w:val="0094689D"/>
    <w:rsid w:val="00946907"/>
    <w:rsid w:val="00946991"/>
    <w:rsid w:val="00947607"/>
    <w:rsid w:val="009477F9"/>
    <w:rsid w:val="00947F6B"/>
    <w:rsid w:val="009505EB"/>
    <w:rsid w:val="00950CAE"/>
    <w:rsid w:val="00951164"/>
    <w:rsid w:val="009512EC"/>
    <w:rsid w:val="009517B8"/>
    <w:rsid w:val="00951807"/>
    <w:rsid w:val="009522A9"/>
    <w:rsid w:val="00952767"/>
    <w:rsid w:val="00952E7D"/>
    <w:rsid w:val="0095315A"/>
    <w:rsid w:val="009534DD"/>
    <w:rsid w:val="009535C2"/>
    <w:rsid w:val="0095369D"/>
    <w:rsid w:val="00953A73"/>
    <w:rsid w:val="0095432C"/>
    <w:rsid w:val="00954747"/>
    <w:rsid w:val="00954BB2"/>
    <w:rsid w:val="00954D5A"/>
    <w:rsid w:val="009551A8"/>
    <w:rsid w:val="00955540"/>
    <w:rsid w:val="00955665"/>
    <w:rsid w:val="00955A76"/>
    <w:rsid w:val="00955BFB"/>
    <w:rsid w:val="00955C1A"/>
    <w:rsid w:val="00956116"/>
    <w:rsid w:val="009562CC"/>
    <w:rsid w:val="00956984"/>
    <w:rsid w:val="009569BE"/>
    <w:rsid w:val="009569E3"/>
    <w:rsid w:val="00956B6C"/>
    <w:rsid w:val="00957031"/>
    <w:rsid w:val="00957932"/>
    <w:rsid w:val="00957B5B"/>
    <w:rsid w:val="009601CB"/>
    <w:rsid w:val="00960349"/>
    <w:rsid w:val="0096059A"/>
    <w:rsid w:val="0096081E"/>
    <w:rsid w:val="0096095E"/>
    <w:rsid w:val="00960C64"/>
    <w:rsid w:val="00960D39"/>
    <w:rsid w:val="00960F7E"/>
    <w:rsid w:val="009611A5"/>
    <w:rsid w:val="00961279"/>
    <w:rsid w:val="0096193B"/>
    <w:rsid w:val="00961B25"/>
    <w:rsid w:val="00961BB2"/>
    <w:rsid w:val="009622A5"/>
    <w:rsid w:val="0096267A"/>
    <w:rsid w:val="0096270D"/>
    <w:rsid w:val="00962879"/>
    <w:rsid w:val="009629FE"/>
    <w:rsid w:val="00963188"/>
    <w:rsid w:val="00963240"/>
    <w:rsid w:val="00963957"/>
    <w:rsid w:val="00963B82"/>
    <w:rsid w:val="00964475"/>
    <w:rsid w:val="00964A6E"/>
    <w:rsid w:val="00964FB4"/>
    <w:rsid w:val="00965713"/>
    <w:rsid w:val="0096582E"/>
    <w:rsid w:val="00965DAE"/>
    <w:rsid w:val="009662BB"/>
    <w:rsid w:val="00966514"/>
    <w:rsid w:val="009666BD"/>
    <w:rsid w:val="00966B91"/>
    <w:rsid w:val="00966BE3"/>
    <w:rsid w:val="00966BFB"/>
    <w:rsid w:val="00966CC2"/>
    <w:rsid w:val="00966FF8"/>
    <w:rsid w:val="0096744A"/>
    <w:rsid w:val="0096749A"/>
    <w:rsid w:val="00967CDA"/>
    <w:rsid w:val="00970048"/>
    <w:rsid w:val="00970549"/>
    <w:rsid w:val="00970999"/>
    <w:rsid w:val="009713C4"/>
    <w:rsid w:val="00971647"/>
    <w:rsid w:val="00971831"/>
    <w:rsid w:val="00971CAF"/>
    <w:rsid w:val="00971F8D"/>
    <w:rsid w:val="0097216D"/>
    <w:rsid w:val="0097218A"/>
    <w:rsid w:val="00972D8F"/>
    <w:rsid w:val="00973C2B"/>
    <w:rsid w:val="00974255"/>
    <w:rsid w:val="0097437B"/>
    <w:rsid w:val="0097441E"/>
    <w:rsid w:val="00975466"/>
    <w:rsid w:val="00975740"/>
    <w:rsid w:val="00975756"/>
    <w:rsid w:val="009758AA"/>
    <w:rsid w:val="00975990"/>
    <w:rsid w:val="00975AF6"/>
    <w:rsid w:val="00975BED"/>
    <w:rsid w:val="00975FB0"/>
    <w:rsid w:val="009762C7"/>
    <w:rsid w:val="0097670F"/>
    <w:rsid w:val="00976BD6"/>
    <w:rsid w:val="00976C61"/>
    <w:rsid w:val="00976E84"/>
    <w:rsid w:val="00977057"/>
    <w:rsid w:val="0097710C"/>
    <w:rsid w:val="009775E0"/>
    <w:rsid w:val="00977AA1"/>
    <w:rsid w:val="009801B1"/>
    <w:rsid w:val="009803EC"/>
    <w:rsid w:val="00980BC3"/>
    <w:rsid w:val="00980DC7"/>
    <w:rsid w:val="00981215"/>
    <w:rsid w:val="009812AC"/>
    <w:rsid w:val="009812FC"/>
    <w:rsid w:val="009813BF"/>
    <w:rsid w:val="009816E3"/>
    <w:rsid w:val="009819CD"/>
    <w:rsid w:val="00981AC2"/>
    <w:rsid w:val="00982032"/>
    <w:rsid w:val="00982332"/>
    <w:rsid w:val="009824DD"/>
    <w:rsid w:val="00982C0D"/>
    <w:rsid w:val="00983028"/>
    <w:rsid w:val="009834ED"/>
    <w:rsid w:val="00983D98"/>
    <w:rsid w:val="00984295"/>
    <w:rsid w:val="009844B4"/>
    <w:rsid w:val="0098453B"/>
    <w:rsid w:val="0098461D"/>
    <w:rsid w:val="009849BE"/>
    <w:rsid w:val="00984BB9"/>
    <w:rsid w:val="00984D82"/>
    <w:rsid w:val="00985587"/>
    <w:rsid w:val="0098568D"/>
    <w:rsid w:val="0098572B"/>
    <w:rsid w:val="00985AEC"/>
    <w:rsid w:val="00985BC0"/>
    <w:rsid w:val="00985CB0"/>
    <w:rsid w:val="00985CDA"/>
    <w:rsid w:val="0098603A"/>
    <w:rsid w:val="00986137"/>
    <w:rsid w:val="00986B96"/>
    <w:rsid w:val="0098740B"/>
    <w:rsid w:val="00987506"/>
    <w:rsid w:val="00987512"/>
    <w:rsid w:val="009876D3"/>
    <w:rsid w:val="00987985"/>
    <w:rsid w:val="00987C6F"/>
    <w:rsid w:val="00990117"/>
    <w:rsid w:val="0099018C"/>
    <w:rsid w:val="00990708"/>
    <w:rsid w:val="00990718"/>
    <w:rsid w:val="00990C3D"/>
    <w:rsid w:val="00990F5C"/>
    <w:rsid w:val="00991200"/>
    <w:rsid w:val="009914A3"/>
    <w:rsid w:val="0099199D"/>
    <w:rsid w:val="00991AE9"/>
    <w:rsid w:val="00991B9A"/>
    <w:rsid w:val="00991D9A"/>
    <w:rsid w:val="00992110"/>
    <w:rsid w:val="0099238D"/>
    <w:rsid w:val="0099242C"/>
    <w:rsid w:val="0099244D"/>
    <w:rsid w:val="009927D8"/>
    <w:rsid w:val="00992837"/>
    <w:rsid w:val="00992A01"/>
    <w:rsid w:val="00993499"/>
    <w:rsid w:val="009934DB"/>
    <w:rsid w:val="009939CB"/>
    <w:rsid w:val="00993B07"/>
    <w:rsid w:val="00993D95"/>
    <w:rsid w:val="00994409"/>
    <w:rsid w:val="009945C0"/>
    <w:rsid w:val="00994879"/>
    <w:rsid w:val="009948FE"/>
    <w:rsid w:val="009949AE"/>
    <w:rsid w:val="00994D20"/>
    <w:rsid w:val="00994D3D"/>
    <w:rsid w:val="00995267"/>
    <w:rsid w:val="009952D8"/>
    <w:rsid w:val="009952F4"/>
    <w:rsid w:val="00995756"/>
    <w:rsid w:val="00995B58"/>
    <w:rsid w:val="00995B8C"/>
    <w:rsid w:val="00995C53"/>
    <w:rsid w:val="00995E08"/>
    <w:rsid w:val="00995E5A"/>
    <w:rsid w:val="009961EF"/>
    <w:rsid w:val="00996468"/>
    <w:rsid w:val="009966AD"/>
    <w:rsid w:val="009967AF"/>
    <w:rsid w:val="00996D27"/>
    <w:rsid w:val="00997125"/>
    <w:rsid w:val="00997D21"/>
    <w:rsid w:val="00997F39"/>
    <w:rsid w:val="009A0208"/>
    <w:rsid w:val="009A03AC"/>
    <w:rsid w:val="009A0574"/>
    <w:rsid w:val="009A0B05"/>
    <w:rsid w:val="009A0BE4"/>
    <w:rsid w:val="009A0C34"/>
    <w:rsid w:val="009A0DCD"/>
    <w:rsid w:val="009A1089"/>
    <w:rsid w:val="009A15C0"/>
    <w:rsid w:val="009A19DF"/>
    <w:rsid w:val="009A19F4"/>
    <w:rsid w:val="009A1B80"/>
    <w:rsid w:val="009A1D3F"/>
    <w:rsid w:val="009A1DCF"/>
    <w:rsid w:val="009A1F44"/>
    <w:rsid w:val="009A1F79"/>
    <w:rsid w:val="009A21EE"/>
    <w:rsid w:val="009A24A0"/>
    <w:rsid w:val="009A253B"/>
    <w:rsid w:val="009A2A20"/>
    <w:rsid w:val="009A3205"/>
    <w:rsid w:val="009A346F"/>
    <w:rsid w:val="009A3C6E"/>
    <w:rsid w:val="009A3CC7"/>
    <w:rsid w:val="009A3DA2"/>
    <w:rsid w:val="009A49BD"/>
    <w:rsid w:val="009A4B92"/>
    <w:rsid w:val="009A4E70"/>
    <w:rsid w:val="009A54A0"/>
    <w:rsid w:val="009A5F39"/>
    <w:rsid w:val="009A640C"/>
    <w:rsid w:val="009A671A"/>
    <w:rsid w:val="009A6A04"/>
    <w:rsid w:val="009A6A34"/>
    <w:rsid w:val="009A707C"/>
    <w:rsid w:val="009A74C7"/>
    <w:rsid w:val="009A7805"/>
    <w:rsid w:val="009A78A6"/>
    <w:rsid w:val="009A7BB0"/>
    <w:rsid w:val="009B01AE"/>
    <w:rsid w:val="009B04F2"/>
    <w:rsid w:val="009B0A43"/>
    <w:rsid w:val="009B0EAE"/>
    <w:rsid w:val="009B123D"/>
    <w:rsid w:val="009B12D4"/>
    <w:rsid w:val="009B19AB"/>
    <w:rsid w:val="009B1C1B"/>
    <w:rsid w:val="009B1DC8"/>
    <w:rsid w:val="009B1E55"/>
    <w:rsid w:val="009B1FF8"/>
    <w:rsid w:val="009B22AC"/>
    <w:rsid w:val="009B23BE"/>
    <w:rsid w:val="009B2486"/>
    <w:rsid w:val="009B2D28"/>
    <w:rsid w:val="009B2DE4"/>
    <w:rsid w:val="009B35B9"/>
    <w:rsid w:val="009B35BF"/>
    <w:rsid w:val="009B438B"/>
    <w:rsid w:val="009B4530"/>
    <w:rsid w:val="009B4C28"/>
    <w:rsid w:val="009B4C3E"/>
    <w:rsid w:val="009B4D2F"/>
    <w:rsid w:val="009B5038"/>
    <w:rsid w:val="009B56BE"/>
    <w:rsid w:val="009B573C"/>
    <w:rsid w:val="009B5A89"/>
    <w:rsid w:val="009B5C8F"/>
    <w:rsid w:val="009B6071"/>
    <w:rsid w:val="009B624C"/>
    <w:rsid w:val="009B6563"/>
    <w:rsid w:val="009B65D5"/>
    <w:rsid w:val="009B6E0F"/>
    <w:rsid w:val="009B6EF9"/>
    <w:rsid w:val="009B7356"/>
    <w:rsid w:val="009B75BD"/>
    <w:rsid w:val="009B78A7"/>
    <w:rsid w:val="009B7A30"/>
    <w:rsid w:val="009B7A8A"/>
    <w:rsid w:val="009B7CFD"/>
    <w:rsid w:val="009C03A2"/>
    <w:rsid w:val="009C0439"/>
    <w:rsid w:val="009C099B"/>
    <w:rsid w:val="009C0B86"/>
    <w:rsid w:val="009C113F"/>
    <w:rsid w:val="009C1832"/>
    <w:rsid w:val="009C1937"/>
    <w:rsid w:val="009C1978"/>
    <w:rsid w:val="009C1ADB"/>
    <w:rsid w:val="009C21E3"/>
    <w:rsid w:val="009C27DB"/>
    <w:rsid w:val="009C353A"/>
    <w:rsid w:val="009C36D1"/>
    <w:rsid w:val="009C37BF"/>
    <w:rsid w:val="009C3803"/>
    <w:rsid w:val="009C38AD"/>
    <w:rsid w:val="009C398A"/>
    <w:rsid w:val="009C39D9"/>
    <w:rsid w:val="009C407C"/>
    <w:rsid w:val="009C4676"/>
    <w:rsid w:val="009C4ADF"/>
    <w:rsid w:val="009C5220"/>
    <w:rsid w:val="009C5263"/>
    <w:rsid w:val="009C576C"/>
    <w:rsid w:val="009C5BB9"/>
    <w:rsid w:val="009C5FC3"/>
    <w:rsid w:val="009C60E9"/>
    <w:rsid w:val="009C6629"/>
    <w:rsid w:val="009C671C"/>
    <w:rsid w:val="009C6881"/>
    <w:rsid w:val="009C6EB9"/>
    <w:rsid w:val="009C77CA"/>
    <w:rsid w:val="009C7896"/>
    <w:rsid w:val="009C79FD"/>
    <w:rsid w:val="009C7E85"/>
    <w:rsid w:val="009D014A"/>
    <w:rsid w:val="009D0530"/>
    <w:rsid w:val="009D0843"/>
    <w:rsid w:val="009D0C23"/>
    <w:rsid w:val="009D0CF4"/>
    <w:rsid w:val="009D0D52"/>
    <w:rsid w:val="009D140A"/>
    <w:rsid w:val="009D16C5"/>
    <w:rsid w:val="009D1A74"/>
    <w:rsid w:val="009D1A85"/>
    <w:rsid w:val="009D1C65"/>
    <w:rsid w:val="009D1E9D"/>
    <w:rsid w:val="009D21D4"/>
    <w:rsid w:val="009D228D"/>
    <w:rsid w:val="009D2B87"/>
    <w:rsid w:val="009D2C76"/>
    <w:rsid w:val="009D2CDC"/>
    <w:rsid w:val="009D3079"/>
    <w:rsid w:val="009D313C"/>
    <w:rsid w:val="009D39E1"/>
    <w:rsid w:val="009D3D90"/>
    <w:rsid w:val="009D4060"/>
    <w:rsid w:val="009D43C4"/>
    <w:rsid w:val="009D4549"/>
    <w:rsid w:val="009D47C3"/>
    <w:rsid w:val="009D4831"/>
    <w:rsid w:val="009D4AF8"/>
    <w:rsid w:val="009D4C5D"/>
    <w:rsid w:val="009D5B6B"/>
    <w:rsid w:val="009D5C28"/>
    <w:rsid w:val="009D60AC"/>
    <w:rsid w:val="009D645F"/>
    <w:rsid w:val="009D6D3F"/>
    <w:rsid w:val="009D6FC5"/>
    <w:rsid w:val="009D7410"/>
    <w:rsid w:val="009D7601"/>
    <w:rsid w:val="009D7622"/>
    <w:rsid w:val="009E0004"/>
    <w:rsid w:val="009E055D"/>
    <w:rsid w:val="009E060E"/>
    <w:rsid w:val="009E085A"/>
    <w:rsid w:val="009E09DF"/>
    <w:rsid w:val="009E0AA4"/>
    <w:rsid w:val="009E0BE2"/>
    <w:rsid w:val="009E0BF9"/>
    <w:rsid w:val="009E0D0F"/>
    <w:rsid w:val="009E137C"/>
    <w:rsid w:val="009E188B"/>
    <w:rsid w:val="009E1908"/>
    <w:rsid w:val="009E1A9B"/>
    <w:rsid w:val="009E1DA0"/>
    <w:rsid w:val="009E2016"/>
    <w:rsid w:val="009E2463"/>
    <w:rsid w:val="009E2611"/>
    <w:rsid w:val="009E262E"/>
    <w:rsid w:val="009E2A52"/>
    <w:rsid w:val="009E2A77"/>
    <w:rsid w:val="009E2B4C"/>
    <w:rsid w:val="009E2C55"/>
    <w:rsid w:val="009E2E3F"/>
    <w:rsid w:val="009E2FAC"/>
    <w:rsid w:val="009E3E24"/>
    <w:rsid w:val="009E44A4"/>
    <w:rsid w:val="009E4A34"/>
    <w:rsid w:val="009E4DC4"/>
    <w:rsid w:val="009E4E3B"/>
    <w:rsid w:val="009E5187"/>
    <w:rsid w:val="009E59F4"/>
    <w:rsid w:val="009E5C70"/>
    <w:rsid w:val="009E5DD3"/>
    <w:rsid w:val="009E5EDA"/>
    <w:rsid w:val="009E610A"/>
    <w:rsid w:val="009E61B0"/>
    <w:rsid w:val="009E622E"/>
    <w:rsid w:val="009E62A8"/>
    <w:rsid w:val="009E6387"/>
    <w:rsid w:val="009E63F0"/>
    <w:rsid w:val="009E7209"/>
    <w:rsid w:val="009E75F6"/>
    <w:rsid w:val="009E760A"/>
    <w:rsid w:val="009E7BB1"/>
    <w:rsid w:val="009E7BCD"/>
    <w:rsid w:val="009E7BFC"/>
    <w:rsid w:val="009E7CC4"/>
    <w:rsid w:val="009E7D13"/>
    <w:rsid w:val="009F012F"/>
    <w:rsid w:val="009F0217"/>
    <w:rsid w:val="009F05AC"/>
    <w:rsid w:val="009F0707"/>
    <w:rsid w:val="009F086C"/>
    <w:rsid w:val="009F09BE"/>
    <w:rsid w:val="009F1191"/>
    <w:rsid w:val="009F11E5"/>
    <w:rsid w:val="009F1443"/>
    <w:rsid w:val="009F1448"/>
    <w:rsid w:val="009F1656"/>
    <w:rsid w:val="009F1778"/>
    <w:rsid w:val="009F1949"/>
    <w:rsid w:val="009F1EB0"/>
    <w:rsid w:val="009F1EEE"/>
    <w:rsid w:val="009F1F3F"/>
    <w:rsid w:val="009F2131"/>
    <w:rsid w:val="009F239C"/>
    <w:rsid w:val="009F274F"/>
    <w:rsid w:val="009F2E88"/>
    <w:rsid w:val="009F2F51"/>
    <w:rsid w:val="009F39A1"/>
    <w:rsid w:val="009F3EDA"/>
    <w:rsid w:val="009F3FE4"/>
    <w:rsid w:val="009F43DD"/>
    <w:rsid w:val="009F4740"/>
    <w:rsid w:val="009F4825"/>
    <w:rsid w:val="009F49FF"/>
    <w:rsid w:val="009F5594"/>
    <w:rsid w:val="009F560B"/>
    <w:rsid w:val="009F583E"/>
    <w:rsid w:val="009F58DD"/>
    <w:rsid w:val="009F5AC4"/>
    <w:rsid w:val="009F5CE6"/>
    <w:rsid w:val="009F60E0"/>
    <w:rsid w:val="009F6200"/>
    <w:rsid w:val="009F68A3"/>
    <w:rsid w:val="009F6B75"/>
    <w:rsid w:val="009F6F03"/>
    <w:rsid w:val="009F6F3D"/>
    <w:rsid w:val="009F7178"/>
    <w:rsid w:val="009F71A2"/>
    <w:rsid w:val="009F71FD"/>
    <w:rsid w:val="009F74DB"/>
    <w:rsid w:val="009F77DF"/>
    <w:rsid w:val="009F7813"/>
    <w:rsid w:val="009F7930"/>
    <w:rsid w:val="009F7F8E"/>
    <w:rsid w:val="00A00140"/>
    <w:rsid w:val="00A00221"/>
    <w:rsid w:val="00A00437"/>
    <w:rsid w:val="00A00792"/>
    <w:rsid w:val="00A00BCB"/>
    <w:rsid w:val="00A00DDA"/>
    <w:rsid w:val="00A012A7"/>
    <w:rsid w:val="00A01385"/>
    <w:rsid w:val="00A016A9"/>
    <w:rsid w:val="00A01A18"/>
    <w:rsid w:val="00A01B9D"/>
    <w:rsid w:val="00A01E84"/>
    <w:rsid w:val="00A0201C"/>
    <w:rsid w:val="00A0231A"/>
    <w:rsid w:val="00A02C0A"/>
    <w:rsid w:val="00A03068"/>
    <w:rsid w:val="00A03652"/>
    <w:rsid w:val="00A03A2A"/>
    <w:rsid w:val="00A03AFF"/>
    <w:rsid w:val="00A03E4B"/>
    <w:rsid w:val="00A03EB2"/>
    <w:rsid w:val="00A047DA"/>
    <w:rsid w:val="00A0480E"/>
    <w:rsid w:val="00A04844"/>
    <w:rsid w:val="00A04982"/>
    <w:rsid w:val="00A04AA0"/>
    <w:rsid w:val="00A051EA"/>
    <w:rsid w:val="00A0588A"/>
    <w:rsid w:val="00A05CA6"/>
    <w:rsid w:val="00A05CF4"/>
    <w:rsid w:val="00A063F5"/>
    <w:rsid w:val="00A06990"/>
    <w:rsid w:val="00A06DC4"/>
    <w:rsid w:val="00A06ED8"/>
    <w:rsid w:val="00A06F9D"/>
    <w:rsid w:val="00A070D9"/>
    <w:rsid w:val="00A07301"/>
    <w:rsid w:val="00A0738D"/>
    <w:rsid w:val="00A07570"/>
    <w:rsid w:val="00A10103"/>
    <w:rsid w:val="00A1054B"/>
    <w:rsid w:val="00A10BC9"/>
    <w:rsid w:val="00A11137"/>
    <w:rsid w:val="00A111EA"/>
    <w:rsid w:val="00A1135E"/>
    <w:rsid w:val="00A11447"/>
    <w:rsid w:val="00A11555"/>
    <w:rsid w:val="00A115D6"/>
    <w:rsid w:val="00A1193E"/>
    <w:rsid w:val="00A11993"/>
    <w:rsid w:val="00A11A81"/>
    <w:rsid w:val="00A11B67"/>
    <w:rsid w:val="00A11D49"/>
    <w:rsid w:val="00A11DEE"/>
    <w:rsid w:val="00A120EE"/>
    <w:rsid w:val="00A12A38"/>
    <w:rsid w:val="00A12A97"/>
    <w:rsid w:val="00A12B28"/>
    <w:rsid w:val="00A13177"/>
    <w:rsid w:val="00A136F2"/>
    <w:rsid w:val="00A1374B"/>
    <w:rsid w:val="00A13EAB"/>
    <w:rsid w:val="00A14E33"/>
    <w:rsid w:val="00A1520C"/>
    <w:rsid w:val="00A15545"/>
    <w:rsid w:val="00A1602B"/>
    <w:rsid w:val="00A162DF"/>
    <w:rsid w:val="00A16324"/>
    <w:rsid w:val="00A17013"/>
    <w:rsid w:val="00A17140"/>
    <w:rsid w:val="00A179FB"/>
    <w:rsid w:val="00A17AF1"/>
    <w:rsid w:val="00A17B4D"/>
    <w:rsid w:val="00A17B91"/>
    <w:rsid w:val="00A17BE0"/>
    <w:rsid w:val="00A2008D"/>
    <w:rsid w:val="00A20220"/>
    <w:rsid w:val="00A2055E"/>
    <w:rsid w:val="00A20CAE"/>
    <w:rsid w:val="00A21676"/>
    <w:rsid w:val="00A21C7C"/>
    <w:rsid w:val="00A22532"/>
    <w:rsid w:val="00A225DB"/>
    <w:rsid w:val="00A23269"/>
    <w:rsid w:val="00A23DCC"/>
    <w:rsid w:val="00A23F95"/>
    <w:rsid w:val="00A24090"/>
    <w:rsid w:val="00A24C51"/>
    <w:rsid w:val="00A252DC"/>
    <w:rsid w:val="00A253BE"/>
    <w:rsid w:val="00A256A9"/>
    <w:rsid w:val="00A25A23"/>
    <w:rsid w:val="00A25DBE"/>
    <w:rsid w:val="00A25E6E"/>
    <w:rsid w:val="00A26159"/>
    <w:rsid w:val="00A26462"/>
    <w:rsid w:val="00A26700"/>
    <w:rsid w:val="00A26B21"/>
    <w:rsid w:val="00A26E73"/>
    <w:rsid w:val="00A274D4"/>
    <w:rsid w:val="00A274E2"/>
    <w:rsid w:val="00A27A34"/>
    <w:rsid w:val="00A27A8A"/>
    <w:rsid w:val="00A27BE4"/>
    <w:rsid w:val="00A303FB"/>
    <w:rsid w:val="00A30527"/>
    <w:rsid w:val="00A3072C"/>
    <w:rsid w:val="00A30B16"/>
    <w:rsid w:val="00A30B97"/>
    <w:rsid w:val="00A30DFC"/>
    <w:rsid w:val="00A31193"/>
    <w:rsid w:val="00A312FC"/>
    <w:rsid w:val="00A31361"/>
    <w:rsid w:val="00A3170B"/>
    <w:rsid w:val="00A31782"/>
    <w:rsid w:val="00A3194F"/>
    <w:rsid w:val="00A31F9A"/>
    <w:rsid w:val="00A31FF4"/>
    <w:rsid w:val="00A32429"/>
    <w:rsid w:val="00A3288D"/>
    <w:rsid w:val="00A3300A"/>
    <w:rsid w:val="00A3307A"/>
    <w:rsid w:val="00A33111"/>
    <w:rsid w:val="00A33A21"/>
    <w:rsid w:val="00A33B8A"/>
    <w:rsid w:val="00A344D2"/>
    <w:rsid w:val="00A34BDA"/>
    <w:rsid w:val="00A35896"/>
    <w:rsid w:val="00A358DC"/>
    <w:rsid w:val="00A35A91"/>
    <w:rsid w:val="00A35C57"/>
    <w:rsid w:val="00A35DEC"/>
    <w:rsid w:val="00A35FDB"/>
    <w:rsid w:val="00A362FE"/>
    <w:rsid w:val="00A36EC0"/>
    <w:rsid w:val="00A37357"/>
    <w:rsid w:val="00A373D8"/>
    <w:rsid w:val="00A374BC"/>
    <w:rsid w:val="00A375B5"/>
    <w:rsid w:val="00A37704"/>
    <w:rsid w:val="00A37719"/>
    <w:rsid w:val="00A37AA5"/>
    <w:rsid w:val="00A37D1B"/>
    <w:rsid w:val="00A37DD6"/>
    <w:rsid w:val="00A40089"/>
    <w:rsid w:val="00A402F9"/>
    <w:rsid w:val="00A40459"/>
    <w:rsid w:val="00A4088D"/>
    <w:rsid w:val="00A408A1"/>
    <w:rsid w:val="00A40E5F"/>
    <w:rsid w:val="00A40EC0"/>
    <w:rsid w:val="00A411CC"/>
    <w:rsid w:val="00A4164A"/>
    <w:rsid w:val="00A41C3D"/>
    <w:rsid w:val="00A41F2E"/>
    <w:rsid w:val="00A42055"/>
    <w:rsid w:val="00A42883"/>
    <w:rsid w:val="00A42F47"/>
    <w:rsid w:val="00A432A0"/>
    <w:rsid w:val="00A4354B"/>
    <w:rsid w:val="00A43A5C"/>
    <w:rsid w:val="00A43F0A"/>
    <w:rsid w:val="00A43F61"/>
    <w:rsid w:val="00A43FF9"/>
    <w:rsid w:val="00A44082"/>
    <w:rsid w:val="00A44220"/>
    <w:rsid w:val="00A44FC7"/>
    <w:rsid w:val="00A45207"/>
    <w:rsid w:val="00A454DA"/>
    <w:rsid w:val="00A457C1"/>
    <w:rsid w:val="00A457E2"/>
    <w:rsid w:val="00A45944"/>
    <w:rsid w:val="00A46084"/>
    <w:rsid w:val="00A46305"/>
    <w:rsid w:val="00A465E9"/>
    <w:rsid w:val="00A468F2"/>
    <w:rsid w:val="00A46A4B"/>
    <w:rsid w:val="00A46AD0"/>
    <w:rsid w:val="00A46EDA"/>
    <w:rsid w:val="00A470C6"/>
    <w:rsid w:val="00A47757"/>
    <w:rsid w:val="00A47774"/>
    <w:rsid w:val="00A4784D"/>
    <w:rsid w:val="00A47BC1"/>
    <w:rsid w:val="00A47D14"/>
    <w:rsid w:val="00A50702"/>
    <w:rsid w:val="00A5077D"/>
    <w:rsid w:val="00A50899"/>
    <w:rsid w:val="00A50C78"/>
    <w:rsid w:val="00A50D1E"/>
    <w:rsid w:val="00A51049"/>
    <w:rsid w:val="00A51084"/>
    <w:rsid w:val="00A51124"/>
    <w:rsid w:val="00A512A2"/>
    <w:rsid w:val="00A5175F"/>
    <w:rsid w:val="00A51875"/>
    <w:rsid w:val="00A518F7"/>
    <w:rsid w:val="00A51996"/>
    <w:rsid w:val="00A51A4B"/>
    <w:rsid w:val="00A5216F"/>
    <w:rsid w:val="00A52254"/>
    <w:rsid w:val="00A52401"/>
    <w:rsid w:val="00A52761"/>
    <w:rsid w:val="00A5287D"/>
    <w:rsid w:val="00A529D4"/>
    <w:rsid w:val="00A52A27"/>
    <w:rsid w:val="00A52C1C"/>
    <w:rsid w:val="00A52D7C"/>
    <w:rsid w:val="00A52E0E"/>
    <w:rsid w:val="00A52ECC"/>
    <w:rsid w:val="00A53131"/>
    <w:rsid w:val="00A536FC"/>
    <w:rsid w:val="00A5419C"/>
    <w:rsid w:val="00A54370"/>
    <w:rsid w:val="00A54C42"/>
    <w:rsid w:val="00A550F7"/>
    <w:rsid w:val="00A5567D"/>
    <w:rsid w:val="00A55BF7"/>
    <w:rsid w:val="00A562BE"/>
    <w:rsid w:val="00A568ED"/>
    <w:rsid w:val="00A56A4F"/>
    <w:rsid w:val="00A56DDE"/>
    <w:rsid w:val="00A5746C"/>
    <w:rsid w:val="00A5773B"/>
    <w:rsid w:val="00A5787F"/>
    <w:rsid w:val="00A57C06"/>
    <w:rsid w:val="00A57E73"/>
    <w:rsid w:val="00A600F7"/>
    <w:rsid w:val="00A601FA"/>
    <w:rsid w:val="00A603C5"/>
    <w:rsid w:val="00A60436"/>
    <w:rsid w:val="00A6052E"/>
    <w:rsid w:val="00A60601"/>
    <w:rsid w:val="00A607D9"/>
    <w:rsid w:val="00A6080A"/>
    <w:rsid w:val="00A60A03"/>
    <w:rsid w:val="00A60C3A"/>
    <w:rsid w:val="00A6104C"/>
    <w:rsid w:val="00A61C35"/>
    <w:rsid w:val="00A621B7"/>
    <w:rsid w:val="00A62DC7"/>
    <w:rsid w:val="00A63037"/>
    <w:rsid w:val="00A6323E"/>
    <w:rsid w:val="00A63277"/>
    <w:rsid w:val="00A633D2"/>
    <w:rsid w:val="00A6351C"/>
    <w:rsid w:val="00A638B4"/>
    <w:rsid w:val="00A63914"/>
    <w:rsid w:val="00A63ADC"/>
    <w:rsid w:val="00A63AF3"/>
    <w:rsid w:val="00A63C03"/>
    <w:rsid w:val="00A64173"/>
    <w:rsid w:val="00A6419E"/>
    <w:rsid w:val="00A64E32"/>
    <w:rsid w:val="00A64E8C"/>
    <w:rsid w:val="00A64EF8"/>
    <w:rsid w:val="00A65B0A"/>
    <w:rsid w:val="00A65CE4"/>
    <w:rsid w:val="00A65E01"/>
    <w:rsid w:val="00A6619D"/>
    <w:rsid w:val="00A66203"/>
    <w:rsid w:val="00A664B6"/>
    <w:rsid w:val="00A6677B"/>
    <w:rsid w:val="00A66B3F"/>
    <w:rsid w:val="00A66CE9"/>
    <w:rsid w:val="00A67D1C"/>
    <w:rsid w:val="00A67F0E"/>
    <w:rsid w:val="00A702BB"/>
    <w:rsid w:val="00A703DF"/>
    <w:rsid w:val="00A70BB5"/>
    <w:rsid w:val="00A70F1D"/>
    <w:rsid w:val="00A70FB9"/>
    <w:rsid w:val="00A70FE6"/>
    <w:rsid w:val="00A710AC"/>
    <w:rsid w:val="00A71316"/>
    <w:rsid w:val="00A7177F"/>
    <w:rsid w:val="00A717AD"/>
    <w:rsid w:val="00A7186E"/>
    <w:rsid w:val="00A71CBF"/>
    <w:rsid w:val="00A71E09"/>
    <w:rsid w:val="00A71FC9"/>
    <w:rsid w:val="00A7218D"/>
    <w:rsid w:val="00A725DB"/>
    <w:rsid w:val="00A72980"/>
    <w:rsid w:val="00A729FA"/>
    <w:rsid w:val="00A72A6F"/>
    <w:rsid w:val="00A72C03"/>
    <w:rsid w:val="00A733FB"/>
    <w:rsid w:val="00A73564"/>
    <w:rsid w:val="00A73738"/>
    <w:rsid w:val="00A73D7C"/>
    <w:rsid w:val="00A73E8F"/>
    <w:rsid w:val="00A747DC"/>
    <w:rsid w:val="00A74A82"/>
    <w:rsid w:val="00A74D4E"/>
    <w:rsid w:val="00A74DFA"/>
    <w:rsid w:val="00A752A2"/>
    <w:rsid w:val="00A75301"/>
    <w:rsid w:val="00A753BD"/>
    <w:rsid w:val="00A758BE"/>
    <w:rsid w:val="00A758EA"/>
    <w:rsid w:val="00A7598F"/>
    <w:rsid w:val="00A75D0C"/>
    <w:rsid w:val="00A75D7A"/>
    <w:rsid w:val="00A761EE"/>
    <w:rsid w:val="00A766DD"/>
    <w:rsid w:val="00A76A99"/>
    <w:rsid w:val="00A76B33"/>
    <w:rsid w:val="00A76FA4"/>
    <w:rsid w:val="00A77279"/>
    <w:rsid w:val="00A777C4"/>
    <w:rsid w:val="00A7783C"/>
    <w:rsid w:val="00A77840"/>
    <w:rsid w:val="00A77933"/>
    <w:rsid w:val="00A77F98"/>
    <w:rsid w:val="00A77FCB"/>
    <w:rsid w:val="00A80559"/>
    <w:rsid w:val="00A80813"/>
    <w:rsid w:val="00A80BF3"/>
    <w:rsid w:val="00A80EA4"/>
    <w:rsid w:val="00A8115F"/>
    <w:rsid w:val="00A819DD"/>
    <w:rsid w:val="00A81C95"/>
    <w:rsid w:val="00A81DE0"/>
    <w:rsid w:val="00A81F01"/>
    <w:rsid w:val="00A827D6"/>
    <w:rsid w:val="00A8297E"/>
    <w:rsid w:val="00A82D4D"/>
    <w:rsid w:val="00A8367F"/>
    <w:rsid w:val="00A83A16"/>
    <w:rsid w:val="00A83CA5"/>
    <w:rsid w:val="00A83DCF"/>
    <w:rsid w:val="00A83ECA"/>
    <w:rsid w:val="00A84336"/>
    <w:rsid w:val="00A8457A"/>
    <w:rsid w:val="00A846D6"/>
    <w:rsid w:val="00A84863"/>
    <w:rsid w:val="00A84EAD"/>
    <w:rsid w:val="00A84EBD"/>
    <w:rsid w:val="00A84EDD"/>
    <w:rsid w:val="00A84F34"/>
    <w:rsid w:val="00A856EE"/>
    <w:rsid w:val="00A8620E"/>
    <w:rsid w:val="00A86499"/>
    <w:rsid w:val="00A864E9"/>
    <w:rsid w:val="00A86521"/>
    <w:rsid w:val="00A86827"/>
    <w:rsid w:val="00A86CC9"/>
    <w:rsid w:val="00A8730E"/>
    <w:rsid w:val="00A8749C"/>
    <w:rsid w:val="00A87673"/>
    <w:rsid w:val="00A87906"/>
    <w:rsid w:val="00A87958"/>
    <w:rsid w:val="00A87AA5"/>
    <w:rsid w:val="00A87E75"/>
    <w:rsid w:val="00A87E9E"/>
    <w:rsid w:val="00A901BE"/>
    <w:rsid w:val="00A904E2"/>
    <w:rsid w:val="00A90B99"/>
    <w:rsid w:val="00A90D2E"/>
    <w:rsid w:val="00A911B5"/>
    <w:rsid w:val="00A912E7"/>
    <w:rsid w:val="00A91B6C"/>
    <w:rsid w:val="00A91E97"/>
    <w:rsid w:val="00A928A6"/>
    <w:rsid w:val="00A92BCF"/>
    <w:rsid w:val="00A92C1A"/>
    <w:rsid w:val="00A92E80"/>
    <w:rsid w:val="00A92EB3"/>
    <w:rsid w:val="00A93095"/>
    <w:rsid w:val="00A93309"/>
    <w:rsid w:val="00A933C8"/>
    <w:rsid w:val="00A934AA"/>
    <w:rsid w:val="00A938A8"/>
    <w:rsid w:val="00A939EB"/>
    <w:rsid w:val="00A93C28"/>
    <w:rsid w:val="00A9448F"/>
    <w:rsid w:val="00A94F32"/>
    <w:rsid w:val="00A95326"/>
    <w:rsid w:val="00A9542D"/>
    <w:rsid w:val="00A954FD"/>
    <w:rsid w:val="00A95612"/>
    <w:rsid w:val="00A957DD"/>
    <w:rsid w:val="00A95C73"/>
    <w:rsid w:val="00A95E2B"/>
    <w:rsid w:val="00A96085"/>
    <w:rsid w:val="00A96151"/>
    <w:rsid w:val="00A96424"/>
    <w:rsid w:val="00A965A2"/>
    <w:rsid w:val="00A96734"/>
    <w:rsid w:val="00A96A1C"/>
    <w:rsid w:val="00A96E3A"/>
    <w:rsid w:val="00A97616"/>
    <w:rsid w:val="00A9797D"/>
    <w:rsid w:val="00A9798C"/>
    <w:rsid w:val="00A97AC3"/>
    <w:rsid w:val="00A97F12"/>
    <w:rsid w:val="00AA0125"/>
    <w:rsid w:val="00AA0297"/>
    <w:rsid w:val="00AA0C9E"/>
    <w:rsid w:val="00AA0D18"/>
    <w:rsid w:val="00AA0F9E"/>
    <w:rsid w:val="00AA139E"/>
    <w:rsid w:val="00AA170D"/>
    <w:rsid w:val="00AA19A6"/>
    <w:rsid w:val="00AA1AED"/>
    <w:rsid w:val="00AA1DA2"/>
    <w:rsid w:val="00AA1EE1"/>
    <w:rsid w:val="00AA20B1"/>
    <w:rsid w:val="00AA25BA"/>
    <w:rsid w:val="00AA262E"/>
    <w:rsid w:val="00AA2AA1"/>
    <w:rsid w:val="00AA2BA2"/>
    <w:rsid w:val="00AA2C89"/>
    <w:rsid w:val="00AA3451"/>
    <w:rsid w:val="00AA3C1A"/>
    <w:rsid w:val="00AA43BD"/>
    <w:rsid w:val="00AA46E6"/>
    <w:rsid w:val="00AA48B6"/>
    <w:rsid w:val="00AA48C1"/>
    <w:rsid w:val="00AA58C2"/>
    <w:rsid w:val="00AA5DCF"/>
    <w:rsid w:val="00AA5EC1"/>
    <w:rsid w:val="00AA5F05"/>
    <w:rsid w:val="00AA60A4"/>
    <w:rsid w:val="00AA62BE"/>
    <w:rsid w:val="00AA63B1"/>
    <w:rsid w:val="00AA67C3"/>
    <w:rsid w:val="00AA6AB5"/>
    <w:rsid w:val="00AA712F"/>
    <w:rsid w:val="00AA714D"/>
    <w:rsid w:val="00AA73A8"/>
    <w:rsid w:val="00AA771D"/>
    <w:rsid w:val="00AA7ADF"/>
    <w:rsid w:val="00AA7C13"/>
    <w:rsid w:val="00AA7D1E"/>
    <w:rsid w:val="00AA7E0A"/>
    <w:rsid w:val="00AB006F"/>
    <w:rsid w:val="00AB0317"/>
    <w:rsid w:val="00AB0BEA"/>
    <w:rsid w:val="00AB12F3"/>
    <w:rsid w:val="00AB171C"/>
    <w:rsid w:val="00AB1A9F"/>
    <w:rsid w:val="00AB200F"/>
    <w:rsid w:val="00AB3037"/>
    <w:rsid w:val="00AB3184"/>
    <w:rsid w:val="00AB33CF"/>
    <w:rsid w:val="00AB33F5"/>
    <w:rsid w:val="00AB33F9"/>
    <w:rsid w:val="00AB35B0"/>
    <w:rsid w:val="00AB3B50"/>
    <w:rsid w:val="00AB3CEC"/>
    <w:rsid w:val="00AB3E8B"/>
    <w:rsid w:val="00AB415A"/>
    <w:rsid w:val="00AB4A5A"/>
    <w:rsid w:val="00AB4AFF"/>
    <w:rsid w:val="00AB537C"/>
    <w:rsid w:val="00AB5487"/>
    <w:rsid w:val="00AB562E"/>
    <w:rsid w:val="00AB5887"/>
    <w:rsid w:val="00AB5B81"/>
    <w:rsid w:val="00AB5C13"/>
    <w:rsid w:val="00AB5CD5"/>
    <w:rsid w:val="00AB5D24"/>
    <w:rsid w:val="00AB5EF2"/>
    <w:rsid w:val="00AB617F"/>
    <w:rsid w:val="00AB6276"/>
    <w:rsid w:val="00AB64D6"/>
    <w:rsid w:val="00AB64E5"/>
    <w:rsid w:val="00AB65F3"/>
    <w:rsid w:val="00AB6C31"/>
    <w:rsid w:val="00AB7002"/>
    <w:rsid w:val="00AB7213"/>
    <w:rsid w:val="00AB7442"/>
    <w:rsid w:val="00AB74CF"/>
    <w:rsid w:val="00AC0712"/>
    <w:rsid w:val="00AC0717"/>
    <w:rsid w:val="00AC11ED"/>
    <w:rsid w:val="00AC1226"/>
    <w:rsid w:val="00AC146B"/>
    <w:rsid w:val="00AC1481"/>
    <w:rsid w:val="00AC1686"/>
    <w:rsid w:val="00AC179A"/>
    <w:rsid w:val="00AC18EF"/>
    <w:rsid w:val="00AC1DC3"/>
    <w:rsid w:val="00AC24F6"/>
    <w:rsid w:val="00AC2888"/>
    <w:rsid w:val="00AC299E"/>
    <w:rsid w:val="00AC2A25"/>
    <w:rsid w:val="00AC2A54"/>
    <w:rsid w:val="00AC2CAF"/>
    <w:rsid w:val="00AC3987"/>
    <w:rsid w:val="00AC3B0B"/>
    <w:rsid w:val="00AC44AF"/>
    <w:rsid w:val="00AC47E0"/>
    <w:rsid w:val="00AC4838"/>
    <w:rsid w:val="00AC550D"/>
    <w:rsid w:val="00AC585F"/>
    <w:rsid w:val="00AC598F"/>
    <w:rsid w:val="00AC5C6A"/>
    <w:rsid w:val="00AC5CC5"/>
    <w:rsid w:val="00AC5EB5"/>
    <w:rsid w:val="00AC60D6"/>
    <w:rsid w:val="00AC635D"/>
    <w:rsid w:val="00AC6484"/>
    <w:rsid w:val="00AC65AF"/>
    <w:rsid w:val="00AC679E"/>
    <w:rsid w:val="00AC7052"/>
    <w:rsid w:val="00AC7703"/>
    <w:rsid w:val="00AC7A73"/>
    <w:rsid w:val="00AC7D7F"/>
    <w:rsid w:val="00AC7DBA"/>
    <w:rsid w:val="00AC7E57"/>
    <w:rsid w:val="00AC7F32"/>
    <w:rsid w:val="00AD00CD"/>
    <w:rsid w:val="00AD01A3"/>
    <w:rsid w:val="00AD0558"/>
    <w:rsid w:val="00AD0FEB"/>
    <w:rsid w:val="00AD10E5"/>
    <w:rsid w:val="00AD1383"/>
    <w:rsid w:val="00AD13A8"/>
    <w:rsid w:val="00AD1674"/>
    <w:rsid w:val="00AD1A75"/>
    <w:rsid w:val="00AD1D97"/>
    <w:rsid w:val="00AD1FF4"/>
    <w:rsid w:val="00AD21D6"/>
    <w:rsid w:val="00AD23CC"/>
    <w:rsid w:val="00AD2479"/>
    <w:rsid w:val="00AD248F"/>
    <w:rsid w:val="00AD31EC"/>
    <w:rsid w:val="00AD32BE"/>
    <w:rsid w:val="00AD35A4"/>
    <w:rsid w:val="00AD37F0"/>
    <w:rsid w:val="00AD3C2A"/>
    <w:rsid w:val="00AD3E6B"/>
    <w:rsid w:val="00AD4028"/>
    <w:rsid w:val="00AD4379"/>
    <w:rsid w:val="00AD43A0"/>
    <w:rsid w:val="00AD45C7"/>
    <w:rsid w:val="00AD4652"/>
    <w:rsid w:val="00AD4A21"/>
    <w:rsid w:val="00AD4DAE"/>
    <w:rsid w:val="00AD4FB3"/>
    <w:rsid w:val="00AD580F"/>
    <w:rsid w:val="00AD59D8"/>
    <w:rsid w:val="00AD5D1F"/>
    <w:rsid w:val="00AD5D67"/>
    <w:rsid w:val="00AD5D9A"/>
    <w:rsid w:val="00AD5E26"/>
    <w:rsid w:val="00AD6676"/>
    <w:rsid w:val="00AD6833"/>
    <w:rsid w:val="00AD6D41"/>
    <w:rsid w:val="00AD715B"/>
    <w:rsid w:val="00AD7356"/>
    <w:rsid w:val="00AD745C"/>
    <w:rsid w:val="00AD76B1"/>
    <w:rsid w:val="00AD7763"/>
    <w:rsid w:val="00AD77FA"/>
    <w:rsid w:val="00AE035E"/>
    <w:rsid w:val="00AE06F7"/>
    <w:rsid w:val="00AE0914"/>
    <w:rsid w:val="00AE0E20"/>
    <w:rsid w:val="00AE1220"/>
    <w:rsid w:val="00AE14B9"/>
    <w:rsid w:val="00AE1923"/>
    <w:rsid w:val="00AE1CFC"/>
    <w:rsid w:val="00AE1D4C"/>
    <w:rsid w:val="00AE203F"/>
    <w:rsid w:val="00AE23AB"/>
    <w:rsid w:val="00AE252A"/>
    <w:rsid w:val="00AE29AA"/>
    <w:rsid w:val="00AE2CFF"/>
    <w:rsid w:val="00AE2D43"/>
    <w:rsid w:val="00AE30A1"/>
    <w:rsid w:val="00AE31C3"/>
    <w:rsid w:val="00AE31EF"/>
    <w:rsid w:val="00AE329C"/>
    <w:rsid w:val="00AE32D3"/>
    <w:rsid w:val="00AE3D0F"/>
    <w:rsid w:val="00AE3E1D"/>
    <w:rsid w:val="00AE3EC3"/>
    <w:rsid w:val="00AE41C8"/>
    <w:rsid w:val="00AE4513"/>
    <w:rsid w:val="00AE48A4"/>
    <w:rsid w:val="00AE4D24"/>
    <w:rsid w:val="00AE4F24"/>
    <w:rsid w:val="00AE4F38"/>
    <w:rsid w:val="00AE507F"/>
    <w:rsid w:val="00AE5095"/>
    <w:rsid w:val="00AE521A"/>
    <w:rsid w:val="00AE5380"/>
    <w:rsid w:val="00AE5AEC"/>
    <w:rsid w:val="00AE600B"/>
    <w:rsid w:val="00AE6602"/>
    <w:rsid w:val="00AE6873"/>
    <w:rsid w:val="00AE6D21"/>
    <w:rsid w:val="00AE6D50"/>
    <w:rsid w:val="00AE75C3"/>
    <w:rsid w:val="00AE7736"/>
    <w:rsid w:val="00AE7F9B"/>
    <w:rsid w:val="00AF03AA"/>
    <w:rsid w:val="00AF0D9E"/>
    <w:rsid w:val="00AF0E76"/>
    <w:rsid w:val="00AF106D"/>
    <w:rsid w:val="00AF1099"/>
    <w:rsid w:val="00AF1220"/>
    <w:rsid w:val="00AF1DE2"/>
    <w:rsid w:val="00AF26A0"/>
    <w:rsid w:val="00AF278C"/>
    <w:rsid w:val="00AF2806"/>
    <w:rsid w:val="00AF3042"/>
    <w:rsid w:val="00AF34EA"/>
    <w:rsid w:val="00AF362D"/>
    <w:rsid w:val="00AF3632"/>
    <w:rsid w:val="00AF406C"/>
    <w:rsid w:val="00AF428A"/>
    <w:rsid w:val="00AF430F"/>
    <w:rsid w:val="00AF498E"/>
    <w:rsid w:val="00AF49D2"/>
    <w:rsid w:val="00AF4AF0"/>
    <w:rsid w:val="00AF4E90"/>
    <w:rsid w:val="00AF4FDE"/>
    <w:rsid w:val="00AF5391"/>
    <w:rsid w:val="00AF5912"/>
    <w:rsid w:val="00AF5D43"/>
    <w:rsid w:val="00AF5D8B"/>
    <w:rsid w:val="00AF62E0"/>
    <w:rsid w:val="00AF6574"/>
    <w:rsid w:val="00AF698E"/>
    <w:rsid w:val="00AF6A75"/>
    <w:rsid w:val="00AF6EE6"/>
    <w:rsid w:val="00AF7341"/>
    <w:rsid w:val="00AF7555"/>
    <w:rsid w:val="00AF7BA6"/>
    <w:rsid w:val="00AF7CA3"/>
    <w:rsid w:val="00AF7CBE"/>
    <w:rsid w:val="00B0063B"/>
    <w:rsid w:val="00B007F3"/>
    <w:rsid w:val="00B00A76"/>
    <w:rsid w:val="00B00C2F"/>
    <w:rsid w:val="00B00EA1"/>
    <w:rsid w:val="00B00F17"/>
    <w:rsid w:val="00B00FB6"/>
    <w:rsid w:val="00B01324"/>
    <w:rsid w:val="00B0133A"/>
    <w:rsid w:val="00B01ABC"/>
    <w:rsid w:val="00B01DB9"/>
    <w:rsid w:val="00B01E36"/>
    <w:rsid w:val="00B01F6C"/>
    <w:rsid w:val="00B025A1"/>
    <w:rsid w:val="00B0264A"/>
    <w:rsid w:val="00B02EE2"/>
    <w:rsid w:val="00B0308E"/>
    <w:rsid w:val="00B03526"/>
    <w:rsid w:val="00B03DEE"/>
    <w:rsid w:val="00B04053"/>
    <w:rsid w:val="00B04B8B"/>
    <w:rsid w:val="00B04BF9"/>
    <w:rsid w:val="00B04C10"/>
    <w:rsid w:val="00B04D6B"/>
    <w:rsid w:val="00B04F0F"/>
    <w:rsid w:val="00B05053"/>
    <w:rsid w:val="00B05330"/>
    <w:rsid w:val="00B0575B"/>
    <w:rsid w:val="00B068E4"/>
    <w:rsid w:val="00B068FF"/>
    <w:rsid w:val="00B069DE"/>
    <w:rsid w:val="00B06A46"/>
    <w:rsid w:val="00B06ED6"/>
    <w:rsid w:val="00B078AE"/>
    <w:rsid w:val="00B1063A"/>
    <w:rsid w:val="00B10684"/>
    <w:rsid w:val="00B10802"/>
    <w:rsid w:val="00B10D68"/>
    <w:rsid w:val="00B10E88"/>
    <w:rsid w:val="00B11083"/>
    <w:rsid w:val="00B11114"/>
    <w:rsid w:val="00B1147E"/>
    <w:rsid w:val="00B115ED"/>
    <w:rsid w:val="00B117CB"/>
    <w:rsid w:val="00B117D7"/>
    <w:rsid w:val="00B11E1F"/>
    <w:rsid w:val="00B12047"/>
    <w:rsid w:val="00B1236B"/>
    <w:rsid w:val="00B12732"/>
    <w:rsid w:val="00B12859"/>
    <w:rsid w:val="00B12A49"/>
    <w:rsid w:val="00B12E82"/>
    <w:rsid w:val="00B12FD8"/>
    <w:rsid w:val="00B134D1"/>
    <w:rsid w:val="00B13785"/>
    <w:rsid w:val="00B13979"/>
    <w:rsid w:val="00B13B16"/>
    <w:rsid w:val="00B13B75"/>
    <w:rsid w:val="00B13B8E"/>
    <w:rsid w:val="00B13BC6"/>
    <w:rsid w:val="00B13FB4"/>
    <w:rsid w:val="00B13FFE"/>
    <w:rsid w:val="00B142E0"/>
    <w:rsid w:val="00B14429"/>
    <w:rsid w:val="00B15237"/>
    <w:rsid w:val="00B156A9"/>
    <w:rsid w:val="00B1598D"/>
    <w:rsid w:val="00B15E04"/>
    <w:rsid w:val="00B1616E"/>
    <w:rsid w:val="00B16360"/>
    <w:rsid w:val="00B166F6"/>
    <w:rsid w:val="00B172FE"/>
    <w:rsid w:val="00B17A6F"/>
    <w:rsid w:val="00B17F5C"/>
    <w:rsid w:val="00B202F8"/>
    <w:rsid w:val="00B2074F"/>
    <w:rsid w:val="00B210CC"/>
    <w:rsid w:val="00B21E4C"/>
    <w:rsid w:val="00B22088"/>
    <w:rsid w:val="00B22359"/>
    <w:rsid w:val="00B22475"/>
    <w:rsid w:val="00B22831"/>
    <w:rsid w:val="00B22BC5"/>
    <w:rsid w:val="00B230D8"/>
    <w:rsid w:val="00B231BC"/>
    <w:rsid w:val="00B232FF"/>
    <w:rsid w:val="00B23573"/>
    <w:rsid w:val="00B23ABE"/>
    <w:rsid w:val="00B23B67"/>
    <w:rsid w:val="00B23F6D"/>
    <w:rsid w:val="00B24B6A"/>
    <w:rsid w:val="00B24B78"/>
    <w:rsid w:val="00B24F9A"/>
    <w:rsid w:val="00B2537B"/>
    <w:rsid w:val="00B2547B"/>
    <w:rsid w:val="00B25FB1"/>
    <w:rsid w:val="00B26797"/>
    <w:rsid w:val="00B26C98"/>
    <w:rsid w:val="00B26E4F"/>
    <w:rsid w:val="00B26F77"/>
    <w:rsid w:val="00B27027"/>
    <w:rsid w:val="00B271E8"/>
    <w:rsid w:val="00B275D8"/>
    <w:rsid w:val="00B27981"/>
    <w:rsid w:val="00B27B3E"/>
    <w:rsid w:val="00B3007E"/>
    <w:rsid w:val="00B300C3"/>
    <w:rsid w:val="00B3024D"/>
    <w:rsid w:val="00B306F6"/>
    <w:rsid w:val="00B30871"/>
    <w:rsid w:val="00B30AD6"/>
    <w:rsid w:val="00B3135E"/>
    <w:rsid w:val="00B313F6"/>
    <w:rsid w:val="00B3147F"/>
    <w:rsid w:val="00B314BB"/>
    <w:rsid w:val="00B31DC7"/>
    <w:rsid w:val="00B31E63"/>
    <w:rsid w:val="00B32506"/>
    <w:rsid w:val="00B32920"/>
    <w:rsid w:val="00B32CCD"/>
    <w:rsid w:val="00B32F66"/>
    <w:rsid w:val="00B33678"/>
    <w:rsid w:val="00B33B9B"/>
    <w:rsid w:val="00B33E58"/>
    <w:rsid w:val="00B33FD6"/>
    <w:rsid w:val="00B3407B"/>
    <w:rsid w:val="00B340B5"/>
    <w:rsid w:val="00B348D2"/>
    <w:rsid w:val="00B34AFD"/>
    <w:rsid w:val="00B34CAA"/>
    <w:rsid w:val="00B3512D"/>
    <w:rsid w:val="00B354E2"/>
    <w:rsid w:val="00B358C1"/>
    <w:rsid w:val="00B35C85"/>
    <w:rsid w:val="00B361AC"/>
    <w:rsid w:val="00B36224"/>
    <w:rsid w:val="00B36630"/>
    <w:rsid w:val="00B36705"/>
    <w:rsid w:val="00B36B2F"/>
    <w:rsid w:val="00B36F8C"/>
    <w:rsid w:val="00B37073"/>
    <w:rsid w:val="00B3708C"/>
    <w:rsid w:val="00B371B2"/>
    <w:rsid w:val="00B37391"/>
    <w:rsid w:val="00B3757C"/>
    <w:rsid w:val="00B37D98"/>
    <w:rsid w:val="00B40037"/>
    <w:rsid w:val="00B405F4"/>
    <w:rsid w:val="00B413F6"/>
    <w:rsid w:val="00B4141C"/>
    <w:rsid w:val="00B414E0"/>
    <w:rsid w:val="00B41861"/>
    <w:rsid w:val="00B41A1A"/>
    <w:rsid w:val="00B41D7E"/>
    <w:rsid w:val="00B42107"/>
    <w:rsid w:val="00B42704"/>
    <w:rsid w:val="00B427F8"/>
    <w:rsid w:val="00B439E2"/>
    <w:rsid w:val="00B43A1C"/>
    <w:rsid w:val="00B43F14"/>
    <w:rsid w:val="00B440D1"/>
    <w:rsid w:val="00B442CD"/>
    <w:rsid w:val="00B443DF"/>
    <w:rsid w:val="00B4492B"/>
    <w:rsid w:val="00B44A28"/>
    <w:rsid w:val="00B44CB0"/>
    <w:rsid w:val="00B45047"/>
    <w:rsid w:val="00B453BC"/>
    <w:rsid w:val="00B45538"/>
    <w:rsid w:val="00B457F9"/>
    <w:rsid w:val="00B45B91"/>
    <w:rsid w:val="00B45BA8"/>
    <w:rsid w:val="00B45BBA"/>
    <w:rsid w:val="00B462D8"/>
    <w:rsid w:val="00B46347"/>
    <w:rsid w:val="00B46444"/>
    <w:rsid w:val="00B46775"/>
    <w:rsid w:val="00B46C8E"/>
    <w:rsid w:val="00B47117"/>
    <w:rsid w:val="00B47236"/>
    <w:rsid w:val="00B475E1"/>
    <w:rsid w:val="00B4762E"/>
    <w:rsid w:val="00B47D1C"/>
    <w:rsid w:val="00B47D23"/>
    <w:rsid w:val="00B507E3"/>
    <w:rsid w:val="00B509ED"/>
    <w:rsid w:val="00B5155A"/>
    <w:rsid w:val="00B516EC"/>
    <w:rsid w:val="00B51800"/>
    <w:rsid w:val="00B51E22"/>
    <w:rsid w:val="00B51E5E"/>
    <w:rsid w:val="00B51F70"/>
    <w:rsid w:val="00B521AD"/>
    <w:rsid w:val="00B52425"/>
    <w:rsid w:val="00B52B7A"/>
    <w:rsid w:val="00B52E89"/>
    <w:rsid w:val="00B52EAD"/>
    <w:rsid w:val="00B52EEC"/>
    <w:rsid w:val="00B52F36"/>
    <w:rsid w:val="00B54093"/>
    <w:rsid w:val="00B542AE"/>
    <w:rsid w:val="00B5436B"/>
    <w:rsid w:val="00B543F1"/>
    <w:rsid w:val="00B546AB"/>
    <w:rsid w:val="00B5474A"/>
    <w:rsid w:val="00B54772"/>
    <w:rsid w:val="00B547C5"/>
    <w:rsid w:val="00B54851"/>
    <w:rsid w:val="00B54B97"/>
    <w:rsid w:val="00B54C7E"/>
    <w:rsid w:val="00B554B1"/>
    <w:rsid w:val="00B554EB"/>
    <w:rsid w:val="00B55825"/>
    <w:rsid w:val="00B55A00"/>
    <w:rsid w:val="00B55C56"/>
    <w:rsid w:val="00B55E02"/>
    <w:rsid w:val="00B55E9E"/>
    <w:rsid w:val="00B566ED"/>
    <w:rsid w:val="00B56B70"/>
    <w:rsid w:val="00B56CFF"/>
    <w:rsid w:val="00B56EB0"/>
    <w:rsid w:val="00B57168"/>
    <w:rsid w:val="00B57205"/>
    <w:rsid w:val="00B57320"/>
    <w:rsid w:val="00B574FC"/>
    <w:rsid w:val="00B57669"/>
    <w:rsid w:val="00B603D4"/>
    <w:rsid w:val="00B604C7"/>
    <w:rsid w:val="00B60CC4"/>
    <w:rsid w:val="00B60D02"/>
    <w:rsid w:val="00B60E24"/>
    <w:rsid w:val="00B61068"/>
    <w:rsid w:val="00B6118D"/>
    <w:rsid w:val="00B61F6B"/>
    <w:rsid w:val="00B62104"/>
    <w:rsid w:val="00B6233A"/>
    <w:rsid w:val="00B62AFD"/>
    <w:rsid w:val="00B62CD1"/>
    <w:rsid w:val="00B6312A"/>
    <w:rsid w:val="00B63594"/>
    <w:rsid w:val="00B63815"/>
    <w:rsid w:val="00B6385C"/>
    <w:rsid w:val="00B63CE9"/>
    <w:rsid w:val="00B6435F"/>
    <w:rsid w:val="00B64FF2"/>
    <w:rsid w:val="00B650FB"/>
    <w:rsid w:val="00B651B7"/>
    <w:rsid w:val="00B65553"/>
    <w:rsid w:val="00B65643"/>
    <w:rsid w:val="00B658B7"/>
    <w:rsid w:val="00B65B2F"/>
    <w:rsid w:val="00B65CD2"/>
    <w:rsid w:val="00B66381"/>
    <w:rsid w:val="00B668FE"/>
    <w:rsid w:val="00B66D46"/>
    <w:rsid w:val="00B66D63"/>
    <w:rsid w:val="00B66E77"/>
    <w:rsid w:val="00B6719B"/>
    <w:rsid w:val="00B674BE"/>
    <w:rsid w:val="00B6777E"/>
    <w:rsid w:val="00B677C5"/>
    <w:rsid w:val="00B67953"/>
    <w:rsid w:val="00B6799D"/>
    <w:rsid w:val="00B67A5D"/>
    <w:rsid w:val="00B67BF5"/>
    <w:rsid w:val="00B67FDE"/>
    <w:rsid w:val="00B70106"/>
    <w:rsid w:val="00B70240"/>
    <w:rsid w:val="00B702B7"/>
    <w:rsid w:val="00B7038A"/>
    <w:rsid w:val="00B706E0"/>
    <w:rsid w:val="00B70C07"/>
    <w:rsid w:val="00B70E68"/>
    <w:rsid w:val="00B71721"/>
    <w:rsid w:val="00B71BEA"/>
    <w:rsid w:val="00B71C5E"/>
    <w:rsid w:val="00B71D0E"/>
    <w:rsid w:val="00B71D57"/>
    <w:rsid w:val="00B71F43"/>
    <w:rsid w:val="00B7212F"/>
    <w:rsid w:val="00B7222F"/>
    <w:rsid w:val="00B72616"/>
    <w:rsid w:val="00B72695"/>
    <w:rsid w:val="00B726B9"/>
    <w:rsid w:val="00B72A69"/>
    <w:rsid w:val="00B72C21"/>
    <w:rsid w:val="00B730B7"/>
    <w:rsid w:val="00B7316F"/>
    <w:rsid w:val="00B73287"/>
    <w:rsid w:val="00B7338B"/>
    <w:rsid w:val="00B7351F"/>
    <w:rsid w:val="00B73814"/>
    <w:rsid w:val="00B7397F"/>
    <w:rsid w:val="00B73D20"/>
    <w:rsid w:val="00B73D5E"/>
    <w:rsid w:val="00B73F56"/>
    <w:rsid w:val="00B743DE"/>
    <w:rsid w:val="00B743DF"/>
    <w:rsid w:val="00B74B6F"/>
    <w:rsid w:val="00B74D21"/>
    <w:rsid w:val="00B752A3"/>
    <w:rsid w:val="00B752B1"/>
    <w:rsid w:val="00B7532F"/>
    <w:rsid w:val="00B75640"/>
    <w:rsid w:val="00B75690"/>
    <w:rsid w:val="00B759E3"/>
    <w:rsid w:val="00B75F97"/>
    <w:rsid w:val="00B76B9D"/>
    <w:rsid w:val="00B77355"/>
    <w:rsid w:val="00B776A8"/>
    <w:rsid w:val="00B77A84"/>
    <w:rsid w:val="00B77E94"/>
    <w:rsid w:val="00B80321"/>
    <w:rsid w:val="00B80573"/>
    <w:rsid w:val="00B8116E"/>
    <w:rsid w:val="00B8139C"/>
    <w:rsid w:val="00B815EB"/>
    <w:rsid w:val="00B81BCF"/>
    <w:rsid w:val="00B81C69"/>
    <w:rsid w:val="00B81ECB"/>
    <w:rsid w:val="00B821B7"/>
    <w:rsid w:val="00B82451"/>
    <w:rsid w:val="00B8298F"/>
    <w:rsid w:val="00B8299B"/>
    <w:rsid w:val="00B82B9A"/>
    <w:rsid w:val="00B82F98"/>
    <w:rsid w:val="00B83503"/>
    <w:rsid w:val="00B836B1"/>
    <w:rsid w:val="00B8389E"/>
    <w:rsid w:val="00B84095"/>
    <w:rsid w:val="00B84D02"/>
    <w:rsid w:val="00B84ED5"/>
    <w:rsid w:val="00B85018"/>
    <w:rsid w:val="00B858B4"/>
    <w:rsid w:val="00B8590E"/>
    <w:rsid w:val="00B8596D"/>
    <w:rsid w:val="00B863E7"/>
    <w:rsid w:val="00B86CD2"/>
    <w:rsid w:val="00B8702D"/>
    <w:rsid w:val="00B8778B"/>
    <w:rsid w:val="00B9031C"/>
    <w:rsid w:val="00B90348"/>
    <w:rsid w:val="00B903D1"/>
    <w:rsid w:val="00B90653"/>
    <w:rsid w:val="00B90FAF"/>
    <w:rsid w:val="00B912EE"/>
    <w:rsid w:val="00B91A75"/>
    <w:rsid w:val="00B925DB"/>
    <w:rsid w:val="00B928E5"/>
    <w:rsid w:val="00B92BDF"/>
    <w:rsid w:val="00B93163"/>
    <w:rsid w:val="00B93299"/>
    <w:rsid w:val="00B9333B"/>
    <w:rsid w:val="00B938E4"/>
    <w:rsid w:val="00B93D40"/>
    <w:rsid w:val="00B947BF"/>
    <w:rsid w:val="00B94811"/>
    <w:rsid w:val="00B94BC2"/>
    <w:rsid w:val="00B94E55"/>
    <w:rsid w:val="00B94F87"/>
    <w:rsid w:val="00B951C1"/>
    <w:rsid w:val="00B95414"/>
    <w:rsid w:val="00B9544A"/>
    <w:rsid w:val="00B9556E"/>
    <w:rsid w:val="00B95619"/>
    <w:rsid w:val="00B95DA7"/>
    <w:rsid w:val="00B95DC7"/>
    <w:rsid w:val="00B96335"/>
    <w:rsid w:val="00B96A63"/>
    <w:rsid w:val="00B96C53"/>
    <w:rsid w:val="00B975CF"/>
    <w:rsid w:val="00B97784"/>
    <w:rsid w:val="00B97EBA"/>
    <w:rsid w:val="00BA0103"/>
    <w:rsid w:val="00BA0587"/>
    <w:rsid w:val="00BA0DF2"/>
    <w:rsid w:val="00BA0E5B"/>
    <w:rsid w:val="00BA0F89"/>
    <w:rsid w:val="00BA1049"/>
    <w:rsid w:val="00BA108A"/>
    <w:rsid w:val="00BA179D"/>
    <w:rsid w:val="00BA181F"/>
    <w:rsid w:val="00BA1AFD"/>
    <w:rsid w:val="00BA217B"/>
    <w:rsid w:val="00BA2A85"/>
    <w:rsid w:val="00BA2DFD"/>
    <w:rsid w:val="00BA3074"/>
    <w:rsid w:val="00BA3094"/>
    <w:rsid w:val="00BA37F0"/>
    <w:rsid w:val="00BA3CC9"/>
    <w:rsid w:val="00BA4214"/>
    <w:rsid w:val="00BA42EA"/>
    <w:rsid w:val="00BA43F3"/>
    <w:rsid w:val="00BA4418"/>
    <w:rsid w:val="00BA4525"/>
    <w:rsid w:val="00BA4AAE"/>
    <w:rsid w:val="00BA4BFB"/>
    <w:rsid w:val="00BA4D60"/>
    <w:rsid w:val="00BA4E2C"/>
    <w:rsid w:val="00BA509D"/>
    <w:rsid w:val="00BA51F6"/>
    <w:rsid w:val="00BA5B47"/>
    <w:rsid w:val="00BA5E43"/>
    <w:rsid w:val="00BA5ED6"/>
    <w:rsid w:val="00BA63D5"/>
    <w:rsid w:val="00BA648B"/>
    <w:rsid w:val="00BA6818"/>
    <w:rsid w:val="00BA6E28"/>
    <w:rsid w:val="00BA74ED"/>
    <w:rsid w:val="00BA771E"/>
    <w:rsid w:val="00BA77DE"/>
    <w:rsid w:val="00BA782E"/>
    <w:rsid w:val="00BA7A25"/>
    <w:rsid w:val="00BA7C2F"/>
    <w:rsid w:val="00BB0599"/>
    <w:rsid w:val="00BB05F4"/>
    <w:rsid w:val="00BB0630"/>
    <w:rsid w:val="00BB064E"/>
    <w:rsid w:val="00BB11B2"/>
    <w:rsid w:val="00BB12F6"/>
    <w:rsid w:val="00BB13AC"/>
    <w:rsid w:val="00BB14C3"/>
    <w:rsid w:val="00BB1CAB"/>
    <w:rsid w:val="00BB1DBF"/>
    <w:rsid w:val="00BB2322"/>
    <w:rsid w:val="00BB2333"/>
    <w:rsid w:val="00BB2405"/>
    <w:rsid w:val="00BB25E1"/>
    <w:rsid w:val="00BB2DFE"/>
    <w:rsid w:val="00BB3436"/>
    <w:rsid w:val="00BB34B7"/>
    <w:rsid w:val="00BB3828"/>
    <w:rsid w:val="00BB3A7C"/>
    <w:rsid w:val="00BB3D9E"/>
    <w:rsid w:val="00BB40D9"/>
    <w:rsid w:val="00BB4199"/>
    <w:rsid w:val="00BB48F9"/>
    <w:rsid w:val="00BB4D2D"/>
    <w:rsid w:val="00BB4D97"/>
    <w:rsid w:val="00BB51DC"/>
    <w:rsid w:val="00BB53DF"/>
    <w:rsid w:val="00BB56C4"/>
    <w:rsid w:val="00BB5776"/>
    <w:rsid w:val="00BB5B56"/>
    <w:rsid w:val="00BB5E0F"/>
    <w:rsid w:val="00BB6030"/>
    <w:rsid w:val="00BB6067"/>
    <w:rsid w:val="00BB6172"/>
    <w:rsid w:val="00BB6853"/>
    <w:rsid w:val="00BB6B0B"/>
    <w:rsid w:val="00BB6C0B"/>
    <w:rsid w:val="00BB6DEB"/>
    <w:rsid w:val="00BB6E7F"/>
    <w:rsid w:val="00BB6F1C"/>
    <w:rsid w:val="00BB716B"/>
    <w:rsid w:val="00BB7651"/>
    <w:rsid w:val="00BB772D"/>
    <w:rsid w:val="00BB7826"/>
    <w:rsid w:val="00BB78B8"/>
    <w:rsid w:val="00BB7E75"/>
    <w:rsid w:val="00BC0321"/>
    <w:rsid w:val="00BC04A5"/>
    <w:rsid w:val="00BC0725"/>
    <w:rsid w:val="00BC07F6"/>
    <w:rsid w:val="00BC091B"/>
    <w:rsid w:val="00BC0967"/>
    <w:rsid w:val="00BC13E1"/>
    <w:rsid w:val="00BC1A7C"/>
    <w:rsid w:val="00BC1BF9"/>
    <w:rsid w:val="00BC23C0"/>
    <w:rsid w:val="00BC25A3"/>
    <w:rsid w:val="00BC265E"/>
    <w:rsid w:val="00BC2932"/>
    <w:rsid w:val="00BC2978"/>
    <w:rsid w:val="00BC2E1D"/>
    <w:rsid w:val="00BC3140"/>
    <w:rsid w:val="00BC3563"/>
    <w:rsid w:val="00BC3677"/>
    <w:rsid w:val="00BC38CC"/>
    <w:rsid w:val="00BC3CF5"/>
    <w:rsid w:val="00BC4118"/>
    <w:rsid w:val="00BC466E"/>
    <w:rsid w:val="00BC47B9"/>
    <w:rsid w:val="00BC484F"/>
    <w:rsid w:val="00BC4D34"/>
    <w:rsid w:val="00BC4E08"/>
    <w:rsid w:val="00BC6291"/>
    <w:rsid w:val="00BC6335"/>
    <w:rsid w:val="00BC6794"/>
    <w:rsid w:val="00BC6862"/>
    <w:rsid w:val="00BC71C9"/>
    <w:rsid w:val="00BC71F5"/>
    <w:rsid w:val="00BC730B"/>
    <w:rsid w:val="00BC7530"/>
    <w:rsid w:val="00BC77E9"/>
    <w:rsid w:val="00BC77EA"/>
    <w:rsid w:val="00BC7B71"/>
    <w:rsid w:val="00BC7C23"/>
    <w:rsid w:val="00BD0264"/>
    <w:rsid w:val="00BD0297"/>
    <w:rsid w:val="00BD039C"/>
    <w:rsid w:val="00BD070A"/>
    <w:rsid w:val="00BD0750"/>
    <w:rsid w:val="00BD08AA"/>
    <w:rsid w:val="00BD0B7D"/>
    <w:rsid w:val="00BD0E33"/>
    <w:rsid w:val="00BD0F89"/>
    <w:rsid w:val="00BD14A8"/>
    <w:rsid w:val="00BD181E"/>
    <w:rsid w:val="00BD1D83"/>
    <w:rsid w:val="00BD21B8"/>
    <w:rsid w:val="00BD26A7"/>
    <w:rsid w:val="00BD35F1"/>
    <w:rsid w:val="00BD369A"/>
    <w:rsid w:val="00BD37BA"/>
    <w:rsid w:val="00BD383C"/>
    <w:rsid w:val="00BD3A57"/>
    <w:rsid w:val="00BD410E"/>
    <w:rsid w:val="00BD4CCC"/>
    <w:rsid w:val="00BD51DF"/>
    <w:rsid w:val="00BD577E"/>
    <w:rsid w:val="00BD578B"/>
    <w:rsid w:val="00BD58C0"/>
    <w:rsid w:val="00BD58CD"/>
    <w:rsid w:val="00BD59F6"/>
    <w:rsid w:val="00BD5FD1"/>
    <w:rsid w:val="00BD601C"/>
    <w:rsid w:val="00BD6B3A"/>
    <w:rsid w:val="00BD6E31"/>
    <w:rsid w:val="00BD70AE"/>
    <w:rsid w:val="00BD7110"/>
    <w:rsid w:val="00BD7A78"/>
    <w:rsid w:val="00BE024B"/>
    <w:rsid w:val="00BE0254"/>
    <w:rsid w:val="00BE05AF"/>
    <w:rsid w:val="00BE0693"/>
    <w:rsid w:val="00BE0CB7"/>
    <w:rsid w:val="00BE0DCB"/>
    <w:rsid w:val="00BE14AB"/>
    <w:rsid w:val="00BE172B"/>
    <w:rsid w:val="00BE1859"/>
    <w:rsid w:val="00BE1C87"/>
    <w:rsid w:val="00BE21B6"/>
    <w:rsid w:val="00BE24E9"/>
    <w:rsid w:val="00BE259F"/>
    <w:rsid w:val="00BE2BD5"/>
    <w:rsid w:val="00BE2D0C"/>
    <w:rsid w:val="00BE2E40"/>
    <w:rsid w:val="00BE2EA5"/>
    <w:rsid w:val="00BE2EBD"/>
    <w:rsid w:val="00BE2F37"/>
    <w:rsid w:val="00BE32A6"/>
    <w:rsid w:val="00BE3535"/>
    <w:rsid w:val="00BE368E"/>
    <w:rsid w:val="00BE39BD"/>
    <w:rsid w:val="00BE3A7B"/>
    <w:rsid w:val="00BE3BC8"/>
    <w:rsid w:val="00BE3D93"/>
    <w:rsid w:val="00BE3F30"/>
    <w:rsid w:val="00BE4090"/>
    <w:rsid w:val="00BE40B0"/>
    <w:rsid w:val="00BE428C"/>
    <w:rsid w:val="00BE4398"/>
    <w:rsid w:val="00BE4A81"/>
    <w:rsid w:val="00BE4C2F"/>
    <w:rsid w:val="00BE4CE9"/>
    <w:rsid w:val="00BE507B"/>
    <w:rsid w:val="00BE50AB"/>
    <w:rsid w:val="00BE538C"/>
    <w:rsid w:val="00BE55E1"/>
    <w:rsid w:val="00BE5711"/>
    <w:rsid w:val="00BE5B2D"/>
    <w:rsid w:val="00BE6556"/>
    <w:rsid w:val="00BE65FA"/>
    <w:rsid w:val="00BE6738"/>
    <w:rsid w:val="00BE6DD4"/>
    <w:rsid w:val="00BE72B2"/>
    <w:rsid w:val="00BE756C"/>
    <w:rsid w:val="00BE7822"/>
    <w:rsid w:val="00BE7888"/>
    <w:rsid w:val="00BE7934"/>
    <w:rsid w:val="00BE79B8"/>
    <w:rsid w:val="00BE7AC2"/>
    <w:rsid w:val="00BE7C43"/>
    <w:rsid w:val="00BF003B"/>
    <w:rsid w:val="00BF00B4"/>
    <w:rsid w:val="00BF0123"/>
    <w:rsid w:val="00BF01F1"/>
    <w:rsid w:val="00BF04AD"/>
    <w:rsid w:val="00BF05A0"/>
    <w:rsid w:val="00BF07D6"/>
    <w:rsid w:val="00BF0BDC"/>
    <w:rsid w:val="00BF10ED"/>
    <w:rsid w:val="00BF12DD"/>
    <w:rsid w:val="00BF1740"/>
    <w:rsid w:val="00BF19B3"/>
    <w:rsid w:val="00BF2146"/>
    <w:rsid w:val="00BF2184"/>
    <w:rsid w:val="00BF2BBE"/>
    <w:rsid w:val="00BF2E19"/>
    <w:rsid w:val="00BF36F1"/>
    <w:rsid w:val="00BF381C"/>
    <w:rsid w:val="00BF3A74"/>
    <w:rsid w:val="00BF3C80"/>
    <w:rsid w:val="00BF3E7D"/>
    <w:rsid w:val="00BF3F81"/>
    <w:rsid w:val="00BF4606"/>
    <w:rsid w:val="00BF4733"/>
    <w:rsid w:val="00BF498B"/>
    <w:rsid w:val="00BF4ADB"/>
    <w:rsid w:val="00BF4E4A"/>
    <w:rsid w:val="00BF4EB8"/>
    <w:rsid w:val="00BF554A"/>
    <w:rsid w:val="00BF579B"/>
    <w:rsid w:val="00BF5D42"/>
    <w:rsid w:val="00BF6690"/>
    <w:rsid w:val="00BF6A28"/>
    <w:rsid w:val="00BF6D6E"/>
    <w:rsid w:val="00BF6E5D"/>
    <w:rsid w:val="00BF71A6"/>
    <w:rsid w:val="00BF7E99"/>
    <w:rsid w:val="00C0021D"/>
    <w:rsid w:val="00C00469"/>
    <w:rsid w:val="00C0047B"/>
    <w:rsid w:val="00C00B5E"/>
    <w:rsid w:val="00C00BA2"/>
    <w:rsid w:val="00C010FA"/>
    <w:rsid w:val="00C015EB"/>
    <w:rsid w:val="00C01675"/>
    <w:rsid w:val="00C016EC"/>
    <w:rsid w:val="00C01A05"/>
    <w:rsid w:val="00C01AF6"/>
    <w:rsid w:val="00C01BB0"/>
    <w:rsid w:val="00C01C75"/>
    <w:rsid w:val="00C01E29"/>
    <w:rsid w:val="00C02121"/>
    <w:rsid w:val="00C02210"/>
    <w:rsid w:val="00C02714"/>
    <w:rsid w:val="00C027E2"/>
    <w:rsid w:val="00C034F4"/>
    <w:rsid w:val="00C037AE"/>
    <w:rsid w:val="00C037FC"/>
    <w:rsid w:val="00C03B7A"/>
    <w:rsid w:val="00C03BCA"/>
    <w:rsid w:val="00C03E34"/>
    <w:rsid w:val="00C03FC3"/>
    <w:rsid w:val="00C042FB"/>
    <w:rsid w:val="00C0440C"/>
    <w:rsid w:val="00C04568"/>
    <w:rsid w:val="00C04A9A"/>
    <w:rsid w:val="00C04B40"/>
    <w:rsid w:val="00C05057"/>
    <w:rsid w:val="00C05098"/>
    <w:rsid w:val="00C05267"/>
    <w:rsid w:val="00C05422"/>
    <w:rsid w:val="00C0546D"/>
    <w:rsid w:val="00C05541"/>
    <w:rsid w:val="00C05611"/>
    <w:rsid w:val="00C0564C"/>
    <w:rsid w:val="00C0591B"/>
    <w:rsid w:val="00C05CF7"/>
    <w:rsid w:val="00C0615B"/>
    <w:rsid w:val="00C0643E"/>
    <w:rsid w:val="00C06508"/>
    <w:rsid w:val="00C066F3"/>
    <w:rsid w:val="00C06A28"/>
    <w:rsid w:val="00C06BA7"/>
    <w:rsid w:val="00C06FD8"/>
    <w:rsid w:val="00C0728B"/>
    <w:rsid w:val="00C07889"/>
    <w:rsid w:val="00C07AE4"/>
    <w:rsid w:val="00C07DAF"/>
    <w:rsid w:val="00C07EE8"/>
    <w:rsid w:val="00C07FCA"/>
    <w:rsid w:val="00C1019C"/>
    <w:rsid w:val="00C1029D"/>
    <w:rsid w:val="00C10716"/>
    <w:rsid w:val="00C10DEE"/>
    <w:rsid w:val="00C10E4A"/>
    <w:rsid w:val="00C10F84"/>
    <w:rsid w:val="00C1106B"/>
    <w:rsid w:val="00C111C4"/>
    <w:rsid w:val="00C115D3"/>
    <w:rsid w:val="00C11958"/>
    <w:rsid w:val="00C11E2F"/>
    <w:rsid w:val="00C11E76"/>
    <w:rsid w:val="00C121C4"/>
    <w:rsid w:val="00C12233"/>
    <w:rsid w:val="00C1230A"/>
    <w:rsid w:val="00C1238B"/>
    <w:rsid w:val="00C12458"/>
    <w:rsid w:val="00C125A7"/>
    <w:rsid w:val="00C129C1"/>
    <w:rsid w:val="00C13ACD"/>
    <w:rsid w:val="00C13E3A"/>
    <w:rsid w:val="00C13EC6"/>
    <w:rsid w:val="00C13FF1"/>
    <w:rsid w:val="00C14145"/>
    <w:rsid w:val="00C14C67"/>
    <w:rsid w:val="00C14D49"/>
    <w:rsid w:val="00C15220"/>
    <w:rsid w:val="00C15346"/>
    <w:rsid w:val="00C15E18"/>
    <w:rsid w:val="00C161A7"/>
    <w:rsid w:val="00C163E9"/>
    <w:rsid w:val="00C164F7"/>
    <w:rsid w:val="00C168AC"/>
    <w:rsid w:val="00C16B83"/>
    <w:rsid w:val="00C16DA8"/>
    <w:rsid w:val="00C1739A"/>
    <w:rsid w:val="00C17D16"/>
    <w:rsid w:val="00C17FD9"/>
    <w:rsid w:val="00C202DC"/>
    <w:rsid w:val="00C20364"/>
    <w:rsid w:val="00C203F0"/>
    <w:rsid w:val="00C20431"/>
    <w:rsid w:val="00C204BF"/>
    <w:rsid w:val="00C20959"/>
    <w:rsid w:val="00C20977"/>
    <w:rsid w:val="00C20C2D"/>
    <w:rsid w:val="00C20D32"/>
    <w:rsid w:val="00C20DA8"/>
    <w:rsid w:val="00C20DF3"/>
    <w:rsid w:val="00C20E60"/>
    <w:rsid w:val="00C21022"/>
    <w:rsid w:val="00C21563"/>
    <w:rsid w:val="00C215CB"/>
    <w:rsid w:val="00C21792"/>
    <w:rsid w:val="00C217E6"/>
    <w:rsid w:val="00C21910"/>
    <w:rsid w:val="00C21C7C"/>
    <w:rsid w:val="00C21DB6"/>
    <w:rsid w:val="00C21FED"/>
    <w:rsid w:val="00C2200C"/>
    <w:rsid w:val="00C221A6"/>
    <w:rsid w:val="00C224BA"/>
    <w:rsid w:val="00C224D0"/>
    <w:rsid w:val="00C22655"/>
    <w:rsid w:val="00C226DB"/>
    <w:rsid w:val="00C2285B"/>
    <w:rsid w:val="00C22E4B"/>
    <w:rsid w:val="00C22FD7"/>
    <w:rsid w:val="00C23397"/>
    <w:rsid w:val="00C233C0"/>
    <w:rsid w:val="00C23610"/>
    <w:rsid w:val="00C238FD"/>
    <w:rsid w:val="00C23ADC"/>
    <w:rsid w:val="00C23CB8"/>
    <w:rsid w:val="00C23E65"/>
    <w:rsid w:val="00C23F44"/>
    <w:rsid w:val="00C240D2"/>
    <w:rsid w:val="00C241C5"/>
    <w:rsid w:val="00C24368"/>
    <w:rsid w:val="00C2442D"/>
    <w:rsid w:val="00C24886"/>
    <w:rsid w:val="00C24A19"/>
    <w:rsid w:val="00C24A20"/>
    <w:rsid w:val="00C24D83"/>
    <w:rsid w:val="00C25361"/>
    <w:rsid w:val="00C25770"/>
    <w:rsid w:val="00C25931"/>
    <w:rsid w:val="00C25C60"/>
    <w:rsid w:val="00C2636E"/>
    <w:rsid w:val="00C268C6"/>
    <w:rsid w:val="00C26A2F"/>
    <w:rsid w:val="00C270A5"/>
    <w:rsid w:val="00C274F3"/>
    <w:rsid w:val="00C276CA"/>
    <w:rsid w:val="00C27871"/>
    <w:rsid w:val="00C27EAE"/>
    <w:rsid w:val="00C27F83"/>
    <w:rsid w:val="00C3074B"/>
    <w:rsid w:val="00C30757"/>
    <w:rsid w:val="00C30904"/>
    <w:rsid w:val="00C30957"/>
    <w:rsid w:val="00C30D5A"/>
    <w:rsid w:val="00C3188D"/>
    <w:rsid w:val="00C318A2"/>
    <w:rsid w:val="00C318AF"/>
    <w:rsid w:val="00C31A94"/>
    <w:rsid w:val="00C321FC"/>
    <w:rsid w:val="00C324F0"/>
    <w:rsid w:val="00C3267E"/>
    <w:rsid w:val="00C327BC"/>
    <w:rsid w:val="00C32B6C"/>
    <w:rsid w:val="00C32D84"/>
    <w:rsid w:val="00C32E23"/>
    <w:rsid w:val="00C3327C"/>
    <w:rsid w:val="00C33498"/>
    <w:rsid w:val="00C336EC"/>
    <w:rsid w:val="00C3385B"/>
    <w:rsid w:val="00C33BE1"/>
    <w:rsid w:val="00C34193"/>
    <w:rsid w:val="00C342E8"/>
    <w:rsid w:val="00C34B20"/>
    <w:rsid w:val="00C35323"/>
    <w:rsid w:val="00C354FC"/>
    <w:rsid w:val="00C35747"/>
    <w:rsid w:val="00C35780"/>
    <w:rsid w:val="00C358CC"/>
    <w:rsid w:val="00C35A2D"/>
    <w:rsid w:val="00C35CE5"/>
    <w:rsid w:val="00C3607D"/>
    <w:rsid w:val="00C36157"/>
    <w:rsid w:val="00C361B5"/>
    <w:rsid w:val="00C36394"/>
    <w:rsid w:val="00C3671C"/>
    <w:rsid w:val="00C368B2"/>
    <w:rsid w:val="00C369C5"/>
    <w:rsid w:val="00C36C40"/>
    <w:rsid w:val="00C36E59"/>
    <w:rsid w:val="00C36FB7"/>
    <w:rsid w:val="00C37102"/>
    <w:rsid w:val="00C378BB"/>
    <w:rsid w:val="00C37A49"/>
    <w:rsid w:val="00C37C66"/>
    <w:rsid w:val="00C4004B"/>
    <w:rsid w:val="00C400D6"/>
    <w:rsid w:val="00C40326"/>
    <w:rsid w:val="00C40584"/>
    <w:rsid w:val="00C40C65"/>
    <w:rsid w:val="00C40D7A"/>
    <w:rsid w:val="00C411C6"/>
    <w:rsid w:val="00C411E8"/>
    <w:rsid w:val="00C41B47"/>
    <w:rsid w:val="00C42009"/>
    <w:rsid w:val="00C42028"/>
    <w:rsid w:val="00C42089"/>
    <w:rsid w:val="00C4208C"/>
    <w:rsid w:val="00C42278"/>
    <w:rsid w:val="00C4227F"/>
    <w:rsid w:val="00C425B1"/>
    <w:rsid w:val="00C435A8"/>
    <w:rsid w:val="00C43733"/>
    <w:rsid w:val="00C43770"/>
    <w:rsid w:val="00C43996"/>
    <w:rsid w:val="00C43D1B"/>
    <w:rsid w:val="00C43DB2"/>
    <w:rsid w:val="00C43F3C"/>
    <w:rsid w:val="00C448AE"/>
    <w:rsid w:val="00C44997"/>
    <w:rsid w:val="00C44AD1"/>
    <w:rsid w:val="00C44B2F"/>
    <w:rsid w:val="00C44B92"/>
    <w:rsid w:val="00C44D9B"/>
    <w:rsid w:val="00C44E74"/>
    <w:rsid w:val="00C44FF2"/>
    <w:rsid w:val="00C4508E"/>
    <w:rsid w:val="00C45CAE"/>
    <w:rsid w:val="00C45F1A"/>
    <w:rsid w:val="00C45FCA"/>
    <w:rsid w:val="00C46097"/>
    <w:rsid w:val="00C4632E"/>
    <w:rsid w:val="00C46358"/>
    <w:rsid w:val="00C46905"/>
    <w:rsid w:val="00C46E0F"/>
    <w:rsid w:val="00C46FC4"/>
    <w:rsid w:val="00C47598"/>
    <w:rsid w:val="00C4786D"/>
    <w:rsid w:val="00C47A35"/>
    <w:rsid w:val="00C47CB1"/>
    <w:rsid w:val="00C47D8F"/>
    <w:rsid w:val="00C47DE2"/>
    <w:rsid w:val="00C503D7"/>
    <w:rsid w:val="00C50543"/>
    <w:rsid w:val="00C505BA"/>
    <w:rsid w:val="00C508DA"/>
    <w:rsid w:val="00C50ADB"/>
    <w:rsid w:val="00C50B3A"/>
    <w:rsid w:val="00C51470"/>
    <w:rsid w:val="00C5157D"/>
    <w:rsid w:val="00C519DA"/>
    <w:rsid w:val="00C51A3B"/>
    <w:rsid w:val="00C51BEA"/>
    <w:rsid w:val="00C51C54"/>
    <w:rsid w:val="00C522FC"/>
    <w:rsid w:val="00C5236A"/>
    <w:rsid w:val="00C5257B"/>
    <w:rsid w:val="00C52CEE"/>
    <w:rsid w:val="00C530B7"/>
    <w:rsid w:val="00C5356A"/>
    <w:rsid w:val="00C53C97"/>
    <w:rsid w:val="00C54490"/>
    <w:rsid w:val="00C5472F"/>
    <w:rsid w:val="00C54D41"/>
    <w:rsid w:val="00C5514C"/>
    <w:rsid w:val="00C55988"/>
    <w:rsid w:val="00C5632C"/>
    <w:rsid w:val="00C56443"/>
    <w:rsid w:val="00C56DA3"/>
    <w:rsid w:val="00C56DA7"/>
    <w:rsid w:val="00C56EA1"/>
    <w:rsid w:val="00C5733B"/>
    <w:rsid w:val="00C575A5"/>
    <w:rsid w:val="00C57721"/>
    <w:rsid w:val="00C57A60"/>
    <w:rsid w:val="00C57C31"/>
    <w:rsid w:val="00C57D85"/>
    <w:rsid w:val="00C602E7"/>
    <w:rsid w:val="00C603F9"/>
    <w:rsid w:val="00C608DB"/>
    <w:rsid w:val="00C60AE1"/>
    <w:rsid w:val="00C60B88"/>
    <w:rsid w:val="00C61102"/>
    <w:rsid w:val="00C616FD"/>
    <w:rsid w:val="00C620C3"/>
    <w:rsid w:val="00C6241B"/>
    <w:rsid w:val="00C624A9"/>
    <w:rsid w:val="00C62B22"/>
    <w:rsid w:val="00C62C3F"/>
    <w:rsid w:val="00C62DFF"/>
    <w:rsid w:val="00C63304"/>
    <w:rsid w:val="00C63305"/>
    <w:rsid w:val="00C635F9"/>
    <w:rsid w:val="00C63926"/>
    <w:rsid w:val="00C63BC0"/>
    <w:rsid w:val="00C63D7F"/>
    <w:rsid w:val="00C63FCC"/>
    <w:rsid w:val="00C63FEC"/>
    <w:rsid w:val="00C6410E"/>
    <w:rsid w:val="00C644DE"/>
    <w:rsid w:val="00C646D9"/>
    <w:rsid w:val="00C64AEF"/>
    <w:rsid w:val="00C64C69"/>
    <w:rsid w:val="00C64D09"/>
    <w:rsid w:val="00C65951"/>
    <w:rsid w:val="00C6597D"/>
    <w:rsid w:val="00C65A73"/>
    <w:rsid w:val="00C65AE0"/>
    <w:rsid w:val="00C65E33"/>
    <w:rsid w:val="00C661CD"/>
    <w:rsid w:val="00C66203"/>
    <w:rsid w:val="00C66409"/>
    <w:rsid w:val="00C66523"/>
    <w:rsid w:val="00C66925"/>
    <w:rsid w:val="00C66FFA"/>
    <w:rsid w:val="00C671E2"/>
    <w:rsid w:val="00C67745"/>
    <w:rsid w:val="00C6779C"/>
    <w:rsid w:val="00C67881"/>
    <w:rsid w:val="00C67ADB"/>
    <w:rsid w:val="00C67BA4"/>
    <w:rsid w:val="00C67C07"/>
    <w:rsid w:val="00C67EC4"/>
    <w:rsid w:val="00C700B4"/>
    <w:rsid w:val="00C703AA"/>
    <w:rsid w:val="00C70412"/>
    <w:rsid w:val="00C7112E"/>
    <w:rsid w:val="00C71A7E"/>
    <w:rsid w:val="00C71C06"/>
    <w:rsid w:val="00C7254D"/>
    <w:rsid w:val="00C7268E"/>
    <w:rsid w:val="00C72A44"/>
    <w:rsid w:val="00C72A72"/>
    <w:rsid w:val="00C72B54"/>
    <w:rsid w:val="00C72CA9"/>
    <w:rsid w:val="00C72CCE"/>
    <w:rsid w:val="00C72F5F"/>
    <w:rsid w:val="00C73184"/>
    <w:rsid w:val="00C7332A"/>
    <w:rsid w:val="00C733D9"/>
    <w:rsid w:val="00C73401"/>
    <w:rsid w:val="00C7346A"/>
    <w:rsid w:val="00C73543"/>
    <w:rsid w:val="00C736A6"/>
    <w:rsid w:val="00C73906"/>
    <w:rsid w:val="00C73BEB"/>
    <w:rsid w:val="00C73DFE"/>
    <w:rsid w:val="00C73E4B"/>
    <w:rsid w:val="00C73F09"/>
    <w:rsid w:val="00C744F3"/>
    <w:rsid w:val="00C74825"/>
    <w:rsid w:val="00C74AA4"/>
    <w:rsid w:val="00C7524C"/>
    <w:rsid w:val="00C76508"/>
    <w:rsid w:val="00C765DF"/>
    <w:rsid w:val="00C766FC"/>
    <w:rsid w:val="00C76735"/>
    <w:rsid w:val="00C76B4B"/>
    <w:rsid w:val="00C76BCA"/>
    <w:rsid w:val="00C76D6D"/>
    <w:rsid w:val="00C76F59"/>
    <w:rsid w:val="00C773AF"/>
    <w:rsid w:val="00C775FD"/>
    <w:rsid w:val="00C776FD"/>
    <w:rsid w:val="00C8020F"/>
    <w:rsid w:val="00C804E2"/>
    <w:rsid w:val="00C80562"/>
    <w:rsid w:val="00C808E2"/>
    <w:rsid w:val="00C80B8B"/>
    <w:rsid w:val="00C81705"/>
    <w:rsid w:val="00C81842"/>
    <w:rsid w:val="00C81CF0"/>
    <w:rsid w:val="00C82240"/>
    <w:rsid w:val="00C8225E"/>
    <w:rsid w:val="00C82B49"/>
    <w:rsid w:val="00C82BD2"/>
    <w:rsid w:val="00C82D8D"/>
    <w:rsid w:val="00C836FC"/>
    <w:rsid w:val="00C8376C"/>
    <w:rsid w:val="00C83948"/>
    <w:rsid w:val="00C83AF5"/>
    <w:rsid w:val="00C83C4A"/>
    <w:rsid w:val="00C83E7A"/>
    <w:rsid w:val="00C83FC0"/>
    <w:rsid w:val="00C84351"/>
    <w:rsid w:val="00C844D7"/>
    <w:rsid w:val="00C848BA"/>
    <w:rsid w:val="00C84F98"/>
    <w:rsid w:val="00C852CD"/>
    <w:rsid w:val="00C856EC"/>
    <w:rsid w:val="00C85810"/>
    <w:rsid w:val="00C85969"/>
    <w:rsid w:val="00C85CA7"/>
    <w:rsid w:val="00C85E14"/>
    <w:rsid w:val="00C8627D"/>
    <w:rsid w:val="00C865E4"/>
    <w:rsid w:val="00C86643"/>
    <w:rsid w:val="00C86A07"/>
    <w:rsid w:val="00C86B6F"/>
    <w:rsid w:val="00C86BB4"/>
    <w:rsid w:val="00C8799A"/>
    <w:rsid w:val="00C900E3"/>
    <w:rsid w:val="00C9029B"/>
    <w:rsid w:val="00C903B9"/>
    <w:rsid w:val="00C909E3"/>
    <w:rsid w:val="00C90CD8"/>
    <w:rsid w:val="00C90DC8"/>
    <w:rsid w:val="00C90DD2"/>
    <w:rsid w:val="00C91C46"/>
    <w:rsid w:val="00C92418"/>
    <w:rsid w:val="00C9269F"/>
    <w:rsid w:val="00C93087"/>
    <w:rsid w:val="00C93512"/>
    <w:rsid w:val="00C935FF"/>
    <w:rsid w:val="00C93944"/>
    <w:rsid w:val="00C93964"/>
    <w:rsid w:val="00C93BBF"/>
    <w:rsid w:val="00C94149"/>
    <w:rsid w:val="00C9424C"/>
    <w:rsid w:val="00C944E6"/>
    <w:rsid w:val="00C945FB"/>
    <w:rsid w:val="00C94660"/>
    <w:rsid w:val="00C94796"/>
    <w:rsid w:val="00C94C8D"/>
    <w:rsid w:val="00C94D1F"/>
    <w:rsid w:val="00C9516A"/>
    <w:rsid w:val="00C9545B"/>
    <w:rsid w:val="00C955D7"/>
    <w:rsid w:val="00C95D0E"/>
    <w:rsid w:val="00C95F4E"/>
    <w:rsid w:val="00C964A6"/>
    <w:rsid w:val="00C96502"/>
    <w:rsid w:val="00C965F0"/>
    <w:rsid w:val="00C9681F"/>
    <w:rsid w:val="00C96C61"/>
    <w:rsid w:val="00C96D5B"/>
    <w:rsid w:val="00C971AB"/>
    <w:rsid w:val="00C9755E"/>
    <w:rsid w:val="00C97617"/>
    <w:rsid w:val="00C97D7C"/>
    <w:rsid w:val="00C97DCE"/>
    <w:rsid w:val="00C97E18"/>
    <w:rsid w:val="00CA00A8"/>
    <w:rsid w:val="00CA0274"/>
    <w:rsid w:val="00CA043B"/>
    <w:rsid w:val="00CA0503"/>
    <w:rsid w:val="00CA062B"/>
    <w:rsid w:val="00CA0CAC"/>
    <w:rsid w:val="00CA0CF1"/>
    <w:rsid w:val="00CA0CFC"/>
    <w:rsid w:val="00CA121B"/>
    <w:rsid w:val="00CA1283"/>
    <w:rsid w:val="00CA1510"/>
    <w:rsid w:val="00CA19A4"/>
    <w:rsid w:val="00CA1ACA"/>
    <w:rsid w:val="00CA1D40"/>
    <w:rsid w:val="00CA1E6F"/>
    <w:rsid w:val="00CA1EDA"/>
    <w:rsid w:val="00CA2076"/>
    <w:rsid w:val="00CA2D72"/>
    <w:rsid w:val="00CA2D77"/>
    <w:rsid w:val="00CA2E6A"/>
    <w:rsid w:val="00CA301A"/>
    <w:rsid w:val="00CA31EF"/>
    <w:rsid w:val="00CA3374"/>
    <w:rsid w:val="00CA3771"/>
    <w:rsid w:val="00CA3981"/>
    <w:rsid w:val="00CA3BE4"/>
    <w:rsid w:val="00CA429C"/>
    <w:rsid w:val="00CA461D"/>
    <w:rsid w:val="00CA46A4"/>
    <w:rsid w:val="00CA487F"/>
    <w:rsid w:val="00CA4B8E"/>
    <w:rsid w:val="00CA4CB1"/>
    <w:rsid w:val="00CA4EB4"/>
    <w:rsid w:val="00CA5644"/>
    <w:rsid w:val="00CA5A78"/>
    <w:rsid w:val="00CA5B84"/>
    <w:rsid w:val="00CA5F9E"/>
    <w:rsid w:val="00CA5FEC"/>
    <w:rsid w:val="00CA62AE"/>
    <w:rsid w:val="00CA6830"/>
    <w:rsid w:val="00CA68B3"/>
    <w:rsid w:val="00CA68D4"/>
    <w:rsid w:val="00CA698A"/>
    <w:rsid w:val="00CA698E"/>
    <w:rsid w:val="00CA7404"/>
    <w:rsid w:val="00CA75EB"/>
    <w:rsid w:val="00CA7645"/>
    <w:rsid w:val="00CA776F"/>
    <w:rsid w:val="00CA7775"/>
    <w:rsid w:val="00CA7CF2"/>
    <w:rsid w:val="00CB0479"/>
    <w:rsid w:val="00CB0A16"/>
    <w:rsid w:val="00CB0A84"/>
    <w:rsid w:val="00CB0F0C"/>
    <w:rsid w:val="00CB10F5"/>
    <w:rsid w:val="00CB1696"/>
    <w:rsid w:val="00CB1C09"/>
    <w:rsid w:val="00CB1DCD"/>
    <w:rsid w:val="00CB1E3C"/>
    <w:rsid w:val="00CB2363"/>
    <w:rsid w:val="00CB2434"/>
    <w:rsid w:val="00CB2469"/>
    <w:rsid w:val="00CB2774"/>
    <w:rsid w:val="00CB2A32"/>
    <w:rsid w:val="00CB2A50"/>
    <w:rsid w:val="00CB2E1D"/>
    <w:rsid w:val="00CB2F05"/>
    <w:rsid w:val="00CB2FC2"/>
    <w:rsid w:val="00CB30CA"/>
    <w:rsid w:val="00CB3118"/>
    <w:rsid w:val="00CB3172"/>
    <w:rsid w:val="00CB4022"/>
    <w:rsid w:val="00CB4562"/>
    <w:rsid w:val="00CB471F"/>
    <w:rsid w:val="00CB47F9"/>
    <w:rsid w:val="00CB4FA0"/>
    <w:rsid w:val="00CB5679"/>
    <w:rsid w:val="00CB5713"/>
    <w:rsid w:val="00CB5AAB"/>
    <w:rsid w:val="00CB6792"/>
    <w:rsid w:val="00CB68A2"/>
    <w:rsid w:val="00CB6E4F"/>
    <w:rsid w:val="00CB7040"/>
    <w:rsid w:val="00CB70E1"/>
    <w:rsid w:val="00CB72B4"/>
    <w:rsid w:val="00CB731B"/>
    <w:rsid w:val="00CB73E5"/>
    <w:rsid w:val="00CB7F3B"/>
    <w:rsid w:val="00CC01EB"/>
    <w:rsid w:val="00CC0A7F"/>
    <w:rsid w:val="00CC0FCF"/>
    <w:rsid w:val="00CC10DE"/>
    <w:rsid w:val="00CC1147"/>
    <w:rsid w:val="00CC150E"/>
    <w:rsid w:val="00CC1768"/>
    <w:rsid w:val="00CC18AD"/>
    <w:rsid w:val="00CC1F89"/>
    <w:rsid w:val="00CC2314"/>
    <w:rsid w:val="00CC23A6"/>
    <w:rsid w:val="00CC2408"/>
    <w:rsid w:val="00CC258C"/>
    <w:rsid w:val="00CC25FD"/>
    <w:rsid w:val="00CC2CA2"/>
    <w:rsid w:val="00CC327F"/>
    <w:rsid w:val="00CC333C"/>
    <w:rsid w:val="00CC34CB"/>
    <w:rsid w:val="00CC385A"/>
    <w:rsid w:val="00CC3A15"/>
    <w:rsid w:val="00CC3EF1"/>
    <w:rsid w:val="00CC474A"/>
    <w:rsid w:val="00CC47D7"/>
    <w:rsid w:val="00CC4905"/>
    <w:rsid w:val="00CC49B9"/>
    <w:rsid w:val="00CC4C03"/>
    <w:rsid w:val="00CC60F5"/>
    <w:rsid w:val="00CC6145"/>
    <w:rsid w:val="00CC61AA"/>
    <w:rsid w:val="00CC6515"/>
    <w:rsid w:val="00CC6C49"/>
    <w:rsid w:val="00CC6E85"/>
    <w:rsid w:val="00CC71A0"/>
    <w:rsid w:val="00CC7238"/>
    <w:rsid w:val="00CC75C2"/>
    <w:rsid w:val="00CC778A"/>
    <w:rsid w:val="00CC7E8F"/>
    <w:rsid w:val="00CC7F04"/>
    <w:rsid w:val="00CC7F41"/>
    <w:rsid w:val="00CD000D"/>
    <w:rsid w:val="00CD016C"/>
    <w:rsid w:val="00CD0246"/>
    <w:rsid w:val="00CD0253"/>
    <w:rsid w:val="00CD0842"/>
    <w:rsid w:val="00CD08DE"/>
    <w:rsid w:val="00CD1074"/>
    <w:rsid w:val="00CD14F0"/>
    <w:rsid w:val="00CD157B"/>
    <w:rsid w:val="00CD173D"/>
    <w:rsid w:val="00CD1A0D"/>
    <w:rsid w:val="00CD23D6"/>
    <w:rsid w:val="00CD2656"/>
    <w:rsid w:val="00CD2E0A"/>
    <w:rsid w:val="00CD3078"/>
    <w:rsid w:val="00CD3318"/>
    <w:rsid w:val="00CD365A"/>
    <w:rsid w:val="00CD3A18"/>
    <w:rsid w:val="00CD3B31"/>
    <w:rsid w:val="00CD3F18"/>
    <w:rsid w:val="00CD3FFB"/>
    <w:rsid w:val="00CD43B1"/>
    <w:rsid w:val="00CD45E3"/>
    <w:rsid w:val="00CD483F"/>
    <w:rsid w:val="00CD48E4"/>
    <w:rsid w:val="00CD49CC"/>
    <w:rsid w:val="00CD4A1D"/>
    <w:rsid w:val="00CD4B8D"/>
    <w:rsid w:val="00CD4FBF"/>
    <w:rsid w:val="00CD55A2"/>
    <w:rsid w:val="00CD55AF"/>
    <w:rsid w:val="00CD5857"/>
    <w:rsid w:val="00CD58E5"/>
    <w:rsid w:val="00CD5B2D"/>
    <w:rsid w:val="00CD5E1F"/>
    <w:rsid w:val="00CD5FFD"/>
    <w:rsid w:val="00CD6874"/>
    <w:rsid w:val="00CD688F"/>
    <w:rsid w:val="00CD6E3B"/>
    <w:rsid w:val="00CD7002"/>
    <w:rsid w:val="00CD7104"/>
    <w:rsid w:val="00CD72EA"/>
    <w:rsid w:val="00CD73A3"/>
    <w:rsid w:val="00CD73BC"/>
    <w:rsid w:val="00CD7FB3"/>
    <w:rsid w:val="00CE0055"/>
    <w:rsid w:val="00CE00EB"/>
    <w:rsid w:val="00CE02A8"/>
    <w:rsid w:val="00CE02E6"/>
    <w:rsid w:val="00CE088E"/>
    <w:rsid w:val="00CE0912"/>
    <w:rsid w:val="00CE0B32"/>
    <w:rsid w:val="00CE0C8D"/>
    <w:rsid w:val="00CE1043"/>
    <w:rsid w:val="00CE14DF"/>
    <w:rsid w:val="00CE1570"/>
    <w:rsid w:val="00CE1B40"/>
    <w:rsid w:val="00CE1CE6"/>
    <w:rsid w:val="00CE1DEC"/>
    <w:rsid w:val="00CE1F54"/>
    <w:rsid w:val="00CE22BC"/>
    <w:rsid w:val="00CE25E7"/>
    <w:rsid w:val="00CE270A"/>
    <w:rsid w:val="00CE29BD"/>
    <w:rsid w:val="00CE2B49"/>
    <w:rsid w:val="00CE2BED"/>
    <w:rsid w:val="00CE2E1B"/>
    <w:rsid w:val="00CE301A"/>
    <w:rsid w:val="00CE31E5"/>
    <w:rsid w:val="00CE3234"/>
    <w:rsid w:val="00CE3428"/>
    <w:rsid w:val="00CE3564"/>
    <w:rsid w:val="00CE37F8"/>
    <w:rsid w:val="00CE39A7"/>
    <w:rsid w:val="00CE4204"/>
    <w:rsid w:val="00CE42F6"/>
    <w:rsid w:val="00CE48FB"/>
    <w:rsid w:val="00CE4E97"/>
    <w:rsid w:val="00CE5085"/>
    <w:rsid w:val="00CE5186"/>
    <w:rsid w:val="00CE53AD"/>
    <w:rsid w:val="00CE5760"/>
    <w:rsid w:val="00CE5A59"/>
    <w:rsid w:val="00CE60F0"/>
    <w:rsid w:val="00CE616B"/>
    <w:rsid w:val="00CE629E"/>
    <w:rsid w:val="00CE62B8"/>
    <w:rsid w:val="00CE63A8"/>
    <w:rsid w:val="00CE6528"/>
    <w:rsid w:val="00CE6B16"/>
    <w:rsid w:val="00CE6BB0"/>
    <w:rsid w:val="00CE6F27"/>
    <w:rsid w:val="00CE6F96"/>
    <w:rsid w:val="00CE7672"/>
    <w:rsid w:val="00CE7687"/>
    <w:rsid w:val="00CE76B5"/>
    <w:rsid w:val="00CE79FE"/>
    <w:rsid w:val="00CE7A31"/>
    <w:rsid w:val="00CE7DD6"/>
    <w:rsid w:val="00CE7E16"/>
    <w:rsid w:val="00CF010F"/>
    <w:rsid w:val="00CF0423"/>
    <w:rsid w:val="00CF072B"/>
    <w:rsid w:val="00CF08F6"/>
    <w:rsid w:val="00CF0ADD"/>
    <w:rsid w:val="00CF0AFE"/>
    <w:rsid w:val="00CF0D20"/>
    <w:rsid w:val="00CF19EB"/>
    <w:rsid w:val="00CF19EE"/>
    <w:rsid w:val="00CF2753"/>
    <w:rsid w:val="00CF28EE"/>
    <w:rsid w:val="00CF2CAC"/>
    <w:rsid w:val="00CF2FA8"/>
    <w:rsid w:val="00CF3159"/>
    <w:rsid w:val="00CF3885"/>
    <w:rsid w:val="00CF3B92"/>
    <w:rsid w:val="00CF402D"/>
    <w:rsid w:val="00CF431B"/>
    <w:rsid w:val="00CF4333"/>
    <w:rsid w:val="00CF5577"/>
    <w:rsid w:val="00CF5BE3"/>
    <w:rsid w:val="00CF6150"/>
    <w:rsid w:val="00CF620E"/>
    <w:rsid w:val="00CF62A8"/>
    <w:rsid w:val="00CF6CD1"/>
    <w:rsid w:val="00CF6DDA"/>
    <w:rsid w:val="00CF6DF4"/>
    <w:rsid w:val="00CF6EA7"/>
    <w:rsid w:val="00CF706A"/>
    <w:rsid w:val="00CF7684"/>
    <w:rsid w:val="00CF7A07"/>
    <w:rsid w:val="00CF7AF7"/>
    <w:rsid w:val="00D00171"/>
    <w:rsid w:val="00D0063E"/>
    <w:rsid w:val="00D00680"/>
    <w:rsid w:val="00D00A23"/>
    <w:rsid w:val="00D00AB2"/>
    <w:rsid w:val="00D011FE"/>
    <w:rsid w:val="00D016AB"/>
    <w:rsid w:val="00D019FA"/>
    <w:rsid w:val="00D01CCF"/>
    <w:rsid w:val="00D0212E"/>
    <w:rsid w:val="00D0214A"/>
    <w:rsid w:val="00D026CD"/>
    <w:rsid w:val="00D029FE"/>
    <w:rsid w:val="00D02A25"/>
    <w:rsid w:val="00D03363"/>
    <w:rsid w:val="00D041D8"/>
    <w:rsid w:val="00D0442E"/>
    <w:rsid w:val="00D0455A"/>
    <w:rsid w:val="00D04C15"/>
    <w:rsid w:val="00D04F7B"/>
    <w:rsid w:val="00D0512C"/>
    <w:rsid w:val="00D053C2"/>
    <w:rsid w:val="00D05FA5"/>
    <w:rsid w:val="00D06211"/>
    <w:rsid w:val="00D0690A"/>
    <w:rsid w:val="00D069A9"/>
    <w:rsid w:val="00D06E9F"/>
    <w:rsid w:val="00D06FFF"/>
    <w:rsid w:val="00D07871"/>
    <w:rsid w:val="00D07B7D"/>
    <w:rsid w:val="00D07D7B"/>
    <w:rsid w:val="00D07F74"/>
    <w:rsid w:val="00D105FD"/>
    <w:rsid w:val="00D10C29"/>
    <w:rsid w:val="00D10DD2"/>
    <w:rsid w:val="00D113E7"/>
    <w:rsid w:val="00D116BB"/>
    <w:rsid w:val="00D116F0"/>
    <w:rsid w:val="00D11724"/>
    <w:rsid w:val="00D119B8"/>
    <w:rsid w:val="00D11A72"/>
    <w:rsid w:val="00D11B26"/>
    <w:rsid w:val="00D11B66"/>
    <w:rsid w:val="00D122BD"/>
    <w:rsid w:val="00D123EA"/>
    <w:rsid w:val="00D124C5"/>
    <w:rsid w:val="00D126F2"/>
    <w:rsid w:val="00D12A77"/>
    <w:rsid w:val="00D12C8C"/>
    <w:rsid w:val="00D12E24"/>
    <w:rsid w:val="00D134C5"/>
    <w:rsid w:val="00D135C9"/>
    <w:rsid w:val="00D13CD4"/>
    <w:rsid w:val="00D14332"/>
    <w:rsid w:val="00D144C6"/>
    <w:rsid w:val="00D1455C"/>
    <w:rsid w:val="00D14C3A"/>
    <w:rsid w:val="00D14D0D"/>
    <w:rsid w:val="00D15178"/>
    <w:rsid w:val="00D151AE"/>
    <w:rsid w:val="00D15979"/>
    <w:rsid w:val="00D159A3"/>
    <w:rsid w:val="00D15B0C"/>
    <w:rsid w:val="00D15F88"/>
    <w:rsid w:val="00D167E6"/>
    <w:rsid w:val="00D16C97"/>
    <w:rsid w:val="00D16F9B"/>
    <w:rsid w:val="00D174D0"/>
    <w:rsid w:val="00D17611"/>
    <w:rsid w:val="00D17A0C"/>
    <w:rsid w:val="00D17E0F"/>
    <w:rsid w:val="00D17E1D"/>
    <w:rsid w:val="00D17E36"/>
    <w:rsid w:val="00D203EE"/>
    <w:rsid w:val="00D20AA8"/>
    <w:rsid w:val="00D211A0"/>
    <w:rsid w:val="00D21366"/>
    <w:rsid w:val="00D21A5A"/>
    <w:rsid w:val="00D21ADF"/>
    <w:rsid w:val="00D21E2C"/>
    <w:rsid w:val="00D21F33"/>
    <w:rsid w:val="00D22039"/>
    <w:rsid w:val="00D22381"/>
    <w:rsid w:val="00D22762"/>
    <w:rsid w:val="00D22863"/>
    <w:rsid w:val="00D22A36"/>
    <w:rsid w:val="00D22D74"/>
    <w:rsid w:val="00D231EA"/>
    <w:rsid w:val="00D23502"/>
    <w:rsid w:val="00D23769"/>
    <w:rsid w:val="00D239B8"/>
    <w:rsid w:val="00D23D32"/>
    <w:rsid w:val="00D23D51"/>
    <w:rsid w:val="00D23FA1"/>
    <w:rsid w:val="00D24778"/>
    <w:rsid w:val="00D25409"/>
    <w:rsid w:val="00D259F3"/>
    <w:rsid w:val="00D25ADF"/>
    <w:rsid w:val="00D25BE6"/>
    <w:rsid w:val="00D25C2E"/>
    <w:rsid w:val="00D25FFA"/>
    <w:rsid w:val="00D264A4"/>
    <w:rsid w:val="00D268E0"/>
    <w:rsid w:val="00D26CEC"/>
    <w:rsid w:val="00D26E87"/>
    <w:rsid w:val="00D27086"/>
    <w:rsid w:val="00D274D5"/>
    <w:rsid w:val="00D274E2"/>
    <w:rsid w:val="00D27609"/>
    <w:rsid w:val="00D279F9"/>
    <w:rsid w:val="00D27BB8"/>
    <w:rsid w:val="00D27CDB"/>
    <w:rsid w:val="00D27D1C"/>
    <w:rsid w:val="00D27E92"/>
    <w:rsid w:val="00D30112"/>
    <w:rsid w:val="00D3018C"/>
    <w:rsid w:val="00D30458"/>
    <w:rsid w:val="00D30B67"/>
    <w:rsid w:val="00D30D2F"/>
    <w:rsid w:val="00D30E04"/>
    <w:rsid w:val="00D31138"/>
    <w:rsid w:val="00D31529"/>
    <w:rsid w:val="00D3190D"/>
    <w:rsid w:val="00D31C33"/>
    <w:rsid w:val="00D32416"/>
    <w:rsid w:val="00D326A2"/>
    <w:rsid w:val="00D32B9F"/>
    <w:rsid w:val="00D3345B"/>
    <w:rsid w:val="00D33974"/>
    <w:rsid w:val="00D33BA6"/>
    <w:rsid w:val="00D34629"/>
    <w:rsid w:val="00D346EB"/>
    <w:rsid w:val="00D34B45"/>
    <w:rsid w:val="00D35190"/>
    <w:rsid w:val="00D35A16"/>
    <w:rsid w:val="00D35DEF"/>
    <w:rsid w:val="00D36000"/>
    <w:rsid w:val="00D362D1"/>
    <w:rsid w:val="00D3648B"/>
    <w:rsid w:val="00D36D7D"/>
    <w:rsid w:val="00D36FEC"/>
    <w:rsid w:val="00D3723B"/>
    <w:rsid w:val="00D377B1"/>
    <w:rsid w:val="00D37996"/>
    <w:rsid w:val="00D37C81"/>
    <w:rsid w:val="00D37DF7"/>
    <w:rsid w:val="00D405B2"/>
    <w:rsid w:val="00D40BBB"/>
    <w:rsid w:val="00D4101C"/>
    <w:rsid w:val="00D411AB"/>
    <w:rsid w:val="00D41778"/>
    <w:rsid w:val="00D41B32"/>
    <w:rsid w:val="00D41BD7"/>
    <w:rsid w:val="00D41E32"/>
    <w:rsid w:val="00D42078"/>
    <w:rsid w:val="00D42CC1"/>
    <w:rsid w:val="00D42D59"/>
    <w:rsid w:val="00D42F6C"/>
    <w:rsid w:val="00D43663"/>
    <w:rsid w:val="00D43A1F"/>
    <w:rsid w:val="00D44755"/>
    <w:rsid w:val="00D4477C"/>
    <w:rsid w:val="00D44AA2"/>
    <w:rsid w:val="00D45524"/>
    <w:rsid w:val="00D45EDA"/>
    <w:rsid w:val="00D46126"/>
    <w:rsid w:val="00D461B7"/>
    <w:rsid w:val="00D46750"/>
    <w:rsid w:val="00D4788B"/>
    <w:rsid w:val="00D47CB3"/>
    <w:rsid w:val="00D47F43"/>
    <w:rsid w:val="00D47FC6"/>
    <w:rsid w:val="00D5004E"/>
    <w:rsid w:val="00D506A4"/>
    <w:rsid w:val="00D50D8F"/>
    <w:rsid w:val="00D50DFF"/>
    <w:rsid w:val="00D50F88"/>
    <w:rsid w:val="00D512A4"/>
    <w:rsid w:val="00D5135C"/>
    <w:rsid w:val="00D5138A"/>
    <w:rsid w:val="00D517A9"/>
    <w:rsid w:val="00D5195A"/>
    <w:rsid w:val="00D51A5D"/>
    <w:rsid w:val="00D51A7A"/>
    <w:rsid w:val="00D51B6D"/>
    <w:rsid w:val="00D51C63"/>
    <w:rsid w:val="00D521C2"/>
    <w:rsid w:val="00D52785"/>
    <w:rsid w:val="00D52B04"/>
    <w:rsid w:val="00D53401"/>
    <w:rsid w:val="00D5370C"/>
    <w:rsid w:val="00D537D1"/>
    <w:rsid w:val="00D539EF"/>
    <w:rsid w:val="00D53A72"/>
    <w:rsid w:val="00D54038"/>
    <w:rsid w:val="00D54213"/>
    <w:rsid w:val="00D542E7"/>
    <w:rsid w:val="00D544E4"/>
    <w:rsid w:val="00D5490B"/>
    <w:rsid w:val="00D54F96"/>
    <w:rsid w:val="00D54FF3"/>
    <w:rsid w:val="00D5509A"/>
    <w:rsid w:val="00D550A4"/>
    <w:rsid w:val="00D5556F"/>
    <w:rsid w:val="00D55656"/>
    <w:rsid w:val="00D55A61"/>
    <w:rsid w:val="00D55E63"/>
    <w:rsid w:val="00D5610F"/>
    <w:rsid w:val="00D5676F"/>
    <w:rsid w:val="00D567D7"/>
    <w:rsid w:val="00D569BD"/>
    <w:rsid w:val="00D56AE7"/>
    <w:rsid w:val="00D57027"/>
    <w:rsid w:val="00D573B0"/>
    <w:rsid w:val="00D57521"/>
    <w:rsid w:val="00D576B6"/>
    <w:rsid w:val="00D578DF"/>
    <w:rsid w:val="00D5792F"/>
    <w:rsid w:val="00D57967"/>
    <w:rsid w:val="00D579E1"/>
    <w:rsid w:val="00D600EC"/>
    <w:rsid w:val="00D60147"/>
    <w:rsid w:val="00D6036C"/>
    <w:rsid w:val="00D60747"/>
    <w:rsid w:val="00D60CB8"/>
    <w:rsid w:val="00D60DEF"/>
    <w:rsid w:val="00D6110E"/>
    <w:rsid w:val="00D61D9D"/>
    <w:rsid w:val="00D61E8B"/>
    <w:rsid w:val="00D6217D"/>
    <w:rsid w:val="00D6231B"/>
    <w:rsid w:val="00D62439"/>
    <w:rsid w:val="00D62C17"/>
    <w:rsid w:val="00D62DFA"/>
    <w:rsid w:val="00D62FE3"/>
    <w:rsid w:val="00D63ACC"/>
    <w:rsid w:val="00D63D29"/>
    <w:rsid w:val="00D63EDB"/>
    <w:rsid w:val="00D6519E"/>
    <w:rsid w:val="00D65C79"/>
    <w:rsid w:val="00D6601C"/>
    <w:rsid w:val="00D66421"/>
    <w:rsid w:val="00D66949"/>
    <w:rsid w:val="00D674AD"/>
    <w:rsid w:val="00D67A38"/>
    <w:rsid w:val="00D67A60"/>
    <w:rsid w:val="00D67A77"/>
    <w:rsid w:val="00D67E77"/>
    <w:rsid w:val="00D70016"/>
    <w:rsid w:val="00D70178"/>
    <w:rsid w:val="00D70194"/>
    <w:rsid w:val="00D701CE"/>
    <w:rsid w:val="00D701D4"/>
    <w:rsid w:val="00D701D7"/>
    <w:rsid w:val="00D704D7"/>
    <w:rsid w:val="00D7069F"/>
    <w:rsid w:val="00D7083D"/>
    <w:rsid w:val="00D708A9"/>
    <w:rsid w:val="00D7100B"/>
    <w:rsid w:val="00D71188"/>
    <w:rsid w:val="00D7121B"/>
    <w:rsid w:val="00D71336"/>
    <w:rsid w:val="00D713A4"/>
    <w:rsid w:val="00D71461"/>
    <w:rsid w:val="00D71471"/>
    <w:rsid w:val="00D71B67"/>
    <w:rsid w:val="00D71BF6"/>
    <w:rsid w:val="00D71C56"/>
    <w:rsid w:val="00D71F09"/>
    <w:rsid w:val="00D72368"/>
    <w:rsid w:val="00D72BE6"/>
    <w:rsid w:val="00D72F25"/>
    <w:rsid w:val="00D73B2C"/>
    <w:rsid w:val="00D73C72"/>
    <w:rsid w:val="00D73DDB"/>
    <w:rsid w:val="00D7429D"/>
    <w:rsid w:val="00D745D7"/>
    <w:rsid w:val="00D75080"/>
    <w:rsid w:val="00D7519D"/>
    <w:rsid w:val="00D75281"/>
    <w:rsid w:val="00D75378"/>
    <w:rsid w:val="00D75A53"/>
    <w:rsid w:val="00D75B25"/>
    <w:rsid w:val="00D75DC9"/>
    <w:rsid w:val="00D76004"/>
    <w:rsid w:val="00D760B7"/>
    <w:rsid w:val="00D763AA"/>
    <w:rsid w:val="00D7657C"/>
    <w:rsid w:val="00D765FD"/>
    <w:rsid w:val="00D76616"/>
    <w:rsid w:val="00D76BAD"/>
    <w:rsid w:val="00D76C97"/>
    <w:rsid w:val="00D76D95"/>
    <w:rsid w:val="00D76E8B"/>
    <w:rsid w:val="00D7706C"/>
    <w:rsid w:val="00D77433"/>
    <w:rsid w:val="00D779A5"/>
    <w:rsid w:val="00D77DAD"/>
    <w:rsid w:val="00D77F24"/>
    <w:rsid w:val="00D80C6B"/>
    <w:rsid w:val="00D80CCC"/>
    <w:rsid w:val="00D80F0E"/>
    <w:rsid w:val="00D810BB"/>
    <w:rsid w:val="00D812DC"/>
    <w:rsid w:val="00D81524"/>
    <w:rsid w:val="00D81801"/>
    <w:rsid w:val="00D81807"/>
    <w:rsid w:val="00D81ADA"/>
    <w:rsid w:val="00D81FBB"/>
    <w:rsid w:val="00D8205D"/>
    <w:rsid w:val="00D8222E"/>
    <w:rsid w:val="00D82A69"/>
    <w:rsid w:val="00D8352F"/>
    <w:rsid w:val="00D836E9"/>
    <w:rsid w:val="00D83760"/>
    <w:rsid w:val="00D8395B"/>
    <w:rsid w:val="00D83D93"/>
    <w:rsid w:val="00D83FBF"/>
    <w:rsid w:val="00D844C1"/>
    <w:rsid w:val="00D8456E"/>
    <w:rsid w:val="00D8462F"/>
    <w:rsid w:val="00D846FB"/>
    <w:rsid w:val="00D849D6"/>
    <w:rsid w:val="00D84E58"/>
    <w:rsid w:val="00D85504"/>
    <w:rsid w:val="00D8567A"/>
    <w:rsid w:val="00D86512"/>
    <w:rsid w:val="00D86695"/>
    <w:rsid w:val="00D867A8"/>
    <w:rsid w:val="00D86A06"/>
    <w:rsid w:val="00D86ABB"/>
    <w:rsid w:val="00D86AD8"/>
    <w:rsid w:val="00D87080"/>
    <w:rsid w:val="00D87115"/>
    <w:rsid w:val="00D8714F"/>
    <w:rsid w:val="00D8715C"/>
    <w:rsid w:val="00D8744F"/>
    <w:rsid w:val="00D879C1"/>
    <w:rsid w:val="00D87B29"/>
    <w:rsid w:val="00D87D0E"/>
    <w:rsid w:val="00D87D72"/>
    <w:rsid w:val="00D9035B"/>
    <w:rsid w:val="00D90444"/>
    <w:rsid w:val="00D90A77"/>
    <w:rsid w:val="00D90BA1"/>
    <w:rsid w:val="00D91492"/>
    <w:rsid w:val="00D9177C"/>
    <w:rsid w:val="00D917C8"/>
    <w:rsid w:val="00D91911"/>
    <w:rsid w:val="00D91A0A"/>
    <w:rsid w:val="00D91A82"/>
    <w:rsid w:val="00D91B5D"/>
    <w:rsid w:val="00D91B8A"/>
    <w:rsid w:val="00D91CB8"/>
    <w:rsid w:val="00D92EED"/>
    <w:rsid w:val="00D92F25"/>
    <w:rsid w:val="00D932E6"/>
    <w:rsid w:val="00D9376B"/>
    <w:rsid w:val="00D93878"/>
    <w:rsid w:val="00D93E53"/>
    <w:rsid w:val="00D9449B"/>
    <w:rsid w:val="00D94A33"/>
    <w:rsid w:val="00D94AD1"/>
    <w:rsid w:val="00D94B35"/>
    <w:rsid w:val="00D95A14"/>
    <w:rsid w:val="00D95E5C"/>
    <w:rsid w:val="00D96232"/>
    <w:rsid w:val="00D96787"/>
    <w:rsid w:val="00D967A5"/>
    <w:rsid w:val="00D96B99"/>
    <w:rsid w:val="00D96D89"/>
    <w:rsid w:val="00D9732F"/>
    <w:rsid w:val="00D97CB3"/>
    <w:rsid w:val="00D97F7F"/>
    <w:rsid w:val="00DA00C4"/>
    <w:rsid w:val="00DA00E5"/>
    <w:rsid w:val="00DA032B"/>
    <w:rsid w:val="00DA037D"/>
    <w:rsid w:val="00DA0430"/>
    <w:rsid w:val="00DA0735"/>
    <w:rsid w:val="00DA114E"/>
    <w:rsid w:val="00DA1306"/>
    <w:rsid w:val="00DA1461"/>
    <w:rsid w:val="00DA182E"/>
    <w:rsid w:val="00DA1E23"/>
    <w:rsid w:val="00DA31BB"/>
    <w:rsid w:val="00DA32AF"/>
    <w:rsid w:val="00DA33EF"/>
    <w:rsid w:val="00DA35AD"/>
    <w:rsid w:val="00DA374B"/>
    <w:rsid w:val="00DA3A26"/>
    <w:rsid w:val="00DA3EAD"/>
    <w:rsid w:val="00DA3EC2"/>
    <w:rsid w:val="00DA4370"/>
    <w:rsid w:val="00DA4479"/>
    <w:rsid w:val="00DA4694"/>
    <w:rsid w:val="00DA477A"/>
    <w:rsid w:val="00DA4820"/>
    <w:rsid w:val="00DA4973"/>
    <w:rsid w:val="00DA4F32"/>
    <w:rsid w:val="00DA5172"/>
    <w:rsid w:val="00DA5259"/>
    <w:rsid w:val="00DA545B"/>
    <w:rsid w:val="00DA585B"/>
    <w:rsid w:val="00DA5A3E"/>
    <w:rsid w:val="00DA5E69"/>
    <w:rsid w:val="00DA67B4"/>
    <w:rsid w:val="00DA68A5"/>
    <w:rsid w:val="00DA6B61"/>
    <w:rsid w:val="00DA6CF4"/>
    <w:rsid w:val="00DA70E8"/>
    <w:rsid w:val="00DA73AF"/>
    <w:rsid w:val="00DA7CFE"/>
    <w:rsid w:val="00DA7EE5"/>
    <w:rsid w:val="00DB0056"/>
    <w:rsid w:val="00DB016D"/>
    <w:rsid w:val="00DB0236"/>
    <w:rsid w:val="00DB09C0"/>
    <w:rsid w:val="00DB0DD9"/>
    <w:rsid w:val="00DB10A8"/>
    <w:rsid w:val="00DB111B"/>
    <w:rsid w:val="00DB11DF"/>
    <w:rsid w:val="00DB1431"/>
    <w:rsid w:val="00DB19CC"/>
    <w:rsid w:val="00DB1E5D"/>
    <w:rsid w:val="00DB25E3"/>
    <w:rsid w:val="00DB2C19"/>
    <w:rsid w:val="00DB30F4"/>
    <w:rsid w:val="00DB31E4"/>
    <w:rsid w:val="00DB37A3"/>
    <w:rsid w:val="00DB3A12"/>
    <w:rsid w:val="00DB3C55"/>
    <w:rsid w:val="00DB3D95"/>
    <w:rsid w:val="00DB3D9F"/>
    <w:rsid w:val="00DB436C"/>
    <w:rsid w:val="00DB4863"/>
    <w:rsid w:val="00DB49CD"/>
    <w:rsid w:val="00DB4EF9"/>
    <w:rsid w:val="00DB5435"/>
    <w:rsid w:val="00DB5698"/>
    <w:rsid w:val="00DB575F"/>
    <w:rsid w:val="00DB59FC"/>
    <w:rsid w:val="00DB5F7B"/>
    <w:rsid w:val="00DB63F0"/>
    <w:rsid w:val="00DB66AC"/>
    <w:rsid w:val="00DB6947"/>
    <w:rsid w:val="00DB6B48"/>
    <w:rsid w:val="00DB6D8A"/>
    <w:rsid w:val="00DB6E07"/>
    <w:rsid w:val="00DB7131"/>
    <w:rsid w:val="00DB7344"/>
    <w:rsid w:val="00DB73D7"/>
    <w:rsid w:val="00DB761A"/>
    <w:rsid w:val="00DB768C"/>
    <w:rsid w:val="00DB7748"/>
    <w:rsid w:val="00DB77CD"/>
    <w:rsid w:val="00DB7916"/>
    <w:rsid w:val="00DB7E20"/>
    <w:rsid w:val="00DB7E8D"/>
    <w:rsid w:val="00DB7ED2"/>
    <w:rsid w:val="00DB7FA2"/>
    <w:rsid w:val="00DC0050"/>
    <w:rsid w:val="00DC04B5"/>
    <w:rsid w:val="00DC08BF"/>
    <w:rsid w:val="00DC08D5"/>
    <w:rsid w:val="00DC0D2B"/>
    <w:rsid w:val="00DC0EA9"/>
    <w:rsid w:val="00DC1061"/>
    <w:rsid w:val="00DC10C3"/>
    <w:rsid w:val="00DC10F2"/>
    <w:rsid w:val="00DC1326"/>
    <w:rsid w:val="00DC143B"/>
    <w:rsid w:val="00DC1926"/>
    <w:rsid w:val="00DC1C01"/>
    <w:rsid w:val="00DC1E36"/>
    <w:rsid w:val="00DC2244"/>
    <w:rsid w:val="00DC22A2"/>
    <w:rsid w:val="00DC2860"/>
    <w:rsid w:val="00DC2886"/>
    <w:rsid w:val="00DC28B0"/>
    <w:rsid w:val="00DC2B13"/>
    <w:rsid w:val="00DC2C91"/>
    <w:rsid w:val="00DC390F"/>
    <w:rsid w:val="00DC3A85"/>
    <w:rsid w:val="00DC3C5E"/>
    <w:rsid w:val="00DC3E4A"/>
    <w:rsid w:val="00DC4CD9"/>
    <w:rsid w:val="00DC56E3"/>
    <w:rsid w:val="00DC5DB6"/>
    <w:rsid w:val="00DC5EC0"/>
    <w:rsid w:val="00DC6192"/>
    <w:rsid w:val="00DC6EC3"/>
    <w:rsid w:val="00DC737F"/>
    <w:rsid w:val="00DC77BD"/>
    <w:rsid w:val="00DC7ADB"/>
    <w:rsid w:val="00DC7B45"/>
    <w:rsid w:val="00DC7B88"/>
    <w:rsid w:val="00DC7C54"/>
    <w:rsid w:val="00DC7F49"/>
    <w:rsid w:val="00DD0179"/>
    <w:rsid w:val="00DD05D4"/>
    <w:rsid w:val="00DD09EB"/>
    <w:rsid w:val="00DD0BEA"/>
    <w:rsid w:val="00DD0C04"/>
    <w:rsid w:val="00DD0CED"/>
    <w:rsid w:val="00DD15F1"/>
    <w:rsid w:val="00DD1A9E"/>
    <w:rsid w:val="00DD2301"/>
    <w:rsid w:val="00DD2520"/>
    <w:rsid w:val="00DD28FB"/>
    <w:rsid w:val="00DD30CB"/>
    <w:rsid w:val="00DD323E"/>
    <w:rsid w:val="00DD32CC"/>
    <w:rsid w:val="00DD357B"/>
    <w:rsid w:val="00DD3791"/>
    <w:rsid w:val="00DD3A1E"/>
    <w:rsid w:val="00DD3AFE"/>
    <w:rsid w:val="00DD3D22"/>
    <w:rsid w:val="00DD3E41"/>
    <w:rsid w:val="00DD417C"/>
    <w:rsid w:val="00DD426D"/>
    <w:rsid w:val="00DD436B"/>
    <w:rsid w:val="00DD4752"/>
    <w:rsid w:val="00DD47E4"/>
    <w:rsid w:val="00DD488F"/>
    <w:rsid w:val="00DD4AFB"/>
    <w:rsid w:val="00DD4D46"/>
    <w:rsid w:val="00DD4DAF"/>
    <w:rsid w:val="00DD50A3"/>
    <w:rsid w:val="00DD5130"/>
    <w:rsid w:val="00DD5349"/>
    <w:rsid w:val="00DD5420"/>
    <w:rsid w:val="00DD5595"/>
    <w:rsid w:val="00DD56DD"/>
    <w:rsid w:val="00DD584B"/>
    <w:rsid w:val="00DD5928"/>
    <w:rsid w:val="00DD5948"/>
    <w:rsid w:val="00DD6030"/>
    <w:rsid w:val="00DD616C"/>
    <w:rsid w:val="00DD6294"/>
    <w:rsid w:val="00DD67E5"/>
    <w:rsid w:val="00DD6A57"/>
    <w:rsid w:val="00DD6DAA"/>
    <w:rsid w:val="00DD6DE4"/>
    <w:rsid w:val="00DD7848"/>
    <w:rsid w:val="00DD7EAF"/>
    <w:rsid w:val="00DE01F6"/>
    <w:rsid w:val="00DE0520"/>
    <w:rsid w:val="00DE0857"/>
    <w:rsid w:val="00DE0CD5"/>
    <w:rsid w:val="00DE0FBE"/>
    <w:rsid w:val="00DE1031"/>
    <w:rsid w:val="00DE13A3"/>
    <w:rsid w:val="00DE1B18"/>
    <w:rsid w:val="00DE1BF6"/>
    <w:rsid w:val="00DE1D5F"/>
    <w:rsid w:val="00DE1E8F"/>
    <w:rsid w:val="00DE1FD6"/>
    <w:rsid w:val="00DE1FDE"/>
    <w:rsid w:val="00DE20F1"/>
    <w:rsid w:val="00DE21F5"/>
    <w:rsid w:val="00DE2411"/>
    <w:rsid w:val="00DE2445"/>
    <w:rsid w:val="00DE2792"/>
    <w:rsid w:val="00DE2C16"/>
    <w:rsid w:val="00DE2EB4"/>
    <w:rsid w:val="00DE34E7"/>
    <w:rsid w:val="00DE357C"/>
    <w:rsid w:val="00DE375E"/>
    <w:rsid w:val="00DE38E9"/>
    <w:rsid w:val="00DE390B"/>
    <w:rsid w:val="00DE3A21"/>
    <w:rsid w:val="00DE3A6C"/>
    <w:rsid w:val="00DE3CE5"/>
    <w:rsid w:val="00DE3DDD"/>
    <w:rsid w:val="00DE4063"/>
    <w:rsid w:val="00DE4144"/>
    <w:rsid w:val="00DE42F3"/>
    <w:rsid w:val="00DE472C"/>
    <w:rsid w:val="00DE4778"/>
    <w:rsid w:val="00DE4B1A"/>
    <w:rsid w:val="00DE56AD"/>
    <w:rsid w:val="00DE56E8"/>
    <w:rsid w:val="00DE5851"/>
    <w:rsid w:val="00DE5853"/>
    <w:rsid w:val="00DE5A62"/>
    <w:rsid w:val="00DE6788"/>
    <w:rsid w:val="00DE686E"/>
    <w:rsid w:val="00DE6EB9"/>
    <w:rsid w:val="00DE722E"/>
    <w:rsid w:val="00DE76A7"/>
    <w:rsid w:val="00DE78CE"/>
    <w:rsid w:val="00DE7B6E"/>
    <w:rsid w:val="00DE7CCD"/>
    <w:rsid w:val="00DF021A"/>
    <w:rsid w:val="00DF027A"/>
    <w:rsid w:val="00DF02D6"/>
    <w:rsid w:val="00DF074F"/>
    <w:rsid w:val="00DF0B23"/>
    <w:rsid w:val="00DF0BD6"/>
    <w:rsid w:val="00DF0D67"/>
    <w:rsid w:val="00DF0EA2"/>
    <w:rsid w:val="00DF0ED5"/>
    <w:rsid w:val="00DF0ED7"/>
    <w:rsid w:val="00DF123F"/>
    <w:rsid w:val="00DF12B3"/>
    <w:rsid w:val="00DF17D8"/>
    <w:rsid w:val="00DF1A16"/>
    <w:rsid w:val="00DF1C08"/>
    <w:rsid w:val="00DF1CF9"/>
    <w:rsid w:val="00DF201F"/>
    <w:rsid w:val="00DF21F4"/>
    <w:rsid w:val="00DF2409"/>
    <w:rsid w:val="00DF2583"/>
    <w:rsid w:val="00DF26B1"/>
    <w:rsid w:val="00DF2865"/>
    <w:rsid w:val="00DF2CE5"/>
    <w:rsid w:val="00DF2E7F"/>
    <w:rsid w:val="00DF3158"/>
    <w:rsid w:val="00DF3219"/>
    <w:rsid w:val="00DF3814"/>
    <w:rsid w:val="00DF3BF6"/>
    <w:rsid w:val="00DF3DA5"/>
    <w:rsid w:val="00DF43D4"/>
    <w:rsid w:val="00DF4400"/>
    <w:rsid w:val="00DF480A"/>
    <w:rsid w:val="00DF4AC4"/>
    <w:rsid w:val="00DF4CAF"/>
    <w:rsid w:val="00DF4FB9"/>
    <w:rsid w:val="00DF52AB"/>
    <w:rsid w:val="00DF52D1"/>
    <w:rsid w:val="00DF56A1"/>
    <w:rsid w:val="00DF5789"/>
    <w:rsid w:val="00DF5984"/>
    <w:rsid w:val="00DF5A45"/>
    <w:rsid w:val="00DF6037"/>
    <w:rsid w:val="00DF630F"/>
    <w:rsid w:val="00DF663B"/>
    <w:rsid w:val="00DF6AC9"/>
    <w:rsid w:val="00DF6BBE"/>
    <w:rsid w:val="00DF6E21"/>
    <w:rsid w:val="00DF70FF"/>
    <w:rsid w:val="00DF71D8"/>
    <w:rsid w:val="00DF7366"/>
    <w:rsid w:val="00E006FB"/>
    <w:rsid w:val="00E00719"/>
    <w:rsid w:val="00E0085F"/>
    <w:rsid w:val="00E00B43"/>
    <w:rsid w:val="00E0109D"/>
    <w:rsid w:val="00E0188B"/>
    <w:rsid w:val="00E0196D"/>
    <w:rsid w:val="00E01CA7"/>
    <w:rsid w:val="00E01D99"/>
    <w:rsid w:val="00E01DFE"/>
    <w:rsid w:val="00E020CB"/>
    <w:rsid w:val="00E02CDD"/>
    <w:rsid w:val="00E02D07"/>
    <w:rsid w:val="00E02E95"/>
    <w:rsid w:val="00E02F1B"/>
    <w:rsid w:val="00E03326"/>
    <w:rsid w:val="00E033BA"/>
    <w:rsid w:val="00E03504"/>
    <w:rsid w:val="00E03692"/>
    <w:rsid w:val="00E037B3"/>
    <w:rsid w:val="00E037C1"/>
    <w:rsid w:val="00E0382F"/>
    <w:rsid w:val="00E03846"/>
    <w:rsid w:val="00E03980"/>
    <w:rsid w:val="00E03DA9"/>
    <w:rsid w:val="00E041EC"/>
    <w:rsid w:val="00E047AD"/>
    <w:rsid w:val="00E0489F"/>
    <w:rsid w:val="00E058EE"/>
    <w:rsid w:val="00E05B26"/>
    <w:rsid w:val="00E05C35"/>
    <w:rsid w:val="00E05F83"/>
    <w:rsid w:val="00E06676"/>
    <w:rsid w:val="00E0669F"/>
    <w:rsid w:val="00E066D2"/>
    <w:rsid w:val="00E066F5"/>
    <w:rsid w:val="00E06A0D"/>
    <w:rsid w:val="00E07009"/>
    <w:rsid w:val="00E0716E"/>
    <w:rsid w:val="00E073BA"/>
    <w:rsid w:val="00E075DE"/>
    <w:rsid w:val="00E0775F"/>
    <w:rsid w:val="00E07AA3"/>
    <w:rsid w:val="00E07AB5"/>
    <w:rsid w:val="00E07DCD"/>
    <w:rsid w:val="00E10A5A"/>
    <w:rsid w:val="00E10E1B"/>
    <w:rsid w:val="00E10EC8"/>
    <w:rsid w:val="00E1117B"/>
    <w:rsid w:val="00E1135E"/>
    <w:rsid w:val="00E1171C"/>
    <w:rsid w:val="00E11D68"/>
    <w:rsid w:val="00E11DB0"/>
    <w:rsid w:val="00E11E45"/>
    <w:rsid w:val="00E120FC"/>
    <w:rsid w:val="00E1213E"/>
    <w:rsid w:val="00E1219F"/>
    <w:rsid w:val="00E1228B"/>
    <w:rsid w:val="00E12742"/>
    <w:rsid w:val="00E12A7B"/>
    <w:rsid w:val="00E12CBB"/>
    <w:rsid w:val="00E12D6C"/>
    <w:rsid w:val="00E12EDF"/>
    <w:rsid w:val="00E13408"/>
    <w:rsid w:val="00E1363C"/>
    <w:rsid w:val="00E1448C"/>
    <w:rsid w:val="00E14B7B"/>
    <w:rsid w:val="00E14CA0"/>
    <w:rsid w:val="00E14D04"/>
    <w:rsid w:val="00E14D30"/>
    <w:rsid w:val="00E14DD1"/>
    <w:rsid w:val="00E15B76"/>
    <w:rsid w:val="00E15DA7"/>
    <w:rsid w:val="00E16431"/>
    <w:rsid w:val="00E16805"/>
    <w:rsid w:val="00E16910"/>
    <w:rsid w:val="00E1695A"/>
    <w:rsid w:val="00E16B28"/>
    <w:rsid w:val="00E16CA5"/>
    <w:rsid w:val="00E16D2F"/>
    <w:rsid w:val="00E171C1"/>
    <w:rsid w:val="00E17961"/>
    <w:rsid w:val="00E17B40"/>
    <w:rsid w:val="00E17D3A"/>
    <w:rsid w:val="00E17D6E"/>
    <w:rsid w:val="00E17F71"/>
    <w:rsid w:val="00E2094D"/>
    <w:rsid w:val="00E20DD3"/>
    <w:rsid w:val="00E2102D"/>
    <w:rsid w:val="00E21224"/>
    <w:rsid w:val="00E2148C"/>
    <w:rsid w:val="00E21834"/>
    <w:rsid w:val="00E21A10"/>
    <w:rsid w:val="00E21BFF"/>
    <w:rsid w:val="00E21C86"/>
    <w:rsid w:val="00E21CE8"/>
    <w:rsid w:val="00E21EAD"/>
    <w:rsid w:val="00E21F8A"/>
    <w:rsid w:val="00E223B3"/>
    <w:rsid w:val="00E22541"/>
    <w:rsid w:val="00E22D6F"/>
    <w:rsid w:val="00E22E87"/>
    <w:rsid w:val="00E2360B"/>
    <w:rsid w:val="00E23C52"/>
    <w:rsid w:val="00E23C67"/>
    <w:rsid w:val="00E23CEF"/>
    <w:rsid w:val="00E23D0D"/>
    <w:rsid w:val="00E23FAE"/>
    <w:rsid w:val="00E24064"/>
    <w:rsid w:val="00E245C3"/>
    <w:rsid w:val="00E246BA"/>
    <w:rsid w:val="00E247DE"/>
    <w:rsid w:val="00E24BC4"/>
    <w:rsid w:val="00E24D7A"/>
    <w:rsid w:val="00E24F76"/>
    <w:rsid w:val="00E2631F"/>
    <w:rsid w:val="00E263EE"/>
    <w:rsid w:val="00E2648C"/>
    <w:rsid w:val="00E2675C"/>
    <w:rsid w:val="00E26A6B"/>
    <w:rsid w:val="00E26D12"/>
    <w:rsid w:val="00E26F6B"/>
    <w:rsid w:val="00E273C1"/>
    <w:rsid w:val="00E275B2"/>
    <w:rsid w:val="00E27665"/>
    <w:rsid w:val="00E278AC"/>
    <w:rsid w:val="00E27BEE"/>
    <w:rsid w:val="00E27CED"/>
    <w:rsid w:val="00E301CA"/>
    <w:rsid w:val="00E301F3"/>
    <w:rsid w:val="00E3052B"/>
    <w:rsid w:val="00E30EEA"/>
    <w:rsid w:val="00E31471"/>
    <w:rsid w:val="00E316BA"/>
    <w:rsid w:val="00E31710"/>
    <w:rsid w:val="00E31859"/>
    <w:rsid w:val="00E31F3E"/>
    <w:rsid w:val="00E32188"/>
    <w:rsid w:val="00E328AB"/>
    <w:rsid w:val="00E328D8"/>
    <w:rsid w:val="00E32B5E"/>
    <w:rsid w:val="00E32CE2"/>
    <w:rsid w:val="00E32CE6"/>
    <w:rsid w:val="00E32D37"/>
    <w:rsid w:val="00E32F10"/>
    <w:rsid w:val="00E33316"/>
    <w:rsid w:val="00E33B59"/>
    <w:rsid w:val="00E33C12"/>
    <w:rsid w:val="00E33F65"/>
    <w:rsid w:val="00E340C1"/>
    <w:rsid w:val="00E34142"/>
    <w:rsid w:val="00E3441A"/>
    <w:rsid w:val="00E34583"/>
    <w:rsid w:val="00E3460C"/>
    <w:rsid w:val="00E3489A"/>
    <w:rsid w:val="00E3495E"/>
    <w:rsid w:val="00E349E8"/>
    <w:rsid w:val="00E34C62"/>
    <w:rsid w:val="00E34E32"/>
    <w:rsid w:val="00E359B8"/>
    <w:rsid w:val="00E35C41"/>
    <w:rsid w:val="00E35CB7"/>
    <w:rsid w:val="00E35F92"/>
    <w:rsid w:val="00E3617F"/>
    <w:rsid w:val="00E3638F"/>
    <w:rsid w:val="00E368F9"/>
    <w:rsid w:val="00E36CE6"/>
    <w:rsid w:val="00E37094"/>
    <w:rsid w:val="00E37667"/>
    <w:rsid w:val="00E37DF4"/>
    <w:rsid w:val="00E4024F"/>
    <w:rsid w:val="00E40398"/>
    <w:rsid w:val="00E406DA"/>
    <w:rsid w:val="00E40ADA"/>
    <w:rsid w:val="00E40B1E"/>
    <w:rsid w:val="00E415FC"/>
    <w:rsid w:val="00E4170E"/>
    <w:rsid w:val="00E41CB6"/>
    <w:rsid w:val="00E42315"/>
    <w:rsid w:val="00E4246E"/>
    <w:rsid w:val="00E43398"/>
    <w:rsid w:val="00E43AA3"/>
    <w:rsid w:val="00E43EB0"/>
    <w:rsid w:val="00E43FB8"/>
    <w:rsid w:val="00E44214"/>
    <w:rsid w:val="00E44A2D"/>
    <w:rsid w:val="00E44A83"/>
    <w:rsid w:val="00E44BFF"/>
    <w:rsid w:val="00E44C59"/>
    <w:rsid w:val="00E453AF"/>
    <w:rsid w:val="00E45478"/>
    <w:rsid w:val="00E4549D"/>
    <w:rsid w:val="00E45BF2"/>
    <w:rsid w:val="00E45DEA"/>
    <w:rsid w:val="00E4677E"/>
    <w:rsid w:val="00E46935"/>
    <w:rsid w:val="00E46AA1"/>
    <w:rsid w:val="00E471D6"/>
    <w:rsid w:val="00E471FF"/>
    <w:rsid w:val="00E47684"/>
    <w:rsid w:val="00E47A76"/>
    <w:rsid w:val="00E500ED"/>
    <w:rsid w:val="00E50366"/>
    <w:rsid w:val="00E50757"/>
    <w:rsid w:val="00E50C4C"/>
    <w:rsid w:val="00E51829"/>
    <w:rsid w:val="00E51A57"/>
    <w:rsid w:val="00E52AE1"/>
    <w:rsid w:val="00E52D7D"/>
    <w:rsid w:val="00E52E0B"/>
    <w:rsid w:val="00E535AA"/>
    <w:rsid w:val="00E53651"/>
    <w:rsid w:val="00E5382B"/>
    <w:rsid w:val="00E53DCD"/>
    <w:rsid w:val="00E54066"/>
    <w:rsid w:val="00E540C1"/>
    <w:rsid w:val="00E54291"/>
    <w:rsid w:val="00E54585"/>
    <w:rsid w:val="00E5459C"/>
    <w:rsid w:val="00E545DA"/>
    <w:rsid w:val="00E5475E"/>
    <w:rsid w:val="00E549C2"/>
    <w:rsid w:val="00E54AB5"/>
    <w:rsid w:val="00E55266"/>
    <w:rsid w:val="00E55537"/>
    <w:rsid w:val="00E557B5"/>
    <w:rsid w:val="00E55814"/>
    <w:rsid w:val="00E55E1B"/>
    <w:rsid w:val="00E55FB3"/>
    <w:rsid w:val="00E56BD8"/>
    <w:rsid w:val="00E56F3C"/>
    <w:rsid w:val="00E574B1"/>
    <w:rsid w:val="00E57AB4"/>
    <w:rsid w:val="00E57B6A"/>
    <w:rsid w:val="00E57D28"/>
    <w:rsid w:val="00E600B9"/>
    <w:rsid w:val="00E602BA"/>
    <w:rsid w:val="00E60952"/>
    <w:rsid w:val="00E60A3B"/>
    <w:rsid w:val="00E614A2"/>
    <w:rsid w:val="00E61819"/>
    <w:rsid w:val="00E61A81"/>
    <w:rsid w:val="00E61E23"/>
    <w:rsid w:val="00E61EA3"/>
    <w:rsid w:val="00E620A6"/>
    <w:rsid w:val="00E6210D"/>
    <w:rsid w:val="00E62171"/>
    <w:rsid w:val="00E62545"/>
    <w:rsid w:val="00E62656"/>
    <w:rsid w:val="00E62768"/>
    <w:rsid w:val="00E62781"/>
    <w:rsid w:val="00E62E62"/>
    <w:rsid w:val="00E62F0B"/>
    <w:rsid w:val="00E635B9"/>
    <w:rsid w:val="00E6448D"/>
    <w:rsid w:val="00E644E9"/>
    <w:rsid w:val="00E6462C"/>
    <w:rsid w:val="00E64745"/>
    <w:rsid w:val="00E64781"/>
    <w:rsid w:val="00E64A14"/>
    <w:rsid w:val="00E64ED7"/>
    <w:rsid w:val="00E6593A"/>
    <w:rsid w:val="00E65BCA"/>
    <w:rsid w:val="00E65F73"/>
    <w:rsid w:val="00E65F80"/>
    <w:rsid w:val="00E660E4"/>
    <w:rsid w:val="00E66309"/>
    <w:rsid w:val="00E66365"/>
    <w:rsid w:val="00E664B9"/>
    <w:rsid w:val="00E66A92"/>
    <w:rsid w:val="00E66FF1"/>
    <w:rsid w:val="00E672A9"/>
    <w:rsid w:val="00E672DE"/>
    <w:rsid w:val="00E67380"/>
    <w:rsid w:val="00E67F46"/>
    <w:rsid w:val="00E70029"/>
    <w:rsid w:val="00E700B0"/>
    <w:rsid w:val="00E700C2"/>
    <w:rsid w:val="00E71702"/>
    <w:rsid w:val="00E7174F"/>
    <w:rsid w:val="00E718FA"/>
    <w:rsid w:val="00E719D3"/>
    <w:rsid w:val="00E71AE3"/>
    <w:rsid w:val="00E720FE"/>
    <w:rsid w:val="00E7210E"/>
    <w:rsid w:val="00E72339"/>
    <w:rsid w:val="00E72A3A"/>
    <w:rsid w:val="00E72A86"/>
    <w:rsid w:val="00E72C29"/>
    <w:rsid w:val="00E72D83"/>
    <w:rsid w:val="00E72DAB"/>
    <w:rsid w:val="00E73270"/>
    <w:rsid w:val="00E73583"/>
    <w:rsid w:val="00E73A50"/>
    <w:rsid w:val="00E73E05"/>
    <w:rsid w:val="00E740F1"/>
    <w:rsid w:val="00E7442B"/>
    <w:rsid w:val="00E748F5"/>
    <w:rsid w:val="00E74BD9"/>
    <w:rsid w:val="00E74CD1"/>
    <w:rsid w:val="00E74DB2"/>
    <w:rsid w:val="00E74EE7"/>
    <w:rsid w:val="00E75023"/>
    <w:rsid w:val="00E75233"/>
    <w:rsid w:val="00E75236"/>
    <w:rsid w:val="00E757D1"/>
    <w:rsid w:val="00E75D1A"/>
    <w:rsid w:val="00E764CF"/>
    <w:rsid w:val="00E76782"/>
    <w:rsid w:val="00E76956"/>
    <w:rsid w:val="00E76A83"/>
    <w:rsid w:val="00E76AE4"/>
    <w:rsid w:val="00E76B6E"/>
    <w:rsid w:val="00E76DB9"/>
    <w:rsid w:val="00E77030"/>
    <w:rsid w:val="00E7723B"/>
    <w:rsid w:val="00E773C5"/>
    <w:rsid w:val="00E776A1"/>
    <w:rsid w:val="00E77744"/>
    <w:rsid w:val="00E777AD"/>
    <w:rsid w:val="00E777D8"/>
    <w:rsid w:val="00E779CB"/>
    <w:rsid w:val="00E80036"/>
    <w:rsid w:val="00E800DF"/>
    <w:rsid w:val="00E808CB"/>
    <w:rsid w:val="00E80B80"/>
    <w:rsid w:val="00E81445"/>
    <w:rsid w:val="00E814BC"/>
    <w:rsid w:val="00E81603"/>
    <w:rsid w:val="00E81756"/>
    <w:rsid w:val="00E818D6"/>
    <w:rsid w:val="00E81A4E"/>
    <w:rsid w:val="00E81A79"/>
    <w:rsid w:val="00E81FF0"/>
    <w:rsid w:val="00E82C70"/>
    <w:rsid w:val="00E82DC8"/>
    <w:rsid w:val="00E8320F"/>
    <w:rsid w:val="00E83541"/>
    <w:rsid w:val="00E8398D"/>
    <w:rsid w:val="00E83C2D"/>
    <w:rsid w:val="00E83D1B"/>
    <w:rsid w:val="00E84AB4"/>
    <w:rsid w:val="00E84B48"/>
    <w:rsid w:val="00E84CC9"/>
    <w:rsid w:val="00E84EBF"/>
    <w:rsid w:val="00E85268"/>
    <w:rsid w:val="00E85432"/>
    <w:rsid w:val="00E8590A"/>
    <w:rsid w:val="00E85931"/>
    <w:rsid w:val="00E85A29"/>
    <w:rsid w:val="00E85BD3"/>
    <w:rsid w:val="00E85F38"/>
    <w:rsid w:val="00E86062"/>
    <w:rsid w:val="00E861A8"/>
    <w:rsid w:val="00E8664F"/>
    <w:rsid w:val="00E86835"/>
    <w:rsid w:val="00E86E71"/>
    <w:rsid w:val="00E86ED2"/>
    <w:rsid w:val="00E87080"/>
    <w:rsid w:val="00E871DB"/>
    <w:rsid w:val="00E87629"/>
    <w:rsid w:val="00E87846"/>
    <w:rsid w:val="00E87853"/>
    <w:rsid w:val="00E90075"/>
    <w:rsid w:val="00E90423"/>
    <w:rsid w:val="00E9047F"/>
    <w:rsid w:val="00E90630"/>
    <w:rsid w:val="00E90AA3"/>
    <w:rsid w:val="00E90C12"/>
    <w:rsid w:val="00E90F1F"/>
    <w:rsid w:val="00E91621"/>
    <w:rsid w:val="00E9187D"/>
    <w:rsid w:val="00E91C47"/>
    <w:rsid w:val="00E91D47"/>
    <w:rsid w:val="00E91FEE"/>
    <w:rsid w:val="00E92935"/>
    <w:rsid w:val="00E93810"/>
    <w:rsid w:val="00E93E04"/>
    <w:rsid w:val="00E94121"/>
    <w:rsid w:val="00E9426C"/>
    <w:rsid w:val="00E94784"/>
    <w:rsid w:val="00E949D3"/>
    <w:rsid w:val="00E94A10"/>
    <w:rsid w:val="00E94AB0"/>
    <w:rsid w:val="00E957FC"/>
    <w:rsid w:val="00E95D01"/>
    <w:rsid w:val="00E95F11"/>
    <w:rsid w:val="00E95F82"/>
    <w:rsid w:val="00E96141"/>
    <w:rsid w:val="00E96473"/>
    <w:rsid w:val="00E96829"/>
    <w:rsid w:val="00E9686D"/>
    <w:rsid w:val="00E96A85"/>
    <w:rsid w:val="00E96BA9"/>
    <w:rsid w:val="00E96D0C"/>
    <w:rsid w:val="00E97172"/>
    <w:rsid w:val="00E9720F"/>
    <w:rsid w:val="00E974DB"/>
    <w:rsid w:val="00E9757C"/>
    <w:rsid w:val="00E9760E"/>
    <w:rsid w:val="00E97928"/>
    <w:rsid w:val="00E979A4"/>
    <w:rsid w:val="00E97A5E"/>
    <w:rsid w:val="00EA0071"/>
    <w:rsid w:val="00EA084B"/>
    <w:rsid w:val="00EA0D57"/>
    <w:rsid w:val="00EA0E45"/>
    <w:rsid w:val="00EA15DF"/>
    <w:rsid w:val="00EA1EAD"/>
    <w:rsid w:val="00EA205B"/>
    <w:rsid w:val="00EA2279"/>
    <w:rsid w:val="00EA2E86"/>
    <w:rsid w:val="00EA3628"/>
    <w:rsid w:val="00EA36AF"/>
    <w:rsid w:val="00EA36D3"/>
    <w:rsid w:val="00EA3702"/>
    <w:rsid w:val="00EA38FA"/>
    <w:rsid w:val="00EA3A96"/>
    <w:rsid w:val="00EA3C89"/>
    <w:rsid w:val="00EA3E9B"/>
    <w:rsid w:val="00EA446D"/>
    <w:rsid w:val="00EA460C"/>
    <w:rsid w:val="00EA4907"/>
    <w:rsid w:val="00EA4974"/>
    <w:rsid w:val="00EA4A2E"/>
    <w:rsid w:val="00EA4BB4"/>
    <w:rsid w:val="00EA4BCD"/>
    <w:rsid w:val="00EA4CE0"/>
    <w:rsid w:val="00EA4EE3"/>
    <w:rsid w:val="00EA52B7"/>
    <w:rsid w:val="00EA5618"/>
    <w:rsid w:val="00EA5AC7"/>
    <w:rsid w:val="00EA6303"/>
    <w:rsid w:val="00EA63E7"/>
    <w:rsid w:val="00EA66CA"/>
    <w:rsid w:val="00EA6795"/>
    <w:rsid w:val="00EA67FD"/>
    <w:rsid w:val="00EA6872"/>
    <w:rsid w:val="00EA69A8"/>
    <w:rsid w:val="00EA6B29"/>
    <w:rsid w:val="00EA6B90"/>
    <w:rsid w:val="00EA6DE9"/>
    <w:rsid w:val="00EA6EA1"/>
    <w:rsid w:val="00EA740F"/>
    <w:rsid w:val="00EA7587"/>
    <w:rsid w:val="00EA7A0F"/>
    <w:rsid w:val="00EB0310"/>
    <w:rsid w:val="00EB04B5"/>
    <w:rsid w:val="00EB06AF"/>
    <w:rsid w:val="00EB07D3"/>
    <w:rsid w:val="00EB1023"/>
    <w:rsid w:val="00EB1073"/>
    <w:rsid w:val="00EB118A"/>
    <w:rsid w:val="00EB14B2"/>
    <w:rsid w:val="00EB17BD"/>
    <w:rsid w:val="00EB199B"/>
    <w:rsid w:val="00EB1BC0"/>
    <w:rsid w:val="00EB210B"/>
    <w:rsid w:val="00EB2248"/>
    <w:rsid w:val="00EB2453"/>
    <w:rsid w:val="00EB269D"/>
    <w:rsid w:val="00EB26A0"/>
    <w:rsid w:val="00EB2979"/>
    <w:rsid w:val="00EB2A4D"/>
    <w:rsid w:val="00EB3434"/>
    <w:rsid w:val="00EB36CB"/>
    <w:rsid w:val="00EB37B0"/>
    <w:rsid w:val="00EB39B4"/>
    <w:rsid w:val="00EB39F9"/>
    <w:rsid w:val="00EB3BCE"/>
    <w:rsid w:val="00EB3EE1"/>
    <w:rsid w:val="00EB3FD7"/>
    <w:rsid w:val="00EB47E5"/>
    <w:rsid w:val="00EB5877"/>
    <w:rsid w:val="00EB5A86"/>
    <w:rsid w:val="00EB5CAD"/>
    <w:rsid w:val="00EB61ED"/>
    <w:rsid w:val="00EB621E"/>
    <w:rsid w:val="00EB65A1"/>
    <w:rsid w:val="00EB6633"/>
    <w:rsid w:val="00EB684B"/>
    <w:rsid w:val="00EB6F79"/>
    <w:rsid w:val="00EB70AC"/>
    <w:rsid w:val="00EB730C"/>
    <w:rsid w:val="00EB7561"/>
    <w:rsid w:val="00EB7939"/>
    <w:rsid w:val="00EB7B45"/>
    <w:rsid w:val="00EB7C89"/>
    <w:rsid w:val="00EC01B1"/>
    <w:rsid w:val="00EC02CC"/>
    <w:rsid w:val="00EC0324"/>
    <w:rsid w:val="00EC03BF"/>
    <w:rsid w:val="00EC076C"/>
    <w:rsid w:val="00EC0DD2"/>
    <w:rsid w:val="00EC0E73"/>
    <w:rsid w:val="00EC13B2"/>
    <w:rsid w:val="00EC14B6"/>
    <w:rsid w:val="00EC1543"/>
    <w:rsid w:val="00EC1CA0"/>
    <w:rsid w:val="00EC23B5"/>
    <w:rsid w:val="00EC2BC2"/>
    <w:rsid w:val="00EC2C2F"/>
    <w:rsid w:val="00EC2CF2"/>
    <w:rsid w:val="00EC2D72"/>
    <w:rsid w:val="00EC2DE4"/>
    <w:rsid w:val="00EC3092"/>
    <w:rsid w:val="00EC3159"/>
    <w:rsid w:val="00EC323A"/>
    <w:rsid w:val="00EC34E3"/>
    <w:rsid w:val="00EC3700"/>
    <w:rsid w:val="00EC37CE"/>
    <w:rsid w:val="00EC3C14"/>
    <w:rsid w:val="00EC3D4A"/>
    <w:rsid w:val="00EC3FFF"/>
    <w:rsid w:val="00EC445B"/>
    <w:rsid w:val="00EC4820"/>
    <w:rsid w:val="00EC4CB5"/>
    <w:rsid w:val="00EC4E83"/>
    <w:rsid w:val="00EC4F05"/>
    <w:rsid w:val="00EC5062"/>
    <w:rsid w:val="00EC53F0"/>
    <w:rsid w:val="00EC581C"/>
    <w:rsid w:val="00EC5DD1"/>
    <w:rsid w:val="00EC6927"/>
    <w:rsid w:val="00EC70F7"/>
    <w:rsid w:val="00EC71C7"/>
    <w:rsid w:val="00EC7EB7"/>
    <w:rsid w:val="00EC7F4A"/>
    <w:rsid w:val="00ED0291"/>
    <w:rsid w:val="00ED0516"/>
    <w:rsid w:val="00ED053F"/>
    <w:rsid w:val="00ED0BC4"/>
    <w:rsid w:val="00ED163A"/>
    <w:rsid w:val="00ED198F"/>
    <w:rsid w:val="00ED1A2D"/>
    <w:rsid w:val="00ED1A3D"/>
    <w:rsid w:val="00ED1BFF"/>
    <w:rsid w:val="00ED241C"/>
    <w:rsid w:val="00ED26AE"/>
    <w:rsid w:val="00ED28D4"/>
    <w:rsid w:val="00ED296D"/>
    <w:rsid w:val="00ED2B38"/>
    <w:rsid w:val="00ED2B49"/>
    <w:rsid w:val="00ED2CDF"/>
    <w:rsid w:val="00ED2F2E"/>
    <w:rsid w:val="00ED3A50"/>
    <w:rsid w:val="00ED4090"/>
    <w:rsid w:val="00ED4348"/>
    <w:rsid w:val="00ED43DA"/>
    <w:rsid w:val="00ED44E1"/>
    <w:rsid w:val="00ED46D7"/>
    <w:rsid w:val="00ED4C1B"/>
    <w:rsid w:val="00ED4FAC"/>
    <w:rsid w:val="00ED529E"/>
    <w:rsid w:val="00ED542F"/>
    <w:rsid w:val="00ED557C"/>
    <w:rsid w:val="00ED60BB"/>
    <w:rsid w:val="00ED66C5"/>
    <w:rsid w:val="00ED687C"/>
    <w:rsid w:val="00ED68AC"/>
    <w:rsid w:val="00ED6A8D"/>
    <w:rsid w:val="00ED6B2E"/>
    <w:rsid w:val="00ED6EBD"/>
    <w:rsid w:val="00ED710B"/>
    <w:rsid w:val="00ED7133"/>
    <w:rsid w:val="00ED746B"/>
    <w:rsid w:val="00ED7515"/>
    <w:rsid w:val="00ED7788"/>
    <w:rsid w:val="00ED7AA4"/>
    <w:rsid w:val="00ED7BF0"/>
    <w:rsid w:val="00ED7ED0"/>
    <w:rsid w:val="00EE0007"/>
    <w:rsid w:val="00EE11F8"/>
    <w:rsid w:val="00EE14A7"/>
    <w:rsid w:val="00EE190E"/>
    <w:rsid w:val="00EE1BEB"/>
    <w:rsid w:val="00EE1DB9"/>
    <w:rsid w:val="00EE1E35"/>
    <w:rsid w:val="00EE2033"/>
    <w:rsid w:val="00EE25B9"/>
    <w:rsid w:val="00EE27E2"/>
    <w:rsid w:val="00EE2819"/>
    <w:rsid w:val="00EE2EC4"/>
    <w:rsid w:val="00EE309F"/>
    <w:rsid w:val="00EE3204"/>
    <w:rsid w:val="00EE38B4"/>
    <w:rsid w:val="00EE392A"/>
    <w:rsid w:val="00EE3A60"/>
    <w:rsid w:val="00EE3B06"/>
    <w:rsid w:val="00EE3B46"/>
    <w:rsid w:val="00EE3EC6"/>
    <w:rsid w:val="00EE3F23"/>
    <w:rsid w:val="00EE4BD4"/>
    <w:rsid w:val="00EE59ED"/>
    <w:rsid w:val="00EE6081"/>
    <w:rsid w:val="00EE60A1"/>
    <w:rsid w:val="00EE6168"/>
    <w:rsid w:val="00EE6853"/>
    <w:rsid w:val="00EE6C9F"/>
    <w:rsid w:val="00EE772B"/>
    <w:rsid w:val="00EE7E5F"/>
    <w:rsid w:val="00EE7FA6"/>
    <w:rsid w:val="00EF01F1"/>
    <w:rsid w:val="00EF0345"/>
    <w:rsid w:val="00EF04B9"/>
    <w:rsid w:val="00EF067D"/>
    <w:rsid w:val="00EF0CF9"/>
    <w:rsid w:val="00EF0FFB"/>
    <w:rsid w:val="00EF105D"/>
    <w:rsid w:val="00EF1537"/>
    <w:rsid w:val="00EF16C6"/>
    <w:rsid w:val="00EF19FD"/>
    <w:rsid w:val="00EF1A9B"/>
    <w:rsid w:val="00EF1CF5"/>
    <w:rsid w:val="00EF2262"/>
    <w:rsid w:val="00EF2380"/>
    <w:rsid w:val="00EF2440"/>
    <w:rsid w:val="00EF24AA"/>
    <w:rsid w:val="00EF24F5"/>
    <w:rsid w:val="00EF2565"/>
    <w:rsid w:val="00EF270D"/>
    <w:rsid w:val="00EF2765"/>
    <w:rsid w:val="00EF27D0"/>
    <w:rsid w:val="00EF28B1"/>
    <w:rsid w:val="00EF2DE8"/>
    <w:rsid w:val="00EF32CD"/>
    <w:rsid w:val="00EF32F6"/>
    <w:rsid w:val="00EF3456"/>
    <w:rsid w:val="00EF4226"/>
    <w:rsid w:val="00EF42A4"/>
    <w:rsid w:val="00EF4580"/>
    <w:rsid w:val="00EF488B"/>
    <w:rsid w:val="00EF490B"/>
    <w:rsid w:val="00EF4A0D"/>
    <w:rsid w:val="00EF4D4A"/>
    <w:rsid w:val="00EF4E98"/>
    <w:rsid w:val="00EF4EF1"/>
    <w:rsid w:val="00EF539F"/>
    <w:rsid w:val="00EF5925"/>
    <w:rsid w:val="00EF5D71"/>
    <w:rsid w:val="00EF662C"/>
    <w:rsid w:val="00EF6861"/>
    <w:rsid w:val="00EF6928"/>
    <w:rsid w:val="00EF69CD"/>
    <w:rsid w:val="00EF6DB5"/>
    <w:rsid w:val="00EF6FA9"/>
    <w:rsid w:val="00EF7405"/>
    <w:rsid w:val="00EF78EA"/>
    <w:rsid w:val="00EF7ED5"/>
    <w:rsid w:val="00F00112"/>
    <w:rsid w:val="00F010A4"/>
    <w:rsid w:val="00F016E4"/>
    <w:rsid w:val="00F017DC"/>
    <w:rsid w:val="00F01CB5"/>
    <w:rsid w:val="00F01E6C"/>
    <w:rsid w:val="00F02075"/>
    <w:rsid w:val="00F02159"/>
    <w:rsid w:val="00F031B6"/>
    <w:rsid w:val="00F03219"/>
    <w:rsid w:val="00F03702"/>
    <w:rsid w:val="00F03A67"/>
    <w:rsid w:val="00F03C06"/>
    <w:rsid w:val="00F03CE6"/>
    <w:rsid w:val="00F04097"/>
    <w:rsid w:val="00F045E2"/>
    <w:rsid w:val="00F04CAD"/>
    <w:rsid w:val="00F04EA7"/>
    <w:rsid w:val="00F051B0"/>
    <w:rsid w:val="00F051B6"/>
    <w:rsid w:val="00F05409"/>
    <w:rsid w:val="00F06034"/>
    <w:rsid w:val="00F06448"/>
    <w:rsid w:val="00F0689B"/>
    <w:rsid w:val="00F068E3"/>
    <w:rsid w:val="00F068FE"/>
    <w:rsid w:val="00F06B2F"/>
    <w:rsid w:val="00F06E52"/>
    <w:rsid w:val="00F06F62"/>
    <w:rsid w:val="00F077E9"/>
    <w:rsid w:val="00F078AE"/>
    <w:rsid w:val="00F07EC3"/>
    <w:rsid w:val="00F07FE8"/>
    <w:rsid w:val="00F100E0"/>
    <w:rsid w:val="00F10625"/>
    <w:rsid w:val="00F1079D"/>
    <w:rsid w:val="00F11081"/>
    <w:rsid w:val="00F11209"/>
    <w:rsid w:val="00F11547"/>
    <w:rsid w:val="00F1188F"/>
    <w:rsid w:val="00F11A95"/>
    <w:rsid w:val="00F11C15"/>
    <w:rsid w:val="00F11C39"/>
    <w:rsid w:val="00F11CEB"/>
    <w:rsid w:val="00F1248F"/>
    <w:rsid w:val="00F1264C"/>
    <w:rsid w:val="00F126D2"/>
    <w:rsid w:val="00F12C6A"/>
    <w:rsid w:val="00F12EF2"/>
    <w:rsid w:val="00F130A4"/>
    <w:rsid w:val="00F13263"/>
    <w:rsid w:val="00F13573"/>
    <w:rsid w:val="00F1398B"/>
    <w:rsid w:val="00F139E1"/>
    <w:rsid w:val="00F13A4A"/>
    <w:rsid w:val="00F13EA0"/>
    <w:rsid w:val="00F140E4"/>
    <w:rsid w:val="00F14107"/>
    <w:rsid w:val="00F14388"/>
    <w:rsid w:val="00F1457D"/>
    <w:rsid w:val="00F14673"/>
    <w:rsid w:val="00F1469A"/>
    <w:rsid w:val="00F1480E"/>
    <w:rsid w:val="00F149A3"/>
    <w:rsid w:val="00F1501B"/>
    <w:rsid w:val="00F15443"/>
    <w:rsid w:val="00F1550B"/>
    <w:rsid w:val="00F15856"/>
    <w:rsid w:val="00F15866"/>
    <w:rsid w:val="00F15BD1"/>
    <w:rsid w:val="00F1643A"/>
    <w:rsid w:val="00F16440"/>
    <w:rsid w:val="00F16469"/>
    <w:rsid w:val="00F16554"/>
    <w:rsid w:val="00F1677E"/>
    <w:rsid w:val="00F16AC1"/>
    <w:rsid w:val="00F16ED0"/>
    <w:rsid w:val="00F172BD"/>
    <w:rsid w:val="00F174DB"/>
    <w:rsid w:val="00F1767B"/>
    <w:rsid w:val="00F17B2F"/>
    <w:rsid w:val="00F17DEB"/>
    <w:rsid w:val="00F20583"/>
    <w:rsid w:val="00F20797"/>
    <w:rsid w:val="00F20976"/>
    <w:rsid w:val="00F20B59"/>
    <w:rsid w:val="00F20E6E"/>
    <w:rsid w:val="00F20E97"/>
    <w:rsid w:val="00F21185"/>
    <w:rsid w:val="00F211C1"/>
    <w:rsid w:val="00F21539"/>
    <w:rsid w:val="00F217CB"/>
    <w:rsid w:val="00F21874"/>
    <w:rsid w:val="00F2199E"/>
    <w:rsid w:val="00F21B43"/>
    <w:rsid w:val="00F21D1A"/>
    <w:rsid w:val="00F21E65"/>
    <w:rsid w:val="00F21EEB"/>
    <w:rsid w:val="00F22268"/>
    <w:rsid w:val="00F2231E"/>
    <w:rsid w:val="00F2259E"/>
    <w:rsid w:val="00F22877"/>
    <w:rsid w:val="00F23077"/>
    <w:rsid w:val="00F234F2"/>
    <w:rsid w:val="00F236E1"/>
    <w:rsid w:val="00F23B1B"/>
    <w:rsid w:val="00F23BD9"/>
    <w:rsid w:val="00F240CE"/>
    <w:rsid w:val="00F240F6"/>
    <w:rsid w:val="00F24486"/>
    <w:rsid w:val="00F24755"/>
    <w:rsid w:val="00F255AC"/>
    <w:rsid w:val="00F25875"/>
    <w:rsid w:val="00F25DBB"/>
    <w:rsid w:val="00F25E7A"/>
    <w:rsid w:val="00F25F15"/>
    <w:rsid w:val="00F25FDD"/>
    <w:rsid w:val="00F266D9"/>
    <w:rsid w:val="00F26877"/>
    <w:rsid w:val="00F268BA"/>
    <w:rsid w:val="00F26E93"/>
    <w:rsid w:val="00F26F42"/>
    <w:rsid w:val="00F272E0"/>
    <w:rsid w:val="00F273BB"/>
    <w:rsid w:val="00F275D4"/>
    <w:rsid w:val="00F30302"/>
    <w:rsid w:val="00F30562"/>
    <w:rsid w:val="00F30952"/>
    <w:rsid w:val="00F30CB3"/>
    <w:rsid w:val="00F30CBE"/>
    <w:rsid w:val="00F30F97"/>
    <w:rsid w:val="00F3163A"/>
    <w:rsid w:val="00F316E3"/>
    <w:rsid w:val="00F317C9"/>
    <w:rsid w:val="00F31A97"/>
    <w:rsid w:val="00F31BB5"/>
    <w:rsid w:val="00F31DDB"/>
    <w:rsid w:val="00F3200C"/>
    <w:rsid w:val="00F3204F"/>
    <w:rsid w:val="00F320EB"/>
    <w:rsid w:val="00F32125"/>
    <w:rsid w:val="00F321E3"/>
    <w:rsid w:val="00F323D2"/>
    <w:rsid w:val="00F32665"/>
    <w:rsid w:val="00F32E30"/>
    <w:rsid w:val="00F32EE7"/>
    <w:rsid w:val="00F330A5"/>
    <w:rsid w:val="00F3344A"/>
    <w:rsid w:val="00F3372C"/>
    <w:rsid w:val="00F33FEC"/>
    <w:rsid w:val="00F3411B"/>
    <w:rsid w:val="00F34636"/>
    <w:rsid w:val="00F35842"/>
    <w:rsid w:val="00F359EB"/>
    <w:rsid w:val="00F36501"/>
    <w:rsid w:val="00F36694"/>
    <w:rsid w:val="00F3684D"/>
    <w:rsid w:val="00F36943"/>
    <w:rsid w:val="00F36CD4"/>
    <w:rsid w:val="00F3703F"/>
    <w:rsid w:val="00F3767D"/>
    <w:rsid w:val="00F37743"/>
    <w:rsid w:val="00F37BA2"/>
    <w:rsid w:val="00F4012C"/>
    <w:rsid w:val="00F4063A"/>
    <w:rsid w:val="00F4093E"/>
    <w:rsid w:val="00F40A54"/>
    <w:rsid w:val="00F4170C"/>
    <w:rsid w:val="00F41879"/>
    <w:rsid w:val="00F41AD5"/>
    <w:rsid w:val="00F41CFF"/>
    <w:rsid w:val="00F41F8F"/>
    <w:rsid w:val="00F42129"/>
    <w:rsid w:val="00F42280"/>
    <w:rsid w:val="00F422EB"/>
    <w:rsid w:val="00F4243B"/>
    <w:rsid w:val="00F42646"/>
    <w:rsid w:val="00F42AC1"/>
    <w:rsid w:val="00F42EA6"/>
    <w:rsid w:val="00F42FD1"/>
    <w:rsid w:val="00F43598"/>
    <w:rsid w:val="00F43626"/>
    <w:rsid w:val="00F436D2"/>
    <w:rsid w:val="00F43757"/>
    <w:rsid w:val="00F43A0D"/>
    <w:rsid w:val="00F43BF4"/>
    <w:rsid w:val="00F43C6F"/>
    <w:rsid w:val="00F43DAD"/>
    <w:rsid w:val="00F44001"/>
    <w:rsid w:val="00F4413B"/>
    <w:rsid w:val="00F44464"/>
    <w:rsid w:val="00F44E67"/>
    <w:rsid w:val="00F45032"/>
    <w:rsid w:val="00F45722"/>
    <w:rsid w:val="00F45F56"/>
    <w:rsid w:val="00F4606E"/>
    <w:rsid w:val="00F461EB"/>
    <w:rsid w:val="00F4667C"/>
    <w:rsid w:val="00F46963"/>
    <w:rsid w:val="00F47047"/>
    <w:rsid w:val="00F4761B"/>
    <w:rsid w:val="00F4786F"/>
    <w:rsid w:val="00F4792C"/>
    <w:rsid w:val="00F47B34"/>
    <w:rsid w:val="00F47B98"/>
    <w:rsid w:val="00F47C30"/>
    <w:rsid w:val="00F47F9B"/>
    <w:rsid w:val="00F50392"/>
    <w:rsid w:val="00F5044B"/>
    <w:rsid w:val="00F50828"/>
    <w:rsid w:val="00F50906"/>
    <w:rsid w:val="00F50AA7"/>
    <w:rsid w:val="00F50C49"/>
    <w:rsid w:val="00F515AB"/>
    <w:rsid w:val="00F517D6"/>
    <w:rsid w:val="00F51F1A"/>
    <w:rsid w:val="00F51FF7"/>
    <w:rsid w:val="00F520A7"/>
    <w:rsid w:val="00F5211D"/>
    <w:rsid w:val="00F521F2"/>
    <w:rsid w:val="00F5288F"/>
    <w:rsid w:val="00F52C19"/>
    <w:rsid w:val="00F52CC2"/>
    <w:rsid w:val="00F53002"/>
    <w:rsid w:val="00F5365A"/>
    <w:rsid w:val="00F53743"/>
    <w:rsid w:val="00F53A09"/>
    <w:rsid w:val="00F53A33"/>
    <w:rsid w:val="00F53B8B"/>
    <w:rsid w:val="00F53C98"/>
    <w:rsid w:val="00F53FA4"/>
    <w:rsid w:val="00F54714"/>
    <w:rsid w:val="00F54BA2"/>
    <w:rsid w:val="00F54C9C"/>
    <w:rsid w:val="00F54F6E"/>
    <w:rsid w:val="00F554CF"/>
    <w:rsid w:val="00F558D4"/>
    <w:rsid w:val="00F55FFC"/>
    <w:rsid w:val="00F56108"/>
    <w:rsid w:val="00F5612C"/>
    <w:rsid w:val="00F569DE"/>
    <w:rsid w:val="00F56BF3"/>
    <w:rsid w:val="00F56F60"/>
    <w:rsid w:val="00F571C3"/>
    <w:rsid w:val="00F576B5"/>
    <w:rsid w:val="00F577C6"/>
    <w:rsid w:val="00F57800"/>
    <w:rsid w:val="00F57A4E"/>
    <w:rsid w:val="00F57D96"/>
    <w:rsid w:val="00F57F76"/>
    <w:rsid w:val="00F603F5"/>
    <w:rsid w:val="00F6083E"/>
    <w:rsid w:val="00F60B70"/>
    <w:rsid w:val="00F61372"/>
    <w:rsid w:val="00F616A6"/>
    <w:rsid w:val="00F6185D"/>
    <w:rsid w:val="00F61D18"/>
    <w:rsid w:val="00F61E8E"/>
    <w:rsid w:val="00F61FC9"/>
    <w:rsid w:val="00F62238"/>
    <w:rsid w:val="00F6223E"/>
    <w:rsid w:val="00F622FD"/>
    <w:rsid w:val="00F62391"/>
    <w:rsid w:val="00F62A2D"/>
    <w:rsid w:val="00F62AC7"/>
    <w:rsid w:val="00F63929"/>
    <w:rsid w:val="00F63A0E"/>
    <w:rsid w:val="00F63B07"/>
    <w:rsid w:val="00F63CED"/>
    <w:rsid w:val="00F63D62"/>
    <w:rsid w:val="00F6416D"/>
    <w:rsid w:val="00F641E6"/>
    <w:rsid w:val="00F642E8"/>
    <w:rsid w:val="00F64AD0"/>
    <w:rsid w:val="00F64B72"/>
    <w:rsid w:val="00F64FC3"/>
    <w:rsid w:val="00F64FE7"/>
    <w:rsid w:val="00F655DB"/>
    <w:rsid w:val="00F658DA"/>
    <w:rsid w:val="00F6592F"/>
    <w:rsid w:val="00F65A96"/>
    <w:rsid w:val="00F65B4B"/>
    <w:rsid w:val="00F65B8A"/>
    <w:rsid w:val="00F65E8C"/>
    <w:rsid w:val="00F663A0"/>
    <w:rsid w:val="00F66455"/>
    <w:rsid w:val="00F664AF"/>
    <w:rsid w:val="00F66F43"/>
    <w:rsid w:val="00F67765"/>
    <w:rsid w:val="00F678E8"/>
    <w:rsid w:val="00F706DC"/>
    <w:rsid w:val="00F70D4F"/>
    <w:rsid w:val="00F70F4A"/>
    <w:rsid w:val="00F70FD0"/>
    <w:rsid w:val="00F7113A"/>
    <w:rsid w:val="00F71278"/>
    <w:rsid w:val="00F712F4"/>
    <w:rsid w:val="00F7132A"/>
    <w:rsid w:val="00F71708"/>
    <w:rsid w:val="00F721EA"/>
    <w:rsid w:val="00F723C0"/>
    <w:rsid w:val="00F7257B"/>
    <w:rsid w:val="00F72B0E"/>
    <w:rsid w:val="00F72BF8"/>
    <w:rsid w:val="00F72D40"/>
    <w:rsid w:val="00F72D4F"/>
    <w:rsid w:val="00F72F42"/>
    <w:rsid w:val="00F731D2"/>
    <w:rsid w:val="00F735B5"/>
    <w:rsid w:val="00F73A5D"/>
    <w:rsid w:val="00F73AC5"/>
    <w:rsid w:val="00F73C9D"/>
    <w:rsid w:val="00F73E94"/>
    <w:rsid w:val="00F73F5D"/>
    <w:rsid w:val="00F74121"/>
    <w:rsid w:val="00F74296"/>
    <w:rsid w:val="00F747B6"/>
    <w:rsid w:val="00F747F7"/>
    <w:rsid w:val="00F74E7A"/>
    <w:rsid w:val="00F74FA0"/>
    <w:rsid w:val="00F750BF"/>
    <w:rsid w:val="00F75181"/>
    <w:rsid w:val="00F75320"/>
    <w:rsid w:val="00F753CF"/>
    <w:rsid w:val="00F757DD"/>
    <w:rsid w:val="00F75913"/>
    <w:rsid w:val="00F75E1F"/>
    <w:rsid w:val="00F76222"/>
    <w:rsid w:val="00F763D2"/>
    <w:rsid w:val="00F767F2"/>
    <w:rsid w:val="00F76D63"/>
    <w:rsid w:val="00F76EF1"/>
    <w:rsid w:val="00F77075"/>
    <w:rsid w:val="00F772BD"/>
    <w:rsid w:val="00F77566"/>
    <w:rsid w:val="00F77748"/>
    <w:rsid w:val="00F77E2A"/>
    <w:rsid w:val="00F80062"/>
    <w:rsid w:val="00F800C5"/>
    <w:rsid w:val="00F804B2"/>
    <w:rsid w:val="00F8050A"/>
    <w:rsid w:val="00F80C8A"/>
    <w:rsid w:val="00F81169"/>
    <w:rsid w:val="00F8119C"/>
    <w:rsid w:val="00F813AF"/>
    <w:rsid w:val="00F813E5"/>
    <w:rsid w:val="00F81CFA"/>
    <w:rsid w:val="00F82251"/>
    <w:rsid w:val="00F82403"/>
    <w:rsid w:val="00F82B0C"/>
    <w:rsid w:val="00F83339"/>
    <w:rsid w:val="00F83651"/>
    <w:rsid w:val="00F839FE"/>
    <w:rsid w:val="00F83D4F"/>
    <w:rsid w:val="00F8427A"/>
    <w:rsid w:val="00F84674"/>
    <w:rsid w:val="00F847FF"/>
    <w:rsid w:val="00F84A38"/>
    <w:rsid w:val="00F84A99"/>
    <w:rsid w:val="00F84CA9"/>
    <w:rsid w:val="00F84CDD"/>
    <w:rsid w:val="00F84E5D"/>
    <w:rsid w:val="00F85338"/>
    <w:rsid w:val="00F855E0"/>
    <w:rsid w:val="00F85A8A"/>
    <w:rsid w:val="00F85E5F"/>
    <w:rsid w:val="00F85FD0"/>
    <w:rsid w:val="00F86505"/>
    <w:rsid w:val="00F866D0"/>
    <w:rsid w:val="00F8681C"/>
    <w:rsid w:val="00F86C07"/>
    <w:rsid w:val="00F87A7C"/>
    <w:rsid w:val="00F87D2B"/>
    <w:rsid w:val="00F87D58"/>
    <w:rsid w:val="00F90500"/>
    <w:rsid w:val="00F909B8"/>
    <w:rsid w:val="00F90ACA"/>
    <w:rsid w:val="00F912CD"/>
    <w:rsid w:val="00F912FF"/>
    <w:rsid w:val="00F913F4"/>
    <w:rsid w:val="00F91578"/>
    <w:rsid w:val="00F919A5"/>
    <w:rsid w:val="00F91C99"/>
    <w:rsid w:val="00F91FBA"/>
    <w:rsid w:val="00F920DF"/>
    <w:rsid w:val="00F92166"/>
    <w:rsid w:val="00F9266C"/>
    <w:rsid w:val="00F92C5C"/>
    <w:rsid w:val="00F93175"/>
    <w:rsid w:val="00F937BA"/>
    <w:rsid w:val="00F94078"/>
    <w:rsid w:val="00F9431A"/>
    <w:rsid w:val="00F943C1"/>
    <w:rsid w:val="00F94493"/>
    <w:rsid w:val="00F94CF3"/>
    <w:rsid w:val="00F9509D"/>
    <w:rsid w:val="00F952D4"/>
    <w:rsid w:val="00F952DE"/>
    <w:rsid w:val="00F957C9"/>
    <w:rsid w:val="00F95A85"/>
    <w:rsid w:val="00F95E86"/>
    <w:rsid w:val="00F95F8D"/>
    <w:rsid w:val="00F96182"/>
    <w:rsid w:val="00F9639F"/>
    <w:rsid w:val="00F963DA"/>
    <w:rsid w:val="00F96403"/>
    <w:rsid w:val="00F9643D"/>
    <w:rsid w:val="00F967F7"/>
    <w:rsid w:val="00F96ACB"/>
    <w:rsid w:val="00F96C9A"/>
    <w:rsid w:val="00F972F3"/>
    <w:rsid w:val="00F9735E"/>
    <w:rsid w:val="00F973AF"/>
    <w:rsid w:val="00F973C6"/>
    <w:rsid w:val="00F97919"/>
    <w:rsid w:val="00F97C27"/>
    <w:rsid w:val="00FA09B0"/>
    <w:rsid w:val="00FA09B4"/>
    <w:rsid w:val="00FA0C7A"/>
    <w:rsid w:val="00FA106A"/>
    <w:rsid w:val="00FA1166"/>
    <w:rsid w:val="00FA1DCD"/>
    <w:rsid w:val="00FA2240"/>
    <w:rsid w:val="00FA27B3"/>
    <w:rsid w:val="00FA2FF6"/>
    <w:rsid w:val="00FA3120"/>
    <w:rsid w:val="00FA3396"/>
    <w:rsid w:val="00FA343C"/>
    <w:rsid w:val="00FA350E"/>
    <w:rsid w:val="00FA4023"/>
    <w:rsid w:val="00FA43A7"/>
    <w:rsid w:val="00FA44D9"/>
    <w:rsid w:val="00FA46C1"/>
    <w:rsid w:val="00FA49C3"/>
    <w:rsid w:val="00FA5B44"/>
    <w:rsid w:val="00FA623C"/>
    <w:rsid w:val="00FA68B5"/>
    <w:rsid w:val="00FA6B63"/>
    <w:rsid w:val="00FA6C5C"/>
    <w:rsid w:val="00FA6CF1"/>
    <w:rsid w:val="00FA75EF"/>
    <w:rsid w:val="00FA7753"/>
    <w:rsid w:val="00FA77BD"/>
    <w:rsid w:val="00FA7E3F"/>
    <w:rsid w:val="00FA7FCA"/>
    <w:rsid w:val="00FB01EC"/>
    <w:rsid w:val="00FB0985"/>
    <w:rsid w:val="00FB0AE6"/>
    <w:rsid w:val="00FB0CC7"/>
    <w:rsid w:val="00FB0CCE"/>
    <w:rsid w:val="00FB117B"/>
    <w:rsid w:val="00FB12A8"/>
    <w:rsid w:val="00FB14D4"/>
    <w:rsid w:val="00FB188E"/>
    <w:rsid w:val="00FB192B"/>
    <w:rsid w:val="00FB1935"/>
    <w:rsid w:val="00FB1A6B"/>
    <w:rsid w:val="00FB1D70"/>
    <w:rsid w:val="00FB20FB"/>
    <w:rsid w:val="00FB21C9"/>
    <w:rsid w:val="00FB240E"/>
    <w:rsid w:val="00FB246A"/>
    <w:rsid w:val="00FB280F"/>
    <w:rsid w:val="00FB2A0D"/>
    <w:rsid w:val="00FB2BE6"/>
    <w:rsid w:val="00FB2CA5"/>
    <w:rsid w:val="00FB2FF6"/>
    <w:rsid w:val="00FB3318"/>
    <w:rsid w:val="00FB3415"/>
    <w:rsid w:val="00FB35FD"/>
    <w:rsid w:val="00FB3A0C"/>
    <w:rsid w:val="00FB4253"/>
    <w:rsid w:val="00FB44B4"/>
    <w:rsid w:val="00FB463B"/>
    <w:rsid w:val="00FB4EAA"/>
    <w:rsid w:val="00FB4F9A"/>
    <w:rsid w:val="00FB529F"/>
    <w:rsid w:val="00FB5A06"/>
    <w:rsid w:val="00FB754F"/>
    <w:rsid w:val="00FB791F"/>
    <w:rsid w:val="00FB7943"/>
    <w:rsid w:val="00FB7C6D"/>
    <w:rsid w:val="00FB7F47"/>
    <w:rsid w:val="00FC04E5"/>
    <w:rsid w:val="00FC0734"/>
    <w:rsid w:val="00FC0957"/>
    <w:rsid w:val="00FC0FE0"/>
    <w:rsid w:val="00FC118B"/>
    <w:rsid w:val="00FC1B2C"/>
    <w:rsid w:val="00FC1CB7"/>
    <w:rsid w:val="00FC1FCE"/>
    <w:rsid w:val="00FC2034"/>
    <w:rsid w:val="00FC247E"/>
    <w:rsid w:val="00FC26AD"/>
    <w:rsid w:val="00FC2DF9"/>
    <w:rsid w:val="00FC2EF3"/>
    <w:rsid w:val="00FC317E"/>
    <w:rsid w:val="00FC328B"/>
    <w:rsid w:val="00FC3BF1"/>
    <w:rsid w:val="00FC3FA0"/>
    <w:rsid w:val="00FC43AF"/>
    <w:rsid w:val="00FC4717"/>
    <w:rsid w:val="00FC49E2"/>
    <w:rsid w:val="00FC4B61"/>
    <w:rsid w:val="00FC503A"/>
    <w:rsid w:val="00FC5254"/>
    <w:rsid w:val="00FC56FB"/>
    <w:rsid w:val="00FC58F4"/>
    <w:rsid w:val="00FC5A8E"/>
    <w:rsid w:val="00FC625A"/>
    <w:rsid w:val="00FC62C3"/>
    <w:rsid w:val="00FC6949"/>
    <w:rsid w:val="00FC6D9B"/>
    <w:rsid w:val="00FC72FD"/>
    <w:rsid w:val="00FC7517"/>
    <w:rsid w:val="00FC799F"/>
    <w:rsid w:val="00FC7DDE"/>
    <w:rsid w:val="00FD0020"/>
    <w:rsid w:val="00FD005B"/>
    <w:rsid w:val="00FD04EE"/>
    <w:rsid w:val="00FD0DC4"/>
    <w:rsid w:val="00FD11D9"/>
    <w:rsid w:val="00FD11F8"/>
    <w:rsid w:val="00FD1438"/>
    <w:rsid w:val="00FD1613"/>
    <w:rsid w:val="00FD1638"/>
    <w:rsid w:val="00FD1ECC"/>
    <w:rsid w:val="00FD1F92"/>
    <w:rsid w:val="00FD2086"/>
    <w:rsid w:val="00FD2291"/>
    <w:rsid w:val="00FD251B"/>
    <w:rsid w:val="00FD2722"/>
    <w:rsid w:val="00FD272A"/>
    <w:rsid w:val="00FD36F8"/>
    <w:rsid w:val="00FD3A2A"/>
    <w:rsid w:val="00FD3C05"/>
    <w:rsid w:val="00FD3FB9"/>
    <w:rsid w:val="00FD4326"/>
    <w:rsid w:val="00FD4BC6"/>
    <w:rsid w:val="00FD5061"/>
    <w:rsid w:val="00FD50F3"/>
    <w:rsid w:val="00FD5135"/>
    <w:rsid w:val="00FD568D"/>
    <w:rsid w:val="00FD59E3"/>
    <w:rsid w:val="00FD5C7D"/>
    <w:rsid w:val="00FD5FF7"/>
    <w:rsid w:val="00FD61CF"/>
    <w:rsid w:val="00FD63C4"/>
    <w:rsid w:val="00FD69F4"/>
    <w:rsid w:val="00FD6A99"/>
    <w:rsid w:val="00FD6AEA"/>
    <w:rsid w:val="00FD6F47"/>
    <w:rsid w:val="00FD6FB2"/>
    <w:rsid w:val="00FD7C2E"/>
    <w:rsid w:val="00FD7D5C"/>
    <w:rsid w:val="00FD7DB4"/>
    <w:rsid w:val="00FD7EB6"/>
    <w:rsid w:val="00FE0963"/>
    <w:rsid w:val="00FE098C"/>
    <w:rsid w:val="00FE0AF5"/>
    <w:rsid w:val="00FE0CB9"/>
    <w:rsid w:val="00FE0D21"/>
    <w:rsid w:val="00FE10A9"/>
    <w:rsid w:val="00FE1199"/>
    <w:rsid w:val="00FE1425"/>
    <w:rsid w:val="00FE14ED"/>
    <w:rsid w:val="00FE162B"/>
    <w:rsid w:val="00FE18D8"/>
    <w:rsid w:val="00FE1E72"/>
    <w:rsid w:val="00FE21C9"/>
    <w:rsid w:val="00FE21E9"/>
    <w:rsid w:val="00FE2966"/>
    <w:rsid w:val="00FE2D16"/>
    <w:rsid w:val="00FE31B2"/>
    <w:rsid w:val="00FE3716"/>
    <w:rsid w:val="00FE37B3"/>
    <w:rsid w:val="00FE3C02"/>
    <w:rsid w:val="00FE3D19"/>
    <w:rsid w:val="00FE3DAA"/>
    <w:rsid w:val="00FE3E0F"/>
    <w:rsid w:val="00FE40EE"/>
    <w:rsid w:val="00FE4192"/>
    <w:rsid w:val="00FE4D74"/>
    <w:rsid w:val="00FE4EBE"/>
    <w:rsid w:val="00FE559F"/>
    <w:rsid w:val="00FE5675"/>
    <w:rsid w:val="00FE5DDE"/>
    <w:rsid w:val="00FE6127"/>
    <w:rsid w:val="00FE6281"/>
    <w:rsid w:val="00FE667E"/>
    <w:rsid w:val="00FE6865"/>
    <w:rsid w:val="00FE6B45"/>
    <w:rsid w:val="00FE6BDE"/>
    <w:rsid w:val="00FE6F3C"/>
    <w:rsid w:val="00FE7473"/>
    <w:rsid w:val="00FE74AB"/>
    <w:rsid w:val="00FE766E"/>
    <w:rsid w:val="00FE771D"/>
    <w:rsid w:val="00FE7783"/>
    <w:rsid w:val="00FE790B"/>
    <w:rsid w:val="00FE7AF1"/>
    <w:rsid w:val="00FF0007"/>
    <w:rsid w:val="00FF03A2"/>
    <w:rsid w:val="00FF0A01"/>
    <w:rsid w:val="00FF0CD1"/>
    <w:rsid w:val="00FF161B"/>
    <w:rsid w:val="00FF1653"/>
    <w:rsid w:val="00FF176C"/>
    <w:rsid w:val="00FF1812"/>
    <w:rsid w:val="00FF231D"/>
    <w:rsid w:val="00FF28FE"/>
    <w:rsid w:val="00FF2BC0"/>
    <w:rsid w:val="00FF2CBA"/>
    <w:rsid w:val="00FF2F39"/>
    <w:rsid w:val="00FF32A9"/>
    <w:rsid w:val="00FF33A2"/>
    <w:rsid w:val="00FF33A9"/>
    <w:rsid w:val="00FF3582"/>
    <w:rsid w:val="00FF3907"/>
    <w:rsid w:val="00FF3BC9"/>
    <w:rsid w:val="00FF3CAC"/>
    <w:rsid w:val="00FF3FAC"/>
    <w:rsid w:val="00FF4016"/>
    <w:rsid w:val="00FF421B"/>
    <w:rsid w:val="00FF4368"/>
    <w:rsid w:val="00FF4478"/>
    <w:rsid w:val="00FF4508"/>
    <w:rsid w:val="00FF4F68"/>
    <w:rsid w:val="00FF503C"/>
    <w:rsid w:val="00FF5044"/>
    <w:rsid w:val="00FF52DE"/>
    <w:rsid w:val="00FF55D8"/>
    <w:rsid w:val="00FF565C"/>
    <w:rsid w:val="00FF5A1D"/>
    <w:rsid w:val="00FF5F0C"/>
    <w:rsid w:val="00FF6002"/>
    <w:rsid w:val="00FF601C"/>
    <w:rsid w:val="00FF6341"/>
    <w:rsid w:val="00FF64BE"/>
    <w:rsid w:val="00FF66D1"/>
    <w:rsid w:val="00FF68EF"/>
    <w:rsid w:val="00FF70B5"/>
    <w:rsid w:val="00FF7189"/>
    <w:rsid w:val="00FF7721"/>
    <w:rsid w:val="00FF7E98"/>
    <w:rsid w:val="00FF7F30"/>
    <w:rsid w:val="011A11A4"/>
    <w:rsid w:val="0135355E"/>
    <w:rsid w:val="01405559"/>
    <w:rsid w:val="014B5B44"/>
    <w:rsid w:val="0182219D"/>
    <w:rsid w:val="018C5F7F"/>
    <w:rsid w:val="01BE4069"/>
    <w:rsid w:val="01BE5800"/>
    <w:rsid w:val="01CB512E"/>
    <w:rsid w:val="01E46F65"/>
    <w:rsid w:val="02305B7C"/>
    <w:rsid w:val="02E536DD"/>
    <w:rsid w:val="030E7004"/>
    <w:rsid w:val="035E737B"/>
    <w:rsid w:val="037A0CC5"/>
    <w:rsid w:val="037D3DF5"/>
    <w:rsid w:val="03F06C42"/>
    <w:rsid w:val="041B3357"/>
    <w:rsid w:val="04787C5D"/>
    <w:rsid w:val="04900AB0"/>
    <w:rsid w:val="04C34346"/>
    <w:rsid w:val="04E30437"/>
    <w:rsid w:val="05465FD3"/>
    <w:rsid w:val="05D640FE"/>
    <w:rsid w:val="05F41FAA"/>
    <w:rsid w:val="05F45E3B"/>
    <w:rsid w:val="062E579C"/>
    <w:rsid w:val="062F07EF"/>
    <w:rsid w:val="063B78DC"/>
    <w:rsid w:val="06971FEE"/>
    <w:rsid w:val="06BF1B73"/>
    <w:rsid w:val="06C123D8"/>
    <w:rsid w:val="06C615A8"/>
    <w:rsid w:val="076E0F6D"/>
    <w:rsid w:val="07865624"/>
    <w:rsid w:val="07A8116C"/>
    <w:rsid w:val="07E84F31"/>
    <w:rsid w:val="083772CA"/>
    <w:rsid w:val="0839529D"/>
    <w:rsid w:val="08846562"/>
    <w:rsid w:val="08CA13FE"/>
    <w:rsid w:val="0921070B"/>
    <w:rsid w:val="092D4D1C"/>
    <w:rsid w:val="09974C33"/>
    <w:rsid w:val="09B82947"/>
    <w:rsid w:val="0A8C5FC6"/>
    <w:rsid w:val="0BF958C7"/>
    <w:rsid w:val="0C2561A2"/>
    <w:rsid w:val="0C3F3332"/>
    <w:rsid w:val="0C5A09A9"/>
    <w:rsid w:val="0CDB719E"/>
    <w:rsid w:val="0D56019D"/>
    <w:rsid w:val="0E0812B7"/>
    <w:rsid w:val="0E407559"/>
    <w:rsid w:val="0EAB6A73"/>
    <w:rsid w:val="0EBB37EE"/>
    <w:rsid w:val="0F4D0707"/>
    <w:rsid w:val="0F992D55"/>
    <w:rsid w:val="0FBA2A45"/>
    <w:rsid w:val="0FC41654"/>
    <w:rsid w:val="0FC41BDA"/>
    <w:rsid w:val="0FDE7285"/>
    <w:rsid w:val="100D1EFF"/>
    <w:rsid w:val="1042721E"/>
    <w:rsid w:val="104C05B8"/>
    <w:rsid w:val="1147532F"/>
    <w:rsid w:val="118C2ED5"/>
    <w:rsid w:val="11B176E2"/>
    <w:rsid w:val="11B83D31"/>
    <w:rsid w:val="11D07A25"/>
    <w:rsid w:val="11F7165F"/>
    <w:rsid w:val="126F5DEF"/>
    <w:rsid w:val="12795B29"/>
    <w:rsid w:val="12C82F5F"/>
    <w:rsid w:val="12F62B63"/>
    <w:rsid w:val="131D00A3"/>
    <w:rsid w:val="13696837"/>
    <w:rsid w:val="13AA30FE"/>
    <w:rsid w:val="13B31AEC"/>
    <w:rsid w:val="13FE3FBA"/>
    <w:rsid w:val="140E1568"/>
    <w:rsid w:val="142217CF"/>
    <w:rsid w:val="14404369"/>
    <w:rsid w:val="14C9345F"/>
    <w:rsid w:val="15082B36"/>
    <w:rsid w:val="16CB009A"/>
    <w:rsid w:val="173E69E9"/>
    <w:rsid w:val="175D674F"/>
    <w:rsid w:val="17861C35"/>
    <w:rsid w:val="179055A0"/>
    <w:rsid w:val="17B53534"/>
    <w:rsid w:val="17CD2550"/>
    <w:rsid w:val="1805209F"/>
    <w:rsid w:val="18114189"/>
    <w:rsid w:val="181C52F3"/>
    <w:rsid w:val="18F06F2D"/>
    <w:rsid w:val="19117739"/>
    <w:rsid w:val="19403824"/>
    <w:rsid w:val="19AD7F51"/>
    <w:rsid w:val="1A9E3747"/>
    <w:rsid w:val="1BA50D14"/>
    <w:rsid w:val="1BA677E7"/>
    <w:rsid w:val="1C05769F"/>
    <w:rsid w:val="1C157D87"/>
    <w:rsid w:val="1C352CA3"/>
    <w:rsid w:val="1C625D30"/>
    <w:rsid w:val="1C7671E3"/>
    <w:rsid w:val="1C777601"/>
    <w:rsid w:val="1C7B6556"/>
    <w:rsid w:val="1C8A493E"/>
    <w:rsid w:val="1CCB6998"/>
    <w:rsid w:val="1CD6623F"/>
    <w:rsid w:val="1CF90898"/>
    <w:rsid w:val="1CFA0FE7"/>
    <w:rsid w:val="1CFA589A"/>
    <w:rsid w:val="1D4824C2"/>
    <w:rsid w:val="1D8C69C4"/>
    <w:rsid w:val="1E1C7C6C"/>
    <w:rsid w:val="1E786F00"/>
    <w:rsid w:val="1E7C1E81"/>
    <w:rsid w:val="1EE26B01"/>
    <w:rsid w:val="1F00203D"/>
    <w:rsid w:val="1F147CCD"/>
    <w:rsid w:val="1F1F65F5"/>
    <w:rsid w:val="1F227F17"/>
    <w:rsid w:val="1F343C02"/>
    <w:rsid w:val="1F5B28E4"/>
    <w:rsid w:val="1FAC7E53"/>
    <w:rsid w:val="1FDC6DAB"/>
    <w:rsid w:val="200008B3"/>
    <w:rsid w:val="20517FE3"/>
    <w:rsid w:val="20597707"/>
    <w:rsid w:val="20CE2C18"/>
    <w:rsid w:val="21577705"/>
    <w:rsid w:val="217C1DAF"/>
    <w:rsid w:val="218220DE"/>
    <w:rsid w:val="21FE096D"/>
    <w:rsid w:val="222C76C6"/>
    <w:rsid w:val="22466CF3"/>
    <w:rsid w:val="2253067F"/>
    <w:rsid w:val="22A344E7"/>
    <w:rsid w:val="22A848DD"/>
    <w:rsid w:val="22C9107A"/>
    <w:rsid w:val="22DE3197"/>
    <w:rsid w:val="22F10EAE"/>
    <w:rsid w:val="230E0741"/>
    <w:rsid w:val="23B459CF"/>
    <w:rsid w:val="23CB5BA3"/>
    <w:rsid w:val="23F63E16"/>
    <w:rsid w:val="243A32C2"/>
    <w:rsid w:val="243F71F1"/>
    <w:rsid w:val="25093A3B"/>
    <w:rsid w:val="25236D0D"/>
    <w:rsid w:val="252F645D"/>
    <w:rsid w:val="254338F2"/>
    <w:rsid w:val="255E2F6B"/>
    <w:rsid w:val="258858A9"/>
    <w:rsid w:val="25E21C3F"/>
    <w:rsid w:val="25F64D5E"/>
    <w:rsid w:val="26757E2C"/>
    <w:rsid w:val="26790701"/>
    <w:rsid w:val="267970AE"/>
    <w:rsid w:val="273508EE"/>
    <w:rsid w:val="27483692"/>
    <w:rsid w:val="276F6E45"/>
    <w:rsid w:val="278066D7"/>
    <w:rsid w:val="27827B0F"/>
    <w:rsid w:val="27886287"/>
    <w:rsid w:val="279458B3"/>
    <w:rsid w:val="279F712B"/>
    <w:rsid w:val="27F53526"/>
    <w:rsid w:val="27F613F5"/>
    <w:rsid w:val="27FA5E76"/>
    <w:rsid w:val="28510862"/>
    <w:rsid w:val="28690FE5"/>
    <w:rsid w:val="288E2BD2"/>
    <w:rsid w:val="28DC50AB"/>
    <w:rsid w:val="28E55271"/>
    <w:rsid w:val="28E7739E"/>
    <w:rsid w:val="28FB134B"/>
    <w:rsid w:val="2923374B"/>
    <w:rsid w:val="29BD796F"/>
    <w:rsid w:val="2A3308BF"/>
    <w:rsid w:val="2A8220BE"/>
    <w:rsid w:val="2AAC3644"/>
    <w:rsid w:val="2AB27C4F"/>
    <w:rsid w:val="2B8073C2"/>
    <w:rsid w:val="2B8946FF"/>
    <w:rsid w:val="2C0A4741"/>
    <w:rsid w:val="2C804AD2"/>
    <w:rsid w:val="2CB62289"/>
    <w:rsid w:val="2CF86E08"/>
    <w:rsid w:val="2D37238E"/>
    <w:rsid w:val="2D55232A"/>
    <w:rsid w:val="2D9B15EF"/>
    <w:rsid w:val="2DB61F8F"/>
    <w:rsid w:val="2E304308"/>
    <w:rsid w:val="2E336D9D"/>
    <w:rsid w:val="2E3E6DB6"/>
    <w:rsid w:val="2E5674BC"/>
    <w:rsid w:val="2E9037D5"/>
    <w:rsid w:val="2EB26D79"/>
    <w:rsid w:val="2F16026E"/>
    <w:rsid w:val="2F7145F4"/>
    <w:rsid w:val="30183F1E"/>
    <w:rsid w:val="301C1F55"/>
    <w:rsid w:val="303436A9"/>
    <w:rsid w:val="30580298"/>
    <w:rsid w:val="30646F90"/>
    <w:rsid w:val="30CB0402"/>
    <w:rsid w:val="310955F2"/>
    <w:rsid w:val="31197E88"/>
    <w:rsid w:val="31FB7C56"/>
    <w:rsid w:val="321E42BD"/>
    <w:rsid w:val="324D2681"/>
    <w:rsid w:val="33A81F62"/>
    <w:rsid w:val="34457450"/>
    <w:rsid w:val="34BC749F"/>
    <w:rsid w:val="34BD2C73"/>
    <w:rsid w:val="350E185E"/>
    <w:rsid w:val="35373F98"/>
    <w:rsid w:val="35871ED9"/>
    <w:rsid w:val="36207E8F"/>
    <w:rsid w:val="36246068"/>
    <w:rsid w:val="363B7932"/>
    <w:rsid w:val="365C615D"/>
    <w:rsid w:val="36D15C2A"/>
    <w:rsid w:val="36F24681"/>
    <w:rsid w:val="36FA4BBC"/>
    <w:rsid w:val="371D61FE"/>
    <w:rsid w:val="374B5AC3"/>
    <w:rsid w:val="37C8447C"/>
    <w:rsid w:val="38187E4F"/>
    <w:rsid w:val="3820445B"/>
    <w:rsid w:val="38210467"/>
    <w:rsid w:val="38401B73"/>
    <w:rsid w:val="384B1D2A"/>
    <w:rsid w:val="38D830D6"/>
    <w:rsid w:val="38F24247"/>
    <w:rsid w:val="39780BBB"/>
    <w:rsid w:val="399267A7"/>
    <w:rsid w:val="39D617F2"/>
    <w:rsid w:val="3A711B40"/>
    <w:rsid w:val="3A7F1329"/>
    <w:rsid w:val="3A9974DB"/>
    <w:rsid w:val="3AA163AA"/>
    <w:rsid w:val="3B460F74"/>
    <w:rsid w:val="3B4E6F37"/>
    <w:rsid w:val="3B731AB5"/>
    <w:rsid w:val="3B833738"/>
    <w:rsid w:val="3B874762"/>
    <w:rsid w:val="3C2527C5"/>
    <w:rsid w:val="3C84642E"/>
    <w:rsid w:val="3CDA396C"/>
    <w:rsid w:val="3D081E67"/>
    <w:rsid w:val="3D6F75C9"/>
    <w:rsid w:val="3D8B1D43"/>
    <w:rsid w:val="3DBD343E"/>
    <w:rsid w:val="3DE90F01"/>
    <w:rsid w:val="3DFF703C"/>
    <w:rsid w:val="3E266E35"/>
    <w:rsid w:val="3F4829A1"/>
    <w:rsid w:val="3F6D6EBE"/>
    <w:rsid w:val="3F7F04D5"/>
    <w:rsid w:val="3F9A23F0"/>
    <w:rsid w:val="404C221E"/>
    <w:rsid w:val="40A005F0"/>
    <w:rsid w:val="40A50B35"/>
    <w:rsid w:val="40C80671"/>
    <w:rsid w:val="417D76A0"/>
    <w:rsid w:val="417E1386"/>
    <w:rsid w:val="4190159F"/>
    <w:rsid w:val="41A203A0"/>
    <w:rsid w:val="422B6BF4"/>
    <w:rsid w:val="42347713"/>
    <w:rsid w:val="425D2CF9"/>
    <w:rsid w:val="42A94EAA"/>
    <w:rsid w:val="42BE52AF"/>
    <w:rsid w:val="432F3167"/>
    <w:rsid w:val="435636B8"/>
    <w:rsid w:val="43B00A8F"/>
    <w:rsid w:val="452545FE"/>
    <w:rsid w:val="454B391C"/>
    <w:rsid w:val="45511B47"/>
    <w:rsid w:val="459557D9"/>
    <w:rsid w:val="45A15DDB"/>
    <w:rsid w:val="45A3513D"/>
    <w:rsid w:val="45B22926"/>
    <w:rsid w:val="45DF5CBB"/>
    <w:rsid w:val="4681712C"/>
    <w:rsid w:val="468B6718"/>
    <w:rsid w:val="46F83AAC"/>
    <w:rsid w:val="473B23EB"/>
    <w:rsid w:val="476250CF"/>
    <w:rsid w:val="47B32EAB"/>
    <w:rsid w:val="47C40E8C"/>
    <w:rsid w:val="4846601F"/>
    <w:rsid w:val="489C413A"/>
    <w:rsid w:val="48B1218F"/>
    <w:rsid w:val="48B14AB0"/>
    <w:rsid w:val="48BB286C"/>
    <w:rsid w:val="48D6123C"/>
    <w:rsid w:val="49150F51"/>
    <w:rsid w:val="4925347E"/>
    <w:rsid w:val="492D2388"/>
    <w:rsid w:val="49480BD4"/>
    <w:rsid w:val="496E11C3"/>
    <w:rsid w:val="498A2208"/>
    <w:rsid w:val="499F04DF"/>
    <w:rsid w:val="49CB3BFF"/>
    <w:rsid w:val="4A052F67"/>
    <w:rsid w:val="4A2B4010"/>
    <w:rsid w:val="4AA4619B"/>
    <w:rsid w:val="4AAE7A16"/>
    <w:rsid w:val="4AC62161"/>
    <w:rsid w:val="4B284D77"/>
    <w:rsid w:val="4BB0116C"/>
    <w:rsid w:val="4BCA71EC"/>
    <w:rsid w:val="4BCE5075"/>
    <w:rsid w:val="4BEC1507"/>
    <w:rsid w:val="4C9857D9"/>
    <w:rsid w:val="4CD363C9"/>
    <w:rsid w:val="4D7F6702"/>
    <w:rsid w:val="4DD27ACF"/>
    <w:rsid w:val="4E1A7ECD"/>
    <w:rsid w:val="4E7818B6"/>
    <w:rsid w:val="4E7D040D"/>
    <w:rsid w:val="4F123950"/>
    <w:rsid w:val="4F134C73"/>
    <w:rsid w:val="4FBF38CB"/>
    <w:rsid w:val="507519D9"/>
    <w:rsid w:val="50EC442B"/>
    <w:rsid w:val="517C422B"/>
    <w:rsid w:val="51824CF6"/>
    <w:rsid w:val="51F324C4"/>
    <w:rsid w:val="52127D7D"/>
    <w:rsid w:val="5235306E"/>
    <w:rsid w:val="52412A63"/>
    <w:rsid w:val="525672F6"/>
    <w:rsid w:val="52765E11"/>
    <w:rsid w:val="534179D1"/>
    <w:rsid w:val="53763D4D"/>
    <w:rsid w:val="53B74B2E"/>
    <w:rsid w:val="54135280"/>
    <w:rsid w:val="541B6C3A"/>
    <w:rsid w:val="543730D2"/>
    <w:rsid w:val="54AA3A44"/>
    <w:rsid w:val="54FE2E33"/>
    <w:rsid w:val="5526139C"/>
    <w:rsid w:val="552B2D26"/>
    <w:rsid w:val="554E1470"/>
    <w:rsid w:val="55986D51"/>
    <w:rsid w:val="55D42624"/>
    <w:rsid w:val="56133CA0"/>
    <w:rsid w:val="56DD4ABD"/>
    <w:rsid w:val="5703231E"/>
    <w:rsid w:val="57116442"/>
    <w:rsid w:val="578D3493"/>
    <w:rsid w:val="584D20BC"/>
    <w:rsid w:val="586A7A45"/>
    <w:rsid w:val="58914C8B"/>
    <w:rsid w:val="58D2797E"/>
    <w:rsid w:val="58E3423E"/>
    <w:rsid w:val="58F23ED5"/>
    <w:rsid w:val="59016040"/>
    <w:rsid w:val="5956205C"/>
    <w:rsid w:val="599637F4"/>
    <w:rsid w:val="599E6CB8"/>
    <w:rsid w:val="59E031E2"/>
    <w:rsid w:val="5A545E05"/>
    <w:rsid w:val="5A5B5FB9"/>
    <w:rsid w:val="5AA974E8"/>
    <w:rsid w:val="5AD0387F"/>
    <w:rsid w:val="5AE939D9"/>
    <w:rsid w:val="5B2E770A"/>
    <w:rsid w:val="5B8340E7"/>
    <w:rsid w:val="5B8D0599"/>
    <w:rsid w:val="5B937814"/>
    <w:rsid w:val="5BA627EA"/>
    <w:rsid w:val="5BAA125C"/>
    <w:rsid w:val="5C254E10"/>
    <w:rsid w:val="5C463FDB"/>
    <w:rsid w:val="5C6E79F1"/>
    <w:rsid w:val="5C8657B1"/>
    <w:rsid w:val="5CA73484"/>
    <w:rsid w:val="5CB66DDB"/>
    <w:rsid w:val="5CE5499C"/>
    <w:rsid w:val="5D77243C"/>
    <w:rsid w:val="5DD60CDA"/>
    <w:rsid w:val="5E2F13E4"/>
    <w:rsid w:val="5E684A9E"/>
    <w:rsid w:val="5EC546B7"/>
    <w:rsid w:val="5EE01513"/>
    <w:rsid w:val="5F076FFB"/>
    <w:rsid w:val="5F515511"/>
    <w:rsid w:val="5F815B25"/>
    <w:rsid w:val="5FA9036D"/>
    <w:rsid w:val="5FB20CF3"/>
    <w:rsid w:val="5FB97F54"/>
    <w:rsid w:val="5FE20A6A"/>
    <w:rsid w:val="5FE80DF1"/>
    <w:rsid w:val="5FED079B"/>
    <w:rsid w:val="60394F33"/>
    <w:rsid w:val="607754E4"/>
    <w:rsid w:val="607A028C"/>
    <w:rsid w:val="61870BA9"/>
    <w:rsid w:val="61904268"/>
    <w:rsid w:val="61922827"/>
    <w:rsid w:val="61985AAE"/>
    <w:rsid w:val="619B21A0"/>
    <w:rsid w:val="61A24375"/>
    <w:rsid w:val="61C95215"/>
    <w:rsid w:val="61CF4043"/>
    <w:rsid w:val="620863D2"/>
    <w:rsid w:val="62197E84"/>
    <w:rsid w:val="626058BD"/>
    <w:rsid w:val="62D70238"/>
    <w:rsid w:val="630014F2"/>
    <w:rsid w:val="634E5810"/>
    <w:rsid w:val="636310DD"/>
    <w:rsid w:val="63973714"/>
    <w:rsid w:val="63A81226"/>
    <w:rsid w:val="63FC654F"/>
    <w:rsid w:val="650A079C"/>
    <w:rsid w:val="651D1C32"/>
    <w:rsid w:val="65E24C86"/>
    <w:rsid w:val="65E5355A"/>
    <w:rsid w:val="66024457"/>
    <w:rsid w:val="66A21BD5"/>
    <w:rsid w:val="66FA60C7"/>
    <w:rsid w:val="673C65F0"/>
    <w:rsid w:val="674A3D4F"/>
    <w:rsid w:val="679006E0"/>
    <w:rsid w:val="67C80B46"/>
    <w:rsid w:val="680E64F1"/>
    <w:rsid w:val="6864772D"/>
    <w:rsid w:val="68BC6A3B"/>
    <w:rsid w:val="69092D7D"/>
    <w:rsid w:val="69290CE5"/>
    <w:rsid w:val="692E211D"/>
    <w:rsid w:val="695D2EC5"/>
    <w:rsid w:val="69C53915"/>
    <w:rsid w:val="6A121AD7"/>
    <w:rsid w:val="6A3C248C"/>
    <w:rsid w:val="6ABA024E"/>
    <w:rsid w:val="6AD23B35"/>
    <w:rsid w:val="6C3226C6"/>
    <w:rsid w:val="6C545FF5"/>
    <w:rsid w:val="6C591BE2"/>
    <w:rsid w:val="6C97063E"/>
    <w:rsid w:val="6D554232"/>
    <w:rsid w:val="6E0A4A26"/>
    <w:rsid w:val="6E5A4385"/>
    <w:rsid w:val="6E5E1B6C"/>
    <w:rsid w:val="6EED5F9B"/>
    <w:rsid w:val="6EEF71D1"/>
    <w:rsid w:val="6EF04F82"/>
    <w:rsid w:val="6F021A16"/>
    <w:rsid w:val="6F1C43D6"/>
    <w:rsid w:val="6F1D40CE"/>
    <w:rsid w:val="6F422420"/>
    <w:rsid w:val="6F514777"/>
    <w:rsid w:val="6FCE6181"/>
    <w:rsid w:val="7051517A"/>
    <w:rsid w:val="706E5A1E"/>
    <w:rsid w:val="70976085"/>
    <w:rsid w:val="70A647A4"/>
    <w:rsid w:val="70B8395F"/>
    <w:rsid w:val="70D85BD1"/>
    <w:rsid w:val="715B338A"/>
    <w:rsid w:val="71695F18"/>
    <w:rsid w:val="716A7ADC"/>
    <w:rsid w:val="71DE2E53"/>
    <w:rsid w:val="721D27C5"/>
    <w:rsid w:val="721F39FF"/>
    <w:rsid w:val="729E121E"/>
    <w:rsid w:val="72B80AA9"/>
    <w:rsid w:val="72E23A7A"/>
    <w:rsid w:val="72F6179B"/>
    <w:rsid w:val="733252F0"/>
    <w:rsid w:val="735B2E64"/>
    <w:rsid w:val="738003CA"/>
    <w:rsid w:val="7396120A"/>
    <w:rsid w:val="73C56EED"/>
    <w:rsid w:val="74180D50"/>
    <w:rsid w:val="741E3A74"/>
    <w:rsid w:val="74917CCB"/>
    <w:rsid w:val="74CC56DC"/>
    <w:rsid w:val="74E474F8"/>
    <w:rsid w:val="758D4AB4"/>
    <w:rsid w:val="758E30F3"/>
    <w:rsid w:val="75D12961"/>
    <w:rsid w:val="765941C5"/>
    <w:rsid w:val="76E859B6"/>
    <w:rsid w:val="771A165E"/>
    <w:rsid w:val="773B6CD4"/>
    <w:rsid w:val="77E302C4"/>
    <w:rsid w:val="77E30949"/>
    <w:rsid w:val="77E36DBE"/>
    <w:rsid w:val="77F16A53"/>
    <w:rsid w:val="783525A0"/>
    <w:rsid w:val="786F12BD"/>
    <w:rsid w:val="786F1AA9"/>
    <w:rsid w:val="7872551D"/>
    <w:rsid w:val="78B86EE8"/>
    <w:rsid w:val="7920071D"/>
    <w:rsid w:val="79B56BC5"/>
    <w:rsid w:val="79C52BC7"/>
    <w:rsid w:val="79C747F6"/>
    <w:rsid w:val="7A2861E8"/>
    <w:rsid w:val="7A36659D"/>
    <w:rsid w:val="7A6027C1"/>
    <w:rsid w:val="7A854A12"/>
    <w:rsid w:val="7B237820"/>
    <w:rsid w:val="7B690757"/>
    <w:rsid w:val="7B974622"/>
    <w:rsid w:val="7C211085"/>
    <w:rsid w:val="7C2E6B5E"/>
    <w:rsid w:val="7C3C1587"/>
    <w:rsid w:val="7C6B3F7A"/>
    <w:rsid w:val="7C7C6FF4"/>
    <w:rsid w:val="7CA52AE4"/>
    <w:rsid w:val="7CC540AA"/>
    <w:rsid w:val="7CE3371D"/>
    <w:rsid w:val="7D3119EA"/>
    <w:rsid w:val="7D4E72F0"/>
    <w:rsid w:val="7D581DAF"/>
    <w:rsid w:val="7D860B69"/>
    <w:rsid w:val="7DA27F18"/>
    <w:rsid w:val="7DD15417"/>
    <w:rsid w:val="7DED1691"/>
    <w:rsid w:val="7E662EAD"/>
    <w:rsid w:val="7E9219F9"/>
    <w:rsid w:val="7EA85A3A"/>
    <w:rsid w:val="7EC14C30"/>
    <w:rsid w:val="7EF87B3E"/>
    <w:rsid w:val="7F474277"/>
    <w:rsid w:val="7F52348C"/>
    <w:rsid w:val="7F924DA0"/>
    <w:rsid w:val="7FC6022D"/>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qFormat="1" w:unhideWhenUsed="0" w:uiPriority="0" w:semiHidden="0" w:name="List Number"/>
    <w:lsdException w:qFormat="1" w:unhideWhenUsed="0" w:uiPriority="0" w:semiHidden="0" w:name="List 2"/>
    <w:lsdException w:qFormat="1" w:unhideWhenUsed="0" w:uiPriority="0" w:semiHidden="0" w:name="List 3"/>
    <w:lsdException w:qFormat="1" w:unhideWhenUsed="0" w:uiPriority="0" w:semiHidden="0" w:name="List 4"/>
    <w:lsdException w:qFormat="1"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qFormat="1"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qFormat="1"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99"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qFormat="1" w:unhideWhenUsed="0" w:uiPriority="0" w:semiHidden="0" w:name="HTML Preformatted"/>
    <w:lsdException w:unhideWhenUsed="0" w:uiPriority="0" w:semiHidden="0" w:name="HTML Sample"/>
    <w:lsdException w:unhideWhenUsed="0" w:uiPriority="0" w:semiHidden="0" w:name="HTML Typewriter"/>
    <w:lsdException w:uiPriority="0" w:name="HTML Variable"/>
    <w:lsdException w:qFormat="1" w:uiPriority="99" w:semiHidden="0"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qFormat="1" w:uiPriority="99" w:semiHidden="0"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59"/>
    <w:qFormat/>
    <w:uiPriority w:val="9"/>
    <w:pPr>
      <w:keepNext/>
      <w:keepLines/>
      <w:spacing w:before="340" w:after="330" w:line="576" w:lineRule="auto"/>
      <w:outlineLvl w:val="0"/>
    </w:pPr>
    <w:rPr>
      <w:b/>
      <w:bCs/>
      <w:kern w:val="44"/>
      <w:sz w:val="44"/>
      <w:szCs w:val="44"/>
    </w:rPr>
  </w:style>
  <w:style w:type="paragraph" w:styleId="3">
    <w:name w:val="heading 2"/>
    <w:basedOn w:val="1"/>
    <w:next w:val="1"/>
    <w:link w:val="60"/>
    <w:qFormat/>
    <w:uiPriority w:val="0"/>
    <w:pPr>
      <w:keepNext/>
      <w:keepLines/>
      <w:spacing w:before="260" w:after="260" w:line="413" w:lineRule="auto"/>
      <w:outlineLvl w:val="1"/>
    </w:pPr>
    <w:rPr>
      <w:rFonts w:ascii="Arial" w:hAnsi="Arial" w:eastAsia="黑体"/>
      <w:b/>
      <w:bCs/>
      <w:sz w:val="32"/>
      <w:szCs w:val="32"/>
    </w:rPr>
  </w:style>
  <w:style w:type="paragraph" w:styleId="4">
    <w:name w:val="heading 3"/>
    <w:basedOn w:val="1"/>
    <w:next w:val="1"/>
    <w:link w:val="61"/>
    <w:qFormat/>
    <w:uiPriority w:val="0"/>
    <w:pPr>
      <w:keepNext/>
      <w:keepLines/>
      <w:spacing w:before="260" w:after="260" w:line="413" w:lineRule="auto"/>
      <w:outlineLvl w:val="2"/>
    </w:pPr>
    <w:rPr>
      <w:b/>
      <w:bCs/>
      <w:sz w:val="32"/>
      <w:szCs w:val="32"/>
    </w:rPr>
  </w:style>
  <w:style w:type="paragraph" w:styleId="5">
    <w:name w:val="heading 4"/>
    <w:basedOn w:val="1"/>
    <w:next w:val="1"/>
    <w:link w:val="62"/>
    <w:qFormat/>
    <w:uiPriority w:val="0"/>
    <w:pPr>
      <w:keepNext/>
      <w:keepLines/>
      <w:widowControl/>
      <w:spacing w:before="120" w:after="120" w:line="360" w:lineRule="auto"/>
      <w:jc w:val="center"/>
      <w:outlineLvl w:val="3"/>
    </w:pPr>
    <w:rPr>
      <w:rFonts w:ascii="Arial" w:hAnsi="Arial" w:eastAsia="黑体"/>
      <w:kern w:val="0"/>
      <w:sz w:val="28"/>
      <w:szCs w:val="20"/>
    </w:rPr>
  </w:style>
  <w:style w:type="paragraph" w:styleId="6">
    <w:name w:val="heading 5"/>
    <w:basedOn w:val="1"/>
    <w:next w:val="7"/>
    <w:link w:val="63"/>
    <w:qFormat/>
    <w:uiPriority w:val="0"/>
    <w:pPr>
      <w:keepNext/>
      <w:keepLines/>
      <w:spacing w:before="280" w:after="290" w:line="372" w:lineRule="auto"/>
      <w:outlineLvl w:val="4"/>
    </w:pPr>
    <w:rPr>
      <w:b/>
      <w:sz w:val="28"/>
    </w:rPr>
  </w:style>
  <w:style w:type="paragraph" w:styleId="8">
    <w:name w:val="heading 6"/>
    <w:basedOn w:val="1"/>
    <w:next w:val="7"/>
    <w:link w:val="64"/>
    <w:qFormat/>
    <w:uiPriority w:val="0"/>
    <w:pPr>
      <w:keepNext/>
      <w:keepLines/>
      <w:spacing w:before="240" w:after="64" w:line="317" w:lineRule="auto"/>
      <w:outlineLvl w:val="5"/>
    </w:pPr>
    <w:rPr>
      <w:rFonts w:ascii="Arial" w:hAnsi="Arial" w:eastAsia="黑体"/>
      <w:b/>
      <w:sz w:val="24"/>
    </w:rPr>
  </w:style>
  <w:style w:type="paragraph" w:styleId="9">
    <w:name w:val="heading 7"/>
    <w:basedOn w:val="1"/>
    <w:next w:val="7"/>
    <w:link w:val="65"/>
    <w:qFormat/>
    <w:uiPriority w:val="0"/>
    <w:pPr>
      <w:keepNext/>
      <w:keepLines/>
      <w:spacing w:before="240" w:after="64" w:line="317" w:lineRule="auto"/>
      <w:outlineLvl w:val="6"/>
    </w:pPr>
    <w:rPr>
      <w:b/>
      <w:sz w:val="24"/>
    </w:rPr>
  </w:style>
  <w:style w:type="paragraph" w:styleId="10">
    <w:name w:val="heading 8"/>
    <w:basedOn w:val="1"/>
    <w:next w:val="7"/>
    <w:link w:val="66"/>
    <w:qFormat/>
    <w:uiPriority w:val="0"/>
    <w:pPr>
      <w:keepNext/>
      <w:keepLines/>
      <w:spacing w:before="240" w:after="64" w:line="317" w:lineRule="auto"/>
      <w:outlineLvl w:val="7"/>
    </w:pPr>
    <w:rPr>
      <w:rFonts w:ascii="Arial" w:hAnsi="Arial" w:eastAsia="黑体"/>
      <w:sz w:val="24"/>
    </w:rPr>
  </w:style>
  <w:style w:type="paragraph" w:styleId="11">
    <w:name w:val="heading 9"/>
    <w:basedOn w:val="1"/>
    <w:next w:val="7"/>
    <w:link w:val="67"/>
    <w:qFormat/>
    <w:uiPriority w:val="0"/>
    <w:pPr>
      <w:keepNext/>
      <w:keepLines/>
      <w:spacing w:before="240" w:after="64" w:line="317" w:lineRule="auto"/>
      <w:outlineLvl w:val="8"/>
    </w:pPr>
    <w:rPr>
      <w:rFonts w:ascii="Arial" w:hAnsi="Arial" w:eastAsia="黑体"/>
    </w:rPr>
  </w:style>
  <w:style w:type="character" w:default="1" w:styleId="53">
    <w:name w:val="Default Paragraph Font"/>
    <w:unhideWhenUsed/>
    <w:qFormat/>
    <w:uiPriority w:val="1"/>
  </w:style>
  <w:style w:type="table" w:default="1" w:styleId="51">
    <w:name w:val="Normal Table"/>
    <w:unhideWhenUsed/>
    <w:qFormat/>
    <w:uiPriority w:val="99"/>
    <w:tblPr>
      <w:tblCellMar>
        <w:top w:w="0" w:type="dxa"/>
        <w:left w:w="108" w:type="dxa"/>
        <w:bottom w:w="0" w:type="dxa"/>
        <w:right w:w="108" w:type="dxa"/>
      </w:tblCellMar>
    </w:tblPr>
  </w:style>
  <w:style w:type="paragraph" w:styleId="7">
    <w:name w:val="Normal Indent"/>
    <w:basedOn w:val="1"/>
    <w:qFormat/>
    <w:uiPriority w:val="0"/>
    <w:pPr>
      <w:ind w:firstLine="420"/>
    </w:pPr>
    <w:rPr>
      <w:szCs w:val="20"/>
    </w:rPr>
  </w:style>
  <w:style w:type="paragraph" w:styleId="12">
    <w:name w:val="List 3"/>
    <w:basedOn w:val="1"/>
    <w:qFormat/>
    <w:uiPriority w:val="0"/>
    <w:pPr>
      <w:ind w:left="100" w:leftChars="400" w:hanging="200" w:hangingChars="200"/>
    </w:pPr>
  </w:style>
  <w:style w:type="paragraph" w:styleId="13">
    <w:name w:val="toc 7"/>
    <w:basedOn w:val="1"/>
    <w:next w:val="1"/>
    <w:qFormat/>
    <w:uiPriority w:val="0"/>
    <w:pPr>
      <w:tabs>
        <w:tab w:val="right" w:leader="dot" w:pos="9185"/>
      </w:tabs>
      <w:adjustRightInd w:val="0"/>
      <w:spacing w:line="312" w:lineRule="atLeast"/>
      <w:ind w:left="2520"/>
      <w:textAlignment w:val="baseline"/>
    </w:pPr>
    <w:rPr>
      <w:kern w:val="0"/>
      <w:szCs w:val="20"/>
    </w:rPr>
  </w:style>
  <w:style w:type="paragraph" w:styleId="14">
    <w:name w:val="List Number"/>
    <w:basedOn w:val="1"/>
    <w:qFormat/>
    <w:uiPriority w:val="0"/>
    <w:pPr>
      <w:widowControl/>
      <w:tabs>
        <w:tab w:val="left" w:pos="454"/>
        <w:tab w:val="left" w:pos="720"/>
        <w:tab w:val="left" w:pos="840"/>
      </w:tabs>
      <w:spacing w:after="156" w:afterLines="50"/>
      <w:ind w:left="454" w:hanging="284"/>
      <w:jc w:val="left"/>
    </w:pPr>
    <w:rPr>
      <w:kern w:val="0"/>
      <w:sz w:val="24"/>
      <w:szCs w:val="20"/>
    </w:rPr>
  </w:style>
  <w:style w:type="paragraph" w:styleId="15">
    <w:name w:val="caption"/>
    <w:basedOn w:val="1"/>
    <w:next w:val="1"/>
    <w:qFormat/>
    <w:uiPriority w:val="0"/>
    <w:pPr>
      <w:spacing w:before="152" w:after="160"/>
    </w:pPr>
    <w:rPr>
      <w:rFonts w:ascii="Arial" w:hAnsi="Arial" w:eastAsia="黑体" w:cs="Arial"/>
      <w:sz w:val="20"/>
      <w:szCs w:val="20"/>
    </w:rPr>
  </w:style>
  <w:style w:type="paragraph" w:styleId="16">
    <w:name w:val="Document Map"/>
    <w:basedOn w:val="1"/>
    <w:link w:val="68"/>
    <w:qFormat/>
    <w:uiPriority w:val="0"/>
    <w:pPr>
      <w:shd w:val="clear" w:color="auto" w:fill="000080"/>
      <w:adjustRightInd w:val="0"/>
      <w:spacing w:line="312" w:lineRule="atLeast"/>
      <w:textAlignment w:val="baseline"/>
    </w:pPr>
    <w:rPr>
      <w:kern w:val="0"/>
      <w:szCs w:val="20"/>
    </w:rPr>
  </w:style>
  <w:style w:type="paragraph" w:styleId="17">
    <w:name w:val="annotation text"/>
    <w:basedOn w:val="1"/>
    <w:link w:val="69"/>
    <w:qFormat/>
    <w:uiPriority w:val="0"/>
    <w:pPr>
      <w:jc w:val="left"/>
    </w:pPr>
  </w:style>
  <w:style w:type="paragraph" w:styleId="18">
    <w:name w:val="Body Text 3"/>
    <w:basedOn w:val="1"/>
    <w:link w:val="70"/>
    <w:qFormat/>
    <w:uiPriority w:val="0"/>
    <w:pPr>
      <w:spacing w:line="500" w:lineRule="exact"/>
    </w:pPr>
    <w:rPr>
      <w:b/>
      <w:bCs/>
      <w:sz w:val="24"/>
    </w:rPr>
  </w:style>
  <w:style w:type="paragraph" w:styleId="19">
    <w:name w:val="Body Text"/>
    <w:basedOn w:val="1"/>
    <w:link w:val="71"/>
    <w:qFormat/>
    <w:uiPriority w:val="0"/>
    <w:pPr>
      <w:spacing w:line="380" w:lineRule="exact"/>
    </w:pPr>
    <w:rPr>
      <w:sz w:val="24"/>
    </w:rPr>
  </w:style>
  <w:style w:type="paragraph" w:styleId="20">
    <w:name w:val="Body Text Indent"/>
    <w:basedOn w:val="1"/>
    <w:link w:val="72"/>
    <w:qFormat/>
    <w:uiPriority w:val="0"/>
    <w:pPr>
      <w:ind w:firstLine="830" w:firstLineChars="352"/>
    </w:pPr>
    <w:rPr>
      <w:rFonts w:ascii="仿宋_GB2312" w:eastAsia="仿宋_GB2312"/>
      <w:sz w:val="32"/>
      <w:szCs w:val="20"/>
    </w:rPr>
  </w:style>
  <w:style w:type="paragraph" w:styleId="21">
    <w:name w:val="List Number 3"/>
    <w:basedOn w:val="1"/>
    <w:qFormat/>
    <w:uiPriority w:val="0"/>
    <w:pPr>
      <w:tabs>
        <w:tab w:val="left" w:pos="1200"/>
      </w:tabs>
      <w:ind w:left="1200" w:leftChars="400" w:hanging="360" w:hangingChars="200"/>
    </w:pPr>
  </w:style>
  <w:style w:type="paragraph" w:styleId="22">
    <w:name w:val="List 2"/>
    <w:basedOn w:val="1"/>
    <w:qFormat/>
    <w:uiPriority w:val="0"/>
    <w:pPr>
      <w:ind w:left="100" w:leftChars="200" w:hanging="200" w:hangingChars="200"/>
    </w:pPr>
    <w:rPr>
      <w:sz w:val="28"/>
    </w:rPr>
  </w:style>
  <w:style w:type="paragraph" w:styleId="23">
    <w:name w:val="Block Text"/>
    <w:basedOn w:val="1"/>
    <w:qFormat/>
    <w:uiPriority w:val="0"/>
    <w:pPr>
      <w:adjustRightInd w:val="0"/>
      <w:ind w:left="420" w:right="33"/>
      <w:jc w:val="left"/>
      <w:textAlignment w:val="baseline"/>
    </w:pPr>
    <w:rPr>
      <w:kern w:val="0"/>
      <w:sz w:val="24"/>
      <w:szCs w:val="20"/>
    </w:rPr>
  </w:style>
  <w:style w:type="paragraph" w:styleId="24">
    <w:name w:val="toc 5"/>
    <w:basedOn w:val="1"/>
    <w:next w:val="1"/>
    <w:qFormat/>
    <w:uiPriority w:val="0"/>
    <w:pPr>
      <w:tabs>
        <w:tab w:val="right" w:leader="dot" w:pos="9185"/>
      </w:tabs>
      <w:adjustRightInd w:val="0"/>
      <w:spacing w:line="312" w:lineRule="atLeast"/>
      <w:ind w:left="1680"/>
      <w:textAlignment w:val="baseline"/>
    </w:pPr>
    <w:rPr>
      <w:kern w:val="0"/>
      <w:szCs w:val="20"/>
    </w:rPr>
  </w:style>
  <w:style w:type="paragraph" w:styleId="25">
    <w:name w:val="toc 3"/>
    <w:basedOn w:val="1"/>
    <w:next w:val="1"/>
    <w:qFormat/>
    <w:uiPriority w:val="39"/>
    <w:pPr>
      <w:ind w:left="840" w:leftChars="400"/>
    </w:pPr>
  </w:style>
  <w:style w:type="paragraph" w:styleId="26">
    <w:name w:val="Plain Text"/>
    <w:basedOn w:val="1"/>
    <w:link w:val="73"/>
    <w:qFormat/>
    <w:uiPriority w:val="0"/>
    <w:rPr>
      <w:rFonts w:ascii="宋体" w:hAnsi="Courier New" w:cs="Courier New"/>
      <w:szCs w:val="21"/>
    </w:rPr>
  </w:style>
  <w:style w:type="paragraph" w:styleId="27">
    <w:name w:val="toc 8"/>
    <w:basedOn w:val="1"/>
    <w:next w:val="1"/>
    <w:qFormat/>
    <w:uiPriority w:val="0"/>
    <w:pPr>
      <w:tabs>
        <w:tab w:val="right" w:leader="dot" w:pos="9185"/>
      </w:tabs>
      <w:adjustRightInd w:val="0"/>
      <w:spacing w:line="312" w:lineRule="atLeast"/>
      <w:ind w:left="2940"/>
      <w:textAlignment w:val="baseline"/>
    </w:pPr>
    <w:rPr>
      <w:kern w:val="0"/>
      <w:szCs w:val="20"/>
    </w:rPr>
  </w:style>
  <w:style w:type="paragraph" w:styleId="28">
    <w:name w:val="Date"/>
    <w:basedOn w:val="1"/>
    <w:next w:val="1"/>
    <w:link w:val="74"/>
    <w:qFormat/>
    <w:uiPriority w:val="0"/>
    <w:pPr>
      <w:ind w:left="100" w:leftChars="2500"/>
    </w:pPr>
    <w:rPr>
      <w:rFonts w:ascii="宋体" w:hAnsi="Courier New"/>
      <w:szCs w:val="21"/>
    </w:rPr>
  </w:style>
  <w:style w:type="paragraph" w:styleId="29">
    <w:name w:val="Body Text Indent 2"/>
    <w:basedOn w:val="1"/>
    <w:link w:val="75"/>
    <w:qFormat/>
    <w:uiPriority w:val="0"/>
    <w:pPr>
      <w:ind w:firstLine="630"/>
    </w:pPr>
    <w:rPr>
      <w:sz w:val="32"/>
      <w:szCs w:val="20"/>
    </w:rPr>
  </w:style>
  <w:style w:type="paragraph" w:styleId="30">
    <w:name w:val="Balloon Text"/>
    <w:basedOn w:val="1"/>
    <w:link w:val="76"/>
    <w:qFormat/>
    <w:uiPriority w:val="0"/>
    <w:rPr>
      <w:sz w:val="18"/>
      <w:szCs w:val="18"/>
    </w:rPr>
  </w:style>
  <w:style w:type="paragraph" w:styleId="31">
    <w:name w:val="footer"/>
    <w:basedOn w:val="1"/>
    <w:link w:val="77"/>
    <w:qFormat/>
    <w:uiPriority w:val="0"/>
    <w:pPr>
      <w:tabs>
        <w:tab w:val="center" w:pos="4153"/>
        <w:tab w:val="right" w:pos="8306"/>
      </w:tabs>
      <w:snapToGrid w:val="0"/>
      <w:jc w:val="left"/>
    </w:pPr>
    <w:rPr>
      <w:sz w:val="18"/>
      <w:szCs w:val="18"/>
    </w:rPr>
  </w:style>
  <w:style w:type="paragraph" w:styleId="32">
    <w:name w:val="header"/>
    <w:basedOn w:val="1"/>
    <w:link w:val="78"/>
    <w:qFormat/>
    <w:uiPriority w:val="0"/>
    <w:pPr>
      <w:pBdr>
        <w:bottom w:val="single" w:color="auto" w:sz="6" w:space="1"/>
      </w:pBdr>
      <w:tabs>
        <w:tab w:val="center" w:pos="4153"/>
        <w:tab w:val="right" w:pos="8306"/>
      </w:tabs>
      <w:snapToGrid w:val="0"/>
      <w:jc w:val="center"/>
    </w:pPr>
    <w:rPr>
      <w:sz w:val="18"/>
      <w:szCs w:val="18"/>
    </w:rPr>
  </w:style>
  <w:style w:type="paragraph" w:styleId="33">
    <w:name w:val="toc 1"/>
    <w:basedOn w:val="1"/>
    <w:next w:val="1"/>
    <w:qFormat/>
    <w:uiPriority w:val="39"/>
    <w:pPr>
      <w:tabs>
        <w:tab w:val="right" w:leader="dot" w:pos="8398"/>
      </w:tabs>
      <w:spacing w:before="120" w:after="120"/>
      <w:ind w:firstLine="240" w:firstLineChars="100"/>
      <w:jc w:val="left"/>
    </w:pPr>
    <w:rPr>
      <w:rFonts w:ascii="宋体" w:hAnsi="宋体"/>
      <w:b/>
      <w:bCs/>
      <w:caps/>
      <w:sz w:val="24"/>
    </w:rPr>
  </w:style>
  <w:style w:type="paragraph" w:styleId="34">
    <w:name w:val="toc 4"/>
    <w:basedOn w:val="1"/>
    <w:next w:val="1"/>
    <w:qFormat/>
    <w:uiPriority w:val="0"/>
    <w:pPr>
      <w:tabs>
        <w:tab w:val="right" w:leader="dot" w:pos="9185"/>
      </w:tabs>
      <w:adjustRightInd w:val="0"/>
      <w:spacing w:line="312" w:lineRule="atLeast"/>
      <w:ind w:left="1260"/>
      <w:textAlignment w:val="baseline"/>
    </w:pPr>
    <w:rPr>
      <w:kern w:val="0"/>
      <w:szCs w:val="20"/>
    </w:rPr>
  </w:style>
  <w:style w:type="paragraph" w:styleId="35">
    <w:name w:val="List"/>
    <w:basedOn w:val="1"/>
    <w:qFormat/>
    <w:uiPriority w:val="0"/>
    <w:pPr>
      <w:ind w:left="200" w:hanging="200" w:hangingChars="200"/>
    </w:pPr>
    <w:rPr>
      <w:sz w:val="28"/>
    </w:rPr>
  </w:style>
  <w:style w:type="paragraph" w:styleId="36">
    <w:name w:val="toc 6"/>
    <w:basedOn w:val="1"/>
    <w:next w:val="1"/>
    <w:qFormat/>
    <w:uiPriority w:val="0"/>
    <w:pPr>
      <w:tabs>
        <w:tab w:val="right" w:leader="dot" w:pos="9185"/>
      </w:tabs>
      <w:adjustRightInd w:val="0"/>
      <w:spacing w:line="312" w:lineRule="atLeast"/>
      <w:ind w:left="2100"/>
      <w:textAlignment w:val="baseline"/>
    </w:pPr>
    <w:rPr>
      <w:kern w:val="0"/>
      <w:szCs w:val="20"/>
    </w:rPr>
  </w:style>
  <w:style w:type="paragraph" w:styleId="37">
    <w:name w:val="List 5"/>
    <w:basedOn w:val="1"/>
    <w:qFormat/>
    <w:uiPriority w:val="0"/>
    <w:pPr>
      <w:ind w:left="2100" w:hanging="420"/>
    </w:pPr>
    <w:rPr>
      <w:szCs w:val="20"/>
    </w:rPr>
  </w:style>
  <w:style w:type="paragraph" w:styleId="38">
    <w:name w:val="Body Text Indent 3"/>
    <w:basedOn w:val="1"/>
    <w:link w:val="79"/>
    <w:qFormat/>
    <w:uiPriority w:val="0"/>
    <w:pPr>
      <w:spacing w:after="120"/>
      <w:ind w:left="420" w:leftChars="200"/>
    </w:pPr>
    <w:rPr>
      <w:sz w:val="16"/>
      <w:szCs w:val="16"/>
    </w:rPr>
  </w:style>
  <w:style w:type="paragraph" w:styleId="39">
    <w:name w:val="toc 2"/>
    <w:basedOn w:val="1"/>
    <w:next w:val="1"/>
    <w:qFormat/>
    <w:uiPriority w:val="39"/>
    <w:pPr>
      <w:ind w:left="420" w:leftChars="200"/>
    </w:pPr>
  </w:style>
  <w:style w:type="paragraph" w:styleId="40">
    <w:name w:val="toc 9"/>
    <w:basedOn w:val="1"/>
    <w:next w:val="1"/>
    <w:qFormat/>
    <w:uiPriority w:val="0"/>
    <w:pPr>
      <w:tabs>
        <w:tab w:val="right" w:leader="dot" w:pos="9185"/>
      </w:tabs>
      <w:adjustRightInd w:val="0"/>
      <w:spacing w:line="312" w:lineRule="atLeast"/>
      <w:ind w:left="3360"/>
      <w:textAlignment w:val="baseline"/>
    </w:pPr>
    <w:rPr>
      <w:kern w:val="0"/>
      <w:szCs w:val="20"/>
    </w:rPr>
  </w:style>
  <w:style w:type="paragraph" w:styleId="41">
    <w:name w:val="Body Text 2"/>
    <w:basedOn w:val="1"/>
    <w:link w:val="80"/>
    <w:qFormat/>
    <w:uiPriority w:val="0"/>
    <w:pPr>
      <w:spacing w:after="120" w:line="480" w:lineRule="auto"/>
    </w:pPr>
  </w:style>
  <w:style w:type="paragraph" w:styleId="42">
    <w:name w:val="List 4"/>
    <w:basedOn w:val="1"/>
    <w:qFormat/>
    <w:uiPriority w:val="0"/>
    <w:pPr>
      <w:ind w:left="100" w:leftChars="600" w:hanging="200" w:hangingChars="200"/>
    </w:pPr>
  </w:style>
  <w:style w:type="paragraph" w:styleId="43">
    <w:name w:val="List Continue 2"/>
    <w:basedOn w:val="1"/>
    <w:qFormat/>
    <w:uiPriority w:val="0"/>
    <w:pPr>
      <w:spacing w:after="120"/>
      <w:ind w:left="840" w:leftChars="400"/>
    </w:pPr>
  </w:style>
  <w:style w:type="paragraph" w:styleId="44">
    <w:name w:val="HTML Preformatted"/>
    <w:basedOn w:val="1"/>
    <w:link w:val="8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hAnsi="Courier New" w:eastAsia="黑体"/>
      <w:kern w:val="0"/>
      <w:sz w:val="20"/>
      <w:szCs w:val="20"/>
    </w:rPr>
  </w:style>
  <w:style w:type="paragraph" w:styleId="45">
    <w:name w:val="Normal (Web)"/>
    <w:basedOn w:val="1"/>
    <w:qFormat/>
    <w:uiPriority w:val="0"/>
    <w:pPr>
      <w:widowControl/>
      <w:spacing w:before="100" w:beforeAutospacing="1" w:after="100" w:afterAutospacing="1"/>
      <w:jc w:val="left"/>
    </w:pPr>
    <w:rPr>
      <w:rFonts w:ascii="宋体" w:hAnsi="宋体"/>
      <w:kern w:val="0"/>
      <w:sz w:val="24"/>
    </w:rPr>
  </w:style>
  <w:style w:type="paragraph" w:styleId="46">
    <w:name w:val="index 1"/>
    <w:basedOn w:val="1"/>
    <w:next w:val="1"/>
    <w:qFormat/>
    <w:uiPriority w:val="0"/>
    <w:pPr>
      <w:spacing w:line="400" w:lineRule="exact"/>
      <w:ind w:firstLine="420" w:firstLineChars="200"/>
    </w:pPr>
    <w:rPr>
      <w:rFonts w:ascii="宋体" w:hAnsi="Courier New"/>
      <w:b/>
      <w:szCs w:val="20"/>
    </w:rPr>
  </w:style>
  <w:style w:type="paragraph" w:styleId="47">
    <w:name w:val="Title"/>
    <w:basedOn w:val="1"/>
    <w:link w:val="82"/>
    <w:qFormat/>
    <w:uiPriority w:val="0"/>
    <w:pPr>
      <w:jc w:val="center"/>
    </w:pPr>
    <w:rPr>
      <w:sz w:val="30"/>
    </w:rPr>
  </w:style>
  <w:style w:type="paragraph" w:styleId="48">
    <w:name w:val="annotation subject"/>
    <w:basedOn w:val="17"/>
    <w:next w:val="17"/>
    <w:link w:val="83"/>
    <w:qFormat/>
    <w:uiPriority w:val="0"/>
    <w:rPr>
      <w:b/>
      <w:bCs/>
    </w:rPr>
  </w:style>
  <w:style w:type="paragraph" w:styleId="49">
    <w:name w:val="Body Text First Indent"/>
    <w:basedOn w:val="19"/>
    <w:link w:val="84"/>
    <w:qFormat/>
    <w:uiPriority w:val="0"/>
    <w:pPr>
      <w:spacing w:after="120" w:line="240" w:lineRule="auto"/>
      <w:ind w:firstLine="420" w:firstLineChars="100"/>
    </w:pPr>
    <w:rPr>
      <w:sz w:val="21"/>
    </w:rPr>
  </w:style>
  <w:style w:type="paragraph" w:styleId="50">
    <w:name w:val="Body Text First Indent 2"/>
    <w:basedOn w:val="20"/>
    <w:link w:val="85"/>
    <w:qFormat/>
    <w:uiPriority w:val="0"/>
    <w:pPr>
      <w:spacing w:after="120"/>
      <w:ind w:left="420" w:leftChars="200" w:firstLine="420" w:firstLineChars="200"/>
    </w:pPr>
    <w:rPr>
      <w:rFonts w:ascii="Times New Roman" w:eastAsia="宋体"/>
      <w:sz w:val="21"/>
      <w:szCs w:val="24"/>
    </w:rPr>
  </w:style>
  <w:style w:type="table" w:styleId="52">
    <w:name w:val="Table Grid"/>
    <w:basedOn w:val="5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54">
    <w:name w:val="Strong"/>
    <w:basedOn w:val="53"/>
    <w:qFormat/>
    <w:uiPriority w:val="0"/>
    <w:rPr>
      <w:b/>
      <w:bCs/>
    </w:rPr>
  </w:style>
  <w:style w:type="character" w:styleId="55">
    <w:name w:val="page number"/>
    <w:basedOn w:val="53"/>
    <w:qFormat/>
    <w:uiPriority w:val="0"/>
  </w:style>
  <w:style w:type="character" w:styleId="56">
    <w:name w:val="FollowedHyperlink"/>
    <w:qFormat/>
    <w:uiPriority w:val="99"/>
    <w:rPr>
      <w:color w:val="800080"/>
      <w:u w:val="single"/>
    </w:rPr>
  </w:style>
  <w:style w:type="character" w:styleId="57">
    <w:name w:val="Hyperlink"/>
    <w:qFormat/>
    <w:uiPriority w:val="99"/>
    <w:rPr>
      <w:color w:val="0000FF"/>
      <w:u w:val="single"/>
    </w:rPr>
  </w:style>
  <w:style w:type="character" w:styleId="58">
    <w:name w:val="annotation reference"/>
    <w:qFormat/>
    <w:uiPriority w:val="0"/>
    <w:rPr>
      <w:sz w:val="21"/>
      <w:szCs w:val="21"/>
    </w:rPr>
  </w:style>
  <w:style w:type="character" w:customStyle="1" w:styleId="59">
    <w:name w:val="标题 1 字符1"/>
    <w:link w:val="2"/>
    <w:qFormat/>
    <w:uiPriority w:val="9"/>
    <w:rPr>
      <w:rFonts w:eastAsia="宋体"/>
      <w:b/>
      <w:bCs/>
      <w:kern w:val="44"/>
      <w:sz w:val="44"/>
      <w:szCs w:val="44"/>
      <w:lang w:val="en-US" w:eastAsia="zh-CN" w:bidi="ar-SA"/>
    </w:rPr>
  </w:style>
  <w:style w:type="character" w:customStyle="1" w:styleId="60">
    <w:name w:val="标题 2 字符1"/>
    <w:link w:val="3"/>
    <w:qFormat/>
    <w:uiPriority w:val="0"/>
    <w:rPr>
      <w:rFonts w:ascii="Arial" w:hAnsi="Arial" w:eastAsia="黑体"/>
      <w:b/>
      <w:bCs/>
      <w:kern w:val="2"/>
      <w:sz w:val="32"/>
      <w:szCs w:val="32"/>
    </w:rPr>
  </w:style>
  <w:style w:type="character" w:customStyle="1" w:styleId="61">
    <w:name w:val="标题 3 字符1"/>
    <w:link w:val="4"/>
    <w:qFormat/>
    <w:uiPriority w:val="0"/>
    <w:rPr>
      <w:b/>
      <w:bCs/>
      <w:kern w:val="2"/>
      <w:sz w:val="32"/>
      <w:szCs w:val="32"/>
    </w:rPr>
  </w:style>
  <w:style w:type="character" w:customStyle="1" w:styleId="62">
    <w:name w:val="标题 4 字符1"/>
    <w:link w:val="5"/>
    <w:qFormat/>
    <w:uiPriority w:val="0"/>
    <w:rPr>
      <w:rFonts w:ascii="Arial" w:hAnsi="Arial" w:eastAsia="黑体"/>
      <w:sz w:val="28"/>
    </w:rPr>
  </w:style>
  <w:style w:type="character" w:customStyle="1" w:styleId="63">
    <w:name w:val="标题 5 字符1"/>
    <w:link w:val="6"/>
    <w:qFormat/>
    <w:uiPriority w:val="0"/>
    <w:rPr>
      <w:b/>
      <w:kern w:val="2"/>
      <w:sz w:val="28"/>
      <w:szCs w:val="24"/>
    </w:rPr>
  </w:style>
  <w:style w:type="character" w:customStyle="1" w:styleId="64">
    <w:name w:val="标题 6 字符1"/>
    <w:link w:val="8"/>
    <w:qFormat/>
    <w:uiPriority w:val="0"/>
    <w:rPr>
      <w:rFonts w:ascii="Arial" w:hAnsi="Arial" w:eastAsia="黑体"/>
      <w:b/>
      <w:kern w:val="2"/>
      <w:sz w:val="24"/>
      <w:szCs w:val="24"/>
    </w:rPr>
  </w:style>
  <w:style w:type="character" w:customStyle="1" w:styleId="65">
    <w:name w:val="标题 7 字符1"/>
    <w:link w:val="9"/>
    <w:qFormat/>
    <w:uiPriority w:val="0"/>
    <w:rPr>
      <w:b/>
      <w:kern w:val="2"/>
      <w:sz w:val="24"/>
      <w:szCs w:val="24"/>
    </w:rPr>
  </w:style>
  <w:style w:type="character" w:customStyle="1" w:styleId="66">
    <w:name w:val="标题 8 字符1"/>
    <w:link w:val="10"/>
    <w:qFormat/>
    <w:uiPriority w:val="0"/>
    <w:rPr>
      <w:rFonts w:ascii="Arial" w:hAnsi="Arial" w:eastAsia="黑体"/>
      <w:kern w:val="2"/>
      <w:sz w:val="24"/>
      <w:szCs w:val="24"/>
    </w:rPr>
  </w:style>
  <w:style w:type="character" w:customStyle="1" w:styleId="67">
    <w:name w:val="标题 9 字符1"/>
    <w:link w:val="11"/>
    <w:qFormat/>
    <w:uiPriority w:val="0"/>
    <w:rPr>
      <w:rFonts w:ascii="Arial" w:hAnsi="Arial" w:eastAsia="黑体"/>
      <w:kern w:val="2"/>
      <w:sz w:val="21"/>
      <w:szCs w:val="24"/>
    </w:rPr>
  </w:style>
  <w:style w:type="character" w:customStyle="1" w:styleId="68">
    <w:name w:val="文档结构图 字符1"/>
    <w:link w:val="16"/>
    <w:qFormat/>
    <w:uiPriority w:val="0"/>
    <w:rPr>
      <w:sz w:val="21"/>
      <w:shd w:val="clear" w:color="auto" w:fill="000080"/>
    </w:rPr>
  </w:style>
  <w:style w:type="character" w:customStyle="1" w:styleId="69">
    <w:name w:val="批注文字 字符1"/>
    <w:link w:val="17"/>
    <w:qFormat/>
    <w:uiPriority w:val="0"/>
    <w:rPr>
      <w:kern w:val="2"/>
      <w:sz w:val="21"/>
      <w:szCs w:val="24"/>
    </w:rPr>
  </w:style>
  <w:style w:type="character" w:customStyle="1" w:styleId="70">
    <w:name w:val="正文文本 3 字符1"/>
    <w:link w:val="18"/>
    <w:qFormat/>
    <w:uiPriority w:val="0"/>
    <w:rPr>
      <w:b/>
      <w:bCs/>
      <w:kern w:val="2"/>
      <w:sz w:val="24"/>
      <w:szCs w:val="24"/>
    </w:rPr>
  </w:style>
  <w:style w:type="character" w:customStyle="1" w:styleId="71">
    <w:name w:val="正文文本 字符1"/>
    <w:link w:val="19"/>
    <w:qFormat/>
    <w:uiPriority w:val="99"/>
    <w:rPr>
      <w:kern w:val="2"/>
      <w:sz w:val="24"/>
      <w:szCs w:val="24"/>
    </w:rPr>
  </w:style>
  <w:style w:type="character" w:customStyle="1" w:styleId="72">
    <w:name w:val="正文文本缩进 字符1"/>
    <w:link w:val="20"/>
    <w:qFormat/>
    <w:uiPriority w:val="99"/>
    <w:rPr>
      <w:rFonts w:ascii="仿宋_GB2312" w:eastAsia="仿宋_GB2312"/>
      <w:kern w:val="2"/>
      <w:sz w:val="32"/>
    </w:rPr>
  </w:style>
  <w:style w:type="character" w:customStyle="1" w:styleId="73">
    <w:name w:val="纯文本 字符1"/>
    <w:link w:val="26"/>
    <w:qFormat/>
    <w:uiPriority w:val="99"/>
    <w:rPr>
      <w:rFonts w:ascii="宋体" w:hAnsi="Courier New" w:eastAsia="宋体" w:cs="Courier New"/>
      <w:kern w:val="2"/>
      <w:sz w:val="21"/>
      <w:szCs w:val="21"/>
      <w:lang w:val="en-US" w:eastAsia="zh-CN" w:bidi="ar-SA"/>
    </w:rPr>
  </w:style>
  <w:style w:type="character" w:customStyle="1" w:styleId="74">
    <w:name w:val="日期 字符1"/>
    <w:link w:val="28"/>
    <w:qFormat/>
    <w:uiPriority w:val="0"/>
    <w:rPr>
      <w:rFonts w:ascii="宋体" w:hAnsi="Courier New" w:cs="Courier New"/>
      <w:kern w:val="2"/>
      <w:sz w:val="21"/>
      <w:szCs w:val="21"/>
    </w:rPr>
  </w:style>
  <w:style w:type="character" w:customStyle="1" w:styleId="75">
    <w:name w:val="正文文本缩进 2 字符1"/>
    <w:link w:val="29"/>
    <w:qFormat/>
    <w:uiPriority w:val="0"/>
    <w:rPr>
      <w:kern w:val="2"/>
      <w:sz w:val="32"/>
    </w:rPr>
  </w:style>
  <w:style w:type="character" w:customStyle="1" w:styleId="76">
    <w:name w:val="批注框文本 字符1"/>
    <w:link w:val="30"/>
    <w:qFormat/>
    <w:uiPriority w:val="0"/>
    <w:rPr>
      <w:kern w:val="2"/>
      <w:sz w:val="18"/>
      <w:szCs w:val="18"/>
    </w:rPr>
  </w:style>
  <w:style w:type="character" w:customStyle="1" w:styleId="77">
    <w:name w:val="页脚 字符1"/>
    <w:link w:val="31"/>
    <w:qFormat/>
    <w:uiPriority w:val="0"/>
    <w:rPr>
      <w:kern w:val="2"/>
      <w:sz w:val="18"/>
      <w:szCs w:val="18"/>
    </w:rPr>
  </w:style>
  <w:style w:type="character" w:customStyle="1" w:styleId="78">
    <w:name w:val="页眉 字符1"/>
    <w:link w:val="32"/>
    <w:qFormat/>
    <w:uiPriority w:val="99"/>
    <w:rPr>
      <w:kern w:val="2"/>
      <w:sz w:val="18"/>
      <w:szCs w:val="18"/>
    </w:rPr>
  </w:style>
  <w:style w:type="character" w:customStyle="1" w:styleId="79">
    <w:name w:val="正文文本缩进 3 字符1"/>
    <w:link w:val="38"/>
    <w:qFormat/>
    <w:uiPriority w:val="0"/>
    <w:rPr>
      <w:kern w:val="2"/>
      <w:sz w:val="16"/>
      <w:szCs w:val="16"/>
    </w:rPr>
  </w:style>
  <w:style w:type="character" w:customStyle="1" w:styleId="80">
    <w:name w:val="正文文本 2 字符1"/>
    <w:link w:val="41"/>
    <w:qFormat/>
    <w:uiPriority w:val="0"/>
    <w:rPr>
      <w:kern w:val="2"/>
      <w:sz w:val="21"/>
      <w:szCs w:val="24"/>
    </w:rPr>
  </w:style>
  <w:style w:type="character" w:customStyle="1" w:styleId="81">
    <w:name w:val="HTML 预设格式 字符1"/>
    <w:link w:val="44"/>
    <w:qFormat/>
    <w:uiPriority w:val="0"/>
    <w:rPr>
      <w:rFonts w:ascii="黑体" w:hAnsi="Courier New" w:eastAsia="黑体" w:cs="Courier New"/>
    </w:rPr>
  </w:style>
  <w:style w:type="character" w:customStyle="1" w:styleId="82">
    <w:name w:val="标题 字符1"/>
    <w:link w:val="47"/>
    <w:qFormat/>
    <w:uiPriority w:val="0"/>
    <w:rPr>
      <w:kern w:val="2"/>
      <w:sz w:val="30"/>
      <w:szCs w:val="24"/>
    </w:rPr>
  </w:style>
  <w:style w:type="character" w:customStyle="1" w:styleId="83">
    <w:name w:val="批注主题 字符1"/>
    <w:link w:val="48"/>
    <w:qFormat/>
    <w:uiPriority w:val="0"/>
    <w:rPr>
      <w:b/>
      <w:bCs/>
      <w:kern w:val="2"/>
      <w:sz w:val="21"/>
      <w:szCs w:val="24"/>
    </w:rPr>
  </w:style>
  <w:style w:type="character" w:customStyle="1" w:styleId="84">
    <w:name w:val="正文文本首行缩进 字符1"/>
    <w:link w:val="49"/>
    <w:qFormat/>
    <w:uiPriority w:val="0"/>
    <w:rPr>
      <w:kern w:val="2"/>
      <w:sz w:val="21"/>
      <w:szCs w:val="24"/>
    </w:rPr>
  </w:style>
  <w:style w:type="character" w:customStyle="1" w:styleId="85">
    <w:name w:val="正文文本首行缩进 2 字符1"/>
    <w:link w:val="50"/>
    <w:qFormat/>
    <w:uiPriority w:val="0"/>
    <w:rPr>
      <w:kern w:val="2"/>
      <w:sz w:val="21"/>
      <w:szCs w:val="24"/>
    </w:rPr>
  </w:style>
  <w:style w:type="character" w:customStyle="1" w:styleId="86">
    <w:name w:val="标题 4 字符"/>
    <w:semiHidden/>
    <w:qFormat/>
    <w:uiPriority w:val="9"/>
    <w:rPr>
      <w:rFonts w:ascii="等线 Light" w:hAnsi="等线 Light" w:eastAsia="等线 Light" w:cs="Times New Roman"/>
      <w:b/>
      <w:bCs/>
      <w:kern w:val="2"/>
      <w:sz w:val="28"/>
      <w:szCs w:val="28"/>
    </w:rPr>
  </w:style>
  <w:style w:type="character" w:customStyle="1" w:styleId="87">
    <w:name w:val="HTML 预设格式 字符"/>
    <w:semiHidden/>
    <w:qFormat/>
    <w:uiPriority w:val="99"/>
    <w:rPr>
      <w:rFonts w:ascii="Courier New" w:hAnsi="Courier New" w:cs="Courier New"/>
      <w:kern w:val="2"/>
    </w:rPr>
  </w:style>
  <w:style w:type="character" w:customStyle="1" w:styleId="88">
    <w:name w:val="graytext1"/>
    <w:qFormat/>
    <w:uiPriority w:val="0"/>
    <w:rPr>
      <w:color w:val="666666"/>
    </w:rPr>
  </w:style>
  <w:style w:type="character" w:customStyle="1" w:styleId="89">
    <w:name w:val="标题 6 字符"/>
    <w:semiHidden/>
    <w:qFormat/>
    <w:uiPriority w:val="9"/>
    <w:rPr>
      <w:rFonts w:ascii="等线 Light" w:hAnsi="等线 Light" w:eastAsia="等线 Light" w:cs="Times New Roman"/>
      <w:b/>
      <w:bCs/>
      <w:kern w:val="2"/>
      <w:sz w:val="24"/>
      <w:szCs w:val="24"/>
    </w:rPr>
  </w:style>
  <w:style w:type="character" w:customStyle="1" w:styleId="90">
    <w:name w:val="white"/>
    <w:qFormat/>
    <w:uiPriority w:val="0"/>
  </w:style>
  <w:style w:type="character" w:customStyle="1" w:styleId="91">
    <w:name w:val="text11"/>
    <w:qFormat/>
    <w:uiPriority w:val="0"/>
    <w:rPr>
      <w:rFonts w:hint="default" w:ascii="Verdana" w:hAnsi="Verdana"/>
      <w:color w:val="4E4E4E"/>
      <w:sz w:val="18"/>
      <w:szCs w:val="18"/>
    </w:rPr>
  </w:style>
  <w:style w:type="character" w:customStyle="1" w:styleId="92">
    <w:name w:val="gray12"/>
    <w:qFormat/>
    <w:uiPriority w:val="0"/>
  </w:style>
  <w:style w:type="character" w:customStyle="1" w:styleId="93">
    <w:name w:val="font01"/>
    <w:qFormat/>
    <w:uiPriority w:val="0"/>
    <w:rPr>
      <w:rFonts w:hint="eastAsia" w:ascii="宋体" w:hAnsi="宋体" w:eastAsia="宋体"/>
      <w:color w:val="000000"/>
      <w:sz w:val="22"/>
      <w:szCs w:val="22"/>
      <w:u w:val="none"/>
    </w:rPr>
  </w:style>
  <w:style w:type="character" w:customStyle="1" w:styleId="94">
    <w:name w:val="mark8"/>
    <w:qFormat/>
    <w:uiPriority w:val="0"/>
    <w:rPr>
      <w:b/>
      <w:bCs/>
      <w:sz w:val="21"/>
      <w:szCs w:val="21"/>
    </w:rPr>
  </w:style>
  <w:style w:type="character" w:customStyle="1" w:styleId="95">
    <w:name w:val="纯文本 Char1"/>
    <w:qFormat/>
    <w:uiPriority w:val="0"/>
    <w:rPr>
      <w:rFonts w:ascii="宋体" w:hAnsi="Courier New" w:eastAsia="宋体" w:cs="Courier New"/>
      <w:kern w:val="2"/>
      <w:sz w:val="21"/>
      <w:szCs w:val="21"/>
      <w:lang w:val="en-US" w:eastAsia="zh-CN" w:bidi="ar-SA"/>
    </w:rPr>
  </w:style>
  <w:style w:type="character" w:customStyle="1" w:styleId="96">
    <w:name w:val="short_text1"/>
    <w:qFormat/>
    <w:uiPriority w:val="0"/>
    <w:rPr>
      <w:sz w:val="26"/>
    </w:rPr>
  </w:style>
  <w:style w:type="character" w:customStyle="1" w:styleId="97">
    <w:name w:val="1ji Char"/>
    <w:link w:val="98"/>
    <w:qFormat/>
    <w:uiPriority w:val="0"/>
    <w:rPr>
      <w:rFonts w:ascii="宋体" w:hAnsi="宋体" w:eastAsia="宋体"/>
      <w:b/>
      <w:bCs/>
      <w:kern w:val="44"/>
      <w:sz w:val="36"/>
      <w:szCs w:val="44"/>
      <w:lang w:val="en-US" w:eastAsia="zh-CN" w:bidi="ar-SA"/>
    </w:rPr>
  </w:style>
  <w:style w:type="paragraph" w:customStyle="1" w:styleId="98">
    <w:name w:val="1ji"/>
    <w:basedOn w:val="2"/>
    <w:link w:val="97"/>
    <w:qFormat/>
    <w:uiPriority w:val="0"/>
    <w:pPr>
      <w:keepLines w:val="0"/>
      <w:widowControl/>
      <w:spacing w:before="0" w:after="0" w:line="240" w:lineRule="auto"/>
      <w:jc w:val="center"/>
    </w:pPr>
    <w:rPr>
      <w:rFonts w:ascii="宋体" w:hAnsi="宋体"/>
      <w:sz w:val="36"/>
    </w:rPr>
  </w:style>
  <w:style w:type="character" w:customStyle="1" w:styleId="99">
    <w:name w:val="标题 7 字符"/>
    <w:semiHidden/>
    <w:qFormat/>
    <w:uiPriority w:val="9"/>
    <w:rPr>
      <w:b/>
      <w:bCs/>
      <w:kern w:val="2"/>
      <w:sz w:val="24"/>
      <w:szCs w:val="24"/>
    </w:rPr>
  </w:style>
  <w:style w:type="character" w:customStyle="1" w:styleId="100">
    <w:name w:val="批注主题 字符"/>
    <w:qFormat/>
    <w:uiPriority w:val="0"/>
    <w:rPr>
      <w:b/>
      <w:bCs/>
      <w:kern w:val="2"/>
      <w:sz w:val="21"/>
      <w:szCs w:val="24"/>
    </w:rPr>
  </w:style>
  <w:style w:type="character" w:customStyle="1" w:styleId="101">
    <w:name w:val="正文文本首行缩进 字符"/>
    <w:semiHidden/>
    <w:qFormat/>
    <w:uiPriority w:val="99"/>
  </w:style>
  <w:style w:type="character" w:customStyle="1" w:styleId="102">
    <w:name w:val="f151"/>
    <w:qFormat/>
    <w:uiPriority w:val="0"/>
    <w:rPr>
      <w:sz w:val="23"/>
      <w:szCs w:val="23"/>
    </w:rPr>
  </w:style>
  <w:style w:type="character" w:customStyle="1" w:styleId="103">
    <w:name w:val="标题 5 字符"/>
    <w:semiHidden/>
    <w:qFormat/>
    <w:uiPriority w:val="9"/>
    <w:rPr>
      <w:b/>
      <w:bCs/>
      <w:kern w:val="2"/>
      <w:sz w:val="28"/>
      <w:szCs w:val="28"/>
    </w:rPr>
  </w:style>
  <w:style w:type="character" w:customStyle="1" w:styleId="104">
    <w:name w:val="content2"/>
    <w:qFormat/>
    <w:uiPriority w:val="0"/>
  </w:style>
  <w:style w:type="character" w:customStyle="1" w:styleId="105">
    <w:name w:val="062"/>
    <w:qFormat/>
    <w:uiPriority w:val="0"/>
    <w:rPr>
      <w:rFonts w:ascii="宋体" w:hAnsi="宋体"/>
      <w:b/>
      <w:bCs/>
      <w:sz w:val="32"/>
    </w:rPr>
  </w:style>
  <w:style w:type="character" w:customStyle="1" w:styleId="106">
    <w:name w:val="正文文本缩进 字符"/>
    <w:semiHidden/>
    <w:qFormat/>
    <w:uiPriority w:val="99"/>
    <w:rPr>
      <w:kern w:val="2"/>
      <w:sz w:val="21"/>
      <w:szCs w:val="24"/>
    </w:rPr>
  </w:style>
  <w:style w:type="character" w:customStyle="1" w:styleId="107">
    <w:name w:val="small"/>
    <w:qFormat/>
    <w:uiPriority w:val="0"/>
  </w:style>
  <w:style w:type="character" w:customStyle="1" w:styleId="108">
    <w:name w:val="页眉 字符"/>
    <w:semiHidden/>
    <w:qFormat/>
    <w:uiPriority w:val="99"/>
    <w:rPr>
      <w:kern w:val="2"/>
      <w:sz w:val="18"/>
      <w:szCs w:val="18"/>
    </w:rPr>
  </w:style>
  <w:style w:type="character" w:customStyle="1" w:styleId="109">
    <w:name w:val="标题 字符"/>
    <w:qFormat/>
    <w:uiPriority w:val="10"/>
    <w:rPr>
      <w:rFonts w:ascii="等线 Light" w:hAnsi="等线 Light" w:eastAsia="等线 Light" w:cs="Times New Roman"/>
      <w:b/>
      <w:bCs/>
      <w:kern w:val="2"/>
      <w:sz w:val="32"/>
      <w:szCs w:val="32"/>
    </w:rPr>
  </w:style>
  <w:style w:type="character" w:customStyle="1" w:styleId="110">
    <w:name w:val="批注文字 字符"/>
    <w:qFormat/>
    <w:uiPriority w:val="0"/>
    <w:rPr>
      <w:kern w:val="2"/>
      <w:sz w:val="21"/>
      <w:szCs w:val="24"/>
    </w:rPr>
  </w:style>
  <w:style w:type="character" w:customStyle="1" w:styleId="111">
    <w:name w:val="标题 2 字符"/>
    <w:semiHidden/>
    <w:qFormat/>
    <w:uiPriority w:val="9"/>
    <w:rPr>
      <w:rFonts w:ascii="等线 Light" w:hAnsi="等线 Light" w:eastAsia="等线 Light" w:cs="Times New Roman"/>
      <w:b/>
      <w:bCs/>
      <w:kern w:val="2"/>
      <w:sz w:val="32"/>
      <w:szCs w:val="32"/>
    </w:rPr>
  </w:style>
  <w:style w:type="character" w:customStyle="1" w:styleId="112">
    <w:name w:val="文档结构图 字符"/>
    <w:semiHidden/>
    <w:qFormat/>
    <w:uiPriority w:val="99"/>
    <w:rPr>
      <w:rFonts w:ascii="Microsoft YaHei UI" w:eastAsia="Microsoft YaHei UI"/>
      <w:kern w:val="2"/>
      <w:sz w:val="18"/>
      <w:szCs w:val="18"/>
    </w:rPr>
  </w:style>
  <w:style w:type="character" w:customStyle="1" w:styleId="113">
    <w:name w:val="z-窗体顶端 字符1"/>
    <w:link w:val="114"/>
    <w:qFormat/>
    <w:uiPriority w:val="0"/>
    <w:rPr>
      <w:rFonts w:ascii="Arial"/>
      <w:vanish/>
      <w:kern w:val="2"/>
      <w:sz w:val="16"/>
      <w:szCs w:val="24"/>
    </w:rPr>
  </w:style>
  <w:style w:type="paragraph" w:customStyle="1" w:styleId="114">
    <w:name w:val="z-窗体顶端1"/>
    <w:basedOn w:val="1"/>
    <w:next w:val="1"/>
    <w:link w:val="113"/>
    <w:qFormat/>
    <w:uiPriority w:val="0"/>
    <w:pPr>
      <w:pBdr>
        <w:bottom w:val="single" w:color="auto" w:sz="6" w:space="1"/>
      </w:pBdr>
      <w:jc w:val="center"/>
    </w:pPr>
    <w:rPr>
      <w:rFonts w:ascii="Arial"/>
      <w:vanish/>
      <w:sz w:val="16"/>
    </w:rPr>
  </w:style>
  <w:style w:type="character" w:customStyle="1" w:styleId="115">
    <w:name w:val="highlight"/>
    <w:qFormat/>
    <w:uiPriority w:val="0"/>
  </w:style>
  <w:style w:type="character" w:customStyle="1" w:styleId="116">
    <w:name w:val="1051"/>
    <w:qFormat/>
    <w:uiPriority w:val="0"/>
    <w:rPr>
      <w:sz w:val="21"/>
      <w:szCs w:val="21"/>
    </w:rPr>
  </w:style>
  <w:style w:type="character" w:customStyle="1" w:styleId="117">
    <w:name w:val="批注框文本 字符"/>
    <w:semiHidden/>
    <w:qFormat/>
    <w:uiPriority w:val="99"/>
    <w:rPr>
      <w:kern w:val="2"/>
      <w:sz w:val="18"/>
      <w:szCs w:val="18"/>
    </w:rPr>
  </w:style>
  <w:style w:type="character" w:customStyle="1" w:styleId="118">
    <w:name w:val="style21"/>
    <w:qFormat/>
    <w:uiPriority w:val="0"/>
    <w:rPr>
      <w:sz w:val="17"/>
      <w:szCs w:val="17"/>
    </w:rPr>
  </w:style>
  <w:style w:type="character" w:customStyle="1" w:styleId="119">
    <w:name w:val="正文文本 3 字符"/>
    <w:semiHidden/>
    <w:qFormat/>
    <w:uiPriority w:val="99"/>
    <w:rPr>
      <w:kern w:val="2"/>
      <w:sz w:val="16"/>
      <w:szCs w:val="16"/>
    </w:rPr>
  </w:style>
  <w:style w:type="character" w:customStyle="1" w:styleId="120">
    <w:name w:val="unnamed3"/>
    <w:qFormat/>
    <w:uiPriority w:val="0"/>
  </w:style>
  <w:style w:type="character" w:customStyle="1" w:styleId="121">
    <w:name w:val="fd"/>
    <w:qFormat/>
    <w:uiPriority w:val="0"/>
  </w:style>
  <w:style w:type="character" w:customStyle="1" w:styleId="122">
    <w:name w:val="标题 9 字符"/>
    <w:semiHidden/>
    <w:qFormat/>
    <w:uiPriority w:val="9"/>
    <w:rPr>
      <w:rFonts w:ascii="等线 Light" w:hAnsi="等线 Light" w:eastAsia="等线 Light" w:cs="Times New Roman"/>
      <w:kern w:val="2"/>
      <w:sz w:val="21"/>
      <w:szCs w:val="21"/>
    </w:rPr>
  </w:style>
  <w:style w:type="character" w:customStyle="1" w:styleId="123">
    <w:name w:val="正文文本缩进 2 字符"/>
    <w:semiHidden/>
    <w:qFormat/>
    <w:uiPriority w:val="99"/>
    <w:rPr>
      <w:kern w:val="2"/>
      <w:sz w:val="21"/>
      <w:szCs w:val="24"/>
    </w:rPr>
  </w:style>
  <w:style w:type="character" w:customStyle="1" w:styleId="124">
    <w:name w:val="z-窗体顶端 字符"/>
    <w:semiHidden/>
    <w:qFormat/>
    <w:uiPriority w:val="99"/>
    <w:rPr>
      <w:rFonts w:ascii="Arial" w:hAnsi="Arial" w:cs="Arial"/>
      <w:vanish/>
      <w:kern w:val="2"/>
      <w:sz w:val="16"/>
      <w:szCs w:val="16"/>
    </w:rPr>
  </w:style>
  <w:style w:type="character" w:customStyle="1" w:styleId="125">
    <w:name w:val="case31"/>
    <w:qFormat/>
    <w:uiPriority w:val="0"/>
    <w:rPr>
      <w:rFonts w:hint="default"/>
      <w:sz w:val="21"/>
      <w:szCs w:val="21"/>
    </w:rPr>
  </w:style>
  <w:style w:type="character" w:customStyle="1" w:styleId="126">
    <w:name w:val="标题3 Char"/>
    <w:link w:val="127"/>
    <w:qFormat/>
    <w:uiPriority w:val="0"/>
    <w:rPr>
      <w:rFonts w:ascii="宋体" w:hAnsi="宋体"/>
      <w:b/>
      <w:bCs/>
      <w:kern w:val="44"/>
      <w:sz w:val="24"/>
      <w:szCs w:val="24"/>
    </w:rPr>
  </w:style>
  <w:style w:type="paragraph" w:customStyle="1" w:styleId="127">
    <w:name w:val="标题3"/>
    <w:basedOn w:val="2"/>
    <w:link w:val="126"/>
    <w:qFormat/>
    <w:uiPriority w:val="0"/>
    <w:pPr>
      <w:spacing w:before="0" w:beforeLines="50" w:after="0" w:afterLines="50" w:line="400" w:lineRule="exact"/>
    </w:pPr>
    <w:rPr>
      <w:rFonts w:ascii="宋体" w:hAnsi="宋体"/>
      <w:sz w:val="24"/>
      <w:szCs w:val="24"/>
    </w:rPr>
  </w:style>
  <w:style w:type="character" w:customStyle="1" w:styleId="128">
    <w:name w:val="标题 3 字符"/>
    <w:semiHidden/>
    <w:qFormat/>
    <w:uiPriority w:val="9"/>
    <w:rPr>
      <w:b/>
      <w:bCs/>
      <w:kern w:val="2"/>
      <w:sz w:val="32"/>
      <w:szCs w:val="32"/>
    </w:rPr>
  </w:style>
  <w:style w:type="character" w:customStyle="1" w:styleId="129">
    <w:name w:val="正文文本 2 字符"/>
    <w:semiHidden/>
    <w:qFormat/>
    <w:uiPriority w:val="99"/>
    <w:rPr>
      <w:kern w:val="2"/>
      <w:sz w:val="21"/>
      <w:szCs w:val="24"/>
    </w:rPr>
  </w:style>
  <w:style w:type="character" w:customStyle="1" w:styleId="130">
    <w:name w:val="标题 1 字符"/>
    <w:qFormat/>
    <w:uiPriority w:val="9"/>
    <w:rPr>
      <w:b/>
      <w:bCs/>
      <w:kern w:val="44"/>
      <w:sz w:val="44"/>
      <w:szCs w:val="44"/>
    </w:rPr>
  </w:style>
  <w:style w:type="character" w:customStyle="1" w:styleId="131">
    <w:name w:val="页脚 字符"/>
    <w:qFormat/>
    <w:uiPriority w:val="99"/>
    <w:rPr>
      <w:kern w:val="2"/>
      <w:sz w:val="18"/>
      <w:szCs w:val="18"/>
    </w:rPr>
  </w:style>
  <w:style w:type="character" w:customStyle="1" w:styleId="132">
    <w:name w:val="正文文本首行缩进 2 字符"/>
    <w:semiHidden/>
    <w:qFormat/>
    <w:uiPriority w:val="99"/>
  </w:style>
  <w:style w:type="character" w:customStyle="1" w:styleId="133">
    <w:name w:val="apple-converted-space"/>
    <w:qFormat/>
    <w:uiPriority w:val="0"/>
  </w:style>
  <w:style w:type="character" w:customStyle="1" w:styleId="134">
    <w:name w:val="日期 字符"/>
    <w:semiHidden/>
    <w:qFormat/>
    <w:uiPriority w:val="99"/>
    <w:rPr>
      <w:kern w:val="2"/>
      <w:sz w:val="21"/>
      <w:szCs w:val="24"/>
    </w:rPr>
  </w:style>
  <w:style w:type="character" w:customStyle="1" w:styleId="135">
    <w:name w:val="纯文本 字符"/>
    <w:qFormat/>
    <w:uiPriority w:val="99"/>
    <w:rPr>
      <w:rFonts w:ascii="等线" w:hAnsi="Courier New" w:eastAsia="等线" w:cs="Courier New"/>
      <w:kern w:val="2"/>
      <w:sz w:val="21"/>
      <w:szCs w:val="24"/>
    </w:rPr>
  </w:style>
  <w:style w:type="character" w:customStyle="1" w:styleId="136">
    <w:name w:val="style11"/>
    <w:qFormat/>
    <w:uiPriority w:val="0"/>
    <w:rPr>
      <w:rFonts w:hint="default" w:ascii="Arial" w:hAnsi="Arial" w:cs="Arial"/>
    </w:rPr>
  </w:style>
  <w:style w:type="character" w:customStyle="1" w:styleId="137">
    <w:name w:val="标题 8 字符"/>
    <w:semiHidden/>
    <w:qFormat/>
    <w:uiPriority w:val="9"/>
    <w:rPr>
      <w:rFonts w:ascii="等线 Light" w:hAnsi="等线 Light" w:eastAsia="等线 Light" w:cs="Times New Roman"/>
      <w:kern w:val="2"/>
      <w:sz w:val="24"/>
      <w:szCs w:val="24"/>
    </w:rPr>
  </w:style>
  <w:style w:type="character" w:customStyle="1" w:styleId="138">
    <w:name w:val="正文文本缩进 3 字符"/>
    <w:semiHidden/>
    <w:qFormat/>
    <w:uiPriority w:val="99"/>
    <w:rPr>
      <w:kern w:val="2"/>
      <w:sz w:val="16"/>
      <w:szCs w:val="16"/>
    </w:rPr>
  </w:style>
  <w:style w:type="character" w:customStyle="1" w:styleId="139">
    <w:name w:val="正文文本 字符"/>
    <w:semiHidden/>
    <w:qFormat/>
    <w:uiPriority w:val="99"/>
    <w:rPr>
      <w:kern w:val="2"/>
      <w:sz w:val="21"/>
      <w:szCs w:val="24"/>
    </w:rPr>
  </w:style>
  <w:style w:type="paragraph" w:customStyle="1" w:styleId="140">
    <w:name w:val="Char Char Char Char Char Char Char"/>
    <w:basedOn w:val="1"/>
    <w:qFormat/>
    <w:uiPriority w:val="0"/>
  </w:style>
  <w:style w:type="paragraph" w:customStyle="1" w:styleId="141">
    <w:name w:val="缺省文本"/>
    <w:basedOn w:val="1"/>
    <w:qFormat/>
    <w:uiPriority w:val="0"/>
    <w:pPr>
      <w:autoSpaceDE w:val="0"/>
      <w:autoSpaceDN w:val="0"/>
      <w:adjustRightInd w:val="0"/>
      <w:spacing w:line="360" w:lineRule="auto"/>
      <w:jc w:val="left"/>
    </w:pPr>
    <w:rPr>
      <w:kern w:val="0"/>
      <w:sz w:val="24"/>
      <w:szCs w:val="20"/>
    </w:rPr>
  </w:style>
  <w:style w:type="paragraph" w:customStyle="1" w:styleId="142">
    <w:name w:val="TOC 标题1"/>
    <w:basedOn w:val="2"/>
    <w:next w:val="1"/>
    <w:qFormat/>
    <w:uiPriority w:val="39"/>
    <w:pPr>
      <w:widowControl/>
      <w:spacing w:before="480" w:after="0" w:line="276" w:lineRule="auto"/>
      <w:jc w:val="left"/>
      <w:outlineLvl w:val="9"/>
    </w:pPr>
    <w:rPr>
      <w:rFonts w:ascii="Cambria" w:hAnsi="Cambria"/>
      <w:color w:val="365F91"/>
      <w:kern w:val="0"/>
      <w:sz w:val="28"/>
      <w:szCs w:val="28"/>
    </w:rPr>
  </w:style>
  <w:style w:type="paragraph" w:customStyle="1" w:styleId="143">
    <w:name w:val="paragraphindent"/>
    <w:basedOn w:val="1"/>
    <w:qFormat/>
    <w:uiPriority w:val="0"/>
    <w:pPr>
      <w:widowControl/>
      <w:spacing w:before="100" w:beforeAutospacing="1" w:after="100" w:afterAutospacing="1"/>
      <w:jc w:val="left"/>
    </w:pPr>
    <w:rPr>
      <w:rFonts w:ascii="宋体" w:hAnsi="宋体" w:cs="宋体"/>
      <w:kern w:val="0"/>
      <w:sz w:val="24"/>
    </w:rPr>
  </w:style>
  <w:style w:type="paragraph" w:customStyle="1" w:styleId="144">
    <w:name w:val="默认段落字体 Para Char1"/>
    <w:next w:val="1"/>
    <w:qFormat/>
    <w:uiPriority w:val="0"/>
    <w:pPr>
      <w:keepNext/>
      <w:keepLines/>
      <w:tabs>
        <w:tab w:val="left" w:pos="360"/>
      </w:tabs>
      <w:snapToGrid w:val="0"/>
      <w:spacing w:before="240" w:after="240"/>
      <w:outlineLvl w:val="7"/>
    </w:pPr>
    <w:rPr>
      <w:rFonts w:ascii="Arial" w:hAnsi="Arial" w:eastAsia="宋体" w:cs="Arial"/>
      <w:kern w:val="2"/>
      <w:lang w:val="en-US" w:eastAsia="zh-CN" w:bidi="ar-SA"/>
    </w:rPr>
  </w:style>
  <w:style w:type="paragraph" w:customStyle="1" w:styleId="145">
    <w:name w:val="Char Char Char"/>
    <w:basedOn w:val="16"/>
    <w:qFormat/>
    <w:uiPriority w:val="0"/>
    <w:pPr>
      <w:adjustRightInd/>
      <w:spacing w:line="240" w:lineRule="auto"/>
      <w:textAlignment w:val="auto"/>
    </w:pPr>
    <w:rPr>
      <w:rFonts w:ascii="Tahoma" w:hAnsi="Tahoma"/>
      <w:kern w:val="2"/>
      <w:sz w:val="24"/>
      <w:szCs w:val="24"/>
    </w:rPr>
  </w:style>
  <w:style w:type="paragraph" w:customStyle="1" w:styleId="146">
    <w:name w:val="Char Char Char Char Char Char Char Char Char Char Char Char Char Char Char Char"/>
    <w:basedOn w:val="1"/>
    <w:qFormat/>
    <w:uiPriority w:val="0"/>
    <w:pPr>
      <w:tabs>
        <w:tab w:val="left" w:pos="360"/>
      </w:tabs>
      <w:spacing w:line="360" w:lineRule="auto"/>
      <w:ind w:left="482" w:firstLine="200" w:firstLineChars="200"/>
    </w:pPr>
    <w:rPr>
      <w:rFonts w:ascii="宋体"/>
      <w:sz w:val="24"/>
    </w:rPr>
  </w:style>
  <w:style w:type="paragraph" w:customStyle="1" w:styleId="147">
    <w:name w:val="_Style 109"/>
    <w:basedOn w:val="1"/>
    <w:next w:val="148"/>
    <w:qFormat/>
    <w:uiPriority w:val="34"/>
    <w:pPr>
      <w:ind w:firstLine="420" w:firstLineChars="200"/>
    </w:pPr>
    <w:rPr>
      <w:rFonts w:ascii="Calibri" w:hAnsi="Calibri"/>
      <w:szCs w:val="22"/>
    </w:rPr>
  </w:style>
  <w:style w:type="paragraph" w:styleId="148">
    <w:name w:val="List Paragraph"/>
    <w:basedOn w:val="1"/>
    <w:qFormat/>
    <w:uiPriority w:val="99"/>
    <w:pPr>
      <w:ind w:firstLine="420" w:firstLineChars="200"/>
    </w:pPr>
    <w:rPr>
      <w:rFonts w:ascii="Calibri" w:hAnsi="Calibri"/>
      <w:szCs w:val="22"/>
    </w:rPr>
  </w:style>
  <w:style w:type="paragraph" w:customStyle="1" w:styleId="149">
    <w:name w:val="Default Paragraph Font Para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150">
    <w:name w:val="图"/>
    <w:basedOn w:val="1"/>
    <w:qFormat/>
    <w:uiPriority w:val="0"/>
    <w:pPr>
      <w:keepNext/>
      <w:adjustRightInd w:val="0"/>
      <w:snapToGrid w:val="0"/>
      <w:spacing w:before="60" w:after="60" w:line="300" w:lineRule="auto"/>
      <w:jc w:val="center"/>
    </w:pPr>
    <w:rPr>
      <w:spacing w:val="20"/>
      <w:kern w:val="0"/>
      <w:sz w:val="24"/>
      <w:szCs w:val="20"/>
    </w:rPr>
  </w:style>
  <w:style w:type="paragraph" w:customStyle="1" w:styleId="151">
    <w:name w:val="2-2ji"/>
    <w:basedOn w:val="3"/>
    <w:qFormat/>
    <w:uiPriority w:val="0"/>
    <w:pPr>
      <w:adjustRightInd w:val="0"/>
      <w:spacing w:before="0" w:after="0" w:line="360" w:lineRule="auto"/>
      <w:jc w:val="center"/>
      <w:textAlignment w:val="baseline"/>
    </w:pPr>
    <w:rPr>
      <w:rFonts w:ascii="宋体" w:hAnsi="宋体" w:eastAsia="宋体"/>
      <w:bCs w:val="0"/>
      <w:kern w:val="0"/>
      <w:sz w:val="36"/>
    </w:rPr>
  </w:style>
  <w:style w:type="paragraph" w:customStyle="1" w:styleId="152">
    <w:name w:val="Char"/>
    <w:basedOn w:val="1"/>
    <w:qFormat/>
    <w:uiPriority w:val="0"/>
    <w:pPr>
      <w:widowControl/>
      <w:spacing w:line="500" w:lineRule="exact"/>
      <w:outlineLvl w:val="2"/>
    </w:pPr>
    <w:rPr>
      <w:rFonts w:ascii="黑体" w:hAnsi="Verdana" w:eastAsia="黑体" w:cs="黑体"/>
      <w:kern w:val="0"/>
      <w:sz w:val="28"/>
      <w:szCs w:val="28"/>
      <w:lang w:eastAsia="en-US"/>
    </w:rPr>
  </w:style>
  <w:style w:type="paragraph" w:customStyle="1" w:styleId="153">
    <w:name w:val="Char Char Char Char Char Char Char1"/>
    <w:basedOn w:val="1"/>
    <w:qFormat/>
    <w:uiPriority w:val="0"/>
  </w:style>
  <w:style w:type="paragraph" w:customStyle="1" w:styleId="154">
    <w:name w:val="Char2"/>
    <w:basedOn w:val="1"/>
    <w:qFormat/>
    <w:uiPriority w:val="0"/>
    <w:pPr>
      <w:widowControl/>
      <w:spacing w:after="160" w:line="240" w:lineRule="exact"/>
      <w:jc w:val="left"/>
    </w:pPr>
    <w:rPr>
      <w:rFonts w:ascii="Verdana" w:hAnsi="Verdana"/>
      <w:kern w:val="0"/>
      <w:szCs w:val="20"/>
      <w:lang w:eastAsia="en-US"/>
    </w:rPr>
  </w:style>
  <w:style w:type="paragraph" w:customStyle="1" w:styleId="155">
    <w:name w:val="xl31"/>
    <w:basedOn w:val="1"/>
    <w:qFormat/>
    <w:uiPriority w:val="0"/>
    <w:pPr>
      <w:widowControl/>
      <w:pBdr>
        <w:bottom w:val="single" w:color="auto" w:sz="4" w:space="0"/>
        <w:right w:val="single" w:color="auto" w:sz="4" w:space="0"/>
      </w:pBdr>
      <w:spacing w:before="100" w:beforeAutospacing="1" w:after="100" w:afterAutospacing="1"/>
      <w:jc w:val="center"/>
    </w:pPr>
    <w:rPr>
      <w:rFonts w:ascii="宋体" w:hAnsi="宋体"/>
      <w:kern w:val="0"/>
      <w:szCs w:val="21"/>
    </w:rPr>
  </w:style>
  <w:style w:type="paragraph" w:customStyle="1" w:styleId="156">
    <w:name w:val="tgt1"/>
    <w:basedOn w:val="1"/>
    <w:qFormat/>
    <w:uiPriority w:val="0"/>
    <w:pPr>
      <w:widowControl/>
      <w:spacing w:after="150"/>
      <w:jc w:val="left"/>
    </w:pPr>
    <w:rPr>
      <w:rFonts w:ascii="宋体" w:hAnsi="宋体" w:cs="宋体"/>
      <w:kern w:val="0"/>
      <w:sz w:val="24"/>
    </w:rPr>
  </w:style>
  <w:style w:type="paragraph" w:customStyle="1" w:styleId="157">
    <w:name w:val="444"/>
    <w:basedOn w:val="1"/>
    <w:qFormat/>
    <w:uiPriority w:val="0"/>
    <w:pPr>
      <w:adjustRightInd w:val="0"/>
      <w:spacing w:line="312" w:lineRule="atLeast"/>
      <w:jc w:val="center"/>
      <w:textAlignment w:val="baseline"/>
    </w:pPr>
    <w:rPr>
      <w:b/>
      <w:kern w:val="0"/>
      <w:sz w:val="36"/>
      <w:szCs w:val="36"/>
    </w:rPr>
  </w:style>
  <w:style w:type="paragraph" w:customStyle="1" w:styleId="158">
    <w:name w:val="表格"/>
    <w:basedOn w:val="1"/>
    <w:qFormat/>
    <w:uiPriority w:val="0"/>
    <w:pPr>
      <w:spacing w:line="400" w:lineRule="exact"/>
    </w:pPr>
    <w:rPr>
      <w:sz w:val="24"/>
    </w:rPr>
  </w:style>
  <w:style w:type="paragraph" w:customStyle="1" w:styleId="159">
    <w:name w:val="F2"/>
    <w:basedOn w:val="1"/>
    <w:qFormat/>
    <w:uiPriority w:val="0"/>
    <w:pPr>
      <w:autoSpaceDE w:val="0"/>
      <w:autoSpaceDN w:val="0"/>
      <w:adjustRightInd w:val="0"/>
      <w:ind w:firstLine="601"/>
      <w:textAlignment w:val="baseline"/>
    </w:pPr>
    <w:rPr>
      <w:kern w:val="0"/>
      <w:sz w:val="24"/>
      <w:szCs w:val="20"/>
    </w:rPr>
  </w:style>
  <w:style w:type="paragraph" w:customStyle="1" w:styleId="160">
    <w:name w:val="2ji"/>
    <w:basedOn w:val="3"/>
    <w:qFormat/>
    <w:uiPriority w:val="0"/>
    <w:pPr>
      <w:adjustRightInd w:val="0"/>
      <w:spacing w:before="0" w:after="0" w:line="360" w:lineRule="auto"/>
      <w:textAlignment w:val="baseline"/>
    </w:pPr>
    <w:rPr>
      <w:rFonts w:ascii="宋体" w:hAnsi="宋体" w:eastAsia="宋体"/>
      <w:kern w:val="0"/>
      <w:sz w:val="21"/>
      <w:szCs w:val="21"/>
    </w:rPr>
  </w:style>
  <w:style w:type="paragraph" w:customStyle="1" w:styleId="161">
    <w:name w:val="Char Char Char1"/>
    <w:basedOn w:val="16"/>
    <w:qFormat/>
    <w:uiPriority w:val="0"/>
    <w:pPr>
      <w:adjustRightInd/>
      <w:spacing w:line="240" w:lineRule="auto"/>
      <w:textAlignment w:val="auto"/>
    </w:pPr>
    <w:rPr>
      <w:rFonts w:ascii="Tahoma" w:hAnsi="Tahoma"/>
      <w:kern w:val="2"/>
      <w:sz w:val="24"/>
      <w:szCs w:val="24"/>
    </w:rPr>
  </w:style>
  <w:style w:type="paragraph" w:customStyle="1" w:styleId="162">
    <w:name w:val="样式 标题 3 + (中文) 黑体 小四 非加粗 段前: 7.8 磅 段后: 0 磅 行距: 固定值 20 磅"/>
    <w:basedOn w:val="4"/>
    <w:qFormat/>
    <w:uiPriority w:val="0"/>
    <w:pPr>
      <w:spacing w:before="0" w:after="0" w:line="400" w:lineRule="exact"/>
    </w:pPr>
    <w:rPr>
      <w:rFonts w:eastAsia="黑体" w:cs="宋体"/>
      <w:b w:val="0"/>
      <w:bCs w:val="0"/>
      <w:sz w:val="24"/>
      <w:szCs w:val="20"/>
    </w:rPr>
  </w:style>
  <w:style w:type="paragraph" w:customStyle="1" w:styleId="163">
    <w:name w:val="Char21"/>
    <w:basedOn w:val="1"/>
    <w:qFormat/>
    <w:uiPriority w:val="0"/>
    <w:pPr>
      <w:widowControl/>
      <w:spacing w:after="160" w:line="240" w:lineRule="exact"/>
      <w:jc w:val="left"/>
    </w:pPr>
    <w:rPr>
      <w:rFonts w:ascii="Verdana" w:hAnsi="Verdana"/>
      <w:kern w:val="0"/>
      <w:szCs w:val="20"/>
      <w:lang w:eastAsia="en-US"/>
    </w:rPr>
  </w:style>
  <w:style w:type="paragraph" w:customStyle="1" w:styleId="164">
    <w:name w:val="次小点说明 Char"/>
    <w:basedOn w:val="7"/>
    <w:qFormat/>
    <w:uiPriority w:val="0"/>
    <w:pPr>
      <w:ind w:firstLine="0"/>
    </w:pPr>
    <w:rPr>
      <w:sz w:val="24"/>
      <w:szCs w:val="24"/>
    </w:rPr>
  </w:style>
  <w:style w:type="paragraph" w:customStyle="1" w:styleId="165">
    <w:name w:val="Char3"/>
    <w:basedOn w:val="1"/>
    <w:qFormat/>
    <w:uiPriority w:val="0"/>
    <w:pPr>
      <w:widowControl/>
      <w:spacing w:line="500" w:lineRule="exact"/>
      <w:outlineLvl w:val="2"/>
    </w:pPr>
    <w:rPr>
      <w:rFonts w:ascii="黑体" w:hAnsi="Verdana" w:eastAsia="黑体" w:cs="黑体"/>
      <w:kern w:val="0"/>
      <w:sz w:val="28"/>
      <w:szCs w:val="28"/>
      <w:lang w:eastAsia="en-US"/>
    </w:rPr>
  </w:style>
  <w:style w:type="paragraph" w:customStyle="1" w:styleId="166">
    <w:name w:val="xl26"/>
    <w:basedOn w:val="1"/>
    <w:qFormat/>
    <w:uiPriority w:val="0"/>
    <w:pPr>
      <w:widowControl/>
      <w:pBdr>
        <w:left w:val="single" w:color="auto" w:sz="4" w:space="0"/>
        <w:bottom w:val="single" w:color="auto" w:sz="4" w:space="0"/>
        <w:right w:val="single" w:color="auto" w:sz="4" w:space="0"/>
      </w:pBdr>
      <w:spacing w:before="100" w:beforeAutospacing="1" w:after="100" w:afterAutospacing="1"/>
    </w:pPr>
    <w:rPr>
      <w:kern w:val="0"/>
      <w:szCs w:val="21"/>
    </w:rPr>
  </w:style>
  <w:style w:type="paragraph" w:customStyle="1" w:styleId="167">
    <w:name w:val="Char Char Char Char Char Char Char Char Char Char Char Char Char"/>
    <w:basedOn w:val="16"/>
    <w:qFormat/>
    <w:uiPriority w:val="0"/>
    <w:pPr>
      <w:adjustRightInd/>
      <w:spacing w:line="240" w:lineRule="auto"/>
      <w:textAlignment w:val="auto"/>
    </w:pPr>
    <w:rPr>
      <w:rFonts w:ascii="Tahoma" w:hAnsi="Tahoma"/>
      <w:kern w:val="2"/>
      <w:sz w:val="24"/>
      <w:szCs w:val="24"/>
    </w:rPr>
  </w:style>
  <w:style w:type="paragraph" w:customStyle="1" w:styleId="168">
    <w:name w:val="Char Char Char Char Char Char Char Char Char Char Char Char Char Char Char Char1"/>
    <w:basedOn w:val="1"/>
    <w:qFormat/>
    <w:uiPriority w:val="0"/>
    <w:pPr>
      <w:tabs>
        <w:tab w:val="left" w:pos="360"/>
      </w:tabs>
      <w:spacing w:line="360" w:lineRule="auto"/>
      <w:ind w:left="482" w:firstLine="200" w:firstLineChars="200"/>
    </w:pPr>
    <w:rPr>
      <w:rFonts w:ascii="宋体"/>
      <w:sz w:val="24"/>
    </w:rPr>
  </w:style>
  <w:style w:type="paragraph" w:customStyle="1" w:styleId="169">
    <w:name w:val="xl30"/>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kern w:val="0"/>
      <w:szCs w:val="21"/>
    </w:rPr>
  </w:style>
  <w:style w:type="paragraph" w:customStyle="1" w:styleId="170">
    <w:name w:val="样式1"/>
    <w:basedOn w:val="1"/>
    <w:qFormat/>
    <w:uiPriority w:val="0"/>
    <w:pPr>
      <w:spacing w:before="120" w:after="120" w:line="300" w:lineRule="auto"/>
    </w:pPr>
    <w:rPr>
      <w:rFonts w:ascii="宋体" w:hAnsi="宋体"/>
      <w:b/>
      <w:sz w:val="24"/>
      <w:szCs w:val="20"/>
    </w:rPr>
  </w:style>
  <w:style w:type="paragraph" w:customStyle="1" w:styleId="171">
    <w:name w:val="Char Char Char Char Char Char Char Char Char Char Char Char Char1"/>
    <w:basedOn w:val="16"/>
    <w:qFormat/>
    <w:uiPriority w:val="0"/>
    <w:pPr>
      <w:adjustRightInd/>
      <w:spacing w:line="240" w:lineRule="auto"/>
      <w:textAlignment w:val="auto"/>
    </w:pPr>
    <w:rPr>
      <w:rFonts w:ascii="Tahoma" w:hAnsi="Tahoma"/>
      <w:kern w:val="2"/>
      <w:sz w:val="24"/>
      <w:szCs w:val="24"/>
    </w:rPr>
  </w:style>
  <w:style w:type="paragraph" w:customStyle="1" w:styleId="172">
    <w:name w:val="默认段落字体 Para Char"/>
    <w:basedOn w:val="1"/>
    <w:qFormat/>
    <w:uiPriority w:val="0"/>
    <w:pPr>
      <w:adjustRightInd w:val="0"/>
      <w:spacing w:line="360" w:lineRule="auto"/>
    </w:pPr>
    <w:rPr>
      <w:kern w:val="0"/>
      <w:sz w:val="24"/>
      <w:szCs w:val="20"/>
    </w:rPr>
  </w:style>
  <w:style w:type="paragraph" w:customStyle="1" w:styleId="173">
    <w:name w:val="2"/>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74">
    <w:name w:val="a9"/>
    <w:basedOn w:val="1"/>
    <w:qFormat/>
    <w:uiPriority w:val="0"/>
    <w:pPr>
      <w:widowControl/>
      <w:spacing w:before="100" w:beforeAutospacing="1" w:after="100" w:afterAutospacing="1"/>
      <w:jc w:val="left"/>
    </w:pPr>
    <w:rPr>
      <w:rFonts w:ascii="宋体" w:hAnsi="宋体" w:cs="宋体"/>
      <w:kern w:val="0"/>
      <w:sz w:val="24"/>
    </w:rPr>
  </w:style>
  <w:style w:type="paragraph" w:customStyle="1" w:styleId="175">
    <w:name w:val="xl21"/>
    <w:basedOn w:val="1"/>
    <w:qFormat/>
    <w:uiPriority w:val="0"/>
    <w:pPr>
      <w:widowControl/>
      <w:spacing w:before="100" w:beforeAutospacing="1" w:after="100" w:afterAutospacing="1"/>
      <w:jc w:val="center"/>
    </w:pPr>
    <w:rPr>
      <w:rFonts w:ascii="宋体" w:hAnsi="宋体"/>
      <w:b/>
      <w:bCs/>
      <w:kern w:val="0"/>
      <w:sz w:val="28"/>
      <w:szCs w:val="28"/>
    </w:rPr>
  </w:style>
  <w:style w:type="paragraph" w:customStyle="1" w:styleId="176">
    <w:name w:val="Char4"/>
    <w:basedOn w:val="1"/>
    <w:qFormat/>
    <w:uiPriority w:val="0"/>
    <w:pPr>
      <w:tabs>
        <w:tab w:val="left" w:pos="360"/>
      </w:tabs>
      <w:ind w:left="252" w:hanging="252" w:hangingChars="140"/>
    </w:pPr>
    <w:rPr>
      <w:rFonts w:ascii="宋体"/>
      <w:sz w:val="18"/>
      <w:szCs w:val="18"/>
    </w:rPr>
  </w:style>
  <w:style w:type="paragraph" w:customStyle="1" w:styleId="177">
    <w:name w:val="Char Char Char Char Char Char1 Char"/>
    <w:basedOn w:val="1"/>
    <w:qFormat/>
    <w:uiPriority w:val="0"/>
    <w:pPr>
      <w:widowControl/>
      <w:spacing w:after="160" w:line="240" w:lineRule="exact"/>
      <w:jc w:val="left"/>
    </w:pPr>
    <w:rPr>
      <w:rFonts w:ascii="Arial" w:hAnsi="Arial" w:eastAsia="Times New Roman" w:cs="Verdana"/>
      <w:b/>
      <w:kern w:val="0"/>
      <w:sz w:val="24"/>
      <w:szCs w:val="20"/>
      <w:lang w:eastAsia="en-US"/>
    </w:rPr>
  </w:style>
  <w:style w:type="paragraph" w:customStyle="1" w:styleId="178">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179">
    <w:name w:val="表内文字"/>
    <w:basedOn w:val="1"/>
    <w:qFormat/>
    <w:uiPriority w:val="0"/>
    <w:pPr>
      <w:snapToGrid w:val="0"/>
      <w:spacing w:before="50" w:after="50"/>
      <w:jc w:val="center"/>
    </w:pPr>
    <w:rPr>
      <w:rFonts w:ascii="仿宋_GB2312" w:hAnsi="宋体" w:eastAsia="仿宋_GB2312"/>
      <w:b/>
      <w:color w:val="000000"/>
      <w:sz w:val="32"/>
      <w:szCs w:val="32"/>
    </w:rPr>
  </w:style>
  <w:style w:type="paragraph" w:customStyle="1" w:styleId="180">
    <w:name w:val="样式"/>
    <w:qFormat/>
    <w:uiPriority w:val="0"/>
    <w:pPr>
      <w:widowControl w:val="0"/>
      <w:autoSpaceDE w:val="0"/>
      <w:autoSpaceDN w:val="0"/>
      <w:adjustRightInd w:val="0"/>
    </w:pPr>
    <w:rPr>
      <w:rFonts w:ascii="宋体" w:hAnsi="宋体" w:eastAsia="宋体" w:cs="宋体"/>
      <w:sz w:val="24"/>
      <w:szCs w:val="24"/>
      <w:lang w:val="en-US" w:eastAsia="zh-CN" w:bidi="ar-SA"/>
    </w:rPr>
  </w:style>
  <w:style w:type="paragraph" w:customStyle="1" w:styleId="181">
    <w:name w:val="正文首行缩进两字符"/>
    <w:basedOn w:val="1"/>
    <w:qFormat/>
    <w:uiPriority w:val="0"/>
    <w:pPr>
      <w:spacing w:line="360" w:lineRule="auto"/>
      <w:ind w:firstLine="200" w:firstLineChars="200"/>
    </w:pPr>
  </w:style>
  <w:style w:type="paragraph" w:customStyle="1" w:styleId="182">
    <w:name w:val="正文段"/>
    <w:basedOn w:val="1"/>
    <w:qFormat/>
    <w:uiPriority w:val="0"/>
    <w:pPr>
      <w:widowControl/>
      <w:snapToGrid w:val="0"/>
      <w:spacing w:after="156" w:afterLines="50"/>
      <w:ind w:firstLine="200" w:firstLineChars="200"/>
    </w:pPr>
    <w:rPr>
      <w:kern w:val="0"/>
      <w:sz w:val="24"/>
      <w:szCs w:val="20"/>
    </w:rPr>
  </w:style>
  <w:style w:type="paragraph" w:customStyle="1" w:styleId="183">
    <w:name w:val="默认段落字体 Para Char Char Char Char Char Char Char Char Char1 Char Char Char Char"/>
    <w:basedOn w:val="1"/>
    <w:qFormat/>
    <w:uiPriority w:val="0"/>
    <w:rPr>
      <w:rFonts w:ascii="Tahoma" w:hAnsi="Tahoma"/>
      <w:sz w:val="24"/>
      <w:szCs w:val="20"/>
    </w:rPr>
  </w:style>
  <w:style w:type="paragraph" w:customStyle="1" w:styleId="184">
    <w:name w:val="样式 标题 2 + Times New Roman 四号 非加粗 段前: 5 磅 段后: 0 磅 行距: 固定值 20..."/>
    <w:basedOn w:val="3"/>
    <w:qFormat/>
    <w:uiPriority w:val="0"/>
    <w:pPr>
      <w:spacing w:before="100" w:after="0" w:line="400" w:lineRule="exact"/>
    </w:pPr>
    <w:rPr>
      <w:rFonts w:ascii="Times New Roman" w:hAnsi="Times New Roman" w:cs="宋体"/>
      <w:b w:val="0"/>
      <w:bCs w:val="0"/>
      <w:sz w:val="28"/>
      <w:szCs w:val="20"/>
    </w:rPr>
  </w:style>
  <w:style w:type="paragraph" w:customStyle="1" w:styleId="185">
    <w:name w:val="1"/>
    <w:basedOn w:val="1"/>
    <w:next w:val="26"/>
    <w:qFormat/>
    <w:uiPriority w:val="0"/>
    <w:rPr>
      <w:rFonts w:ascii="宋体" w:hAnsi="Courier New"/>
      <w:szCs w:val="20"/>
    </w:rPr>
  </w:style>
  <w:style w:type="paragraph" w:customStyle="1" w:styleId="186">
    <w:name w:val="Char1"/>
    <w:basedOn w:val="1"/>
    <w:qFormat/>
    <w:uiPriority w:val="0"/>
    <w:rPr>
      <w:szCs w:val="21"/>
    </w:rPr>
  </w:style>
  <w:style w:type="paragraph" w:customStyle="1" w:styleId="187">
    <w:name w:val="五号正文（标准）"/>
    <w:basedOn w:val="1"/>
    <w:qFormat/>
    <w:uiPriority w:val="0"/>
    <w:pPr>
      <w:spacing w:line="360" w:lineRule="auto"/>
      <w:ind w:right="55" w:firstLine="560" w:firstLineChars="200"/>
    </w:pPr>
    <w:rPr>
      <w:rFonts w:eastAsia="仿宋_GB2312"/>
      <w:sz w:val="28"/>
      <w:szCs w:val="20"/>
    </w:rPr>
  </w:style>
  <w:style w:type="paragraph" w:customStyle="1" w:styleId="188">
    <w:name w:val="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189">
    <w:name w:val="Char Char Char2"/>
    <w:basedOn w:val="1"/>
    <w:qFormat/>
    <w:uiPriority w:val="0"/>
    <w:rPr>
      <w:rFonts w:ascii="Tahoma" w:hAnsi="Tahoma"/>
      <w:sz w:val="24"/>
      <w:szCs w:val="20"/>
    </w:rPr>
  </w:style>
  <w:style w:type="paragraph" w:customStyle="1" w:styleId="190">
    <w:name w:val="xl2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b/>
      <w:bCs/>
      <w:kern w:val="0"/>
      <w:sz w:val="24"/>
    </w:rPr>
  </w:style>
  <w:style w:type="paragraph" w:customStyle="1" w:styleId="191">
    <w:name w:val="List Paragraph1"/>
    <w:basedOn w:val="1"/>
    <w:qFormat/>
    <w:uiPriority w:val="0"/>
    <w:pPr>
      <w:ind w:firstLine="420" w:firstLineChars="200"/>
    </w:pPr>
    <w:rPr>
      <w:rFonts w:ascii="Calibri" w:hAnsi="Calibri"/>
      <w:szCs w:val="22"/>
    </w:rPr>
  </w:style>
  <w:style w:type="paragraph" w:customStyle="1" w:styleId="192">
    <w:name w:val="样式 首行缩进:  2 字符"/>
    <w:basedOn w:val="1"/>
    <w:qFormat/>
    <w:uiPriority w:val="0"/>
    <w:pPr>
      <w:spacing w:line="400" w:lineRule="exact"/>
      <w:ind w:firstLine="200" w:firstLineChars="200"/>
    </w:pPr>
    <w:rPr>
      <w:rFonts w:cs="宋体"/>
      <w:sz w:val="24"/>
    </w:rPr>
  </w:style>
  <w:style w:type="paragraph" w:customStyle="1" w:styleId="193">
    <w:name w:val="普通 (Web)"/>
    <w:basedOn w:val="1"/>
    <w:qFormat/>
    <w:uiPriority w:val="0"/>
    <w:pPr>
      <w:widowControl/>
      <w:spacing w:before="100" w:beforeAutospacing="1" w:after="100" w:afterAutospacing="1"/>
      <w:jc w:val="left"/>
    </w:pPr>
    <w:rPr>
      <w:rFonts w:ascii="宋体" w:hAnsi="宋体"/>
      <w:kern w:val="0"/>
      <w:sz w:val="24"/>
    </w:rPr>
  </w:style>
  <w:style w:type="paragraph" w:customStyle="1" w:styleId="194">
    <w:name w:val="Char Char Char Char1"/>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195">
    <w:name w:val="Char Char Char Char Char Char1 Char1"/>
    <w:basedOn w:val="1"/>
    <w:qFormat/>
    <w:uiPriority w:val="0"/>
    <w:pPr>
      <w:widowControl/>
      <w:spacing w:after="160" w:line="240" w:lineRule="exact"/>
      <w:jc w:val="left"/>
    </w:pPr>
    <w:rPr>
      <w:rFonts w:ascii="Arial" w:hAnsi="Arial" w:eastAsia="Times New Roman" w:cs="Verdana"/>
      <w:b/>
      <w:kern w:val="0"/>
      <w:sz w:val="24"/>
      <w:szCs w:val="20"/>
      <w:lang w:eastAsia="en-US"/>
    </w:rPr>
  </w:style>
  <w:style w:type="paragraph" w:customStyle="1" w:styleId="196">
    <w:name w:val="修订1"/>
    <w:unhideWhenUsed/>
    <w:qFormat/>
    <w:uiPriority w:val="99"/>
    <w:rPr>
      <w:rFonts w:ascii="Times New Roman" w:hAnsi="Times New Roman" w:eastAsia="宋体" w:cs="Times New Roman"/>
      <w:kern w:val="2"/>
      <w:sz w:val="21"/>
      <w:szCs w:val="24"/>
      <w:lang w:val="en-US" w:eastAsia="zh-CN" w:bidi="ar-SA"/>
    </w:rPr>
  </w:style>
  <w:style w:type="character" w:customStyle="1" w:styleId="197">
    <w:name w:val="未处理的提及1"/>
    <w:unhideWhenUsed/>
    <w:qFormat/>
    <w:uiPriority w:val="99"/>
    <w:rPr>
      <w:color w:val="605E5C"/>
      <w:shd w:val="clear" w:color="auto" w:fill="E1DFDD"/>
    </w:rPr>
  </w:style>
  <w:style w:type="character" w:customStyle="1" w:styleId="198">
    <w:name w:val="批注文字 Char"/>
    <w:qFormat/>
    <w:uiPriority w:val="0"/>
    <w:rPr>
      <w:kern w:val="2"/>
      <w:sz w:val="21"/>
      <w:szCs w:val="24"/>
    </w:rPr>
  </w:style>
  <w:style w:type="character" w:styleId="199">
    <w:name w:val="Placeholder Text"/>
    <w:unhideWhenUsed/>
    <w:qFormat/>
    <w:uiPriority w:val="99"/>
    <w:rPr>
      <w:color w:val="808080"/>
    </w:rPr>
  </w:style>
  <w:style w:type="paragraph" w:customStyle="1" w:styleId="200">
    <w:name w:val="正文-2字符首行缩进"/>
    <w:basedOn w:val="1"/>
    <w:link w:val="201"/>
    <w:qFormat/>
    <w:uiPriority w:val="0"/>
    <w:pPr>
      <w:widowControl/>
      <w:spacing w:line="360" w:lineRule="auto"/>
      <w:ind w:firstLine="200" w:firstLineChars="200"/>
    </w:pPr>
    <w:rPr>
      <w:rFonts w:ascii="仿宋_GB2312" w:hAnsi="Calibri" w:eastAsia="仿宋_GB2312"/>
      <w:kern w:val="0"/>
      <w:sz w:val="28"/>
      <w:szCs w:val="22"/>
    </w:rPr>
  </w:style>
  <w:style w:type="character" w:customStyle="1" w:styleId="201">
    <w:name w:val="正文-2字符首行缩进 Char"/>
    <w:link w:val="200"/>
    <w:qFormat/>
    <w:uiPriority w:val="0"/>
    <w:rPr>
      <w:rFonts w:ascii="仿宋_GB2312" w:hAnsi="Calibri" w:eastAsia="仿宋_GB2312"/>
      <w:sz w:val="28"/>
      <w:szCs w:val="22"/>
    </w:rPr>
  </w:style>
  <w:style w:type="paragraph" w:customStyle="1" w:styleId="202">
    <w:name w:val="列出段落1"/>
    <w:basedOn w:val="1"/>
    <w:qFormat/>
    <w:uiPriority w:val="99"/>
    <w:pPr>
      <w:ind w:firstLine="420" w:firstLineChars="200"/>
    </w:pPr>
    <w:rPr>
      <w:rFonts w:ascii="等线" w:hAnsi="等线" w:eastAsia="等线" w:cs="Times New Roman"/>
    </w:rPr>
  </w:style>
  <w:style w:type="character" w:customStyle="1" w:styleId="203">
    <w:name w:val="未处理的提及2"/>
    <w:unhideWhenUsed/>
    <w:qFormat/>
    <w:uiPriority w:val="99"/>
    <w:rPr>
      <w:color w:val="605E5C"/>
      <w:shd w:val="clear" w:color="auto" w:fill="E1DFDD"/>
    </w:rPr>
  </w:style>
  <w:style w:type="character" w:customStyle="1" w:styleId="204">
    <w:name w:val="标题 2 Char"/>
    <w:qFormat/>
    <w:uiPriority w:val="0"/>
    <w:rPr>
      <w:rFonts w:ascii="Arial" w:hAnsi="Arial" w:eastAsia="黑体"/>
      <w:b/>
      <w:bCs/>
      <w:kern w:val="2"/>
      <w:sz w:val="32"/>
      <w:szCs w:val="32"/>
    </w:rPr>
  </w:style>
  <w:style w:type="character" w:customStyle="1" w:styleId="205">
    <w:name w:val="15"/>
    <w:qFormat/>
    <w:uiPriority w:val="0"/>
    <w:rPr>
      <w:rFonts w:hint="eastAsia" w:ascii="宋体" w:hAnsi="宋体" w:eastAsia="宋体"/>
      <w:color w:val="000000"/>
      <w:spacing w:val="0"/>
      <w:sz w:val="22"/>
      <w:szCs w:val="22"/>
    </w:rPr>
  </w:style>
  <w:style w:type="character" w:customStyle="1" w:styleId="206">
    <w:name w:val="批注文字 字符2"/>
    <w:qFormat/>
    <w:uiPriority w:val="0"/>
    <w:rPr>
      <w:kern w:val="2"/>
      <w:sz w:val="21"/>
      <w:szCs w:val="24"/>
    </w:rPr>
  </w:style>
  <w:style w:type="paragraph" w:customStyle="1" w:styleId="207">
    <w:name w:val="reader-word-layer"/>
    <w:basedOn w:val="1"/>
    <w:qFormat/>
    <w:uiPriority w:val="0"/>
    <w:pPr>
      <w:widowControl/>
      <w:spacing w:before="100" w:beforeAutospacing="1" w:after="100" w:afterAutospacing="1"/>
      <w:jc w:val="left"/>
    </w:pPr>
    <w:rPr>
      <w:rFonts w:ascii="宋体" w:hAnsi="宋体" w:cs="宋体"/>
      <w:kern w:val="0"/>
      <w:sz w:val="24"/>
    </w:rPr>
  </w:style>
  <w:style w:type="character" w:customStyle="1" w:styleId="208">
    <w:name w:val="Unresolved Mention"/>
    <w:unhideWhenUsed/>
    <w:qFormat/>
    <w:uiPriority w:val="99"/>
    <w:rPr>
      <w:color w:val="605E5C"/>
      <w:shd w:val="clear" w:color="auto" w:fill="E1DFDD"/>
    </w:rPr>
  </w:style>
  <w:style w:type="paragraph" w:customStyle="1" w:styleId="209">
    <w:name w:val="AONormal"/>
    <w:qFormat/>
    <w:uiPriority w:val="0"/>
    <w:pPr>
      <w:autoSpaceDE w:val="0"/>
      <w:autoSpaceDN w:val="0"/>
      <w:adjustRightInd w:val="0"/>
      <w:spacing w:line="400" w:lineRule="exact"/>
      <w:ind w:firstLine="440" w:firstLineChars="200"/>
    </w:pPr>
    <w:rPr>
      <w:rFonts w:ascii="华文楷体" w:hAnsi="华文楷体" w:eastAsia="华文楷体" w:cs="华文楷体"/>
      <w:sz w:val="22"/>
      <w:szCs w:val="21"/>
      <w:lang w:val="en-US" w:eastAsia="zh-CN" w:bidi="ar-SA"/>
    </w:rPr>
  </w:style>
  <w:style w:type="paragraph" w:customStyle="1" w:styleId="210">
    <w:name w:val="目录 53"/>
    <w:next w:val="1"/>
    <w:qFormat/>
    <w:uiPriority w:val="0"/>
    <w:pPr>
      <w:wordWrap w:val="0"/>
      <w:ind w:left="1275"/>
      <w:jc w:val="both"/>
    </w:pPr>
    <w:rPr>
      <w:rFonts w:ascii="Times New Roman" w:hAnsi="Times New Roman" w:eastAsia="宋体" w:cs="Times New Roman"/>
      <w:sz w:val="21"/>
      <w:lang w:val="en-US" w:eastAsia="zh-CN" w:bidi="ar-SA"/>
    </w:rPr>
  </w:style>
  <w:style w:type="paragraph" w:customStyle="1" w:styleId="211">
    <w:name w:val="Revision"/>
    <w:unhideWhenUsed/>
    <w:qFormat/>
    <w:uiPriority w:val="99"/>
    <w:rPr>
      <w:rFonts w:ascii="Times New Roman" w:hAnsi="Times New Roman" w:eastAsia="宋体" w:cs="Times New Roman"/>
      <w:kern w:val="2"/>
      <w:sz w:val="21"/>
      <w:szCs w:val="24"/>
      <w:lang w:val="en-US" w:eastAsia="zh-CN" w:bidi="ar-SA"/>
    </w:rPr>
  </w:style>
  <w:style w:type="paragraph" w:customStyle="1" w:styleId="212">
    <w:name w:val="Table Text"/>
    <w:basedOn w:val="1"/>
    <w:semiHidden/>
    <w:qFormat/>
    <w:uiPriority w:val="0"/>
    <w:rPr>
      <w:rFonts w:ascii="宋体" w:hAnsi="宋体" w:eastAsia="宋体" w:cs="宋体"/>
      <w:sz w:val="18"/>
      <w:szCs w:val="18"/>
      <w:lang w:val="en-US" w:eastAsia="en-US" w:bidi="ar-SA"/>
    </w:rPr>
  </w:style>
  <w:style w:type="table" w:customStyle="1" w:styleId="213">
    <w:name w:val="Table Normal"/>
    <w:semiHidden/>
    <w:unhideWhenUsed/>
    <w:qFormat/>
    <w:uiPriority w:val="0"/>
    <w:tblPr>
      <w:tblCellMar>
        <w:top w:w="0" w:type="dxa"/>
        <w:left w:w="0" w:type="dxa"/>
        <w:bottom w:w="0" w:type="dxa"/>
        <w:right w:w="0" w:type="dxa"/>
      </w:tblCellMar>
    </w:tblPr>
  </w:style>
  <w:style w:type="paragraph" w:customStyle="1" w:styleId="214">
    <w:name w:val="表格文字"/>
    <w:basedOn w:val="1"/>
    <w:qFormat/>
    <w:uiPriority w:val="99"/>
    <w:pPr>
      <w:spacing w:before="25" w:after="25"/>
      <w:jc w:val="left"/>
    </w:pPr>
    <w:rPr>
      <w:bCs/>
      <w:spacing w:val="10"/>
      <w:kern w:val="0"/>
      <w:sz w:val="24"/>
    </w:rPr>
  </w:style>
  <w:style w:type="paragraph" w:customStyle="1" w:styleId="215">
    <w:name w:val="null3"/>
    <w:qFormat/>
    <w:uiPriority w:val="0"/>
    <w:rPr>
      <w:rFonts w:hint="eastAsia" w:ascii="Calibri" w:hAnsi="Calibri" w:eastAsia="宋体" w:cs="Times New Roman"/>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3" Type="http://schemas.openxmlformats.org/officeDocument/2006/relationships/fontTable" Target="fontTable.xml"/><Relationship Id="rId22" Type="http://schemas.openxmlformats.org/officeDocument/2006/relationships/numbering" Target="numbering.xml"/><Relationship Id="rId21" Type="http://schemas.openxmlformats.org/officeDocument/2006/relationships/customXml" Target="../customXml/item1.xml"/><Relationship Id="rId20" Type="http://schemas.openxmlformats.org/officeDocument/2006/relationships/image" Target="media/image3.emf"/><Relationship Id="rId2" Type="http://schemas.openxmlformats.org/officeDocument/2006/relationships/settings" Target="settings.xml"/><Relationship Id="rId19" Type="http://schemas.openxmlformats.org/officeDocument/2006/relationships/image" Target="media/image2.png"/><Relationship Id="rId18" Type="http://schemas.openxmlformats.org/officeDocument/2006/relationships/image" Target="media/image1.png"/><Relationship Id="rId17" Type="http://schemas.openxmlformats.org/officeDocument/2006/relationships/theme" Target="theme/theme1.xml"/><Relationship Id="rId16" Type="http://schemas.openxmlformats.org/officeDocument/2006/relationships/header" Target="header7.xml"/><Relationship Id="rId15" Type="http://schemas.openxmlformats.org/officeDocument/2006/relationships/header" Target="header6.xml"/><Relationship Id="rId14" Type="http://schemas.openxmlformats.org/officeDocument/2006/relationships/header" Target="header5.xml"/><Relationship Id="rId13" Type="http://schemas.openxmlformats.org/officeDocument/2006/relationships/footer" Target="footer7.xml"/><Relationship Id="rId12" Type="http://schemas.openxmlformats.org/officeDocument/2006/relationships/footer" Target="footer6.xml"/><Relationship Id="rId11" Type="http://schemas.openxmlformats.org/officeDocument/2006/relationships/header" Target="header4.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china</Company>
  <Pages>91</Pages>
  <Words>2465</Words>
  <Characters>2788</Characters>
  <Lines>668</Lines>
  <Paragraphs>188</Paragraphs>
  <TotalTime>44</TotalTime>
  <ScaleCrop>false</ScaleCrop>
  <LinksUpToDate>false</LinksUpToDate>
  <CharactersWithSpaces>2833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2023-12-25T01:44:00Z</dcterms:created>
  <dc:creator>微软用户</dc:creator>
  <cp:lastModifiedBy>NTKO</cp:lastModifiedBy>
  <cp:lastPrinted>2016-03-22T07:52:00Z</cp:lastPrinted>
  <dcterms:modified xsi:type="dcterms:W3CDTF">2026-08-28T01:33:09Z</dcterms:modified>
  <dc:title>桂财采〔2009〕 号</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Subject">
    <vt:lpwstr/>
  </property>
  <property fmtid="{D5CDD505-2E9C-101B-9397-08002B2CF9AE}" pid="4" name="Keywords">
    <vt:lpwstr/>
  </property>
  <property fmtid="{D5CDD505-2E9C-101B-9397-08002B2CF9AE}" pid="5" name="_Author">
    <vt:lpwstr>微软用户</vt:lpwstr>
  </property>
  <property fmtid="{D5CDD505-2E9C-101B-9397-08002B2CF9AE}" pid="6" name="_Category">
    <vt:lpwstr/>
  </property>
  <property fmtid="{D5CDD505-2E9C-101B-9397-08002B2CF9AE}" pid="7" name="Slides">
    <vt:lpwstr>0</vt:lpwstr>
  </property>
  <property fmtid="{D5CDD505-2E9C-101B-9397-08002B2CF9AE}" pid="8" name="Categories">
    <vt:lpwstr/>
  </property>
  <property fmtid="{D5CDD505-2E9C-101B-9397-08002B2CF9AE}" pid="9" name="Approval Level">
    <vt:lpwstr/>
  </property>
  <property fmtid="{D5CDD505-2E9C-101B-9397-08002B2CF9AE}" pid="10" name="_Comments">
    <vt:lpwstr/>
  </property>
  <property fmtid="{D5CDD505-2E9C-101B-9397-08002B2CF9AE}" pid="11" name="Assigned To">
    <vt:lpwstr/>
  </property>
  <property fmtid="{D5CDD505-2E9C-101B-9397-08002B2CF9AE}" pid="12" name="ContentTypeId">
    <vt:lpwstr>0x010100766A5C3ADF4EA94E9357209EBD74570E</vt:lpwstr>
  </property>
  <property fmtid="{D5CDD505-2E9C-101B-9397-08002B2CF9AE}" pid="13" name="ICV">
    <vt:lpwstr>738C89055405404787874467C97FDFF6_13</vt:lpwstr>
  </property>
  <property fmtid="{D5CDD505-2E9C-101B-9397-08002B2CF9AE}" pid="14" name="KSOTemplateDocerSaveRecord">
    <vt:lpwstr>eyJoZGlkIjoiMDk2NTg3ZmFiYWI0NGY1ZmM3Y2EyNzY3NGY4YmMxMjAiLCJ1c2VySWQiOiI2MTMzNjA4NDIifQ==</vt:lpwstr>
  </property>
</Properties>
</file>