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A40611D">
      <w:pPr>
        <w:rPr>
          <w:b/>
          <w:color w:val="4472C4"/>
          <w:sz w:val="32"/>
          <w:szCs w:val="32"/>
        </w:rPr>
      </w:pPr>
      <w:bookmarkStart w:id="0" w:name="_Toc217446030"/>
      <w:bookmarkStart w:id="1" w:name="_Toc183682338"/>
      <w:r>
        <w:rPr>
          <w:rFonts w:hint="eastAsia" w:eastAsia="宋体"/>
          <w:lang w:eastAsia="zh-CN"/>
        </w:rPr>
        <w:drawing>
          <wp:anchor distT="0" distB="0" distL="114300" distR="114300" simplePos="0" relativeHeight="251660288" behindDoc="1" locked="0" layoutInCell="1" allowOverlap="1">
            <wp:simplePos x="0" y="0"/>
            <wp:positionH relativeFrom="column">
              <wp:posOffset>-903605</wp:posOffset>
            </wp:positionH>
            <wp:positionV relativeFrom="paragraph">
              <wp:posOffset>-918845</wp:posOffset>
            </wp:positionV>
            <wp:extent cx="7579995" cy="10714355"/>
            <wp:effectExtent l="0" t="0" r="9525" b="14605"/>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25"/>
                    <a:stretch>
                      <a:fillRect/>
                    </a:stretch>
                  </pic:blipFill>
                  <pic:spPr>
                    <a:xfrm>
                      <a:off x="0" y="0"/>
                      <a:ext cx="7579995" cy="10714355"/>
                    </a:xfrm>
                    <a:prstGeom prst="rect">
                      <a:avLst/>
                    </a:prstGeom>
                  </pic:spPr>
                </pic:pic>
              </a:graphicData>
            </a:graphic>
          </wp:anchor>
        </w:drawing>
      </w:r>
    </w:p>
    <w:p w14:paraId="6A97C1F2">
      <w:pPr>
        <w:rPr>
          <w:b/>
          <w:color w:val="4472C4"/>
          <w:sz w:val="32"/>
          <w:szCs w:val="32"/>
        </w:rPr>
      </w:pPr>
    </w:p>
    <w:p w14:paraId="65E189C2">
      <w:pPr>
        <w:ind w:firstLine="210" w:firstLineChars="100"/>
        <w:jc w:val="center"/>
        <w:rPr>
          <w:rFonts w:hint="eastAsia" w:eastAsia="宋体"/>
          <w:b/>
          <w:color w:val="4472C4"/>
          <w:sz w:val="32"/>
          <w:szCs w:val="32"/>
          <w:lang w:eastAsia="zh-CN"/>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495935</wp:posOffset>
            </wp:positionH>
            <wp:positionV relativeFrom="paragraph">
              <wp:posOffset>193040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6"/>
                    <a:stretch>
                      <a:fillRect/>
                    </a:stretch>
                  </pic:blipFill>
                  <pic:spPr>
                    <a:xfrm>
                      <a:off x="0" y="0"/>
                      <a:ext cx="4654550" cy="584200"/>
                    </a:xfrm>
                    <a:prstGeom prst="rect">
                      <a:avLst/>
                    </a:prstGeom>
                  </pic:spPr>
                </pic:pic>
              </a:graphicData>
            </a:graphic>
          </wp:anchor>
        </w:drawing>
      </w:r>
    </w:p>
    <w:p w14:paraId="52A33A01">
      <w:pPr>
        <w:widowControl/>
        <w:jc w:val="center"/>
      </w:pPr>
    </w:p>
    <w:p w14:paraId="5BC9E8F3">
      <w:pPr>
        <w:widowControl/>
        <w:jc w:val="center"/>
      </w:pPr>
    </w:p>
    <w:p w14:paraId="55425635">
      <w:pPr>
        <w:widowControl/>
        <w:jc w:val="center"/>
      </w:pPr>
    </w:p>
    <w:p w14:paraId="1133B134">
      <w:pPr>
        <w:widowControl/>
        <w:jc w:val="center"/>
      </w:pPr>
    </w:p>
    <w:p w14:paraId="767EA4FA">
      <w:pPr>
        <w:widowControl/>
        <w:jc w:val="center"/>
      </w:pPr>
    </w:p>
    <w:p w14:paraId="648415B9">
      <w:pPr>
        <w:widowControl/>
        <w:jc w:val="center"/>
      </w:pPr>
    </w:p>
    <w:p w14:paraId="316539A4">
      <w:pPr>
        <w:widowControl/>
        <w:jc w:val="center"/>
      </w:pPr>
    </w:p>
    <w:p w14:paraId="0E34A92B">
      <w:pPr>
        <w:widowControl/>
        <w:jc w:val="center"/>
      </w:pPr>
    </w:p>
    <w:p w14:paraId="36BECBA8">
      <w:pPr>
        <w:widowControl/>
        <w:jc w:val="cente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4404"/>
      </w:tblGrid>
      <w:tr w14:paraId="2472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6457" w:type="dxa"/>
            <w:gridSpan w:val="2"/>
            <w:tcBorders>
              <w:top w:val="nil"/>
              <w:left w:val="nil"/>
              <w:right w:val="nil"/>
            </w:tcBorders>
          </w:tcPr>
          <w:p w14:paraId="796202F0">
            <w:pPr>
              <w:snapToGrid w:val="0"/>
              <w:spacing w:line="240" w:lineRule="atLeast"/>
              <w:jc w:val="center"/>
              <w:rPr>
                <w:b/>
                <w:sz w:val="13"/>
                <w:szCs w:val="13"/>
              </w:rPr>
            </w:pPr>
            <w:r>
              <w:rPr>
                <w:rFonts w:hint="eastAsia"/>
                <w:b/>
                <w:sz w:val="72"/>
                <w:szCs w:val="72"/>
              </w:rPr>
              <w:t>采购文件</w:t>
            </w:r>
          </w:p>
        </w:tc>
      </w:tr>
      <w:tr w14:paraId="525A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vAlign w:val="center"/>
          </w:tcPr>
          <w:p w14:paraId="476A8CFF">
            <w:pPr>
              <w:rPr>
                <w:b/>
                <w:color w:val="auto"/>
                <w:sz w:val="32"/>
                <w:szCs w:val="32"/>
              </w:rPr>
            </w:pPr>
            <w:r>
              <w:rPr>
                <w:b/>
                <w:color w:val="auto"/>
                <w:sz w:val="32"/>
                <w:szCs w:val="32"/>
              </w:rPr>
              <w:t>项目名称：</w:t>
            </w:r>
          </w:p>
        </w:tc>
        <w:tc>
          <w:tcPr>
            <w:tcW w:w="4404" w:type="dxa"/>
            <w:vAlign w:val="center"/>
          </w:tcPr>
          <w:p w14:paraId="043DA242">
            <w:pPr>
              <w:rPr>
                <w:b/>
                <w:color w:val="auto"/>
                <w:sz w:val="32"/>
                <w:szCs w:val="32"/>
              </w:rPr>
            </w:pPr>
            <w:r>
              <w:rPr>
                <w:rFonts w:hint="eastAsia"/>
                <w:b/>
                <w:color w:val="auto"/>
                <w:sz w:val="32"/>
                <w:szCs w:val="32"/>
              </w:rPr>
              <w:t>河池市人民医院医疗设备采购项目（五）</w:t>
            </w:r>
          </w:p>
        </w:tc>
      </w:tr>
      <w:tr w14:paraId="0A41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vAlign w:val="center"/>
          </w:tcPr>
          <w:p w14:paraId="2B5078AE">
            <w:pPr>
              <w:rPr>
                <w:b/>
                <w:color w:val="auto"/>
                <w:sz w:val="32"/>
                <w:szCs w:val="32"/>
              </w:rPr>
            </w:pPr>
            <w:r>
              <w:rPr>
                <w:b/>
                <w:color w:val="auto"/>
                <w:sz w:val="32"/>
                <w:szCs w:val="32"/>
              </w:rPr>
              <w:t>项目编号：</w:t>
            </w:r>
          </w:p>
        </w:tc>
        <w:tc>
          <w:tcPr>
            <w:tcW w:w="4404" w:type="dxa"/>
            <w:vAlign w:val="center"/>
          </w:tcPr>
          <w:p w14:paraId="03186231">
            <w:pPr>
              <w:rPr>
                <w:b/>
                <w:color w:val="auto"/>
                <w:sz w:val="32"/>
                <w:szCs w:val="32"/>
              </w:rPr>
            </w:pPr>
            <w:r>
              <w:rPr>
                <w:rFonts w:hint="eastAsia"/>
                <w:b/>
                <w:color w:val="auto"/>
                <w:sz w:val="32"/>
                <w:szCs w:val="32"/>
              </w:rPr>
              <w:t>HCZC2026-J1-990169-JDZB</w:t>
            </w:r>
          </w:p>
        </w:tc>
      </w:tr>
      <w:tr w14:paraId="3686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vAlign w:val="center"/>
          </w:tcPr>
          <w:p w14:paraId="494EEF78">
            <w:pPr>
              <w:rPr>
                <w:b/>
                <w:color w:val="auto"/>
                <w:sz w:val="32"/>
                <w:szCs w:val="32"/>
              </w:rPr>
            </w:pPr>
            <w:r>
              <w:rPr>
                <w:b/>
                <w:color w:val="auto"/>
                <w:sz w:val="32"/>
                <w:szCs w:val="32"/>
              </w:rPr>
              <w:t>联系电话：</w:t>
            </w:r>
          </w:p>
        </w:tc>
        <w:tc>
          <w:tcPr>
            <w:tcW w:w="4404" w:type="dxa"/>
            <w:vAlign w:val="center"/>
          </w:tcPr>
          <w:p w14:paraId="7638D006">
            <w:pPr>
              <w:rPr>
                <w:b/>
                <w:color w:val="auto"/>
                <w:sz w:val="32"/>
                <w:szCs w:val="32"/>
              </w:rPr>
            </w:pPr>
            <w:r>
              <w:rPr>
                <w:rFonts w:hint="eastAsia"/>
                <w:b/>
                <w:color w:val="auto"/>
                <w:sz w:val="32"/>
                <w:szCs w:val="32"/>
              </w:rPr>
              <w:t>0778-7984379</w:t>
            </w:r>
          </w:p>
        </w:tc>
      </w:tr>
      <w:tr w14:paraId="4B08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vAlign w:val="center"/>
          </w:tcPr>
          <w:p w14:paraId="58A44742">
            <w:pPr>
              <w:rPr>
                <w:b/>
                <w:color w:val="auto"/>
                <w:sz w:val="32"/>
                <w:szCs w:val="32"/>
              </w:rPr>
            </w:pPr>
            <w:r>
              <w:rPr>
                <w:rFonts w:hint="eastAsia"/>
                <w:b/>
                <w:color w:val="auto"/>
                <w:sz w:val="32"/>
                <w:szCs w:val="32"/>
              </w:rPr>
              <w:t>采购方式</w:t>
            </w:r>
          </w:p>
        </w:tc>
        <w:tc>
          <w:tcPr>
            <w:tcW w:w="4404" w:type="dxa"/>
            <w:vAlign w:val="center"/>
          </w:tcPr>
          <w:p w14:paraId="3DBAF65D">
            <w:pPr>
              <w:rPr>
                <w:b/>
                <w:color w:val="auto"/>
                <w:sz w:val="32"/>
                <w:szCs w:val="32"/>
              </w:rPr>
            </w:pPr>
            <w:r>
              <w:rPr>
                <w:rFonts w:hint="eastAsia"/>
                <w:b/>
                <w:color w:val="auto"/>
                <w:sz w:val="32"/>
                <w:szCs w:val="32"/>
              </w:rPr>
              <w:t>竞争性谈判</w:t>
            </w:r>
          </w:p>
        </w:tc>
      </w:tr>
    </w:tbl>
    <w:p w14:paraId="598FA838">
      <w:pPr>
        <w:widowControl/>
        <w:jc w:val="center"/>
        <w:rPr>
          <w:color w:val="auto"/>
        </w:rPr>
      </w:pPr>
    </w:p>
    <w:p w14:paraId="3D283480">
      <w:pPr>
        <w:widowControl/>
        <w:jc w:val="center"/>
        <w:rPr>
          <w:color w:val="auto"/>
        </w:rPr>
      </w:pPr>
    </w:p>
    <w:p w14:paraId="1C7C365B">
      <w:pPr>
        <w:widowControl/>
        <w:jc w:val="center"/>
        <w:rPr>
          <w:color w:val="auto"/>
        </w:rPr>
      </w:pPr>
    </w:p>
    <w:p w14:paraId="6A9A4B83">
      <w:pPr>
        <w:widowControl/>
        <w:jc w:val="center"/>
        <w:rPr>
          <w:color w:val="auto"/>
        </w:rPr>
      </w:pPr>
    </w:p>
    <w:p w14:paraId="33B6DC8B">
      <w:pPr>
        <w:widowControl/>
        <w:jc w:val="center"/>
        <w:rPr>
          <w:color w:val="auto"/>
        </w:rPr>
      </w:pPr>
    </w:p>
    <w:p w14:paraId="2AA138D2">
      <w:pPr>
        <w:widowControl/>
        <w:jc w:val="center"/>
        <w:rPr>
          <w:color w:val="auto"/>
        </w:rPr>
      </w:pPr>
    </w:p>
    <w:p w14:paraId="380978B2">
      <w:pPr>
        <w:widowControl/>
        <w:jc w:val="center"/>
        <w:rPr>
          <w:color w:val="auto"/>
        </w:rPr>
      </w:pPr>
    </w:p>
    <w:p w14:paraId="7E40167E">
      <w:pPr>
        <w:widowControl/>
        <w:jc w:val="center"/>
        <w:rPr>
          <w:color w:val="auto"/>
        </w:rPr>
      </w:pPr>
    </w:p>
    <w:p w14:paraId="1AC2A425">
      <w:pPr>
        <w:rPr>
          <w:color w:val="auto"/>
        </w:rPr>
      </w:pPr>
    </w:p>
    <w:p w14:paraId="53095DB5">
      <w:pPr>
        <w:rPr>
          <w:color w:val="auto"/>
        </w:rPr>
      </w:pPr>
    </w:p>
    <w:p w14:paraId="4A74F119">
      <w:pPr>
        <w:rPr>
          <w:color w:val="auto"/>
        </w:rPr>
      </w:pPr>
    </w:p>
    <w:p w14:paraId="038816E1">
      <w:pPr>
        <w:rPr>
          <w:color w:val="auto"/>
        </w:rPr>
      </w:pPr>
    </w:p>
    <w:p w14:paraId="143C4CC3">
      <w:pPr>
        <w:rPr>
          <w:color w:val="auto"/>
        </w:rPr>
      </w:pPr>
    </w:p>
    <w:tbl>
      <w:tblPr>
        <w:tblStyle w:val="51"/>
        <w:tblW w:w="0" w:type="auto"/>
        <w:jc w:val="center"/>
        <w:tblLayout w:type="fixed"/>
        <w:tblCellMar>
          <w:top w:w="0" w:type="dxa"/>
          <w:left w:w="108" w:type="dxa"/>
          <w:bottom w:w="0" w:type="dxa"/>
          <w:right w:w="108" w:type="dxa"/>
        </w:tblCellMar>
      </w:tblPr>
      <w:tblGrid>
        <w:gridCol w:w="2707"/>
        <w:gridCol w:w="6"/>
        <w:gridCol w:w="5571"/>
      </w:tblGrid>
      <w:tr w14:paraId="04822FFE">
        <w:tblPrEx>
          <w:tblCellMar>
            <w:top w:w="0" w:type="dxa"/>
            <w:left w:w="108" w:type="dxa"/>
            <w:bottom w:w="0" w:type="dxa"/>
            <w:right w:w="108" w:type="dxa"/>
          </w:tblCellMar>
        </w:tblPrEx>
        <w:trPr>
          <w:trHeight w:val="703" w:hRule="atLeast"/>
          <w:jc w:val="center"/>
        </w:trPr>
        <w:tc>
          <w:tcPr>
            <w:tcW w:w="2707" w:type="dxa"/>
            <w:vAlign w:val="center"/>
          </w:tcPr>
          <w:p w14:paraId="4405AD0C">
            <w:pPr>
              <w:autoSpaceDE w:val="0"/>
              <w:autoSpaceDN w:val="0"/>
              <w:adjustRightInd w:val="0"/>
              <w:jc w:val="right"/>
              <w:rPr>
                <w:b/>
                <w:color w:val="auto"/>
                <w:sz w:val="32"/>
                <w:szCs w:val="32"/>
              </w:rPr>
            </w:pPr>
            <w:r>
              <w:rPr>
                <w:b/>
                <w:color w:val="auto"/>
                <w:sz w:val="32"/>
                <w:szCs w:val="32"/>
              </w:rPr>
              <w:t xml:space="preserve">  采购人：</w:t>
            </w:r>
          </w:p>
        </w:tc>
        <w:tc>
          <w:tcPr>
            <w:tcW w:w="5577" w:type="dxa"/>
            <w:gridSpan w:val="2"/>
            <w:vAlign w:val="center"/>
          </w:tcPr>
          <w:p w14:paraId="2090BAE7">
            <w:pPr>
              <w:autoSpaceDE w:val="0"/>
              <w:autoSpaceDN w:val="0"/>
              <w:adjustRightInd w:val="0"/>
              <w:jc w:val="left"/>
              <w:rPr>
                <w:b/>
                <w:color w:val="auto"/>
                <w:sz w:val="32"/>
                <w:szCs w:val="32"/>
              </w:rPr>
            </w:pPr>
            <w:r>
              <w:rPr>
                <w:rFonts w:hint="eastAsia"/>
                <w:b/>
                <w:color w:val="auto"/>
                <w:sz w:val="32"/>
                <w:szCs w:val="32"/>
              </w:rPr>
              <w:t>河池市人民医院</w:t>
            </w:r>
          </w:p>
        </w:tc>
      </w:tr>
      <w:tr w14:paraId="7432CAEF">
        <w:tblPrEx>
          <w:tblCellMar>
            <w:top w:w="0" w:type="dxa"/>
            <w:left w:w="108" w:type="dxa"/>
            <w:bottom w:w="0" w:type="dxa"/>
            <w:right w:w="108" w:type="dxa"/>
          </w:tblCellMar>
        </w:tblPrEx>
        <w:trPr>
          <w:trHeight w:val="703" w:hRule="atLeast"/>
          <w:jc w:val="center"/>
        </w:trPr>
        <w:tc>
          <w:tcPr>
            <w:tcW w:w="2713" w:type="dxa"/>
            <w:gridSpan w:val="2"/>
          </w:tcPr>
          <w:p w14:paraId="37383F4A">
            <w:pPr>
              <w:autoSpaceDE w:val="0"/>
              <w:autoSpaceDN w:val="0"/>
              <w:adjustRightInd w:val="0"/>
              <w:jc w:val="right"/>
              <w:rPr>
                <w:b/>
                <w:color w:val="auto"/>
                <w:sz w:val="32"/>
                <w:szCs w:val="32"/>
              </w:rPr>
            </w:pPr>
            <w:r>
              <w:rPr>
                <w:b/>
                <w:color w:val="auto"/>
                <w:sz w:val="32"/>
                <w:szCs w:val="32"/>
              </w:rPr>
              <w:t>采购代理机构：</w:t>
            </w:r>
          </w:p>
        </w:tc>
        <w:tc>
          <w:tcPr>
            <w:tcW w:w="5571" w:type="dxa"/>
          </w:tcPr>
          <w:p w14:paraId="506D1907">
            <w:pPr>
              <w:autoSpaceDE w:val="0"/>
              <w:autoSpaceDN w:val="0"/>
              <w:adjustRightInd w:val="0"/>
              <w:rPr>
                <w:b/>
                <w:color w:val="auto"/>
                <w:sz w:val="32"/>
                <w:szCs w:val="32"/>
                <w:u w:val="single"/>
              </w:rPr>
            </w:pPr>
            <w:r>
              <w:rPr>
                <w:b/>
                <w:color w:val="auto"/>
                <w:sz w:val="32"/>
                <w:szCs w:val="32"/>
              </w:rPr>
              <w:t>广西机电设备招标有限公司</w:t>
            </w:r>
          </w:p>
        </w:tc>
      </w:tr>
    </w:tbl>
    <w:p w14:paraId="5CA56C66">
      <w:pPr>
        <w:rPr>
          <w:color w:val="auto"/>
        </w:rPr>
      </w:pPr>
    </w:p>
    <w:p w14:paraId="1B4989CA">
      <w:pPr>
        <w:ind w:firstLine="321" w:firstLineChars="100"/>
        <w:jc w:val="center"/>
        <w:rPr>
          <w:rFonts w:hint="eastAsia"/>
          <w:b/>
          <w:color w:val="auto"/>
          <w:sz w:val="32"/>
          <w:szCs w:val="32"/>
          <w:lang w:eastAsia="zh-CN"/>
        </w:rPr>
      </w:pPr>
      <w:r>
        <w:rPr>
          <w:b/>
          <w:color w:val="auto"/>
          <w:sz w:val="32"/>
          <w:szCs w:val="32"/>
        </w:rPr>
        <w:t>202</w:t>
      </w:r>
      <w:r>
        <w:rPr>
          <w:rFonts w:hint="eastAsia"/>
          <w:b/>
          <w:color w:val="auto"/>
          <w:sz w:val="32"/>
          <w:szCs w:val="32"/>
          <w:lang w:val="en-US" w:eastAsia="zh-CN"/>
        </w:rPr>
        <w:t>6</w:t>
      </w:r>
      <w:r>
        <w:rPr>
          <w:b/>
          <w:color w:val="auto"/>
          <w:sz w:val="32"/>
          <w:szCs w:val="32"/>
        </w:rPr>
        <w:t>年</w:t>
      </w:r>
      <w:r>
        <w:rPr>
          <w:rFonts w:hint="eastAsia"/>
          <w:b/>
          <w:color w:val="auto"/>
          <w:sz w:val="32"/>
          <w:szCs w:val="32"/>
          <w:lang w:val="en-US" w:eastAsia="zh-CN"/>
        </w:rPr>
        <w:t>9</w:t>
      </w:r>
      <w:r>
        <w:rPr>
          <w:b/>
          <w:color w:val="auto"/>
          <w:sz w:val="32"/>
          <w:szCs w:val="32"/>
        </w:rPr>
        <w:t>月</w:t>
      </w:r>
    </w:p>
    <w:p w14:paraId="717BEE18">
      <w:pPr>
        <w:tabs>
          <w:tab w:val="left" w:pos="1710"/>
        </w:tabs>
        <w:sectPr>
          <w:footerReference r:id="rId3" w:type="default"/>
          <w:pgSz w:w="11906" w:h="16838"/>
          <w:pgMar w:top="1418" w:right="1418" w:bottom="1246" w:left="1418" w:header="851" w:footer="992" w:gutter="0"/>
          <w:pgNumType w:start="0"/>
          <w:cols w:space="720" w:num="1"/>
          <w:titlePg/>
          <w:docGrid w:linePitch="312" w:charSpace="0"/>
        </w:sectPr>
      </w:pPr>
    </w:p>
    <w:p w14:paraId="054D1906">
      <w:pPr>
        <w:pStyle w:val="26"/>
        <w:snapToGrid w:val="0"/>
        <w:spacing w:before="120" w:after="120" w:line="320" w:lineRule="exact"/>
        <w:jc w:val="center"/>
        <w:outlineLvl w:val="0"/>
        <w:rPr>
          <w:rFonts w:ascii="Times New Roman" w:hAnsi="Times New Roman" w:cs="Times New Roman"/>
          <w:sz w:val="32"/>
          <w:szCs w:val="32"/>
        </w:rPr>
      </w:pPr>
      <w:bookmarkStart w:id="2" w:name="_Toc485803390"/>
      <w:bookmarkStart w:id="3" w:name="_Toc489863683"/>
      <w:r>
        <w:rPr>
          <w:rFonts w:ascii="Times New Roman" w:hAnsi="Times New Roman" w:cs="Times New Roman"/>
          <w:sz w:val="32"/>
          <w:szCs w:val="32"/>
        </w:rPr>
        <w:t>目    录</w:t>
      </w:r>
      <w:bookmarkEnd w:id="2"/>
      <w:bookmarkEnd w:id="3"/>
    </w:p>
    <w:p w14:paraId="291385A1">
      <w:pPr>
        <w:pStyle w:val="33"/>
        <w:ind w:firstLine="241"/>
        <w:rPr>
          <w:rFonts w:ascii="Times New Roman" w:hAnsi="Times New Roman"/>
          <w:b w:val="0"/>
          <w:bCs w:val="0"/>
          <w:caps w:val="0"/>
          <w:sz w:val="21"/>
          <w:szCs w:val="22"/>
          <w:lang w:val="en-US" w:eastAsia="zh-CN"/>
        </w:rPr>
      </w:pPr>
      <w:r>
        <w:rPr>
          <w:rFonts w:ascii="Times New Roman" w:hAnsi="Times New Roman"/>
        </w:rPr>
        <w:fldChar w:fldCharType="begin"/>
      </w:r>
      <w:r>
        <w:rPr>
          <w:rStyle w:val="57"/>
          <w:rFonts w:ascii="Times New Roman" w:hAnsi="Times New Roman"/>
          <w:color w:val="auto"/>
        </w:rPr>
        <w:instrText xml:space="preserve"> TOC \o "1-1" \h \z \u </w:instrText>
      </w:r>
      <w:r>
        <w:rPr>
          <w:rFonts w:ascii="Times New Roman" w:hAnsi="Times New Roman"/>
        </w:rPr>
        <w:fldChar w:fldCharType="separate"/>
      </w:r>
      <w:r>
        <w:rPr>
          <w:rStyle w:val="57"/>
          <w:rFonts w:ascii="Times New Roman" w:hAnsi="Times New Roman"/>
          <w:color w:val="auto"/>
        </w:rPr>
        <w:fldChar w:fldCharType="begin"/>
      </w:r>
      <w:r>
        <w:rPr>
          <w:rStyle w:val="57"/>
          <w:rFonts w:ascii="Times New Roman" w:hAnsi="Times New Roman"/>
          <w:color w:val="auto"/>
        </w:rPr>
        <w:instrText xml:space="preserve"> </w:instrText>
      </w:r>
      <w:r>
        <w:rPr>
          <w:rFonts w:ascii="Times New Roman" w:hAnsi="Times New Roman"/>
        </w:rPr>
        <w:instrText xml:space="preserve">HYPERLINK \l "_Toc489863684"</w:instrText>
      </w:r>
      <w:r>
        <w:rPr>
          <w:rStyle w:val="57"/>
          <w:rFonts w:ascii="Times New Roman" w:hAnsi="Times New Roman"/>
          <w:color w:val="auto"/>
        </w:rPr>
        <w:instrText xml:space="preserve"> </w:instrText>
      </w:r>
      <w:r>
        <w:rPr>
          <w:rStyle w:val="57"/>
          <w:rFonts w:ascii="Times New Roman" w:hAnsi="Times New Roman"/>
          <w:color w:val="auto"/>
        </w:rPr>
        <w:fldChar w:fldCharType="separate"/>
      </w:r>
      <w:r>
        <w:rPr>
          <w:rStyle w:val="57"/>
          <w:rFonts w:ascii="Times New Roman" w:hAnsi="Times New Roman"/>
          <w:color w:val="auto"/>
        </w:rPr>
        <w:t>第一章  竞争性谈判公告</w:t>
      </w:r>
      <w:r>
        <w:rPr>
          <w:rFonts w:ascii="Times New Roman" w:hAnsi="Times New Roman"/>
        </w:rPr>
        <w:tab/>
      </w:r>
      <w:r>
        <w:rPr>
          <w:rFonts w:ascii="Times New Roman" w:hAnsi="Times New Roman"/>
        </w:rPr>
        <w:fldChar w:fldCharType="begin"/>
      </w:r>
      <w:r>
        <w:rPr>
          <w:rFonts w:ascii="Times New Roman" w:hAnsi="Times New Roman"/>
        </w:rPr>
        <w:instrText xml:space="preserve"> PAGEREF _Toc489863684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Style w:val="57"/>
          <w:rFonts w:ascii="Times New Roman" w:hAnsi="Times New Roman"/>
          <w:color w:val="auto"/>
        </w:rPr>
        <w:fldChar w:fldCharType="end"/>
      </w:r>
    </w:p>
    <w:p w14:paraId="47AAC4F7">
      <w:pPr>
        <w:pStyle w:val="33"/>
        <w:ind w:firstLine="241"/>
        <w:rPr>
          <w:rFonts w:ascii="Times New Roman" w:hAnsi="Times New Roman"/>
          <w:b w:val="0"/>
          <w:bCs w:val="0"/>
          <w:caps w:val="0"/>
          <w:sz w:val="21"/>
          <w:szCs w:val="22"/>
          <w:lang w:val="en-US" w:eastAsia="zh-CN"/>
        </w:rPr>
      </w:pPr>
      <w:r>
        <w:rPr>
          <w:rStyle w:val="57"/>
          <w:rFonts w:ascii="Times New Roman" w:hAnsi="Times New Roman"/>
          <w:color w:val="auto"/>
        </w:rPr>
        <w:fldChar w:fldCharType="begin"/>
      </w:r>
      <w:r>
        <w:rPr>
          <w:rStyle w:val="57"/>
          <w:rFonts w:ascii="Times New Roman" w:hAnsi="Times New Roman"/>
          <w:color w:val="auto"/>
        </w:rPr>
        <w:instrText xml:space="preserve"> </w:instrText>
      </w:r>
      <w:r>
        <w:rPr>
          <w:rFonts w:ascii="Times New Roman" w:hAnsi="Times New Roman"/>
        </w:rPr>
        <w:instrText xml:space="preserve">HYPERLINK \l "_Toc489863685"</w:instrText>
      </w:r>
      <w:r>
        <w:rPr>
          <w:rStyle w:val="57"/>
          <w:rFonts w:ascii="Times New Roman" w:hAnsi="Times New Roman"/>
          <w:color w:val="auto"/>
        </w:rPr>
        <w:instrText xml:space="preserve"> </w:instrText>
      </w:r>
      <w:r>
        <w:rPr>
          <w:rStyle w:val="57"/>
          <w:rFonts w:ascii="Times New Roman" w:hAnsi="Times New Roman"/>
          <w:color w:val="auto"/>
        </w:rPr>
        <w:fldChar w:fldCharType="separate"/>
      </w:r>
      <w:r>
        <w:rPr>
          <w:rStyle w:val="57"/>
          <w:rFonts w:ascii="Times New Roman" w:hAnsi="Times New Roman"/>
          <w:color w:val="auto"/>
        </w:rPr>
        <w:t>第二章  采购</w:t>
      </w:r>
      <w:bookmarkStart w:id="4" w:name="_Hlt9352719"/>
      <w:bookmarkStart w:id="5" w:name="_Hlt9352718"/>
      <w:r>
        <w:rPr>
          <w:rStyle w:val="57"/>
          <w:rFonts w:ascii="Times New Roman" w:hAnsi="Times New Roman"/>
          <w:color w:val="auto"/>
        </w:rPr>
        <w:t>需</w:t>
      </w:r>
      <w:bookmarkEnd w:id="4"/>
      <w:bookmarkEnd w:id="5"/>
      <w:r>
        <w:rPr>
          <w:rStyle w:val="57"/>
          <w:rFonts w:ascii="Times New Roman" w:hAnsi="Times New Roman"/>
          <w:color w:val="auto"/>
        </w:rPr>
        <w:t>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_Toc489863685 \h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Style w:val="57"/>
          <w:rFonts w:ascii="Times New Roman" w:hAnsi="Times New Roman"/>
          <w:color w:val="auto"/>
        </w:rPr>
        <w:fldChar w:fldCharType="end"/>
      </w:r>
    </w:p>
    <w:p w14:paraId="7DA84C63">
      <w:pPr>
        <w:pStyle w:val="33"/>
        <w:ind w:firstLine="241"/>
        <w:rPr>
          <w:rFonts w:ascii="Times New Roman" w:hAnsi="Times New Roman"/>
          <w:b w:val="0"/>
          <w:bCs w:val="0"/>
          <w:caps w:val="0"/>
          <w:sz w:val="21"/>
          <w:szCs w:val="22"/>
          <w:lang w:val="en-US" w:eastAsia="zh-CN"/>
        </w:rPr>
      </w:pPr>
      <w:r>
        <w:rPr>
          <w:rStyle w:val="57"/>
          <w:rFonts w:ascii="Times New Roman" w:hAnsi="Times New Roman"/>
          <w:color w:val="auto"/>
        </w:rPr>
        <w:fldChar w:fldCharType="begin"/>
      </w:r>
      <w:r>
        <w:rPr>
          <w:rStyle w:val="57"/>
          <w:rFonts w:ascii="Times New Roman" w:hAnsi="Times New Roman"/>
          <w:color w:val="auto"/>
        </w:rPr>
        <w:instrText xml:space="preserve"> </w:instrText>
      </w:r>
      <w:r>
        <w:rPr>
          <w:rFonts w:ascii="Times New Roman" w:hAnsi="Times New Roman"/>
        </w:rPr>
        <w:instrText xml:space="preserve">HYPERLINK \l "_Toc489863686"</w:instrText>
      </w:r>
      <w:r>
        <w:rPr>
          <w:rStyle w:val="57"/>
          <w:rFonts w:ascii="Times New Roman" w:hAnsi="Times New Roman"/>
          <w:color w:val="auto"/>
        </w:rPr>
        <w:instrText xml:space="preserve"> </w:instrText>
      </w:r>
      <w:r>
        <w:rPr>
          <w:rStyle w:val="57"/>
          <w:rFonts w:ascii="Times New Roman" w:hAnsi="Times New Roman"/>
          <w:color w:val="auto"/>
        </w:rPr>
        <w:fldChar w:fldCharType="separate"/>
      </w:r>
      <w:r>
        <w:rPr>
          <w:rStyle w:val="57"/>
          <w:rFonts w:ascii="Times New Roman" w:hAnsi="Times New Roman"/>
          <w:color w:val="auto"/>
        </w:rPr>
        <w:t>第三章  供应商须知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_Toc489863686 \h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Style w:val="57"/>
          <w:rFonts w:ascii="Times New Roman" w:hAnsi="Times New Roman"/>
          <w:color w:val="auto"/>
        </w:rPr>
        <w:fldChar w:fldCharType="end"/>
      </w:r>
    </w:p>
    <w:p w14:paraId="1D13E738">
      <w:pPr>
        <w:pStyle w:val="33"/>
        <w:ind w:firstLine="241"/>
        <w:rPr>
          <w:rFonts w:ascii="Times New Roman" w:hAnsi="Times New Roman"/>
          <w:b w:val="0"/>
          <w:bCs w:val="0"/>
          <w:caps w:val="0"/>
          <w:sz w:val="21"/>
          <w:szCs w:val="22"/>
          <w:lang w:val="en-US" w:eastAsia="zh-CN"/>
        </w:rPr>
      </w:pPr>
      <w:r>
        <w:rPr>
          <w:rStyle w:val="57"/>
          <w:rFonts w:ascii="Times New Roman" w:hAnsi="Times New Roman"/>
          <w:color w:val="auto"/>
        </w:rPr>
        <w:fldChar w:fldCharType="begin"/>
      </w:r>
      <w:r>
        <w:rPr>
          <w:rStyle w:val="57"/>
          <w:rFonts w:ascii="Times New Roman" w:hAnsi="Times New Roman"/>
          <w:color w:val="auto"/>
        </w:rPr>
        <w:instrText xml:space="preserve"> </w:instrText>
      </w:r>
      <w:r>
        <w:rPr>
          <w:rFonts w:ascii="Times New Roman" w:hAnsi="Times New Roman"/>
        </w:rPr>
        <w:instrText xml:space="preserve">HYPERLINK \l "_Toc489863687"</w:instrText>
      </w:r>
      <w:r>
        <w:rPr>
          <w:rStyle w:val="57"/>
          <w:rFonts w:ascii="Times New Roman" w:hAnsi="Times New Roman"/>
          <w:color w:val="auto"/>
        </w:rPr>
        <w:instrText xml:space="preserve"> </w:instrText>
      </w:r>
      <w:r>
        <w:rPr>
          <w:rStyle w:val="57"/>
          <w:rFonts w:ascii="Times New Roman" w:hAnsi="Times New Roman"/>
          <w:color w:val="auto"/>
        </w:rPr>
        <w:fldChar w:fldCharType="separate"/>
      </w:r>
      <w:r>
        <w:rPr>
          <w:rStyle w:val="57"/>
          <w:rFonts w:ascii="Times New Roman" w:hAnsi="Times New Roman"/>
          <w:color w:val="auto"/>
        </w:rPr>
        <w:t>第四章  评审方法及标准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_Toc489863687 \h </w:instrText>
      </w:r>
      <w:r>
        <w:rPr>
          <w:rFonts w:ascii="Times New Roman" w:hAnsi="Times New Roman"/>
        </w:rPr>
        <w:fldChar w:fldCharType="separate"/>
      </w:r>
      <w:r>
        <w:rPr>
          <w:rFonts w:ascii="Times New Roman" w:hAnsi="Times New Roman"/>
        </w:rPr>
        <w:t>36</w:t>
      </w:r>
      <w:r>
        <w:rPr>
          <w:rFonts w:ascii="Times New Roman" w:hAnsi="Times New Roman"/>
        </w:rPr>
        <w:fldChar w:fldCharType="end"/>
      </w:r>
      <w:r>
        <w:rPr>
          <w:rStyle w:val="57"/>
          <w:rFonts w:ascii="Times New Roman" w:hAnsi="Times New Roman"/>
          <w:color w:val="auto"/>
        </w:rPr>
        <w:fldChar w:fldCharType="end"/>
      </w:r>
    </w:p>
    <w:p w14:paraId="07898C88">
      <w:pPr>
        <w:pStyle w:val="33"/>
        <w:ind w:firstLine="241"/>
        <w:rPr>
          <w:rFonts w:hint="eastAsia" w:ascii="Times New Roman" w:hAnsi="Times New Roman" w:eastAsia="宋体"/>
          <w:b w:val="0"/>
          <w:bCs w:val="0"/>
          <w:caps w:val="0"/>
          <w:sz w:val="21"/>
          <w:szCs w:val="22"/>
          <w:lang w:val="en-US" w:eastAsia="zh-CN"/>
        </w:rPr>
      </w:pPr>
      <w:r>
        <w:rPr>
          <w:rStyle w:val="57"/>
          <w:rFonts w:ascii="Times New Roman" w:hAnsi="Times New Roman"/>
          <w:color w:val="auto"/>
        </w:rPr>
        <w:fldChar w:fldCharType="begin"/>
      </w:r>
      <w:r>
        <w:rPr>
          <w:rStyle w:val="57"/>
          <w:rFonts w:ascii="Times New Roman" w:hAnsi="Times New Roman"/>
          <w:color w:val="auto"/>
        </w:rPr>
        <w:instrText xml:space="preserve"> </w:instrText>
      </w:r>
      <w:r>
        <w:rPr>
          <w:rFonts w:ascii="Times New Roman" w:hAnsi="Times New Roman"/>
        </w:rPr>
        <w:instrText xml:space="preserve">HYPERLINK \l "_Toc489863688"</w:instrText>
      </w:r>
      <w:r>
        <w:rPr>
          <w:rStyle w:val="57"/>
          <w:rFonts w:ascii="Times New Roman" w:hAnsi="Times New Roman"/>
          <w:color w:val="auto"/>
        </w:rPr>
        <w:instrText xml:space="preserve"> </w:instrText>
      </w:r>
      <w:r>
        <w:rPr>
          <w:rStyle w:val="57"/>
          <w:rFonts w:ascii="Times New Roman" w:hAnsi="Times New Roman"/>
          <w:color w:val="auto"/>
        </w:rPr>
        <w:fldChar w:fldCharType="separate"/>
      </w:r>
      <w:r>
        <w:rPr>
          <w:rStyle w:val="57"/>
          <w:rFonts w:ascii="Times New Roman" w:hAnsi="Times New Roman"/>
          <w:color w:val="auto"/>
        </w:rPr>
        <w:t>第五章  合同主要条款格式</w:t>
      </w:r>
      <w:r>
        <w:rPr>
          <w:rFonts w:ascii="Times New Roman" w:hAnsi="Times New Roman"/>
        </w:rPr>
        <w:tab/>
      </w:r>
      <w:r>
        <w:rPr>
          <w:rFonts w:hint="eastAsia" w:ascii="Times New Roman" w:hAnsi="Times New Roman"/>
          <w:lang w:val="en-US" w:eastAsia="zh-CN"/>
        </w:rPr>
        <w:t>4</w:t>
      </w:r>
      <w:r>
        <w:rPr>
          <w:rStyle w:val="57"/>
          <w:rFonts w:ascii="Times New Roman" w:hAnsi="Times New Roman"/>
          <w:color w:val="auto"/>
        </w:rPr>
        <w:fldChar w:fldCharType="end"/>
      </w:r>
      <w:r>
        <w:rPr>
          <w:rStyle w:val="57"/>
          <w:rFonts w:hint="eastAsia" w:ascii="Times New Roman" w:hAnsi="Times New Roman"/>
          <w:color w:val="auto"/>
          <w:lang w:val="en-US" w:eastAsia="zh-CN"/>
        </w:rPr>
        <w:t>4</w:t>
      </w:r>
    </w:p>
    <w:p w14:paraId="3EA764F5">
      <w:pPr>
        <w:pStyle w:val="33"/>
        <w:ind w:firstLine="241"/>
        <w:rPr>
          <w:rStyle w:val="57"/>
          <w:rFonts w:ascii="Times New Roman" w:hAnsi="Times New Roman"/>
          <w:color w:val="auto"/>
        </w:rPr>
        <w:sectPr>
          <w:headerReference r:id="rId5" w:type="first"/>
          <w:footerReference r:id="rId7" w:type="first"/>
          <w:headerReference r:id="rId4" w:type="default"/>
          <w:footerReference r:id="rId6" w:type="default"/>
          <w:pgSz w:w="11906" w:h="16838"/>
          <w:pgMar w:top="1135" w:right="1133" w:bottom="1246" w:left="1418" w:header="851" w:footer="903" w:gutter="0"/>
          <w:pgNumType w:start="1"/>
          <w:cols w:space="720" w:num="1"/>
          <w:docGrid w:linePitch="312" w:charSpace="0"/>
        </w:sectPr>
      </w:pPr>
      <w:r>
        <w:rPr>
          <w:rStyle w:val="57"/>
          <w:rFonts w:ascii="Times New Roman" w:hAnsi="Times New Roman"/>
          <w:color w:val="auto"/>
        </w:rPr>
        <w:fldChar w:fldCharType="begin"/>
      </w:r>
      <w:r>
        <w:rPr>
          <w:rStyle w:val="57"/>
          <w:rFonts w:ascii="Times New Roman" w:hAnsi="Times New Roman"/>
          <w:color w:val="auto"/>
        </w:rPr>
        <w:instrText xml:space="preserve"> </w:instrText>
      </w:r>
      <w:r>
        <w:rPr>
          <w:rFonts w:ascii="Times New Roman" w:hAnsi="Times New Roman"/>
        </w:rPr>
        <w:instrText xml:space="preserve">HYPERLINK \l "_Toc489863689"</w:instrText>
      </w:r>
      <w:r>
        <w:rPr>
          <w:rStyle w:val="57"/>
          <w:rFonts w:ascii="Times New Roman" w:hAnsi="Times New Roman"/>
          <w:color w:val="auto"/>
        </w:rPr>
        <w:instrText xml:space="preserve"> </w:instrText>
      </w:r>
      <w:r>
        <w:rPr>
          <w:rStyle w:val="57"/>
          <w:rFonts w:ascii="Times New Roman" w:hAnsi="Times New Roman"/>
          <w:color w:val="auto"/>
        </w:rPr>
        <w:fldChar w:fldCharType="separate"/>
      </w:r>
      <w:r>
        <w:rPr>
          <w:rStyle w:val="57"/>
          <w:rFonts w:ascii="Times New Roman" w:hAnsi="Times New Roman"/>
          <w:color w:val="auto"/>
        </w:rPr>
        <w:t>第六章  响应文件格式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_Toc489863689 \h </w:instrText>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Style w:val="57"/>
          <w:rFonts w:ascii="Times New Roman" w:hAnsi="Times New Roman"/>
          <w:color w:val="auto"/>
        </w:rPr>
        <w:fldChar w:fldCharType="end"/>
      </w:r>
    </w:p>
    <w:p w14:paraId="0B5B5B92">
      <w:pPr>
        <w:pStyle w:val="26"/>
        <w:snapToGrid w:val="0"/>
        <w:spacing w:before="120" w:after="120" w:line="320" w:lineRule="exact"/>
        <w:jc w:val="center"/>
        <w:outlineLvl w:val="0"/>
        <w:rPr>
          <w:rFonts w:ascii="Times New Roman" w:hAnsi="Times New Roman" w:cs="Times New Roman"/>
          <w:sz w:val="32"/>
          <w:szCs w:val="32"/>
        </w:rPr>
      </w:pPr>
      <w:r>
        <w:rPr>
          <w:rFonts w:ascii="Times New Roman" w:hAnsi="Times New Roman" w:cs="Times New Roman"/>
          <w:szCs w:val="28"/>
        </w:rPr>
        <w:fldChar w:fldCharType="end"/>
      </w:r>
      <w:bookmarkStart w:id="6" w:name="_Toc254970630"/>
      <w:bookmarkStart w:id="7" w:name="_Toc254970489"/>
      <w:bookmarkStart w:id="8" w:name="_Toc489863684"/>
      <w:r>
        <w:rPr>
          <w:rFonts w:ascii="Times New Roman" w:hAnsi="Times New Roman" w:cs="Times New Roman"/>
          <w:sz w:val="32"/>
          <w:szCs w:val="32"/>
        </w:rPr>
        <w:t>第一章  竞争性谈判公告</w:t>
      </w:r>
    </w:p>
    <w:bookmarkEnd w:id="6"/>
    <w:bookmarkEnd w:id="7"/>
    <w:bookmarkEnd w:id="8"/>
    <w:p w14:paraId="62A0EC84">
      <w:pPr>
        <w:spacing w:line="400" w:lineRule="exact"/>
        <w:jc w:val="center"/>
        <w:rPr>
          <w:color w:val="4472C4"/>
          <w:kern w:val="0"/>
          <w:sz w:val="24"/>
        </w:rPr>
      </w:pPr>
      <w:r>
        <w:rPr>
          <w:kern w:val="0"/>
          <w:sz w:val="24"/>
        </w:rPr>
        <w:t>广西机电设备招标有限公司关于</w:t>
      </w:r>
      <w:r>
        <w:rPr>
          <w:rFonts w:hint="eastAsia"/>
          <w:kern w:val="0"/>
          <w:sz w:val="24"/>
        </w:rPr>
        <w:t>河池市人民医院医疗设备采购项目（五）</w:t>
      </w:r>
    </w:p>
    <w:p w14:paraId="32C859F1">
      <w:pPr>
        <w:spacing w:line="400" w:lineRule="exact"/>
        <w:jc w:val="center"/>
        <w:rPr>
          <w:b/>
          <w:sz w:val="24"/>
        </w:rPr>
      </w:pPr>
      <w:r>
        <w:rPr>
          <w:color w:val="auto"/>
          <w:sz w:val="24"/>
        </w:rPr>
        <w:t>(</w:t>
      </w:r>
      <w:r>
        <w:rPr>
          <w:rFonts w:hint="eastAsia"/>
          <w:color w:val="auto"/>
          <w:sz w:val="24"/>
        </w:rPr>
        <w:t>HCZC2026-J1-990169-JDZB</w:t>
      </w:r>
      <w:r>
        <w:rPr>
          <w:color w:val="auto"/>
          <w:sz w:val="24"/>
        </w:rPr>
        <w:t>)</w:t>
      </w:r>
      <w:r>
        <w:rPr>
          <w:kern w:val="0"/>
          <w:sz w:val="24"/>
        </w:rPr>
        <w:t>竞争性谈判公告</w:t>
      </w:r>
    </w:p>
    <w:p w14:paraId="4913EFFC">
      <w:pPr>
        <w:jc w:val="left"/>
        <w:rPr>
          <w:rFonts w:hint="eastAsia"/>
          <w:kern w:val="0"/>
          <w:szCs w:val="21"/>
        </w:rPr>
      </w:pPr>
    </w:p>
    <w:p w14:paraId="3D2ADBE1">
      <w:pPr>
        <w:spacing w:line="312" w:lineRule="auto"/>
        <w:ind w:firstLine="420" w:firstLineChars="200"/>
        <w:jc w:val="left"/>
        <w:rPr>
          <w:b/>
          <w:bCs/>
          <w:kern w:val="0"/>
          <w:sz w:val="22"/>
          <w:szCs w:val="22"/>
        </w:rPr>
      </w:pPr>
      <w:r>
        <w:rPr>
          <w:rFonts w:hint="eastAsia"/>
          <w:szCs w:val="21"/>
        </w:rPr>
        <w:t>项目概况：河池市人民医院医疗设备采购项目（五）的潜在供应商应在广西政府采购云平台（https://www.gcy.zfcg.gxzf.gov.cn/）获取采购文件，并于</w:t>
      </w:r>
      <w:r>
        <w:rPr>
          <w:rFonts w:hint="eastAsia"/>
          <w:color w:val="auto"/>
          <w:szCs w:val="21"/>
          <w:lang w:val="en-US" w:eastAsia="zh-CN"/>
        </w:rPr>
        <w:t>2026</w:t>
      </w:r>
      <w:r>
        <w:rPr>
          <w:rFonts w:hint="eastAsia"/>
          <w:color w:val="auto"/>
          <w:szCs w:val="21"/>
        </w:rPr>
        <w:t>年</w:t>
      </w:r>
      <w:r>
        <w:rPr>
          <w:rFonts w:hint="eastAsia"/>
          <w:color w:val="auto"/>
          <w:szCs w:val="21"/>
          <w:lang w:val="en-US" w:eastAsia="zh-CN"/>
        </w:rPr>
        <w:t>9</w:t>
      </w:r>
      <w:r>
        <w:rPr>
          <w:rFonts w:hint="eastAsia"/>
          <w:color w:val="auto"/>
          <w:szCs w:val="21"/>
        </w:rPr>
        <w:t>月</w:t>
      </w:r>
      <w:r>
        <w:rPr>
          <w:rFonts w:hint="eastAsia"/>
          <w:color w:val="auto"/>
          <w:szCs w:val="21"/>
          <w:lang w:val="en-US" w:eastAsia="zh-CN"/>
        </w:rPr>
        <w:t>9</w:t>
      </w:r>
      <w:r>
        <w:rPr>
          <w:rFonts w:hint="eastAsia"/>
          <w:color w:val="auto"/>
          <w:szCs w:val="21"/>
        </w:rPr>
        <w:t>日</w:t>
      </w:r>
      <w:r>
        <w:rPr>
          <w:rFonts w:hint="eastAsia"/>
          <w:color w:val="auto"/>
          <w:szCs w:val="21"/>
          <w:lang w:val="en-US" w:eastAsia="zh-CN"/>
        </w:rPr>
        <w:t>10</w:t>
      </w:r>
      <w:r>
        <w:rPr>
          <w:rFonts w:hint="eastAsia"/>
          <w:color w:val="auto"/>
          <w:szCs w:val="21"/>
        </w:rPr>
        <w:t>:</w:t>
      </w:r>
      <w:r>
        <w:rPr>
          <w:rFonts w:hint="eastAsia"/>
          <w:color w:val="auto"/>
          <w:szCs w:val="21"/>
          <w:lang w:val="en-US" w:eastAsia="zh-CN"/>
        </w:rPr>
        <w:t>0</w:t>
      </w:r>
      <w:r>
        <w:rPr>
          <w:rFonts w:hint="eastAsia"/>
          <w:color w:val="auto"/>
          <w:szCs w:val="21"/>
        </w:rPr>
        <w:t>0</w:t>
      </w:r>
      <w:r>
        <w:rPr>
          <w:rFonts w:hint="eastAsia"/>
          <w:szCs w:val="21"/>
        </w:rPr>
        <w:t>（北京时间）前提交响应文件。</w:t>
      </w:r>
    </w:p>
    <w:p w14:paraId="3A7AFB3D">
      <w:pPr>
        <w:spacing w:line="312" w:lineRule="auto"/>
        <w:ind w:firstLine="442" w:firstLineChars="200"/>
        <w:jc w:val="left"/>
        <w:rPr>
          <w:b/>
          <w:bCs/>
          <w:kern w:val="0"/>
          <w:sz w:val="22"/>
          <w:szCs w:val="22"/>
        </w:rPr>
      </w:pPr>
      <w:r>
        <w:rPr>
          <w:rFonts w:hint="eastAsia"/>
          <w:b/>
          <w:bCs/>
          <w:kern w:val="0"/>
          <w:sz w:val="22"/>
          <w:szCs w:val="22"/>
        </w:rPr>
        <w:t xml:space="preserve">一、项目基本情况 </w:t>
      </w:r>
    </w:p>
    <w:p w14:paraId="73A3B550">
      <w:pPr>
        <w:spacing w:line="312" w:lineRule="auto"/>
        <w:ind w:firstLine="420" w:firstLineChars="200"/>
        <w:jc w:val="left"/>
        <w:rPr>
          <w:color w:val="4472C4"/>
          <w:kern w:val="0"/>
          <w:szCs w:val="21"/>
        </w:rPr>
      </w:pPr>
      <w:r>
        <w:rPr>
          <w:kern w:val="0"/>
          <w:szCs w:val="21"/>
        </w:rPr>
        <w:t>项目编号：</w:t>
      </w:r>
      <w:r>
        <w:rPr>
          <w:rFonts w:hint="eastAsia"/>
          <w:kern w:val="0"/>
          <w:szCs w:val="21"/>
        </w:rPr>
        <w:t>HCZC2026-J1-990169-JDZB</w:t>
      </w:r>
    </w:p>
    <w:p w14:paraId="75C6FD85">
      <w:pPr>
        <w:spacing w:line="312" w:lineRule="auto"/>
        <w:ind w:firstLine="420" w:firstLineChars="200"/>
        <w:jc w:val="left"/>
        <w:rPr>
          <w:rFonts w:hint="eastAsia"/>
          <w:color w:val="4472C4"/>
          <w:kern w:val="0"/>
          <w:szCs w:val="21"/>
        </w:rPr>
      </w:pPr>
      <w:r>
        <w:rPr>
          <w:kern w:val="0"/>
          <w:szCs w:val="21"/>
        </w:rPr>
        <w:t>项目名称：</w:t>
      </w:r>
      <w:r>
        <w:rPr>
          <w:rFonts w:hint="eastAsia"/>
          <w:kern w:val="0"/>
          <w:szCs w:val="21"/>
        </w:rPr>
        <w:t>河池市人民医院医疗设备采购项目（五）</w:t>
      </w:r>
    </w:p>
    <w:p w14:paraId="346C83E1">
      <w:pPr>
        <w:spacing w:line="312" w:lineRule="auto"/>
        <w:ind w:firstLine="420" w:firstLineChars="200"/>
        <w:jc w:val="left"/>
        <w:rPr>
          <w:color w:val="auto"/>
          <w:kern w:val="0"/>
          <w:szCs w:val="21"/>
        </w:rPr>
      </w:pPr>
      <w:r>
        <w:rPr>
          <w:rFonts w:hint="eastAsia"/>
          <w:kern w:val="0"/>
          <w:szCs w:val="21"/>
        </w:rPr>
        <w:t>采购方式</w:t>
      </w:r>
      <w:r>
        <w:rPr>
          <w:rFonts w:hint="eastAsia"/>
          <w:color w:val="auto"/>
          <w:kern w:val="0"/>
          <w:szCs w:val="21"/>
        </w:rPr>
        <w:t>：</w:t>
      </w:r>
      <w:r>
        <w:rPr>
          <w:color w:val="auto"/>
          <w:szCs w:val="21"/>
        </w:rPr>
        <w:t xml:space="preserve"> </w:t>
      </w:r>
      <w:r>
        <w:rPr>
          <w:rFonts w:hint="eastAsia"/>
          <w:color w:val="auto"/>
          <w:kern w:val="0"/>
          <w:szCs w:val="21"/>
        </w:rPr>
        <w:t xml:space="preserve">竞争性谈判 </w:t>
      </w:r>
    </w:p>
    <w:p w14:paraId="75D071DA">
      <w:pPr>
        <w:spacing w:line="312" w:lineRule="auto"/>
        <w:ind w:firstLine="420" w:firstLineChars="200"/>
        <w:jc w:val="left"/>
        <w:rPr>
          <w:rFonts w:hint="default" w:eastAsia="宋体"/>
          <w:color w:val="auto"/>
          <w:kern w:val="0"/>
          <w:szCs w:val="21"/>
          <w:lang w:val="en-US" w:eastAsia="zh-CN"/>
        </w:rPr>
      </w:pPr>
      <w:r>
        <w:rPr>
          <w:rFonts w:hint="eastAsia"/>
          <w:color w:val="auto"/>
          <w:kern w:val="0"/>
          <w:szCs w:val="21"/>
        </w:rPr>
        <w:t>预算总金额（元）：</w:t>
      </w:r>
      <w:r>
        <w:rPr>
          <w:rFonts w:hint="eastAsia"/>
          <w:color w:val="auto"/>
          <w:kern w:val="0"/>
          <w:szCs w:val="21"/>
          <w:lang w:val="en-US" w:eastAsia="zh-CN"/>
        </w:rPr>
        <w:t>1800000</w:t>
      </w:r>
    </w:p>
    <w:p w14:paraId="7ECF49D4">
      <w:pPr>
        <w:spacing w:line="312" w:lineRule="auto"/>
        <w:ind w:firstLine="420" w:firstLineChars="200"/>
        <w:jc w:val="left"/>
        <w:rPr>
          <w:color w:val="auto"/>
          <w:kern w:val="0"/>
          <w:szCs w:val="21"/>
        </w:rPr>
      </w:pPr>
      <w:r>
        <w:rPr>
          <w:rFonts w:hint="eastAsia"/>
          <w:color w:val="auto"/>
          <w:kern w:val="0"/>
          <w:szCs w:val="21"/>
        </w:rPr>
        <w:t>采购需求：</w:t>
      </w:r>
    </w:p>
    <w:p w14:paraId="6CDB1BC5">
      <w:pPr>
        <w:spacing w:line="312" w:lineRule="auto"/>
        <w:ind w:firstLine="735" w:firstLineChars="350"/>
        <w:jc w:val="left"/>
        <w:rPr>
          <w:color w:val="auto"/>
          <w:kern w:val="0"/>
          <w:szCs w:val="21"/>
        </w:rPr>
      </w:pPr>
      <w:r>
        <w:rPr>
          <w:rFonts w:hint="eastAsia"/>
          <w:color w:val="auto"/>
          <w:kern w:val="0"/>
          <w:szCs w:val="21"/>
        </w:rPr>
        <w:t>标项名称：河池市人民医院医疗设备采购项目（五）</w:t>
      </w:r>
    </w:p>
    <w:p w14:paraId="6AEA2770">
      <w:pPr>
        <w:spacing w:line="312" w:lineRule="auto"/>
        <w:ind w:firstLine="735" w:firstLineChars="350"/>
        <w:jc w:val="left"/>
        <w:rPr>
          <w:rFonts w:hint="default" w:eastAsia="宋体"/>
          <w:color w:val="auto"/>
          <w:kern w:val="0"/>
          <w:szCs w:val="21"/>
          <w:lang w:val="en-US" w:eastAsia="zh-CN"/>
        </w:rPr>
      </w:pPr>
      <w:r>
        <w:rPr>
          <w:rFonts w:hint="eastAsia"/>
          <w:color w:val="auto"/>
          <w:kern w:val="0"/>
          <w:szCs w:val="21"/>
        </w:rPr>
        <w:t>数量：</w:t>
      </w:r>
      <w:r>
        <w:rPr>
          <w:rFonts w:hint="eastAsia"/>
          <w:color w:val="auto"/>
          <w:kern w:val="0"/>
          <w:szCs w:val="21"/>
          <w:lang w:val="en-US" w:eastAsia="zh-CN"/>
        </w:rPr>
        <w:t>12</w:t>
      </w:r>
    </w:p>
    <w:p w14:paraId="054CBAAD">
      <w:pPr>
        <w:spacing w:line="312" w:lineRule="auto"/>
        <w:ind w:firstLine="735" w:firstLineChars="350"/>
        <w:jc w:val="left"/>
        <w:rPr>
          <w:color w:val="auto"/>
          <w:kern w:val="0"/>
          <w:szCs w:val="21"/>
        </w:rPr>
      </w:pPr>
      <w:r>
        <w:rPr>
          <w:rFonts w:hint="eastAsia"/>
          <w:color w:val="auto"/>
          <w:kern w:val="0"/>
          <w:szCs w:val="21"/>
        </w:rPr>
        <w:t>预算金额（元）：1800000</w:t>
      </w:r>
    </w:p>
    <w:p w14:paraId="633B1F23">
      <w:pPr>
        <w:spacing w:line="312" w:lineRule="auto"/>
        <w:ind w:firstLine="735" w:firstLineChars="350"/>
        <w:jc w:val="left"/>
        <w:rPr>
          <w:color w:val="auto"/>
          <w:kern w:val="0"/>
          <w:szCs w:val="21"/>
        </w:rPr>
      </w:pPr>
      <w:r>
        <w:rPr>
          <w:rFonts w:hint="eastAsia"/>
          <w:color w:val="auto"/>
          <w:kern w:val="0"/>
          <w:szCs w:val="21"/>
        </w:rPr>
        <w:t>简要规格描述或项目基本概况介绍、用途：1.血液透析机6台，主要用于对急性/慢性肾功能衰竭患者进行血液透析治疗，帮助尿毒症患者排除体内代谢产物，调整内环境平衡。（1）需支持接入血液透析智能管理系统等医院相关管理系统；（2）具有在线血压监测、血容量监测、血温监测、在线清除率监测等4大模块。 2.血液透析滤过机6台，适用于急性或慢性肾功能不全患者的血液透析、血液滤过、血液透析滤过、单纯超滤治疗，清除中、小分子毒素，调节人体内环境。（1）需支持接入血液透析智能管理系统等医院相关管理系统；（2）具有在线血压监测、血容量监测、血温监测、在线清除率监测等4大模块。具体详见采购文件第二章 采购需求。</w:t>
      </w:r>
    </w:p>
    <w:p w14:paraId="50B0D761">
      <w:pPr>
        <w:spacing w:line="312" w:lineRule="auto"/>
        <w:ind w:firstLine="735" w:firstLineChars="350"/>
        <w:jc w:val="left"/>
        <w:rPr>
          <w:rFonts w:hint="default" w:eastAsia="宋体"/>
          <w:color w:val="auto"/>
          <w:kern w:val="0"/>
          <w:szCs w:val="21"/>
          <w:lang w:val="en-US" w:eastAsia="zh-CN"/>
        </w:rPr>
      </w:pPr>
      <w:r>
        <w:rPr>
          <w:rFonts w:hint="eastAsia"/>
          <w:color w:val="auto"/>
          <w:kern w:val="0"/>
          <w:szCs w:val="21"/>
        </w:rPr>
        <w:t>最高限价（如有）：</w:t>
      </w:r>
      <w:r>
        <w:rPr>
          <w:color w:val="auto"/>
          <w:kern w:val="0"/>
          <w:szCs w:val="21"/>
        </w:rPr>
        <w:t xml:space="preserve"> </w:t>
      </w:r>
      <w:r>
        <w:rPr>
          <w:rFonts w:hint="eastAsia"/>
          <w:color w:val="auto"/>
          <w:kern w:val="0"/>
          <w:szCs w:val="21"/>
          <w:lang w:val="en-US" w:eastAsia="zh-CN"/>
        </w:rPr>
        <w:t>1800000</w:t>
      </w:r>
    </w:p>
    <w:p w14:paraId="402C6443">
      <w:pPr>
        <w:spacing w:line="312" w:lineRule="auto"/>
        <w:ind w:firstLine="735" w:firstLineChars="350"/>
        <w:jc w:val="left"/>
        <w:rPr>
          <w:rFonts w:hint="eastAsia"/>
          <w:color w:val="auto"/>
          <w:kern w:val="0"/>
          <w:szCs w:val="21"/>
        </w:rPr>
      </w:pPr>
      <w:r>
        <w:rPr>
          <w:rFonts w:hint="eastAsia"/>
          <w:color w:val="auto"/>
          <w:kern w:val="0"/>
          <w:szCs w:val="21"/>
        </w:rPr>
        <w:t>合同履约期限：自签订合同之日起30日历天内全部安装调试合格完毕并交付使用。</w:t>
      </w:r>
    </w:p>
    <w:p w14:paraId="159D9DB2">
      <w:pPr>
        <w:spacing w:line="312" w:lineRule="auto"/>
        <w:ind w:firstLine="735" w:firstLineChars="350"/>
        <w:jc w:val="left"/>
        <w:rPr>
          <w:color w:val="auto"/>
          <w:kern w:val="0"/>
          <w:szCs w:val="21"/>
        </w:rPr>
      </w:pPr>
      <w:r>
        <w:rPr>
          <w:color w:val="auto"/>
          <w:kern w:val="0"/>
          <w:szCs w:val="21"/>
        </w:rPr>
        <w:t>本项目</w:t>
      </w:r>
      <w:r>
        <w:rPr>
          <w:rFonts w:hint="eastAsia"/>
          <w:color w:val="auto"/>
          <w:kern w:val="0"/>
          <w:szCs w:val="21"/>
          <w:lang w:val="en-US" w:eastAsia="zh-CN"/>
        </w:rPr>
        <w:t>不</w:t>
      </w:r>
      <w:r>
        <w:rPr>
          <w:rFonts w:hint="eastAsia"/>
          <w:color w:val="auto"/>
          <w:kern w:val="0"/>
          <w:szCs w:val="21"/>
        </w:rPr>
        <w:t>接受</w:t>
      </w:r>
      <w:r>
        <w:rPr>
          <w:color w:val="auto"/>
          <w:kern w:val="0"/>
          <w:szCs w:val="21"/>
        </w:rPr>
        <w:t>联合体。</w:t>
      </w:r>
    </w:p>
    <w:p w14:paraId="08CF1FD5">
      <w:pPr>
        <w:spacing w:line="312" w:lineRule="auto"/>
        <w:ind w:firstLine="735" w:firstLineChars="350"/>
        <w:jc w:val="left"/>
        <w:rPr>
          <w:rFonts w:hint="eastAsia"/>
          <w:color w:val="auto"/>
          <w:kern w:val="0"/>
          <w:szCs w:val="21"/>
        </w:rPr>
      </w:pPr>
      <w:r>
        <w:rPr>
          <w:rFonts w:hint="eastAsia"/>
          <w:color w:val="auto"/>
          <w:kern w:val="0"/>
          <w:szCs w:val="21"/>
        </w:rPr>
        <w:t>备注：</w:t>
      </w:r>
    </w:p>
    <w:p w14:paraId="32AFA1BF">
      <w:pPr>
        <w:spacing w:line="312" w:lineRule="auto"/>
        <w:ind w:firstLine="442" w:firstLineChars="200"/>
        <w:jc w:val="left"/>
        <w:rPr>
          <w:rFonts w:hint="eastAsia"/>
          <w:b/>
          <w:bCs/>
          <w:kern w:val="0"/>
          <w:sz w:val="22"/>
          <w:szCs w:val="22"/>
        </w:rPr>
      </w:pPr>
      <w:r>
        <w:rPr>
          <w:rFonts w:hint="eastAsia"/>
          <w:b/>
          <w:bCs/>
          <w:kern w:val="0"/>
          <w:sz w:val="22"/>
          <w:szCs w:val="22"/>
        </w:rPr>
        <w:t>二、申请人的资格要求</w:t>
      </w:r>
    </w:p>
    <w:p w14:paraId="7ABBC418">
      <w:pPr>
        <w:spacing w:line="312" w:lineRule="auto"/>
        <w:ind w:firstLine="420" w:firstLineChars="200"/>
        <w:jc w:val="left"/>
        <w:rPr>
          <w:szCs w:val="21"/>
        </w:rPr>
      </w:pPr>
      <w:r>
        <w:rPr>
          <w:kern w:val="0"/>
          <w:szCs w:val="21"/>
        </w:rPr>
        <w:t>1</w:t>
      </w:r>
      <w:r>
        <w:rPr>
          <w:rFonts w:hint="eastAsia"/>
          <w:kern w:val="0"/>
          <w:szCs w:val="21"/>
        </w:rPr>
        <w:t>.满足</w:t>
      </w:r>
      <w:r>
        <w:rPr>
          <w:kern w:val="0"/>
          <w:szCs w:val="21"/>
        </w:rPr>
        <w:t>《中华人民共和国政府采购法》第二十二条规定；</w:t>
      </w:r>
      <w:r>
        <w:rPr>
          <w:szCs w:val="21"/>
        </w:rPr>
        <w:t xml:space="preserve"> </w:t>
      </w:r>
    </w:p>
    <w:p w14:paraId="2000C07E">
      <w:pPr>
        <w:spacing w:line="312" w:lineRule="auto"/>
        <w:ind w:firstLine="420" w:firstLineChars="200"/>
        <w:jc w:val="left"/>
        <w:rPr>
          <w:rFonts w:hint="eastAsia" w:eastAsia="宋体"/>
          <w:strike/>
          <w:color w:val="4472C4"/>
          <w:kern w:val="0"/>
          <w:szCs w:val="21"/>
          <w:lang w:eastAsia="zh-CN"/>
        </w:rPr>
      </w:pPr>
      <w:r>
        <w:rPr>
          <w:rFonts w:hint="eastAsia"/>
          <w:szCs w:val="21"/>
        </w:rPr>
        <w:t>2.落实政府采购政策需满足的资格要求：本项目所有标段的供应商所提供产品制造商均为中小微企业或残疾人福利企业或监狱企业</w:t>
      </w:r>
      <w:r>
        <w:rPr>
          <w:rFonts w:hint="eastAsia"/>
          <w:color w:val="auto"/>
          <w:kern w:val="0"/>
          <w:szCs w:val="21"/>
          <w:lang w:eastAsia="zh-CN"/>
        </w:rPr>
        <w:t>。</w:t>
      </w:r>
    </w:p>
    <w:p w14:paraId="0121E429">
      <w:pPr>
        <w:spacing w:line="312" w:lineRule="auto"/>
        <w:ind w:firstLine="420" w:firstLineChars="200"/>
        <w:jc w:val="left"/>
        <w:rPr>
          <w:rFonts w:hint="eastAsia"/>
          <w:kern w:val="0"/>
          <w:szCs w:val="21"/>
        </w:rPr>
      </w:pPr>
      <w:r>
        <w:rPr>
          <w:kern w:val="0"/>
          <w:szCs w:val="21"/>
        </w:rPr>
        <w:t>3</w:t>
      </w:r>
      <w:r>
        <w:rPr>
          <w:rFonts w:hint="eastAsia"/>
          <w:kern w:val="0"/>
          <w:szCs w:val="21"/>
        </w:rPr>
        <w:t>.本项目的</w:t>
      </w:r>
      <w:r>
        <w:rPr>
          <w:kern w:val="0"/>
          <w:szCs w:val="21"/>
        </w:rPr>
        <w:t>特定资格</w:t>
      </w:r>
      <w:r>
        <w:rPr>
          <w:rFonts w:hint="eastAsia"/>
          <w:kern w:val="0"/>
          <w:szCs w:val="21"/>
        </w:rPr>
        <w:t>要求</w:t>
      </w:r>
      <w:r>
        <w:rPr>
          <w:kern w:val="0"/>
          <w:szCs w:val="21"/>
        </w:rPr>
        <w:t>：</w:t>
      </w:r>
    </w:p>
    <w:p w14:paraId="36CF23BC">
      <w:pPr>
        <w:spacing w:line="312" w:lineRule="auto"/>
        <w:ind w:firstLine="420" w:firstLineChars="200"/>
        <w:jc w:val="left"/>
        <w:rPr>
          <w:kern w:val="0"/>
          <w:szCs w:val="21"/>
        </w:rPr>
      </w:pPr>
      <w:r>
        <w:rPr>
          <w:kern w:val="0"/>
          <w:szCs w:val="21"/>
        </w:rPr>
        <w:t>（1）资质要求：</w:t>
      </w:r>
      <w:r>
        <w:rPr>
          <w:rFonts w:hint="eastAsia" w:cs="Times New Roman"/>
          <w:kern w:val="0"/>
          <w:sz w:val="21"/>
          <w:szCs w:val="21"/>
          <w:lang w:val="en-US" w:eastAsia="zh-CN" w:bidi="ar-SA"/>
        </w:rPr>
        <w:t>供应商</w:t>
      </w:r>
      <w:r>
        <w:rPr>
          <w:rFonts w:hint="eastAsia" w:ascii="Times New Roman" w:hAnsi="Times New Roman" w:eastAsia="宋体" w:cs="Times New Roman"/>
          <w:kern w:val="0"/>
          <w:sz w:val="21"/>
          <w:szCs w:val="21"/>
          <w:lang w:val="en-US" w:eastAsia="zh-CN" w:bidi="ar-SA"/>
        </w:rPr>
        <w:t>须按《医疗器械经营监督管理办法》（国家市场监督管理总局令第54号）医疗器械分类管理要求具有有效的医疗器械经营备案凭证或许可证；如</w:t>
      </w:r>
      <w:r>
        <w:rPr>
          <w:rFonts w:hint="eastAsia" w:cs="Times New Roman"/>
          <w:kern w:val="0"/>
          <w:sz w:val="21"/>
          <w:szCs w:val="21"/>
          <w:lang w:val="en-US" w:eastAsia="zh-CN" w:bidi="ar-SA"/>
        </w:rPr>
        <w:t>响应产品</w:t>
      </w:r>
      <w:r>
        <w:rPr>
          <w:rFonts w:hint="eastAsia" w:ascii="Times New Roman" w:hAnsi="Times New Roman" w:eastAsia="宋体" w:cs="Times New Roman"/>
          <w:kern w:val="0"/>
          <w:sz w:val="21"/>
          <w:szCs w:val="21"/>
          <w:lang w:val="en-US" w:eastAsia="zh-CN" w:bidi="ar-SA"/>
        </w:rPr>
        <w:t>属第二、三类医疗器械产品的，须按《医疗器械注册与备案管理办法》（国家市场监督管理总局令第47号）同时提供该设备有效的医疗器械注册证；如</w:t>
      </w:r>
      <w:r>
        <w:rPr>
          <w:rFonts w:hint="eastAsia" w:cs="Times New Roman"/>
          <w:kern w:val="0"/>
          <w:sz w:val="21"/>
          <w:szCs w:val="21"/>
          <w:lang w:val="en-US" w:eastAsia="zh-CN" w:bidi="ar-SA"/>
        </w:rPr>
        <w:t>响应产品</w:t>
      </w:r>
      <w:r>
        <w:rPr>
          <w:rFonts w:hint="eastAsia" w:ascii="Times New Roman" w:hAnsi="Times New Roman" w:eastAsia="宋体" w:cs="Times New Roman"/>
          <w:kern w:val="0"/>
          <w:sz w:val="21"/>
          <w:szCs w:val="21"/>
          <w:lang w:val="en-US" w:eastAsia="zh-CN" w:bidi="ar-SA"/>
        </w:rPr>
        <w:t>属第一类医疗器械产品的，须按《医疗器械注册与备案管理办法》（国家市场监督管理总局令第47号）提供该设备在负责药品监督管理的部门提交备案资料证明材料复印件。</w:t>
      </w:r>
    </w:p>
    <w:p w14:paraId="3BCC2F00">
      <w:pPr>
        <w:spacing w:line="312" w:lineRule="auto"/>
        <w:ind w:firstLine="420" w:firstLineChars="200"/>
        <w:jc w:val="left"/>
        <w:rPr>
          <w:rFonts w:hint="eastAsia"/>
          <w:color w:val="4472C4"/>
          <w:kern w:val="0"/>
          <w:szCs w:val="21"/>
        </w:rPr>
      </w:pPr>
      <w:r>
        <w:rPr>
          <w:kern w:val="0"/>
          <w:szCs w:val="21"/>
        </w:rPr>
        <w:t>（2）业绩要求：</w:t>
      </w:r>
      <w:r>
        <w:rPr>
          <w:color w:val="auto"/>
          <w:kern w:val="0"/>
          <w:szCs w:val="21"/>
        </w:rPr>
        <w:t>无。</w:t>
      </w:r>
    </w:p>
    <w:p w14:paraId="20D86AA8">
      <w:pPr>
        <w:spacing w:line="312" w:lineRule="auto"/>
        <w:ind w:firstLine="420" w:firstLineChars="200"/>
        <w:jc w:val="left"/>
        <w:rPr>
          <w:kern w:val="0"/>
          <w:szCs w:val="21"/>
        </w:rPr>
      </w:pPr>
      <w:r>
        <w:rPr>
          <w:rFonts w:hint="eastAsia"/>
          <w:kern w:val="0"/>
          <w:szCs w:val="21"/>
        </w:rPr>
        <w:t>（</w:t>
      </w:r>
      <w:r>
        <w:rPr>
          <w:kern w:val="0"/>
          <w:szCs w:val="21"/>
        </w:rPr>
        <w:t>3</w:t>
      </w:r>
      <w:r>
        <w:rPr>
          <w:rFonts w:hint="eastAsia"/>
          <w:kern w:val="0"/>
          <w:szCs w:val="21"/>
        </w:rPr>
        <w:t>）</w:t>
      </w:r>
      <w:r>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kern w:val="0"/>
          <w:szCs w:val="21"/>
        </w:rPr>
        <w:t>本</w:t>
      </w:r>
      <w:r>
        <w:rPr>
          <w:kern w:val="0"/>
          <w:szCs w:val="21"/>
        </w:rPr>
        <w:t>项目的采购活动</w:t>
      </w:r>
      <w:r>
        <w:rPr>
          <w:rFonts w:hint="eastAsia"/>
          <w:kern w:val="0"/>
          <w:szCs w:val="21"/>
        </w:rPr>
        <w:t>。</w:t>
      </w:r>
    </w:p>
    <w:p w14:paraId="1CF2DF76">
      <w:pPr>
        <w:spacing w:line="312" w:lineRule="auto"/>
        <w:ind w:firstLine="420" w:firstLineChars="200"/>
        <w:jc w:val="left"/>
        <w:rPr>
          <w:color w:val="auto"/>
          <w:kern w:val="0"/>
          <w:szCs w:val="21"/>
        </w:rPr>
      </w:pPr>
      <w:r>
        <w:rPr>
          <w:rFonts w:hint="eastAsia"/>
          <w:color w:val="auto"/>
          <w:kern w:val="0"/>
          <w:szCs w:val="21"/>
        </w:rPr>
        <w:t>（</w:t>
      </w:r>
      <w:r>
        <w:rPr>
          <w:color w:val="auto"/>
          <w:kern w:val="0"/>
          <w:szCs w:val="21"/>
        </w:rPr>
        <w:t>4</w:t>
      </w:r>
      <w:r>
        <w:rPr>
          <w:rFonts w:hint="eastAsia"/>
          <w:color w:val="auto"/>
          <w:kern w:val="0"/>
          <w:szCs w:val="21"/>
        </w:rPr>
        <w:t>）</w:t>
      </w:r>
      <w:r>
        <w:rPr>
          <w:color w:val="auto"/>
          <w:kern w:val="0"/>
          <w:szCs w:val="21"/>
        </w:rPr>
        <w:t>未被列入失信被执行人、重大税收违法失信主体、政府采购严重违法失信行为记录名单。</w:t>
      </w:r>
    </w:p>
    <w:p w14:paraId="469C864C">
      <w:pPr>
        <w:spacing w:line="312" w:lineRule="auto"/>
        <w:ind w:firstLine="420" w:firstLineChars="200"/>
        <w:jc w:val="left"/>
        <w:rPr>
          <w:rFonts w:hint="eastAsia"/>
          <w:color w:val="auto"/>
          <w:kern w:val="0"/>
          <w:szCs w:val="21"/>
        </w:rPr>
      </w:pPr>
      <w:r>
        <w:rPr>
          <w:rFonts w:hint="eastAsia"/>
          <w:color w:val="auto"/>
          <w:kern w:val="0"/>
          <w:szCs w:val="21"/>
        </w:rPr>
        <w:t>（5）本项目不允许分公司参与响应。</w:t>
      </w:r>
    </w:p>
    <w:p w14:paraId="0BF05E8B">
      <w:pPr>
        <w:spacing w:line="312" w:lineRule="auto"/>
        <w:ind w:firstLine="420" w:firstLineChars="200"/>
        <w:jc w:val="left"/>
        <w:rPr>
          <w:color w:val="auto"/>
          <w:kern w:val="0"/>
          <w:szCs w:val="21"/>
        </w:rPr>
      </w:pPr>
      <w:bookmarkStart w:id="9" w:name="_Hlk132732817"/>
      <w:r>
        <w:rPr>
          <w:rFonts w:hint="eastAsia"/>
          <w:color w:val="auto"/>
          <w:szCs w:val="21"/>
        </w:rPr>
        <w:t>（</w:t>
      </w:r>
      <w:r>
        <w:rPr>
          <w:color w:val="auto"/>
          <w:szCs w:val="21"/>
        </w:rPr>
        <w:t>6</w:t>
      </w:r>
      <w:r>
        <w:rPr>
          <w:rFonts w:hint="eastAsia"/>
          <w:color w:val="auto"/>
          <w:szCs w:val="21"/>
        </w:rPr>
        <w:t>）</w:t>
      </w:r>
      <w:r>
        <w:rPr>
          <w:rFonts w:hint="eastAsia"/>
          <w:color w:val="auto"/>
          <w:kern w:val="0"/>
          <w:szCs w:val="21"/>
        </w:rPr>
        <w:t>本项目不允许分包。</w:t>
      </w:r>
    </w:p>
    <w:p w14:paraId="244D3CC5">
      <w:pPr>
        <w:spacing w:line="312" w:lineRule="auto"/>
        <w:ind w:firstLine="420" w:firstLineChars="200"/>
        <w:jc w:val="left"/>
        <w:rPr>
          <w:rFonts w:hint="eastAsia"/>
          <w:color w:val="auto"/>
          <w:szCs w:val="21"/>
        </w:rPr>
      </w:pPr>
      <w:r>
        <w:rPr>
          <w:rFonts w:hint="eastAsia"/>
          <w:color w:val="auto"/>
          <w:kern w:val="0"/>
          <w:szCs w:val="21"/>
        </w:rPr>
        <w:t>（</w:t>
      </w:r>
      <w:r>
        <w:rPr>
          <w:color w:val="auto"/>
          <w:kern w:val="0"/>
          <w:szCs w:val="21"/>
        </w:rPr>
        <w:t>7</w:t>
      </w:r>
      <w:r>
        <w:rPr>
          <w:rFonts w:hint="eastAsia"/>
          <w:color w:val="auto"/>
          <w:kern w:val="0"/>
          <w:szCs w:val="21"/>
        </w:rPr>
        <w:t>）</w:t>
      </w:r>
      <w:r>
        <w:rPr>
          <w:color w:val="auto"/>
          <w:kern w:val="0"/>
          <w:szCs w:val="21"/>
        </w:rPr>
        <w:t>本项目不接受联合体。</w:t>
      </w:r>
      <w:bookmarkEnd w:id="9"/>
    </w:p>
    <w:p w14:paraId="6A0B85B1">
      <w:pPr>
        <w:spacing w:line="312" w:lineRule="auto"/>
        <w:ind w:firstLine="420" w:firstLineChars="200"/>
        <w:jc w:val="left"/>
        <w:rPr>
          <w:rFonts w:hint="eastAsia"/>
          <w:color w:val="auto"/>
          <w:kern w:val="0"/>
          <w:szCs w:val="21"/>
        </w:rPr>
      </w:pPr>
      <w:r>
        <w:rPr>
          <w:rFonts w:hint="eastAsia"/>
          <w:color w:val="auto"/>
          <w:kern w:val="0"/>
          <w:szCs w:val="21"/>
        </w:rPr>
        <w:t>（</w:t>
      </w:r>
      <w:r>
        <w:rPr>
          <w:color w:val="auto"/>
          <w:kern w:val="0"/>
          <w:szCs w:val="21"/>
        </w:rPr>
        <w:t>8</w:t>
      </w:r>
      <w:r>
        <w:rPr>
          <w:rFonts w:hint="eastAsia"/>
          <w:color w:val="auto"/>
          <w:kern w:val="0"/>
          <w:szCs w:val="21"/>
        </w:rPr>
        <w:t>）</w:t>
      </w:r>
      <w:r>
        <w:rPr>
          <w:color w:val="auto"/>
          <w:kern w:val="0"/>
          <w:szCs w:val="21"/>
        </w:rPr>
        <w:t>按照</w:t>
      </w:r>
      <w:r>
        <w:rPr>
          <w:rFonts w:hint="eastAsia"/>
          <w:color w:val="auto"/>
        </w:rPr>
        <w:t>谈判</w:t>
      </w:r>
      <w:r>
        <w:rPr>
          <w:color w:val="auto"/>
          <w:kern w:val="0"/>
          <w:szCs w:val="21"/>
        </w:rPr>
        <w:t>公告的规定获得</w:t>
      </w:r>
      <w:r>
        <w:rPr>
          <w:rFonts w:hint="eastAsia"/>
          <w:color w:val="auto"/>
        </w:rPr>
        <w:t>采购文件</w:t>
      </w:r>
      <w:r>
        <w:rPr>
          <w:color w:val="auto"/>
          <w:kern w:val="0"/>
          <w:szCs w:val="21"/>
        </w:rPr>
        <w:t>。</w:t>
      </w:r>
    </w:p>
    <w:p w14:paraId="04C309B1">
      <w:pPr>
        <w:spacing w:line="312" w:lineRule="auto"/>
        <w:ind w:firstLine="442" w:firstLineChars="200"/>
        <w:jc w:val="left"/>
        <w:rPr>
          <w:rFonts w:hint="eastAsia"/>
          <w:b/>
          <w:bCs/>
          <w:color w:val="auto"/>
          <w:kern w:val="0"/>
          <w:sz w:val="22"/>
          <w:szCs w:val="22"/>
        </w:rPr>
      </w:pPr>
      <w:r>
        <w:rPr>
          <w:rFonts w:hint="eastAsia"/>
          <w:b/>
          <w:bCs/>
          <w:color w:val="auto"/>
          <w:kern w:val="0"/>
          <w:sz w:val="22"/>
          <w:szCs w:val="22"/>
        </w:rPr>
        <w:t>三、获取采购文件</w:t>
      </w:r>
    </w:p>
    <w:p w14:paraId="346A7E7B">
      <w:pPr>
        <w:spacing w:line="312" w:lineRule="auto"/>
        <w:ind w:firstLine="420" w:firstLineChars="200"/>
        <w:jc w:val="left"/>
        <w:rPr>
          <w:color w:val="auto"/>
        </w:rPr>
      </w:pPr>
      <w:r>
        <w:rPr>
          <w:rFonts w:hint="eastAsia"/>
          <w:color w:val="auto"/>
        </w:rPr>
        <w:t>时间：</w:t>
      </w:r>
      <w:r>
        <w:rPr>
          <w:color w:val="auto"/>
          <w:highlight w:val="none"/>
          <w:u w:val="single"/>
        </w:rPr>
        <w:t>20</w:t>
      </w:r>
      <w:r>
        <w:rPr>
          <w:rFonts w:hint="eastAsia"/>
          <w:color w:val="auto"/>
          <w:highlight w:val="none"/>
          <w:u w:val="single"/>
          <w:lang w:val="en-US" w:eastAsia="zh-CN"/>
        </w:rPr>
        <w:t>26</w:t>
      </w:r>
      <w:r>
        <w:rPr>
          <w:rFonts w:hint="eastAsia"/>
          <w:color w:val="auto"/>
          <w:highlight w:val="none"/>
          <w:u w:val="single"/>
        </w:rPr>
        <w:t>年</w:t>
      </w:r>
      <w:r>
        <w:rPr>
          <w:rFonts w:hint="eastAsia"/>
          <w:color w:val="auto"/>
          <w:highlight w:val="none"/>
          <w:u w:val="single"/>
          <w:lang w:val="en-US" w:eastAsia="zh-CN"/>
        </w:rPr>
        <w:t>9</w:t>
      </w:r>
      <w:r>
        <w:rPr>
          <w:rFonts w:hint="eastAsia"/>
          <w:color w:val="auto"/>
          <w:highlight w:val="none"/>
          <w:u w:val="single"/>
        </w:rPr>
        <w:t>月</w:t>
      </w:r>
      <w:r>
        <w:rPr>
          <w:rFonts w:hint="eastAsia"/>
          <w:color w:val="auto"/>
          <w:highlight w:val="none"/>
          <w:u w:val="single"/>
          <w:lang w:val="en-US" w:eastAsia="zh-CN"/>
        </w:rPr>
        <w:t>3</w:t>
      </w:r>
      <w:r>
        <w:rPr>
          <w:rFonts w:hint="eastAsia"/>
          <w:color w:val="auto"/>
          <w:highlight w:val="none"/>
          <w:u w:val="single"/>
        </w:rPr>
        <w:t>日起响应文件提交截止时间止</w:t>
      </w:r>
      <w:r>
        <w:rPr>
          <w:rFonts w:hint="eastAsia"/>
          <w:color w:val="auto"/>
        </w:rPr>
        <w:t>。</w:t>
      </w:r>
    </w:p>
    <w:p w14:paraId="23D57E47">
      <w:pPr>
        <w:spacing w:line="312" w:lineRule="auto"/>
        <w:ind w:firstLine="420" w:firstLineChars="200"/>
        <w:jc w:val="left"/>
        <w:rPr>
          <w:color w:val="auto"/>
          <w:szCs w:val="21"/>
        </w:rPr>
      </w:pPr>
      <w:bookmarkStart w:id="10" w:name="_Hlk89179558"/>
      <w:r>
        <w:rPr>
          <w:rFonts w:hint="eastAsia"/>
          <w:color w:val="auto"/>
        </w:rPr>
        <w:t>地点（网址）：</w:t>
      </w:r>
      <w:r>
        <w:rPr>
          <w:rFonts w:hint="eastAsia"/>
          <w:color w:val="auto"/>
          <w:szCs w:val="21"/>
        </w:rPr>
        <w:t xml:space="preserve">广西政府采购云平台 </w:t>
      </w:r>
      <w:bookmarkStart w:id="11" w:name="_Hlk160186238"/>
      <w:r>
        <w:rPr>
          <w:rFonts w:hint="eastAsia"/>
          <w:color w:val="auto"/>
          <w:szCs w:val="21"/>
        </w:rPr>
        <w:t>（</w:t>
      </w:r>
      <w:r>
        <w:rPr>
          <w:color w:val="auto"/>
          <w:szCs w:val="21"/>
        </w:rPr>
        <w:fldChar w:fldCharType="begin"/>
      </w:r>
      <w:r>
        <w:rPr>
          <w:color w:val="auto"/>
          <w:szCs w:val="21"/>
        </w:rPr>
        <w:instrText xml:space="preserve"> HYPERLINK "https://www.gcy.zfcg.gxzf.gov.cn/" </w:instrText>
      </w:r>
      <w:r>
        <w:rPr>
          <w:color w:val="auto"/>
          <w:szCs w:val="21"/>
        </w:rPr>
        <w:fldChar w:fldCharType="separate"/>
      </w:r>
      <w:r>
        <w:rPr>
          <w:rStyle w:val="57"/>
          <w:color w:val="auto"/>
          <w:szCs w:val="21"/>
        </w:rPr>
        <w:t>https://www.gcy.zfcg.gxzf.gov.cn/</w:t>
      </w:r>
      <w:r>
        <w:rPr>
          <w:color w:val="auto"/>
          <w:szCs w:val="21"/>
        </w:rPr>
        <w:fldChar w:fldCharType="end"/>
      </w:r>
      <w:r>
        <w:rPr>
          <w:rFonts w:hint="eastAsia"/>
          <w:color w:val="auto"/>
          <w:szCs w:val="21"/>
        </w:rPr>
        <w:t>）</w:t>
      </w:r>
      <w:bookmarkEnd w:id="11"/>
    </w:p>
    <w:p w14:paraId="7143397F">
      <w:pPr>
        <w:spacing w:line="312" w:lineRule="auto"/>
        <w:ind w:firstLine="420" w:firstLineChars="200"/>
        <w:jc w:val="left"/>
        <w:rPr>
          <w:color w:val="auto"/>
        </w:rPr>
      </w:pPr>
      <w:r>
        <w:rPr>
          <w:rFonts w:hint="eastAsia"/>
          <w:color w:val="auto"/>
          <w:szCs w:val="21"/>
        </w:rPr>
        <w:t>方式：供应商登录广西政府采购云平台在线申请获取采购文件（进入“项目采购”应用，在获取采购文件菜单中选择项目，申请获取采购文件）</w:t>
      </w:r>
      <w:r>
        <w:rPr>
          <w:color w:val="auto"/>
        </w:rPr>
        <w:t xml:space="preserve"> </w:t>
      </w:r>
    </w:p>
    <w:p w14:paraId="35D312A0">
      <w:pPr>
        <w:spacing w:line="312" w:lineRule="auto"/>
        <w:ind w:firstLine="420" w:firstLineChars="200"/>
        <w:jc w:val="left"/>
        <w:rPr>
          <w:color w:val="auto"/>
        </w:rPr>
      </w:pPr>
      <w:r>
        <w:rPr>
          <w:rFonts w:hint="eastAsia"/>
          <w:color w:val="auto"/>
        </w:rPr>
        <w:t>售价（元）：</w:t>
      </w:r>
      <w:r>
        <w:rPr>
          <w:color w:val="auto"/>
        </w:rPr>
        <w:t>0</w:t>
      </w:r>
    </w:p>
    <w:bookmarkEnd w:id="10"/>
    <w:p w14:paraId="2549084C">
      <w:pPr>
        <w:spacing w:line="312" w:lineRule="auto"/>
        <w:ind w:firstLine="442" w:firstLineChars="200"/>
        <w:jc w:val="left"/>
        <w:rPr>
          <w:rFonts w:hint="eastAsia"/>
          <w:b/>
          <w:bCs/>
          <w:color w:val="auto"/>
          <w:kern w:val="0"/>
          <w:sz w:val="22"/>
          <w:szCs w:val="22"/>
        </w:rPr>
      </w:pPr>
      <w:r>
        <w:rPr>
          <w:rFonts w:hint="eastAsia"/>
          <w:b/>
          <w:bCs/>
          <w:color w:val="auto"/>
          <w:kern w:val="0"/>
          <w:sz w:val="22"/>
          <w:szCs w:val="22"/>
        </w:rPr>
        <w:t>四、响应文件提交</w:t>
      </w:r>
    </w:p>
    <w:p w14:paraId="6AD9BAE6">
      <w:pPr>
        <w:spacing w:line="312" w:lineRule="auto"/>
        <w:ind w:firstLine="420" w:firstLineChars="200"/>
        <w:jc w:val="left"/>
        <w:rPr>
          <w:color w:val="auto"/>
          <w:kern w:val="0"/>
          <w:szCs w:val="21"/>
        </w:rPr>
      </w:pPr>
      <w:bookmarkStart w:id="12" w:name="_Hlk89179584"/>
      <w:r>
        <w:rPr>
          <w:rFonts w:hint="eastAsia"/>
          <w:color w:val="auto"/>
          <w:kern w:val="0"/>
          <w:szCs w:val="21"/>
        </w:rPr>
        <w:t>截止时间：</w:t>
      </w:r>
      <w:r>
        <w:rPr>
          <w:color w:val="auto"/>
          <w:highlight w:val="none"/>
          <w:u w:val="single"/>
        </w:rPr>
        <w:t>20</w:t>
      </w:r>
      <w:r>
        <w:rPr>
          <w:rFonts w:hint="eastAsia"/>
          <w:color w:val="auto"/>
          <w:highlight w:val="none"/>
          <w:u w:val="single"/>
          <w:lang w:val="en-US" w:eastAsia="zh-CN"/>
        </w:rPr>
        <w:t>26</w:t>
      </w:r>
      <w:r>
        <w:rPr>
          <w:rFonts w:hint="eastAsia"/>
          <w:color w:val="auto"/>
          <w:highlight w:val="none"/>
          <w:u w:val="single"/>
        </w:rPr>
        <w:t>年</w:t>
      </w:r>
      <w:r>
        <w:rPr>
          <w:rFonts w:hint="eastAsia"/>
          <w:color w:val="auto"/>
          <w:highlight w:val="none"/>
          <w:u w:val="single"/>
          <w:lang w:val="en-US" w:eastAsia="zh-CN"/>
        </w:rPr>
        <w:t>9</w:t>
      </w:r>
      <w:r>
        <w:rPr>
          <w:rFonts w:hint="eastAsia"/>
          <w:color w:val="auto"/>
          <w:highlight w:val="none"/>
          <w:u w:val="single"/>
        </w:rPr>
        <w:t>月</w:t>
      </w:r>
      <w:r>
        <w:rPr>
          <w:rFonts w:hint="eastAsia"/>
          <w:color w:val="auto"/>
          <w:highlight w:val="none"/>
          <w:u w:val="single"/>
          <w:lang w:val="en-US" w:eastAsia="zh-CN"/>
        </w:rPr>
        <w:t>9</w:t>
      </w:r>
      <w:r>
        <w:rPr>
          <w:rFonts w:hint="eastAsia"/>
          <w:color w:val="auto"/>
          <w:highlight w:val="none"/>
          <w:u w:val="single"/>
        </w:rPr>
        <w:t>日</w:t>
      </w:r>
      <w:r>
        <w:rPr>
          <w:rFonts w:hint="eastAsia"/>
          <w:color w:val="auto"/>
          <w:highlight w:val="none"/>
          <w:u w:val="single"/>
          <w:lang w:val="en-US" w:eastAsia="zh-CN"/>
        </w:rPr>
        <w:t>10时00分</w:t>
      </w:r>
      <w:r>
        <w:rPr>
          <w:rFonts w:hint="eastAsia"/>
          <w:color w:val="auto"/>
          <w:kern w:val="0"/>
          <w:szCs w:val="21"/>
        </w:rPr>
        <w:t>（北京时间）</w:t>
      </w:r>
    </w:p>
    <w:p w14:paraId="446A1F40">
      <w:pPr>
        <w:spacing w:line="312" w:lineRule="auto"/>
        <w:ind w:firstLine="420" w:firstLineChars="200"/>
        <w:jc w:val="left"/>
        <w:rPr>
          <w:color w:val="auto"/>
          <w:kern w:val="0"/>
          <w:szCs w:val="21"/>
        </w:rPr>
      </w:pPr>
      <w:r>
        <w:rPr>
          <w:rFonts w:hint="eastAsia"/>
          <w:color w:val="auto"/>
          <w:kern w:val="0"/>
          <w:szCs w:val="21"/>
        </w:rPr>
        <w:t>地点（网址）：</w:t>
      </w:r>
      <w:r>
        <w:rPr>
          <w:rFonts w:hint="eastAsia"/>
          <w:color w:val="auto"/>
          <w:szCs w:val="21"/>
        </w:rPr>
        <w:t>本项目为全流程电子化项目，没有现场递交响应文件及现场开启响应文件</w:t>
      </w:r>
      <w:r>
        <w:rPr>
          <w:rFonts w:hint="eastAsia"/>
          <w:color w:val="auto"/>
          <w:szCs w:val="21"/>
          <w:lang w:val="en-US" w:eastAsia="zh-CN"/>
        </w:rPr>
        <w:t>环节</w:t>
      </w:r>
      <w:r>
        <w:rPr>
          <w:rFonts w:hint="eastAsia"/>
          <w:color w:val="auto"/>
          <w:szCs w:val="21"/>
        </w:rPr>
        <w:t>，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w:t>
      </w:r>
      <w:r>
        <w:rPr>
          <w:color w:val="auto"/>
          <w:szCs w:val="21"/>
        </w:rPr>
        <w:t>A</w:t>
      </w:r>
      <w:r>
        <w:rPr>
          <w:rFonts w:hint="eastAsia"/>
          <w:color w:val="auto"/>
          <w:szCs w:val="21"/>
        </w:rPr>
        <w:t>认证编制、加密响应文件后</w:t>
      </w:r>
      <w:r>
        <w:rPr>
          <w:rFonts w:hint="eastAsia"/>
          <w:color w:val="auto"/>
          <w:szCs w:val="21"/>
          <w:lang w:val="en-US" w:eastAsia="zh-CN"/>
        </w:rPr>
        <w:t>并</w:t>
      </w:r>
      <w:r>
        <w:rPr>
          <w:rFonts w:hint="eastAsia"/>
          <w:color w:val="auto"/>
          <w:szCs w:val="21"/>
        </w:rPr>
        <w:t xml:space="preserve">在响应截止时间前上传至广西政府采购云平台，供应商在广西政府采购云平台提交电子版响应文件时，请填写参加远程开启活动经办人联系方式。 </w:t>
      </w:r>
    </w:p>
    <w:bookmarkEnd w:id="12"/>
    <w:p w14:paraId="72CD5AC7">
      <w:pPr>
        <w:spacing w:line="276" w:lineRule="auto"/>
        <w:ind w:firstLine="442" w:firstLineChars="200"/>
        <w:jc w:val="left"/>
        <w:rPr>
          <w:b/>
          <w:bCs/>
          <w:kern w:val="0"/>
          <w:sz w:val="22"/>
          <w:szCs w:val="22"/>
        </w:rPr>
      </w:pPr>
      <w:r>
        <w:rPr>
          <w:rFonts w:hint="eastAsia"/>
          <w:b/>
          <w:bCs/>
          <w:kern w:val="0"/>
          <w:sz w:val="22"/>
          <w:szCs w:val="22"/>
        </w:rPr>
        <w:t>五、开启</w:t>
      </w:r>
    </w:p>
    <w:p w14:paraId="560E5CAE">
      <w:pPr>
        <w:spacing w:line="276" w:lineRule="auto"/>
        <w:ind w:firstLine="442" w:firstLineChars="200"/>
        <w:jc w:val="left"/>
        <w:rPr>
          <w:kern w:val="0"/>
          <w:szCs w:val="21"/>
        </w:rPr>
      </w:pPr>
      <w:bookmarkStart w:id="13" w:name="_Hlk89179592"/>
      <w:r>
        <w:rPr>
          <w:rFonts w:hint="eastAsia"/>
          <w:b/>
          <w:bCs/>
          <w:kern w:val="0"/>
          <w:sz w:val="22"/>
          <w:szCs w:val="22"/>
        </w:rPr>
        <w:t>开启时间：</w:t>
      </w:r>
      <w:r>
        <w:rPr>
          <w:rFonts w:hint="eastAsia"/>
          <w:b w:val="0"/>
          <w:bCs w:val="0"/>
          <w:color w:val="auto"/>
          <w:kern w:val="0"/>
          <w:sz w:val="22"/>
          <w:szCs w:val="22"/>
        </w:rPr>
        <w:t>20</w:t>
      </w:r>
      <w:r>
        <w:rPr>
          <w:rFonts w:hint="eastAsia"/>
          <w:b w:val="0"/>
          <w:bCs w:val="0"/>
          <w:color w:val="auto"/>
          <w:kern w:val="0"/>
          <w:sz w:val="22"/>
          <w:szCs w:val="22"/>
          <w:lang w:val="en-US" w:eastAsia="zh-CN"/>
        </w:rPr>
        <w:t>26</w:t>
      </w:r>
      <w:r>
        <w:rPr>
          <w:rFonts w:hint="eastAsia"/>
          <w:b w:val="0"/>
          <w:bCs w:val="0"/>
          <w:color w:val="auto"/>
          <w:kern w:val="0"/>
          <w:sz w:val="22"/>
          <w:szCs w:val="22"/>
        </w:rPr>
        <w:t>年</w:t>
      </w:r>
      <w:r>
        <w:rPr>
          <w:rFonts w:hint="eastAsia"/>
          <w:b w:val="0"/>
          <w:bCs w:val="0"/>
          <w:color w:val="auto"/>
          <w:kern w:val="0"/>
          <w:sz w:val="22"/>
          <w:szCs w:val="22"/>
          <w:lang w:val="en-US" w:eastAsia="zh-CN"/>
        </w:rPr>
        <w:t>9</w:t>
      </w:r>
      <w:r>
        <w:rPr>
          <w:rFonts w:hint="eastAsia"/>
          <w:b w:val="0"/>
          <w:bCs w:val="0"/>
          <w:color w:val="auto"/>
          <w:kern w:val="0"/>
          <w:sz w:val="22"/>
          <w:szCs w:val="22"/>
        </w:rPr>
        <w:t>月</w:t>
      </w:r>
      <w:r>
        <w:rPr>
          <w:rFonts w:hint="eastAsia"/>
          <w:b w:val="0"/>
          <w:bCs w:val="0"/>
          <w:color w:val="auto"/>
          <w:kern w:val="0"/>
          <w:sz w:val="22"/>
          <w:szCs w:val="22"/>
          <w:lang w:val="en-US" w:eastAsia="zh-CN"/>
        </w:rPr>
        <w:t>9</w:t>
      </w:r>
      <w:r>
        <w:rPr>
          <w:rFonts w:hint="eastAsia"/>
          <w:b w:val="0"/>
          <w:bCs w:val="0"/>
          <w:color w:val="auto"/>
          <w:kern w:val="0"/>
          <w:sz w:val="22"/>
          <w:szCs w:val="22"/>
        </w:rPr>
        <w:t>日</w:t>
      </w:r>
      <w:r>
        <w:rPr>
          <w:rFonts w:hint="eastAsia"/>
          <w:b w:val="0"/>
          <w:bCs w:val="0"/>
          <w:color w:val="auto"/>
          <w:kern w:val="0"/>
          <w:sz w:val="22"/>
          <w:szCs w:val="22"/>
          <w:lang w:val="en-US" w:eastAsia="zh-CN"/>
        </w:rPr>
        <w:t>10时00分</w:t>
      </w:r>
      <w:r>
        <w:rPr>
          <w:rFonts w:hint="eastAsia"/>
          <w:kern w:val="0"/>
          <w:szCs w:val="21"/>
        </w:rPr>
        <w:t>（北京时间）</w:t>
      </w:r>
    </w:p>
    <w:p w14:paraId="299E6EB7">
      <w:pPr>
        <w:spacing w:line="276" w:lineRule="auto"/>
        <w:ind w:firstLine="442" w:firstLineChars="200"/>
        <w:jc w:val="left"/>
        <w:rPr>
          <w:rFonts w:hint="eastAsia"/>
          <w:b/>
          <w:bCs/>
          <w:color w:val="auto"/>
          <w:kern w:val="0"/>
          <w:sz w:val="22"/>
          <w:szCs w:val="22"/>
        </w:rPr>
      </w:pPr>
      <w:r>
        <w:rPr>
          <w:rFonts w:hint="eastAsia"/>
          <w:b/>
          <w:bCs/>
          <w:kern w:val="0"/>
          <w:sz w:val="22"/>
          <w:szCs w:val="22"/>
        </w:rPr>
        <w:t>地点</w:t>
      </w:r>
      <w:r>
        <w:rPr>
          <w:rFonts w:hint="eastAsia"/>
          <w:b/>
          <w:bCs/>
          <w:color w:val="auto"/>
          <w:kern w:val="0"/>
          <w:sz w:val="22"/>
          <w:szCs w:val="22"/>
        </w:rPr>
        <w:t>：</w:t>
      </w:r>
      <w:r>
        <w:rPr>
          <w:rFonts w:hint="eastAsia"/>
          <w:color w:val="auto"/>
          <w:szCs w:val="21"/>
        </w:rPr>
        <w:t>供应商登录广西政府采购云平台电子开标大厅开启。</w:t>
      </w:r>
    </w:p>
    <w:bookmarkEnd w:id="13"/>
    <w:p w14:paraId="0746C457">
      <w:pPr>
        <w:spacing w:line="312" w:lineRule="auto"/>
        <w:ind w:firstLine="442" w:firstLineChars="200"/>
        <w:jc w:val="left"/>
        <w:rPr>
          <w:b/>
          <w:bCs/>
          <w:kern w:val="0"/>
          <w:sz w:val="22"/>
          <w:szCs w:val="22"/>
        </w:rPr>
      </w:pPr>
      <w:r>
        <w:rPr>
          <w:rFonts w:hint="eastAsia"/>
          <w:b/>
          <w:bCs/>
          <w:kern w:val="0"/>
          <w:sz w:val="22"/>
          <w:szCs w:val="22"/>
        </w:rPr>
        <w:t>六、公告期限</w:t>
      </w:r>
    </w:p>
    <w:p w14:paraId="762A21E6">
      <w:pPr>
        <w:spacing w:line="312" w:lineRule="auto"/>
        <w:ind w:firstLine="420" w:firstLineChars="200"/>
        <w:jc w:val="left"/>
        <w:rPr>
          <w:rFonts w:hint="eastAsia"/>
          <w:kern w:val="0"/>
          <w:szCs w:val="21"/>
        </w:rPr>
      </w:pPr>
      <w:r>
        <w:rPr>
          <w:rFonts w:hint="eastAsia"/>
          <w:kern w:val="0"/>
          <w:szCs w:val="21"/>
        </w:rPr>
        <w:t>自本公告发布之日起</w:t>
      </w:r>
      <w:r>
        <w:rPr>
          <w:kern w:val="0"/>
          <w:szCs w:val="21"/>
        </w:rPr>
        <w:t>3</w:t>
      </w:r>
      <w:r>
        <w:rPr>
          <w:rFonts w:hint="eastAsia"/>
          <w:kern w:val="0"/>
          <w:szCs w:val="21"/>
        </w:rPr>
        <w:t>个工作日。</w:t>
      </w:r>
    </w:p>
    <w:p w14:paraId="14198AC3">
      <w:pPr>
        <w:spacing w:line="312" w:lineRule="auto"/>
        <w:ind w:firstLine="442" w:firstLineChars="200"/>
        <w:jc w:val="left"/>
        <w:rPr>
          <w:b/>
          <w:bCs/>
          <w:kern w:val="0"/>
          <w:sz w:val="22"/>
          <w:szCs w:val="22"/>
        </w:rPr>
      </w:pPr>
      <w:r>
        <w:rPr>
          <w:rFonts w:hint="eastAsia"/>
          <w:b/>
          <w:bCs/>
          <w:kern w:val="0"/>
          <w:sz w:val="22"/>
          <w:szCs w:val="22"/>
        </w:rPr>
        <w:t>七、其他补充事宜</w:t>
      </w:r>
    </w:p>
    <w:p w14:paraId="6E8B05D5">
      <w:pPr>
        <w:spacing w:line="312" w:lineRule="auto"/>
        <w:ind w:firstLine="420" w:firstLineChars="200"/>
        <w:jc w:val="left"/>
        <w:rPr>
          <w:color w:val="000000"/>
          <w:kern w:val="0"/>
          <w:szCs w:val="21"/>
        </w:rPr>
      </w:pPr>
      <w:r>
        <w:rPr>
          <w:rFonts w:hint="eastAsia"/>
          <w:kern w:val="0"/>
          <w:szCs w:val="21"/>
        </w:rPr>
        <w:t>1</w:t>
      </w:r>
      <w:r>
        <w:rPr>
          <w:kern w:val="0"/>
          <w:szCs w:val="21"/>
        </w:rPr>
        <w:t>.</w:t>
      </w:r>
      <w:r>
        <w:rPr>
          <w:rFonts w:hint="eastAsia"/>
          <w:kern w:val="0"/>
          <w:szCs w:val="21"/>
        </w:rPr>
        <w:t>公告发布媒体：广西壮族自治区政府采购网、中国政府采购网</w:t>
      </w:r>
      <w:r>
        <w:rPr>
          <w:rFonts w:hint="eastAsia"/>
          <w:color w:val="auto"/>
          <w:kern w:val="0"/>
          <w:szCs w:val="21"/>
          <w:highlight w:val="none"/>
        </w:rPr>
        <w:t>、全国公共资源交易平台(广西•河池)</w:t>
      </w:r>
    </w:p>
    <w:p w14:paraId="3306C86C">
      <w:pPr>
        <w:spacing w:line="312" w:lineRule="auto"/>
        <w:ind w:firstLine="420" w:firstLineChars="200"/>
        <w:jc w:val="left"/>
        <w:rPr>
          <w:kern w:val="0"/>
          <w:szCs w:val="21"/>
        </w:rPr>
      </w:pPr>
      <w:r>
        <w:rPr>
          <w:rFonts w:hint="eastAsia"/>
          <w:kern w:val="0"/>
          <w:szCs w:val="21"/>
        </w:rPr>
        <w:t>2</w:t>
      </w:r>
      <w:r>
        <w:rPr>
          <w:kern w:val="0"/>
          <w:szCs w:val="21"/>
        </w:rPr>
        <w:t>.</w:t>
      </w:r>
      <w:r>
        <w:rPr>
          <w:rFonts w:hint="eastAsia"/>
          <w:kern w:val="0"/>
          <w:szCs w:val="21"/>
        </w:rPr>
        <w:t xml:space="preserve"> 需落实的政府采购政策：</w:t>
      </w:r>
      <w:r>
        <w:rPr>
          <w:kern w:val="0"/>
          <w:szCs w:val="21"/>
        </w:rPr>
        <w:t>政府采购促进中小企业、监狱企业发展、促进残疾人就业、</w:t>
      </w:r>
      <w:bookmarkStart w:id="14" w:name="_Hlk89179658"/>
      <w:r>
        <w:rPr>
          <w:kern w:val="0"/>
          <w:szCs w:val="21"/>
        </w:rPr>
        <w:t>节能环保</w:t>
      </w:r>
      <w:bookmarkEnd w:id="14"/>
      <w:r>
        <w:rPr>
          <w:rFonts w:hint="eastAsia"/>
          <w:kern w:val="0"/>
          <w:szCs w:val="21"/>
          <w:lang w:eastAsia="zh-CN"/>
        </w:rPr>
        <w:t>、对本国产品的支持</w:t>
      </w:r>
      <w:r>
        <w:rPr>
          <w:kern w:val="0"/>
          <w:szCs w:val="21"/>
        </w:rPr>
        <w:t>等有关政策，具体详见</w:t>
      </w:r>
      <w:r>
        <w:rPr>
          <w:rFonts w:hint="eastAsia"/>
        </w:rPr>
        <w:t>采购文件</w:t>
      </w:r>
      <w:r>
        <w:rPr>
          <w:kern w:val="0"/>
          <w:szCs w:val="21"/>
        </w:rPr>
        <w:t>。</w:t>
      </w:r>
    </w:p>
    <w:p w14:paraId="64431290">
      <w:pPr>
        <w:spacing w:line="312" w:lineRule="auto"/>
        <w:ind w:firstLine="420" w:firstLineChars="200"/>
        <w:jc w:val="left"/>
        <w:rPr>
          <w:rFonts w:eastAsia="楷体_GB2312"/>
          <w:b/>
          <w:color w:val="4472C4"/>
          <w:szCs w:val="21"/>
        </w:rPr>
      </w:pPr>
      <w:r>
        <w:rPr>
          <w:color w:val="000000"/>
          <w:kern w:val="0"/>
          <w:szCs w:val="21"/>
        </w:rPr>
        <w:t>3</w:t>
      </w:r>
      <w:r>
        <w:rPr>
          <w:rFonts w:hint="eastAsia"/>
          <w:color w:val="000000"/>
          <w:kern w:val="0"/>
          <w:szCs w:val="21"/>
        </w:rPr>
        <w:t>.本项目供应商的产生方式：</w:t>
      </w:r>
      <w:r>
        <w:t>发布</w:t>
      </w:r>
      <w:r>
        <w:rPr>
          <w:rFonts w:hint="eastAsia"/>
        </w:rPr>
        <w:t>公告征集；</w:t>
      </w:r>
    </w:p>
    <w:p w14:paraId="64B731B0">
      <w:pPr>
        <w:spacing w:line="312" w:lineRule="auto"/>
        <w:ind w:firstLine="420" w:firstLineChars="200"/>
        <w:rPr>
          <w:kern w:val="0"/>
          <w:szCs w:val="21"/>
        </w:rPr>
      </w:pPr>
      <w:r>
        <w:rPr>
          <w:kern w:val="0"/>
          <w:szCs w:val="21"/>
        </w:rPr>
        <w:t>4.</w:t>
      </w:r>
      <w:r>
        <w:rPr>
          <w:rFonts w:hint="eastAsia"/>
          <w:kern w:val="0"/>
          <w:szCs w:val="21"/>
        </w:rPr>
        <w:t>注意事项：</w:t>
      </w:r>
    </w:p>
    <w:p w14:paraId="77923B75">
      <w:pPr>
        <w:spacing w:line="276" w:lineRule="auto"/>
        <w:ind w:firstLine="420" w:firstLineChars="200"/>
        <w:rPr>
          <w:szCs w:val="21"/>
        </w:rPr>
      </w:pPr>
      <w:r>
        <w:rPr>
          <w:rFonts w:hint="eastAsia"/>
          <w:kern w:val="0"/>
          <w:szCs w:val="21"/>
        </w:rPr>
        <w:t>（1）</w:t>
      </w:r>
      <w:r>
        <w:rPr>
          <w:rFonts w:hint="eastAsia"/>
          <w:szCs w:val="21"/>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4BBF7C26">
      <w:pPr>
        <w:spacing w:line="276" w:lineRule="auto"/>
        <w:ind w:firstLine="420" w:firstLineChars="200"/>
        <w:rPr>
          <w:kern w:val="0"/>
          <w:szCs w:val="21"/>
        </w:rPr>
      </w:pPr>
      <w:r>
        <w:rPr>
          <w:rFonts w:hint="eastAsia"/>
          <w:szCs w:val="21"/>
        </w:rPr>
        <w:t>（2）为确保网上操作合法、有效和安全，请供应商确保在电子响应过程中能够对相关数据电文进行加密和使用电子签章，妥善保管CA数字证书并使用有效的CA数字证书参与整个采购活动。</w:t>
      </w:r>
    </w:p>
    <w:p w14:paraId="5016B779">
      <w:pPr>
        <w:keepNext w:val="0"/>
        <w:keepLines w:val="0"/>
        <w:pageBreakBefore w:val="0"/>
        <w:widowControl w:val="0"/>
        <w:kinsoku/>
        <w:wordWrap w:val="0"/>
        <w:overflowPunct/>
        <w:topLinePunct w:val="0"/>
        <w:autoSpaceDE/>
        <w:autoSpaceDN/>
        <w:bidi w:val="0"/>
        <w:adjustRightInd/>
        <w:snapToGrid/>
        <w:spacing w:line="276" w:lineRule="auto"/>
        <w:ind w:firstLine="420" w:firstLineChars="200"/>
        <w:textAlignment w:val="auto"/>
        <w:rPr>
          <w:rFonts w:hint="eastAsia" w:eastAsia="宋体"/>
          <w:b/>
          <w:bCs/>
          <w:kern w:val="0"/>
          <w:sz w:val="22"/>
          <w:szCs w:val="22"/>
          <w:lang w:eastAsia="zh-CN"/>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）若对项目采购电子交易系统操作有疑问，可登录广西政府采购云平台（https://www.gcy.zfcg.gxzf.gov.cn/），点击右侧咨询小采或帮助文档或拨打客服热线95763</w:t>
      </w:r>
      <w:r>
        <w:rPr>
          <w:rFonts w:hint="eastAsia" w:ascii="宋体" w:hAnsi="宋体" w:cs="宋体"/>
          <w:kern w:val="0"/>
          <w:szCs w:val="21"/>
          <w:lang w:eastAsia="zh-CN"/>
        </w:rPr>
        <w:t>。</w:t>
      </w:r>
    </w:p>
    <w:p w14:paraId="47014B64">
      <w:pPr>
        <w:spacing w:line="276" w:lineRule="auto"/>
        <w:ind w:firstLine="442" w:firstLineChars="200"/>
        <w:rPr>
          <w:rFonts w:hint="eastAsia"/>
          <w:b/>
          <w:bCs/>
          <w:kern w:val="0"/>
          <w:sz w:val="22"/>
          <w:szCs w:val="22"/>
        </w:rPr>
      </w:pPr>
      <w:r>
        <w:rPr>
          <w:rFonts w:hint="eastAsia"/>
          <w:b/>
          <w:bCs/>
          <w:kern w:val="0"/>
          <w:sz w:val="22"/>
          <w:szCs w:val="22"/>
        </w:rPr>
        <w:t>八、对本次采购提出询问，请按以下方式联系</w:t>
      </w:r>
    </w:p>
    <w:p w14:paraId="333AA5F4">
      <w:pPr>
        <w:keepNext w:val="0"/>
        <w:keepLines w:val="0"/>
        <w:pageBreakBefore w:val="0"/>
        <w:widowControl w:val="0"/>
        <w:kinsoku/>
        <w:wordWrap/>
        <w:overflowPunct/>
        <w:topLinePunct w:val="0"/>
        <w:autoSpaceDE/>
        <w:autoSpaceDN/>
        <w:bidi w:val="0"/>
        <w:adjustRightInd/>
        <w:snapToGrid/>
        <w:spacing w:line="276" w:lineRule="auto"/>
        <w:ind w:firstLine="420" w:firstLineChars="200"/>
        <w:jc w:val="left"/>
        <w:textAlignment w:val="auto"/>
        <w:rPr>
          <w:color w:val="auto"/>
          <w:kern w:val="0"/>
          <w:szCs w:val="21"/>
          <w:highlight w:val="none"/>
        </w:rPr>
      </w:pPr>
      <w:r>
        <w:rPr>
          <w:rFonts w:hint="eastAsia"/>
          <w:color w:val="auto"/>
          <w:kern w:val="0"/>
          <w:szCs w:val="21"/>
          <w:highlight w:val="none"/>
        </w:rPr>
        <w:t>1.采购人信息</w:t>
      </w:r>
    </w:p>
    <w:p w14:paraId="3672B99D">
      <w:pPr>
        <w:keepNext w:val="0"/>
        <w:keepLines w:val="0"/>
        <w:pageBreakBefore w:val="0"/>
        <w:widowControl w:val="0"/>
        <w:kinsoku/>
        <w:wordWrap/>
        <w:overflowPunct/>
        <w:topLinePunct w:val="0"/>
        <w:autoSpaceDE/>
        <w:autoSpaceDN/>
        <w:bidi w:val="0"/>
        <w:adjustRightInd/>
        <w:snapToGrid/>
        <w:spacing w:line="276" w:lineRule="auto"/>
        <w:ind w:firstLine="420" w:firstLineChars="200"/>
        <w:jc w:val="left"/>
        <w:textAlignment w:val="auto"/>
        <w:rPr>
          <w:color w:val="auto"/>
          <w:kern w:val="0"/>
          <w:szCs w:val="21"/>
          <w:highlight w:val="none"/>
          <w:u w:val="single"/>
        </w:rPr>
      </w:pPr>
      <w:r>
        <w:rPr>
          <w:rFonts w:hint="eastAsia"/>
          <w:color w:val="auto"/>
          <w:kern w:val="0"/>
          <w:szCs w:val="21"/>
          <w:highlight w:val="none"/>
        </w:rPr>
        <w:t>名称</w:t>
      </w:r>
      <w:r>
        <w:rPr>
          <w:color w:val="auto"/>
          <w:kern w:val="0"/>
          <w:szCs w:val="21"/>
          <w:highlight w:val="none"/>
        </w:rPr>
        <w:t>：</w:t>
      </w:r>
      <w:r>
        <w:rPr>
          <w:rFonts w:hint="eastAsia"/>
          <w:color w:val="auto"/>
          <w:kern w:val="0"/>
          <w:szCs w:val="21"/>
          <w:highlight w:val="none"/>
          <w:u w:val="single"/>
        </w:rPr>
        <w:t>河池市人民医院</w:t>
      </w:r>
    </w:p>
    <w:p w14:paraId="170FED5E">
      <w:pPr>
        <w:keepNext w:val="0"/>
        <w:keepLines w:val="0"/>
        <w:pageBreakBefore w:val="0"/>
        <w:widowControl w:val="0"/>
        <w:kinsoku/>
        <w:wordWrap/>
        <w:overflowPunct/>
        <w:topLinePunct w:val="0"/>
        <w:autoSpaceDE/>
        <w:autoSpaceDN/>
        <w:bidi w:val="0"/>
        <w:adjustRightInd/>
        <w:snapToGrid/>
        <w:spacing w:line="276" w:lineRule="auto"/>
        <w:ind w:firstLine="420" w:firstLineChars="200"/>
        <w:jc w:val="left"/>
        <w:textAlignment w:val="auto"/>
        <w:rPr>
          <w:color w:val="auto"/>
          <w:kern w:val="0"/>
          <w:szCs w:val="21"/>
          <w:highlight w:val="none"/>
          <w:u w:val="single"/>
        </w:rPr>
      </w:pPr>
      <w:r>
        <w:rPr>
          <w:color w:val="auto"/>
          <w:kern w:val="0"/>
          <w:szCs w:val="21"/>
          <w:highlight w:val="none"/>
        </w:rPr>
        <w:t>地址：</w:t>
      </w:r>
      <w:r>
        <w:rPr>
          <w:rFonts w:hint="eastAsia"/>
          <w:color w:val="auto"/>
          <w:kern w:val="0"/>
          <w:szCs w:val="21"/>
          <w:highlight w:val="none"/>
          <w:u w:val="single"/>
        </w:rPr>
        <w:t>广西河池市金城江区金城中路455号</w:t>
      </w:r>
    </w:p>
    <w:p w14:paraId="5ACB8558">
      <w:pPr>
        <w:keepNext w:val="0"/>
        <w:keepLines w:val="0"/>
        <w:pageBreakBefore w:val="0"/>
        <w:widowControl w:val="0"/>
        <w:kinsoku/>
        <w:wordWrap/>
        <w:overflowPunct/>
        <w:topLinePunct w:val="0"/>
        <w:autoSpaceDE/>
        <w:autoSpaceDN/>
        <w:bidi w:val="0"/>
        <w:adjustRightInd/>
        <w:snapToGrid/>
        <w:spacing w:line="276" w:lineRule="auto"/>
        <w:ind w:firstLine="420" w:firstLineChars="200"/>
        <w:jc w:val="left"/>
        <w:textAlignment w:val="auto"/>
        <w:rPr>
          <w:rFonts w:hint="default" w:eastAsia="宋体"/>
          <w:color w:val="auto"/>
          <w:kern w:val="0"/>
          <w:szCs w:val="21"/>
          <w:highlight w:val="none"/>
          <w:u w:val="single"/>
          <w:lang w:val="en-US" w:eastAsia="zh-CN"/>
        </w:rPr>
      </w:pPr>
      <w:r>
        <w:rPr>
          <w:rFonts w:hint="eastAsia"/>
          <w:color w:val="auto"/>
          <w:kern w:val="0"/>
          <w:szCs w:val="21"/>
          <w:highlight w:val="none"/>
        </w:rPr>
        <w:t>项目联系人：</w:t>
      </w:r>
      <w:r>
        <w:rPr>
          <w:rFonts w:hint="eastAsia"/>
          <w:color w:val="auto"/>
          <w:kern w:val="0"/>
          <w:szCs w:val="21"/>
          <w:highlight w:val="none"/>
          <w:u w:val="single"/>
          <w:lang w:val="en-US" w:eastAsia="zh-CN"/>
        </w:rPr>
        <w:t>容逍逍</w:t>
      </w:r>
    </w:p>
    <w:p w14:paraId="0AC528C5">
      <w:pPr>
        <w:keepNext w:val="0"/>
        <w:keepLines w:val="0"/>
        <w:pageBreakBefore w:val="0"/>
        <w:widowControl w:val="0"/>
        <w:kinsoku/>
        <w:wordWrap/>
        <w:overflowPunct/>
        <w:topLinePunct w:val="0"/>
        <w:autoSpaceDE/>
        <w:autoSpaceDN/>
        <w:bidi w:val="0"/>
        <w:adjustRightInd/>
        <w:snapToGrid/>
        <w:spacing w:line="276" w:lineRule="auto"/>
        <w:ind w:firstLine="420" w:firstLineChars="200"/>
        <w:jc w:val="left"/>
        <w:textAlignment w:val="auto"/>
        <w:rPr>
          <w:color w:val="auto"/>
          <w:kern w:val="0"/>
          <w:szCs w:val="21"/>
          <w:highlight w:val="none"/>
          <w:u w:val="single"/>
        </w:rPr>
      </w:pPr>
      <w:r>
        <w:rPr>
          <w:rFonts w:hint="eastAsia"/>
          <w:color w:val="auto"/>
          <w:kern w:val="0"/>
          <w:szCs w:val="21"/>
          <w:highlight w:val="none"/>
        </w:rPr>
        <w:t>项目</w:t>
      </w:r>
      <w:r>
        <w:rPr>
          <w:color w:val="auto"/>
          <w:kern w:val="0"/>
          <w:szCs w:val="21"/>
          <w:highlight w:val="none"/>
        </w:rPr>
        <w:t>联系</w:t>
      </w:r>
      <w:r>
        <w:rPr>
          <w:rFonts w:hint="eastAsia"/>
          <w:color w:val="auto"/>
          <w:kern w:val="0"/>
          <w:szCs w:val="21"/>
          <w:highlight w:val="none"/>
        </w:rPr>
        <w:t>方式</w:t>
      </w:r>
      <w:r>
        <w:rPr>
          <w:color w:val="auto"/>
          <w:kern w:val="0"/>
          <w:szCs w:val="21"/>
          <w:highlight w:val="none"/>
        </w:rPr>
        <w:t>：</w:t>
      </w:r>
      <w:r>
        <w:rPr>
          <w:rFonts w:hint="eastAsia"/>
          <w:color w:val="auto"/>
          <w:kern w:val="0"/>
          <w:szCs w:val="21"/>
          <w:highlight w:val="none"/>
          <w:u w:val="single"/>
        </w:rPr>
        <w:t>0778-2119409</w:t>
      </w:r>
    </w:p>
    <w:p w14:paraId="35EF9919">
      <w:pPr>
        <w:keepNext w:val="0"/>
        <w:keepLines w:val="0"/>
        <w:pageBreakBefore w:val="0"/>
        <w:widowControl w:val="0"/>
        <w:kinsoku/>
        <w:wordWrap/>
        <w:overflowPunct/>
        <w:topLinePunct w:val="0"/>
        <w:autoSpaceDE/>
        <w:autoSpaceDN/>
        <w:bidi w:val="0"/>
        <w:adjustRightInd/>
        <w:snapToGrid/>
        <w:spacing w:line="276" w:lineRule="auto"/>
        <w:ind w:firstLine="420" w:firstLineChars="200"/>
        <w:jc w:val="left"/>
        <w:textAlignment w:val="auto"/>
        <w:rPr>
          <w:color w:val="auto"/>
          <w:kern w:val="0"/>
          <w:szCs w:val="21"/>
          <w:highlight w:val="none"/>
        </w:rPr>
      </w:pPr>
      <w:r>
        <w:rPr>
          <w:rFonts w:hint="eastAsia"/>
          <w:color w:val="auto"/>
          <w:kern w:val="0"/>
          <w:szCs w:val="21"/>
          <w:highlight w:val="none"/>
        </w:rPr>
        <w:t>2.采购代理机构信息</w:t>
      </w:r>
    </w:p>
    <w:p w14:paraId="7C7717CF">
      <w:pPr>
        <w:keepNext w:val="0"/>
        <w:keepLines w:val="0"/>
        <w:pageBreakBefore w:val="0"/>
        <w:widowControl w:val="0"/>
        <w:kinsoku/>
        <w:wordWrap/>
        <w:overflowPunct/>
        <w:topLinePunct w:val="0"/>
        <w:autoSpaceDE/>
        <w:autoSpaceDN/>
        <w:bidi w:val="0"/>
        <w:adjustRightInd/>
        <w:snapToGrid/>
        <w:spacing w:line="276" w:lineRule="auto"/>
        <w:ind w:firstLine="420" w:firstLineChars="200"/>
        <w:jc w:val="left"/>
        <w:textAlignment w:val="auto"/>
        <w:rPr>
          <w:color w:val="auto"/>
          <w:kern w:val="0"/>
          <w:szCs w:val="21"/>
          <w:highlight w:val="none"/>
          <w:u w:val="single"/>
        </w:rPr>
      </w:pPr>
      <w:r>
        <w:rPr>
          <w:rFonts w:hint="eastAsia"/>
          <w:color w:val="auto"/>
          <w:kern w:val="0"/>
          <w:szCs w:val="21"/>
          <w:highlight w:val="none"/>
        </w:rPr>
        <w:t>名称</w:t>
      </w:r>
      <w:r>
        <w:rPr>
          <w:color w:val="auto"/>
          <w:kern w:val="0"/>
          <w:szCs w:val="21"/>
          <w:highlight w:val="none"/>
        </w:rPr>
        <w:t>：</w:t>
      </w:r>
      <w:r>
        <w:rPr>
          <w:color w:val="auto"/>
          <w:kern w:val="0"/>
          <w:szCs w:val="21"/>
          <w:highlight w:val="none"/>
          <w:u w:val="single"/>
        </w:rPr>
        <w:t>广西机电设备招标有限公司</w:t>
      </w:r>
    </w:p>
    <w:p w14:paraId="49C35E75">
      <w:pPr>
        <w:keepNext w:val="0"/>
        <w:keepLines w:val="0"/>
        <w:pageBreakBefore w:val="0"/>
        <w:widowControl w:val="0"/>
        <w:kinsoku/>
        <w:wordWrap/>
        <w:overflowPunct/>
        <w:topLinePunct w:val="0"/>
        <w:autoSpaceDE/>
        <w:autoSpaceDN/>
        <w:bidi w:val="0"/>
        <w:adjustRightInd/>
        <w:snapToGrid/>
        <w:spacing w:line="276" w:lineRule="auto"/>
        <w:ind w:firstLine="420" w:firstLineChars="200"/>
        <w:jc w:val="left"/>
        <w:textAlignment w:val="auto"/>
        <w:rPr>
          <w:color w:val="auto"/>
          <w:kern w:val="0"/>
          <w:szCs w:val="21"/>
          <w:highlight w:val="none"/>
          <w:u w:val="single"/>
        </w:rPr>
      </w:pPr>
      <w:r>
        <w:rPr>
          <w:color w:val="auto"/>
          <w:kern w:val="0"/>
          <w:szCs w:val="21"/>
          <w:highlight w:val="none"/>
        </w:rPr>
        <w:t>地址：</w:t>
      </w:r>
      <w:bookmarkStart w:id="15" w:name="_Hlk43198245"/>
      <w:r>
        <w:rPr>
          <w:color w:val="auto"/>
          <w:highlight w:val="none"/>
          <w:u w:val="single"/>
        </w:rPr>
        <w:t>广西南宁市金湖路63号金源CBD现代城B座7层701</w:t>
      </w:r>
      <w:bookmarkEnd w:id="15"/>
    </w:p>
    <w:p w14:paraId="33F178AC">
      <w:pPr>
        <w:keepNext w:val="0"/>
        <w:keepLines w:val="0"/>
        <w:pageBreakBefore w:val="0"/>
        <w:widowControl w:val="0"/>
        <w:kinsoku/>
        <w:wordWrap/>
        <w:overflowPunct/>
        <w:topLinePunct w:val="0"/>
        <w:autoSpaceDE/>
        <w:autoSpaceDN/>
        <w:bidi w:val="0"/>
        <w:adjustRightInd/>
        <w:snapToGrid/>
        <w:spacing w:line="276" w:lineRule="auto"/>
        <w:ind w:firstLine="420" w:firstLineChars="200"/>
        <w:jc w:val="left"/>
        <w:textAlignment w:val="auto"/>
        <w:rPr>
          <w:color w:val="auto"/>
          <w:kern w:val="0"/>
          <w:szCs w:val="21"/>
          <w:highlight w:val="none"/>
          <w:u w:val="single"/>
        </w:rPr>
      </w:pPr>
      <w:r>
        <w:rPr>
          <w:color w:val="auto"/>
          <w:kern w:val="0"/>
          <w:szCs w:val="21"/>
          <w:highlight w:val="none"/>
        </w:rPr>
        <w:t>项目联系人：</w:t>
      </w:r>
      <w:r>
        <w:rPr>
          <w:rFonts w:hint="eastAsia"/>
          <w:color w:val="auto"/>
          <w:kern w:val="0"/>
          <w:szCs w:val="21"/>
          <w:highlight w:val="none"/>
          <w:u w:val="single"/>
        </w:rPr>
        <w:t>柳佳惠、李柯睿</w:t>
      </w:r>
    </w:p>
    <w:p w14:paraId="4C05432D">
      <w:pPr>
        <w:spacing w:line="312" w:lineRule="auto"/>
        <w:ind w:firstLine="420" w:firstLineChars="200"/>
        <w:jc w:val="left"/>
        <w:rPr>
          <w:rFonts w:hint="eastAsia"/>
          <w:color w:val="auto"/>
          <w:kern w:val="0"/>
          <w:szCs w:val="21"/>
          <w:highlight w:val="none"/>
          <w:u w:val="single"/>
        </w:rPr>
      </w:pPr>
      <w:r>
        <w:rPr>
          <w:rFonts w:hint="eastAsia"/>
          <w:color w:val="auto"/>
          <w:kern w:val="0"/>
          <w:szCs w:val="21"/>
          <w:highlight w:val="none"/>
        </w:rPr>
        <w:t>项目联系方式</w:t>
      </w:r>
      <w:r>
        <w:rPr>
          <w:color w:val="auto"/>
          <w:kern w:val="0"/>
          <w:szCs w:val="21"/>
          <w:highlight w:val="none"/>
        </w:rPr>
        <w:t>：</w:t>
      </w:r>
      <w:r>
        <w:rPr>
          <w:color w:val="auto"/>
          <w:kern w:val="0"/>
          <w:szCs w:val="21"/>
          <w:highlight w:val="none"/>
          <w:u w:val="single"/>
        </w:rPr>
        <w:t>077</w:t>
      </w:r>
      <w:r>
        <w:rPr>
          <w:rFonts w:hint="eastAsia"/>
          <w:color w:val="auto"/>
          <w:kern w:val="0"/>
          <w:szCs w:val="21"/>
          <w:highlight w:val="none"/>
          <w:u w:val="single"/>
        </w:rPr>
        <w:t>8-7984379</w:t>
      </w:r>
    </w:p>
    <w:p w14:paraId="5FBC2F2D">
      <w:pPr>
        <w:spacing w:line="312" w:lineRule="auto"/>
        <w:ind w:firstLine="420" w:firstLineChars="200"/>
        <w:jc w:val="right"/>
        <w:rPr>
          <w:kern w:val="0"/>
          <w:szCs w:val="21"/>
        </w:rPr>
      </w:pPr>
      <w:r>
        <w:rPr>
          <w:kern w:val="0"/>
          <w:szCs w:val="21"/>
        </w:rPr>
        <w:t>广西机电设备招标有限公司</w:t>
      </w:r>
    </w:p>
    <w:p w14:paraId="41B324A2">
      <w:pPr>
        <w:spacing w:line="312" w:lineRule="auto"/>
        <w:ind w:firstLine="420" w:firstLineChars="200"/>
        <w:jc w:val="right"/>
        <w:rPr>
          <w:color w:val="4472C4"/>
          <w:kern w:val="0"/>
          <w:sz w:val="18"/>
          <w:szCs w:val="18"/>
        </w:rPr>
      </w:pPr>
      <w:r>
        <w:rPr>
          <w:color w:val="auto"/>
          <w:kern w:val="0"/>
          <w:szCs w:val="21"/>
        </w:rPr>
        <w:t>2</w:t>
      </w:r>
      <w:r>
        <w:rPr>
          <w:rFonts w:hint="eastAsia"/>
          <w:color w:val="auto"/>
          <w:kern w:val="0"/>
          <w:szCs w:val="21"/>
          <w:lang w:val="en-US" w:eastAsia="zh-CN"/>
        </w:rPr>
        <w:t>026</w:t>
      </w:r>
      <w:r>
        <w:rPr>
          <w:color w:val="auto"/>
          <w:kern w:val="0"/>
          <w:szCs w:val="21"/>
        </w:rPr>
        <w:t>年</w:t>
      </w:r>
      <w:r>
        <w:rPr>
          <w:rFonts w:hint="eastAsia"/>
          <w:color w:val="auto"/>
          <w:kern w:val="0"/>
          <w:szCs w:val="21"/>
          <w:lang w:val="en-US" w:eastAsia="zh-CN"/>
        </w:rPr>
        <w:t>9</w:t>
      </w:r>
      <w:r>
        <w:rPr>
          <w:color w:val="auto"/>
          <w:kern w:val="0"/>
          <w:szCs w:val="21"/>
        </w:rPr>
        <w:t>月</w:t>
      </w:r>
      <w:r>
        <w:rPr>
          <w:rFonts w:hint="eastAsia"/>
          <w:color w:val="auto"/>
          <w:kern w:val="0"/>
          <w:szCs w:val="21"/>
          <w:lang w:val="en-US" w:eastAsia="zh-CN"/>
        </w:rPr>
        <w:t>3</w:t>
      </w:r>
      <w:r>
        <w:rPr>
          <w:color w:val="auto"/>
          <w:kern w:val="0"/>
          <w:szCs w:val="21"/>
        </w:rPr>
        <w:t>日</w:t>
      </w:r>
    </w:p>
    <w:p w14:paraId="0B14EDD0">
      <w:pPr>
        <w:pStyle w:val="26"/>
        <w:snapToGrid w:val="0"/>
        <w:spacing w:before="120" w:after="120" w:line="320" w:lineRule="exact"/>
        <w:outlineLvl w:val="0"/>
        <w:rPr>
          <w:rFonts w:hint="eastAsia" w:ascii="Times New Roman" w:hAnsi="Times New Roman" w:cs="Times New Roman"/>
        </w:rPr>
        <w:sectPr>
          <w:headerReference r:id="rId8" w:type="default"/>
          <w:pgSz w:w="11906" w:h="16838"/>
          <w:pgMar w:top="1135" w:right="1133" w:bottom="1246" w:left="1418" w:header="851" w:footer="903" w:gutter="0"/>
          <w:pgNumType w:start="1"/>
          <w:cols w:space="720" w:num="1"/>
          <w:docGrid w:linePitch="312" w:charSpace="0"/>
        </w:sectPr>
      </w:pPr>
    </w:p>
    <w:p w14:paraId="7394C207">
      <w:pPr>
        <w:pStyle w:val="26"/>
        <w:snapToGrid w:val="0"/>
        <w:spacing w:before="120" w:after="120" w:line="320" w:lineRule="exact"/>
        <w:jc w:val="center"/>
        <w:outlineLvl w:val="0"/>
        <w:rPr>
          <w:rFonts w:ascii="Times New Roman" w:hAnsi="Times New Roman" w:cs="Times New Roman"/>
          <w:sz w:val="32"/>
          <w:szCs w:val="32"/>
        </w:rPr>
      </w:pPr>
      <w:bookmarkStart w:id="16" w:name="_Toc489863685"/>
      <w:r>
        <w:rPr>
          <w:rFonts w:ascii="Times New Roman" w:hAnsi="Times New Roman" w:cs="Times New Roman"/>
          <w:sz w:val="32"/>
          <w:szCs w:val="32"/>
        </w:rPr>
        <w:t>第二章  采购需求</w:t>
      </w:r>
      <w:bookmarkEnd w:id="16"/>
    </w:p>
    <w:p w14:paraId="3DF6682C">
      <w:pPr>
        <w:spacing w:before="120"/>
        <w:rPr>
          <w:rFonts w:ascii="宋体" w:hAnsi="宋体" w:cs="宋体"/>
          <w:b/>
          <w:bCs/>
          <w:sz w:val="28"/>
          <w:szCs w:val="28"/>
        </w:rPr>
      </w:pPr>
      <w:bookmarkStart w:id="17" w:name="_Toc254970490"/>
      <w:bookmarkStart w:id="18" w:name="_Toc254970631"/>
    </w:p>
    <w:p w14:paraId="5AE591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Arial"/>
          <w:b/>
          <w:kern w:val="0"/>
          <w:sz w:val="28"/>
          <w:szCs w:val="28"/>
        </w:rPr>
      </w:pPr>
      <w:r>
        <w:rPr>
          <w:rFonts w:ascii="黑体" w:hAnsi="黑体" w:eastAsia="黑体" w:cs="Arial"/>
          <w:b/>
          <w:kern w:val="0"/>
          <w:sz w:val="28"/>
          <w:szCs w:val="28"/>
        </w:rPr>
        <w:t>一、</w:t>
      </w:r>
      <w:r>
        <w:rPr>
          <w:rFonts w:hint="eastAsia" w:ascii="黑体" w:hAnsi="黑体" w:eastAsia="黑体" w:cs="Arial"/>
          <w:b/>
          <w:kern w:val="0"/>
          <w:sz w:val="28"/>
          <w:szCs w:val="28"/>
        </w:rPr>
        <w:t>总体</w:t>
      </w:r>
      <w:r>
        <w:rPr>
          <w:rFonts w:ascii="黑体" w:hAnsi="黑体" w:eastAsia="黑体" w:cs="Arial"/>
          <w:b/>
          <w:kern w:val="0"/>
          <w:sz w:val="28"/>
          <w:szCs w:val="28"/>
        </w:rPr>
        <w:t>要求</w:t>
      </w:r>
    </w:p>
    <w:p w14:paraId="2844A3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szCs w:val="21"/>
        </w:rPr>
      </w:pPr>
      <w:r>
        <w:rPr>
          <w:color w:val="auto"/>
          <w:szCs w:val="21"/>
        </w:rPr>
        <w:t>1</w:t>
      </w:r>
      <w:r>
        <w:rPr>
          <w:rFonts w:hint="eastAsia"/>
          <w:color w:val="auto"/>
          <w:szCs w:val="21"/>
        </w:rPr>
        <w:t>.政府采购政策的应用</w:t>
      </w:r>
    </w:p>
    <w:p w14:paraId="776DAE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szCs w:val="21"/>
        </w:rPr>
      </w:pPr>
      <w:r>
        <w:rPr>
          <w:rFonts w:hint="eastAsia"/>
          <w:color w:val="auto"/>
          <w:szCs w:val="21"/>
        </w:rPr>
        <w:t>详见采购文件“评审方法及标准</w:t>
      </w:r>
      <w:r>
        <w:rPr>
          <w:color w:val="auto"/>
          <w:szCs w:val="21"/>
        </w:rPr>
        <w:t>/政府采购政策应用说明”。</w:t>
      </w:r>
    </w:p>
    <w:p w14:paraId="671CC8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szCs w:val="21"/>
        </w:rPr>
      </w:pPr>
      <w:r>
        <w:rPr>
          <w:color w:val="auto"/>
          <w:szCs w:val="21"/>
        </w:rPr>
        <w:t>2</w:t>
      </w:r>
      <w:r>
        <w:rPr>
          <w:rFonts w:hint="eastAsia"/>
          <w:color w:val="auto"/>
          <w:szCs w:val="21"/>
        </w:rPr>
        <w:t>.采购需求要求未尽事宜</w:t>
      </w:r>
      <w:r>
        <w:rPr>
          <w:color w:val="auto"/>
          <w:szCs w:val="21"/>
        </w:rPr>
        <w:t>由</w:t>
      </w:r>
      <w:r>
        <w:rPr>
          <w:rFonts w:hint="eastAsia"/>
          <w:color w:val="auto"/>
          <w:szCs w:val="21"/>
        </w:rPr>
        <w:t>采购人与成交供应商</w:t>
      </w:r>
      <w:r>
        <w:rPr>
          <w:color w:val="auto"/>
          <w:szCs w:val="21"/>
        </w:rPr>
        <w:t>在采购合同中约定。</w:t>
      </w:r>
    </w:p>
    <w:p w14:paraId="1C6D21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3.标注▲的条款或参数系指实质性条款或实质性参数，如响应为负偏离将导致响应文件被判定为无效。标注●的代表重要参数，无标识则表示一般参数，</w:t>
      </w:r>
      <w:r>
        <w:rPr>
          <w:rFonts w:hint="eastAsia"/>
          <w:b/>
          <w:bCs/>
          <w:color w:val="auto"/>
          <w:szCs w:val="21"/>
          <w:highlight w:val="none"/>
        </w:rPr>
        <w:t>重要参数如负偏离</w:t>
      </w:r>
      <w:r>
        <w:rPr>
          <w:rFonts w:hint="eastAsia"/>
          <w:b/>
          <w:bCs/>
          <w:color w:val="auto"/>
          <w:szCs w:val="21"/>
          <w:highlight w:val="none"/>
          <w:lang w:val="en-US" w:eastAsia="zh-CN"/>
        </w:rPr>
        <w:t>项数≥2项或</w:t>
      </w:r>
      <w:r>
        <w:rPr>
          <w:rFonts w:hint="eastAsia"/>
          <w:b/>
          <w:bCs/>
          <w:color w:val="auto"/>
          <w:szCs w:val="21"/>
          <w:highlight w:val="none"/>
        </w:rPr>
        <w:t>一般参数如负偏离</w:t>
      </w:r>
      <w:r>
        <w:rPr>
          <w:rFonts w:hint="eastAsia"/>
          <w:b/>
          <w:bCs/>
          <w:color w:val="auto"/>
          <w:szCs w:val="21"/>
          <w:highlight w:val="none"/>
          <w:lang w:val="en-US" w:eastAsia="zh-CN"/>
        </w:rPr>
        <w:t>项数≥2项</w:t>
      </w:r>
      <w:r>
        <w:rPr>
          <w:rFonts w:hint="eastAsia"/>
          <w:color w:val="auto"/>
          <w:szCs w:val="21"/>
          <w:highlight w:val="none"/>
        </w:rPr>
        <w:t>，</w:t>
      </w:r>
      <w:r>
        <w:rPr>
          <w:rFonts w:hint="eastAsia"/>
          <w:color w:val="auto"/>
          <w:szCs w:val="21"/>
          <w:highlight w:val="none"/>
          <w:lang w:val="en-US" w:eastAsia="zh-CN"/>
        </w:rPr>
        <w:t>将</w:t>
      </w:r>
      <w:r>
        <w:rPr>
          <w:rFonts w:hint="eastAsia"/>
          <w:color w:val="auto"/>
          <w:szCs w:val="21"/>
          <w:highlight w:val="none"/>
        </w:rPr>
        <w:t>导致响应文件被判定为无效。</w:t>
      </w:r>
    </w:p>
    <w:p w14:paraId="665267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注：</w:t>
      </w:r>
      <w:r>
        <w:rPr>
          <w:rFonts w:hint="eastAsia"/>
          <w:color w:val="auto"/>
          <w:szCs w:val="21"/>
          <w:highlight w:val="none"/>
          <w:lang w:val="en-US" w:eastAsia="zh-CN"/>
        </w:rPr>
        <w:t>技术要求中</w:t>
      </w:r>
      <w:r>
        <w:rPr>
          <w:rFonts w:hint="eastAsia"/>
          <w:color w:val="auto"/>
          <w:szCs w:val="21"/>
          <w:highlight w:val="none"/>
        </w:rPr>
        <w:t>标注“▲”及标注 “●”号的参数均要求提供佐证材料（生产厂家的宣传彩页或官网截图或技术白皮书或国家认定的第三方认证（检测）机构出具认证证书（检测报告））</w:t>
      </w:r>
      <w:r>
        <w:rPr>
          <w:rFonts w:hint="eastAsia"/>
          <w:b/>
          <w:bCs/>
          <w:color w:val="auto"/>
          <w:szCs w:val="21"/>
          <w:highlight w:val="none"/>
          <w:lang w:eastAsia="zh-CN"/>
        </w:rPr>
        <w:t>（除特别要求外）</w:t>
      </w:r>
      <w:r>
        <w:rPr>
          <w:rFonts w:hint="eastAsia"/>
          <w:color w:val="auto"/>
          <w:szCs w:val="21"/>
          <w:highlight w:val="none"/>
        </w:rPr>
        <w:t>，标注“▲”的参数及标注“●”的参数未按要求提供佐证材料的则认定为负偏离。</w:t>
      </w:r>
    </w:p>
    <w:p w14:paraId="4B2D456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lang w:val="en-US" w:eastAsia="zh-CN"/>
        </w:rPr>
        <w:t>4.“响应文件商务和技术的偏离表”栏不能直接复制采购文件“商务和技术要求”栏的原文，必须填写所投产品的实际参数（要求）（例如：采购文件技术要求“彩色液晶显示器≥15英寸”，供应商响应时应写“彩色液晶显示器为15英寸”；采购文件商务要求“成交供应商负责送货上门”，供应商响应时应写“我公司负责送货上门”）；未按此要求填写的，则视为负偏离。</w:t>
      </w:r>
    </w:p>
    <w:p w14:paraId="7B1ACF05">
      <w:pPr>
        <w:spacing w:line="360" w:lineRule="auto"/>
        <w:rPr>
          <w:rFonts w:ascii="黑体" w:hAnsi="黑体" w:eastAsia="黑体" w:cs="Arial"/>
          <w:b/>
          <w:color w:val="auto"/>
          <w:kern w:val="0"/>
          <w:sz w:val="28"/>
          <w:szCs w:val="28"/>
        </w:rPr>
      </w:pPr>
      <w:r>
        <w:rPr>
          <w:rFonts w:hint="eastAsia" w:ascii="黑体" w:hAnsi="黑体" w:eastAsia="黑体" w:cs="Arial"/>
          <w:b/>
          <w:color w:val="auto"/>
          <w:kern w:val="0"/>
          <w:sz w:val="28"/>
          <w:szCs w:val="28"/>
        </w:rPr>
        <w:t>二、技术要求</w:t>
      </w:r>
    </w:p>
    <w:p w14:paraId="23A1D9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szCs w:val="21"/>
        </w:rPr>
      </w:pPr>
      <w:r>
        <w:rPr>
          <w:rFonts w:hint="eastAsia"/>
          <w:color w:val="auto"/>
          <w:szCs w:val="21"/>
        </w:rPr>
        <w:t>1.需实现的功能、目标及应用场景</w:t>
      </w:r>
    </w:p>
    <w:p w14:paraId="2ABD07D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szCs w:val="21"/>
        </w:rPr>
      </w:pPr>
      <w:r>
        <w:rPr>
          <w:rFonts w:hint="eastAsia"/>
          <w:color w:val="auto"/>
          <w:szCs w:val="21"/>
        </w:rPr>
        <w:t>满足采购文件要求，验收达到合格标准</w:t>
      </w:r>
    </w:p>
    <w:p w14:paraId="5719D8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szCs w:val="21"/>
        </w:rPr>
        <w:t>2</w:t>
      </w:r>
      <w:r>
        <w:rPr>
          <w:rFonts w:hint="eastAsia"/>
          <w:szCs w:val="21"/>
        </w:rPr>
        <w:t>.</w:t>
      </w:r>
      <w:r>
        <w:rPr>
          <w:rFonts w:hint="eastAsia"/>
          <w:szCs w:val="21"/>
          <w:lang w:val="en-US" w:eastAsia="zh-CN"/>
        </w:rPr>
        <w:t>本项目不</w:t>
      </w:r>
      <w:r>
        <w:rPr>
          <w:rFonts w:hint="eastAsia"/>
          <w:szCs w:val="21"/>
        </w:rPr>
        <w:t>接受进口产品</w:t>
      </w:r>
      <w:r>
        <w:rPr>
          <w:szCs w:val="21"/>
        </w:rPr>
        <w:t>。</w:t>
      </w:r>
    </w:p>
    <w:p w14:paraId="64CFC4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szCs w:val="21"/>
        </w:rPr>
        <w:t>3</w:t>
      </w:r>
      <w:r>
        <w:rPr>
          <w:rFonts w:hint="eastAsia"/>
          <w:szCs w:val="21"/>
        </w:rPr>
        <w:t>.</w:t>
      </w:r>
      <w:r>
        <w:rPr>
          <w:szCs w:val="21"/>
        </w:rPr>
        <w:t>需执行的国家相关标准、行业标准、地方标准或者其他标准、规范</w:t>
      </w:r>
    </w:p>
    <w:p w14:paraId="69B88D0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i w:val="0"/>
          <w:iCs w:val="0"/>
          <w:color w:val="auto"/>
          <w:szCs w:val="21"/>
          <w:u w:val="single"/>
        </w:rPr>
      </w:pPr>
      <w:r>
        <w:rPr>
          <w:rFonts w:hint="eastAsia"/>
          <w:szCs w:val="21"/>
        </w:rPr>
        <w:t>本项目应执行的国家相关标准、行业标准、地方标准或者其他标准、规范为：</w:t>
      </w:r>
      <w:bookmarkStart w:id="19" w:name="_Hlk89182885"/>
      <w:r>
        <w:rPr>
          <w:rFonts w:hint="eastAsia"/>
          <w:i w:val="0"/>
          <w:iCs w:val="0"/>
          <w:color w:val="auto"/>
          <w:szCs w:val="21"/>
          <w:u w:val="single"/>
        </w:rPr>
        <w:t>详见技术指标要求</w:t>
      </w:r>
      <w:bookmarkEnd w:id="19"/>
    </w:p>
    <w:p w14:paraId="3AE681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szCs w:val="21"/>
        </w:rPr>
        <w:t>4</w:t>
      </w:r>
      <w:r>
        <w:rPr>
          <w:rFonts w:hint="eastAsia"/>
          <w:szCs w:val="21"/>
        </w:rPr>
        <w:t>.一般说明</w:t>
      </w:r>
    </w:p>
    <w:p w14:paraId="7FF39D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w:t>
      </w:r>
      <w:r>
        <w:rPr>
          <w:szCs w:val="21"/>
        </w:rPr>
        <w:t>1）本</w:t>
      </w:r>
      <w:r>
        <w:rPr>
          <w:rFonts w:hint="eastAsia"/>
          <w:szCs w:val="21"/>
        </w:rPr>
        <w:t>章</w:t>
      </w:r>
      <w:r>
        <w:rPr>
          <w:szCs w:val="21"/>
        </w:rPr>
        <w:t>中如提及品牌型号，仅起参考作用。供应商可选用其他品牌型号替代，但这些替代的品牌型号要实质上参照或相当于或优于参考品牌型号及其技术参数性能（配置）要求。</w:t>
      </w:r>
    </w:p>
    <w:p w14:paraId="1680FB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w:t>
      </w:r>
      <w:r>
        <w:rPr>
          <w:szCs w:val="21"/>
        </w:rPr>
        <w:t>2）</w:t>
      </w:r>
      <w:bookmarkStart w:id="20" w:name="_Hlk132788003"/>
      <w:r>
        <w:rPr>
          <w:szCs w:val="21"/>
        </w:rPr>
        <w:t>如要求提供检测报告</w:t>
      </w:r>
      <w:r>
        <w:rPr>
          <w:rFonts w:hint="eastAsia"/>
          <w:szCs w:val="21"/>
        </w:rPr>
        <w:t>或其他证明材料</w:t>
      </w:r>
      <w:r>
        <w:rPr>
          <w:szCs w:val="21"/>
        </w:rPr>
        <w:t>的，检测报告或</w:t>
      </w:r>
      <w:r>
        <w:rPr>
          <w:rFonts w:hint="eastAsia"/>
          <w:szCs w:val="21"/>
        </w:rPr>
        <w:t>其他证明材料</w:t>
      </w:r>
      <w:r>
        <w:rPr>
          <w:szCs w:val="21"/>
        </w:rPr>
        <w:t>内容中若涉及外文说明，必须同时提供对应中文翻译说明，评审依据以中文翻译内容为准，外文说明仅供参考；产品</w:t>
      </w:r>
      <w:r>
        <w:rPr>
          <w:rFonts w:hint="eastAsia"/>
          <w:szCs w:val="21"/>
        </w:rPr>
        <w:t>证明材料</w:t>
      </w:r>
      <w:r>
        <w:rPr>
          <w:szCs w:val="21"/>
        </w:rPr>
        <w:t>应为报告正面、背面和附件标注的全部具体内容；产品</w:t>
      </w:r>
      <w:r>
        <w:rPr>
          <w:rFonts w:hint="eastAsia"/>
          <w:szCs w:val="21"/>
        </w:rPr>
        <w:t>证明材料</w:t>
      </w:r>
      <w:r>
        <w:rPr>
          <w:szCs w:val="21"/>
        </w:rPr>
        <w:t>的</w:t>
      </w:r>
      <w:r>
        <w:rPr>
          <w:rFonts w:hint="eastAsia"/>
          <w:szCs w:val="21"/>
        </w:rPr>
        <w:t>内容</w:t>
      </w:r>
      <w:r>
        <w:rPr>
          <w:szCs w:val="21"/>
        </w:rPr>
        <w:t>应该能够被阅读、识别和判断</w:t>
      </w:r>
      <w:bookmarkEnd w:id="20"/>
      <w:r>
        <w:rPr>
          <w:szCs w:val="21"/>
        </w:rPr>
        <w:t>。</w:t>
      </w:r>
      <w:r>
        <w:rPr>
          <w:rFonts w:hint="eastAsia"/>
          <w:szCs w:val="21"/>
        </w:rPr>
        <w:t xml:space="preserve"> </w:t>
      </w:r>
    </w:p>
    <w:p w14:paraId="6E9083B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highlight w:val="none"/>
        </w:rPr>
      </w:pPr>
      <w:r>
        <w:rPr>
          <w:szCs w:val="21"/>
          <w:highlight w:val="none"/>
        </w:rPr>
        <w:t>5</w:t>
      </w:r>
      <w:r>
        <w:rPr>
          <w:rFonts w:hint="eastAsia"/>
          <w:szCs w:val="21"/>
          <w:highlight w:val="none"/>
        </w:rPr>
        <w:t>.核心产品</w:t>
      </w:r>
    </w:p>
    <w:p w14:paraId="7C6BC0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highlight w:val="none"/>
          <w:u w:val="single"/>
        </w:rPr>
      </w:pPr>
      <w:r>
        <w:rPr>
          <w:rFonts w:hint="eastAsia"/>
          <w:szCs w:val="21"/>
          <w:highlight w:val="none"/>
        </w:rPr>
        <w:t>本项目为货物采购项目，核心产品为：</w:t>
      </w:r>
      <w:r>
        <w:rPr>
          <w:rFonts w:hint="eastAsia"/>
          <w:b/>
          <w:bCs/>
          <w:szCs w:val="21"/>
          <w:highlight w:val="none"/>
        </w:rPr>
        <w:t>血液透析滤过机</w:t>
      </w:r>
    </w:p>
    <w:p w14:paraId="607795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6.节能产品</w:t>
      </w:r>
    </w:p>
    <w:p w14:paraId="622E3B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olor w:val="auto"/>
          <w:u w:val="single"/>
          <w:lang w:val="en-US" w:eastAsia="zh-CN"/>
        </w:rPr>
      </w:pPr>
      <w:r>
        <w:rPr>
          <w:rFonts w:hint="eastAsia"/>
          <w:szCs w:val="21"/>
        </w:rPr>
        <w:t>本项目强制采购节能产品为：</w:t>
      </w:r>
      <w:r>
        <w:rPr>
          <w:rFonts w:hint="eastAsia"/>
          <w:color w:val="auto"/>
          <w:szCs w:val="21"/>
          <w:u w:val="single"/>
          <w:lang w:val="en-US" w:eastAsia="zh-CN"/>
        </w:rPr>
        <w:t>/</w:t>
      </w:r>
    </w:p>
    <w:p w14:paraId="5CCEF6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u w:val="none"/>
          <w:lang w:val="en-US" w:eastAsia="zh-CN"/>
        </w:rPr>
      </w:pPr>
      <w:r>
        <w:rPr>
          <w:rFonts w:hint="eastAsia"/>
          <w:color w:val="auto"/>
          <w:kern w:val="2"/>
          <w:sz w:val="21"/>
          <w:szCs w:val="24"/>
          <w:lang w:val="en-US" w:eastAsia="zh-CN" w:bidi="ar-SA"/>
        </w:rPr>
        <w:t>7.</w:t>
      </w:r>
      <w:r>
        <w:rPr>
          <w:rFonts w:hint="eastAsia"/>
          <w:color w:val="auto"/>
          <w:u w:val="none"/>
          <w:lang w:val="en-US" w:eastAsia="zh-CN"/>
        </w:rPr>
        <w:t>网络安全专用产品</w:t>
      </w:r>
    </w:p>
    <w:p w14:paraId="377D85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szCs w:val="21"/>
        </w:rPr>
      </w:pPr>
      <w:r>
        <w:rPr>
          <w:rFonts w:hint="eastAsia"/>
          <w:color w:val="auto"/>
          <w:szCs w:val="21"/>
        </w:rPr>
        <w:t>本项目</w:t>
      </w:r>
      <w:r>
        <w:rPr>
          <w:rFonts w:hint="eastAsia"/>
          <w:color w:val="auto"/>
          <w:szCs w:val="21"/>
          <w:lang w:val="en-US" w:eastAsia="zh-CN"/>
        </w:rPr>
        <w:t>网络安全专用产品</w:t>
      </w:r>
      <w:r>
        <w:rPr>
          <w:rFonts w:hint="eastAsia"/>
          <w:color w:val="auto"/>
          <w:szCs w:val="21"/>
        </w:rPr>
        <w:t>为：</w:t>
      </w:r>
      <w:r>
        <w:rPr>
          <w:rFonts w:hint="eastAsia"/>
          <w:color w:val="auto"/>
          <w:szCs w:val="21"/>
          <w:u w:val="single"/>
          <w:lang w:val="en-US" w:eastAsia="zh-CN"/>
        </w:rPr>
        <w:t>/</w:t>
      </w:r>
      <w:r>
        <w:rPr>
          <w:rFonts w:hint="eastAsia"/>
        </w:rPr>
        <w:t xml:space="preserve">   </w:t>
      </w:r>
    </w:p>
    <w:p w14:paraId="5D4B13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Cs w:val="21"/>
          <w:lang w:eastAsia="zh-CN"/>
        </w:rPr>
      </w:pPr>
      <w:r>
        <w:rPr>
          <w:rFonts w:hint="eastAsia"/>
          <w:szCs w:val="21"/>
          <w:lang w:val="en-US" w:eastAsia="zh-CN"/>
        </w:rPr>
        <w:t>8.</w:t>
      </w:r>
      <w:r>
        <w:rPr>
          <w:rFonts w:hint="eastAsia"/>
          <w:szCs w:val="21"/>
        </w:rPr>
        <w:t>标的名称、数量、需满足的质量、技术规格、物理特性、性能、材料、结构、外观、安全，或者服务内容和标准一览表</w:t>
      </w:r>
      <w:r>
        <w:rPr>
          <w:rFonts w:hint="eastAsia"/>
          <w:szCs w:val="21"/>
          <w:lang w:eastAsia="zh-CN"/>
        </w:rPr>
        <w:t>。</w:t>
      </w:r>
    </w:p>
    <w:tbl>
      <w:tblPr>
        <w:tblStyle w:val="51"/>
        <w:tblW w:w="9862" w:type="dxa"/>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6"/>
        <w:gridCol w:w="1085"/>
        <w:gridCol w:w="430"/>
        <w:gridCol w:w="654"/>
        <w:gridCol w:w="393"/>
        <w:gridCol w:w="5893"/>
        <w:gridCol w:w="1011"/>
      </w:tblGrid>
      <w:tr w14:paraId="46581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396" w:type="dxa"/>
            <w:shd w:val="clear" w:color="auto" w:fill="auto"/>
            <w:noWrap w:val="0"/>
            <w:vAlign w:val="center"/>
          </w:tcPr>
          <w:p w14:paraId="6A94721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序号</w:t>
            </w:r>
          </w:p>
        </w:tc>
        <w:tc>
          <w:tcPr>
            <w:tcW w:w="1085" w:type="dxa"/>
            <w:shd w:val="clear" w:color="auto" w:fill="auto"/>
            <w:noWrap w:val="0"/>
            <w:vAlign w:val="center"/>
          </w:tcPr>
          <w:p w14:paraId="0461FE3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货物名称</w:t>
            </w:r>
          </w:p>
        </w:tc>
        <w:tc>
          <w:tcPr>
            <w:tcW w:w="430" w:type="dxa"/>
            <w:shd w:val="clear" w:color="auto" w:fill="auto"/>
            <w:noWrap w:val="0"/>
            <w:vAlign w:val="center"/>
          </w:tcPr>
          <w:p w14:paraId="10C3A42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数量</w:t>
            </w:r>
          </w:p>
        </w:tc>
        <w:tc>
          <w:tcPr>
            <w:tcW w:w="654" w:type="dxa"/>
            <w:tcBorders>
              <w:right w:val="single" w:color="auto" w:sz="4" w:space="0"/>
            </w:tcBorders>
            <w:shd w:val="clear" w:color="auto" w:fill="auto"/>
            <w:noWrap w:val="0"/>
            <w:vAlign w:val="center"/>
          </w:tcPr>
          <w:p w14:paraId="5006A07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所属行业</w:t>
            </w:r>
          </w:p>
        </w:tc>
        <w:tc>
          <w:tcPr>
            <w:tcW w:w="6286" w:type="dxa"/>
            <w:gridSpan w:val="2"/>
            <w:tcBorders>
              <w:left w:val="single" w:color="auto" w:sz="4" w:space="0"/>
              <w:right w:val="single" w:color="auto" w:sz="4" w:space="0"/>
            </w:tcBorders>
            <w:shd w:val="clear" w:color="auto" w:fill="auto"/>
            <w:noWrap w:val="0"/>
            <w:vAlign w:val="center"/>
          </w:tcPr>
          <w:p w14:paraId="06AE2B1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技术指标要求</w:t>
            </w:r>
          </w:p>
        </w:tc>
        <w:tc>
          <w:tcPr>
            <w:tcW w:w="1011" w:type="dxa"/>
            <w:tcBorders>
              <w:left w:val="single" w:color="auto" w:sz="4" w:space="0"/>
              <w:right w:val="single" w:color="auto" w:sz="4" w:space="0"/>
            </w:tcBorders>
            <w:shd w:val="clear" w:color="auto" w:fill="auto"/>
            <w:noWrap w:val="0"/>
            <w:vAlign w:val="center"/>
          </w:tcPr>
          <w:p w14:paraId="5E020D4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hAnsi="Arial" w:eastAsia="Arial" w:cs="Arial"/>
                <w:snapToGrid w:val="0"/>
                <w:color w:val="auto"/>
                <w:spacing w:val="5"/>
                <w:kern w:val="0"/>
                <w:szCs w:val="21"/>
                <w:highlight w:val="none"/>
                <w:lang w:eastAsia="en-US"/>
              </w:rPr>
            </w:pPr>
            <w:r>
              <w:rPr>
                <w:rFonts w:ascii="Arial" w:hAnsi="Arial" w:eastAsia="Arial" w:cs="Arial"/>
                <w:snapToGrid w:val="0"/>
                <w:color w:val="auto"/>
                <w:spacing w:val="5"/>
                <w:kern w:val="0"/>
                <w:szCs w:val="21"/>
                <w:highlight w:val="none"/>
                <w:lang w:eastAsia="en-US"/>
              </w:rPr>
              <w:t>单台最高限价</w:t>
            </w:r>
          </w:p>
          <w:p w14:paraId="7D2B94F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auto"/>
                <w:szCs w:val="21"/>
                <w:highlight w:val="none"/>
                <w:lang w:val="en-US" w:eastAsia="zh-CN"/>
              </w:rPr>
            </w:pPr>
            <w:r>
              <w:rPr>
                <w:rFonts w:ascii="Arial" w:hAnsi="Arial" w:eastAsia="Arial" w:cs="Arial"/>
                <w:snapToGrid w:val="0"/>
                <w:color w:val="auto"/>
                <w:spacing w:val="5"/>
                <w:kern w:val="0"/>
                <w:szCs w:val="21"/>
                <w:highlight w:val="none"/>
                <w:lang w:eastAsia="en-US"/>
              </w:rPr>
              <w:t>（万元）</w:t>
            </w:r>
          </w:p>
        </w:tc>
      </w:tr>
      <w:tr w14:paraId="45CF7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396" w:type="dxa"/>
            <w:noWrap w:val="0"/>
            <w:vAlign w:val="center"/>
          </w:tcPr>
          <w:p w14:paraId="543D86E7">
            <w:pPr>
              <w:spacing w:line="360" w:lineRule="auto"/>
              <w:jc w:val="center"/>
              <w:rPr>
                <w:rFonts w:hint="eastAsia" w:eastAsia="宋体"/>
                <w:color w:val="auto"/>
                <w:szCs w:val="21"/>
                <w:highlight w:val="none"/>
                <w:lang w:val="en-US" w:eastAsia="zh-CN"/>
              </w:rPr>
            </w:pPr>
            <w:r>
              <w:rPr>
                <w:rFonts w:hint="eastAsia"/>
                <w:color w:val="auto"/>
                <w:szCs w:val="21"/>
                <w:highlight w:val="none"/>
                <w:lang w:val="en-US" w:eastAsia="zh-CN"/>
              </w:rPr>
              <w:t>1</w:t>
            </w:r>
          </w:p>
        </w:tc>
        <w:tc>
          <w:tcPr>
            <w:tcW w:w="1085" w:type="dxa"/>
            <w:noWrap w:val="0"/>
            <w:vAlign w:val="center"/>
          </w:tcPr>
          <w:p w14:paraId="3D057A8B">
            <w:pPr>
              <w:spacing w:line="360" w:lineRule="auto"/>
              <w:jc w:val="center"/>
              <w:rPr>
                <w:rFonts w:hint="eastAsia"/>
                <w:color w:val="auto"/>
                <w:szCs w:val="21"/>
                <w:highlight w:val="none"/>
              </w:rPr>
            </w:pPr>
            <w:r>
              <w:rPr>
                <w:rFonts w:hint="eastAsia"/>
                <w:color w:val="auto"/>
                <w:szCs w:val="21"/>
                <w:highlight w:val="none"/>
              </w:rPr>
              <w:t>血液透析机</w:t>
            </w:r>
          </w:p>
        </w:tc>
        <w:tc>
          <w:tcPr>
            <w:tcW w:w="430" w:type="dxa"/>
            <w:noWrap w:val="0"/>
            <w:vAlign w:val="center"/>
          </w:tcPr>
          <w:p w14:paraId="0942C818">
            <w:pPr>
              <w:spacing w:line="360" w:lineRule="auto"/>
              <w:jc w:val="center"/>
              <w:rPr>
                <w:color w:val="auto"/>
                <w:szCs w:val="21"/>
                <w:highlight w:val="none"/>
              </w:rPr>
            </w:pPr>
            <w:r>
              <w:rPr>
                <w:rFonts w:hint="eastAsia"/>
                <w:color w:val="auto"/>
                <w:szCs w:val="21"/>
                <w:highlight w:val="none"/>
                <w:lang w:val="en-US" w:eastAsia="zh-CN"/>
              </w:rPr>
              <w:t>6台</w:t>
            </w:r>
          </w:p>
        </w:tc>
        <w:tc>
          <w:tcPr>
            <w:tcW w:w="654" w:type="dxa"/>
            <w:tcBorders>
              <w:right w:val="single" w:color="auto" w:sz="4" w:space="0"/>
            </w:tcBorders>
            <w:noWrap w:val="0"/>
            <w:vAlign w:val="center"/>
          </w:tcPr>
          <w:p w14:paraId="5E34DFA0">
            <w:pPr>
              <w:spacing w:line="360" w:lineRule="auto"/>
              <w:rPr>
                <w:rFonts w:hint="eastAsia"/>
                <w:color w:val="auto"/>
                <w:szCs w:val="21"/>
                <w:highlight w:val="none"/>
              </w:rPr>
            </w:pPr>
            <w:r>
              <w:rPr>
                <w:rFonts w:hint="eastAsia"/>
                <w:color w:val="auto"/>
                <w:szCs w:val="21"/>
                <w:highlight w:val="none"/>
              </w:rPr>
              <w:t>工业</w:t>
            </w:r>
          </w:p>
        </w:tc>
        <w:tc>
          <w:tcPr>
            <w:tcW w:w="6286" w:type="dxa"/>
            <w:gridSpan w:val="2"/>
            <w:tcBorders>
              <w:left w:val="single" w:color="auto" w:sz="4" w:space="0"/>
              <w:right w:val="single" w:color="auto" w:sz="4" w:space="0"/>
            </w:tcBorders>
            <w:noWrap w:val="0"/>
            <w:vAlign w:val="center"/>
          </w:tcPr>
          <w:p w14:paraId="109AAFC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1</w:t>
            </w:r>
            <w:r>
              <w:rPr>
                <w:rFonts w:hint="eastAsia"/>
                <w:color w:val="auto"/>
                <w:szCs w:val="21"/>
                <w:highlight w:val="none"/>
                <w:lang w:val="en-US" w:eastAsia="zh-CN"/>
              </w:rPr>
              <w:t xml:space="preserve">. </w:t>
            </w:r>
            <w:r>
              <w:rPr>
                <w:rFonts w:hint="eastAsia" w:eastAsia="宋体"/>
                <w:color w:val="auto"/>
                <w:szCs w:val="21"/>
                <w:highlight w:val="none"/>
                <w:lang w:val="en-US" w:eastAsia="zh-CN"/>
              </w:rPr>
              <w:t>透析液流速范围：300</w:t>
            </w:r>
            <w:r>
              <w:rPr>
                <w:rFonts w:hint="eastAsia"/>
                <w:color w:val="auto"/>
                <w:szCs w:val="21"/>
                <w:highlight w:val="none"/>
                <w:lang w:val="en-US" w:eastAsia="zh-CN"/>
              </w:rPr>
              <w:t>～</w:t>
            </w:r>
            <w:r>
              <w:rPr>
                <w:rFonts w:hint="eastAsia" w:eastAsia="宋体"/>
                <w:color w:val="auto"/>
                <w:szCs w:val="21"/>
                <w:highlight w:val="none"/>
                <w:lang w:val="en-US" w:eastAsia="zh-CN"/>
              </w:rPr>
              <w:t>700mL/min，调节梯度1mL/min；</w:t>
            </w:r>
          </w:p>
          <w:p w14:paraId="3262526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2</w:t>
            </w:r>
            <w:r>
              <w:rPr>
                <w:rFonts w:hint="eastAsia"/>
                <w:color w:val="auto"/>
                <w:szCs w:val="21"/>
                <w:highlight w:val="none"/>
                <w:lang w:val="en-US" w:eastAsia="zh-CN"/>
              </w:rPr>
              <w:t xml:space="preserve">. </w:t>
            </w:r>
            <w:r>
              <w:rPr>
                <w:rFonts w:hint="eastAsia" w:eastAsia="宋体"/>
                <w:color w:val="auto"/>
                <w:szCs w:val="21"/>
                <w:highlight w:val="none"/>
                <w:lang w:val="en-US" w:eastAsia="zh-CN"/>
              </w:rPr>
              <w:t>透析液压力范围：-600~+500mmHg；</w:t>
            </w:r>
          </w:p>
          <w:p w14:paraId="0784DA1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3</w:t>
            </w:r>
            <w:r>
              <w:rPr>
                <w:rFonts w:hint="eastAsia"/>
                <w:color w:val="auto"/>
                <w:szCs w:val="21"/>
                <w:highlight w:val="none"/>
                <w:lang w:val="en-US" w:eastAsia="zh-CN"/>
              </w:rPr>
              <w:t xml:space="preserve">. </w:t>
            </w:r>
            <w:r>
              <w:rPr>
                <w:rFonts w:hint="eastAsia" w:eastAsia="宋体"/>
                <w:color w:val="auto"/>
                <w:szCs w:val="21"/>
                <w:highlight w:val="none"/>
                <w:lang w:val="en-US" w:eastAsia="zh-CN"/>
              </w:rPr>
              <w:t>透析液温度范围：33</w:t>
            </w:r>
            <w:r>
              <w:rPr>
                <w:rFonts w:hint="eastAsia"/>
                <w:color w:val="auto"/>
                <w:szCs w:val="21"/>
                <w:highlight w:val="none"/>
                <w:lang w:val="en-US" w:eastAsia="zh-CN"/>
              </w:rPr>
              <w:t xml:space="preserve">. </w:t>
            </w:r>
            <w:r>
              <w:rPr>
                <w:rFonts w:hint="eastAsia" w:eastAsia="宋体"/>
                <w:color w:val="auto"/>
                <w:szCs w:val="21"/>
                <w:highlight w:val="none"/>
                <w:lang w:val="en-US" w:eastAsia="zh-CN"/>
              </w:rPr>
              <w:t>0~40</w:t>
            </w:r>
            <w:r>
              <w:rPr>
                <w:rFonts w:hint="eastAsia"/>
                <w:color w:val="auto"/>
                <w:szCs w:val="21"/>
                <w:highlight w:val="none"/>
                <w:lang w:val="en-US" w:eastAsia="zh-CN"/>
              </w:rPr>
              <w:t xml:space="preserve">. </w:t>
            </w:r>
            <w:r>
              <w:rPr>
                <w:rFonts w:hint="eastAsia" w:eastAsia="宋体"/>
                <w:color w:val="auto"/>
                <w:szCs w:val="21"/>
                <w:highlight w:val="none"/>
                <w:lang w:val="en-US" w:eastAsia="zh-CN"/>
              </w:rPr>
              <w:t>0℃，温度误差：±1℃，实时监测可调，具有超温保护装置；</w:t>
            </w:r>
          </w:p>
          <w:p w14:paraId="46B3E6CD">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▲4</w:t>
            </w:r>
            <w:r>
              <w:rPr>
                <w:rFonts w:hint="eastAsia"/>
                <w:color w:val="auto"/>
                <w:szCs w:val="21"/>
                <w:highlight w:val="none"/>
                <w:lang w:val="en-US" w:eastAsia="zh-CN"/>
              </w:rPr>
              <w:t xml:space="preserve">. </w:t>
            </w:r>
            <w:r>
              <w:rPr>
                <w:rFonts w:hint="eastAsia" w:eastAsia="宋体"/>
                <w:color w:val="auto"/>
                <w:szCs w:val="21"/>
                <w:highlight w:val="none"/>
                <w:lang w:val="en-US" w:eastAsia="zh-CN"/>
              </w:rPr>
              <w:t>超滤速度范围：</w:t>
            </w:r>
            <w:r>
              <w:rPr>
                <w:rFonts w:hint="eastAsia"/>
                <w:color w:val="auto"/>
                <w:szCs w:val="21"/>
                <w:highlight w:val="none"/>
                <w:lang w:val="en-US" w:eastAsia="zh-CN"/>
              </w:rPr>
              <w:t>0</w:t>
            </w:r>
            <w:r>
              <w:rPr>
                <w:rFonts w:hint="eastAsia" w:eastAsia="宋体"/>
                <w:color w:val="auto"/>
                <w:szCs w:val="21"/>
                <w:highlight w:val="none"/>
                <w:lang w:val="en-US" w:eastAsia="zh-CN"/>
              </w:rPr>
              <w:t>~5</w:t>
            </w:r>
            <w:r>
              <w:rPr>
                <w:rFonts w:hint="eastAsia"/>
                <w:color w:val="auto"/>
                <w:szCs w:val="21"/>
                <w:highlight w:val="none"/>
                <w:lang w:val="en-US" w:eastAsia="zh-CN"/>
              </w:rPr>
              <w:t>0</w:t>
            </w:r>
            <w:r>
              <w:rPr>
                <w:rFonts w:hint="eastAsia" w:eastAsia="宋体"/>
                <w:color w:val="auto"/>
                <w:szCs w:val="21"/>
                <w:highlight w:val="none"/>
                <w:lang w:val="en-US" w:eastAsia="zh-CN"/>
              </w:rPr>
              <w:t>00</w:t>
            </w:r>
            <w:r>
              <w:rPr>
                <w:rFonts w:hint="eastAsia"/>
                <w:color w:val="auto"/>
                <w:szCs w:val="21"/>
                <w:highlight w:val="none"/>
                <w:lang w:val="en-US" w:eastAsia="zh-CN"/>
              </w:rPr>
              <w:t>ml</w:t>
            </w:r>
            <w:r>
              <w:rPr>
                <w:rFonts w:hint="eastAsia" w:eastAsia="宋体"/>
                <w:color w:val="auto"/>
                <w:szCs w:val="21"/>
                <w:highlight w:val="none"/>
                <w:lang w:val="en-US" w:eastAsia="zh-CN"/>
              </w:rPr>
              <w:t>/h；精度：±30ml</w:t>
            </w:r>
          </w:p>
          <w:p w14:paraId="791BDEBF">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●5</w:t>
            </w:r>
            <w:r>
              <w:rPr>
                <w:rFonts w:hint="eastAsia"/>
                <w:color w:val="auto"/>
                <w:szCs w:val="21"/>
                <w:highlight w:val="none"/>
                <w:lang w:val="en-US" w:eastAsia="zh-CN"/>
              </w:rPr>
              <w:t xml:space="preserve">. </w:t>
            </w:r>
            <w:r>
              <w:rPr>
                <w:rFonts w:hint="eastAsia" w:eastAsia="宋体"/>
                <w:color w:val="auto"/>
                <w:szCs w:val="21"/>
                <w:highlight w:val="none"/>
                <w:lang w:val="en-US" w:eastAsia="zh-CN"/>
              </w:rPr>
              <w:t>漏血检测器：光学检测；</w:t>
            </w:r>
          </w:p>
          <w:p w14:paraId="48A721A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6</w:t>
            </w:r>
            <w:r>
              <w:rPr>
                <w:rFonts w:hint="eastAsia"/>
                <w:color w:val="auto"/>
                <w:szCs w:val="21"/>
                <w:highlight w:val="none"/>
                <w:lang w:val="en-US" w:eastAsia="zh-CN"/>
              </w:rPr>
              <w:t xml:space="preserve">. </w:t>
            </w:r>
            <w:r>
              <w:rPr>
                <w:rFonts w:hint="eastAsia" w:eastAsia="宋体"/>
                <w:color w:val="auto"/>
                <w:szCs w:val="21"/>
                <w:highlight w:val="none"/>
                <w:lang w:val="en-US" w:eastAsia="zh-CN"/>
              </w:rPr>
              <w:t>肝素泵泵速设置范围：0</w:t>
            </w:r>
            <w:r>
              <w:rPr>
                <w:rFonts w:hint="eastAsia"/>
                <w:color w:val="auto"/>
                <w:szCs w:val="21"/>
                <w:highlight w:val="none"/>
                <w:lang w:val="en-US" w:eastAsia="zh-CN"/>
              </w:rPr>
              <w:t xml:space="preserve">. </w:t>
            </w:r>
            <w:r>
              <w:rPr>
                <w:rFonts w:hint="eastAsia" w:eastAsia="宋体"/>
                <w:color w:val="auto"/>
                <w:szCs w:val="21"/>
                <w:highlight w:val="none"/>
                <w:lang w:val="en-US" w:eastAsia="zh-CN"/>
              </w:rPr>
              <w:t>0~9</w:t>
            </w:r>
            <w:r>
              <w:rPr>
                <w:rFonts w:hint="eastAsia"/>
                <w:color w:val="auto"/>
                <w:szCs w:val="21"/>
                <w:highlight w:val="none"/>
                <w:lang w:val="en-US" w:eastAsia="zh-CN"/>
              </w:rPr>
              <w:t xml:space="preserve">. </w:t>
            </w:r>
            <w:r>
              <w:rPr>
                <w:rFonts w:hint="eastAsia" w:eastAsia="宋体"/>
                <w:color w:val="auto"/>
                <w:szCs w:val="21"/>
                <w:highlight w:val="none"/>
                <w:lang w:val="en-US" w:eastAsia="zh-CN"/>
              </w:rPr>
              <w:t>9mL/h；肝素泵可设定停止时间，单次注入量；</w:t>
            </w:r>
          </w:p>
          <w:p w14:paraId="443768F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7</w:t>
            </w:r>
            <w:r>
              <w:rPr>
                <w:rFonts w:hint="eastAsia"/>
                <w:color w:val="auto"/>
                <w:szCs w:val="21"/>
                <w:highlight w:val="none"/>
                <w:lang w:val="en-US" w:eastAsia="zh-CN"/>
              </w:rPr>
              <w:t xml:space="preserve">. </w:t>
            </w:r>
            <w:r>
              <w:rPr>
                <w:rFonts w:hint="eastAsia" w:eastAsia="宋体"/>
                <w:color w:val="auto"/>
                <w:szCs w:val="21"/>
                <w:highlight w:val="none"/>
                <w:lang w:val="en-US" w:eastAsia="zh-CN"/>
              </w:rPr>
              <w:t>超声波原理空气监测器，检测精度最高可达0</w:t>
            </w:r>
            <w:r>
              <w:rPr>
                <w:rFonts w:hint="eastAsia"/>
                <w:color w:val="auto"/>
                <w:szCs w:val="21"/>
                <w:highlight w:val="none"/>
                <w:lang w:val="en-US" w:eastAsia="zh-CN"/>
              </w:rPr>
              <w:t xml:space="preserve">. </w:t>
            </w:r>
            <w:r>
              <w:rPr>
                <w:rFonts w:hint="eastAsia" w:eastAsia="宋体"/>
                <w:color w:val="auto"/>
                <w:szCs w:val="21"/>
                <w:highlight w:val="none"/>
                <w:lang w:val="en-US" w:eastAsia="zh-CN"/>
              </w:rPr>
              <w:t>0003mL；</w:t>
            </w:r>
          </w:p>
          <w:p w14:paraId="0D54CAB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8</w:t>
            </w:r>
            <w:r>
              <w:rPr>
                <w:rFonts w:hint="eastAsia"/>
                <w:color w:val="auto"/>
                <w:szCs w:val="21"/>
                <w:highlight w:val="none"/>
                <w:lang w:val="en-US" w:eastAsia="zh-CN"/>
              </w:rPr>
              <w:t xml:space="preserve">. </w:t>
            </w:r>
            <w:r>
              <w:rPr>
                <w:rFonts w:hint="eastAsia" w:eastAsia="宋体"/>
                <w:color w:val="auto"/>
                <w:szCs w:val="21"/>
                <w:highlight w:val="none"/>
                <w:lang w:val="en-US" w:eastAsia="zh-CN"/>
              </w:rPr>
              <w:t>透析器入口压：测量范围：-300~+700mmHg；</w:t>
            </w:r>
          </w:p>
          <w:p w14:paraId="20160FE5">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▲9</w:t>
            </w:r>
            <w:r>
              <w:rPr>
                <w:rFonts w:hint="eastAsia"/>
                <w:color w:val="auto"/>
                <w:szCs w:val="21"/>
                <w:highlight w:val="none"/>
                <w:lang w:val="en-US" w:eastAsia="zh-CN"/>
              </w:rPr>
              <w:t xml:space="preserve">. </w:t>
            </w:r>
            <w:r>
              <w:rPr>
                <w:rFonts w:hint="eastAsia" w:eastAsia="宋体"/>
                <w:color w:val="auto"/>
                <w:szCs w:val="21"/>
                <w:highlight w:val="none"/>
                <w:lang w:val="en-US" w:eastAsia="zh-CN"/>
              </w:rPr>
              <w:t>静脉压力：测量范围：-390~+590mmHg；</w:t>
            </w:r>
          </w:p>
          <w:p w14:paraId="73399A5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10</w:t>
            </w:r>
            <w:r>
              <w:rPr>
                <w:rFonts w:hint="eastAsia"/>
                <w:color w:val="auto"/>
                <w:szCs w:val="21"/>
                <w:highlight w:val="none"/>
                <w:lang w:val="en-US" w:eastAsia="zh-CN"/>
              </w:rPr>
              <w:t xml:space="preserve">. </w:t>
            </w:r>
            <w:r>
              <w:rPr>
                <w:rFonts w:hint="eastAsia" w:eastAsia="宋体"/>
                <w:color w:val="auto"/>
                <w:szCs w:val="21"/>
                <w:highlight w:val="none"/>
                <w:lang w:val="en-US" w:eastAsia="zh-CN"/>
              </w:rPr>
              <w:t>TMP</w:t>
            </w:r>
            <w:r>
              <w:rPr>
                <w:rFonts w:hint="eastAsia"/>
                <w:color w:val="auto"/>
                <w:szCs w:val="21"/>
                <w:highlight w:val="none"/>
                <w:lang w:val="en-US" w:eastAsia="zh-CN"/>
              </w:rPr>
              <w:t>：</w:t>
            </w:r>
            <w:r>
              <w:rPr>
                <w:rFonts w:hint="eastAsia" w:eastAsia="宋体"/>
                <w:color w:val="auto"/>
                <w:szCs w:val="21"/>
                <w:highlight w:val="none"/>
                <w:lang w:val="en-US" w:eastAsia="zh-CN"/>
              </w:rPr>
              <w:t>测量范围：-100~+500mmHg；</w:t>
            </w:r>
          </w:p>
          <w:p w14:paraId="1EA3B75A">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▲11</w:t>
            </w:r>
            <w:r>
              <w:rPr>
                <w:rFonts w:hint="eastAsia"/>
                <w:color w:val="auto"/>
                <w:szCs w:val="21"/>
                <w:highlight w:val="none"/>
                <w:lang w:val="en-US" w:eastAsia="zh-CN"/>
              </w:rPr>
              <w:t xml:space="preserve">. </w:t>
            </w:r>
            <w:r>
              <w:rPr>
                <w:rFonts w:hint="eastAsia" w:eastAsia="宋体"/>
                <w:color w:val="auto"/>
                <w:szCs w:val="21"/>
                <w:highlight w:val="none"/>
                <w:lang w:val="en-US" w:eastAsia="zh-CN"/>
              </w:rPr>
              <w:t>透析液浓度：12</w:t>
            </w:r>
            <w:r>
              <w:rPr>
                <w:rFonts w:hint="eastAsia"/>
                <w:color w:val="auto"/>
                <w:szCs w:val="21"/>
                <w:highlight w:val="none"/>
                <w:lang w:val="en-US" w:eastAsia="zh-CN"/>
              </w:rPr>
              <w:t xml:space="preserve">. </w:t>
            </w:r>
            <w:r>
              <w:rPr>
                <w:rFonts w:hint="eastAsia" w:eastAsia="宋体"/>
                <w:color w:val="auto"/>
                <w:szCs w:val="21"/>
                <w:highlight w:val="none"/>
                <w:lang w:val="en-US" w:eastAsia="zh-CN"/>
              </w:rPr>
              <w:t>5~18mS/cm；</w:t>
            </w:r>
          </w:p>
          <w:p w14:paraId="5566082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12</w:t>
            </w:r>
            <w:r>
              <w:rPr>
                <w:rFonts w:hint="eastAsia"/>
                <w:color w:val="auto"/>
                <w:szCs w:val="21"/>
                <w:highlight w:val="none"/>
                <w:lang w:val="en-US" w:eastAsia="zh-CN"/>
              </w:rPr>
              <w:t xml:space="preserve">. </w:t>
            </w:r>
            <w:r>
              <w:rPr>
                <w:rFonts w:hint="eastAsia" w:eastAsia="宋体"/>
                <w:color w:val="auto"/>
                <w:szCs w:val="21"/>
                <w:highlight w:val="none"/>
                <w:lang w:val="en-US" w:eastAsia="zh-CN"/>
              </w:rPr>
              <w:t>彩色液晶显示器≥15英寸，触摸屏操作，全中文操作系统；</w:t>
            </w:r>
          </w:p>
          <w:p w14:paraId="0E4B63F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13</w:t>
            </w:r>
            <w:r>
              <w:rPr>
                <w:rFonts w:hint="eastAsia"/>
                <w:color w:val="auto"/>
                <w:szCs w:val="21"/>
                <w:highlight w:val="none"/>
                <w:lang w:val="en-US" w:eastAsia="zh-CN"/>
              </w:rPr>
              <w:t xml:space="preserve">. </w:t>
            </w:r>
            <w:r>
              <w:rPr>
                <w:rFonts w:hint="eastAsia" w:eastAsia="宋体"/>
                <w:color w:val="auto"/>
                <w:szCs w:val="21"/>
                <w:highlight w:val="none"/>
                <w:lang w:val="en-US" w:eastAsia="zh-CN"/>
              </w:rPr>
              <w:t>可自动进行管路、透析器以及跨膜预冲，引血模式支持单向引血，可以使用透析液在线回血，可追加回血量；</w:t>
            </w:r>
          </w:p>
          <w:p w14:paraId="2CDA854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14</w:t>
            </w:r>
            <w:r>
              <w:rPr>
                <w:rFonts w:hint="eastAsia"/>
                <w:color w:val="auto"/>
                <w:szCs w:val="21"/>
                <w:highlight w:val="none"/>
                <w:lang w:val="en-US" w:eastAsia="zh-CN"/>
              </w:rPr>
              <w:t xml:space="preserve">. </w:t>
            </w:r>
            <w:r>
              <w:rPr>
                <w:rFonts w:hint="eastAsia" w:eastAsia="宋体"/>
                <w:color w:val="auto"/>
                <w:szCs w:val="21"/>
                <w:highlight w:val="none"/>
                <w:lang w:val="en-US" w:eastAsia="zh-CN"/>
              </w:rPr>
              <w:t>热水柠檬酸消毒温度最高可达93℃，消毒脱钙一体化完成时间</w:t>
            </w:r>
            <w:r>
              <w:rPr>
                <w:rFonts w:hint="eastAsia"/>
                <w:b w:val="0"/>
                <w:bCs w:val="0"/>
                <w:color w:val="auto"/>
                <w:szCs w:val="21"/>
                <w:highlight w:val="none"/>
                <w:lang w:val="en-US" w:eastAsia="zh-CN"/>
              </w:rPr>
              <w:t>不超过</w:t>
            </w:r>
            <w:r>
              <w:rPr>
                <w:rFonts w:hint="eastAsia"/>
                <w:color w:val="auto"/>
                <w:szCs w:val="21"/>
                <w:highlight w:val="none"/>
                <w:lang w:val="en-US" w:eastAsia="zh-CN"/>
              </w:rPr>
              <w:t>30</w:t>
            </w:r>
            <w:r>
              <w:rPr>
                <w:rFonts w:hint="eastAsia" w:eastAsia="宋体"/>
                <w:color w:val="auto"/>
                <w:szCs w:val="21"/>
                <w:highlight w:val="none"/>
                <w:lang w:val="en-US" w:eastAsia="zh-CN"/>
              </w:rPr>
              <w:t>min；</w:t>
            </w:r>
          </w:p>
          <w:p w14:paraId="7F1AE51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15</w:t>
            </w:r>
            <w:r>
              <w:rPr>
                <w:rFonts w:hint="eastAsia"/>
                <w:color w:val="auto"/>
                <w:szCs w:val="21"/>
                <w:highlight w:val="none"/>
                <w:lang w:val="en-US" w:eastAsia="zh-CN"/>
              </w:rPr>
              <w:t xml:space="preserve">. </w:t>
            </w:r>
            <w:r>
              <w:rPr>
                <w:rFonts w:hint="eastAsia" w:eastAsia="宋体"/>
                <w:color w:val="auto"/>
                <w:szCs w:val="21"/>
                <w:highlight w:val="none"/>
                <w:lang w:val="en-US" w:eastAsia="zh-CN"/>
              </w:rPr>
              <w:t>停电时自动跳转后备电池供电，支持体外循环监测；运行时间</w:t>
            </w:r>
            <w:r>
              <w:rPr>
                <w:rFonts w:hint="eastAsia"/>
                <w:color w:val="auto"/>
                <w:szCs w:val="21"/>
                <w:highlight w:val="none"/>
                <w:lang w:val="en-US" w:eastAsia="zh-CN"/>
              </w:rPr>
              <w:t>至少为</w:t>
            </w:r>
            <w:r>
              <w:rPr>
                <w:rFonts w:hint="eastAsia" w:eastAsia="宋体"/>
                <w:color w:val="auto"/>
                <w:szCs w:val="21"/>
                <w:highlight w:val="none"/>
                <w:lang w:val="en-US" w:eastAsia="zh-CN"/>
              </w:rPr>
              <w:t>30分钟，具备断电数据保存功能；</w:t>
            </w:r>
          </w:p>
          <w:p w14:paraId="29CE2497">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●16</w:t>
            </w:r>
            <w:r>
              <w:rPr>
                <w:rFonts w:hint="eastAsia"/>
                <w:color w:val="auto"/>
                <w:szCs w:val="21"/>
                <w:highlight w:val="none"/>
                <w:lang w:val="en-US" w:eastAsia="zh-CN"/>
              </w:rPr>
              <w:t xml:space="preserve">. </w:t>
            </w:r>
            <w:r>
              <w:rPr>
                <w:rFonts w:hint="eastAsia" w:eastAsia="宋体"/>
                <w:color w:val="auto"/>
                <w:szCs w:val="21"/>
                <w:highlight w:val="none"/>
                <w:lang w:val="en-US" w:eastAsia="zh-CN"/>
              </w:rPr>
              <w:t>具备血泵管径自动调整功能，可以适配各品牌血液管路，兼容各种透析液配方，设备内部可同时存储≥3种不同原液配方，可任意更改；</w:t>
            </w:r>
          </w:p>
          <w:p w14:paraId="274179FB">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●17</w:t>
            </w:r>
            <w:r>
              <w:rPr>
                <w:rFonts w:hint="eastAsia"/>
                <w:color w:val="auto"/>
                <w:szCs w:val="21"/>
                <w:highlight w:val="none"/>
                <w:lang w:val="en-US" w:eastAsia="zh-CN"/>
              </w:rPr>
              <w:t xml:space="preserve">. </w:t>
            </w:r>
            <w:r>
              <w:rPr>
                <w:rFonts w:hint="eastAsia" w:eastAsia="宋体"/>
                <w:color w:val="auto"/>
                <w:szCs w:val="21"/>
                <w:highlight w:val="none"/>
                <w:lang w:val="en-US" w:eastAsia="zh-CN"/>
              </w:rPr>
              <w:t>B透析液浓度可个性化调节，可预先存储≥8条碳酸氢盐浓度曲线，每条曲线均可修改并存储；</w:t>
            </w:r>
          </w:p>
          <w:p w14:paraId="06B16F9A">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●18</w:t>
            </w:r>
            <w:r>
              <w:rPr>
                <w:rFonts w:hint="eastAsia"/>
                <w:color w:val="auto"/>
                <w:szCs w:val="21"/>
                <w:highlight w:val="none"/>
                <w:lang w:val="en-US" w:eastAsia="zh-CN"/>
              </w:rPr>
              <w:t xml:space="preserve">. </w:t>
            </w:r>
            <w:r>
              <w:rPr>
                <w:rFonts w:hint="eastAsia" w:eastAsia="宋体"/>
                <w:color w:val="auto"/>
                <w:szCs w:val="21"/>
                <w:highlight w:val="none"/>
                <w:lang w:val="en-US" w:eastAsia="zh-CN"/>
              </w:rPr>
              <w:t>透析液浓度可个性化调节，可预先存储≥8条透析液浓度曲线，每条曲线均可修改并存储；</w:t>
            </w:r>
          </w:p>
          <w:p w14:paraId="5460618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19</w:t>
            </w:r>
            <w:r>
              <w:rPr>
                <w:rFonts w:hint="eastAsia"/>
                <w:color w:val="auto"/>
                <w:szCs w:val="21"/>
                <w:highlight w:val="none"/>
                <w:lang w:val="en-US" w:eastAsia="zh-CN"/>
              </w:rPr>
              <w:t xml:space="preserve">. </w:t>
            </w:r>
            <w:r>
              <w:rPr>
                <w:rFonts w:hint="eastAsia" w:eastAsia="宋体"/>
                <w:color w:val="auto"/>
                <w:szCs w:val="21"/>
                <w:highlight w:val="none"/>
                <w:lang w:val="en-US" w:eastAsia="zh-CN"/>
              </w:rPr>
              <w:t>具有360°可视外部独立四种颜色报警灯，具有声光报警指示；</w:t>
            </w:r>
          </w:p>
          <w:p w14:paraId="010C52F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20</w:t>
            </w:r>
            <w:r>
              <w:rPr>
                <w:rFonts w:hint="eastAsia"/>
                <w:color w:val="auto"/>
                <w:szCs w:val="21"/>
                <w:highlight w:val="none"/>
                <w:lang w:val="en-US" w:eastAsia="zh-CN"/>
              </w:rPr>
              <w:t xml:space="preserve">. </w:t>
            </w:r>
            <w:r>
              <w:rPr>
                <w:rFonts w:hint="eastAsia" w:eastAsia="宋体"/>
                <w:color w:val="auto"/>
                <w:szCs w:val="21"/>
                <w:highlight w:val="none"/>
                <w:lang w:val="en-US" w:eastAsia="zh-CN"/>
              </w:rPr>
              <w:t>设备具备自动补液功能，补液界面可显示单次补液量以及总补液量；</w:t>
            </w:r>
          </w:p>
          <w:p w14:paraId="6B9DFB9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21</w:t>
            </w:r>
            <w:r>
              <w:rPr>
                <w:rFonts w:hint="eastAsia"/>
                <w:color w:val="auto"/>
                <w:szCs w:val="21"/>
                <w:highlight w:val="none"/>
                <w:lang w:val="en-US" w:eastAsia="zh-CN"/>
              </w:rPr>
              <w:t xml:space="preserve">. </w:t>
            </w:r>
            <w:r>
              <w:rPr>
                <w:rFonts w:hint="eastAsia" w:eastAsia="宋体"/>
                <w:color w:val="auto"/>
                <w:szCs w:val="21"/>
                <w:highlight w:val="none"/>
                <w:lang w:val="en-US" w:eastAsia="zh-CN"/>
              </w:rPr>
              <w:t>补液速度：</w:t>
            </w:r>
            <w:r>
              <w:rPr>
                <w:rFonts w:hint="eastAsia"/>
                <w:color w:val="auto"/>
                <w:szCs w:val="21"/>
                <w:highlight w:val="none"/>
                <w:lang w:val="en-US" w:eastAsia="zh-CN"/>
              </w:rPr>
              <w:t>10</w:t>
            </w:r>
            <w:r>
              <w:rPr>
                <w:rFonts w:hint="eastAsia" w:eastAsia="宋体"/>
                <w:color w:val="auto"/>
                <w:szCs w:val="21"/>
                <w:highlight w:val="none"/>
                <w:lang w:val="en-US" w:eastAsia="zh-CN"/>
              </w:rPr>
              <w:t>—</w:t>
            </w:r>
            <w:r>
              <w:rPr>
                <w:rFonts w:hint="eastAsia"/>
                <w:color w:val="auto"/>
                <w:szCs w:val="21"/>
                <w:highlight w:val="none"/>
                <w:lang w:val="en-US" w:eastAsia="zh-CN"/>
              </w:rPr>
              <w:t>65</w:t>
            </w:r>
            <w:r>
              <w:rPr>
                <w:rFonts w:hint="eastAsia" w:eastAsia="宋体"/>
                <w:color w:val="auto"/>
                <w:szCs w:val="21"/>
                <w:highlight w:val="none"/>
                <w:lang w:val="en-US" w:eastAsia="zh-CN"/>
              </w:rPr>
              <w:t>0mL/min；单次补液量：</w:t>
            </w:r>
            <w:r>
              <w:rPr>
                <w:rFonts w:hint="eastAsia"/>
                <w:color w:val="auto"/>
                <w:szCs w:val="21"/>
                <w:highlight w:val="none"/>
                <w:lang w:val="en-US" w:eastAsia="zh-CN"/>
              </w:rPr>
              <w:t>50</w:t>
            </w:r>
            <w:r>
              <w:rPr>
                <w:rFonts w:hint="eastAsia" w:eastAsia="宋体"/>
                <w:color w:val="auto"/>
                <w:szCs w:val="21"/>
                <w:highlight w:val="none"/>
                <w:lang w:val="en-US" w:eastAsia="zh-CN"/>
              </w:rPr>
              <w:t>—</w:t>
            </w:r>
            <w:r>
              <w:rPr>
                <w:rFonts w:hint="eastAsia"/>
                <w:color w:val="auto"/>
                <w:szCs w:val="21"/>
                <w:highlight w:val="none"/>
                <w:lang w:val="en-US" w:eastAsia="zh-CN"/>
              </w:rPr>
              <w:t>25</w:t>
            </w:r>
            <w:r>
              <w:rPr>
                <w:rFonts w:hint="eastAsia" w:eastAsia="宋体"/>
                <w:color w:val="auto"/>
                <w:szCs w:val="21"/>
                <w:highlight w:val="none"/>
                <w:lang w:val="en-US" w:eastAsia="zh-CN"/>
              </w:rPr>
              <w:t>0mL</w:t>
            </w:r>
            <w:r>
              <w:rPr>
                <w:rFonts w:hint="eastAsia"/>
                <w:color w:val="auto"/>
                <w:szCs w:val="21"/>
                <w:highlight w:val="none"/>
                <w:lang w:val="en-US" w:eastAsia="zh-CN"/>
              </w:rPr>
              <w:t>；</w:t>
            </w:r>
          </w:p>
          <w:p w14:paraId="31FDB71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22</w:t>
            </w:r>
            <w:r>
              <w:rPr>
                <w:rFonts w:hint="eastAsia"/>
                <w:color w:val="auto"/>
                <w:szCs w:val="21"/>
                <w:highlight w:val="none"/>
                <w:lang w:val="en-US" w:eastAsia="zh-CN"/>
              </w:rPr>
              <w:t xml:space="preserve">. </w:t>
            </w:r>
            <w:r>
              <w:rPr>
                <w:rFonts w:hint="eastAsia" w:eastAsia="宋体"/>
                <w:color w:val="auto"/>
                <w:szCs w:val="21"/>
                <w:highlight w:val="none"/>
                <w:lang w:val="en-US" w:eastAsia="zh-CN"/>
              </w:rPr>
              <w:t>标配碳酸氢盐干粉自动配制系统，治疗结束后可自动排空干粉桶内液体；</w:t>
            </w:r>
          </w:p>
          <w:p w14:paraId="2F85B3A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23</w:t>
            </w:r>
            <w:r>
              <w:rPr>
                <w:rFonts w:hint="eastAsia"/>
                <w:color w:val="auto"/>
                <w:szCs w:val="21"/>
                <w:highlight w:val="none"/>
                <w:lang w:val="en-US" w:eastAsia="zh-CN"/>
              </w:rPr>
              <w:t xml:space="preserve">. </w:t>
            </w:r>
            <w:r>
              <w:rPr>
                <w:rFonts w:hint="eastAsia" w:eastAsia="宋体"/>
                <w:color w:val="auto"/>
                <w:szCs w:val="21"/>
                <w:highlight w:val="none"/>
                <w:lang w:val="en-US" w:eastAsia="zh-CN"/>
              </w:rPr>
              <w:t>具备静脉壶液面电动调整功能；</w:t>
            </w:r>
          </w:p>
          <w:p w14:paraId="62416EC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24</w:t>
            </w:r>
            <w:r>
              <w:rPr>
                <w:rFonts w:hint="eastAsia"/>
                <w:color w:val="auto"/>
                <w:szCs w:val="21"/>
                <w:highlight w:val="none"/>
                <w:lang w:val="en-US" w:eastAsia="zh-CN"/>
              </w:rPr>
              <w:t xml:space="preserve">. </w:t>
            </w:r>
            <w:r>
              <w:rPr>
                <w:rFonts w:hint="eastAsia" w:eastAsia="宋体"/>
                <w:color w:val="auto"/>
                <w:szCs w:val="21"/>
                <w:highlight w:val="none"/>
                <w:lang w:val="en-US" w:eastAsia="zh-CN"/>
              </w:rPr>
              <w:t>标配患者卡读卡器组件；</w:t>
            </w:r>
          </w:p>
          <w:p w14:paraId="01498B97">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25</w:t>
            </w:r>
            <w:r>
              <w:rPr>
                <w:rFonts w:hint="eastAsia"/>
                <w:color w:val="auto"/>
                <w:szCs w:val="21"/>
                <w:highlight w:val="none"/>
                <w:lang w:val="en-US" w:eastAsia="zh-CN"/>
              </w:rPr>
              <w:t xml:space="preserve">. </w:t>
            </w:r>
            <w:r>
              <w:rPr>
                <w:rFonts w:hint="eastAsia" w:eastAsia="宋体"/>
                <w:color w:val="auto"/>
                <w:szCs w:val="21"/>
                <w:highlight w:val="none"/>
                <w:lang w:val="en-US" w:eastAsia="zh-CN"/>
              </w:rPr>
              <w:t>标配RJ45网络接口；</w:t>
            </w:r>
          </w:p>
          <w:p w14:paraId="25F971C5">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val="en-US" w:eastAsia="zh-CN"/>
              </w:rPr>
            </w:pPr>
            <w:r>
              <w:rPr>
                <w:rFonts w:hint="eastAsia" w:eastAsia="宋体"/>
                <w:color w:val="auto"/>
                <w:szCs w:val="21"/>
                <w:highlight w:val="none"/>
                <w:lang w:val="en-US" w:eastAsia="zh-CN"/>
              </w:rPr>
              <w:t>▲26</w:t>
            </w:r>
            <w:r>
              <w:rPr>
                <w:rFonts w:hint="eastAsia"/>
                <w:color w:val="auto"/>
                <w:szCs w:val="21"/>
                <w:highlight w:val="none"/>
                <w:lang w:val="en-US" w:eastAsia="zh-CN"/>
              </w:rPr>
              <w:t xml:space="preserve">. </w:t>
            </w:r>
            <w:r>
              <w:rPr>
                <w:rFonts w:hint="eastAsia" w:eastAsia="宋体"/>
                <w:color w:val="auto"/>
                <w:szCs w:val="21"/>
                <w:highlight w:val="none"/>
                <w:lang w:val="en-US" w:eastAsia="zh-CN"/>
              </w:rPr>
              <w:t>具备在线Kt/V实时清除率监测功能、在线无创血压监测功能、血容量监测功能、体外循环血液温度监测功能；</w:t>
            </w:r>
          </w:p>
          <w:p w14:paraId="6464305E">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default"/>
                <w:color w:val="auto"/>
                <w:szCs w:val="21"/>
                <w:highlight w:val="none"/>
                <w:lang w:val="en-US" w:eastAsia="zh-CN"/>
              </w:rPr>
            </w:pPr>
            <w:r>
              <w:rPr>
                <w:rFonts w:hint="eastAsia"/>
                <w:color w:val="auto"/>
                <w:szCs w:val="21"/>
                <w:highlight w:val="none"/>
                <w:lang w:val="en-US" w:eastAsia="zh-CN"/>
              </w:rPr>
              <w:t>▲27.适配医院在用集中供液系统（型号：WJ-GYR-200），厂家：杭州万洁水处理设备有限公司。（须提供集中供液接口证明材料并附承诺函并加盖公司公章）</w:t>
            </w:r>
          </w:p>
        </w:tc>
        <w:tc>
          <w:tcPr>
            <w:tcW w:w="1011" w:type="dxa"/>
            <w:tcBorders>
              <w:left w:val="single" w:color="auto" w:sz="4" w:space="0"/>
              <w:right w:val="single" w:color="auto" w:sz="4" w:space="0"/>
            </w:tcBorders>
            <w:noWrap w:val="0"/>
            <w:vAlign w:val="center"/>
          </w:tcPr>
          <w:p w14:paraId="75E4AE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Cs w:val="21"/>
                <w:highlight w:val="none"/>
                <w:lang w:val="en-US" w:eastAsia="zh-CN"/>
              </w:rPr>
            </w:pPr>
            <w:r>
              <w:rPr>
                <w:rFonts w:hint="eastAsia"/>
                <w:color w:val="auto"/>
                <w:szCs w:val="21"/>
                <w:highlight w:val="none"/>
                <w:lang w:val="en-US" w:eastAsia="zh-CN"/>
              </w:rPr>
              <w:t>11</w:t>
            </w:r>
          </w:p>
        </w:tc>
      </w:tr>
      <w:tr w14:paraId="555AA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396" w:type="dxa"/>
            <w:noWrap w:val="0"/>
            <w:vAlign w:val="center"/>
          </w:tcPr>
          <w:p w14:paraId="43A7489F">
            <w:pPr>
              <w:spacing w:line="360" w:lineRule="auto"/>
              <w:jc w:val="center"/>
              <w:rPr>
                <w:rFonts w:hint="eastAsia" w:eastAsia="宋体"/>
                <w:color w:val="auto"/>
                <w:szCs w:val="21"/>
                <w:highlight w:val="none"/>
                <w:lang w:val="en-US" w:eastAsia="zh-CN"/>
              </w:rPr>
            </w:pPr>
            <w:r>
              <w:rPr>
                <w:rFonts w:hint="eastAsia"/>
                <w:color w:val="auto"/>
                <w:szCs w:val="21"/>
                <w:highlight w:val="none"/>
                <w:lang w:val="en-US" w:eastAsia="zh-CN"/>
              </w:rPr>
              <w:t>2</w:t>
            </w:r>
          </w:p>
        </w:tc>
        <w:tc>
          <w:tcPr>
            <w:tcW w:w="1085" w:type="dxa"/>
            <w:noWrap w:val="0"/>
            <w:vAlign w:val="center"/>
          </w:tcPr>
          <w:p w14:paraId="52217586">
            <w:pPr>
              <w:spacing w:line="360" w:lineRule="auto"/>
              <w:jc w:val="center"/>
              <w:rPr>
                <w:rFonts w:hint="eastAsia"/>
                <w:color w:val="auto"/>
                <w:szCs w:val="21"/>
                <w:highlight w:val="none"/>
              </w:rPr>
            </w:pPr>
            <w:r>
              <w:rPr>
                <w:rFonts w:hint="eastAsia"/>
                <w:color w:val="auto"/>
                <w:szCs w:val="21"/>
                <w:highlight w:val="none"/>
              </w:rPr>
              <w:t>血液透析滤过机</w:t>
            </w:r>
          </w:p>
        </w:tc>
        <w:tc>
          <w:tcPr>
            <w:tcW w:w="430" w:type="dxa"/>
            <w:noWrap w:val="0"/>
            <w:vAlign w:val="center"/>
          </w:tcPr>
          <w:p w14:paraId="53DE3443">
            <w:pPr>
              <w:spacing w:line="360" w:lineRule="auto"/>
              <w:jc w:val="center"/>
              <w:rPr>
                <w:rFonts w:hint="default" w:eastAsia="宋体"/>
                <w:color w:val="auto"/>
                <w:szCs w:val="21"/>
                <w:highlight w:val="none"/>
                <w:lang w:val="en-US" w:eastAsia="zh-CN"/>
              </w:rPr>
            </w:pPr>
            <w:r>
              <w:rPr>
                <w:rFonts w:hint="eastAsia"/>
                <w:color w:val="auto"/>
                <w:szCs w:val="21"/>
                <w:highlight w:val="none"/>
                <w:lang w:val="en-US" w:eastAsia="zh-CN"/>
              </w:rPr>
              <w:t>6台</w:t>
            </w:r>
          </w:p>
        </w:tc>
        <w:tc>
          <w:tcPr>
            <w:tcW w:w="654" w:type="dxa"/>
            <w:tcBorders>
              <w:right w:val="single" w:color="auto" w:sz="4" w:space="0"/>
            </w:tcBorders>
            <w:noWrap w:val="0"/>
            <w:vAlign w:val="center"/>
          </w:tcPr>
          <w:p w14:paraId="4523608F">
            <w:pPr>
              <w:spacing w:line="360" w:lineRule="auto"/>
              <w:rPr>
                <w:rFonts w:hint="eastAsia"/>
                <w:color w:val="auto"/>
                <w:szCs w:val="21"/>
                <w:highlight w:val="none"/>
              </w:rPr>
            </w:pPr>
            <w:r>
              <w:rPr>
                <w:rFonts w:hint="eastAsia"/>
                <w:color w:val="auto"/>
                <w:szCs w:val="21"/>
                <w:highlight w:val="none"/>
              </w:rPr>
              <w:t>工业</w:t>
            </w:r>
          </w:p>
        </w:tc>
        <w:tc>
          <w:tcPr>
            <w:tcW w:w="6286" w:type="dxa"/>
            <w:gridSpan w:val="2"/>
            <w:tcBorders>
              <w:left w:val="single" w:color="auto" w:sz="4" w:space="0"/>
              <w:right w:val="single" w:color="auto" w:sz="4" w:space="0"/>
            </w:tcBorders>
            <w:noWrap w:val="0"/>
            <w:vAlign w:val="center"/>
          </w:tcPr>
          <w:p w14:paraId="4F97A98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1</w:t>
            </w:r>
            <w:r>
              <w:rPr>
                <w:rFonts w:hint="eastAsia"/>
                <w:color w:val="auto"/>
                <w:szCs w:val="21"/>
                <w:highlight w:val="none"/>
                <w:lang w:eastAsia="zh-CN"/>
              </w:rPr>
              <w:t xml:space="preserve">. </w:t>
            </w:r>
            <w:r>
              <w:rPr>
                <w:rFonts w:hint="eastAsia" w:eastAsia="宋体"/>
                <w:color w:val="auto"/>
                <w:szCs w:val="21"/>
                <w:highlight w:val="none"/>
                <w:lang w:eastAsia="zh-CN"/>
              </w:rPr>
              <w:t>HDF血滤治疗过程中置换液可自动调节、与血流量匹配；</w:t>
            </w:r>
          </w:p>
          <w:p w14:paraId="5759FD6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eastAsia="zh-CN"/>
              </w:rPr>
            </w:pPr>
            <w:r>
              <w:rPr>
                <w:rFonts w:hint="eastAsia" w:eastAsia="宋体"/>
                <w:color w:val="auto"/>
                <w:szCs w:val="21"/>
                <w:highlight w:val="none"/>
                <w:lang w:eastAsia="zh-CN"/>
              </w:rPr>
              <w:t>●2</w:t>
            </w:r>
            <w:r>
              <w:rPr>
                <w:rFonts w:hint="eastAsia"/>
                <w:color w:val="auto"/>
                <w:szCs w:val="21"/>
                <w:highlight w:val="none"/>
                <w:lang w:eastAsia="zh-CN"/>
              </w:rPr>
              <w:t xml:space="preserve">. </w:t>
            </w:r>
            <w:r>
              <w:rPr>
                <w:rFonts w:hint="eastAsia" w:eastAsia="宋体"/>
                <w:color w:val="auto"/>
                <w:szCs w:val="21"/>
                <w:highlight w:val="none"/>
                <w:lang w:eastAsia="zh-CN"/>
              </w:rPr>
              <w:t>大跨度置换率（10—500mL/min）</w:t>
            </w:r>
            <w:r>
              <w:rPr>
                <w:rFonts w:hint="eastAsia"/>
                <w:color w:val="auto"/>
                <w:szCs w:val="21"/>
                <w:highlight w:val="none"/>
                <w:lang w:eastAsia="zh-CN"/>
              </w:rPr>
              <w:t>，</w:t>
            </w:r>
            <w:r>
              <w:rPr>
                <w:rFonts w:hint="eastAsia" w:eastAsia="宋体"/>
                <w:color w:val="auto"/>
                <w:szCs w:val="21"/>
                <w:highlight w:val="none"/>
                <w:lang w:eastAsia="zh-CN"/>
              </w:rPr>
              <w:t>可以满足极低体重患者、心肺功能不稳定患者或者需要高置换液量HDF治疗患者需求；</w:t>
            </w:r>
          </w:p>
          <w:p w14:paraId="028CEE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eastAsia="zh-CN"/>
              </w:rPr>
            </w:pPr>
            <w:r>
              <w:rPr>
                <w:rFonts w:hint="eastAsia" w:eastAsia="宋体"/>
                <w:color w:val="auto"/>
                <w:szCs w:val="21"/>
                <w:highlight w:val="none"/>
                <w:lang w:eastAsia="zh-CN"/>
              </w:rPr>
              <w:t>●3</w:t>
            </w:r>
            <w:r>
              <w:rPr>
                <w:rFonts w:hint="eastAsia"/>
                <w:color w:val="auto"/>
                <w:szCs w:val="21"/>
                <w:highlight w:val="none"/>
                <w:lang w:eastAsia="zh-CN"/>
              </w:rPr>
              <w:t xml:space="preserve">. </w:t>
            </w:r>
            <w:r>
              <w:rPr>
                <w:rFonts w:hint="eastAsia" w:eastAsia="宋体"/>
                <w:color w:val="auto"/>
                <w:szCs w:val="21"/>
                <w:highlight w:val="none"/>
                <w:lang w:eastAsia="zh-CN"/>
              </w:rPr>
              <w:t>彩色液晶显示屏≥10</w:t>
            </w:r>
            <w:r>
              <w:rPr>
                <w:rFonts w:hint="eastAsia"/>
                <w:color w:val="auto"/>
                <w:szCs w:val="21"/>
                <w:highlight w:val="none"/>
                <w:lang w:eastAsia="zh-CN"/>
              </w:rPr>
              <w:t xml:space="preserve">. </w:t>
            </w:r>
            <w:r>
              <w:rPr>
                <w:rFonts w:hint="eastAsia" w:eastAsia="宋体"/>
                <w:color w:val="auto"/>
                <w:szCs w:val="21"/>
                <w:highlight w:val="none"/>
                <w:lang w:eastAsia="zh-CN"/>
              </w:rPr>
              <w:t>4英寸，可180°角度旋转，且触摸操作，数字显示；</w:t>
            </w:r>
          </w:p>
          <w:p w14:paraId="2856D9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eastAsia="zh-CN"/>
              </w:rPr>
            </w:pPr>
            <w:r>
              <w:rPr>
                <w:rFonts w:hint="eastAsia" w:eastAsia="宋体"/>
                <w:color w:val="auto"/>
                <w:szCs w:val="21"/>
                <w:highlight w:val="none"/>
                <w:lang w:eastAsia="zh-CN"/>
              </w:rPr>
              <w:t>●4</w:t>
            </w:r>
            <w:r>
              <w:rPr>
                <w:rFonts w:hint="eastAsia"/>
                <w:color w:val="auto"/>
                <w:szCs w:val="21"/>
                <w:highlight w:val="none"/>
                <w:lang w:eastAsia="zh-CN"/>
              </w:rPr>
              <w:t xml:space="preserve">. </w:t>
            </w:r>
            <w:r>
              <w:rPr>
                <w:rFonts w:hint="eastAsia" w:eastAsia="宋体"/>
                <w:color w:val="auto"/>
                <w:szCs w:val="21"/>
                <w:highlight w:val="none"/>
                <w:lang w:eastAsia="zh-CN"/>
              </w:rPr>
              <w:t>显示器后方配备搁物托盘；</w:t>
            </w:r>
          </w:p>
          <w:p w14:paraId="3991EF7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5</w:t>
            </w:r>
            <w:r>
              <w:rPr>
                <w:rFonts w:hint="eastAsia"/>
                <w:color w:val="auto"/>
                <w:szCs w:val="21"/>
                <w:highlight w:val="none"/>
                <w:lang w:eastAsia="zh-CN"/>
              </w:rPr>
              <w:t xml:space="preserve">. </w:t>
            </w:r>
            <w:r>
              <w:rPr>
                <w:rFonts w:hint="eastAsia" w:eastAsia="宋体"/>
                <w:color w:val="auto"/>
                <w:szCs w:val="21"/>
                <w:highlight w:val="none"/>
                <w:lang w:eastAsia="zh-CN"/>
              </w:rPr>
              <w:t>指示灯：4联彩色指示灯（红、黄、绿、蓝）；</w:t>
            </w:r>
          </w:p>
          <w:p w14:paraId="740A4EA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6</w:t>
            </w:r>
            <w:r>
              <w:rPr>
                <w:rFonts w:hint="eastAsia"/>
                <w:color w:val="auto"/>
                <w:szCs w:val="21"/>
                <w:highlight w:val="none"/>
                <w:lang w:eastAsia="zh-CN"/>
              </w:rPr>
              <w:t xml:space="preserve">. </w:t>
            </w:r>
            <w:r>
              <w:rPr>
                <w:rFonts w:hint="eastAsia" w:eastAsia="宋体"/>
                <w:color w:val="auto"/>
                <w:szCs w:val="21"/>
                <w:highlight w:val="none"/>
                <w:lang w:eastAsia="zh-CN"/>
              </w:rPr>
              <w:t>工作原理：平衡腔+超滤泵（除水方式）；平衡腔+流量泵（透析液配比方式）；</w:t>
            </w:r>
          </w:p>
          <w:p w14:paraId="56B5688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7</w:t>
            </w:r>
            <w:r>
              <w:rPr>
                <w:rFonts w:hint="eastAsia"/>
                <w:color w:val="auto"/>
                <w:szCs w:val="21"/>
                <w:highlight w:val="none"/>
                <w:lang w:eastAsia="zh-CN"/>
              </w:rPr>
              <w:t xml:space="preserve">. </w:t>
            </w:r>
            <w:r>
              <w:rPr>
                <w:rFonts w:hint="eastAsia" w:eastAsia="宋体"/>
                <w:color w:val="auto"/>
                <w:szCs w:val="21"/>
                <w:highlight w:val="none"/>
                <w:lang w:eastAsia="zh-CN"/>
              </w:rPr>
              <w:t>除水方式：活塞泵密闭容量差容量控制方式，范围：0</w:t>
            </w:r>
            <w:r>
              <w:rPr>
                <w:rFonts w:hint="eastAsia"/>
                <w:color w:val="auto"/>
                <w:szCs w:val="21"/>
                <w:highlight w:val="none"/>
                <w:lang w:eastAsia="zh-CN"/>
              </w:rPr>
              <w:t xml:space="preserve">. </w:t>
            </w:r>
            <w:r>
              <w:rPr>
                <w:rFonts w:hint="eastAsia" w:eastAsia="宋体"/>
                <w:color w:val="auto"/>
                <w:szCs w:val="21"/>
                <w:highlight w:val="none"/>
                <w:lang w:eastAsia="zh-CN"/>
              </w:rPr>
              <w:t>00,0</w:t>
            </w:r>
            <w:r>
              <w:rPr>
                <w:rFonts w:hint="eastAsia"/>
                <w:color w:val="auto"/>
                <w:szCs w:val="21"/>
                <w:highlight w:val="none"/>
                <w:lang w:eastAsia="zh-CN"/>
              </w:rPr>
              <w:t xml:space="preserve">. </w:t>
            </w:r>
            <w:r>
              <w:rPr>
                <w:rFonts w:hint="eastAsia" w:eastAsia="宋体"/>
                <w:color w:val="auto"/>
                <w:szCs w:val="21"/>
                <w:highlight w:val="none"/>
                <w:lang w:eastAsia="zh-CN"/>
              </w:rPr>
              <w:t>10～5</w:t>
            </w:r>
            <w:r>
              <w:rPr>
                <w:rFonts w:hint="eastAsia"/>
                <w:color w:val="auto"/>
                <w:szCs w:val="21"/>
                <w:highlight w:val="none"/>
                <w:lang w:eastAsia="zh-CN"/>
              </w:rPr>
              <w:t xml:space="preserve">. </w:t>
            </w:r>
            <w:r>
              <w:rPr>
                <w:rFonts w:hint="eastAsia" w:eastAsia="宋体"/>
                <w:color w:val="auto"/>
                <w:szCs w:val="21"/>
                <w:highlight w:val="none"/>
                <w:lang w:eastAsia="zh-CN"/>
              </w:rPr>
              <w:t>00L/h，精度：±30g/h；</w:t>
            </w:r>
          </w:p>
          <w:p w14:paraId="78EA52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8</w:t>
            </w:r>
            <w:r>
              <w:rPr>
                <w:rFonts w:hint="eastAsia"/>
                <w:color w:val="auto"/>
                <w:szCs w:val="21"/>
                <w:highlight w:val="none"/>
                <w:lang w:eastAsia="zh-CN"/>
              </w:rPr>
              <w:t xml:space="preserve">. </w:t>
            </w:r>
            <w:r>
              <w:rPr>
                <w:rFonts w:hint="eastAsia" w:eastAsia="宋体"/>
                <w:color w:val="auto"/>
                <w:szCs w:val="21"/>
                <w:highlight w:val="none"/>
                <w:lang w:eastAsia="zh-CN"/>
              </w:rPr>
              <w:t>透析液流量范围：100～800mL/min，精度：0～10%；</w:t>
            </w:r>
          </w:p>
          <w:p w14:paraId="48594CE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9</w:t>
            </w:r>
            <w:r>
              <w:rPr>
                <w:rFonts w:hint="eastAsia"/>
                <w:color w:val="auto"/>
                <w:szCs w:val="21"/>
                <w:highlight w:val="none"/>
                <w:lang w:eastAsia="zh-CN"/>
              </w:rPr>
              <w:t xml:space="preserve">. </w:t>
            </w:r>
            <w:r>
              <w:rPr>
                <w:rFonts w:hint="eastAsia" w:eastAsia="宋体"/>
                <w:color w:val="auto"/>
                <w:szCs w:val="21"/>
                <w:highlight w:val="none"/>
                <w:lang w:eastAsia="zh-CN"/>
              </w:rPr>
              <w:t>透析液温度设定范围33</w:t>
            </w:r>
            <w:r>
              <w:rPr>
                <w:rFonts w:hint="eastAsia"/>
                <w:color w:val="auto"/>
                <w:szCs w:val="21"/>
                <w:highlight w:val="none"/>
                <w:lang w:eastAsia="zh-CN"/>
              </w:rPr>
              <w:t xml:space="preserve">. </w:t>
            </w:r>
            <w:r>
              <w:rPr>
                <w:rFonts w:hint="eastAsia" w:eastAsia="宋体"/>
                <w:color w:val="auto"/>
                <w:szCs w:val="21"/>
                <w:highlight w:val="none"/>
                <w:lang w:eastAsia="zh-CN"/>
              </w:rPr>
              <w:t>0～39</w:t>
            </w:r>
            <w:r>
              <w:rPr>
                <w:rFonts w:hint="eastAsia"/>
                <w:color w:val="auto"/>
                <w:szCs w:val="21"/>
                <w:highlight w:val="none"/>
                <w:lang w:eastAsia="zh-CN"/>
              </w:rPr>
              <w:t xml:space="preserve">. </w:t>
            </w:r>
            <w:r>
              <w:rPr>
                <w:rFonts w:hint="eastAsia" w:eastAsia="宋体"/>
                <w:color w:val="auto"/>
                <w:szCs w:val="21"/>
                <w:highlight w:val="none"/>
                <w:lang w:eastAsia="zh-CN"/>
              </w:rPr>
              <w:t>0℃，控制精度：±1℃；</w:t>
            </w:r>
          </w:p>
          <w:p w14:paraId="06849DF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10</w:t>
            </w:r>
            <w:r>
              <w:rPr>
                <w:rFonts w:hint="eastAsia"/>
                <w:color w:val="auto"/>
                <w:szCs w:val="21"/>
                <w:highlight w:val="none"/>
                <w:lang w:eastAsia="zh-CN"/>
              </w:rPr>
              <w:t xml:space="preserve">. </w:t>
            </w:r>
            <w:r>
              <w:rPr>
                <w:rFonts w:hint="eastAsia" w:eastAsia="宋体"/>
                <w:color w:val="auto"/>
                <w:szCs w:val="21"/>
                <w:highlight w:val="none"/>
                <w:lang w:eastAsia="zh-CN"/>
              </w:rPr>
              <w:t>透析液配置方式：A原液为活塞泵的反馈方式；B原液为活塞泵反馈方式；</w:t>
            </w:r>
          </w:p>
          <w:p w14:paraId="2556315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11</w:t>
            </w:r>
            <w:r>
              <w:rPr>
                <w:rFonts w:hint="eastAsia"/>
                <w:color w:val="auto"/>
                <w:szCs w:val="21"/>
                <w:highlight w:val="none"/>
                <w:lang w:eastAsia="zh-CN"/>
              </w:rPr>
              <w:t xml:space="preserve">. </w:t>
            </w:r>
            <w:r>
              <w:rPr>
                <w:rFonts w:hint="eastAsia" w:eastAsia="宋体"/>
                <w:color w:val="auto"/>
                <w:szCs w:val="21"/>
                <w:highlight w:val="none"/>
                <w:lang w:eastAsia="zh-CN"/>
              </w:rPr>
              <w:t>钠离子调整范围：120</w:t>
            </w:r>
            <w:r>
              <w:rPr>
                <w:rFonts w:hint="eastAsia"/>
                <w:color w:val="auto"/>
                <w:szCs w:val="21"/>
                <w:highlight w:val="none"/>
                <w:lang w:eastAsia="zh-CN"/>
              </w:rPr>
              <w:t>—</w:t>
            </w:r>
            <w:r>
              <w:rPr>
                <w:rFonts w:hint="eastAsia" w:eastAsia="宋体"/>
                <w:color w:val="auto"/>
                <w:szCs w:val="21"/>
                <w:highlight w:val="none"/>
                <w:lang w:eastAsia="zh-CN"/>
              </w:rPr>
              <w:t>175mmol/l；碳酸氢盐调整范围：20</w:t>
            </w:r>
            <w:r>
              <w:rPr>
                <w:rFonts w:hint="eastAsia"/>
                <w:color w:val="auto"/>
                <w:szCs w:val="21"/>
                <w:highlight w:val="none"/>
                <w:lang w:eastAsia="zh-CN"/>
              </w:rPr>
              <w:t>—</w:t>
            </w:r>
            <w:r>
              <w:rPr>
                <w:rFonts w:hint="eastAsia" w:eastAsia="宋体"/>
                <w:color w:val="auto"/>
                <w:szCs w:val="21"/>
                <w:highlight w:val="none"/>
                <w:lang w:eastAsia="zh-CN"/>
              </w:rPr>
              <w:t>40mmol/l</w:t>
            </w:r>
          </w:p>
          <w:p w14:paraId="29BF0A3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12</w:t>
            </w:r>
            <w:r>
              <w:rPr>
                <w:rFonts w:hint="eastAsia"/>
                <w:color w:val="auto"/>
                <w:szCs w:val="21"/>
                <w:highlight w:val="none"/>
                <w:lang w:eastAsia="zh-CN"/>
              </w:rPr>
              <w:t xml:space="preserve">. </w:t>
            </w:r>
            <w:r>
              <w:rPr>
                <w:rFonts w:hint="eastAsia" w:eastAsia="宋体"/>
                <w:color w:val="auto"/>
                <w:szCs w:val="21"/>
                <w:highlight w:val="none"/>
                <w:lang w:eastAsia="zh-CN"/>
              </w:rPr>
              <w:t>血泵滚轮：滚轮自动间隙调整，R向旋转，精度：±10%(10</w:t>
            </w:r>
            <w:r>
              <w:rPr>
                <w:rFonts w:hint="eastAsia"/>
                <w:color w:val="auto"/>
                <w:szCs w:val="21"/>
                <w:highlight w:val="none"/>
                <w:lang w:eastAsia="zh-CN"/>
              </w:rPr>
              <w:t>～</w:t>
            </w:r>
            <w:r>
              <w:rPr>
                <w:rFonts w:hint="eastAsia" w:eastAsia="宋体"/>
                <w:color w:val="auto"/>
                <w:szCs w:val="21"/>
                <w:highlight w:val="none"/>
                <w:lang w:eastAsia="zh-CN"/>
              </w:rPr>
              <w:t>600mL/min</w:t>
            </w:r>
            <w:r>
              <w:rPr>
                <w:rFonts w:hint="eastAsia"/>
                <w:color w:val="auto"/>
                <w:szCs w:val="21"/>
                <w:highlight w:val="none"/>
                <w:lang w:eastAsia="zh-CN"/>
              </w:rPr>
              <w:t>）</w:t>
            </w:r>
            <w:r>
              <w:rPr>
                <w:rFonts w:hint="eastAsia" w:eastAsia="宋体"/>
                <w:color w:val="auto"/>
                <w:szCs w:val="21"/>
                <w:highlight w:val="none"/>
                <w:lang w:eastAsia="zh-CN"/>
              </w:rPr>
              <w:t>；</w:t>
            </w:r>
          </w:p>
          <w:p w14:paraId="2D9987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13</w:t>
            </w:r>
            <w:r>
              <w:rPr>
                <w:rFonts w:hint="eastAsia"/>
                <w:color w:val="auto"/>
                <w:szCs w:val="21"/>
                <w:highlight w:val="none"/>
                <w:lang w:eastAsia="zh-CN"/>
              </w:rPr>
              <w:t xml:space="preserve">. </w:t>
            </w:r>
            <w:r>
              <w:rPr>
                <w:rFonts w:hint="eastAsia" w:eastAsia="宋体"/>
                <w:color w:val="auto"/>
                <w:szCs w:val="21"/>
                <w:highlight w:val="none"/>
                <w:lang w:eastAsia="zh-CN"/>
              </w:rPr>
              <w:t>血泵流量范围：（1）φ6</w:t>
            </w:r>
            <w:r>
              <w:rPr>
                <w:rFonts w:hint="eastAsia"/>
                <w:color w:val="auto"/>
                <w:szCs w:val="21"/>
                <w:highlight w:val="none"/>
                <w:lang w:eastAsia="zh-CN"/>
              </w:rPr>
              <w:t xml:space="preserve">. </w:t>
            </w:r>
            <w:r>
              <w:rPr>
                <w:rFonts w:hint="eastAsia" w:eastAsia="宋体"/>
                <w:color w:val="auto"/>
                <w:szCs w:val="21"/>
                <w:highlight w:val="none"/>
                <w:lang w:eastAsia="zh-CN"/>
              </w:rPr>
              <w:t>35×9</w:t>
            </w:r>
            <w:r>
              <w:rPr>
                <w:rFonts w:hint="eastAsia"/>
                <w:color w:val="auto"/>
                <w:szCs w:val="21"/>
                <w:highlight w:val="none"/>
                <w:lang w:eastAsia="zh-CN"/>
              </w:rPr>
              <w:t xml:space="preserve">. </w:t>
            </w:r>
            <w:r>
              <w:rPr>
                <w:rFonts w:hint="eastAsia" w:eastAsia="宋体"/>
                <w:color w:val="auto"/>
                <w:szCs w:val="21"/>
                <w:highlight w:val="none"/>
                <w:lang w:eastAsia="zh-CN"/>
              </w:rPr>
              <w:t>75管路时：10～400mL/min；（2）φ8</w:t>
            </w:r>
            <w:r>
              <w:rPr>
                <w:rFonts w:hint="eastAsia"/>
                <w:color w:val="auto"/>
                <w:szCs w:val="21"/>
                <w:highlight w:val="none"/>
                <w:lang w:eastAsia="zh-CN"/>
              </w:rPr>
              <w:t xml:space="preserve">. </w:t>
            </w:r>
            <w:r>
              <w:rPr>
                <w:rFonts w:hint="eastAsia" w:eastAsia="宋体"/>
                <w:color w:val="auto"/>
                <w:szCs w:val="21"/>
                <w:highlight w:val="none"/>
                <w:lang w:eastAsia="zh-CN"/>
              </w:rPr>
              <w:t>00×12</w:t>
            </w:r>
            <w:r>
              <w:rPr>
                <w:rFonts w:hint="eastAsia"/>
                <w:color w:val="auto"/>
                <w:szCs w:val="21"/>
                <w:highlight w:val="none"/>
                <w:lang w:eastAsia="zh-CN"/>
              </w:rPr>
              <w:t xml:space="preserve">. </w:t>
            </w:r>
            <w:r>
              <w:rPr>
                <w:rFonts w:hint="eastAsia" w:eastAsia="宋体"/>
                <w:color w:val="auto"/>
                <w:szCs w:val="21"/>
                <w:highlight w:val="none"/>
                <w:lang w:eastAsia="zh-CN"/>
              </w:rPr>
              <w:t>00管路时：10</w:t>
            </w:r>
            <w:r>
              <w:rPr>
                <w:rFonts w:hint="eastAsia"/>
                <w:color w:val="auto"/>
                <w:szCs w:val="21"/>
                <w:highlight w:val="none"/>
                <w:lang w:eastAsia="zh-CN"/>
              </w:rPr>
              <w:t>～</w:t>
            </w:r>
            <w:r>
              <w:rPr>
                <w:rFonts w:hint="eastAsia" w:eastAsia="宋体"/>
                <w:color w:val="auto"/>
                <w:szCs w:val="21"/>
                <w:highlight w:val="none"/>
                <w:lang w:eastAsia="zh-CN"/>
              </w:rPr>
              <w:t>600mL/min；</w:t>
            </w:r>
          </w:p>
          <w:p w14:paraId="0E16883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14</w:t>
            </w:r>
            <w:r>
              <w:rPr>
                <w:rFonts w:hint="eastAsia"/>
                <w:color w:val="auto"/>
                <w:szCs w:val="21"/>
                <w:highlight w:val="none"/>
                <w:lang w:eastAsia="zh-CN"/>
              </w:rPr>
              <w:t xml:space="preserve">. </w:t>
            </w:r>
            <w:r>
              <w:rPr>
                <w:rFonts w:hint="eastAsia" w:eastAsia="宋体"/>
                <w:color w:val="auto"/>
                <w:szCs w:val="21"/>
                <w:highlight w:val="none"/>
                <w:lang w:eastAsia="zh-CN"/>
              </w:rPr>
              <w:t>注射器适用尺寸：10、20、30mL，流量设定在0</w:t>
            </w:r>
            <w:r>
              <w:rPr>
                <w:rFonts w:hint="eastAsia"/>
                <w:color w:val="auto"/>
                <w:szCs w:val="21"/>
                <w:highlight w:val="none"/>
                <w:lang w:eastAsia="zh-CN"/>
              </w:rPr>
              <w:t xml:space="preserve">. </w:t>
            </w:r>
            <w:r>
              <w:rPr>
                <w:rFonts w:hint="eastAsia" w:eastAsia="宋体"/>
                <w:color w:val="auto"/>
                <w:szCs w:val="21"/>
                <w:highlight w:val="none"/>
                <w:lang w:eastAsia="zh-CN"/>
              </w:rPr>
              <w:t>0~9</w:t>
            </w:r>
            <w:r>
              <w:rPr>
                <w:rFonts w:hint="eastAsia"/>
                <w:color w:val="auto"/>
                <w:szCs w:val="21"/>
                <w:highlight w:val="none"/>
                <w:lang w:eastAsia="zh-CN"/>
              </w:rPr>
              <w:t xml:space="preserve">. </w:t>
            </w:r>
            <w:r>
              <w:rPr>
                <w:rFonts w:hint="eastAsia" w:eastAsia="宋体"/>
                <w:color w:val="auto"/>
                <w:szCs w:val="21"/>
                <w:highlight w:val="none"/>
                <w:lang w:eastAsia="zh-CN"/>
              </w:rPr>
              <w:t>0mL/h，机械精度：±1%，流量精度：±10%；</w:t>
            </w:r>
          </w:p>
          <w:p w14:paraId="299D2FA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15</w:t>
            </w:r>
            <w:r>
              <w:rPr>
                <w:rFonts w:hint="eastAsia"/>
                <w:color w:val="auto"/>
                <w:szCs w:val="21"/>
                <w:highlight w:val="none"/>
                <w:lang w:eastAsia="zh-CN"/>
              </w:rPr>
              <w:t xml:space="preserve">. </w:t>
            </w:r>
            <w:r>
              <w:rPr>
                <w:rFonts w:hint="eastAsia" w:eastAsia="宋体"/>
                <w:color w:val="auto"/>
                <w:szCs w:val="21"/>
                <w:highlight w:val="none"/>
                <w:lang w:eastAsia="zh-CN"/>
              </w:rPr>
              <w:t>注射器快速推送10mL时，速度约550mL/h；20mL时，速度约900mL/h；30mL时，速度1200mL/h；</w:t>
            </w:r>
          </w:p>
          <w:p w14:paraId="729084B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16</w:t>
            </w:r>
            <w:r>
              <w:rPr>
                <w:rFonts w:hint="eastAsia"/>
                <w:color w:val="auto"/>
                <w:szCs w:val="21"/>
                <w:highlight w:val="none"/>
                <w:lang w:eastAsia="zh-CN"/>
              </w:rPr>
              <w:t xml:space="preserve">. </w:t>
            </w:r>
            <w:r>
              <w:rPr>
                <w:rFonts w:hint="eastAsia" w:eastAsia="宋体"/>
                <w:color w:val="auto"/>
                <w:szCs w:val="21"/>
                <w:highlight w:val="none"/>
                <w:lang w:eastAsia="zh-CN"/>
              </w:rPr>
              <w:t>注射器安全监测包括：注射器脱落检测、注入速度异常检测、超过设定注入量±20%时报警；</w:t>
            </w:r>
          </w:p>
          <w:p w14:paraId="38F49B3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eastAsia="zh-CN"/>
              </w:rPr>
            </w:pPr>
            <w:r>
              <w:rPr>
                <w:rFonts w:hint="eastAsia" w:eastAsia="宋体"/>
                <w:color w:val="auto"/>
                <w:szCs w:val="21"/>
                <w:highlight w:val="none"/>
                <w:lang w:eastAsia="zh-CN"/>
              </w:rPr>
              <w:t>▲17</w:t>
            </w:r>
            <w:r>
              <w:rPr>
                <w:rFonts w:hint="eastAsia"/>
                <w:color w:val="auto"/>
                <w:szCs w:val="21"/>
                <w:highlight w:val="none"/>
                <w:lang w:eastAsia="zh-CN"/>
              </w:rPr>
              <w:t xml:space="preserve">. </w:t>
            </w:r>
            <w:r>
              <w:rPr>
                <w:rFonts w:hint="eastAsia" w:eastAsia="宋体"/>
                <w:color w:val="auto"/>
                <w:szCs w:val="21"/>
                <w:highlight w:val="none"/>
                <w:lang w:eastAsia="zh-CN"/>
              </w:rPr>
              <w:t>动/静脉压监测范围：-390～+590mmHg，精度：±10mmHg；</w:t>
            </w:r>
          </w:p>
          <w:p w14:paraId="0A42762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1</w:t>
            </w:r>
            <w:r>
              <w:rPr>
                <w:rFonts w:hint="eastAsia"/>
                <w:color w:val="auto"/>
                <w:szCs w:val="21"/>
                <w:highlight w:val="none"/>
                <w:lang w:val="en-US" w:eastAsia="zh-CN"/>
              </w:rPr>
              <w:t>8</w:t>
            </w:r>
            <w:r>
              <w:rPr>
                <w:rFonts w:hint="eastAsia"/>
                <w:color w:val="auto"/>
                <w:szCs w:val="21"/>
                <w:highlight w:val="none"/>
                <w:lang w:eastAsia="zh-CN"/>
              </w:rPr>
              <w:t xml:space="preserve">. </w:t>
            </w:r>
            <w:r>
              <w:rPr>
                <w:rFonts w:hint="eastAsia" w:eastAsia="宋体"/>
                <w:color w:val="auto"/>
                <w:szCs w:val="21"/>
                <w:highlight w:val="none"/>
                <w:lang w:eastAsia="zh-CN"/>
              </w:rPr>
              <w:t>漏血监测：光学方式；检测范围：50～500ppm</w:t>
            </w:r>
            <w:r>
              <w:rPr>
                <w:rFonts w:hint="eastAsia"/>
                <w:color w:val="auto"/>
                <w:szCs w:val="21"/>
                <w:highlight w:val="none"/>
                <w:lang w:eastAsia="zh-CN"/>
              </w:rPr>
              <w:t>（</w:t>
            </w:r>
            <w:r>
              <w:rPr>
                <w:rFonts w:hint="eastAsia" w:eastAsia="宋体"/>
                <w:color w:val="auto"/>
                <w:szCs w:val="21"/>
                <w:highlight w:val="none"/>
                <w:lang w:eastAsia="zh-CN"/>
              </w:rPr>
              <w:t>以每10ppm设定），精度：±200ppm</w:t>
            </w:r>
            <w:r>
              <w:rPr>
                <w:rFonts w:hint="eastAsia"/>
                <w:color w:val="auto"/>
                <w:szCs w:val="21"/>
                <w:highlight w:val="none"/>
                <w:lang w:eastAsia="zh-CN"/>
              </w:rPr>
              <w:t>（</w:t>
            </w:r>
            <w:r>
              <w:rPr>
                <w:rFonts w:hint="eastAsia" w:eastAsia="宋体"/>
                <w:color w:val="auto"/>
                <w:szCs w:val="21"/>
                <w:highlight w:val="none"/>
                <w:lang w:eastAsia="zh-CN"/>
              </w:rPr>
              <w:t>检测到500ppm</w:t>
            </w:r>
            <w:r>
              <w:rPr>
                <w:rFonts w:hint="eastAsia"/>
                <w:color w:val="auto"/>
                <w:szCs w:val="21"/>
                <w:highlight w:val="none"/>
                <w:lang w:eastAsia="zh-CN"/>
              </w:rPr>
              <w:t>）</w:t>
            </w:r>
            <w:r>
              <w:rPr>
                <w:rFonts w:hint="eastAsia" w:eastAsia="宋体"/>
                <w:color w:val="auto"/>
                <w:szCs w:val="21"/>
                <w:highlight w:val="none"/>
                <w:lang w:eastAsia="zh-CN"/>
              </w:rPr>
              <w:t>；</w:t>
            </w:r>
          </w:p>
          <w:p w14:paraId="27FC21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color w:val="auto"/>
                <w:szCs w:val="21"/>
                <w:highlight w:val="none"/>
                <w:lang w:val="en-US" w:eastAsia="zh-CN"/>
              </w:rPr>
              <w:t>19</w:t>
            </w:r>
            <w:r>
              <w:rPr>
                <w:rFonts w:hint="eastAsia"/>
                <w:color w:val="auto"/>
                <w:szCs w:val="21"/>
                <w:highlight w:val="none"/>
                <w:lang w:eastAsia="zh-CN"/>
              </w:rPr>
              <w:t xml:space="preserve">. </w:t>
            </w:r>
            <w:r>
              <w:rPr>
                <w:rFonts w:hint="eastAsia" w:eastAsia="宋体"/>
                <w:color w:val="auto"/>
                <w:szCs w:val="21"/>
                <w:highlight w:val="none"/>
                <w:lang w:eastAsia="zh-CN"/>
              </w:rPr>
              <w:t>电导度监测：电极工作方式；监测设定范围：标准电导度±2</w:t>
            </w:r>
            <w:r>
              <w:rPr>
                <w:rFonts w:hint="eastAsia"/>
                <w:color w:val="auto"/>
                <w:szCs w:val="21"/>
                <w:highlight w:val="none"/>
                <w:lang w:eastAsia="zh-CN"/>
              </w:rPr>
              <w:t xml:space="preserve">. </w:t>
            </w:r>
            <w:r>
              <w:rPr>
                <w:rFonts w:hint="eastAsia" w:eastAsia="宋体"/>
                <w:color w:val="auto"/>
                <w:szCs w:val="21"/>
                <w:highlight w:val="none"/>
                <w:lang w:eastAsia="zh-CN"/>
              </w:rPr>
              <w:t>0~±9</w:t>
            </w:r>
            <w:r>
              <w:rPr>
                <w:rFonts w:hint="eastAsia"/>
                <w:color w:val="auto"/>
                <w:szCs w:val="21"/>
                <w:highlight w:val="none"/>
                <w:lang w:eastAsia="zh-CN"/>
              </w:rPr>
              <w:t xml:space="preserve">. </w:t>
            </w:r>
            <w:r>
              <w:rPr>
                <w:rFonts w:hint="eastAsia" w:eastAsia="宋体"/>
                <w:color w:val="auto"/>
                <w:szCs w:val="21"/>
                <w:highlight w:val="none"/>
                <w:lang w:eastAsia="zh-CN"/>
              </w:rPr>
              <w:t>9%；精度：±2%；</w:t>
            </w:r>
          </w:p>
          <w:p w14:paraId="046220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2</w:t>
            </w:r>
            <w:r>
              <w:rPr>
                <w:rFonts w:hint="eastAsia"/>
                <w:color w:val="auto"/>
                <w:szCs w:val="21"/>
                <w:highlight w:val="none"/>
                <w:lang w:val="en-US" w:eastAsia="zh-CN"/>
              </w:rPr>
              <w:t>0</w:t>
            </w:r>
            <w:r>
              <w:rPr>
                <w:rFonts w:hint="eastAsia"/>
                <w:color w:val="auto"/>
                <w:szCs w:val="21"/>
                <w:highlight w:val="none"/>
                <w:lang w:eastAsia="zh-CN"/>
              </w:rPr>
              <w:t xml:space="preserve">. </w:t>
            </w:r>
            <w:r>
              <w:rPr>
                <w:rFonts w:hint="eastAsia" w:eastAsia="宋体"/>
                <w:color w:val="auto"/>
                <w:szCs w:val="21"/>
                <w:highlight w:val="none"/>
                <w:lang w:eastAsia="zh-CN"/>
              </w:rPr>
              <w:t>电池充满电时，支持运行</w:t>
            </w:r>
            <w:r>
              <w:rPr>
                <w:rFonts w:hint="eastAsia"/>
                <w:color w:val="auto"/>
                <w:szCs w:val="21"/>
                <w:highlight w:val="none"/>
                <w:lang w:val="en-US" w:eastAsia="zh-CN"/>
              </w:rPr>
              <w:t>至少为</w:t>
            </w:r>
            <w:r>
              <w:rPr>
                <w:rFonts w:hint="eastAsia" w:eastAsia="宋体"/>
                <w:color w:val="auto"/>
                <w:szCs w:val="21"/>
                <w:highlight w:val="none"/>
                <w:lang w:eastAsia="zh-CN"/>
              </w:rPr>
              <w:t>30分钟；</w:t>
            </w:r>
          </w:p>
          <w:p w14:paraId="4E0AF3A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eastAsia="zh-CN"/>
              </w:rPr>
            </w:pPr>
            <w:r>
              <w:rPr>
                <w:rFonts w:hint="eastAsia" w:eastAsia="宋体"/>
                <w:color w:val="auto"/>
                <w:szCs w:val="21"/>
                <w:highlight w:val="none"/>
                <w:lang w:eastAsia="zh-CN"/>
              </w:rPr>
              <w:t>●2</w:t>
            </w:r>
            <w:r>
              <w:rPr>
                <w:rFonts w:hint="eastAsia"/>
                <w:color w:val="auto"/>
                <w:szCs w:val="21"/>
                <w:highlight w:val="none"/>
                <w:lang w:val="en-US" w:eastAsia="zh-CN"/>
              </w:rPr>
              <w:t>1</w:t>
            </w:r>
            <w:r>
              <w:rPr>
                <w:rFonts w:hint="eastAsia"/>
                <w:color w:val="auto"/>
                <w:szCs w:val="21"/>
                <w:highlight w:val="none"/>
                <w:lang w:eastAsia="zh-CN"/>
              </w:rPr>
              <w:t xml:space="preserve">. </w:t>
            </w:r>
            <w:r>
              <w:rPr>
                <w:rFonts w:hint="eastAsia" w:eastAsia="宋体"/>
                <w:color w:val="auto"/>
                <w:szCs w:val="21"/>
                <w:highlight w:val="none"/>
                <w:lang w:eastAsia="zh-CN"/>
              </w:rPr>
              <w:t>预冲液联机排放，无需废液袋；</w:t>
            </w:r>
          </w:p>
          <w:p w14:paraId="3DF4A5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2</w:t>
            </w:r>
            <w:r>
              <w:rPr>
                <w:rFonts w:hint="eastAsia"/>
                <w:color w:val="auto"/>
                <w:szCs w:val="21"/>
                <w:highlight w:val="none"/>
                <w:lang w:val="en-US" w:eastAsia="zh-CN"/>
              </w:rPr>
              <w:t>2</w:t>
            </w:r>
            <w:r>
              <w:rPr>
                <w:rFonts w:hint="eastAsia"/>
                <w:color w:val="auto"/>
                <w:szCs w:val="21"/>
                <w:highlight w:val="none"/>
                <w:lang w:eastAsia="zh-CN"/>
              </w:rPr>
              <w:t xml:space="preserve">. </w:t>
            </w:r>
            <w:r>
              <w:rPr>
                <w:rFonts w:hint="eastAsia" w:eastAsia="宋体"/>
                <w:color w:val="auto"/>
                <w:szCs w:val="21"/>
                <w:highlight w:val="none"/>
                <w:lang w:eastAsia="zh-CN"/>
              </w:rPr>
              <w:t>清洗：热洗/水洗、支持IHR联机消毒；</w:t>
            </w:r>
          </w:p>
          <w:p w14:paraId="1E237FF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eastAsia="zh-CN"/>
              </w:rPr>
            </w:pPr>
            <w:r>
              <w:rPr>
                <w:rFonts w:hint="eastAsia" w:eastAsia="宋体"/>
                <w:color w:val="auto"/>
                <w:szCs w:val="21"/>
                <w:highlight w:val="none"/>
                <w:lang w:eastAsia="zh-CN"/>
              </w:rPr>
              <w:t>●2</w:t>
            </w:r>
            <w:r>
              <w:rPr>
                <w:rFonts w:hint="eastAsia"/>
                <w:color w:val="auto"/>
                <w:szCs w:val="21"/>
                <w:highlight w:val="none"/>
                <w:lang w:val="en-US" w:eastAsia="zh-CN"/>
              </w:rPr>
              <w:t>3</w:t>
            </w:r>
            <w:r>
              <w:rPr>
                <w:rFonts w:hint="eastAsia"/>
                <w:color w:val="auto"/>
                <w:szCs w:val="21"/>
                <w:highlight w:val="none"/>
                <w:lang w:eastAsia="zh-CN"/>
              </w:rPr>
              <w:t xml:space="preserve">. </w:t>
            </w:r>
            <w:r>
              <w:rPr>
                <w:rFonts w:hint="eastAsia" w:eastAsia="宋体"/>
                <w:color w:val="auto"/>
                <w:szCs w:val="21"/>
                <w:highlight w:val="none"/>
                <w:lang w:eastAsia="zh-CN"/>
              </w:rPr>
              <w:t>消毒：次氯酸钠/醋酸、过氧乙酸、热柠檬酸等多种消毒方式任选；</w:t>
            </w:r>
          </w:p>
          <w:p w14:paraId="1B64651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eastAsia="zh-CN"/>
              </w:rPr>
            </w:pPr>
            <w:r>
              <w:rPr>
                <w:rFonts w:hint="eastAsia" w:eastAsia="宋体"/>
                <w:color w:val="auto"/>
                <w:szCs w:val="21"/>
                <w:highlight w:val="none"/>
                <w:lang w:eastAsia="zh-CN"/>
              </w:rPr>
              <w:t>●2</w:t>
            </w:r>
            <w:r>
              <w:rPr>
                <w:rFonts w:hint="eastAsia"/>
                <w:color w:val="auto"/>
                <w:szCs w:val="21"/>
                <w:highlight w:val="none"/>
                <w:lang w:val="en-US" w:eastAsia="zh-CN"/>
              </w:rPr>
              <w:t>4</w:t>
            </w:r>
            <w:r>
              <w:rPr>
                <w:rFonts w:hint="eastAsia"/>
                <w:color w:val="auto"/>
                <w:szCs w:val="21"/>
                <w:highlight w:val="none"/>
                <w:lang w:eastAsia="zh-CN"/>
              </w:rPr>
              <w:t xml:space="preserve">. </w:t>
            </w:r>
            <w:r>
              <w:rPr>
                <w:rFonts w:hint="eastAsia" w:eastAsia="宋体"/>
                <w:color w:val="auto"/>
                <w:szCs w:val="21"/>
                <w:highlight w:val="none"/>
                <w:lang w:eastAsia="zh-CN"/>
              </w:rPr>
              <w:t>一键式消毒除钙，时间</w:t>
            </w:r>
            <w:r>
              <w:rPr>
                <w:rFonts w:hint="eastAsia"/>
                <w:color w:val="auto"/>
                <w:szCs w:val="21"/>
                <w:highlight w:val="none"/>
                <w:lang w:val="en-US" w:eastAsia="zh-CN"/>
              </w:rPr>
              <w:t>不超过</w:t>
            </w:r>
            <w:r>
              <w:rPr>
                <w:rFonts w:hint="eastAsia" w:eastAsia="宋体"/>
                <w:color w:val="auto"/>
                <w:szCs w:val="21"/>
                <w:highlight w:val="none"/>
                <w:lang w:eastAsia="zh-CN"/>
              </w:rPr>
              <w:t>37分钟；</w:t>
            </w:r>
          </w:p>
          <w:p w14:paraId="60E5A11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2</w:t>
            </w:r>
            <w:r>
              <w:rPr>
                <w:rFonts w:hint="eastAsia"/>
                <w:color w:val="auto"/>
                <w:szCs w:val="21"/>
                <w:highlight w:val="none"/>
                <w:lang w:val="en-US" w:eastAsia="zh-CN"/>
              </w:rPr>
              <w:t>5</w:t>
            </w:r>
            <w:r>
              <w:rPr>
                <w:rFonts w:hint="eastAsia"/>
                <w:color w:val="auto"/>
                <w:szCs w:val="21"/>
                <w:highlight w:val="none"/>
                <w:lang w:eastAsia="zh-CN"/>
              </w:rPr>
              <w:t xml:space="preserve">. </w:t>
            </w:r>
            <w:r>
              <w:rPr>
                <w:rFonts w:hint="eastAsia" w:eastAsia="宋体"/>
                <w:color w:val="auto"/>
                <w:szCs w:val="21"/>
                <w:highlight w:val="none"/>
                <w:lang w:eastAsia="zh-CN"/>
              </w:rPr>
              <w:t>内毒素过滤器：联机产生超纯透析液；</w:t>
            </w:r>
          </w:p>
          <w:p w14:paraId="32D241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eastAsia="宋体"/>
                <w:color w:val="auto"/>
                <w:szCs w:val="21"/>
                <w:highlight w:val="none"/>
                <w:lang w:eastAsia="zh-CN"/>
              </w:rPr>
            </w:pPr>
            <w:r>
              <w:rPr>
                <w:rFonts w:hint="eastAsia" w:eastAsia="宋体"/>
                <w:color w:val="auto"/>
                <w:szCs w:val="21"/>
                <w:highlight w:val="none"/>
                <w:lang w:eastAsia="zh-CN"/>
              </w:rPr>
              <w:t>2</w:t>
            </w:r>
            <w:r>
              <w:rPr>
                <w:rFonts w:hint="eastAsia"/>
                <w:color w:val="auto"/>
                <w:szCs w:val="21"/>
                <w:highlight w:val="none"/>
                <w:lang w:val="en-US" w:eastAsia="zh-CN"/>
              </w:rPr>
              <w:t>6</w:t>
            </w:r>
            <w:r>
              <w:rPr>
                <w:rFonts w:hint="eastAsia"/>
                <w:color w:val="auto"/>
                <w:szCs w:val="21"/>
                <w:highlight w:val="none"/>
                <w:lang w:eastAsia="zh-CN"/>
              </w:rPr>
              <w:t xml:space="preserve">. </w:t>
            </w:r>
            <w:r>
              <w:rPr>
                <w:rFonts w:hint="eastAsia" w:eastAsia="宋体"/>
                <w:color w:val="auto"/>
                <w:szCs w:val="21"/>
                <w:highlight w:val="none"/>
                <w:lang w:eastAsia="zh-CN"/>
              </w:rPr>
              <w:t>干粉筒支架，支持联机配置高品质透析B液；</w:t>
            </w:r>
          </w:p>
          <w:p w14:paraId="057A1B0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eastAsia="zh-CN"/>
              </w:rPr>
            </w:pPr>
            <w:r>
              <w:rPr>
                <w:rFonts w:hint="eastAsia" w:eastAsia="宋体"/>
                <w:color w:val="auto"/>
                <w:szCs w:val="21"/>
                <w:highlight w:val="none"/>
                <w:lang w:eastAsia="zh-CN"/>
              </w:rPr>
              <w:t>●2</w:t>
            </w:r>
            <w:r>
              <w:rPr>
                <w:rFonts w:hint="eastAsia"/>
                <w:color w:val="auto"/>
                <w:szCs w:val="21"/>
                <w:highlight w:val="none"/>
                <w:lang w:val="en-US" w:eastAsia="zh-CN"/>
              </w:rPr>
              <w:t>7</w:t>
            </w:r>
            <w:r>
              <w:rPr>
                <w:rFonts w:hint="eastAsia"/>
                <w:color w:val="auto"/>
                <w:szCs w:val="21"/>
                <w:highlight w:val="none"/>
                <w:lang w:eastAsia="zh-CN"/>
              </w:rPr>
              <w:t xml:space="preserve">. </w:t>
            </w:r>
            <w:r>
              <w:rPr>
                <w:rFonts w:hint="eastAsia"/>
                <w:color w:val="auto"/>
                <w:szCs w:val="21"/>
                <w:highlight w:val="none"/>
                <w:lang w:val="en-US" w:eastAsia="zh-CN"/>
              </w:rPr>
              <w:t>具有</w:t>
            </w:r>
            <w:r>
              <w:rPr>
                <w:rFonts w:hint="eastAsia" w:eastAsia="宋体"/>
                <w:color w:val="auto"/>
                <w:szCs w:val="21"/>
                <w:highlight w:val="none"/>
                <w:lang w:eastAsia="zh-CN"/>
              </w:rPr>
              <w:t>静脉壶液面调整；</w:t>
            </w:r>
          </w:p>
          <w:p w14:paraId="4B23DC9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eastAsia="zh-CN"/>
              </w:rPr>
            </w:pPr>
            <w:r>
              <w:rPr>
                <w:rFonts w:hint="eastAsia" w:eastAsia="宋体"/>
                <w:color w:val="auto"/>
                <w:szCs w:val="21"/>
                <w:highlight w:val="none"/>
                <w:lang w:eastAsia="zh-CN"/>
              </w:rPr>
              <w:t>●</w:t>
            </w:r>
            <w:r>
              <w:rPr>
                <w:rFonts w:hint="eastAsia"/>
                <w:color w:val="auto"/>
                <w:szCs w:val="21"/>
                <w:highlight w:val="none"/>
                <w:lang w:val="en-US" w:eastAsia="zh-CN"/>
              </w:rPr>
              <w:t xml:space="preserve">28. </w:t>
            </w:r>
            <w:r>
              <w:rPr>
                <w:rFonts w:hint="eastAsia" w:eastAsia="宋体"/>
                <w:color w:val="auto"/>
                <w:szCs w:val="21"/>
                <w:highlight w:val="none"/>
                <w:lang w:eastAsia="zh-CN"/>
              </w:rPr>
              <w:t>引血模式支持单向引血，可以使用</w:t>
            </w:r>
            <w:r>
              <w:rPr>
                <w:rFonts w:hint="eastAsia"/>
                <w:color w:val="auto"/>
                <w:szCs w:val="21"/>
                <w:highlight w:val="none"/>
                <w:lang w:val="en-US" w:eastAsia="zh-CN"/>
              </w:rPr>
              <w:t>置换</w:t>
            </w:r>
            <w:r>
              <w:rPr>
                <w:rFonts w:hint="eastAsia" w:eastAsia="宋体"/>
                <w:color w:val="auto"/>
                <w:szCs w:val="21"/>
                <w:highlight w:val="none"/>
                <w:lang w:eastAsia="zh-CN"/>
              </w:rPr>
              <w:t>液在线回血，可追加回血量</w:t>
            </w:r>
          </w:p>
          <w:p w14:paraId="563D8EB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eastAsia="zh-CN"/>
              </w:rPr>
            </w:pPr>
            <w:r>
              <w:rPr>
                <w:rFonts w:hint="eastAsia" w:eastAsia="宋体"/>
                <w:color w:val="auto"/>
                <w:szCs w:val="21"/>
                <w:highlight w:val="none"/>
                <w:lang w:eastAsia="zh-CN"/>
              </w:rPr>
              <w:t>●</w:t>
            </w:r>
            <w:r>
              <w:rPr>
                <w:rFonts w:hint="eastAsia"/>
                <w:color w:val="auto"/>
                <w:szCs w:val="21"/>
                <w:highlight w:val="none"/>
                <w:lang w:val="en-US" w:eastAsia="zh-CN"/>
              </w:rPr>
              <w:t>29</w:t>
            </w:r>
            <w:r>
              <w:rPr>
                <w:rFonts w:hint="eastAsia"/>
                <w:color w:val="auto"/>
                <w:szCs w:val="21"/>
                <w:highlight w:val="none"/>
                <w:lang w:eastAsia="zh-CN"/>
              </w:rPr>
              <w:t xml:space="preserve">. </w:t>
            </w:r>
            <w:r>
              <w:rPr>
                <w:rFonts w:hint="eastAsia" w:eastAsia="宋体"/>
                <w:color w:val="auto"/>
                <w:szCs w:val="21"/>
                <w:highlight w:val="none"/>
                <w:lang w:eastAsia="zh-CN"/>
              </w:rPr>
              <w:t>在引血的时候，可把管路和透析器里面的盐水通过旁路排出；</w:t>
            </w:r>
          </w:p>
          <w:p w14:paraId="1217B7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eastAsia="zh-CN"/>
              </w:rPr>
            </w:pPr>
            <w:r>
              <w:rPr>
                <w:rFonts w:hint="eastAsia" w:eastAsia="宋体"/>
                <w:color w:val="auto"/>
                <w:szCs w:val="21"/>
                <w:highlight w:val="none"/>
                <w:lang w:eastAsia="zh-CN"/>
              </w:rPr>
              <w:t>●3</w:t>
            </w:r>
            <w:r>
              <w:rPr>
                <w:rFonts w:hint="eastAsia"/>
                <w:color w:val="auto"/>
                <w:szCs w:val="21"/>
                <w:highlight w:val="none"/>
                <w:lang w:val="en-US" w:eastAsia="zh-CN"/>
              </w:rPr>
              <w:t>0</w:t>
            </w:r>
            <w:r>
              <w:rPr>
                <w:rFonts w:hint="eastAsia"/>
                <w:color w:val="auto"/>
                <w:szCs w:val="21"/>
                <w:highlight w:val="none"/>
                <w:lang w:eastAsia="zh-CN"/>
              </w:rPr>
              <w:t xml:space="preserve">. </w:t>
            </w:r>
            <w:r>
              <w:rPr>
                <w:rFonts w:hint="eastAsia" w:eastAsia="宋体"/>
                <w:color w:val="auto"/>
                <w:szCs w:val="21"/>
                <w:highlight w:val="none"/>
                <w:lang w:eastAsia="zh-CN"/>
              </w:rPr>
              <w:t>具有安全键，当病人出现不适，可以通过安全键，把病人的治疗参数降到一个安全水平；</w:t>
            </w:r>
          </w:p>
          <w:p w14:paraId="5780EAB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10" w:firstLineChars="100"/>
              <w:textAlignment w:val="auto"/>
              <w:rPr>
                <w:rFonts w:hint="eastAsia" w:eastAsia="宋体"/>
                <w:color w:val="auto"/>
                <w:szCs w:val="21"/>
                <w:highlight w:val="none"/>
                <w:lang w:eastAsia="zh-CN"/>
              </w:rPr>
            </w:pPr>
            <w:r>
              <w:rPr>
                <w:rFonts w:hint="eastAsia" w:eastAsia="宋体"/>
                <w:color w:val="auto"/>
                <w:szCs w:val="21"/>
                <w:highlight w:val="none"/>
                <w:lang w:eastAsia="zh-CN"/>
              </w:rPr>
              <w:t>●3</w:t>
            </w:r>
            <w:r>
              <w:rPr>
                <w:rFonts w:hint="eastAsia"/>
                <w:color w:val="auto"/>
                <w:szCs w:val="21"/>
                <w:highlight w:val="none"/>
                <w:lang w:val="en-US" w:eastAsia="zh-CN"/>
              </w:rPr>
              <w:t>1</w:t>
            </w:r>
            <w:r>
              <w:rPr>
                <w:rFonts w:hint="eastAsia"/>
                <w:color w:val="auto"/>
                <w:szCs w:val="21"/>
                <w:highlight w:val="none"/>
                <w:lang w:eastAsia="zh-CN"/>
              </w:rPr>
              <w:t xml:space="preserve">. </w:t>
            </w:r>
            <w:r>
              <w:rPr>
                <w:rFonts w:hint="eastAsia" w:eastAsia="宋体"/>
                <w:color w:val="auto"/>
                <w:szCs w:val="21"/>
                <w:highlight w:val="none"/>
                <w:lang w:eastAsia="zh-CN"/>
              </w:rPr>
              <w:t>治疗结束后可将透析器和管路里面的残留液体排空；</w:t>
            </w:r>
          </w:p>
          <w:p w14:paraId="3427DF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210" w:firstLineChars="100"/>
              <w:textAlignment w:val="auto"/>
              <w:rPr>
                <w:rFonts w:hint="eastAsia" w:eastAsia="宋体"/>
                <w:color w:val="auto"/>
                <w:szCs w:val="21"/>
                <w:highlight w:val="none"/>
                <w:lang w:eastAsia="zh-CN"/>
              </w:rPr>
            </w:pPr>
            <w:r>
              <w:rPr>
                <w:rFonts w:hint="eastAsia" w:eastAsia="宋体"/>
                <w:color w:val="auto"/>
                <w:szCs w:val="21"/>
                <w:highlight w:val="none"/>
                <w:lang w:eastAsia="zh-CN"/>
              </w:rPr>
              <w:t>▲3</w:t>
            </w:r>
            <w:r>
              <w:rPr>
                <w:rFonts w:hint="eastAsia"/>
                <w:color w:val="auto"/>
                <w:szCs w:val="21"/>
                <w:highlight w:val="none"/>
                <w:lang w:val="en-US" w:eastAsia="zh-CN"/>
              </w:rPr>
              <w:t>2</w:t>
            </w:r>
            <w:r>
              <w:rPr>
                <w:rFonts w:hint="eastAsia"/>
                <w:color w:val="auto"/>
                <w:szCs w:val="21"/>
                <w:highlight w:val="none"/>
                <w:lang w:eastAsia="zh-CN"/>
              </w:rPr>
              <w:t xml:space="preserve">. </w:t>
            </w:r>
            <w:r>
              <w:rPr>
                <w:rFonts w:hint="eastAsia" w:eastAsia="宋体"/>
                <w:color w:val="auto"/>
                <w:szCs w:val="21"/>
                <w:highlight w:val="none"/>
                <w:lang w:eastAsia="zh-CN"/>
              </w:rPr>
              <w:t>具备在线Kt/V实时清除率监测功能、在线无创血压监测功能、血容量监测功能、体外循环血液温度监测功能。</w:t>
            </w:r>
          </w:p>
          <w:p w14:paraId="1B1BE02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210" w:firstLineChars="100"/>
              <w:textAlignment w:val="auto"/>
              <w:rPr>
                <w:rFonts w:hint="eastAsia" w:eastAsia="宋体"/>
                <w:color w:val="auto"/>
                <w:szCs w:val="21"/>
                <w:highlight w:val="none"/>
                <w:lang w:eastAsia="zh-CN"/>
              </w:rPr>
            </w:pPr>
            <w:r>
              <w:rPr>
                <w:rFonts w:hint="eastAsia" w:eastAsia="宋体"/>
                <w:color w:val="auto"/>
                <w:szCs w:val="21"/>
                <w:highlight w:val="none"/>
                <w:lang w:val="en-US" w:eastAsia="zh-CN"/>
              </w:rPr>
              <w:t>▲3</w:t>
            </w:r>
            <w:r>
              <w:rPr>
                <w:rFonts w:hint="eastAsia"/>
                <w:color w:val="auto"/>
                <w:szCs w:val="21"/>
                <w:highlight w:val="none"/>
                <w:lang w:val="en-US" w:eastAsia="zh-CN"/>
              </w:rPr>
              <w:t>3</w:t>
            </w:r>
            <w:r>
              <w:rPr>
                <w:rFonts w:hint="eastAsia" w:eastAsia="宋体"/>
                <w:color w:val="auto"/>
                <w:szCs w:val="21"/>
                <w:highlight w:val="none"/>
                <w:lang w:val="en-US" w:eastAsia="zh-CN"/>
              </w:rPr>
              <w:t>.适配医院在用集中供液系统（型号：WJ-GYR-200），厂家：杭州万洁水处理设备有限公司。（</w:t>
            </w:r>
            <w:r>
              <w:rPr>
                <w:rFonts w:hint="eastAsia"/>
                <w:color w:val="auto"/>
                <w:szCs w:val="21"/>
                <w:highlight w:val="none"/>
                <w:lang w:val="en-US" w:eastAsia="zh-CN"/>
              </w:rPr>
              <w:t>须</w:t>
            </w:r>
            <w:r>
              <w:rPr>
                <w:rFonts w:hint="eastAsia" w:eastAsia="宋体"/>
                <w:color w:val="auto"/>
                <w:szCs w:val="21"/>
                <w:highlight w:val="none"/>
                <w:lang w:val="en-US" w:eastAsia="zh-CN"/>
              </w:rPr>
              <w:t>提供集中供液接口证明材料并附承诺函并加盖公司公章）</w:t>
            </w:r>
          </w:p>
        </w:tc>
        <w:tc>
          <w:tcPr>
            <w:tcW w:w="1011" w:type="dxa"/>
            <w:tcBorders>
              <w:left w:val="single" w:color="auto" w:sz="4" w:space="0"/>
              <w:right w:val="single" w:color="auto" w:sz="4" w:space="0"/>
            </w:tcBorders>
            <w:noWrap w:val="0"/>
            <w:vAlign w:val="center"/>
          </w:tcPr>
          <w:p w14:paraId="34015A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19</w:t>
            </w:r>
          </w:p>
        </w:tc>
      </w:tr>
      <w:tr w14:paraId="6BFAC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9862" w:type="dxa"/>
            <w:gridSpan w:val="7"/>
            <w:tcBorders>
              <w:right w:val="single" w:color="auto" w:sz="4" w:space="0"/>
            </w:tcBorders>
            <w:shd w:val="clear" w:color="auto" w:fill="auto"/>
            <w:noWrap w:val="0"/>
            <w:vAlign w:val="center"/>
          </w:tcPr>
          <w:p w14:paraId="02839B2B">
            <w:pPr>
              <w:keepNext w:val="0"/>
              <w:keepLines w:val="0"/>
              <w:pageBreakBefore w:val="0"/>
              <w:widowControl w:val="0"/>
              <w:kinsoku/>
              <w:wordWrap/>
              <w:overflowPunct/>
              <w:topLinePunct w:val="0"/>
              <w:autoSpaceDE/>
              <w:autoSpaceDN/>
              <w:bidi w:val="0"/>
              <w:adjustRightInd/>
              <w:spacing w:line="240" w:lineRule="auto"/>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b/>
                <w:bCs/>
                <w:color w:val="auto"/>
                <w:sz w:val="24"/>
                <w:szCs w:val="24"/>
                <w:highlight w:val="none"/>
                <w:lang w:val="en-US" w:eastAsia="zh-CN"/>
              </w:rPr>
              <w:t>▲三、商务要求</w:t>
            </w:r>
          </w:p>
        </w:tc>
      </w:tr>
      <w:tr w14:paraId="1118A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958" w:type="dxa"/>
            <w:gridSpan w:val="5"/>
            <w:tcBorders>
              <w:right w:val="single" w:color="auto" w:sz="4" w:space="0"/>
            </w:tcBorders>
            <w:shd w:val="clear" w:color="auto" w:fill="auto"/>
            <w:noWrap w:val="0"/>
            <w:vAlign w:val="center"/>
          </w:tcPr>
          <w:p w14:paraId="374283E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Cs w:val="21"/>
                <w:highlight w:val="none"/>
              </w:rPr>
              <w:t>报价要求</w:t>
            </w:r>
          </w:p>
        </w:tc>
        <w:tc>
          <w:tcPr>
            <w:tcW w:w="6904" w:type="dxa"/>
            <w:gridSpan w:val="2"/>
            <w:tcBorders>
              <w:right w:val="single" w:color="auto" w:sz="4" w:space="0"/>
            </w:tcBorders>
            <w:shd w:val="clear" w:color="auto" w:fill="auto"/>
            <w:noWrap w:val="0"/>
            <w:vAlign w:val="center"/>
          </w:tcPr>
          <w:p w14:paraId="7B46D55F">
            <w:pPr>
              <w:keepNext w:val="0"/>
              <w:keepLines w:val="0"/>
              <w:pageBreakBefore w:val="0"/>
              <w:widowControl w:val="0"/>
              <w:kinsoku/>
              <w:wordWrap/>
              <w:overflowPunct/>
              <w:topLinePunct w:val="0"/>
              <w:autoSpaceDE/>
              <w:autoSpaceDN/>
              <w:bidi w:val="0"/>
              <w:adjustRightInd/>
              <w:spacing w:line="240" w:lineRule="auto"/>
              <w:ind w:firstLine="420" w:firstLineChars="20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rPr>
              <w:t>本次报价须为人民币报价，包含产品</w:t>
            </w:r>
            <w:r>
              <w:rPr>
                <w:rFonts w:hint="eastAsia" w:cs="Times New Roman"/>
                <w:color w:val="auto"/>
                <w:sz w:val="21"/>
                <w:szCs w:val="21"/>
                <w:highlight w:val="none"/>
                <w:lang w:eastAsia="zh-CN"/>
              </w:rPr>
              <w:t>价格</w:t>
            </w:r>
            <w:r>
              <w:rPr>
                <w:rFonts w:hint="eastAsia" w:ascii="Times New Roman" w:hAnsi="Times New Roman" w:eastAsia="宋体" w:cs="Times New Roman"/>
                <w:color w:val="auto"/>
                <w:sz w:val="21"/>
                <w:szCs w:val="21"/>
                <w:highlight w:val="none"/>
              </w:rPr>
              <w:t>、</w:t>
            </w:r>
            <w:r>
              <w:rPr>
                <w:rFonts w:hint="eastAsia" w:cs="Times New Roman"/>
                <w:color w:val="auto"/>
                <w:sz w:val="21"/>
                <w:szCs w:val="21"/>
                <w:highlight w:val="none"/>
                <w:lang w:val="en-US" w:eastAsia="zh-CN"/>
              </w:rPr>
              <w:t>招标代理费、</w:t>
            </w:r>
            <w:r>
              <w:rPr>
                <w:rFonts w:hint="eastAsia" w:ascii="Times New Roman" w:hAnsi="Times New Roman" w:eastAsia="宋体" w:cs="Times New Roman"/>
                <w:color w:val="auto"/>
                <w:sz w:val="21"/>
                <w:szCs w:val="21"/>
                <w:highlight w:val="none"/>
              </w:rPr>
              <w:t>运输费（含装卸费）、保险费、安装调试费、税费、培训费、产品检测费、产品质保期内维护费等费用。对于本文件中明确列明必须报价的货物或服务，供应商应分别报价。对于本文件中未列明，而供应商认为必需的费用也需列入总报价。在合同实施时，采购人将不予支付</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没有列入的项目费用，并认为此项目的费用已包括在投标总报价中。</w:t>
            </w:r>
          </w:p>
        </w:tc>
      </w:tr>
      <w:tr w14:paraId="63B34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958" w:type="dxa"/>
            <w:gridSpan w:val="5"/>
            <w:tcBorders>
              <w:right w:val="single" w:color="auto" w:sz="4" w:space="0"/>
            </w:tcBorders>
            <w:shd w:val="clear" w:color="auto" w:fill="auto"/>
            <w:noWrap w:val="0"/>
            <w:vAlign w:val="center"/>
          </w:tcPr>
          <w:p w14:paraId="09DB8C9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Cs w:val="21"/>
                <w:highlight w:val="none"/>
              </w:rPr>
              <w:t>合同签订日期</w:t>
            </w:r>
          </w:p>
        </w:tc>
        <w:tc>
          <w:tcPr>
            <w:tcW w:w="6904" w:type="dxa"/>
            <w:gridSpan w:val="2"/>
            <w:tcBorders>
              <w:right w:val="single" w:color="auto" w:sz="4" w:space="0"/>
            </w:tcBorders>
            <w:shd w:val="clear" w:color="auto" w:fill="auto"/>
            <w:noWrap w:val="0"/>
            <w:vAlign w:val="center"/>
          </w:tcPr>
          <w:p w14:paraId="00B6C2E2">
            <w:pPr>
              <w:keepNext w:val="0"/>
              <w:keepLines w:val="0"/>
              <w:pageBreakBefore w:val="0"/>
              <w:wordWrap/>
              <w:overflowPunct/>
              <w:topLinePunct w:val="0"/>
              <w:bidi w:val="0"/>
              <w:spacing w:line="240" w:lineRule="auto"/>
              <w:jc w:val="left"/>
              <w:rPr>
                <w:rFonts w:hint="eastAsia"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sz w:val="21"/>
                <w:szCs w:val="21"/>
                <w:highlight w:val="none"/>
                <w:lang w:eastAsia="zh-CN"/>
              </w:rPr>
              <w:t>成交</w:t>
            </w:r>
            <w:r>
              <w:rPr>
                <w:rFonts w:hint="eastAsia" w:ascii="Times New Roman" w:hAnsi="Times New Roman" w:eastAsia="宋体" w:cs="Times New Roman"/>
                <w:color w:val="auto"/>
                <w:sz w:val="21"/>
                <w:szCs w:val="21"/>
                <w:highlight w:val="none"/>
              </w:rPr>
              <w:t>通知书发出后25日内。</w:t>
            </w:r>
          </w:p>
        </w:tc>
      </w:tr>
      <w:tr w14:paraId="2FF1B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958" w:type="dxa"/>
            <w:gridSpan w:val="5"/>
            <w:tcBorders>
              <w:right w:val="single" w:color="auto" w:sz="4" w:space="0"/>
            </w:tcBorders>
            <w:shd w:val="clear" w:color="auto" w:fill="auto"/>
            <w:noWrap w:val="0"/>
            <w:vAlign w:val="center"/>
          </w:tcPr>
          <w:p w14:paraId="1412615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b w:val="0"/>
                <w:bCs w:val="0"/>
                <w:color w:val="auto"/>
                <w:szCs w:val="21"/>
                <w:highlight w:val="none"/>
              </w:rPr>
            </w:pPr>
            <w:r>
              <w:rPr>
                <w:rFonts w:hint="eastAsia"/>
                <w:b w:val="0"/>
                <w:bCs w:val="0"/>
                <w:color w:val="auto"/>
                <w:szCs w:val="21"/>
                <w:highlight w:val="none"/>
              </w:rPr>
              <w:t>交货（实施）</w:t>
            </w:r>
          </w:p>
          <w:p w14:paraId="4D4C8CEB">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Cs w:val="21"/>
                <w:highlight w:val="none"/>
              </w:rPr>
              <w:t>时间</w:t>
            </w:r>
          </w:p>
        </w:tc>
        <w:tc>
          <w:tcPr>
            <w:tcW w:w="6904" w:type="dxa"/>
            <w:gridSpan w:val="2"/>
            <w:tcBorders>
              <w:right w:val="single" w:color="auto" w:sz="4" w:space="0"/>
            </w:tcBorders>
            <w:shd w:val="clear" w:color="auto" w:fill="auto"/>
            <w:noWrap w:val="0"/>
            <w:vAlign w:val="center"/>
          </w:tcPr>
          <w:p w14:paraId="75EBE616">
            <w:pPr>
              <w:keepNext w:val="0"/>
              <w:keepLines w:val="0"/>
              <w:pageBreakBefore w:val="0"/>
              <w:widowControl/>
              <w:kinsoku w:val="0"/>
              <w:wordWrap/>
              <w:overflowPunct/>
              <w:topLinePunct w:val="0"/>
              <w:autoSpaceDE w:val="0"/>
              <w:autoSpaceDN w:val="0"/>
              <w:bidi w:val="0"/>
              <w:adjustRightInd w:val="0"/>
              <w:snapToGrid w:val="0"/>
              <w:spacing w:before="112" w:line="280" w:lineRule="auto"/>
              <w:ind w:right="109" w:rightChars="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eastAsia="en-US"/>
              </w:rPr>
              <w:t>自签订合同之日起</w:t>
            </w:r>
            <w:r>
              <w:rPr>
                <w:rFonts w:hint="eastAsia" w:ascii="Times New Roman" w:hAnsi="Times New Roman" w:eastAsia="宋体" w:cs="Times New Roman"/>
                <w:color w:val="auto"/>
                <w:sz w:val="21"/>
                <w:szCs w:val="21"/>
                <w:highlight w:val="none"/>
                <w:lang w:val="en-US" w:eastAsia="zh-CN"/>
              </w:rPr>
              <w:t>30</w:t>
            </w:r>
            <w:r>
              <w:rPr>
                <w:rFonts w:hint="eastAsia" w:ascii="Times New Roman" w:hAnsi="Times New Roman" w:eastAsia="宋体" w:cs="Times New Roman"/>
                <w:color w:val="auto"/>
                <w:sz w:val="21"/>
                <w:szCs w:val="21"/>
                <w:highlight w:val="none"/>
                <w:lang w:eastAsia="en-US"/>
              </w:rPr>
              <w:t>日历天内全部安装调试合格完毕并交付使用。</w:t>
            </w:r>
          </w:p>
        </w:tc>
      </w:tr>
      <w:tr w14:paraId="7C20B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2958" w:type="dxa"/>
            <w:gridSpan w:val="5"/>
            <w:tcBorders>
              <w:right w:val="single" w:color="auto" w:sz="4" w:space="0"/>
            </w:tcBorders>
            <w:shd w:val="clear" w:color="auto" w:fill="auto"/>
            <w:noWrap w:val="0"/>
            <w:vAlign w:val="center"/>
          </w:tcPr>
          <w:p w14:paraId="4E3E7A0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b w:val="0"/>
                <w:bCs w:val="0"/>
                <w:color w:val="auto"/>
                <w:szCs w:val="21"/>
                <w:highlight w:val="none"/>
              </w:rPr>
            </w:pPr>
            <w:r>
              <w:rPr>
                <w:rFonts w:hint="eastAsia"/>
                <w:b w:val="0"/>
                <w:bCs w:val="0"/>
                <w:color w:val="auto"/>
                <w:szCs w:val="21"/>
                <w:highlight w:val="none"/>
              </w:rPr>
              <w:t>交货地点或</w:t>
            </w:r>
          </w:p>
          <w:p w14:paraId="4F1F7CF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Cs w:val="21"/>
                <w:highlight w:val="none"/>
              </w:rPr>
              <w:t>服务地点</w:t>
            </w:r>
          </w:p>
        </w:tc>
        <w:tc>
          <w:tcPr>
            <w:tcW w:w="6904" w:type="dxa"/>
            <w:gridSpan w:val="2"/>
            <w:tcBorders>
              <w:right w:val="single" w:color="auto" w:sz="4" w:space="0"/>
            </w:tcBorders>
            <w:shd w:val="clear" w:color="auto" w:fill="auto"/>
            <w:noWrap w:val="0"/>
            <w:vAlign w:val="center"/>
          </w:tcPr>
          <w:p w14:paraId="393F32AD">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Times New Roman" w:hAnsi="Times New Roman" w:eastAsia="宋体" w:cs="Times New Roman"/>
                <w:color w:val="auto"/>
                <w:kern w:val="2"/>
                <w:sz w:val="21"/>
                <w:szCs w:val="21"/>
                <w:highlight w:val="none"/>
                <w:lang w:val="en-US" w:eastAsia="zh-CN" w:bidi="ar-SA"/>
              </w:rPr>
            </w:pPr>
            <w:r>
              <w:rPr>
                <w:color w:val="auto"/>
                <w:spacing w:val="7"/>
                <w:highlight w:val="none"/>
              </w:rPr>
              <w:t>采购人指定地点</w:t>
            </w:r>
          </w:p>
        </w:tc>
      </w:tr>
      <w:tr w14:paraId="67D58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958" w:type="dxa"/>
            <w:gridSpan w:val="5"/>
            <w:tcBorders>
              <w:right w:val="single" w:color="auto" w:sz="4" w:space="0"/>
            </w:tcBorders>
            <w:shd w:val="clear" w:color="auto" w:fill="auto"/>
            <w:noWrap w:val="0"/>
            <w:vAlign w:val="center"/>
          </w:tcPr>
          <w:p w14:paraId="4657A71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Cs w:val="21"/>
                <w:highlight w:val="none"/>
              </w:rPr>
              <w:t>验收标准</w:t>
            </w:r>
          </w:p>
        </w:tc>
        <w:tc>
          <w:tcPr>
            <w:tcW w:w="6904" w:type="dxa"/>
            <w:gridSpan w:val="2"/>
            <w:tcBorders>
              <w:right w:val="single" w:color="auto" w:sz="4" w:space="0"/>
            </w:tcBorders>
            <w:shd w:val="clear" w:color="auto" w:fill="auto"/>
            <w:noWrap w:val="0"/>
            <w:vAlign w:val="center"/>
          </w:tcPr>
          <w:p w14:paraId="0114457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rPr>
              <w:t xml:space="preserve"> </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应将所提供货物的装箱清单、用户手册、原厂保修卡、随机资料、工具和备品、备件等交付给采购人，如有缺失应在采购人要求的期限内及时补齐，否则视为逾期交货。</w:t>
            </w:r>
          </w:p>
          <w:p w14:paraId="0D3BC0C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 xml:space="preserve">. </w:t>
            </w:r>
            <w:r>
              <w:rPr>
                <w:rFonts w:hint="eastAsia" w:ascii="Times New Roman" w:hAnsi="Times New Roman" w:eastAsia="宋体" w:cs="Times New Roman"/>
                <w:color w:val="auto"/>
                <w:sz w:val="21"/>
                <w:szCs w:val="21"/>
                <w:highlight w:val="none"/>
                <w:lang w:val="en-US" w:eastAsia="zh-CN"/>
              </w:rPr>
              <w:t>如有需要，</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需承担供货时产品质量抽样检测的相关费用以及项目验收时发生的一切费用。</w:t>
            </w:r>
          </w:p>
          <w:p w14:paraId="5CD3644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eastAsia" w:cs="Times New Roman"/>
                <w:color w:val="auto"/>
                <w:sz w:val="21"/>
                <w:szCs w:val="21"/>
                <w:highlight w:val="none"/>
                <w:lang w:val="en-US" w:eastAsia="zh-CN"/>
              </w:rPr>
              <w:t xml:space="preserve">. </w:t>
            </w:r>
            <w:r>
              <w:rPr>
                <w:rFonts w:hint="eastAsia" w:ascii="Times New Roman" w:hAnsi="Times New Roman" w:eastAsia="宋体" w:cs="Times New Roman"/>
                <w:color w:val="auto"/>
                <w:sz w:val="21"/>
                <w:szCs w:val="21"/>
                <w:highlight w:val="none"/>
              </w:rPr>
              <w:t>采购人将依据采购文件上的技术要求和国家有关质量标准对</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提交的货物进行初步验收，初步验收不合格的，采购人有权不予签收；在本项目验收时，</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如提供不符合采购文件、响应文件和采购合同规定的服务，采购人有权拒绝接受，由此产生的一切损失均由</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自行承担。</w:t>
            </w:r>
          </w:p>
          <w:p w14:paraId="6085AB06">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 xml:space="preserve">4. </w:t>
            </w:r>
            <w:r>
              <w:rPr>
                <w:rFonts w:hint="eastAsia" w:ascii="Times New Roman" w:hAnsi="Times New Roman" w:eastAsia="宋体" w:cs="Times New Roman"/>
                <w:color w:val="auto"/>
                <w:sz w:val="21"/>
                <w:szCs w:val="21"/>
                <w:highlight w:val="none"/>
              </w:rPr>
              <w:t>验收标准</w:t>
            </w:r>
          </w:p>
          <w:p w14:paraId="075090E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1）项目采购文件及</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响应文件中的“技术要求的响应表”，逐条验收；</w:t>
            </w:r>
          </w:p>
          <w:p w14:paraId="18D97B4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2）项目采购文件及</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响应文件中的“商务要求的响应表”，逐条验收；</w:t>
            </w:r>
          </w:p>
          <w:p w14:paraId="6E93F7B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3）</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响应文件中其他技术、服务、商务性的说明、承诺事项，逐条验收；</w:t>
            </w:r>
          </w:p>
          <w:p w14:paraId="394546D7">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4）国家相关</w:t>
            </w:r>
            <w:r>
              <w:rPr>
                <w:rFonts w:hint="eastAsia" w:cs="Times New Roman"/>
                <w:color w:val="auto"/>
                <w:sz w:val="21"/>
                <w:szCs w:val="21"/>
                <w:highlight w:val="none"/>
                <w:lang w:eastAsia="zh-CN"/>
              </w:rPr>
              <w:t>法律法规</w:t>
            </w:r>
            <w:r>
              <w:rPr>
                <w:rFonts w:hint="eastAsia" w:ascii="Times New Roman" w:hAnsi="Times New Roman" w:eastAsia="宋体" w:cs="Times New Roman"/>
                <w:color w:val="auto"/>
                <w:sz w:val="21"/>
                <w:szCs w:val="21"/>
                <w:highlight w:val="none"/>
              </w:rPr>
              <w:t>、标准和规范等。</w:t>
            </w:r>
          </w:p>
          <w:p w14:paraId="677D19B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rPr>
              <w:t>其余内容详见采购文件合同主要条款格式部分</w:t>
            </w:r>
            <w:r>
              <w:rPr>
                <w:rFonts w:hint="eastAsia" w:cs="Times New Roman"/>
                <w:color w:val="auto"/>
                <w:sz w:val="21"/>
                <w:szCs w:val="21"/>
                <w:highlight w:val="none"/>
                <w:lang w:eastAsia="zh-CN"/>
              </w:rPr>
              <w:t>。</w:t>
            </w:r>
          </w:p>
          <w:p w14:paraId="40CA46C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6</w:t>
            </w:r>
            <w:r>
              <w:rPr>
                <w:rFonts w:hint="eastAsia" w:cs="Times New Roman"/>
                <w:color w:val="auto"/>
                <w:sz w:val="21"/>
                <w:szCs w:val="21"/>
                <w:highlight w:val="none"/>
                <w:lang w:val="en-US" w:eastAsia="zh-CN"/>
              </w:rPr>
              <w:t xml:space="preserve">. </w:t>
            </w:r>
            <w:r>
              <w:rPr>
                <w:rFonts w:hint="eastAsia" w:ascii="Times New Roman" w:hAnsi="Times New Roman" w:eastAsia="宋体" w:cs="Times New Roman"/>
                <w:color w:val="auto"/>
                <w:sz w:val="21"/>
                <w:szCs w:val="21"/>
                <w:highlight w:val="none"/>
              </w:rPr>
              <w:t>其他要求</w:t>
            </w:r>
          </w:p>
          <w:p w14:paraId="6725824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1）</w:t>
            </w:r>
            <w:r>
              <w:rPr>
                <w:rFonts w:hint="eastAsia" w:eastAsia="宋体" w:cs="Times New Roman"/>
                <w:color w:val="auto"/>
                <w:sz w:val="21"/>
                <w:szCs w:val="21"/>
                <w:highlight w:val="none"/>
                <w:lang w:eastAsia="zh-CN"/>
              </w:rPr>
              <w:t>成交</w:t>
            </w:r>
            <w:r>
              <w:rPr>
                <w:rFonts w:hint="eastAsia" w:ascii="Times New Roman" w:hAnsi="Times New Roman" w:eastAsia="宋体" w:cs="Times New Roman"/>
                <w:color w:val="auto"/>
                <w:sz w:val="21"/>
                <w:szCs w:val="21"/>
                <w:highlight w:val="none"/>
              </w:rPr>
              <w:t>后，采购人在货物验收环节发现设备的技术参数指标达不到</w:t>
            </w:r>
            <w:r>
              <w:rPr>
                <w:rFonts w:hint="eastAsia" w:eastAsia="宋体" w:cs="Times New Roman"/>
                <w:color w:val="auto"/>
                <w:sz w:val="21"/>
                <w:szCs w:val="21"/>
                <w:highlight w:val="none"/>
                <w:lang w:eastAsia="zh-CN"/>
              </w:rPr>
              <w:t>响应文件</w:t>
            </w:r>
            <w:r>
              <w:rPr>
                <w:rFonts w:hint="eastAsia" w:ascii="Times New Roman" w:hAnsi="Times New Roman" w:eastAsia="宋体" w:cs="Times New Roman"/>
                <w:color w:val="auto"/>
                <w:sz w:val="21"/>
                <w:szCs w:val="21"/>
                <w:highlight w:val="none"/>
              </w:rPr>
              <w:t>中技术参数响应的内容，</w:t>
            </w:r>
            <w:r>
              <w:rPr>
                <w:rFonts w:hint="eastAsia" w:cs="Times New Roman"/>
                <w:color w:val="auto"/>
                <w:sz w:val="21"/>
                <w:szCs w:val="21"/>
                <w:highlight w:val="none"/>
                <w:lang w:eastAsia="zh-CN"/>
              </w:rPr>
              <w:t>属于</w:t>
            </w:r>
            <w:r>
              <w:rPr>
                <w:rFonts w:hint="eastAsia" w:ascii="Times New Roman" w:hAnsi="Times New Roman" w:eastAsia="宋体" w:cs="Times New Roman"/>
                <w:color w:val="auto"/>
                <w:sz w:val="21"/>
                <w:szCs w:val="21"/>
                <w:highlight w:val="none"/>
              </w:rPr>
              <w:t>虚假响应行为，采购人有权终止合同拒收货物，并追究</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违约责任，</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须赔偿给采购人造成的经济损失，同时视情形将违约情况上报监督管理部门。</w:t>
            </w:r>
          </w:p>
          <w:p w14:paraId="4F66EE2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2）</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交付前需对投标时提供的证明材料（包括中文版技术白皮书和产品使用说明书检测报告等佐证文件）进行整理，原件备查。作为采购人收货验收和使用的技术条件依据，检验的结果应随货物交采购人。</w:t>
            </w:r>
          </w:p>
          <w:p w14:paraId="0333819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7</w:t>
            </w:r>
            <w:r>
              <w:rPr>
                <w:rFonts w:hint="eastAsia" w:cs="Times New Roman"/>
                <w:color w:val="auto"/>
                <w:sz w:val="21"/>
                <w:szCs w:val="21"/>
                <w:highlight w:val="none"/>
                <w:lang w:val="en-US" w:eastAsia="zh-CN"/>
              </w:rPr>
              <w:t xml:space="preserve">. </w:t>
            </w:r>
            <w:r>
              <w:rPr>
                <w:rFonts w:hint="eastAsia" w:ascii="Times New Roman" w:hAnsi="Times New Roman" w:eastAsia="宋体" w:cs="Times New Roman"/>
                <w:color w:val="auto"/>
                <w:sz w:val="21"/>
                <w:szCs w:val="21"/>
                <w:highlight w:val="none"/>
              </w:rPr>
              <w:t>若采购人委托第三方组织的验收项目，其验收时间以该项目验收方案确定的验收时间为准，验收结果以该项目验收报告结论为准。在验收过程中发现</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有违约问题，可暂缓资金结算，待违约问题解决后，方可办理资金结算事宜，在此期间，采购人不承担逾期付款责任。</w:t>
            </w:r>
          </w:p>
          <w:p w14:paraId="08202D9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8</w:t>
            </w:r>
            <w:r>
              <w:rPr>
                <w:rFonts w:hint="eastAsia" w:cs="Times New Roman"/>
                <w:color w:val="auto"/>
                <w:sz w:val="21"/>
                <w:szCs w:val="21"/>
                <w:highlight w:val="none"/>
                <w:lang w:val="en-US" w:eastAsia="zh-CN"/>
              </w:rPr>
              <w:t xml:space="preserve">. </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提供的货物与</w:t>
            </w:r>
            <w:r>
              <w:rPr>
                <w:rFonts w:hint="eastAsia" w:eastAsia="宋体" w:cs="Times New Roman"/>
                <w:color w:val="auto"/>
                <w:sz w:val="21"/>
                <w:szCs w:val="21"/>
                <w:highlight w:val="none"/>
                <w:lang w:eastAsia="zh-CN"/>
              </w:rPr>
              <w:t>响应文件</w:t>
            </w:r>
            <w:r>
              <w:rPr>
                <w:rFonts w:hint="eastAsia" w:ascii="Times New Roman" w:hAnsi="Times New Roman" w:eastAsia="宋体" w:cs="Times New Roman"/>
                <w:color w:val="auto"/>
                <w:sz w:val="21"/>
                <w:szCs w:val="21"/>
                <w:highlight w:val="none"/>
              </w:rPr>
              <w:t>响应情况不符，视为验收不合格。</w:t>
            </w:r>
          </w:p>
        </w:tc>
      </w:tr>
      <w:tr w14:paraId="2A287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958" w:type="dxa"/>
            <w:gridSpan w:val="5"/>
            <w:tcBorders>
              <w:right w:val="single" w:color="auto" w:sz="4" w:space="0"/>
            </w:tcBorders>
            <w:shd w:val="clear" w:color="auto" w:fill="auto"/>
            <w:noWrap w:val="0"/>
            <w:vAlign w:val="center"/>
          </w:tcPr>
          <w:p w14:paraId="4603BE7F">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b w:val="0"/>
                <w:bCs w:val="0"/>
                <w:color w:val="auto"/>
                <w:szCs w:val="21"/>
                <w:highlight w:val="none"/>
              </w:rPr>
            </w:pPr>
            <w:r>
              <w:rPr>
                <w:rFonts w:hint="eastAsia"/>
                <w:b w:val="0"/>
                <w:bCs w:val="0"/>
                <w:color w:val="auto"/>
                <w:szCs w:val="21"/>
                <w:highlight w:val="none"/>
              </w:rPr>
              <w:t>服务标准、</w:t>
            </w:r>
          </w:p>
          <w:p w14:paraId="56C98E0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Cs w:val="21"/>
                <w:highlight w:val="none"/>
              </w:rPr>
              <w:t>期限、效率</w:t>
            </w:r>
          </w:p>
        </w:tc>
        <w:tc>
          <w:tcPr>
            <w:tcW w:w="6904" w:type="dxa"/>
            <w:gridSpan w:val="2"/>
            <w:tcBorders>
              <w:right w:val="single" w:color="auto" w:sz="4" w:space="0"/>
            </w:tcBorders>
            <w:shd w:val="clear" w:color="auto" w:fill="auto"/>
            <w:noWrap w:val="0"/>
            <w:vAlign w:val="center"/>
          </w:tcPr>
          <w:p w14:paraId="7FDBC033">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 xml:space="preserve">. </w:t>
            </w:r>
            <w:r>
              <w:rPr>
                <w:rFonts w:hint="eastAsia" w:ascii="Times New Roman" w:hAnsi="Times New Roman" w:eastAsia="宋体" w:cs="Times New Roman"/>
                <w:color w:val="auto"/>
                <w:sz w:val="21"/>
                <w:szCs w:val="21"/>
                <w:highlight w:val="none"/>
              </w:rPr>
              <w:t>质保期</w:t>
            </w:r>
          </w:p>
          <w:p w14:paraId="6C803E0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按国家有关产品“三包”规定执行“三包”，自交货并验收合格之日起</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血液透析机及血液透析滤过机</w:t>
            </w:r>
            <w:r>
              <w:rPr>
                <w:rFonts w:hint="eastAsia" w:ascii="Times New Roman" w:hAnsi="Times New Roman" w:eastAsia="宋体" w:cs="Times New Roman"/>
                <w:color w:val="auto"/>
                <w:sz w:val="21"/>
                <w:szCs w:val="21"/>
                <w:highlight w:val="none"/>
              </w:rPr>
              <w:t>质保期不少于</w:t>
            </w:r>
            <w:r>
              <w:rPr>
                <w:rFonts w:hint="eastAsia" w:ascii="Times New Roman" w:hAnsi="Times New Roman" w:cs="Times New Roman"/>
                <w:color w:val="auto"/>
                <w:sz w:val="21"/>
                <w:szCs w:val="21"/>
                <w:highlight w:val="none"/>
                <w:lang w:val="en-US" w:eastAsia="zh-CN"/>
              </w:rPr>
              <w:t>5</w:t>
            </w:r>
            <w:r>
              <w:rPr>
                <w:rFonts w:hint="eastAsia" w:ascii="Times New Roman" w:hAnsi="Times New Roman" w:eastAsia="宋体" w:cs="Times New Roman"/>
                <w:color w:val="auto"/>
                <w:sz w:val="21"/>
                <w:szCs w:val="21"/>
                <w:highlight w:val="none"/>
              </w:rPr>
              <w:t>年</w:t>
            </w:r>
            <w:r>
              <w:rPr>
                <w:rFonts w:hint="eastAsia" w:ascii="Times New Roman" w:hAnsi="Times New Roman" w:eastAsia="宋体" w:cs="Times New Roman"/>
                <w:color w:val="auto"/>
                <w:sz w:val="21"/>
                <w:szCs w:val="21"/>
                <w:highlight w:val="none"/>
                <w:lang w:val="en-US" w:eastAsia="zh-CN"/>
              </w:rPr>
              <w:t>。</w:t>
            </w:r>
          </w:p>
          <w:p w14:paraId="0F6D8B8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rPr>
              <w:t>质保期从所有货物验收合格之日起计算；若产品生产厂家质保期超过此年限的，在合同履行过程中按厂家规定执行；若</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质保期承诺优于产品生产厂家质保年限的，以</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承诺执行</w:t>
            </w:r>
            <w:r>
              <w:rPr>
                <w:rFonts w:hint="eastAsia" w:ascii="Times New Roman" w:hAnsi="Times New Roman" w:eastAsia="宋体" w:cs="Times New Roman"/>
                <w:color w:val="auto"/>
                <w:sz w:val="21"/>
                <w:szCs w:val="21"/>
                <w:highlight w:val="none"/>
                <w:lang w:eastAsia="zh-CN"/>
              </w:rPr>
              <w:t>。</w:t>
            </w:r>
          </w:p>
          <w:p w14:paraId="45C3076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质保期内上门维修，升级、维护，定期巡检，费用包含在</w:t>
            </w:r>
            <w:r>
              <w:rPr>
                <w:rFonts w:hint="eastAsia" w:eastAsia="宋体" w:cs="Times New Roman"/>
                <w:color w:val="auto"/>
                <w:sz w:val="21"/>
                <w:szCs w:val="21"/>
                <w:highlight w:val="none"/>
                <w:lang w:eastAsia="zh-CN"/>
              </w:rPr>
              <w:t>响应报价</w:t>
            </w:r>
            <w:r>
              <w:rPr>
                <w:rFonts w:hint="eastAsia" w:ascii="Times New Roman" w:hAnsi="Times New Roman" w:eastAsia="宋体" w:cs="Times New Roman"/>
                <w:color w:val="auto"/>
                <w:sz w:val="21"/>
                <w:szCs w:val="21"/>
                <w:highlight w:val="none"/>
              </w:rPr>
              <w:t>中；</w:t>
            </w:r>
            <w:r>
              <w:rPr>
                <w:rFonts w:hint="eastAsia" w:ascii="Times New Roman" w:hAnsi="Times New Roman" w:eastAsia="宋体" w:cs="Times New Roman"/>
                <w:b w:val="0"/>
                <w:bCs w:val="0"/>
                <w:color w:val="auto"/>
                <w:sz w:val="21"/>
                <w:szCs w:val="21"/>
                <w:highlight w:val="none"/>
              </w:rPr>
              <w:t>质保期过后的维修只收取零配件费；终身维护</w:t>
            </w:r>
            <w:r>
              <w:rPr>
                <w:rFonts w:hint="eastAsia" w:ascii="Times New Roman" w:hAnsi="Times New Roman" w:eastAsia="宋体" w:cs="Times New Roman"/>
                <w:color w:val="auto"/>
                <w:sz w:val="21"/>
                <w:szCs w:val="21"/>
                <w:highlight w:val="none"/>
              </w:rPr>
              <w:t>。</w:t>
            </w:r>
          </w:p>
          <w:p w14:paraId="21ABD7D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 xml:space="preserve">. </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负责送货上门，保障设备、人员安全及安装调试，安装前提供相关的布局图和设计要求，培训采购人的操作人员至能完全独立操作、日常维护及承担以上所产生的相关费用。质保期内，提供7×24小时售后服务，仪器设备出现故障，在接到电话通知后，2小时内做出实质性响应（远程解决或做出预备维护动作），需维护工程师现场解决的，要求在24小时内到现场处理，如产生费用由</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承担。</w:t>
            </w:r>
          </w:p>
          <w:p w14:paraId="47E7F536">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eastAsia" w:cs="Times New Roman"/>
                <w:color w:val="auto"/>
                <w:sz w:val="21"/>
                <w:szCs w:val="21"/>
                <w:highlight w:val="none"/>
                <w:lang w:val="en-US" w:eastAsia="zh-CN"/>
              </w:rPr>
              <w:t xml:space="preserve">. </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或厂家服务机构提供24小时365天免费维修服务热线支持。</w:t>
            </w:r>
          </w:p>
          <w:p w14:paraId="778DD84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4</w:t>
            </w:r>
            <w:r>
              <w:rPr>
                <w:rFonts w:hint="eastAsia" w:cs="Times New Roman"/>
                <w:color w:val="auto"/>
                <w:sz w:val="21"/>
                <w:szCs w:val="21"/>
                <w:highlight w:val="none"/>
                <w:lang w:val="en-US" w:eastAsia="zh-CN"/>
              </w:rPr>
              <w:t xml:space="preserve">. </w:t>
            </w:r>
            <w:r>
              <w:rPr>
                <w:rFonts w:hint="eastAsia" w:ascii="Times New Roman" w:hAnsi="Times New Roman" w:eastAsia="宋体" w:cs="Times New Roman"/>
                <w:color w:val="auto"/>
                <w:sz w:val="21"/>
                <w:szCs w:val="21"/>
                <w:highlight w:val="none"/>
              </w:rPr>
              <w:t>售后服务承诺书中根据</w:t>
            </w:r>
            <w:r>
              <w:rPr>
                <w:rFonts w:hint="eastAsia" w:ascii="Times New Roman" w:hAnsi="Times New Roman" w:eastAsia="宋体" w:cs="Times New Roman"/>
                <w:color w:val="auto"/>
                <w:spacing w:val="5"/>
                <w:sz w:val="21"/>
                <w:szCs w:val="24"/>
                <w:highlight w:val="none"/>
              </w:rPr>
              <w:t>采购人</w:t>
            </w:r>
            <w:r>
              <w:rPr>
                <w:rFonts w:hint="eastAsia" w:ascii="Times New Roman" w:hAnsi="Times New Roman" w:eastAsia="宋体" w:cs="Times New Roman"/>
                <w:color w:val="auto"/>
                <w:sz w:val="21"/>
                <w:szCs w:val="21"/>
                <w:highlight w:val="none"/>
              </w:rPr>
              <w:t>的实际情况对质量保证及售后服务方案作出详细服务承诺、提供详细的保养计划。</w:t>
            </w:r>
          </w:p>
          <w:p w14:paraId="7971A6C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Times New Roman" w:hAnsi="Times New Roman" w:eastAsia="宋体" w:cs="Times New Roman"/>
                <w:color w:val="auto"/>
                <w:spacing w:val="5"/>
                <w:sz w:val="21"/>
                <w:szCs w:val="24"/>
                <w:highlight w:val="none"/>
              </w:rPr>
            </w:pPr>
            <w:r>
              <w:rPr>
                <w:rFonts w:hint="eastAsia" w:ascii="Times New Roman" w:hAnsi="Times New Roman" w:eastAsia="宋体" w:cs="Times New Roman"/>
                <w:color w:val="auto"/>
                <w:sz w:val="21"/>
                <w:szCs w:val="21"/>
                <w:highlight w:val="none"/>
                <w:lang w:val="en-US" w:eastAsia="zh-CN"/>
              </w:rPr>
              <w:t>5</w:t>
            </w:r>
            <w:r>
              <w:rPr>
                <w:rFonts w:hint="eastAsia" w:cs="Times New Roman"/>
                <w:color w:val="auto"/>
                <w:sz w:val="21"/>
                <w:szCs w:val="21"/>
                <w:highlight w:val="none"/>
                <w:lang w:val="en-US" w:eastAsia="zh-CN"/>
              </w:rPr>
              <w:t xml:space="preserve">. </w:t>
            </w:r>
            <w:r>
              <w:rPr>
                <w:rFonts w:hint="eastAsia" w:ascii="Times New Roman" w:hAnsi="Times New Roman" w:eastAsia="宋体" w:cs="Times New Roman"/>
                <w:color w:val="auto"/>
                <w:spacing w:val="5"/>
                <w:sz w:val="21"/>
                <w:szCs w:val="24"/>
                <w:highlight w:val="none"/>
              </w:rPr>
              <w:t>质保</w:t>
            </w:r>
            <w:r>
              <w:rPr>
                <w:rFonts w:ascii="Times New Roman" w:hAnsi="Times New Roman" w:eastAsia="宋体" w:cs="Times New Roman"/>
                <w:color w:val="auto"/>
                <w:spacing w:val="5"/>
                <w:sz w:val="21"/>
                <w:szCs w:val="24"/>
                <w:highlight w:val="none"/>
              </w:rPr>
              <w:t>期内，</w:t>
            </w:r>
            <w:r>
              <w:rPr>
                <w:rFonts w:hint="eastAsia" w:eastAsia="宋体" w:cs="Times New Roman"/>
                <w:color w:val="auto"/>
                <w:sz w:val="21"/>
                <w:szCs w:val="21"/>
                <w:highlight w:val="none"/>
                <w:lang w:eastAsia="zh-CN"/>
              </w:rPr>
              <w:t>成交供应商</w:t>
            </w:r>
            <w:r>
              <w:rPr>
                <w:rFonts w:ascii="Times New Roman" w:hAnsi="Times New Roman" w:eastAsia="宋体" w:cs="Times New Roman"/>
                <w:color w:val="auto"/>
                <w:spacing w:val="5"/>
                <w:sz w:val="21"/>
                <w:szCs w:val="24"/>
                <w:highlight w:val="none"/>
              </w:rPr>
              <w:t>所供货物1年内修理5次，</w:t>
            </w:r>
            <w:r>
              <w:rPr>
                <w:rFonts w:hint="eastAsia" w:ascii="Times New Roman" w:hAnsi="Times New Roman" w:eastAsia="宋体" w:cs="Times New Roman"/>
                <w:color w:val="auto"/>
                <w:spacing w:val="5"/>
                <w:sz w:val="21"/>
                <w:szCs w:val="24"/>
                <w:highlight w:val="none"/>
              </w:rPr>
              <w:t>采购人</w:t>
            </w:r>
            <w:r>
              <w:rPr>
                <w:rFonts w:ascii="Times New Roman" w:hAnsi="Times New Roman" w:eastAsia="宋体" w:cs="Times New Roman"/>
                <w:color w:val="auto"/>
                <w:spacing w:val="5"/>
                <w:sz w:val="21"/>
                <w:szCs w:val="24"/>
                <w:highlight w:val="none"/>
              </w:rPr>
              <w:t>有权要求</w:t>
            </w:r>
            <w:r>
              <w:rPr>
                <w:rFonts w:hint="eastAsia" w:eastAsia="宋体" w:cs="Times New Roman"/>
                <w:color w:val="auto"/>
                <w:sz w:val="21"/>
                <w:szCs w:val="21"/>
                <w:highlight w:val="none"/>
                <w:lang w:eastAsia="zh-CN"/>
              </w:rPr>
              <w:t>成交供应商</w:t>
            </w:r>
            <w:r>
              <w:rPr>
                <w:rFonts w:ascii="Times New Roman" w:hAnsi="Times New Roman" w:eastAsia="宋体" w:cs="Times New Roman"/>
                <w:color w:val="auto"/>
                <w:spacing w:val="5"/>
                <w:sz w:val="21"/>
                <w:szCs w:val="24"/>
                <w:highlight w:val="none"/>
              </w:rPr>
              <w:t>无偿调换同型号、同规格或优于同型号、同规格的全新产品或者退货，因此产生的一切费用由</w:t>
            </w:r>
            <w:r>
              <w:rPr>
                <w:rFonts w:hint="eastAsia" w:eastAsia="宋体" w:cs="Times New Roman"/>
                <w:color w:val="auto"/>
                <w:sz w:val="21"/>
                <w:szCs w:val="21"/>
                <w:highlight w:val="none"/>
                <w:lang w:eastAsia="zh-CN"/>
              </w:rPr>
              <w:t>成交供应商</w:t>
            </w:r>
            <w:r>
              <w:rPr>
                <w:rFonts w:ascii="Times New Roman" w:hAnsi="Times New Roman" w:eastAsia="宋体" w:cs="Times New Roman"/>
                <w:color w:val="auto"/>
                <w:spacing w:val="5"/>
                <w:sz w:val="21"/>
                <w:szCs w:val="24"/>
                <w:highlight w:val="none"/>
              </w:rPr>
              <w:t>承担。</w:t>
            </w:r>
          </w:p>
          <w:p w14:paraId="69F8268C">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ascii="Times New Roman" w:hAnsi="Times New Roman" w:eastAsia="宋体" w:cs="Times New Roman"/>
                <w:color w:val="auto"/>
                <w:spacing w:val="5"/>
                <w:sz w:val="21"/>
                <w:szCs w:val="24"/>
                <w:highlight w:val="none"/>
              </w:rPr>
            </w:pPr>
            <w:r>
              <w:rPr>
                <w:rFonts w:hint="eastAsia" w:ascii="Times New Roman" w:hAnsi="Times New Roman" w:eastAsia="宋体" w:cs="Times New Roman"/>
                <w:color w:val="auto"/>
                <w:spacing w:val="5"/>
                <w:sz w:val="21"/>
                <w:szCs w:val="24"/>
                <w:highlight w:val="none"/>
                <w:lang w:val="en-US" w:eastAsia="zh-CN"/>
              </w:rPr>
              <w:t>6</w:t>
            </w:r>
            <w:r>
              <w:rPr>
                <w:rFonts w:hint="eastAsia" w:cs="Times New Roman"/>
                <w:color w:val="auto"/>
                <w:spacing w:val="5"/>
                <w:sz w:val="21"/>
                <w:szCs w:val="24"/>
                <w:highlight w:val="none"/>
                <w:lang w:val="en-US" w:eastAsia="zh-CN"/>
              </w:rPr>
              <w:t xml:space="preserve">. </w:t>
            </w:r>
            <w:r>
              <w:rPr>
                <w:rFonts w:hint="eastAsia" w:eastAsia="宋体" w:cs="Times New Roman"/>
                <w:color w:val="auto"/>
                <w:sz w:val="21"/>
                <w:szCs w:val="21"/>
                <w:highlight w:val="none"/>
                <w:lang w:eastAsia="zh-CN"/>
              </w:rPr>
              <w:t>成交供应商</w:t>
            </w:r>
            <w:r>
              <w:rPr>
                <w:rFonts w:ascii="Times New Roman" w:hAnsi="Times New Roman" w:eastAsia="宋体" w:cs="Times New Roman"/>
                <w:color w:val="auto"/>
                <w:spacing w:val="5"/>
                <w:sz w:val="21"/>
                <w:szCs w:val="24"/>
                <w:highlight w:val="none"/>
              </w:rPr>
              <w:t>所供货物在保修期起算之日起15天内出现货物质量问题</w:t>
            </w:r>
            <w:r>
              <w:rPr>
                <w:rFonts w:hint="eastAsia" w:ascii="Times New Roman" w:hAnsi="Times New Roman" w:eastAsia="宋体" w:cs="Times New Roman"/>
                <w:b w:val="0"/>
                <w:bCs w:val="0"/>
                <w:color w:val="auto"/>
                <w:sz w:val="21"/>
                <w:szCs w:val="24"/>
                <w:highlight w:val="none"/>
              </w:rPr>
              <w:t>且无法恢复的</w:t>
            </w:r>
            <w:r>
              <w:rPr>
                <w:rFonts w:ascii="Times New Roman" w:hAnsi="Times New Roman" w:eastAsia="宋体" w:cs="Times New Roman"/>
                <w:color w:val="auto"/>
                <w:spacing w:val="5"/>
                <w:sz w:val="21"/>
                <w:szCs w:val="24"/>
                <w:highlight w:val="none"/>
              </w:rPr>
              <w:t>，</w:t>
            </w:r>
            <w:r>
              <w:rPr>
                <w:rFonts w:hint="eastAsia" w:ascii="Times New Roman" w:hAnsi="Times New Roman" w:eastAsia="宋体" w:cs="Times New Roman"/>
                <w:color w:val="auto"/>
                <w:spacing w:val="5"/>
                <w:sz w:val="21"/>
                <w:szCs w:val="24"/>
                <w:highlight w:val="none"/>
              </w:rPr>
              <w:t>采购人</w:t>
            </w:r>
            <w:r>
              <w:rPr>
                <w:rFonts w:ascii="Times New Roman" w:hAnsi="Times New Roman" w:eastAsia="宋体" w:cs="Times New Roman"/>
                <w:color w:val="auto"/>
                <w:spacing w:val="5"/>
                <w:sz w:val="21"/>
                <w:szCs w:val="24"/>
                <w:highlight w:val="none"/>
              </w:rPr>
              <w:t>有权要求</w:t>
            </w:r>
            <w:r>
              <w:rPr>
                <w:rFonts w:hint="eastAsia" w:eastAsia="宋体" w:cs="Times New Roman"/>
                <w:color w:val="auto"/>
                <w:sz w:val="21"/>
                <w:szCs w:val="21"/>
                <w:highlight w:val="none"/>
                <w:lang w:eastAsia="zh-CN"/>
              </w:rPr>
              <w:t>成交供应商</w:t>
            </w:r>
            <w:r>
              <w:rPr>
                <w:rFonts w:ascii="Times New Roman" w:hAnsi="Times New Roman" w:eastAsia="宋体" w:cs="Times New Roman"/>
                <w:color w:val="auto"/>
                <w:spacing w:val="5"/>
                <w:sz w:val="21"/>
                <w:szCs w:val="24"/>
                <w:highlight w:val="none"/>
              </w:rPr>
              <w:t>无条件无偿更换全部设备。</w:t>
            </w:r>
          </w:p>
          <w:p w14:paraId="3AF6F969">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ascii="Times New Roman" w:hAnsi="Times New Roman" w:eastAsia="宋体" w:cs="Times New Roman"/>
                <w:color w:val="auto"/>
                <w:spacing w:val="5"/>
                <w:sz w:val="21"/>
                <w:szCs w:val="24"/>
                <w:highlight w:val="none"/>
              </w:rPr>
            </w:pPr>
            <w:r>
              <w:rPr>
                <w:rFonts w:hint="eastAsia" w:ascii="Times New Roman" w:hAnsi="Times New Roman" w:eastAsia="宋体" w:cs="Times New Roman"/>
                <w:color w:val="auto"/>
                <w:spacing w:val="5"/>
                <w:sz w:val="21"/>
                <w:szCs w:val="24"/>
                <w:highlight w:val="none"/>
                <w:lang w:val="en-US" w:eastAsia="zh-CN"/>
              </w:rPr>
              <w:t>7</w:t>
            </w:r>
            <w:r>
              <w:rPr>
                <w:rFonts w:hint="eastAsia" w:cs="Times New Roman"/>
                <w:color w:val="auto"/>
                <w:spacing w:val="5"/>
                <w:sz w:val="21"/>
                <w:szCs w:val="24"/>
                <w:highlight w:val="none"/>
                <w:lang w:val="en-US" w:eastAsia="zh-CN"/>
              </w:rPr>
              <w:t xml:space="preserve">. </w:t>
            </w:r>
            <w:r>
              <w:rPr>
                <w:rFonts w:hint="eastAsia" w:ascii="Times New Roman" w:hAnsi="Times New Roman" w:eastAsia="宋体" w:cs="Times New Roman"/>
                <w:color w:val="auto"/>
                <w:spacing w:val="5"/>
                <w:sz w:val="21"/>
                <w:szCs w:val="24"/>
                <w:highlight w:val="none"/>
              </w:rPr>
              <w:t>质保</w:t>
            </w:r>
            <w:r>
              <w:rPr>
                <w:rFonts w:ascii="Times New Roman" w:hAnsi="Times New Roman" w:eastAsia="宋体" w:cs="Times New Roman"/>
                <w:color w:val="auto"/>
                <w:spacing w:val="5"/>
                <w:sz w:val="21"/>
                <w:szCs w:val="24"/>
                <w:highlight w:val="none"/>
              </w:rPr>
              <w:t>期内，</w:t>
            </w:r>
            <w:r>
              <w:rPr>
                <w:rFonts w:hint="eastAsia" w:eastAsia="宋体" w:cs="Times New Roman"/>
                <w:color w:val="auto"/>
                <w:sz w:val="21"/>
                <w:szCs w:val="21"/>
                <w:highlight w:val="none"/>
                <w:lang w:eastAsia="zh-CN"/>
              </w:rPr>
              <w:t>成交供应商</w:t>
            </w:r>
            <w:r>
              <w:rPr>
                <w:rFonts w:ascii="Times New Roman" w:hAnsi="Times New Roman" w:eastAsia="宋体" w:cs="Times New Roman"/>
                <w:color w:val="auto"/>
                <w:spacing w:val="5"/>
                <w:sz w:val="21"/>
                <w:szCs w:val="24"/>
                <w:highlight w:val="none"/>
              </w:rPr>
              <w:t>提供每年</w:t>
            </w:r>
            <w:r>
              <w:rPr>
                <w:rFonts w:hint="eastAsia" w:ascii="Times New Roman" w:hAnsi="Times New Roman" w:eastAsia="宋体" w:cs="Times New Roman"/>
                <w:color w:val="auto"/>
                <w:spacing w:val="5"/>
                <w:sz w:val="21"/>
                <w:szCs w:val="24"/>
                <w:highlight w:val="none"/>
              </w:rPr>
              <w:t>至少</w:t>
            </w:r>
            <w:r>
              <w:rPr>
                <w:rFonts w:ascii="Times New Roman" w:hAnsi="Times New Roman" w:eastAsia="宋体" w:cs="Times New Roman"/>
                <w:color w:val="auto"/>
                <w:spacing w:val="5"/>
                <w:sz w:val="21"/>
                <w:szCs w:val="24"/>
                <w:highlight w:val="none"/>
              </w:rPr>
              <w:t>2次厂家专业的巡检保养服务，并提供相应的巡检保养报告。质保期满前1个月内</w:t>
            </w:r>
            <w:r>
              <w:rPr>
                <w:rFonts w:hint="eastAsia" w:eastAsia="宋体" w:cs="Times New Roman"/>
                <w:color w:val="auto"/>
                <w:spacing w:val="5"/>
                <w:sz w:val="21"/>
                <w:szCs w:val="24"/>
                <w:highlight w:val="none"/>
                <w:lang w:eastAsia="zh-CN"/>
              </w:rPr>
              <w:t>成交供应商</w:t>
            </w:r>
            <w:r>
              <w:rPr>
                <w:rFonts w:ascii="Times New Roman" w:hAnsi="Times New Roman" w:eastAsia="宋体" w:cs="Times New Roman"/>
                <w:color w:val="auto"/>
                <w:spacing w:val="5"/>
                <w:sz w:val="21"/>
                <w:szCs w:val="24"/>
                <w:highlight w:val="none"/>
              </w:rPr>
              <w:t>应负责对设备进行一次免费全面检查，如发现潜在问题，应负责排除，保证设备正常运行。</w:t>
            </w:r>
          </w:p>
          <w:p w14:paraId="0F38CF1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8</w:t>
            </w:r>
            <w:r>
              <w:rPr>
                <w:rFonts w:hint="eastAsia" w:cs="Times New Roman"/>
                <w:color w:val="auto"/>
                <w:sz w:val="21"/>
                <w:szCs w:val="21"/>
                <w:highlight w:val="none"/>
                <w:lang w:val="en-US" w:eastAsia="zh-CN"/>
              </w:rPr>
              <w:t xml:space="preserve">. </w:t>
            </w:r>
            <w:r>
              <w:rPr>
                <w:rFonts w:hint="eastAsia" w:eastAsia="宋体" w:cs="Times New Roman"/>
                <w:color w:val="auto"/>
                <w:sz w:val="21"/>
                <w:szCs w:val="21"/>
                <w:highlight w:val="none"/>
                <w:lang w:eastAsia="zh-CN"/>
              </w:rPr>
              <w:t>响应产品</w:t>
            </w:r>
            <w:r>
              <w:rPr>
                <w:rFonts w:hint="eastAsia"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所提供的货物必须是全新、未使用的原装</w:t>
            </w:r>
            <w:r>
              <w:rPr>
                <w:rFonts w:hint="eastAsia" w:cs="Times New Roman"/>
                <w:color w:val="auto"/>
                <w:sz w:val="21"/>
                <w:szCs w:val="21"/>
                <w:highlight w:val="none"/>
                <w:lang w:val="en-US" w:eastAsia="zh-CN"/>
              </w:rPr>
              <w:t>合格</w:t>
            </w:r>
            <w:r>
              <w:rPr>
                <w:rFonts w:hint="eastAsia" w:ascii="Times New Roman" w:hAnsi="Times New Roman" w:eastAsia="宋体" w:cs="Times New Roman"/>
                <w:color w:val="auto"/>
                <w:sz w:val="21"/>
                <w:szCs w:val="21"/>
                <w:highlight w:val="none"/>
              </w:rPr>
              <w:t>产品，且设备出厂日期至安装验收日期间隔不得超过12个月</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技术参数特殊要求除外</w:t>
            </w:r>
            <w:r>
              <w:rPr>
                <w:rFonts w:hint="eastAsia"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按照原厂标准包装规格供货，不接受散装或拆包装件。所有货物都提供中文说明书和详细装箱清单及质量合格证。</w:t>
            </w:r>
          </w:p>
          <w:p w14:paraId="6C1A17B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9</w:t>
            </w:r>
            <w:r>
              <w:rPr>
                <w:rFonts w:hint="eastAsia" w:cs="Times New Roman"/>
                <w:color w:val="auto"/>
                <w:sz w:val="21"/>
                <w:szCs w:val="21"/>
                <w:highlight w:val="none"/>
                <w:lang w:val="en-US" w:eastAsia="zh-CN"/>
              </w:rPr>
              <w:t xml:space="preserve">. </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提供维护手册、</w:t>
            </w:r>
            <w:r>
              <w:rPr>
                <w:rFonts w:hint="eastAsia" w:ascii="Times New Roman" w:hAnsi="Times New Roman" w:eastAsia="宋体" w:cs="Times New Roman"/>
                <w:b w:val="0"/>
                <w:bCs w:val="0"/>
                <w:color w:val="auto"/>
                <w:sz w:val="21"/>
                <w:szCs w:val="24"/>
                <w:highlight w:val="none"/>
              </w:rPr>
              <w:t>操作手册（包含使用说明和维护保养）</w:t>
            </w:r>
            <w:r>
              <w:rPr>
                <w:rFonts w:hint="eastAsia" w:ascii="Times New Roman" w:hAnsi="Times New Roman" w:eastAsia="宋体" w:cs="Times New Roman"/>
                <w:color w:val="auto"/>
                <w:sz w:val="21"/>
                <w:szCs w:val="21"/>
                <w:highlight w:val="none"/>
              </w:rPr>
              <w:t>、软件备份</w:t>
            </w:r>
            <w:r>
              <w:rPr>
                <w:rFonts w:hint="eastAsia" w:ascii="Times New Roman" w:hAnsi="Times New Roman" w:eastAsia="宋体" w:cs="Times New Roman"/>
                <w:color w:val="auto"/>
                <w:sz w:val="21"/>
                <w:szCs w:val="21"/>
                <w:highlight w:val="none"/>
                <w:shd w:val="clear"/>
              </w:rPr>
              <w:t>、</w:t>
            </w:r>
            <w:r>
              <w:rPr>
                <w:rFonts w:hint="eastAsia" w:ascii="Times New Roman" w:hAnsi="Times New Roman" w:eastAsia="宋体" w:cs="Times New Roman"/>
                <w:b w:val="0"/>
                <w:bCs w:val="0"/>
                <w:color w:val="auto"/>
                <w:sz w:val="21"/>
                <w:szCs w:val="21"/>
                <w:highlight w:val="none"/>
                <w:shd w:val="clear"/>
              </w:rPr>
              <w:t>故障代码表</w:t>
            </w:r>
            <w:r>
              <w:rPr>
                <w:rFonts w:hint="eastAsia" w:ascii="Times New Roman" w:hAnsi="Times New Roman" w:eastAsia="宋体" w:cs="Times New Roman"/>
                <w:color w:val="auto"/>
                <w:sz w:val="21"/>
                <w:szCs w:val="21"/>
                <w:highlight w:val="none"/>
                <w:shd w:val="clear"/>
              </w:rPr>
              <w:t>、</w:t>
            </w:r>
            <w:r>
              <w:rPr>
                <w:rFonts w:hint="eastAsia" w:ascii="Times New Roman" w:hAnsi="Times New Roman" w:eastAsia="宋体" w:cs="Times New Roman"/>
                <w:color w:val="auto"/>
                <w:sz w:val="21"/>
                <w:szCs w:val="21"/>
                <w:highlight w:val="none"/>
              </w:rPr>
              <w:t>备件清单。质保期外，无偿提供维修密码及所附软件在该项目的永久使用权。</w:t>
            </w:r>
          </w:p>
          <w:p w14:paraId="0D9ED55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10</w:t>
            </w:r>
            <w:r>
              <w:rPr>
                <w:rFonts w:hint="eastAsia" w:cs="Times New Roman"/>
                <w:color w:val="auto"/>
                <w:sz w:val="21"/>
                <w:szCs w:val="21"/>
                <w:highlight w:val="none"/>
                <w:lang w:val="en-US" w:eastAsia="zh-CN"/>
              </w:rPr>
              <w:t xml:space="preserve">. </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承诺的质保期内的所有售后服务，其中硬件的售后服务包括但不限于硬件维护维修、配件更换、整机更换、提供替代品；涉及软件的，应用软件的售后服务包括但不限于应用软件维护升级以及非结构性修改；</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承担质保期内售后服务所产生的</w:t>
            </w:r>
            <w:r>
              <w:rPr>
                <w:rFonts w:hint="eastAsia" w:ascii="Times New Roman" w:hAnsi="Times New Roman" w:eastAsia="宋体" w:cs="Times New Roman"/>
                <w:b w:val="0"/>
                <w:bCs w:val="0"/>
                <w:color w:val="auto"/>
                <w:sz w:val="21"/>
                <w:szCs w:val="24"/>
                <w:highlight w:val="none"/>
              </w:rPr>
              <w:t>直接</w:t>
            </w:r>
            <w:r>
              <w:rPr>
                <w:rFonts w:hint="eastAsia" w:ascii="Times New Roman" w:hAnsi="Times New Roman" w:eastAsia="宋体" w:cs="Times New Roman"/>
                <w:color w:val="auto"/>
                <w:sz w:val="21"/>
                <w:szCs w:val="21"/>
                <w:highlight w:val="none"/>
              </w:rPr>
              <w:t>费用。</w:t>
            </w:r>
          </w:p>
          <w:p w14:paraId="5E71567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11</w:t>
            </w:r>
            <w:r>
              <w:rPr>
                <w:rFonts w:hint="eastAsia" w:cs="Times New Roman"/>
                <w:color w:val="auto"/>
                <w:sz w:val="21"/>
                <w:szCs w:val="21"/>
                <w:highlight w:val="none"/>
                <w:lang w:val="en-US" w:eastAsia="zh-CN"/>
              </w:rPr>
              <w:t xml:space="preserve">. </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保证采购人能够合法应用该器械及相应服务。</w:t>
            </w:r>
          </w:p>
        </w:tc>
      </w:tr>
      <w:tr w14:paraId="5FDC9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958" w:type="dxa"/>
            <w:gridSpan w:val="5"/>
            <w:tcBorders>
              <w:right w:val="single" w:color="auto" w:sz="4" w:space="0"/>
            </w:tcBorders>
            <w:shd w:val="clear" w:color="auto" w:fill="auto"/>
            <w:noWrap w:val="0"/>
            <w:vAlign w:val="center"/>
          </w:tcPr>
          <w:p w14:paraId="1E8B2FC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Cs w:val="21"/>
                <w:highlight w:val="none"/>
              </w:rPr>
              <w:t>培训</w:t>
            </w:r>
          </w:p>
        </w:tc>
        <w:tc>
          <w:tcPr>
            <w:tcW w:w="6904" w:type="dxa"/>
            <w:gridSpan w:val="2"/>
            <w:tcBorders>
              <w:right w:val="single" w:color="auto" w:sz="4" w:space="0"/>
            </w:tcBorders>
            <w:shd w:val="clear" w:color="auto" w:fill="auto"/>
            <w:noWrap w:val="0"/>
            <w:vAlign w:val="center"/>
          </w:tcPr>
          <w:p w14:paraId="0A08C776">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rPr>
              <w:t>安装调试完成后，</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对采购人提供1次或多次培训，使采购人的操作人员及工程人员熟练掌握全部功能及基本维修，相关费用包括在</w:t>
            </w:r>
            <w:r>
              <w:rPr>
                <w:rFonts w:hint="eastAsia" w:eastAsia="宋体" w:cs="Times New Roman"/>
                <w:color w:val="auto"/>
                <w:sz w:val="21"/>
                <w:szCs w:val="21"/>
                <w:highlight w:val="none"/>
                <w:lang w:eastAsia="zh-CN"/>
              </w:rPr>
              <w:t>响应报价</w:t>
            </w:r>
            <w:r>
              <w:rPr>
                <w:rFonts w:hint="eastAsia" w:ascii="Times New Roman" w:hAnsi="Times New Roman" w:eastAsia="宋体" w:cs="Times New Roman"/>
                <w:color w:val="auto"/>
                <w:sz w:val="21"/>
                <w:szCs w:val="21"/>
                <w:highlight w:val="none"/>
              </w:rPr>
              <w:t>中，采购人不再另行支付。</w:t>
            </w:r>
          </w:p>
        </w:tc>
      </w:tr>
      <w:tr w14:paraId="64BF0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958" w:type="dxa"/>
            <w:gridSpan w:val="5"/>
            <w:tcBorders>
              <w:right w:val="single" w:color="auto" w:sz="4" w:space="0"/>
            </w:tcBorders>
            <w:shd w:val="clear" w:color="auto" w:fill="auto"/>
            <w:noWrap w:val="0"/>
            <w:vAlign w:val="center"/>
          </w:tcPr>
          <w:p w14:paraId="112357F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b w:val="0"/>
                <w:bCs w:val="0"/>
                <w:color w:val="auto"/>
                <w:szCs w:val="21"/>
                <w:highlight w:val="none"/>
              </w:rPr>
            </w:pPr>
            <w:r>
              <w:rPr>
                <w:rFonts w:hint="eastAsia"/>
                <w:b w:val="0"/>
                <w:bCs w:val="0"/>
                <w:color w:val="auto"/>
                <w:szCs w:val="21"/>
                <w:highlight w:val="none"/>
              </w:rPr>
              <w:t>付款方式、</w:t>
            </w:r>
          </w:p>
          <w:p w14:paraId="2594DED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Cs w:val="21"/>
                <w:highlight w:val="none"/>
              </w:rPr>
              <w:t>时间及条件</w:t>
            </w:r>
          </w:p>
        </w:tc>
        <w:tc>
          <w:tcPr>
            <w:tcW w:w="6904" w:type="dxa"/>
            <w:gridSpan w:val="2"/>
            <w:tcBorders>
              <w:right w:val="single" w:color="auto" w:sz="4" w:space="0"/>
            </w:tcBorders>
            <w:shd w:val="clear" w:color="auto" w:fill="auto"/>
            <w:noWrap w:val="0"/>
            <w:vAlign w:val="center"/>
          </w:tcPr>
          <w:p w14:paraId="6DD1EEE7">
            <w:pPr>
              <w:keepNext w:val="0"/>
              <w:keepLines w:val="0"/>
              <w:pageBreakBefore w:val="0"/>
              <w:widowControl w:val="0"/>
              <w:kinsoku/>
              <w:wordWrap/>
              <w:overflowPunct/>
              <w:topLinePunct w:val="0"/>
              <w:autoSpaceDE/>
              <w:autoSpaceDN/>
              <w:bidi w:val="0"/>
              <w:adjustRightInd/>
              <w:snapToGrid/>
              <w:spacing w:line="240" w:lineRule="auto"/>
              <w:ind w:firstLine="456" w:firstLineChars="20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eastAsia="宋体"/>
                <w:color w:val="auto"/>
                <w:spacing w:val="9"/>
                <w:highlight w:val="none"/>
                <w:lang w:val="en-US" w:eastAsia="zh-CN"/>
              </w:rPr>
              <w:t>设备安装验收合格后凭</w:t>
            </w:r>
            <w:r>
              <w:rPr>
                <w:rFonts w:hint="eastAsia"/>
                <w:color w:val="auto"/>
                <w:spacing w:val="9"/>
                <w:highlight w:val="none"/>
                <w:lang w:val="en-US" w:eastAsia="zh-CN"/>
              </w:rPr>
              <w:t>成交供应商</w:t>
            </w:r>
            <w:r>
              <w:rPr>
                <w:rFonts w:hint="eastAsia" w:ascii="Times New Roman" w:eastAsia="宋体"/>
                <w:color w:val="auto"/>
                <w:spacing w:val="9"/>
                <w:highlight w:val="none"/>
                <w:lang w:val="en-US" w:eastAsia="zh-CN"/>
              </w:rPr>
              <w:t>开具货款全额发票付至合同总金额的60%，设备正常使用满半年后，</w:t>
            </w:r>
            <w:r>
              <w:rPr>
                <w:rFonts w:hint="eastAsia"/>
                <w:color w:val="auto"/>
                <w:spacing w:val="9"/>
                <w:highlight w:val="none"/>
                <w:lang w:val="en-US" w:eastAsia="zh-CN"/>
              </w:rPr>
              <w:t>采购人</w:t>
            </w:r>
            <w:r>
              <w:rPr>
                <w:rFonts w:hint="eastAsia" w:ascii="Times New Roman" w:eastAsia="宋体"/>
                <w:color w:val="auto"/>
                <w:spacing w:val="9"/>
                <w:highlight w:val="none"/>
                <w:lang w:val="en-US" w:eastAsia="zh-CN"/>
              </w:rPr>
              <w:t>支付合同总金额的35%，设备正常使用满一年后支付合同总金额的5%（无息）（以验收报告日期为准）。</w:t>
            </w:r>
          </w:p>
        </w:tc>
      </w:tr>
      <w:tr w14:paraId="4FB76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 w:hRule="atLeast"/>
        </w:trPr>
        <w:tc>
          <w:tcPr>
            <w:tcW w:w="2958" w:type="dxa"/>
            <w:gridSpan w:val="5"/>
            <w:tcBorders>
              <w:right w:val="single" w:color="auto" w:sz="4" w:space="0"/>
            </w:tcBorders>
            <w:shd w:val="clear" w:color="auto" w:fill="auto"/>
            <w:noWrap w:val="0"/>
            <w:vAlign w:val="center"/>
          </w:tcPr>
          <w:p w14:paraId="56E13B5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Cs w:val="21"/>
                <w:highlight w:val="none"/>
              </w:rPr>
              <w:t>履约保证金</w:t>
            </w:r>
          </w:p>
        </w:tc>
        <w:tc>
          <w:tcPr>
            <w:tcW w:w="6904" w:type="dxa"/>
            <w:gridSpan w:val="2"/>
            <w:tcBorders>
              <w:right w:val="single" w:color="auto" w:sz="4" w:space="0"/>
            </w:tcBorders>
            <w:shd w:val="clear" w:color="auto" w:fill="auto"/>
            <w:noWrap w:val="0"/>
            <w:vAlign w:val="center"/>
          </w:tcPr>
          <w:p w14:paraId="1147833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无</w:t>
            </w:r>
          </w:p>
        </w:tc>
      </w:tr>
      <w:tr w14:paraId="73D21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2958" w:type="dxa"/>
            <w:gridSpan w:val="5"/>
            <w:tcBorders>
              <w:right w:val="single" w:color="auto" w:sz="4" w:space="0"/>
            </w:tcBorders>
            <w:shd w:val="clear" w:color="auto" w:fill="auto"/>
            <w:noWrap w:val="0"/>
            <w:vAlign w:val="center"/>
          </w:tcPr>
          <w:p w14:paraId="78017D4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b w:val="0"/>
                <w:bCs w:val="0"/>
                <w:color w:val="auto"/>
                <w:szCs w:val="21"/>
                <w:highlight w:val="none"/>
              </w:rPr>
            </w:pPr>
            <w:r>
              <w:rPr>
                <w:rFonts w:hint="eastAsia"/>
                <w:b w:val="0"/>
                <w:bCs w:val="0"/>
                <w:color w:val="auto"/>
                <w:szCs w:val="21"/>
                <w:highlight w:val="none"/>
              </w:rPr>
              <w:t>包装和运输</w:t>
            </w:r>
          </w:p>
          <w:p w14:paraId="74FE45B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Cs w:val="21"/>
                <w:highlight w:val="none"/>
              </w:rPr>
              <w:t>要求</w:t>
            </w:r>
          </w:p>
        </w:tc>
        <w:tc>
          <w:tcPr>
            <w:tcW w:w="6904" w:type="dxa"/>
            <w:gridSpan w:val="2"/>
            <w:tcBorders>
              <w:right w:val="single" w:color="auto" w:sz="4" w:space="0"/>
            </w:tcBorders>
            <w:shd w:val="clear" w:color="auto" w:fill="auto"/>
            <w:noWrap w:val="0"/>
            <w:vAlign w:val="center"/>
          </w:tcPr>
          <w:p w14:paraId="2B1096E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rPr>
              <w:t>根据《财政部等三部门联合印发商品包装和快递包装政府采购需求标准（试行）》财办库</w:t>
            </w:r>
            <w:r>
              <w:rPr>
                <w:rFonts w:hint="eastAsia" w:ascii="Times New Roman" w:hAnsi="Times New Roman" w:eastAsia="宋体" w:cs="Times New Roman"/>
                <w:color w:val="auto"/>
                <w:sz w:val="21"/>
                <w:szCs w:val="21"/>
                <w:highlight w:val="none"/>
                <w:lang w:eastAsia="zh-CN"/>
              </w:rPr>
              <w:t>〔2020〕123号</w:t>
            </w:r>
            <w:r>
              <w:rPr>
                <w:rFonts w:hint="eastAsia" w:ascii="Times New Roman" w:hAnsi="Times New Roman" w:eastAsia="宋体" w:cs="Times New Roman"/>
                <w:color w:val="auto"/>
                <w:sz w:val="21"/>
                <w:szCs w:val="21"/>
                <w:highlight w:val="none"/>
              </w:rPr>
              <w:t>文规定，若</w:t>
            </w:r>
            <w:r>
              <w:rPr>
                <w:rFonts w:hint="eastAsia" w:eastAsia="宋体" w:cs="Times New Roman"/>
                <w:color w:val="auto"/>
                <w:sz w:val="21"/>
                <w:szCs w:val="21"/>
                <w:highlight w:val="none"/>
                <w:lang w:eastAsia="zh-CN"/>
              </w:rPr>
              <w:t>响应产品</w:t>
            </w:r>
            <w:r>
              <w:rPr>
                <w:rFonts w:hint="eastAsia" w:ascii="Times New Roman" w:hAnsi="Times New Roman" w:eastAsia="宋体" w:cs="Times New Roman"/>
                <w:color w:val="auto"/>
                <w:sz w:val="21"/>
                <w:szCs w:val="21"/>
                <w:highlight w:val="none"/>
              </w:rPr>
              <w:t>使用塑料、纸质、木质等包装材料时应满足《商品包装政府采购需求标准（试行）》要求，若</w:t>
            </w:r>
            <w:r>
              <w:rPr>
                <w:rFonts w:hint="eastAsia" w:eastAsia="宋体" w:cs="Times New Roman"/>
                <w:color w:val="auto"/>
                <w:sz w:val="21"/>
                <w:szCs w:val="21"/>
                <w:highlight w:val="none"/>
                <w:lang w:eastAsia="zh-CN"/>
              </w:rPr>
              <w:t>响应产品</w:t>
            </w:r>
            <w:r>
              <w:rPr>
                <w:rFonts w:hint="eastAsia" w:ascii="Times New Roman" w:hAnsi="Times New Roman" w:eastAsia="宋体" w:cs="Times New Roman"/>
                <w:color w:val="auto"/>
                <w:sz w:val="21"/>
                <w:szCs w:val="21"/>
                <w:highlight w:val="none"/>
              </w:rPr>
              <w:t>需要快递包装，快递封装材料应满足《快递包装政府采购需求标准（试行）》要求。</w:t>
            </w:r>
          </w:p>
        </w:tc>
      </w:tr>
      <w:tr w14:paraId="3982E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958" w:type="dxa"/>
            <w:gridSpan w:val="5"/>
            <w:tcBorders>
              <w:right w:val="single" w:color="auto" w:sz="4" w:space="0"/>
            </w:tcBorders>
            <w:shd w:val="clear" w:color="auto" w:fill="auto"/>
            <w:noWrap w:val="0"/>
            <w:vAlign w:val="center"/>
          </w:tcPr>
          <w:p w14:paraId="02603E3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Cs w:val="21"/>
                <w:highlight w:val="none"/>
              </w:rPr>
              <w:t>售后服务</w:t>
            </w:r>
          </w:p>
        </w:tc>
        <w:tc>
          <w:tcPr>
            <w:tcW w:w="6904" w:type="dxa"/>
            <w:gridSpan w:val="2"/>
            <w:tcBorders>
              <w:right w:val="single" w:color="auto" w:sz="4" w:space="0"/>
            </w:tcBorders>
            <w:shd w:val="clear" w:color="auto" w:fill="auto"/>
            <w:noWrap w:val="0"/>
            <w:vAlign w:val="center"/>
          </w:tcPr>
          <w:p w14:paraId="325E1A3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 xml:space="preserve">. </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应按照国家有关法律法规和“三包”规定以及招标文件、</w:t>
            </w:r>
            <w:r>
              <w:rPr>
                <w:rFonts w:hint="eastAsia" w:eastAsia="宋体" w:cs="Times New Roman"/>
                <w:color w:val="auto"/>
                <w:sz w:val="21"/>
                <w:szCs w:val="21"/>
                <w:highlight w:val="none"/>
                <w:lang w:eastAsia="zh-CN"/>
              </w:rPr>
              <w:t>响应文件</w:t>
            </w:r>
            <w:r>
              <w:rPr>
                <w:rFonts w:hint="eastAsia" w:ascii="Times New Roman" w:hAnsi="Times New Roman" w:eastAsia="宋体" w:cs="Times New Roman"/>
                <w:color w:val="auto"/>
                <w:sz w:val="21"/>
                <w:szCs w:val="21"/>
                <w:highlight w:val="none"/>
              </w:rPr>
              <w:t>、合同及附件的规定，为采购人提供售后服务。</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承诺质量保证期优于国家“三包”规定的，或优于招标文件规定的，按</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实际承诺执行。</w:t>
            </w:r>
          </w:p>
          <w:p w14:paraId="7B1DA31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 xml:space="preserve">. </w:t>
            </w:r>
            <w:r>
              <w:rPr>
                <w:rFonts w:hint="eastAsia" w:eastAsia="宋体" w:cs="Times New Roman"/>
                <w:color w:val="auto"/>
                <w:sz w:val="21"/>
                <w:szCs w:val="21"/>
                <w:highlight w:val="none"/>
                <w:lang w:eastAsia="zh-CN"/>
              </w:rPr>
              <w:t>成交</w:t>
            </w:r>
            <w:r>
              <w:rPr>
                <w:rFonts w:hint="eastAsia" w:ascii="Times New Roman" w:hAnsi="Times New Roman" w:eastAsia="宋体" w:cs="Times New Roman"/>
                <w:color w:val="auto"/>
                <w:sz w:val="21"/>
                <w:szCs w:val="21"/>
                <w:highlight w:val="none"/>
              </w:rPr>
              <w:t>后产品或服务由制造商（指产品生产制造商或服务实际提供人）负责质保期内的售后服务的，</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应当在</w:t>
            </w:r>
            <w:r>
              <w:rPr>
                <w:rFonts w:hint="eastAsia" w:eastAsia="宋体" w:cs="Times New Roman"/>
                <w:color w:val="auto"/>
                <w:sz w:val="21"/>
                <w:szCs w:val="21"/>
                <w:highlight w:val="none"/>
                <w:lang w:eastAsia="zh-CN"/>
              </w:rPr>
              <w:t>响应文件</w:t>
            </w:r>
            <w:r>
              <w:rPr>
                <w:rFonts w:hint="eastAsia" w:ascii="Times New Roman" w:hAnsi="Times New Roman" w:eastAsia="宋体" w:cs="Times New Roman"/>
                <w:color w:val="auto"/>
                <w:sz w:val="21"/>
                <w:szCs w:val="21"/>
                <w:highlight w:val="none"/>
              </w:rPr>
              <w:t>中予以明确说明，制造商提供的售后服务也应达到招标文件要求的标准，相关的售后服务费用由</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向制造商支付，</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可视情况在</w:t>
            </w:r>
            <w:r>
              <w:rPr>
                <w:rFonts w:hint="eastAsia" w:eastAsia="宋体" w:cs="Times New Roman"/>
                <w:color w:val="auto"/>
                <w:sz w:val="21"/>
                <w:szCs w:val="21"/>
                <w:highlight w:val="none"/>
                <w:lang w:eastAsia="zh-CN"/>
              </w:rPr>
              <w:t>响应报价</w:t>
            </w:r>
            <w:r>
              <w:rPr>
                <w:rFonts w:hint="eastAsia" w:ascii="Times New Roman" w:hAnsi="Times New Roman" w:eastAsia="宋体" w:cs="Times New Roman"/>
                <w:color w:val="auto"/>
                <w:sz w:val="21"/>
                <w:szCs w:val="21"/>
                <w:highlight w:val="none"/>
              </w:rPr>
              <w:t>中予以考虑，采购人不予另行支付。</w:t>
            </w:r>
          </w:p>
          <w:p w14:paraId="73F3B51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eastAsia" w:cs="Times New Roman"/>
                <w:color w:val="auto"/>
                <w:sz w:val="21"/>
                <w:szCs w:val="21"/>
                <w:highlight w:val="none"/>
                <w:lang w:val="en-US" w:eastAsia="zh-CN"/>
              </w:rPr>
              <w:t xml:space="preserve">. </w:t>
            </w:r>
            <w:r>
              <w:rPr>
                <w:rFonts w:hint="eastAsia" w:eastAsia="宋体" w:cs="Times New Roman"/>
                <w:color w:val="auto"/>
                <w:sz w:val="21"/>
                <w:szCs w:val="21"/>
                <w:highlight w:val="none"/>
                <w:lang w:eastAsia="zh-CN"/>
              </w:rPr>
              <w:t>成交供应商</w:t>
            </w:r>
            <w:r>
              <w:rPr>
                <w:rFonts w:hint="eastAsia" w:cs="Times New Roman"/>
                <w:color w:val="auto"/>
                <w:sz w:val="21"/>
                <w:szCs w:val="21"/>
                <w:highlight w:val="none"/>
                <w:lang w:eastAsia="zh-CN"/>
              </w:rPr>
              <w:t>在</w:t>
            </w:r>
            <w:r>
              <w:rPr>
                <w:rFonts w:hint="eastAsia" w:ascii="Times New Roman" w:hAnsi="Times New Roman" w:eastAsia="宋体" w:cs="Times New Roman"/>
                <w:color w:val="auto"/>
                <w:sz w:val="21"/>
                <w:szCs w:val="21"/>
                <w:highlight w:val="none"/>
              </w:rPr>
              <w:t>售后服务中，维修使用的备品备件及易损件应为原厂配件，未经采购人同意不得使用非原厂配件，质保期内维修使用的备品备件及易损件的费用，由</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承担。质量保证期过后，采购人需要继续由原</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提供售后服务的，该</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应以优惠价格提供售后服务，常用的、容易损坏的备品备件及易损件的优惠价格清单须在</w:t>
            </w:r>
            <w:r>
              <w:rPr>
                <w:rFonts w:hint="eastAsia" w:eastAsia="宋体" w:cs="Times New Roman"/>
                <w:color w:val="auto"/>
                <w:sz w:val="21"/>
                <w:szCs w:val="21"/>
                <w:highlight w:val="none"/>
                <w:lang w:eastAsia="zh-CN"/>
              </w:rPr>
              <w:t>响应文件</w:t>
            </w:r>
            <w:r>
              <w:rPr>
                <w:rFonts w:hint="eastAsia" w:ascii="Times New Roman" w:hAnsi="Times New Roman" w:eastAsia="宋体" w:cs="Times New Roman"/>
                <w:color w:val="auto"/>
                <w:sz w:val="21"/>
                <w:szCs w:val="21"/>
                <w:highlight w:val="none"/>
              </w:rPr>
              <w:t>中列出。</w:t>
            </w:r>
          </w:p>
          <w:p w14:paraId="0351F3C6">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4</w:t>
            </w:r>
            <w:r>
              <w:rPr>
                <w:rFonts w:hint="eastAsia" w:cs="Times New Roman"/>
                <w:color w:val="auto"/>
                <w:sz w:val="21"/>
                <w:szCs w:val="21"/>
                <w:highlight w:val="none"/>
                <w:lang w:val="en-US" w:eastAsia="zh-CN"/>
              </w:rPr>
              <w:t xml:space="preserve">. </w:t>
            </w:r>
            <w:r>
              <w:rPr>
                <w:rFonts w:hint="eastAsia" w:ascii="Times New Roman" w:hAnsi="Times New Roman" w:eastAsia="宋体" w:cs="Times New Roman"/>
                <w:color w:val="auto"/>
                <w:sz w:val="21"/>
                <w:szCs w:val="21"/>
                <w:highlight w:val="none"/>
              </w:rPr>
              <w:t>质量保证期内的费用</w:t>
            </w:r>
          </w:p>
          <w:p w14:paraId="242673F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质量保证期内</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为采购人所提供的所有技术支持和服务费用以及上门维修、更换零部件</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易损件</w:t>
            </w:r>
            <w:r>
              <w:rPr>
                <w:rFonts w:hint="eastAsia" w:ascii="Times New Roman" w:hAnsi="Times New Roman" w:eastAsia="宋体" w:cs="Times New Roman"/>
                <w:color w:val="auto"/>
                <w:sz w:val="21"/>
                <w:szCs w:val="21"/>
                <w:highlight w:val="none"/>
              </w:rPr>
              <w:t>费用均包含在</w:t>
            </w:r>
            <w:r>
              <w:rPr>
                <w:rFonts w:hint="eastAsia" w:eastAsia="宋体" w:cs="Times New Roman"/>
                <w:color w:val="auto"/>
                <w:sz w:val="21"/>
                <w:szCs w:val="21"/>
                <w:highlight w:val="none"/>
                <w:lang w:eastAsia="zh-CN"/>
              </w:rPr>
              <w:t>响应报价</w:t>
            </w:r>
            <w:r>
              <w:rPr>
                <w:rFonts w:hint="eastAsia" w:ascii="Times New Roman" w:hAnsi="Times New Roman" w:eastAsia="宋体" w:cs="Times New Roman"/>
                <w:color w:val="auto"/>
                <w:sz w:val="21"/>
                <w:szCs w:val="21"/>
                <w:highlight w:val="none"/>
              </w:rPr>
              <w:t>中，采购人不再另行支付。</w:t>
            </w:r>
          </w:p>
          <w:p w14:paraId="7D9C861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5</w:t>
            </w:r>
            <w:r>
              <w:rPr>
                <w:rFonts w:hint="eastAsia" w:cs="Times New Roman"/>
                <w:color w:val="auto"/>
                <w:sz w:val="21"/>
                <w:szCs w:val="21"/>
                <w:highlight w:val="none"/>
                <w:lang w:val="en-US" w:eastAsia="zh-CN"/>
              </w:rPr>
              <w:t xml:space="preserve">. </w:t>
            </w:r>
            <w:r>
              <w:rPr>
                <w:rFonts w:hint="eastAsia" w:ascii="Times New Roman" w:hAnsi="Times New Roman" w:eastAsia="宋体" w:cs="Times New Roman"/>
                <w:color w:val="auto"/>
                <w:sz w:val="21"/>
                <w:szCs w:val="21"/>
                <w:highlight w:val="none"/>
              </w:rPr>
              <w:t>质保期过后的服务要求</w:t>
            </w:r>
          </w:p>
          <w:p w14:paraId="73F18F0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rPr>
              <w:t>电话咨询：产品质量保证期过后，</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应当为采购人提供技术援助电话，解答采购人在使用中遇到的问题，及时为采购人提出解决问题的建议，并不予收费。</w:t>
            </w:r>
          </w:p>
        </w:tc>
      </w:tr>
      <w:tr w14:paraId="2FB9C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958" w:type="dxa"/>
            <w:gridSpan w:val="5"/>
            <w:tcBorders>
              <w:right w:val="single" w:color="auto" w:sz="4" w:space="0"/>
            </w:tcBorders>
            <w:shd w:val="clear" w:color="auto" w:fill="auto"/>
            <w:noWrap w:val="0"/>
            <w:vAlign w:val="center"/>
          </w:tcPr>
          <w:p w14:paraId="6B592B3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b w:val="0"/>
                <w:bCs w:val="0"/>
                <w:color w:val="auto"/>
                <w:szCs w:val="21"/>
                <w:highlight w:val="none"/>
              </w:rPr>
              <w:t>保险</w:t>
            </w:r>
          </w:p>
        </w:tc>
        <w:tc>
          <w:tcPr>
            <w:tcW w:w="6904" w:type="dxa"/>
            <w:gridSpan w:val="2"/>
            <w:tcBorders>
              <w:right w:val="single" w:color="auto" w:sz="4" w:space="0"/>
            </w:tcBorders>
            <w:shd w:val="clear" w:color="auto" w:fill="auto"/>
            <w:noWrap w:val="0"/>
            <w:vAlign w:val="center"/>
          </w:tcPr>
          <w:p w14:paraId="10C7C09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负责办理运输和保险，将货物运抵交货地点。与运输、保险相关的费用由</w:t>
            </w:r>
            <w:r>
              <w:rPr>
                <w:rFonts w:hint="eastAsia" w:eastAsia="宋体"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承担。</w:t>
            </w:r>
          </w:p>
        </w:tc>
      </w:tr>
      <w:tr w14:paraId="6C577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9862" w:type="dxa"/>
            <w:gridSpan w:val="7"/>
            <w:tcBorders>
              <w:right w:val="single" w:color="auto" w:sz="4" w:space="0"/>
            </w:tcBorders>
            <w:shd w:val="clear" w:color="auto" w:fill="auto"/>
            <w:noWrap w:val="0"/>
            <w:vAlign w:val="center"/>
          </w:tcPr>
          <w:p w14:paraId="66B1B2F8">
            <w:pPr>
              <w:spacing w:line="360" w:lineRule="auto"/>
              <w:rPr>
                <w:rFonts w:hint="eastAsia" w:ascii="Times New Roman" w:hAnsi="Times New Roman" w:eastAsia="宋体" w:cs="Times New Roman"/>
                <w:color w:val="auto"/>
                <w:kern w:val="2"/>
                <w:sz w:val="21"/>
                <w:szCs w:val="21"/>
                <w:highlight w:val="none"/>
                <w:lang w:val="en-US" w:eastAsia="zh-CN" w:bidi="ar-SA"/>
              </w:rPr>
            </w:pPr>
            <w:r>
              <w:rPr>
                <w:rFonts w:hint="eastAsia" w:ascii="黑体" w:hAnsi="黑体" w:eastAsia="黑体" w:cs="Arial"/>
                <w:b/>
                <w:color w:val="auto"/>
                <w:kern w:val="0"/>
                <w:sz w:val="28"/>
                <w:szCs w:val="28"/>
                <w:highlight w:val="none"/>
              </w:rPr>
              <w:t>▲四、其他要求</w:t>
            </w:r>
          </w:p>
        </w:tc>
      </w:tr>
      <w:tr w14:paraId="67876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9862" w:type="dxa"/>
            <w:gridSpan w:val="7"/>
            <w:tcBorders>
              <w:right w:val="single" w:color="auto" w:sz="4" w:space="0"/>
            </w:tcBorders>
            <w:shd w:val="clear" w:color="auto" w:fill="auto"/>
            <w:noWrap w:val="0"/>
            <w:vAlign w:val="center"/>
          </w:tcPr>
          <w:p w14:paraId="5960AA47">
            <w:pPr>
              <w:ind w:firstLine="420" w:firstLineChars="200"/>
              <w:rPr>
                <w:rFonts w:hint="eastAsia" w:ascii="黑体" w:hAnsi="黑体" w:eastAsia="黑体" w:cs="Arial"/>
                <w:b/>
                <w:color w:val="auto"/>
                <w:kern w:val="0"/>
                <w:sz w:val="28"/>
                <w:szCs w:val="28"/>
                <w:highlight w:val="none"/>
                <w:lang w:val="en-US" w:eastAsia="zh-CN" w:bidi="ar-SA"/>
              </w:rPr>
            </w:pPr>
            <w:r>
              <w:rPr>
                <w:rFonts w:hint="eastAsia" w:ascii="Times New Roman" w:hAnsi="Times New Roman" w:eastAsia="宋体" w:cs="Times New Roman"/>
                <w:color w:val="auto"/>
                <w:sz w:val="21"/>
                <w:szCs w:val="21"/>
                <w:highlight w:val="none"/>
                <w:lang w:val="zh-CN" w:eastAsia="zh-CN"/>
              </w:rPr>
              <w:t>1</w:t>
            </w: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rPr>
              <w:t>为有效防止虚假应标，项目成交结果发布后，如有质疑，采购人有权要求</w:t>
            </w:r>
            <w:r>
              <w:rPr>
                <w:rFonts w:hint="eastAsia" w:eastAsia="宋体" w:cs="Times New Roman"/>
                <w:color w:val="auto"/>
                <w:sz w:val="21"/>
                <w:szCs w:val="21"/>
                <w:highlight w:val="none"/>
                <w:lang w:val="en-US" w:eastAsia="zh-CN"/>
              </w:rPr>
              <w:t>成交供应商</w:t>
            </w:r>
            <w:r>
              <w:rPr>
                <w:rFonts w:hint="eastAsia" w:ascii="Times New Roman" w:hAnsi="Times New Roman" w:eastAsia="宋体" w:cs="Times New Roman"/>
                <w:color w:val="auto"/>
                <w:sz w:val="21"/>
                <w:szCs w:val="21"/>
                <w:highlight w:val="none"/>
                <w:lang w:val="en-US"/>
              </w:rPr>
              <w:t>提供所投产品以供测试，确保功能参数要求均可满足；若测试达不到响应指标，以虚假响应处理。</w:t>
            </w:r>
          </w:p>
        </w:tc>
      </w:tr>
    </w:tbl>
    <w:p w14:paraId="2FD98EEB">
      <w:pPr>
        <w:keepNext w:val="0"/>
        <w:keepLines w:val="0"/>
        <w:pageBreakBefore w:val="0"/>
        <w:widowControl w:val="0"/>
        <w:kinsoku/>
        <w:wordWrap/>
        <w:overflowPunct/>
        <w:topLinePunct w:val="0"/>
        <w:autoSpaceDE/>
        <w:autoSpaceDN/>
        <w:bidi w:val="0"/>
        <w:adjustRightInd/>
        <w:snapToGrid/>
        <w:spacing w:before="157" w:beforeLines="50" w:line="240" w:lineRule="auto"/>
        <w:textAlignment w:val="auto"/>
        <w:rPr>
          <w:color w:val="auto"/>
          <w:szCs w:val="21"/>
          <w:highlight w:val="none"/>
        </w:rPr>
      </w:pPr>
      <w:bookmarkStart w:id="21" w:name="_Hlk132815329"/>
      <w:r>
        <w:rPr>
          <w:rFonts w:hint="eastAsia"/>
          <w:color w:val="auto"/>
          <w:szCs w:val="21"/>
          <w:highlight w:val="none"/>
        </w:rPr>
        <w:t>注：1、</w:t>
      </w:r>
      <w:r>
        <w:rPr>
          <w:color w:val="auto"/>
          <w:szCs w:val="21"/>
          <w:highlight w:val="none"/>
        </w:rPr>
        <w:t>所属行业标明“/”的</w:t>
      </w:r>
      <w:r>
        <w:rPr>
          <w:rFonts w:hint="eastAsia"/>
          <w:color w:val="auto"/>
          <w:szCs w:val="21"/>
          <w:highlight w:val="none"/>
        </w:rPr>
        <w:t>采购</w:t>
      </w:r>
      <w:r>
        <w:rPr>
          <w:color w:val="auto"/>
          <w:szCs w:val="21"/>
          <w:highlight w:val="none"/>
        </w:rPr>
        <w:t>标的，</w:t>
      </w:r>
      <w:r>
        <w:rPr>
          <w:rFonts w:hint="eastAsia"/>
          <w:color w:val="auto"/>
          <w:szCs w:val="21"/>
          <w:highlight w:val="none"/>
        </w:rPr>
        <w:t>无需在</w:t>
      </w:r>
      <w:r>
        <w:rPr>
          <w:color w:val="auto"/>
          <w:szCs w:val="21"/>
          <w:highlight w:val="none"/>
        </w:rPr>
        <w:t>中小企业声明函</w:t>
      </w:r>
      <w:r>
        <w:rPr>
          <w:rFonts w:hint="eastAsia"/>
          <w:color w:val="auto"/>
          <w:szCs w:val="21"/>
          <w:highlight w:val="none"/>
        </w:rPr>
        <w:t>中填写</w:t>
      </w:r>
      <w:r>
        <w:rPr>
          <w:color w:val="auto"/>
          <w:szCs w:val="21"/>
          <w:highlight w:val="none"/>
        </w:rPr>
        <w:t>。</w:t>
      </w:r>
    </w:p>
    <w:bookmarkEnd w:id="21"/>
    <w:p w14:paraId="547F94A7">
      <w:pPr>
        <w:keepNext w:val="0"/>
        <w:keepLines w:val="0"/>
        <w:pageBreakBefore w:val="0"/>
        <w:widowControl w:val="0"/>
        <w:kinsoku/>
        <w:wordWrap/>
        <w:overflowPunct/>
        <w:topLinePunct w:val="0"/>
        <w:autoSpaceDE/>
        <w:autoSpaceDN/>
        <w:bidi w:val="0"/>
        <w:adjustRightInd/>
        <w:snapToGrid/>
        <w:spacing w:before="157" w:beforeLines="50" w:line="240" w:lineRule="auto"/>
        <w:ind w:firstLine="210" w:firstLineChars="100"/>
        <w:textAlignment w:val="auto"/>
        <w:rPr>
          <w:sz w:val="28"/>
          <w:szCs w:val="28"/>
        </w:rPr>
      </w:pPr>
      <w:r>
        <w:rPr>
          <w:rFonts w:hint="eastAsia"/>
          <w:color w:val="auto"/>
          <w:szCs w:val="21"/>
          <w:highlight w:val="none"/>
          <w:lang w:eastAsia="zh-CN"/>
        </w:rPr>
        <w:t>2.</w:t>
      </w:r>
      <w:r>
        <w:rPr>
          <w:rFonts w:hint="eastAsia"/>
          <w:color w:val="auto"/>
          <w:szCs w:val="21"/>
          <w:highlight w:val="none"/>
        </w:rPr>
        <w:t>实质性参数要求提交证明材料的，应按照要求提供，未提供或未按要求提供的将视为响应无效。</w:t>
      </w:r>
      <w:r>
        <w:rPr>
          <w:szCs w:val="21"/>
        </w:rPr>
        <w:br w:type="page"/>
      </w:r>
      <w:r>
        <w:rPr>
          <w:rFonts w:hint="eastAsia"/>
          <w:sz w:val="28"/>
          <w:szCs w:val="28"/>
        </w:rPr>
        <w:t xml:space="preserve">附件1： </w:t>
      </w:r>
      <w:r>
        <w:rPr>
          <w:sz w:val="28"/>
          <w:szCs w:val="28"/>
        </w:rPr>
        <w:t xml:space="preserve">                              </w:t>
      </w:r>
    </w:p>
    <w:p w14:paraId="0093BF66">
      <w:pPr>
        <w:spacing w:line="528" w:lineRule="exact"/>
        <w:ind w:firstLine="3500" w:firstLineChars="1250"/>
        <w:rPr>
          <w:sz w:val="28"/>
          <w:szCs w:val="28"/>
        </w:rPr>
      </w:pPr>
      <w:r>
        <w:rPr>
          <w:rFonts w:hint="eastAsia"/>
          <w:sz w:val="28"/>
          <w:szCs w:val="28"/>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1F7AEA61">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1FD613F3">
            <w:pPr>
              <w:widowControl/>
              <w:jc w:val="left"/>
              <w:rPr>
                <w:szCs w:val="21"/>
              </w:rPr>
            </w:pPr>
            <w:r>
              <w:rPr>
                <w:rFonts w:hint="eastAsia"/>
                <w:szCs w:val="21"/>
              </w:rPr>
              <w:t>行业名称</w:t>
            </w:r>
          </w:p>
        </w:tc>
        <w:tc>
          <w:tcPr>
            <w:tcW w:w="1701" w:type="dxa"/>
            <w:tcBorders>
              <w:top w:val="single" w:color="auto" w:sz="4" w:space="0"/>
              <w:left w:val="nil"/>
              <w:bottom w:val="single" w:color="auto" w:sz="4" w:space="0"/>
              <w:right w:val="single" w:color="auto" w:sz="4" w:space="0"/>
            </w:tcBorders>
            <w:noWrap w:val="0"/>
            <w:vAlign w:val="center"/>
          </w:tcPr>
          <w:p w14:paraId="1E8DE4A8">
            <w:pPr>
              <w:widowControl/>
              <w:jc w:val="left"/>
              <w:rPr>
                <w:szCs w:val="21"/>
              </w:rPr>
            </w:pPr>
            <w:r>
              <w:rPr>
                <w:rFonts w:hint="eastAsia"/>
                <w:szCs w:val="21"/>
              </w:rPr>
              <w:t>指标名称</w:t>
            </w:r>
          </w:p>
        </w:tc>
        <w:tc>
          <w:tcPr>
            <w:tcW w:w="1134" w:type="dxa"/>
            <w:tcBorders>
              <w:top w:val="single" w:color="auto" w:sz="4" w:space="0"/>
              <w:left w:val="nil"/>
              <w:bottom w:val="single" w:color="auto" w:sz="4" w:space="0"/>
              <w:right w:val="single" w:color="auto" w:sz="4" w:space="0"/>
            </w:tcBorders>
            <w:noWrap w:val="0"/>
            <w:vAlign w:val="center"/>
          </w:tcPr>
          <w:p w14:paraId="3EE4E584">
            <w:pPr>
              <w:widowControl/>
              <w:jc w:val="left"/>
              <w:rPr>
                <w:szCs w:val="21"/>
              </w:rPr>
            </w:pPr>
            <w:r>
              <w:rPr>
                <w:rFonts w:hint="eastAsia"/>
                <w:szCs w:val="21"/>
              </w:rPr>
              <w:t>计量单位</w:t>
            </w:r>
          </w:p>
        </w:tc>
        <w:tc>
          <w:tcPr>
            <w:tcW w:w="1846" w:type="dxa"/>
            <w:tcBorders>
              <w:top w:val="single" w:color="auto" w:sz="4" w:space="0"/>
              <w:left w:val="nil"/>
              <w:bottom w:val="single" w:color="auto" w:sz="4" w:space="0"/>
              <w:right w:val="single" w:color="auto" w:sz="4" w:space="0"/>
            </w:tcBorders>
            <w:noWrap w:val="0"/>
            <w:vAlign w:val="center"/>
          </w:tcPr>
          <w:p w14:paraId="659650D0">
            <w:pPr>
              <w:widowControl/>
              <w:jc w:val="left"/>
              <w:rPr>
                <w:szCs w:val="21"/>
              </w:rPr>
            </w:pPr>
            <w:r>
              <w:rPr>
                <w:rFonts w:hint="eastAsia"/>
                <w:szCs w:val="21"/>
              </w:rPr>
              <w:t>中型</w:t>
            </w:r>
          </w:p>
        </w:tc>
        <w:tc>
          <w:tcPr>
            <w:tcW w:w="1570" w:type="dxa"/>
            <w:tcBorders>
              <w:top w:val="single" w:color="auto" w:sz="4" w:space="0"/>
              <w:left w:val="nil"/>
              <w:bottom w:val="single" w:color="auto" w:sz="4" w:space="0"/>
              <w:right w:val="single" w:color="auto" w:sz="4" w:space="0"/>
            </w:tcBorders>
            <w:noWrap w:val="0"/>
            <w:vAlign w:val="center"/>
          </w:tcPr>
          <w:p w14:paraId="4CD8EB20">
            <w:pPr>
              <w:widowControl/>
              <w:jc w:val="left"/>
              <w:rPr>
                <w:szCs w:val="21"/>
              </w:rPr>
            </w:pPr>
            <w:r>
              <w:rPr>
                <w:rFonts w:hint="eastAsia"/>
                <w:szCs w:val="21"/>
              </w:rPr>
              <w:t>小型</w:t>
            </w:r>
          </w:p>
        </w:tc>
        <w:tc>
          <w:tcPr>
            <w:tcW w:w="1009" w:type="dxa"/>
            <w:tcBorders>
              <w:top w:val="single" w:color="auto" w:sz="4" w:space="0"/>
              <w:left w:val="nil"/>
              <w:bottom w:val="single" w:color="auto" w:sz="4" w:space="0"/>
              <w:right w:val="single" w:color="auto" w:sz="4" w:space="0"/>
            </w:tcBorders>
            <w:noWrap w:val="0"/>
            <w:vAlign w:val="center"/>
          </w:tcPr>
          <w:p w14:paraId="3D555BC8">
            <w:pPr>
              <w:widowControl/>
              <w:jc w:val="left"/>
              <w:rPr>
                <w:szCs w:val="21"/>
              </w:rPr>
            </w:pPr>
            <w:r>
              <w:rPr>
                <w:rFonts w:hint="eastAsia"/>
                <w:szCs w:val="21"/>
              </w:rPr>
              <w:t>微型</w:t>
            </w:r>
          </w:p>
        </w:tc>
      </w:tr>
      <w:tr w14:paraId="035EB87E">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1E5CFF77">
            <w:pPr>
              <w:widowControl/>
              <w:jc w:val="center"/>
              <w:rPr>
                <w:szCs w:val="21"/>
              </w:rPr>
            </w:pPr>
            <w:r>
              <w:rPr>
                <w:rFonts w:hint="eastAsia"/>
                <w:szCs w:val="21"/>
              </w:rPr>
              <w:t>农、林、牧、渔</w:t>
            </w:r>
          </w:p>
        </w:tc>
        <w:tc>
          <w:tcPr>
            <w:tcW w:w="1701" w:type="dxa"/>
            <w:tcBorders>
              <w:top w:val="nil"/>
              <w:left w:val="nil"/>
              <w:bottom w:val="single" w:color="auto" w:sz="4" w:space="0"/>
              <w:right w:val="single" w:color="auto" w:sz="4" w:space="0"/>
            </w:tcBorders>
            <w:noWrap w:val="0"/>
            <w:vAlign w:val="center"/>
          </w:tcPr>
          <w:p w14:paraId="401FC642">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23DCE42A">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6DAA6129">
            <w:pPr>
              <w:widowControl/>
              <w:jc w:val="left"/>
              <w:rPr>
                <w:szCs w:val="21"/>
              </w:rPr>
            </w:pPr>
            <w:r>
              <w:rPr>
                <w:rFonts w:hint="eastAsia"/>
                <w:szCs w:val="21"/>
              </w:rPr>
              <w:t>500≤Y＜20000</w:t>
            </w:r>
          </w:p>
        </w:tc>
        <w:tc>
          <w:tcPr>
            <w:tcW w:w="1570" w:type="dxa"/>
            <w:tcBorders>
              <w:top w:val="nil"/>
              <w:left w:val="nil"/>
              <w:bottom w:val="single" w:color="auto" w:sz="4" w:space="0"/>
              <w:right w:val="single" w:color="auto" w:sz="4" w:space="0"/>
            </w:tcBorders>
            <w:noWrap w:val="0"/>
            <w:vAlign w:val="center"/>
          </w:tcPr>
          <w:p w14:paraId="4D7ECB43">
            <w:pPr>
              <w:widowControl/>
              <w:jc w:val="left"/>
              <w:rPr>
                <w:szCs w:val="21"/>
              </w:rPr>
            </w:pPr>
            <w:r>
              <w:rPr>
                <w:rFonts w:hint="eastAsia"/>
                <w:szCs w:val="21"/>
              </w:rPr>
              <w:t>50≤Y＜500</w:t>
            </w:r>
          </w:p>
        </w:tc>
        <w:tc>
          <w:tcPr>
            <w:tcW w:w="1009" w:type="dxa"/>
            <w:tcBorders>
              <w:top w:val="nil"/>
              <w:left w:val="nil"/>
              <w:bottom w:val="single" w:color="auto" w:sz="4" w:space="0"/>
              <w:right w:val="single" w:color="auto" w:sz="4" w:space="0"/>
            </w:tcBorders>
            <w:noWrap w:val="0"/>
            <w:vAlign w:val="center"/>
          </w:tcPr>
          <w:p w14:paraId="1E5F5F8B">
            <w:pPr>
              <w:widowControl/>
              <w:jc w:val="left"/>
              <w:rPr>
                <w:szCs w:val="21"/>
              </w:rPr>
            </w:pPr>
            <w:r>
              <w:rPr>
                <w:rFonts w:hint="eastAsia"/>
                <w:szCs w:val="21"/>
              </w:rPr>
              <w:t>Y＜50</w:t>
            </w:r>
          </w:p>
        </w:tc>
      </w:tr>
      <w:tr w14:paraId="513F3A8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59A62F4">
            <w:pPr>
              <w:widowControl/>
              <w:jc w:val="center"/>
              <w:rPr>
                <w:szCs w:val="21"/>
              </w:rPr>
            </w:pPr>
            <w:r>
              <w:rPr>
                <w:rFonts w:hint="eastAsia"/>
                <w:szCs w:val="21"/>
              </w:rPr>
              <w:t>工业</w:t>
            </w:r>
          </w:p>
        </w:tc>
        <w:tc>
          <w:tcPr>
            <w:tcW w:w="1701" w:type="dxa"/>
            <w:tcBorders>
              <w:top w:val="nil"/>
              <w:left w:val="nil"/>
              <w:bottom w:val="single" w:color="auto" w:sz="4" w:space="0"/>
              <w:right w:val="single" w:color="auto" w:sz="4" w:space="0"/>
            </w:tcBorders>
            <w:noWrap w:val="0"/>
            <w:vAlign w:val="center"/>
          </w:tcPr>
          <w:p w14:paraId="68012D08">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47A3146B">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5888904D">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5178235B">
            <w:pPr>
              <w:widowControl/>
              <w:jc w:val="left"/>
              <w:rPr>
                <w:szCs w:val="21"/>
              </w:rPr>
            </w:pPr>
            <w:r>
              <w:rPr>
                <w:rFonts w:hint="eastAsia"/>
                <w:szCs w:val="21"/>
              </w:rPr>
              <w:t>20≤X＜300</w:t>
            </w:r>
          </w:p>
        </w:tc>
        <w:tc>
          <w:tcPr>
            <w:tcW w:w="1009" w:type="dxa"/>
            <w:tcBorders>
              <w:top w:val="nil"/>
              <w:left w:val="nil"/>
              <w:bottom w:val="single" w:color="auto" w:sz="4" w:space="0"/>
              <w:right w:val="single" w:color="auto" w:sz="4" w:space="0"/>
            </w:tcBorders>
            <w:noWrap w:val="0"/>
            <w:vAlign w:val="center"/>
          </w:tcPr>
          <w:p w14:paraId="56969D1A">
            <w:pPr>
              <w:widowControl/>
              <w:jc w:val="left"/>
              <w:rPr>
                <w:szCs w:val="21"/>
              </w:rPr>
            </w:pPr>
            <w:r>
              <w:rPr>
                <w:rFonts w:hint="eastAsia"/>
                <w:szCs w:val="21"/>
              </w:rPr>
              <w:t>X＜20</w:t>
            </w:r>
          </w:p>
        </w:tc>
      </w:tr>
      <w:tr w14:paraId="1822EAE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5E58479">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72E5F393">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2AFE956F">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2DCF53AE">
            <w:pPr>
              <w:widowControl/>
              <w:jc w:val="left"/>
              <w:rPr>
                <w:szCs w:val="21"/>
              </w:rPr>
            </w:pPr>
            <w:r>
              <w:rPr>
                <w:rFonts w:hint="eastAsia"/>
                <w:szCs w:val="21"/>
              </w:rPr>
              <w:t>2000≤Y＜40000</w:t>
            </w:r>
          </w:p>
        </w:tc>
        <w:tc>
          <w:tcPr>
            <w:tcW w:w="1570" w:type="dxa"/>
            <w:tcBorders>
              <w:top w:val="nil"/>
              <w:left w:val="nil"/>
              <w:bottom w:val="single" w:color="auto" w:sz="4" w:space="0"/>
              <w:right w:val="single" w:color="auto" w:sz="4" w:space="0"/>
            </w:tcBorders>
            <w:noWrap w:val="0"/>
            <w:vAlign w:val="center"/>
          </w:tcPr>
          <w:p w14:paraId="1F612C9B">
            <w:pPr>
              <w:widowControl/>
              <w:jc w:val="left"/>
              <w:rPr>
                <w:szCs w:val="21"/>
              </w:rPr>
            </w:pPr>
            <w:r>
              <w:rPr>
                <w:rFonts w:hint="eastAsia"/>
                <w:szCs w:val="21"/>
              </w:rPr>
              <w:t>300≤Y＜2000</w:t>
            </w:r>
          </w:p>
        </w:tc>
        <w:tc>
          <w:tcPr>
            <w:tcW w:w="1009" w:type="dxa"/>
            <w:tcBorders>
              <w:top w:val="nil"/>
              <w:left w:val="nil"/>
              <w:bottom w:val="single" w:color="auto" w:sz="4" w:space="0"/>
              <w:right w:val="single" w:color="auto" w:sz="4" w:space="0"/>
            </w:tcBorders>
            <w:noWrap w:val="0"/>
            <w:vAlign w:val="center"/>
          </w:tcPr>
          <w:p w14:paraId="201026D9">
            <w:pPr>
              <w:widowControl/>
              <w:jc w:val="left"/>
              <w:rPr>
                <w:szCs w:val="21"/>
              </w:rPr>
            </w:pPr>
            <w:r>
              <w:rPr>
                <w:rFonts w:hint="eastAsia"/>
                <w:szCs w:val="21"/>
              </w:rPr>
              <w:t>Y＜300</w:t>
            </w:r>
          </w:p>
        </w:tc>
      </w:tr>
      <w:tr w14:paraId="4231039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00CAD0A">
            <w:pPr>
              <w:widowControl/>
              <w:jc w:val="center"/>
              <w:rPr>
                <w:szCs w:val="21"/>
              </w:rPr>
            </w:pPr>
            <w:r>
              <w:rPr>
                <w:rFonts w:hint="eastAsia"/>
                <w:szCs w:val="21"/>
              </w:rPr>
              <w:t>建筑业</w:t>
            </w:r>
          </w:p>
        </w:tc>
        <w:tc>
          <w:tcPr>
            <w:tcW w:w="1701" w:type="dxa"/>
            <w:tcBorders>
              <w:top w:val="nil"/>
              <w:left w:val="nil"/>
              <w:bottom w:val="single" w:color="auto" w:sz="4" w:space="0"/>
              <w:right w:val="single" w:color="auto" w:sz="4" w:space="0"/>
            </w:tcBorders>
            <w:noWrap w:val="0"/>
            <w:vAlign w:val="center"/>
          </w:tcPr>
          <w:p w14:paraId="7101920F">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73D39699">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2872E895">
            <w:pPr>
              <w:widowControl/>
              <w:jc w:val="left"/>
              <w:rPr>
                <w:szCs w:val="21"/>
              </w:rPr>
            </w:pPr>
            <w:r>
              <w:rPr>
                <w:rFonts w:hint="eastAsia"/>
                <w:szCs w:val="21"/>
              </w:rPr>
              <w:t>6000≤Y＜80000</w:t>
            </w:r>
          </w:p>
        </w:tc>
        <w:tc>
          <w:tcPr>
            <w:tcW w:w="1570" w:type="dxa"/>
            <w:tcBorders>
              <w:top w:val="nil"/>
              <w:left w:val="nil"/>
              <w:bottom w:val="single" w:color="auto" w:sz="4" w:space="0"/>
              <w:right w:val="single" w:color="auto" w:sz="4" w:space="0"/>
            </w:tcBorders>
            <w:noWrap w:val="0"/>
            <w:vAlign w:val="center"/>
          </w:tcPr>
          <w:p w14:paraId="2A0D59C1">
            <w:pPr>
              <w:widowControl/>
              <w:jc w:val="left"/>
              <w:rPr>
                <w:szCs w:val="21"/>
              </w:rPr>
            </w:pPr>
            <w:r>
              <w:rPr>
                <w:rFonts w:hint="eastAsia"/>
                <w:szCs w:val="21"/>
              </w:rPr>
              <w:t>300≤Y＜6000</w:t>
            </w:r>
          </w:p>
        </w:tc>
        <w:tc>
          <w:tcPr>
            <w:tcW w:w="1009" w:type="dxa"/>
            <w:tcBorders>
              <w:top w:val="nil"/>
              <w:left w:val="nil"/>
              <w:bottom w:val="single" w:color="auto" w:sz="4" w:space="0"/>
              <w:right w:val="single" w:color="auto" w:sz="4" w:space="0"/>
            </w:tcBorders>
            <w:noWrap w:val="0"/>
            <w:vAlign w:val="center"/>
          </w:tcPr>
          <w:p w14:paraId="7CB718EF">
            <w:pPr>
              <w:widowControl/>
              <w:jc w:val="left"/>
              <w:rPr>
                <w:szCs w:val="21"/>
              </w:rPr>
            </w:pPr>
            <w:r>
              <w:rPr>
                <w:rFonts w:hint="eastAsia"/>
                <w:szCs w:val="21"/>
              </w:rPr>
              <w:t>Y＜300</w:t>
            </w:r>
          </w:p>
        </w:tc>
      </w:tr>
      <w:tr w14:paraId="6481A0A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A1DC2DF">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3E0D9E54">
            <w:pPr>
              <w:widowControl/>
              <w:jc w:val="left"/>
              <w:rPr>
                <w:szCs w:val="21"/>
              </w:rPr>
            </w:pPr>
            <w:r>
              <w:rPr>
                <w:rFonts w:hint="eastAsia"/>
                <w:szCs w:val="21"/>
              </w:rPr>
              <w:t>资产总额（Z）</w:t>
            </w:r>
          </w:p>
        </w:tc>
        <w:tc>
          <w:tcPr>
            <w:tcW w:w="1134" w:type="dxa"/>
            <w:tcBorders>
              <w:top w:val="nil"/>
              <w:left w:val="nil"/>
              <w:bottom w:val="single" w:color="auto" w:sz="4" w:space="0"/>
              <w:right w:val="single" w:color="auto" w:sz="4" w:space="0"/>
            </w:tcBorders>
            <w:noWrap w:val="0"/>
            <w:vAlign w:val="center"/>
          </w:tcPr>
          <w:p w14:paraId="554B505C">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4627A66A">
            <w:pPr>
              <w:widowControl/>
              <w:jc w:val="left"/>
              <w:rPr>
                <w:szCs w:val="21"/>
              </w:rPr>
            </w:pPr>
            <w:r>
              <w:rPr>
                <w:rFonts w:hint="eastAsia"/>
                <w:szCs w:val="21"/>
              </w:rPr>
              <w:t>5000≤Z＜80000</w:t>
            </w:r>
          </w:p>
        </w:tc>
        <w:tc>
          <w:tcPr>
            <w:tcW w:w="1570" w:type="dxa"/>
            <w:tcBorders>
              <w:top w:val="nil"/>
              <w:left w:val="nil"/>
              <w:bottom w:val="single" w:color="auto" w:sz="4" w:space="0"/>
              <w:right w:val="single" w:color="auto" w:sz="4" w:space="0"/>
            </w:tcBorders>
            <w:noWrap w:val="0"/>
            <w:vAlign w:val="center"/>
          </w:tcPr>
          <w:p w14:paraId="70095A12">
            <w:pPr>
              <w:widowControl/>
              <w:jc w:val="left"/>
              <w:rPr>
                <w:szCs w:val="21"/>
              </w:rPr>
            </w:pPr>
            <w:r>
              <w:rPr>
                <w:rFonts w:hint="eastAsia"/>
                <w:szCs w:val="21"/>
              </w:rPr>
              <w:t>300≤Z＜5000</w:t>
            </w:r>
          </w:p>
        </w:tc>
        <w:tc>
          <w:tcPr>
            <w:tcW w:w="1009" w:type="dxa"/>
            <w:tcBorders>
              <w:top w:val="nil"/>
              <w:left w:val="nil"/>
              <w:bottom w:val="single" w:color="auto" w:sz="4" w:space="0"/>
              <w:right w:val="single" w:color="auto" w:sz="4" w:space="0"/>
            </w:tcBorders>
            <w:noWrap w:val="0"/>
            <w:vAlign w:val="center"/>
          </w:tcPr>
          <w:p w14:paraId="3A01CFE1">
            <w:pPr>
              <w:widowControl/>
              <w:jc w:val="left"/>
              <w:rPr>
                <w:szCs w:val="21"/>
              </w:rPr>
            </w:pPr>
            <w:r>
              <w:rPr>
                <w:rFonts w:hint="eastAsia"/>
                <w:szCs w:val="21"/>
              </w:rPr>
              <w:t>Z＜300</w:t>
            </w:r>
          </w:p>
        </w:tc>
      </w:tr>
      <w:tr w14:paraId="7E594F4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BE54FC8">
            <w:pPr>
              <w:widowControl/>
              <w:ind w:firstLine="315" w:firstLineChars="150"/>
              <w:rPr>
                <w:szCs w:val="21"/>
              </w:rPr>
            </w:pPr>
            <w:r>
              <w:rPr>
                <w:rFonts w:hint="eastAsia"/>
                <w:szCs w:val="21"/>
              </w:rPr>
              <w:t>批发业</w:t>
            </w:r>
          </w:p>
        </w:tc>
        <w:tc>
          <w:tcPr>
            <w:tcW w:w="1701" w:type="dxa"/>
            <w:tcBorders>
              <w:top w:val="nil"/>
              <w:left w:val="nil"/>
              <w:bottom w:val="single" w:color="auto" w:sz="4" w:space="0"/>
              <w:right w:val="single" w:color="auto" w:sz="4" w:space="0"/>
            </w:tcBorders>
            <w:noWrap w:val="0"/>
            <w:vAlign w:val="center"/>
          </w:tcPr>
          <w:p w14:paraId="1E924045">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3841CFD3">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47F864D7">
            <w:pPr>
              <w:widowControl/>
              <w:jc w:val="left"/>
              <w:rPr>
                <w:szCs w:val="21"/>
              </w:rPr>
            </w:pPr>
            <w:r>
              <w:rPr>
                <w:rFonts w:hint="eastAsia"/>
                <w:szCs w:val="21"/>
              </w:rPr>
              <w:t>20≤X＜200</w:t>
            </w:r>
          </w:p>
        </w:tc>
        <w:tc>
          <w:tcPr>
            <w:tcW w:w="1570" w:type="dxa"/>
            <w:tcBorders>
              <w:top w:val="nil"/>
              <w:left w:val="nil"/>
              <w:bottom w:val="single" w:color="auto" w:sz="4" w:space="0"/>
              <w:right w:val="single" w:color="auto" w:sz="4" w:space="0"/>
            </w:tcBorders>
            <w:noWrap w:val="0"/>
            <w:vAlign w:val="center"/>
          </w:tcPr>
          <w:p w14:paraId="6DD9B114">
            <w:pPr>
              <w:widowControl/>
              <w:jc w:val="left"/>
              <w:rPr>
                <w:szCs w:val="21"/>
              </w:rPr>
            </w:pPr>
            <w:r>
              <w:rPr>
                <w:rFonts w:hint="eastAsia"/>
                <w:szCs w:val="21"/>
              </w:rPr>
              <w:t>5≤X＜20</w:t>
            </w:r>
          </w:p>
        </w:tc>
        <w:tc>
          <w:tcPr>
            <w:tcW w:w="1009" w:type="dxa"/>
            <w:tcBorders>
              <w:top w:val="nil"/>
              <w:left w:val="nil"/>
              <w:bottom w:val="single" w:color="auto" w:sz="4" w:space="0"/>
              <w:right w:val="single" w:color="auto" w:sz="4" w:space="0"/>
            </w:tcBorders>
            <w:noWrap w:val="0"/>
            <w:vAlign w:val="center"/>
          </w:tcPr>
          <w:p w14:paraId="746E2FF6">
            <w:pPr>
              <w:widowControl/>
              <w:jc w:val="left"/>
              <w:rPr>
                <w:szCs w:val="21"/>
              </w:rPr>
            </w:pPr>
            <w:r>
              <w:rPr>
                <w:rFonts w:hint="eastAsia"/>
                <w:szCs w:val="21"/>
              </w:rPr>
              <w:t>X＜5</w:t>
            </w:r>
          </w:p>
        </w:tc>
      </w:tr>
      <w:tr w14:paraId="3D09835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859546F">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093D59ED">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1662E61A">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488B60D2">
            <w:pPr>
              <w:widowControl/>
              <w:jc w:val="left"/>
              <w:rPr>
                <w:szCs w:val="21"/>
              </w:rPr>
            </w:pPr>
            <w:r>
              <w:rPr>
                <w:rFonts w:hint="eastAsia"/>
                <w:szCs w:val="21"/>
              </w:rPr>
              <w:t>5000≤Y＜40000</w:t>
            </w:r>
          </w:p>
        </w:tc>
        <w:tc>
          <w:tcPr>
            <w:tcW w:w="1570" w:type="dxa"/>
            <w:tcBorders>
              <w:top w:val="nil"/>
              <w:left w:val="nil"/>
              <w:bottom w:val="single" w:color="auto" w:sz="4" w:space="0"/>
              <w:right w:val="single" w:color="auto" w:sz="4" w:space="0"/>
            </w:tcBorders>
            <w:noWrap w:val="0"/>
            <w:vAlign w:val="center"/>
          </w:tcPr>
          <w:p w14:paraId="32A1B9EF">
            <w:pPr>
              <w:widowControl/>
              <w:jc w:val="left"/>
              <w:rPr>
                <w:szCs w:val="21"/>
              </w:rPr>
            </w:pPr>
            <w:r>
              <w:rPr>
                <w:rFonts w:hint="eastAsia"/>
                <w:szCs w:val="21"/>
              </w:rPr>
              <w:t>1000≤Y＜5000</w:t>
            </w:r>
          </w:p>
        </w:tc>
        <w:tc>
          <w:tcPr>
            <w:tcW w:w="1009" w:type="dxa"/>
            <w:tcBorders>
              <w:top w:val="nil"/>
              <w:left w:val="nil"/>
              <w:bottom w:val="single" w:color="auto" w:sz="4" w:space="0"/>
              <w:right w:val="single" w:color="auto" w:sz="4" w:space="0"/>
            </w:tcBorders>
            <w:noWrap w:val="0"/>
            <w:vAlign w:val="center"/>
          </w:tcPr>
          <w:p w14:paraId="7346F989">
            <w:pPr>
              <w:widowControl/>
              <w:jc w:val="left"/>
              <w:rPr>
                <w:szCs w:val="21"/>
              </w:rPr>
            </w:pPr>
            <w:r>
              <w:rPr>
                <w:rFonts w:hint="eastAsia"/>
                <w:szCs w:val="21"/>
              </w:rPr>
              <w:t>Y＜1000</w:t>
            </w:r>
          </w:p>
        </w:tc>
      </w:tr>
      <w:tr w14:paraId="7316FB7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9C7630D">
            <w:pPr>
              <w:widowControl/>
              <w:jc w:val="center"/>
              <w:rPr>
                <w:szCs w:val="21"/>
              </w:rPr>
            </w:pPr>
            <w:r>
              <w:rPr>
                <w:rFonts w:hint="eastAsia"/>
                <w:szCs w:val="21"/>
              </w:rPr>
              <w:t>零售业</w:t>
            </w:r>
          </w:p>
        </w:tc>
        <w:tc>
          <w:tcPr>
            <w:tcW w:w="1701" w:type="dxa"/>
            <w:tcBorders>
              <w:top w:val="nil"/>
              <w:left w:val="nil"/>
              <w:bottom w:val="single" w:color="auto" w:sz="4" w:space="0"/>
              <w:right w:val="single" w:color="auto" w:sz="4" w:space="0"/>
            </w:tcBorders>
            <w:noWrap w:val="0"/>
            <w:vAlign w:val="center"/>
          </w:tcPr>
          <w:p w14:paraId="53860598">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11DA0589">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191044CF">
            <w:pPr>
              <w:widowControl/>
              <w:jc w:val="left"/>
              <w:rPr>
                <w:szCs w:val="21"/>
              </w:rPr>
            </w:pPr>
            <w:r>
              <w:rPr>
                <w:rFonts w:hint="eastAsia"/>
                <w:szCs w:val="21"/>
              </w:rPr>
              <w:t>50≤X＜300</w:t>
            </w:r>
          </w:p>
        </w:tc>
        <w:tc>
          <w:tcPr>
            <w:tcW w:w="1570" w:type="dxa"/>
            <w:tcBorders>
              <w:top w:val="nil"/>
              <w:left w:val="nil"/>
              <w:bottom w:val="single" w:color="auto" w:sz="4" w:space="0"/>
              <w:right w:val="single" w:color="auto" w:sz="4" w:space="0"/>
            </w:tcBorders>
            <w:noWrap w:val="0"/>
            <w:vAlign w:val="center"/>
          </w:tcPr>
          <w:p w14:paraId="7ECC0195">
            <w:pPr>
              <w:widowControl/>
              <w:jc w:val="left"/>
              <w:rPr>
                <w:szCs w:val="21"/>
              </w:rPr>
            </w:pPr>
            <w:r>
              <w:rPr>
                <w:rFonts w:hint="eastAsia"/>
                <w:szCs w:val="21"/>
              </w:rPr>
              <w:t>10≤X＜50</w:t>
            </w:r>
          </w:p>
        </w:tc>
        <w:tc>
          <w:tcPr>
            <w:tcW w:w="1009" w:type="dxa"/>
            <w:tcBorders>
              <w:top w:val="nil"/>
              <w:left w:val="nil"/>
              <w:bottom w:val="single" w:color="auto" w:sz="4" w:space="0"/>
              <w:right w:val="single" w:color="auto" w:sz="4" w:space="0"/>
            </w:tcBorders>
            <w:noWrap w:val="0"/>
            <w:vAlign w:val="center"/>
          </w:tcPr>
          <w:p w14:paraId="3D50C8FC">
            <w:pPr>
              <w:widowControl/>
              <w:jc w:val="left"/>
              <w:rPr>
                <w:szCs w:val="21"/>
              </w:rPr>
            </w:pPr>
            <w:r>
              <w:rPr>
                <w:rFonts w:hint="eastAsia"/>
                <w:szCs w:val="21"/>
              </w:rPr>
              <w:t>X＜10</w:t>
            </w:r>
          </w:p>
        </w:tc>
      </w:tr>
      <w:tr w14:paraId="28001DD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90F62BB">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35138ABD">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2DF77003">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705DDCE2">
            <w:pPr>
              <w:widowControl/>
              <w:jc w:val="left"/>
              <w:rPr>
                <w:szCs w:val="21"/>
              </w:rPr>
            </w:pPr>
            <w:r>
              <w:rPr>
                <w:rFonts w:hint="eastAsia"/>
                <w:szCs w:val="21"/>
              </w:rPr>
              <w:t>500≤Y＜20000</w:t>
            </w:r>
          </w:p>
        </w:tc>
        <w:tc>
          <w:tcPr>
            <w:tcW w:w="1570" w:type="dxa"/>
            <w:tcBorders>
              <w:top w:val="nil"/>
              <w:left w:val="nil"/>
              <w:bottom w:val="single" w:color="auto" w:sz="4" w:space="0"/>
              <w:right w:val="single" w:color="auto" w:sz="4" w:space="0"/>
            </w:tcBorders>
            <w:noWrap w:val="0"/>
            <w:vAlign w:val="center"/>
          </w:tcPr>
          <w:p w14:paraId="21E61BD8">
            <w:pPr>
              <w:widowControl/>
              <w:jc w:val="left"/>
              <w:rPr>
                <w:szCs w:val="21"/>
              </w:rPr>
            </w:pPr>
            <w:r>
              <w:rPr>
                <w:rFonts w:hint="eastAsia"/>
                <w:szCs w:val="21"/>
              </w:rPr>
              <w:t>100≤Y＜500</w:t>
            </w:r>
          </w:p>
        </w:tc>
        <w:tc>
          <w:tcPr>
            <w:tcW w:w="1009" w:type="dxa"/>
            <w:tcBorders>
              <w:top w:val="nil"/>
              <w:left w:val="nil"/>
              <w:bottom w:val="single" w:color="auto" w:sz="4" w:space="0"/>
              <w:right w:val="single" w:color="auto" w:sz="4" w:space="0"/>
            </w:tcBorders>
            <w:noWrap w:val="0"/>
            <w:vAlign w:val="center"/>
          </w:tcPr>
          <w:p w14:paraId="69BB83C3">
            <w:pPr>
              <w:widowControl/>
              <w:jc w:val="left"/>
              <w:rPr>
                <w:szCs w:val="21"/>
              </w:rPr>
            </w:pPr>
            <w:r>
              <w:rPr>
                <w:rFonts w:hint="eastAsia"/>
                <w:szCs w:val="21"/>
              </w:rPr>
              <w:t>Y＜100</w:t>
            </w:r>
          </w:p>
        </w:tc>
      </w:tr>
      <w:tr w14:paraId="7FF7413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003C036">
            <w:pPr>
              <w:widowControl/>
              <w:jc w:val="center"/>
              <w:rPr>
                <w:szCs w:val="21"/>
              </w:rPr>
            </w:pPr>
            <w:r>
              <w:rPr>
                <w:rFonts w:hint="eastAsia"/>
                <w:szCs w:val="21"/>
              </w:rPr>
              <w:t>交通运输业</w:t>
            </w:r>
          </w:p>
        </w:tc>
        <w:tc>
          <w:tcPr>
            <w:tcW w:w="1701" w:type="dxa"/>
            <w:tcBorders>
              <w:top w:val="nil"/>
              <w:left w:val="nil"/>
              <w:bottom w:val="single" w:color="auto" w:sz="4" w:space="0"/>
              <w:right w:val="single" w:color="auto" w:sz="4" w:space="0"/>
            </w:tcBorders>
            <w:noWrap w:val="0"/>
            <w:vAlign w:val="center"/>
          </w:tcPr>
          <w:p w14:paraId="6234FB92">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5AE29322">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1006598E">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0B86B7C5">
            <w:pPr>
              <w:widowControl/>
              <w:jc w:val="left"/>
              <w:rPr>
                <w:szCs w:val="21"/>
              </w:rPr>
            </w:pPr>
            <w:r>
              <w:rPr>
                <w:rFonts w:hint="eastAsia"/>
                <w:szCs w:val="21"/>
              </w:rPr>
              <w:t>20≤X＜300</w:t>
            </w:r>
          </w:p>
        </w:tc>
        <w:tc>
          <w:tcPr>
            <w:tcW w:w="1009" w:type="dxa"/>
            <w:tcBorders>
              <w:top w:val="nil"/>
              <w:left w:val="nil"/>
              <w:bottom w:val="single" w:color="auto" w:sz="4" w:space="0"/>
              <w:right w:val="single" w:color="auto" w:sz="4" w:space="0"/>
            </w:tcBorders>
            <w:noWrap w:val="0"/>
            <w:vAlign w:val="center"/>
          </w:tcPr>
          <w:p w14:paraId="4195A1F8">
            <w:pPr>
              <w:widowControl/>
              <w:jc w:val="left"/>
              <w:rPr>
                <w:szCs w:val="21"/>
              </w:rPr>
            </w:pPr>
            <w:r>
              <w:rPr>
                <w:rFonts w:hint="eastAsia"/>
                <w:szCs w:val="21"/>
              </w:rPr>
              <w:t>X＜20</w:t>
            </w:r>
          </w:p>
        </w:tc>
      </w:tr>
      <w:tr w14:paraId="3B6CE62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4AA1726">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57033379">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4C7E1FE9">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0E5C44FE">
            <w:pPr>
              <w:widowControl/>
              <w:jc w:val="left"/>
              <w:rPr>
                <w:szCs w:val="21"/>
              </w:rPr>
            </w:pPr>
            <w:r>
              <w:rPr>
                <w:rFonts w:hint="eastAsia"/>
                <w:szCs w:val="21"/>
              </w:rPr>
              <w:t>3000≤Y＜30000</w:t>
            </w:r>
          </w:p>
        </w:tc>
        <w:tc>
          <w:tcPr>
            <w:tcW w:w="1570" w:type="dxa"/>
            <w:tcBorders>
              <w:top w:val="nil"/>
              <w:left w:val="nil"/>
              <w:bottom w:val="single" w:color="auto" w:sz="4" w:space="0"/>
              <w:right w:val="single" w:color="auto" w:sz="4" w:space="0"/>
            </w:tcBorders>
            <w:noWrap w:val="0"/>
            <w:vAlign w:val="center"/>
          </w:tcPr>
          <w:p w14:paraId="53974BF3">
            <w:pPr>
              <w:widowControl/>
              <w:jc w:val="left"/>
              <w:rPr>
                <w:szCs w:val="21"/>
              </w:rPr>
            </w:pPr>
            <w:r>
              <w:rPr>
                <w:rFonts w:hint="eastAsia"/>
                <w:szCs w:val="21"/>
              </w:rPr>
              <w:t>200≤Y＜3000</w:t>
            </w:r>
          </w:p>
        </w:tc>
        <w:tc>
          <w:tcPr>
            <w:tcW w:w="1009" w:type="dxa"/>
            <w:tcBorders>
              <w:top w:val="nil"/>
              <w:left w:val="nil"/>
              <w:bottom w:val="single" w:color="auto" w:sz="4" w:space="0"/>
              <w:right w:val="single" w:color="auto" w:sz="4" w:space="0"/>
            </w:tcBorders>
            <w:noWrap w:val="0"/>
            <w:vAlign w:val="center"/>
          </w:tcPr>
          <w:p w14:paraId="07579D3F">
            <w:pPr>
              <w:widowControl/>
              <w:jc w:val="left"/>
              <w:rPr>
                <w:szCs w:val="21"/>
              </w:rPr>
            </w:pPr>
            <w:r>
              <w:rPr>
                <w:rFonts w:hint="eastAsia"/>
                <w:szCs w:val="21"/>
              </w:rPr>
              <w:t>Y＜200</w:t>
            </w:r>
          </w:p>
        </w:tc>
      </w:tr>
      <w:tr w14:paraId="45BE630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B1A8F63">
            <w:pPr>
              <w:widowControl/>
              <w:jc w:val="center"/>
              <w:rPr>
                <w:szCs w:val="21"/>
              </w:rPr>
            </w:pPr>
            <w:r>
              <w:rPr>
                <w:rFonts w:hint="eastAsia"/>
                <w:szCs w:val="21"/>
              </w:rPr>
              <w:t>仓储业</w:t>
            </w:r>
          </w:p>
        </w:tc>
        <w:tc>
          <w:tcPr>
            <w:tcW w:w="1701" w:type="dxa"/>
            <w:tcBorders>
              <w:top w:val="nil"/>
              <w:left w:val="nil"/>
              <w:bottom w:val="single" w:color="auto" w:sz="4" w:space="0"/>
              <w:right w:val="single" w:color="auto" w:sz="4" w:space="0"/>
            </w:tcBorders>
            <w:noWrap w:val="0"/>
            <w:vAlign w:val="center"/>
          </w:tcPr>
          <w:p w14:paraId="484898D2">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0BA5C0F3">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74C022D7">
            <w:pPr>
              <w:widowControl/>
              <w:jc w:val="left"/>
              <w:rPr>
                <w:szCs w:val="21"/>
              </w:rPr>
            </w:pPr>
            <w:r>
              <w:rPr>
                <w:rFonts w:hint="eastAsia"/>
                <w:szCs w:val="21"/>
              </w:rPr>
              <w:t>100≤X＜200</w:t>
            </w:r>
          </w:p>
        </w:tc>
        <w:tc>
          <w:tcPr>
            <w:tcW w:w="1570" w:type="dxa"/>
            <w:tcBorders>
              <w:top w:val="nil"/>
              <w:left w:val="nil"/>
              <w:bottom w:val="single" w:color="auto" w:sz="4" w:space="0"/>
              <w:right w:val="single" w:color="auto" w:sz="4" w:space="0"/>
            </w:tcBorders>
            <w:noWrap w:val="0"/>
            <w:vAlign w:val="center"/>
          </w:tcPr>
          <w:p w14:paraId="2A35B3DA">
            <w:pPr>
              <w:widowControl/>
              <w:jc w:val="left"/>
              <w:rPr>
                <w:szCs w:val="21"/>
              </w:rPr>
            </w:pPr>
            <w:r>
              <w:rPr>
                <w:rFonts w:hint="eastAsia"/>
                <w:szCs w:val="21"/>
              </w:rPr>
              <w:t>20≤X＜100</w:t>
            </w:r>
          </w:p>
        </w:tc>
        <w:tc>
          <w:tcPr>
            <w:tcW w:w="1009" w:type="dxa"/>
            <w:tcBorders>
              <w:top w:val="nil"/>
              <w:left w:val="nil"/>
              <w:bottom w:val="single" w:color="auto" w:sz="4" w:space="0"/>
              <w:right w:val="single" w:color="auto" w:sz="4" w:space="0"/>
            </w:tcBorders>
            <w:noWrap w:val="0"/>
            <w:vAlign w:val="center"/>
          </w:tcPr>
          <w:p w14:paraId="34AAF8EC">
            <w:pPr>
              <w:widowControl/>
              <w:jc w:val="left"/>
              <w:rPr>
                <w:szCs w:val="21"/>
              </w:rPr>
            </w:pPr>
            <w:r>
              <w:rPr>
                <w:rFonts w:hint="eastAsia"/>
                <w:szCs w:val="21"/>
              </w:rPr>
              <w:t>X＜20</w:t>
            </w:r>
          </w:p>
        </w:tc>
      </w:tr>
      <w:tr w14:paraId="04137AA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4A67CB9">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5C45A194">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6B448FC3">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1F3AE496">
            <w:pPr>
              <w:widowControl/>
              <w:jc w:val="left"/>
              <w:rPr>
                <w:szCs w:val="21"/>
              </w:rPr>
            </w:pPr>
            <w:r>
              <w:rPr>
                <w:rFonts w:hint="eastAsia"/>
                <w:szCs w:val="21"/>
              </w:rPr>
              <w:t>1000≤Y＜30000</w:t>
            </w:r>
          </w:p>
        </w:tc>
        <w:tc>
          <w:tcPr>
            <w:tcW w:w="1570" w:type="dxa"/>
            <w:tcBorders>
              <w:top w:val="nil"/>
              <w:left w:val="nil"/>
              <w:bottom w:val="single" w:color="auto" w:sz="4" w:space="0"/>
              <w:right w:val="single" w:color="auto" w:sz="4" w:space="0"/>
            </w:tcBorders>
            <w:noWrap w:val="0"/>
            <w:vAlign w:val="center"/>
          </w:tcPr>
          <w:p w14:paraId="66E8E329">
            <w:pPr>
              <w:widowControl/>
              <w:jc w:val="left"/>
              <w:rPr>
                <w:szCs w:val="21"/>
              </w:rPr>
            </w:pPr>
            <w:r>
              <w:rPr>
                <w:rFonts w:hint="eastAsia"/>
                <w:szCs w:val="21"/>
              </w:rPr>
              <w:t>100≤Y＜1000</w:t>
            </w:r>
          </w:p>
        </w:tc>
        <w:tc>
          <w:tcPr>
            <w:tcW w:w="1009" w:type="dxa"/>
            <w:tcBorders>
              <w:top w:val="nil"/>
              <w:left w:val="nil"/>
              <w:bottom w:val="single" w:color="auto" w:sz="4" w:space="0"/>
              <w:right w:val="single" w:color="auto" w:sz="4" w:space="0"/>
            </w:tcBorders>
            <w:noWrap w:val="0"/>
            <w:vAlign w:val="center"/>
          </w:tcPr>
          <w:p w14:paraId="1410FD30">
            <w:pPr>
              <w:widowControl/>
              <w:jc w:val="left"/>
              <w:rPr>
                <w:szCs w:val="21"/>
              </w:rPr>
            </w:pPr>
            <w:r>
              <w:rPr>
                <w:rFonts w:hint="eastAsia"/>
                <w:szCs w:val="21"/>
              </w:rPr>
              <w:t>Y＜100</w:t>
            </w:r>
          </w:p>
        </w:tc>
      </w:tr>
      <w:tr w14:paraId="5BAD838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2ECE235">
            <w:pPr>
              <w:widowControl/>
              <w:jc w:val="center"/>
              <w:rPr>
                <w:szCs w:val="21"/>
              </w:rPr>
            </w:pPr>
            <w:r>
              <w:rPr>
                <w:rFonts w:hint="eastAsia"/>
                <w:szCs w:val="21"/>
              </w:rPr>
              <w:t>邮政业</w:t>
            </w:r>
          </w:p>
        </w:tc>
        <w:tc>
          <w:tcPr>
            <w:tcW w:w="1701" w:type="dxa"/>
            <w:tcBorders>
              <w:top w:val="nil"/>
              <w:left w:val="nil"/>
              <w:bottom w:val="single" w:color="auto" w:sz="4" w:space="0"/>
              <w:right w:val="single" w:color="auto" w:sz="4" w:space="0"/>
            </w:tcBorders>
            <w:noWrap w:val="0"/>
            <w:vAlign w:val="center"/>
          </w:tcPr>
          <w:p w14:paraId="1A9459EC">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5D12FCFC">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59BA6E4A">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4B1D2C23">
            <w:pPr>
              <w:widowControl/>
              <w:jc w:val="left"/>
              <w:rPr>
                <w:szCs w:val="21"/>
              </w:rPr>
            </w:pPr>
            <w:r>
              <w:rPr>
                <w:rFonts w:hint="eastAsia"/>
                <w:szCs w:val="21"/>
              </w:rPr>
              <w:t>20≤X＜300</w:t>
            </w:r>
          </w:p>
        </w:tc>
        <w:tc>
          <w:tcPr>
            <w:tcW w:w="1009" w:type="dxa"/>
            <w:tcBorders>
              <w:top w:val="nil"/>
              <w:left w:val="nil"/>
              <w:bottom w:val="single" w:color="auto" w:sz="4" w:space="0"/>
              <w:right w:val="single" w:color="auto" w:sz="4" w:space="0"/>
            </w:tcBorders>
            <w:noWrap w:val="0"/>
            <w:vAlign w:val="center"/>
          </w:tcPr>
          <w:p w14:paraId="14637C3A">
            <w:pPr>
              <w:widowControl/>
              <w:jc w:val="left"/>
              <w:rPr>
                <w:szCs w:val="21"/>
              </w:rPr>
            </w:pPr>
            <w:r>
              <w:rPr>
                <w:rFonts w:hint="eastAsia"/>
                <w:szCs w:val="21"/>
              </w:rPr>
              <w:t>X＜20</w:t>
            </w:r>
          </w:p>
        </w:tc>
      </w:tr>
      <w:tr w14:paraId="2576623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7DDC0F4">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62EB0C9C">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2087FAC2">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272D4BED">
            <w:pPr>
              <w:widowControl/>
              <w:jc w:val="left"/>
              <w:rPr>
                <w:szCs w:val="21"/>
              </w:rPr>
            </w:pPr>
            <w:r>
              <w:rPr>
                <w:rFonts w:hint="eastAsia"/>
                <w:szCs w:val="21"/>
              </w:rPr>
              <w:t>2000≤Y＜30000</w:t>
            </w:r>
          </w:p>
        </w:tc>
        <w:tc>
          <w:tcPr>
            <w:tcW w:w="1570" w:type="dxa"/>
            <w:tcBorders>
              <w:top w:val="nil"/>
              <w:left w:val="nil"/>
              <w:bottom w:val="single" w:color="auto" w:sz="4" w:space="0"/>
              <w:right w:val="single" w:color="auto" w:sz="4" w:space="0"/>
            </w:tcBorders>
            <w:noWrap w:val="0"/>
            <w:vAlign w:val="center"/>
          </w:tcPr>
          <w:p w14:paraId="774A6116">
            <w:pPr>
              <w:widowControl/>
              <w:jc w:val="left"/>
              <w:rPr>
                <w:szCs w:val="21"/>
              </w:rPr>
            </w:pPr>
            <w:r>
              <w:rPr>
                <w:rFonts w:hint="eastAsia"/>
                <w:szCs w:val="21"/>
              </w:rPr>
              <w:t>100≤Y＜2000</w:t>
            </w:r>
          </w:p>
        </w:tc>
        <w:tc>
          <w:tcPr>
            <w:tcW w:w="1009" w:type="dxa"/>
            <w:tcBorders>
              <w:top w:val="nil"/>
              <w:left w:val="nil"/>
              <w:bottom w:val="single" w:color="auto" w:sz="4" w:space="0"/>
              <w:right w:val="single" w:color="auto" w:sz="4" w:space="0"/>
            </w:tcBorders>
            <w:noWrap w:val="0"/>
            <w:vAlign w:val="center"/>
          </w:tcPr>
          <w:p w14:paraId="68159202">
            <w:pPr>
              <w:widowControl/>
              <w:jc w:val="left"/>
              <w:rPr>
                <w:szCs w:val="21"/>
              </w:rPr>
            </w:pPr>
            <w:r>
              <w:rPr>
                <w:rFonts w:hint="eastAsia"/>
                <w:szCs w:val="21"/>
              </w:rPr>
              <w:t>Y＜100</w:t>
            </w:r>
          </w:p>
        </w:tc>
      </w:tr>
      <w:tr w14:paraId="78918CB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DFA4345">
            <w:pPr>
              <w:widowControl/>
              <w:jc w:val="center"/>
              <w:rPr>
                <w:szCs w:val="21"/>
              </w:rPr>
            </w:pPr>
            <w:r>
              <w:rPr>
                <w:rFonts w:hint="eastAsia"/>
                <w:szCs w:val="21"/>
              </w:rPr>
              <w:t>住宿业</w:t>
            </w:r>
          </w:p>
        </w:tc>
        <w:tc>
          <w:tcPr>
            <w:tcW w:w="1701" w:type="dxa"/>
            <w:tcBorders>
              <w:top w:val="nil"/>
              <w:left w:val="nil"/>
              <w:bottom w:val="single" w:color="auto" w:sz="4" w:space="0"/>
              <w:right w:val="single" w:color="auto" w:sz="4" w:space="0"/>
            </w:tcBorders>
            <w:noWrap w:val="0"/>
            <w:vAlign w:val="center"/>
          </w:tcPr>
          <w:p w14:paraId="7DCDBD46">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1ADBBBC0">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3E79B4C0">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7C19A9A2">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6E6F8867">
            <w:pPr>
              <w:widowControl/>
              <w:jc w:val="left"/>
              <w:rPr>
                <w:szCs w:val="21"/>
              </w:rPr>
            </w:pPr>
            <w:r>
              <w:rPr>
                <w:rFonts w:hint="eastAsia"/>
                <w:szCs w:val="21"/>
              </w:rPr>
              <w:t>X＜10</w:t>
            </w:r>
          </w:p>
        </w:tc>
      </w:tr>
      <w:tr w14:paraId="3C781C0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F9F7FC7">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580C6038">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7655F525">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7B22FCB1">
            <w:pPr>
              <w:widowControl/>
              <w:jc w:val="left"/>
              <w:rPr>
                <w:szCs w:val="21"/>
              </w:rPr>
            </w:pPr>
            <w:r>
              <w:rPr>
                <w:rFonts w:hint="eastAsia"/>
                <w:szCs w:val="21"/>
              </w:rPr>
              <w:t>2000≤Y＜10000</w:t>
            </w:r>
          </w:p>
        </w:tc>
        <w:tc>
          <w:tcPr>
            <w:tcW w:w="1570" w:type="dxa"/>
            <w:tcBorders>
              <w:top w:val="nil"/>
              <w:left w:val="nil"/>
              <w:bottom w:val="single" w:color="auto" w:sz="4" w:space="0"/>
              <w:right w:val="single" w:color="auto" w:sz="4" w:space="0"/>
            </w:tcBorders>
            <w:noWrap w:val="0"/>
            <w:vAlign w:val="center"/>
          </w:tcPr>
          <w:p w14:paraId="1CC32963">
            <w:pPr>
              <w:widowControl/>
              <w:jc w:val="left"/>
              <w:rPr>
                <w:szCs w:val="21"/>
              </w:rPr>
            </w:pPr>
            <w:r>
              <w:rPr>
                <w:rFonts w:hint="eastAsia"/>
                <w:szCs w:val="21"/>
              </w:rPr>
              <w:t>100≤Y＜2000</w:t>
            </w:r>
          </w:p>
        </w:tc>
        <w:tc>
          <w:tcPr>
            <w:tcW w:w="1009" w:type="dxa"/>
            <w:tcBorders>
              <w:top w:val="nil"/>
              <w:left w:val="nil"/>
              <w:bottom w:val="single" w:color="auto" w:sz="4" w:space="0"/>
              <w:right w:val="single" w:color="auto" w:sz="4" w:space="0"/>
            </w:tcBorders>
            <w:noWrap w:val="0"/>
            <w:vAlign w:val="center"/>
          </w:tcPr>
          <w:p w14:paraId="1B59DCB3">
            <w:pPr>
              <w:widowControl/>
              <w:jc w:val="left"/>
              <w:rPr>
                <w:szCs w:val="21"/>
              </w:rPr>
            </w:pPr>
            <w:r>
              <w:rPr>
                <w:rFonts w:hint="eastAsia"/>
                <w:szCs w:val="21"/>
              </w:rPr>
              <w:t>Y＜100</w:t>
            </w:r>
          </w:p>
        </w:tc>
      </w:tr>
      <w:tr w14:paraId="52E3D2A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06EEC6C">
            <w:pPr>
              <w:widowControl/>
              <w:jc w:val="center"/>
              <w:rPr>
                <w:szCs w:val="21"/>
              </w:rPr>
            </w:pPr>
            <w:r>
              <w:rPr>
                <w:rFonts w:hint="eastAsia"/>
                <w:szCs w:val="21"/>
              </w:rPr>
              <w:t>餐饮业</w:t>
            </w:r>
          </w:p>
        </w:tc>
        <w:tc>
          <w:tcPr>
            <w:tcW w:w="1701" w:type="dxa"/>
            <w:tcBorders>
              <w:top w:val="nil"/>
              <w:left w:val="nil"/>
              <w:bottom w:val="single" w:color="auto" w:sz="4" w:space="0"/>
              <w:right w:val="single" w:color="auto" w:sz="4" w:space="0"/>
            </w:tcBorders>
            <w:noWrap w:val="0"/>
            <w:vAlign w:val="center"/>
          </w:tcPr>
          <w:p w14:paraId="3E7C9027">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1252E3AC">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08796A35">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07B23D28">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2507406A">
            <w:pPr>
              <w:widowControl/>
              <w:jc w:val="left"/>
              <w:rPr>
                <w:szCs w:val="21"/>
              </w:rPr>
            </w:pPr>
            <w:r>
              <w:rPr>
                <w:rFonts w:hint="eastAsia"/>
                <w:szCs w:val="21"/>
              </w:rPr>
              <w:t>X＜10</w:t>
            </w:r>
          </w:p>
        </w:tc>
      </w:tr>
      <w:tr w14:paraId="2C6399E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08A8908">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3763244F">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3D10680A">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3B7FAD07">
            <w:pPr>
              <w:widowControl/>
              <w:jc w:val="left"/>
              <w:rPr>
                <w:szCs w:val="21"/>
              </w:rPr>
            </w:pPr>
            <w:r>
              <w:rPr>
                <w:rFonts w:hint="eastAsia"/>
                <w:szCs w:val="21"/>
              </w:rPr>
              <w:t>2000≤Y＜10000</w:t>
            </w:r>
          </w:p>
        </w:tc>
        <w:tc>
          <w:tcPr>
            <w:tcW w:w="1570" w:type="dxa"/>
            <w:tcBorders>
              <w:top w:val="nil"/>
              <w:left w:val="nil"/>
              <w:bottom w:val="single" w:color="auto" w:sz="4" w:space="0"/>
              <w:right w:val="single" w:color="auto" w:sz="4" w:space="0"/>
            </w:tcBorders>
            <w:noWrap w:val="0"/>
            <w:vAlign w:val="center"/>
          </w:tcPr>
          <w:p w14:paraId="2526C719">
            <w:pPr>
              <w:widowControl/>
              <w:jc w:val="left"/>
              <w:rPr>
                <w:szCs w:val="21"/>
              </w:rPr>
            </w:pPr>
            <w:r>
              <w:rPr>
                <w:rFonts w:hint="eastAsia"/>
                <w:szCs w:val="21"/>
              </w:rPr>
              <w:t>100≤Y＜2000</w:t>
            </w:r>
          </w:p>
        </w:tc>
        <w:tc>
          <w:tcPr>
            <w:tcW w:w="1009" w:type="dxa"/>
            <w:tcBorders>
              <w:top w:val="nil"/>
              <w:left w:val="nil"/>
              <w:bottom w:val="single" w:color="auto" w:sz="4" w:space="0"/>
              <w:right w:val="single" w:color="auto" w:sz="4" w:space="0"/>
            </w:tcBorders>
            <w:noWrap w:val="0"/>
            <w:vAlign w:val="center"/>
          </w:tcPr>
          <w:p w14:paraId="1D0DB962">
            <w:pPr>
              <w:widowControl/>
              <w:jc w:val="left"/>
              <w:rPr>
                <w:szCs w:val="21"/>
              </w:rPr>
            </w:pPr>
            <w:r>
              <w:rPr>
                <w:rFonts w:hint="eastAsia"/>
                <w:szCs w:val="21"/>
              </w:rPr>
              <w:t>Y＜100</w:t>
            </w:r>
          </w:p>
        </w:tc>
      </w:tr>
      <w:tr w14:paraId="6C0FD26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BEC7B38">
            <w:pPr>
              <w:widowControl/>
              <w:jc w:val="center"/>
              <w:rPr>
                <w:szCs w:val="21"/>
              </w:rPr>
            </w:pPr>
            <w:r>
              <w:rPr>
                <w:rFonts w:hint="eastAsia"/>
                <w:szCs w:val="21"/>
              </w:rPr>
              <w:t>信息传输业</w:t>
            </w:r>
          </w:p>
        </w:tc>
        <w:tc>
          <w:tcPr>
            <w:tcW w:w="1701" w:type="dxa"/>
            <w:tcBorders>
              <w:top w:val="nil"/>
              <w:left w:val="nil"/>
              <w:bottom w:val="single" w:color="auto" w:sz="4" w:space="0"/>
              <w:right w:val="single" w:color="auto" w:sz="4" w:space="0"/>
            </w:tcBorders>
            <w:noWrap w:val="0"/>
            <w:vAlign w:val="center"/>
          </w:tcPr>
          <w:p w14:paraId="3F65A6D6">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16C5FD72">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36B852E0">
            <w:pPr>
              <w:widowControl/>
              <w:jc w:val="left"/>
              <w:rPr>
                <w:szCs w:val="21"/>
              </w:rPr>
            </w:pPr>
            <w:r>
              <w:rPr>
                <w:rFonts w:hint="eastAsia"/>
                <w:szCs w:val="21"/>
              </w:rPr>
              <w:t>100≤X＜2000</w:t>
            </w:r>
          </w:p>
        </w:tc>
        <w:tc>
          <w:tcPr>
            <w:tcW w:w="1570" w:type="dxa"/>
            <w:tcBorders>
              <w:top w:val="nil"/>
              <w:left w:val="nil"/>
              <w:bottom w:val="single" w:color="auto" w:sz="4" w:space="0"/>
              <w:right w:val="single" w:color="auto" w:sz="4" w:space="0"/>
            </w:tcBorders>
            <w:noWrap w:val="0"/>
            <w:vAlign w:val="center"/>
          </w:tcPr>
          <w:p w14:paraId="78D0D182">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4854A79D">
            <w:pPr>
              <w:widowControl/>
              <w:jc w:val="left"/>
              <w:rPr>
                <w:szCs w:val="21"/>
              </w:rPr>
            </w:pPr>
            <w:r>
              <w:rPr>
                <w:rFonts w:hint="eastAsia"/>
                <w:szCs w:val="21"/>
              </w:rPr>
              <w:t>X＜10</w:t>
            </w:r>
          </w:p>
        </w:tc>
      </w:tr>
      <w:tr w14:paraId="4D6E192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C1A1CEF">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16B5613A">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5CBDA75D">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4ED3C7C2">
            <w:pPr>
              <w:widowControl/>
              <w:jc w:val="left"/>
              <w:rPr>
                <w:szCs w:val="21"/>
              </w:rPr>
            </w:pPr>
            <w:r>
              <w:rPr>
                <w:rFonts w:hint="eastAsia"/>
                <w:szCs w:val="21"/>
              </w:rPr>
              <w:t>1000≤Y＜100000</w:t>
            </w:r>
          </w:p>
        </w:tc>
        <w:tc>
          <w:tcPr>
            <w:tcW w:w="1570" w:type="dxa"/>
            <w:tcBorders>
              <w:top w:val="nil"/>
              <w:left w:val="nil"/>
              <w:bottom w:val="single" w:color="auto" w:sz="4" w:space="0"/>
              <w:right w:val="single" w:color="auto" w:sz="4" w:space="0"/>
            </w:tcBorders>
            <w:noWrap w:val="0"/>
            <w:vAlign w:val="center"/>
          </w:tcPr>
          <w:p w14:paraId="6A6F1310">
            <w:pPr>
              <w:widowControl/>
              <w:jc w:val="left"/>
              <w:rPr>
                <w:szCs w:val="21"/>
              </w:rPr>
            </w:pPr>
            <w:r>
              <w:rPr>
                <w:rFonts w:hint="eastAsia"/>
                <w:szCs w:val="21"/>
              </w:rPr>
              <w:t>100≤Y＜1000</w:t>
            </w:r>
          </w:p>
        </w:tc>
        <w:tc>
          <w:tcPr>
            <w:tcW w:w="1009" w:type="dxa"/>
            <w:tcBorders>
              <w:top w:val="nil"/>
              <w:left w:val="nil"/>
              <w:bottom w:val="single" w:color="auto" w:sz="4" w:space="0"/>
              <w:right w:val="single" w:color="auto" w:sz="4" w:space="0"/>
            </w:tcBorders>
            <w:noWrap w:val="0"/>
            <w:vAlign w:val="center"/>
          </w:tcPr>
          <w:p w14:paraId="27A1E1A8">
            <w:pPr>
              <w:widowControl/>
              <w:jc w:val="left"/>
              <w:rPr>
                <w:szCs w:val="21"/>
              </w:rPr>
            </w:pPr>
            <w:r>
              <w:rPr>
                <w:rFonts w:hint="eastAsia"/>
                <w:szCs w:val="21"/>
              </w:rPr>
              <w:t>Y＜100</w:t>
            </w:r>
          </w:p>
        </w:tc>
      </w:tr>
      <w:tr w14:paraId="1591EA9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8884558">
            <w:pPr>
              <w:widowControl/>
              <w:jc w:val="center"/>
              <w:rPr>
                <w:szCs w:val="21"/>
              </w:rPr>
            </w:pPr>
            <w:r>
              <w:rPr>
                <w:rFonts w:hint="eastAsia"/>
                <w:szCs w:val="21"/>
              </w:rPr>
              <w:t>软件和信息技术服务业</w:t>
            </w:r>
          </w:p>
        </w:tc>
        <w:tc>
          <w:tcPr>
            <w:tcW w:w="1701" w:type="dxa"/>
            <w:tcBorders>
              <w:top w:val="nil"/>
              <w:left w:val="nil"/>
              <w:bottom w:val="single" w:color="auto" w:sz="4" w:space="0"/>
              <w:right w:val="single" w:color="auto" w:sz="4" w:space="0"/>
            </w:tcBorders>
            <w:noWrap w:val="0"/>
            <w:vAlign w:val="center"/>
          </w:tcPr>
          <w:p w14:paraId="4707950C">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05846086">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7744D8B5">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5278F9F7">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61B7AC7A">
            <w:pPr>
              <w:widowControl/>
              <w:jc w:val="left"/>
              <w:rPr>
                <w:szCs w:val="21"/>
              </w:rPr>
            </w:pPr>
            <w:r>
              <w:rPr>
                <w:rFonts w:hint="eastAsia"/>
                <w:szCs w:val="21"/>
              </w:rPr>
              <w:t>X＜10</w:t>
            </w:r>
          </w:p>
        </w:tc>
      </w:tr>
      <w:tr w14:paraId="13CCD43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F18D64A">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38473E60">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66C90E1F">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2ECFE153">
            <w:pPr>
              <w:widowControl/>
              <w:jc w:val="left"/>
              <w:rPr>
                <w:szCs w:val="21"/>
              </w:rPr>
            </w:pPr>
            <w:r>
              <w:rPr>
                <w:rFonts w:hint="eastAsia"/>
                <w:szCs w:val="21"/>
              </w:rPr>
              <w:t>1000≤Y＜10000</w:t>
            </w:r>
          </w:p>
        </w:tc>
        <w:tc>
          <w:tcPr>
            <w:tcW w:w="1570" w:type="dxa"/>
            <w:tcBorders>
              <w:top w:val="nil"/>
              <w:left w:val="nil"/>
              <w:bottom w:val="single" w:color="auto" w:sz="4" w:space="0"/>
              <w:right w:val="single" w:color="auto" w:sz="4" w:space="0"/>
            </w:tcBorders>
            <w:noWrap w:val="0"/>
            <w:vAlign w:val="center"/>
          </w:tcPr>
          <w:p w14:paraId="388B478A">
            <w:pPr>
              <w:widowControl/>
              <w:jc w:val="left"/>
              <w:rPr>
                <w:szCs w:val="21"/>
              </w:rPr>
            </w:pPr>
            <w:r>
              <w:rPr>
                <w:rFonts w:hint="eastAsia"/>
                <w:szCs w:val="21"/>
              </w:rPr>
              <w:t>50≤Y＜1000</w:t>
            </w:r>
          </w:p>
        </w:tc>
        <w:tc>
          <w:tcPr>
            <w:tcW w:w="1009" w:type="dxa"/>
            <w:tcBorders>
              <w:top w:val="nil"/>
              <w:left w:val="nil"/>
              <w:bottom w:val="single" w:color="auto" w:sz="4" w:space="0"/>
              <w:right w:val="single" w:color="auto" w:sz="4" w:space="0"/>
            </w:tcBorders>
            <w:noWrap w:val="0"/>
            <w:vAlign w:val="center"/>
          </w:tcPr>
          <w:p w14:paraId="40C5375B">
            <w:pPr>
              <w:widowControl/>
              <w:jc w:val="left"/>
              <w:rPr>
                <w:szCs w:val="21"/>
              </w:rPr>
            </w:pPr>
            <w:r>
              <w:rPr>
                <w:rFonts w:hint="eastAsia"/>
                <w:szCs w:val="21"/>
              </w:rPr>
              <w:t>Y＜50</w:t>
            </w:r>
          </w:p>
        </w:tc>
      </w:tr>
      <w:tr w14:paraId="0772D07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87D68F2">
            <w:pPr>
              <w:widowControl/>
              <w:jc w:val="center"/>
              <w:rPr>
                <w:szCs w:val="21"/>
              </w:rPr>
            </w:pPr>
            <w:r>
              <w:rPr>
                <w:rFonts w:hint="eastAsia"/>
                <w:szCs w:val="21"/>
              </w:rPr>
              <w:t>房地产开发经营</w:t>
            </w:r>
          </w:p>
        </w:tc>
        <w:tc>
          <w:tcPr>
            <w:tcW w:w="1701" w:type="dxa"/>
            <w:tcBorders>
              <w:top w:val="nil"/>
              <w:left w:val="nil"/>
              <w:bottom w:val="single" w:color="auto" w:sz="4" w:space="0"/>
              <w:right w:val="single" w:color="auto" w:sz="4" w:space="0"/>
            </w:tcBorders>
            <w:noWrap w:val="0"/>
            <w:vAlign w:val="center"/>
          </w:tcPr>
          <w:p w14:paraId="7A7D264F">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60C35460">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6A27E6BA">
            <w:pPr>
              <w:widowControl/>
              <w:jc w:val="left"/>
              <w:rPr>
                <w:szCs w:val="21"/>
              </w:rPr>
            </w:pPr>
            <w:r>
              <w:rPr>
                <w:rFonts w:hint="eastAsia"/>
                <w:szCs w:val="21"/>
              </w:rPr>
              <w:t>1000≤Y＜200000</w:t>
            </w:r>
          </w:p>
        </w:tc>
        <w:tc>
          <w:tcPr>
            <w:tcW w:w="1570" w:type="dxa"/>
            <w:tcBorders>
              <w:top w:val="nil"/>
              <w:left w:val="nil"/>
              <w:bottom w:val="single" w:color="auto" w:sz="4" w:space="0"/>
              <w:right w:val="single" w:color="auto" w:sz="4" w:space="0"/>
            </w:tcBorders>
            <w:noWrap w:val="0"/>
            <w:vAlign w:val="center"/>
          </w:tcPr>
          <w:p w14:paraId="49FCB654">
            <w:pPr>
              <w:widowControl/>
              <w:jc w:val="left"/>
              <w:rPr>
                <w:szCs w:val="21"/>
              </w:rPr>
            </w:pPr>
            <w:r>
              <w:rPr>
                <w:rFonts w:hint="eastAsia"/>
                <w:szCs w:val="21"/>
              </w:rPr>
              <w:t>100≤X＜1000</w:t>
            </w:r>
          </w:p>
        </w:tc>
        <w:tc>
          <w:tcPr>
            <w:tcW w:w="1009" w:type="dxa"/>
            <w:tcBorders>
              <w:top w:val="nil"/>
              <w:left w:val="nil"/>
              <w:bottom w:val="single" w:color="auto" w:sz="4" w:space="0"/>
              <w:right w:val="single" w:color="auto" w:sz="4" w:space="0"/>
            </w:tcBorders>
            <w:noWrap w:val="0"/>
            <w:vAlign w:val="center"/>
          </w:tcPr>
          <w:p w14:paraId="3DEB7BC7">
            <w:pPr>
              <w:widowControl/>
              <w:jc w:val="left"/>
              <w:rPr>
                <w:szCs w:val="21"/>
              </w:rPr>
            </w:pPr>
            <w:r>
              <w:rPr>
                <w:rFonts w:hint="eastAsia"/>
                <w:szCs w:val="21"/>
              </w:rPr>
              <w:t>X＜100</w:t>
            </w:r>
          </w:p>
        </w:tc>
      </w:tr>
      <w:tr w14:paraId="7EAB121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E666241">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41AF5E70">
            <w:pPr>
              <w:widowControl/>
              <w:jc w:val="left"/>
              <w:rPr>
                <w:szCs w:val="21"/>
              </w:rPr>
            </w:pPr>
            <w:r>
              <w:rPr>
                <w:rFonts w:hint="eastAsia"/>
                <w:szCs w:val="21"/>
              </w:rPr>
              <w:t>资产总额（Z）</w:t>
            </w:r>
          </w:p>
        </w:tc>
        <w:tc>
          <w:tcPr>
            <w:tcW w:w="1134" w:type="dxa"/>
            <w:tcBorders>
              <w:top w:val="nil"/>
              <w:left w:val="nil"/>
              <w:bottom w:val="single" w:color="auto" w:sz="4" w:space="0"/>
              <w:right w:val="single" w:color="auto" w:sz="4" w:space="0"/>
            </w:tcBorders>
            <w:noWrap w:val="0"/>
            <w:vAlign w:val="center"/>
          </w:tcPr>
          <w:p w14:paraId="1EF73CB1">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338965AC">
            <w:pPr>
              <w:widowControl/>
              <w:jc w:val="left"/>
              <w:rPr>
                <w:szCs w:val="21"/>
              </w:rPr>
            </w:pPr>
            <w:r>
              <w:rPr>
                <w:rFonts w:hint="eastAsia"/>
                <w:szCs w:val="21"/>
              </w:rPr>
              <w:t>5000≤Z＜10000</w:t>
            </w:r>
          </w:p>
        </w:tc>
        <w:tc>
          <w:tcPr>
            <w:tcW w:w="1570" w:type="dxa"/>
            <w:tcBorders>
              <w:top w:val="nil"/>
              <w:left w:val="nil"/>
              <w:bottom w:val="single" w:color="auto" w:sz="4" w:space="0"/>
              <w:right w:val="single" w:color="auto" w:sz="4" w:space="0"/>
            </w:tcBorders>
            <w:noWrap w:val="0"/>
            <w:vAlign w:val="center"/>
          </w:tcPr>
          <w:p w14:paraId="5D84ADFA">
            <w:pPr>
              <w:widowControl/>
              <w:jc w:val="left"/>
              <w:rPr>
                <w:szCs w:val="21"/>
              </w:rPr>
            </w:pPr>
            <w:r>
              <w:rPr>
                <w:rFonts w:hint="eastAsia"/>
                <w:szCs w:val="21"/>
              </w:rPr>
              <w:t>2000≤Y＜5000</w:t>
            </w:r>
          </w:p>
        </w:tc>
        <w:tc>
          <w:tcPr>
            <w:tcW w:w="1009" w:type="dxa"/>
            <w:tcBorders>
              <w:top w:val="nil"/>
              <w:left w:val="nil"/>
              <w:bottom w:val="single" w:color="auto" w:sz="4" w:space="0"/>
              <w:right w:val="single" w:color="auto" w:sz="4" w:space="0"/>
            </w:tcBorders>
            <w:noWrap w:val="0"/>
            <w:vAlign w:val="center"/>
          </w:tcPr>
          <w:p w14:paraId="2DA68051">
            <w:pPr>
              <w:widowControl/>
              <w:jc w:val="left"/>
              <w:rPr>
                <w:szCs w:val="21"/>
              </w:rPr>
            </w:pPr>
            <w:r>
              <w:rPr>
                <w:rFonts w:hint="eastAsia"/>
                <w:szCs w:val="21"/>
              </w:rPr>
              <w:t>Y＜2000</w:t>
            </w:r>
          </w:p>
        </w:tc>
      </w:tr>
      <w:tr w14:paraId="017B13C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09C7E29">
            <w:pPr>
              <w:widowControl/>
              <w:jc w:val="center"/>
              <w:rPr>
                <w:szCs w:val="21"/>
              </w:rPr>
            </w:pPr>
            <w:r>
              <w:rPr>
                <w:rFonts w:hint="eastAsia"/>
                <w:szCs w:val="21"/>
              </w:rPr>
              <w:t>物业管理</w:t>
            </w:r>
          </w:p>
        </w:tc>
        <w:tc>
          <w:tcPr>
            <w:tcW w:w="1701" w:type="dxa"/>
            <w:tcBorders>
              <w:top w:val="nil"/>
              <w:left w:val="nil"/>
              <w:bottom w:val="single" w:color="auto" w:sz="4" w:space="0"/>
              <w:right w:val="single" w:color="auto" w:sz="4" w:space="0"/>
            </w:tcBorders>
            <w:noWrap w:val="0"/>
            <w:vAlign w:val="center"/>
          </w:tcPr>
          <w:p w14:paraId="5A45345A">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6BC5A0D0">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131EE82A">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0C9092F0">
            <w:pPr>
              <w:widowControl/>
              <w:jc w:val="left"/>
              <w:rPr>
                <w:szCs w:val="21"/>
              </w:rPr>
            </w:pPr>
            <w:r>
              <w:rPr>
                <w:rFonts w:hint="eastAsia"/>
                <w:szCs w:val="21"/>
              </w:rPr>
              <w:t>100≤X＜300</w:t>
            </w:r>
          </w:p>
        </w:tc>
        <w:tc>
          <w:tcPr>
            <w:tcW w:w="1009" w:type="dxa"/>
            <w:tcBorders>
              <w:top w:val="nil"/>
              <w:left w:val="nil"/>
              <w:bottom w:val="single" w:color="auto" w:sz="4" w:space="0"/>
              <w:right w:val="single" w:color="auto" w:sz="4" w:space="0"/>
            </w:tcBorders>
            <w:noWrap w:val="0"/>
            <w:vAlign w:val="center"/>
          </w:tcPr>
          <w:p w14:paraId="6F4C5439">
            <w:pPr>
              <w:widowControl/>
              <w:jc w:val="left"/>
              <w:rPr>
                <w:szCs w:val="21"/>
              </w:rPr>
            </w:pPr>
            <w:r>
              <w:rPr>
                <w:rFonts w:hint="eastAsia"/>
                <w:szCs w:val="21"/>
              </w:rPr>
              <w:t>X＜100</w:t>
            </w:r>
          </w:p>
        </w:tc>
      </w:tr>
      <w:tr w14:paraId="3A671269">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63440C5">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2F144AE6">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29F9685E">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155D3779">
            <w:pPr>
              <w:widowControl/>
              <w:jc w:val="left"/>
              <w:rPr>
                <w:szCs w:val="21"/>
              </w:rPr>
            </w:pPr>
            <w:r>
              <w:rPr>
                <w:rFonts w:hint="eastAsia"/>
                <w:szCs w:val="21"/>
              </w:rPr>
              <w:t>1000≤Y＜5000</w:t>
            </w:r>
          </w:p>
        </w:tc>
        <w:tc>
          <w:tcPr>
            <w:tcW w:w="1570" w:type="dxa"/>
            <w:tcBorders>
              <w:top w:val="nil"/>
              <w:left w:val="nil"/>
              <w:bottom w:val="single" w:color="auto" w:sz="4" w:space="0"/>
              <w:right w:val="single" w:color="auto" w:sz="4" w:space="0"/>
            </w:tcBorders>
            <w:noWrap w:val="0"/>
            <w:vAlign w:val="center"/>
          </w:tcPr>
          <w:p w14:paraId="35B3E473">
            <w:pPr>
              <w:widowControl/>
              <w:jc w:val="left"/>
              <w:rPr>
                <w:szCs w:val="21"/>
              </w:rPr>
            </w:pPr>
            <w:r>
              <w:rPr>
                <w:rFonts w:hint="eastAsia"/>
                <w:szCs w:val="21"/>
              </w:rPr>
              <w:t>500≤Y＜1000</w:t>
            </w:r>
          </w:p>
        </w:tc>
        <w:tc>
          <w:tcPr>
            <w:tcW w:w="1009" w:type="dxa"/>
            <w:tcBorders>
              <w:top w:val="nil"/>
              <w:left w:val="nil"/>
              <w:bottom w:val="single" w:color="auto" w:sz="4" w:space="0"/>
              <w:right w:val="single" w:color="auto" w:sz="4" w:space="0"/>
            </w:tcBorders>
            <w:noWrap w:val="0"/>
            <w:vAlign w:val="center"/>
          </w:tcPr>
          <w:p w14:paraId="26406449">
            <w:pPr>
              <w:widowControl/>
              <w:jc w:val="left"/>
              <w:rPr>
                <w:szCs w:val="21"/>
              </w:rPr>
            </w:pPr>
            <w:r>
              <w:rPr>
                <w:rFonts w:hint="eastAsia"/>
                <w:szCs w:val="21"/>
              </w:rPr>
              <w:t>Y＜500</w:t>
            </w:r>
          </w:p>
        </w:tc>
      </w:tr>
      <w:tr w14:paraId="40EBFC0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F753CA4">
            <w:pPr>
              <w:widowControl/>
              <w:jc w:val="center"/>
              <w:rPr>
                <w:szCs w:val="21"/>
              </w:rPr>
            </w:pPr>
            <w:r>
              <w:rPr>
                <w:rFonts w:hint="eastAsia"/>
                <w:szCs w:val="21"/>
              </w:rPr>
              <w:t>租赁和商务服务业</w:t>
            </w:r>
          </w:p>
        </w:tc>
        <w:tc>
          <w:tcPr>
            <w:tcW w:w="1701" w:type="dxa"/>
            <w:tcBorders>
              <w:top w:val="nil"/>
              <w:left w:val="nil"/>
              <w:bottom w:val="single" w:color="auto" w:sz="4" w:space="0"/>
              <w:right w:val="single" w:color="auto" w:sz="4" w:space="0"/>
            </w:tcBorders>
            <w:noWrap w:val="0"/>
            <w:vAlign w:val="center"/>
          </w:tcPr>
          <w:p w14:paraId="7ADA89EE">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4F43D64B">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1D3839D2">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211025D4">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6A66D4F0">
            <w:pPr>
              <w:widowControl/>
              <w:jc w:val="left"/>
              <w:rPr>
                <w:szCs w:val="21"/>
              </w:rPr>
            </w:pPr>
            <w:r>
              <w:rPr>
                <w:rFonts w:hint="eastAsia"/>
                <w:szCs w:val="21"/>
              </w:rPr>
              <w:t>X＜10</w:t>
            </w:r>
          </w:p>
        </w:tc>
      </w:tr>
      <w:tr w14:paraId="52F54A4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DD8D09B">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131C23A3">
            <w:pPr>
              <w:widowControl/>
              <w:jc w:val="left"/>
              <w:rPr>
                <w:szCs w:val="21"/>
              </w:rPr>
            </w:pPr>
            <w:r>
              <w:rPr>
                <w:rFonts w:hint="eastAsia"/>
                <w:szCs w:val="21"/>
              </w:rPr>
              <w:t>资产总额（Z）</w:t>
            </w:r>
          </w:p>
        </w:tc>
        <w:tc>
          <w:tcPr>
            <w:tcW w:w="1134" w:type="dxa"/>
            <w:tcBorders>
              <w:top w:val="nil"/>
              <w:left w:val="nil"/>
              <w:bottom w:val="single" w:color="auto" w:sz="4" w:space="0"/>
              <w:right w:val="single" w:color="auto" w:sz="4" w:space="0"/>
            </w:tcBorders>
            <w:noWrap w:val="0"/>
            <w:vAlign w:val="center"/>
          </w:tcPr>
          <w:p w14:paraId="32730997">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7E10CA71">
            <w:pPr>
              <w:widowControl/>
              <w:jc w:val="left"/>
              <w:rPr>
                <w:szCs w:val="21"/>
              </w:rPr>
            </w:pPr>
            <w:r>
              <w:rPr>
                <w:rFonts w:hint="eastAsia"/>
                <w:szCs w:val="21"/>
              </w:rPr>
              <w:t>8000≤Z＜120000</w:t>
            </w:r>
          </w:p>
        </w:tc>
        <w:tc>
          <w:tcPr>
            <w:tcW w:w="1570" w:type="dxa"/>
            <w:tcBorders>
              <w:top w:val="nil"/>
              <w:left w:val="nil"/>
              <w:bottom w:val="single" w:color="auto" w:sz="4" w:space="0"/>
              <w:right w:val="single" w:color="auto" w:sz="4" w:space="0"/>
            </w:tcBorders>
            <w:noWrap w:val="0"/>
            <w:vAlign w:val="center"/>
          </w:tcPr>
          <w:p w14:paraId="32A67F98">
            <w:pPr>
              <w:widowControl/>
              <w:jc w:val="left"/>
              <w:rPr>
                <w:szCs w:val="21"/>
              </w:rPr>
            </w:pPr>
            <w:r>
              <w:rPr>
                <w:rFonts w:hint="eastAsia"/>
                <w:szCs w:val="21"/>
              </w:rPr>
              <w:t>100≤Z＜8000</w:t>
            </w:r>
          </w:p>
        </w:tc>
        <w:tc>
          <w:tcPr>
            <w:tcW w:w="1009" w:type="dxa"/>
            <w:tcBorders>
              <w:top w:val="nil"/>
              <w:left w:val="nil"/>
              <w:bottom w:val="single" w:color="auto" w:sz="4" w:space="0"/>
              <w:right w:val="single" w:color="auto" w:sz="4" w:space="0"/>
            </w:tcBorders>
            <w:noWrap w:val="0"/>
            <w:vAlign w:val="center"/>
          </w:tcPr>
          <w:p w14:paraId="55C1A248">
            <w:pPr>
              <w:widowControl/>
              <w:jc w:val="left"/>
              <w:rPr>
                <w:szCs w:val="21"/>
              </w:rPr>
            </w:pPr>
            <w:r>
              <w:rPr>
                <w:rFonts w:hint="eastAsia"/>
                <w:szCs w:val="21"/>
              </w:rPr>
              <w:t>Y＜100</w:t>
            </w:r>
          </w:p>
        </w:tc>
      </w:tr>
      <w:tr w14:paraId="0BFCFB0A">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1942CB06">
            <w:pPr>
              <w:widowControl/>
              <w:jc w:val="center"/>
              <w:rPr>
                <w:szCs w:val="21"/>
              </w:rPr>
            </w:pPr>
            <w:r>
              <w:rPr>
                <w:rFonts w:hint="eastAsia"/>
                <w:szCs w:val="21"/>
              </w:rPr>
              <w:t>其他未列明行业</w:t>
            </w:r>
          </w:p>
        </w:tc>
        <w:tc>
          <w:tcPr>
            <w:tcW w:w="1701" w:type="dxa"/>
            <w:tcBorders>
              <w:top w:val="nil"/>
              <w:left w:val="nil"/>
              <w:bottom w:val="single" w:color="auto" w:sz="4" w:space="0"/>
              <w:right w:val="single" w:color="auto" w:sz="4" w:space="0"/>
            </w:tcBorders>
            <w:noWrap w:val="0"/>
            <w:vAlign w:val="center"/>
          </w:tcPr>
          <w:p w14:paraId="72A5F70D">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56FD581E">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15D8FAA4">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7436B273">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78C6C526">
            <w:pPr>
              <w:widowControl/>
              <w:jc w:val="left"/>
              <w:rPr>
                <w:szCs w:val="21"/>
              </w:rPr>
            </w:pPr>
            <w:r>
              <w:rPr>
                <w:rFonts w:hint="eastAsia"/>
                <w:szCs w:val="21"/>
              </w:rPr>
              <w:t>X＜10</w:t>
            </w:r>
          </w:p>
        </w:tc>
      </w:tr>
    </w:tbl>
    <w:p w14:paraId="47310909">
      <w:pPr>
        <w:spacing w:line="360" w:lineRule="auto"/>
        <w:ind w:firstLine="525" w:firstLineChars="250"/>
        <w:rPr>
          <w:szCs w:val="21"/>
        </w:rPr>
      </w:pPr>
      <w:r>
        <w:rPr>
          <w:rFonts w:hint="eastAsia"/>
          <w:szCs w:val="21"/>
        </w:rPr>
        <w:t>说明：上述标准参照《关于印发中小企业划型标准规定的通知》（工信部联企业</w:t>
      </w:r>
      <w:r>
        <w:rPr>
          <w:rFonts w:hint="eastAsia"/>
          <w:szCs w:val="21"/>
          <w:lang w:eastAsia="zh-CN"/>
        </w:rPr>
        <w:t>〔2011〕300号</w:t>
      </w:r>
      <w:r>
        <w:rPr>
          <w:rFonts w:hint="eastAsia"/>
          <w:szCs w:val="21"/>
        </w:rPr>
        <w:t>），大型、中型和小型企业须同时满足所列指标的下限，否则下划一档；微型企业只须满足所列指标中的一项即可。</w:t>
      </w:r>
    </w:p>
    <w:p w14:paraId="39074AEC">
      <w:pPr>
        <w:spacing w:line="360" w:lineRule="auto"/>
        <w:rPr>
          <w:sz w:val="28"/>
          <w:szCs w:val="28"/>
        </w:rPr>
      </w:pPr>
      <w:r>
        <w:rPr>
          <w:szCs w:val="21"/>
        </w:rPr>
        <w:br w:type="page"/>
      </w:r>
      <w:bookmarkStart w:id="22" w:name="_Hlk132788258"/>
      <w:r>
        <w:rPr>
          <w:rFonts w:hint="eastAsia"/>
          <w:sz w:val="28"/>
          <w:szCs w:val="28"/>
        </w:rPr>
        <w:t>附件2：</w:t>
      </w:r>
    </w:p>
    <w:p w14:paraId="3DC08069">
      <w:pPr>
        <w:spacing w:line="360" w:lineRule="auto"/>
        <w:rPr>
          <w:rFonts w:hint="eastAsia"/>
          <w:szCs w:val="21"/>
        </w:rPr>
        <w:sectPr>
          <w:footerReference r:id="rId10" w:type="first"/>
          <w:headerReference r:id="rId9" w:type="default"/>
          <w:pgSz w:w="11906" w:h="16838"/>
          <w:pgMar w:top="851" w:right="1133" w:bottom="1246" w:left="1418" w:header="851" w:footer="797" w:gutter="0"/>
          <w:cols w:space="720" w:num="1"/>
          <w:docGrid w:linePitch="312" w:charSpace="0"/>
        </w:sectPr>
      </w:pPr>
      <w:r>
        <w:drawing>
          <wp:anchor distT="0" distB="0" distL="114300" distR="114300" simplePos="0" relativeHeight="251659264" behindDoc="0" locked="0" layoutInCell="1" allowOverlap="1">
            <wp:simplePos x="0" y="0"/>
            <wp:positionH relativeFrom="column">
              <wp:posOffset>1905</wp:posOffset>
            </wp:positionH>
            <wp:positionV relativeFrom="paragraph">
              <wp:posOffset>205105</wp:posOffset>
            </wp:positionV>
            <wp:extent cx="5573395" cy="8125460"/>
            <wp:effectExtent l="0" t="0" r="8255" b="8890"/>
            <wp:wrapSquare wrapText="bothSides"/>
            <wp:docPr id="1"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6"/>
                    <pic:cNvPicPr>
                      <a:picLocks noChangeAspect="1"/>
                    </pic:cNvPicPr>
                  </pic:nvPicPr>
                  <pic:blipFill>
                    <a:blip r:embed="rId27"/>
                    <a:stretch>
                      <a:fillRect/>
                    </a:stretch>
                  </pic:blipFill>
                  <pic:spPr>
                    <a:xfrm>
                      <a:off x="0" y="0"/>
                      <a:ext cx="5573395" cy="8125460"/>
                    </a:xfrm>
                    <a:prstGeom prst="rect">
                      <a:avLst/>
                    </a:prstGeom>
                    <a:noFill/>
                    <a:ln>
                      <a:noFill/>
                    </a:ln>
                  </pic:spPr>
                </pic:pic>
              </a:graphicData>
            </a:graphic>
          </wp:anchor>
        </w:drawing>
      </w:r>
      <w:bookmarkEnd w:id="22"/>
    </w:p>
    <w:bookmarkEnd w:id="17"/>
    <w:bookmarkEnd w:id="18"/>
    <w:p w14:paraId="4A26E2B7">
      <w:pPr>
        <w:spacing w:line="360" w:lineRule="auto"/>
        <w:rPr>
          <w:sz w:val="28"/>
          <w:szCs w:val="28"/>
        </w:rPr>
      </w:pPr>
      <w:bookmarkStart w:id="23" w:name="_Toc489863686"/>
      <w:r>
        <w:rPr>
          <w:rFonts w:hint="eastAsia"/>
          <w:sz w:val="28"/>
          <w:szCs w:val="28"/>
        </w:rPr>
        <w:t>附件3：</w:t>
      </w:r>
    </w:p>
    <w:p w14:paraId="155E845C">
      <w:pPr>
        <w:keepNext w:val="0"/>
        <w:keepLines w:val="0"/>
        <w:pageBreakBefore w:val="0"/>
        <w:widowControl w:val="0"/>
        <w:kinsoku/>
        <w:wordWrap/>
        <w:overflowPunct/>
        <w:topLinePunct w:val="0"/>
        <w:autoSpaceDE/>
        <w:autoSpaceDN/>
        <w:bidi w:val="0"/>
        <w:adjustRightInd/>
        <w:snapToGrid/>
        <w:spacing w:before="157" w:beforeLines="50" w:after="157" w:afterLines="50" w:line="528" w:lineRule="exact"/>
        <w:ind w:firstLine="281" w:firstLineChars="100"/>
        <w:jc w:val="center"/>
        <w:textAlignment w:val="auto"/>
        <w:rPr>
          <w:rFonts w:hint="eastAsia" w:ascii="Times New Roman" w:hAnsi="Times New Roman" w:eastAsia="宋体" w:cs="Times New Roman"/>
          <w:b/>
          <w:bCs/>
          <w:sz w:val="28"/>
          <w:szCs w:val="28"/>
        </w:rPr>
      </w:pPr>
      <w:r>
        <w:rPr>
          <w:rFonts w:hint="eastAsia" w:ascii="Times New Roman" w:hAnsi="Times New Roman" w:eastAsia="宋体" w:cs="Times New Roman"/>
          <w:b/>
          <w:bCs/>
          <w:sz w:val="28"/>
          <w:szCs w:val="28"/>
        </w:rPr>
        <w:t>节能产品政府采购品目清单</w:t>
      </w:r>
    </w:p>
    <w:tbl>
      <w:tblPr>
        <w:tblStyle w:val="51"/>
        <w:tblW w:w="101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0"/>
        <w:gridCol w:w="1624"/>
        <w:gridCol w:w="1940"/>
        <w:gridCol w:w="1704"/>
        <w:gridCol w:w="4225"/>
      </w:tblGrid>
      <w:tr w14:paraId="03FA8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D47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品目</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序号</w:t>
            </w:r>
          </w:p>
        </w:tc>
        <w:tc>
          <w:tcPr>
            <w:tcW w:w="52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B673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79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依据的标准</w:t>
            </w:r>
          </w:p>
        </w:tc>
      </w:tr>
      <w:tr w14:paraId="1E07D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B50C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19A7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A020101 计算机设备</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4B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★A02010104 台式计算机</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3838">
            <w:pPr>
              <w:jc w:val="left"/>
              <w:rPr>
                <w:rFonts w:hint="eastAsia"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94E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《微型计算机能效限定值及能效 等级》（GB 28380）</w:t>
            </w:r>
          </w:p>
        </w:tc>
      </w:tr>
      <w:tr w14:paraId="3625F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0DAD8">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D616A">
            <w:pPr>
              <w:jc w:val="left"/>
              <w:rPr>
                <w:rFonts w:hint="eastAsia" w:ascii="宋体" w:hAnsi="宋体" w:eastAsia="宋体" w:cs="宋体"/>
                <w:i w:val="0"/>
                <w:iCs w:val="0"/>
                <w:color w:val="000000"/>
                <w:sz w:val="18"/>
                <w:szCs w:val="18"/>
                <w:u w:val="none"/>
              </w:rPr>
            </w:pP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1B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★A02010105 便携式计算机</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C658">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859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《微型计算机能效限定值及能效 等级》（GB 28380）</w:t>
            </w:r>
          </w:p>
        </w:tc>
      </w:tr>
      <w:tr w14:paraId="7F4CF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30262">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3DD34">
            <w:pPr>
              <w:jc w:val="left"/>
              <w:rPr>
                <w:rFonts w:hint="eastAsia" w:ascii="宋体" w:hAnsi="宋体" w:eastAsia="宋体" w:cs="宋体"/>
                <w:i w:val="0"/>
                <w:iCs w:val="0"/>
                <w:color w:val="000000"/>
                <w:sz w:val="18"/>
                <w:szCs w:val="18"/>
                <w:u w:val="none"/>
              </w:rPr>
            </w:pP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B2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★A02010107 平板式微型计算机</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B68D">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81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《微型计算机能效限定值及能效 等级》（GB 28380）</w:t>
            </w:r>
          </w:p>
        </w:tc>
      </w:tr>
      <w:tr w14:paraId="5965D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A9346">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91D96">
            <w:pPr>
              <w:jc w:val="left"/>
              <w:rPr>
                <w:rFonts w:hint="eastAsia" w:ascii="宋体" w:hAnsi="宋体" w:eastAsia="宋体" w:cs="宋体"/>
                <w:i w:val="0"/>
                <w:iCs w:val="0"/>
                <w:color w:val="000000"/>
                <w:sz w:val="18"/>
                <w:szCs w:val="18"/>
                <w:u w:val="none"/>
              </w:rPr>
            </w:pPr>
          </w:p>
        </w:tc>
        <w:tc>
          <w:tcPr>
            <w:tcW w:w="1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B4E8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A02010601 打印设备</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B1A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A0201060101 喷墨打印机</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41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《复印机、打印机和传真机能效限 定值及能效等级》（GB 21521）</w:t>
            </w:r>
          </w:p>
        </w:tc>
      </w:tr>
      <w:tr w14:paraId="131D6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1B7E1">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72DD5">
            <w:pPr>
              <w:jc w:val="left"/>
              <w:rPr>
                <w:rFonts w:hint="eastAsia" w:ascii="宋体" w:hAnsi="宋体" w:eastAsia="宋体" w:cs="宋体"/>
                <w:i w:val="0"/>
                <w:iCs w:val="0"/>
                <w:color w:val="000000"/>
                <w:sz w:val="18"/>
                <w:szCs w:val="18"/>
                <w:u w:val="none"/>
              </w:rPr>
            </w:pPr>
          </w:p>
        </w:tc>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55D0C">
            <w:pPr>
              <w:jc w:val="left"/>
              <w:rPr>
                <w:rFonts w:hint="eastAsia" w:ascii="宋体" w:hAnsi="宋体" w:eastAsia="宋体" w:cs="宋体"/>
                <w:i w:val="0"/>
                <w:iCs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4A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A0201060102 激 光 打印机</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38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《复印机、打印机和传真机能效限 定值及能效等级》（GB 21521）</w:t>
            </w:r>
          </w:p>
        </w:tc>
      </w:tr>
      <w:tr w14:paraId="545FE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BE305">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AFD60">
            <w:pPr>
              <w:jc w:val="left"/>
              <w:rPr>
                <w:rFonts w:hint="eastAsia" w:ascii="宋体" w:hAnsi="宋体" w:eastAsia="宋体" w:cs="宋体"/>
                <w:i w:val="0"/>
                <w:iCs w:val="0"/>
                <w:color w:val="000000"/>
                <w:sz w:val="18"/>
                <w:szCs w:val="18"/>
                <w:u w:val="none"/>
              </w:rPr>
            </w:pPr>
          </w:p>
        </w:tc>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D2F9F">
            <w:pPr>
              <w:jc w:val="left"/>
              <w:rPr>
                <w:rFonts w:hint="eastAsia" w:ascii="宋体" w:hAnsi="宋体" w:eastAsia="宋体" w:cs="宋体"/>
                <w:i w:val="0"/>
                <w:iCs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EF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A0201060104 针 式打印机</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DF9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《复印机、打印机和传真机能效限 定值及能效等级》（GB 21521）</w:t>
            </w:r>
          </w:p>
        </w:tc>
      </w:tr>
      <w:tr w14:paraId="133A9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88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170F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 输入输出设备</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96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A02010604 显示设备</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70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A0201060401 液 晶显示器</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D2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《计算机显示器能效限定值及能 效等级》（GB 21520）</w:t>
            </w:r>
          </w:p>
        </w:tc>
      </w:tr>
      <w:tr w14:paraId="0B727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EB7CF">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097AE">
            <w:pPr>
              <w:jc w:val="left"/>
              <w:rPr>
                <w:rFonts w:hint="eastAsia" w:ascii="宋体" w:hAnsi="宋体" w:eastAsia="宋体" w:cs="宋体"/>
                <w:i w:val="0"/>
                <w:iCs w:val="0"/>
                <w:color w:val="000000"/>
                <w:sz w:val="18"/>
                <w:szCs w:val="18"/>
                <w:u w:val="none"/>
              </w:rPr>
            </w:pP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DC3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A02010609 图形图像 输入设备</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95C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A0201060901 扫描仪</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CA7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参照《复印机、打印机和传真机能效限定值及能效等级》（GB 21521） 中打印速度为 15 页/分的针式打印机相关要求</w:t>
            </w:r>
          </w:p>
        </w:tc>
      </w:tr>
      <w:tr w14:paraId="276BF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F7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0E1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A020202 投影仪</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5E41">
            <w:pPr>
              <w:jc w:val="left"/>
              <w:rPr>
                <w:rFonts w:hint="default" w:ascii="Arial" w:hAnsi="Arial" w:eastAsia="宋体" w:cs="Arial"/>
                <w:i w:val="0"/>
                <w:iCs w:val="0"/>
                <w:color w:val="000000"/>
                <w:sz w:val="21"/>
                <w:szCs w:val="21"/>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09C5">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67C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《投影机能效限定值及能效等级》 （GB 32028）</w:t>
            </w:r>
          </w:p>
        </w:tc>
      </w:tr>
      <w:tr w14:paraId="2E671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A8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3C3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A020204 多功能一体机</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BDD0B">
            <w:pPr>
              <w:jc w:val="left"/>
              <w:rPr>
                <w:rFonts w:hint="default" w:ascii="Arial" w:hAnsi="Arial" w:eastAsia="宋体" w:cs="Arial"/>
                <w:i w:val="0"/>
                <w:iCs w:val="0"/>
                <w:color w:val="000000"/>
                <w:sz w:val="21"/>
                <w:szCs w:val="21"/>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9071">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E7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《复印机、打印机和传真机能效限 定值及能效等级》（GB 21521）</w:t>
            </w:r>
          </w:p>
        </w:tc>
      </w:tr>
      <w:tr w14:paraId="1F1F5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C7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B4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A020519 泵</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CA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A02051901 离心泵</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A9C7">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4E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《清水离心泵能效限定值及节能 评价值》（GB 19762）</w:t>
            </w:r>
          </w:p>
        </w:tc>
      </w:tr>
      <w:tr w14:paraId="2CCAE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C538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B6D1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A020523 制冷空调设备</w:t>
            </w:r>
          </w:p>
        </w:tc>
        <w:tc>
          <w:tcPr>
            <w:tcW w:w="1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1F8F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★A02052301 制冷压缩机</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47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冷水机组</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84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《冷水机组能效限定值及能效等 级》（GB 19577），《低环境温度 空气源热泵（冷水）机组能效限定 值及能效等级》（GB 37480）</w:t>
            </w:r>
          </w:p>
        </w:tc>
      </w:tr>
      <w:tr w14:paraId="75AC6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398C1">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D3999">
            <w:pPr>
              <w:jc w:val="left"/>
              <w:rPr>
                <w:rFonts w:hint="eastAsia" w:ascii="宋体" w:hAnsi="宋体" w:eastAsia="宋体" w:cs="宋体"/>
                <w:i w:val="0"/>
                <w:iCs w:val="0"/>
                <w:color w:val="000000"/>
                <w:sz w:val="18"/>
                <w:szCs w:val="18"/>
                <w:u w:val="none"/>
              </w:rPr>
            </w:pPr>
          </w:p>
        </w:tc>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E1159">
            <w:pPr>
              <w:jc w:val="left"/>
              <w:rPr>
                <w:rFonts w:hint="eastAsia" w:ascii="宋体" w:hAnsi="宋体" w:eastAsia="宋体" w:cs="宋体"/>
                <w:i w:val="0"/>
                <w:iCs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CB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水源热泵机组</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B1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《水（地）源热泵机组能效限定值 及能效等级》（GB 30721）</w:t>
            </w:r>
          </w:p>
        </w:tc>
      </w:tr>
      <w:tr w14:paraId="3FFCA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0BA5B">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37C56">
            <w:pPr>
              <w:jc w:val="left"/>
              <w:rPr>
                <w:rFonts w:hint="eastAsia" w:ascii="宋体" w:hAnsi="宋体" w:eastAsia="宋体" w:cs="宋体"/>
                <w:i w:val="0"/>
                <w:iCs w:val="0"/>
                <w:color w:val="000000"/>
                <w:sz w:val="18"/>
                <w:szCs w:val="18"/>
                <w:u w:val="none"/>
              </w:rPr>
            </w:pPr>
          </w:p>
        </w:tc>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D42D3">
            <w:pPr>
              <w:jc w:val="left"/>
              <w:rPr>
                <w:rFonts w:hint="eastAsia" w:ascii="宋体" w:hAnsi="宋体" w:eastAsia="宋体" w:cs="宋体"/>
                <w:i w:val="0"/>
                <w:iCs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19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溴化锂吸收式冷水机 组</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40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《溴化锂吸收式冷水机组能效限 定值及能效等级》（GB 29540）</w:t>
            </w:r>
          </w:p>
        </w:tc>
      </w:tr>
      <w:tr w14:paraId="198BE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7423E">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3C14F">
            <w:pPr>
              <w:jc w:val="left"/>
              <w:rPr>
                <w:rFonts w:hint="eastAsia" w:ascii="宋体" w:hAnsi="宋体" w:eastAsia="宋体" w:cs="宋体"/>
                <w:i w:val="0"/>
                <w:iCs w:val="0"/>
                <w:color w:val="000000"/>
                <w:sz w:val="18"/>
                <w:szCs w:val="18"/>
                <w:u w:val="none"/>
              </w:rPr>
            </w:pPr>
          </w:p>
        </w:tc>
        <w:tc>
          <w:tcPr>
            <w:tcW w:w="1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749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★A02052305 空调机组</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13B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多联式空调（热泵） 机组(制冷 量&gt;14000W)</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39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《多联式空调（热泵）机组能效限定值及能源效率等级》（GB 21454）</w:t>
            </w:r>
          </w:p>
        </w:tc>
      </w:tr>
      <w:tr w14:paraId="6E8B9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25779">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EBC9F">
            <w:pPr>
              <w:jc w:val="left"/>
              <w:rPr>
                <w:rFonts w:hint="eastAsia" w:ascii="宋体" w:hAnsi="宋体" w:eastAsia="宋体" w:cs="宋体"/>
                <w:i w:val="0"/>
                <w:iCs w:val="0"/>
                <w:color w:val="000000"/>
                <w:sz w:val="18"/>
                <w:szCs w:val="18"/>
                <w:u w:val="none"/>
              </w:rPr>
            </w:pPr>
          </w:p>
        </w:tc>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4C131">
            <w:pPr>
              <w:jc w:val="left"/>
              <w:rPr>
                <w:rFonts w:hint="eastAsia" w:ascii="宋体" w:hAnsi="宋体" w:eastAsia="宋体" w:cs="宋体"/>
                <w:i w:val="0"/>
                <w:iCs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959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单元式空气调节机 (制冷量&gt;14000W)</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F0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《单元式空气调节机能效限定值 及能效等级》（GB 19576）《风管 送风式空调机组能效限定值及能 效等级》（GB 37479）</w:t>
            </w:r>
          </w:p>
        </w:tc>
      </w:tr>
      <w:tr w14:paraId="189EC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B75C5">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BA9EA">
            <w:pPr>
              <w:jc w:val="left"/>
              <w:rPr>
                <w:rFonts w:hint="eastAsia" w:ascii="宋体" w:hAnsi="宋体" w:eastAsia="宋体" w:cs="宋体"/>
                <w:i w:val="0"/>
                <w:iCs w:val="0"/>
                <w:color w:val="000000"/>
                <w:sz w:val="18"/>
                <w:szCs w:val="18"/>
                <w:u w:val="none"/>
              </w:rPr>
            </w:pP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BA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★A02052309 专用制 冷、空调设备</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73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机房空调</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75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《单元式空气调节机能效限定值 及能效等级》（GB 19576）</w:t>
            </w:r>
          </w:p>
        </w:tc>
      </w:tr>
      <w:tr w14:paraId="328A0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33349">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80E39">
            <w:pPr>
              <w:jc w:val="left"/>
              <w:rPr>
                <w:rFonts w:hint="eastAsia" w:ascii="宋体" w:hAnsi="宋体" w:eastAsia="宋体" w:cs="宋体"/>
                <w:i w:val="0"/>
                <w:iCs w:val="0"/>
                <w:color w:val="000000"/>
                <w:sz w:val="18"/>
                <w:szCs w:val="18"/>
                <w:u w:val="none"/>
              </w:rPr>
            </w:pP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33E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A02052399 其他制冷空调设备</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DB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冷却塔</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62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《机械通风冷却塔 第 1 部分：中 小型开式冷却塔》（GB /T 7190.1）； 《机械通风冷却塔 第 2 部分：大 型开式冷却塔》（GB /T 7190.2）</w:t>
            </w:r>
          </w:p>
        </w:tc>
      </w:tr>
      <w:tr w14:paraId="0012D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7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445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A020601 电机</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8DBC">
            <w:pPr>
              <w:jc w:val="left"/>
              <w:rPr>
                <w:rFonts w:hint="default" w:ascii="Arial" w:hAnsi="Arial" w:eastAsia="宋体" w:cs="Arial"/>
                <w:i w:val="0"/>
                <w:iCs w:val="0"/>
                <w:color w:val="000000"/>
                <w:sz w:val="21"/>
                <w:szCs w:val="21"/>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B6EE1">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91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《中小型三相异步电动机能效限 定值及能效等级》（GB 18613）</w:t>
            </w:r>
          </w:p>
        </w:tc>
      </w:tr>
      <w:tr w14:paraId="209A7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E2F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68A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A020602 变压器</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FB5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配电变压器</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E471">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D9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《三相配电变压器能效限定值及 能效等级》（GB 20052）</w:t>
            </w:r>
          </w:p>
        </w:tc>
      </w:tr>
      <w:tr w14:paraId="08C9E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8D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DB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★A020609 镇流器</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11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管型荧光灯镇流器</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90E5">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F4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《管形荧光灯镇流器能效限定值 及能效等级》（GB 17896）</w:t>
            </w:r>
          </w:p>
        </w:tc>
      </w:tr>
      <w:tr w14:paraId="1DFDA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B3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C6F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A020618 生活用电器</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81C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A0206180101 电冰箱</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180FB">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22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《家用电冰箱耗电量限定值及能 效等级》（GB12021.2）</w:t>
            </w:r>
          </w:p>
        </w:tc>
      </w:tr>
      <w:tr w14:paraId="21AFC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C081C">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D8091">
            <w:pPr>
              <w:jc w:val="left"/>
              <w:rPr>
                <w:rFonts w:hint="eastAsia" w:ascii="宋体" w:hAnsi="宋体" w:eastAsia="宋体" w:cs="宋体"/>
                <w:i w:val="0"/>
                <w:iCs w:val="0"/>
                <w:color w:val="000000"/>
                <w:sz w:val="18"/>
                <w:szCs w:val="18"/>
                <w:u w:val="none"/>
              </w:rPr>
            </w:pPr>
          </w:p>
        </w:tc>
        <w:tc>
          <w:tcPr>
            <w:tcW w:w="1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FF9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★A0206180203 空调 机</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85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房间空气调节器</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F5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《转速可控型房间空气调节器能效 限 定 值 及 能 效 等 级 》 （ GB21455-2013），待 2019 年修订发布后，按《房间空气调节器能效限定值及能效等级》（GB21455-2019） 实施。</w:t>
            </w:r>
          </w:p>
        </w:tc>
      </w:tr>
      <w:tr w14:paraId="689FC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F661F">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2E7A0">
            <w:pPr>
              <w:jc w:val="left"/>
              <w:rPr>
                <w:rFonts w:hint="eastAsia" w:ascii="宋体" w:hAnsi="宋体" w:eastAsia="宋体" w:cs="宋体"/>
                <w:i w:val="0"/>
                <w:iCs w:val="0"/>
                <w:color w:val="000000"/>
                <w:sz w:val="18"/>
                <w:szCs w:val="18"/>
                <w:u w:val="none"/>
              </w:rPr>
            </w:pPr>
          </w:p>
        </w:tc>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EE322">
            <w:pPr>
              <w:jc w:val="left"/>
              <w:rPr>
                <w:rFonts w:hint="eastAsia" w:ascii="宋体" w:hAnsi="宋体" w:eastAsia="宋体" w:cs="宋体"/>
                <w:i w:val="0"/>
                <w:iCs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29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多联式空调（热泵） 机 组 （ 制 冷 量 ≤ 14000W）</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81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《多联式空调（热泵）机组能效限定值及能源效率等级》（GB 21454）</w:t>
            </w:r>
          </w:p>
        </w:tc>
      </w:tr>
      <w:tr w14:paraId="4AFC0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63265">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3F765">
            <w:pPr>
              <w:jc w:val="left"/>
              <w:rPr>
                <w:rFonts w:hint="eastAsia" w:ascii="宋体" w:hAnsi="宋体" w:eastAsia="宋体" w:cs="宋体"/>
                <w:i w:val="0"/>
                <w:iCs w:val="0"/>
                <w:color w:val="000000"/>
                <w:sz w:val="18"/>
                <w:szCs w:val="18"/>
                <w:u w:val="none"/>
              </w:rPr>
            </w:pPr>
          </w:p>
        </w:tc>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17EA7">
            <w:pPr>
              <w:jc w:val="left"/>
              <w:rPr>
                <w:rFonts w:hint="eastAsia" w:ascii="宋体" w:hAnsi="宋体" w:eastAsia="宋体" w:cs="宋体"/>
                <w:i w:val="0"/>
                <w:iCs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5D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单元式空气调节机 (制冷量≤14000W)</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08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《单元式空气调节机能效限定值 及能源效率等级》（GB 19576）《风 管送风式空调机组能效限定值及 能效等级》（GB 37479）</w:t>
            </w:r>
          </w:p>
        </w:tc>
      </w:tr>
      <w:tr w14:paraId="13464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C1F12">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0E045">
            <w:pPr>
              <w:jc w:val="left"/>
              <w:rPr>
                <w:rFonts w:hint="eastAsia" w:ascii="宋体" w:hAnsi="宋体" w:eastAsia="宋体" w:cs="宋体"/>
                <w:i w:val="0"/>
                <w:iCs w:val="0"/>
                <w:color w:val="000000"/>
                <w:sz w:val="18"/>
                <w:szCs w:val="18"/>
                <w:u w:val="none"/>
              </w:rPr>
            </w:pP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B7C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A0206180301 洗衣机</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DBB1">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56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《电动洗衣机能效水效限定值及 等级》（GB 12021.4）</w:t>
            </w:r>
          </w:p>
        </w:tc>
      </w:tr>
      <w:tr w14:paraId="35209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C29BA">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8721B">
            <w:pPr>
              <w:jc w:val="left"/>
              <w:rPr>
                <w:rFonts w:hint="eastAsia" w:ascii="宋体" w:hAnsi="宋体" w:eastAsia="宋体" w:cs="宋体"/>
                <w:i w:val="0"/>
                <w:iCs w:val="0"/>
                <w:color w:val="000000"/>
                <w:sz w:val="18"/>
                <w:szCs w:val="18"/>
                <w:u w:val="none"/>
              </w:rPr>
            </w:pPr>
          </w:p>
        </w:tc>
        <w:tc>
          <w:tcPr>
            <w:tcW w:w="1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920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A02061808 热水器</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5D6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★电热水器</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BA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《储水式电热水器能效限定值及 能效等级》（GB21519）</w:t>
            </w:r>
          </w:p>
        </w:tc>
      </w:tr>
      <w:tr w14:paraId="392D8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E9A89">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962E9">
            <w:pPr>
              <w:jc w:val="left"/>
              <w:rPr>
                <w:rFonts w:hint="eastAsia" w:ascii="宋体" w:hAnsi="宋体" w:eastAsia="宋体" w:cs="宋体"/>
                <w:i w:val="0"/>
                <w:iCs w:val="0"/>
                <w:color w:val="000000"/>
                <w:sz w:val="18"/>
                <w:szCs w:val="18"/>
                <w:u w:val="none"/>
              </w:rPr>
            </w:pPr>
          </w:p>
        </w:tc>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7ECBF">
            <w:pPr>
              <w:jc w:val="left"/>
              <w:rPr>
                <w:rFonts w:hint="eastAsia" w:ascii="宋体" w:hAnsi="宋体" w:eastAsia="宋体" w:cs="宋体"/>
                <w:i w:val="0"/>
                <w:iCs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0AD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燃气热水器</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58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《家用燃气快速热水器和燃气采 暖热水炉能效限定值及能效等级》 （GB 20665）</w:t>
            </w:r>
          </w:p>
        </w:tc>
      </w:tr>
      <w:tr w14:paraId="55602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9164B">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1C198">
            <w:pPr>
              <w:jc w:val="left"/>
              <w:rPr>
                <w:rFonts w:hint="eastAsia" w:ascii="宋体" w:hAnsi="宋体" w:eastAsia="宋体" w:cs="宋体"/>
                <w:i w:val="0"/>
                <w:iCs w:val="0"/>
                <w:color w:val="000000"/>
                <w:sz w:val="18"/>
                <w:szCs w:val="18"/>
                <w:u w:val="none"/>
              </w:rPr>
            </w:pPr>
          </w:p>
        </w:tc>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39E52">
            <w:pPr>
              <w:jc w:val="left"/>
              <w:rPr>
                <w:rFonts w:hint="eastAsia" w:ascii="宋体" w:hAnsi="宋体" w:eastAsia="宋体" w:cs="宋体"/>
                <w:i w:val="0"/>
                <w:iCs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51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热泵热水器</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D3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《热泵热水机（器）能效限定值及 能效等级》（GB 29541）</w:t>
            </w:r>
          </w:p>
        </w:tc>
      </w:tr>
      <w:tr w14:paraId="42A7B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92A9E">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09DEF">
            <w:pPr>
              <w:jc w:val="left"/>
              <w:rPr>
                <w:rFonts w:hint="eastAsia" w:ascii="宋体" w:hAnsi="宋体" w:eastAsia="宋体" w:cs="宋体"/>
                <w:i w:val="0"/>
                <w:iCs w:val="0"/>
                <w:color w:val="000000"/>
                <w:sz w:val="18"/>
                <w:szCs w:val="18"/>
                <w:u w:val="none"/>
              </w:rPr>
            </w:pPr>
          </w:p>
        </w:tc>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858B8">
            <w:pPr>
              <w:jc w:val="left"/>
              <w:rPr>
                <w:rFonts w:hint="eastAsia" w:ascii="宋体" w:hAnsi="宋体" w:eastAsia="宋体" w:cs="宋体"/>
                <w:i w:val="0"/>
                <w:iCs w:val="0"/>
                <w:color w:val="000000"/>
                <w:sz w:val="18"/>
                <w:szCs w:val="18"/>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D9D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太阳能热水系统</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2C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《家用太阳能热水系统能效限定 值及能效等级》（GB 26969）</w:t>
            </w:r>
          </w:p>
        </w:tc>
      </w:tr>
      <w:tr w14:paraId="76C1E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E46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6CB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A020619 照明设备</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4B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普通照 明用双端 荧光灯</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425F">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3B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《普通照明用双端荧光灯能效限 定值及能效等级》（GB 19043）</w:t>
            </w:r>
          </w:p>
        </w:tc>
      </w:tr>
      <w:tr w14:paraId="4810B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9DE4C">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567C7">
            <w:pPr>
              <w:jc w:val="left"/>
              <w:rPr>
                <w:rFonts w:hint="eastAsia" w:ascii="宋体" w:hAnsi="宋体" w:eastAsia="宋体" w:cs="宋体"/>
                <w:i w:val="0"/>
                <w:iCs w:val="0"/>
                <w:color w:val="000000"/>
                <w:sz w:val="18"/>
                <w:szCs w:val="18"/>
                <w:u w:val="none"/>
              </w:rPr>
            </w:pP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547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LED 道路/隧道照明 产品</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9D3B">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DE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《道路和隧道照明用 LED 灯具能效限定值及能效等级》（GB 37478）</w:t>
            </w:r>
          </w:p>
        </w:tc>
      </w:tr>
      <w:tr w14:paraId="4C366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5C8A7">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F676A">
            <w:pPr>
              <w:jc w:val="left"/>
              <w:rPr>
                <w:rFonts w:hint="eastAsia" w:ascii="宋体" w:hAnsi="宋体" w:eastAsia="宋体" w:cs="宋体"/>
                <w:i w:val="0"/>
                <w:iCs w:val="0"/>
                <w:color w:val="000000"/>
                <w:sz w:val="18"/>
                <w:szCs w:val="18"/>
                <w:u w:val="none"/>
              </w:rPr>
            </w:pP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BE5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LED 筒灯</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84F3">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007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《室内照明用 LED 产品能效限定 值及能效等级》（GB 30255）</w:t>
            </w:r>
          </w:p>
        </w:tc>
      </w:tr>
      <w:tr w14:paraId="61369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31339">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B2AE9">
            <w:pPr>
              <w:jc w:val="left"/>
              <w:rPr>
                <w:rFonts w:hint="eastAsia" w:ascii="宋体" w:hAnsi="宋体" w:eastAsia="宋体" w:cs="宋体"/>
                <w:i w:val="0"/>
                <w:iCs w:val="0"/>
                <w:color w:val="000000"/>
                <w:sz w:val="18"/>
                <w:szCs w:val="18"/>
                <w:u w:val="none"/>
              </w:rPr>
            </w:pP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F5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普通照明用非定向 自镇流 LED 灯</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E68F">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C9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《室内照明用 LED 产品能效限定 值及能效等级》（GB 30255）</w:t>
            </w:r>
          </w:p>
        </w:tc>
      </w:tr>
      <w:tr w14:paraId="25366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B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78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★A020910 电视设备</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956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A02091001 普通电视 设备（电视机）</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FB1BD">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32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《平板电视能效限定值及能效等 级》（GB 24850）</w:t>
            </w:r>
          </w:p>
        </w:tc>
      </w:tr>
      <w:tr w14:paraId="31DE8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834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FB5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★A020911 视频设备</w:t>
            </w:r>
          </w:p>
        </w:tc>
        <w:tc>
          <w:tcPr>
            <w:tcW w:w="1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4751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A02091107 视频监控 设备</w:t>
            </w:r>
          </w:p>
        </w:tc>
        <w:tc>
          <w:tcPr>
            <w:tcW w:w="1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1FD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监视器</w:t>
            </w: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D6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以射频信号为主要信号输入的监 视器应符合《平板电视能效限定值 及能效等级》（GB 24850），</w:t>
            </w:r>
          </w:p>
        </w:tc>
      </w:tr>
      <w:tr w14:paraId="588CC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E848B">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0518A">
            <w:pPr>
              <w:jc w:val="left"/>
              <w:rPr>
                <w:rFonts w:hint="eastAsia" w:ascii="宋体" w:hAnsi="宋体" w:eastAsia="宋体" w:cs="宋体"/>
                <w:i w:val="0"/>
                <w:iCs w:val="0"/>
                <w:color w:val="000000"/>
                <w:sz w:val="18"/>
                <w:szCs w:val="18"/>
                <w:u w:val="none"/>
              </w:rPr>
            </w:pPr>
          </w:p>
        </w:tc>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D9BB8">
            <w:pPr>
              <w:jc w:val="left"/>
              <w:rPr>
                <w:rFonts w:hint="eastAsia" w:ascii="宋体" w:hAnsi="宋体" w:eastAsia="宋体" w:cs="宋体"/>
                <w:i w:val="0"/>
                <w:iCs w:val="0"/>
                <w:color w:val="000000"/>
                <w:sz w:val="18"/>
                <w:szCs w:val="18"/>
                <w:u w:val="none"/>
              </w:rPr>
            </w:pPr>
          </w:p>
        </w:tc>
        <w:tc>
          <w:tcPr>
            <w:tcW w:w="1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7A877">
            <w:pPr>
              <w:jc w:val="left"/>
              <w:rPr>
                <w:rFonts w:hint="eastAsia" w:ascii="宋体" w:hAnsi="宋体" w:eastAsia="宋体" w:cs="宋体"/>
                <w:i w:val="0"/>
                <w:iCs w:val="0"/>
                <w:color w:val="000000"/>
                <w:sz w:val="18"/>
                <w:szCs w:val="18"/>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A6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以数字信号为主要信号输入的监 视器应符合《计算机显示器能效限 定值及能效等级》（GB 21520）</w:t>
            </w:r>
          </w:p>
        </w:tc>
      </w:tr>
      <w:tr w14:paraId="564BC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BF2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B1B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A031210 饮食炊事机械</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028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商用燃气灶具</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A28B6">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CDB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《商用燃气灶具能效限定值及能 效等级》（GB 30531）</w:t>
            </w:r>
          </w:p>
        </w:tc>
      </w:tr>
      <w:tr w14:paraId="56D78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EB9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A52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★A060805 便器</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AF7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坐便器</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80084">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5B1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《坐便器水效限定值及水效等级》 （GB 25502）</w:t>
            </w:r>
          </w:p>
        </w:tc>
      </w:tr>
      <w:tr w14:paraId="48B6C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A14A3">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F95FD">
            <w:pPr>
              <w:jc w:val="left"/>
              <w:rPr>
                <w:rFonts w:hint="eastAsia" w:ascii="宋体" w:hAnsi="宋体" w:eastAsia="宋体" w:cs="宋体"/>
                <w:i w:val="0"/>
                <w:iCs w:val="0"/>
                <w:color w:val="000000"/>
                <w:sz w:val="18"/>
                <w:szCs w:val="18"/>
                <w:u w:val="none"/>
              </w:rPr>
            </w:pP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66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蹲便器</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F3CE">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97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《蹲便器用水效率限定值及用水 效率等级》（GB 30717）</w:t>
            </w:r>
          </w:p>
        </w:tc>
      </w:tr>
      <w:tr w14:paraId="31C27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7F9D4">
            <w:pPr>
              <w:jc w:val="center"/>
              <w:rPr>
                <w:rFonts w:hint="eastAsia" w:ascii="宋体" w:hAnsi="宋体" w:eastAsia="宋体" w:cs="宋体"/>
                <w:i w:val="0"/>
                <w:iCs w:val="0"/>
                <w:color w:val="000000"/>
                <w:sz w:val="18"/>
                <w:szCs w:val="18"/>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39A69">
            <w:pPr>
              <w:jc w:val="left"/>
              <w:rPr>
                <w:rFonts w:hint="eastAsia" w:ascii="宋体" w:hAnsi="宋体" w:eastAsia="宋体" w:cs="宋体"/>
                <w:i w:val="0"/>
                <w:iCs w:val="0"/>
                <w:color w:val="000000"/>
                <w:sz w:val="18"/>
                <w:szCs w:val="18"/>
                <w:u w:val="none"/>
              </w:rPr>
            </w:pP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B9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小便器</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035C">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C3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《小便器用水效率限定值及用水 效率等级》（GB 28377）</w:t>
            </w:r>
          </w:p>
        </w:tc>
      </w:tr>
      <w:tr w14:paraId="184CA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B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5C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★A060806 水嘴</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70B1">
            <w:pPr>
              <w:jc w:val="left"/>
              <w:rPr>
                <w:rFonts w:hint="default" w:ascii="Arial" w:hAnsi="Arial" w:eastAsia="宋体" w:cs="Arial"/>
                <w:i w:val="0"/>
                <w:iCs w:val="0"/>
                <w:color w:val="000000"/>
                <w:sz w:val="21"/>
                <w:szCs w:val="21"/>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C0F13">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7F8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《水嘴用水效率限定值及用水效 率等级》（GB 25501）</w:t>
            </w:r>
          </w:p>
        </w:tc>
      </w:tr>
      <w:tr w14:paraId="3E2A7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1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C14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A060807 便器冲洗阀</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6D580">
            <w:pPr>
              <w:jc w:val="left"/>
              <w:rPr>
                <w:rFonts w:hint="default" w:ascii="Arial" w:hAnsi="Arial" w:eastAsia="宋体" w:cs="Arial"/>
                <w:i w:val="0"/>
                <w:iCs w:val="0"/>
                <w:color w:val="000000"/>
                <w:sz w:val="21"/>
                <w:szCs w:val="21"/>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7EC6C">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00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《便器冲洗阀用水效率限定值及 用水效率等级》（GB 28379）</w:t>
            </w:r>
          </w:p>
        </w:tc>
      </w:tr>
      <w:tr w14:paraId="4C8AB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8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D7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A060810 淋浴器</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A256">
            <w:pPr>
              <w:jc w:val="left"/>
              <w:rPr>
                <w:rFonts w:hint="default" w:ascii="Arial" w:hAnsi="Arial" w:eastAsia="宋体" w:cs="Arial"/>
                <w:i w:val="0"/>
                <w:iCs w:val="0"/>
                <w:color w:val="000000"/>
                <w:sz w:val="21"/>
                <w:szCs w:val="21"/>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1248">
            <w:pPr>
              <w:jc w:val="left"/>
              <w:rPr>
                <w:rFonts w:hint="default" w:ascii="Arial" w:hAnsi="Arial" w:eastAsia="宋体" w:cs="Arial"/>
                <w:i w:val="0"/>
                <w:iCs w:val="0"/>
                <w:color w:val="000000"/>
                <w:sz w:val="21"/>
                <w:szCs w:val="21"/>
                <w:u w:val="none"/>
              </w:rPr>
            </w:pPr>
          </w:p>
        </w:tc>
        <w:tc>
          <w:tcPr>
            <w:tcW w:w="4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B9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《淋浴器用水效率限定值及用水 效率等级》（GB 28378）</w:t>
            </w:r>
          </w:p>
        </w:tc>
      </w:tr>
    </w:tbl>
    <w:p w14:paraId="65F2A7F9">
      <w:pPr>
        <w:spacing w:line="91" w:lineRule="auto"/>
        <w:rPr>
          <w:rFonts w:ascii="Arial"/>
          <w:sz w:val="2"/>
        </w:rPr>
      </w:pPr>
    </w:p>
    <w:p w14:paraId="514CDAC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szCs w:val="21"/>
          <w:lang w:eastAsia="zh-CN"/>
        </w:rPr>
      </w:pPr>
      <w:r>
        <w:rPr>
          <w:rFonts w:hint="eastAsia" w:ascii="宋体" w:hAnsi="宋体"/>
          <w:spacing w:val="-3"/>
          <w:szCs w:val="21"/>
        </w:rPr>
        <w:t>注：1.节能产品认证应依据相关国家标准的最新版本</w:t>
      </w:r>
      <w:r>
        <w:rPr>
          <w:rFonts w:hint="eastAsia" w:ascii="宋体" w:hAnsi="宋体"/>
          <w:spacing w:val="-3"/>
          <w:szCs w:val="21"/>
          <w:lang w:eastAsia="zh-CN"/>
        </w:rPr>
        <w:t>。</w:t>
      </w:r>
    </w:p>
    <w:p w14:paraId="34839CC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65"/>
        <w:textAlignment w:val="auto"/>
        <w:sectPr>
          <w:headerReference r:id="rId12" w:type="first"/>
          <w:headerReference r:id="rId11" w:type="default"/>
          <w:pgSz w:w="11906" w:h="16838"/>
          <w:pgMar w:top="993" w:right="1133" w:bottom="1246" w:left="1418" w:header="851" w:footer="992" w:gutter="0"/>
          <w:cols w:space="720" w:num="1"/>
          <w:titlePg/>
          <w:docGrid w:linePitch="312" w:charSpace="0"/>
        </w:sectPr>
      </w:pPr>
      <w:r>
        <w:rPr>
          <w:rFonts w:hint="eastAsia" w:ascii="宋体" w:hAnsi="宋体"/>
          <w:szCs w:val="21"/>
        </w:rPr>
        <w:t>2.以“★”标注的为政府强制采购产品。</w:t>
      </w:r>
    </w:p>
    <w:p w14:paraId="5198B984">
      <w:pPr>
        <w:spacing w:line="528" w:lineRule="exact"/>
        <w:jc w:val="left"/>
        <w:rPr>
          <w:rFonts w:hint="eastAsia"/>
          <w:sz w:val="28"/>
          <w:szCs w:val="28"/>
        </w:rPr>
      </w:pPr>
      <w:r>
        <w:rPr>
          <w:rFonts w:hint="eastAsia"/>
          <w:sz w:val="28"/>
          <w:szCs w:val="28"/>
        </w:rPr>
        <w:t>附件4：</w:t>
      </w:r>
    </w:p>
    <w:p w14:paraId="13383190">
      <w:pPr>
        <w:spacing w:line="528" w:lineRule="exact"/>
        <w:ind w:firstLine="280" w:firstLineChars="100"/>
        <w:jc w:val="cente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环境标志产品政府采购品目清单</w:t>
      </w:r>
    </w:p>
    <w:p w14:paraId="06396133">
      <w:pPr>
        <w:spacing w:before="41"/>
      </w:pPr>
    </w:p>
    <w:tbl>
      <w:tblPr>
        <w:tblStyle w:val="5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1"/>
        <w:gridCol w:w="1330"/>
        <w:gridCol w:w="2190"/>
        <w:gridCol w:w="2213"/>
        <w:gridCol w:w="3330"/>
      </w:tblGrid>
      <w:tr w14:paraId="12B8B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nil"/>
              <w:right w:val="single" w:color="000000" w:sz="4" w:space="0"/>
            </w:tcBorders>
            <w:shd w:val="clear" w:color="auto" w:fill="auto"/>
            <w:vAlign w:val="center"/>
          </w:tcPr>
          <w:p w14:paraId="2618155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品目</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序号</w:t>
            </w:r>
          </w:p>
        </w:tc>
        <w:tc>
          <w:tcPr>
            <w:tcW w:w="5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8D83C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名称</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92CA">
            <w:pPr>
              <w:keepNext w:val="0"/>
              <w:keepLines w:val="0"/>
              <w:widowControl/>
              <w:suppressLineNumbers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依据的标准</w:t>
            </w:r>
          </w:p>
        </w:tc>
      </w:tr>
      <w:tr w14:paraId="59F53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5D6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E5CC81">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A020101 计算机设备</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0732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A02010103 服务器</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745C">
            <w:pPr>
              <w:jc w:val="both"/>
              <w:rPr>
                <w:rFonts w:hint="eastAsia"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2BB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HJ2507 网络服务器</w:t>
            </w:r>
          </w:p>
        </w:tc>
      </w:tr>
      <w:tr w14:paraId="6518E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BCAEF">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9AC19">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10B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A02010104 台式计算机</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A84CB">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64C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HJ2536 微型计算机、显示器</w:t>
            </w:r>
          </w:p>
        </w:tc>
      </w:tr>
      <w:tr w14:paraId="2153B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502D1">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9F56A">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9F523">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A02010105 便携式计算机</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766C">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F2C2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HJ2536 微型计算机、显示器</w:t>
            </w:r>
          </w:p>
        </w:tc>
      </w:tr>
      <w:tr w14:paraId="41098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67625">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32218">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9D0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A02010107 平板式微型计算机</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358F1">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843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HJ2536 微型计算机、显示器</w:t>
            </w:r>
          </w:p>
        </w:tc>
      </w:tr>
      <w:tr w14:paraId="65477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35ABA">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8FEFE">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A23C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A02010108 网络计算机</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89C55">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70C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HJ2536 微型计算机、显示器</w:t>
            </w:r>
          </w:p>
        </w:tc>
      </w:tr>
      <w:tr w14:paraId="08934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8AAF0">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BC10F">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218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A02010109 计算机工作站</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4D71">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1EC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HJ2536 微型计算机、显示器</w:t>
            </w:r>
          </w:p>
        </w:tc>
      </w:tr>
      <w:tr w14:paraId="681C1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6E95A">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D061B">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6B2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A02010199 其他计算机设备</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CFBF">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3CBEC">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HJ2536 微型计算机、显示器</w:t>
            </w:r>
          </w:p>
        </w:tc>
      </w:tr>
      <w:tr w14:paraId="3FD44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7B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DA64DC">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 输入输出设备</w:t>
            </w:r>
          </w:p>
        </w:tc>
        <w:tc>
          <w:tcPr>
            <w:tcW w:w="21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ED870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A02010601 打印设备</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97C3">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A0201060101 喷墨打印机</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C6881">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HJ2512 打印机、传真机及多功能一体机</w:t>
            </w:r>
          </w:p>
        </w:tc>
      </w:tr>
      <w:tr w14:paraId="0096B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6D383">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271A8">
            <w:pPr>
              <w:jc w:val="both"/>
              <w:rPr>
                <w:rFonts w:hint="eastAsia" w:ascii="宋体" w:hAnsi="宋体" w:eastAsia="宋体" w:cs="宋体"/>
                <w:i w:val="0"/>
                <w:iCs w:val="0"/>
                <w:color w:val="000000"/>
                <w:sz w:val="18"/>
                <w:szCs w:val="18"/>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DE2C4">
            <w:pPr>
              <w:jc w:val="both"/>
              <w:rPr>
                <w:rFonts w:hint="eastAsia" w:ascii="宋体" w:hAnsi="宋体" w:eastAsia="宋体" w:cs="宋体"/>
                <w:i w:val="0"/>
                <w:iCs w:val="0"/>
                <w:color w:val="000000"/>
                <w:sz w:val="18"/>
                <w:szCs w:val="18"/>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3DE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A0201060102 激光打印机</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DBB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HJ2512 打印机、传真机及多功能一体机</w:t>
            </w:r>
          </w:p>
        </w:tc>
      </w:tr>
      <w:tr w14:paraId="03FF6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A82B2">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DB856">
            <w:pPr>
              <w:jc w:val="both"/>
              <w:rPr>
                <w:rFonts w:hint="eastAsia" w:ascii="宋体" w:hAnsi="宋体" w:eastAsia="宋体" w:cs="宋体"/>
                <w:i w:val="0"/>
                <w:iCs w:val="0"/>
                <w:color w:val="000000"/>
                <w:sz w:val="18"/>
                <w:szCs w:val="18"/>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2E45A">
            <w:pPr>
              <w:jc w:val="both"/>
              <w:rPr>
                <w:rFonts w:hint="eastAsia" w:ascii="宋体" w:hAnsi="宋体" w:eastAsia="宋体" w:cs="宋体"/>
                <w:i w:val="0"/>
                <w:iCs w:val="0"/>
                <w:color w:val="000000"/>
                <w:sz w:val="18"/>
                <w:szCs w:val="18"/>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1AE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A0201060103 热式打印机</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EBC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HJ2512 打印机、传真机及多功能一体机</w:t>
            </w:r>
          </w:p>
        </w:tc>
      </w:tr>
      <w:tr w14:paraId="72925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C2BBA">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26707">
            <w:pPr>
              <w:jc w:val="both"/>
              <w:rPr>
                <w:rFonts w:hint="eastAsia" w:ascii="宋体" w:hAnsi="宋体" w:eastAsia="宋体" w:cs="宋体"/>
                <w:i w:val="0"/>
                <w:iCs w:val="0"/>
                <w:color w:val="000000"/>
                <w:sz w:val="18"/>
                <w:szCs w:val="18"/>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71069">
            <w:pPr>
              <w:jc w:val="both"/>
              <w:rPr>
                <w:rFonts w:hint="eastAsia" w:ascii="宋体" w:hAnsi="宋体" w:eastAsia="宋体" w:cs="宋体"/>
                <w:i w:val="0"/>
                <w:iCs w:val="0"/>
                <w:color w:val="000000"/>
                <w:sz w:val="18"/>
                <w:szCs w:val="18"/>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E613">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A0201060104 针式打印机</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39020">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HJ2512 打印机、传真机及多功能一体机</w:t>
            </w:r>
          </w:p>
        </w:tc>
      </w:tr>
      <w:tr w14:paraId="36344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A9A6A">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BF1C5">
            <w:pPr>
              <w:jc w:val="both"/>
              <w:rPr>
                <w:rFonts w:hint="eastAsia" w:ascii="宋体" w:hAnsi="宋体" w:eastAsia="宋体" w:cs="宋体"/>
                <w:i w:val="0"/>
                <w:iCs w:val="0"/>
                <w:color w:val="000000"/>
                <w:sz w:val="18"/>
                <w:szCs w:val="18"/>
                <w:u w:val="none"/>
              </w:rPr>
            </w:pPr>
          </w:p>
        </w:tc>
        <w:tc>
          <w:tcPr>
            <w:tcW w:w="21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9C6AB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A02010604 显示设备</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44C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A0201060401 液晶显示器</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DD7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HJ2536 微型计算机、显示器</w:t>
            </w:r>
          </w:p>
        </w:tc>
      </w:tr>
      <w:tr w14:paraId="6E988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83919">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FA991">
            <w:pPr>
              <w:jc w:val="both"/>
              <w:rPr>
                <w:rFonts w:hint="eastAsia" w:ascii="宋体" w:hAnsi="宋体" w:eastAsia="宋体" w:cs="宋体"/>
                <w:i w:val="0"/>
                <w:iCs w:val="0"/>
                <w:color w:val="000000"/>
                <w:sz w:val="18"/>
                <w:szCs w:val="18"/>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60D1B">
            <w:pPr>
              <w:jc w:val="both"/>
              <w:rPr>
                <w:rFonts w:hint="eastAsia" w:ascii="宋体" w:hAnsi="宋体" w:eastAsia="宋体" w:cs="宋体"/>
                <w:i w:val="0"/>
                <w:iCs w:val="0"/>
                <w:color w:val="000000"/>
                <w:sz w:val="18"/>
                <w:szCs w:val="18"/>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B4A6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A0201060499 其他显示器</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A4F8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HJ2536 微型计算机、显示器</w:t>
            </w:r>
          </w:p>
        </w:tc>
      </w:tr>
      <w:tr w14:paraId="016FD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88EAA">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0C69A">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478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A02010609 图形图像输入设备</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886F1">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A0201060901 扫描仪</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75D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HJ2517 扫描仪</w:t>
            </w:r>
          </w:p>
        </w:tc>
      </w:tr>
      <w:tr w14:paraId="423D0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8A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3FE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A020202 投影仪</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344D">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D4CA">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B90B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HJ2516 投影仪</w:t>
            </w:r>
          </w:p>
        </w:tc>
      </w:tr>
      <w:tr w14:paraId="5712E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71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3597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A020201 复印机</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8146C">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E20A">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5E64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HJ424 数字式复印（包括多功能）设备</w:t>
            </w:r>
          </w:p>
        </w:tc>
      </w:tr>
      <w:tr w14:paraId="0ED37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8F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4871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A020204 多功能一体机</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CFAFC">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73B2">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7701">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HJ424 数字式复印（包括多功能）设备</w:t>
            </w:r>
          </w:p>
        </w:tc>
      </w:tr>
      <w:tr w14:paraId="1CCF3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C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4B6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A020210 文印设备</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B118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A02021001 速印机</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6CBD7">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09CD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HJ472 数字式一体化速印机</w:t>
            </w:r>
          </w:p>
        </w:tc>
      </w:tr>
      <w:tr w14:paraId="31393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07A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D1B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A020301 载货汽车（含自卸汽车）</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6BA82">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8A2C7">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9D2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HJ2532 轻型汽车</w:t>
            </w:r>
          </w:p>
        </w:tc>
      </w:tr>
      <w:tr w14:paraId="3372A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0A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B265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A020305 乘用车（轿车）</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416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A02030501 轿车</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057BB">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C5BC">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HJ2532 轻型汽车</w:t>
            </w:r>
          </w:p>
        </w:tc>
      </w:tr>
      <w:tr w14:paraId="3D552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DC627">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45799">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D8E2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A02030599 其他乘用车（轿车）</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DD720">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03E8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HJ2532 轻型汽车</w:t>
            </w:r>
          </w:p>
        </w:tc>
      </w:tr>
      <w:tr w14:paraId="6C22C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184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9FBB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A020306 客车</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A3C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A02030601 小型客车</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E3A2">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0EA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HJ2532 轻型汽车</w:t>
            </w:r>
          </w:p>
        </w:tc>
      </w:tr>
      <w:tr w14:paraId="63B09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7B3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047C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A020307 专用车辆</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AA2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A02030799 其他专用汽车</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78AA9">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FB393">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HJ2532 轻型汽车</w:t>
            </w:r>
          </w:p>
        </w:tc>
      </w:tr>
      <w:tr w14:paraId="41521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244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7437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A020523 制冷空调设备</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DEC3">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A02052301 制冷压缩机</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CD9BA">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D2F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HJ2531 工商用制冷设备</w:t>
            </w:r>
          </w:p>
        </w:tc>
      </w:tr>
      <w:tr w14:paraId="6C343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DC460">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427F4">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A32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A02052305 空调机组</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05F83">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ADE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HJ2531 工商用制冷设备</w:t>
            </w:r>
          </w:p>
        </w:tc>
      </w:tr>
      <w:tr w14:paraId="2D510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E44E4">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B7A50">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CE3A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A02052309 专用制冷、空调设备</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DFF4">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058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HJ2531 工商用制冷设备</w:t>
            </w:r>
          </w:p>
        </w:tc>
      </w:tr>
      <w:tr w14:paraId="51FE1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E0B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63191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A020618 生活用电器</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AE59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A02061802 空气调节电器</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4E6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A0206180203 空调机</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FD21">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HJ2535 房间空气调节器</w:t>
            </w:r>
          </w:p>
        </w:tc>
      </w:tr>
      <w:tr w14:paraId="749C6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4CFCB">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93EDC">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F75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A02061808 热水器</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876F">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97A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HJ/T362 太阳能集热器</w:t>
            </w:r>
          </w:p>
        </w:tc>
      </w:tr>
      <w:tr w14:paraId="70E80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24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4C7C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A020619 照明设备</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DF4D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A02061908 室内照明灯具</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3B28">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479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HJ2518 照明光源</w:t>
            </w:r>
          </w:p>
        </w:tc>
      </w:tr>
      <w:tr w14:paraId="6053C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C5D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68EC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A020810 传真及数据数字通信设备</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E6EB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A02081001 传真通信设备</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1B5A">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4D2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HJ2512 打印机、传真机及多功能一体机</w:t>
            </w:r>
          </w:p>
        </w:tc>
      </w:tr>
      <w:tr w14:paraId="1E9E2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33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A3081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A020910 电视设备</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A63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A02091001 普通电视设备（电视 机）</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55F5">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CC94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HJ2506 彩色电视广播接收机</w:t>
            </w:r>
          </w:p>
        </w:tc>
      </w:tr>
      <w:tr w14:paraId="1944E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C2986">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C7378">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0BB5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A02091003 特殊功能应用电视 设备</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7E42">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DDD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HJ2506 彩色电视广播接收机</w:t>
            </w:r>
          </w:p>
        </w:tc>
      </w:tr>
      <w:tr w14:paraId="4A8DF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24CA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BAD6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A0601 床类</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7FC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A060101 钢木床类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FFB0">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285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04E07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CF184">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5FF67">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EAE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A060104 木制床类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5A31">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AF1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0B599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40323">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6CCCC">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B17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A060199 其他床类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4B91">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1207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7ADF1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A7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3095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A0602 台、桌类</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A295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A060201 钢木台、桌类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0C4C">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2C5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6872B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F338E">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49379">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DB00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A060205 木制台、桌类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3D9F7">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E197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358A7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9AE60">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D33AB">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3FCD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A060299 其他台、桌类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2354">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72D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311E2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59EA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1D508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A0603 椅凳类</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47561">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A060301 金属骨架为主的椅凳类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1E02">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8BD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6EC3E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9DB13">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019EA">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193C">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A060302 木骨架为主的椅凳类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B76D4">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1A3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7330B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3D40D">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D8DBD">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A55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A060399 其他椅凳类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BCFC">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CF38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6D1A2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64A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714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A0604 沙发类</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EB8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A060499 其他沙发类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224B">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07D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0F7BA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E582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388D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A0605 柜类</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070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A060501 木质柜类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AABA">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38C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6E68C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4E006">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D1581">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5DB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A060503 金属质柜类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E133">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B5F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5F727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03267">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5892F">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2300">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A060599 其他柜类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AE62">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5E8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06227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8388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E5EFC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A0606 架类</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E78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A060601 木质架类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FC38">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F3ED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2BEBB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9F40C">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CA6ED">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3AE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A060602 金属质架类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47619">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A383">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30056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F7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3892A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A0607 屏风类</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670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A060701 木质屏风类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2059">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8543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3C146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98D9F">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19439">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8F2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A060702 金属质屏风类</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F22BD">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471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291F9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6B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28A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A060804 水池</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B264">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BB21B">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80F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HJ/T296 卫生陶瓷</w:t>
            </w:r>
          </w:p>
        </w:tc>
      </w:tr>
      <w:tr w14:paraId="3E967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679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974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A060805 便器</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7D9C6">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FD03">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E05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HJ/T296 卫生陶瓷</w:t>
            </w:r>
          </w:p>
        </w:tc>
      </w:tr>
      <w:tr w14:paraId="30AE9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1F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3F10">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A060806 水嘴</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87E0">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C61E">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53A3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HJ/T411 水嘴</w:t>
            </w:r>
          </w:p>
        </w:tc>
      </w:tr>
      <w:tr w14:paraId="191FC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5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5D4C0">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A0609 组合家具</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7A08">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8A772">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A14C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07187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BFC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A16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A0610 家用家具零配件</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1919">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1C0CD">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9121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1E1D7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CB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AC6B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A0699 其他家具用具</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B0B0">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70146">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0D6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HJ2547 家具/HJ2540 木塑制品</w:t>
            </w:r>
          </w:p>
        </w:tc>
      </w:tr>
      <w:tr w14:paraId="4DB85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9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B71A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A070101 棉、化纤纺织及印染原料</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218C">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C02C9">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F6C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HJ2546 纺织产品</w:t>
            </w:r>
          </w:p>
        </w:tc>
      </w:tr>
      <w:tr w14:paraId="3056E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8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0F8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A090101 复印纸（包括再生复印纸）</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40F2">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C434">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A62C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HJ410 文化用纸</w:t>
            </w:r>
          </w:p>
        </w:tc>
      </w:tr>
      <w:tr w14:paraId="1F1E8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6CC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CFCE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A090201 鼓粉盒（包括再生鼓粉盒）</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40EC">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57E7">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459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HJ/T413 再生鼓粉盒</w:t>
            </w:r>
          </w:p>
        </w:tc>
      </w:tr>
      <w:tr w14:paraId="4A859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2AD9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10EE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A100203 人造板</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927E3">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A10020301 胶合板</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8DDAC">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FC63">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HJ571 人造板及其制品</w:t>
            </w:r>
          </w:p>
        </w:tc>
      </w:tr>
      <w:tr w14:paraId="1662D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736EA">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B8079">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0901">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A10020302 纤维板</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7F54">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615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HJ571 人造板及其制品</w:t>
            </w:r>
          </w:p>
        </w:tc>
      </w:tr>
      <w:tr w14:paraId="210C2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8A67F">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6CD89">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41A73">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A10020303 刨花板</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B2EB">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351D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HJ571 人造板及其制品</w:t>
            </w:r>
          </w:p>
        </w:tc>
      </w:tr>
      <w:tr w14:paraId="0B70A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48A09">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D8D11">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E187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A10020304 细木工板</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DE97">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917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HJ571 人造板及其制品</w:t>
            </w:r>
          </w:p>
        </w:tc>
      </w:tr>
      <w:tr w14:paraId="59011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C6F8E">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56EC8">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2660">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A10020399 其他人造板</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E2E6">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6F24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HJ571 人造板及其制品</w:t>
            </w:r>
          </w:p>
        </w:tc>
      </w:tr>
      <w:tr w14:paraId="5073A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E7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3574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A100204 二次加工材,相关板材</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FCF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A10020404 人造板表面装饰板</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AA6E">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7C0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HJ571 人造板及其制品/HJ2540 木塑制品</w:t>
            </w:r>
          </w:p>
        </w:tc>
      </w:tr>
      <w:tr w14:paraId="73E8D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B2DB5">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3EB93">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0F1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A10020404 人造板表面装饰板 （地板）</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424A">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FAF2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HJ571 人造板及其制品/HJ2540 木塑制品</w:t>
            </w:r>
          </w:p>
        </w:tc>
      </w:tr>
      <w:tr w14:paraId="41A78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5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7C3D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A100301 水泥熟料及水泥</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CF8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A10030102 水泥</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DEE1">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35B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HJ2519 水泥</w:t>
            </w:r>
          </w:p>
        </w:tc>
      </w:tr>
      <w:tr w14:paraId="38B75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14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C010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A100303 水泥混凝土制品</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5AD6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A10030301 商品混凝土</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162E">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F0E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HJ/T412 预拌混凝土</w:t>
            </w:r>
          </w:p>
        </w:tc>
      </w:tr>
      <w:tr w14:paraId="30C48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16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699D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A100304 纤维增强水泥制品</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9D3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A10030402 纤维增强硅酸钙板</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E317">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9044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HJ/T223 轻质墙体板材</w:t>
            </w:r>
          </w:p>
        </w:tc>
      </w:tr>
      <w:tr w14:paraId="13BDC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A72AA">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FBCC4">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E99B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A10030403 无石棉纤维水泥制品</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D805">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C96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HJ/T223 轻质墙体板材</w:t>
            </w:r>
          </w:p>
        </w:tc>
      </w:tr>
      <w:tr w14:paraId="24D05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7C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CEA1C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A100305 轻质建筑材料及制品</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071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A10030501 石膏板</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9F00">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A7F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HJ/T223 轻质墙体板材</w:t>
            </w:r>
          </w:p>
        </w:tc>
      </w:tr>
      <w:tr w14:paraId="2EED4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74FCB">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98317">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18E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A10030503 轻质隔墙条板</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39997">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142DC">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HJ/T223 轻质墙体板材</w:t>
            </w:r>
          </w:p>
        </w:tc>
      </w:tr>
      <w:tr w14:paraId="45F98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489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81194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A100307 建筑陶瓷制品</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099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A10030701 瓷质砖</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01E2">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F0F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HJ/T297 陶瓷砖</w:t>
            </w:r>
          </w:p>
        </w:tc>
      </w:tr>
      <w:tr w14:paraId="1E4A7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C6AE2">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8E38C">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4FC1">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A10030704 炻质砖</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14982">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0B1C">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HJ/T297 陶瓷砖</w:t>
            </w:r>
          </w:p>
        </w:tc>
      </w:tr>
      <w:tr w14:paraId="6674C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0359E">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2AA1A">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60B5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A10030705 陶质砖</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0BDC">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486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HJ/T297 陶瓷砖</w:t>
            </w:r>
          </w:p>
        </w:tc>
      </w:tr>
      <w:tr w14:paraId="44EEE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AC5E3">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06D8D">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BAF8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A10030799 其他建筑陶瓷制品</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6C0B">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D50F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HJ/T297 陶瓷砖</w:t>
            </w:r>
          </w:p>
        </w:tc>
      </w:tr>
      <w:tr w14:paraId="0BA54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A949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7C36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A100309 建筑防水卷材及制品</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BD2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A10030901 沥青和改性沥青防水 卷材</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525B">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AC08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HJ455 防水卷材</w:t>
            </w:r>
          </w:p>
        </w:tc>
      </w:tr>
      <w:tr w14:paraId="3CE1E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3133C">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A54A2">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674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A10030903 自粘防水卷材</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E412">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E6B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HJ455 防水卷材</w:t>
            </w:r>
          </w:p>
        </w:tc>
      </w:tr>
      <w:tr w14:paraId="12816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44576">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A6D81">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648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A10030906 高分子防水卷（片） 材</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FF63">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E0B1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HJ455 防水卷材</w:t>
            </w:r>
          </w:p>
        </w:tc>
      </w:tr>
      <w:tr w14:paraId="2E047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99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7278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A100310 隔热、隔 音人造矿物材料及其制品</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BF1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A10031001 矿物绝热和吸声材 料</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2BAFD">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847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HJ/T223 轻质墙体板材</w:t>
            </w:r>
          </w:p>
        </w:tc>
      </w:tr>
      <w:tr w14:paraId="7D314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82DCC">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53EEC">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AF39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A10031002 矿物材料制品</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1B98">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CF0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HJ/T223 轻质墙体板材</w:t>
            </w:r>
          </w:p>
        </w:tc>
      </w:tr>
      <w:tr w14:paraId="75BAA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BFB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B4C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A100601 功能性 建筑涂料</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82E5">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2D96F">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D88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HJ2537 水性涂料</w:t>
            </w:r>
          </w:p>
        </w:tc>
      </w:tr>
      <w:tr w14:paraId="69B68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A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1E9F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A100399 其他非金属矿物制品</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88E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A10039901 其他非金属建筑材料</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57024">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1EF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HJ456 刚性防水材料</w:t>
            </w:r>
          </w:p>
        </w:tc>
      </w:tr>
      <w:tr w14:paraId="175E4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D9E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76031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A100602 墙面涂料</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21A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A10060202 合成树脂乳液内墙涂 料</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67DD">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6450">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HJ2537 水性涂料</w:t>
            </w:r>
          </w:p>
        </w:tc>
      </w:tr>
      <w:tr w14:paraId="75AF4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46680">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47035">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D3A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A10060203 合成树脂乳液外墙涂 料</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85B73">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34C9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HJ2537 水性涂料</w:t>
            </w:r>
          </w:p>
        </w:tc>
      </w:tr>
      <w:tr w14:paraId="5F0EE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8D12C">
            <w:pPr>
              <w:jc w:val="center"/>
              <w:rPr>
                <w:rFonts w:hint="eastAsia" w:ascii="宋体" w:hAnsi="宋体" w:eastAsia="宋体" w:cs="宋体"/>
                <w:i w:val="0"/>
                <w:iCs w:val="0"/>
                <w:color w:val="000000"/>
                <w:sz w:val="18"/>
                <w:szCs w:val="18"/>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31A95">
            <w:pPr>
              <w:jc w:val="both"/>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EBE9C">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A10060299 其他墙面涂料</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E9DDF">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710A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HJ2537 水性涂料</w:t>
            </w:r>
          </w:p>
        </w:tc>
      </w:tr>
      <w:tr w14:paraId="7128D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5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E0F3">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A100604 防水涂料</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309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A10060499 其他防水涂料</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4B24">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9DB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HJ2537 水性涂料</w:t>
            </w:r>
          </w:p>
        </w:tc>
      </w:tr>
      <w:tr w14:paraId="05BBA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C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16D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A100699 其他建筑涂料</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A81A">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A024">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F49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HJ2537 水性涂料</w:t>
            </w:r>
          </w:p>
        </w:tc>
      </w:tr>
      <w:tr w14:paraId="0CEAA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19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CEC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A100701 门、门槛</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BCDB">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D054D">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8A62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 237 塑料门窗/HJ459 木质门和钢质门</w:t>
            </w:r>
          </w:p>
        </w:tc>
      </w:tr>
      <w:tr w14:paraId="0AAE7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D9B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156F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A100702 窗</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C663E">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7DDA">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EFB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HJ/T237 塑料门窗</w:t>
            </w:r>
          </w:p>
        </w:tc>
      </w:tr>
      <w:tr w14:paraId="2A97B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EF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65A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A170108 涂料（建筑涂料除外）</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0992">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05EE4">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85C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HJ2537 水性涂料</w:t>
            </w:r>
          </w:p>
        </w:tc>
      </w:tr>
      <w:tr w14:paraId="0E693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9A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190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A170112 密封用填料及类似品</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DB1F">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16BD">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8E76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HJ2541 胶粘剂</w:t>
            </w:r>
          </w:p>
        </w:tc>
      </w:tr>
      <w:tr w14:paraId="2904A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29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C65C">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A180201 塑料制品</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AA49">
            <w:pPr>
              <w:jc w:val="both"/>
              <w:rPr>
                <w:rFonts w:hint="default" w:ascii="Arial" w:hAnsi="Arial" w:eastAsia="宋体" w:cs="Arial"/>
                <w:i w:val="0"/>
                <w:iCs w:val="0"/>
                <w:color w:val="000000"/>
                <w:sz w:val="21"/>
                <w:szCs w:val="21"/>
                <w:u w:val="none"/>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35E2">
            <w:pPr>
              <w:jc w:val="both"/>
              <w:rPr>
                <w:rFonts w:hint="default" w:ascii="Arial" w:hAnsi="Arial" w:eastAsia="宋体" w:cs="Arial"/>
                <w:i w:val="0"/>
                <w:iCs w:val="0"/>
                <w:color w:val="000000"/>
                <w:sz w:val="21"/>
                <w:szCs w:val="21"/>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321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HJ/T226 建筑用塑料管材/HJ/T231 再生塑 料制品</w:t>
            </w:r>
          </w:p>
        </w:tc>
      </w:tr>
    </w:tbl>
    <w:p w14:paraId="5D27F359">
      <w:pPr>
        <w:rPr>
          <w:rFonts w:ascii="Arial"/>
          <w:sz w:val="21"/>
        </w:rPr>
      </w:pPr>
    </w:p>
    <w:p w14:paraId="0A940086">
      <w:pPr>
        <w:spacing w:after="120" w:line="360" w:lineRule="auto"/>
        <w:ind w:firstLine="408" w:firstLineChars="200"/>
        <w:rPr>
          <w:rFonts w:hint="eastAsia" w:ascii="宋体" w:hAnsi="宋体" w:eastAsia="宋体" w:cs="Times New Roman"/>
          <w:spacing w:val="-3"/>
          <w:szCs w:val="21"/>
          <w:lang w:val="en-US" w:eastAsia="zh-CN"/>
        </w:rPr>
        <w:sectPr>
          <w:pgSz w:w="11906" w:h="16838"/>
          <w:pgMar w:top="1431" w:right="644" w:bottom="0" w:left="667" w:header="0" w:footer="0" w:gutter="0"/>
          <w:cols w:space="720" w:num="1"/>
        </w:sectPr>
      </w:pPr>
      <w:r>
        <w:rPr>
          <w:rFonts w:hint="eastAsia" w:ascii="宋体" w:hAnsi="宋体" w:eastAsia="宋体" w:cs="Times New Roman"/>
          <w:spacing w:val="-3"/>
          <w:szCs w:val="21"/>
        </w:rPr>
        <w:t>注：环境标志产品认证应依据相关标准的最新</w:t>
      </w:r>
      <w:r>
        <w:rPr>
          <w:rFonts w:hint="eastAsia" w:ascii="宋体" w:hAnsi="宋体" w:eastAsia="宋体" w:cs="Times New Roman"/>
          <w:spacing w:val="-3"/>
          <w:szCs w:val="21"/>
          <w:lang w:val="en-US" w:eastAsia="zh-CN"/>
        </w:rPr>
        <w:t>版本。</w:t>
      </w:r>
    </w:p>
    <w:p w14:paraId="3BEBCCA1">
      <w:pPr>
        <w:pStyle w:val="26"/>
        <w:snapToGrid w:val="0"/>
        <w:spacing w:before="120" w:after="120" w:line="320" w:lineRule="exact"/>
        <w:jc w:val="center"/>
        <w:outlineLvl w:val="0"/>
        <w:rPr>
          <w:rFonts w:ascii="Times New Roman" w:hAnsi="Times New Roman" w:cs="Times New Roman"/>
          <w:sz w:val="32"/>
          <w:szCs w:val="32"/>
        </w:rPr>
      </w:pPr>
      <w:r>
        <w:rPr>
          <w:rFonts w:ascii="Times New Roman" w:hAnsi="Times New Roman" w:cs="Times New Roman"/>
          <w:sz w:val="32"/>
          <w:szCs w:val="32"/>
        </w:rPr>
        <w:t>第三章  供应商须知</w:t>
      </w:r>
      <w:bookmarkEnd w:id="23"/>
      <w:bookmarkStart w:id="24" w:name="_投标人须知前附表"/>
      <w:bookmarkEnd w:id="24"/>
    </w:p>
    <w:p w14:paraId="758ECB66">
      <w:pPr>
        <w:pStyle w:val="3"/>
        <w:spacing w:before="40" w:after="40"/>
        <w:jc w:val="center"/>
        <w:rPr>
          <w:rFonts w:hint="eastAsia" w:ascii="Times New Roman" w:hAnsi="Times New Roman" w:eastAsia="宋体"/>
          <w:sz w:val="24"/>
          <w:szCs w:val="24"/>
        </w:rPr>
      </w:pPr>
      <w:r>
        <w:rPr>
          <w:rFonts w:ascii="Times New Roman" w:hAnsi="Times New Roman" w:eastAsia="宋体"/>
          <w:sz w:val="24"/>
          <w:szCs w:val="24"/>
        </w:rPr>
        <w:t>供应商须知前附表</w:t>
      </w:r>
    </w:p>
    <w:tbl>
      <w:tblPr>
        <w:tblStyle w:val="51"/>
        <w:tblW w:w="9389" w:type="dxa"/>
        <w:tblInd w:w="-6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
        <w:gridCol w:w="1248"/>
        <w:gridCol w:w="7229"/>
      </w:tblGrid>
      <w:tr w14:paraId="1DCA9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5243DA83">
            <w:pPr>
              <w:jc w:val="center"/>
              <w:rPr>
                <w:b/>
                <w:szCs w:val="21"/>
              </w:rPr>
            </w:pPr>
            <w:r>
              <w:rPr>
                <w:b/>
                <w:szCs w:val="21"/>
              </w:rPr>
              <w:t>条款号</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9EE302B">
            <w:pPr>
              <w:jc w:val="left"/>
              <w:rPr>
                <w:b/>
                <w:szCs w:val="21"/>
              </w:rPr>
            </w:pPr>
            <w:r>
              <w:rPr>
                <w:b/>
                <w:szCs w:val="21"/>
              </w:rPr>
              <w:t>要点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6B93328">
            <w:pPr>
              <w:jc w:val="center"/>
              <w:rPr>
                <w:b/>
                <w:szCs w:val="21"/>
              </w:rPr>
            </w:pPr>
            <w:r>
              <w:rPr>
                <w:b/>
                <w:szCs w:val="21"/>
              </w:rPr>
              <w:t>内容、要求</w:t>
            </w:r>
          </w:p>
        </w:tc>
      </w:tr>
      <w:tr w14:paraId="41B5C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46699E1C">
            <w:pPr>
              <w:spacing w:line="300" w:lineRule="exact"/>
              <w:jc w:val="center"/>
              <w:rPr>
                <w:b/>
                <w:szCs w:val="21"/>
              </w:rPr>
            </w:pPr>
            <w:r>
              <w:rPr>
                <w:b/>
                <w:szCs w:val="21"/>
              </w:rPr>
              <w:t>1.3.1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1DB9866">
            <w:pPr>
              <w:spacing w:line="300" w:lineRule="exact"/>
              <w:jc w:val="left"/>
              <w:rPr>
                <w:szCs w:val="21"/>
              </w:rPr>
            </w:pPr>
            <w:r>
              <w:rPr>
                <w:szCs w:val="21"/>
              </w:rPr>
              <w:t>项目基本信息</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DB8DCC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szCs w:val="21"/>
              </w:rPr>
            </w:pPr>
            <w:r>
              <w:rPr>
                <w:szCs w:val="21"/>
              </w:rPr>
              <w:t>项目名称：</w:t>
            </w:r>
            <w:r>
              <w:rPr>
                <w:rFonts w:hint="eastAsia"/>
                <w:szCs w:val="21"/>
              </w:rPr>
              <w:t>河池市人民医院医疗设备采购项目（五）</w:t>
            </w:r>
          </w:p>
          <w:p w14:paraId="48E277BA">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szCs w:val="21"/>
              </w:rPr>
            </w:pPr>
            <w:r>
              <w:rPr>
                <w:szCs w:val="21"/>
              </w:rPr>
              <w:t>项目编号：</w:t>
            </w:r>
            <w:r>
              <w:rPr>
                <w:rFonts w:hint="eastAsia"/>
                <w:szCs w:val="21"/>
              </w:rPr>
              <w:t>HCZC2026-J1-990169-JDZB</w:t>
            </w:r>
          </w:p>
          <w:p w14:paraId="496FF0F1">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eastAsia="宋体"/>
                <w:szCs w:val="21"/>
                <w:lang w:val="en-US" w:eastAsia="zh-CN"/>
              </w:rPr>
            </w:pPr>
            <w:r>
              <w:rPr>
                <w:rFonts w:hint="eastAsia"/>
                <w:szCs w:val="21"/>
              </w:rPr>
              <w:t>采购计划号：HCZC2026-J1-02007-001</w:t>
            </w:r>
            <w:r>
              <w:rPr>
                <w:rFonts w:hint="eastAsia"/>
                <w:szCs w:val="21"/>
                <w:lang w:eastAsia="zh-CN"/>
              </w:rPr>
              <w:t>、</w:t>
            </w:r>
            <w:r>
              <w:rPr>
                <w:rFonts w:hint="eastAsia"/>
                <w:szCs w:val="21"/>
                <w:lang w:val="en-US" w:eastAsia="zh-CN"/>
              </w:rPr>
              <w:t>002</w:t>
            </w:r>
          </w:p>
        </w:tc>
      </w:tr>
      <w:tr w14:paraId="5D129D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21F89B35">
            <w:pPr>
              <w:spacing w:line="300" w:lineRule="exact"/>
              <w:jc w:val="center"/>
              <w:rPr>
                <w:b/>
                <w:szCs w:val="21"/>
              </w:rPr>
            </w:pPr>
            <w:r>
              <w:rPr>
                <w:b/>
                <w:szCs w:val="21"/>
              </w:rPr>
              <w:t>1.3.2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FB062E2">
            <w:pPr>
              <w:spacing w:line="300" w:lineRule="exact"/>
              <w:jc w:val="left"/>
              <w:rPr>
                <w:szCs w:val="21"/>
                <w:lang w:val="zh-CN"/>
              </w:rPr>
            </w:pPr>
            <w:r>
              <w:rPr>
                <w:rFonts w:hint="eastAsia"/>
                <w:szCs w:val="21"/>
                <w:lang w:val="zh-CN"/>
              </w:rPr>
              <w:t>采购方式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22F988B">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szCs w:val="21"/>
              </w:rPr>
            </w:pPr>
            <w:r>
              <w:rPr>
                <w:rFonts w:hint="eastAsia"/>
                <w:szCs w:val="21"/>
              </w:rPr>
              <w:t>竞争性谈判。</w:t>
            </w:r>
          </w:p>
        </w:tc>
      </w:tr>
      <w:tr w14:paraId="31C39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2" w:type="dxa"/>
            <w:tcBorders>
              <w:top w:val="single" w:color="auto" w:sz="4" w:space="0"/>
              <w:left w:val="single" w:color="auto" w:sz="4" w:space="0"/>
              <w:bottom w:val="single" w:color="auto" w:sz="4" w:space="0"/>
              <w:right w:val="single" w:color="auto" w:sz="4" w:space="0"/>
            </w:tcBorders>
            <w:noWrap w:val="0"/>
            <w:vAlign w:val="center"/>
          </w:tcPr>
          <w:p w14:paraId="1C110ECB">
            <w:pPr>
              <w:spacing w:line="300" w:lineRule="exact"/>
              <w:jc w:val="center"/>
              <w:rPr>
                <w:b/>
                <w:szCs w:val="21"/>
              </w:rPr>
            </w:pPr>
            <w:r>
              <w:rPr>
                <w:rFonts w:hint="eastAsia"/>
                <w:b/>
                <w:szCs w:val="21"/>
              </w:rPr>
              <w:t>1</w:t>
            </w:r>
            <w:r>
              <w:rPr>
                <w:b/>
                <w:szCs w:val="21"/>
              </w:rPr>
              <w:t>.4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04869F0">
            <w:pPr>
              <w:spacing w:line="300" w:lineRule="exact"/>
              <w:jc w:val="left"/>
              <w:rPr>
                <w:color w:val="FF0000"/>
                <w:szCs w:val="21"/>
                <w:lang w:val="zh-CN"/>
              </w:rPr>
            </w:pPr>
            <w:r>
              <w:rPr>
                <w:rFonts w:hint="eastAsia"/>
                <w:szCs w:val="21"/>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F4A0A4B">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本项目标段专门面向中小微企业采购。</w:t>
            </w:r>
          </w:p>
          <w:p w14:paraId="3D8B44A5">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color w:val="auto"/>
                <w:szCs w:val="21"/>
              </w:rPr>
            </w:pPr>
            <w:r>
              <w:rPr>
                <w:rFonts w:hint="eastAsia" w:ascii="宋体" w:hAnsi="宋体" w:eastAsia="宋体" w:cs="Times New Roman"/>
                <w:szCs w:val="21"/>
                <w:lang w:val="en-US" w:eastAsia="zh-CN"/>
              </w:rPr>
              <w:t>供应商提供《中小企业声明函》中填报</w:t>
            </w:r>
            <w:r>
              <w:rPr>
                <w:rFonts w:hint="eastAsia" w:ascii="宋体" w:hAnsi="宋体" w:cs="Times New Roman"/>
                <w:szCs w:val="21"/>
                <w:lang w:val="en-US" w:eastAsia="zh-CN"/>
              </w:rPr>
              <w:t>采购</w:t>
            </w:r>
            <w:r>
              <w:rPr>
                <w:rFonts w:hint="eastAsia" w:ascii="宋体" w:hAnsi="宋体" w:eastAsia="宋体" w:cs="Times New Roman"/>
                <w:szCs w:val="21"/>
                <w:lang w:val="en-US" w:eastAsia="zh-CN"/>
              </w:rPr>
              <w:t>文件标明所属行业的标的物的全部制造商应均为中型或小型或微型企业。</w:t>
            </w:r>
            <w:bookmarkStart w:id="132" w:name="_GoBack"/>
            <w:bookmarkEnd w:id="132"/>
          </w:p>
        </w:tc>
      </w:tr>
      <w:tr w14:paraId="7CCBFF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2" w:type="dxa"/>
            <w:tcBorders>
              <w:top w:val="single" w:color="auto" w:sz="4" w:space="0"/>
              <w:left w:val="single" w:color="auto" w:sz="4" w:space="0"/>
              <w:bottom w:val="single" w:color="auto" w:sz="4" w:space="0"/>
              <w:right w:val="single" w:color="auto" w:sz="4" w:space="0"/>
            </w:tcBorders>
            <w:noWrap w:val="0"/>
            <w:vAlign w:val="center"/>
          </w:tcPr>
          <w:p w14:paraId="45B5B301">
            <w:pPr>
              <w:spacing w:line="300" w:lineRule="exact"/>
              <w:jc w:val="center"/>
              <w:rPr>
                <w:b/>
                <w:szCs w:val="21"/>
              </w:rPr>
            </w:pPr>
            <w:r>
              <w:rPr>
                <w:b/>
                <w:szCs w:val="21"/>
              </w:rPr>
              <w:t>1.5.1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2277F1A">
            <w:pPr>
              <w:spacing w:line="300" w:lineRule="exact"/>
              <w:jc w:val="left"/>
              <w:rPr>
                <w:szCs w:val="21"/>
              </w:rPr>
            </w:pPr>
            <w:r>
              <w:rPr>
                <w:szCs w:val="21"/>
                <w:lang w:val="zh-CN"/>
              </w:rPr>
              <w:t>供应商资格条件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5AC0225">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color w:val="auto"/>
                <w:szCs w:val="21"/>
              </w:rPr>
            </w:pPr>
            <w:r>
              <w:rPr>
                <w:rFonts w:hint="eastAsia"/>
                <w:color w:val="auto"/>
                <w:szCs w:val="21"/>
              </w:rPr>
              <w:t>详</w:t>
            </w:r>
            <w:r>
              <w:rPr>
                <w:color w:val="auto"/>
                <w:szCs w:val="21"/>
              </w:rPr>
              <w:t>见谈判公告</w:t>
            </w:r>
            <w:r>
              <w:rPr>
                <w:rFonts w:hint="eastAsia"/>
                <w:color w:val="auto"/>
                <w:szCs w:val="21"/>
              </w:rPr>
              <w:t>。</w:t>
            </w:r>
          </w:p>
        </w:tc>
      </w:tr>
      <w:tr w14:paraId="2F2526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912" w:type="dxa"/>
            <w:tcBorders>
              <w:top w:val="single" w:color="auto" w:sz="4" w:space="0"/>
              <w:left w:val="single" w:color="auto" w:sz="4" w:space="0"/>
              <w:right w:val="single" w:color="auto" w:sz="4" w:space="0"/>
            </w:tcBorders>
            <w:noWrap w:val="0"/>
            <w:vAlign w:val="center"/>
          </w:tcPr>
          <w:p w14:paraId="19749A5A">
            <w:pPr>
              <w:spacing w:line="300" w:lineRule="exact"/>
              <w:jc w:val="center"/>
              <w:rPr>
                <w:b/>
                <w:szCs w:val="21"/>
              </w:rPr>
            </w:pPr>
            <w:bookmarkStart w:id="25" w:name="_Hlk85555568"/>
            <w:r>
              <w:rPr>
                <w:b/>
                <w:szCs w:val="21"/>
              </w:rPr>
              <w:t>1.5.3</w:t>
            </w:r>
          </w:p>
        </w:tc>
        <w:tc>
          <w:tcPr>
            <w:tcW w:w="1248" w:type="dxa"/>
            <w:tcBorders>
              <w:top w:val="single" w:color="auto" w:sz="4" w:space="0"/>
              <w:left w:val="single" w:color="auto" w:sz="4" w:space="0"/>
              <w:right w:val="single" w:color="auto" w:sz="4" w:space="0"/>
            </w:tcBorders>
            <w:noWrap w:val="0"/>
            <w:vAlign w:val="center"/>
          </w:tcPr>
          <w:p w14:paraId="65197B18">
            <w:pPr>
              <w:spacing w:line="300" w:lineRule="exact"/>
              <w:jc w:val="left"/>
              <w:rPr>
                <w:szCs w:val="21"/>
              </w:rPr>
            </w:pPr>
            <w:r>
              <w:rPr>
                <w:rFonts w:hint="eastAsia"/>
                <w:szCs w:val="21"/>
              </w:rPr>
              <w:t>联合体</w:t>
            </w:r>
          </w:p>
        </w:tc>
        <w:tc>
          <w:tcPr>
            <w:tcW w:w="7229" w:type="dxa"/>
            <w:tcBorders>
              <w:top w:val="single" w:color="auto" w:sz="4" w:space="0"/>
              <w:left w:val="single" w:color="auto" w:sz="4" w:space="0"/>
              <w:right w:val="single" w:color="auto" w:sz="4" w:space="0"/>
            </w:tcBorders>
            <w:noWrap w:val="0"/>
            <w:vAlign w:val="center"/>
          </w:tcPr>
          <w:p w14:paraId="25397FB1">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color w:val="auto"/>
                <w:szCs w:val="21"/>
              </w:rPr>
            </w:pPr>
            <w:r>
              <w:rPr>
                <w:rFonts w:hint="eastAsia"/>
                <w:color w:val="auto"/>
                <w:szCs w:val="21"/>
              </w:rPr>
              <w:t>是否接受联合体详见谈判公告</w:t>
            </w:r>
          </w:p>
        </w:tc>
      </w:tr>
      <w:bookmarkEnd w:id="25"/>
      <w:tr w14:paraId="4C04BF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2" w:type="dxa"/>
            <w:tcBorders>
              <w:top w:val="single" w:color="auto" w:sz="4" w:space="0"/>
              <w:left w:val="single" w:color="auto" w:sz="4" w:space="0"/>
              <w:bottom w:val="single" w:color="auto" w:sz="4" w:space="0"/>
              <w:right w:val="single" w:color="auto" w:sz="4" w:space="0"/>
            </w:tcBorders>
            <w:noWrap w:val="0"/>
            <w:vAlign w:val="center"/>
          </w:tcPr>
          <w:p w14:paraId="5E48E84C">
            <w:pPr>
              <w:spacing w:line="300" w:lineRule="exact"/>
              <w:jc w:val="center"/>
              <w:rPr>
                <w:b/>
                <w:szCs w:val="21"/>
              </w:rPr>
            </w:pPr>
            <w:r>
              <w:rPr>
                <w:b/>
                <w:szCs w:val="21"/>
              </w:rPr>
              <w:t>1.6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DEBB416">
            <w:pPr>
              <w:spacing w:line="300" w:lineRule="exact"/>
              <w:jc w:val="left"/>
              <w:rPr>
                <w:szCs w:val="21"/>
              </w:rPr>
            </w:pPr>
            <w:r>
              <w:rPr>
                <w:rFonts w:hint="eastAsia"/>
                <w:szCs w:val="21"/>
              </w:rPr>
              <w:t>踏勘</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92EEBDE">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sym w:font="Wingdings 2" w:char="0052"/>
            </w:r>
            <w:r>
              <w:rPr>
                <w:rFonts w:hint="eastAsia" w:ascii="Times New Roman" w:hAnsi="Times New Roman" w:eastAsia="宋体" w:cs="Times New Roman"/>
                <w:color w:val="auto"/>
                <w:szCs w:val="21"/>
                <w:lang w:val="en-US" w:eastAsia="zh-CN"/>
              </w:rPr>
              <w:t>不组织</w:t>
            </w:r>
            <w:r>
              <w:rPr>
                <w:rFonts w:hint="eastAsia" w:ascii="Times New Roman" w:hAnsi="Times New Roman" w:eastAsia="宋体" w:cs="Times New Roman"/>
                <w:color w:val="auto"/>
                <w:szCs w:val="21"/>
              </w:rPr>
              <w:t xml:space="preserve"> </w:t>
            </w:r>
          </w:p>
          <w:p w14:paraId="40149715">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w:t>
            </w:r>
            <w:r>
              <w:rPr>
                <w:rFonts w:hint="eastAsia" w:ascii="Times New Roman" w:hAnsi="Times New Roman" w:eastAsia="宋体" w:cs="Times New Roman"/>
                <w:color w:val="auto"/>
                <w:szCs w:val="21"/>
                <w:lang w:val="en-US" w:eastAsia="zh-CN"/>
              </w:rPr>
              <w:t>组织</w:t>
            </w:r>
          </w:p>
          <w:p w14:paraId="5B7F744D">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 xml:space="preserve">踏勘时间：              </w:t>
            </w:r>
          </w:p>
          <w:p w14:paraId="423FFCCE">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 xml:space="preserve">踏勘集中地点：           </w:t>
            </w:r>
          </w:p>
          <w:p w14:paraId="242E1833">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联系人及电话：</w:t>
            </w:r>
          </w:p>
          <w:p w14:paraId="55F6ADC1">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rPr>
              <w:t xml:space="preserve">可申请踏勘（如有需要供应商自行与采购人联系申请踏勘）/自行踏勘  </w:t>
            </w:r>
          </w:p>
        </w:tc>
      </w:tr>
      <w:tr w14:paraId="0066C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2" w:type="dxa"/>
            <w:tcBorders>
              <w:top w:val="single" w:color="auto" w:sz="4" w:space="0"/>
              <w:left w:val="single" w:color="auto" w:sz="4" w:space="0"/>
              <w:bottom w:val="single" w:color="auto" w:sz="4" w:space="0"/>
              <w:right w:val="single" w:color="auto" w:sz="4" w:space="0"/>
            </w:tcBorders>
            <w:noWrap w:val="0"/>
            <w:vAlign w:val="center"/>
          </w:tcPr>
          <w:p w14:paraId="32415DB8">
            <w:pPr>
              <w:spacing w:line="300" w:lineRule="exact"/>
              <w:jc w:val="center"/>
              <w:rPr>
                <w:b/>
                <w:color w:val="FF0000"/>
                <w:szCs w:val="21"/>
              </w:rPr>
            </w:pPr>
            <w:r>
              <w:rPr>
                <w:b/>
                <w:szCs w:val="21"/>
              </w:rPr>
              <w:t>1.7.2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EECF725">
            <w:pPr>
              <w:spacing w:line="300" w:lineRule="exact"/>
              <w:jc w:val="left"/>
              <w:rPr>
                <w:color w:val="FF0000"/>
                <w:szCs w:val="21"/>
              </w:rPr>
            </w:pPr>
            <w:r>
              <w:rPr>
                <w:szCs w:val="21"/>
              </w:rPr>
              <w:t>分包</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546B04A">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是否接受分包详见谈判公告</w:t>
            </w:r>
          </w:p>
        </w:tc>
      </w:tr>
      <w:tr w14:paraId="78A970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8A8016">
            <w:pPr>
              <w:spacing w:line="300" w:lineRule="exact"/>
              <w:jc w:val="center"/>
              <w:rPr>
                <w:rFonts w:hint="default" w:ascii="Times New Roman" w:hAnsi="Times New Roman" w:eastAsia="宋体" w:cs="Times New Roman"/>
                <w:b/>
                <w:kern w:val="2"/>
                <w:sz w:val="21"/>
                <w:szCs w:val="21"/>
                <w:lang w:val="en-US" w:eastAsia="zh-CN" w:bidi="ar-SA"/>
              </w:rPr>
            </w:pPr>
            <w:r>
              <w:rPr>
                <w:rFonts w:hint="eastAsia"/>
                <w:b/>
                <w:szCs w:val="21"/>
                <w:lang w:val="en-US" w:eastAsia="zh-CN"/>
              </w:rPr>
              <w:t>1.9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3C390B">
            <w:pPr>
              <w:spacing w:line="300" w:lineRule="exact"/>
              <w:jc w:val="left"/>
              <w:rPr>
                <w:rFonts w:ascii="Times New Roman" w:hAnsi="Times New Roman" w:eastAsia="宋体" w:cs="Times New Roman"/>
                <w:kern w:val="2"/>
                <w:sz w:val="21"/>
                <w:szCs w:val="21"/>
                <w:lang w:val="en-US" w:eastAsia="zh-CN" w:bidi="ar-SA"/>
              </w:rPr>
            </w:pPr>
            <w:r>
              <w:rPr>
                <w:rFonts w:hint="eastAsia"/>
                <w:szCs w:val="21"/>
                <w:lang w:val="en-US" w:eastAsia="zh-CN"/>
              </w:rPr>
              <w:t>对本国产品的支持政策</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87725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rPr>
              <w:t>适用</w:t>
            </w:r>
          </w:p>
          <w:p w14:paraId="176FA777">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□不适用</w:t>
            </w:r>
          </w:p>
        </w:tc>
      </w:tr>
      <w:tr w14:paraId="0AD2E9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2" w:type="dxa"/>
            <w:tcBorders>
              <w:top w:val="single" w:color="auto" w:sz="4" w:space="0"/>
              <w:left w:val="single" w:color="auto" w:sz="4" w:space="0"/>
              <w:bottom w:val="single" w:color="auto" w:sz="4" w:space="0"/>
              <w:right w:val="single" w:color="auto" w:sz="4" w:space="0"/>
            </w:tcBorders>
            <w:noWrap w:val="0"/>
            <w:vAlign w:val="center"/>
          </w:tcPr>
          <w:p w14:paraId="34464A27">
            <w:pPr>
              <w:spacing w:line="300" w:lineRule="exact"/>
              <w:jc w:val="center"/>
              <w:rPr>
                <w:b/>
                <w:szCs w:val="21"/>
              </w:rPr>
            </w:pPr>
            <w:r>
              <w:rPr>
                <w:b/>
                <w:szCs w:val="21"/>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D1F3448">
            <w:pPr>
              <w:spacing w:line="300" w:lineRule="exact"/>
              <w:jc w:val="left"/>
              <w:rPr>
                <w:szCs w:val="21"/>
              </w:rPr>
            </w:pPr>
            <w:r>
              <w:rPr>
                <w:szCs w:val="21"/>
              </w:rPr>
              <w:t>采购文件澄清、修改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983092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在谈判公告发布媒介发布。</w:t>
            </w:r>
          </w:p>
        </w:tc>
      </w:tr>
      <w:tr w14:paraId="41F2F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6FEAF84C">
            <w:pPr>
              <w:spacing w:line="300" w:lineRule="exact"/>
              <w:jc w:val="center"/>
              <w:rPr>
                <w:b/>
                <w:szCs w:val="21"/>
              </w:rPr>
            </w:pPr>
            <w:r>
              <w:rPr>
                <w:b/>
                <w:szCs w:val="21"/>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D99E04A">
            <w:pPr>
              <w:spacing w:line="300" w:lineRule="exact"/>
              <w:jc w:val="left"/>
              <w:rPr>
                <w:szCs w:val="21"/>
              </w:rPr>
            </w:pPr>
            <w:r>
              <w:rPr>
                <w:szCs w:val="21"/>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802D648">
            <w:pPr>
              <w:keepNext w:val="0"/>
              <w:keepLines w:val="0"/>
              <w:pageBreakBefore w:val="0"/>
              <w:widowControl w:val="0"/>
              <w:kinsoku/>
              <w:wordWrap/>
              <w:overflowPunct/>
              <w:topLinePunct w:val="0"/>
              <w:autoSpaceDE/>
              <w:autoSpaceDN/>
              <w:bidi w:val="0"/>
              <w:adjustRightInd/>
              <w:snapToGrid w:val="0"/>
              <w:spacing w:line="300" w:lineRule="exact"/>
              <w:textAlignment w:val="auto"/>
              <w:rPr>
                <w:szCs w:val="21"/>
              </w:rPr>
            </w:pPr>
            <w:r>
              <w:rPr>
                <w:rFonts w:hint="eastAsia" w:ascii="宋体" w:hAnsi="宋体" w:eastAsia="宋体" w:cs="Times New Roman"/>
                <w:szCs w:val="21"/>
                <w:lang w:val="en-US" w:eastAsia="zh-CN"/>
              </w:rPr>
              <w:t>澄清、修改文件自谈判公告发布媒体发布之日起，视为供应商已收到该澄清、修改。供应商未及时关注谈判公告发布媒体造成的损失，由供应商自行负责。</w:t>
            </w:r>
          </w:p>
        </w:tc>
      </w:tr>
      <w:tr w14:paraId="3D527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5D2B3FC0">
            <w:pPr>
              <w:spacing w:line="300" w:lineRule="exact"/>
              <w:jc w:val="center"/>
              <w:rPr>
                <w:b/>
                <w:szCs w:val="21"/>
              </w:rPr>
            </w:pPr>
            <w:r>
              <w:rPr>
                <w:b/>
                <w:szCs w:val="21"/>
              </w:rPr>
              <w:t>3.4.1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37A2C12">
            <w:pPr>
              <w:spacing w:line="300" w:lineRule="exact"/>
              <w:jc w:val="left"/>
              <w:rPr>
                <w:szCs w:val="21"/>
              </w:rPr>
            </w:pPr>
            <w:r>
              <w:rPr>
                <w:szCs w:val="21"/>
              </w:rPr>
              <w:t>响应有效期</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F8D985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响应截止之日起90天。</w:t>
            </w:r>
          </w:p>
        </w:tc>
      </w:tr>
      <w:tr w14:paraId="37F2E9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2" w:type="dxa"/>
            <w:tcBorders>
              <w:top w:val="single" w:color="auto" w:sz="4" w:space="0"/>
              <w:left w:val="single" w:color="auto" w:sz="4" w:space="0"/>
              <w:bottom w:val="single" w:color="auto" w:sz="4" w:space="0"/>
              <w:right w:val="single" w:color="auto" w:sz="4" w:space="0"/>
            </w:tcBorders>
            <w:noWrap w:val="0"/>
            <w:vAlign w:val="center"/>
          </w:tcPr>
          <w:p w14:paraId="1957242A">
            <w:pPr>
              <w:spacing w:line="300" w:lineRule="exact"/>
              <w:jc w:val="center"/>
              <w:rPr>
                <w:b/>
                <w:szCs w:val="21"/>
              </w:rPr>
            </w:pPr>
            <w:r>
              <w:rPr>
                <w:b/>
                <w:szCs w:val="21"/>
              </w:rPr>
              <w:t>3.5</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7E0F208">
            <w:pPr>
              <w:spacing w:line="300" w:lineRule="exact"/>
              <w:jc w:val="left"/>
              <w:rPr>
                <w:szCs w:val="21"/>
              </w:rPr>
            </w:pPr>
            <w:r>
              <w:rPr>
                <w:szCs w:val="21"/>
              </w:rPr>
              <w:t>谈判保证金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19B1FC6">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本项目无</w:t>
            </w:r>
          </w:p>
        </w:tc>
      </w:tr>
      <w:tr w14:paraId="721860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912" w:type="dxa"/>
            <w:tcBorders>
              <w:left w:val="single" w:color="auto" w:sz="4" w:space="0"/>
              <w:right w:val="single" w:color="auto" w:sz="4" w:space="0"/>
            </w:tcBorders>
            <w:noWrap w:val="0"/>
            <w:vAlign w:val="center"/>
          </w:tcPr>
          <w:p w14:paraId="2D0707E4">
            <w:pPr>
              <w:spacing w:line="300" w:lineRule="exact"/>
              <w:jc w:val="center"/>
              <w:rPr>
                <w:b/>
                <w:szCs w:val="21"/>
              </w:rPr>
            </w:pPr>
            <w:r>
              <w:rPr>
                <w:rFonts w:hint="eastAsia"/>
                <w:b/>
                <w:szCs w:val="21"/>
              </w:rPr>
              <w:t>3</w:t>
            </w:r>
            <w:r>
              <w:rPr>
                <w:b/>
                <w:szCs w:val="21"/>
              </w:rPr>
              <w:t>.6</w:t>
            </w:r>
          </w:p>
        </w:tc>
        <w:tc>
          <w:tcPr>
            <w:tcW w:w="1248" w:type="dxa"/>
            <w:tcBorders>
              <w:top w:val="single" w:color="auto" w:sz="4" w:space="0"/>
              <w:left w:val="single" w:color="auto" w:sz="4" w:space="0"/>
              <w:right w:val="single" w:color="auto" w:sz="4" w:space="0"/>
            </w:tcBorders>
            <w:noWrap w:val="0"/>
            <w:vAlign w:val="center"/>
          </w:tcPr>
          <w:p w14:paraId="587CC89E">
            <w:pPr>
              <w:spacing w:line="300" w:lineRule="exact"/>
              <w:jc w:val="left"/>
              <w:rPr>
                <w:szCs w:val="21"/>
              </w:rPr>
            </w:pPr>
            <w:r>
              <w:rPr>
                <w:rFonts w:hint="eastAsia"/>
                <w:szCs w:val="21"/>
              </w:rPr>
              <w:t>响应文件的编制</w:t>
            </w:r>
          </w:p>
        </w:tc>
        <w:tc>
          <w:tcPr>
            <w:tcW w:w="7229" w:type="dxa"/>
            <w:tcBorders>
              <w:top w:val="single" w:color="auto" w:sz="4" w:space="0"/>
              <w:left w:val="single" w:color="auto" w:sz="4" w:space="0"/>
              <w:right w:val="single" w:color="auto" w:sz="4" w:space="0"/>
            </w:tcBorders>
            <w:noWrap w:val="0"/>
            <w:vAlign w:val="center"/>
          </w:tcPr>
          <w:p w14:paraId="4F00F5E0">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Times New Roman" w:hAnsi="Times New Roman" w:eastAsia="宋体" w:cs="Times New Roman"/>
                <w:color w:val="auto"/>
                <w:szCs w:val="21"/>
              </w:rPr>
            </w:pPr>
            <w:r>
              <w:rPr>
                <w:rFonts w:hint="eastAsia" w:ascii="宋体" w:hAnsi="宋体" w:eastAsia="宋体" w:cs="Times New Roman"/>
                <w:szCs w:val="21"/>
                <w:lang w:val="en-US" w:eastAsia="zh-CN"/>
              </w:rPr>
              <w:t>响应文件应按第六章响应文件格式分别编制并使用下载的广西政府采购云平台新版客户端上传。</w:t>
            </w:r>
          </w:p>
        </w:tc>
      </w:tr>
      <w:tr w14:paraId="4B87F0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513F0D57">
            <w:pPr>
              <w:spacing w:line="300" w:lineRule="exact"/>
              <w:jc w:val="center"/>
              <w:rPr>
                <w:b/>
                <w:szCs w:val="21"/>
              </w:rPr>
            </w:pPr>
            <w:r>
              <w:rPr>
                <w:b/>
                <w:szCs w:val="21"/>
              </w:rPr>
              <w:t>3.7</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BD10C6D">
            <w:pPr>
              <w:spacing w:line="300" w:lineRule="exact"/>
              <w:jc w:val="left"/>
              <w:rPr>
                <w:szCs w:val="21"/>
              </w:rPr>
            </w:pPr>
            <w:r>
              <w:rPr>
                <w:szCs w:val="21"/>
              </w:rPr>
              <w:t>响应文件递交</w:t>
            </w:r>
            <w:r>
              <w:rPr>
                <w:rFonts w:hint="eastAsia"/>
                <w:szCs w:val="21"/>
              </w:rPr>
              <w:t>截止时间及</w:t>
            </w:r>
            <w:r>
              <w:rPr>
                <w:rFonts w:hint="eastAsia"/>
                <w:szCs w:val="21"/>
                <w:lang w:eastAsia="zh-CN"/>
              </w:rPr>
              <w:t>开启响应文件</w:t>
            </w:r>
            <w:r>
              <w:rPr>
                <w:rFonts w:hint="eastAsia"/>
                <w:szCs w:val="21"/>
              </w:rPr>
              <w:t>时间</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26F0C46">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color w:val="auto"/>
                <w:szCs w:val="21"/>
              </w:rPr>
            </w:pPr>
            <w:r>
              <w:rPr>
                <w:rFonts w:hint="eastAsia"/>
                <w:color w:val="auto"/>
                <w:kern w:val="0"/>
                <w:szCs w:val="21"/>
              </w:rPr>
              <w:t>见谈判公告要求</w:t>
            </w:r>
            <w:r>
              <w:rPr>
                <w:rFonts w:hint="eastAsia"/>
                <w:color w:val="auto"/>
                <w:szCs w:val="21"/>
              </w:rPr>
              <w:t>。</w:t>
            </w:r>
          </w:p>
        </w:tc>
      </w:tr>
      <w:tr w14:paraId="613CF0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09AFC4A4">
            <w:pPr>
              <w:spacing w:line="300" w:lineRule="exact"/>
              <w:jc w:val="center"/>
              <w:rPr>
                <w:b/>
                <w:szCs w:val="21"/>
              </w:rPr>
            </w:pPr>
            <w:r>
              <w:rPr>
                <w:rFonts w:hint="eastAsia"/>
                <w:b/>
                <w:szCs w:val="21"/>
              </w:rPr>
              <w:t>4</w:t>
            </w:r>
            <w:r>
              <w:rPr>
                <w:b/>
                <w:szCs w:val="21"/>
              </w:rPr>
              <w:t>.2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52553B5">
            <w:pPr>
              <w:spacing w:line="300" w:lineRule="exact"/>
              <w:jc w:val="left"/>
              <w:rPr>
                <w:szCs w:val="20"/>
              </w:rPr>
            </w:pPr>
            <w:r>
              <w:rPr>
                <w:rFonts w:hint="eastAsia"/>
                <w:szCs w:val="21"/>
              </w:rPr>
              <w:t>备份响应文件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132C7EA">
            <w:pPr>
              <w:keepNext w:val="0"/>
              <w:keepLines w:val="0"/>
              <w:pageBreakBefore w:val="0"/>
              <w:widowControl w:val="0"/>
              <w:kinsoku/>
              <w:wordWrap/>
              <w:overflowPunct/>
              <w:topLinePunct w:val="0"/>
              <w:autoSpaceDE/>
              <w:autoSpaceDN/>
              <w:bidi w:val="0"/>
              <w:adjustRightInd/>
              <w:spacing w:line="276" w:lineRule="auto"/>
              <w:textAlignment w:val="auto"/>
              <w:rPr>
                <w:rFonts w:ascii="宋体" w:hAnsi="宋体"/>
                <w:color w:val="auto"/>
                <w:szCs w:val="21"/>
              </w:rPr>
            </w:pPr>
            <w:r>
              <w:rPr>
                <w:rFonts w:hint="eastAsia" w:ascii="宋体" w:hAnsi="宋体"/>
                <w:color w:val="auto"/>
                <w:szCs w:val="21"/>
              </w:rPr>
              <w:t>本项目</w:t>
            </w:r>
            <w:r>
              <w:rPr>
                <w:color w:val="auto"/>
                <w:sz w:val="22"/>
                <w:szCs w:val="22"/>
              </w:rPr>
              <w:sym w:font="Wingdings 2" w:char="00A3"/>
            </w:r>
            <w:r>
              <w:rPr>
                <w:rFonts w:hint="eastAsia"/>
                <w:color w:val="auto"/>
                <w:szCs w:val="21"/>
              </w:rPr>
              <w:t xml:space="preserve">接受   </w:t>
            </w:r>
            <w:r>
              <w:rPr>
                <w:rFonts w:hint="eastAsia"/>
                <w:color w:val="auto"/>
                <w:szCs w:val="21"/>
                <w:lang w:eastAsia="zh-CN"/>
              </w:rPr>
              <w:t>☑</w:t>
            </w:r>
            <w:r>
              <w:rPr>
                <w:rFonts w:hint="eastAsia"/>
                <w:color w:val="auto"/>
                <w:szCs w:val="21"/>
              </w:rPr>
              <w:t>不接受</w:t>
            </w:r>
            <w:r>
              <w:rPr>
                <w:rFonts w:hint="eastAsia" w:ascii="宋体" w:hAnsi="宋体"/>
                <w:color w:val="auto"/>
                <w:szCs w:val="21"/>
              </w:rPr>
              <w:t>备份响应文件</w:t>
            </w:r>
          </w:p>
          <w:p w14:paraId="01A9D03F">
            <w:pPr>
              <w:keepNext w:val="0"/>
              <w:keepLines w:val="0"/>
              <w:pageBreakBefore w:val="0"/>
              <w:widowControl w:val="0"/>
              <w:kinsoku/>
              <w:wordWrap/>
              <w:overflowPunct/>
              <w:topLinePunct w:val="0"/>
              <w:autoSpaceDE/>
              <w:autoSpaceDN/>
              <w:bidi w:val="0"/>
              <w:adjustRightInd/>
              <w:spacing w:line="276" w:lineRule="auto"/>
              <w:textAlignment w:val="auto"/>
              <w:rPr>
                <w:rFonts w:hint="eastAsia"/>
                <w:color w:val="auto"/>
                <w:sz w:val="22"/>
                <w:szCs w:val="22"/>
              </w:rPr>
            </w:pPr>
            <w:r>
              <w:rPr>
                <w:rFonts w:hint="eastAsia" w:ascii="宋体" w:hAnsi="宋体"/>
                <w:color w:val="auto"/>
                <w:szCs w:val="21"/>
              </w:rPr>
              <w:t>以广西政府采购云平台自动生成的备份文件为依据，当项目允许接受备份响应文件时，供应商才可以按规定上传备份响应文件。</w:t>
            </w:r>
          </w:p>
        </w:tc>
      </w:tr>
      <w:tr w14:paraId="341C24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2BB2079F">
            <w:pPr>
              <w:spacing w:line="300" w:lineRule="exact"/>
              <w:jc w:val="center"/>
              <w:rPr>
                <w:b/>
                <w:szCs w:val="21"/>
              </w:rPr>
            </w:pPr>
            <w:r>
              <w:rPr>
                <w:rFonts w:hint="eastAsia"/>
                <w:b/>
                <w:szCs w:val="21"/>
              </w:rPr>
              <w:t>4</w:t>
            </w:r>
            <w:r>
              <w:rPr>
                <w:b/>
                <w:szCs w:val="21"/>
              </w:rPr>
              <w:t>.3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12AE826">
            <w:pPr>
              <w:spacing w:line="300" w:lineRule="exact"/>
              <w:jc w:val="left"/>
              <w:rPr>
                <w:color w:val="auto"/>
                <w:szCs w:val="21"/>
              </w:rPr>
            </w:pPr>
            <w:r>
              <w:rPr>
                <w:rFonts w:hint="eastAsia"/>
                <w:color w:val="auto"/>
                <w:szCs w:val="20"/>
              </w:rPr>
              <w:t>演示</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1592A15">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sym w:font="Wingdings 2" w:char="F052"/>
            </w:r>
            <w:r>
              <w:rPr>
                <w:rFonts w:hint="eastAsia" w:ascii="Times New Roman" w:hAnsi="Times New Roman" w:eastAsia="宋体" w:cs="Times New Roman"/>
                <w:color w:val="auto"/>
                <w:kern w:val="0"/>
                <w:szCs w:val="21"/>
              </w:rPr>
              <w:t>否   □是</w:t>
            </w:r>
          </w:p>
          <w:p w14:paraId="5AC9A65D">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 xml:space="preserve">演示内容：               </w:t>
            </w:r>
          </w:p>
          <w:p w14:paraId="2F38A355">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 xml:space="preserve">演示形式： </w:t>
            </w:r>
          </w:p>
        </w:tc>
      </w:tr>
      <w:tr w14:paraId="5C7CB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5909BB80">
            <w:pPr>
              <w:spacing w:line="300" w:lineRule="exact"/>
              <w:jc w:val="center"/>
              <w:rPr>
                <w:b/>
                <w:szCs w:val="21"/>
              </w:rPr>
            </w:pPr>
            <w:r>
              <w:rPr>
                <w:rFonts w:hint="eastAsia"/>
                <w:b/>
                <w:szCs w:val="21"/>
              </w:rPr>
              <w:t>4</w:t>
            </w:r>
            <w:r>
              <w:rPr>
                <w:b/>
                <w:szCs w:val="21"/>
              </w:rPr>
              <w:t>.4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C4974A2">
            <w:pPr>
              <w:spacing w:line="300" w:lineRule="exact"/>
              <w:jc w:val="left"/>
              <w:rPr>
                <w:color w:val="auto"/>
                <w:szCs w:val="21"/>
              </w:rPr>
            </w:pPr>
            <w:r>
              <w:rPr>
                <w:rFonts w:hint="eastAsia"/>
                <w:color w:val="auto"/>
                <w:szCs w:val="20"/>
              </w:rPr>
              <w:t>样品</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FEBE422">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sym w:font="Wingdings 2" w:char="F052"/>
            </w:r>
            <w:r>
              <w:rPr>
                <w:rFonts w:hint="eastAsia" w:ascii="Times New Roman" w:hAnsi="Times New Roman" w:eastAsia="宋体" w:cs="Times New Roman"/>
                <w:color w:val="auto"/>
                <w:kern w:val="0"/>
                <w:szCs w:val="21"/>
              </w:rPr>
              <w:t>否   □是</w:t>
            </w:r>
          </w:p>
          <w:p w14:paraId="6412E3C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 xml:space="preserve">样品制作的标准和要求：               </w:t>
            </w:r>
          </w:p>
          <w:p w14:paraId="1ACE5077">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 xml:space="preserve">样品检测机构的要求：                </w:t>
            </w:r>
          </w:p>
          <w:p w14:paraId="12E9DB3E">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 xml:space="preserve">检测内容：                     </w:t>
            </w:r>
          </w:p>
          <w:p w14:paraId="5BB9E62A">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 xml:space="preserve">样品递交方式： </w:t>
            </w:r>
          </w:p>
        </w:tc>
      </w:tr>
      <w:tr w14:paraId="750CE6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21DAC9">
            <w:pPr>
              <w:spacing w:line="300" w:lineRule="exact"/>
              <w:jc w:val="center"/>
              <w:rPr>
                <w:rFonts w:hint="eastAsia" w:ascii="Times New Roman" w:hAnsi="Times New Roman" w:eastAsia="宋体" w:cs="Times New Roman"/>
                <w:b/>
                <w:kern w:val="2"/>
                <w:sz w:val="21"/>
                <w:szCs w:val="21"/>
                <w:lang w:val="en-US" w:eastAsia="zh-CN" w:bidi="ar-SA"/>
              </w:rPr>
            </w:pPr>
            <w:r>
              <w:rPr>
                <w:rFonts w:hint="eastAsia"/>
                <w:b/>
                <w:szCs w:val="21"/>
                <w:lang w:val="en-US" w:eastAsia="zh-CN"/>
              </w:rPr>
              <w:t>5.3.1</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9A5E46">
            <w:pPr>
              <w:spacing w:line="300" w:lineRule="exact"/>
              <w:jc w:val="left"/>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信用查询规则</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70BBFA">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宋体" w:hAnsi="宋体"/>
                <w:szCs w:val="21"/>
                <w:lang w:eastAsia="zh-CN"/>
              </w:rPr>
            </w:pPr>
            <w:r>
              <w:rPr>
                <w:rFonts w:hint="eastAsia" w:ascii="宋体" w:hAnsi="宋体"/>
                <w:szCs w:val="21"/>
                <w:lang w:val="en-US" w:eastAsia="zh-CN"/>
              </w:rPr>
              <w:t>谈判</w:t>
            </w:r>
            <w:r>
              <w:rPr>
                <w:rFonts w:hint="eastAsia" w:ascii="宋体" w:hAnsi="宋体"/>
                <w:szCs w:val="21"/>
                <w:lang w:eastAsia="zh-CN"/>
              </w:rPr>
              <w:t>小组在资格审查结束前，对</w:t>
            </w:r>
            <w:r>
              <w:rPr>
                <w:rFonts w:hint="eastAsia" w:ascii="宋体" w:hAnsi="宋体"/>
                <w:szCs w:val="21"/>
                <w:lang w:val="en-US" w:eastAsia="zh-CN"/>
              </w:rPr>
              <w:t>供应商</w:t>
            </w:r>
            <w:r>
              <w:rPr>
                <w:rFonts w:hint="eastAsia" w:ascii="宋体" w:hAnsi="宋体"/>
                <w:szCs w:val="21"/>
                <w:lang w:eastAsia="zh-CN"/>
              </w:rPr>
              <w:t>进行信用查询。</w:t>
            </w:r>
          </w:p>
          <w:p w14:paraId="3029BDC8">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）查询渠道：</w:t>
            </w:r>
            <w:r>
              <w:rPr>
                <w:rFonts w:hint="eastAsia" w:ascii="宋体" w:hAnsi="宋体"/>
                <w:szCs w:val="21"/>
                <w:lang w:val="en-US" w:eastAsia="zh-CN"/>
              </w:rPr>
              <w:t>广西政府采购云平台</w:t>
            </w:r>
            <w:r>
              <w:rPr>
                <w:rFonts w:hint="eastAsia" w:ascii="宋体" w:hAnsi="宋体"/>
                <w:szCs w:val="21"/>
                <w:lang w:eastAsia="zh-CN"/>
              </w:rPr>
              <w:t>“信用中国”网站(www.creditchina.gov.cn) 、中国政府采购网(www.ccgp.gov.cn)</w:t>
            </w:r>
            <w:r>
              <w:rPr>
                <w:rFonts w:hint="eastAsia" w:ascii="宋体" w:hAnsi="宋体"/>
                <w:szCs w:val="21"/>
                <w:lang w:val="en-US" w:eastAsia="zh-CN"/>
              </w:rPr>
              <w:t>链接入口</w:t>
            </w:r>
            <w:r>
              <w:rPr>
                <w:rFonts w:hint="eastAsia" w:ascii="宋体" w:hAnsi="宋体"/>
                <w:szCs w:val="21"/>
                <w:lang w:eastAsia="zh-CN"/>
              </w:rPr>
              <w:t>。</w:t>
            </w:r>
          </w:p>
          <w:p w14:paraId="2CE1D1B2">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）信用查询截止时点：</w:t>
            </w:r>
            <w:r>
              <w:rPr>
                <w:rFonts w:hint="eastAsia" w:ascii="宋体" w:hAnsi="宋体"/>
                <w:szCs w:val="21"/>
                <w:lang w:val="en-US" w:eastAsia="zh-CN"/>
              </w:rPr>
              <w:t>资</w:t>
            </w:r>
            <w:r>
              <w:rPr>
                <w:rFonts w:hint="eastAsia" w:ascii="宋体" w:hAnsi="宋体"/>
                <w:szCs w:val="21"/>
                <w:lang w:eastAsia="zh-CN"/>
              </w:rPr>
              <w:t>格审查结束前</w:t>
            </w:r>
          </w:p>
          <w:p w14:paraId="2B9DE05D">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）查询记录和证据留存方式：在查询网站中直接截图查询记录，截图作为在“广西政府采购云”平台作为附件上传保存。</w:t>
            </w:r>
          </w:p>
          <w:p w14:paraId="0A263D21">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宋体" w:hAnsi="宋体" w:eastAsia="宋体" w:cs="Times New Roman"/>
                <w:kern w:val="2"/>
                <w:sz w:val="21"/>
                <w:szCs w:val="21"/>
                <w:lang w:val="en-US" w:eastAsia="zh-CN" w:bidi="ar-SA"/>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411D3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C45412">
            <w:pPr>
              <w:spacing w:line="300" w:lineRule="exact"/>
              <w:jc w:val="center"/>
              <w:rPr>
                <w:rFonts w:hint="eastAsia" w:ascii="Times New Roman" w:hAnsi="Times New Roman" w:eastAsia="宋体" w:cs="Times New Roman"/>
                <w:b/>
                <w:kern w:val="2"/>
                <w:sz w:val="21"/>
                <w:szCs w:val="21"/>
                <w:lang w:val="en-US" w:eastAsia="zh-CN" w:bidi="ar-SA"/>
              </w:rPr>
            </w:pPr>
            <w:r>
              <w:rPr>
                <w:rFonts w:hint="eastAsia"/>
                <w:b/>
                <w:szCs w:val="21"/>
              </w:rPr>
              <w:t>6.</w:t>
            </w:r>
            <w:r>
              <w:rPr>
                <w:b/>
                <w:szCs w:val="21"/>
              </w:rPr>
              <w:t>3</w:t>
            </w:r>
            <w:r>
              <w:rPr>
                <w:rFonts w:hint="eastAsia"/>
                <w:b/>
                <w:szCs w:val="21"/>
              </w:rPr>
              <w:t>.</w:t>
            </w:r>
            <w:r>
              <w:rPr>
                <w:b/>
                <w:szCs w:val="21"/>
              </w:rPr>
              <w:t>5</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48CA81">
            <w:pPr>
              <w:spacing w:line="300" w:lineRule="exact"/>
              <w:jc w:val="left"/>
              <w:rPr>
                <w:rFonts w:hint="eastAsia"/>
                <w:szCs w:val="21"/>
                <w:lang w:val="en-US" w:eastAsia="zh-CN"/>
              </w:rPr>
            </w:pPr>
            <w:r>
              <w:rPr>
                <w:rFonts w:hint="eastAsia"/>
                <w:szCs w:val="21"/>
                <w:lang w:val="en-US" w:eastAsia="zh-CN"/>
              </w:rPr>
              <w:t>异常低价审查</w:t>
            </w:r>
          </w:p>
          <w:p w14:paraId="5485BFD3">
            <w:pPr>
              <w:spacing w:line="300" w:lineRule="exact"/>
              <w:jc w:val="left"/>
              <w:rPr>
                <w:rFonts w:hint="eastAsia" w:ascii="Times New Roman" w:hAnsi="Times New Roman" w:eastAsia="宋体" w:cs="Times New Roman"/>
                <w:kern w:val="2"/>
                <w:sz w:val="21"/>
                <w:szCs w:val="21"/>
                <w:lang w:val="en-US" w:eastAsia="zh-CN" w:bidi="ar-SA"/>
              </w:rPr>
            </w:pP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7AC20D">
            <w:pPr>
              <w:keepNext w:val="0"/>
              <w:keepLines w:val="0"/>
              <w:pageBreakBefore w:val="0"/>
              <w:widowControl w:val="0"/>
              <w:kinsoku/>
              <w:wordWrap/>
              <w:overflowPunct/>
              <w:topLinePunct w:val="0"/>
              <w:autoSpaceDE/>
              <w:autoSpaceDN/>
              <w:bidi w:val="0"/>
              <w:adjustRightInd/>
              <w:spacing w:line="300" w:lineRule="exact"/>
              <w:jc w:val="left"/>
              <w:textAlignment w:val="auto"/>
              <w:rPr>
                <w:rFonts w:hint="eastAsia"/>
                <w:szCs w:val="21"/>
                <w:lang w:val="en-US" w:eastAsia="zh-CN"/>
              </w:rPr>
            </w:pPr>
            <w:r>
              <w:rPr>
                <w:rFonts w:hint="eastAsia"/>
                <w:szCs w:val="21"/>
                <w:lang w:val="en-US" w:eastAsia="zh-CN"/>
              </w:rPr>
              <w:t>评审中出现下列情形之一的，评审委员会应当启动异常低价响应审查程序：</w:t>
            </w:r>
          </w:p>
          <w:p w14:paraId="199ACC4D">
            <w:pPr>
              <w:keepNext w:val="0"/>
              <w:keepLines w:val="0"/>
              <w:pageBreakBefore w:val="0"/>
              <w:widowControl w:val="0"/>
              <w:kinsoku/>
              <w:wordWrap/>
              <w:overflowPunct/>
              <w:topLinePunct w:val="0"/>
              <w:autoSpaceDE/>
              <w:autoSpaceDN/>
              <w:bidi w:val="0"/>
              <w:adjustRightInd/>
              <w:spacing w:line="276" w:lineRule="auto"/>
              <w:textAlignment w:val="auto"/>
              <w:rPr>
                <w:rFonts w:hint="default"/>
                <w:szCs w:val="21"/>
                <w:lang w:val="en-US" w:eastAsia="zh-CN"/>
              </w:rPr>
            </w:pPr>
            <w:r>
              <w:rPr>
                <w:rFonts w:hint="eastAsia"/>
                <w:szCs w:val="21"/>
                <w:lang w:val="en-US" w:eastAsia="zh-CN"/>
              </w:rPr>
              <w:t>（1）投标（响应）报价低于全部通过符合性审查供应商投标（响应）报价平均值50%的，即投标（响应）报价&lt;全部通过符合性审查供应商投标（响应）报价平均值×50%；</w:t>
            </w:r>
          </w:p>
          <w:p w14:paraId="69116C0D">
            <w:pPr>
              <w:keepNext w:val="0"/>
              <w:keepLines w:val="0"/>
              <w:pageBreakBefore w:val="0"/>
              <w:widowControl w:val="0"/>
              <w:kinsoku/>
              <w:wordWrap/>
              <w:overflowPunct/>
              <w:topLinePunct w:val="0"/>
              <w:autoSpaceDE/>
              <w:autoSpaceDN/>
              <w:bidi w:val="0"/>
              <w:adjustRightInd/>
              <w:spacing w:line="276" w:lineRule="auto"/>
              <w:textAlignment w:val="auto"/>
              <w:rPr>
                <w:rFonts w:hint="eastAsia"/>
                <w:szCs w:val="21"/>
                <w:lang w:val="en-US" w:eastAsia="zh-CN"/>
              </w:rPr>
            </w:pPr>
            <w:r>
              <w:rPr>
                <w:rFonts w:hint="eastAsia"/>
                <w:szCs w:val="21"/>
                <w:lang w:val="en-US" w:eastAsia="zh-CN"/>
              </w:rPr>
              <w:t>（2）投标（响应）报价低于通过符合性审查的次低报价供应商投标（响应）报价50%的，即投标（响应）报价&lt;通过符合性审查的次低报价供应商投标（响应）报价×50%；</w:t>
            </w:r>
          </w:p>
          <w:p w14:paraId="1874D71C">
            <w:pPr>
              <w:keepNext w:val="0"/>
              <w:keepLines w:val="0"/>
              <w:pageBreakBefore w:val="0"/>
              <w:widowControl w:val="0"/>
              <w:kinsoku/>
              <w:wordWrap/>
              <w:overflowPunct/>
              <w:topLinePunct w:val="0"/>
              <w:autoSpaceDE/>
              <w:autoSpaceDN/>
              <w:bidi w:val="0"/>
              <w:adjustRightInd/>
              <w:spacing w:line="276" w:lineRule="auto"/>
              <w:textAlignment w:val="auto"/>
              <w:rPr>
                <w:rFonts w:hint="eastAsia"/>
                <w:szCs w:val="21"/>
                <w:lang w:val="en-US" w:eastAsia="zh-CN"/>
              </w:rPr>
            </w:pPr>
            <w:r>
              <w:rPr>
                <w:rFonts w:hint="eastAsia"/>
                <w:szCs w:val="21"/>
                <w:lang w:val="en-US" w:eastAsia="zh-CN"/>
              </w:rPr>
              <w:t>（3）投标（响应）报价低于采购项目最高限价45%的，即投标（响应）报价&lt;采购项目最高限价×45%；</w:t>
            </w:r>
          </w:p>
          <w:p w14:paraId="4D16247C">
            <w:pPr>
              <w:keepNext w:val="0"/>
              <w:keepLines w:val="0"/>
              <w:pageBreakBefore w:val="0"/>
              <w:widowControl w:val="0"/>
              <w:kinsoku/>
              <w:wordWrap/>
              <w:overflowPunct/>
              <w:topLinePunct w:val="0"/>
              <w:autoSpaceDE/>
              <w:autoSpaceDN/>
              <w:bidi w:val="0"/>
              <w:adjustRightInd/>
              <w:spacing w:line="276" w:lineRule="auto"/>
              <w:textAlignment w:val="auto"/>
              <w:rPr>
                <w:color w:val="4472C4"/>
                <w:kern w:val="2"/>
                <w:sz w:val="22"/>
                <w:szCs w:val="22"/>
                <w:lang w:val="en-US" w:eastAsia="zh-CN" w:bidi="ar-SA"/>
              </w:rPr>
            </w:pPr>
            <w:r>
              <w:rPr>
                <w:rFonts w:hint="eastAsia"/>
                <w:szCs w:val="21"/>
                <w:lang w:val="en-US" w:eastAsia="zh-CN"/>
              </w:rPr>
              <w:t>（4）评审委员会基于专业判断，认为供应商报价过低，有可能影响产品质量或者不能诚信履约的其他情形。</w:t>
            </w:r>
          </w:p>
        </w:tc>
      </w:tr>
      <w:tr w14:paraId="43F7F0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35FD4F54">
            <w:pPr>
              <w:spacing w:line="300" w:lineRule="exact"/>
              <w:jc w:val="center"/>
              <w:rPr>
                <w:rFonts w:hint="eastAsia" w:eastAsia="宋体"/>
                <w:b/>
                <w:szCs w:val="21"/>
                <w:lang w:val="en-US" w:eastAsia="zh-CN"/>
              </w:rPr>
            </w:pPr>
            <w:r>
              <w:rPr>
                <w:rFonts w:hint="eastAsia"/>
                <w:b/>
                <w:szCs w:val="21"/>
              </w:rPr>
              <w:t>6</w:t>
            </w:r>
            <w:r>
              <w:rPr>
                <w:rFonts w:hint="eastAsia"/>
                <w:b/>
                <w:szCs w:val="21"/>
                <w:lang w:val="en-US" w:eastAsia="zh-CN"/>
              </w:rPr>
              <w:t>.</w:t>
            </w:r>
            <w:r>
              <w:rPr>
                <w:b/>
                <w:szCs w:val="21"/>
              </w:rPr>
              <w:t>3</w:t>
            </w:r>
            <w:r>
              <w:rPr>
                <w:rFonts w:hint="eastAsia"/>
                <w:b/>
                <w:szCs w:val="21"/>
              </w:rPr>
              <w:t>.</w:t>
            </w:r>
            <w:r>
              <w:rPr>
                <w:rFonts w:hint="eastAsia"/>
                <w:b/>
                <w:szCs w:val="21"/>
                <w:lang w:val="en-US" w:eastAsia="zh-CN"/>
              </w:rPr>
              <w:t>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CB22E32">
            <w:pPr>
              <w:spacing w:line="300" w:lineRule="exact"/>
              <w:jc w:val="left"/>
              <w:rPr>
                <w:szCs w:val="21"/>
              </w:rPr>
            </w:pPr>
            <w:r>
              <w:rPr>
                <w:rFonts w:hint="eastAsia"/>
                <w:szCs w:val="21"/>
              </w:rPr>
              <w:t>相同品牌推荐方式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5FB9BA4">
            <w:pPr>
              <w:keepNext w:val="0"/>
              <w:keepLines w:val="0"/>
              <w:pageBreakBefore w:val="0"/>
              <w:widowControl w:val="0"/>
              <w:kinsoku/>
              <w:wordWrap/>
              <w:overflowPunct/>
              <w:topLinePunct w:val="0"/>
              <w:autoSpaceDE/>
              <w:autoSpaceDN/>
              <w:bidi w:val="0"/>
              <w:adjustRightInd/>
              <w:spacing w:line="276" w:lineRule="auto"/>
              <w:textAlignment w:val="auto"/>
              <w:rPr>
                <w:szCs w:val="21"/>
              </w:rPr>
            </w:pPr>
            <w:r>
              <w:rPr>
                <w:color w:val="auto"/>
                <w:sz w:val="22"/>
                <w:szCs w:val="22"/>
              </w:rPr>
              <w:sym w:font="Wingdings 2" w:char="F052"/>
            </w:r>
            <w:r>
              <w:rPr>
                <w:rFonts w:hint="eastAsia"/>
                <w:color w:val="auto"/>
                <w:szCs w:val="21"/>
              </w:rPr>
              <w:t>采购人委托谈判小组确定   □采购人确定</w:t>
            </w:r>
          </w:p>
        </w:tc>
      </w:tr>
      <w:tr w14:paraId="32FA79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2DE57520">
            <w:pPr>
              <w:spacing w:line="300" w:lineRule="exact"/>
              <w:jc w:val="center"/>
              <w:rPr>
                <w:b/>
                <w:szCs w:val="21"/>
              </w:rPr>
            </w:pPr>
            <w:r>
              <w:rPr>
                <w:b/>
                <w:szCs w:val="21"/>
              </w:rPr>
              <w:t>6.5</w:t>
            </w:r>
            <w:r>
              <w:rPr>
                <w:rFonts w:hint="eastAsia"/>
                <w:b/>
                <w:szCs w:val="21"/>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DE4F208">
            <w:pPr>
              <w:spacing w:line="300" w:lineRule="exact"/>
              <w:jc w:val="left"/>
              <w:rPr>
                <w:szCs w:val="21"/>
              </w:rPr>
            </w:pPr>
            <w:r>
              <w:rPr>
                <w:rFonts w:hint="eastAsia"/>
                <w:szCs w:val="21"/>
              </w:rPr>
              <w:t>结果</w:t>
            </w:r>
            <w:r>
              <w:rPr>
                <w:szCs w:val="21"/>
              </w:rPr>
              <w:t>公告</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28970FF">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szCs w:val="21"/>
              </w:rPr>
              <w:t>采购代理机构在采购人依法确认成交供应商后2个工作日内在</w:t>
            </w:r>
            <w:r>
              <w:rPr>
                <w:rFonts w:hint="eastAsia"/>
                <w:szCs w:val="21"/>
              </w:rPr>
              <w:t>谈判</w:t>
            </w:r>
            <w:r>
              <w:rPr>
                <w:szCs w:val="21"/>
              </w:rPr>
              <w:t>公告发布的媒体上发布</w:t>
            </w:r>
            <w:r>
              <w:rPr>
                <w:rFonts w:hint="eastAsia"/>
                <w:szCs w:val="21"/>
              </w:rPr>
              <w:t>结果</w:t>
            </w:r>
            <w:r>
              <w:rPr>
                <w:szCs w:val="21"/>
              </w:rPr>
              <w:t>公告</w:t>
            </w:r>
            <w:r>
              <w:rPr>
                <w:rFonts w:hint="eastAsia"/>
                <w:szCs w:val="21"/>
              </w:rPr>
              <w:t>。</w:t>
            </w:r>
          </w:p>
        </w:tc>
      </w:tr>
      <w:tr w14:paraId="79D22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459A3F3A">
            <w:pPr>
              <w:spacing w:line="300" w:lineRule="exact"/>
              <w:jc w:val="center"/>
              <w:rPr>
                <w:b/>
                <w:szCs w:val="21"/>
              </w:rPr>
            </w:pPr>
            <w:r>
              <w:rPr>
                <w:b/>
                <w:szCs w:val="21"/>
              </w:rPr>
              <w:t>6.5.2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6C94274">
            <w:pPr>
              <w:spacing w:line="300" w:lineRule="exact"/>
              <w:jc w:val="left"/>
              <w:rPr>
                <w:szCs w:val="21"/>
              </w:rPr>
            </w:pPr>
            <w:r>
              <w:rPr>
                <w:rFonts w:hint="eastAsia"/>
                <w:szCs w:val="21"/>
              </w:rPr>
              <w:t>成交通知书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2688990">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rFonts w:hint="eastAsia"/>
                <w:szCs w:val="21"/>
              </w:rPr>
              <w:t>采购代理机构通过广西政府采购云平台发出</w:t>
            </w:r>
            <w:r>
              <w:rPr>
                <w:szCs w:val="21"/>
              </w:rPr>
              <w:t>成交通知书。</w:t>
            </w:r>
          </w:p>
          <w:p w14:paraId="05E3A709">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rFonts w:hint="eastAsia"/>
                <w:szCs w:val="21"/>
              </w:rPr>
              <w:t>成交通知书在广西政府采购云平台推送之日起，视为成交供应商已收到，成交供应商自行承担未及时查收的后果。</w:t>
            </w:r>
          </w:p>
        </w:tc>
      </w:tr>
      <w:tr w14:paraId="479107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593C3572">
            <w:pPr>
              <w:spacing w:line="300" w:lineRule="exact"/>
              <w:jc w:val="center"/>
              <w:rPr>
                <w:b/>
                <w:szCs w:val="21"/>
              </w:rPr>
            </w:pPr>
            <w:r>
              <w:rPr>
                <w:b/>
                <w:szCs w:val="21"/>
              </w:rPr>
              <w:t>8.1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A1D17E4">
            <w:pPr>
              <w:spacing w:line="300" w:lineRule="exact"/>
              <w:jc w:val="left"/>
              <w:rPr>
                <w:szCs w:val="21"/>
              </w:rPr>
            </w:pPr>
            <w:r>
              <w:rPr>
                <w:rFonts w:hint="eastAsia"/>
                <w:szCs w:val="21"/>
              </w:rPr>
              <w:t>质疑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E6AE078">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rFonts w:hint="eastAsia"/>
                <w:szCs w:val="21"/>
              </w:rPr>
              <w:t>（1）供应商</w:t>
            </w:r>
            <w:r>
              <w:rPr>
                <w:szCs w:val="21"/>
              </w:rPr>
              <w:t>认为</w:t>
            </w:r>
            <w:r>
              <w:rPr>
                <w:rFonts w:hint="eastAsia"/>
                <w:szCs w:val="21"/>
              </w:rPr>
              <w:t>采购文件</w:t>
            </w:r>
            <w:r>
              <w:rPr>
                <w:szCs w:val="21"/>
              </w:rPr>
              <w:t>、</w:t>
            </w:r>
            <w:r>
              <w:rPr>
                <w:rFonts w:hint="eastAsia"/>
                <w:szCs w:val="21"/>
              </w:rPr>
              <w:t>采购</w:t>
            </w:r>
            <w:r>
              <w:rPr>
                <w:szCs w:val="21"/>
              </w:rPr>
              <w:t>过程、</w:t>
            </w:r>
            <w:r>
              <w:rPr>
                <w:rFonts w:hint="eastAsia"/>
                <w:szCs w:val="21"/>
              </w:rPr>
              <w:t>成交</w:t>
            </w:r>
            <w:r>
              <w:rPr>
                <w:szCs w:val="21"/>
              </w:rPr>
              <w:t>结果使自己的权益受到损害的，可以在知道或者应知其权益受到损害之日起7个工作日内，</w:t>
            </w:r>
            <w:r>
              <w:rPr>
                <w:rFonts w:hint="eastAsia"/>
                <w:szCs w:val="21"/>
              </w:rPr>
              <w:t>通过以下方式</w:t>
            </w:r>
            <w:r>
              <w:rPr>
                <w:szCs w:val="21"/>
              </w:rPr>
              <w:t>向采购人、采购代理机构提出质疑。提出质疑的</w:t>
            </w:r>
            <w:r>
              <w:rPr>
                <w:rFonts w:hint="eastAsia"/>
                <w:szCs w:val="21"/>
              </w:rPr>
              <w:t>供应商</w:t>
            </w:r>
            <w:r>
              <w:rPr>
                <w:szCs w:val="21"/>
              </w:rPr>
              <w:t>必须是参与本项目采购活动的供应商</w:t>
            </w:r>
            <w:r>
              <w:rPr>
                <w:rFonts w:hint="eastAsia"/>
                <w:szCs w:val="21"/>
              </w:rPr>
              <w:t>，并须在</w:t>
            </w:r>
            <w:r>
              <w:rPr>
                <w:szCs w:val="21"/>
              </w:rPr>
              <w:t>法定质疑期内一次性提出针对同一采购程序环节的质疑。质疑函应使用财政部发布的</w:t>
            </w:r>
            <w:r>
              <w:rPr>
                <w:rFonts w:hint="eastAsia"/>
                <w:szCs w:val="21"/>
              </w:rPr>
              <w:t>政府采购供应商质疑函范本，并应按照“质疑函制作说明”进行制作。</w:t>
            </w:r>
          </w:p>
          <w:p w14:paraId="547F9AE9">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rFonts w:hint="eastAsia"/>
                <w:szCs w:val="21"/>
              </w:rPr>
              <w:t>（2）</w:t>
            </w:r>
            <w:r>
              <w:rPr>
                <w:szCs w:val="21"/>
              </w:rPr>
              <w:t>本项目不接受传真、移动通信</w:t>
            </w:r>
            <w:r>
              <w:rPr>
                <w:rFonts w:hint="eastAsia"/>
                <w:szCs w:val="21"/>
              </w:rPr>
              <w:t>、广西政府采购云平台</w:t>
            </w:r>
            <w:r>
              <w:rPr>
                <w:szCs w:val="21"/>
              </w:rPr>
              <w:t>等</w:t>
            </w:r>
            <w:r>
              <w:rPr>
                <w:rFonts w:hint="eastAsia"/>
                <w:szCs w:val="21"/>
              </w:rPr>
              <w:t>方式</w:t>
            </w:r>
            <w:r>
              <w:rPr>
                <w:szCs w:val="21"/>
              </w:rPr>
              <w:t>送达的质疑材料</w:t>
            </w:r>
            <w:r>
              <w:rPr>
                <w:rFonts w:hint="eastAsia"/>
                <w:szCs w:val="21"/>
              </w:rPr>
              <w:t>，供应商可通过现场或邮寄方式递交书面质疑材料。供应商应于质疑有效期内将质疑函原件递交或邮寄至谈判公告中采购代理机构信息中的联系人。</w:t>
            </w:r>
          </w:p>
        </w:tc>
      </w:tr>
      <w:tr w14:paraId="301A33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49"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2DA791FD">
            <w:pPr>
              <w:spacing w:line="300" w:lineRule="exact"/>
              <w:jc w:val="center"/>
              <w:rPr>
                <w:b/>
                <w:szCs w:val="21"/>
              </w:rPr>
            </w:pPr>
            <w:r>
              <w:rPr>
                <w:b/>
                <w:szCs w:val="21"/>
              </w:rPr>
              <w:t>9.1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884F4A9">
            <w:pPr>
              <w:spacing w:line="300" w:lineRule="exact"/>
              <w:jc w:val="left"/>
              <w:rPr>
                <w:szCs w:val="21"/>
              </w:rPr>
            </w:pPr>
            <w:r>
              <w:rPr>
                <w:szCs w:val="20"/>
              </w:rPr>
              <w:t>代理服务费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4387903">
            <w:pPr>
              <w:keepNext w:val="0"/>
              <w:keepLines w:val="0"/>
              <w:pageBreakBefore w:val="0"/>
              <w:widowControl w:val="0"/>
              <w:kinsoku/>
              <w:wordWrap/>
              <w:overflowPunct/>
              <w:topLinePunct w:val="0"/>
              <w:autoSpaceDE/>
              <w:autoSpaceDN/>
              <w:bidi w:val="0"/>
              <w:adjustRightInd/>
              <w:textAlignment w:val="auto"/>
              <w:rPr>
                <w:szCs w:val="21"/>
              </w:rPr>
            </w:pPr>
            <w:r>
              <w:rPr>
                <w:szCs w:val="21"/>
              </w:rPr>
              <w:t>（1）</w:t>
            </w:r>
            <w:r>
              <w:rPr>
                <w:szCs w:val="20"/>
              </w:rPr>
              <w:t>代理服务费</w:t>
            </w:r>
          </w:p>
          <w:p w14:paraId="10AC331E">
            <w:pPr>
              <w:keepNext w:val="0"/>
              <w:keepLines w:val="0"/>
              <w:pageBreakBefore w:val="0"/>
              <w:widowControl w:val="0"/>
              <w:kinsoku/>
              <w:wordWrap/>
              <w:overflowPunct/>
              <w:topLinePunct w:val="0"/>
              <w:autoSpaceDE/>
              <w:autoSpaceDN/>
              <w:bidi w:val="0"/>
              <w:adjustRightInd/>
              <w:spacing w:line="300" w:lineRule="exact"/>
              <w:ind w:firstLine="420" w:firstLineChars="200"/>
              <w:jc w:val="left"/>
              <w:textAlignment w:val="auto"/>
              <w:rPr>
                <w:szCs w:val="21"/>
              </w:rPr>
            </w:pPr>
            <w:r>
              <w:rPr>
                <w:szCs w:val="21"/>
              </w:rPr>
              <w:t>采购代理机构向成交供应商收取代理服务费。本项目代理服务费</w:t>
            </w:r>
            <w:r>
              <w:rPr>
                <w:rFonts w:hint="eastAsia"/>
                <w:szCs w:val="21"/>
              </w:rPr>
              <w:t>按照</w:t>
            </w:r>
            <w:r>
              <w:rPr>
                <w:szCs w:val="21"/>
              </w:rPr>
              <w:t>《招标代理服务费管理暂行办法》 (计价格﹝2002﹞1980号)、《国家发展改革委关于降低部分建设项目收费标准规范收费行为等有关问题的通知》(发改价格﹝2011﹞534号)</w:t>
            </w:r>
            <w:r>
              <w:rPr>
                <w:rFonts w:hint="eastAsia"/>
                <w:szCs w:val="21"/>
              </w:rPr>
              <w:t>的</w:t>
            </w:r>
            <w:r>
              <w:rPr>
                <w:szCs w:val="21"/>
              </w:rPr>
              <w:t>规定</w:t>
            </w:r>
            <w:r>
              <w:rPr>
                <w:rFonts w:hint="eastAsia"/>
                <w:szCs w:val="21"/>
              </w:rPr>
              <w:t>采用</w:t>
            </w:r>
            <w:r>
              <w:rPr>
                <w:szCs w:val="21"/>
              </w:rPr>
              <w:t>差额定率累进</w:t>
            </w:r>
            <w:r>
              <w:rPr>
                <w:rFonts w:hint="eastAsia"/>
                <w:szCs w:val="21"/>
              </w:rPr>
              <w:t>法</w:t>
            </w:r>
            <w:r>
              <w:rPr>
                <w:szCs w:val="21"/>
              </w:rPr>
              <w:t>计算</w:t>
            </w:r>
            <w:r>
              <w:rPr>
                <w:rFonts w:hint="eastAsia"/>
                <w:szCs w:val="21"/>
              </w:rPr>
              <w:t>。</w:t>
            </w:r>
            <w:r>
              <w:rPr>
                <w:szCs w:val="21"/>
              </w:rPr>
              <w:t>具体费率</w:t>
            </w:r>
            <w:r>
              <w:rPr>
                <w:rFonts w:hint="eastAsia"/>
                <w:szCs w:val="21"/>
              </w:rPr>
              <w:t>如下：</w:t>
            </w:r>
          </w:p>
          <w:p w14:paraId="01B74334">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rFonts w:hint="eastAsia"/>
                <w:szCs w:val="21"/>
              </w:rPr>
              <w:t>①成交金额在1</w:t>
            </w:r>
            <w:r>
              <w:rPr>
                <w:szCs w:val="21"/>
              </w:rPr>
              <w:t>00</w:t>
            </w:r>
            <w:r>
              <w:rPr>
                <w:rFonts w:hint="eastAsia"/>
                <w:szCs w:val="21"/>
              </w:rPr>
              <w:t>万元以下的：</w:t>
            </w:r>
          </w:p>
          <w:p w14:paraId="116429DD">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rFonts w:hint="eastAsia"/>
                <w:szCs w:val="21"/>
              </w:rPr>
              <w:t>货物</w:t>
            </w:r>
            <w:r>
              <w:rPr>
                <w:szCs w:val="21"/>
              </w:rPr>
              <w:t>1.5％</w:t>
            </w:r>
            <w:r>
              <w:rPr>
                <w:rFonts w:hint="eastAsia"/>
                <w:szCs w:val="21"/>
              </w:rPr>
              <w:t>；</w:t>
            </w:r>
            <w:r>
              <w:rPr>
                <w:szCs w:val="21"/>
              </w:rPr>
              <w:t>服务招标1.5％</w:t>
            </w:r>
            <w:r>
              <w:rPr>
                <w:rFonts w:hint="eastAsia"/>
                <w:szCs w:val="21"/>
              </w:rPr>
              <w:t>；</w:t>
            </w:r>
            <w:r>
              <w:rPr>
                <w:szCs w:val="21"/>
              </w:rPr>
              <w:t>工程招标1.0％</w:t>
            </w:r>
            <w:r>
              <w:rPr>
                <w:rFonts w:hint="eastAsia"/>
                <w:szCs w:val="21"/>
              </w:rPr>
              <w:t>；</w:t>
            </w:r>
          </w:p>
          <w:p w14:paraId="4D0ABD6F">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rFonts w:hint="eastAsia"/>
                <w:szCs w:val="21"/>
              </w:rPr>
              <w:t>②成交金额在</w:t>
            </w:r>
            <w:r>
              <w:rPr>
                <w:szCs w:val="21"/>
              </w:rPr>
              <w:t>100-500</w:t>
            </w:r>
            <w:r>
              <w:rPr>
                <w:rFonts w:hint="eastAsia"/>
                <w:szCs w:val="21"/>
              </w:rPr>
              <w:t>万元之间：</w:t>
            </w:r>
          </w:p>
          <w:p w14:paraId="7D432731">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rFonts w:hint="eastAsia"/>
                <w:szCs w:val="21"/>
              </w:rPr>
              <w:t>货物</w:t>
            </w:r>
            <w:r>
              <w:rPr>
                <w:szCs w:val="21"/>
              </w:rPr>
              <w:t>1.1％</w:t>
            </w:r>
            <w:r>
              <w:rPr>
                <w:rFonts w:hint="eastAsia"/>
                <w:szCs w:val="21"/>
              </w:rPr>
              <w:t>；</w:t>
            </w:r>
            <w:r>
              <w:rPr>
                <w:szCs w:val="21"/>
              </w:rPr>
              <w:t>服务招标0.8％</w:t>
            </w:r>
            <w:r>
              <w:rPr>
                <w:rFonts w:hint="eastAsia"/>
                <w:szCs w:val="21"/>
              </w:rPr>
              <w:t>；</w:t>
            </w:r>
            <w:r>
              <w:rPr>
                <w:szCs w:val="21"/>
              </w:rPr>
              <w:t>工程招标0.7％</w:t>
            </w:r>
            <w:r>
              <w:rPr>
                <w:rFonts w:hint="eastAsia"/>
                <w:szCs w:val="21"/>
              </w:rPr>
              <w:t>；</w:t>
            </w:r>
          </w:p>
          <w:p w14:paraId="0F50F615">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rFonts w:hint="eastAsia"/>
                <w:szCs w:val="21"/>
              </w:rPr>
              <w:t>③成交金额在</w:t>
            </w:r>
            <w:r>
              <w:rPr>
                <w:szCs w:val="21"/>
              </w:rPr>
              <w:t>5</w:t>
            </w:r>
            <w:r>
              <w:rPr>
                <w:rFonts w:hint="eastAsia"/>
                <w:szCs w:val="21"/>
              </w:rPr>
              <w:t>0</w:t>
            </w:r>
            <w:r>
              <w:rPr>
                <w:szCs w:val="21"/>
              </w:rPr>
              <w:t>0-1</w:t>
            </w:r>
            <w:r>
              <w:rPr>
                <w:rFonts w:hint="eastAsia"/>
                <w:szCs w:val="21"/>
              </w:rPr>
              <w:t>00</w:t>
            </w:r>
            <w:r>
              <w:rPr>
                <w:szCs w:val="21"/>
              </w:rPr>
              <w:t>0</w:t>
            </w:r>
            <w:r>
              <w:rPr>
                <w:rFonts w:hint="eastAsia"/>
                <w:szCs w:val="21"/>
              </w:rPr>
              <w:t>万元之间：</w:t>
            </w:r>
          </w:p>
          <w:p w14:paraId="35939797">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rFonts w:hint="eastAsia"/>
                <w:szCs w:val="21"/>
              </w:rPr>
              <w:t>货物</w:t>
            </w:r>
            <w:r>
              <w:rPr>
                <w:szCs w:val="21"/>
              </w:rPr>
              <w:t>0.8％</w:t>
            </w:r>
            <w:r>
              <w:rPr>
                <w:rFonts w:hint="eastAsia"/>
                <w:szCs w:val="21"/>
              </w:rPr>
              <w:t>；</w:t>
            </w:r>
            <w:r>
              <w:rPr>
                <w:szCs w:val="21"/>
              </w:rPr>
              <w:t>服务招标0.45％</w:t>
            </w:r>
            <w:r>
              <w:rPr>
                <w:rFonts w:hint="eastAsia"/>
                <w:szCs w:val="21"/>
              </w:rPr>
              <w:t>；</w:t>
            </w:r>
            <w:r>
              <w:rPr>
                <w:szCs w:val="21"/>
              </w:rPr>
              <w:t>工程招标0.55％</w:t>
            </w:r>
            <w:r>
              <w:rPr>
                <w:rFonts w:hint="eastAsia"/>
                <w:szCs w:val="21"/>
              </w:rPr>
              <w:t>；</w:t>
            </w:r>
          </w:p>
          <w:p w14:paraId="192C5806">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rFonts w:hint="eastAsia"/>
                <w:szCs w:val="21"/>
              </w:rPr>
              <w:t>④成交金额在</w:t>
            </w:r>
            <w:r>
              <w:rPr>
                <w:szCs w:val="21"/>
              </w:rPr>
              <w:t>1000-5000</w:t>
            </w:r>
            <w:r>
              <w:rPr>
                <w:rFonts w:hint="eastAsia"/>
                <w:szCs w:val="21"/>
              </w:rPr>
              <w:t>万元之间：</w:t>
            </w:r>
          </w:p>
          <w:p w14:paraId="73A930E1">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rFonts w:hint="eastAsia"/>
                <w:szCs w:val="21"/>
              </w:rPr>
              <w:t>货物</w:t>
            </w:r>
            <w:r>
              <w:rPr>
                <w:szCs w:val="21"/>
              </w:rPr>
              <w:t>0.5％</w:t>
            </w:r>
            <w:r>
              <w:rPr>
                <w:rFonts w:hint="eastAsia"/>
                <w:szCs w:val="21"/>
              </w:rPr>
              <w:t>；</w:t>
            </w:r>
            <w:r>
              <w:rPr>
                <w:szCs w:val="21"/>
              </w:rPr>
              <w:t>服务招标0.25％</w:t>
            </w:r>
            <w:r>
              <w:rPr>
                <w:rFonts w:hint="eastAsia"/>
                <w:szCs w:val="21"/>
              </w:rPr>
              <w:t>；</w:t>
            </w:r>
            <w:r>
              <w:rPr>
                <w:szCs w:val="21"/>
              </w:rPr>
              <w:t>工程招标0.35％</w:t>
            </w:r>
            <w:r>
              <w:rPr>
                <w:rFonts w:hint="eastAsia"/>
                <w:szCs w:val="21"/>
              </w:rPr>
              <w:t>；</w:t>
            </w:r>
          </w:p>
          <w:p w14:paraId="7E43C996">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rFonts w:hint="eastAsia"/>
                <w:szCs w:val="21"/>
              </w:rPr>
              <w:t>……</w:t>
            </w:r>
          </w:p>
          <w:p w14:paraId="4A6081B9">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szCs w:val="21"/>
              </w:rPr>
              <w:t>差额定率累进</w:t>
            </w:r>
            <w:r>
              <w:rPr>
                <w:rFonts w:hint="eastAsia"/>
                <w:szCs w:val="21"/>
              </w:rPr>
              <w:t>法</w:t>
            </w:r>
            <w:r>
              <w:rPr>
                <w:szCs w:val="21"/>
              </w:rPr>
              <w:t>计算</w:t>
            </w:r>
            <w:r>
              <w:rPr>
                <w:rFonts w:hint="eastAsia"/>
                <w:szCs w:val="21"/>
              </w:rPr>
              <w:t>过程示例：</w:t>
            </w:r>
          </w:p>
          <w:p w14:paraId="3650C49F">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szCs w:val="21"/>
              </w:rPr>
              <w:t>例如：某货物招标代理业务成交金额为300万元，招标代理服务费金额按如下计算：</w:t>
            </w:r>
          </w:p>
          <w:p w14:paraId="65F3F687">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szCs w:val="21"/>
              </w:rPr>
              <w:t>100万元×1.5%＝1.5万元</w:t>
            </w:r>
          </w:p>
          <w:p w14:paraId="7355D8D3">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szCs w:val="21"/>
              </w:rPr>
              <w:t>（300－100）万元×1.1%＝2.2万元</w:t>
            </w:r>
          </w:p>
          <w:p w14:paraId="454D406B">
            <w:pPr>
              <w:keepNext w:val="0"/>
              <w:keepLines w:val="0"/>
              <w:pageBreakBefore w:val="0"/>
              <w:widowControl w:val="0"/>
              <w:kinsoku/>
              <w:wordWrap/>
              <w:overflowPunct/>
              <w:topLinePunct w:val="0"/>
              <w:autoSpaceDE/>
              <w:autoSpaceDN/>
              <w:bidi w:val="0"/>
              <w:adjustRightInd/>
              <w:spacing w:line="300" w:lineRule="exact"/>
              <w:jc w:val="left"/>
              <w:textAlignment w:val="auto"/>
              <w:rPr>
                <w:szCs w:val="21"/>
              </w:rPr>
            </w:pPr>
            <w:r>
              <w:rPr>
                <w:szCs w:val="21"/>
              </w:rPr>
              <w:t>合计收费＝1.5＋2.2=3.7万元</w:t>
            </w:r>
          </w:p>
          <w:p w14:paraId="256F6B46">
            <w:pPr>
              <w:keepNext w:val="0"/>
              <w:keepLines w:val="0"/>
              <w:pageBreakBefore w:val="0"/>
              <w:widowControl w:val="0"/>
              <w:kinsoku/>
              <w:wordWrap/>
              <w:overflowPunct/>
              <w:topLinePunct w:val="0"/>
              <w:autoSpaceDE/>
              <w:autoSpaceDN/>
              <w:bidi w:val="0"/>
              <w:adjustRightInd/>
              <w:spacing w:line="300" w:lineRule="exact"/>
              <w:jc w:val="left"/>
              <w:textAlignment w:val="auto"/>
              <w:rPr>
                <w:rFonts w:hint="eastAsia" w:eastAsia="宋体"/>
                <w:kern w:val="0"/>
                <w:szCs w:val="21"/>
                <w:lang w:eastAsia="zh-CN"/>
              </w:rPr>
            </w:pPr>
            <w:r>
              <w:rPr>
                <w:szCs w:val="21"/>
              </w:rPr>
              <w:t>（2）成交供应商在成交通知书发出前以银行转账或现金形式支付代理服务费</w:t>
            </w:r>
            <w:r>
              <w:rPr>
                <w:rFonts w:hint="eastAsia"/>
                <w:szCs w:val="21"/>
                <w:lang w:eastAsia="zh-CN"/>
              </w:rPr>
              <w:t>；</w:t>
            </w:r>
          </w:p>
        </w:tc>
      </w:tr>
      <w:tr w14:paraId="11E699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589434AD">
            <w:pPr>
              <w:spacing w:line="300" w:lineRule="exact"/>
              <w:jc w:val="center"/>
              <w:rPr>
                <w:b/>
                <w:szCs w:val="21"/>
              </w:rPr>
            </w:pPr>
            <w:r>
              <w:rPr>
                <w:b/>
                <w:szCs w:val="21"/>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032C97E">
            <w:pPr>
              <w:spacing w:line="300" w:lineRule="exact"/>
              <w:jc w:val="left"/>
              <w:rPr>
                <w:szCs w:val="20"/>
              </w:rPr>
            </w:pPr>
            <w:r>
              <w:rPr>
                <w:rFonts w:hint="eastAsia"/>
                <w:szCs w:val="20"/>
              </w:rPr>
              <w:t>附件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D9D7AFD">
            <w:pPr>
              <w:keepNext w:val="0"/>
              <w:keepLines w:val="0"/>
              <w:pageBreakBefore w:val="0"/>
              <w:widowControl w:val="0"/>
              <w:kinsoku/>
              <w:wordWrap/>
              <w:overflowPunct/>
              <w:topLinePunct w:val="0"/>
              <w:autoSpaceDE/>
              <w:autoSpaceDN/>
              <w:bidi w:val="0"/>
              <w:adjustRightInd/>
              <w:snapToGrid/>
              <w:spacing w:line="276" w:lineRule="auto"/>
              <w:ind w:firstLine="0" w:firstLineChars="0"/>
              <w:textAlignment w:val="auto"/>
              <w:rPr>
                <w:color w:val="auto"/>
                <w:szCs w:val="21"/>
              </w:rPr>
            </w:pPr>
            <w:r>
              <w:rPr>
                <w:color w:val="auto"/>
                <w:sz w:val="22"/>
                <w:szCs w:val="22"/>
              </w:rPr>
              <w:sym w:font="Wingdings 2" w:char="F052"/>
            </w:r>
            <w:r>
              <w:rPr>
                <w:rFonts w:hint="eastAsia"/>
                <w:color w:val="auto"/>
                <w:szCs w:val="21"/>
              </w:rPr>
              <w:t>无</w:t>
            </w:r>
          </w:p>
          <w:p w14:paraId="60302276">
            <w:pPr>
              <w:keepNext w:val="0"/>
              <w:keepLines w:val="0"/>
              <w:pageBreakBefore w:val="0"/>
              <w:widowControl w:val="0"/>
              <w:kinsoku/>
              <w:wordWrap/>
              <w:overflowPunct/>
              <w:topLinePunct w:val="0"/>
              <w:autoSpaceDE/>
              <w:autoSpaceDN/>
              <w:bidi w:val="0"/>
              <w:adjustRightInd/>
              <w:snapToGrid/>
              <w:spacing w:line="276" w:lineRule="auto"/>
              <w:ind w:firstLine="0" w:firstLineChars="0"/>
              <w:textAlignment w:val="auto"/>
              <w:rPr>
                <w:color w:val="auto"/>
                <w:szCs w:val="21"/>
                <w:u w:val="single"/>
              </w:rPr>
            </w:pPr>
            <w:r>
              <w:rPr>
                <w:rFonts w:hint="eastAsia"/>
                <w:color w:val="auto"/>
                <w:szCs w:val="21"/>
              </w:rPr>
              <w:t>□有，详见：</w:t>
            </w:r>
            <w:r>
              <w:rPr>
                <w:rFonts w:hint="eastAsia"/>
                <w:color w:val="auto"/>
                <w:szCs w:val="21"/>
                <w:u w:val="single"/>
              </w:rPr>
              <w:t xml:space="preserve"> </w:t>
            </w:r>
            <w:r>
              <w:rPr>
                <w:color w:val="auto"/>
                <w:szCs w:val="21"/>
                <w:u w:val="single"/>
              </w:rPr>
              <w:t xml:space="preserve">         </w:t>
            </w:r>
          </w:p>
        </w:tc>
      </w:tr>
      <w:tr w14:paraId="15AC96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3AA570D3">
            <w:pPr>
              <w:spacing w:line="300" w:lineRule="exact"/>
              <w:jc w:val="center"/>
              <w:rPr>
                <w:b/>
                <w:szCs w:val="21"/>
              </w:rPr>
            </w:pPr>
            <w:r>
              <w:rPr>
                <w:b/>
                <w:szCs w:val="21"/>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144830B">
            <w:pPr>
              <w:spacing w:line="300" w:lineRule="exact"/>
              <w:jc w:val="left"/>
              <w:rPr>
                <w:szCs w:val="20"/>
              </w:rPr>
            </w:pPr>
            <w:r>
              <w:rPr>
                <w:rFonts w:hint="eastAsia"/>
                <w:szCs w:val="20"/>
              </w:rPr>
              <w:t>图纸</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3832252">
            <w:pPr>
              <w:keepNext w:val="0"/>
              <w:keepLines w:val="0"/>
              <w:pageBreakBefore w:val="0"/>
              <w:widowControl w:val="0"/>
              <w:kinsoku/>
              <w:wordWrap/>
              <w:overflowPunct/>
              <w:topLinePunct w:val="0"/>
              <w:autoSpaceDE/>
              <w:autoSpaceDN/>
              <w:bidi w:val="0"/>
              <w:adjustRightInd/>
              <w:snapToGrid/>
              <w:spacing w:line="276" w:lineRule="auto"/>
              <w:ind w:firstLine="0" w:firstLineChars="0"/>
              <w:textAlignment w:val="auto"/>
              <w:rPr>
                <w:color w:val="auto"/>
                <w:szCs w:val="21"/>
              </w:rPr>
            </w:pPr>
            <w:r>
              <w:rPr>
                <w:color w:val="auto"/>
                <w:sz w:val="22"/>
                <w:szCs w:val="22"/>
              </w:rPr>
              <w:sym w:font="Wingdings 2" w:char="F052"/>
            </w:r>
            <w:r>
              <w:rPr>
                <w:rFonts w:hint="eastAsia"/>
                <w:color w:val="auto"/>
                <w:szCs w:val="21"/>
              </w:rPr>
              <w:t>无</w:t>
            </w:r>
          </w:p>
          <w:p w14:paraId="27F748B0">
            <w:pPr>
              <w:keepNext w:val="0"/>
              <w:keepLines w:val="0"/>
              <w:pageBreakBefore w:val="0"/>
              <w:widowControl w:val="0"/>
              <w:kinsoku/>
              <w:wordWrap/>
              <w:overflowPunct/>
              <w:topLinePunct w:val="0"/>
              <w:autoSpaceDE/>
              <w:autoSpaceDN/>
              <w:bidi w:val="0"/>
              <w:adjustRightInd/>
              <w:snapToGrid/>
              <w:spacing w:line="276" w:lineRule="auto"/>
              <w:ind w:firstLine="0" w:firstLineChars="0"/>
              <w:textAlignment w:val="auto"/>
              <w:rPr>
                <w:color w:val="auto"/>
                <w:szCs w:val="21"/>
                <w:u w:val="single"/>
              </w:rPr>
            </w:pPr>
            <w:r>
              <w:rPr>
                <w:rFonts w:hint="eastAsia"/>
                <w:color w:val="auto"/>
                <w:szCs w:val="21"/>
              </w:rPr>
              <w:t>□有，详见：</w:t>
            </w:r>
            <w:r>
              <w:rPr>
                <w:rFonts w:hint="eastAsia"/>
                <w:color w:val="auto"/>
                <w:szCs w:val="21"/>
                <w:u w:val="single"/>
              </w:rPr>
              <w:t xml:space="preserve"> </w:t>
            </w:r>
            <w:r>
              <w:rPr>
                <w:color w:val="auto"/>
                <w:szCs w:val="21"/>
                <w:u w:val="single"/>
              </w:rPr>
              <w:t xml:space="preserve">            </w:t>
            </w:r>
          </w:p>
        </w:tc>
      </w:tr>
      <w:tr w14:paraId="1D298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077E6EEB">
            <w:pPr>
              <w:spacing w:line="300" w:lineRule="exact"/>
              <w:jc w:val="center"/>
              <w:rPr>
                <w:b/>
                <w:szCs w:val="21"/>
              </w:rPr>
            </w:pPr>
            <w:r>
              <w:rPr>
                <w:b/>
                <w:szCs w:val="21"/>
              </w:rPr>
              <w:t>9.4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60C0FA5">
            <w:pPr>
              <w:spacing w:line="300" w:lineRule="exact"/>
              <w:jc w:val="left"/>
              <w:rPr>
                <w:szCs w:val="20"/>
              </w:rPr>
            </w:pPr>
            <w:r>
              <w:rPr>
                <w:rFonts w:hint="eastAsia"/>
                <w:szCs w:val="20"/>
              </w:rPr>
              <w:t>其他事项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C2D5698">
            <w:pPr>
              <w:keepNext w:val="0"/>
              <w:keepLines w:val="0"/>
              <w:pageBreakBefore w:val="0"/>
              <w:widowControl w:val="0"/>
              <w:kinsoku/>
              <w:wordWrap/>
              <w:overflowPunct/>
              <w:topLinePunct w:val="0"/>
              <w:autoSpaceDE/>
              <w:autoSpaceDN/>
              <w:bidi w:val="0"/>
              <w:adjustRightInd/>
              <w:snapToGrid/>
              <w:spacing w:line="276" w:lineRule="auto"/>
              <w:textAlignment w:val="auto"/>
              <w:rPr>
                <w:szCs w:val="21"/>
              </w:rPr>
            </w:pPr>
            <w:r>
              <w:rPr>
                <w:rFonts w:hint="eastAsia"/>
                <w:szCs w:val="21"/>
              </w:rPr>
              <w:t>构成本采购文件的各个组成文件应互为解释，互为说明：</w:t>
            </w:r>
          </w:p>
          <w:p w14:paraId="14E592FC">
            <w:pPr>
              <w:keepNext w:val="0"/>
              <w:keepLines w:val="0"/>
              <w:pageBreakBefore w:val="0"/>
              <w:widowControl w:val="0"/>
              <w:kinsoku/>
              <w:wordWrap/>
              <w:overflowPunct/>
              <w:topLinePunct w:val="0"/>
              <w:autoSpaceDE/>
              <w:autoSpaceDN/>
              <w:bidi w:val="0"/>
              <w:adjustRightInd/>
              <w:snapToGrid/>
              <w:spacing w:line="276" w:lineRule="auto"/>
              <w:textAlignment w:val="auto"/>
              <w:rPr>
                <w:color w:val="4472C4"/>
                <w:sz w:val="24"/>
              </w:rPr>
            </w:pPr>
            <w:r>
              <w:rPr>
                <w:rFonts w:hint="eastAsia"/>
                <w:szCs w:val="21"/>
              </w:rPr>
              <w:t>除采购文件中有特别规定外，仅适用于招标投标阶段的规定，按更正公告（澄清公告）、谈判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6D598F43"/>
    <w:p w14:paraId="750F8E41">
      <w:pPr>
        <w:spacing w:before="120" w:line="320" w:lineRule="atLeast"/>
        <w:outlineLvl w:val="1"/>
        <w:rPr>
          <w:b/>
          <w:bCs/>
          <w:kern w:val="0"/>
          <w:szCs w:val="21"/>
        </w:rPr>
      </w:pPr>
      <w:r>
        <w:br w:type="page"/>
      </w:r>
      <w:bookmarkStart w:id="26" w:name="_Hlk88949215"/>
      <w:bookmarkStart w:id="27" w:name="_Hlk89180124"/>
      <w:r>
        <w:rPr>
          <w:b/>
          <w:bCs/>
          <w:kern w:val="0"/>
          <w:szCs w:val="21"/>
        </w:rPr>
        <w:t>1．总则</w:t>
      </w:r>
    </w:p>
    <w:p w14:paraId="4722D2BE">
      <w:pPr>
        <w:spacing w:before="120" w:line="320" w:lineRule="atLeast"/>
        <w:ind w:firstLine="422" w:firstLineChars="200"/>
        <w:outlineLvl w:val="2"/>
        <w:rPr>
          <w:b/>
          <w:bCs/>
          <w:kern w:val="0"/>
          <w:szCs w:val="21"/>
        </w:rPr>
      </w:pPr>
      <w:bookmarkStart w:id="28" w:name="_Toc254970668"/>
      <w:bookmarkStart w:id="29" w:name="_Toc254970527"/>
      <w:r>
        <w:rPr>
          <w:b/>
          <w:bCs/>
          <w:kern w:val="0"/>
          <w:szCs w:val="21"/>
        </w:rPr>
        <w:t>1.1适用范围</w:t>
      </w:r>
      <w:bookmarkEnd w:id="28"/>
      <w:bookmarkEnd w:id="29"/>
    </w:p>
    <w:p w14:paraId="3090C4DD">
      <w:pPr>
        <w:spacing w:before="120" w:line="320" w:lineRule="atLeast"/>
        <w:ind w:firstLine="420" w:firstLineChars="200"/>
        <w:rPr>
          <w:szCs w:val="21"/>
        </w:rPr>
      </w:pPr>
      <w:r>
        <w:rPr>
          <w:szCs w:val="21"/>
        </w:rPr>
        <w:t>本采购文件适用于供应商须知前附表所述项目的</w:t>
      </w:r>
      <w:r>
        <w:rPr>
          <w:rFonts w:hint="eastAsia"/>
          <w:szCs w:val="21"/>
        </w:rPr>
        <w:t>政府采购活动。</w:t>
      </w:r>
    </w:p>
    <w:p w14:paraId="62B6E5B5">
      <w:pPr>
        <w:spacing w:before="120" w:line="320" w:lineRule="atLeast"/>
        <w:ind w:firstLine="422" w:firstLineChars="200"/>
        <w:outlineLvl w:val="2"/>
        <w:rPr>
          <w:b/>
          <w:bCs/>
          <w:kern w:val="0"/>
          <w:szCs w:val="21"/>
        </w:rPr>
      </w:pPr>
      <w:bookmarkStart w:id="30" w:name="_Toc254970528"/>
      <w:bookmarkStart w:id="31" w:name="_Toc254970669"/>
      <w:r>
        <w:rPr>
          <w:b/>
          <w:bCs/>
          <w:kern w:val="0"/>
          <w:szCs w:val="21"/>
        </w:rPr>
        <w:t>1.2定义</w:t>
      </w:r>
      <w:bookmarkEnd w:id="30"/>
      <w:bookmarkEnd w:id="31"/>
    </w:p>
    <w:p w14:paraId="02FB6C6B">
      <w:pPr>
        <w:spacing w:before="120" w:line="320" w:lineRule="atLeast"/>
        <w:ind w:firstLine="420" w:firstLineChars="200"/>
        <w:rPr>
          <w:szCs w:val="21"/>
        </w:rPr>
      </w:pPr>
      <w:r>
        <w:rPr>
          <w:szCs w:val="21"/>
        </w:rPr>
        <w:t>1.2.1“采购人”系指依法进行政府采购的国家机关、事业单位、团体组织。</w:t>
      </w:r>
    </w:p>
    <w:p w14:paraId="17485A2F">
      <w:pPr>
        <w:spacing w:before="120" w:line="320" w:lineRule="atLeast"/>
        <w:ind w:firstLine="420" w:firstLineChars="200"/>
        <w:rPr>
          <w:szCs w:val="21"/>
        </w:rPr>
      </w:pPr>
      <w:r>
        <w:rPr>
          <w:szCs w:val="21"/>
        </w:rPr>
        <w:t>1.2.2“供应商”系</w:t>
      </w:r>
      <w:r>
        <w:rPr>
          <w:color w:val="000000"/>
        </w:rPr>
        <w:t>指响应招标、参加响应竞争的法人、其他组织或者自然人</w:t>
      </w:r>
      <w:r>
        <w:rPr>
          <w:szCs w:val="21"/>
        </w:rPr>
        <w:t>。</w:t>
      </w:r>
    </w:p>
    <w:p w14:paraId="195EE7B1">
      <w:pPr>
        <w:spacing w:before="120" w:line="360" w:lineRule="auto"/>
        <w:ind w:firstLine="420" w:firstLineChars="200"/>
        <w:rPr>
          <w:rFonts w:hint="eastAsia"/>
        </w:rPr>
      </w:pPr>
      <w:r>
        <w:rPr>
          <w:rFonts w:hint="eastAsia"/>
        </w:rPr>
        <w:t>1.2.3</w:t>
      </w:r>
      <w:r>
        <w:t>本</w:t>
      </w:r>
      <w:r>
        <w:rPr>
          <w:rFonts w:hint="eastAsia"/>
        </w:rPr>
        <w:t>文件</w:t>
      </w:r>
      <w:r>
        <w:t>中的</w:t>
      </w:r>
      <w:r>
        <w:rPr>
          <w:rFonts w:hint="eastAsia"/>
        </w:rPr>
        <w:t>“法定代表人”若无特别说明，当</w:t>
      </w:r>
      <w:r>
        <w:t>供应商是</w:t>
      </w:r>
      <w:r>
        <w:rPr>
          <w:rFonts w:hint="eastAsia"/>
        </w:rPr>
        <w:t>企业的，是指企业法人营业执照上的法定代表人；当</w:t>
      </w:r>
      <w:r>
        <w:t>供应商是</w:t>
      </w:r>
      <w:r>
        <w:rPr>
          <w:rFonts w:hint="eastAsia"/>
        </w:rPr>
        <w:t>事业单位的，是指事业单位法人证书上的法定代表人；当</w:t>
      </w:r>
      <w:r>
        <w:t>供应商是</w:t>
      </w:r>
      <w:r>
        <w:rPr>
          <w:rFonts w:hint="eastAsia"/>
        </w:rPr>
        <w:t>社会团体、民办非企业的，是指法人登记证书中的法定代表人；当</w:t>
      </w:r>
      <w:r>
        <w:t>供应商是</w:t>
      </w:r>
      <w:r>
        <w:rPr>
          <w:rFonts w:hint="eastAsia"/>
        </w:rPr>
        <w:t>个体工商户的，是指个体工商户营业执照上的经营者；</w:t>
      </w:r>
      <w:r>
        <w:t>当供应商是自然人</w:t>
      </w:r>
      <w:r>
        <w:rPr>
          <w:rFonts w:hint="eastAsia"/>
        </w:rPr>
        <w:t>的，是指参与本项目响应的自然人本人。</w:t>
      </w:r>
      <w:r>
        <w:br w:type="textWrapping"/>
      </w:r>
      <w:r>
        <w:t xml:space="preserve">    </w:t>
      </w:r>
      <w:r>
        <w:rPr>
          <w:rFonts w:hint="eastAsia"/>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2F70DB42">
      <w:pPr>
        <w:widowControl/>
        <w:spacing w:line="360" w:lineRule="auto"/>
        <w:ind w:firstLine="420" w:firstLineChars="200"/>
        <w:jc w:val="left"/>
        <w:rPr>
          <w:szCs w:val="21"/>
        </w:rPr>
      </w:pPr>
      <w:r>
        <w:rPr>
          <w:szCs w:val="21"/>
        </w:rPr>
        <w:t>1.2.</w:t>
      </w:r>
      <w:r>
        <w:rPr>
          <w:rFonts w:hint="eastAsia"/>
          <w:szCs w:val="21"/>
        </w:rPr>
        <w:t>5</w:t>
      </w:r>
      <w:r>
        <w:rPr>
          <w:szCs w:val="21"/>
        </w:rPr>
        <w:t>“书面形式”如无特殊规定，</w:t>
      </w:r>
      <w:r>
        <w:rPr>
          <w:rFonts w:hint="eastAsia"/>
          <w:szCs w:val="21"/>
        </w:rPr>
        <w:t>书面形式是合同书、信件、电报、电传等可以有形地表现所载内容的形式。以电子数据交换、电子邮件等方式能够有形地表现所载内容，并可以随时调取查用的数据电文，视为书面形式。</w:t>
      </w:r>
      <w:r>
        <w:rPr>
          <w:szCs w:val="21"/>
        </w:rPr>
        <w:t xml:space="preserve">采购文件如有特殊规定，以采购文件规定为准。 </w:t>
      </w:r>
    </w:p>
    <w:p w14:paraId="2BCDDB29">
      <w:pPr>
        <w:spacing w:before="120" w:line="320" w:lineRule="atLeast"/>
        <w:ind w:firstLine="420" w:firstLineChars="200"/>
        <w:rPr>
          <w:szCs w:val="21"/>
        </w:rPr>
      </w:pPr>
      <w:r>
        <w:rPr>
          <w:szCs w:val="21"/>
        </w:rPr>
        <w:t>1.2.</w:t>
      </w:r>
      <w:r>
        <w:rPr>
          <w:rFonts w:hint="eastAsia"/>
          <w:szCs w:val="21"/>
        </w:rPr>
        <w:t>6本项目的技术商务要求重要性分为“▲”（如有）、“●”（如有）和一般无标识指标。▲代表实质性要求指标，</w:t>
      </w:r>
      <w:r>
        <w:rPr>
          <w:rFonts w:hint="eastAsia"/>
          <w:b/>
          <w:bCs/>
          <w:szCs w:val="21"/>
        </w:rPr>
        <w:t>不满足该指标项将导致响应被否决</w:t>
      </w:r>
      <w:r>
        <w:rPr>
          <w:rFonts w:hint="eastAsia"/>
          <w:szCs w:val="21"/>
        </w:rPr>
        <w:t>，●代表重要指标，无标识则表示一般指标项。</w:t>
      </w:r>
    </w:p>
    <w:p w14:paraId="5D0FD6B4">
      <w:pPr>
        <w:spacing w:before="120" w:line="320" w:lineRule="atLeast"/>
        <w:ind w:firstLine="420" w:firstLineChars="200"/>
        <w:rPr>
          <w:szCs w:val="21"/>
        </w:rPr>
      </w:pPr>
      <w:r>
        <w:rPr>
          <w:szCs w:val="21"/>
        </w:rPr>
        <w:t>1.2.</w:t>
      </w:r>
      <w:r>
        <w:rPr>
          <w:rFonts w:hint="eastAsia"/>
          <w:szCs w:val="21"/>
        </w:rPr>
        <w:t>7 本</w:t>
      </w:r>
      <w:r>
        <w:rPr>
          <w:szCs w:val="21"/>
        </w:rPr>
        <w:t>采购文件</w:t>
      </w:r>
      <w:r>
        <w:rPr>
          <w:rFonts w:hint="eastAsia"/>
          <w:szCs w:val="21"/>
        </w:rPr>
        <w:t>出现多种选项的条款，以“</w:t>
      </w:r>
      <w:r>
        <w:rPr/>
        <w:sym w:font="Wingdings 2" w:char="F052"/>
      </w:r>
      <w:r>
        <w:rPr>
          <w:rFonts w:hint="eastAsia"/>
          <w:szCs w:val="21"/>
        </w:rPr>
        <w:t>”表示本条款所选择的方式。</w:t>
      </w:r>
    </w:p>
    <w:p w14:paraId="219B49FA">
      <w:pPr>
        <w:spacing w:before="120" w:line="320" w:lineRule="atLeast"/>
        <w:ind w:firstLine="420" w:firstLineChars="200"/>
        <w:rPr>
          <w:rFonts w:hint="eastAsia"/>
          <w:szCs w:val="21"/>
        </w:rPr>
      </w:pPr>
      <w:r>
        <w:rPr>
          <w:rFonts w:hint="eastAsia"/>
          <w:szCs w:val="21"/>
        </w:rPr>
        <w:t>1.</w:t>
      </w:r>
      <w:r>
        <w:rPr>
          <w:szCs w:val="21"/>
        </w:rPr>
        <w:t>2</w:t>
      </w:r>
      <w:r>
        <w:rPr>
          <w:rFonts w:hint="eastAsia"/>
          <w:szCs w:val="21"/>
        </w:rPr>
        <w:t>.</w:t>
      </w:r>
      <w:r>
        <w:rPr>
          <w:szCs w:val="21"/>
        </w:rPr>
        <w:t>8 “</w:t>
      </w:r>
      <w:r>
        <w:rPr>
          <w:rFonts w:hint="eastAsia"/>
          <w:szCs w:val="21"/>
        </w:rPr>
        <w:t>电子交易平台</w:t>
      </w:r>
      <w:r>
        <w:rPr>
          <w:szCs w:val="21"/>
        </w:rPr>
        <w:t>”</w:t>
      </w:r>
      <w:r>
        <w:rPr>
          <w:rFonts w:hint="eastAsia"/>
          <w:szCs w:val="21"/>
        </w:rPr>
        <w:t>是指以数据电文形式在线完成采购活动的信息平台，本采购文件中也称</w:t>
      </w:r>
      <w:r>
        <w:rPr>
          <w:szCs w:val="21"/>
        </w:rPr>
        <w:t>“</w:t>
      </w:r>
      <w:r>
        <w:rPr>
          <w:rFonts w:hint="eastAsia"/>
          <w:szCs w:val="21"/>
        </w:rPr>
        <w:t>广西政府采购云平台</w:t>
      </w:r>
      <w:r>
        <w:rPr>
          <w:szCs w:val="21"/>
        </w:rPr>
        <w:t>”</w:t>
      </w:r>
      <w:r>
        <w:rPr>
          <w:rFonts w:hint="eastAsia"/>
          <w:szCs w:val="21"/>
        </w:rPr>
        <w:t>。</w:t>
      </w:r>
    </w:p>
    <w:p w14:paraId="65B68BE6">
      <w:pPr>
        <w:spacing w:before="120" w:line="320" w:lineRule="atLeast"/>
        <w:ind w:firstLine="422" w:firstLineChars="200"/>
        <w:outlineLvl w:val="2"/>
        <w:rPr>
          <w:b/>
          <w:bCs/>
          <w:kern w:val="0"/>
          <w:szCs w:val="21"/>
        </w:rPr>
      </w:pPr>
      <w:r>
        <w:rPr>
          <w:rFonts w:hint="eastAsia"/>
          <w:b/>
          <w:bCs/>
          <w:kern w:val="0"/>
          <w:szCs w:val="21"/>
        </w:rPr>
        <w:t>1</w:t>
      </w:r>
      <w:r>
        <w:rPr>
          <w:b/>
          <w:bCs/>
          <w:kern w:val="0"/>
          <w:szCs w:val="21"/>
        </w:rPr>
        <w:t>.3</w:t>
      </w:r>
      <w:r>
        <w:rPr>
          <w:rFonts w:hint="eastAsia"/>
          <w:b/>
          <w:bCs/>
          <w:kern w:val="0"/>
          <w:szCs w:val="21"/>
        </w:rPr>
        <w:t>项目信息</w:t>
      </w:r>
    </w:p>
    <w:p w14:paraId="531723B3">
      <w:pPr>
        <w:spacing w:before="120" w:line="320" w:lineRule="atLeast"/>
        <w:ind w:firstLine="420" w:firstLineChars="200"/>
        <w:rPr>
          <w:szCs w:val="21"/>
        </w:rPr>
      </w:pPr>
      <w:r>
        <w:rPr>
          <w:rFonts w:hint="eastAsia"/>
          <w:szCs w:val="21"/>
        </w:rPr>
        <w:t>1</w:t>
      </w:r>
      <w:r>
        <w:rPr>
          <w:szCs w:val="21"/>
        </w:rPr>
        <w:t>.3.1</w:t>
      </w:r>
      <w:r>
        <w:rPr>
          <w:rFonts w:hint="eastAsia"/>
          <w:szCs w:val="21"/>
        </w:rPr>
        <w:t>项目名称及编号：详见供应商须知前附表</w:t>
      </w:r>
    </w:p>
    <w:p w14:paraId="791E5A61">
      <w:pPr>
        <w:spacing w:before="120" w:line="320" w:lineRule="atLeast"/>
        <w:ind w:firstLine="420" w:firstLineChars="200"/>
        <w:rPr>
          <w:szCs w:val="21"/>
        </w:rPr>
      </w:pPr>
      <w:r>
        <w:rPr>
          <w:rFonts w:hint="eastAsia"/>
          <w:szCs w:val="21"/>
        </w:rPr>
        <w:t>1</w:t>
      </w:r>
      <w:r>
        <w:rPr>
          <w:szCs w:val="21"/>
        </w:rPr>
        <w:t>.3.2</w:t>
      </w:r>
      <w:r>
        <w:rPr>
          <w:rFonts w:hint="eastAsia"/>
          <w:szCs w:val="21"/>
        </w:rPr>
        <w:t>采购方式：详见供应商须知前附表</w:t>
      </w:r>
    </w:p>
    <w:p w14:paraId="7B633D14">
      <w:pPr>
        <w:spacing w:before="120" w:line="320" w:lineRule="atLeast"/>
        <w:ind w:firstLine="422" w:firstLineChars="200"/>
        <w:outlineLvl w:val="2"/>
        <w:rPr>
          <w:rFonts w:hint="eastAsia"/>
          <w:b/>
          <w:bCs/>
          <w:kern w:val="0"/>
          <w:szCs w:val="21"/>
        </w:rPr>
      </w:pPr>
      <w:r>
        <w:rPr>
          <w:rFonts w:hint="eastAsia"/>
          <w:b/>
          <w:bCs/>
          <w:kern w:val="0"/>
          <w:szCs w:val="21"/>
        </w:rPr>
        <w:t>1.4促进中小企业发展政策</w:t>
      </w:r>
    </w:p>
    <w:p w14:paraId="43F7EF92">
      <w:pPr>
        <w:spacing w:before="120" w:line="320" w:lineRule="atLeast"/>
        <w:ind w:firstLine="420" w:firstLineChars="200"/>
        <w:rPr>
          <w:rFonts w:hint="eastAsia"/>
          <w:szCs w:val="21"/>
        </w:rPr>
      </w:pPr>
      <w:r>
        <w:rPr>
          <w:rFonts w:hint="eastAsia"/>
          <w:szCs w:val="21"/>
        </w:rPr>
        <w:t>1.4.1本项目落实促进中小企业发展政策措施在前附表规定。依据促进中小企业发展政策获得政府采购合同的，小微企业不得将合同分包给大中型企业，中型企业不得将合同分包给大型企业。</w:t>
      </w:r>
    </w:p>
    <w:p w14:paraId="2CDF9342">
      <w:pPr>
        <w:spacing w:before="120" w:line="320" w:lineRule="atLeast"/>
        <w:ind w:firstLine="420" w:firstLineChars="200"/>
        <w:rPr>
          <w:rFonts w:hint="eastAsia"/>
          <w:szCs w:val="21"/>
        </w:rPr>
      </w:pPr>
      <w:r>
        <w:rPr>
          <w:rFonts w:hint="eastAsia"/>
          <w:szCs w:val="21"/>
        </w:rPr>
        <w:t>根据《政府采购促进中小企业发展管理办法》（财库</w:t>
      </w:r>
      <w:r>
        <w:rPr>
          <w:rFonts w:hint="eastAsia"/>
          <w:szCs w:val="21"/>
          <w:lang w:eastAsia="zh-CN"/>
        </w:rPr>
        <w:t>〔2020〕46号</w:t>
      </w:r>
      <w:r>
        <w:rPr>
          <w:rFonts w:hint="eastAsia"/>
          <w:szCs w:val="21"/>
        </w:rPr>
        <w:t>）第九条以及《广西壮族自治区财政厅 广西壮族自治区工业和信息化厅转发财政部 工业和信息化部政府采购促进中小企业发展管理办法的通知》（桂财采</w:t>
      </w:r>
      <w:r>
        <w:rPr>
          <w:rFonts w:hint="eastAsia"/>
          <w:szCs w:val="21"/>
          <w:lang w:eastAsia="zh-CN"/>
        </w:rPr>
        <w:t>〔2021〕70号</w:t>
      </w:r>
      <w:r>
        <w:rPr>
          <w:rFonts w:hint="eastAsia"/>
          <w:szCs w:val="21"/>
        </w:rPr>
        <w:t>）规定，价格扣除比例在第四章评审方法及标准中规定，对小型企业和微型企业同等对待，不作区分。</w:t>
      </w:r>
    </w:p>
    <w:p w14:paraId="7156897B">
      <w:pPr>
        <w:spacing w:before="120" w:line="320" w:lineRule="atLeast"/>
        <w:ind w:firstLine="420" w:firstLineChars="200"/>
        <w:rPr>
          <w:rFonts w:hint="eastAsia"/>
          <w:szCs w:val="21"/>
        </w:rPr>
      </w:pPr>
      <w:r>
        <w:rPr>
          <w:rFonts w:hint="eastAsia"/>
          <w:szCs w:val="21"/>
        </w:rPr>
        <w:t>1.4.2中小企业定义</w:t>
      </w:r>
    </w:p>
    <w:p w14:paraId="67FE420E">
      <w:pPr>
        <w:spacing w:before="120" w:line="320" w:lineRule="atLeast"/>
        <w:ind w:firstLine="420" w:firstLineChars="200"/>
        <w:rPr>
          <w:rFonts w:hint="eastAsia"/>
          <w:szCs w:val="21"/>
        </w:rPr>
      </w:pPr>
      <w:r>
        <w:rPr>
          <w:rFonts w:hint="eastAsia"/>
          <w:szCs w:val="21"/>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5B753AB1">
      <w:pPr>
        <w:spacing w:before="120" w:line="320" w:lineRule="atLeast"/>
        <w:ind w:firstLine="420" w:firstLineChars="200"/>
        <w:rPr>
          <w:rFonts w:hint="eastAsia"/>
          <w:szCs w:val="21"/>
        </w:rPr>
      </w:pPr>
      <w:r>
        <w:rPr>
          <w:rFonts w:hint="eastAsia"/>
          <w:szCs w:val="21"/>
        </w:rPr>
        <w:t>1.4.</w:t>
      </w:r>
      <w:r>
        <w:rPr>
          <w:szCs w:val="21"/>
        </w:rPr>
        <w:t>2</w:t>
      </w:r>
      <w:r>
        <w:rPr>
          <w:rFonts w:hint="eastAsia"/>
          <w:szCs w:val="21"/>
        </w:rPr>
        <w:t>.2供应商提供的货物、工程或者服务符合下列情形的，享受本款规定的促进中小企业发展政策：</w:t>
      </w:r>
    </w:p>
    <w:p w14:paraId="4E7A23EB">
      <w:pPr>
        <w:spacing w:before="120" w:line="320" w:lineRule="atLeast"/>
        <w:ind w:firstLine="420" w:firstLineChars="200"/>
        <w:rPr>
          <w:rFonts w:hint="eastAsia"/>
          <w:szCs w:val="21"/>
        </w:rPr>
      </w:pPr>
      <w:r>
        <w:rPr>
          <w:rFonts w:hint="eastAsia"/>
          <w:szCs w:val="21"/>
        </w:rPr>
        <w:t>在货物采购项目中，货物由中小企业制造，即货物由中小企业生产且使用该中小企业商号或者注册商标；</w:t>
      </w:r>
    </w:p>
    <w:p w14:paraId="09B3AF51">
      <w:pPr>
        <w:spacing w:before="120" w:line="320" w:lineRule="atLeast"/>
        <w:ind w:firstLine="420" w:firstLineChars="200"/>
        <w:rPr>
          <w:rFonts w:hint="eastAsia"/>
          <w:szCs w:val="21"/>
        </w:rPr>
      </w:pPr>
      <w:r>
        <w:rPr>
          <w:rFonts w:hint="eastAsia"/>
          <w:szCs w:val="21"/>
        </w:rPr>
        <w:t>在工程采购项目中，工程由中小企业承建，即工程施工单位为中小企业；</w:t>
      </w:r>
    </w:p>
    <w:p w14:paraId="440B2A41">
      <w:pPr>
        <w:spacing w:before="120" w:line="320" w:lineRule="atLeast"/>
        <w:ind w:firstLine="420" w:firstLineChars="200"/>
        <w:rPr>
          <w:rFonts w:hint="eastAsia"/>
          <w:szCs w:val="21"/>
        </w:rPr>
      </w:pPr>
      <w:r>
        <w:rPr>
          <w:rFonts w:hint="eastAsia"/>
          <w:szCs w:val="21"/>
        </w:rPr>
        <w:t>在服务采购项目中，服务由中小企业承接，即提供服务的人员为中小企业依照《中华人民共和国劳动合同法》订立劳动合同的从业人员。</w:t>
      </w:r>
    </w:p>
    <w:p w14:paraId="46BAAE52">
      <w:pPr>
        <w:spacing w:before="120" w:line="320" w:lineRule="atLeast"/>
        <w:ind w:firstLine="420" w:firstLineChars="200"/>
        <w:rPr>
          <w:rFonts w:hint="eastAsia"/>
          <w:szCs w:val="21"/>
        </w:rPr>
      </w:pPr>
      <w:r>
        <w:rPr>
          <w:rFonts w:hint="eastAsia"/>
          <w:szCs w:val="21"/>
        </w:rPr>
        <w:t>在货物采购项目中，供应商提供的货物既有中小企业制造货物，也有大型企业制造货物的，不享受本款规定的促进中小企业发展政策。</w:t>
      </w:r>
    </w:p>
    <w:p w14:paraId="076B1B0E">
      <w:pPr>
        <w:spacing w:before="120" w:line="320" w:lineRule="atLeast"/>
        <w:ind w:firstLine="420" w:firstLineChars="200"/>
        <w:rPr>
          <w:rFonts w:hint="eastAsia"/>
          <w:szCs w:val="21"/>
        </w:rPr>
      </w:pPr>
      <w:r>
        <w:rPr>
          <w:rFonts w:hint="eastAsia"/>
          <w:szCs w:val="21"/>
        </w:rPr>
        <w:t>1.4.</w:t>
      </w:r>
      <w:r>
        <w:rPr>
          <w:szCs w:val="21"/>
        </w:rPr>
        <w:t>2</w:t>
      </w:r>
      <w:r>
        <w:rPr>
          <w:rFonts w:hint="eastAsia"/>
          <w:szCs w:val="21"/>
        </w:rPr>
        <w:t>.3本项目标的所属行业在第二章采购需求中规定。供应商根据中小企业划分标准（《关于印发中小企业划型标准规定的通知》（工信部联企业〔2011〕300号）判断是否为中小企业。（见附件）</w:t>
      </w:r>
    </w:p>
    <w:p w14:paraId="34BB6407">
      <w:pPr>
        <w:spacing w:before="120" w:line="320" w:lineRule="atLeast"/>
        <w:ind w:firstLine="420" w:firstLineChars="200"/>
        <w:rPr>
          <w:rFonts w:hint="eastAsia"/>
          <w:szCs w:val="21"/>
        </w:rPr>
      </w:pPr>
      <w:r>
        <w:rPr>
          <w:rFonts w:hint="eastAsia"/>
          <w:szCs w:val="21"/>
        </w:rPr>
        <w:t>符合条件的货物制造商、工程施工单位、服务承接单位为中小企业的，应按采购文件规定在响应文件中提供声明函。</w:t>
      </w:r>
    </w:p>
    <w:p w14:paraId="1FBA6CC9">
      <w:pPr>
        <w:spacing w:before="120" w:line="320" w:lineRule="atLeast"/>
        <w:ind w:firstLine="420" w:firstLineChars="200"/>
        <w:rPr>
          <w:rFonts w:hint="eastAsia"/>
          <w:szCs w:val="21"/>
        </w:rPr>
      </w:pPr>
      <w:r>
        <w:rPr>
          <w:rFonts w:hint="eastAsia"/>
          <w:szCs w:val="21"/>
        </w:rPr>
        <w:t>1.4.</w:t>
      </w:r>
      <w:r>
        <w:rPr>
          <w:szCs w:val="21"/>
        </w:rPr>
        <w:t>2</w:t>
      </w:r>
      <w:r>
        <w:rPr>
          <w:rFonts w:hint="eastAsia"/>
          <w:szCs w:val="21"/>
        </w:rPr>
        <w:t>.4视同中小企业情形</w:t>
      </w:r>
    </w:p>
    <w:p w14:paraId="05A60CF4">
      <w:pPr>
        <w:spacing w:before="120" w:line="320" w:lineRule="atLeast"/>
        <w:ind w:firstLine="420" w:firstLineChars="200"/>
        <w:rPr>
          <w:rFonts w:hint="eastAsia"/>
          <w:szCs w:val="21"/>
        </w:rPr>
      </w:pPr>
      <w:r>
        <w:rPr>
          <w:rFonts w:hint="eastAsia"/>
          <w:szCs w:val="21"/>
        </w:rPr>
        <w:t>（1）符合中小企业划分标准的个体工商户，视同中小企业。</w:t>
      </w:r>
    </w:p>
    <w:p w14:paraId="059A4836">
      <w:pPr>
        <w:spacing w:before="120" w:line="320" w:lineRule="atLeast"/>
        <w:ind w:firstLine="420" w:firstLineChars="200"/>
        <w:rPr>
          <w:rFonts w:hint="eastAsia"/>
          <w:szCs w:val="21"/>
        </w:rPr>
      </w:pPr>
      <w:r>
        <w:rPr>
          <w:rFonts w:hint="eastAsia"/>
          <w:szCs w:val="21"/>
        </w:rPr>
        <w:t>（2）以联合体形式参加政府采购活动，联合体各方均为中小企业的，联合体视同中小企业。其中，联合体各方均为小微企业的，联合体视同小微企业。</w:t>
      </w:r>
    </w:p>
    <w:p w14:paraId="5886B3F6">
      <w:pPr>
        <w:spacing w:before="120" w:line="320" w:lineRule="atLeast"/>
        <w:ind w:firstLine="420" w:firstLineChars="200"/>
        <w:rPr>
          <w:rFonts w:hint="eastAsia"/>
          <w:szCs w:val="21"/>
        </w:rPr>
      </w:pPr>
      <w:r>
        <w:rPr>
          <w:rFonts w:hint="eastAsia"/>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28BA03C4">
      <w:pPr>
        <w:spacing w:before="120" w:line="320" w:lineRule="atLeast"/>
        <w:ind w:firstLine="420" w:firstLineChars="200"/>
        <w:rPr>
          <w:rFonts w:hint="eastAsia"/>
          <w:szCs w:val="21"/>
        </w:rPr>
      </w:pPr>
      <w:r>
        <w:rPr>
          <w:rFonts w:hint="eastAsia"/>
          <w:szCs w:val="21"/>
        </w:rPr>
        <w:t>符合条件的货物制造商、工程施工单位、服务承接单位为监狱企业或残疾人福利性单位的，应按采购文件规定在响应文件中提供相关证明文件。</w:t>
      </w:r>
    </w:p>
    <w:p w14:paraId="11CE03F4">
      <w:pPr>
        <w:spacing w:before="120" w:line="320" w:lineRule="atLeast"/>
        <w:ind w:firstLine="422" w:firstLineChars="200"/>
        <w:outlineLvl w:val="2"/>
        <w:rPr>
          <w:b/>
          <w:bCs/>
          <w:kern w:val="0"/>
          <w:szCs w:val="21"/>
        </w:rPr>
      </w:pPr>
      <w:r>
        <w:rPr>
          <w:b/>
          <w:bCs/>
          <w:kern w:val="0"/>
          <w:szCs w:val="21"/>
        </w:rPr>
        <w:t>1.5供应商资格</w:t>
      </w:r>
      <w:r>
        <w:rPr>
          <w:rFonts w:hint="eastAsia"/>
          <w:b/>
          <w:bCs/>
          <w:kern w:val="0"/>
          <w:szCs w:val="21"/>
        </w:rPr>
        <w:t>要求</w:t>
      </w:r>
    </w:p>
    <w:p w14:paraId="716014C2">
      <w:pPr>
        <w:spacing w:before="120" w:line="320" w:lineRule="atLeast"/>
        <w:ind w:firstLine="420" w:firstLineChars="200"/>
        <w:rPr>
          <w:szCs w:val="21"/>
        </w:rPr>
      </w:pPr>
      <w:r>
        <w:rPr>
          <w:szCs w:val="21"/>
        </w:rPr>
        <w:t>1.5.1</w:t>
      </w:r>
      <w:r>
        <w:rPr>
          <w:rFonts w:hint="eastAsia"/>
          <w:szCs w:val="21"/>
        </w:rPr>
        <w:t>供应商资格要求：详见供应商须知前附表</w:t>
      </w:r>
    </w:p>
    <w:p w14:paraId="6AC18EAC">
      <w:pPr>
        <w:spacing w:before="120" w:line="320" w:lineRule="atLeast"/>
        <w:ind w:firstLine="420" w:firstLineChars="200"/>
        <w:rPr>
          <w:szCs w:val="21"/>
        </w:rPr>
      </w:pPr>
      <w:r>
        <w:rPr>
          <w:szCs w:val="21"/>
        </w:rPr>
        <w:t>1.5.2按照谈判公告的规定获得采购文件。</w:t>
      </w:r>
    </w:p>
    <w:p w14:paraId="523914A4">
      <w:pPr>
        <w:spacing w:before="120" w:line="320" w:lineRule="atLeast"/>
        <w:ind w:firstLine="420" w:firstLineChars="200"/>
        <w:rPr>
          <w:szCs w:val="21"/>
        </w:rPr>
      </w:pPr>
      <w:r>
        <w:rPr>
          <w:szCs w:val="21"/>
        </w:rPr>
        <w:t>1.5.3本项目是否接受联合体响应，见“供应商须知前附表”规定。</w:t>
      </w:r>
    </w:p>
    <w:p w14:paraId="0B06A051">
      <w:pPr>
        <w:spacing w:before="120" w:line="320" w:lineRule="atLeast"/>
        <w:ind w:firstLine="420" w:firstLineChars="200"/>
        <w:rPr>
          <w:szCs w:val="21"/>
        </w:rPr>
      </w:pPr>
      <w:r>
        <w:rPr>
          <w:rFonts w:hint="eastAsia"/>
          <w:szCs w:val="21"/>
        </w:rPr>
        <w:t xml:space="preserve">如接受联合体响应，联合体响应要求如下： </w:t>
      </w:r>
    </w:p>
    <w:p w14:paraId="2ECA4684">
      <w:pPr>
        <w:spacing w:before="120" w:line="320" w:lineRule="atLeast"/>
        <w:ind w:firstLine="420" w:firstLineChars="200"/>
        <w:rPr>
          <w:szCs w:val="21"/>
        </w:rPr>
      </w:pPr>
      <w:r>
        <w:rPr>
          <w:rFonts w:hint="eastAsia"/>
          <w:szCs w:val="21"/>
        </w:rPr>
        <w:t>（</w:t>
      </w:r>
      <w:r>
        <w:rPr>
          <w:szCs w:val="21"/>
        </w:rPr>
        <w:t>1</w:t>
      </w:r>
      <w:r>
        <w:rPr>
          <w:rFonts w:hint="eastAsia"/>
          <w:szCs w:val="21"/>
        </w:rPr>
        <w:t>）供应商可以组成一个响应联合体，以一个供应商的身份共同参加响应。联合体响应的，须提供《联合体协议书》（格式后附）</w:t>
      </w:r>
    </w:p>
    <w:p w14:paraId="2E1AB2E9">
      <w:pPr>
        <w:spacing w:before="120" w:line="320" w:lineRule="atLeast"/>
        <w:ind w:firstLine="420" w:firstLineChars="200"/>
        <w:rPr>
          <w:szCs w:val="21"/>
        </w:rPr>
      </w:pPr>
      <w:r>
        <w:rPr>
          <w:rFonts w:hint="eastAsia"/>
          <w:szCs w:val="21"/>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13BDAFB5">
      <w:pPr>
        <w:spacing w:before="120" w:line="320" w:lineRule="atLeast"/>
        <w:ind w:firstLine="420" w:firstLineChars="200"/>
        <w:rPr>
          <w:szCs w:val="21"/>
        </w:rPr>
      </w:pPr>
      <w:r>
        <w:rPr>
          <w:rFonts w:hint="eastAsia"/>
          <w:szCs w:val="21"/>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73C42CD9">
      <w:pPr>
        <w:spacing w:before="120" w:line="320" w:lineRule="atLeast"/>
        <w:ind w:firstLine="420" w:firstLineChars="200"/>
        <w:rPr>
          <w:szCs w:val="21"/>
        </w:rPr>
      </w:pPr>
      <w:r>
        <w:rPr>
          <w:rFonts w:hint="eastAsia"/>
          <w:szCs w:val="21"/>
        </w:rPr>
        <w:t>（4）以联合体形式参加政府采购活动的，联合体各方不得再单独参加或者与其他供应商另外组成联合体参加同一合同项下的政府采购活动。</w:t>
      </w:r>
    </w:p>
    <w:p w14:paraId="5ED441E9">
      <w:pPr>
        <w:spacing w:before="120" w:line="320" w:lineRule="atLeast"/>
        <w:ind w:firstLine="420" w:firstLineChars="200"/>
        <w:rPr>
          <w:szCs w:val="21"/>
        </w:rPr>
      </w:pPr>
      <w:r>
        <w:rPr>
          <w:rFonts w:hint="eastAsia"/>
          <w:szCs w:val="21"/>
        </w:rPr>
        <w:t>（5）联合体中有同类资质的供应商按照联合体分工承担相同工作的，应当按照资质等级较低的供应商确定资质等级。</w:t>
      </w:r>
    </w:p>
    <w:p w14:paraId="659A48CE">
      <w:pPr>
        <w:spacing w:before="120" w:line="320" w:lineRule="atLeast"/>
        <w:ind w:firstLine="420" w:firstLineChars="200"/>
        <w:rPr>
          <w:szCs w:val="21"/>
        </w:rPr>
      </w:pPr>
      <w:r>
        <w:rPr>
          <w:rFonts w:hint="eastAsia"/>
          <w:szCs w:val="21"/>
        </w:rPr>
        <w:t>（6）联合体响应业绩、履约能力按照联合体各方其中较高的一方认定并计算（采购文件其他章节另有规定的除外）。</w:t>
      </w:r>
    </w:p>
    <w:p w14:paraId="4BC9C728">
      <w:pPr>
        <w:spacing w:before="120" w:line="320" w:lineRule="atLeast"/>
        <w:ind w:firstLine="420" w:firstLineChars="200"/>
        <w:rPr>
          <w:szCs w:val="21"/>
        </w:rPr>
      </w:pPr>
      <w:r>
        <w:rPr>
          <w:rFonts w:hint="eastAsia"/>
          <w:szCs w:val="21"/>
        </w:rPr>
        <w:t>（7）供应商为联合体的，可以由联合体中的一方或者多方共同交纳谈判保证金，其交纳的保证金对联合体各方均具有约束力。</w:t>
      </w:r>
    </w:p>
    <w:p w14:paraId="227C724A">
      <w:pPr>
        <w:spacing w:before="120" w:line="320" w:lineRule="atLeast"/>
        <w:ind w:firstLine="420" w:firstLineChars="200"/>
        <w:rPr>
          <w:szCs w:val="21"/>
        </w:rPr>
      </w:pPr>
      <w:r>
        <w:rPr>
          <w:rFonts w:hint="eastAsia"/>
          <w:szCs w:val="21"/>
        </w:rPr>
        <w:t>（8）联合体各方均应按照采购文件的规定提交资格证明文件。</w:t>
      </w:r>
    </w:p>
    <w:p w14:paraId="0EDAF716">
      <w:pPr>
        <w:spacing w:before="120" w:line="320" w:lineRule="atLeast"/>
        <w:ind w:firstLine="422" w:firstLineChars="200"/>
        <w:outlineLvl w:val="2"/>
        <w:rPr>
          <w:b/>
          <w:bCs/>
          <w:kern w:val="0"/>
          <w:szCs w:val="21"/>
        </w:rPr>
      </w:pPr>
      <w:bookmarkStart w:id="32" w:name="_Toc254970672"/>
      <w:bookmarkStart w:id="33" w:name="_Toc254970531"/>
      <w:r>
        <w:rPr>
          <w:b/>
          <w:bCs/>
          <w:kern w:val="0"/>
          <w:szCs w:val="21"/>
        </w:rPr>
        <w:t>1.6现场踏勘及响应费用</w:t>
      </w:r>
      <w:bookmarkEnd w:id="32"/>
      <w:bookmarkEnd w:id="33"/>
    </w:p>
    <w:p w14:paraId="3EAD3D37">
      <w:pPr>
        <w:spacing w:before="120" w:line="320" w:lineRule="atLeast"/>
        <w:ind w:firstLine="420" w:firstLineChars="200"/>
        <w:rPr>
          <w:szCs w:val="21"/>
        </w:rPr>
      </w:pPr>
      <w:r>
        <w:rPr>
          <w:szCs w:val="21"/>
        </w:rPr>
        <w:t>1.6.1前附表如规定现场踏勘的，供应商应按规定时间地点参加踏勘。</w:t>
      </w:r>
    </w:p>
    <w:p w14:paraId="6B56FBE7">
      <w:pPr>
        <w:spacing w:before="120" w:line="320" w:lineRule="atLeast"/>
        <w:ind w:firstLine="420" w:firstLineChars="200"/>
        <w:rPr>
          <w:szCs w:val="21"/>
        </w:rPr>
      </w:pPr>
      <w:r>
        <w:rPr>
          <w:szCs w:val="21"/>
        </w:rPr>
        <w:t>1.6.2供应商均应自行承担所有与响应有关的全部费用（采购文件有相关的规定除外）。</w:t>
      </w:r>
    </w:p>
    <w:p w14:paraId="119B677E">
      <w:pPr>
        <w:spacing w:before="120" w:line="320" w:lineRule="atLeast"/>
        <w:ind w:firstLine="422" w:firstLineChars="200"/>
        <w:outlineLvl w:val="2"/>
        <w:rPr>
          <w:b/>
          <w:bCs/>
          <w:kern w:val="0"/>
          <w:szCs w:val="21"/>
        </w:rPr>
      </w:pPr>
      <w:r>
        <w:rPr>
          <w:b/>
          <w:bCs/>
          <w:kern w:val="0"/>
          <w:szCs w:val="21"/>
        </w:rPr>
        <w:t>1.7转包与分包</w:t>
      </w:r>
    </w:p>
    <w:p w14:paraId="5B9A7F26">
      <w:pPr>
        <w:spacing w:before="120" w:line="320" w:lineRule="atLeast"/>
        <w:ind w:firstLine="420" w:firstLineChars="200"/>
        <w:rPr>
          <w:szCs w:val="21"/>
        </w:rPr>
      </w:pPr>
      <w:r>
        <w:rPr>
          <w:szCs w:val="21"/>
        </w:rPr>
        <w:t>1.7.1如</w:t>
      </w:r>
      <w:r>
        <w:rPr>
          <w:rFonts w:hint="eastAsia"/>
          <w:szCs w:val="21"/>
        </w:rPr>
        <w:t>采购文件</w:t>
      </w:r>
      <w:r>
        <w:rPr>
          <w:szCs w:val="21"/>
        </w:rPr>
        <w:t>其他地方无特别规定</w:t>
      </w:r>
      <w:r>
        <w:rPr>
          <w:rFonts w:hint="eastAsia"/>
          <w:szCs w:val="21"/>
        </w:rPr>
        <w:t>，</w:t>
      </w:r>
      <w:r>
        <w:rPr>
          <w:szCs w:val="21"/>
        </w:rPr>
        <w:t>本项目不允许转包。</w:t>
      </w:r>
    </w:p>
    <w:p w14:paraId="3432D716">
      <w:pPr>
        <w:spacing w:before="120" w:line="320" w:lineRule="atLeast"/>
        <w:ind w:firstLine="420" w:firstLineChars="200"/>
        <w:rPr>
          <w:szCs w:val="21"/>
        </w:rPr>
      </w:pPr>
      <w:r>
        <w:rPr>
          <w:szCs w:val="21"/>
        </w:rPr>
        <w:t>1.7.2</w:t>
      </w:r>
      <w:r>
        <w:rPr>
          <w:rFonts w:hint="eastAsia"/>
          <w:szCs w:val="21"/>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7F59941C">
      <w:pPr>
        <w:spacing w:before="120" w:line="276" w:lineRule="auto"/>
        <w:ind w:firstLine="422" w:firstLineChars="200"/>
        <w:outlineLvl w:val="2"/>
        <w:rPr>
          <w:b/>
          <w:bCs/>
          <w:kern w:val="0"/>
          <w:szCs w:val="21"/>
        </w:rPr>
      </w:pPr>
      <w:bookmarkStart w:id="34" w:name="_Toc254970673"/>
      <w:bookmarkStart w:id="35" w:name="_Toc254970532"/>
      <w:r>
        <w:rPr>
          <w:b/>
          <w:bCs/>
          <w:kern w:val="0"/>
          <w:szCs w:val="21"/>
        </w:rPr>
        <w:t>1.8特别说明</w:t>
      </w:r>
      <w:bookmarkEnd w:id="34"/>
      <w:bookmarkEnd w:id="35"/>
    </w:p>
    <w:p w14:paraId="1D477B35">
      <w:pPr>
        <w:spacing w:line="276" w:lineRule="auto"/>
        <w:ind w:firstLine="420" w:firstLineChars="200"/>
        <w:rPr>
          <w:szCs w:val="21"/>
        </w:rPr>
      </w:pPr>
      <w:r>
        <w:rPr>
          <w:szCs w:val="21"/>
        </w:rPr>
        <w:t>1.8.1 供应商应保证其提供的联系方式（电话、传真、电子邮件）有效，以保证往来函件（澄清、修改等）能及时通知供应商，并能及时反馈，否则采购人</w:t>
      </w:r>
      <w:r>
        <w:rPr>
          <w:rFonts w:hint="eastAsia"/>
          <w:szCs w:val="21"/>
        </w:rPr>
        <w:t>及代理机构</w:t>
      </w:r>
      <w:r>
        <w:rPr>
          <w:szCs w:val="21"/>
        </w:rPr>
        <w:t>不承担由此引起的一切后果。</w:t>
      </w:r>
    </w:p>
    <w:p w14:paraId="13E7C91E">
      <w:pPr>
        <w:spacing w:before="120" w:line="320" w:lineRule="atLeast"/>
        <w:ind w:firstLine="420" w:firstLineChars="200"/>
        <w:rPr>
          <w:szCs w:val="21"/>
        </w:rPr>
      </w:pPr>
      <w:r>
        <w:rPr>
          <w:szCs w:val="21"/>
        </w:rPr>
        <w:t>1.8.2供应商应仔细阅读采购文件的所有内容，按照采购文件的要求提交响应文件，并对所提供的全部资料的真实性承担法律责任。</w:t>
      </w:r>
    </w:p>
    <w:p w14:paraId="2D23E3E6">
      <w:pPr>
        <w:spacing w:before="120" w:line="360" w:lineRule="auto"/>
        <w:ind w:firstLine="420" w:firstLineChars="200"/>
        <w:rPr>
          <w:szCs w:val="21"/>
        </w:rPr>
      </w:pPr>
      <w:r>
        <w:rPr>
          <w:szCs w:val="21"/>
        </w:rPr>
        <w:t>1.8.3供应商在响应活动中提供任何虚假材料，</w:t>
      </w:r>
      <w:r>
        <w:rPr>
          <w:rFonts w:hint="eastAsia"/>
          <w:szCs w:val="21"/>
        </w:rPr>
        <w:t>将</w:t>
      </w:r>
      <w:r>
        <w:rPr>
          <w:szCs w:val="21"/>
        </w:rPr>
        <w:t xml:space="preserve">报监管部门查处； </w:t>
      </w:r>
    </w:p>
    <w:p w14:paraId="52FE1D1C">
      <w:pPr>
        <w:spacing w:before="120" w:line="276" w:lineRule="auto"/>
        <w:ind w:firstLine="422" w:firstLineChars="200"/>
        <w:outlineLvl w:val="2"/>
        <w:rPr>
          <w:b/>
          <w:bCs/>
          <w:kern w:val="0"/>
          <w:szCs w:val="21"/>
          <w:highlight w:val="none"/>
        </w:rPr>
      </w:pPr>
      <w:r>
        <w:rPr>
          <w:rFonts w:hint="eastAsia"/>
          <w:b/>
          <w:bCs/>
          <w:kern w:val="0"/>
          <w:szCs w:val="21"/>
          <w:highlight w:val="none"/>
        </w:rPr>
        <w:t>1</w:t>
      </w:r>
      <w:r>
        <w:rPr>
          <w:b/>
          <w:bCs/>
          <w:kern w:val="0"/>
          <w:szCs w:val="21"/>
          <w:highlight w:val="none"/>
        </w:rPr>
        <w:t>.</w:t>
      </w:r>
      <w:r>
        <w:rPr>
          <w:rFonts w:hint="eastAsia"/>
          <w:b/>
          <w:bCs/>
          <w:kern w:val="0"/>
          <w:szCs w:val="21"/>
          <w:highlight w:val="none"/>
          <w:lang w:val="en-US" w:eastAsia="zh-CN"/>
        </w:rPr>
        <w:t xml:space="preserve">9 </w:t>
      </w:r>
      <w:r>
        <w:rPr>
          <w:rFonts w:hint="eastAsia"/>
          <w:b/>
          <w:bCs/>
          <w:kern w:val="0"/>
          <w:szCs w:val="21"/>
          <w:highlight w:val="none"/>
        </w:rPr>
        <w:t>对本国产品的支持政策</w:t>
      </w:r>
    </w:p>
    <w:p w14:paraId="1735F010">
      <w:pPr>
        <w:spacing w:before="120" w:line="360" w:lineRule="auto"/>
        <w:ind w:left="819" w:leftChars="190" w:hanging="420" w:hangingChars="200"/>
        <w:rPr>
          <w:rFonts w:hint="default"/>
          <w:szCs w:val="21"/>
          <w:highlight w:val="none"/>
          <w:lang w:val="en-US" w:eastAsia="zh-CN"/>
        </w:rPr>
      </w:pPr>
      <w:r>
        <w:rPr>
          <w:rFonts w:hint="eastAsia"/>
          <w:szCs w:val="21"/>
          <w:highlight w:val="none"/>
          <w:lang w:val="en-US" w:eastAsia="zh-CN"/>
        </w:rPr>
        <w:t>1.9.1</w:t>
      </w:r>
      <w:r>
        <w:rPr>
          <w:rFonts w:hint="default"/>
          <w:szCs w:val="21"/>
          <w:highlight w:val="none"/>
          <w:lang w:val="en-US" w:eastAsia="zh-CN"/>
        </w:rPr>
        <w:t>本国产品标准</w:t>
      </w:r>
    </w:p>
    <w:p w14:paraId="62AA31E9">
      <w:pPr>
        <w:spacing w:line="276" w:lineRule="auto"/>
        <w:ind w:firstLine="420" w:firstLineChars="200"/>
        <w:rPr>
          <w:rFonts w:hint="eastAsia"/>
          <w:szCs w:val="21"/>
          <w:highlight w:val="none"/>
          <w:lang w:val="en-US" w:eastAsia="zh-CN"/>
        </w:rPr>
      </w:pPr>
      <w:r>
        <w:rPr>
          <w:rFonts w:hint="eastAsia"/>
          <w:szCs w:val="21"/>
          <w:highlight w:val="none"/>
          <w:lang w:val="en-US" w:eastAsia="zh-CN"/>
        </w:rPr>
        <w:t>“本国产品标准的产品”是指：符合《国务院办公厅关于在政府采购中实施本国产品标准及相关政策的通知》（国办发〔2025〕34号）规定的本国产品标准的产品。</w:t>
      </w:r>
    </w:p>
    <w:p w14:paraId="3C8D8837">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本国产品标准的产品应当符合以下条件：</w:t>
      </w:r>
    </w:p>
    <w:p w14:paraId="1412411B">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lang w:val="en-US" w:eastAsia="zh-CN"/>
        </w:rPr>
        <w:t>在中国境内生产</w:t>
      </w:r>
      <w:r>
        <w:rPr>
          <w:rFonts w:hint="eastAsia"/>
          <w:color w:val="auto"/>
          <w:szCs w:val="21"/>
          <w:highlight w:val="none"/>
          <w:lang w:val="en-US" w:eastAsia="zh-CN"/>
        </w:rPr>
        <w:t>。</w:t>
      </w:r>
      <w:r>
        <w:rPr>
          <w:rFonts w:hint="default"/>
          <w:color w:val="auto"/>
          <w:szCs w:val="21"/>
          <w:highlight w:val="none"/>
          <w:lang w:val="en-US" w:eastAsia="zh-CN"/>
        </w:rPr>
        <w:t>产品应当在中国境内生产，即在中华人民共和国关境内</w:t>
      </w:r>
      <w:r>
        <w:rPr>
          <w:rFonts w:hint="eastAsia" w:ascii="Times New Roman" w:hAnsi="Times New Roman" w:eastAsia="宋体" w:cs="Times New Roman"/>
          <w:color w:val="auto"/>
          <w:kern w:val="2"/>
          <w:sz w:val="21"/>
          <w:szCs w:val="21"/>
          <w:highlight w:val="none"/>
          <w:lang w:val="en-US" w:eastAsia="zh-CN" w:bidi="ar-SA"/>
        </w:rPr>
        <w:t>（含保税区、综合保税区等海关特殊监管区域）</w:t>
      </w:r>
      <w:r>
        <w:rPr>
          <w:rFonts w:hint="default"/>
          <w:color w:val="auto"/>
          <w:szCs w:val="21"/>
          <w:highlight w:val="none"/>
          <w:lang w:val="en-US" w:eastAsia="zh-CN"/>
        </w:rPr>
        <w:t>实现从原材料、组件到产品的属性改变；属性改变是指经过制造、加工或者组装等工序，产生完全不同于原材料、组件的新产品，并具有新的名称和特征（用途），属性改变不包括以下细微操作：</w:t>
      </w:r>
    </w:p>
    <w:p w14:paraId="0102001E">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①为确保产品在运输或者储存期间保持某种状态而进行的操作；</w:t>
      </w:r>
    </w:p>
    <w:p w14:paraId="4A58D069">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②为产品运输或者销售进行的包装或者展示；</w:t>
      </w:r>
    </w:p>
    <w:p w14:paraId="3272DA22">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③在产品或者其包装上粘贴或者印刷品牌、标志、标识以及其他用于区别的标记；</w:t>
      </w:r>
    </w:p>
    <w:p w14:paraId="153A2491">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④简单的上漆、磨光和分装；</w:t>
      </w:r>
    </w:p>
    <w:p w14:paraId="7D1505C8">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⑤其他不属于属性改变的情形；</w:t>
      </w:r>
    </w:p>
    <w:p w14:paraId="2FE38ACE">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lang w:val="en-US" w:eastAsia="zh-CN"/>
        </w:rPr>
        <w:t>中国境内生产的组件成本占比达到规定比例</w:t>
      </w:r>
      <w:r>
        <w:rPr>
          <w:rFonts w:hint="eastAsia"/>
          <w:color w:val="auto"/>
          <w:szCs w:val="21"/>
          <w:highlight w:val="none"/>
          <w:lang w:val="en-US" w:eastAsia="zh-CN"/>
        </w:rPr>
        <w:t>。</w:t>
      </w:r>
    </w:p>
    <w:p w14:paraId="35274560">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①产品在中国境内生产的组件成本占比应当达到规定比例，计算公式为：产品在中国境内生产的组件成本/产品总成本≥规定比例；</w:t>
      </w:r>
    </w:p>
    <w:p w14:paraId="2761051E">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②产品在中国境内生产的组件成本，按照《中国境内生产的组件成本核算基本规则》计算；</w:t>
      </w:r>
    </w:p>
    <w:p w14:paraId="27020F74">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③中国境内生产的组件成本占比相关要求实施前，符合第（1）项条件的产品在政府采购活动中视同本国产品。</w:t>
      </w:r>
    </w:p>
    <w:p w14:paraId="6178B395">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（3）</w:t>
      </w:r>
      <w:r>
        <w:rPr>
          <w:rFonts w:hint="default"/>
          <w:color w:val="auto"/>
          <w:szCs w:val="21"/>
          <w:highlight w:val="none"/>
          <w:lang w:val="en-US" w:eastAsia="zh-CN"/>
        </w:rPr>
        <w:t>特定产品的关键组件和工序在中国境内完成。</w:t>
      </w:r>
    </w:p>
    <w:p w14:paraId="423F8CFB">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②特定产品的关键组件、关键工序符合相关要求实施前，符合第（1）项和第（2）项条件的产品在政府采购活动中视同本国产品。</w:t>
      </w:r>
    </w:p>
    <w:p w14:paraId="519C771A">
      <w:pPr>
        <w:spacing w:before="120" w:line="360" w:lineRule="auto"/>
        <w:ind w:left="819" w:leftChars="190" w:hanging="420" w:hangingChars="200"/>
        <w:rPr>
          <w:rFonts w:hint="eastAsia"/>
          <w:color w:val="auto"/>
          <w:szCs w:val="21"/>
          <w:highlight w:val="none"/>
          <w:lang w:val="en-US" w:eastAsia="zh-CN"/>
        </w:rPr>
      </w:pPr>
      <w:r>
        <w:rPr>
          <w:rFonts w:hint="eastAsia"/>
          <w:color w:val="auto"/>
          <w:szCs w:val="21"/>
          <w:highlight w:val="none"/>
          <w:lang w:val="en-US" w:eastAsia="zh-CN"/>
        </w:rPr>
        <w:t>1.9.2 本国产品标准的适用范围</w:t>
      </w:r>
    </w:p>
    <w:p w14:paraId="7A65F382">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lang w:val="en-US" w:eastAsia="zh-CN"/>
        </w:rPr>
        <w:t>本项目是否适用对本国产品的支持政策详见供应商须知前附表。</w:t>
      </w:r>
    </w:p>
    <w:p w14:paraId="5CA72719">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1.9.3 价格评审优惠</w:t>
      </w:r>
    </w:p>
    <w:p w14:paraId="4B3D05C6">
      <w:pPr>
        <w:spacing w:before="120" w:line="320" w:lineRule="atLeast"/>
        <w:ind w:firstLine="420" w:firstLineChars="200"/>
        <w:rPr>
          <w:rFonts w:hint="eastAsia"/>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rFonts w:hint="eastAsia"/>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rFonts w:hint="eastAsia"/>
          <w:color w:val="auto"/>
          <w:szCs w:val="21"/>
          <w:highlight w:val="none"/>
          <w:lang w:eastAsia="zh-CN"/>
        </w:rPr>
      </w:pPr>
      <w:r>
        <w:rPr>
          <w:rFonts w:hint="eastAsia"/>
          <w:color w:val="auto"/>
          <w:szCs w:val="21"/>
          <w:highlight w:val="none"/>
        </w:rPr>
        <w:t>价格扣除比例在第四章评审方法及标准中规定</w:t>
      </w:r>
      <w:r>
        <w:rPr>
          <w:rFonts w:hint="eastAsia" w:eastAsia="宋体"/>
          <w:color w:val="auto"/>
          <w:szCs w:val="21"/>
          <w:highlight w:val="none"/>
          <w:lang w:eastAsia="zh-CN"/>
        </w:rPr>
        <w:t>。</w:t>
      </w:r>
    </w:p>
    <w:p w14:paraId="5851C88A">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1.9.4政策执行要求</w:t>
      </w:r>
    </w:p>
    <w:p w14:paraId="0BCF661E">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w:t>
      </w:r>
      <w:r>
        <w:rPr>
          <w:rFonts w:hint="eastAsia"/>
          <w:color w:val="auto"/>
          <w:szCs w:val="21"/>
          <w:highlight w:val="none"/>
          <w:lang w:val="en-US" w:eastAsia="zh-CN"/>
        </w:rPr>
        <w:t>.</w:t>
      </w:r>
      <w:r>
        <w:rPr>
          <w:rFonts w:hint="eastAsia" w:ascii="Times New Roman" w:eastAsia="宋体"/>
          <w:color w:val="auto"/>
          <w:szCs w:val="21"/>
          <w:highlight w:val="none"/>
          <w:lang w:val="en-US" w:eastAsia="zh-CN"/>
        </w:rPr>
        <w:t>9.4.1产品在中国境内生产的组件成本核算规则：产品在中国境内生产的组件成本，按照《中国境内生产的组件成本核算基本规则》计算。</w:t>
      </w:r>
    </w:p>
    <w:p w14:paraId="0E3E6822">
      <w:pPr>
        <w:spacing w:before="120" w:line="360" w:lineRule="auto"/>
        <w:ind w:firstLine="2530" w:firstLineChars="1200"/>
        <w:rPr>
          <w:rFonts w:hint="eastAsia"/>
          <w:color w:val="auto"/>
          <w:szCs w:val="21"/>
          <w:highlight w:val="none"/>
          <w:lang w:eastAsia="zh-CN"/>
        </w:rPr>
      </w:pPr>
      <w:r>
        <w:rPr>
          <w:rFonts w:hint="eastAsia" w:eastAsia="宋体"/>
          <w:b/>
          <w:bCs/>
          <w:color w:val="auto"/>
          <w:szCs w:val="21"/>
          <w:highlight w:val="none"/>
          <w:lang w:eastAsia="zh-CN"/>
        </w:rPr>
        <w:t>《中国境内生产的组件成本核算基本规则》</w:t>
      </w:r>
    </w:p>
    <w:p w14:paraId="26FF60BE">
      <w:pPr>
        <w:spacing w:before="120" w:line="240" w:lineRule="auto"/>
        <w:ind w:firstLine="420" w:firstLineChars="200"/>
        <w:rPr>
          <w:rFonts w:hint="eastAsia"/>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1.</w:t>
      </w:r>
      <w:r>
        <w:rPr>
          <w:rFonts w:hint="eastAsia"/>
          <w:color w:val="auto"/>
          <w:szCs w:val="21"/>
          <w:highlight w:val="none"/>
        </w:rPr>
        <w:t>产品的一级组件是指直接组成产品的组件。产品的二级组件是指直接组成产品一级组件的组件。一级组件不可分解的，视同二级组件。</w:t>
      </w:r>
    </w:p>
    <w:p w14:paraId="5262BAC1">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2.</w:t>
      </w:r>
      <w:r>
        <w:rPr>
          <w:rFonts w:hint="eastAsia"/>
          <w:color w:val="auto"/>
          <w:szCs w:val="21"/>
          <w:highlight w:val="none"/>
        </w:rPr>
        <w:t>二级组件在中国境内生产的，其全部成本计入中国境内生产的组件成本；二级组件不在中国境内生产的，其成本不计入中国境内生产的组件成本。</w:t>
      </w:r>
    </w:p>
    <w:p w14:paraId="17470F88">
      <w:p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3.</w:t>
      </w:r>
      <w:r>
        <w:rPr>
          <w:rFonts w:hint="eastAsia"/>
          <w:color w:val="auto"/>
          <w:szCs w:val="21"/>
          <w:highlight w:val="none"/>
        </w:rPr>
        <w:t>产品总成本和组件成本以相关会计核算数据、采购合同、进货记录等为基础进行计算。</w:t>
      </w:r>
    </w:p>
    <w:p w14:paraId="7B0DA4B9">
      <w:pPr>
        <w:spacing w:before="120" w:line="240" w:lineRule="auto"/>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4.</w:t>
      </w:r>
      <w:r>
        <w:rPr>
          <w:rFonts w:hint="eastAsia"/>
          <w:color w:val="auto"/>
          <w:szCs w:val="21"/>
          <w:highlight w:val="none"/>
        </w:rPr>
        <w:t>需要对成本核算规则予以进一步明确的其他有关事项，由财政部会同有关部门另行规定。</w:t>
      </w:r>
    </w:p>
    <w:p w14:paraId="6779C0C2">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1.9.4.2证明材料提交与审查：供应商需在投标（响应）文件中对其提供的产品出具《关于符合本国产品标准的声明函》（样式见响应文件格式）或财政部会同有关部门规定的有关证明文件。</w:t>
      </w:r>
      <w:r>
        <w:rPr>
          <w:rFonts w:hint="eastAsia"/>
          <w:b/>
          <w:bCs/>
          <w:color w:val="auto"/>
          <w:szCs w:val="21"/>
          <w:highlight w:val="none"/>
          <w:lang w:val="en-US" w:eastAsia="zh-CN"/>
        </w:rPr>
        <w:t>医疗器械产品凭药品监督管理部门授予的准字号注册证直接认定属于在中国境内生产的产品。</w:t>
      </w:r>
      <w:r>
        <w:rPr>
          <w:rFonts w:hint="eastAsia"/>
          <w:color w:val="auto"/>
          <w:szCs w:val="21"/>
          <w:highlight w:val="none"/>
          <w:lang w:val="en-US" w:eastAsia="zh-CN"/>
        </w:rPr>
        <w:t>出具符合要求的《声明函》或有关证明文件的，该产品视为本国产品，采购人、采购代理机构不得再要求供应商提供其他证明材料。供应商提供虚假《声明函》、虚假证明文件谋取成交的，依照《中华人民共和国政府采购法》等法律法规规定追究相应责任。采购人、采购代理机构应当随成交结果同时公告成交供应商提供的《声明函》或有关证明文件。</w:t>
      </w:r>
    </w:p>
    <w:p w14:paraId="1D2E3370">
      <w:pPr>
        <w:pStyle w:val="19"/>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评审委员会应对《声明函》的完整性、准确性进行审查，对《声明函》内容含义不明确、同类事项与投标（响应）文件表述不一致或存在明显文字错误的，应</w:t>
      </w:r>
      <w:r>
        <w:rPr>
          <w:rFonts w:hint="eastAsia" w:cs="Times New Roman"/>
          <w:color w:val="auto"/>
          <w:kern w:val="2"/>
          <w:sz w:val="21"/>
          <w:szCs w:val="21"/>
          <w:highlight w:val="none"/>
          <w:lang w:val="en-US" w:eastAsia="zh-CN" w:bidi="ar-SA"/>
        </w:rPr>
        <w:t>当</w:t>
      </w:r>
      <w:r>
        <w:rPr>
          <w:rFonts w:hint="eastAsia" w:ascii="Times New Roman" w:hAnsi="Times New Roman" w:eastAsia="宋体" w:cs="Times New Roman"/>
          <w:color w:val="auto"/>
          <w:kern w:val="2"/>
          <w:sz w:val="21"/>
          <w:szCs w:val="21"/>
          <w:highlight w:val="none"/>
          <w:lang w:val="en-US" w:eastAsia="zh-CN" w:bidi="ar-SA"/>
        </w:rPr>
        <w:t>以书面形式要求供应商澄清、说明或者补正；</w:t>
      </w:r>
      <w:r>
        <w:rPr>
          <w:rFonts w:hint="eastAsia" w:cs="Times New Roman"/>
          <w:color w:val="auto"/>
          <w:kern w:val="2"/>
          <w:sz w:val="21"/>
          <w:szCs w:val="21"/>
          <w:highlight w:val="none"/>
          <w:lang w:val="en-US" w:eastAsia="zh-CN" w:bidi="ar-SA"/>
        </w:rPr>
        <w:t>经</w:t>
      </w:r>
      <w:r>
        <w:rPr>
          <w:rFonts w:hint="eastAsia" w:ascii="Times New Roman" w:hAnsi="Times New Roman" w:eastAsia="宋体" w:cs="Times New Roman"/>
          <w:color w:val="auto"/>
          <w:kern w:val="2"/>
          <w:sz w:val="21"/>
          <w:szCs w:val="21"/>
          <w:highlight w:val="none"/>
          <w:lang w:val="en-US" w:eastAsia="zh-CN" w:bidi="ar-SA"/>
        </w:rPr>
        <w:t>澄清、说明或者补正后仍不符合要求的，不认定为本国产品。</w:t>
      </w:r>
    </w:p>
    <w:p w14:paraId="69C1BF47">
      <w:pPr>
        <w:pStyle w:val="19"/>
        <w:ind w:firstLine="420" w:firstLineChars="200"/>
        <w:rPr>
          <w:rFonts w:hint="default"/>
          <w:color w:val="auto"/>
          <w:sz w:val="21"/>
          <w:szCs w:val="21"/>
          <w:lang w:val="en-US" w:eastAsia="zh-CN"/>
        </w:rPr>
      </w:pPr>
      <w:r>
        <w:rPr>
          <w:rFonts w:hint="eastAsia"/>
          <w:color w:val="auto"/>
          <w:sz w:val="21"/>
          <w:szCs w:val="21"/>
          <w:lang w:val="en-US" w:eastAsia="zh-CN"/>
        </w:rPr>
        <w:t>澄清补正应当按照“6.3.3澄清、说明或补正”的规定提交。</w:t>
      </w:r>
    </w:p>
    <w:p w14:paraId="1C22056C">
      <w:pPr>
        <w:pStyle w:val="19"/>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1.9.4.3成本核算与承诺</w:t>
      </w:r>
    </w:p>
    <w:p w14:paraId="36EC83CE">
      <w:pPr>
        <w:pStyle w:val="19"/>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供应商应依据《中国境内生产的组件成本核算基本规则》核算产品成本占比，并对核算结果负责，按要求提交《</w:t>
      </w:r>
      <w:r>
        <w:rPr>
          <w:rFonts w:hint="eastAsia" w:cs="Times New Roman"/>
          <w:color w:val="auto"/>
          <w:kern w:val="2"/>
          <w:sz w:val="21"/>
          <w:szCs w:val="21"/>
          <w:highlight w:val="none"/>
          <w:lang w:val="en-US" w:eastAsia="zh-CN" w:bidi="ar-SA"/>
        </w:rPr>
        <w:t>关于符合</w:t>
      </w:r>
      <w:r>
        <w:rPr>
          <w:rFonts w:hint="default" w:ascii="Times New Roman" w:hAnsi="Times New Roman" w:eastAsia="宋体" w:cs="Times New Roman"/>
          <w:color w:val="auto"/>
          <w:kern w:val="2"/>
          <w:sz w:val="21"/>
          <w:szCs w:val="21"/>
          <w:highlight w:val="none"/>
          <w:lang w:val="en-US" w:eastAsia="zh-CN" w:bidi="ar-SA"/>
        </w:rPr>
        <w:t>本国产品</w:t>
      </w:r>
      <w:r>
        <w:rPr>
          <w:rFonts w:hint="eastAsia" w:cs="Times New Roman"/>
          <w:color w:val="auto"/>
          <w:kern w:val="2"/>
          <w:sz w:val="21"/>
          <w:szCs w:val="21"/>
          <w:highlight w:val="none"/>
          <w:lang w:val="en-US" w:eastAsia="zh-CN" w:bidi="ar-SA"/>
        </w:rPr>
        <w:t>标准的</w:t>
      </w:r>
      <w:r>
        <w:rPr>
          <w:rFonts w:hint="default" w:ascii="Times New Roman" w:hAnsi="Times New Roman" w:eastAsia="宋体" w:cs="Times New Roman"/>
          <w:color w:val="auto"/>
          <w:kern w:val="2"/>
          <w:sz w:val="21"/>
          <w:szCs w:val="21"/>
          <w:highlight w:val="none"/>
          <w:lang w:val="en-US" w:eastAsia="zh-CN" w:bidi="ar-SA"/>
        </w:rPr>
        <w:t>成本占比承诺函》</w:t>
      </w:r>
      <w:r>
        <w:rPr>
          <w:rFonts w:hint="eastAsia" w:cs="Times New Roman"/>
          <w:color w:val="auto"/>
          <w:kern w:val="2"/>
          <w:sz w:val="21"/>
          <w:szCs w:val="21"/>
          <w:highlight w:val="none"/>
          <w:lang w:val="en-US" w:eastAsia="zh-CN" w:bidi="ar-SA"/>
        </w:rPr>
        <w:t>（如适用）</w:t>
      </w:r>
      <w:r>
        <w:rPr>
          <w:rFonts w:hint="default" w:ascii="Times New Roman" w:hAnsi="Times New Roman" w:eastAsia="宋体" w:cs="Times New Roman"/>
          <w:color w:val="auto"/>
          <w:kern w:val="2"/>
          <w:sz w:val="21"/>
          <w:szCs w:val="21"/>
          <w:highlight w:val="none"/>
          <w:lang w:val="en-US" w:eastAsia="zh-CN" w:bidi="ar-SA"/>
        </w:rPr>
        <w:t>（参考模板</w:t>
      </w:r>
      <w:r>
        <w:rPr>
          <w:rFonts w:hint="eastAsia" w:cs="Times New Roman"/>
          <w:color w:val="auto"/>
          <w:kern w:val="2"/>
          <w:sz w:val="21"/>
          <w:szCs w:val="21"/>
          <w:highlight w:val="none"/>
          <w:lang w:val="en-US" w:eastAsia="zh-CN" w:bidi="ar-SA"/>
        </w:rPr>
        <w:t>详见响应文件格式</w:t>
      </w:r>
      <w:r>
        <w:rPr>
          <w:rFonts w:hint="default" w:ascii="Times New Roman" w:hAnsi="Times New Roman" w:eastAsia="宋体" w:cs="Times New Roman"/>
          <w:color w:val="auto"/>
          <w:kern w:val="2"/>
          <w:sz w:val="21"/>
          <w:szCs w:val="21"/>
          <w:highlight w:val="none"/>
          <w:lang w:val="en-US" w:eastAsia="zh-CN" w:bidi="ar-SA"/>
        </w:rPr>
        <w:t>）。相关成本核算的原始凭证应妥善留存，以备核查。采购人可在履约验收环节对相关材料进行抽查。</w:t>
      </w:r>
    </w:p>
    <w:p w14:paraId="333F5497">
      <w:pPr>
        <w:spacing w:before="120" w:line="320" w:lineRule="atLeast"/>
        <w:ind w:firstLine="420" w:firstLineChars="200"/>
        <w:rPr>
          <w:rFonts w:hint="default"/>
          <w:szCs w:val="21"/>
          <w:highlight w:val="none"/>
          <w:lang w:val="en-US" w:eastAsia="zh-CN"/>
        </w:rPr>
      </w:pPr>
      <w:r>
        <w:rPr>
          <w:rFonts w:hint="eastAsia" w:ascii="Times New Roman" w:eastAsia="宋体"/>
          <w:szCs w:val="21"/>
          <w:highlight w:val="none"/>
          <w:lang w:val="en-US" w:eastAsia="zh-CN"/>
        </w:rPr>
        <w:t>1.9.5 争议处理</w:t>
      </w:r>
    </w:p>
    <w:p w14:paraId="650445C2">
      <w:pPr>
        <w:spacing w:before="120" w:line="320" w:lineRule="atLeast"/>
        <w:ind w:firstLine="420" w:firstLineChars="200"/>
        <w:rPr>
          <w:szCs w:val="21"/>
        </w:rPr>
      </w:pPr>
      <w:r>
        <w:rPr>
          <w:rFonts w:hint="eastAsia" w:ascii="Times New Roman" w:eastAsia="宋体"/>
          <w:szCs w:val="21"/>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2DAD41F9">
      <w:pPr>
        <w:spacing w:before="120" w:line="320" w:lineRule="atLeast"/>
        <w:ind w:left="2" w:leftChars="1" w:firstLine="422" w:firstLineChars="200"/>
        <w:outlineLvl w:val="1"/>
        <w:rPr>
          <w:b/>
          <w:bCs/>
          <w:kern w:val="0"/>
          <w:szCs w:val="21"/>
        </w:rPr>
      </w:pPr>
      <w:bookmarkStart w:id="36" w:name="_Toc254970675"/>
      <w:bookmarkStart w:id="37" w:name="_Toc254970534"/>
      <w:r>
        <w:rPr>
          <w:b/>
          <w:bCs/>
          <w:kern w:val="0"/>
          <w:szCs w:val="21"/>
        </w:rPr>
        <w:t>2．采购文件</w:t>
      </w:r>
      <w:bookmarkEnd w:id="36"/>
      <w:bookmarkEnd w:id="37"/>
    </w:p>
    <w:p w14:paraId="19943AAB">
      <w:pPr>
        <w:spacing w:before="120" w:line="320" w:lineRule="atLeast"/>
        <w:ind w:firstLine="422" w:firstLineChars="200"/>
        <w:outlineLvl w:val="2"/>
        <w:rPr>
          <w:b/>
          <w:bCs/>
          <w:kern w:val="0"/>
          <w:szCs w:val="21"/>
        </w:rPr>
      </w:pPr>
      <w:r>
        <w:rPr>
          <w:b/>
          <w:bCs/>
          <w:kern w:val="0"/>
          <w:szCs w:val="21"/>
        </w:rPr>
        <w:t>2.1采购文件的构成</w:t>
      </w:r>
    </w:p>
    <w:p w14:paraId="410948F0">
      <w:pPr>
        <w:spacing w:before="120" w:line="320" w:lineRule="atLeast"/>
        <w:ind w:firstLine="420" w:firstLineChars="200"/>
        <w:rPr>
          <w:szCs w:val="21"/>
        </w:rPr>
      </w:pPr>
      <w:r>
        <w:rPr>
          <w:szCs w:val="21"/>
        </w:rPr>
        <w:t>第一章 谈判公告</w:t>
      </w:r>
    </w:p>
    <w:p w14:paraId="6F686BCA">
      <w:pPr>
        <w:spacing w:before="120" w:line="320" w:lineRule="atLeast"/>
        <w:ind w:firstLine="420" w:firstLineChars="200"/>
        <w:rPr>
          <w:szCs w:val="21"/>
        </w:rPr>
      </w:pPr>
      <w:r>
        <w:rPr>
          <w:szCs w:val="21"/>
        </w:rPr>
        <w:t>第二章 采购需求</w:t>
      </w:r>
    </w:p>
    <w:p w14:paraId="79ABE84A">
      <w:pPr>
        <w:spacing w:before="120" w:line="320" w:lineRule="atLeast"/>
        <w:ind w:firstLine="420" w:firstLineChars="200"/>
        <w:rPr>
          <w:szCs w:val="21"/>
        </w:rPr>
      </w:pPr>
      <w:r>
        <w:rPr>
          <w:szCs w:val="21"/>
        </w:rPr>
        <w:t>第三章 供应商须知</w:t>
      </w:r>
    </w:p>
    <w:p w14:paraId="359BB62B">
      <w:pPr>
        <w:spacing w:before="120" w:line="320" w:lineRule="atLeast"/>
        <w:ind w:firstLine="420" w:firstLineChars="200"/>
        <w:rPr>
          <w:szCs w:val="21"/>
        </w:rPr>
      </w:pPr>
      <w:r>
        <w:rPr>
          <w:szCs w:val="21"/>
        </w:rPr>
        <w:t>第四章 评审方法及标准</w:t>
      </w:r>
    </w:p>
    <w:p w14:paraId="228942CF">
      <w:pPr>
        <w:spacing w:before="120" w:line="320" w:lineRule="atLeast"/>
        <w:ind w:firstLine="420" w:firstLineChars="200"/>
        <w:rPr>
          <w:szCs w:val="21"/>
        </w:rPr>
      </w:pPr>
      <w:r>
        <w:rPr>
          <w:szCs w:val="21"/>
        </w:rPr>
        <w:t>第五章 合同主要条款格式</w:t>
      </w:r>
    </w:p>
    <w:p w14:paraId="580CD84F">
      <w:pPr>
        <w:spacing w:before="120" w:line="320" w:lineRule="atLeast"/>
        <w:ind w:firstLine="420" w:firstLineChars="200"/>
        <w:rPr>
          <w:szCs w:val="21"/>
        </w:rPr>
      </w:pPr>
      <w:r>
        <w:rPr>
          <w:szCs w:val="21"/>
        </w:rPr>
        <w:t>第六章 响应文件格式</w:t>
      </w:r>
    </w:p>
    <w:p w14:paraId="24B0BF0A">
      <w:pPr>
        <w:spacing w:before="120" w:line="320" w:lineRule="atLeast"/>
        <w:ind w:firstLine="422" w:firstLineChars="200"/>
        <w:outlineLvl w:val="2"/>
        <w:rPr>
          <w:b/>
          <w:bCs/>
          <w:kern w:val="0"/>
          <w:szCs w:val="21"/>
        </w:rPr>
      </w:pPr>
      <w:r>
        <w:rPr>
          <w:b/>
          <w:bCs/>
          <w:kern w:val="0"/>
          <w:szCs w:val="21"/>
        </w:rPr>
        <w:t>2.2供应商的风险</w:t>
      </w:r>
    </w:p>
    <w:p w14:paraId="6D8539D5">
      <w:pPr>
        <w:spacing w:before="120" w:line="320" w:lineRule="atLeast"/>
        <w:ind w:firstLine="420" w:firstLineChars="200"/>
        <w:rPr>
          <w:szCs w:val="21"/>
        </w:rPr>
      </w:pPr>
      <w:r>
        <w:rPr>
          <w:szCs w:val="21"/>
        </w:rPr>
        <w:t>供应商没有按照采购文件要求提供全部资料，或者供应商没有对采购文件在各方面作出实质性响应是供应商的风险，并可能导致其响应被否决。</w:t>
      </w:r>
    </w:p>
    <w:p w14:paraId="3485FC8C">
      <w:pPr>
        <w:spacing w:before="120" w:line="320" w:lineRule="atLeast"/>
        <w:ind w:firstLine="422" w:firstLineChars="200"/>
        <w:outlineLvl w:val="2"/>
        <w:rPr>
          <w:b/>
          <w:szCs w:val="21"/>
        </w:rPr>
      </w:pPr>
      <w:r>
        <w:rPr>
          <w:b/>
          <w:bCs/>
          <w:kern w:val="0"/>
          <w:szCs w:val="21"/>
        </w:rPr>
        <w:t>2.3采购文件的澄清与修改</w:t>
      </w:r>
    </w:p>
    <w:p w14:paraId="0C0BAA39">
      <w:pPr>
        <w:spacing w:before="120" w:line="320" w:lineRule="atLeast"/>
        <w:ind w:firstLine="420" w:firstLineChars="200"/>
        <w:rPr>
          <w:szCs w:val="21"/>
        </w:rPr>
      </w:pPr>
      <w:r>
        <w:rPr>
          <w:szCs w:val="21"/>
        </w:rPr>
        <w:t>2.3.1</w:t>
      </w:r>
      <w:r>
        <w:rPr>
          <w:rFonts w:hint="eastAsia"/>
          <w:szCs w:val="21"/>
        </w:rPr>
        <w:t>任何已获得采购文件的潜在供应商，均可</w:t>
      </w:r>
      <w:r>
        <w:rPr>
          <w:szCs w:val="21"/>
        </w:rPr>
        <w:t>以书面形式要求采购代理机构作出书面解释、澄清</w:t>
      </w:r>
      <w:r>
        <w:rPr>
          <w:rFonts w:hint="eastAsia"/>
          <w:szCs w:val="21"/>
        </w:rPr>
        <w:t>。</w:t>
      </w:r>
    </w:p>
    <w:p w14:paraId="46AF404C">
      <w:pPr>
        <w:spacing w:before="120" w:line="320" w:lineRule="atLeast"/>
        <w:ind w:firstLine="420" w:firstLineChars="200"/>
        <w:rPr>
          <w:szCs w:val="21"/>
        </w:rPr>
      </w:pPr>
      <w:r>
        <w:rPr>
          <w:szCs w:val="21"/>
        </w:rPr>
        <w:t>2.3.2</w:t>
      </w:r>
      <w:r>
        <w:rPr>
          <w:rFonts w:hint="eastAsia"/>
          <w:szCs w:val="21"/>
        </w:rPr>
        <w:t>采购人、采购代理机构可以对已发出的采购文件进行必要的澄清或者修改，澄清或者修改的内容可能影响响应文件编制的，采购人、采购代理机构应当在提交首次响应文件截止之日3个工作日前，</w:t>
      </w:r>
      <w:bookmarkStart w:id="38" w:name="_Hlk132790706"/>
      <w:r>
        <w:rPr>
          <w:rFonts w:hint="eastAsia"/>
          <w:szCs w:val="21"/>
        </w:rPr>
        <w:t>在供应商须知前附表规定的方式通知所有获取采购文件的潜在</w:t>
      </w:r>
      <w:bookmarkEnd w:id="38"/>
      <w:r>
        <w:rPr>
          <w:rFonts w:hint="eastAsia"/>
          <w:szCs w:val="21"/>
        </w:rPr>
        <w:t xml:space="preserve">供应商，不足3个工作日的，应当顺延提交首次响应文件截止之日。 </w:t>
      </w:r>
    </w:p>
    <w:p w14:paraId="1FB991DE">
      <w:pPr>
        <w:spacing w:before="120" w:line="320" w:lineRule="atLeast"/>
        <w:ind w:firstLine="420" w:firstLineChars="200"/>
        <w:rPr>
          <w:szCs w:val="21"/>
        </w:rPr>
      </w:pPr>
      <w:r>
        <w:rPr>
          <w:szCs w:val="21"/>
        </w:rPr>
        <w:t>2.3.3采购文件澄清、答复、修改、补充的内容为采购文件的组成部分。当采购文件与采购文件的答复、澄清、修改、补充通知就同一内容的表述不一致时，以最后发出的公告或书面文件为准。</w:t>
      </w:r>
    </w:p>
    <w:p w14:paraId="20F4DCBD">
      <w:pPr>
        <w:spacing w:before="120" w:line="320" w:lineRule="atLeast"/>
        <w:ind w:left="2" w:leftChars="1" w:firstLine="422" w:firstLineChars="200"/>
        <w:outlineLvl w:val="1"/>
        <w:rPr>
          <w:b/>
          <w:bCs/>
          <w:kern w:val="0"/>
          <w:szCs w:val="21"/>
        </w:rPr>
      </w:pPr>
      <w:bookmarkStart w:id="39" w:name="_Toc254970535"/>
      <w:bookmarkStart w:id="40" w:name="_Toc254970676"/>
      <w:r>
        <w:rPr>
          <w:b/>
          <w:bCs/>
          <w:kern w:val="0"/>
          <w:szCs w:val="21"/>
        </w:rPr>
        <w:t>3．响应文件</w:t>
      </w:r>
      <w:bookmarkEnd w:id="39"/>
      <w:bookmarkEnd w:id="40"/>
    </w:p>
    <w:p w14:paraId="20526836">
      <w:pPr>
        <w:spacing w:before="120" w:line="320" w:lineRule="atLeast"/>
        <w:ind w:firstLine="422" w:firstLineChars="200"/>
        <w:outlineLvl w:val="2"/>
        <w:rPr>
          <w:b/>
          <w:bCs/>
          <w:kern w:val="0"/>
          <w:szCs w:val="21"/>
        </w:rPr>
      </w:pPr>
      <w:bookmarkStart w:id="41" w:name="_Toc254970677"/>
      <w:bookmarkStart w:id="42" w:name="_Toc254970536"/>
      <w:r>
        <w:rPr>
          <w:b/>
          <w:bCs/>
          <w:kern w:val="0"/>
          <w:szCs w:val="21"/>
        </w:rPr>
        <w:t>3.1响应文件的组成</w:t>
      </w:r>
      <w:bookmarkEnd w:id="41"/>
      <w:bookmarkEnd w:id="42"/>
    </w:p>
    <w:p w14:paraId="4C1FAD46">
      <w:pPr>
        <w:spacing w:before="120" w:line="320" w:lineRule="atLeast"/>
        <w:ind w:firstLine="420" w:firstLineChars="200"/>
        <w:rPr>
          <w:szCs w:val="21"/>
        </w:rPr>
      </w:pPr>
      <w:r>
        <w:rPr>
          <w:szCs w:val="21"/>
        </w:rPr>
        <w:t>响应文件由第六章“响应文件格式”规定的</w:t>
      </w:r>
      <w:r>
        <w:rPr>
          <w:rFonts w:hint="eastAsia"/>
          <w:szCs w:val="21"/>
        </w:rPr>
        <w:t>内容</w:t>
      </w:r>
      <w:r>
        <w:rPr>
          <w:szCs w:val="21"/>
        </w:rPr>
        <w:t>和供应商所作的一切有效补充、修改和承诺等文件组成</w:t>
      </w:r>
      <w:r>
        <w:rPr>
          <w:rFonts w:hint="eastAsia"/>
          <w:szCs w:val="21"/>
        </w:rPr>
        <w:t>。</w:t>
      </w:r>
    </w:p>
    <w:p w14:paraId="526571CA">
      <w:pPr>
        <w:spacing w:before="120" w:line="320" w:lineRule="atLeast"/>
        <w:ind w:firstLine="422" w:firstLineChars="200"/>
        <w:outlineLvl w:val="2"/>
        <w:rPr>
          <w:b/>
          <w:bCs/>
          <w:kern w:val="0"/>
          <w:szCs w:val="21"/>
        </w:rPr>
      </w:pPr>
      <w:bookmarkStart w:id="43" w:name="_Toc254970537"/>
      <w:bookmarkStart w:id="44" w:name="_Toc254970678"/>
      <w:r>
        <w:rPr>
          <w:b/>
          <w:szCs w:val="21"/>
        </w:rPr>
        <w:t>3.2</w:t>
      </w:r>
      <w:r>
        <w:rPr>
          <w:b/>
          <w:bCs/>
          <w:kern w:val="0"/>
          <w:szCs w:val="21"/>
        </w:rPr>
        <w:t>响应文件的语言及计量</w:t>
      </w:r>
      <w:bookmarkEnd w:id="43"/>
      <w:bookmarkEnd w:id="44"/>
    </w:p>
    <w:p w14:paraId="1AF84A9C">
      <w:pPr>
        <w:spacing w:before="120" w:line="320" w:lineRule="atLeast"/>
        <w:ind w:firstLine="420" w:firstLineChars="200"/>
        <w:rPr>
          <w:szCs w:val="21"/>
        </w:rPr>
      </w:pPr>
      <w:r>
        <w:rPr>
          <w:szCs w:val="21"/>
        </w:rPr>
        <w:t>3.2.1</w:t>
      </w:r>
      <w:r>
        <w:rPr>
          <w:rFonts w:hint="eastAsia"/>
          <w:szCs w:val="21"/>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36937BBD">
      <w:pPr>
        <w:spacing w:before="120" w:line="320" w:lineRule="atLeast"/>
        <w:ind w:firstLine="420" w:firstLineChars="200"/>
        <w:rPr>
          <w:szCs w:val="21"/>
        </w:rPr>
      </w:pPr>
      <w:r>
        <w:rPr>
          <w:szCs w:val="21"/>
        </w:rPr>
        <w:t>3.2.2计量单位采购文件已有明确规定的，响应使用采购文件规定的计量单位；采购文件没有规定的，应采用中华人民共和国法定计量单位。</w:t>
      </w:r>
    </w:p>
    <w:p w14:paraId="06FB08DC">
      <w:pPr>
        <w:spacing w:before="120" w:line="320" w:lineRule="atLeast"/>
        <w:ind w:firstLine="422" w:firstLineChars="200"/>
        <w:outlineLvl w:val="2"/>
        <w:rPr>
          <w:b/>
          <w:bCs/>
          <w:kern w:val="0"/>
          <w:szCs w:val="21"/>
        </w:rPr>
      </w:pPr>
      <w:bookmarkStart w:id="45" w:name="_Toc254970538"/>
      <w:bookmarkStart w:id="46" w:name="_Toc254970679"/>
      <w:r>
        <w:rPr>
          <w:b/>
          <w:bCs/>
          <w:kern w:val="0"/>
          <w:szCs w:val="21"/>
        </w:rPr>
        <w:t>3.3响应报价</w:t>
      </w:r>
      <w:bookmarkEnd w:id="45"/>
      <w:bookmarkEnd w:id="46"/>
    </w:p>
    <w:p w14:paraId="1A74EA16">
      <w:pPr>
        <w:spacing w:before="120" w:line="320" w:lineRule="atLeast"/>
        <w:ind w:firstLine="420" w:firstLineChars="200"/>
        <w:rPr>
          <w:szCs w:val="21"/>
        </w:rPr>
      </w:pPr>
      <w:r>
        <w:rPr>
          <w:szCs w:val="21"/>
        </w:rPr>
        <w:t>3.3.1响应报价应按采购文件中相关附表格式填写。</w:t>
      </w:r>
    </w:p>
    <w:p w14:paraId="0F7E114D">
      <w:pPr>
        <w:spacing w:before="120" w:line="320" w:lineRule="atLeast"/>
        <w:ind w:firstLine="420" w:firstLineChars="200"/>
        <w:rPr>
          <w:szCs w:val="21"/>
        </w:rPr>
      </w:pPr>
      <w:r>
        <w:rPr>
          <w:szCs w:val="21"/>
        </w:rPr>
        <w:t>3.3.2响应文件只允许有一个报价，有选择的或有条件的报价将不予接受。</w:t>
      </w:r>
    </w:p>
    <w:p w14:paraId="62E71EDA">
      <w:pPr>
        <w:suppressAutoHyphens/>
        <w:spacing w:before="120" w:line="320" w:lineRule="atLeast"/>
        <w:ind w:firstLine="420" w:firstLineChars="200"/>
        <w:rPr>
          <w:kern w:val="1"/>
          <w:szCs w:val="21"/>
        </w:rPr>
      </w:pPr>
      <w:r>
        <w:rPr>
          <w:kern w:val="1"/>
          <w:szCs w:val="21"/>
        </w:rPr>
        <w:t>3.3.3对于本文件中未列明，而供应商认为必需的费用也需列入</w:t>
      </w:r>
      <w:r>
        <w:rPr>
          <w:rFonts w:hint="eastAsia"/>
          <w:kern w:val="1"/>
          <w:szCs w:val="21"/>
        </w:rPr>
        <w:t>响应报价</w:t>
      </w:r>
      <w:r>
        <w:rPr>
          <w:kern w:val="1"/>
          <w:szCs w:val="21"/>
        </w:rPr>
        <w:t>。在合同实施时，采购人将不予支付成交供应商没有列入的项目费用，并认为此项目的费用已包括在</w:t>
      </w:r>
      <w:r>
        <w:rPr>
          <w:rFonts w:hint="eastAsia"/>
          <w:kern w:val="1"/>
          <w:szCs w:val="21"/>
        </w:rPr>
        <w:t>响应报价</w:t>
      </w:r>
      <w:r>
        <w:rPr>
          <w:kern w:val="1"/>
          <w:szCs w:val="21"/>
        </w:rPr>
        <w:t>中。</w:t>
      </w:r>
    </w:p>
    <w:p w14:paraId="7E5C0F4D">
      <w:pPr>
        <w:suppressAutoHyphens/>
        <w:spacing w:before="120" w:line="320" w:lineRule="atLeast"/>
        <w:ind w:firstLine="420" w:firstLineChars="200"/>
        <w:rPr>
          <w:b/>
          <w:bCs/>
          <w:kern w:val="1"/>
          <w:szCs w:val="21"/>
        </w:rPr>
      </w:pPr>
      <w:r>
        <w:rPr>
          <w:rFonts w:hint="eastAsia"/>
          <w:kern w:val="1"/>
          <w:szCs w:val="21"/>
        </w:rPr>
        <w:t>3</w:t>
      </w:r>
      <w:r>
        <w:rPr>
          <w:kern w:val="1"/>
          <w:szCs w:val="21"/>
        </w:rPr>
        <w:t>.3.4</w:t>
      </w:r>
      <w:r>
        <w:rPr>
          <w:rFonts w:hint="eastAsia"/>
          <w:kern w:val="1"/>
          <w:szCs w:val="21"/>
        </w:rPr>
        <w:t>采购人不接受供应商给予的赠品、回扣或者与采购无关的其他商品、服务。</w:t>
      </w:r>
    </w:p>
    <w:p w14:paraId="022288DF">
      <w:pPr>
        <w:spacing w:before="120" w:line="320" w:lineRule="atLeast"/>
        <w:ind w:firstLine="422" w:firstLineChars="200"/>
        <w:outlineLvl w:val="2"/>
        <w:rPr>
          <w:b/>
          <w:bCs/>
          <w:kern w:val="0"/>
          <w:szCs w:val="21"/>
        </w:rPr>
      </w:pPr>
      <w:r>
        <w:rPr>
          <w:b/>
          <w:bCs/>
          <w:kern w:val="0"/>
          <w:szCs w:val="21"/>
        </w:rPr>
        <w:t>3.4响应有效期</w:t>
      </w:r>
    </w:p>
    <w:p w14:paraId="19E1C065">
      <w:pPr>
        <w:spacing w:before="120" w:line="320" w:lineRule="atLeast"/>
        <w:ind w:firstLine="420" w:firstLineChars="200"/>
        <w:rPr>
          <w:szCs w:val="21"/>
        </w:rPr>
      </w:pPr>
      <w:r>
        <w:rPr>
          <w:szCs w:val="21"/>
        </w:rPr>
        <w:t>3.4.1如采购文件其他地方无特别规定</w:t>
      </w:r>
      <w:r>
        <w:rPr>
          <w:rFonts w:hint="eastAsia"/>
          <w:szCs w:val="21"/>
        </w:rPr>
        <w:t>，</w:t>
      </w:r>
      <w:r>
        <w:rPr>
          <w:szCs w:val="21"/>
        </w:rPr>
        <w:t>响应有效期则为响应截止之日起90天</w:t>
      </w:r>
      <w:r>
        <w:rPr>
          <w:rFonts w:hint="eastAsia"/>
          <w:szCs w:val="21"/>
        </w:rPr>
        <w:t>。</w:t>
      </w:r>
      <w:r>
        <w:rPr>
          <w:szCs w:val="21"/>
        </w:rPr>
        <w:t>在响应有效期内响应文件应保持有效。</w:t>
      </w:r>
      <w:r>
        <w:rPr>
          <w:b/>
          <w:bCs/>
          <w:szCs w:val="21"/>
        </w:rPr>
        <w:t>有效期不足的响应文件将被否决</w:t>
      </w:r>
      <w:r>
        <w:rPr>
          <w:szCs w:val="21"/>
        </w:rPr>
        <w:t>。</w:t>
      </w:r>
    </w:p>
    <w:p w14:paraId="020EBEE1">
      <w:pPr>
        <w:spacing w:before="120" w:line="320" w:lineRule="atLeast"/>
        <w:ind w:firstLine="420" w:firstLineChars="200"/>
        <w:rPr>
          <w:szCs w:val="21"/>
        </w:rPr>
      </w:pPr>
      <w:r>
        <w:rPr>
          <w:szCs w:val="21"/>
        </w:rPr>
        <w:t>3.4.2在特殊情况下，采购人可与供应商协商延长响应文件的有效期，这种要求和答复均以书面形式进行。</w:t>
      </w:r>
    </w:p>
    <w:p w14:paraId="372867C1">
      <w:pPr>
        <w:spacing w:before="120" w:line="320" w:lineRule="atLeast"/>
        <w:ind w:firstLine="420" w:firstLineChars="200"/>
        <w:rPr>
          <w:szCs w:val="21"/>
        </w:rPr>
      </w:pPr>
      <w:r>
        <w:rPr>
          <w:szCs w:val="21"/>
        </w:rPr>
        <w:t>3.4.3</w:t>
      </w:r>
      <w:r>
        <w:rPr>
          <w:rFonts w:hint="eastAsia"/>
          <w:szCs w:val="21"/>
        </w:rPr>
        <w:t>供应商同意延长的响应有效期的，如本项目要求提交保证金则应相应延长其谈判保证金的有效期，但不得要求或被允许修改或撤销其响应文件；供应商拒绝延长的，其响应无效，但供应商有权收回其谈判保证金。</w:t>
      </w:r>
    </w:p>
    <w:p w14:paraId="74471E7F">
      <w:pPr>
        <w:spacing w:before="120" w:line="320" w:lineRule="atLeast"/>
        <w:ind w:firstLine="422" w:firstLineChars="200"/>
        <w:outlineLvl w:val="2"/>
        <w:rPr>
          <w:b/>
          <w:bCs/>
          <w:kern w:val="0"/>
          <w:szCs w:val="21"/>
        </w:rPr>
      </w:pPr>
      <w:bookmarkStart w:id="47" w:name="_Toc254970682"/>
      <w:bookmarkStart w:id="48" w:name="_Toc254970541"/>
      <w:r>
        <w:rPr>
          <w:b/>
          <w:bCs/>
          <w:kern w:val="0"/>
          <w:szCs w:val="21"/>
        </w:rPr>
        <w:t>3.5谈判保证金</w:t>
      </w:r>
      <w:bookmarkEnd w:id="47"/>
      <w:bookmarkEnd w:id="48"/>
    </w:p>
    <w:p w14:paraId="6ADA8E69">
      <w:pPr>
        <w:spacing w:before="120" w:line="320" w:lineRule="atLeast"/>
        <w:ind w:firstLine="420" w:firstLineChars="200"/>
        <w:rPr>
          <w:szCs w:val="21"/>
        </w:rPr>
      </w:pPr>
      <w:r>
        <w:rPr>
          <w:szCs w:val="21"/>
        </w:rPr>
        <w:t>3.5.1供应商须按须知前附表规定提交谈判保证金，</w:t>
      </w:r>
      <w:r>
        <w:rPr>
          <w:b/>
          <w:bCs/>
          <w:szCs w:val="21"/>
        </w:rPr>
        <w:t>否则其响应将被否决</w:t>
      </w:r>
      <w:r>
        <w:rPr>
          <w:szCs w:val="21"/>
        </w:rPr>
        <w:t>。除采购文件规定不予退还保证金的情形外，代理机构在规定时间内退回供应商的谈判保证金（供应商自行承担因未按供应商须知前附表要求交纳导致谈判保证金无法及时退还的责任）。</w:t>
      </w:r>
    </w:p>
    <w:p w14:paraId="7BE55C94">
      <w:pPr>
        <w:spacing w:before="120" w:line="320" w:lineRule="atLeast"/>
        <w:ind w:firstLine="420" w:firstLineChars="200"/>
        <w:rPr>
          <w:szCs w:val="21"/>
        </w:rPr>
      </w:pPr>
      <w:r>
        <w:rPr>
          <w:szCs w:val="21"/>
        </w:rPr>
        <w:t>3.5.2谈判保证金币种应与响应报价币种相同。</w:t>
      </w:r>
    </w:p>
    <w:p w14:paraId="690B6802">
      <w:pPr>
        <w:spacing w:before="120" w:line="320" w:lineRule="atLeast"/>
        <w:ind w:firstLine="420" w:firstLineChars="200"/>
        <w:rPr>
          <w:szCs w:val="21"/>
        </w:rPr>
      </w:pPr>
      <w:r>
        <w:rPr>
          <w:szCs w:val="21"/>
        </w:rPr>
        <w:t>3.5.3未成交供应商的谈判保证金在成交通知书发出后5个工作日内退还。成交供应商的谈判保证金在合同签订后5个工作日内退还（办理退还手续时需要向采购代理机构提供两份合同复印件）。</w:t>
      </w:r>
    </w:p>
    <w:p w14:paraId="7B9132AA">
      <w:pPr>
        <w:spacing w:before="120" w:line="320" w:lineRule="atLeast"/>
        <w:ind w:firstLine="420" w:firstLineChars="200"/>
        <w:rPr>
          <w:szCs w:val="21"/>
        </w:rPr>
      </w:pPr>
      <w:r>
        <w:rPr>
          <w:szCs w:val="21"/>
        </w:rPr>
        <w:t>3.5.4供应商有下列情形之一的，谈判保证金将不予退还：</w:t>
      </w:r>
    </w:p>
    <w:p w14:paraId="5602E51D">
      <w:pPr>
        <w:numPr>
          <w:ilvl w:val="0"/>
          <w:numId w:val="0"/>
        </w:numPr>
        <w:spacing w:before="120" w:line="320" w:lineRule="atLeast"/>
        <w:ind w:left="1140" w:leftChars="0" w:hanging="720" w:firstLineChars="0"/>
        <w:rPr>
          <w:szCs w:val="21"/>
        </w:rPr>
      </w:pPr>
      <w:r>
        <w:rPr>
          <w:rFonts w:hint="default" w:ascii="Times New Roman" w:hAnsi="Times New Roman" w:eastAsia="宋体" w:cs="Times New Roman"/>
          <w:kern w:val="2"/>
          <w:sz w:val="21"/>
          <w:szCs w:val="21"/>
          <w:lang w:val="en-US" w:eastAsia="zh-CN" w:bidi="ar-SA"/>
        </w:rPr>
        <w:t>（1）</w:t>
      </w:r>
      <w:r>
        <w:rPr>
          <w:szCs w:val="21"/>
        </w:rPr>
        <w:t>供应商在响应有效期内撤销响应文件的；</w:t>
      </w:r>
    </w:p>
    <w:p w14:paraId="427C57FC">
      <w:pPr>
        <w:numPr>
          <w:ilvl w:val="0"/>
          <w:numId w:val="0"/>
        </w:numPr>
        <w:spacing w:before="120" w:line="320" w:lineRule="atLeast"/>
        <w:ind w:firstLine="420" w:firstLineChars="200"/>
        <w:rPr>
          <w:szCs w:val="21"/>
        </w:rPr>
      </w:pPr>
      <w:r>
        <w:rPr>
          <w:rFonts w:hint="default" w:ascii="Times New Roman" w:hAnsi="Times New Roman" w:eastAsia="宋体" w:cs="Times New Roman"/>
          <w:kern w:val="2"/>
          <w:sz w:val="21"/>
          <w:szCs w:val="21"/>
          <w:lang w:val="en-US" w:eastAsia="zh-CN" w:bidi="ar-SA"/>
        </w:rPr>
        <w:t>（2）</w:t>
      </w:r>
      <w:r>
        <w:rPr>
          <w:rFonts w:hint="eastAsia"/>
          <w:szCs w:val="21"/>
        </w:rPr>
        <w:t>供应商在提交响应文件截止时间后撤回响应文件的，但采取竞争性谈判方式采购且在提交最后报价之前退出谈判的情况除外；</w:t>
      </w:r>
    </w:p>
    <w:p w14:paraId="1CB1B8AD">
      <w:pPr>
        <w:numPr>
          <w:ilvl w:val="0"/>
          <w:numId w:val="0"/>
        </w:numPr>
        <w:spacing w:before="120" w:line="320" w:lineRule="atLeast"/>
        <w:ind w:left="1140" w:leftChars="0" w:hanging="720" w:firstLineChars="0"/>
        <w:rPr>
          <w:szCs w:val="21"/>
        </w:rPr>
      </w:pPr>
      <w:r>
        <w:rPr>
          <w:rFonts w:hint="default" w:ascii="Times New Roman" w:hAnsi="Times New Roman" w:eastAsia="宋体" w:cs="Times New Roman"/>
          <w:kern w:val="2"/>
          <w:sz w:val="21"/>
          <w:szCs w:val="21"/>
          <w:lang w:val="en-US" w:eastAsia="zh-CN" w:bidi="ar-SA"/>
        </w:rPr>
        <w:t>（3）</w:t>
      </w:r>
      <w:r>
        <w:rPr>
          <w:szCs w:val="21"/>
        </w:rPr>
        <w:t>供应商在响应过程中弄虚作假，提供虚假材料的；</w:t>
      </w:r>
    </w:p>
    <w:p w14:paraId="5FD7CF25">
      <w:pPr>
        <w:numPr>
          <w:ilvl w:val="0"/>
          <w:numId w:val="0"/>
        </w:numPr>
        <w:spacing w:before="120" w:line="320" w:lineRule="atLeast"/>
        <w:ind w:left="1140" w:leftChars="0" w:hanging="720" w:firstLineChars="0"/>
        <w:rPr>
          <w:szCs w:val="21"/>
        </w:rPr>
      </w:pPr>
      <w:r>
        <w:rPr>
          <w:rFonts w:hint="default" w:ascii="Times New Roman" w:hAnsi="Times New Roman" w:eastAsia="宋体" w:cs="Times New Roman"/>
          <w:kern w:val="2"/>
          <w:sz w:val="21"/>
          <w:szCs w:val="21"/>
          <w:lang w:val="en-US" w:eastAsia="zh-CN" w:bidi="ar-SA"/>
        </w:rPr>
        <w:t>（4）</w:t>
      </w:r>
      <w:r>
        <w:rPr>
          <w:szCs w:val="21"/>
        </w:rPr>
        <w:t>成交供应商无正当理由不与采购人签订合同的；</w:t>
      </w:r>
    </w:p>
    <w:p w14:paraId="4C42AC44">
      <w:pPr>
        <w:numPr>
          <w:ilvl w:val="0"/>
          <w:numId w:val="0"/>
        </w:numPr>
        <w:spacing w:before="120" w:line="320" w:lineRule="atLeast"/>
        <w:ind w:firstLine="420" w:firstLineChars="200"/>
        <w:rPr>
          <w:szCs w:val="21"/>
        </w:rPr>
      </w:pPr>
      <w:r>
        <w:rPr>
          <w:rFonts w:hint="default" w:ascii="Times New Roman" w:hAnsi="Times New Roman" w:eastAsia="宋体" w:cs="Times New Roman"/>
          <w:kern w:val="2"/>
          <w:sz w:val="21"/>
          <w:szCs w:val="21"/>
          <w:lang w:val="en-US" w:eastAsia="zh-CN" w:bidi="ar-SA"/>
        </w:rPr>
        <w:t>（5）</w:t>
      </w:r>
      <w:r>
        <w:rPr>
          <w:szCs w:val="21"/>
        </w:rPr>
        <w:t>将成交项目转让给他人或者在响应文件中未说明且未经采购人同意，将成交项目分包给他人的；</w:t>
      </w:r>
    </w:p>
    <w:p w14:paraId="1C911C36">
      <w:pPr>
        <w:numPr>
          <w:ilvl w:val="0"/>
          <w:numId w:val="0"/>
        </w:numPr>
        <w:spacing w:before="120" w:line="320" w:lineRule="atLeast"/>
        <w:ind w:left="1140" w:leftChars="0" w:hanging="720" w:firstLineChars="0"/>
        <w:rPr>
          <w:szCs w:val="21"/>
        </w:rPr>
      </w:pPr>
      <w:r>
        <w:rPr>
          <w:rFonts w:hint="default" w:ascii="Times New Roman" w:hAnsi="Times New Roman" w:eastAsia="宋体" w:cs="Times New Roman"/>
          <w:kern w:val="2"/>
          <w:sz w:val="21"/>
          <w:szCs w:val="21"/>
          <w:lang w:val="en-US" w:eastAsia="zh-CN" w:bidi="ar-SA"/>
        </w:rPr>
        <w:t>（6）</w:t>
      </w:r>
      <w:r>
        <w:rPr>
          <w:rFonts w:hint="eastAsia"/>
          <w:szCs w:val="21"/>
        </w:rPr>
        <w:t>供应商与采购人、其他供应商或者采购代理机构恶意串通的；</w:t>
      </w:r>
    </w:p>
    <w:p w14:paraId="16DFFE77">
      <w:pPr>
        <w:numPr>
          <w:ilvl w:val="0"/>
          <w:numId w:val="0"/>
        </w:numPr>
        <w:spacing w:before="120" w:line="320" w:lineRule="atLeast"/>
        <w:ind w:left="1140" w:leftChars="0" w:hanging="720" w:firstLineChars="0"/>
        <w:rPr>
          <w:szCs w:val="21"/>
        </w:rPr>
      </w:pPr>
      <w:r>
        <w:rPr>
          <w:rFonts w:hint="default" w:ascii="Times New Roman" w:hAnsi="Times New Roman" w:eastAsia="宋体" w:cs="Times New Roman"/>
          <w:kern w:val="2"/>
          <w:sz w:val="21"/>
          <w:szCs w:val="21"/>
          <w:lang w:val="en-US" w:eastAsia="zh-CN" w:bidi="ar-SA"/>
        </w:rPr>
        <w:t>（7）</w:t>
      </w:r>
      <w:r>
        <w:rPr>
          <w:szCs w:val="21"/>
        </w:rPr>
        <w:t>拒绝履行合同义务的；</w:t>
      </w:r>
    </w:p>
    <w:p w14:paraId="3F73F210">
      <w:pPr>
        <w:numPr>
          <w:ilvl w:val="0"/>
          <w:numId w:val="0"/>
        </w:numPr>
        <w:spacing w:before="120" w:line="320" w:lineRule="atLeast"/>
        <w:ind w:left="1140" w:leftChars="0" w:hanging="720" w:firstLineChars="0"/>
        <w:rPr>
          <w:szCs w:val="21"/>
        </w:rPr>
      </w:pPr>
      <w:r>
        <w:rPr>
          <w:rFonts w:hint="default" w:ascii="Times New Roman" w:hAnsi="Times New Roman" w:eastAsia="宋体" w:cs="Times New Roman"/>
          <w:kern w:val="2"/>
          <w:sz w:val="21"/>
          <w:szCs w:val="21"/>
          <w:lang w:val="en-US" w:eastAsia="zh-CN" w:bidi="ar-SA"/>
        </w:rPr>
        <w:t>（8）</w:t>
      </w:r>
      <w:r>
        <w:rPr>
          <w:szCs w:val="21"/>
        </w:rPr>
        <w:t>其他严重扰乱招</w:t>
      </w:r>
      <w:r>
        <w:rPr>
          <w:rFonts w:hint="eastAsia"/>
          <w:szCs w:val="21"/>
        </w:rPr>
        <w:t>投标</w:t>
      </w:r>
      <w:r>
        <w:rPr>
          <w:szCs w:val="21"/>
        </w:rPr>
        <w:t>程序的</w:t>
      </w:r>
      <w:r>
        <w:rPr>
          <w:rFonts w:hint="eastAsia"/>
          <w:szCs w:val="21"/>
        </w:rPr>
        <w:t>。</w:t>
      </w:r>
    </w:p>
    <w:p w14:paraId="26889679">
      <w:pPr>
        <w:spacing w:before="120" w:line="320" w:lineRule="atLeast"/>
        <w:ind w:firstLine="422" w:firstLineChars="200"/>
        <w:outlineLvl w:val="2"/>
        <w:rPr>
          <w:b/>
          <w:bCs/>
          <w:kern w:val="0"/>
          <w:szCs w:val="21"/>
        </w:rPr>
      </w:pPr>
      <w:bookmarkStart w:id="49" w:name="_Toc254970542"/>
      <w:bookmarkStart w:id="50" w:name="_Toc254970683"/>
      <w:r>
        <w:rPr>
          <w:b/>
          <w:bCs/>
          <w:kern w:val="0"/>
          <w:szCs w:val="21"/>
        </w:rPr>
        <w:t>3.6响应文件的</w:t>
      </w:r>
      <w:bookmarkEnd w:id="49"/>
      <w:bookmarkEnd w:id="50"/>
      <w:r>
        <w:rPr>
          <w:b/>
          <w:bCs/>
          <w:kern w:val="0"/>
          <w:szCs w:val="21"/>
        </w:rPr>
        <w:t>编制要求</w:t>
      </w:r>
    </w:p>
    <w:p w14:paraId="3658D368">
      <w:pPr>
        <w:spacing w:before="120" w:line="320" w:lineRule="atLeast"/>
        <w:ind w:firstLine="420" w:firstLineChars="200"/>
        <w:rPr>
          <w:b/>
          <w:bCs/>
          <w:kern w:val="0"/>
          <w:szCs w:val="21"/>
        </w:rPr>
      </w:pPr>
      <w:r>
        <w:rPr>
          <w:rFonts w:hint="eastAsia"/>
          <w:kern w:val="0"/>
          <w:szCs w:val="21"/>
        </w:rPr>
        <w:t>3</w:t>
      </w:r>
      <w:r>
        <w:rPr>
          <w:kern w:val="0"/>
          <w:szCs w:val="21"/>
        </w:rPr>
        <w:t>.6.1</w:t>
      </w:r>
      <w:r>
        <w:rPr>
          <w:rFonts w:hint="eastAsia"/>
          <w:szCs w:val="21"/>
        </w:rPr>
        <w:t>供应商应先安装广西政府采购云平台新版客户端，通过账号密码或C</w:t>
      </w:r>
      <w:r>
        <w:rPr>
          <w:szCs w:val="21"/>
        </w:rPr>
        <w:t>A</w:t>
      </w:r>
      <w:r>
        <w:rPr>
          <w:rFonts w:hint="eastAsia"/>
          <w:szCs w:val="21"/>
        </w:rPr>
        <w:t>登录客户端制作响应文件。</w:t>
      </w:r>
    </w:p>
    <w:p w14:paraId="159C6B08">
      <w:pPr>
        <w:spacing w:before="120" w:line="320" w:lineRule="atLeast"/>
        <w:ind w:firstLine="420" w:firstLineChars="200"/>
        <w:rPr>
          <w:rFonts w:hint="eastAsia"/>
          <w:szCs w:val="21"/>
        </w:rPr>
      </w:pPr>
      <w:r>
        <w:rPr>
          <w:rFonts w:hint="eastAsia"/>
          <w:szCs w:val="21"/>
        </w:rPr>
        <w:t>3.6.2供应商应按本采购文件规定的格式和顺序编制响应文件并进行关联定位，以便谈判小组在评审时，点击评分项可直接定位到该评分项内容。如对采购文件的某项要求，供应商的响应文件未能关联定位提供相应的内容与其对应，则谈判小组在评审时如做出对供应商不利的评审由供应商自行承担。响应文件如内容不完整、编排混乱导致响应文件被误读、漏读，或者在按采购文件规定的部位查找不到相关内容的，由供应商自行承担。</w:t>
      </w:r>
    </w:p>
    <w:p w14:paraId="4F1DAC4F">
      <w:pPr>
        <w:spacing w:before="120" w:line="320" w:lineRule="atLeast"/>
        <w:ind w:firstLine="420" w:firstLineChars="200"/>
        <w:rPr>
          <w:szCs w:val="21"/>
        </w:rPr>
      </w:pPr>
      <w:r>
        <w:rPr>
          <w:rFonts w:hint="eastAsia"/>
          <w:szCs w:val="21"/>
        </w:rPr>
        <w:t>3.6.3 供应商的响应文件未按照采购文件要求签署、盖章的，其响应无效。</w:t>
      </w:r>
    </w:p>
    <w:p w14:paraId="60286A70">
      <w:pPr>
        <w:spacing w:before="120" w:line="320" w:lineRule="atLeast"/>
        <w:ind w:firstLine="420" w:firstLineChars="200"/>
        <w:rPr>
          <w:szCs w:val="21"/>
        </w:rPr>
      </w:pPr>
      <w:r>
        <w:rPr>
          <w:szCs w:val="21"/>
        </w:rPr>
        <w:t>3.6.4</w:t>
      </w:r>
      <w:r>
        <w:rPr>
          <w:rFonts w:hint="eastAsia"/>
          <w:szCs w:val="21"/>
        </w:rPr>
        <w:t>为确保网上操作合法、有效和安全，供应商应当在响应截止时间前完成在广西政府采购云平台的身份认证，确保在</w:t>
      </w:r>
      <w:r>
        <w:rPr>
          <w:rFonts w:hint="eastAsia"/>
          <w:szCs w:val="21"/>
          <w:lang w:eastAsia="zh-CN"/>
        </w:rPr>
        <w:t>电子响应</w:t>
      </w:r>
      <w:r>
        <w:rPr>
          <w:rFonts w:hint="eastAsia"/>
          <w:szCs w:val="21"/>
        </w:rPr>
        <w:t>过程中能够对相关数据电文进行加密和使用电子签名。</w:t>
      </w:r>
    </w:p>
    <w:p w14:paraId="1323D1DE">
      <w:pPr>
        <w:spacing w:before="120" w:line="320" w:lineRule="atLeast"/>
        <w:ind w:firstLine="420" w:firstLineChars="200"/>
        <w:rPr>
          <w:szCs w:val="21"/>
        </w:rPr>
      </w:pPr>
      <w:r>
        <w:rPr>
          <w:rFonts w:hint="eastAsia"/>
          <w:szCs w:val="21"/>
        </w:rPr>
        <w:t>3</w:t>
      </w:r>
      <w:r>
        <w:rPr>
          <w:szCs w:val="21"/>
        </w:rPr>
        <w:t>.6.5</w:t>
      </w:r>
      <w:r>
        <w:rPr>
          <w:rFonts w:hint="eastAsia"/>
          <w:szCs w:val="21"/>
        </w:rPr>
        <w:t>响应文件中标注的供应商名称应与主体资格证明（如营业执照、事业单位法人证书、执业许可证、个体工商户营业执照、自然人身份证等）和公章/电子签章一致，</w:t>
      </w:r>
      <w:r>
        <w:rPr>
          <w:rFonts w:hint="eastAsia"/>
          <w:b/>
          <w:bCs/>
          <w:szCs w:val="21"/>
        </w:rPr>
        <w:t>否则作无效响应处理。</w:t>
      </w:r>
    </w:p>
    <w:p w14:paraId="21CF54B5">
      <w:pPr>
        <w:spacing w:before="120" w:line="320" w:lineRule="atLeast"/>
        <w:ind w:firstLine="422" w:firstLineChars="200"/>
        <w:outlineLvl w:val="2"/>
        <w:rPr>
          <w:b/>
          <w:bCs/>
          <w:kern w:val="0"/>
          <w:szCs w:val="21"/>
        </w:rPr>
      </w:pPr>
      <w:r>
        <w:rPr>
          <w:b/>
          <w:bCs/>
          <w:kern w:val="0"/>
          <w:szCs w:val="21"/>
        </w:rPr>
        <w:t>3.7响应文件的递交、修改和撤回</w:t>
      </w:r>
    </w:p>
    <w:p w14:paraId="4815DE36">
      <w:pPr>
        <w:spacing w:before="120" w:line="320" w:lineRule="atLeast"/>
        <w:ind w:firstLine="420" w:firstLineChars="200"/>
        <w:rPr>
          <w:szCs w:val="21"/>
        </w:rPr>
      </w:pPr>
      <w:r>
        <w:rPr>
          <w:szCs w:val="21"/>
        </w:rPr>
        <w:t>3.7.1</w:t>
      </w:r>
      <w:r>
        <w:rPr>
          <w:rFonts w:hint="eastAsia"/>
          <w:szCs w:val="21"/>
        </w:rPr>
        <w:t>供应商必须在“供应商须知前附表”规定的响应文件</w:t>
      </w:r>
      <w:r>
        <w:rPr>
          <w:rFonts w:hint="eastAsia"/>
          <w:szCs w:val="21"/>
          <w:lang w:eastAsia="zh-CN"/>
        </w:rPr>
        <w:t>开启响应文件</w:t>
      </w:r>
      <w:r>
        <w:rPr>
          <w:rFonts w:hint="eastAsia"/>
          <w:szCs w:val="21"/>
        </w:rPr>
        <w:t xml:space="preserve">时间和响应地点提交电子版响应文件。电子响应文件应在制作完成后，在响应截止时间前通过有效数字证书（CA认证锁）进行电子签章、加密，然后通过网络将加密的电子响应文件递交至广西政府采购云平台。 </w:t>
      </w:r>
    </w:p>
    <w:p w14:paraId="31BEF83D">
      <w:pPr>
        <w:spacing w:before="120" w:line="320" w:lineRule="atLeast"/>
        <w:ind w:firstLine="420" w:firstLineChars="200"/>
        <w:rPr>
          <w:szCs w:val="21"/>
        </w:rPr>
      </w:pPr>
      <w:r>
        <w:rPr>
          <w:rFonts w:hint="eastAsia"/>
          <w:szCs w:val="21"/>
        </w:rPr>
        <w:t>3</w:t>
      </w:r>
      <w:r>
        <w:rPr>
          <w:szCs w:val="21"/>
        </w:rPr>
        <w:t>.7.2</w:t>
      </w:r>
      <w:r>
        <w:rPr>
          <w:rFonts w:hint="eastAsia"/>
          <w:szCs w:val="21"/>
        </w:rPr>
        <w:t xml:space="preserve">未在规定时间内提交或者未按照采购文件要求签章、加密的电子响应文件，广西政府采购云平台将拒收。 </w:t>
      </w:r>
    </w:p>
    <w:p w14:paraId="3AC2040B">
      <w:pPr>
        <w:spacing w:before="120" w:line="320" w:lineRule="atLeast"/>
        <w:ind w:left="2" w:leftChars="1" w:firstLine="420" w:firstLineChars="200"/>
        <w:rPr>
          <w:szCs w:val="21"/>
        </w:rPr>
      </w:pPr>
      <w:bookmarkStart w:id="51" w:name="_Toc254970685"/>
      <w:bookmarkStart w:id="52" w:name="_Toc254970544"/>
      <w:r>
        <w:rPr>
          <w:rFonts w:hint="eastAsia"/>
          <w:szCs w:val="21"/>
        </w:rPr>
        <w:t>3</w:t>
      </w:r>
      <w:r>
        <w:rPr>
          <w:szCs w:val="21"/>
        </w:rPr>
        <w:t>.7.3</w:t>
      </w:r>
      <w:r>
        <w:rPr>
          <w:rFonts w:hint="eastAsia"/>
          <w:szCs w:val="21"/>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7F12D71E">
      <w:pPr>
        <w:spacing w:before="120" w:line="320" w:lineRule="atLeast"/>
        <w:ind w:left="2" w:leftChars="1" w:firstLine="420" w:firstLineChars="200"/>
        <w:rPr>
          <w:szCs w:val="21"/>
        </w:rPr>
      </w:pPr>
      <w:r>
        <w:rPr>
          <w:szCs w:val="21"/>
        </w:rPr>
        <w:t>3.7.4</w:t>
      </w:r>
      <w:r>
        <w:rPr>
          <w:rFonts w:hint="eastAsia"/>
          <w:szCs w:val="21"/>
        </w:rPr>
        <w:t>在响应截止时间前，除供应商补充、修改或者撤回响应文件外，任何单位和个人不得解密或提取响应文件。</w:t>
      </w:r>
    </w:p>
    <w:p w14:paraId="76050055">
      <w:pPr>
        <w:spacing w:before="120" w:line="320" w:lineRule="atLeast"/>
        <w:ind w:left="2" w:leftChars="1" w:firstLine="420" w:firstLineChars="200"/>
        <w:rPr>
          <w:szCs w:val="21"/>
        </w:rPr>
      </w:pPr>
      <w:r>
        <w:rPr>
          <w:szCs w:val="21"/>
        </w:rPr>
        <w:t>3.7.5</w:t>
      </w:r>
      <w:r>
        <w:rPr>
          <w:rFonts w:hint="eastAsia"/>
          <w:szCs w:val="21"/>
        </w:rPr>
        <w:t>在响应截止时间止提交电子版响应文件的供应商不足3家时，电子版响应文件由代理机构在广西政府采购云平台操作退回，除此之外采购人和采购代理机构对已提交的响应文件概不退回。</w:t>
      </w:r>
    </w:p>
    <w:p w14:paraId="0A5A8459">
      <w:pPr>
        <w:spacing w:before="120" w:line="320" w:lineRule="atLeast"/>
        <w:ind w:left="2" w:leftChars="1" w:firstLine="420" w:firstLineChars="200"/>
        <w:rPr>
          <w:rFonts w:hint="eastAsia"/>
          <w:color w:val="auto"/>
          <w:szCs w:val="21"/>
        </w:rPr>
      </w:pPr>
      <w:bookmarkStart w:id="53" w:name="_Hlk93046827"/>
      <w:r>
        <w:rPr>
          <w:rFonts w:hint="eastAsia"/>
          <w:szCs w:val="21"/>
        </w:rPr>
        <w:t>3</w:t>
      </w:r>
      <w:r>
        <w:rPr>
          <w:szCs w:val="21"/>
        </w:rPr>
        <w:t>.7.6</w:t>
      </w:r>
      <w:r>
        <w:rPr>
          <w:rFonts w:hint="eastAsia"/>
          <w:szCs w:val="21"/>
        </w:rPr>
        <w:t>采购文件未允许同一供应商提交两个或以上不同的响应文件，但存在</w:t>
      </w:r>
      <w:r>
        <w:rPr>
          <w:rFonts w:hint="eastAsia"/>
        </w:rPr>
        <w:t>同</w:t>
      </w:r>
      <w:r>
        <w:rPr>
          <w:rFonts w:hint="eastAsia"/>
          <w:szCs w:val="21"/>
        </w:rPr>
        <w:t>一供应商提交两个或以上不同的响应文件的，</w:t>
      </w:r>
      <w:r>
        <w:rPr>
          <w:rFonts w:hint="eastAsia"/>
          <w:b/>
          <w:bCs/>
          <w:szCs w:val="21"/>
        </w:rPr>
        <w:t>其响应无效。</w:t>
      </w:r>
      <w:r>
        <w:rPr>
          <w:rFonts w:hint="eastAsia"/>
          <w:color w:val="auto"/>
          <w:szCs w:val="21"/>
        </w:rPr>
        <w:t>供应商在同一响应文件中对某项技术、商务要求提供有选择性的响应参数或方案等同于提交两个或以上不同的响应文件。</w:t>
      </w:r>
      <w:bookmarkEnd w:id="53"/>
    </w:p>
    <w:p w14:paraId="627B7DEB">
      <w:pPr>
        <w:spacing w:before="120" w:line="320" w:lineRule="atLeast"/>
        <w:ind w:left="2" w:leftChars="1" w:firstLine="422" w:firstLineChars="200"/>
        <w:outlineLvl w:val="1"/>
        <w:rPr>
          <w:rFonts w:hint="eastAsia" w:eastAsia="宋体"/>
          <w:b/>
          <w:bCs/>
          <w:color w:val="auto"/>
          <w:kern w:val="0"/>
          <w:szCs w:val="21"/>
          <w:lang w:eastAsia="zh-CN"/>
        </w:rPr>
      </w:pPr>
      <w:r>
        <w:rPr>
          <w:b/>
          <w:bCs/>
          <w:color w:val="auto"/>
          <w:kern w:val="0"/>
          <w:szCs w:val="21"/>
        </w:rPr>
        <w:t>4．</w:t>
      </w:r>
      <w:bookmarkEnd w:id="51"/>
      <w:bookmarkEnd w:id="52"/>
      <w:r>
        <w:rPr>
          <w:rFonts w:hint="eastAsia"/>
          <w:b/>
          <w:bCs/>
          <w:color w:val="auto"/>
          <w:kern w:val="0"/>
          <w:szCs w:val="21"/>
          <w:lang w:eastAsia="zh-CN"/>
        </w:rPr>
        <w:t>开启响应文件</w:t>
      </w:r>
    </w:p>
    <w:p w14:paraId="4DFD90CC">
      <w:pPr>
        <w:spacing w:before="120" w:line="320" w:lineRule="atLeast"/>
        <w:ind w:firstLine="422" w:firstLineChars="200"/>
        <w:outlineLvl w:val="2"/>
        <w:rPr>
          <w:b/>
          <w:bCs/>
          <w:kern w:val="0"/>
          <w:szCs w:val="21"/>
        </w:rPr>
      </w:pPr>
      <w:r>
        <w:rPr>
          <w:b/>
          <w:bCs/>
          <w:kern w:val="0"/>
          <w:szCs w:val="21"/>
        </w:rPr>
        <w:t>4.1</w:t>
      </w:r>
      <w:r>
        <w:rPr>
          <w:rFonts w:hint="eastAsia"/>
          <w:b/>
          <w:bCs/>
          <w:kern w:val="0"/>
          <w:szCs w:val="21"/>
          <w:lang w:eastAsia="zh-CN"/>
        </w:rPr>
        <w:t>开启响应文件</w:t>
      </w:r>
      <w:r>
        <w:rPr>
          <w:b/>
          <w:bCs/>
          <w:kern w:val="0"/>
          <w:szCs w:val="21"/>
        </w:rPr>
        <w:t>准备</w:t>
      </w:r>
    </w:p>
    <w:p w14:paraId="3180E085">
      <w:pPr>
        <w:spacing w:before="120" w:line="276" w:lineRule="auto"/>
        <w:ind w:firstLine="420" w:firstLineChars="200"/>
        <w:rPr>
          <w:szCs w:val="21"/>
        </w:rPr>
      </w:pPr>
      <w:r>
        <w:rPr>
          <w:szCs w:val="21"/>
        </w:rPr>
        <w:t>本项目响应截止时间及地点见“供应商须知前附表”规定。</w:t>
      </w:r>
    </w:p>
    <w:p w14:paraId="15C8FF52">
      <w:pPr>
        <w:autoSpaceDE w:val="0"/>
        <w:autoSpaceDN w:val="0"/>
        <w:adjustRightInd w:val="0"/>
        <w:spacing w:line="276" w:lineRule="auto"/>
        <w:ind w:firstLine="420" w:firstLineChars="200"/>
        <w:rPr>
          <w:szCs w:val="21"/>
        </w:rPr>
      </w:pPr>
      <w:r>
        <w:rPr>
          <w:rFonts w:hint="eastAsia"/>
          <w:szCs w:val="21"/>
        </w:rPr>
        <w:t>全流程电子化项目没有现场递交响应文件及现场</w:t>
      </w:r>
      <w:r>
        <w:rPr>
          <w:rFonts w:hint="eastAsia"/>
          <w:szCs w:val="21"/>
          <w:lang w:eastAsia="zh-CN"/>
        </w:rPr>
        <w:t>开启响应文件</w:t>
      </w:r>
      <w:r>
        <w:rPr>
          <w:rFonts w:hint="eastAsia"/>
          <w:szCs w:val="21"/>
        </w:rPr>
        <w:t>环节。采购代理机构将按照采购文件规定的时间通过广西政府采购云平台组织线上</w:t>
      </w:r>
      <w:r>
        <w:rPr>
          <w:rFonts w:hint="eastAsia"/>
          <w:szCs w:val="21"/>
          <w:lang w:eastAsia="zh-CN"/>
        </w:rPr>
        <w:t>开启响应文件</w:t>
      </w:r>
      <w:r>
        <w:rPr>
          <w:rFonts w:hint="eastAsia"/>
          <w:szCs w:val="21"/>
        </w:rPr>
        <w:t>活动、开启响应文件，所有供应商均应当准时在线参加。供应商</w:t>
      </w:r>
      <w:r>
        <w:rPr>
          <w:szCs w:val="21"/>
        </w:rPr>
        <w:t>如不</w:t>
      </w:r>
      <w:r>
        <w:rPr>
          <w:rFonts w:hint="eastAsia"/>
          <w:szCs w:val="21"/>
        </w:rPr>
        <w:t>参加</w:t>
      </w:r>
      <w:r>
        <w:rPr>
          <w:rFonts w:hint="eastAsia"/>
          <w:szCs w:val="21"/>
          <w:lang w:eastAsia="zh-CN"/>
        </w:rPr>
        <w:t>开启响应文件</w:t>
      </w:r>
      <w:r>
        <w:rPr>
          <w:szCs w:val="21"/>
        </w:rPr>
        <w:t>大会的，</w:t>
      </w:r>
      <w:r>
        <w:rPr>
          <w:rFonts w:hint="eastAsia"/>
          <w:szCs w:val="21"/>
        </w:rPr>
        <w:t>视同认可</w:t>
      </w:r>
      <w:r>
        <w:rPr>
          <w:rFonts w:hint="eastAsia"/>
          <w:szCs w:val="21"/>
          <w:lang w:eastAsia="zh-CN"/>
        </w:rPr>
        <w:t>开启响应文件</w:t>
      </w:r>
      <w:r>
        <w:rPr>
          <w:rFonts w:hint="eastAsia"/>
          <w:szCs w:val="21"/>
        </w:rPr>
        <w:t>结果，</w:t>
      </w:r>
      <w:r>
        <w:rPr>
          <w:szCs w:val="21"/>
        </w:rPr>
        <w:t>事后不得对采购相关人员、</w:t>
      </w:r>
      <w:r>
        <w:rPr>
          <w:rFonts w:hint="eastAsia"/>
          <w:szCs w:val="21"/>
          <w:lang w:eastAsia="zh-CN"/>
        </w:rPr>
        <w:t>开启响应文件</w:t>
      </w:r>
      <w:r>
        <w:rPr>
          <w:szCs w:val="21"/>
        </w:rPr>
        <w:t>过程和</w:t>
      </w:r>
      <w:r>
        <w:rPr>
          <w:rFonts w:hint="eastAsia"/>
          <w:szCs w:val="21"/>
          <w:lang w:eastAsia="zh-CN"/>
        </w:rPr>
        <w:t>开启响应文件</w:t>
      </w:r>
      <w:r>
        <w:rPr>
          <w:szCs w:val="21"/>
        </w:rPr>
        <w:t>结果提出异议</w:t>
      </w:r>
      <w:r>
        <w:rPr>
          <w:rFonts w:hint="eastAsia"/>
          <w:szCs w:val="21"/>
        </w:rPr>
        <w:t>，同时供应商因未在线参加</w:t>
      </w:r>
      <w:r>
        <w:rPr>
          <w:rFonts w:hint="eastAsia"/>
          <w:szCs w:val="21"/>
          <w:lang w:eastAsia="zh-CN"/>
        </w:rPr>
        <w:t>开启响应文件</w:t>
      </w:r>
      <w:r>
        <w:rPr>
          <w:rFonts w:hint="eastAsia"/>
          <w:szCs w:val="21"/>
        </w:rPr>
        <w:t>而导致响应文件无法按时解密等一切后果由供应商自己承担。</w:t>
      </w:r>
    </w:p>
    <w:p w14:paraId="19001582">
      <w:pPr>
        <w:spacing w:before="120" w:line="276" w:lineRule="auto"/>
        <w:ind w:firstLine="420" w:firstLineChars="200"/>
        <w:rPr>
          <w:szCs w:val="21"/>
        </w:rPr>
      </w:pPr>
      <w:r>
        <w:rPr>
          <w:rFonts w:hint="eastAsia"/>
          <w:szCs w:val="21"/>
        </w:rPr>
        <w:t>如供应商成功解密响应文件，但未在广西政府采购云平台电子开标大厅参加</w:t>
      </w:r>
      <w:r>
        <w:rPr>
          <w:rFonts w:hint="eastAsia"/>
          <w:szCs w:val="21"/>
          <w:lang w:eastAsia="zh-CN"/>
        </w:rPr>
        <w:t>开启响应文件</w:t>
      </w:r>
      <w:r>
        <w:rPr>
          <w:rFonts w:hint="eastAsia"/>
          <w:szCs w:val="21"/>
        </w:rPr>
        <w:t>的，视同认可</w:t>
      </w:r>
      <w:r>
        <w:rPr>
          <w:rFonts w:hint="eastAsia"/>
          <w:szCs w:val="21"/>
          <w:lang w:eastAsia="zh-CN"/>
        </w:rPr>
        <w:t>开启响应文件</w:t>
      </w:r>
      <w:r>
        <w:rPr>
          <w:rFonts w:hint="eastAsia"/>
          <w:szCs w:val="21"/>
        </w:rPr>
        <w:t xml:space="preserve">过程和结果，由此产生的后果由供应商自行负责。 </w:t>
      </w:r>
    </w:p>
    <w:p w14:paraId="305B259A">
      <w:pPr>
        <w:spacing w:before="120" w:line="320" w:lineRule="atLeast"/>
        <w:ind w:firstLine="422" w:firstLineChars="200"/>
        <w:outlineLvl w:val="2"/>
        <w:rPr>
          <w:b/>
          <w:bCs/>
          <w:kern w:val="0"/>
          <w:szCs w:val="21"/>
        </w:rPr>
      </w:pPr>
      <w:r>
        <w:rPr>
          <w:b/>
          <w:bCs/>
          <w:kern w:val="0"/>
          <w:szCs w:val="21"/>
        </w:rPr>
        <w:t>4.2</w:t>
      </w:r>
      <w:r>
        <w:rPr>
          <w:rFonts w:hint="eastAsia"/>
          <w:b/>
          <w:bCs/>
          <w:kern w:val="0"/>
          <w:szCs w:val="21"/>
          <w:lang w:eastAsia="zh-CN"/>
        </w:rPr>
        <w:t>开启响应文件</w:t>
      </w:r>
      <w:r>
        <w:rPr>
          <w:b/>
          <w:bCs/>
          <w:kern w:val="0"/>
          <w:szCs w:val="21"/>
        </w:rPr>
        <w:t>程序</w:t>
      </w:r>
    </w:p>
    <w:p w14:paraId="566CD960">
      <w:pPr>
        <w:spacing w:before="120" w:line="320" w:lineRule="atLeast"/>
        <w:ind w:firstLine="420" w:firstLineChars="200"/>
        <w:rPr>
          <w:szCs w:val="21"/>
        </w:rPr>
      </w:pPr>
      <w:r>
        <w:rPr>
          <w:szCs w:val="21"/>
        </w:rPr>
        <w:t>4.2.1</w:t>
      </w:r>
      <w:r>
        <w:rPr>
          <w:rFonts w:hint="eastAsia"/>
          <w:szCs w:val="21"/>
        </w:rPr>
        <w:t>供应商登录广西政府采购云平台进入开标大厅签到。</w:t>
      </w:r>
    </w:p>
    <w:p w14:paraId="5E925B7A">
      <w:pPr>
        <w:spacing w:before="120" w:line="320" w:lineRule="atLeast"/>
        <w:ind w:firstLine="420" w:firstLineChars="200"/>
        <w:rPr>
          <w:szCs w:val="21"/>
        </w:rPr>
      </w:pPr>
      <w:r>
        <w:rPr>
          <w:rFonts w:hint="eastAsia"/>
          <w:szCs w:val="21"/>
        </w:rPr>
        <w:t>4</w:t>
      </w:r>
      <w:r>
        <w:rPr>
          <w:szCs w:val="21"/>
        </w:rPr>
        <w:t>.2.2</w:t>
      </w:r>
      <w:r>
        <w:rPr>
          <w:rFonts w:hint="eastAsia"/>
          <w:szCs w:val="21"/>
        </w:rPr>
        <w:t>解密电子响应文件。广西政府采购云平台按</w:t>
      </w:r>
      <w:r>
        <w:rPr>
          <w:rFonts w:hint="eastAsia"/>
          <w:szCs w:val="21"/>
          <w:lang w:eastAsia="zh-CN"/>
        </w:rPr>
        <w:t>开启响应文件</w:t>
      </w:r>
      <w:r>
        <w:rPr>
          <w:rFonts w:hint="eastAsia"/>
          <w:szCs w:val="21"/>
        </w:rPr>
        <w:t>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w:t>
      </w:r>
      <w:r>
        <w:rPr>
          <w:rFonts w:hint="eastAsia"/>
          <w:szCs w:val="21"/>
          <w:lang w:eastAsia="zh-CN"/>
        </w:rPr>
        <w:t>开启响应文件</w:t>
      </w:r>
      <w:r>
        <w:rPr>
          <w:rFonts w:hint="eastAsia"/>
          <w:szCs w:val="21"/>
        </w:rPr>
        <w:t>后供应商未及时进行解密的，代理机构可通知供应商。</w:t>
      </w:r>
      <w:bookmarkStart w:id="54" w:name="_Hlk106637960"/>
      <w:r>
        <w:rPr>
          <w:rFonts w:hint="eastAsia"/>
        </w:rPr>
        <w:t>通知后供应商仍未在上述规定时间内解密响应文件</w:t>
      </w:r>
      <w:bookmarkEnd w:id="54"/>
      <w:r>
        <w:rPr>
          <w:rFonts w:hint="eastAsia"/>
          <w:szCs w:val="21"/>
        </w:rPr>
        <w:t>，或者供应商没预留联系方式或预留联系方式无效导致代理机构无法联系到供应商进行解密的，均视为无效响应。</w:t>
      </w:r>
    </w:p>
    <w:p w14:paraId="6A07F81D">
      <w:pPr>
        <w:spacing w:before="120" w:line="320" w:lineRule="atLeast"/>
        <w:ind w:firstLine="420" w:firstLineChars="200"/>
        <w:rPr>
          <w:rFonts w:hint="eastAsia"/>
          <w:szCs w:val="21"/>
        </w:rPr>
      </w:pPr>
      <w:r>
        <w:rPr>
          <w:rFonts w:hint="eastAsia"/>
          <w:szCs w:val="21"/>
        </w:rPr>
        <w:t>4</w:t>
      </w:r>
      <w:r>
        <w:rPr>
          <w:szCs w:val="21"/>
        </w:rPr>
        <w:t>.2.3</w:t>
      </w:r>
      <w:bookmarkStart w:id="55" w:name="_Hlk106637968"/>
      <w:r>
        <w:rPr>
          <w:rFonts w:hint="eastAsia"/>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5"/>
    <w:p w14:paraId="7D679849">
      <w:pPr>
        <w:spacing w:before="120" w:line="320" w:lineRule="atLeast"/>
        <w:ind w:firstLine="420" w:firstLineChars="200"/>
        <w:rPr>
          <w:szCs w:val="21"/>
        </w:rPr>
      </w:pPr>
      <w:r>
        <w:rPr>
          <w:rFonts w:hint="eastAsia"/>
          <w:szCs w:val="21"/>
        </w:rPr>
        <w:t>4</w:t>
      </w:r>
      <w:r>
        <w:rPr>
          <w:szCs w:val="21"/>
        </w:rPr>
        <w:t>.2.4</w:t>
      </w:r>
      <w:r>
        <w:rPr>
          <w:rFonts w:hint="eastAsia"/>
          <w:szCs w:val="21"/>
        </w:rPr>
        <w:t>解密异常情况处理：详见本章</w:t>
      </w:r>
      <w:r>
        <w:rPr>
          <w:szCs w:val="21"/>
        </w:rPr>
        <w:t>9.2</w:t>
      </w:r>
      <w:r>
        <w:rPr>
          <w:rFonts w:hint="eastAsia"/>
          <w:szCs w:val="21"/>
        </w:rPr>
        <w:t>电子交易活动的中止。</w:t>
      </w:r>
    </w:p>
    <w:p w14:paraId="5EDDB3A6">
      <w:pPr>
        <w:spacing w:before="120" w:line="320" w:lineRule="atLeast"/>
        <w:ind w:firstLine="420" w:firstLineChars="200"/>
        <w:rPr>
          <w:szCs w:val="21"/>
        </w:rPr>
      </w:pPr>
      <w:r>
        <w:rPr>
          <w:szCs w:val="21"/>
        </w:rPr>
        <w:t>4.2.5</w:t>
      </w:r>
      <w:r>
        <w:rPr>
          <w:rFonts w:hint="eastAsia"/>
          <w:szCs w:val="21"/>
          <w:lang w:eastAsia="zh-CN"/>
        </w:rPr>
        <w:t>开启响应文件</w:t>
      </w:r>
      <w:r>
        <w:rPr>
          <w:szCs w:val="21"/>
        </w:rPr>
        <w:t>结束。</w:t>
      </w:r>
    </w:p>
    <w:p w14:paraId="2B0E0644">
      <w:pPr>
        <w:pStyle w:val="26"/>
        <w:snapToGrid w:val="0"/>
        <w:spacing w:line="440" w:lineRule="exact"/>
        <w:ind w:firstLine="422" w:firstLineChars="200"/>
        <w:rPr>
          <w:rFonts w:hAnsi="宋体"/>
        </w:rPr>
      </w:pPr>
      <w:r>
        <w:rPr>
          <w:rFonts w:hint="eastAsia" w:hAnsi="宋体"/>
          <w:b/>
          <w:bCs/>
        </w:rPr>
        <w:t>特别说明：</w:t>
      </w:r>
      <w:r>
        <w:rPr>
          <w:rFonts w:hint="eastAsia" w:hAnsi="宋体"/>
        </w:rPr>
        <w:t>如遇广西政府采购云平台电子化</w:t>
      </w:r>
      <w:r>
        <w:rPr>
          <w:rFonts w:hint="eastAsia" w:hAnsi="宋体"/>
          <w:lang w:eastAsia="zh-CN"/>
        </w:rPr>
        <w:t>开启响应文件</w:t>
      </w:r>
      <w:r>
        <w:rPr>
          <w:rFonts w:hint="eastAsia" w:hAnsi="宋体"/>
        </w:rPr>
        <w:t>或评审程序调整的，按调整后的程序执行。</w:t>
      </w:r>
    </w:p>
    <w:p w14:paraId="13FC46EC">
      <w:pPr>
        <w:spacing w:before="120" w:line="320" w:lineRule="atLeast"/>
        <w:ind w:firstLine="422" w:firstLineChars="200"/>
        <w:outlineLvl w:val="2"/>
        <w:rPr>
          <w:b/>
          <w:bCs/>
          <w:kern w:val="0"/>
          <w:szCs w:val="21"/>
        </w:rPr>
      </w:pPr>
      <w:r>
        <w:rPr>
          <w:b/>
          <w:bCs/>
          <w:kern w:val="0"/>
          <w:szCs w:val="21"/>
        </w:rPr>
        <w:t>4.3演示</w:t>
      </w:r>
    </w:p>
    <w:p w14:paraId="63EC5E84">
      <w:pPr>
        <w:spacing w:before="120" w:line="320" w:lineRule="atLeast"/>
        <w:ind w:firstLine="420" w:firstLineChars="200"/>
        <w:rPr>
          <w:szCs w:val="21"/>
        </w:rPr>
      </w:pPr>
      <w:r>
        <w:rPr>
          <w:szCs w:val="21"/>
        </w:rPr>
        <w:t>4.3.1“供应商须知前附表”规定在</w:t>
      </w:r>
      <w:r>
        <w:rPr>
          <w:rFonts w:hint="eastAsia"/>
          <w:szCs w:val="21"/>
          <w:lang w:eastAsia="zh-CN"/>
        </w:rPr>
        <w:t>开启响应文件</w:t>
      </w:r>
      <w:r>
        <w:rPr>
          <w:szCs w:val="21"/>
        </w:rPr>
        <w:t>会议结束后进行演示的，供应商应按规定进行演示。</w:t>
      </w:r>
    </w:p>
    <w:p w14:paraId="0CD98098">
      <w:pPr>
        <w:spacing w:before="120" w:line="320" w:lineRule="atLeast"/>
        <w:ind w:firstLine="420" w:firstLineChars="200"/>
        <w:rPr>
          <w:szCs w:val="21"/>
        </w:rPr>
      </w:pPr>
      <w:r>
        <w:rPr>
          <w:szCs w:val="21"/>
        </w:rPr>
        <w:t>4.3.2未按规定时间进行演示可能引起的演示分数被计为0分或响应无效等后果由供应商自行承担。</w:t>
      </w:r>
    </w:p>
    <w:p w14:paraId="246174B8">
      <w:pPr>
        <w:spacing w:before="120" w:line="320" w:lineRule="atLeast"/>
        <w:ind w:firstLine="422" w:firstLineChars="200"/>
        <w:outlineLvl w:val="2"/>
        <w:rPr>
          <w:szCs w:val="21"/>
        </w:rPr>
      </w:pPr>
      <w:r>
        <w:rPr>
          <w:b/>
          <w:bCs/>
          <w:kern w:val="0"/>
          <w:szCs w:val="21"/>
        </w:rPr>
        <w:t>4.4样品</w:t>
      </w:r>
    </w:p>
    <w:p w14:paraId="4F2E2E83">
      <w:pPr>
        <w:spacing w:before="120" w:line="320" w:lineRule="atLeast"/>
        <w:ind w:firstLine="420" w:firstLineChars="200"/>
        <w:rPr>
          <w:szCs w:val="21"/>
        </w:rPr>
      </w:pPr>
      <w:r>
        <w:rPr>
          <w:szCs w:val="21"/>
        </w:rPr>
        <w:t>4.4.1“供应商须知前附表”规定递交样品的，供应商应按前附表规定递交样品，递交样品时应附样品递交表（格式见第六章）。</w:t>
      </w:r>
    </w:p>
    <w:p w14:paraId="6FFCB755">
      <w:pPr>
        <w:spacing w:before="120" w:line="320" w:lineRule="atLeast"/>
        <w:ind w:firstLine="420" w:firstLineChars="200"/>
        <w:rPr>
          <w:szCs w:val="21"/>
        </w:rPr>
      </w:pPr>
      <w:r>
        <w:rPr>
          <w:szCs w:val="21"/>
        </w:rPr>
        <w:t>4.4.2未按规定时间递交样品可能引起的样品分数被计为0分或响应无效等后果由供应商自行承担。</w:t>
      </w:r>
    </w:p>
    <w:p w14:paraId="0D11918F">
      <w:pPr>
        <w:spacing w:before="120" w:line="320" w:lineRule="atLeast"/>
        <w:ind w:firstLine="420" w:firstLineChars="200"/>
        <w:rPr>
          <w:szCs w:val="21"/>
        </w:rPr>
      </w:pPr>
      <w:bookmarkStart w:id="56" w:name="_Toc254970545"/>
      <w:bookmarkStart w:id="57" w:name="_Toc254970686"/>
      <w:r>
        <w:rPr>
          <w:szCs w:val="21"/>
        </w:rPr>
        <w:t>4.4.3样品封存或退还的说明请见第六章响应文件格式所附样品递交表。</w:t>
      </w:r>
    </w:p>
    <w:p w14:paraId="645C44AE">
      <w:pPr>
        <w:spacing w:before="120" w:line="320" w:lineRule="atLeast"/>
        <w:ind w:left="2" w:leftChars="1" w:firstLine="422" w:firstLineChars="200"/>
        <w:outlineLvl w:val="1"/>
        <w:rPr>
          <w:b/>
          <w:bCs/>
          <w:kern w:val="0"/>
          <w:szCs w:val="21"/>
        </w:rPr>
      </w:pPr>
      <w:r>
        <w:rPr>
          <w:b/>
          <w:bCs/>
          <w:kern w:val="0"/>
          <w:szCs w:val="21"/>
        </w:rPr>
        <w:t>5．</w:t>
      </w:r>
      <w:r>
        <w:rPr>
          <w:rFonts w:hint="eastAsia"/>
          <w:b/>
          <w:bCs/>
          <w:kern w:val="0"/>
          <w:szCs w:val="21"/>
        </w:rPr>
        <w:t>资格审查</w:t>
      </w:r>
    </w:p>
    <w:p w14:paraId="6F424B44">
      <w:pPr>
        <w:spacing w:before="120" w:line="320" w:lineRule="atLeast"/>
        <w:ind w:left="2" w:leftChars="1" w:firstLine="420" w:firstLineChars="200"/>
        <w:outlineLvl w:val="2"/>
        <w:rPr>
          <w:bCs/>
          <w:kern w:val="0"/>
          <w:szCs w:val="21"/>
        </w:rPr>
      </w:pPr>
      <w:r>
        <w:rPr>
          <w:rFonts w:hint="eastAsia"/>
          <w:bCs/>
          <w:kern w:val="0"/>
          <w:szCs w:val="21"/>
        </w:rPr>
        <w:t>5</w:t>
      </w:r>
      <w:r>
        <w:rPr>
          <w:bCs/>
          <w:kern w:val="0"/>
          <w:szCs w:val="21"/>
        </w:rPr>
        <w:t>.1</w:t>
      </w:r>
      <w:r>
        <w:rPr>
          <w:rFonts w:hint="eastAsia"/>
          <w:bCs/>
          <w:kern w:val="0"/>
          <w:szCs w:val="21"/>
          <w:lang w:eastAsia="zh-CN"/>
        </w:rPr>
        <w:t>开启响应文件</w:t>
      </w:r>
      <w:r>
        <w:rPr>
          <w:rFonts w:ascii="宋体" w:hAnsi="宋体"/>
          <w:bCs/>
          <w:szCs w:val="21"/>
        </w:rPr>
        <w:t>后，</w:t>
      </w:r>
      <w:r>
        <w:rPr>
          <w:rFonts w:hint="eastAsia" w:ascii="宋体" w:hAnsi="宋体"/>
          <w:bCs/>
          <w:szCs w:val="21"/>
        </w:rPr>
        <w:t>谈判小组通过电子交易平台</w:t>
      </w:r>
      <w:r>
        <w:rPr>
          <w:rFonts w:ascii="宋体" w:hAnsi="宋体"/>
          <w:bCs/>
          <w:szCs w:val="21"/>
        </w:rPr>
        <w:t>对供应商的资格进行审查。</w:t>
      </w:r>
      <w:r>
        <w:rPr>
          <w:rFonts w:hint="eastAsia" w:ascii="宋体" w:hAnsi="宋体"/>
          <w:bCs/>
          <w:szCs w:val="21"/>
        </w:rPr>
        <w:t>资格审查</w:t>
      </w:r>
      <w:r>
        <w:rPr>
          <w:rFonts w:hint="eastAsia"/>
          <w:bCs/>
          <w:kern w:val="0"/>
          <w:szCs w:val="21"/>
        </w:rPr>
        <w:t>是根据法律法规和采购文件的规定，对供应商的基本资格条件、特定资格条件进行审查。</w:t>
      </w:r>
    </w:p>
    <w:p w14:paraId="453CD267">
      <w:pPr>
        <w:spacing w:before="120" w:line="320" w:lineRule="atLeast"/>
        <w:ind w:left="2" w:leftChars="1" w:firstLine="420" w:firstLineChars="200"/>
        <w:outlineLvl w:val="2"/>
        <w:rPr>
          <w:bCs/>
          <w:kern w:val="0"/>
          <w:szCs w:val="21"/>
        </w:rPr>
      </w:pPr>
      <w:r>
        <w:rPr>
          <w:rFonts w:hint="eastAsia"/>
          <w:bCs/>
          <w:kern w:val="0"/>
          <w:szCs w:val="21"/>
        </w:rPr>
        <w:t>5.</w:t>
      </w:r>
      <w:r>
        <w:rPr>
          <w:bCs/>
          <w:kern w:val="0"/>
          <w:szCs w:val="21"/>
        </w:rPr>
        <w:t>2</w:t>
      </w:r>
      <w:r>
        <w:rPr>
          <w:rFonts w:hint="eastAsia"/>
          <w:bCs/>
          <w:kern w:val="0"/>
          <w:szCs w:val="21"/>
        </w:rPr>
        <w:t>资格审查标准在第四章评审方法及标准中规定，符合资格审查标准要求的供应商即为资格审查合格。</w:t>
      </w:r>
    </w:p>
    <w:p w14:paraId="524AB627">
      <w:pPr>
        <w:spacing w:before="120" w:line="276" w:lineRule="auto"/>
        <w:ind w:left="2" w:leftChars="1" w:firstLine="420" w:firstLineChars="200"/>
        <w:outlineLvl w:val="2"/>
        <w:rPr>
          <w:bCs/>
          <w:kern w:val="0"/>
          <w:szCs w:val="21"/>
        </w:rPr>
      </w:pPr>
      <w:r>
        <w:rPr>
          <w:bCs/>
          <w:kern w:val="0"/>
          <w:szCs w:val="21"/>
        </w:rPr>
        <w:t>5.3</w:t>
      </w:r>
      <w:r>
        <w:rPr>
          <w:rFonts w:hint="eastAsia"/>
          <w:bCs/>
          <w:kern w:val="0"/>
          <w:szCs w:val="21"/>
        </w:rPr>
        <w:t>供应商有下列情形之一的，资格审查不合格，作无效响应处理：</w:t>
      </w:r>
    </w:p>
    <w:p w14:paraId="2553D651">
      <w:pPr>
        <w:spacing w:line="276" w:lineRule="auto"/>
        <w:ind w:firstLine="420" w:firstLineChars="200"/>
        <w:rPr>
          <w:rFonts w:hAnsi="宋体"/>
        </w:rPr>
      </w:pPr>
      <w:r>
        <w:rPr>
          <w:rFonts w:hint="eastAsia"/>
          <w:szCs w:val="21"/>
        </w:rPr>
        <w:t>5</w:t>
      </w:r>
      <w:r>
        <w:rPr>
          <w:szCs w:val="21"/>
        </w:rPr>
        <w:t>.3.1</w:t>
      </w:r>
      <w:r>
        <w:rPr>
          <w:rFonts w:hint="eastAsia"/>
          <w:szCs w:val="21"/>
        </w:rPr>
        <w:t>不具备招标文件中规定的资格要求或资格条件的； （注：其中信用查询规则见“</w:t>
      </w:r>
      <w:r>
        <w:rPr>
          <w:rFonts w:hint="eastAsia"/>
          <w:szCs w:val="21"/>
          <w:lang w:eastAsia="zh-CN"/>
        </w:rPr>
        <w:t>供应商</w:t>
      </w:r>
      <w:r>
        <w:rPr>
          <w:rFonts w:hint="eastAsia"/>
          <w:szCs w:val="21"/>
        </w:rPr>
        <w:t>须知前附表”，广西政府采购云平台已与“信用中国”平台做接口，可直接在线查询）</w:t>
      </w:r>
    </w:p>
    <w:p w14:paraId="2F058914">
      <w:pPr>
        <w:spacing w:before="120" w:line="276" w:lineRule="auto"/>
        <w:ind w:firstLine="420" w:firstLineChars="200"/>
        <w:rPr>
          <w:rFonts w:hint="eastAsia"/>
          <w:szCs w:val="21"/>
        </w:rPr>
      </w:pPr>
      <w:r>
        <w:rPr>
          <w:rFonts w:hint="eastAsia"/>
          <w:szCs w:val="21"/>
        </w:rPr>
        <w:t>5</w:t>
      </w:r>
      <w:r>
        <w:rPr>
          <w:szCs w:val="21"/>
        </w:rPr>
        <w:t>.3.2</w:t>
      </w:r>
      <w:r>
        <w:rPr>
          <w:rFonts w:hint="eastAsia"/>
          <w:szCs w:val="21"/>
        </w:rPr>
        <w:t>响应文件缺少任何一项资格证明文件或不符合第四章评审方法及标准中资格审查标准规定的评审内容的。</w:t>
      </w:r>
    </w:p>
    <w:bookmarkEnd w:id="56"/>
    <w:bookmarkEnd w:id="57"/>
    <w:p w14:paraId="0FFA7237">
      <w:pPr>
        <w:spacing w:before="120" w:line="320" w:lineRule="atLeast"/>
        <w:ind w:left="2" w:leftChars="1" w:firstLine="422" w:firstLineChars="200"/>
        <w:outlineLvl w:val="1"/>
        <w:rPr>
          <w:b/>
          <w:bCs/>
          <w:kern w:val="0"/>
          <w:szCs w:val="21"/>
        </w:rPr>
      </w:pPr>
      <w:r>
        <w:rPr>
          <w:b/>
          <w:bCs/>
          <w:kern w:val="0"/>
          <w:szCs w:val="21"/>
        </w:rPr>
        <w:t>6．评审</w:t>
      </w:r>
    </w:p>
    <w:p w14:paraId="476072D9">
      <w:pPr>
        <w:spacing w:before="120" w:line="320" w:lineRule="atLeast"/>
        <w:ind w:firstLine="422" w:firstLineChars="200"/>
        <w:outlineLvl w:val="2"/>
        <w:rPr>
          <w:b/>
          <w:bCs/>
          <w:kern w:val="0"/>
          <w:szCs w:val="21"/>
        </w:rPr>
      </w:pPr>
      <w:r>
        <w:rPr>
          <w:b/>
          <w:bCs/>
          <w:kern w:val="0"/>
          <w:szCs w:val="21"/>
        </w:rPr>
        <w:t>6.1组建</w:t>
      </w:r>
      <w:r>
        <w:rPr>
          <w:rFonts w:hint="eastAsia"/>
          <w:b/>
          <w:bCs/>
          <w:kern w:val="0"/>
          <w:szCs w:val="21"/>
        </w:rPr>
        <w:t>谈判</w:t>
      </w:r>
      <w:r>
        <w:rPr>
          <w:b/>
          <w:bCs/>
          <w:kern w:val="0"/>
          <w:szCs w:val="21"/>
        </w:rPr>
        <w:t>小组</w:t>
      </w:r>
    </w:p>
    <w:p w14:paraId="3E31C7B9">
      <w:pPr>
        <w:spacing w:before="120" w:line="320" w:lineRule="atLeast"/>
        <w:ind w:firstLine="420" w:firstLineChars="200"/>
        <w:rPr>
          <w:szCs w:val="21"/>
        </w:rPr>
      </w:pPr>
      <w:r>
        <w:rPr>
          <w:rFonts w:hint="eastAsia"/>
          <w:szCs w:val="21"/>
        </w:rPr>
        <w:t>6.1.1</w:t>
      </w:r>
      <w:r>
        <w:rPr>
          <w:szCs w:val="21"/>
        </w:rPr>
        <w:t>本项目</w:t>
      </w:r>
      <w:r>
        <w:rPr>
          <w:rFonts w:hint="eastAsia"/>
          <w:szCs w:val="21"/>
        </w:rPr>
        <w:t>评审工作由谈判</w:t>
      </w:r>
      <w:r>
        <w:rPr>
          <w:szCs w:val="21"/>
        </w:rPr>
        <w:t>小组</w:t>
      </w:r>
      <w:r>
        <w:rPr>
          <w:rFonts w:hint="eastAsia"/>
          <w:szCs w:val="21"/>
        </w:rPr>
        <w:t>负责，谈判小组</w:t>
      </w:r>
      <w:r>
        <w:rPr>
          <w:szCs w:val="21"/>
        </w:rPr>
        <w:t>由</w:t>
      </w:r>
      <w:r>
        <w:rPr>
          <w:rFonts w:hint="eastAsia"/>
          <w:szCs w:val="21"/>
        </w:rPr>
        <w:t>评审专家</w:t>
      </w:r>
      <w:r>
        <w:rPr>
          <w:szCs w:val="21"/>
        </w:rPr>
        <w:t>和采购人代表</w:t>
      </w:r>
      <w:r>
        <w:rPr>
          <w:rFonts w:hint="eastAsia"/>
          <w:szCs w:val="21"/>
        </w:rPr>
        <w:t>（如有）</w:t>
      </w:r>
      <w:r>
        <w:rPr>
          <w:szCs w:val="21"/>
        </w:rPr>
        <w:t>组成。</w:t>
      </w:r>
      <w:r>
        <w:rPr>
          <w:rFonts w:hint="eastAsia"/>
          <w:szCs w:val="21"/>
        </w:rPr>
        <w:t>谈判小组评审时必须公平、公正、客观，不带任何倾向性和启发性；不得向外界透露任何与评审有关的内容；任何单位和个人不得干扰、影响评标的正常进行；谈判小组及有关工作人员不得私下与供应商接触，不得收受利害关系人的财物或者其他好处；</w:t>
      </w:r>
      <w:r>
        <w:rPr>
          <w:szCs w:val="21"/>
        </w:rPr>
        <w:t>评审专家发现本人与参加采购活动的供应商有利害关系的，应当主动提出回避</w:t>
      </w:r>
      <w:r>
        <w:rPr>
          <w:rFonts w:hint="eastAsia"/>
          <w:szCs w:val="21"/>
        </w:rPr>
        <w:t>。</w:t>
      </w:r>
    </w:p>
    <w:p w14:paraId="78343910">
      <w:pPr>
        <w:spacing w:before="120" w:line="320" w:lineRule="atLeast"/>
        <w:ind w:firstLine="420" w:firstLineChars="200"/>
        <w:rPr>
          <w:szCs w:val="21"/>
        </w:rPr>
      </w:pPr>
      <w:r>
        <w:rPr>
          <w:rFonts w:hint="eastAsia"/>
          <w:szCs w:val="21"/>
        </w:rPr>
        <w:t>6.1.2谈判小组成员应当通过电子交易平台进行独立评审，谈判小组成员对需要共同认定的事项存在争议的，应当按照少数服从多数的原则作出结论。持不同意见的谈判小组成员应当在评审报告上签署不同意见及理由，否则视为同意评审报告。如果在评审过程中出现法律法规和采购文件均没有明确规定的情形时，由谈判小组现场协商确定，协商不一致的，由全体谈判小组成员投票表决，应当按照少数服从多数的原则作出结论并记录在评审报告中。</w:t>
      </w:r>
    </w:p>
    <w:p w14:paraId="0048418C">
      <w:pPr>
        <w:spacing w:before="120" w:line="320" w:lineRule="atLeast"/>
        <w:ind w:firstLine="420" w:firstLineChars="200"/>
        <w:rPr>
          <w:szCs w:val="21"/>
        </w:rPr>
      </w:pPr>
      <w:r>
        <w:rPr>
          <w:rFonts w:hint="eastAsia"/>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9C5B9FC">
      <w:pPr>
        <w:spacing w:before="120" w:line="320" w:lineRule="atLeast"/>
        <w:ind w:firstLine="420" w:firstLineChars="200"/>
        <w:rPr>
          <w:szCs w:val="21"/>
        </w:rPr>
      </w:pPr>
      <w:r>
        <w:rPr>
          <w:rFonts w:hint="eastAsia"/>
          <w:szCs w:val="21"/>
        </w:rPr>
        <w:t>6.1.4本项目评审过程实行全程网上留痕及录音、录像监控，供应商在评审过程中所进行的试图影响评审结果的不公正活动，可能导致其响应按无效处理。</w:t>
      </w:r>
    </w:p>
    <w:p w14:paraId="45B6359C">
      <w:pPr>
        <w:spacing w:before="120" w:line="320" w:lineRule="atLeast"/>
        <w:ind w:firstLine="422" w:firstLineChars="200"/>
        <w:outlineLvl w:val="2"/>
        <w:rPr>
          <w:b/>
          <w:bCs/>
          <w:kern w:val="0"/>
          <w:szCs w:val="21"/>
        </w:rPr>
      </w:pPr>
      <w:r>
        <w:rPr>
          <w:b/>
          <w:bCs/>
          <w:kern w:val="0"/>
          <w:szCs w:val="21"/>
        </w:rPr>
        <w:t>6.2</w:t>
      </w:r>
      <w:r>
        <w:rPr>
          <w:rFonts w:hint="eastAsia"/>
          <w:b/>
          <w:bCs/>
          <w:kern w:val="0"/>
          <w:szCs w:val="21"/>
        </w:rPr>
        <w:t>评审方法及依据</w:t>
      </w:r>
    </w:p>
    <w:p w14:paraId="25AD4E12">
      <w:pPr>
        <w:spacing w:before="120" w:line="320" w:lineRule="atLeast"/>
        <w:ind w:firstLine="420" w:firstLineChars="200"/>
        <w:rPr>
          <w:bCs/>
          <w:kern w:val="0"/>
          <w:szCs w:val="21"/>
        </w:rPr>
      </w:pPr>
      <w:r>
        <w:rPr>
          <w:bCs/>
          <w:kern w:val="0"/>
          <w:szCs w:val="21"/>
        </w:rPr>
        <w:t>6.2.1</w:t>
      </w:r>
      <w:r>
        <w:rPr>
          <w:rFonts w:hint="eastAsia"/>
          <w:bCs/>
          <w:kern w:val="0"/>
          <w:szCs w:val="21"/>
        </w:rPr>
        <w:t>本项目采用第四章评审方法及标准规定的方法进行评审。</w:t>
      </w:r>
    </w:p>
    <w:p w14:paraId="167F26B0">
      <w:pPr>
        <w:suppressAutoHyphens/>
        <w:spacing w:before="120" w:line="320" w:lineRule="atLeast"/>
        <w:ind w:firstLine="420" w:firstLineChars="200"/>
        <w:rPr>
          <w:bCs/>
          <w:kern w:val="0"/>
          <w:szCs w:val="21"/>
        </w:rPr>
      </w:pPr>
      <w:r>
        <w:rPr>
          <w:bCs/>
          <w:kern w:val="0"/>
          <w:szCs w:val="21"/>
        </w:rPr>
        <w:t>6.2.2</w:t>
      </w:r>
      <w:r>
        <w:rPr>
          <w:rFonts w:hint="eastAsia"/>
          <w:bCs/>
          <w:kern w:val="0"/>
          <w:szCs w:val="21"/>
        </w:rPr>
        <w:t>谈判小组</w:t>
      </w:r>
      <w:r>
        <w:t>以</w:t>
      </w:r>
      <w:r>
        <w:rPr>
          <w:rFonts w:hint="eastAsia"/>
        </w:rPr>
        <w:t>采购</w:t>
      </w:r>
      <w:r>
        <w:t>文件、补充文件、</w:t>
      </w:r>
      <w:r>
        <w:rPr>
          <w:rFonts w:hint="eastAsia"/>
        </w:rPr>
        <w:t>响应</w:t>
      </w:r>
      <w:r>
        <w:t>文件、澄清及答复为评审依据</w:t>
      </w:r>
      <w:r>
        <w:rPr>
          <w:rFonts w:hint="eastAsia"/>
        </w:rPr>
        <w:t>，</w:t>
      </w:r>
      <w:r>
        <w:rPr>
          <w:rFonts w:hint="eastAsia"/>
          <w:bCs/>
          <w:kern w:val="0"/>
          <w:szCs w:val="21"/>
        </w:rPr>
        <w:t>第四章评审方法及标准没有规定的评审方法、标准及因素，不得作为评审依据。</w:t>
      </w:r>
    </w:p>
    <w:p w14:paraId="2EA16DCA">
      <w:pPr>
        <w:spacing w:before="120" w:line="320" w:lineRule="atLeast"/>
        <w:ind w:firstLine="422" w:firstLineChars="200"/>
        <w:outlineLvl w:val="2"/>
        <w:rPr>
          <w:b/>
          <w:bCs/>
          <w:kern w:val="0"/>
          <w:szCs w:val="21"/>
        </w:rPr>
      </w:pPr>
      <w:r>
        <w:rPr>
          <w:b/>
          <w:bCs/>
          <w:kern w:val="0"/>
          <w:szCs w:val="21"/>
        </w:rPr>
        <w:t>6.3评审</w:t>
      </w:r>
      <w:r>
        <w:rPr>
          <w:rFonts w:hint="eastAsia"/>
          <w:b/>
          <w:bCs/>
          <w:kern w:val="0"/>
          <w:szCs w:val="21"/>
        </w:rPr>
        <w:t>程序</w:t>
      </w:r>
    </w:p>
    <w:p w14:paraId="3928F229">
      <w:pPr>
        <w:spacing w:before="120" w:line="320" w:lineRule="atLeast"/>
        <w:ind w:firstLine="420" w:firstLineChars="200"/>
      </w:pPr>
      <w:r>
        <w:t>6.</w:t>
      </w:r>
      <w:bookmarkStart w:id="58" w:name="_Hlk19175507"/>
      <w:bookmarkStart w:id="59" w:name="_Hlk80956880"/>
      <w:r>
        <w:t>3.1</w:t>
      </w:r>
      <w:r>
        <w:rPr>
          <w:rFonts w:hint="eastAsia"/>
        </w:rPr>
        <w:t>符合性审查</w:t>
      </w:r>
    </w:p>
    <w:p w14:paraId="75D00601">
      <w:pPr>
        <w:spacing w:before="120" w:line="320" w:lineRule="atLeast"/>
        <w:ind w:firstLine="420" w:firstLineChars="200"/>
        <w:rPr>
          <w:szCs w:val="21"/>
        </w:rPr>
      </w:pPr>
      <w:r>
        <w:rPr>
          <w:bCs/>
          <w:kern w:val="1"/>
          <w:szCs w:val="21"/>
        </w:rPr>
        <w:t>资格审查结束后，</w:t>
      </w:r>
      <w:r>
        <w:rPr>
          <w:rFonts w:hint="eastAsia" w:hAnsi="宋体"/>
          <w:color w:val="000000"/>
        </w:rPr>
        <w:t>谈判小组对</w:t>
      </w:r>
      <w:r>
        <w:t>通过资格审查的供应商</w:t>
      </w:r>
      <w:r>
        <w:rPr>
          <w:rFonts w:hint="eastAsia" w:hAnsi="宋体"/>
          <w:color w:val="000000"/>
        </w:rPr>
        <w:t>的响应文件报价、商务资信、技术等方面实质性内容进行符合性审查，</w:t>
      </w:r>
      <w:r>
        <w:rPr>
          <w:rFonts w:hint="eastAsia"/>
          <w:szCs w:val="21"/>
        </w:rPr>
        <w:t>符合性审查标准</w:t>
      </w:r>
      <w:r>
        <w:rPr>
          <w:szCs w:val="21"/>
        </w:rPr>
        <w:t>详见第四章评审方法及标准。</w:t>
      </w:r>
    </w:p>
    <w:bookmarkEnd w:id="58"/>
    <w:bookmarkEnd w:id="59"/>
    <w:p w14:paraId="3848D157">
      <w:pPr>
        <w:spacing w:before="120" w:line="320" w:lineRule="atLeast"/>
        <w:ind w:firstLine="420" w:firstLineChars="200"/>
        <w:rPr>
          <w:szCs w:val="21"/>
        </w:rPr>
      </w:pPr>
      <w:r>
        <w:rPr>
          <w:rFonts w:hint="eastAsia"/>
          <w:szCs w:val="21"/>
        </w:rPr>
        <w:t>6</w:t>
      </w:r>
      <w:r>
        <w:rPr>
          <w:szCs w:val="21"/>
        </w:rPr>
        <w:t>.3.2</w:t>
      </w:r>
      <w:r>
        <w:rPr>
          <w:rFonts w:hAnsi="宋体"/>
          <w:color w:val="000000"/>
        </w:rPr>
        <w:t>强制性</w:t>
      </w:r>
      <w:r>
        <w:rPr>
          <w:szCs w:val="21"/>
        </w:rPr>
        <w:t>采购要求</w:t>
      </w:r>
      <w:r>
        <w:rPr>
          <w:rFonts w:hint="eastAsia"/>
          <w:szCs w:val="21"/>
        </w:rPr>
        <w:t>（仅适用于货物采购项目）</w:t>
      </w:r>
    </w:p>
    <w:p w14:paraId="7FBD8F44">
      <w:pPr>
        <w:suppressAutoHyphens/>
        <w:spacing w:before="120" w:line="320" w:lineRule="atLeast"/>
        <w:ind w:firstLine="422" w:firstLineChars="201"/>
        <w:rPr>
          <w:szCs w:val="21"/>
        </w:rPr>
      </w:pPr>
      <w:bookmarkStart w:id="60" w:name="_Hlk47714684"/>
      <w:r>
        <w:rPr>
          <w:rFonts w:hint="eastAsia"/>
          <w:szCs w:val="21"/>
        </w:rPr>
        <w:t>（1）</w:t>
      </w:r>
      <w:bookmarkEnd w:id="60"/>
      <w:r>
        <w:rPr>
          <w:rFonts w:hint="eastAsia"/>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120064F9">
      <w:pPr>
        <w:spacing w:before="120" w:line="320" w:lineRule="atLeast"/>
        <w:ind w:firstLine="420" w:firstLineChars="200"/>
        <w:rPr>
          <w:rFonts w:hint="eastAsia"/>
          <w:szCs w:val="21"/>
        </w:rPr>
      </w:pPr>
      <w:bookmarkStart w:id="61" w:name="_Hlk19176155"/>
      <w:r>
        <w:rPr>
          <w:rFonts w:hint="eastAsia"/>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szCs w:val="21"/>
          <w:lang w:eastAsia="zh-CN"/>
        </w:rPr>
        <w:t>响应供应商</w:t>
      </w:r>
      <w:r>
        <w:rPr>
          <w:rFonts w:hint="eastAsia"/>
          <w:szCs w:val="21"/>
        </w:rPr>
        <w:t>在</w:t>
      </w:r>
      <w:r>
        <w:rPr>
          <w:rFonts w:hint="eastAsia"/>
          <w:szCs w:val="21"/>
          <w:lang w:eastAsia="zh-CN"/>
        </w:rPr>
        <w:t>响应文件</w:t>
      </w:r>
      <w:r>
        <w:rPr>
          <w:rFonts w:hint="eastAsia"/>
          <w:szCs w:val="21"/>
        </w:rPr>
        <w:t>中应主动列明供货范围中属于网络安全专用产品的</w:t>
      </w:r>
      <w:r>
        <w:rPr>
          <w:rFonts w:hint="eastAsia"/>
          <w:szCs w:val="21"/>
          <w:lang w:eastAsia="zh-CN"/>
        </w:rPr>
        <w:t>响应产品</w:t>
      </w:r>
      <w:r>
        <w:rPr>
          <w:rFonts w:hint="eastAsia"/>
          <w:szCs w:val="21"/>
        </w:rPr>
        <w:t>，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033CF835">
      <w:pPr>
        <w:spacing w:before="120" w:line="320" w:lineRule="atLeast"/>
        <w:ind w:firstLine="420" w:firstLineChars="200"/>
      </w:pPr>
      <w:r>
        <w:rPr>
          <w:rFonts w:hint="eastAsia"/>
          <w:szCs w:val="21"/>
        </w:rPr>
        <w:t>注：网络安全专用产品在中共中央网络安全和信息化委员会办公室网站上发布的《网络关键设备和网络安全专用产品目录》中查询。 “网络安全专用产品”内“产品类别”共34类：数据备份与恢复产品、防火墙、入侵检测系统（IDS）、入侵防御系统（IPS）、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77C6237E">
      <w:pPr>
        <w:spacing w:before="120" w:line="320" w:lineRule="atLeast"/>
        <w:ind w:firstLine="420" w:firstLineChars="200"/>
      </w:pPr>
      <w:r>
        <w:t>6.3.3澄清、说明或补正</w:t>
      </w:r>
    </w:p>
    <w:p w14:paraId="1B1781CF">
      <w:pPr>
        <w:spacing w:before="120" w:line="320" w:lineRule="atLeast"/>
        <w:ind w:firstLine="420" w:firstLineChars="200"/>
      </w:pPr>
      <w:r>
        <w:rPr>
          <w:rFonts w:hint="eastAsia"/>
        </w:rPr>
        <w:t>（1）对响应文件中含义不明确、同类问题表述不一致或者有明显文字和计算错误的内容，</w:t>
      </w:r>
      <w:r>
        <w:rPr>
          <w:rFonts w:hint="eastAsia" w:hAnsi="宋体"/>
          <w:color w:val="000000"/>
        </w:rPr>
        <w:t>谈判</w:t>
      </w:r>
      <w:r>
        <w:rPr>
          <w:rFonts w:hint="eastAsia"/>
        </w:rPr>
        <w:t>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w:t>
      </w:r>
      <w:r>
        <w:rPr>
          <w:rFonts w:hint="eastAsia" w:hAnsi="宋体"/>
          <w:color w:val="000000"/>
        </w:rPr>
        <w:t>谈判</w:t>
      </w:r>
      <w:r>
        <w:rPr>
          <w:rFonts w:hint="eastAsia"/>
        </w:rPr>
        <w:t>小组。供应商的澄清、说明或者补正不得超出响应文件的范围或者改变响应文件的实质性内容。供应商未在规定时间内进行澄清、说明或者补正的，按无效响应处理。</w:t>
      </w:r>
    </w:p>
    <w:p w14:paraId="28FF5C81">
      <w:pPr>
        <w:spacing w:before="120" w:line="320" w:lineRule="atLeast"/>
        <w:ind w:firstLine="420" w:firstLineChars="200"/>
      </w:pPr>
      <w:r>
        <w:rPr>
          <w:rFonts w:hint="eastAsia"/>
        </w:rPr>
        <w:t>（2）异常情况处理：如遇无法正常使用线上发送澄清函的情况，将以书面形式执行。</w:t>
      </w:r>
      <w:r>
        <w:rPr>
          <w:rFonts w:hint="eastAsia" w:hAnsi="宋体"/>
          <w:color w:val="000000"/>
        </w:rPr>
        <w:t>谈判</w:t>
      </w:r>
      <w:r>
        <w:rPr>
          <w:rFonts w:hint="eastAsia"/>
        </w:rPr>
        <w:t>小组以书面形式要求供应商在规定时间内作出必要的澄清、说明或者补正。供应商的澄清、说明或者补正必须采用书面形式，并加盖公章或者由法定代表人或者其授权的代表签字。</w:t>
      </w:r>
    </w:p>
    <w:p w14:paraId="5BDE48B5">
      <w:pPr>
        <w:spacing w:before="120" w:line="320" w:lineRule="atLeast"/>
        <w:ind w:firstLine="420" w:firstLineChars="200"/>
      </w:pPr>
      <w:r>
        <w:t>6.3.4</w:t>
      </w:r>
      <w:r>
        <w:rPr>
          <w:rFonts w:hint="eastAsia"/>
        </w:rPr>
        <w:t>报价</w:t>
      </w:r>
      <w:r>
        <w:t>修正</w:t>
      </w:r>
    </w:p>
    <w:p w14:paraId="0C4026CF">
      <w:pPr>
        <w:spacing w:before="120" w:line="320" w:lineRule="atLeast"/>
        <w:ind w:firstLine="420" w:firstLineChars="200"/>
      </w:pPr>
      <w:r>
        <w:rPr>
          <w:rFonts w:hint="eastAsia"/>
        </w:rPr>
        <w:t>（1）报价出现前后不一致的，按照下列规定修正：</w:t>
      </w:r>
    </w:p>
    <w:p w14:paraId="72D4C265">
      <w:pPr>
        <w:spacing w:before="120" w:line="320" w:lineRule="atLeast"/>
        <w:ind w:firstLine="420" w:firstLineChars="200"/>
        <w:rPr>
          <w:szCs w:val="21"/>
        </w:rPr>
      </w:pPr>
      <w:r>
        <w:rPr>
          <w:rFonts w:hint="eastAsia" w:ascii="宋体" w:hAnsi="宋体"/>
          <w:szCs w:val="21"/>
        </w:rPr>
        <w:t>①</w:t>
      </w:r>
      <w:r>
        <w:rPr>
          <w:szCs w:val="21"/>
        </w:rPr>
        <w:t>响应文件中开标一览表（报价表）内容与响应文件中相应内容不一致的，以开标一览表（报价表）为准；</w:t>
      </w:r>
    </w:p>
    <w:p w14:paraId="2536E182">
      <w:pPr>
        <w:spacing w:before="120" w:line="320" w:lineRule="atLeast"/>
        <w:ind w:firstLine="420" w:firstLineChars="200"/>
        <w:rPr>
          <w:szCs w:val="21"/>
        </w:rPr>
      </w:pPr>
      <w:r>
        <w:rPr>
          <w:rFonts w:ascii="宋体" w:hAnsi="宋体"/>
          <w:szCs w:val="21"/>
        </w:rPr>
        <w:t>②</w:t>
      </w:r>
      <w:r>
        <w:rPr>
          <w:szCs w:val="21"/>
        </w:rPr>
        <w:t>大写金额和小写金额不一致的，以大写金额为准；</w:t>
      </w:r>
    </w:p>
    <w:p w14:paraId="066FD4A6">
      <w:pPr>
        <w:spacing w:before="120" w:line="320" w:lineRule="atLeast"/>
        <w:ind w:firstLine="420" w:firstLineChars="200"/>
        <w:rPr>
          <w:szCs w:val="21"/>
        </w:rPr>
      </w:pPr>
      <w:r>
        <w:rPr>
          <w:rFonts w:hint="eastAsia"/>
          <w:szCs w:val="21"/>
        </w:rPr>
        <w:t>③</w:t>
      </w:r>
      <w:r>
        <w:rPr>
          <w:szCs w:val="21"/>
        </w:rPr>
        <w:t>单价金额小数点或者百分比有明显错位的，以开标一览表的总价为准，并修改单价；</w:t>
      </w:r>
    </w:p>
    <w:p w14:paraId="63960B2C">
      <w:pPr>
        <w:spacing w:before="120" w:line="320" w:lineRule="atLeast"/>
        <w:ind w:firstLine="420" w:firstLineChars="200"/>
        <w:rPr>
          <w:szCs w:val="21"/>
        </w:rPr>
      </w:pPr>
      <w:r>
        <w:rPr>
          <w:rFonts w:hint="eastAsia"/>
          <w:szCs w:val="21"/>
        </w:rPr>
        <w:t>④</w:t>
      </w:r>
      <w:r>
        <w:rPr>
          <w:szCs w:val="21"/>
        </w:rPr>
        <w:t>总价金额与按单价汇总金额不一致的，以单价金额计算结果为准</w:t>
      </w:r>
      <w:r>
        <w:rPr>
          <w:rFonts w:hint="eastAsia"/>
          <w:szCs w:val="21"/>
        </w:rPr>
        <w:t>。</w:t>
      </w:r>
    </w:p>
    <w:p w14:paraId="7BE3C808">
      <w:pPr>
        <w:spacing w:before="120" w:line="320" w:lineRule="atLeast"/>
        <w:ind w:firstLine="420" w:firstLineChars="200"/>
        <w:rPr>
          <w:szCs w:val="21"/>
        </w:rPr>
      </w:pPr>
      <w:r>
        <w:rPr>
          <w:rFonts w:hint="eastAsia"/>
          <w:szCs w:val="21"/>
        </w:rPr>
        <w:t>同时出现两种以上不一致的，按照上述</w:t>
      </w:r>
      <w:r>
        <w:rPr>
          <w:rFonts w:hint="eastAsia" w:ascii="宋体" w:hAnsi="宋体"/>
          <w:szCs w:val="21"/>
        </w:rPr>
        <w:t>①-</w:t>
      </w:r>
      <w:r>
        <w:rPr>
          <w:rFonts w:hint="eastAsia"/>
          <w:szCs w:val="21"/>
        </w:rPr>
        <w:t>④顺序修正。修正后的报价按照上述“</w:t>
      </w:r>
      <w:r>
        <w:rPr>
          <w:szCs w:val="21"/>
        </w:rPr>
        <w:t>6.3.3</w:t>
      </w:r>
      <w:r>
        <w:rPr>
          <w:rFonts w:hint="eastAsia"/>
          <w:szCs w:val="21"/>
        </w:rPr>
        <w:t>澄清、说明或补正”的规定经供应商确认后产生约束力，供应商不确认的，其响应无效。</w:t>
      </w:r>
    </w:p>
    <w:p w14:paraId="56E93122">
      <w:pPr>
        <w:spacing w:before="120" w:line="320" w:lineRule="atLeast"/>
        <w:ind w:firstLine="420" w:firstLineChars="200"/>
        <w:rPr>
          <w:szCs w:val="21"/>
        </w:rPr>
      </w:pPr>
      <w:r>
        <w:rPr>
          <w:rFonts w:hint="eastAsia"/>
          <w:szCs w:val="21"/>
        </w:rPr>
        <w:t>（</w:t>
      </w:r>
      <w:r>
        <w:rPr>
          <w:szCs w:val="21"/>
        </w:rPr>
        <w:t>2</w:t>
      </w:r>
      <w:r>
        <w:rPr>
          <w:rFonts w:hint="eastAsia"/>
          <w:szCs w:val="21"/>
        </w:rPr>
        <w:t>）经供应商确认修正后的最后报价若超过采购预算金额或者最高限价，其响应文件作无效响应处理。</w:t>
      </w:r>
    </w:p>
    <w:p w14:paraId="0C393BA7">
      <w:pPr>
        <w:spacing w:before="120" w:line="320" w:lineRule="atLeast"/>
        <w:ind w:firstLine="420" w:firstLineChars="200"/>
        <w:rPr>
          <w:szCs w:val="21"/>
        </w:rPr>
      </w:pPr>
      <w:r>
        <w:rPr>
          <w:rFonts w:hint="eastAsia"/>
          <w:szCs w:val="21"/>
        </w:rPr>
        <w:t>（</w:t>
      </w:r>
      <w:r>
        <w:rPr>
          <w:szCs w:val="21"/>
        </w:rPr>
        <w:t>3</w:t>
      </w:r>
      <w:r>
        <w:rPr>
          <w:rFonts w:hint="eastAsia"/>
          <w:szCs w:val="21"/>
        </w:rPr>
        <w:t>）经供应商确认修正后的最后报价作为签订合同的依据，并以此报价计算价格分。</w:t>
      </w:r>
    </w:p>
    <w:p w14:paraId="44604CF4">
      <w:pPr>
        <w:spacing w:before="120" w:line="320" w:lineRule="atLeast"/>
        <w:ind w:firstLine="420" w:firstLineChars="200"/>
        <w:rPr>
          <w:rFonts w:hint="eastAsia"/>
          <w:szCs w:val="21"/>
        </w:rPr>
      </w:pPr>
      <w:r>
        <w:rPr>
          <w:rFonts w:hint="eastAsia"/>
          <w:szCs w:val="21"/>
        </w:rPr>
        <w:t>（</w:t>
      </w:r>
      <w:r>
        <w:rPr>
          <w:szCs w:val="21"/>
        </w:rPr>
        <w:t>4</w:t>
      </w:r>
      <w:r>
        <w:rPr>
          <w:rFonts w:hint="eastAsia"/>
          <w:szCs w:val="21"/>
        </w:rPr>
        <w:t>）如</w:t>
      </w:r>
      <w:r>
        <w:rPr>
          <w:rFonts w:hint="eastAsia" w:hAnsi="宋体"/>
          <w:color w:val="000000"/>
        </w:rPr>
        <w:t>谈判</w:t>
      </w:r>
      <w:r>
        <w:rPr>
          <w:rFonts w:hint="eastAsia"/>
          <w:szCs w:val="21"/>
        </w:rPr>
        <w:t>过程中有多轮报价的，</w:t>
      </w:r>
      <w:r>
        <w:rPr>
          <w:rFonts w:hint="eastAsia" w:hAnsi="宋体"/>
          <w:color w:val="000000"/>
        </w:rPr>
        <w:t>谈判</w:t>
      </w:r>
      <w:r>
        <w:rPr>
          <w:rFonts w:hint="eastAsia"/>
          <w:szCs w:val="21"/>
        </w:rPr>
        <w:t>小组在每一轮报价均应按上述规则修正报价。</w:t>
      </w:r>
    </w:p>
    <w:p w14:paraId="5E7F82FF">
      <w:pPr>
        <w:spacing w:before="120" w:line="320" w:lineRule="atLeast"/>
        <w:ind w:firstLine="420" w:firstLineChars="200"/>
        <w:rPr>
          <w:rFonts w:hint="eastAsia"/>
          <w:szCs w:val="21"/>
          <w:lang w:val="en-US" w:eastAsia="zh-CN"/>
        </w:rPr>
      </w:pPr>
      <w:r>
        <w:rPr>
          <w:rFonts w:hint="eastAsia"/>
          <w:szCs w:val="21"/>
          <w:lang w:val="en-US" w:eastAsia="zh-CN"/>
        </w:rPr>
        <w:t>6.3.5异常低价审查</w:t>
      </w:r>
    </w:p>
    <w:p w14:paraId="1565AC64">
      <w:pPr>
        <w:spacing w:before="120" w:line="320" w:lineRule="atLeast"/>
        <w:ind w:firstLine="420" w:firstLineChars="200"/>
        <w:rPr>
          <w:szCs w:val="21"/>
        </w:rPr>
      </w:pPr>
      <w:r>
        <w:rPr>
          <w:szCs w:val="21"/>
        </w:rPr>
        <w:t>本项目</w:t>
      </w:r>
      <w:r>
        <w:rPr>
          <w:rFonts w:hint="eastAsia"/>
          <w:szCs w:val="21"/>
          <w:lang w:val="en-US" w:eastAsia="zh-CN"/>
        </w:rPr>
        <w:t>异常低价审查情形见</w:t>
      </w:r>
      <w:r>
        <w:rPr>
          <w:szCs w:val="21"/>
        </w:rPr>
        <w:t>“</w:t>
      </w:r>
      <w:r>
        <w:rPr>
          <w:rFonts w:hint="eastAsia"/>
          <w:szCs w:val="21"/>
          <w:lang w:eastAsia="zh-CN"/>
        </w:rPr>
        <w:t>供应商须知前附表</w:t>
      </w:r>
      <w:r>
        <w:rPr>
          <w:szCs w:val="21"/>
        </w:rPr>
        <w:t>”规定。</w:t>
      </w:r>
    </w:p>
    <w:p w14:paraId="6BFF4C10">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F3AF65">
      <w:pPr>
        <w:numPr>
          <w:ilvl w:val="0"/>
          <w:numId w:val="0"/>
        </w:numPr>
        <w:spacing w:before="120" w:line="320" w:lineRule="atLeast"/>
        <w:ind w:firstLine="420" w:firstLineChars="200"/>
        <w:rPr>
          <w:rFonts w:hint="eastAsia"/>
          <w:strike/>
          <w:dstrike w:val="0"/>
          <w:color w:val="auto"/>
          <w:szCs w:val="21"/>
          <w:highlight w:val="none"/>
          <w:lang w:val="en-US" w:eastAsia="zh-CN"/>
        </w:rPr>
      </w:pPr>
      <w:r>
        <w:rPr>
          <w:rFonts w:hint="eastAsia"/>
          <w:color w:val="auto"/>
          <w:szCs w:val="21"/>
          <w:highlight w:val="none"/>
          <w:lang w:val="en-US" w:eastAsia="zh-CN"/>
        </w:rPr>
        <w:t>评审委员会依据专业经验，参考同类项目成交价格、类似产品市场价格水平、行业人工费用标准、国家有关部门指导行业协会发布的行业平均成本等情况，对报价合理性进行判断。</w:t>
      </w:r>
      <w:r>
        <w:rPr>
          <w:rFonts w:hint="eastAsia"/>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1D07FE73">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采购人、采购代理机构应当为评审委员会在评审现场及时获取同类项目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1A1F95F7">
      <w:pPr>
        <w:numPr>
          <w:ilvl w:val="0"/>
          <w:numId w:val="0"/>
        </w:numPr>
        <w:spacing w:before="120" w:line="320" w:lineRule="atLeast"/>
        <w:ind w:firstLine="420" w:firstLineChars="200"/>
        <w:rPr>
          <w:rFonts w:hint="eastAsia"/>
          <w:szCs w:val="21"/>
        </w:rPr>
      </w:pPr>
      <w:r>
        <w:rPr>
          <w:rFonts w:hint="eastAsia"/>
          <w:szCs w:val="21"/>
          <w:highlight w:val="none"/>
        </w:rPr>
        <w:t>书面证明应当按照上述“</w:t>
      </w:r>
      <w:r>
        <w:rPr>
          <w:szCs w:val="21"/>
          <w:highlight w:val="none"/>
        </w:rPr>
        <w:t>6.3.3</w:t>
      </w:r>
      <w:r>
        <w:rPr>
          <w:rFonts w:hint="eastAsia"/>
          <w:szCs w:val="21"/>
          <w:highlight w:val="none"/>
        </w:rPr>
        <w:t>澄清、说明或补正”的规定提交</w:t>
      </w:r>
      <w:r>
        <w:rPr>
          <w:rFonts w:hint="eastAsia"/>
          <w:color w:val="auto"/>
          <w:szCs w:val="21"/>
          <w:highlight w:val="none"/>
          <w:lang w:val="en-US" w:eastAsia="zh-CN"/>
        </w:rPr>
        <w:t>。</w:t>
      </w:r>
    </w:p>
    <w:p w14:paraId="361F7412">
      <w:pPr>
        <w:spacing w:before="120" w:line="320" w:lineRule="atLeast"/>
        <w:ind w:firstLine="420" w:firstLineChars="200"/>
        <w:rPr>
          <w:szCs w:val="21"/>
        </w:rPr>
      </w:pPr>
      <w:r>
        <w:rPr>
          <w:rFonts w:hint="eastAsia"/>
          <w:szCs w:val="21"/>
        </w:rPr>
        <w:t>6</w:t>
      </w:r>
      <w:r>
        <w:rPr>
          <w:szCs w:val="21"/>
        </w:rPr>
        <w:t>.3.</w:t>
      </w:r>
      <w:r>
        <w:rPr>
          <w:rFonts w:hint="eastAsia"/>
          <w:szCs w:val="21"/>
          <w:lang w:val="en-US" w:eastAsia="zh-CN"/>
        </w:rPr>
        <w:t>6</w:t>
      </w:r>
      <w:r>
        <w:rPr>
          <w:rFonts w:hint="eastAsia"/>
          <w:szCs w:val="21"/>
        </w:rPr>
        <w:t>相同品牌认定（仅适用于货物采购项目）</w:t>
      </w:r>
    </w:p>
    <w:p w14:paraId="4810AD57">
      <w:pPr>
        <w:spacing w:before="120" w:line="320" w:lineRule="atLeast"/>
        <w:ind w:firstLine="420" w:firstLineChars="200"/>
        <w:rPr>
          <w:szCs w:val="21"/>
        </w:rPr>
      </w:pPr>
      <w:r>
        <w:rPr>
          <w:rFonts w:hint="eastAsia"/>
          <w:szCs w:val="21"/>
        </w:rPr>
        <w:t>（1）单一产品采购项目，</w:t>
      </w:r>
      <w:r>
        <w:t>不同供应商提供的产品品牌相同时，</w:t>
      </w:r>
      <w:r>
        <w:rPr>
          <w:rFonts w:hint="eastAsia"/>
        </w:rPr>
        <w:t>按以下</w:t>
      </w:r>
      <w:r>
        <w:t>规定</w:t>
      </w:r>
      <w:r>
        <w:rPr>
          <w:rFonts w:hint="eastAsia"/>
        </w:rPr>
        <w:t>确定</w:t>
      </w:r>
      <w:r>
        <w:rPr>
          <w:bCs/>
          <w:kern w:val="0"/>
          <w:szCs w:val="21"/>
        </w:rPr>
        <w:t>相同品牌的响应有效性</w:t>
      </w:r>
      <w:r>
        <w:t>。</w:t>
      </w:r>
    </w:p>
    <w:bookmarkEnd w:id="61"/>
    <w:p w14:paraId="7FACC97E">
      <w:pPr>
        <w:spacing w:before="120" w:line="320" w:lineRule="atLeast"/>
        <w:ind w:firstLine="420" w:firstLineChars="200"/>
        <w:rPr>
          <w:szCs w:val="21"/>
        </w:rPr>
      </w:pPr>
      <w:r>
        <w:rPr>
          <w:rFonts w:hint="eastAsia"/>
          <w:szCs w:val="21"/>
        </w:rPr>
        <w:t>提供相同品牌产品的不同供应商参加同一合同项下响应的，以其中通过资格审查、符合性审查且报价最低的参加评标；报价相同的，由采购人或者采购人委托谈判小组按照采购文件规定的方式确定一个参加评标的供应商，采购文件未规定的采取随机抽取方式确定，其他响应无效。</w:t>
      </w:r>
    </w:p>
    <w:p w14:paraId="7A1D156E">
      <w:pPr>
        <w:spacing w:before="120" w:line="320" w:lineRule="atLeast"/>
        <w:ind w:firstLine="420" w:firstLineChars="200"/>
        <w:rPr>
          <w:szCs w:val="21"/>
        </w:rPr>
      </w:pPr>
      <w:r>
        <w:rPr>
          <w:rFonts w:hint="eastAsia"/>
          <w:szCs w:val="21"/>
        </w:rPr>
        <w:t>（2）非单一产品采购项目，</w:t>
      </w:r>
      <w:r>
        <w:rPr>
          <w:szCs w:val="21"/>
        </w:rPr>
        <w:t>采购人应当确定核心产品，并在采购文件中载明。</w:t>
      </w:r>
      <w:r>
        <w:rPr>
          <w:rFonts w:hint="eastAsia"/>
          <w:szCs w:val="21"/>
        </w:rPr>
        <w:t>不同</w:t>
      </w:r>
      <w:r>
        <w:rPr>
          <w:szCs w:val="21"/>
        </w:rPr>
        <w:t>供应商提供的核心产品品牌相同的，按上述规定处理。核心产品</w:t>
      </w:r>
      <w:r>
        <w:rPr>
          <w:rFonts w:hint="eastAsia"/>
          <w:szCs w:val="21"/>
        </w:rPr>
        <w:t>在第二章</w:t>
      </w:r>
      <w:r>
        <w:rPr>
          <w:szCs w:val="21"/>
        </w:rPr>
        <w:t>采购需求规定。</w:t>
      </w:r>
    </w:p>
    <w:p w14:paraId="673F0A73">
      <w:pPr>
        <w:spacing w:before="120" w:line="320" w:lineRule="atLeast"/>
        <w:ind w:firstLine="420" w:firstLineChars="200"/>
        <w:rPr>
          <w:rFonts w:hint="eastAsia"/>
        </w:rPr>
      </w:pPr>
      <w:r>
        <w:t>6.3.</w:t>
      </w:r>
      <w:r>
        <w:rPr>
          <w:rFonts w:hint="eastAsia"/>
          <w:lang w:val="en-US" w:eastAsia="zh-CN"/>
        </w:rPr>
        <w:t>7</w:t>
      </w:r>
      <w:r>
        <w:rPr>
          <w:rFonts w:hint="eastAsia"/>
        </w:rPr>
        <w:t>谈判</w:t>
      </w:r>
    </w:p>
    <w:p w14:paraId="3EED7C24">
      <w:pPr>
        <w:spacing w:before="120" w:line="320" w:lineRule="atLeast"/>
        <w:ind w:firstLine="420" w:firstLineChars="200"/>
        <w:rPr>
          <w:rFonts w:hint="eastAsia"/>
        </w:rPr>
      </w:pPr>
      <w:r>
        <w:rPr>
          <w:rFonts w:hint="eastAsia"/>
        </w:rPr>
        <w:t>（1）谈判小组按照“供应商须知前附表” 确定的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70B81615">
      <w:pPr>
        <w:spacing w:before="120" w:line="320" w:lineRule="atLeast"/>
        <w:ind w:firstLine="420" w:firstLineChars="200"/>
      </w:pPr>
      <w:r>
        <w:rPr>
          <w:rFonts w:hint="eastAsia"/>
        </w:rPr>
        <w:t>（2）在谈判过程中，谈判小组可以根据采购文件和谈判情况实质性变动采购需求中的技术、服务要求以及合同草案条款，但不得变动采购文件中的其他内容。实质性变动的内容，须经采购人代表确认。</w:t>
      </w:r>
    </w:p>
    <w:p w14:paraId="0937CD2F">
      <w:pPr>
        <w:spacing w:before="120" w:line="320" w:lineRule="atLeast"/>
        <w:ind w:firstLine="420" w:firstLineChars="200"/>
      </w:pPr>
      <w:r>
        <w:rPr>
          <w:rFonts w:hint="eastAsia"/>
        </w:rPr>
        <w:t>对采购文件作出的实质性变动是采购文件的有效组成部分，由谈判小组通过广西政府采购云平台以书面形式同时通知所有参加谈判的供应商。</w:t>
      </w:r>
    </w:p>
    <w:p w14:paraId="755A4AD4">
      <w:pPr>
        <w:spacing w:before="120" w:line="320" w:lineRule="atLeast"/>
        <w:ind w:firstLine="420" w:firstLineChars="200"/>
        <w:rPr>
          <w:rFonts w:hint="eastAsia"/>
        </w:rPr>
      </w:pPr>
      <w:r>
        <w:rPr>
          <w:rFonts w:hint="eastAsia"/>
        </w:rPr>
        <w:t>（3）供应商必须按照采购文件的变动情况和谈判小组的要求重新提交响应文件，并在广西政府采购云平台在线编辑或上传PDF格式，使用电子签章后提交至谈判小组。参加谈判的供应商未在规定时间内重新提交响应文件的，视同退出谈判。</w:t>
      </w:r>
    </w:p>
    <w:p w14:paraId="31C670CA">
      <w:pPr>
        <w:spacing w:before="120" w:line="320" w:lineRule="atLeast"/>
        <w:ind w:firstLine="420" w:firstLineChars="200"/>
      </w:pPr>
      <w:r>
        <w:rPr>
          <w:rFonts w:hint="eastAsia"/>
        </w:rPr>
        <w:t>（4）供应商的法定代表人或其授权代表无须到现场参加谈判，提问及回答/响应均通过广西政府采购云平台进行。谈判过程中使用的电子签章应为供应商上传响应文件的同一签章。</w:t>
      </w:r>
    </w:p>
    <w:p w14:paraId="6817C619">
      <w:pPr>
        <w:spacing w:before="120" w:line="320" w:lineRule="atLeast"/>
        <w:ind w:firstLine="420" w:firstLineChars="200"/>
      </w:pPr>
      <w:r>
        <w:rPr>
          <w:rFonts w:hint="eastAsia"/>
        </w:rPr>
        <w:t>6</w:t>
      </w:r>
      <w:r>
        <w:t>.3.</w:t>
      </w:r>
      <w:r>
        <w:rPr>
          <w:rFonts w:hint="eastAsia"/>
          <w:lang w:val="en-US" w:eastAsia="zh-CN"/>
        </w:rPr>
        <w:t>8</w:t>
      </w:r>
      <w:r>
        <w:rPr>
          <w:rFonts w:hint="eastAsia"/>
        </w:rPr>
        <w:t>最后报价</w:t>
      </w:r>
    </w:p>
    <w:p w14:paraId="3822DD3F">
      <w:pPr>
        <w:spacing w:before="120" w:line="320" w:lineRule="atLeast"/>
        <w:ind w:firstLine="420" w:firstLineChars="200"/>
        <w:rPr>
          <w:rFonts w:hint="eastAsia"/>
        </w:rPr>
      </w:pPr>
      <w:r>
        <w:rPr>
          <w:rFonts w:hint="eastAsia"/>
        </w:rPr>
        <w:t xml:space="preserve">（1）采购文件能够详细列明采购标的的技术、服务要求的，谈判结束后，谈判小组应当要求所有实质性响应的供应商在规定时间内提交最后报价，提交最后报价的供应商不得少于3家。 </w:t>
      </w:r>
    </w:p>
    <w:p w14:paraId="6D5BB26B">
      <w:pPr>
        <w:spacing w:before="120" w:line="320" w:lineRule="atLeast"/>
        <w:ind w:firstLine="420" w:firstLineChars="200"/>
        <w:rPr>
          <w:rFonts w:hint="eastAsia"/>
        </w:rPr>
      </w:pPr>
      <w:r>
        <w:rPr>
          <w:rFonts w:hint="eastAsia"/>
        </w:rPr>
        <w:t>采购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FE435CD">
      <w:pPr>
        <w:spacing w:before="120" w:line="320" w:lineRule="atLeast"/>
        <w:ind w:firstLine="420" w:firstLineChars="200"/>
      </w:pPr>
      <w:r>
        <w:rPr>
          <w:rFonts w:hint="eastAsia"/>
        </w:rPr>
        <w:t>最后报价是供应商响应文件的有效组成部分。</w:t>
      </w:r>
    </w:p>
    <w:p w14:paraId="5E0B691E">
      <w:pPr>
        <w:spacing w:before="120" w:line="320" w:lineRule="atLeast"/>
        <w:ind w:firstLine="420" w:firstLineChars="200"/>
        <w:rPr>
          <w:rFonts w:hint="eastAsia"/>
        </w:rPr>
      </w:pPr>
      <w:r>
        <w:rPr>
          <w:rFonts w:hint="eastAsia"/>
        </w:rPr>
        <w:t>（2）最后报价要求通过广西政府采购云平台发出，供应商需在广西政府采购云平台设置的时间内报价，最后报价不得超过采购预算金额且具有唯一性，否则否决其响应。</w:t>
      </w:r>
    </w:p>
    <w:p w14:paraId="01B6EA65">
      <w:pPr>
        <w:spacing w:before="120" w:line="320" w:lineRule="atLeast"/>
        <w:ind w:firstLine="420" w:firstLineChars="200"/>
      </w:pPr>
      <w:r>
        <w:rPr>
          <w:rFonts w:hint="eastAsia"/>
        </w:rPr>
        <w:t>（</w:t>
      </w:r>
      <w:r>
        <w:t>3</w:t>
      </w:r>
      <w:r>
        <w:rPr>
          <w:rFonts w:hint="eastAsia"/>
        </w:rPr>
        <w:t>）已提交响应文件的供应商，在提交最后报价之前，可以根据谈判情况退出谈判，退出谈判的供应商的响应文件无效。退出谈判的说明须经签字扫描后以电子邮件方式发送至采购代理机构，并及时通知项目负责人。谈判小组在评审报告中注明退出谈判的供应商名单。采购人、采购代理机构应当退还退出谈判的供应商的谈判保证金。</w:t>
      </w:r>
    </w:p>
    <w:p w14:paraId="04C6B1AB">
      <w:pPr>
        <w:spacing w:before="120" w:line="320" w:lineRule="atLeast"/>
        <w:ind w:firstLine="420" w:firstLineChars="200"/>
        <w:rPr>
          <w:rFonts w:hint="eastAsia"/>
        </w:rPr>
      </w:pPr>
      <w:r>
        <w:rPr>
          <w:rFonts w:hint="eastAsia"/>
        </w:rPr>
        <w:t>（4）供应商未在规定时间内提交最后报价的，视同退出谈判。</w:t>
      </w:r>
    </w:p>
    <w:p w14:paraId="33B81D84">
      <w:pPr>
        <w:spacing w:before="120" w:line="320" w:lineRule="atLeast"/>
        <w:ind w:firstLine="420" w:firstLineChars="200"/>
        <w:rPr>
          <w:rFonts w:hint="eastAsia"/>
        </w:rPr>
      </w:pPr>
      <w:r>
        <w:rPr>
          <w:rFonts w:hint="eastAsia"/>
        </w:rPr>
        <w:t>（5）最后报价结束后，谈判小组不得再与供应商进行任何形式的商谈。</w:t>
      </w:r>
    </w:p>
    <w:p w14:paraId="7BFD95A0">
      <w:pPr>
        <w:spacing w:before="120" w:line="320" w:lineRule="atLeast"/>
        <w:ind w:firstLine="420" w:firstLineChars="200"/>
        <w:rPr>
          <w:szCs w:val="21"/>
        </w:rPr>
      </w:pPr>
      <w:r>
        <w:rPr>
          <w:szCs w:val="21"/>
        </w:rPr>
        <w:t>6.3.</w:t>
      </w:r>
      <w:r>
        <w:rPr>
          <w:rFonts w:hint="eastAsia"/>
          <w:szCs w:val="21"/>
          <w:lang w:val="en-US" w:eastAsia="zh-CN"/>
        </w:rPr>
        <w:t>9</w:t>
      </w:r>
      <w:r>
        <w:rPr>
          <w:rFonts w:hint="eastAsia"/>
          <w:szCs w:val="21"/>
          <w:lang w:eastAsia="zh-CN"/>
        </w:rPr>
        <w:t>串通响应</w:t>
      </w:r>
      <w:r>
        <w:rPr>
          <w:szCs w:val="21"/>
        </w:rPr>
        <w:t>认定</w:t>
      </w:r>
    </w:p>
    <w:p w14:paraId="57FD86D3">
      <w:pPr>
        <w:spacing w:before="120" w:line="320" w:lineRule="atLeast"/>
        <w:ind w:firstLine="420" w:firstLineChars="200"/>
      </w:pPr>
      <w:r>
        <w:rPr>
          <w:rFonts w:hint="eastAsia"/>
          <w:szCs w:val="21"/>
        </w:rPr>
        <w:t>谈判</w:t>
      </w:r>
      <w:r>
        <w:rPr>
          <w:szCs w:val="21"/>
        </w:rPr>
        <w:t>小组须根据</w:t>
      </w:r>
      <w:r>
        <w:rPr>
          <w:rFonts w:hint="eastAsia"/>
          <w:szCs w:val="21"/>
        </w:rPr>
        <w:t>以下</w:t>
      </w:r>
      <w:r>
        <w:rPr>
          <w:szCs w:val="21"/>
        </w:rPr>
        <w:t>规定</w:t>
      </w:r>
      <w:r>
        <w:rPr>
          <w:rFonts w:hint="eastAsia"/>
          <w:szCs w:val="21"/>
        </w:rPr>
        <w:t>认定</w:t>
      </w:r>
      <w:r>
        <w:rPr>
          <w:szCs w:val="21"/>
        </w:rPr>
        <w:t>供应商是否有</w:t>
      </w:r>
      <w:r>
        <w:rPr>
          <w:rFonts w:hint="eastAsia"/>
          <w:bCs/>
          <w:kern w:val="0"/>
          <w:szCs w:val="21"/>
          <w:lang w:eastAsia="zh-CN"/>
        </w:rPr>
        <w:t>串通响应</w:t>
      </w:r>
      <w:r>
        <w:rPr>
          <w:bCs/>
          <w:kern w:val="0"/>
          <w:szCs w:val="21"/>
        </w:rPr>
        <w:t>的行为</w:t>
      </w:r>
      <w:r>
        <w:t>。</w:t>
      </w:r>
    </w:p>
    <w:p w14:paraId="0CC6A723">
      <w:pPr>
        <w:spacing w:before="120" w:line="320" w:lineRule="atLeast"/>
        <w:ind w:firstLine="420" w:firstLineChars="200"/>
        <w:rPr>
          <w:szCs w:val="21"/>
        </w:rPr>
      </w:pPr>
      <w:bookmarkStart w:id="62" w:name="_Hlk19122026"/>
      <w:r>
        <w:rPr>
          <w:rFonts w:hint="eastAsia"/>
          <w:szCs w:val="21"/>
        </w:rPr>
        <w:t>（1）</w:t>
      </w:r>
      <w:bookmarkEnd w:id="62"/>
      <w:r>
        <w:rPr>
          <w:szCs w:val="21"/>
        </w:rPr>
        <w:t>根据《关于防治政府采购招标中</w:t>
      </w:r>
      <w:r>
        <w:rPr>
          <w:rFonts w:hint="eastAsia"/>
          <w:szCs w:val="21"/>
          <w:lang w:eastAsia="zh-CN"/>
        </w:rPr>
        <w:t>串通</w:t>
      </w:r>
      <w:r>
        <w:rPr>
          <w:rFonts w:hint="eastAsia"/>
          <w:szCs w:val="21"/>
          <w:lang w:val="en-US" w:eastAsia="zh-CN"/>
        </w:rPr>
        <w:t>投标</w:t>
      </w:r>
      <w:r>
        <w:rPr>
          <w:szCs w:val="21"/>
        </w:rPr>
        <w:t>行为的通知》</w:t>
      </w:r>
      <w:r>
        <w:rPr>
          <w:rFonts w:hint="eastAsia"/>
          <w:szCs w:val="21"/>
        </w:rPr>
        <w:t>（</w:t>
      </w:r>
      <w:r>
        <w:rPr>
          <w:szCs w:val="21"/>
        </w:rPr>
        <w:t>桂财采</w:t>
      </w:r>
      <w:r>
        <w:rPr>
          <w:rFonts w:hint="eastAsia"/>
          <w:szCs w:val="21"/>
          <w:lang w:eastAsia="zh-CN"/>
        </w:rPr>
        <w:t>〔2016〕42号</w:t>
      </w:r>
      <w:r>
        <w:rPr>
          <w:rFonts w:hint="eastAsia"/>
          <w:szCs w:val="21"/>
        </w:rPr>
        <w:t>）</w:t>
      </w:r>
      <w:r>
        <w:rPr>
          <w:szCs w:val="21"/>
        </w:rPr>
        <w:t>规定，出现下述情况的，相关供应商的投标作无效投标处理。</w:t>
      </w:r>
    </w:p>
    <w:p w14:paraId="1DA5D5BF">
      <w:pPr>
        <w:spacing w:before="120" w:line="320" w:lineRule="atLeast"/>
        <w:ind w:firstLine="420" w:firstLineChars="200"/>
        <w:rPr>
          <w:szCs w:val="21"/>
        </w:rPr>
      </w:pPr>
      <w:bookmarkStart w:id="63" w:name="_Hlk19122039"/>
      <w:r>
        <w:rPr>
          <w:rFonts w:hint="eastAsia" w:ascii="宋体" w:hAnsi="宋体" w:cs="宋体"/>
          <w:szCs w:val="21"/>
        </w:rPr>
        <w:t>①</w:t>
      </w:r>
      <w:r>
        <w:rPr>
          <w:szCs w:val="21"/>
        </w:rPr>
        <w:t>单位负责人为同一人或者存在直接控股、管理关系，参加同一合同项下政府采购活动的不同供应商。</w:t>
      </w:r>
    </w:p>
    <w:p w14:paraId="71222DC7">
      <w:pPr>
        <w:spacing w:before="120" w:line="320" w:lineRule="atLeast"/>
        <w:ind w:firstLine="420" w:firstLineChars="200"/>
        <w:rPr>
          <w:szCs w:val="21"/>
        </w:rPr>
      </w:pPr>
      <w:r>
        <w:rPr>
          <w:rFonts w:hint="eastAsia"/>
          <w:szCs w:val="21"/>
        </w:rPr>
        <w:t>②</w:t>
      </w:r>
      <w:r>
        <w:rPr>
          <w:szCs w:val="21"/>
        </w:rPr>
        <w:t>授权给供应商后参加同一合同项（分标、分包）投标的生产厂商。</w:t>
      </w:r>
    </w:p>
    <w:p w14:paraId="175BCCE6">
      <w:pPr>
        <w:spacing w:before="120" w:line="320" w:lineRule="atLeast"/>
        <w:ind w:firstLine="420" w:firstLineChars="200"/>
        <w:rPr>
          <w:szCs w:val="21"/>
        </w:rPr>
      </w:pPr>
      <w:r>
        <w:rPr>
          <w:rFonts w:hint="eastAsia"/>
          <w:szCs w:val="21"/>
        </w:rPr>
        <w:t>③</w:t>
      </w:r>
      <w:r>
        <w:rPr>
          <w:szCs w:val="21"/>
        </w:rPr>
        <w:t>视为或被认定为</w:t>
      </w:r>
      <w:r>
        <w:rPr>
          <w:rFonts w:hint="eastAsia"/>
          <w:szCs w:val="21"/>
          <w:lang w:eastAsia="zh-CN"/>
        </w:rPr>
        <w:t>串通响应</w:t>
      </w:r>
      <w:r>
        <w:rPr>
          <w:szCs w:val="21"/>
        </w:rPr>
        <w:t>的相关供应商。</w:t>
      </w:r>
    </w:p>
    <w:bookmarkEnd w:id="63"/>
    <w:p w14:paraId="5143AA55">
      <w:pPr>
        <w:spacing w:before="120" w:line="320" w:lineRule="atLeast"/>
        <w:ind w:firstLine="420" w:firstLineChars="200"/>
        <w:rPr>
          <w:szCs w:val="21"/>
        </w:rPr>
      </w:pPr>
      <w:bookmarkStart w:id="64" w:name="_Hlk19122058"/>
      <w:r>
        <w:rPr>
          <w:rFonts w:hint="eastAsia"/>
          <w:szCs w:val="21"/>
        </w:rPr>
        <w:t>（2）</w:t>
      </w:r>
      <w:bookmarkEnd w:id="64"/>
      <w:r>
        <w:rPr>
          <w:szCs w:val="21"/>
        </w:rPr>
        <w:t>根据《关于防治政府采购招标中串通投标行为的通知》</w:t>
      </w:r>
      <w:r>
        <w:rPr>
          <w:rFonts w:hint="eastAsia"/>
          <w:szCs w:val="21"/>
        </w:rPr>
        <w:t>（</w:t>
      </w:r>
      <w:r>
        <w:rPr>
          <w:szCs w:val="21"/>
        </w:rPr>
        <w:t>桂财采</w:t>
      </w:r>
      <w:r>
        <w:rPr>
          <w:rFonts w:hint="eastAsia"/>
          <w:szCs w:val="21"/>
          <w:lang w:eastAsia="zh-CN"/>
        </w:rPr>
        <w:t>〔2016〕42号</w:t>
      </w:r>
      <w:r>
        <w:rPr>
          <w:rFonts w:hint="eastAsia"/>
          <w:szCs w:val="21"/>
        </w:rPr>
        <w:t>）</w:t>
      </w:r>
      <w:r>
        <w:rPr>
          <w:szCs w:val="21"/>
        </w:rPr>
        <w:t>规定，有下列情形之一的视为供应商相互串通</w:t>
      </w:r>
      <w:r>
        <w:rPr>
          <w:rFonts w:hint="eastAsia"/>
          <w:szCs w:val="21"/>
          <w:lang w:val="en-US" w:eastAsia="zh-CN"/>
        </w:rPr>
        <w:t>响应</w:t>
      </w:r>
      <w:r>
        <w:rPr>
          <w:szCs w:val="21"/>
        </w:rPr>
        <w:t>，响应文件将被视为无效。</w:t>
      </w:r>
    </w:p>
    <w:p w14:paraId="003BFB02">
      <w:pPr>
        <w:spacing w:before="120" w:line="320" w:lineRule="atLeast"/>
        <w:ind w:firstLine="420" w:firstLineChars="200"/>
        <w:rPr>
          <w:szCs w:val="21"/>
        </w:rPr>
      </w:pPr>
      <w:bookmarkStart w:id="65" w:name="_Hlk19122048"/>
      <w:r>
        <w:rPr>
          <w:rFonts w:hint="eastAsia" w:ascii="宋体" w:hAnsi="宋体" w:cs="宋体"/>
          <w:szCs w:val="21"/>
        </w:rPr>
        <w:t>①</w:t>
      </w:r>
      <w:r>
        <w:rPr>
          <w:szCs w:val="21"/>
        </w:rPr>
        <w:t>不同供应商的响应文件由同一单位或者个人编制；或不同供应商报名的IP地址一致的；</w:t>
      </w:r>
    </w:p>
    <w:p w14:paraId="1675EF33">
      <w:pPr>
        <w:spacing w:before="120" w:line="320" w:lineRule="atLeast"/>
        <w:ind w:firstLine="420" w:firstLineChars="200"/>
        <w:rPr>
          <w:szCs w:val="21"/>
        </w:rPr>
      </w:pPr>
      <w:r>
        <w:rPr>
          <w:rFonts w:hint="eastAsia"/>
          <w:szCs w:val="21"/>
        </w:rPr>
        <w:t>②</w:t>
      </w:r>
      <w:r>
        <w:rPr>
          <w:szCs w:val="21"/>
        </w:rPr>
        <w:t>不同供应商委托同一单位或者个人办理投标事宜；</w:t>
      </w:r>
    </w:p>
    <w:p w14:paraId="0D337E64">
      <w:pPr>
        <w:spacing w:before="120" w:line="320" w:lineRule="atLeast"/>
        <w:ind w:firstLine="420" w:firstLineChars="200"/>
        <w:rPr>
          <w:szCs w:val="21"/>
        </w:rPr>
      </w:pPr>
      <w:r>
        <w:rPr>
          <w:rFonts w:hint="eastAsia"/>
          <w:szCs w:val="21"/>
        </w:rPr>
        <w:t>③</w:t>
      </w:r>
      <w:r>
        <w:rPr>
          <w:szCs w:val="21"/>
        </w:rPr>
        <w:t>不同的供应商的响应文件载明的项目管理员为同一个人；</w:t>
      </w:r>
    </w:p>
    <w:p w14:paraId="5090B9DB">
      <w:pPr>
        <w:spacing w:before="120" w:line="320" w:lineRule="atLeast"/>
        <w:ind w:firstLine="420" w:firstLineChars="200"/>
        <w:rPr>
          <w:szCs w:val="21"/>
        </w:rPr>
      </w:pPr>
      <w:r>
        <w:rPr>
          <w:rFonts w:hint="eastAsia"/>
          <w:szCs w:val="21"/>
        </w:rPr>
        <w:t>④</w:t>
      </w:r>
      <w:r>
        <w:rPr>
          <w:szCs w:val="21"/>
        </w:rPr>
        <w:t>不同供应商的响应文件异常一致或</w:t>
      </w:r>
      <w:r>
        <w:rPr>
          <w:rFonts w:hint="eastAsia"/>
          <w:szCs w:val="21"/>
          <w:lang w:eastAsia="zh-CN"/>
        </w:rPr>
        <w:t>响应报价</w:t>
      </w:r>
      <w:r>
        <w:rPr>
          <w:szCs w:val="21"/>
        </w:rPr>
        <w:t>呈规律性差异；</w:t>
      </w:r>
    </w:p>
    <w:p w14:paraId="689F110B">
      <w:pPr>
        <w:spacing w:before="120" w:line="320" w:lineRule="atLeast"/>
        <w:ind w:firstLine="420" w:firstLineChars="200"/>
        <w:rPr>
          <w:szCs w:val="21"/>
        </w:rPr>
      </w:pPr>
      <w:r>
        <w:rPr>
          <w:rFonts w:hint="eastAsia"/>
          <w:szCs w:val="21"/>
        </w:rPr>
        <w:t>⑤</w:t>
      </w:r>
      <w:r>
        <w:rPr>
          <w:szCs w:val="21"/>
        </w:rPr>
        <w:t>不同供应商的响应文件相互混装；</w:t>
      </w:r>
    </w:p>
    <w:p w14:paraId="5B6BEDEF">
      <w:pPr>
        <w:spacing w:before="120" w:line="320" w:lineRule="atLeast"/>
        <w:ind w:firstLine="420" w:firstLineChars="200"/>
        <w:rPr>
          <w:szCs w:val="21"/>
        </w:rPr>
      </w:pPr>
      <w:r>
        <w:rPr>
          <w:rFonts w:hint="eastAsia"/>
          <w:szCs w:val="21"/>
        </w:rPr>
        <w:t>⑥</w:t>
      </w:r>
      <w:r>
        <w:rPr>
          <w:szCs w:val="21"/>
        </w:rPr>
        <w:t>不同供应商的保证金从同一单位或者个人账户转出。</w:t>
      </w:r>
    </w:p>
    <w:bookmarkEnd w:id="65"/>
    <w:p w14:paraId="298A881D">
      <w:pPr>
        <w:spacing w:before="120" w:line="320" w:lineRule="atLeast"/>
        <w:ind w:firstLine="420" w:firstLineChars="200"/>
        <w:rPr>
          <w:szCs w:val="21"/>
        </w:rPr>
      </w:pPr>
      <w:bookmarkStart w:id="66" w:name="_Hlk19122102"/>
      <w:r>
        <w:rPr>
          <w:rFonts w:hint="eastAsia"/>
          <w:szCs w:val="21"/>
        </w:rPr>
        <w:t>（3）</w:t>
      </w:r>
      <w:bookmarkEnd w:id="66"/>
      <w:r>
        <w:rPr>
          <w:szCs w:val="21"/>
        </w:rPr>
        <w:t>根据《关于防治政府采购招标中串通投标行为的通知》</w:t>
      </w:r>
      <w:r>
        <w:rPr>
          <w:rFonts w:hint="eastAsia"/>
          <w:szCs w:val="21"/>
        </w:rPr>
        <w:t>（</w:t>
      </w:r>
      <w:r>
        <w:rPr>
          <w:szCs w:val="21"/>
        </w:rPr>
        <w:t>桂财采</w:t>
      </w:r>
      <w:r>
        <w:rPr>
          <w:rFonts w:hint="eastAsia"/>
          <w:szCs w:val="21"/>
          <w:lang w:eastAsia="zh-CN"/>
        </w:rPr>
        <w:t>〔2016〕42号</w:t>
      </w:r>
      <w:r>
        <w:rPr>
          <w:rFonts w:hint="eastAsia"/>
          <w:szCs w:val="21"/>
        </w:rPr>
        <w:t>）</w:t>
      </w:r>
      <w:r>
        <w:rPr>
          <w:szCs w:val="21"/>
        </w:rPr>
        <w:t>规定，供应商有下列情形之一的，属于恶意串通行为，响应文件将被视为无效。</w:t>
      </w:r>
    </w:p>
    <w:p w14:paraId="286CFCBC">
      <w:pPr>
        <w:spacing w:before="120" w:line="320" w:lineRule="atLeast"/>
        <w:ind w:firstLine="420" w:firstLineChars="200"/>
        <w:rPr>
          <w:szCs w:val="21"/>
        </w:rPr>
      </w:pPr>
      <w:bookmarkStart w:id="67" w:name="_Hlk19122095"/>
      <w:r>
        <w:rPr>
          <w:rFonts w:hint="eastAsia"/>
          <w:szCs w:val="21"/>
        </w:rPr>
        <w:t>①</w:t>
      </w:r>
      <w:r>
        <w:rPr>
          <w:szCs w:val="21"/>
        </w:rPr>
        <w:t>供应商直接或者间接从采购人或者采购代理机构处获得其他供应商的相关信息并修改其响应文件；</w:t>
      </w:r>
    </w:p>
    <w:p w14:paraId="3A99D861">
      <w:pPr>
        <w:spacing w:before="120" w:line="320" w:lineRule="atLeast"/>
        <w:ind w:firstLine="420" w:firstLineChars="200"/>
        <w:rPr>
          <w:szCs w:val="21"/>
        </w:rPr>
      </w:pPr>
      <w:r>
        <w:rPr>
          <w:rFonts w:hint="eastAsia"/>
          <w:szCs w:val="21"/>
        </w:rPr>
        <w:t>②</w:t>
      </w:r>
      <w:r>
        <w:rPr>
          <w:szCs w:val="21"/>
        </w:rPr>
        <w:t>供应商按照采购人或者采购代理机构的授意撤换、修改响应文件；</w:t>
      </w:r>
    </w:p>
    <w:p w14:paraId="56F0CA75">
      <w:pPr>
        <w:spacing w:before="120" w:line="320" w:lineRule="atLeast"/>
        <w:ind w:firstLine="420" w:firstLineChars="200"/>
        <w:rPr>
          <w:szCs w:val="21"/>
        </w:rPr>
      </w:pPr>
      <w:r>
        <w:rPr>
          <w:rFonts w:hint="eastAsia"/>
          <w:szCs w:val="21"/>
        </w:rPr>
        <w:t>③</w:t>
      </w:r>
      <w:r>
        <w:rPr>
          <w:szCs w:val="21"/>
        </w:rPr>
        <w:t>供应商之间协商报价、技术方案等响应文件的实质性内容；</w:t>
      </w:r>
    </w:p>
    <w:p w14:paraId="44FB434B">
      <w:pPr>
        <w:spacing w:before="120" w:line="320" w:lineRule="atLeast"/>
        <w:ind w:firstLine="420" w:firstLineChars="200"/>
        <w:rPr>
          <w:szCs w:val="21"/>
        </w:rPr>
      </w:pPr>
      <w:r>
        <w:rPr>
          <w:rFonts w:hint="eastAsia"/>
          <w:szCs w:val="21"/>
        </w:rPr>
        <w:t>④</w:t>
      </w:r>
      <w:r>
        <w:rPr>
          <w:szCs w:val="21"/>
        </w:rPr>
        <w:t>属于同一集团、协会、商会等组织成员的供应商按照该组织要求协同参加政府采购活动；</w:t>
      </w:r>
    </w:p>
    <w:p w14:paraId="19155573">
      <w:pPr>
        <w:spacing w:before="120" w:line="320" w:lineRule="atLeast"/>
        <w:ind w:firstLine="420" w:firstLineChars="200"/>
        <w:rPr>
          <w:szCs w:val="21"/>
        </w:rPr>
      </w:pPr>
      <w:r>
        <w:rPr>
          <w:rFonts w:hint="eastAsia"/>
          <w:szCs w:val="21"/>
        </w:rPr>
        <w:t>⑤</w:t>
      </w:r>
      <w:r>
        <w:rPr>
          <w:szCs w:val="21"/>
        </w:rPr>
        <w:t>供应商之间事先约定一致抬高或者压低响应报价，或者在采购项目中事先约定轮流以高价位或者低价位成交，或者事先约定由某一特定供应商成交，然后再参加响应；</w:t>
      </w:r>
    </w:p>
    <w:p w14:paraId="08F3B1F9">
      <w:pPr>
        <w:spacing w:before="120" w:line="320" w:lineRule="atLeast"/>
        <w:ind w:firstLine="420" w:firstLineChars="200"/>
        <w:rPr>
          <w:szCs w:val="21"/>
        </w:rPr>
      </w:pPr>
      <w:r>
        <w:rPr>
          <w:rFonts w:hint="eastAsia"/>
          <w:szCs w:val="21"/>
        </w:rPr>
        <w:t>⑥</w:t>
      </w:r>
      <w:r>
        <w:rPr>
          <w:szCs w:val="21"/>
        </w:rPr>
        <w:t>供应商之间商定部分供应商放弃参加政府采购活动或者放弃成交；</w:t>
      </w:r>
    </w:p>
    <w:p w14:paraId="683FC418">
      <w:pPr>
        <w:spacing w:before="120" w:line="320" w:lineRule="atLeast"/>
        <w:ind w:firstLine="420" w:firstLineChars="200"/>
        <w:rPr>
          <w:szCs w:val="21"/>
        </w:rPr>
      </w:pPr>
      <w:r>
        <w:rPr>
          <w:rFonts w:hint="eastAsia"/>
          <w:szCs w:val="21"/>
        </w:rPr>
        <w:t>⑦</w:t>
      </w:r>
      <w:r>
        <w:rPr>
          <w:szCs w:val="21"/>
        </w:rPr>
        <w:t>供应商与采购人或者采购代理机构之间、供应商相互之间，为谋求特定供应商成交或者排斥其他供应商的其他串通行为。</w:t>
      </w:r>
    </w:p>
    <w:bookmarkEnd w:id="67"/>
    <w:p w14:paraId="609EA894">
      <w:pPr>
        <w:spacing w:before="120" w:line="320" w:lineRule="atLeast"/>
        <w:ind w:firstLine="420" w:firstLineChars="200"/>
        <w:rPr>
          <w:szCs w:val="21"/>
        </w:rPr>
      </w:pPr>
      <w:r>
        <w:rPr>
          <w:szCs w:val="21"/>
        </w:rPr>
        <w:t>6.3.</w:t>
      </w:r>
      <w:r>
        <w:rPr>
          <w:rFonts w:hint="eastAsia"/>
          <w:szCs w:val="21"/>
          <w:lang w:val="en-US" w:eastAsia="zh-CN"/>
        </w:rPr>
        <w:t>10</w:t>
      </w:r>
      <w:r>
        <w:rPr>
          <w:szCs w:val="21"/>
        </w:rPr>
        <w:t>响应</w:t>
      </w:r>
      <w:r>
        <w:rPr>
          <w:rFonts w:hint="eastAsia"/>
          <w:szCs w:val="21"/>
        </w:rPr>
        <w:t>无效</w:t>
      </w:r>
      <w:r>
        <w:rPr>
          <w:szCs w:val="21"/>
        </w:rPr>
        <w:t>认定</w:t>
      </w:r>
    </w:p>
    <w:p w14:paraId="7A04A911">
      <w:pPr>
        <w:spacing w:before="120" w:line="320" w:lineRule="atLeast"/>
        <w:ind w:firstLine="420" w:firstLineChars="200"/>
        <w:rPr>
          <w:szCs w:val="21"/>
        </w:rPr>
      </w:pPr>
      <w:r>
        <w:rPr>
          <w:rFonts w:hint="eastAsia"/>
          <w:szCs w:val="21"/>
        </w:rPr>
        <w:t>（</w:t>
      </w:r>
      <w:r>
        <w:rPr>
          <w:szCs w:val="21"/>
        </w:rPr>
        <w:t>1）在</w:t>
      </w:r>
      <w:r>
        <w:rPr>
          <w:rFonts w:hint="eastAsia"/>
          <w:szCs w:val="21"/>
        </w:rPr>
        <w:t>评审过程中</w:t>
      </w:r>
      <w:r>
        <w:rPr>
          <w:szCs w:val="21"/>
        </w:rPr>
        <w:t>如发现下列情形之一的，响应文件将被视为无效：</w:t>
      </w:r>
    </w:p>
    <w:p w14:paraId="76BA9B34">
      <w:pPr>
        <w:spacing w:before="120" w:line="320" w:lineRule="atLeast"/>
        <w:ind w:firstLine="420" w:firstLineChars="200"/>
      </w:pPr>
      <w:r>
        <w:rPr>
          <w:rFonts w:hint="eastAsia"/>
          <w:szCs w:val="21"/>
        </w:rPr>
        <w:t>①</w:t>
      </w:r>
      <w:r>
        <w:rPr>
          <w:szCs w:val="21"/>
        </w:rPr>
        <w:t>响应文件</w:t>
      </w:r>
      <w:r>
        <w:rPr>
          <w:rFonts w:hint="eastAsia"/>
          <w:szCs w:val="21"/>
        </w:rPr>
        <w:t>存在法律、法规及监督部门有关文件规定的无效情形</w:t>
      </w:r>
      <w:r>
        <w:rPr>
          <w:szCs w:val="21"/>
        </w:rPr>
        <w:t>。</w:t>
      </w:r>
    </w:p>
    <w:p w14:paraId="2053174C">
      <w:pPr>
        <w:spacing w:before="120" w:line="320" w:lineRule="atLeast"/>
        <w:ind w:firstLine="420" w:firstLineChars="200"/>
        <w:rPr>
          <w:szCs w:val="21"/>
        </w:rPr>
      </w:pPr>
      <w:r>
        <w:rPr>
          <w:rFonts w:hint="eastAsia"/>
          <w:szCs w:val="21"/>
        </w:rPr>
        <w:t>②</w:t>
      </w:r>
      <w:r>
        <w:rPr>
          <w:szCs w:val="21"/>
        </w:rPr>
        <w:t>响应文件</w:t>
      </w:r>
      <w:r>
        <w:rPr>
          <w:rFonts w:hint="eastAsia"/>
          <w:szCs w:val="21"/>
        </w:rPr>
        <w:t>存在采购文件规定的无效情形。</w:t>
      </w:r>
    </w:p>
    <w:p w14:paraId="26AAA8CE">
      <w:pPr>
        <w:spacing w:before="120" w:line="320" w:lineRule="atLeast"/>
        <w:ind w:firstLine="420" w:firstLineChars="200"/>
        <w:rPr>
          <w:szCs w:val="21"/>
        </w:rPr>
      </w:pPr>
      <w:bookmarkStart w:id="68" w:name="_Hlk19113313"/>
      <w:r>
        <w:rPr>
          <w:rFonts w:hint="eastAsia"/>
          <w:szCs w:val="21"/>
        </w:rPr>
        <w:t>（2）根据</w:t>
      </w:r>
      <w:r>
        <w:rPr>
          <w:szCs w:val="21"/>
        </w:rPr>
        <w:t>财库</w:t>
      </w:r>
      <w:r>
        <w:rPr>
          <w:rFonts w:hint="eastAsia"/>
          <w:szCs w:val="21"/>
        </w:rPr>
        <w:t>《</w:t>
      </w:r>
      <w:r>
        <w:rPr>
          <w:szCs w:val="21"/>
        </w:rPr>
        <w:t>关于促进政府采购公平竞争优化营商环境的通知</w:t>
      </w:r>
      <w:r>
        <w:rPr>
          <w:rFonts w:hint="eastAsia"/>
          <w:szCs w:val="21"/>
        </w:rPr>
        <w:t>》（</w:t>
      </w:r>
      <w:r>
        <w:rPr>
          <w:szCs w:val="21"/>
        </w:rPr>
        <w:t>〔2019〕38号</w:t>
      </w:r>
      <w:r>
        <w:rPr>
          <w:rFonts w:hint="eastAsia"/>
          <w:szCs w:val="21"/>
        </w:rPr>
        <w:t>）以及《广西壮族自治区财政厅转发财政部关于促进政府采购公平竞争优化营商环境的通知》（桂财采〔2019〕41号）规定，谈判小组不得因装订、纸张、文件排序等非实质性的格式、形式问题认定投标无效或否决投标，从而限制和影响供应商投标（响应）。</w:t>
      </w:r>
    </w:p>
    <w:bookmarkEnd w:id="68"/>
    <w:p w14:paraId="4910C74F">
      <w:pPr>
        <w:spacing w:before="120" w:line="320" w:lineRule="atLeast"/>
        <w:ind w:firstLine="420" w:firstLineChars="200"/>
        <w:rPr>
          <w:szCs w:val="21"/>
        </w:rPr>
      </w:pPr>
      <w:r>
        <w:rPr>
          <w:szCs w:val="21"/>
        </w:rPr>
        <w:t>6.3.1</w:t>
      </w:r>
      <w:r>
        <w:rPr>
          <w:rFonts w:hint="eastAsia"/>
          <w:szCs w:val="21"/>
          <w:lang w:val="en-US" w:eastAsia="zh-CN"/>
        </w:rPr>
        <w:t>1</w:t>
      </w:r>
      <w:r>
        <w:rPr>
          <w:szCs w:val="21"/>
        </w:rPr>
        <w:t>比较</w:t>
      </w:r>
      <w:r>
        <w:rPr>
          <w:rFonts w:hint="eastAsia"/>
          <w:szCs w:val="21"/>
        </w:rPr>
        <w:t>与评价</w:t>
      </w:r>
    </w:p>
    <w:p w14:paraId="4B038ECF">
      <w:pPr>
        <w:spacing w:before="120" w:line="320" w:lineRule="atLeast"/>
        <w:ind w:firstLine="420" w:firstLineChars="200"/>
        <w:rPr>
          <w:szCs w:val="21"/>
        </w:rPr>
      </w:pPr>
      <w:r>
        <w:rPr>
          <w:rFonts w:hint="eastAsia"/>
          <w:szCs w:val="21"/>
        </w:rPr>
        <w:t>（1）</w:t>
      </w:r>
      <w:r>
        <w:rPr>
          <w:szCs w:val="21"/>
        </w:rPr>
        <w:t>谈判小组按扣除后的价格由低到高的顺序排列推荐3名以上供应商为本项目（或分标）的成交候选</w:t>
      </w:r>
      <w:r>
        <w:rPr>
          <w:rFonts w:hint="eastAsia"/>
          <w:szCs w:val="21"/>
        </w:rPr>
        <w:t>供应商</w:t>
      </w:r>
      <w:r>
        <w:rPr>
          <w:szCs w:val="21"/>
        </w:rPr>
        <w:t>，排名第一的为第一成交候选</w:t>
      </w:r>
      <w:r>
        <w:rPr>
          <w:rFonts w:hint="eastAsia"/>
          <w:szCs w:val="21"/>
        </w:rPr>
        <w:t>供应商</w:t>
      </w:r>
      <w:r>
        <w:rPr>
          <w:szCs w:val="21"/>
        </w:rPr>
        <w:t>。若供应商的响应</w:t>
      </w:r>
      <w:r>
        <w:rPr>
          <w:rFonts w:hint="eastAsia"/>
          <w:szCs w:val="21"/>
        </w:rPr>
        <w:t>最后</w:t>
      </w:r>
      <w:r>
        <w:rPr>
          <w:szCs w:val="21"/>
        </w:rPr>
        <w:t>报价经扣除后价格相同，则按服务条款的优劣顺序排列。若仍相同的，由</w:t>
      </w:r>
      <w:r>
        <w:rPr>
          <w:rFonts w:hint="eastAsia"/>
          <w:szCs w:val="21"/>
        </w:rPr>
        <w:t>采购人自行</w:t>
      </w:r>
      <w:r>
        <w:rPr>
          <w:szCs w:val="21"/>
        </w:rPr>
        <w:t>确定。</w:t>
      </w:r>
    </w:p>
    <w:p w14:paraId="53A034F2">
      <w:pPr>
        <w:spacing w:before="120" w:line="320" w:lineRule="atLeast"/>
        <w:ind w:firstLine="420" w:firstLineChars="200"/>
      </w:pPr>
      <w:r>
        <w:rPr>
          <w:rFonts w:hint="eastAsia"/>
          <w:szCs w:val="21"/>
        </w:rPr>
        <w:t>（2）谈判小组根据评审记录及评审结果编写评审报告，谈判小组成员均应当在评审报告上签字，对自己的评审意见承担法律责任。</w:t>
      </w:r>
      <w:r>
        <w:t>评审报告签署前，经复核发现存在以</w:t>
      </w:r>
      <w:r>
        <w:rPr>
          <w:rFonts w:hint="eastAsia"/>
        </w:rPr>
        <w:t>下</w:t>
      </w:r>
      <w:r>
        <w:t>情形之一的，</w:t>
      </w:r>
      <w:r>
        <w:rPr>
          <w:rFonts w:hint="eastAsia"/>
        </w:rPr>
        <w:t>谈判</w:t>
      </w:r>
      <w:r>
        <w:t>小组应当当场修改评审结果，并在评审报告中记载；评审报告签署后，采购人或者采购代理机构发现存在以</w:t>
      </w:r>
      <w:r>
        <w:rPr>
          <w:rFonts w:hint="eastAsia"/>
        </w:rPr>
        <w:t>下</w:t>
      </w:r>
      <w:r>
        <w:t>情形之一的，应当组织原</w:t>
      </w:r>
      <w:r>
        <w:rPr>
          <w:rFonts w:hint="eastAsia"/>
        </w:rPr>
        <w:t>谈判</w:t>
      </w:r>
      <w:r>
        <w:t>小组进行重新评审。</w:t>
      </w:r>
    </w:p>
    <w:p w14:paraId="62ABA204">
      <w:pPr>
        <w:spacing w:before="120" w:line="320" w:lineRule="atLeast"/>
        <w:ind w:firstLine="420" w:firstLineChars="200"/>
        <w:rPr>
          <w:rFonts w:hint="eastAsia"/>
          <w:szCs w:val="21"/>
        </w:rPr>
      </w:pPr>
      <w:r>
        <w:rPr>
          <w:rFonts w:hint="eastAsia"/>
        </w:rPr>
        <w:t>资格性检查认定错误、价格计算错误。</w:t>
      </w:r>
    </w:p>
    <w:p w14:paraId="10AE2CBD">
      <w:pPr>
        <w:spacing w:before="120" w:line="320" w:lineRule="atLeast"/>
        <w:ind w:firstLine="422" w:firstLineChars="200"/>
        <w:outlineLvl w:val="2"/>
        <w:rPr>
          <w:b/>
          <w:bCs/>
          <w:kern w:val="0"/>
          <w:szCs w:val="21"/>
        </w:rPr>
      </w:pPr>
      <w:r>
        <w:rPr>
          <w:b/>
          <w:bCs/>
          <w:kern w:val="0"/>
          <w:szCs w:val="21"/>
        </w:rPr>
        <w:t>6.4确定成交供应商</w:t>
      </w:r>
    </w:p>
    <w:p w14:paraId="22D7DBDF">
      <w:pPr>
        <w:spacing w:before="120" w:line="276" w:lineRule="auto"/>
        <w:ind w:firstLine="420" w:firstLineChars="200"/>
        <w:rPr>
          <w:szCs w:val="21"/>
        </w:rPr>
      </w:pPr>
      <w:r>
        <w:rPr>
          <w:rFonts w:hint="eastAsia"/>
          <w:szCs w:val="21"/>
        </w:rPr>
        <w:t>6.</w:t>
      </w:r>
      <w:r>
        <w:rPr>
          <w:szCs w:val="21"/>
        </w:rPr>
        <w:t>4.1采购代理机构将在评审结束后2个工作日内将评审报告送采购人，采购人在5个工作日内按照评审报告中推荐的</w:t>
      </w:r>
      <w:r>
        <w:rPr>
          <w:rFonts w:hint="eastAsia"/>
          <w:szCs w:val="21"/>
        </w:rPr>
        <w:t>成交</w:t>
      </w:r>
      <w:r>
        <w:rPr>
          <w:szCs w:val="21"/>
        </w:rPr>
        <w:t>候选供应商顺序确定成交供应商。</w:t>
      </w:r>
    </w:p>
    <w:p w14:paraId="0471A8DB">
      <w:pPr>
        <w:spacing w:before="120" w:line="276" w:lineRule="auto"/>
        <w:ind w:firstLine="420" w:firstLineChars="200"/>
        <w:rPr>
          <w:szCs w:val="21"/>
        </w:rPr>
      </w:pPr>
      <w:r>
        <w:rPr>
          <w:szCs w:val="21"/>
        </w:rPr>
        <w:t>6.4.2</w:t>
      </w:r>
      <w:r>
        <w:rPr>
          <w:rFonts w:hint="eastAsia"/>
          <w:szCs w:val="21"/>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032AEFA">
      <w:pPr>
        <w:spacing w:before="120" w:line="320" w:lineRule="atLeast"/>
        <w:ind w:firstLine="422" w:firstLineChars="200"/>
        <w:outlineLvl w:val="2"/>
        <w:rPr>
          <w:b/>
          <w:bCs/>
          <w:kern w:val="0"/>
          <w:szCs w:val="21"/>
        </w:rPr>
      </w:pPr>
      <w:r>
        <w:rPr>
          <w:b/>
          <w:bCs/>
          <w:kern w:val="0"/>
          <w:szCs w:val="21"/>
        </w:rPr>
        <w:t>6.5</w:t>
      </w:r>
      <w:r>
        <w:rPr>
          <w:rFonts w:hint="eastAsia"/>
          <w:b/>
          <w:bCs/>
          <w:kern w:val="0"/>
          <w:szCs w:val="21"/>
        </w:rPr>
        <w:t>结果公告</w:t>
      </w:r>
    </w:p>
    <w:p w14:paraId="73402AD9">
      <w:pPr>
        <w:spacing w:before="120" w:line="320" w:lineRule="atLeast"/>
        <w:ind w:firstLine="420" w:firstLineChars="200"/>
        <w:rPr>
          <w:szCs w:val="21"/>
        </w:rPr>
      </w:pPr>
      <w:r>
        <w:rPr>
          <w:rFonts w:hint="eastAsia"/>
          <w:szCs w:val="21"/>
        </w:rPr>
        <w:t>6</w:t>
      </w:r>
      <w:r>
        <w:rPr>
          <w:szCs w:val="21"/>
        </w:rPr>
        <w:t>.5.1自成交供应商确定后2个工作日内，采购代理机构</w:t>
      </w:r>
      <w:r>
        <w:rPr>
          <w:rFonts w:hint="eastAsia"/>
          <w:szCs w:val="21"/>
        </w:rPr>
        <w:t>按照供应商须知</w:t>
      </w:r>
      <w:r>
        <w:rPr>
          <w:rFonts w:hint="eastAsia"/>
          <w:kern w:val="0"/>
          <w:szCs w:val="21"/>
        </w:rPr>
        <w:t>前附表的规定</w:t>
      </w:r>
      <w:r>
        <w:rPr>
          <w:kern w:val="0"/>
          <w:szCs w:val="21"/>
        </w:rPr>
        <w:t>公告</w:t>
      </w:r>
      <w:r>
        <w:rPr>
          <w:szCs w:val="21"/>
        </w:rPr>
        <w:t>成交结果</w:t>
      </w:r>
      <w:r>
        <w:rPr>
          <w:rFonts w:hint="eastAsia"/>
          <w:szCs w:val="21"/>
          <w:lang w:eastAsia="zh-CN"/>
        </w:rPr>
        <w:t>，成交</w:t>
      </w:r>
      <w:r>
        <w:rPr>
          <w:rFonts w:hint="eastAsia"/>
          <w:szCs w:val="21"/>
        </w:rPr>
        <w:t>结果公告期限为1个工作日</w:t>
      </w:r>
      <w:r>
        <w:rPr>
          <w:rFonts w:hint="eastAsia"/>
          <w:szCs w:val="21"/>
          <w:lang w:eastAsia="zh-CN"/>
        </w:rPr>
        <w:t>，</w:t>
      </w:r>
      <w:r>
        <w:rPr>
          <w:rFonts w:hint="eastAsia"/>
          <w:szCs w:val="21"/>
        </w:rPr>
        <w:t>发布</w:t>
      </w:r>
      <w:r>
        <w:rPr>
          <w:rFonts w:hint="eastAsia"/>
          <w:szCs w:val="21"/>
          <w:lang w:eastAsia="zh-CN"/>
        </w:rPr>
        <w:t>成交</w:t>
      </w:r>
      <w:r>
        <w:rPr>
          <w:rFonts w:hint="eastAsia"/>
          <w:szCs w:val="21"/>
        </w:rPr>
        <w:t>结果公告的同时向</w:t>
      </w:r>
      <w:r>
        <w:rPr>
          <w:rFonts w:hint="eastAsia"/>
          <w:szCs w:val="21"/>
          <w:lang w:eastAsia="zh-CN"/>
        </w:rPr>
        <w:t>成交</w:t>
      </w:r>
      <w:r>
        <w:rPr>
          <w:rFonts w:hint="eastAsia"/>
          <w:szCs w:val="21"/>
        </w:rPr>
        <w:t>供应商发出</w:t>
      </w:r>
      <w:r>
        <w:rPr>
          <w:rFonts w:hint="eastAsia"/>
          <w:szCs w:val="21"/>
          <w:lang w:eastAsia="zh-CN"/>
        </w:rPr>
        <w:t>成交</w:t>
      </w:r>
      <w:r>
        <w:rPr>
          <w:rFonts w:hint="eastAsia"/>
          <w:szCs w:val="21"/>
        </w:rPr>
        <w:t>通知书。采购代理机构发出</w:t>
      </w:r>
      <w:r>
        <w:rPr>
          <w:rFonts w:hint="eastAsia"/>
          <w:szCs w:val="21"/>
          <w:lang w:eastAsia="zh-CN"/>
        </w:rPr>
        <w:t>成交</w:t>
      </w:r>
      <w:r>
        <w:rPr>
          <w:rFonts w:hint="eastAsia"/>
          <w:szCs w:val="21"/>
        </w:rPr>
        <w:t>通知书前，应当对</w:t>
      </w:r>
      <w:r>
        <w:rPr>
          <w:rFonts w:hint="eastAsia"/>
          <w:szCs w:val="21"/>
          <w:lang w:eastAsia="zh-CN"/>
        </w:rPr>
        <w:t>成交</w:t>
      </w:r>
      <w:r>
        <w:rPr>
          <w:rFonts w:hint="eastAsia"/>
          <w:szCs w:val="21"/>
          <w:lang w:val="en-US" w:eastAsia="zh-CN"/>
        </w:rPr>
        <w:t>供应商</w:t>
      </w:r>
      <w:r>
        <w:rPr>
          <w:rFonts w:hint="eastAsia"/>
          <w:szCs w:val="21"/>
        </w:rPr>
        <w:t>信用进行核实，对列入失信被执行人、重大税收违法案件当事人名单、政府采购严重违法失信行为记录名单及其他不符合《中华人民共和国政府采购法》第二十二条规定条件的</w:t>
      </w:r>
      <w:r>
        <w:rPr>
          <w:rFonts w:hint="eastAsia"/>
          <w:szCs w:val="21"/>
          <w:lang w:eastAsia="zh-CN"/>
        </w:rPr>
        <w:t>供应商</w:t>
      </w:r>
      <w:r>
        <w:rPr>
          <w:rFonts w:hint="eastAsia"/>
          <w:szCs w:val="21"/>
        </w:rPr>
        <w:t>，取消其</w:t>
      </w:r>
      <w:r>
        <w:rPr>
          <w:rFonts w:hint="eastAsia"/>
          <w:szCs w:val="21"/>
          <w:lang w:eastAsia="zh-CN"/>
        </w:rPr>
        <w:t>成交</w:t>
      </w:r>
      <w:r>
        <w:rPr>
          <w:rFonts w:hint="eastAsia"/>
          <w:szCs w:val="21"/>
        </w:rPr>
        <w:t>资格，并确定排名第二的</w:t>
      </w:r>
      <w:r>
        <w:rPr>
          <w:rFonts w:hint="eastAsia"/>
          <w:szCs w:val="21"/>
          <w:lang w:eastAsia="zh-CN"/>
        </w:rPr>
        <w:t>成交</w:t>
      </w:r>
      <w:r>
        <w:rPr>
          <w:rFonts w:hint="eastAsia"/>
          <w:szCs w:val="21"/>
        </w:rPr>
        <w:t>候选人为</w:t>
      </w:r>
      <w:r>
        <w:rPr>
          <w:rFonts w:hint="eastAsia"/>
          <w:szCs w:val="21"/>
          <w:lang w:eastAsia="zh-CN"/>
        </w:rPr>
        <w:t>成交</w:t>
      </w:r>
      <w:r>
        <w:rPr>
          <w:rFonts w:hint="eastAsia"/>
          <w:szCs w:val="21"/>
          <w:lang w:val="en-US" w:eastAsia="zh-CN"/>
        </w:rPr>
        <w:t>供应商</w:t>
      </w:r>
      <w:r>
        <w:rPr>
          <w:rFonts w:hint="eastAsia"/>
          <w:szCs w:val="21"/>
        </w:rPr>
        <w:t>。排名第二的</w:t>
      </w:r>
      <w:r>
        <w:rPr>
          <w:rFonts w:hint="eastAsia"/>
          <w:szCs w:val="21"/>
          <w:lang w:eastAsia="zh-CN"/>
        </w:rPr>
        <w:t>成交</w:t>
      </w:r>
      <w:r>
        <w:rPr>
          <w:rFonts w:hint="eastAsia"/>
          <w:szCs w:val="21"/>
        </w:rPr>
        <w:t>候选人因前款规定的同样原因被取消</w:t>
      </w:r>
      <w:r>
        <w:rPr>
          <w:rFonts w:hint="eastAsia"/>
          <w:szCs w:val="21"/>
          <w:lang w:eastAsia="zh-CN"/>
        </w:rPr>
        <w:t>成交</w:t>
      </w:r>
      <w:r>
        <w:rPr>
          <w:rFonts w:hint="eastAsia"/>
          <w:szCs w:val="21"/>
        </w:rPr>
        <w:t>资格的，授权的</w:t>
      </w:r>
      <w:r>
        <w:rPr>
          <w:rFonts w:hint="eastAsia"/>
          <w:szCs w:val="21"/>
          <w:lang w:eastAsia="zh-CN"/>
        </w:rPr>
        <w:t>谈判小组</w:t>
      </w:r>
      <w:r>
        <w:rPr>
          <w:rFonts w:hint="eastAsia"/>
          <w:szCs w:val="21"/>
        </w:rPr>
        <w:t>可以确定排名第三的</w:t>
      </w:r>
      <w:r>
        <w:rPr>
          <w:rFonts w:hint="eastAsia"/>
          <w:szCs w:val="21"/>
          <w:lang w:eastAsia="zh-CN"/>
        </w:rPr>
        <w:t>成交</w:t>
      </w:r>
      <w:r>
        <w:rPr>
          <w:rFonts w:hint="eastAsia"/>
          <w:szCs w:val="21"/>
        </w:rPr>
        <w:t>候选人为</w:t>
      </w:r>
      <w:r>
        <w:rPr>
          <w:rFonts w:hint="eastAsia"/>
          <w:szCs w:val="21"/>
          <w:lang w:eastAsia="zh-CN"/>
        </w:rPr>
        <w:t>成交</w:t>
      </w:r>
      <w:r>
        <w:rPr>
          <w:rFonts w:hint="eastAsia"/>
          <w:szCs w:val="21"/>
          <w:lang w:val="en-US" w:eastAsia="zh-CN"/>
        </w:rPr>
        <w:t>供应商</w:t>
      </w:r>
      <w:r>
        <w:rPr>
          <w:rFonts w:hint="eastAsia"/>
          <w:szCs w:val="21"/>
        </w:rPr>
        <w:t>，以此类推。以上信息查询记录及相关证据与采购文件一并保存。</w:t>
      </w:r>
    </w:p>
    <w:p w14:paraId="0DB3767D">
      <w:pPr>
        <w:spacing w:before="120" w:line="320" w:lineRule="atLeast"/>
        <w:ind w:firstLine="420" w:firstLineChars="200"/>
        <w:rPr>
          <w:szCs w:val="21"/>
        </w:rPr>
      </w:pPr>
      <w:r>
        <w:rPr>
          <w:rFonts w:hint="eastAsia"/>
          <w:szCs w:val="21"/>
        </w:rPr>
        <w:t>6</w:t>
      </w:r>
      <w:r>
        <w:rPr>
          <w:szCs w:val="21"/>
        </w:rPr>
        <w:t>.5.2在发布</w:t>
      </w:r>
      <w:r>
        <w:rPr>
          <w:rFonts w:hint="eastAsia"/>
          <w:szCs w:val="21"/>
        </w:rPr>
        <w:t>结果</w:t>
      </w:r>
      <w:r>
        <w:rPr>
          <w:szCs w:val="21"/>
        </w:rPr>
        <w:t>公告的同时，采购代理机构以供应商须知前附表规定的形式向成交供应商发出成交通知书。成交通知书发出后，采购人改变成交结果，或者成交供应商放弃成交，应当承担相应的法律责任。</w:t>
      </w:r>
    </w:p>
    <w:p w14:paraId="035C609B">
      <w:pPr>
        <w:suppressAutoHyphens/>
        <w:spacing w:before="120" w:line="320" w:lineRule="atLeast"/>
        <w:ind w:firstLine="422" w:firstLineChars="200"/>
        <w:outlineLvl w:val="2"/>
        <w:rPr>
          <w:b/>
          <w:bCs/>
          <w:kern w:val="0"/>
          <w:szCs w:val="21"/>
        </w:rPr>
      </w:pPr>
      <w:r>
        <w:rPr>
          <w:b/>
          <w:bCs/>
          <w:kern w:val="0"/>
          <w:szCs w:val="21"/>
        </w:rPr>
        <w:t>6.6</w:t>
      </w:r>
      <w:r>
        <w:rPr>
          <w:rFonts w:hint="eastAsia"/>
          <w:b/>
          <w:bCs/>
          <w:kern w:val="0"/>
          <w:szCs w:val="21"/>
        </w:rPr>
        <w:t>废标</w:t>
      </w:r>
    </w:p>
    <w:p w14:paraId="4E74E88F">
      <w:pPr>
        <w:spacing w:before="120" w:line="320" w:lineRule="atLeast"/>
        <w:ind w:firstLine="420" w:firstLineChars="200"/>
        <w:rPr>
          <w:kern w:val="1"/>
          <w:szCs w:val="21"/>
        </w:rPr>
      </w:pPr>
      <w:r>
        <w:rPr>
          <w:kern w:val="1"/>
          <w:szCs w:val="21"/>
        </w:rPr>
        <w:t>6.6.1</w:t>
      </w:r>
      <w:r>
        <w:rPr>
          <w:rFonts w:hint="eastAsia"/>
          <w:kern w:val="1"/>
          <w:szCs w:val="21"/>
        </w:rPr>
        <w:t xml:space="preserve">出现下列情形之一，将导致项目废标： </w:t>
      </w:r>
    </w:p>
    <w:p w14:paraId="68E8433B">
      <w:pPr>
        <w:spacing w:before="120" w:line="320" w:lineRule="atLeast"/>
        <w:ind w:firstLine="420" w:firstLineChars="200"/>
        <w:rPr>
          <w:szCs w:val="21"/>
        </w:rPr>
      </w:pPr>
      <w:r>
        <w:rPr>
          <w:rFonts w:hint="eastAsia"/>
          <w:kern w:val="1"/>
          <w:szCs w:val="21"/>
        </w:rPr>
        <w:t>（1</w:t>
      </w:r>
      <w:r>
        <w:rPr>
          <w:rFonts w:hint="eastAsia"/>
          <w:szCs w:val="21"/>
        </w:rPr>
        <w:t>）符合专业条件的供应商或者对采购文件做实质性响应的供应商不足三家；</w:t>
      </w:r>
    </w:p>
    <w:p w14:paraId="3B032C82">
      <w:pPr>
        <w:spacing w:before="120" w:line="320" w:lineRule="atLeast"/>
        <w:ind w:firstLine="420" w:firstLineChars="200"/>
        <w:rPr>
          <w:szCs w:val="21"/>
        </w:rPr>
      </w:pPr>
      <w:r>
        <w:rPr>
          <w:rFonts w:hint="eastAsia"/>
          <w:szCs w:val="21"/>
        </w:rPr>
        <w:t>（2）出现影响采购公正的违法、违规行为的；</w:t>
      </w:r>
    </w:p>
    <w:p w14:paraId="493CC4EC">
      <w:pPr>
        <w:spacing w:before="120" w:line="320" w:lineRule="atLeast"/>
        <w:ind w:firstLine="420" w:firstLineChars="200"/>
        <w:rPr>
          <w:szCs w:val="21"/>
        </w:rPr>
      </w:pPr>
      <w:r>
        <w:rPr>
          <w:rFonts w:hint="eastAsia"/>
          <w:szCs w:val="21"/>
        </w:rPr>
        <w:t>（3）供应商的报价均超过了采购预算，采购人不能支付的；</w:t>
      </w:r>
    </w:p>
    <w:p w14:paraId="6C96E8BB">
      <w:pPr>
        <w:spacing w:before="120" w:line="320" w:lineRule="atLeast"/>
        <w:ind w:firstLine="420" w:firstLineChars="200"/>
      </w:pPr>
      <w:r>
        <w:rPr>
          <w:rFonts w:hint="eastAsia"/>
          <w:szCs w:val="21"/>
        </w:rPr>
        <w:t>（4）</w:t>
      </w:r>
      <w:r>
        <w:rPr>
          <w:rFonts w:hint="eastAsia"/>
        </w:rPr>
        <w:t>因发生重大变故或采购任务取消的。</w:t>
      </w:r>
    </w:p>
    <w:p w14:paraId="2A7073C9">
      <w:pPr>
        <w:spacing w:before="120" w:line="320" w:lineRule="atLeast"/>
        <w:ind w:firstLine="420" w:firstLineChars="200"/>
        <w:rPr>
          <w:szCs w:val="21"/>
        </w:rPr>
      </w:pPr>
      <w:r>
        <w:rPr>
          <w:kern w:val="1"/>
          <w:szCs w:val="21"/>
        </w:rPr>
        <w:t>6.6.2</w:t>
      </w:r>
      <w:r>
        <w:rPr>
          <w:rFonts w:hint="eastAsia"/>
          <w:kern w:val="1"/>
          <w:szCs w:val="21"/>
        </w:rPr>
        <w:t>废标后</w:t>
      </w:r>
      <w:r>
        <w:rPr>
          <w:rFonts w:hint="eastAsia"/>
          <w:szCs w:val="21"/>
        </w:rPr>
        <w:t>采购</w:t>
      </w:r>
      <w:r>
        <w:rPr>
          <w:rFonts w:hint="eastAsia"/>
          <w:kern w:val="1"/>
          <w:szCs w:val="21"/>
        </w:rPr>
        <w:t>代理机构将发布废标公告通知供应商。</w:t>
      </w:r>
    </w:p>
    <w:p w14:paraId="5A2FDF8A">
      <w:pPr>
        <w:spacing w:before="120" w:line="320" w:lineRule="atLeast"/>
        <w:ind w:left="2" w:leftChars="1" w:firstLine="422" w:firstLineChars="200"/>
        <w:outlineLvl w:val="1"/>
        <w:rPr>
          <w:b/>
          <w:bCs/>
          <w:kern w:val="0"/>
          <w:szCs w:val="21"/>
        </w:rPr>
      </w:pPr>
      <w:r>
        <w:rPr>
          <w:b/>
          <w:bCs/>
          <w:kern w:val="0"/>
          <w:szCs w:val="21"/>
        </w:rPr>
        <w:t>7．合同</w:t>
      </w:r>
    </w:p>
    <w:p w14:paraId="7B45997F">
      <w:pPr>
        <w:spacing w:before="120" w:line="320" w:lineRule="atLeast"/>
        <w:ind w:firstLine="422" w:firstLineChars="200"/>
        <w:outlineLvl w:val="2"/>
        <w:rPr>
          <w:b/>
          <w:bCs/>
          <w:kern w:val="0"/>
          <w:szCs w:val="21"/>
        </w:rPr>
      </w:pPr>
      <w:r>
        <w:rPr>
          <w:b/>
          <w:bCs/>
          <w:kern w:val="0"/>
          <w:szCs w:val="21"/>
        </w:rPr>
        <w:t>7.1合同授予标准</w:t>
      </w:r>
    </w:p>
    <w:p w14:paraId="1DFA54F6">
      <w:pPr>
        <w:spacing w:before="120" w:line="320" w:lineRule="atLeast"/>
        <w:ind w:firstLine="420" w:firstLineChars="200"/>
        <w:rPr>
          <w:szCs w:val="21"/>
        </w:rPr>
      </w:pPr>
      <w:r>
        <w:rPr>
          <w:szCs w:val="21"/>
        </w:rPr>
        <w:t>合同将授予被确定实质上响应采购文件要求，具备履行合同能力，排名第一的供应商。在</w:t>
      </w:r>
      <w:r>
        <w:rPr>
          <w:rFonts w:hint="eastAsia"/>
          <w:szCs w:val="21"/>
        </w:rPr>
        <w:t>成交通知书</w:t>
      </w:r>
      <w:r>
        <w:rPr>
          <w:szCs w:val="21"/>
        </w:rPr>
        <w:t>发出前或签订合同前，如果</w:t>
      </w:r>
      <w:r>
        <w:rPr>
          <w:rFonts w:hint="eastAsia"/>
          <w:szCs w:val="21"/>
        </w:rPr>
        <w:t>成交供应商</w:t>
      </w:r>
      <w:r>
        <w:rPr>
          <w:szCs w:val="21"/>
        </w:rPr>
        <w:t>的组织机构</w:t>
      </w:r>
      <w:r>
        <w:rPr>
          <w:rFonts w:hint="eastAsia"/>
          <w:szCs w:val="21"/>
        </w:rPr>
        <w:t>、</w:t>
      </w:r>
      <w:r>
        <w:rPr>
          <w:szCs w:val="21"/>
        </w:rPr>
        <w:t>经营、财务状况发生较大变化，可能造成不能履行合同、无法按照</w:t>
      </w:r>
      <w:r>
        <w:rPr>
          <w:rFonts w:hint="eastAsia"/>
          <w:szCs w:val="21"/>
        </w:rPr>
        <w:t>采购文件</w:t>
      </w:r>
      <w:r>
        <w:rPr>
          <w:szCs w:val="21"/>
        </w:rPr>
        <w:t>要求提交履约保证金等情形，不符合成交条件或不满足供应商资格条件要求 ，应在</w:t>
      </w:r>
      <w:r>
        <w:rPr>
          <w:rFonts w:hint="eastAsia"/>
          <w:szCs w:val="21"/>
        </w:rPr>
        <w:t>成交通知书</w:t>
      </w:r>
      <w:r>
        <w:rPr>
          <w:szCs w:val="21"/>
        </w:rPr>
        <w:t>发出前或签订合同前及时书面告知采购人</w:t>
      </w:r>
      <w:r>
        <w:rPr>
          <w:rFonts w:hint="eastAsia"/>
          <w:szCs w:val="21"/>
        </w:rPr>
        <w:t>，</w:t>
      </w:r>
      <w:r>
        <w:rPr>
          <w:szCs w:val="21"/>
        </w:rPr>
        <w:t>未主动告知</w:t>
      </w:r>
      <w:r>
        <w:rPr>
          <w:rFonts w:hint="eastAsia"/>
          <w:szCs w:val="21"/>
        </w:rPr>
        <w:t>，</w:t>
      </w:r>
      <w:r>
        <w:rPr>
          <w:szCs w:val="21"/>
        </w:rPr>
        <w:t>给采购人造成损失的</w:t>
      </w:r>
      <w:r>
        <w:rPr>
          <w:rFonts w:hint="eastAsia"/>
          <w:szCs w:val="21"/>
        </w:rPr>
        <w:t>，</w:t>
      </w:r>
      <w:r>
        <w:rPr>
          <w:szCs w:val="21"/>
        </w:rPr>
        <w:t>采购人有权</w:t>
      </w:r>
      <w:r>
        <w:rPr>
          <w:rFonts w:hint="eastAsia"/>
          <w:szCs w:val="21"/>
        </w:rPr>
        <w:t>取消其成交资格并</w:t>
      </w:r>
      <w:r>
        <w:rPr>
          <w:szCs w:val="21"/>
        </w:rPr>
        <w:t>没收谈判保证金</w:t>
      </w:r>
      <w:r>
        <w:rPr>
          <w:rFonts w:hint="eastAsia"/>
          <w:szCs w:val="21"/>
        </w:rPr>
        <w:t>。</w:t>
      </w:r>
    </w:p>
    <w:p w14:paraId="4E24BC72">
      <w:pPr>
        <w:spacing w:before="120" w:line="320" w:lineRule="atLeast"/>
        <w:ind w:firstLine="422" w:firstLineChars="200"/>
        <w:outlineLvl w:val="2"/>
        <w:rPr>
          <w:b/>
          <w:bCs/>
          <w:kern w:val="0"/>
          <w:szCs w:val="21"/>
        </w:rPr>
      </w:pPr>
      <w:r>
        <w:rPr>
          <w:b/>
          <w:bCs/>
          <w:kern w:val="0"/>
          <w:szCs w:val="21"/>
        </w:rPr>
        <w:t>7.2签订合同</w:t>
      </w:r>
    </w:p>
    <w:p w14:paraId="7F84482B">
      <w:pPr>
        <w:spacing w:before="120" w:line="320" w:lineRule="atLeast"/>
        <w:ind w:firstLine="420" w:firstLineChars="200"/>
        <w:rPr>
          <w:szCs w:val="21"/>
        </w:rPr>
      </w:pPr>
      <w:r>
        <w:rPr>
          <w:szCs w:val="21"/>
        </w:rPr>
        <w:t>7.2.1如</w:t>
      </w:r>
      <w:r>
        <w:rPr>
          <w:rFonts w:hint="eastAsia"/>
          <w:szCs w:val="21"/>
        </w:rPr>
        <w:t>采购文件</w:t>
      </w:r>
      <w:r>
        <w:rPr>
          <w:szCs w:val="21"/>
        </w:rPr>
        <w:t>无</w:t>
      </w:r>
      <w:r>
        <w:rPr>
          <w:rFonts w:hint="eastAsia"/>
          <w:szCs w:val="21"/>
        </w:rPr>
        <w:t>特别</w:t>
      </w:r>
      <w:r>
        <w:rPr>
          <w:szCs w:val="21"/>
        </w:rPr>
        <w:t>规定，</w:t>
      </w:r>
      <w:r>
        <w:rPr>
          <w:rFonts w:hint="eastAsia"/>
          <w:szCs w:val="21"/>
        </w:rPr>
        <w:t>成交供应商按采购文件确定的事项签订政府采购合同。</w:t>
      </w:r>
    </w:p>
    <w:p w14:paraId="08682178">
      <w:pPr>
        <w:spacing w:before="120" w:line="320" w:lineRule="atLeast"/>
        <w:ind w:firstLine="420" w:firstLineChars="200"/>
        <w:rPr>
          <w:szCs w:val="21"/>
        </w:rPr>
      </w:pPr>
      <w:r>
        <w:rPr>
          <w:szCs w:val="21"/>
        </w:rPr>
        <w:t>7.2.2</w:t>
      </w:r>
      <w:r>
        <w:rPr>
          <w:rFonts w:hint="eastAsia"/>
          <w:szCs w:val="21"/>
        </w:rPr>
        <w:t>政府采购合同应当包括采购人与成交供应商的名称和住所、标的、数量、质量、价款或者报酬、履行期限及地点和方式、验收要求、违约责任、解决争议的方法等内容。</w:t>
      </w:r>
      <w:r>
        <w:rPr>
          <w:szCs w:val="21"/>
        </w:rPr>
        <w:t>采购文件、成交供应商的响应文件及澄清文件等，均为签订政府采购合同的依据。</w:t>
      </w:r>
    </w:p>
    <w:p w14:paraId="73EE2CC9">
      <w:pPr>
        <w:spacing w:before="120" w:line="320" w:lineRule="atLeast"/>
        <w:ind w:firstLine="420" w:firstLineChars="200"/>
        <w:rPr>
          <w:szCs w:val="21"/>
        </w:rPr>
      </w:pPr>
      <w:r>
        <w:rPr>
          <w:szCs w:val="21"/>
        </w:rPr>
        <w:t>7.2.3如成交供应商不按成交通知书的规定签订合同，</w:t>
      </w:r>
      <w:r>
        <w:rPr>
          <w:rFonts w:hint="eastAsia"/>
          <w:szCs w:val="21"/>
        </w:rPr>
        <w:t>其谈判保证金将不予退还，并报由同级政府采购监督管理部门处理。</w:t>
      </w:r>
    </w:p>
    <w:p w14:paraId="6512D42D">
      <w:pPr>
        <w:spacing w:before="120" w:line="320" w:lineRule="atLeast"/>
        <w:ind w:firstLine="420" w:firstLineChars="200"/>
        <w:rPr>
          <w:szCs w:val="21"/>
        </w:rPr>
      </w:pPr>
      <w:r>
        <w:rPr>
          <w:rFonts w:hint="eastAsia"/>
          <w:szCs w:val="21"/>
        </w:rPr>
        <w:t>7</w:t>
      </w:r>
      <w:r>
        <w:rPr>
          <w:szCs w:val="21"/>
        </w:rPr>
        <w:t>.2.4</w:t>
      </w:r>
      <w:r>
        <w:rPr>
          <w:rFonts w:hint="eastAsia"/>
          <w:szCs w:val="21"/>
        </w:rPr>
        <w:t>成交供应商拒绝与采购人签订合同的，采购人可以按照评审报告推荐的成交候选人名单排序，确定下一候选人为成交供应商，也可以重新开展政府采购活动。</w:t>
      </w:r>
    </w:p>
    <w:p w14:paraId="586CA60E">
      <w:pPr>
        <w:spacing w:before="120" w:line="320" w:lineRule="atLeast"/>
        <w:ind w:firstLine="420" w:firstLineChars="200"/>
        <w:rPr>
          <w:rFonts w:hint="eastAsia"/>
          <w:szCs w:val="21"/>
        </w:rPr>
      </w:pPr>
      <w:bookmarkStart w:id="69" w:name="_Hlk155170999"/>
      <w:r>
        <w:rPr>
          <w:rFonts w:hint="eastAsia"/>
          <w:szCs w:val="21"/>
        </w:rPr>
        <w:t>7</w:t>
      </w:r>
      <w:r>
        <w:rPr>
          <w:szCs w:val="21"/>
        </w:rPr>
        <w:t>.2.5</w:t>
      </w:r>
      <w:r>
        <w:rPr>
          <w:rFonts w:hint="eastAsia"/>
          <w:szCs w:val="21"/>
        </w:rPr>
        <w:t>采购人因不可抗力原因迟延签订合同的，应当自不可抗力事由消除之日起5个工作日内完成合同签订事宜。</w:t>
      </w:r>
      <w:bookmarkEnd w:id="69"/>
    </w:p>
    <w:p w14:paraId="7F6785D0">
      <w:pPr>
        <w:spacing w:before="120" w:line="320" w:lineRule="atLeast"/>
        <w:ind w:firstLine="422" w:firstLineChars="200"/>
        <w:outlineLvl w:val="2"/>
        <w:rPr>
          <w:b/>
          <w:bCs/>
          <w:kern w:val="0"/>
          <w:szCs w:val="21"/>
        </w:rPr>
      </w:pPr>
      <w:r>
        <w:rPr>
          <w:b/>
          <w:bCs/>
          <w:kern w:val="0"/>
          <w:szCs w:val="21"/>
        </w:rPr>
        <w:t>7.3合同公告</w:t>
      </w:r>
    </w:p>
    <w:p w14:paraId="62525ABD">
      <w:pPr>
        <w:spacing w:before="120" w:line="320" w:lineRule="atLeast"/>
        <w:ind w:firstLine="420" w:firstLineChars="200"/>
        <w:rPr>
          <w:szCs w:val="21"/>
        </w:rPr>
      </w:pPr>
      <w:r>
        <w:rPr>
          <w:szCs w:val="21"/>
        </w:rPr>
        <w:t>7.3.1如</w:t>
      </w:r>
      <w:r>
        <w:rPr>
          <w:rFonts w:hint="eastAsia"/>
          <w:szCs w:val="21"/>
        </w:rPr>
        <w:t>采购文件</w:t>
      </w:r>
      <w:r>
        <w:rPr>
          <w:szCs w:val="21"/>
        </w:rPr>
        <w:t>无特殊规定</w:t>
      </w:r>
      <w:r>
        <w:rPr>
          <w:rFonts w:hint="eastAsia"/>
          <w:szCs w:val="21"/>
        </w:rPr>
        <w:t>，</w:t>
      </w:r>
      <w:r>
        <w:rPr>
          <w:szCs w:val="21"/>
        </w:rPr>
        <w:t>成交供应商应在签订合同后1个工作日内，将政府采购合同副本送采购代理机构</w:t>
      </w:r>
      <w:r>
        <w:rPr>
          <w:rFonts w:hint="eastAsia"/>
          <w:szCs w:val="21"/>
        </w:rPr>
        <w:t>存档</w:t>
      </w:r>
      <w:r>
        <w:rPr>
          <w:szCs w:val="21"/>
        </w:rPr>
        <w:t>。</w:t>
      </w:r>
    </w:p>
    <w:p w14:paraId="716ACA64">
      <w:pPr>
        <w:spacing w:before="120" w:line="320" w:lineRule="atLeast"/>
        <w:ind w:firstLine="420" w:firstLineChars="200"/>
        <w:rPr>
          <w:szCs w:val="21"/>
        </w:rPr>
      </w:pPr>
      <w:r>
        <w:rPr>
          <w:szCs w:val="21"/>
        </w:rPr>
        <w:t>7.3.2采购人应当自政府采购合同签订之日起2个工作日内，将政府采购合同在省级以上人民政府财政部门指定的媒体上公告，但政府采购合同中涉及国家秘密、商业秘密的内容除外。</w:t>
      </w:r>
    </w:p>
    <w:p w14:paraId="76B18B94">
      <w:pPr>
        <w:spacing w:before="120" w:line="320" w:lineRule="atLeast"/>
        <w:ind w:firstLine="420" w:firstLineChars="200"/>
        <w:rPr>
          <w:rFonts w:hint="eastAsia"/>
          <w:szCs w:val="21"/>
        </w:rPr>
      </w:pPr>
      <w:bookmarkStart w:id="70" w:name="_Hlk155171014"/>
      <w:r>
        <w:rPr>
          <w:rFonts w:hint="eastAsia"/>
          <w:szCs w:val="21"/>
        </w:rPr>
        <w:t>7</w:t>
      </w:r>
      <w:r>
        <w:rPr>
          <w:szCs w:val="21"/>
        </w:rPr>
        <w:t xml:space="preserve">.3.3 </w:t>
      </w:r>
      <w:r>
        <w:rPr>
          <w:rFonts w:hint="eastAsia"/>
          <w:szCs w:val="21"/>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70"/>
    </w:p>
    <w:p w14:paraId="526DA0AC">
      <w:pPr>
        <w:spacing w:before="120" w:line="320" w:lineRule="atLeast"/>
        <w:ind w:firstLine="422" w:firstLineChars="200"/>
        <w:outlineLvl w:val="2"/>
        <w:rPr>
          <w:b/>
          <w:bCs/>
          <w:kern w:val="0"/>
          <w:szCs w:val="21"/>
        </w:rPr>
      </w:pPr>
      <w:r>
        <w:rPr>
          <w:b/>
          <w:bCs/>
          <w:kern w:val="0"/>
          <w:szCs w:val="21"/>
        </w:rPr>
        <w:t>7.4 履行合同</w:t>
      </w:r>
    </w:p>
    <w:p w14:paraId="4856203E">
      <w:pPr>
        <w:spacing w:before="120" w:line="320" w:lineRule="atLeast"/>
        <w:ind w:firstLine="420" w:firstLineChars="200"/>
        <w:rPr>
          <w:szCs w:val="21"/>
        </w:rPr>
      </w:pPr>
      <w:bookmarkStart w:id="71" w:name="_Toc217446070"/>
      <w:bookmarkStart w:id="72" w:name="_Toc308164814"/>
      <w:r>
        <w:rPr>
          <w:szCs w:val="21"/>
        </w:rPr>
        <w:t>7.4.1</w:t>
      </w:r>
      <w:r>
        <w:rPr>
          <w:rFonts w:hint="eastAsia"/>
          <w:szCs w:val="21"/>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FB98B42">
      <w:pPr>
        <w:spacing w:before="120" w:line="320" w:lineRule="atLeast"/>
        <w:ind w:firstLine="422" w:firstLineChars="200"/>
        <w:rPr>
          <w:b/>
          <w:bCs/>
          <w:kern w:val="0"/>
          <w:szCs w:val="21"/>
        </w:rPr>
      </w:pPr>
      <w:r>
        <w:rPr>
          <w:b/>
          <w:bCs/>
          <w:kern w:val="0"/>
          <w:szCs w:val="21"/>
        </w:rPr>
        <w:t>7.5履约验收</w:t>
      </w:r>
      <w:bookmarkEnd w:id="71"/>
      <w:bookmarkEnd w:id="72"/>
    </w:p>
    <w:p w14:paraId="686E95ED">
      <w:pPr>
        <w:spacing w:before="120" w:line="320" w:lineRule="atLeast"/>
        <w:ind w:firstLine="420" w:firstLineChars="200"/>
        <w:rPr>
          <w:szCs w:val="21"/>
        </w:rPr>
      </w:pPr>
      <w:r>
        <w:rPr>
          <w:szCs w:val="21"/>
        </w:rPr>
        <w:t>7.5.1采购人可以根据政府采购项目具体情况自行组织验收，或者委托政府采购代理机构、国家认可的质量检测机构开展采购项目履约验收工作。</w:t>
      </w:r>
    </w:p>
    <w:p w14:paraId="7934EE18">
      <w:pPr>
        <w:spacing w:before="120" w:line="320" w:lineRule="atLeast"/>
        <w:ind w:firstLine="420" w:firstLineChars="200"/>
        <w:rPr>
          <w:szCs w:val="21"/>
        </w:rPr>
      </w:pPr>
      <w:r>
        <w:rPr>
          <w:szCs w:val="21"/>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3B082414">
      <w:pPr>
        <w:spacing w:before="120" w:line="320" w:lineRule="atLeast"/>
        <w:ind w:firstLine="420" w:firstLineChars="200"/>
        <w:rPr>
          <w:szCs w:val="21"/>
        </w:rPr>
      </w:pPr>
      <w:r>
        <w:rPr>
          <w:szCs w:val="21"/>
        </w:rPr>
        <w:t>7.5.3采购合同项目完成验收后，采购人应当将验收原始记录、验收书等资料作为该采购项目档案妥善保管，不得伪造、变造、隐匿或者销毁，验收资料保存期为采购结束之日起至少保存15年。</w:t>
      </w:r>
    </w:p>
    <w:p w14:paraId="028D9B25">
      <w:pPr>
        <w:spacing w:before="120" w:line="320" w:lineRule="atLeast"/>
        <w:ind w:firstLine="420" w:firstLineChars="200"/>
        <w:rPr>
          <w:szCs w:val="21"/>
        </w:rPr>
      </w:pPr>
      <w:r>
        <w:rPr>
          <w:szCs w:val="21"/>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25BED5C3">
      <w:pPr>
        <w:spacing w:before="120" w:line="320" w:lineRule="atLeast"/>
        <w:ind w:left="2" w:leftChars="1" w:firstLine="422" w:firstLineChars="200"/>
        <w:outlineLvl w:val="1"/>
        <w:rPr>
          <w:b/>
          <w:bCs/>
          <w:kern w:val="0"/>
          <w:szCs w:val="21"/>
        </w:rPr>
      </w:pPr>
      <w:bookmarkStart w:id="73" w:name="_Toc254970674"/>
      <w:bookmarkStart w:id="74" w:name="_Toc254970533"/>
      <w:r>
        <w:rPr>
          <w:b/>
          <w:bCs/>
          <w:kern w:val="0"/>
          <w:szCs w:val="21"/>
        </w:rPr>
        <w:t>8．质疑和投诉</w:t>
      </w:r>
      <w:bookmarkEnd w:id="73"/>
      <w:bookmarkEnd w:id="74"/>
    </w:p>
    <w:p w14:paraId="535F7111">
      <w:pPr>
        <w:spacing w:before="120" w:line="320" w:lineRule="atLeast"/>
        <w:ind w:firstLine="422" w:firstLineChars="200"/>
        <w:outlineLvl w:val="2"/>
        <w:rPr>
          <w:b/>
          <w:bCs/>
          <w:kern w:val="0"/>
          <w:szCs w:val="21"/>
        </w:rPr>
      </w:pPr>
      <w:r>
        <w:rPr>
          <w:b/>
          <w:bCs/>
          <w:kern w:val="0"/>
          <w:szCs w:val="21"/>
        </w:rPr>
        <w:t>8.1质疑</w:t>
      </w:r>
    </w:p>
    <w:p w14:paraId="1D411F09">
      <w:pPr>
        <w:spacing w:before="120" w:line="320" w:lineRule="atLeast"/>
        <w:ind w:firstLine="420" w:firstLineChars="200"/>
        <w:rPr>
          <w:szCs w:val="21"/>
        </w:rPr>
      </w:pPr>
      <w:r>
        <w:rPr>
          <w:szCs w:val="21"/>
        </w:rPr>
        <w:t>8.1.1质疑内容、时限</w:t>
      </w:r>
    </w:p>
    <w:p w14:paraId="068758EC">
      <w:pPr>
        <w:spacing w:before="120" w:line="320" w:lineRule="atLeast"/>
        <w:ind w:firstLine="420" w:firstLineChars="200"/>
        <w:rPr>
          <w:szCs w:val="21"/>
        </w:rPr>
      </w:pPr>
      <w:r>
        <w:rPr>
          <w:rFonts w:hint="eastAsia"/>
          <w:szCs w:val="21"/>
        </w:rPr>
        <w:t>（1）供应商对政府采购活动有疑问的，可以向采购人或采购代理机构提出询问。采购人或者采购代理机构应当在3个工作日内对供应商依法提出的询问作出答复。</w:t>
      </w:r>
    </w:p>
    <w:p w14:paraId="78FD2077">
      <w:pPr>
        <w:spacing w:before="120" w:line="320" w:lineRule="atLeast"/>
        <w:ind w:firstLine="420" w:firstLineChars="200"/>
        <w:rPr>
          <w:szCs w:val="21"/>
        </w:rPr>
      </w:pPr>
      <w:r>
        <w:rPr>
          <w:rFonts w:hint="eastAsia"/>
          <w:szCs w:val="21"/>
        </w:rPr>
        <w:t>（2）</w:t>
      </w:r>
      <w:r>
        <w:rPr>
          <w:rFonts w:hint="eastAsia"/>
          <w:szCs w:val="21"/>
          <w:lang w:eastAsia="zh-CN"/>
        </w:rPr>
        <w:t>供应商</w:t>
      </w:r>
      <w:r>
        <w:rPr>
          <w:rFonts w:hint="eastAsia"/>
          <w:szCs w:val="21"/>
        </w:rPr>
        <w:t>认为采购文件、采购过程、中标或者成交结果使自己的权益受到损害的，可以在知道或者应知其权益受到损害之日起7个工作日内向采购人或采购代理机构提出质疑。采购人或</w:t>
      </w:r>
      <w:r>
        <w:rPr>
          <w:szCs w:val="21"/>
        </w:rPr>
        <w:t>采购代理机构在收到供应商书面质疑后7个工作日内，对质疑内容作出答复。</w:t>
      </w:r>
    </w:p>
    <w:p w14:paraId="3B9DCE9E">
      <w:pPr>
        <w:spacing w:before="120" w:line="320" w:lineRule="atLeast"/>
        <w:ind w:firstLine="420" w:firstLineChars="200"/>
        <w:rPr>
          <w:szCs w:val="21"/>
        </w:rPr>
      </w:pPr>
      <w:r>
        <w:rPr>
          <w:szCs w:val="21"/>
        </w:rPr>
        <w:t>8.1.2质疑形式</w:t>
      </w:r>
    </w:p>
    <w:p w14:paraId="32ED15EC">
      <w:pPr>
        <w:spacing w:before="120" w:line="320" w:lineRule="atLeast"/>
        <w:ind w:firstLine="420" w:firstLineChars="200"/>
        <w:rPr>
          <w:szCs w:val="21"/>
        </w:rPr>
      </w:pPr>
      <w:r>
        <w:rPr>
          <w:szCs w:val="21"/>
        </w:rPr>
        <w:t>质疑应当采用</w:t>
      </w:r>
      <w:r>
        <w:rPr>
          <w:rFonts w:hint="eastAsia"/>
          <w:szCs w:val="21"/>
        </w:rPr>
        <w:t>供应商</w:t>
      </w:r>
      <w:r>
        <w:rPr>
          <w:szCs w:val="21"/>
        </w:rPr>
        <w:t>须知前附表所规定的形式，质疑书应明确阐述</w:t>
      </w:r>
      <w:r>
        <w:rPr>
          <w:rFonts w:hint="eastAsia"/>
          <w:szCs w:val="21"/>
        </w:rPr>
        <w:t>采购文件</w:t>
      </w:r>
      <w:r>
        <w:rPr>
          <w:szCs w:val="21"/>
        </w:rPr>
        <w:t>、</w:t>
      </w:r>
      <w:r>
        <w:rPr>
          <w:rFonts w:hint="eastAsia"/>
          <w:szCs w:val="21"/>
        </w:rPr>
        <w:t>采购</w:t>
      </w:r>
      <w:r>
        <w:rPr>
          <w:szCs w:val="21"/>
        </w:rPr>
        <w:t>过程或成交结果中使自己合法权益受到损害的实质性内容，提供相关事实、依据和证据及其来源或线索，便于有关单位调查、答复和处理。</w:t>
      </w:r>
    </w:p>
    <w:p w14:paraId="49596C67">
      <w:pPr>
        <w:spacing w:before="120" w:line="320" w:lineRule="atLeast"/>
        <w:ind w:firstLine="420" w:firstLineChars="200"/>
        <w:rPr>
          <w:szCs w:val="21"/>
        </w:rPr>
      </w:pPr>
      <w:r>
        <w:rPr>
          <w:rFonts w:hint="eastAsia"/>
          <w:szCs w:val="21"/>
        </w:rPr>
        <w:t>8</w:t>
      </w:r>
      <w:r>
        <w:rPr>
          <w:szCs w:val="21"/>
        </w:rPr>
        <w:t>.1.3</w:t>
      </w:r>
      <w:r>
        <w:rPr>
          <w:rFonts w:hint="eastAsia"/>
        </w:rPr>
        <w:t xml:space="preserve"> </w:t>
      </w:r>
      <w:r>
        <w:rPr>
          <w:rFonts w:hint="eastAsia"/>
          <w:szCs w:val="21"/>
        </w:rPr>
        <w:t>供应商提出质疑应当提交质疑函和必要的证明材料。质疑函应当包括下列内容：</w:t>
      </w:r>
    </w:p>
    <w:p w14:paraId="12252079">
      <w:pPr>
        <w:spacing w:before="120" w:line="320" w:lineRule="atLeast"/>
        <w:ind w:firstLine="420" w:firstLineChars="200"/>
        <w:rPr>
          <w:szCs w:val="21"/>
        </w:rPr>
      </w:pPr>
      <w:r>
        <w:rPr>
          <w:rFonts w:hint="eastAsia"/>
          <w:szCs w:val="21"/>
        </w:rPr>
        <w:t>（1）供应商的姓名或者名称、地址、邮编、联系人及联系电话；</w:t>
      </w:r>
    </w:p>
    <w:p w14:paraId="25899661">
      <w:pPr>
        <w:spacing w:before="120" w:line="320" w:lineRule="atLeast"/>
        <w:ind w:firstLine="420" w:firstLineChars="200"/>
        <w:rPr>
          <w:szCs w:val="21"/>
        </w:rPr>
      </w:pPr>
      <w:r>
        <w:rPr>
          <w:rFonts w:hint="eastAsia"/>
          <w:szCs w:val="21"/>
        </w:rPr>
        <w:t>（2）质疑项目的名称、编号；</w:t>
      </w:r>
    </w:p>
    <w:p w14:paraId="3EDF08E8">
      <w:pPr>
        <w:spacing w:before="120" w:line="320" w:lineRule="atLeast"/>
        <w:ind w:firstLine="420" w:firstLineChars="200"/>
        <w:rPr>
          <w:szCs w:val="21"/>
        </w:rPr>
      </w:pPr>
      <w:r>
        <w:rPr>
          <w:rFonts w:hint="eastAsia"/>
          <w:szCs w:val="21"/>
        </w:rPr>
        <w:t>（3）具体、明确的质疑事项和与质疑事项相关的请求；</w:t>
      </w:r>
    </w:p>
    <w:p w14:paraId="61469BD4">
      <w:pPr>
        <w:spacing w:before="120" w:line="320" w:lineRule="atLeast"/>
        <w:ind w:firstLine="420" w:firstLineChars="200"/>
        <w:rPr>
          <w:szCs w:val="21"/>
        </w:rPr>
      </w:pPr>
      <w:r>
        <w:rPr>
          <w:rFonts w:hint="eastAsia"/>
          <w:szCs w:val="21"/>
        </w:rPr>
        <w:t>（4）事实依据；</w:t>
      </w:r>
    </w:p>
    <w:p w14:paraId="1B47B55D">
      <w:pPr>
        <w:spacing w:before="120" w:line="320" w:lineRule="atLeast"/>
        <w:ind w:firstLine="420" w:firstLineChars="200"/>
        <w:rPr>
          <w:szCs w:val="21"/>
        </w:rPr>
      </w:pPr>
      <w:r>
        <w:rPr>
          <w:rFonts w:hint="eastAsia"/>
          <w:szCs w:val="21"/>
        </w:rPr>
        <w:t>（5）必要的法律依据；</w:t>
      </w:r>
    </w:p>
    <w:p w14:paraId="3C38E486">
      <w:pPr>
        <w:spacing w:before="120" w:line="320" w:lineRule="atLeast"/>
        <w:ind w:firstLine="420" w:firstLineChars="200"/>
        <w:rPr>
          <w:szCs w:val="21"/>
        </w:rPr>
      </w:pPr>
      <w:r>
        <w:rPr>
          <w:rFonts w:hint="eastAsia"/>
          <w:szCs w:val="21"/>
        </w:rPr>
        <w:t>（6）提出质疑的日期。</w:t>
      </w:r>
    </w:p>
    <w:p w14:paraId="156E98F3">
      <w:pPr>
        <w:spacing w:before="120" w:line="320" w:lineRule="atLeast"/>
        <w:ind w:firstLine="420" w:firstLineChars="200"/>
        <w:rPr>
          <w:szCs w:val="21"/>
        </w:rPr>
      </w:pPr>
      <w:r>
        <w:rPr>
          <w:rFonts w:hint="eastAsia"/>
          <w:szCs w:val="21"/>
        </w:rPr>
        <w:t>供应商为自然人的，应当由本人签字；供应商为法人或者其他组织的，应当由法定代表人、主要负责人，或者其授权代表签字或者盖章，并加盖公章。</w:t>
      </w:r>
      <w:r>
        <w:rPr>
          <w:szCs w:val="21"/>
        </w:rPr>
        <w:t xml:space="preserve"> </w:t>
      </w:r>
    </w:p>
    <w:p w14:paraId="46E3DC97">
      <w:pPr>
        <w:spacing w:before="120" w:line="320" w:lineRule="atLeast"/>
        <w:ind w:firstLine="422" w:firstLineChars="200"/>
        <w:outlineLvl w:val="2"/>
        <w:rPr>
          <w:b/>
          <w:bCs/>
          <w:kern w:val="0"/>
          <w:szCs w:val="21"/>
        </w:rPr>
      </w:pPr>
      <w:r>
        <w:rPr>
          <w:b/>
          <w:bCs/>
          <w:kern w:val="0"/>
          <w:szCs w:val="21"/>
        </w:rPr>
        <w:t>8.2投诉</w:t>
      </w:r>
    </w:p>
    <w:p w14:paraId="250D503E">
      <w:pPr>
        <w:spacing w:before="120" w:line="320" w:lineRule="atLeast"/>
        <w:ind w:firstLine="420" w:firstLineChars="200"/>
        <w:rPr>
          <w:szCs w:val="21"/>
        </w:rPr>
      </w:pPr>
      <w:r>
        <w:rPr>
          <w:szCs w:val="21"/>
        </w:rPr>
        <w:t>8.2.1供应商对采购人、采购代理机构的答复不满意，或者采购人、采购代理机构未在规定时间内答复的，可在答复期满后15个工作日内按有关规定，向同级财政部门投诉。</w:t>
      </w:r>
    </w:p>
    <w:p w14:paraId="382725CB">
      <w:pPr>
        <w:spacing w:before="120" w:line="320" w:lineRule="atLeast"/>
        <w:ind w:firstLine="420" w:firstLineChars="200"/>
        <w:rPr>
          <w:szCs w:val="21"/>
        </w:rPr>
      </w:pPr>
      <w:r>
        <w:rPr>
          <w:szCs w:val="21"/>
        </w:rPr>
        <w:t>8.2.</w:t>
      </w:r>
      <w:r>
        <w:rPr>
          <w:rFonts w:hint="eastAsia"/>
          <w:szCs w:val="21"/>
        </w:rPr>
        <w:t>2投诉</w:t>
      </w:r>
      <w:r>
        <w:rPr>
          <w:szCs w:val="21"/>
        </w:rPr>
        <w:t>书应使用财政部发布的</w:t>
      </w:r>
      <w:r>
        <w:rPr>
          <w:rFonts w:hint="eastAsia"/>
          <w:szCs w:val="21"/>
        </w:rPr>
        <w:t>政府采购供应投诉书范本，并应按照“投诉书制作说明”进行编写。</w:t>
      </w:r>
    </w:p>
    <w:p w14:paraId="3ECC0748">
      <w:pPr>
        <w:spacing w:before="120" w:line="320" w:lineRule="atLeast"/>
        <w:ind w:left="2" w:leftChars="1" w:firstLine="422" w:firstLineChars="200"/>
        <w:outlineLvl w:val="1"/>
        <w:rPr>
          <w:b/>
          <w:bCs/>
          <w:kern w:val="0"/>
          <w:szCs w:val="21"/>
        </w:rPr>
      </w:pPr>
      <w:r>
        <w:rPr>
          <w:b/>
          <w:bCs/>
          <w:kern w:val="0"/>
          <w:szCs w:val="21"/>
        </w:rPr>
        <w:t>9．其他事项</w:t>
      </w:r>
    </w:p>
    <w:p w14:paraId="6BFF61E0">
      <w:pPr>
        <w:spacing w:before="120" w:line="320" w:lineRule="atLeast"/>
        <w:ind w:firstLine="420" w:firstLineChars="200"/>
        <w:rPr>
          <w:szCs w:val="21"/>
        </w:rPr>
      </w:pPr>
      <w:r>
        <w:rPr>
          <w:szCs w:val="21"/>
        </w:rPr>
        <w:t>9.1代理服务收费由采购代理机构向成交供应商收取。签订合同前，成交供应商应向采购代理机构一次付清代理服务费。</w:t>
      </w:r>
    </w:p>
    <w:p w14:paraId="2CEDF28F">
      <w:pPr>
        <w:spacing w:before="120" w:line="276" w:lineRule="auto"/>
        <w:ind w:firstLine="420" w:firstLineChars="200"/>
        <w:rPr>
          <w:szCs w:val="21"/>
        </w:rPr>
      </w:pPr>
      <w:r>
        <w:rPr>
          <w:szCs w:val="21"/>
        </w:rPr>
        <w:t>9.2</w:t>
      </w:r>
      <w:r>
        <w:rPr>
          <w:rFonts w:hint="eastAsia"/>
          <w:szCs w:val="21"/>
        </w:rPr>
        <w:t>电子交易活动的中止。采购过程中出现以下情形，导致电子交易平台无法正常运行，或者无法保证电子交易的公平、公正和安全时，采购机构可中止电子交易活动：</w:t>
      </w:r>
    </w:p>
    <w:p w14:paraId="365EDED2">
      <w:pPr>
        <w:spacing w:before="120" w:line="276" w:lineRule="auto"/>
        <w:ind w:firstLine="420" w:firstLineChars="200"/>
        <w:rPr>
          <w:szCs w:val="21"/>
        </w:rPr>
      </w:pPr>
      <w:r>
        <w:rPr>
          <w:rFonts w:hint="eastAsia"/>
          <w:szCs w:val="21"/>
        </w:rPr>
        <w:t xml:space="preserve">（1）电子交易平台发生故障而无法登录访问的； </w:t>
      </w:r>
    </w:p>
    <w:p w14:paraId="47C01458">
      <w:pPr>
        <w:spacing w:before="120" w:line="276" w:lineRule="auto"/>
        <w:ind w:firstLine="420" w:firstLineChars="200"/>
        <w:rPr>
          <w:szCs w:val="21"/>
        </w:rPr>
      </w:pPr>
      <w:r>
        <w:rPr>
          <w:rFonts w:hint="eastAsia"/>
          <w:szCs w:val="21"/>
        </w:rPr>
        <w:t>（2）电子交易平台应用或数据库出现错误，不能进行正常操作的；</w:t>
      </w:r>
    </w:p>
    <w:p w14:paraId="5A164D3C">
      <w:pPr>
        <w:spacing w:before="120" w:line="276" w:lineRule="auto"/>
        <w:ind w:firstLine="420" w:firstLineChars="200"/>
        <w:rPr>
          <w:szCs w:val="21"/>
        </w:rPr>
      </w:pPr>
      <w:r>
        <w:rPr>
          <w:rFonts w:hint="eastAsia"/>
          <w:szCs w:val="21"/>
        </w:rPr>
        <w:t>（3）电子交易平台发现严重安全漏洞，有潜在泄密危险的；</w:t>
      </w:r>
    </w:p>
    <w:p w14:paraId="558877A2">
      <w:pPr>
        <w:spacing w:before="120" w:line="276" w:lineRule="auto"/>
        <w:ind w:firstLine="420" w:firstLineChars="200"/>
        <w:rPr>
          <w:szCs w:val="21"/>
        </w:rPr>
      </w:pPr>
      <w:r>
        <w:rPr>
          <w:rFonts w:hint="eastAsia"/>
          <w:szCs w:val="21"/>
        </w:rPr>
        <w:t xml:space="preserve">（4）病毒发作导致不能进行正常操作的； </w:t>
      </w:r>
    </w:p>
    <w:p w14:paraId="3C599D83">
      <w:pPr>
        <w:spacing w:before="120" w:line="276" w:lineRule="auto"/>
        <w:ind w:firstLine="420" w:firstLineChars="200"/>
        <w:rPr>
          <w:szCs w:val="21"/>
        </w:rPr>
      </w:pPr>
      <w:r>
        <w:rPr>
          <w:rFonts w:hint="eastAsia"/>
          <w:szCs w:val="21"/>
        </w:rPr>
        <w:t>（</w:t>
      </w:r>
      <w:r>
        <w:rPr>
          <w:szCs w:val="21"/>
        </w:rPr>
        <w:t>5</w:t>
      </w:r>
      <w:r>
        <w:rPr>
          <w:rFonts w:hint="eastAsia"/>
          <w:szCs w:val="21"/>
        </w:rPr>
        <w:t>）其他无法保证电子交易的公平、公正和安全的情况。</w:t>
      </w:r>
    </w:p>
    <w:p w14:paraId="328DBB63">
      <w:pPr>
        <w:tabs>
          <w:tab w:val="left" w:pos="4820"/>
        </w:tabs>
        <w:spacing w:before="120" w:line="360" w:lineRule="auto"/>
        <w:ind w:firstLine="420" w:firstLineChars="200"/>
        <w:rPr>
          <w:szCs w:val="21"/>
        </w:rPr>
      </w:pPr>
      <w:r>
        <w:rPr>
          <w:rFonts w:hint="eastAsia"/>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szCs w:val="21"/>
        </w:rPr>
        <w:t xml:space="preserve"> </w:t>
      </w:r>
    </w:p>
    <w:p w14:paraId="649D01B3">
      <w:pPr>
        <w:spacing w:line="360" w:lineRule="auto"/>
        <w:ind w:firstLine="420"/>
        <w:rPr>
          <w:szCs w:val="21"/>
        </w:rPr>
      </w:pPr>
      <w:r>
        <w:rPr>
          <w:szCs w:val="21"/>
        </w:rPr>
        <w:t>9.3</w:t>
      </w:r>
      <w:r>
        <w:rPr>
          <w:rFonts w:hint="eastAsia"/>
          <w:szCs w:val="21"/>
        </w:rPr>
        <w:t>本项目的附件及图纸</w:t>
      </w:r>
      <w:r>
        <w:rPr>
          <w:szCs w:val="21"/>
        </w:rPr>
        <w:t>详见供应商须知前附表</w:t>
      </w:r>
      <w:r>
        <w:rPr>
          <w:rFonts w:hint="eastAsia"/>
          <w:szCs w:val="21"/>
        </w:rPr>
        <w:t>。</w:t>
      </w:r>
    </w:p>
    <w:p w14:paraId="7F1DB04E">
      <w:pPr>
        <w:spacing w:line="360" w:lineRule="auto"/>
        <w:ind w:firstLine="420"/>
        <w:rPr>
          <w:szCs w:val="21"/>
        </w:rPr>
      </w:pPr>
      <w:r>
        <w:rPr>
          <w:szCs w:val="21"/>
        </w:rPr>
        <w:t>9.4</w:t>
      </w:r>
      <w:r>
        <w:rPr>
          <w:rFonts w:hint="eastAsia"/>
          <w:szCs w:val="21"/>
        </w:rPr>
        <w:t>本项目的其他事项</w:t>
      </w:r>
      <w:r>
        <w:rPr>
          <w:szCs w:val="21"/>
        </w:rPr>
        <w:t>详见供应商须知前附表</w:t>
      </w:r>
      <w:r>
        <w:rPr>
          <w:rFonts w:hint="eastAsia"/>
          <w:szCs w:val="21"/>
        </w:rPr>
        <w:t>。</w:t>
      </w:r>
    </w:p>
    <w:p w14:paraId="273B2615">
      <w:pPr>
        <w:spacing w:before="120" w:line="320" w:lineRule="atLeast"/>
        <w:ind w:left="2" w:leftChars="1" w:firstLine="422" w:firstLineChars="200"/>
        <w:outlineLvl w:val="1"/>
        <w:rPr>
          <w:b/>
          <w:bCs/>
          <w:kern w:val="0"/>
          <w:szCs w:val="21"/>
        </w:rPr>
      </w:pPr>
      <w:r>
        <w:rPr>
          <w:b/>
          <w:bCs/>
          <w:kern w:val="0"/>
          <w:szCs w:val="21"/>
        </w:rPr>
        <w:t>10．</w:t>
      </w:r>
      <w:r>
        <w:rPr>
          <w:rFonts w:hint="eastAsia"/>
          <w:b/>
          <w:bCs/>
          <w:kern w:val="0"/>
          <w:szCs w:val="21"/>
        </w:rPr>
        <w:t>其他说明</w:t>
      </w:r>
    </w:p>
    <w:p w14:paraId="44101F05">
      <w:pPr>
        <w:spacing w:before="120" w:line="320" w:lineRule="atLeast"/>
        <w:ind w:left="2" w:leftChars="1" w:firstLine="422" w:firstLineChars="200"/>
        <w:outlineLvl w:val="1"/>
        <w:rPr>
          <w:kern w:val="0"/>
          <w:szCs w:val="21"/>
        </w:rPr>
      </w:pPr>
      <w:r>
        <w:rPr>
          <w:rFonts w:hint="eastAsia"/>
          <w:b/>
          <w:bCs/>
          <w:kern w:val="0"/>
          <w:szCs w:val="21"/>
        </w:rPr>
        <w:t>1</w:t>
      </w:r>
      <w:r>
        <w:rPr>
          <w:b/>
          <w:bCs/>
          <w:kern w:val="0"/>
          <w:szCs w:val="21"/>
        </w:rPr>
        <w:t>0.1</w:t>
      </w:r>
      <w:r>
        <w:rPr>
          <w:rFonts w:hint="eastAsia"/>
          <w:kern w:val="0"/>
          <w:szCs w:val="21"/>
        </w:rPr>
        <w:t>其余未尽事宜按</w:t>
      </w:r>
      <w:r>
        <w:rPr>
          <w:kern w:val="0"/>
          <w:szCs w:val="21"/>
        </w:rPr>
        <w:t>《中华人民共和国政府采购法》、《中华人民共和国政府采购法实施条例》</w:t>
      </w:r>
      <w:r>
        <w:rPr>
          <w:rFonts w:hint="eastAsia"/>
          <w:kern w:val="0"/>
          <w:szCs w:val="21"/>
        </w:rPr>
        <w:t>的相关规定执行。</w:t>
      </w:r>
    </w:p>
    <w:p w14:paraId="70778E70">
      <w:pPr>
        <w:spacing w:before="120" w:line="320" w:lineRule="atLeast"/>
        <w:ind w:left="2" w:leftChars="1" w:firstLine="422" w:firstLineChars="200"/>
        <w:outlineLvl w:val="1"/>
        <w:rPr>
          <w:rFonts w:hint="eastAsia"/>
          <w:sz w:val="32"/>
          <w:szCs w:val="32"/>
        </w:rPr>
      </w:pPr>
      <w:r>
        <w:rPr>
          <w:b/>
          <w:bCs/>
          <w:kern w:val="0"/>
          <w:szCs w:val="21"/>
        </w:rPr>
        <w:t>10.2</w:t>
      </w:r>
      <w:r>
        <w:rPr>
          <w:rFonts w:hint="eastAsia"/>
        </w:rPr>
        <w:t>本</w:t>
      </w:r>
      <w:r>
        <w:t>采购文件是根据国家有关法律及有关政策、法规和参照国际惯例编制，解释权属采购代理机构。</w:t>
      </w:r>
      <w:bookmarkEnd w:id="26"/>
    </w:p>
    <w:bookmarkEnd w:id="27"/>
    <w:p w14:paraId="46B0EDD8">
      <w:pPr>
        <w:spacing w:before="120" w:line="320" w:lineRule="atLeast"/>
        <w:outlineLvl w:val="1"/>
        <w:rPr>
          <w:rFonts w:hint="eastAsia"/>
          <w:bCs/>
          <w:kern w:val="0"/>
          <w:sz w:val="28"/>
          <w:szCs w:val="28"/>
        </w:rPr>
        <w:sectPr>
          <w:headerReference r:id="rId14" w:type="first"/>
          <w:headerReference r:id="rId13" w:type="default"/>
          <w:pgSz w:w="11906" w:h="16838"/>
          <w:pgMar w:top="993" w:right="1133" w:bottom="1246" w:left="1418" w:header="851" w:footer="992" w:gutter="0"/>
          <w:cols w:space="720" w:num="1"/>
          <w:titlePg/>
          <w:docGrid w:linePitch="312" w:charSpace="0"/>
        </w:sectPr>
      </w:pPr>
    </w:p>
    <w:p w14:paraId="4FC7EB36">
      <w:pPr>
        <w:pStyle w:val="26"/>
        <w:snapToGrid w:val="0"/>
        <w:spacing w:before="120" w:after="120" w:line="320" w:lineRule="exact"/>
        <w:jc w:val="center"/>
        <w:outlineLvl w:val="0"/>
        <w:rPr>
          <w:rFonts w:ascii="Times New Roman" w:hAnsi="Times New Roman" w:cs="Times New Roman"/>
          <w:sz w:val="32"/>
          <w:szCs w:val="32"/>
        </w:rPr>
      </w:pPr>
      <w:bookmarkStart w:id="75" w:name="_Toc489863687"/>
      <w:bookmarkStart w:id="76" w:name="_Toc254970549"/>
      <w:bookmarkStart w:id="77" w:name="_Toc254970690"/>
      <w:r>
        <w:rPr>
          <w:rFonts w:ascii="Times New Roman" w:hAnsi="Times New Roman" w:cs="Times New Roman"/>
          <w:sz w:val="32"/>
          <w:szCs w:val="32"/>
        </w:rPr>
        <w:t>第四章  评审方法及标准</w:t>
      </w:r>
      <w:bookmarkEnd w:id="75"/>
    </w:p>
    <w:p w14:paraId="44BBA764">
      <w:pPr>
        <w:spacing w:before="120" w:line="320" w:lineRule="atLeast"/>
        <w:ind w:firstLine="413" w:firstLineChars="196"/>
        <w:outlineLvl w:val="1"/>
        <w:rPr>
          <w:b/>
          <w:bCs/>
          <w:kern w:val="0"/>
          <w:szCs w:val="21"/>
        </w:rPr>
      </w:pPr>
      <w:r>
        <w:rPr>
          <w:rFonts w:hint="eastAsia"/>
          <w:b/>
          <w:bCs/>
          <w:kern w:val="0"/>
          <w:szCs w:val="21"/>
        </w:rPr>
        <w:t>1</w:t>
      </w:r>
      <w:r>
        <w:rPr>
          <w:b/>
          <w:bCs/>
          <w:kern w:val="0"/>
          <w:szCs w:val="21"/>
        </w:rPr>
        <w:t>.评审</w:t>
      </w:r>
      <w:r>
        <w:rPr>
          <w:rFonts w:hint="eastAsia"/>
          <w:b/>
          <w:bCs/>
          <w:kern w:val="0"/>
          <w:szCs w:val="21"/>
        </w:rPr>
        <w:t>方法</w:t>
      </w:r>
    </w:p>
    <w:p w14:paraId="4FF44FFB">
      <w:pPr>
        <w:suppressAutoHyphens/>
        <w:spacing w:before="120" w:line="320" w:lineRule="atLeast"/>
        <w:ind w:firstLine="420" w:firstLineChars="200"/>
      </w:pPr>
      <w:r>
        <w:rPr>
          <w:szCs w:val="21"/>
        </w:rPr>
        <w:t>本项目采用</w:t>
      </w:r>
      <w:r>
        <w:rPr>
          <w:rFonts w:hint="eastAsia"/>
          <w:bCs/>
          <w:kern w:val="1"/>
          <w:szCs w:val="21"/>
        </w:rPr>
        <w:t>最低评标价法</w:t>
      </w:r>
      <w:r>
        <w:rPr>
          <w:szCs w:val="21"/>
        </w:rPr>
        <w:t>进行评审</w:t>
      </w:r>
      <w:r>
        <w:rPr>
          <w:bCs/>
          <w:kern w:val="1"/>
          <w:szCs w:val="21"/>
        </w:rPr>
        <w:t>。</w:t>
      </w:r>
      <w:r>
        <w:rPr>
          <w:szCs w:val="21"/>
        </w:rPr>
        <w:t>最低评标价法，是指</w:t>
      </w:r>
      <w:r>
        <w:rPr>
          <w:rFonts w:hint="eastAsia"/>
          <w:szCs w:val="21"/>
        </w:rPr>
        <w:t>响应</w:t>
      </w:r>
      <w:r>
        <w:rPr>
          <w:szCs w:val="21"/>
        </w:rPr>
        <w:t>文件满足</w:t>
      </w:r>
      <w:r>
        <w:rPr>
          <w:rFonts w:hint="eastAsia"/>
          <w:szCs w:val="21"/>
        </w:rPr>
        <w:t>采购文件</w:t>
      </w:r>
      <w:r>
        <w:rPr>
          <w:szCs w:val="21"/>
        </w:rPr>
        <w:t>全部实质性要求且</w:t>
      </w:r>
      <w:r>
        <w:rPr>
          <w:rFonts w:hint="eastAsia"/>
          <w:szCs w:val="21"/>
        </w:rPr>
        <w:t>谈判</w:t>
      </w:r>
      <w:r>
        <w:rPr>
          <w:szCs w:val="21"/>
        </w:rPr>
        <w:t>报价最低的供应商为</w:t>
      </w:r>
      <w:r>
        <w:rPr>
          <w:rFonts w:hint="eastAsia"/>
          <w:szCs w:val="21"/>
        </w:rPr>
        <w:t>成交</w:t>
      </w:r>
      <w:r>
        <w:rPr>
          <w:szCs w:val="21"/>
        </w:rPr>
        <w:t>候选人的评</w:t>
      </w:r>
      <w:r>
        <w:rPr>
          <w:rFonts w:hint="eastAsia"/>
          <w:szCs w:val="21"/>
        </w:rPr>
        <w:t>审</w:t>
      </w:r>
      <w:r>
        <w:rPr>
          <w:szCs w:val="21"/>
        </w:rPr>
        <w:t>方法。</w:t>
      </w:r>
      <w:r>
        <w:t xml:space="preserve"> </w:t>
      </w:r>
    </w:p>
    <w:p w14:paraId="29E145E8">
      <w:pPr>
        <w:suppressAutoHyphens/>
        <w:spacing w:before="120" w:line="320" w:lineRule="atLeast"/>
        <w:ind w:firstLine="420" w:firstLineChars="200"/>
        <w:rPr>
          <w:kern w:val="1"/>
          <w:szCs w:val="21"/>
        </w:rPr>
      </w:pPr>
      <w:r>
        <w:rPr>
          <w:rFonts w:hint="eastAsia"/>
          <w:kern w:val="1"/>
          <w:szCs w:val="21"/>
        </w:rPr>
        <w:t>本项目评审的其他详细规定在第三章供应商须知中规定。</w:t>
      </w:r>
    </w:p>
    <w:p w14:paraId="73BE4749">
      <w:pPr>
        <w:spacing w:before="120" w:line="320" w:lineRule="atLeast"/>
        <w:ind w:firstLine="413" w:firstLineChars="196"/>
        <w:outlineLvl w:val="1"/>
        <w:rPr>
          <w:rFonts w:hint="eastAsia"/>
          <w:b/>
          <w:kern w:val="0"/>
          <w:szCs w:val="21"/>
        </w:rPr>
      </w:pPr>
      <w:r>
        <w:rPr>
          <w:b/>
          <w:kern w:val="0"/>
          <w:szCs w:val="21"/>
        </w:rPr>
        <w:t>2</w:t>
      </w:r>
      <w:r>
        <w:rPr>
          <w:rFonts w:hint="eastAsia"/>
          <w:b/>
          <w:kern w:val="0"/>
          <w:szCs w:val="21"/>
        </w:rPr>
        <w:t>.资格审查标准</w:t>
      </w:r>
      <w:r>
        <w:rPr>
          <w:rFonts w:hint="eastAsia"/>
          <w:b/>
          <w:bCs/>
          <w:kern w:val="0"/>
          <w:szCs w:val="21"/>
        </w:rPr>
        <w:t>（不满足任何一项审查内容要求，资格审查即为不合格；</w:t>
      </w:r>
      <w:bookmarkStart w:id="78" w:name="_Hlk160525103"/>
      <w:r>
        <w:rPr>
          <w:rFonts w:hint="eastAsia"/>
          <w:b/>
          <w:bCs/>
          <w:kern w:val="0"/>
          <w:szCs w:val="21"/>
        </w:rPr>
        <w:t>联合体投标的，联合体各方均应提交第一项基本资格要求的资格证明文件）</w:t>
      </w:r>
      <w:bookmarkEnd w:id="78"/>
    </w:p>
    <w:tbl>
      <w:tblPr>
        <w:tblStyle w:val="51"/>
        <w:tblW w:w="93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0"/>
        <w:gridCol w:w="2400"/>
        <w:gridCol w:w="5350"/>
      </w:tblGrid>
      <w:tr w14:paraId="14CC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580" w:type="dxa"/>
            <w:noWrap w:val="0"/>
            <w:vAlign w:val="center"/>
          </w:tcPr>
          <w:p w14:paraId="1492A347">
            <w:pPr>
              <w:spacing w:line="240" w:lineRule="exact"/>
              <w:jc w:val="center"/>
              <w:rPr>
                <w:b/>
                <w:kern w:val="0"/>
                <w:szCs w:val="21"/>
              </w:rPr>
            </w:pPr>
            <w:bookmarkStart w:id="79" w:name="_Hlk92979501"/>
            <w:r>
              <w:rPr>
                <w:rFonts w:hint="eastAsia"/>
                <w:b/>
                <w:kern w:val="0"/>
                <w:szCs w:val="21"/>
              </w:rPr>
              <w:t>审查</w:t>
            </w:r>
            <w:r>
              <w:rPr>
                <w:b/>
                <w:kern w:val="0"/>
                <w:szCs w:val="21"/>
              </w:rPr>
              <w:t>因素</w:t>
            </w:r>
          </w:p>
        </w:tc>
        <w:tc>
          <w:tcPr>
            <w:tcW w:w="2400" w:type="dxa"/>
            <w:noWrap w:val="0"/>
            <w:vAlign w:val="center"/>
          </w:tcPr>
          <w:p w14:paraId="7C147E30">
            <w:pPr>
              <w:spacing w:line="240" w:lineRule="exact"/>
              <w:jc w:val="center"/>
              <w:rPr>
                <w:b/>
                <w:kern w:val="0"/>
                <w:szCs w:val="21"/>
              </w:rPr>
            </w:pPr>
            <w:r>
              <w:rPr>
                <w:rFonts w:hint="eastAsia"/>
                <w:b/>
                <w:kern w:val="0"/>
                <w:szCs w:val="21"/>
              </w:rPr>
              <w:t>审查</w:t>
            </w:r>
            <w:r>
              <w:rPr>
                <w:b/>
                <w:kern w:val="0"/>
                <w:szCs w:val="21"/>
              </w:rPr>
              <w:t>内容</w:t>
            </w:r>
          </w:p>
        </w:tc>
        <w:tc>
          <w:tcPr>
            <w:tcW w:w="5350" w:type="dxa"/>
            <w:noWrap w:val="0"/>
            <w:vAlign w:val="center"/>
          </w:tcPr>
          <w:p w14:paraId="58BAF504">
            <w:pPr>
              <w:spacing w:line="240" w:lineRule="exact"/>
              <w:jc w:val="center"/>
              <w:rPr>
                <w:b/>
                <w:kern w:val="0"/>
                <w:szCs w:val="21"/>
              </w:rPr>
            </w:pPr>
            <w:r>
              <w:rPr>
                <w:rFonts w:hint="eastAsia"/>
                <w:b/>
                <w:kern w:val="0"/>
                <w:szCs w:val="21"/>
              </w:rPr>
              <w:t>说明</w:t>
            </w:r>
          </w:p>
        </w:tc>
      </w:tr>
      <w:tr w14:paraId="5EAF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1580" w:type="dxa"/>
            <w:vMerge w:val="restart"/>
            <w:noWrap w:val="0"/>
            <w:vAlign w:val="center"/>
          </w:tcPr>
          <w:p w14:paraId="2FDA52B9">
            <w:pPr>
              <w:spacing w:line="240" w:lineRule="exact"/>
              <w:rPr>
                <w:szCs w:val="21"/>
                <w:lang w:val="zh-CN"/>
              </w:rPr>
            </w:pPr>
            <w:r>
              <w:rPr>
                <w:szCs w:val="21"/>
                <w:lang w:val="zh-CN"/>
              </w:rPr>
              <w:t>供应商应符合的</w:t>
            </w:r>
            <w:r>
              <w:rPr>
                <w:rFonts w:hint="eastAsia"/>
                <w:szCs w:val="21"/>
                <w:lang w:val="zh-CN"/>
              </w:rPr>
              <w:t>基本</w:t>
            </w:r>
            <w:r>
              <w:rPr>
                <w:szCs w:val="21"/>
              </w:rPr>
              <w:t>资格</w:t>
            </w:r>
            <w:r>
              <w:rPr>
                <w:rFonts w:hint="eastAsia"/>
                <w:szCs w:val="21"/>
              </w:rPr>
              <w:t>要求</w:t>
            </w:r>
          </w:p>
        </w:tc>
        <w:tc>
          <w:tcPr>
            <w:tcW w:w="2400" w:type="dxa"/>
            <w:noWrap w:val="0"/>
            <w:vAlign w:val="center"/>
          </w:tcPr>
          <w:p w14:paraId="2193E45F">
            <w:pPr>
              <w:spacing w:line="240" w:lineRule="exact"/>
              <w:jc w:val="left"/>
              <w:rPr>
                <w:szCs w:val="21"/>
              </w:rPr>
            </w:pPr>
            <w:r>
              <w:rPr>
                <w:szCs w:val="21"/>
              </w:rPr>
              <w:t>（1）具有独立承担民事责任的能力</w:t>
            </w:r>
          </w:p>
        </w:tc>
        <w:tc>
          <w:tcPr>
            <w:tcW w:w="5350" w:type="dxa"/>
            <w:noWrap w:val="0"/>
            <w:vAlign w:val="top"/>
          </w:tcPr>
          <w:p w14:paraId="385DC164">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宋体"/>
                <w:szCs w:val="21"/>
                <w:lang w:eastAsia="zh-CN"/>
              </w:rPr>
            </w:pPr>
            <w:r>
              <w:rPr>
                <w:rFonts w:hint="eastAsia"/>
                <w:szCs w:val="21"/>
              </w:rPr>
              <w:t>审查供应商为法人或者其他组织的，提供营业执照等证明文件（如营业执照或者事业单位法人证书或者执业许可证等），供应商为自然人的，提供身份证复印件</w:t>
            </w:r>
            <w:r>
              <w:rPr>
                <w:rFonts w:hint="eastAsia"/>
                <w:szCs w:val="21"/>
                <w:lang w:eastAsia="zh-CN"/>
              </w:rPr>
              <w:t>。</w:t>
            </w:r>
          </w:p>
        </w:tc>
      </w:tr>
      <w:tr w14:paraId="1803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80" w:type="dxa"/>
            <w:vMerge w:val="continue"/>
            <w:noWrap w:val="0"/>
            <w:vAlign w:val="center"/>
          </w:tcPr>
          <w:p w14:paraId="4F290B3B">
            <w:pPr>
              <w:spacing w:line="240" w:lineRule="exact"/>
              <w:rPr>
                <w:szCs w:val="21"/>
                <w:lang w:val="zh-CN"/>
              </w:rPr>
            </w:pPr>
          </w:p>
        </w:tc>
        <w:tc>
          <w:tcPr>
            <w:tcW w:w="2400" w:type="dxa"/>
            <w:noWrap w:val="0"/>
            <w:vAlign w:val="center"/>
          </w:tcPr>
          <w:p w14:paraId="00126F4F">
            <w:pPr>
              <w:spacing w:line="240" w:lineRule="exact"/>
              <w:jc w:val="left"/>
              <w:rPr>
                <w:szCs w:val="21"/>
              </w:rPr>
            </w:pPr>
            <w:r>
              <w:rPr>
                <w:szCs w:val="21"/>
                <w:lang w:val="zh-CN"/>
              </w:rPr>
              <w:t>（2）</w:t>
            </w:r>
            <w:r>
              <w:rPr>
                <w:szCs w:val="21"/>
              </w:rPr>
              <w:t>具有良好的商业信誉和健全的财务会计制度</w:t>
            </w:r>
          </w:p>
        </w:tc>
        <w:tc>
          <w:tcPr>
            <w:tcW w:w="5350" w:type="dxa"/>
            <w:noWrap w:val="0"/>
            <w:vAlign w:val="top"/>
          </w:tcPr>
          <w:p w14:paraId="040876E0">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auto"/>
                <w:szCs w:val="21"/>
              </w:rPr>
            </w:pPr>
            <w:r>
              <w:rPr>
                <w:rFonts w:hint="eastAsia" w:ascii="宋体" w:hAnsi="宋体" w:cs="宋体"/>
                <w:color w:val="auto"/>
                <w:szCs w:val="21"/>
              </w:rPr>
              <w:t>①</w:t>
            </w:r>
            <w:r>
              <w:rPr>
                <w:color w:val="auto"/>
                <w:szCs w:val="21"/>
              </w:rPr>
              <w:t>审查商业信誉声明。须提供，格式见第六章</w:t>
            </w:r>
            <w:r>
              <w:rPr>
                <w:rFonts w:hint="eastAsia"/>
                <w:color w:val="auto"/>
                <w:szCs w:val="21"/>
              </w:rPr>
              <w:t>响应</w:t>
            </w:r>
            <w:r>
              <w:rPr>
                <w:color w:val="auto"/>
                <w:szCs w:val="21"/>
              </w:rPr>
              <w:t>文件格式“</w:t>
            </w:r>
            <w:r>
              <w:rPr>
                <w:rFonts w:hint="eastAsia"/>
                <w:color w:val="auto"/>
                <w:szCs w:val="21"/>
              </w:rPr>
              <w:t>响应</w:t>
            </w:r>
            <w:r>
              <w:rPr>
                <w:color w:val="auto"/>
                <w:szCs w:val="21"/>
              </w:rPr>
              <w:t>声明书”。</w:t>
            </w:r>
          </w:p>
          <w:p w14:paraId="7CDFF50D">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auto"/>
                <w:szCs w:val="21"/>
              </w:rPr>
            </w:pPr>
            <w:r>
              <w:rPr>
                <w:rFonts w:hint="eastAsia" w:ascii="宋体" w:hAnsi="宋体" w:cs="宋体"/>
                <w:color w:val="auto"/>
                <w:szCs w:val="21"/>
              </w:rPr>
              <w:t>②</w:t>
            </w:r>
            <w:r>
              <w:rPr>
                <w:color w:val="auto"/>
                <w:szCs w:val="21"/>
              </w:rPr>
              <w:t>审查</w:t>
            </w:r>
            <w:r>
              <w:rPr>
                <w:rFonts w:hint="eastAsia"/>
                <w:color w:val="auto"/>
                <w:szCs w:val="21"/>
                <w:lang w:val="en-US" w:eastAsia="zh-CN"/>
              </w:rPr>
              <w:t>2025</w:t>
            </w:r>
            <w:r>
              <w:rPr>
                <w:rFonts w:hint="eastAsia"/>
                <w:color w:val="auto"/>
                <w:szCs w:val="21"/>
              </w:rPr>
              <w:t>年</w:t>
            </w:r>
            <w:r>
              <w:rPr>
                <w:color w:val="auto"/>
                <w:szCs w:val="21"/>
              </w:rPr>
              <w:t>度财务状况报告（表）复印件或银行出具的资信证明复印件，</w:t>
            </w:r>
            <w:r>
              <w:rPr>
                <w:color w:val="auto"/>
              </w:rPr>
              <w:t>对于从取得营业执照时间起到响应文件递交截止时间为止不足1年的供应商，只需提交</w:t>
            </w:r>
            <w:r>
              <w:rPr>
                <w:rFonts w:hint="eastAsia"/>
                <w:color w:val="auto"/>
                <w:szCs w:val="21"/>
              </w:rPr>
              <w:t>响应</w:t>
            </w:r>
            <w:r>
              <w:rPr>
                <w:color w:val="auto"/>
                <w:szCs w:val="21"/>
              </w:rPr>
              <w:t>文件递交截止时间前一个月的财务状况报告（表）复印件。</w:t>
            </w:r>
          </w:p>
        </w:tc>
      </w:tr>
      <w:tr w14:paraId="2F09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80" w:type="dxa"/>
            <w:vMerge w:val="continue"/>
            <w:noWrap w:val="0"/>
            <w:vAlign w:val="center"/>
          </w:tcPr>
          <w:p w14:paraId="1B05ADF2">
            <w:pPr>
              <w:spacing w:line="240" w:lineRule="exact"/>
              <w:rPr>
                <w:szCs w:val="21"/>
                <w:lang w:val="zh-CN"/>
              </w:rPr>
            </w:pPr>
          </w:p>
        </w:tc>
        <w:tc>
          <w:tcPr>
            <w:tcW w:w="2400" w:type="dxa"/>
            <w:noWrap w:val="0"/>
            <w:vAlign w:val="center"/>
          </w:tcPr>
          <w:p w14:paraId="69A55DA7">
            <w:pPr>
              <w:spacing w:line="240" w:lineRule="exact"/>
              <w:jc w:val="left"/>
              <w:rPr>
                <w:szCs w:val="21"/>
              </w:rPr>
            </w:pPr>
            <w:r>
              <w:rPr>
                <w:szCs w:val="21"/>
                <w:lang w:val="zh-CN"/>
              </w:rPr>
              <w:t>（3）具有履行合同所必需的设备和专业技术能力</w:t>
            </w:r>
          </w:p>
        </w:tc>
        <w:tc>
          <w:tcPr>
            <w:tcW w:w="5350" w:type="dxa"/>
            <w:noWrap w:val="0"/>
            <w:vAlign w:val="top"/>
          </w:tcPr>
          <w:p w14:paraId="688B9603">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auto"/>
                <w:szCs w:val="21"/>
              </w:rPr>
            </w:pPr>
            <w:r>
              <w:rPr>
                <w:rFonts w:hint="eastAsia" w:ascii="宋体" w:hAnsi="宋体" w:cs="宋体"/>
                <w:color w:val="auto"/>
                <w:szCs w:val="21"/>
              </w:rPr>
              <w:t>①</w:t>
            </w:r>
            <w:r>
              <w:rPr>
                <w:color w:val="auto"/>
                <w:szCs w:val="21"/>
              </w:rPr>
              <w:t xml:space="preserve">审查供应商营业执照，须有效； </w:t>
            </w:r>
          </w:p>
          <w:p w14:paraId="31C3229D">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auto"/>
                <w:szCs w:val="21"/>
              </w:rPr>
            </w:pPr>
            <w:r>
              <w:rPr>
                <w:rFonts w:hint="eastAsia" w:ascii="宋体" w:hAnsi="宋体" w:cs="宋体"/>
                <w:color w:val="auto"/>
                <w:szCs w:val="21"/>
              </w:rPr>
              <w:t>②</w:t>
            </w:r>
            <w:r>
              <w:rPr>
                <w:color w:val="auto"/>
                <w:szCs w:val="21"/>
              </w:rPr>
              <w:t>审查书面声明。须提供，格式见第六章</w:t>
            </w:r>
            <w:r>
              <w:rPr>
                <w:rFonts w:hint="eastAsia"/>
                <w:color w:val="auto"/>
                <w:szCs w:val="21"/>
              </w:rPr>
              <w:t>响应</w:t>
            </w:r>
            <w:r>
              <w:rPr>
                <w:color w:val="auto"/>
                <w:szCs w:val="21"/>
              </w:rPr>
              <w:t>文件格式“</w:t>
            </w:r>
            <w:r>
              <w:rPr>
                <w:rFonts w:hint="eastAsia"/>
                <w:color w:val="auto"/>
                <w:szCs w:val="21"/>
              </w:rPr>
              <w:t>响应</w:t>
            </w:r>
            <w:r>
              <w:rPr>
                <w:color w:val="auto"/>
              </w:rPr>
              <w:t>声明书</w:t>
            </w:r>
            <w:r>
              <w:rPr>
                <w:color w:val="auto"/>
                <w:szCs w:val="21"/>
              </w:rPr>
              <w:t>”。</w:t>
            </w:r>
          </w:p>
          <w:p w14:paraId="10E580F3">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auto"/>
                <w:szCs w:val="21"/>
              </w:rPr>
            </w:pPr>
            <w:r>
              <w:rPr>
                <w:color w:val="auto"/>
                <w:szCs w:val="21"/>
              </w:rPr>
              <w:t>审查</w:t>
            </w:r>
            <w:r>
              <w:rPr>
                <w:rFonts w:hint="eastAsia" w:ascii="宋体" w:hAnsi="宋体" w:cs="宋体"/>
                <w:color w:val="auto"/>
                <w:szCs w:val="21"/>
              </w:rPr>
              <w:t>①</w:t>
            </w:r>
            <w:r>
              <w:rPr>
                <w:color w:val="auto"/>
                <w:szCs w:val="21"/>
              </w:rPr>
              <w:t>或</w:t>
            </w:r>
            <w:r>
              <w:rPr>
                <w:rFonts w:hint="eastAsia" w:ascii="宋体" w:hAnsi="宋体" w:cs="宋体"/>
                <w:color w:val="auto"/>
                <w:szCs w:val="21"/>
              </w:rPr>
              <w:t>②</w:t>
            </w:r>
            <w:r>
              <w:rPr>
                <w:color w:val="auto"/>
                <w:szCs w:val="21"/>
              </w:rPr>
              <w:t>，满足其一，即为符合要求。</w:t>
            </w:r>
          </w:p>
        </w:tc>
      </w:tr>
      <w:tr w14:paraId="6276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80" w:type="dxa"/>
            <w:vMerge w:val="continue"/>
            <w:noWrap w:val="0"/>
            <w:vAlign w:val="center"/>
          </w:tcPr>
          <w:p w14:paraId="05C89490">
            <w:pPr>
              <w:spacing w:line="240" w:lineRule="exact"/>
              <w:rPr>
                <w:szCs w:val="21"/>
                <w:lang w:val="zh-CN"/>
              </w:rPr>
            </w:pPr>
          </w:p>
        </w:tc>
        <w:tc>
          <w:tcPr>
            <w:tcW w:w="2400" w:type="dxa"/>
            <w:noWrap w:val="0"/>
            <w:vAlign w:val="center"/>
          </w:tcPr>
          <w:p w14:paraId="411A3475">
            <w:pPr>
              <w:spacing w:line="240" w:lineRule="exact"/>
              <w:jc w:val="left"/>
              <w:rPr>
                <w:szCs w:val="21"/>
              </w:rPr>
            </w:pPr>
            <w:r>
              <w:rPr>
                <w:szCs w:val="21"/>
                <w:lang w:val="zh-CN"/>
              </w:rPr>
              <w:t>（4）有依法缴纳税收和社会保障金的良好记录</w:t>
            </w:r>
          </w:p>
        </w:tc>
        <w:tc>
          <w:tcPr>
            <w:tcW w:w="5350" w:type="dxa"/>
            <w:noWrap w:val="0"/>
            <w:vAlign w:val="top"/>
          </w:tcPr>
          <w:p w14:paraId="4E0145DF">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auto"/>
                <w:szCs w:val="21"/>
              </w:rPr>
            </w:pPr>
            <w:r>
              <w:rPr>
                <w:rFonts w:hint="eastAsia" w:ascii="宋体" w:hAnsi="宋体" w:cs="宋体"/>
                <w:color w:val="auto"/>
                <w:szCs w:val="21"/>
              </w:rPr>
              <w:t>①</w:t>
            </w:r>
            <w:r>
              <w:rPr>
                <w:color w:val="auto"/>
                <w:szCs w:val="21"/>
              </w:rPr>
              <w:t>审查</w:t>
            </w:r>
            <w:r>
              <w:rPr>
                <w:rFonts w:hint="eastAsia"/>
                <w:color w:val="auto"/>
                <w:szCs w:val="21"/>
              </w:rPr>
              <w:t>响应</w:t>
            </w:r>
            <w:r>
              <w:rPr>
                <w:color w:val="auto"/>
                <w:szCs w:val="21"/>
              </w:rPr>
              <w:t>截止时间前6个月内，</w:t>
            </w:r>
            <w:r>
              <w:rPr>
                <w:rFonts w:hint="eastAsia"/>
                <w:color w:val="auto"/>
              </w:rPr>
              <w:t>供应商</w:t>
            </w:r>
            <w:r>
              <w:rPr>
                <w:color w:val="auto"/>
              </w:rPr>
              <w:t>任意</w:t>
            </w:r>
            <w:r>
              <w:rPr>
                <w:rFonts w:hint="eastAsia"/>
                <w:color w:val="auto"/>
              </w:rPr>
              <w:t>1个月</w:t>
            </w:r>
            <w:r>
              <w:rPr>
                <w:color w:val="auto"/>
                <w:szCs w:val="21"/>
              </w:rPr>
              <w:t>依法缴纳税费证明复印件加盖供应商</w:t>
            </w:r>
            <w:r>
              <w:rPr>
                <w:rFonts w:hint="eastAsia"/>
                <w:color w:val="auto"/>
                <w:szCs w:val="21"/>
              </w:rPr>
              <w:t>电子签章</w:t>
            </w:r>
            <w:r>
              <w:rPr>
                <w:color w:val="auto"/>
                <w:szCs w:val="21"/>
              </w:rPr>
              <w:t>。</w:t>
            </w:r>
          </w:p>
          <w:p w14:paraId="2B5AC36E">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auto"/>
                <w:szCs w:val="21"/>
              </w:rPr>
            </w:pPr>
            <w:r>
              <w:rPr>
                <w:rFonts w:hint="eastAsia" w:ascii="宋体" w:hAnsi="宋体" w:cs="宋体"/>
                <w:color w:val="auto"/>
                <w:szCs w:val="21"/>
              </w:rPr>
              <w:t>②</w:t>
            </w:r>
            <w:r>
              <w:rPr>
                <w:color w:val="auto"/>
                <w:szCs w:val="21"/>
              </w:rPr>
              <w:t>审查</w:t>
            </w:r>
            <w:r>
              <w:rPr>
                <w:rFonts w:hint="eastAsia"/>
                <w:color w:val="auto"/>
                <w:szCs w:val="21"/>
              </w:rPr>
              <w:t>响应</w:t>
            </w:r>
            <w:r>
              <w:rPr>
                <w:color w:val="auto"/>
                <w:szCs w:val="21"/>
              </w:rPr>
              <w:t>截止时间前6个月内，</w:t>
            </w:r>
            <w:r>
              <w:rPr>
                <w:rFonts w:hint="eastAsia"/>
                <w:color w:val="auto"/>
              </w:rPr>
              <w:t>供应商</w:t>
            </w:r>
            <w:r>
              <w:rPr>
                <w:color w:val="auto"/>
              </w:rPr>
              <w:t>任意</w:t>
            </w:r>
            <w:r>
              <w:rPr>
                <w:rFonts w:hint="eastAsia"/>
                <w:color w:val="auto"/>
              </w:rPr>
              <w:t>1个月</w:t>
            </w:r>
            <w:r>
              <w:rPr>
                <w:color w:val="auto"/>
                <w:szCs w:val="21"/>
              </w:rPr>
              <w:t>的社保缴费证明记录复印件加盖供应商</w:t>
            </w:r>
            <w:r>
              <w:rPr>
                <w:rFonts w:hint="eastAsia"/>
                <w:color w:val="auto"/>
                <w:szCs w:val="21"/>
              </w:rPr>
              <w:t>电子签章</w:t>
            </w:r>
            <w:r>
              <w:rPr>
                <w:color w:val="auto"/>
                <w:szCs w:val="21"/>
              </w:rPr>
              <w:t>。</w:t>
            </w:r>
          </w:p>
          <w:p w14:paraId="185192F6">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auto"/>
                <w:szCs w:val="21"/>
              </w:rPr>
            </w:pPr>
            <w:r>
              <w:rPr>
                <w:color w:val="auto"/>
                <w:szCs w:val="21"/>
              </w:rPr>
              <w:t>供应商成立不足</w:t>
            </w:r>
            <w:r>
              <w:rPr>
                <w:rFonts w:hint="eastAsia"/>
                <w:color w:val="auto"/>
                <w:szCs w:val="21"/>
              </w:rPr>
              <w:t>1个月的，无须提供</w:t>
            </w:r>
            <w:r>
              <w:rPr>
                <w:color w:val="auto"/>
                <w:szCs w:val="21"/>
              </w:rPr>
              <w:t>缴纳税费证明及社保缴费证明加盖供应商电子签章</w:t>
            </w:r>
            <w:r>
              <w:rPr>
                <w:rFonts w:hint="eastAsia"/>
                <w:color w:val="auto"/>
                <w:szCs w:val="21"/>
              </w:rPr>
              <w:t>。</w:t>
            </w:r>
          </w:p>
          <w:p w14:paraId="1181B9FE">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auto"/>
                <w:szCs w:val="21"/>
              </w:rPr>
            </w:pPr>
            <w:r>
              <w:rPr>
                <w:color w:val="auto"/>
                <w:szCs w:val="21"/>
              </w:rPr>
              <w:t>依法免税或不需要缴纳社会保障资金的供应商，须提供相应文件证明其依法免税或不需要缴纳社会保障资金。</w:t>
            </w:r>
          </w:p>
        </w:tc>
      </w:tr>
      <w:tr w14:paraId="4DB8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80" w:type="dxa"/>
            <w:vMerge w:val="continue"/>
            <w:noWrap w:val="0"/>
            <w:vAlign w:val="center"/>
          </w:tcPr>
          <w:p w14:paraId="4D6B7106">
            <w:pPr>
              <w:spacing w:line="240" w:lineRule="exact"/>
              <w:rPr>
                <w:szCs w:val="21"/>
                <w:lang w:val="zh-CN"/>
              </w:rPr>
            </w:pPr>
          </w:p>
        </w:tc>
        <w:tc>
          <w:tcPr>
            <w:tcW w:w="2400" w:type="dxa"/>
            <w:noWrap w:val="0"/>
            <w:vAlign w:val="center"/>
          </w:tcPr>
          <w:p w14:paraId="0B27536E">
            <w:pPr>
              <w:spacing w:line="240" w:lineRule="exact"/>
              <w:jc w:val="left"/>
              <w:rPr>
                <w:rFonts w:hint="eastAsia"/>
                <w:szCs w:val="21"/>
              </w:rPr>
            </w:pPr>
            <w:r>
              <w:rPr>
                <w:szCs w:val="21"/>
              </w:rPr>
              <w:t>（5）参加政府采购活动前三年内，在经营活动中没有重大违法记录</w:t>
            </w:r>
          </w:p>
        </w:tc>
        <w:tc>
          <w:tcPr>
            <w:tcW w:w="5350" w:type="dxa"/>
            <w:noWrap w:val="0"/>
            <w:vAlign w:val="center"/>
          </w:tcPr>
          <w:p w14:paraId="499E3531">
            <w:pPr>
              <w:keepNext w:val="0"/>
              <w:keepLines w:val="0"/>
              <w:pageBreakBefore w:val="0"/>
              <w:widowControl w:val="0"/>
              <w:kinsoku/>
              <w:wordWrap/>
              <w:overflowPunct/>
              <w:topLinePunct w:val="0"/>
              <w:autoSpaceDE/>
              <w:autoSpaceDN/>
              <w:bidi w:val="0"/>
              <w:adjustRightInd/>
              <w:snapToGrid/>
              <w:spacing w:line="240" w:lineRule="exact"/>
              <w:jc w:val="left"/>
              <w:textAlignment w:val="auto"/>
              <w:rPr>
                <w:szCs w:val="21"/>
              </w:rPr>
            </w:pPr>
            <w:r>
              <w:rPr>
                <w:szCs w:val="21"/>
              </w:rPr>
              <w:t>审查无重大违法记录声明。须提供，格式见第六章</w:t>
            </w:r>
            <w:r>
              <w:rPr>
                <w:rFonts w:hint="eastAsia"/>
                <w:szCs w:val="21"/>
              </w:rPr>
              <w:t>响应</w:t>
            </w:r>
            <w:r>
              <w:rPr>
                <w:szCs w:val="21"/>
              </w:rPr>
              <w:t>文件格式“</w:t>
            </w:r>
            <w:r>
              <w:rPr>
                <w:rFonts w:hint="eastAsia"/>
                <w:szCs w:val="21"/>
              </w:rPr>
              <w:t>响应</w:t>
            </w:r>
            <w:r>
              <w:rPr>
                <w:szCs w:val="21"/>
              </w:rPr>
              <w:t xml:space="preserve">声明书”。 </w:t>
            </w:r>
          </w:p>
        </w:tc>
      </w:tr>
      <w:tr w14:paraId="4EF6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0" w:type="dxa"/>
            <w:vMerge w:val="continue"/>
            <w:noWrap w:val="0"/>
            <w:vAlign w:val="center"/>
          </w:tcPr>
          <w:p w14:paraId="2CCC1DC2">
            <w:pPr>
              <w:spacing w:line="240" w:lineRule="exact"/>
              <w:rPr>
                <w:szCs w:val="21"/>
                <w:lang w:val="zh-CN"/>
              </w:rPr>
            </w:pPr>
          </w:p>
        </w:tc>
        <w:tc>
          <w:tcPr>
            <w:tcW w:w="2400" w:type="dxa"/>
            <w:noWrap w:val="0"/>
            <w:vAlign w:val="center"/>
          </w:tcPr>
          <w:p w14:paraId="65AEC866">
            <w:pPr>
              <w:spacing w:line="240" w:lineRule="exact"/>
              <w:jc w:val="left"/>
              <w:rPr>
                <w:szCs w:val="21"/>
              </w:rPr>
            </w:pPr>
            <w:r>
              <w:rPr>
                <w:szCs w:val="21"/>
              </w:rPr>
              <w:t>（6）具备法律、行政法规规定的其他要求</w:t>
            </w:r>
          </w:p>
        </w:tc>
        <w:tc>
          <w:tcPr>
            <w:tcW w:w="5350" w:type="dxa"/>
            <w:noWrap w:val="0"/>
            <w:vAlign w:val="center"/>
          </w:tcPr>
          <w:p w14:paraId="0DB74089">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auto"/>
                <w:szCs w:val="21"/>
              </w:rPr>
            </w:pPr>
            <w:r>
              <w:rPr>
                <w:color w:val="auto"/>
                <w:szCs w:val="21"/>
              </w:rPr>
              <w:t>无。</w:t>
            </w:r>
          </w:p>
        </w:tc>
      </w:tr>
      <w:tr w14:paraId="3284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0" w:type="dxa"/>
            <w:noWrap w:val="0"/>
            <w:vAlign w:val="center"/>
          </w:tcPr>
          <w:p w14:paraId="56612757">
            <w:pPr>
              <w:spacing w:line="240" w:lineRule="exact"/>
              <w:jc w:val="left"/>
              <w:rPr>
                <w:kern w:val="0"/>
                <w:szCs w:val="21"/>
              </w:rPr>
            </w:pPr>
            <w:r>
              <w:rPr>
                <w:rFonts w:hint="eastAsia"/>
                <w:kern w:val="0"/>
                <w:szCs w:val="21"/>
              </w:rPr>
              <w:t>采购政策</w:t>
            </w:r>
          </w:p>
        </w:tc>
        <w:tc>
          <w:tcPr>
            <w:tcW w:w="2400" w:type="dxa"/>
            <w:noWrap w:val="0"/>
            <w:vAlign w:val="center"/>
          </w:tcPr>
          <w:p w14:paraId="60F36DE6">
            <w:pPr>
              <w:spacing w:line="240" w:lineRule="exact"/>
              <w:jc w:val="left"/>
              <w:rPr>
                <w:szCs w:val="21"/>
              </w:rPr>
            </w:pPr>
            <w:r>
              <w:rPr>
                <w:rFonts w:hint="eastAsia"/>
                <w:szCs w:val="21"/>
              </w:rPr>
              <w:t>落实政府采购政策需满足的资格要求</w:t>
            </w:r>
          </w:p>
        </w:tc>
        <w:tc>
          <w:tcPr>
            <w:tcW w:w="5350" w:type="dxa"/>
            <w:noWrap w:val="0"/>
            <w:vAlign w:val="center"/>
          </w:tcPr>
          <w:p w14:paraId="042EA90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color w:val="auto"/>
                <w:szCs w:val="21"/>
              </w:rPr>
            </w:pPr>
            <w:r>
              <w:rPr>
                <w:rFonts w:hint="eastAsia"/>
                <w:color w:val="auto"/>
                <w:szCs w:val="21"/>
              </w:rPr>
              <w:t>提供《中小企业声明函》，符合提供招标文件标明所属行业的标的物的制造商应全部为中型或小型或微型企业的条件。</w:t>
            </w:r>
          </w:p>
          <w:p w14:paraId="5763A4B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color w:val="auto"/>
                <w:szCs w:val="21"/>
              </w:rPr>
            </w:pPr>
            <w:r>
              <w:rPr>
                <w:rFonts w:hint="eastAsia"/>
                <w:color w:val="auto"/>
                <w:szCs w:val="21"/>
              </w:rPr>
              <w:t>注：1、符合监狱企业出具监狱企业证明文件的、符合残疾人福利性单位出具《残疾人福利性单位声明函》的视同小微企业。</w:t>
            </w:r>
          </w:p>
          <w:p w14:paraId="780608E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color w:val="auto"/>
                <w:szCs w:val="21"/>
              </w:rPr>
            </w:pPr>
            <w:r>
              <w:rPr>
                <w:rFonts w:hint="eastAsia"/>
                <w:color w:val="auto"/>
                <w:szCs w:val="21"/>
              </w:rPr>
              <w:t>2.律师事务所、司法鉴定机构不适用《中小企业划型标准规定》，不享受中小企业发展政策。</w:t>
            </w:r>
          </w:p>
        </w:tc>
      </w:tr>
      <w:tr w14:paraId="2D57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580" w:type="dxa"/>
            <w:vMerge w:val="restart"/>
            <w:noWrap w:val="0"/>
            <w:vAlign w:val="center"/>
          </w:tcPr>
          <w:p w14:paraId="07A768C0">
            <w:pPr>
              <w:spacing w:line="240" w:lineRule="exact"/>
              <w:rPr>
                <w:szCs w:val="21"/>
              </w:rPr>
            </w:pPr>
            <w:r>
              <w:rPr>
                <w:szCs w:val="21"/>
                <w:lang w:val="zh-CN"/>
              </w:rPr>
              <w:t>供应商应符合的</w:t>
            </w:r>
            <w:r>
              <w:rPr>
                <w:szCs w:val="21"/>
              </w:rPr>
              <w:t>特定资格</w:t>
            </w:r>
            <w:r>
              <w:rPr>
                <w:rFonts w:hint="eastAsia"/>
                <w:szCs w:val="21"/>
              </w:rPr>
              <w:t>要求</w:t>
            </w:r>
          </w:p>
        </w:tc>
        <w:tc>
          <w:tcPr>
            <w:tcW w:w="2400" w:type="dxa"/>
            <w:noWrap w:val="0"/>
            <w:vAlign w:val="center"/>
          </w:tcPr>
          <w:p w14:paraId="084156E4">
            <w:pPr>
              <w:spacing w:line="240" w:lineRule="exact"/>
              <w:jc w:val="left"/>
              <w:rPr>
                <w:szCs w:val="21"/>
              </w:rPr>
            </w:pPr>
            <w:r>
              <w:rPr>
                <w:szCs w:val="21"/>
              </w:rPr>
              <w:t>（1）资质</w:t>
            </w:r>
            <w:r>
              <w:rPr>
                <w:rFonts w:hint="eastAsia"/>
                <w:szCs w:val="21"/>
              </w:rPr>
              <w:t>要求</w:t>
            </w:r>
          </w:p>
        </w:tc>
        <w:tc>
          <w:tcPr>
            <w:tcW w:w="5350" w:type="dxa"/>
            <w:noWrap w:val="0"/>
            <w:vAlign w:val="center"/>
          </w:tcPr>
          <w:p w14:paraId="7E876BD2">
            <w:pPr>
              <w:keepNext w:val="0"/>
              <w:keepLines w:val="0"/>
              <w:pageBreakBefore w:val="0"/>
              <w:widowControl w:val="0"/>
              <w:kinsoku/>
              <w:wordWrap/>
              <w:overflowPunct/>
              <w:topLinePunct w:val="0"/>
              <w:autoSpaceDE/>
              <w:autoSpaceDN/>
              <w:bidi w:val="0"/>
              <w:adjustRightInd/>
              <w:snapToGrid/>
              <w:spacing w:line="240" w:lineRule="exact"/>
              <w:jc w:val="left"/>
              <w:textAlignment w:val="auto"/>
              <w:rPr>
                <w:szCs w:val="21"/>
              </w:rPr>
            </w:pPr>
            <w:r>
              <w:rPr>
                <w:szCs w:val="21"/>
              </w:rPr>
              <w:t>须符合</w:t>
            </w:r>
            <w:r>
              <w:rPr>
                <w:rFonts w:hint="eastAsia"/>
                <w:szCs w:val="21"/>
              </w:rPr>
              <w:t>“谈判公告”</w:t>
            </w:r>
            <w:r>
              <w:rPr>
                <w:szCs w:val="21"/>
              </w:rPr>
              <w:t>的要求</w:t>
            </w:r>
          </w:p>
        </w:tc>
      </w:tr>
      <w:tr w14:paraId="7F0C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80" w:type="dxa"/>
            <w:vMerge w:val="continue"/>
            <w:noWrap w:val="0"/>
            <w:vAlign w:val="center"/>
          </w:tcPr>
          <w:p w14:paraId="200507CE">
            <w:pPr>
              <w:spacing w:line="240" w:lineRule="exact"/>
              <w:rPr>
                <w:szCs w:val="21"/>
              </w:rPr>
            </w:pPr>
          </w:p>
        </w:tc>
        <w:tc>
          <w:tcPr>
            <w:tcW w:w="2400" w:type="dxa"/>
            <w:noWrap w:val="0"/>
            <w:vAlign w:val="center"/>
          </w:tcPr>
          <w:p w14:paraId="589045B4">
            <w:pPr>
              <w:spacing w:line="240" w:lineRule="exact"/>
              <w:jc w:val="left"/>
              <w:rPr>
                <w:szCs w:val="21"/>
              </w:rPr>
            </w:pPr>
            <w:r>
              <w:rPr>
                <w:szCs w:val="21"/>
              </w:rPr>
              <w:t>（2）业绩要求</w:t>
            </w:r>
          </w:p>
        </w:tc>
        <w:tc>
          <w:tcPr>
            <w:tcW w:w="5350" w:type="dxa"/>
            <w:noWrap w:val="0"/>
            <w:vAlign w:val="center"/>
          </w:tcPr>
          <w:p w14:paraId="5BBBC491">
            <w:pPr>
              <w:keepNext w:val="0"/>
              <w:keepLines w:val="0"/>
              <w:pageBreakBefore w:val="0"/>
              <w:widowControl w:val="0"/>
              <w:kinsoku/>
              <w:wordWrap/>
              <w:overflowPunct/>
              <w:topLinePunct w:val="0"/>
              <w:autoSpaceDE/>
              <w:autoSpaceDN/>
              <w:bidi w:val="0"/>
              <w:adjustRightInd/>
              <w:snapToGrid/>
              <w:spacing w:line="240" w:lineRule="exact"/>
              <w:jc w:val="left"/>
              <w:textAlignment w:val="auto"/>
              <w:rPr>
                <w:szCs w:val="21"/>
              </w:rPr>
            </w:pPr>
            <w:r>
              <w:rPr>
                <w:szCs w:val="21"/>
              </w:rPr>
              <w:t>须符合</w:t>
            </w:r>
            <w:r>
              <w:rPr>
                <w:rFonts w:hint="eastAsia"/>
                <w:szCs w:val="21"/>
              </w:rPr>
              <w:t>“谈判公告”</w:t>
            </w:r>
            <w:r>
              <w:rPr>
                <w:szCs w:val="21"/>
              </w:rPr>
              <w:t>的要求</w:t>
            </w:r>
          </w:p>
        </w:tc>
      </w:tr>
      <w:tr w14:paraId="0F54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trPr>
        <w:tc>
          <w:tcPr>
            <w:tcW w:w="1580" w:type="dxa"/>
            <w:vMerge w:val="continue"/>
            <w:noWrap w:val="0"/>
            <w:vAlign w:val="center"/>
          </w:tcPr>
          <w:p w14:paraId="734210DB">
            <w:pPr>
              <w:spacing w:line="240" w:lineRule="exact"/>
              <w:jc w:val="left"/>
              <w:rPr>
                <w:szCs w:val="21"/>
              </w:rPr>
            </w:pPr>
          </w:p>
        </w:tc>
        <w:tc>
          <w:tcPr>
            <w:tcW w:w="2400" w:type="dxa"/>
            <w:noWrap w:val="0"/>
            <w:vAlign w:val="center"/>
          </w:tcPr>
          <w:p w14:paraId="53CF44ED">
            <w:pPr>
              <w:spacing w:line="240" w:lineRule="exact"/>
              <w:jc w:val="left"/>
              <w:rPr>
                <w:szCs w:val="21"/>
              </w:rPr>
            </w:pPr>
            <w:r>
              <w:rPr>
                <w:rFonts w:hint="eastAsia"/>
                <w:szCs w:val="21"/>
              </w:rPr>
              <w:t>（</w:t>
            </w:r>
            <w:r>
              <w:rPr>
                <w:szCs w:val="21"/>
              </w:rPr>
              <w:t>3</w:t>
            </w:r>
            <w:r>
              <w:rPr>
                <w:rFonts w:hint="eastAsia"/>
                <w:szCs w:val="21"/>
              </w:rPr>
              <w:t>）供应商不得参加响应的情形</w:t>
            </w:r>
          </w:p>
        </w:tc>
        <w:tc>
          <w:tcPr>
            <w:tcW w:w="5350" w:type="dxa"/>
            <w:noWrap w:val="0"/>
            <w:vAlign w:val="center"/>
          </w:tcPr>
          <w:p w14:paraId="3982500D">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Cs w:val="21"/>
              </w:rPr>
            </w:pPr>
            <w:r>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kern w:val="0"/>
                <w:szCs w:val="21"/>
              </w:rPr>
              <w:t>本</w:t>
            </w:r>
            <w:r>
              <w:rPr>
                <w:kern w:val="0"/>
                <w:szCs w:val="21"/>
              </w:rPr>
              <w:t>项目的采购活动。</w:t>
            </w:r>
          </w:p>
          <w:p w14:paraId="4D90E6FD">
            <w:pPr>
              <w:keepNext w:val="0"/>
              <w:keepLines w:val="0"/>
              <w:pageBreakBefore w:val="0"/>
              <w:widowControl w:val="0"/>
              <w:kinsoku/>
              <w:wordWrap/>
              <w:overflowPunct/>
              <w:topLinePunct w:val="0"/>
              <w:autoSpaceDE/>
              <w:autoSpaceDN/>
              <w:bidi w:val="0"/>
              <w:adjustRightInd/>
              <w:snapToGrid/>
              <w:spacing w:line="240" w:lineRule="exact"/>
              <w:jc w:val="left"/>
              <w:textAlignment w:val="auto"/>
              <w:rPr>
                <w:szCs w:val="21"/>
              </w:rPr>
            </w:pPr>
            <w:r>
              <w:rPr>
                <w:szCs w:val="21"/>
              </w:rPr>
              <w:t>须提供，格式见第六章</w:t>
            </w:r>
            <w:r>
              <w:rPr>
                <w:rFonts w:hint="eastAsia"/>
                <w:szCs w:val="21"/>
              </w:rPr>
              <w:t>响应</w:t>
            </w:r>
            <w:r>
              <w:rPr>
                <w:szCs w:val="21"/>
              </w:rPr>
              <w:t>文件格式“</w:t>
            </w:r>
            <w:r>
              <w:rPr>
                <w:rFonts w:hint="eastAsia"/>
                <w:szCs w:val="21"/>
              </w:rPr>
              <w:t>供应商直接控股股东、管理关系信息表</w:t>
            </w:r>
            <w:r>
              <w:rPr>
                <w:szCs w:val="21"/>
              </w:rPr>
              <w:t>”。</w:t>
            </w:r>
          </w:p>
        </w:tc>
      </w:tr>
      <w:tr w14:paraId="190D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580" w:type="dxa"/>
            <w:vMerge w:val="continue"/>
            <w:noWrap w:val="0"/>
            <w:vAlign w:val="center"/>
          </w:tcPr>
          <w:p w14:paraId="3754944C">
            <w:pPr>
              <w:spacing w:line="240" w:lineRule="exact"/>
              <w:jc w:val="left"/>
              <w:rPr>
                <w:kern w:val="0"/>
                <w:szCs w:val="21"/>
              </w:rPr>
            </w:pPr>
          </w:p>
        </w:tc>
        <w:tc>
          <w:tcPr>
            <w:tcW w:w="2400" w:type="dxa"/>
            <w:noWrap w:val="0"/>
            <w:vAlign w:val="center"/>
          </w:tcPr>
          <w:p w14:paraId="7E449437">
            <w:pPr>
              <w:spacing w:line="240" w:lineRule="exact"/>
              <w:jc w:val="left"/>
              <w:rPr>
                <w:kern w:val="0"/>
                <w:szCs w:val="21"/>
              </w:rPr>
            </w:pPr>
            <w:r>
              <w:rPr>
                <w:rFonts w:hint="eastAsia"/>
                <w:szCs w:val="21"/>
              </w:rPr>
              <w:t>（</w:t>
            </w:r>
            <w:r>
              <w:rPr>
                <w:szCs w:val="21"/>
              </w:rPr>
              <w:t>4</w:t>
            </w:r>
            <w:r>
              <w:rPr>
                <w:rFonts w:hint="eastAsia"/>
                <w:szCs w:val="21"/>
              </w:rPr>
              <w:t>）诚信要求</w:t>
            </w:r>
          </w:p>
        </w:tc>
        <w:tc>
          <w:tcPr>
            <w:tcW w:w="5350" w:type="dxa"/>
            <w:noWrap w:val="0"/>
            <w:vAlign w:val="top"/>
          </w:tcPr>
          <w:p w14:paraId="3E624176">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Cs w:val="21"/>
              </w:rPr>
            </w:pPr>
            <w:r>
              <w:rPr>
                <w:rFonts w:hint="eastAsia"/>
                <w:szCs w:val="21"/>
              </w:rPr>
              <w:t>未被列入失信被执行人、</w:t>
            </w:r>
            <w:r>
              <w:rPr>
                <w:szCs w:val="21"/>
              </w:rPr>
              <w:t>重大税收违法失信主体、政府采购严重违法失信行为记录名单</w:t>
            </w:r>
            <w:r>
              <w:rPr>
                <w:rFonts w:hint="eastAsia"/>
                <w:szCs w:val="21"/>
              </w:rPr>
              <w:t>。</w:t>
            </w:r>
          </w:p>
        </w:tc>
      </w:tr>
      <w:tr w14:paraId="08D9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580" w:type="dxa"/>
            <w:vMerge w:val="continue"/>
            <w:noWrap w:val="0"/>
            <w:vAlign w:val="center"/>
          </w:tcPr>
          <w:p w14:paraId="316BA5E6">
            <w:pPr>
              <w:spacing w:line="240" w:lineRule="exact"/>
              <w:jc w:val="left"/>
              <w:rPr>
                <w:kern w:val="0"/>
                <w:szCs w:val="21"/>
              </w:rPr>
            </w:pPr>
          </w:p>
        </w:tc>
        <w:tc>
          <w:tcPr>
            <w:tcW w:w="2400" w:type="dxa"/>
            <w:noWrap w:val="0"/>
            <w:vAlign w:val="center"/>
          </w:tcPr>
          <w:p w14:paraId="53BDCFF1">
            <w:pPr>
              <w:spacing w:line="240" w:lineRule="exact"/>
              <w:jc w:val="left"/>
              <w:rPr>
                <w:szCs w:val="21"/>
              </w:rPr>
            </w:pPr>
            <w:r>
              <w:rPr>
                <w:rFonts w:hint="eastAsia"/>
                <w:szCs w:val="21"/>
              </w:rPr>
              <w:t>（5）分公司</w:t>
            </w:r>
          </w:p>
        </w:tc>
        <w:tc>
          <w:tcPr>
            <w:tcW w:w="5350" w:type="dxa"/>
            <w:noWrap w:val="0"/>
            <w:vAlign w:val="center"/>
          </w:tcPr>
          <w:p w14:paraId="2BABB077">
            <w:pPr>
              <w:keepNext w:val="0"/>
              <w:keepLines w:val="0"/>
              <w:pageBreakBefore w:val="0"/>
              <w:widowControl w:val="0"/>
              <w:kinsoku/>
              <w:wordWrap/>
              <w:overflowPunct/>
              <w:topLinePunct w:val="0"/>
              <w:autoSpaceDE/>
              <w:autoSpaceDN/>
              <w:bidi w:val="0"/>
              <w:adjustRightInd/>
              <w:snapToGrid/>
              <w:spacing w:line="240" w:lineRule="exact"/>
              <w:textAlignment w:val="auto"/>
              <w:rPr>
                <w:szCs w:val="21"/>
              </w:rPr>
            </w:pPr>
            <w:r>
              <w:rPr>
                <w:rFonts w:hint="eastAsia"/>
                <w:szCs w:val="21"/>
              </w:rPr>
              <w:t>允许分公司参与响应的，供应商须提供总公司出具的授权其参与本项目的授权文件或制度。</w:t>
            </w:r>
          </w:p>
        </w:tc>
      </w:tr>
      <w:tr w14:paraId="67E8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580" w:type="dxa"/>
            <w:vMerge w:val="continue"/>
            <w:noWrap w:val="0"/>
            <w:vAlign w:val="center"/>
          </w:tcPr>
          <w:p w14:paraId="2101DA3C">
            <w:pPr>
              <w:spacing w:line="240" w:lineRule="exact"/>
              <w:jc w:val="left"/>
              <w:rPr>
                <w:kern w:val="0"/>
                <w:szCs w:val="21"/>
              </w:rPr>
            </w:pPr>
          </w:p>
        </w:tc>
        <w:tc>
          <w:tcPr>
            <w:tcW w:w="2400" w:type="dxa"/>
            <w:noWrap w:val="0"/>
            <w:vAlign w:val="center"/>
          </w:tcPr>
          <w:p w14:paraId="7AEA4B39">
            <w:pPr>
              <w:spacing w:line="240" w:lineRule="exact"/>
              <w:jc w:val="left"/>
              <w:rPr>
                <w:szCs w:val="21"/>
              </w:rPr>
            </w:pPr>
            <w:r>
              <w:rPr>
                <w:rFonts w:hint="eastAsia"/>
                <w:szCs w:val="21"/>
              </w:rPr>
              <w:t>（</w:t>
            </w:r>
            <w:r>
              <w:rPr>
                <w:szCs w:val="21"/>
              </w:rPr>
              <w:t>6</w:t>
            </w:r>
            <w:r>
              <w:rPr>
                <w:rFonts w:hint="eastAsia"/>
                <w:szCs w:val="21"/>
              </w:rPr>
              <w:t>）分包</w:t>
            </w:r>
          </w:p>
        </w:tc>
        <w:tc>
          <w:tcPr>
            <w:tcW w:w="5350" w:type="dxa"/>
            <w:noWrap w:val="0"/>
            <w:vAlign w:val="center"/>
          </w:tcPr>
          <w:p w14:paraId="32C1CAD5">
            <w:pPr>
              <w:keepNext w:val="0"/>
              <w:keepLines w:val="0"/>
              <w:pageBreakBefore w:val="0"/>
              <w:widowControl w:val="0"/>
              <w:kinsoku/>
              <w:wordWrap/>
              <w:overflowPunct/>
              <w:topLinePunct w:val="0"/>
              <w:autoSpaceDE/>
              <w:autoSpaceDN/>
              <w:bidi w:val="0"/>
              <w:adjustRightInd/>
              <w:snapToGrid/>
              <w:spacing w:line="240" w:lineRule="exact"/>
              <w:textAlignment w:val="auto"/>
              <w:rPr>
                <w:szCs w:val="21"/>
                <w:lang w:val="zh-CN"/>
              </w:rPr>
            </w:pPr>
            <w:r>
              <w:rPr>
                <w:szCs w:val="21"/>
              </w:rPr>
              <w:t>须符合</w:t>
            </w:r>
            <w:r>
              <w:rPr>
                <w:rFonts w:hint="eastAsia"/>
                <w:szCs w:val="21"/>
              </w:rPr>
              <w:t>“谈判公告”</w:t>
            </w:r>
            <w:r>
              <w:rPr>
                <w:szCs w:val="21"/>
              </w:rPr>
              <w:t>的要求</w:t>
            </w:r>
          </w:p>
        </w:tc>
      </w:tr>
      <w:tr w14:paraId="314C6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1580" w:type="dxa"/>
            <w:vMerge w:val="continue"/>
            <w:noWrap w:val="0"/>
            <w:vAlign w:val="center"/>
          </w:tcPr>
          <w:p w14:paraId="3DF917CC">
            <w:pPr>
              <w:spacing w:line="240" w:lineRule="exact"/>
              <w:jc w:val="left"/>
              <w:rPr>
                <w:kern w:val="0"/>
                <w:szCs w:val="21"/>
              </w:rPr>
            </w:pPr>
          </w:p>
        </w:tc>
        <w:tc>
          <w:tcPr>
            <w:tcW w:w="2400" w:type="dxa"/>
            <w:noWrap w:val="0"/>
            <w:vAlign w:val="center"/>
          </w:tcPr>
          <w:p w14:paraId="741FC324">
            <w:pPr>
              <w:spacing w:line="240" w:lineRule="exact"/>
              <w:jc w:val="left"/>
              <w:rPr>
                <w:szCs w:val="21"/>
              </w:rPr>
            </w:pPr>
            <w:r>
              <w:rPr>
                <w:rFonts w:hint="eastAsia"/>
                <w:szCs w:val="21"/>
              </w:rPr>
              <w:t>（</w:t>
            </w:r>
            <w:r>
              <w:rPr>
                <w:szCs w:val="21"/>
              </w:rPr>
              <w:t>7</w:t>
            </w:r>
            <w:r>
              <w:rPr>
                <w:rFonts w:hint="eastAsia"/>
                <w:szCs w:val="21"/>
              </w:rPr>
              <w:t>）联合体</w:t>
            </w:r>
          </w:p>
        </w:tc>
        <w:tc>
          <w:tcPr>
            <w:tcW w:w="5350" w:type="dxa"/>
            <w:noWrap w:val="0"/>
            <w:vAlign w:val="center"/>
          </w:tcPr>
          <w:p w14:paraId="5B54FEC8">
            <w:pPr>
              <w:keepNext w:val="0"/>
              <w:keepLines w:val="0"/>
              <w:pageBreakBefore w:val="0"/>
              <w:widowControl w:val="0"/>
              <w:kinsoku/>
              <w:wordWrap/>
              <w:overflowPunct/>
              <w:topLinePunct w:val="0"/>
              <w:autoSpaceDE/>
              <w:autoSpaceDN/>
              <w:bidi w:val="0"/>
              <w:adjustRightInd/>
              <w:snapToGrid/>
              <w:spacing w:line="240" w:lineRule="exact"/>
              <w:textAlignment w:val="auto"/>
              <w:rPr>
                <w:szCs w:val="21"/>
              </w:rPr>
            </w:pPr>
            <w:r>
              <w:rPr>
                <w:rFonts w:hint="eastAsia"/>
                <w:szCs w:val="21"/>
                <w:lang w:val="zh-CN"/>
              </w:rPr>
              <w:t>须符合“谈判公告”的要求</w:t>
            </w:r>
          </w:p>
        </w:tc>
      </w:tr>
      <w:tr w14:paraId="2BBB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1580" w:type="dxa"/>
            <w:vMerge w:val="continue"/>
            <w:noWrap w:val="0"/>
            <w:vAlign w:val="center"/>
          </w:tcPr>
          <w:p w14:paraId="46BB039C">
            <w:pPr>
              <w:spacing w:line="240" w:lineRule="exact"/>
              <w:jc w:val="left"/>
              <w:rPr>
                <w:kern w:val="0"/>
                <w:szCs w:val="21"/>
              </w:rPr>
            </w:pPr>
          </w:p>
        </w:tc>
        <w:tc>
          <w:tcPr>
            <w:tcW w:w="2400" w:type="dxa"/>
            <w:noWrap w:val="0"/>
            <w:vAlign w:val="center"/>
          </w:tcPr>
          <w:p w14:paraId="7AB75A0E">
            <w:pPr>
              <w:spacing w:line="240" w:lineRule="exact"/>
              <w:jc w:val="left"/>
              <w:rPr>
                <w:szCs w:val="21"/>
              </w:rPr>
            </w:pPr>
            <w:r>
              <w:rPr>
                <w:rFonts w:hint="eastAsia"/>
                <w:szCs w:val="21"/>
              </w:rPr>
              <w:t>（</w:t>
            </w:r>
            <w:r>
              <w:rPr>
                <w:szCs w:val="21"/>
              </w:rPr>
              <w:t>8</w:t>
            </w:r>
            <w:r>
              <w:rPr>
                <w:rFonts w:hint="eastAsia"/>
                <w:szCs w:val="21"/>
              </w:rPr>
              <w:t>）其他要求</w:t>
            </w:r>
          </w:p>
        </w:tc>
        <w:tc>
          <w:tcPr>
            <w:tcW w:w="5350" w:type="dxa"/>
            <w:noWrap w:val="0"/>
            <w:vAlign w:val="top"/>
          </w:tcPr>
          <w:p w14:paraId="442335AD">
            <w:pPr>
              <w:keepNext w:val="0"/>
              <w:keepLines w:val="0"/>
              <w:pageBreakBefore w:val="0"/>
              <w:widowControl w:val="0"/>
              <w:kinsoku/>
              <w:wordWrap/>
              <w:overflowPunct/>
              <w:topLinePunct w:val="0"/>
              <w:autoSpaceDE/>
              <w:autoSpaceDN/>
              <w:bidi w:val="0"/>
              <w:adjustRightInd/>
              <w:snapToGrid/>
              <w:spacing w:line="312" w:lineRule="auto"/>
              <w:jc w:val="left"/>
              <w:textAlignment w:val="auto"/>
              <w:rPr>
                <w:kern w:val="0"/>
                <w:szCs w:val="21"/>
              </w:rPr>
            </w:pPr>
            <w:r>
              <w:rPr>
                <w:rFonts w:hint="eastAsia"/>
                <w:kern w:val="0"/>
                <w:szCs w:val="21"/>
              </w:rPr>
              <w:t>按</w:t>
            </w:r>
            <w:r>
              <w:rPr>
                <w:kern w:val="0"/>
                <w:szCs w:val="21"/>
              </w:rPr>
              <w:t>照</w:t>
            </w:r>
            <w:r>
              <w:rPr>
                <w:rFonts w:hint="eastAsia"/>
                <w:kern w:val="0"/>
                <w:szCs w:val="21"/>
              </w:rPr>
              <w:t>谈判</w:t>
            </w:r>
            <w:r>
              <w:rPr>
                <w:kern w:val="0"/>
                <w:szCs w:val="21"/>
              </w:rPr>
              <w:t>公告规定获得</w:t>
            </w:r>
            <w:r>
              <w:rPr>
                <w:rFonts w:hint="eastAsia"/>
                <w:kern w:val="0"/>
                <w:szCs w:val="21"/>
              </w:rPr>
              <w:t>采购</w:t>
            </w:r>
            <w:r>
              <w:rPr>
                <w:kern w:val="0"/>
                <w:szCs w:val="21"/>
              </w:rPr>
              <w:t>文件。</w:t>
            </w:r>
            <w:r>
              <w:rPr>
                <w:rFonts w:hint="eastAsia"/>
                <w:kern w:val="0"/>
                <w:szCs w:val="21"/>
              </w:rPr>
              <w:t>足额、及时缴纳谈判保证金。</w:t>
            </w:r>
          </w:p>
        </w:tc>
      </w:tr>
      <w:bookmarkEnd w:id="79"/>
    </w:tbl>
    <w:p w14:paraId="576B529B">
      <w:pPr>
        <w:spacing w:before="120" w:line="320" w:lineRule="atLeast"/>
        <w:ind w:firstLine="413" w:firstLineChars="196"/>
        <w:outlineLvl w:val="1"/>
        <w:rPr>
          <w:b/>
          <w:bCs/>
          <w:kern w:val="0"/>
          <w:szCs w:val="21"/>
        </w:rPr>
      </w:pPr>
      <w:bookmarkStart w:id="80" w:name="_Hlk92979639"/>
      <w:r>
        <w:rPr>
          <w:b/>
          <w:bCs/>
          <w:kern w:val="0"/>
          <w:szCs w:val="21"/>
        </w:rPr>
        <w:t>3</w:t>
      </w:r>
      <w:r>
        <w:rPr>
          <w:rFonts w:hint="eastAsia"/>
          <w:b/>
          <w:bCs/>
          <w:kern w:val="0"/>
          <w:szCs w:val="21"/>
        </w:rPr>
        <w:t>.</w:t>
      </w:r>
      <w:r>
        <w:rPr>
          <w:b/>
          <w:bCs/>
          <w:kern w:val="0"/>
          <w:szCs w:val="21"/>
        </w:rPr>
        <w:t>符合性审查</w:t>
      </w:r>
      <w:r>
        <w:rPr>
          <w:rFonts w:hint="eastAsia"/>
          <w:b/>
          <w:bCs/>
          <w:kern w:val="0"/>
          <w:szCs w:val="21"/>
        </w:rPr>
        <w:t>标准（不满足任何一项审查内容要求，符合性审查即为不合格）</w:t>
      </w:r>
    </w:p>
    <w:tbl>
      <w:tblPr>
        <w:tblStyle w:val="51"/>
        <w:tblW w:w="932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9"/>
        <w:gridCol w:w="2436"/>
        <w:gridCol w:w="5309"/>
      </w:tblGrid>
      <w:tr w14:paraId="0AD7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579" w:type="dxa"/>
            <w:noWrap w:val="0"/>
            <w:vAlign w:val="center"/>
          </w:tcPr>
          <w:p w14:paraId="620C47D9">
            <w:pPr>
              <w:spacing w:line="240" w:lineRule="exact"/>
              <w:jc w:val="center"/>
              <w:rPr>
                <w:b/>
                <w:kern w:val="0"/>
                <w:szCs w:val="21"/>
              </w:rPr>
            </w:pPr>
            <w:bookmarkStart w:id="81" w:name="_Hlk92979654"/>
            <w:r>
              <w:rPr>
                <w:rFonts w:hint="eastAsia"/>
                <w:b/>
                <w:kern w:val="0"/>
                <w:szCs w:val="21"/>
              </w:rPr>
              <w:t>审查</w:t>
            </w:r>
            <w:r>
              <w:rPr>
                <w:b/>
                <w:kern w:val="0"/>
                <w:szCs w:val="21"/>
              </w:rPr>
              <w:t>因素</w:t>
            </w:r>
          </w:p>
        </w:tc>
        <w:tc>
          <w:tcPr>
            <w:tcW w:w="2436" w:type="dxa"/>
            <w:noWrap w:val="0"/>
            <w:vAlign w:val="center"/>
          </w:tcPr>
          <w:p w14:paraId="7E3646B2">
            <w:pPr>
              <w:spacing w:line="240" w:lineRule="exact"/>
              <w:jc w:val="center"/>
              <w:rPr>
                <w:b/>
                <w:kern w:val="0"/>
                <w:szCs w:val="21"/>
              </w:rPr>
            </w:pPr>
            <w:r>
              <w:rPr>
                <w:rFonts w:hint="eastAsia"/>
                <w:b/>
                <w:kern w:val="0"/>
                <w:szCs w:val="21"/>
              </w:rPr>
              <w:t>审查内容</w:t>
            </w:r>
          </w:p>
        </w:tc>
        <w:tc>
          <w:tcPr>
            <w:tcW w:w="5309" w:type="dxa"/>
            <w:noWrap w:val="0"/>
            <w:vAlign w:val="top"/>
          </w:tcPr>
          <w:p w14:paraId="6920F2A9">
            <w:pPr>
              <w:spacing w:line="240" w:lineRule="exact"/>
              <w:jc w:val="center"/>
              <w:rPr>
                <w:b/>
                <w:kern w:val="0"/>
                <w:szCs w:val="21"/>
              </w:rPr>
            </w:pPr>
            <w:r>
              <w:rPr>
                <w:rFonts w:hint="eastAsia"/>
                <w:b/>
                <w:kern w:val="0"/>
                <w:szCs w:val="21"/>
              </w:rPr>
              <w:t>说明</w:t>
            </w:r>
          </w:p>
        </w:tc>
      </w:tr>
      <w:tr w14:paraId="04C5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1579" w:type="dxa"/>
            <w:vMerge w:val="restart"/>
            <w:noWrap w:val="0"/>
            <w:vAlign w:val="center"/>
          </w:tcPr>
          <w:p w14:paraId="01FB3FD5">
            <w:pPr>
              <w:spacing w:line="240" w:lineRule="exact"/>
              <w:jc w:val="center"/>
              <w:rPr>
                <w:kern w:val="0"/>
                <w:szCs w:val="21"/>
              </w:rPr>
            </w:pPr>
            <w:r>
              <w:rPr>
                <w:rFonts w:hint="eastAsia"/>
                <w:kern w:val="0"/>
                <w:szCs w:val="21"/>
              </w:rPr>
              <w:t>商务资信</w:t>
            </w:r>
          </w:p>
        </w:tc>
        <w:tc>
          <w:tcPr>
            <w:tcW w:w="2436" w:type="dxa"/>
            <w:noWrap w:val="0"/>
            <w:vAlign w:val="center"/>
          </w:tcPr>
          <w:p w14:paraId="24DCF887">
            <w:pPr>
              <w:spacing w:line="240" w:lineRule="exact"/>
            </w:pPr>
            <w:r>
              <w:rPr>
                <w:rFonts w:hint="eastAsia"/>
              </w:rPr>
              <w:t>法定代表人身份证明及授权委托书</w:t>
            </w:r>
          </w:p>
        </w:tc>
        <w:tc>
          <w:tcPr>
            <w:tcW w:w="5309" w:type="dxa"/>
            <w:noWrap w:val="0"/>
            <w:vAlign w:val="center"/>
          </w:tcPr>
          <w:p w14:paraId="3E02DA40">
            <w:pPr>
              <w:keepNext w:val="0"/>
              <w:keepLines w:val="0"/>
              <w:pageBreakBefore w:val="0"/>
              <w:widowControl w:val="0"/>
              <w:kinsoku/>
              <w:wordWrap/>
              <w:overflowPunct/>
              <w:topLinePunct w:val="0"/>
              <w:autoSpaceDE/>
              <w:autoSpaceDN/>
              <w:bidi w:val="0"/>
              <w:adjustRightInd/>
              <w:snapToGrid/>
              <w:spacing w:line="240" w:lineRule="exact"/>
              <w:textAlignment w:val="auto"/>
              <w:rPr>
                <w:szCs w:val="21"/>
              </w:rPr>
            </w:pPr>
            <w:r>
              <w:rPr>
                <w:rFonts w:hint="eastAsia"/>
                <w:szCs w:val="21"/>
              </w:rPr>
              <w:t>授权</w:t>
            </w:r>
            <w:r>
              <w:rPr>
                <w:szCs w:val="21"/>
              </w:rPr>
              <w:t>代表</w:t>
            </w:r>
            <w:r>
              <w:rPr>
                <w:rFonts w:hint="eastAsia"/>
                <w:szCs w:val="21"/>
              </w:rPr>
              <w:t>参加响应</w:t>
            </w:r>
            <w:r>
              <w:rPr>
                <w:szCs w:val="21"/>
              </w:rPr>
              <w:t>时审查</w:t>
            </w:r>
            <w:r>
              <w:t>：</w:t>
            </w:r>
            <w:r>
              <w:rPr>
                <w:rFonts w:ascii="宋体" w:hAnsi="宋体"/>
                <w:szCs w:val="21"/>
              </w:rPr>
              <w:t>法定代表人授权委托书及附件</w:t>
            </w:r>
            <w:r>
              <w:rPr>
                <w:szCs w:val="21"/>
              </w:rPr>
              <w:t xml:space="preserve"> </w:t>
            </w:r>
          </w:p>
          <w:p w14:paraId="179642F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szCs w:val="21"/>
              </w:rPr>
            </w:pPr>
            <w:r>
              <w:rPr>
                <w:rFonts w:hint="eastAsia"/>
                <w:szCs w:val="21"/>
              </w:rPr>
              <w:t>法定代表人直接参加响应</w:t>
            </w:r>
            <w:r>
              <w:rPr>
                <w:szCs w:val="21"/>
              </w:rPr>
              <w:t>时审查</w:t>
            </w:r>
            <w:r>
              <w:t>：</w:t>
            </w:r>
            <w:r>
              <w:rPr>
                <w:rFonts w:ascii="宋体" w:hAnsi="宋体"/>
                <w:szCs w:val="21"/>
              </w:rPr>
              <w:t>法定代表人身份证明</w:t>
            </w:r>
            <w:r>
              <w:rPr>
                <w:rFonts w:hint="eastAsia" w:ascii="宋体" w:hAnsi="宋体"/>
                <w:szCs w:val="21"/>
              </w:rPr>
              <w:t>及</w:t>
            </w:r>
            <w:r>
              <w:rPr>
                <w:rFonts w:ascii="宋体" w:hAnsi="宋体"/>
                <w:szCs w:val="21"/>
              </w:rPr>
              <w:t>附件</w:t>
            </w:r>
          </w:p>
          <w:p w14:paraId="4176A1D4">
            <w:pPr>
              <w:keepNext w:val="0"/>
              <w:keepLines w:val="0"/>
              <w:pageBreakBefore w:val="0"/>
              <w:widowControl w:val="0"/>
              <w:kinsoku/>
              <w:wordWrap/>
              <w:overflowPunct/>
              <w:topLinePunct w:val="0"/>
              <w:autoSpaceDE/>
              <w:autoSpaceDN/>
              <w:bidi w:val="0"/>
              <w:adjustRightInd/>
              <w:snapToGrid/>
              <w:spacing w:line="240" w:lineRule="exact"/>
              <w:textAlignment w:val="auto"/>
            </w:pPr>
            <w:r>
              <w:rPr>
                <w:rFonts w:ascii="宋体" w:hAnsi="宋体"/>
                <w:szCs w:val="21"/>
              </w:rPr>
              <w:t>格式及附件见第六章响应文件格式要求</w:t>
            </w:r>
          </w:p>
        </w:tc>
      </w:tr>
      <w:tr w14:paraId="05A4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579" w:type="dxa"/>
            <w:vMerge w:val="continue"/>
            <w:noWrap w:val="0"/>
            <w:vAlign w:val="center"/>
          </w:tcPr>
          <w:p w14:paraId="47F0495D">
            <w:pPr>
              <w:spacing w:line="240" w:lineRule="exact"/>
              <w:jc w:val="center"/>
              <w:rPr>
                <w:kern w:val="0"/>
                <w:szCs w:val="21"/>
              </w:rPr>
            </w:pPr>
          </w:p>
        </w:tc>
        <w:tc>
          <w:tcPr>
            <w:tcW w:w="2436" w:type="dxa"/>
            <w:noWrap w:val="0"/>
            <w:vAlign w:val="center"/>
          </w:tcPr>
          <w:p w14:paraId="772DE498">
            <w:pPr>
              <w:spacing w:line="240" w:lineRule="exact"/>
              <w:rPr>
                <w:szCs w:val="21"/>
              </w:rPr>
            </w:pPr>
            <w:r>
              <w:rPr>
                <w:rFonts w:hint="eastAsia"/>
                <w:szCs w:val="21"/>
              </w:rPr>
              <w:t>实质性条款响应</w:t>
            </w:r>
          </w:p>
        </w:tc>
        <w:tc>
          <w:tcPr>
            <w:tcW w:w="5309" w:type="dxa"/>
            <w:noWrap w:val="0"/>
            <w:vAlign w:val="center"/>
          </w:tcPr>
          <w:p w14:paraId="6108B02F">
            <w:pPr>
              <w:keepNext w:val="0"/>
              <w:keepLines w:val="0"/>
              <w:pageBreakBefore w:val="0"/>
              <w:widowControl w:val="0"/>
              <w:kinsoku/>
              <w:wordWrap/>
              <w:overflowPunct/>
              <w:topLinePunct w:val="0"/>
              <w:autoSpaceDE/>
              <w:autoSpaceDN/>
              <w:bidi w:val="0"/>
              <w:adjustRightInd/>
              <w:snapToGrid/>
              <w:spacing w:line="240" w:lineRule="exact"/>
              <w:textAlignment w:val="auto"/>
              <w:rPr>
                <w:szCs w:val="21"/>
              </w:rPr>
            </w:pPr>
            <w:r>
              <w:rPr>
                <w:rFonts w:hint="eastAsia" w:ascii="宋体" w:hAnsi="宋体"/>
                <w:color w:val="000000"/>
                <w:szCs w:val="21"/>
              </w:rPr>
              <w:t>采购文件实质性要求响应均无负偏离</w:t>
            </w:r>
          </w:p>
        </w:tc>
      </w:tr>
      <w:tr w14:paraId="1C04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579" w:type="dxa"/>
            <w:vMerge w:val="continue"/>
            <w:noWrap w:val="0"/>
            <w:vAlign w:val="center"/>
          </w:tcPr>
          <w:p w14:paraId="00346AE2">
            <w:pPr>
              <w:spacing w:line="240" w:lineRule="exact"/>
              <w:jc w:val="center"/>
              <w:rPr>
                <w:kern w:val="0"/>
                <w:szCs w:val="21"/>
              </w:rPr>
            </w:pPr>
          </w:p>
        </w:tc>
        <w:tc>
          <w:tcPr>
            <w:tcW w:w="2436" w:type="dxa"/>
            <w:noWrap w:val="0"/>
            <w:vAlign w:val="center"/>
          </w:tcPr>
          <w:p w14:paraId="2B404BA5">
            <w:pPr>
              <w:spacing w:line="240" w:lineRule="exact"/>
              <w:rPr>
                <w:rFonts w:hint="eastAsia" w:eastAsia="宋体"/>
                <w:szCs w:val="21"/>
                <w:lang w:eastAsia="zh-CN"/>
              </w:rPr>
            </w:pPr>
            <w:r>
              <w:rPr>
                <w:rFonts w:hint="eastAsia"/>
                <w:szCs w:val="21"/>
                <w:lang w:eastAsia="zh-CN"/>
              </w:rPr>
              <w:t>串通响应</w:t>
            </w:r>
          </w:p>
        </w:tc>
        <w:tc>
          <w:tcPr>
            <w:tcW w:w="5309" w:type="dxa"/>
            <w:noWrap w:val="0"/>
            <w:vAlign w:val="center"/>
          </w:tcPr>
          <w:p w14:paraId="1EDEE9D5">
            <w:pPr>
              <w:keepNext w:val="0"/>
              <w:keepLines w:val="0"/>
              <w:pageBreakBefore w:val="0"/>
              <w:widowControl w:val="0"/>
              <w:kinsoku/>
              <w:wordWrap/>
              <w:overflowPunct/>
              <w:topLinePunct w:val="0"/>
              <w:autoSpaceDE/>
              <w:autoSpaceDN/>
              <w:bidi w:val="0"/>
              <w:adjustRightInd/>
              <w:snapToGrid/>
              <w:spacing w:line="240" w:lineRule="exact"/>
              <w:textAlignment w:val="auto"/>
              <w:rPr>
                <w:szCs w:val="21"/>
              </w:rPr>
            </w:pPr>
            <w:r>
              <w:rPr>
                <w:rFonts w:hint="eastAsia" w:ascii="宋体" w:hAnsi="宋体"/>
                <w:color w:val="000000"/>
                <w:szCs w:val="21"/>
              </w:rPr>
              <w:t>不属于供应商须知正</w:t>
            </w:r>
            <w:r>
              <w:rPr>
                <w:rFonts w:hint="eastAsia" w:ascii="宋体" w:hAnsi="宋体"/>
                <w:szCs w:val="21"/>
              </w:rPr>
              <w:t>文第</w:t>
            </w:r>
            <w:r>
              <w:rPr>
                <w:rFonts w:ascii="宋体" w:hAnsi="宋体"/>
                <w:szCs w:val="21"/>
              </w:rPr>
              <w:t>6</w:t>
            </w:r>
            <w:r>
              <w:rPr>
                <w:rFonts w:hint="eastAsia" w:ascii="宋体" w:hAnsi="宋体"/>
                <w:szCs w:val="21"/>
              </w:rPr>
              <w:t>.</w:t>
            </w:r>
            <w:r>
              <w:rPr>
                <w:rFonts w:ascii="宋体" w:hAnsi="宋体"/>
                <w:szCs w:val="21"/>
              </w:rPr>
              <w:t>3</w:t>
            </w:r>
            <w:r>
              <w:rPr>
                <w:rFonts w:hint="eastAsia" w:ascii="宋体" w:hAnsi="宋体"/>
                <w:szCs w:val="21"/>
              </w:rPr>
              <w:t>.</w:t>
            </w:r>
            <w:r>
              <w:rPr>
                <w:rFonts w:hint="eastAsia" w:ascii="宋体" w:hAnsi="宋体"/>
                <w:szCs w:val="21"/>
                <w:lang w:val="en-US" w:eastAsia="zh-CN"/>
              </w:rPr>
              <w:t>9</w:t>
            </w:r>
            <w:r>
              <w:rPr>
                <w:rFonts w:hint="eastAsia" w:ascii="宋体" w:hAnsi="宋体"/>
                <w:szCs w:val="21"/>
              </w:rPr>
              <w:t>规定的</w:t>
            </w:r>
            <w:r>
              <w:rPr>
                <w:rFonts w:hint="eastAsia" w:ascii="宋体" w:hAnsi="宋体"/>
                <w:szCs w:val="21"/>
                <w:lang w:eastAsia="zh-CN"/>
              </w:rPr>
              <w:t>串通响应</w:t>
            </w:r>
            <w:r>
              <w:rPr>
                <w:rFonts w:hint="eastAsia" w:ascii="宋体" w:hAnsi="宋体"/>
                <w:szCs w:val="21"/>
              </w:rPr>
              <w:t>情形，见</w:t>
            </w:r>
            <w:r>
              <w:rPr>
                <w:rFonts w:ascii="宋体" w:hAnsi="宋体"/>
                <w:szCs w:val="21"/>
              </w:rPr>
              <w:t>第六章响应文件格式要求</w:t>
            </w:r>
          </w:p>
        </w:tc>
      </w:tr>
      <w:tr w14:paraId="3992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1579" w:type="dxa"/>
            <w:vMerge w:val="restart"/>
            <w:noWrap w:val="0"/>
            <w:vAlign w:val="center"/>
          </w:tcPr>
          <w:p w14:paraId="1DBF50E7">
            <w:pPr>
              <w:spacing w:line="240" w:lineRule="exact"/>
              <w:jc w:val="center"/>
              <w:rPr>
                <w:szCs w:val="21"/>
              </w:rPr>
            </w:pPr>
            <w:r>
              <w:rPr>
                <w:rFonts w:hint="eastAsia"/>
                <w:kern w:val="0"/>
                <w:szCs w:val="21"/>
              </w:rPr>
              <w:t>技术</w:t>
            </w:r>
          </w:p>
        </w:tc>
        <w:tc>
          <w:tcPr>
            <w:tcW w:w="2436" w:type="dxa"/>
            <w:noWrap w:val="0"/>
            <w:vAlign w:val="center"/>
          </w:tcPr>
          <w:p w14:paraId="24697E9E">
            <w:pPr>
              <w:spacing w:line="240" w:lineRule="exact"/>
              <w:rPr>
                <w:szCs w:val="21"/>
              </w:rPr>
            </w:pPr>
            <w:r>
              <w:rPr>
                <w:rFonts w:hint="eastAsia"/>
                <w:szCs w:val="21"/>
              </w:rPr>
              <w:t>节能产品（如有）</w:t>
            </w:r>
          </w:p>
        </w:tc>
        <w:tc>
          <w:tcPr>
            <w:tcW w:w="5309" w:type="dxa"/>
            <w:noWrap w:val="0"/>
            <w:vAlign w:val="center"/>
          </w:tcPr>
          <w:p w14:paraId="6687E106">
            <w:pPr>
              <w:keepNext w:val="0"/>
              <w:keepLines w:val="0"/>
              <w:pageBreakBefore w:val="0"/>
              <w:widowControl w:val="0"/>
              <w:kinsoku/>
              <w:wordWrap/>
              <w:overflowPunct/>
              <w:topLinePunct w:val="0"/>
              <w:autoSpaceDE/>
              <w:autoSpaceDN/>
              <w:bidi w:val="0"/>
              <w:adjustRightInd/>
              <w:snapToGrid/>
              <w:spacing w:line="240" w:lineRule="exact"/>
              <w:textAlignment w:val="auto"/>
              <w:rPr>
                <w:bCs/>
                <w:kern w:val="0"/>
                <w:szCs w:val="21"/>
              </w:rPr>
            </w:pPr>
            <w:r>
              <w:rPr>
                <w:rFonts w:hint="eastAsia"/>
                <w:szCs w:val="21"/>
              </w:rPr>
              <w:t>采购需求</w:t>
            </w:r>
            <w:r>
              <w:rPr>
                <w:szCs w:val="21"/>
              </w:rPr>
              <w:t>如果包括政府强制采购节能产品</w:t>
            </w:r>
            <w:r>
              <w:rPr>
                <w:rFonts w:hint="eastAsia"/>
                <w:szCs w:val="21"/>
              </w:rPr>
              <w:t>，响应</w:t>
            </w:r>
            <w:r>
              <w:rPr>
                <w:szCs w:val="21"/>
              </w:rPr>
              <w:t>产品</w:t>
            </w:r>
            <w:r>
              <w:rPr>
                <w:rFonts w:hint="eastAsia"/>
                <w:szCs w:val="21"/>
              </w:rPr>
              <w:t>未使用节能产品政府采购品目清单内的产品，或未处于有效期之内，</w:t>
            </w:r>
            <w:r>
              <w:rPr>
                <w:rFonts w:ascii="宋体" w:hAnsi="宋体"/>
                <w:szCs w:val="21"/>
              </w:rPr>
              <w:t>见第六章响应文件格式要求</w:t>
            </w:r>
          </w:p>
        </w:tc>
      </w:tr>
      <w:tr w14:paraId="3470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1579" w:type="dxa"/>
            <w:vMerge w:val="continue"/>
            <w:noWrap w:val="0"/>
            <w:vAlign w:val="center"/>
          </w:tcPr>
          <w:p w14:paraId="433D08B1">
            <w:pPr>
              <w:spacing w:line="240" w:lineRule="exact"/>
              <w:jc w:val="center"/>
              <w:rPr>
                <w:kern w:val="0"/>
                <w:szCs w:val="21"/>
              </w:rPr>
            </w:pPr>
          </w:p>
        </w:tc>
        <w:tc>
          <w:tcPr>
            <w:tcW w:w="2436" w:type="dxa"/>
            <w:noWrap w:val="0"/>
            <w:vAlign w:val="top"/>
          </w:tcPr>
          <w:p w14:paraId="1A48EBED"/>
          <w:p w14:paraId="3D8D56C0"/>
          <w:p w14:paraId="2FE1E5D5">
            <w:pPr>
              <w:rPr>
                <w:rFonts w:hint="eastAsia"/>
              </w:rPr>
            </w:pPr>
            <w:r>
              <w:rPr>
                <w:rFonts w:hint="eastAsia"/>
              </w:rPr>
              <w:t>网络安全专用产品（如有）</w:t>
            </w:r>
          </w:p>
        </w:tc>
        <w:tc>
          <w:tcPr>
            <w:tcW w:w="5309" w:type="dxa"/>
            <w:noWrap w:val="0"/>
            <w:vAlign w:val="top"/>
          </w:tcPr>
          <w:p w14:paraId="6836942A">
            <w:pPr>
              <w:keepNext w:val="0"/>
              <w:keepLines w:val="0"/>
              <w:pageBreakBefore w:val="0"/>
              <w:widowControl w:val="0"/>
              <w:kinsoku/>
              <w:wordWrap/>
              <w:overflowPunct/>
              <w:topLinePunct w:val="0"/>
              <w:autoSpaceDE/>
              <w:autoSpaceDN/>
              <w:bidi w:val="0"/>
              <w:adjustRightInd/>
              <w:snapToGrid/>
              <w:textAlignment w:val="auto"/>
            </w:pPr>
            <w:r>
              <w:rPr>
                <w:rFonts w:hint="eastAsia"/>
              </w:rPr>
              <w:t>采购需求如果包括《网络关键设备和网络安全专用产品目录》所规定的网络安全专用产品，响应提供的网络安全专用产品应在《网络关键设备和网络安全专用产品安全认证和安全检测结果》中或具备在有效期内的《计算机信息系统安全专用产品销售许可证》，见第六章响应文件格式要求。</w:t>
            </w:r>
          </w:p>
        </w:tc>
      </w:tr>
      <w:tr w14:paraId="04FF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restart"/>
            <w:noWrap w:val="0"/>
            <w:vAlign w:val="center"/>
          </w:tcPr>
          <w:p w14:paraId="46FCBF07">
            <w:pPr>
              <w:spacing w:line="240" w:lineRule="exact"/>
              <w:jc w:val="center"/>
              <w:rPr>
                <w:kern w:val="0"/>
                <w:szCs w:val="21"/>
              </w:rPr>
            </w:pPr>
            <w:r>
              <w:rPr>
                <w:rFonts w:hint="eastAsia"/>
                <w:kern w:val="0"/>
                <w:szCs w:val="21"/>
              </w:rPr>
              <w:t>报价</w:t>
            </w:r>
          </w:p>
        </w:tc>
        <w:tc>
          <w:tcPr>
            <w:tcW w:w="2436" w:type="dxa"/>
            <w:noWrap w:val="0"/>
            <w:vAlign w:val="center"/>
          </w:tcPr>
          <w:p w14:paraId="4C8EF260">
            <w:pPr>
              <w:spacing w:line="240" w:lineRule="exact"/>
              <w:rPr>
                <w:szCs w:val="21"/>
              </w:rPr>
            </w:pPr>
            <w:r>
              <w:rPr>
                <w:rFonts w:hint="eastAsia"/>
                <w:szCs w:val="21"/>
              </w:rPr>
              <w:t>有效报价</w:t>
            </w:r>
          </w:p>
        </w:tc>
        <w:tc>
          <w:tcPr>
            <w:tcW w:w="5309" w:type="dxa"/>
            <w:noWrap w:val="0"/>
            <w:vAlign w:val="center"/>
          </w:tcPr>
          <w:p w14:paraId="0FD1E74D">
            <w:pPr>
              <w:keepNext w:val="0"/>
              <w:keepLines w:val="0"/>
              <w:pageBreakBefore w:val="0"/>
              <w:widowControl w:val="0"/>
              <w:kinsoku/>
              <w:wordWrap/>
              <w:overflowPunct/>
              <w:topLinePunct w:val="0"/>
              <w:autoSpaceDE/>
              <w:autoSpaceDN/>
              <w:bidi w:val="0"/>
              <w:adjustRightInd/>
              <w:snapToGrid/>
              <w:spacing w:line="240" w:lineRule="exact"/>
              <w:textAlignment w:val="auto"/>
              <w:rPr>
                <w:bCs/>
                <w:kern w:val="0"/>
                <w:szCs w:val="21"/>
              </w:rPr>
            </w:pPr>
            <w:r>
              <w:rPr>
                <w:rFonts w:hint="eastAsia"/>
              </w:rPr>
              <w:t>报价未超过采购预算金额（含分项预算金额），也未超出最高限价（如有）</w:t>
            </w:r>
          </w:p>
        </w:tc>
      </w:tr>
      <w:tr w14:paraId="175C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noWrap w:val="0"/>
            <w:vAlign w:val="center"/>
          </w:tcPr>
          <w:p w14:paraId="3A2D7172">
            <w:pPr>
              <w:spacing w:line="240" w:lineRule="exact"/>
              <w:jc w:val="center"/>
              <w:rPr>
                <w:kern w:val="0"/>
                <w:szCs w:val="21"/>
              </w:rPr>
            </w:pPr>
          </w:p>
        </w:tc>
        <w:tc>
          <w:tcPr>
            <w:tcW w:w="2436" w:type="dxa"/>
            <w:noWrap w:val="0"/>
            <w:vAlign w:val="center"/>
          </w:tcPr>
          <w:p w14:paraId="0CB97244">
            <w:pPr>
              <w:spacing w:line="240" w:lineRule="exact"/>
              <w:rPr>
                <w:bCs/>
                <w:kern w:val="0"/>
                <w:szCs w:val="21"/>
              </w:rPr>
            </w:pPr>
            <w:r>
              <w:rPr>
                <w:rFonts w:hint="eastAsia"/>
                <w:bCs/>
                <w:kern w:val="0"/>
                <w:szCs w:val="21"/>
              </w:rPr>
              <w:t>漏项报价</w:t>
            </w:r>
          </w:p>
        </w:tc>
        <w:tc>
          <w:tcPr>
            <w:tcW w:w="5309" w:type="dxa"/>
            <w:noWrap w:val="0"/>
            <w:vAlign w:val="center"/>
          </w:tcPr>
          <w:p w14:paraId="077E09A6">
            <w:pPr>
              <w:keepNext w:val="0"/>
              <w:keepLines w:val="0"/>
              <w:pageBreakBefore w:val="0"/>
              <w:widowControl w:val="0"/>
              <w:kinsoku/>
              <w:wordWrap/>
              <w:overflowPunct/>
              <w:topLinePunct w:val="0"/>
              <w:autoSpaceDE/>
              <w:autoSpaceDN/>
              <w:bidi w:val="0"/>
              <w:adjustRightInd/>
              <w:snapToGrid/>
              <w:spacing w:line="240" w:lineRule="exact"/>
              <w:textAlignment w:val="auto"/>
              <w:rPr>
                <w:rFonts w:hAnsi="宋体"/>
                <w:color w:val="000000"/>
                <w:szCs w:val="21"/>
              </w:rPr>
            </w:pPr>
            <w:r>
              <w:rPr>
                <w:rFonts w:hint="eastAsia" w:ascii="宋体" w:hAnsi="宋体"/>
                <w:color w:val="000000"/>
                <w:szCs w:val="21"/>
              </w:rPr>
              <w:t>未就所投分标进行报价或者存在漏项报价；</w:t>
            </w:r>
          </w:p>
        </w:tc>
      </w:tr>
      <w:tr w14:paraId="38FA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noWrap w:val="0"/>
            <w:vAlign w:val="center"/>
          </w:tcPr>
          <w:p w14:paraId="53442EF0">
            <w:pPr>
              <w:spacing w:line="240" w:lineRule="exact"/>
              <w:jc w:val="center"/>
              <w:rPr>
                <w:kern w:val="0"/>
                <w:szCs w:val="21"/>
              </w:rPr>
            </w:pPr>
          </w:p>
        </w:tc>
        <w:tc>
          <w:tcPr>
            <w:tcW w:w="2436" w:type="dxa"/>
            <w:noWrap w:val="0"/>
            <w:vAlign w:val="center"/>
          </w:tcPr>
          <w:p w14:paraId="36505E54">
            <w:pPr>
              <w:spacing w:line="240" w:lineRule="exact"/>
              <w:rPr>
                <w:rFonts w:hAnsi="宋体"/>
                <w:color w:val="000000"/>
                <w:szCs w:val="21"/>
              </w:rPr>
            </w:pPr>
            <w:r>
              <w:rPr>
                <w:rFonts w:hint="eastAsia" w:hAnsi="宋体"/>
                <w:color w:val="000000"/>
                <w:szCs w:val="21"/>
              </w:rPr>
              <w:t>响应报价唯一性</w:t>
            </w:r>
          </w:p>
        </w:tc>
        <w:tc>
          <w:tcPr>
            <w:tcW w:w="5309" w:type="dxa"/>
            <w:noWrap w:val="0"/>
            <w:vAlign w:val="center"/>
          </w:tcPr>
          <w:p w14:paraId="297AF747">
            <w:pPr>
              <w:keepNext w:val="0"/>
              <w:keepLines w:val="0"/>
              <w:pageBreakBefore w:val="0"/>
              <w:widowControl w:val="0"/>
              <w:kinsoku/>
              <w:wordWrap/>
              <w:overflowPunct/>
              <w:topLinePunct w:val="0"/>
              <w:autoSpaceDE/>
              <w:autoSpaceDN/>
              <w:bidi w:val="0"/>
              <w:adjustRightInd/>
              <w:snapToGrid/>
              <w:spacing w:line="240" w:lineRule="exact"/>
              <w:textAlignment w:val="auto"/>
              <w:rPr>
                <w:szCs w:val="21"/>
              </w:rPr>
            </w:pPr>
            <w:r>
              <w:rPr>
                <w:rFonts w:hint="eastAsia" w:ascii="宋体" w:hAnsi="宋体"/>
                <w:color w:val="000000"/>
                <w:szCs w:val="21"/>
              </w:rPr>
              <w:t>不存在有选择、有条件的最后报价（采购文件允许有备选方案或者其他约定的除外）</w:t>
            </w:r>
          </w:p>
        </w:tc>
      </w:tr>
      <w:tr w14:paraId="259F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noWrap w:val="0"/>
            <w:vAlign w:val="center"/>
          </w:tcPr>
          <w:p w14:paraId="5AE22482">
            <w:pPr>
              <w:spacing w:line="240" w:lineRule="exact"/>
              <w:jc w:val="center"/>
              <w:rPr>
                <w:kern w:val="0"/>
                <w:szCs w:val="21"/>
              </w:rPr>
            </w:pPr>
          </w:p>
        </w:tc>
        <w:tc>
          <w:tcPr>
            <w:tcW w:w="2436" w:type="dxa"/>
            <w:shd w:val="clear" w:color="auto" w:fill="auto"/>
            <w:noWrap w:val="0"/>
            <w:vAlign w:val="center"/>
          </w:tcPr>
          <w:p w14:paraId="431E9CB7">
            <w:pPr>
              <w:spacing w:line="240" w:lineRule="exact"/>
              <w:rPr>
                <w:rFonts w:hint="eastAsia" w:ascii="Times New Roman" w:hAnsi="Times New Roman" w:eastAsia="宋体" w:cs="Times New Roman"/>
                <w:kern w:val="2"/>
                <w:sz w:val="21"/>
                <w:szCs w:val="24"/>
                <w:lang w:val="zh-CN" w:eastAsia="zh-CN" w:bidi="ar-SA"/>
              </w:rPr>
            </w:pPr>
            <w:r>
              <w:rPr>
                <w:rFonts w:hint="eastAsia"/>
                <w:szCs w:val="21"/>
                <w:lang w:val="zh-CN"/>
              </w:rPr>
              <w:t>过低报价合理性</w:t>
            </w:r>
          </w:p>
        </w:tc>
        <w:tc>
          <w:tcPr>
            <w:tcW w:w="5309" w:type="dxa"/>
            <w:shd w:val="clear" w:color="auto" w:fill="auto"/>
            <w:noWrap w:val="0"/>
            <w:vAlign w:val="center"/>
          </w:tcPr>
          <w:p w14:paraId="60ADE11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Times New Roman"/>
                <w:kern w:val="2"/>
                <w:sz w:val="21"/>
                <w:szCs w:val="24"/>
                <w:lang w:val="en-US" w:eastAsia="zh-CN" w:bidi="ar-SA"/>
              </w:rPr>
            </w:pPr>
            <w:r>
              <w:rPr>
                <w:rFonts w:hint="eastAsia"/>
                <w:lang w:val="en-US" w:eastAsia="zh-CN"/>
              </w:rPr>
              <w:t>供应商</w:t>
            </w:r>
            <w:r>
              <w:rPr>
                <w:rFonts w:hint="eastAsia"/>
              </w:rPr>
              <w:t>的</w:t>
            </w:r>
            <w:r>
              <w:rPr>
                <w:rFonts w:hint="eastAsia"/>
                <w:lang w:val="en-US" w:eastAsia="zh-CN"/>
              </w:rPr>
              <w:t>报价</w:t>
            </w:r>
            <w:r>
              <w:rPr>
                <w:rFonts w:hint="eastAsia"/>
              </w:rPr>
              <w:t>存在异常低价问题</w:t>
            </w:r>
            <w:r>
              <w:rPr>
                <w:rFonts w:hint="eastAsia"/>
                <w:lang w:eastAsia="zh-CN"/>
              </w:rPr>
              <w:t>的</w:t>
            </w:r>
            <w:r>
              <w:rPr>
                <w:rFonts w:hint="eastAsia"/>
                <w:lang w:val="en-US" w:eastAsia="zh-CN"/>
              </w:rPr>
              <w:t>情形，评审委员会</w:t>
            </w:r>
            <w:r>
              <w:rPr>
                <w:rFonts w:hint="eastAsia"/>
                <w:szCs w:val="21"/>
              </w:rPr>
              <w:t>应当要求其在评标现场合理的时间内</w:t>
            </w:r>
            <w:r>
              <w:rPr>
                <w:rFonts w:hint="eastAsia"/>
                <w:szCs w:val="21"/>
                <w:lang w:val="en-US" w:eastAsia="zh-CN"/>
              </w:rPr>
              <w:t>提供</w:t>
            </w:r>
            <w:r>
              <w:rPr>
                <w:rFonts w:hint="eastAsia"/>
                <w:szCs w:val="21"/>
              </w:rPr>
              <w:t>报价合理性相关的书面说明及必要的证明材料。</w:t>
            </w:r>
            <w:r>
              <w:rPr>
                <w:rFonts w:hint="eastAsia"/>
                <w:lang w:val="en-US" w:eastAsia="zh-CN"/>
              </w:rPr>
              <w:t>供应商</w:t>
            </w:r>
            <w:r>
              <w:rPr>
                <w:rFonts w:hint="eastAsia"/>
              </w:rPr>
              <w:t>不能证明其报价合理性的，</w:t>
            </w:r>
            <w:r>
              <w:rPr>
                <w:rFonts w:hint="eastAsia"/>
                <w:lang w:eastAsia="zh-CN"/>
              </w:rPr>
              <w:t>评审委员会</w:t>
            </w:r>
            <w:r>
              <w:rPr>
                <w:rFonts w:hint="eastAsia"/>
              </w:rPr>
              <w:t>应当将其作为无效</w:t>
            </w:r>
            <w:r>
              <w:rPr>
                <w:rFonts w:hint="eastAsia"/>
                <w:lang w:val="en-US" w:eastAsia="zh-CN"/>
              </w:rPr>
              <w:t>响应</w:t>
            </w:r>
            <w:r>
              <w:rPr>
                <w:rFonts w:hint="eastAsia"/>
              </w:rPr>
              <w:t>处理。</w:t>
            </w:r>
          </w:p>
        </w:tc>
      </w:tr>
      <w:tr w14:paraId="6901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noWrap w:val="0"/>
            <w:vAlign w:val="center"/>
          </w:tcPr>
          <w:p w14:paraId="3BF3FB96">
            <w:pPr>
              <w:spacing w:line="240" w:lineRule="exact"/>
              <w:jc w:val="center"/>
              <w:rPr>
                <w:kern w:val="0"/>
                <w:szCs w:val="21"/>
              </w:rPr>
            </w:pPr>
          </w:p>
        </w:tc>
        <w:tc>
          <w:tcPr>
            <w:tcW w:w="2436" w:type="dxa"/>
            <w:noWrap w:val="0"/>
            <w:vAlign w:val="center"/>
          </w:tcPr>
          <w:p w14:paraId="3EC02438">
            <w:pPr>
              <w:spacing w:line="240" w:lineRule="exact"/>
              <w:rPr>
                <w:rFonts w:ascii="宋体" w:hAnsi="宋体"/>
                <w:color w:val="000000"/>
                <w:szCs w:val="21"/>
              </w:rPr>
            </w:pPr>
            <w:r>
              <w:rPr>
                <w:rFonts w:hint="eastAsia"/>
                <w:szCs w:val="21"/>
              </w:rPr>
              <w:t>响应有效期</w:t>
            </w:r>
          </w:p>
        </w:tc>
        <w:tc>
          <w:tcPr>
            <w:tcW w:w="5309" w:type="dxa"/>
            <w:noWrap w:val="0"/>
            <w:vAlign w:val="center"/>
          </w:tcPr>
          <w:p w14:paraId="71FDB349">
            <w:pPr>
              <w:keepNext w:val="0"/>
              <w:keepLines w:val="0"/>
              <w:pageBreakBefore w:val="0"/>
              <w:widowControl w:val="0"/>
              <w:kinsoku/>
              <w:wordWrap/>
              <w:overflowPunct/>
              <w:topLinePunct w:val="0"/>
              <w:autoSpaceDE/>
              <w:autoSpaceDN/>
              <w:bidi w:val="0"/>
              <w:adjustRightInd/>
              <w:snapToGrid/>
              <w:spacing w:line="240" w:lineRule="exact"/>
              <w:textAlignment w:val="auto"/>
              <w:rPr>
                <w:szCs w:val="21"/>
              </w:rPr>
            </w:pPr>
            <w:r>
              <w:rPr>
                <w:rFonts w:hint="eastAsia" w:ascii="宋体" w:hAnsi="宋体"/>
                <w:color w:val="000000"/>
                <w:szCs w:val="21"/>
              </w:rPr>
              <w:t>满足采购文件规定</w:t>
            </w:r>
          </w:p>
        </w:tc>
      </w:tr>
      <w:bookmarkEnd w:id="81"/>
    </w:tbl>
    <w:p w14:paraId="0D94A921">
      <w:pPr>
        <w:spacing w:before="120" w:line="320" w:lineRule="atLeast"/>
        <w:ind w:firstLine="316" w:firstLineChars="150"/>
        <w:rPr>
          <w:rFonts w:hint="eastAsia"/>
          <w:b/>
          <w:bCs/>
          <w:kern w:val="0"/>
          <w:szCs w:val="21"/>
        </w:rPr>
      </w:pPr>
      <w:r>
        <w:rPr>
          <w:rFonts w:hint="eastAsia"/>
          <w:b/>
          <w:bCs/>
          <w:kern w:val="0"/>
          <w:szCs w:val="21"/>
        </w:rPr>
        <w:t>注：涉及政府采购价格评审优惠政策叠加的，按照相关政策要求统一从对应报价的基础上进行价格扣除，用</w:t>
      </w:r>
      <w:r>
        <w:rPr>
          <w:rFonts w:hint="eastAsia"/>
          <w:b/>
          <w:bCs/>
          <w:kern w:val="0"/>
          <w:szCs w:val="21"/>
          <w:lang w:eastAsia="zh-CN"/>
        </w:rPr>
        <w:t>响应</w:t>
      </w:r>
      <w:r>
        <w:rPr>
          <w:rFonts w:hint="eastAsia"/>
          <w:b/>
          <w:bCs/>
          <w:kern w:val="0"/>
          <w:szCs w:val="21"/>
        </w:rPr>
        <w:t>总价减去扣除金额之和的价格参加评审。</w:t>
      </w:r>
    </w:p>
    <w:p w14:paraId="0E43E21D">
      <w:pPr>
        <w:spacing w:before="120" w:line="320" w:lineRule="atLeast"/>
        <w:ind w:firstLine="316" w:firstLineChars="150"/>
        <w:rPr>
          <w:rFonts w:hint="eastAsia" w:eastAsia="宋体"/>
          <w:b/>
          <w:bCs/>
          <w:kern w:val="0"/>
          <w:szCs w:val="21"/>
          <w:lang w:eastAsia="zh-CN"/>
        </w:rPr>
      </w:pPr>
      <w:r>
        <w:rPr>
          <w:b/>
          <w:bCs/>
          <w:kern w:val="0"/>
          <w:szCs w:val="21"/>
        </w:rPr>
        <w:t>政策性扣除计算方法</w:t>
      </w:r>
      <w:r>
        <w:rPr>
          <w:rFonts w:hint="eastAsia"/>
          <w:b/>
          <w:bCs/>
          <w:kern w:val="0"/>
          <w:szCs w:val="21"/>
          <w:lang w:eastAsia="zh-CN"/>
        </w:rPr>
        <w:t>：</w:t>
      </w:r>
    </w:p>
    <w:p w14:paraId="52751929">
      <w:pPr>
        <w:ind w:firstLine="420" w:firstLineChars="200"/>
        <w:rPr>
          <w:rFonts w:hint="default" w:eastAsia="楷体_GB2312"/>
          <w:b/>
          <w:color w:val="auto"/>
          <w:sz w:val="24"/>
          <w:highlight w:val="none"/>
          <w:lang w:val="en-US"/>
        </w:rPr>
      </w:pPr>
      <w:r>
        <w:rPr>
          <w:rFonts w:hint="eastAsia"/>
          <w:szCs w:val="21"/>
          <w:highlight w:val="none"/>
          <w:lang w:val="en-US" w:eastAsia="zh-CN"/>
        </w:rPr>
        <w:t>1）</w:t>
      </w:r>
      <w:r>
        <w:rPr>
          <w:rFonts w:hint="eastAsia" w:ascii="Times New Roman" w:eastAsia="宋体"/>
          <w:color w:val="auto"/>
          <w:highlight w:val="none"/>
          <w:lang w:val="en-US" w:eastAsia="zh-CN"/>
        </w:rPr>
        <w:t>本国产品的价格扣除计算：</w:t>
      </w:r>
      <w:r>
        <w:rPr>
          <w:rFonts w:hint="eastAsia"/>
          <w:color w:val="auto"/>
          <w:highlight w:val="none"/>
        </w:rPr>
        <w:t>供应商</w:t>
      </w:r>
      <w:r>
        <w:rPr>
          <w:rFonts w:hint="eastAsia"/>
          <w:color w:val="auto"/>
          <w:highlight w:val="none"/>
          <w:lang w:eastAsia="zh-CN"/>
        </w:rPr>
        <w:t>响应</w:t>
      </w:r>
      <w:r>
        <w:rPr>
          <w:color w:val="auto"/>
          <w:highlight w:val="none"/>
        </w:rPr>
        <w:t>报价将按相应比例进行扣除，用扣除后的价格参与评审（计算价格分）</w:t>
      </w:r>
      <w:r>
        <w:rPr>
          <w:rFonts w:hint="eastAsia"/>
          <w:color w:val="auto"/>
          <w:highlight w:val="none"/>
        </w:rPr>
        <w:t>，价格扣除比例分别如下：</w:t>
      </w:r>
    </w:p>
    <w:p w14:paraId="657B10A5">
      <w:pPr>
        <w:ind w:firstLine="420" w:firstLineChars="200"/>
        <w:rPr>
          <w:color w:val="auto"/>
          <w:highlight w:val="none"/>
        </w:rPr>
      </w:pPr>
    </w:p>
    <w:tbl>
      <w:tblPr>
        <w:tblStyle w:val="51"/>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0"/>
        <w:gridCol w:w="4955"/>
        <w:gridCol w:w="2805"/>
      </w:tblGrid>
      <w:tr w14:paraId="0738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10" w:type="dxa"/>
            <w:shd w:val="clear" w:color="auto" w:fill="auto"/>
            <w:noWrap w:val="0"/>
            <w:vAlign w:val="center"/>
          </w:tcPr>
          <w:p w14:paraId="7EE29E26">
            <w:pPr>
              <w:jc w:val="both"/>
              <w:rPr>
                <w:rFonts w:hint="default" w:eastAsia="宋体"/>
                <w:color w:val="auto"/>
                <w:highlight w:val="none"/>
                <w:lang w:val="en-US" w:eastAsia="zh-CN"/>
              </w:rPr>
            </w:pPr>
            <w:r>
              <w:rPr>
                <w:rFonts w:hint="eastAsia" w:ascii="Times New Roman" w:eastAsia="宋体"/>
                <w:color w:val="auto"/>
                <w:highlight w:val="none"/>
                <w:lang w:val="en-US" w:eastAsia="zh-CN"/>
              </w:rPr>
              <w:t>采购项目或者采购包中为单一产品</w:t>
            </w:r>
          </w:p>
        </w:tc>
        <w:tc>
          <w:tcPr>
            <w:tcW w:w="4955" w:type="dxa"/>
            <w:shd w:val="clear" w:color="auto" w:fill="auto"/>
            <w:noWrap w:val="0"/>
            <w:vAlign w:val="center"/>
          </w:tcPr>
          <w:p w14:paraId="26B36F33">
            <w:pPr>
              <w:keepNext w:val="0"/>
              <w:keepLines w:val="0"/>
              <w:pageBreakBefore w:val="0"/>
              <w:widowControl w:val="0"/>
              <w:kinsoku/>
              <w:wordWrap/>
              <w:overflowPunct/>
              <w:topLinePunct w:val="0"/>
              <w:autoSpaceDE/>
              <w:autoSpaceDN/>
              <w:bidi w:val="0"/>
              <w:adjustRightInd/>
              <w:snapToGrid/>
              <w:jc w:val="both"/>
              <w:textAlignment w:val="auto"/>
              <w:rPr>
                <w:rFonts w:hint="eastAsia" w:eastAsia="宋体"/>
                <w:color w:val="auto"/>
                <w:highlight w:val="none"/>
                <w:lang w:eastAsia="zh-CN"/>
              </w:rPr>
            </w:pPr>
            <w:r>
              <w:rPr>
                <w:rFonts w:hint="eastAsia"/>
                <w:color w:val="auto"/>
                <w:highlight w:val="none"/>
              </w:rPr>
              <w:t>若</w:t>
            </w:r>
            <w:r>
              <w:rPr>
                <w:rFonts w:hint="eastAsia" w:ascii="Times New Roman" w:eastAsia="宋体"/>
                <w:color w:val="auto"/>
                <w:highlight w:val="none"/>
                <w:lang w:val="en-US" w:eastAsia="zh-CN"/>
              </w:rPr>
              <w:t>本项目</w:t>
            </w:r>
            <w:r>
              <w:rPr>
                <w:rFonts w:hint="eastAsia"/>
                <w:color w:val="auto"/>
                <w:highlight w:val="none"/>
              </w:rPr>
              <w:t>既有本国产品又有非本国产品参与竞争的</w:t>
            </w:r>
            <w:r>
              <w:rPr>
                <w:rFonts w:hint="eastAsia" w:eastAsia="宋体"/>
                <w:color w:val="auto"/>
                <w:highlight w:val="none"/>
                <w:lang w:eastAsia="zh-CN"/>
              </w:rPr>
              <w:t>，</w:t>
            </w:r>
            <w:r>
              <w:rPr>
                <w:rFonts w:hint="eastAsia"/>
                <w:color w:val="auto"/>
                <w:highlight w:val="none"/>
              </w:rPr>
              <w:t>供应商所提供</w:t>
            </w:r>
            <w:r>
              <w:rPr>
                <w:rFonts w:hint="eastAsia" w:ascii="Times New Roman" w:eastAsia="宋体"/>
                <w:color w:val="auto"/>
                <w:highlight w:val="none"/>
                <w:lang w:val="en-US" w:eastAsia="zh-CN"/>
              </w:rPr>
              <w:t>符合</w:t>
            </w:r>
            <w:r>
              <w:rPr>
                <w:rFonts w:hint="eastAsia"/>
                <w:color w:val="auto"/>
                <w:highlight w:val="none"/>
              </w:rPr>
              <w:t>本国产品标准的产品</w:t>
            </w:r>
          </w:p>
        </w:tc>
        <w:tc>
          <w:tcPr>
            <w:tcW w:w="2805" w:type="dxa"/>
            <w:vMerge w:val="restart"/>
            <w:shd w:val="clear" w:color="auto" w:fill="auto"/>
            <w:noWrap w:val="0"/>
            <w:vAlign w:val="center"/>
          </w:tcPr>
          <w:p w14:paraId="68A9DE16">
            <w:pPr>
              <w:jc w:val="both"/>
              <w:rPr>
                <w:color w:val="auto"/>
                <w:highlight w:val="none"/>
              </w:rPr>
            </w:pPr>
            <w:r>
              <w:rPr>
                <w:rFonts w:hint="eastAsia"/>
                <w:color w:val="auto"/>
                <w:highlight w:val="none"/>
              </w:rPr>
              <w:t>价格扣除</w:t>
            </w:r>
            <w:r>
              <w:rPr>
                <w:rFonts w:hint="eastAsia" w:ascii="Times New Roman" w:eastAsia="宋体"/>
                <w:color w:val="auto"/>
                <w:highlight w:val="none"/>
                <w:lang w:val="en-US" w:eastAsia="zh-CN"/>
              </w:rPr>
              <w:t>全部产品报价</w:t>
            </w:r>
            <w:r>
              <w:rPr>
                <w:rFonts w:hint="eastAsia"/>
                <w:color w:val="auto"/>
                <w:highlight w:val="none"/>
              </w:rPr>
              <w:t>的</w:t>
            </w:r>
            <w:r>
              <w:rPr>
                <w:rFonts w:hint="eastAsia" w:ascii="Times New Roman" w:eastAsia="宋体"/>
                <w:color w:val="auto"/>
                <w:highlight w:val="none"/>
                <w:lang w:val="en-US" w:eastAsia="zh-CN"/>
              </w:rPr>
              <w:t>20</w:t>
            </w:r>
            <w:r>
              <w:rPr>
                <w:rFonts w:hint="eastAsia"/>
                <w:color w:val="auto"/>
                <w:highlight w:val="none"/>
              </w:rPr>
              <w:t>%</w:t>
            </w:r>
          </w:p>
        </w:tc>
      </w:tr>
      <w:tr w14:paraId="012C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shd w:val="clear" w:color="auto" w:fill="auto"/>
            <w:noWrap w:val="0"/>
            <w:vAlign w:val="center"/>
          </w:tcPr>
          <w:p w14:paraId="7730D717">
            <w:pPr>
              <w:jc w:val="both"/>
              <w:rPr>
                <w:rFonts w:hint="eastAsia"/>
                <w:color w:val="auto"/>
                <w:highlight w:val="none"/>
              </w:rPr>
            </w:pPr>
            <w:r>
              <w:rPr>
                <w:rFonts w:hint="eastAsia"/>
                <w:color w:val="auto"/>
                <w:highlight w:val="none"/>
              </w:rPr>
              <w:t>采购项目或者采购包中含有多种产品</w:t>
            </w:r>
          </w:p>
        </w:tc>
        <w:tc>
          <w:tcPr>
            <w:tcW w:w="4955" w:type="dxa"/>
            <w:shd w:val="clear" w:color="auto" w:fill="auto"/>
            <w:noWrap w:val="0"/>
            <w:vAlign w:val="center"/>
          </w:tcPr>
          <w:p w14:paraId="5F361C3C">
            <w:pPr>
              <w:keepNext w:val="0"/>
              <w:keepLines w:val="0"/>
              <w:pageBreakBefore w:val="0"/>
              <w:widowControl w:val="0"/>
              <w:kinsoku/>
              <w:wordWrap/>
              <w:overflowPunct/>
              <w:topLinePunct w:val="0"/>
              <w:autoSpaceDE/>
              <w:autoSpaceDN/>
              <w:bidi w:val="0"/>
              <w:adjustRightInd/>
              <w:snapToGrid/>
              <w:jc w:val="both"/>
              <w:textAlignment w:val="auto"/>
              <w:rPr>
                <w:rFonts w:hint="eastAsia" w:eastAsia="宋体"/>
                <w:color w:val="auto"/>
                <w:highlight w:val="none"/>
                <w:lang w:eastAsia="zh-CN"/>
              </w:rPr>
            </w:pPr>
            <w:r>
              <w:rPr>
                <w:rFonts w:hint="eastAsia"/>
                <w:color w:val="auto"/>
                <w:highlight w:val="none"/>
              </w:rPr>
              <w:t>若</w:t>
            </w:r>
            <w:r>
              <w:rPr>
                <w:rFonts w:hint="eastAsia" w:ascii="Times New Roman" w:eastAsia="宋体"/>
                <w:color w:val="auto"/>
                <w:highlight w:val="none"/>
                <w:lang w:val="en-US" w:eastAsia="zh-CN"/>
              </w:rPr>
              <w:t>本项目</w:t>
            </w:r>
            <w:r>
              <w:rPr>
                <w:rFonts w:hint="eastAsia"/>
                <w:color w:val="auto"/>
                <w:highlight w:val="none"/>
              </w:rPr>
              <w:t>既有本国产品又有非本国产品参与竞争的</w:t>
            </w:r>
            <w:r>
              <w:rPr>
                <w:rFonts w:hint="eastAsia" w:eastAsia="宋体"/>
                <w:color w:val="auto"/>
                <w:highlight w:val="none"/>
                <w:lang w:eastAsia="zh-CN"/>
              </w:rPr>
              <w:t>，</w:t>
            </w:r>
            <w:r>
              <w:rPr>
                <w:rFonts w:hint="eastAsia"/>
                <w:color w:val="auto"/>
                <w:highlight w:val="none"/>
              </w:rPr>
              <w:t>供应商</w:t>
            </w:r>
            <w:r>
              <w:rPr>
                <w:rFonts w:hint="eastAsia" w:ascii="Times New Roman" w:eastAsia="宋体"/>
                <w:color w:val="auto"/>
                <w:highlight w:val="none"/>
                <w:lang w:val="en-US" w:eastAsia="zh-CN"/>
              </w:rPr>
              <w:t>提供符合</w:t>
            </w:r>
            <w:r>
              <w:rPr>
                <w:rFonts w:hint="eastAsia"/>
                <w:color w:val="auto"/>
                <w:highlight w:val="none"/>
              </w:rPr>
              <w:t>本国产品标准的产品成本之和占该供应商提供的全部产品成本之和的比例达到80%以上时</w:t>
            </w:r>
            <w:r>
              <w:rPr>
                <w:rFonts w:hint="eastAsia"/>
                <w:color w:val="auto"/>
                <w:highlight w:val="none"/>
                <w:lang w:eastAsia="zh-CN"/>
              </w:rPr>
              <w:t>。</w:t>
            </w:r>
            <w:r>
              <w:rPr>
                <w:rFonts w:hint="eastAsia"/>
                <w:b/>
                <w:bCs/>
                <w:color w:val="auto"/>
                <w:highlight w:val="none"/>
                <w:lang w:val="en-US" w:eastAsia="zh-CN"/>
              </w:rPr>
              <w:t>供应商须在响应文件提交《关于符合本国产品标准的成本占比承诺函》。如供应商所有产品均为本国产品且填写《关于符合本国产品标准的声明函》的，无须填写《关于符合本国产品标准的成本占比承诺函》。</w:t>
            </w:r>
          </w:p>
        </w:tc>
        <w:tc>
          <w:tcPr>
            <w:tcW w:w="2805" w:type="dxa"/>
            <w:vMerge w:val="continue"/>
            <w:shd w:val="clear" w:color="auto" w:fill="auto"/>
            <w:noWrap w:val="0"/>
            <w:vAlign w:val="top"/>
          </w:tcPr>
          <w:p w14:paraId="78FCBC24">
            <w:pPr>
              <w:ind w:firstLine="420" w:firstLineChars="200"/>
              <w:rPr>
                <w:rFonts w:hint="eastAsia"/>
                <w:color w:val="auto"/>
                <w:highlight w:val="none"/>
              </w:rPr>
            </w:pPr>
          </w:p>
        </w:tc>
      </w:tr>
      <w:tr w14:paraId="58D6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0" w:type="dxa"/>
            <w:gridSpan w:val="3"/>
            <w:shd w:val="clear" w:color="auto" w:fill="auto"/>
            <w:noWrap w:val="0"/>
            <w:vAlign w:val="top"/>
          </w:tcPr>
          <w:p w14:paraId="25576753">
            <w:pPr>
              <w:ind w:firstLine="420" w:firstLineChars="200"/>
              <w:rPr>
                <w:color w:val="auto"/>
                <w:highlight w:val="none"/>
              </w:rPr>
            </w:pPr>
            <w:r>
              <w:rPr>
                <w:rFonts w:hint="eastAsia"/>
                <w:color w:val="auto"/>
                <w:highlight w:val="none"/>
              </w:rPr>
              <w:t>注：未提供《关于符合本国产品标准的声明函》</w:t>
            </w:r>
            <w:r>
              <w:rPr>
                <w:rFonts w:hint="eastAsia"/>
                <w:color w:val="auto"/>
                <w:highlight w:val="none"/>
                <w:lang w:eastAsia="zh-CN"/>
              </w:rPr>
              <w:t>、</w:t>
            </w:r>
            <w:r>
              <w:rPr>
                <w:rFonts w:hint="eastAsia"/>
                <w:color w:val="auto"/>
                <w:szCs w:val="21"/>
                <w:highlight w:val="none"/>
                <w:lang w:eastAsia="zh-CN"/>
              </w:rPr>
              <w:t>《</w:t>
            </w:r>
            <w:r>
              <w:rPr>
                <w:rFonts w:hint="eastAsia"/>
                <w:color w:val="auto"/>
                <w:szCs w:val="21"/>
                <w:highlight w:val="none"/>
                <w:lang w:val="en-US" w:eastAsia="zh-CN"/>
              </w:rPr>
              <w:t>关于符合本国产品标准的成本占比承诺函》（如适用）</w:t>
            </w:r>
            <w:r>
              <w:rPr>
                <w:rFonts w:hint="eastAsia"/>
                <w:color w:val="auto"/>
                <w:highlight w:val="none"/>
                <w:lang w:val="en-US" w:eastAsia="zh-CN"/>
              </w:rPr>
              <w:t>或</w:t>
            </w:r>
            <w:r>
              <w:rPr>
                <w:rFonts w:hint="eastAsia"/>
                <w:color w:val="auto"/>
                <w:highlight w:val="none"/>
              </w:rPr>
              <w:t>不符合条件的，不享受价格扣除优惠。</w:t>
            </w:r>
          </w:p>
        </w:tc>
      </w:tr>
    </w:tbl>
    <w:p w14:paraId="27E8218E">
      <w:pPr>
        <w:ind w:firstLine="420" w:firstLineChars="200"/>
        <w:rPr>
          <w:color w:val="auto"/>
          <w:highlight w:val="none"/>
        </w:rPr>
      </w:pPr>
    </w:p>
    <w:p w14:paraId="2004A8F6">
      <w:pPr>
        <w:pStyle w:val="19"/>
        <w:numPr>
          <w:ilvl w:val="0"/>
          <w:numId w:val="0"/>
        </w:numPr>
        <w:ind w:firstLine="420" w:firstLineChars="200"/>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2）</w:t>
      </w:r>
      <w:r>
        <w:rPr>
          <w:rFonts w:hint="eastAsia" w:ascii="Times New Roman" w:hAnsi="Times New Roman" w:eastAsia="宋体" w:cs="Times New Roman"/>
          <w:color w:val="auto"/>
          <w:kern w:val="2"/>
          <w:sz w:val="21"/>
          <w:szCs w:val="24"/>
          <w:highlight w:val="none"/>
          <w:lang w:val="en-US" w:eastAsia="zh-CN" w:bidi="ar-SA"/>
        </w:rPr>
        <w:t>评审报价计算示例：</w:t>
      </w:r>
    </w:p>
    <w:p w14:paraId="46A29161">
      <w:pPr>
        <w:spacing w:before="120" w:beforeLines="0" w:afterLines="0" w:line="320" w:lineRule="atLeast"/>
        <w:ind w:firstLine="420" w:firstLineChars="200"/>
        <w:rPr>
          <w:rFonts w:hint="eastAsia"/>
          <w:color w:val="auto"/>
          <w:highlight w:val="none"/>
          <w:lang w:val="en-US" w:eastAsia="zh-CN"/>
        </w:rPr>
      </w:pPr>
      <w:r>
        <w:rPr>
          <w:rFonts w:hint="eastAsia"/>
          <w:color w:val="auto"/>
          <w:highlight w:val="none"/>
          <w:lang w:val="en-US" w:eastAsia="zh-CN"/>
        </w:rPr>
        <w:t>a.供应商若符合中小企业支持政策的要求，计算公式具体为：评审报价＝响应总报价－（响应总报价*小微企业价格扣除比例）</w:t>
      </w:r>
    </w:p>
    <w:p w14:paraId="26D52B04">
      <w:pPr>
        <w:ind w:firstLine="420" w:firstLineChars="200"/>
        <w:rPr>
          <w:rFonts w:hint="eastAsia"/>
          <w:color w:val="auto"/>
          <w:highlight w:val="none"/>
          <w:lang w:val="en-US" w:eastAsia="zh-CN"/>
        </w:rPr>
      </w:pPr>
      <w:r>
        <w:rPr>
          <w:rFonts w:hint="eastAsia"/>
          <w:color w:val="auto"/>
          <w:highlight w:val="none"/>
          <w:lang w:val="en-US" w:eastAsia="zh-CN"/>
        </w:rPr>
        <w:t>b.供应商若符合本国产品支持政策的要求，计算公式具体为：评审报价＝响应总报价－（全部产品的总报价*20%）</w:t>
      </w:r>
    </w:p>
    <w:p w14:paraId="14821371">
      <w:pPr>
        <w:ind w:firstLine="420" w:firstLineChars="200"/>
        <w:rPr>
          <w:rFonts w:hint="eastAsia"/>
          <w:color w:val="auto"/>
          <w:highlight w:val="none"/>
          <w:lang w:val="en-US" w:eastAsia="zh-CN"/>
        </w:rPr>
      </w:pPr>
      <w:r>
        <w:rPr>
          <w:rFonts w:hint="eastAsia"/>
          <w:color w:val="auto"/>
          <w:highlight w:val="none"/>
          <w:lang w:val="en-US" w:eastAsia="zh-CN"/>
        </w:rPr>
        <w:t>c.供应商若同时符合中小企业、本国产品扶持政策的要求，计算公式具体为：评审报价＝响应总报价－（响应总报价*小微企业价格扣除比例）－（全部产品的总报价*20%）</w:t>
      </w:r>
    </w:p>
    <w:p w14:paraId="2137679D">
      <w:pPr>
        <w:pStyle w:val="19"/>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备注：全部产品是指货物或服务采购项目或采购包中包含的全部货物、服务产品。</w:t>
      </w:r>
    </w:p>
    <w:p w14:paraId="4A4C01B5">
      <w:pPr>
        <w:spacing w:before="120" w:line="320" w:lineRule="atLeast"/>
        <w:ind w:firstLine="422" w:firstLineChars="200"/>
        <w:rPr>
          <w:b/>
          <w:bCs/>
          <w:color w:val="auto"/>
          <w:highlight w:val="none"/>
        </w:rPr>
      </w:pPr>
      <w:r>
        <w:rPr>
          <w:rFonts w:hint="eastAsia"/>
          <w:b/>
          <w:bCs/>
          <w:color w:val="auto"/>
          <w:highlight w:val="none"/>
          <w:lang w:val="en-US" w:eastAsia="zh-CN"/>
        </w:rPr>
        <w:t>4.</w:t>
      </w:r>
      <w:r>
        <w:rPr>
          <w:rFonts w:hint="eastAsia"/>
          <w:b/>
          <w:bCs/>
          <w:color w:val="auto"/>
          <w:highlight w:val="none"/>
        </w:rPr>
        <w:t>偏离认定说明</w:t>
      </w:r>
    </w:p>
    <w:p w14:paraId="2C4E8623">
      <w:pPr>
        <w:spacing w:before="120" w:line="320" w:lineRule="atLeast"/>
        <w:ind w:firstLine="420" w:firstLineChars="200"/>
        <w:rPr>
          <w:rFonts w:hint="eastAsia"/>
          <w:color w:val="auto"/>
          <w:szCs w:val="21"/>
          <w:highlight w:val="none"/>
        </w:rPr>
      </w:pPr>
      <w:bookmarkStart w:id="82" w:name="_Hlk132792081"/>
      <w:r>
        <w:rPr>
          <w:rFonts w:hint="eastAsia"/>
          <w:color w:val="auto"/>
          <w:szCs w:val="21"/>
          <w:highlight w:val="none"/>
        </w:rPr>
        <w:t>供应商根据采购需求中技术参数为基准，填写响应表，对于响应表或证明材料与技术参数不符的，按如下规定：</w:t>
      </w:r>
    </w:p>
    <w:p w14:paraId="73A2DD9C">
      <w:pPr>
        <w:spacing w:before="120" w:line="320" w:lineRule="atLeast"/>
        <w:ind w:firstLine="420" w:firstLineChars="200"/>
        <w:rPr>
          <w:rFonts w:hint="eastAsia"/>
          <w:color w:val="auto"/>
          <w:szCs w:val="21"/>
          <w:highlight w:val="none"/>
        </w:rPr>
      </w:pPr>
      <w:r>
        <w:rPr>
          <w:rFonts w:hint="eastAsia"/>
          <w:color w:val="auto"/>
          <w:szCs w:val="21"/>
          <w:highlight w:val="none"/>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70D0217B">
      <w:pPr>
        <w:spacing w:before="120" w:line="320" w:lineRule="atLeast"/>
        <w:ind w:firstLine="420" w:firstLineChars="200"/>
        <w:rPr>
          <w:rFonts w:hint="eastAsia"/>
          <w:color w:val="auto"/>
          <w:szCs w:val="21"/>
          <w:highlight w:val="none"/>
        </w:rPr>
      </w:pPr>
      <w:r>
        <w:rPr>
          <w:rFonts w:hint="eastAsia"/>
          <w:color w:val="auto"/>
          <w:szCs w:val="21"/>
          <w:highlight w:val="none"/>
        </w:rPr>
        <w:t>（2）响应表中响应的内容与证明材料不一致的，以证明材料为准作为评审依据。</w:t>
      </w:r>
    </w:p>
    <w:p w14:paraId="120AFACD">
      <w:pPr>
        <w:spacing w:before="120" w:line="320" w:lineRule="atLeast"/>
        <w:ind w:firstLine="420" w:firstLineChars="200"/>
        <w:rPr>
          <w:rFonts w:hint="eastAsia"/>
          <w:color w:val="auto"/>
          <w:szCs w:val="21"/>
          <w:highlight w:val="none"/>
        </w:rPr>
      </w:pPr>
      <w:r>
        <w:rPr>
          <w:rFonts w:hint="eastAsia"/>
          <w:color w:val="auto"/>
          <w:szCs w:val="21"/>
          <w:highlight w:val="none"/>
        </w:rPr>
        <w:t>（3）同时出现以上两种情况的，按照（1）－（2）顺序认定。</w:t>
      </w:r>
    </w:p>
    <w:p w14:paraId="4924AABB">
      <w:pPr>
        <w:spacing w:before="120" w:line="320" w:lineRule="atLeast"/>
        <w:ind w:firstLine="420" w:firstLineChars="200"/>
        <w:rPr>
          <w:rFonts w:hint="eastAsia"/>
          <w:color w:val="auto"/>
          <w:szCs w:val="21"/>
          <w:highlight w:val="none"/>
        </w:rPr>
      </w:pPr>
      <w:r>
        <w:rPr>
          <w:rFonts w:hint="eastAsia"/>
          <w:color w:val="auto"/>
          <w:szCs w:val="21"/>
          <w:highlight w:val="none"/>
        </w:rPr>
        <w:t>（4）响应表与采购需求中技术参数比较有漏项的，如为实质性参数漏项，视为未响应；如为非实质性参数漏项，视为负偏离。</w:t>
      </w:r>
    </w:p>
    <w:p w14:paraId="700B9193">
      <w:pPr>
        <w:spacing w:before="120" w:line="320" w:lineRule="atLeast"/>
        <w:ind w:firstLine="420" w:firstLineChars="200"/>
        <w:rPr>
          <w:rFonts w:hint="eastAsia"/>
          <w:color w:val="auto"/>
          <w:szCs w:val="21"/>
          <w:highlight w:val="none"/>
        </w:rPr>
      </w:pPr>
      <w:r>
        <w:rPr>
          <w:rFonts w:hint="eastAsia"/>
          <w:color w:val="auto"/>
          <w:szCs w:val="21"/>
          <w:highlight w:val="none"/>
        </w:rPr>
        <w:t>（5）一项技术参数有多条小项要求的，必须全部响应。如只响应部分参数，视为漏项，按照（4）判定。评审时以每一条技术参数为评审依据。</w:t>
      </w:r>
    </w:p>
    <w:p w14:paraId="4BE0C692">
      <w:pPr>
        <w:spacing w:before="120" w:line="320" w:lineRule="atLeast"/>
        <w:ind w:firstLine="420" w:firstLineChars="200"/>
        <w:rPr>
          <w:rFonts w:hint="eastAsia"/>
          <w:color w:val="auto"/>
          <w:szCs w:val="21"/>
          <w:highlight w:val="none"/>
        </w:rPr>
      </w:pPr>
      <w:r>
        <w:rPr>
          <w:rFonts w:hint="eastAsia"/>
          <w:color w:val="auto"/>
          <w:szCs w:val="21"/>
          <w:highlight w:val="none"/>
        </w:rPr>
        <w:t>（6）闭区间参数（必须在限定范围内）：采购需求表述为“a ≤ X ≤ b”或“X = c ± d”等形式，要求在固定区间内取值。响应值为区间内任一具体数值或子区间（含端点），视为无偏离，示例：需求“5mm ≤ 间距 ≤ 10mm”，响应“6–8mm”“8±2mm”“8mm”均为无偏离；响应值超出区间范围（无论单向还是双向），均为负偏离，示例：需求“5mm ≤ 间距 ≤ 10mm”，响应“3–12mm”“8±4mm”均为负偏离；此类参数不存在正偏离。</w:t>
      </w:r>
    </w:p>
    <w:p w14:paraId="09D15B67">
      <w:pPr>
        <w:spacing w:before="120" w:line="320" w:lineRule="atLeast"/>
        <w:ind w:firstLine="420" w:firstLineChars="200"/>
        <w:rPr>
          <w:rFonts w:hint="eastAsia"/>
          <w:color w:val="auto"/>
          <w:szCs w:val="21"/>
          <w:highlight w:val="none"/>
        </w:rPr>
      </w:pPr>
      <w:r>
        <w:rPr>
          <w:rFonts w:hint="eastAsia"/>
          <w:color w:val="auto"/>
          <w:szCs w:val="21"/>
          <w:highlight w:val="none"/>
        </w:rPr>
        <w:t>（7）开区间/覆盖型参数（需完全覆盖需求范围）：采购需求表述为测量范围、工作范围等，要求设备能力覆盖指定区间（如“测量范围 3V–6V”）。响应值区间下限 ≤ 需求下限，且上限 ≥ 需求上限（即完全覆盖），为无偏离，示例：需求“3V–5V”，响应“2V–6V”为无偏离；响应值区间仅一端满足覆盖，另一端不满足，为负偏离，示例：需求“3V–5V”，响应“4V–6V”（下限不足）、响应“2V–4V”（上限不足）均为负偏离；仅在采购文件明确约定的情况下，超出需求范围且更有利于采购人项目实施的，方可认定为正偏离。</w:t>
      </w:r>
    </w:p>
    <w:p w14:paraId="6DF058B5">
      <w:pPr>
        <w:spacing w:before="120" w:line="320" w:lineRule="atLeast"/>
        <w:ind w:firstLine="420" w:firstLineChars="200"/>
        <w:rPr>
          <w:rFonts w:hint="eastAsia"/>
          <w:color w:val="auto"/>
          <w:szCs w:val="21"/>
          <w:highlight w:val="none"/>
        </w:rPr>
      </w:pPr>
      <w:r>
        <w:rPr>
          <w:rFonts w:hint="eastAsia"/>
          <w:color w:val="auto"/>
          <w:szCs w:val="21"/>
          <w:highlight w:val="none"/>
        </w:rPr>
        <w:t>（8）对于单边任意参数的要求，例“长度≥50cm”，若响应为50 cm及50cm以上任意一个数值，均视为无偏离；若响应小于50cm，视为负偏离。此类参数无正偏离。</w:t>
      </w:r>
    </w:p>
    <w:p w14:paraId="55A66703">
      <w:pPr>
        <w:spacing w:before="120" w:line="320" w:lineRule="atLeast"/>
        <w:ind w:firstLine="420" w:firstLineChars="200"/>
        <w:rPr>
          <w:rFonts w:hint="eastAsia"/>
          <w:color w:val="auto"/>
          <w:szCs w:val="21"/>
          <w:highlight w:val="none"/>
        </w:rPr>
      </w:pPr>
      <w:r>
        <w:rPr>
          <w:rFonts w:hint="eastAsia"/>
          <w:color w:val="auto"/>
          <w:szCs w:val="21"/>
          <w:highlight w:val="none"/>
        </w:rPr>
        <w:t>（9）对于固定参数，响应与采购需求中技术参数一致，视为无偏离，其他均视为负偏离，此类参数无正偏离。</w:t>
      </w:r>
    </w:p>
    <w:p w14:paraId="7762F9FB">
      <w:pPr>
        <w:spacing w:before="120" w:line="320" w:lineRule="atLeast"/>
        <w:ind w:firstLine="420" w:firstLineChars="200"/>
        <w:rPr>
          <w:rFonts w:hint="eastAsia"/>
          <w:color w:val="auto"/>
          <w:szCs w:val="21"/>
          <w:highlight w:val="none"/>
        </w:rPr>
      </w:pPr>
      <w:r>
        <w:rPr>
          <w:rFonts w:hint="eastAsia"/>
          <w:color w:val="auto"/>
          <w:szCs w:val="21"/>
          <w:highlight w:val="none"/>
        </w:rPr>
        <w:t>（10）如技术偏离表中的投标响应与佐证材料不一致的，以佐证材料为准。</w:t>
      </w:r>
    </w:p>
    <w:p w14:paraId="44FA909B">
      <w:pPr>
        <w:spacing w:before="120" w:line="320" w:lineRule="atLeast"/>
        <w:ind w:firstLine="420" w:firstLineChars="200"/>
        <w:rPr>
          <w:rFonts w:hint="eastAsia"/>
          <w:color w:val="auto"/>
          <w:szCs w:val="21"/>
          <w:highlight w:val="none"/>
        </w:rPr>
      </w:pPr>
      <w:r>
        <w:rPr>
          <w:rFonts w:hint="eastAsia"/>
          <w:color w:val="auto"/>
          <w:szCs w:val="21"/>
          <w:highlight w:val="none"/>
        </w:rPr>
        <w:t>（11）如采购需求中技术参数有特殊要求与上述说明不一致的，以特殊要求为准。</w:t>
      </w:r>
    </w:p>
    <w:bookmarkEnd w:id="82"/>
    <w:p w14:paraId="0E2340DB">
      <w:pPr>
        <w:spacing w:before="120" w:line="320" w:lineRule="atLeast"/>
        <w:ind w:firstLine="420" w:firstLineChars="200"/>
        <w:rPr>
          <w:color w:val="4472C4"/>
          <w:szCs w:val="21"/>
        </w:rPr>
      </w:pPr>
    </w:p>
    <w:p w14:paraId="60DB1B8C">
      <w:pPr>
        <w:spacing w:before="120" w:line="320" w:lineRule="atLeast"/>
        <w:ind w:firstLine="420" w:firstLineChars="200"/>
        <w:rPr>
          <w:szCs w:val="21"/>
        </w:rPr>
      </w:pPr>
    </w:p>
    <w:p w14:paraId="330C65D7">
      <w:pPr>
        <w:spacing w:before="120" w:line="320" w:lineRule="atLeast"/>
        <w:ind w:firstLine="420" w:firstLineChars="200"/>
        <w:rPr>
          <w:szCs w:val="21"/>
        </w:rPr>
      </w:pPr>
    </w:p>
    <w:bookmarkEnd w:id="76"/>
    <w:bookmarkEnd w:id="77"/>
    <w:bookmarkEnd w:id="80"/>
    <w:p w14:paraId="6B1955DF">
      <w:pPr>
        <w:pStyle w:val="26"/>
        <w:snapToGrid w:val="0"/>
        <w:spacing w:before="120" w:after="120"/>
        <w:outlineLvl w:val="0"/>
        <w:rPr>
          <w:rFonts w:ascii="Times New Roman" w:hAnsi="Times New Roman" w:cs="Times New Roman"/>
          <w:b/>
          <w:sz w:val="32"/>
          <w:szCs w:val="32"/>
        </w:rPr>
        <w:sectPr>
          <w:headerReference r:id="rId16" w:type="first"/>
          <w:headerReference r:id="rId15" w:type="default"/>
          <w:pgSz w:w="11906" w:h="16838"/>
          <w:pgMar w:top="1418" w:right="1133" w:bottom="1246" w:left="1418" w:header="851" w:footer="992" w:gutter="0"/>
          <w:cols w:space="720" w:num="1"/>
          <w:docGrid w:linePitch="312" w:charSpace="0"/>
        </w:sectPr>
      </w:pPr>
    </w:p>
    <w:p w14:paraId="3FD7EF24">
      <w:pPr>
        <w:pStyle w:val="26"/>
        <w:snapToGrid w:val="0"/>
        <w:spacing w:before="120" w:after="120" w:line="320" w:lineRule="exact"/>
        <w:jc w:val="center"/>
        <w:outlineLvl w:val="0"/>
        <w:rPr>
          <w:rFonts w:ascii="Times New Roman" w:hAnsi="Times New Roman" w:cs="Times New Roman"/>
          <w:sz w:val="32"/>
          <w:szCs w:val="32"/>
        </w:rPr>
      </w:pPr>
      <w:bookmarkStart w:id="83" w:name="_Toc25316"/>
      <w:bookmarkStart w:id="84" w:name="_Hlk160525271"/>
      <w:r>
        <w:rPr>
          <w:rFonts w:ascii="Times New Roman" w:hAnsi="Times New Roman" w:cs="Times New Roman"/>
          <w:sz w:val="32"/>
          <w:szCs w:val="32"/>
        </w:rPr>
        <w:t>第五章  合同主要条款格式</w:t>
      </w:r>
      <w:bookmarkEnd w:id="83"/>
    </w:p>
    <w:bookmarkEnd w:id="84"/>
    <w:p w14:paraId="326646B4">
      <w:pPr>
        <w:widowControl/>
        <w:jc w:val="left"/>
        <w:rPr>
          <w:b/>
          <w:bCs/>
          <w:szCs w:val="21"/>
        </w:rPr>
      </w:pPr>
    </w:p>
    <w:p w14:paraId="40689B0D">
      <w:pPr>
        <w:pStyle w:val="19"/>
        <w:ind w:left="1764" w:hanging="924"/>
        <w:jc w:val="center"/>
        <w:rPr>
          <w:rFonts w:ascii="宋体" w:hAnsi="宋体" w:cs="宋体"/>
          <w:b/>
          <w:bCs/>
          <w:spacing w:val="-20"/>
          <w:kern w:val="44"/>
          <w:sz w:val="48"/>
          <w:szCs w:val="48"/>
        </w:rPr>
      </w:pPr>
    </w:p>
    <w:p w14:paraId="28D85FAD">
      <w:pPr>
        <w:pStyle w:val="19"/>
        <w:rPr>
          <w:sz w:val="32"/>
          <w:szCs w:val="32"/>
        </w:rPr>
      </w:pPr>
    </w:p>
    <w:p w14:paraId="5CB8FEA9">
      <w:pPr>
        <w:spacing w:line="840" w:lineRule="exact"/>
        <w:ind w:firstLine="420"/>
        <w:jc w:val="center"/>
        <w:rPr>
          <w:rFonts w:ascii="仿宋" w:hAnsi="仿宋" w:eastAsia="仿宋" w:cs="Times New Roman"/>
          <w:b/>
          <w:bCs/>
          <w:sz w:val="72"/>
          <w:szCs w:val="72"/>
        </w:rPr>
      </w:pPr>
      <w:bookmarkStart w:id="85" w:name="_Hlk55381736"/>
      <w:bookmarkStart w:id="86" w:name="_Toc8076"/>
      <w:bookmarkStart w:id="87" w:name="_Hlk160525326"/>
      <w:bookmarkStart w:id="88" w:name="_Hlk132792198"/>
      <w:r>
        <w:rPr>
          <w:rFonts w:hint="eastAsia" w:ascii="仿宋" w:hAnsi="仿宋" w:eastAsia="仿宋" w:cs="仿宋"/>
          <w:b/>
          <w:bCs/>
          <w:sz w:val="72"/>
          <w:szCs w:val="72"/>
        </w:rPr>
        <w:t>采</w:t>
      </w:r>
      <w:r>
        <w:rPr>
          <w:rFonts w:ascii="仿宋" w:hAnsi="仿宋" w:eastAsia="仿宋" w:cs="仿宋"/>
          <w:b/>
          <w:bCs/>
          <w:sz w:val="72"/>
          <w:szCs w:val="72"/>
        </w:rPr>
        <w:t xml:space="preserve">  </w:t>
      </w:r>
      <w:r>
        <w:rPr>
          <w:rFonts w:hint="eastAsia" w:ascii="仿宋" w:hAnsi="仿宋" w:eastAsia="仿宋" w:cs="仿宋"/>
          <w:b/>
          <w:bCs/>
          <w:sz w:val="72"/>
          <w:szCs w:val="72"/>
        </w:rPr>
        <w:t>购</w:t>
      </w:r>
      <w:r>
        <w:rPr>
          <w:rFonts w:ascii="仿宋" w:hAnsi="仿宋" w:eastAsia="仿宋" w:cs="仿宋"/>
          <w:b/>
          <w:bCs/>
          <w:sz w:val="72"/>
          <w:szCs w:val="72"/>
        </w:rPr>
        <w:t xml:space="preserve">  </w:t>
      </w:r>
      <w:r>
        <w:rPr>
          <w:rFonts w:hint="eastAsia" w:ascii="仿宋" w:hAnsi="仿宋" w:eastAsia="仿宋" w:cs="仿宋"/>
          <w:b/>
          <w:bCs/>
          <w:sz w:val="72"/>
          <w:szCs w:val="72"/>
        </w:rPr>
        <w:t>合</w:t>
      </w:r>
      <w:r>
        <w:rPr>
          <w:rFonts w:ascii="仿宋" w:hAnsi="仿宋" w:eastAsia="仿宋" w:cs="仿宋"/>
          <w:b/>
          <w:bCs/>
          <w:sz w:val="72"/>
          <w:szCs w:val="72"/>
        </w:rPr>
        <w:t xml:space="preserve">  </w:t>
      </w:r>
      <w:r>
        <w:rPr>
          <w:rFonts w:hint="eastAsia" w:ascii="仿宋" w:hAnsi="仿宋" w:eastAsia="仿宋" w:cs="仿宋"/>
          <w:b/>
          <w:bCs/>
          <w:sz w:val="72"/>
          <w:szCs w:val="72"/>
        </w:rPr>
        <w:t>同</w:t>
      </w:r>
      <w:r>
        <w:rPr>
          <w:rFonts w:ascii="仿宋" w:hAnsi="仿宋" w:eastAsia="仿宋" w:cs="仿宋"/>
          <w:b/>
          <w:bCs/>
          <w:sz w:val="72"/>
          <w:szCs w:val="72"/>
        </w:rPr>
        <w:t xml:space="preserve">  </w:t>
      </w:r>
      <w:r>
        <w:rPr>
          <w:rFonts w:hint="eastAsia" w:ascii="仿宋" w:hAnsi="仿宋" w:eastAsia="仿宋" w:cs="仿宋"/>
          <w:b/>
          <w:bCs/>
          <w:sz w:val="72"/>
          <w:szCs w:val="72"/>
        </w:rPr>
        <w:t>书</w:t>
      </w:r>
    </w:p>
    <w:p w14:paraId="6DE5CAB5">
      <w:pPr>
        <w:spacing w:line="340" w:lineRule="exact"/>
        <w:ind w:firstLine="420"/>
        <w:rPr>
          <w:rFonts w:ascii="仿宋" w:hAnsi="仿宋" w:eastAsia="仿宋" w:cs="Times New Roman"/>
          <w:sz w:val="24"/>
        </w:rPr>
      </w:pPr>
    </w:p>
    <w:p w14:paraId="0F26C6C9">
      <w:pPr>
        <w:spacing w:line="340" w:lineRule="exact"/>
        <w:ind w:firstLine="420"/>
        <w:rPr>
          <w:rFonts w:ascii="仿宋" w:hAnsi="仿宋" w:eastAsia="仿宋" w:cs="Times New Roman"/>
          <w:sz w:val="24"/>
        </w:rPr>
      </w:pPr>
    </w:p>
    <w:p w14:paraId="02015432">
      <w:pPr>
        <w:tabs>
          <w:tab w:val="left" w:pos="7156"/>
        </w:tabs>
        <w:spacing w:line="340" w:lineRule="exact"/>
        <w:ind w:firstLine="420"/>
        <w:rPr>
          <w:rFonts w:ascii="仿宋" w:hAnsi="仿宋" w:eastAsia="仿宋" w:cs="Times New Roman"/>
          <w:sz w:val="24"/>
        </w:rPr>
      </w:pPr>
      <w:r>
        <w:rPr>
          <w:rFonts w:ascii="仿宋" w:hAnsi="仿宋" w:eastAsia="仿宋" w:cs="Times New Roman"/>
          <w:sz w:val="24"/>
        </w:rPr>
        <w:tab/>
      </w:r>
    </w:p>
    <w:p w14:paraId="457B9441">
      <w:pPr>
        <w:spacing w:line="340" w:lineRule="exact"/>
        <w:ind w:firstLine="420"/>
        <w:rPr>
          <w:rFonts w:ascii="仿宋" w:hAnsi="仿宋" w:eastAsia="仿宋" w:cs="Times New Roman"/>
          <w:sz w:val="24"/>
        </w:rPr>
      </w:pPr>
    </w:p>
    <w:p w14:paraId="48531D7C">
      <w:pPr>
        <w:spacing w:line="340" w:lineRule="exact"/>
        <w:ind w:firstLine="420"/>
        <w:rPr>
          <w:rFonts w:ascii="仿宋" w:hAnsi="仿宋" w:eastAsia="仿宋" w:cs="Times New Roman"/>
          <w:sz w:val="24"/>
        </w:rPr>
      </w:pPr>
    </w:p>
    <w:p w14:paraId="776F2AF3">
      <w:pPr>
        <w:spacing w:line="340" w:lineRule="exact"/>
        <w:ind w:firstLine="420"/>
        <w:rPr>
          <w:rFonts w:ascii="仿宋" w:hAnsi="仿宋" w:eastAsia="仿宋" w:cs="Times New Roman"/>
          <w:sz w:val="24"/>
        </w:rPr>
      </w:pPr>
    </w:p>
    <w:p w14:paraId="03ABDCFE">
      <w:pPr>
        <w:spacing w:line="340" w:lineRule="exact"/>
        <w:ind w:firstLine="420"/>
        <w:rPr>
          <w:rFonts w:ascii="仿宋" w:hAnsi="仿宋" w:eastAsia="仿宋" w:cs="Times New Roman"/>
          <w:sz w:val="24"/>
        </w:rPr>
      </w:pPr>
    </w:p>
    <w:p w14:paraId="32DC545D">
      <w:pPr>
        <w:spacing w:line="340" w:lineRule="exact"/>
        <w:ind w:firstLine="420"/>
        <w:rPr>
          <w:rFonts w:ascii="仿宋" w:hAnsi="仿宋" w:eastAsia="仿宋" w:cs="Times New Roman"/>
          <w:sz w:val="24"/>
        </w:rPr>
      </w:pPr>
    </w:p>
    <w:p w14:paraId="772A787E">
      <w:pPr>
        <w:spacing w:line="340" w:lineRule="exact"/>
        <w:ind w:firstLine="420"/>
        <w:rPr>
          <w:rFonts w:ascii="仿宋" w:hAnsi="仿宋" w:eastAsia="仿宋" w:cs="Times New Roman"/>
          <w:sz w:val="24"/>
        </w:rPr>
      </w:pPr>
    </w:p>
    <w:p w14:paraId="3CC6997B">
      <w:pPr>
        <w:spacing w:line="340" w:lineRule="exact"/>
        <w:ind w:firstLine="420"/>
        <w:rPr>
          <w:rFonts w:ascii="仿宋" w:hAnsi="仿宋" w:eastAsia="仿宋" w:cs="Times New Roman"/>
          <w:sz w:val="24"/>
        </w:rPr>
      </w:pPr>
    </w:p>
    <w:p w14:paraId="78F82F69">
      <w:pPr>
        <w:spacing w:line="340" w:lineRule="exact"/>
        <w:ind w:firstLine="420"/>
        <w:rPr>
          <w:rFonts w:ascii="仿宋" w:hAnsi="仿宋" w:eastAsia="仿宋" w:cs="Times New Roman"/>
          <w:sz w:val="24"/>
        </w:rPr>
      </w:pPr>
    </w:p>
    <w:p w14:paraId="7A1ACBD0">
      <w:pPr>
        <w:spacing w:line="340" w:lineRule="exact"/>
        <w:ind w:firstLine="420"/>
        <w:rPr>
          <w:rFonts w:ascii="仿宋" w:hAnsi="仿宋" w:eastAsia="仿宋" w:cs="Times New Roman"/>
          <w:sz w:val="24"/>
        </w:rPr>
      </w:pPr>
    </w:p>
    <w:p w14:paraId="5EBF850D">
      <w:pPr>
        <w:spacing w:line="340" w:lineRule="exact"/>
        <w:rPr>
          <w:rFonts w:ascii="仿宋" w:hAnsi="仿宋" w:eastAsia="仿宋" w:cs="Times New Roman"/>
          <w:sz w:val="24"/>
        </w:rPr>
      </w:pPr>
    </w:p>
    <w:p w14:paraId="54CB5FD3">
      <w:pPr>
        <w:spacing w:line="340" w:lineRule="exact"/>
        <w:rPr>
          <w:rFonts w:ascii="仿宋" w:hAnsi="仿宋" w:eastAsia="仿宋" w:cs="Times New Roman"/>
          <w:sz w:val="24"/>
        </w:rPr>
      </w:pPr>
    </w:p>
    <w:p w14:paraId="4C8C087D">
      <w:pPr>
        <w:spacing w:line="340" w:lineRule="exact"/>
        <w:ind w:firstLine="420"/>
        <w:rPr>
          <w:rFonts w:ascii="仿宋" w:hAnsi="仿宋" w:eastAsia="仿宋" w:cs="Times New Roman"/>
          <w:sz w:val="24"/>
        </w:rPr>
      </w:pPr>
    </w:p>
    <w:p w14:paraId="770C5111">
      <w:pPr>
        <w:spacing w:line="480" w:lineRule="auto"/>
        <w:ind w:firstLine="1120" w:firstLineChars="400"/>
        <w:jc w:val="left"/>
        <w:rPr>
          <w:rFonts w:hint="eastAsia" w:ascii="仿宋" w:hAnsi="仿宋" w:eastAsia="仿宋" w:cs="仿宋"/>
          <w:sz w:val="28"/>
          <w:szCs w:val="28"/>
          <w:u w:val="single"/>
          <w:lang w:eastAsia="zh-CN"/>
        </w:rPr>
      </w:pPr>
      <w:r>
        <w:rPr>
          <w:rFonts w:hint="eastAsia" w:ascii="仿宋" w:hAnsi="仿宋" w:eastAsia="仿宋" w:cs="仿宋"/>
          <w:sz w:val="28"/>
          <w:szCs w:val="28"/>
        </w:rPr>
        <w:t>采购项目名称：</w:t>
      </w:r>
      <w:r>
        <w:rPr>
          <w:rFonts w:hint="eastAsia" w:ascii="仿宋" w:hAnsi="仿宋" w:eastAsia="仿宋" w:cs="仿宋"/>
          <w:sz w:val="28"/>
          <w:szCs w:val="28"/>
          <w:u w:val="single"/>
        </w:rPr>
        <w:t>河池市人民医院医疗设备采购项目</w:t>
      </w:r>
      <w:r>
        <w:rPr>
          <w:rFonts w:hint="eastAsia" w:ascii="仿宋" w:hAnsi="仿宋" w:eastAsia="仿宋" w:cs="仿宋"/>
          <w:sz w:val="28"/>
          <w:szCs w:val="28"/>
          <w:u w:val="single"/>
          <w:lang w:eastAsia="zh-CN"/>
        </w:rPr>
        <w:t>（</w:t>
      </w:r>
      <w:r>
        <w:rPr>
          <w:rFonts w:hint="eastAsia" w:ascii="仿宋" w:hAnsi="仿宋" w:eastAsia="仿宋" w:cs="仿宋"/>
          <w:sz w:val="28"/>
          <w:szCs w:val="28"/>
          <w:u w:val="single"/>
          <w:lang w:val="en-US" w:eastAsia="zh-CN"/>
        </w:rPr>
        <w:t>五</w:t>
      </w:r>
      <w:r>
        <w:rPr>
          <w:rFonts w:hint="eastAsia" w:ascii="仿宋" w:hAnsi="仿宋" w:eastAsia="仿宋" w:cs="仿宋"/>
          <w:sz w:val="28"/>
          <w:szCs w:val="28"/>
          <w:u w:val="single"/>
          <w:lang w:eastAsia="zh-CN"/>
        </w:rPr>
        <w:t>）</w:t>
      </w:r>
    </w:p>
    <w:p w14:paraId="4BABFAD0">
      <w:pPr>
        <w:spacing w:line="480" w:lineRule="auto"/>
        <w:ind w:firstLine="1120" w:firstLineChars="400"/>
        <w:rPr>
          <w:rFonts w:ascii="仿宋" w:hAnsi="仿宋" w:eastAsia="仿宋" w:cs="Times New Roman"/>
          <w:sz w:val="28"/>
          <w:szCs w:val="28"/>
          <w:u w:val="single"/>
        </w:rPr>
      </w:pPr>
      <w:r>
        <w:rPr>
          <w:rFonts w:hint="eastAsia" w:ascii="仿宋" w:hAnsi="仿宋" w:eastAsia="仿宋" w:cs="仿宋"/>
          <w:sz w:val="28"/>
          <w:szCs w:val="28"/>
        </w:rPr>
        <w:t>采购项目编号：</w:t>
      </w:r>
      <w:r>
        <w:rPr>
          <w:rFonts w:ascii="Times New Roman" w:hAnsi="Times New Roman" w:cs="Times New Roman"/>
          <w:sz w:val="24"/>
        </w:rPr>
        <w:fldChar w:fldCharType="begin"/>
      </w:r>
      <w:r>
        <w:rPr>
          <w:rFonts w:ascii="Times New Roman" w:hAnsi="Times New Roman" w:cs="Times New Roman"/>
          <w:sz w:val="24"/>
        </w:rPr>
        <w:instrText xml:space="preserve"> HYPERLINK "https://pay.gcy.zfcg.gxzf.gov.cn/purchaseplan_front/" \l "/plan/list/view?id=1000000000025844457" </w:instrText>
      </w:r>
      <w:r>
        <w:rPr>
          <w:rFonts w:ascii="Times New Roman" w:hAnsi="Times New Roman" w:cs="Times New Roman"/>
          <w:sz w:val="24"/>
        </w:rPr>
        <w:fldChar w:fldCharType="separate"/>
      </w:r>
      <w:r>
        <w:rPr>
          <w:rFonts w:hint="eastAsia" w:ascii="仿宋" w:hAnsi="仿宋" w:eastAsia="仿宋" w:cs="仿宋"/>
          <w:sz w:val="28"/>
          <w:szCs w:val="28"/>
          <w:u w:val="single"/>
          <w:lang w:val="en-US" w:eastAsia="zh-CN"/>
        </w:rPr>
        <w:t xml:space="preserve">                 </w:t>
      </w:r>
      <w:r>
        <w:rPr>
          <w:rFonts w:ascii="仿宋" w:hAnsi="仿宋" w:eastAsia="仿宋" w:cs="仿宋"/>
          <w:sz w:val="28"/>
          <w:szCs w:val="28"/>
          <w:u w:val="single"/>
        </w:rPr>
        <w:fldChar w:fldCharType="end"/>
      </w:r>
    </w:p>
    <w:p w14:paraId="0EF798D5">
      <w:pPr>
        <w:spacing w:line="480" w:lineRule="auto"/>
        <w:ind w:firstLine="1120" w:firstLineChars="400"/>
        <w:rPr>
          <w:rFonts w:ascii="仿宋" w:hAnsi="仿宋" w:eastAsia="仿宋" w:cs="Times New Roman"/>
          <w:sz w:val="28"/>
          <w:szCs w:val="28"/>
          <w:u w:val="single"/>
        </w:rPr>
      </w:pPr>
      <w:r>
        <w:rPr>
          <w:rFonts w:hint="eastAsia" w:ascii="仿宋" w:hAnsi="仿宋" w:eastAsia="仿宋" w:cs="仿宋"/>
          <w:sz w:val="28"/>
          <w:szCs w:val="28"/>
        </w:rPr>
        <w:t>采购单位（甲方）：</w:t>
      </w:r>
      <w:r>
        <w:rPr>
          <w:rFonts w:hint="eastAsia" w:ascii="仿宋" w:hAnsi="仿宋" w:eastAsia="仿宋" w:cs="仿宋"/>
          <w:sz w:val="28"/>
          <w:szCs w:val="28"/>
          <w:u w:val="single"/>
        </w:rPr>
        <w:t>河池市人民医院</w:t>
      </w:r>
    </w:p>
    <w:p w14:paraId="4F2B0976">
      <w:pPr>
        <w:spacing w:line="480" w:lineRule="auto"/>
        <w:ind w:firstLine="1120" w:firstLineChars="400"/>
        <w:rPr>
          <w:rFonts w:ascii="仿宋" w:hAnsi="仿宋" w:eastAsia="仿宋" w:cs="Times New Roman"/>
          <w:sz w:val="28"/>
          <w:szCs w:val="28"/>
          <w:u w:val="single"/>
        </w:rPr>
      </w:pPr>
      <w:r>
        <w:rPr>
          <w:rFonts w:hint="eastAsia" w:ascii="仿宋" w:hAnsi="仿宋" w:eastAsia="仿宋" w:cs="仿宋"/>
          <w:sz w:val="28"/>
          <w:szCs w:val="28"/>
        </w:rPr>
        <w:t>供</w:t>
      </w:r>
      <w:r>
        <w:rPr>
          <w:rFonts w:ascii="仿宋" w:hAnsi="仿宋" w:eastAsia="仿宋" w:cs="仿宋"/>
          <w:sz w:val="28"/>
          <w:szCs w:val="28"/>
        </w:rPr>
        <w:t xml:space="preserve"> </w:t>
      </w:r>
      <w:r>
        <w:rPr>
          <w:rFonts w:hint="eastAsia" w:ascii="仿宋" w:hAnsi="仿宋" w:eastAsia="仿宋" w:cs="仿宋"/>
          <w:sz w:val="28"/>
          <w:szCs w:val="28"/>
        </w:rPr>
        <w:t>应</w:t>
      </w:r>
      <w:r>
        <w:rPr>
          <w:rFonts w:ascii="仿宋" w:hAnsi="仿宋" w:eastAsia="仿宋" w:cs="仿宋"/>
          <w:sz w:val="28"/>
          <w:szCs w:val="28"/>
        </w:rPr>
        <w:t xml:space="preserve"> </w:t>
      </w:r>
      <w:r>
        <w:rPr>
          <w:rFonts w:hint="eastAsia" w:ascii="仿宋" w:hAnsi="仿宋" w:eastAsia="仿宋" w:cs="仿宋"/>
          <w:sz w:val="28"/>
          <w:szCs w:val="28"/>
        </w:rPr>
        <w:t>商（乙方）：</w:t>
      </w:r>
      <w:r>
        <w:rPr>
          <w:rFonts w:hint="eastAsia" w:ascii="仿宋" w:hAnsi="仿宋" w:eastAsia="仿宋" w:cs="仿宋"/>
          <w:sz w:val="28"/>
          <w:szCs w:val="28"/>
          <w:u w:val="single"/>
          <w:lang w:val="en-US" w:eastAsia="zh-CN"/>
        </w:rPr>
        <w:t xml:space="preserve">            </w:t>
      </w:r>
    </w:p>
    <w:p w14:paraId="3F423485">
      <w:pPr>
        <w:spacing w:line="480" w:lineRule="auto"/>
        <w:ind w:firstLine="1120" w:firstLineChars="400"/>
        <w:rPr>
          <w:rFonts w:ascii="仿宋" w:hAnsi="仿宋" w:eastAsia="仿宋" w:cs="Times New Roman"/>
          <w:sz w:val="28"/>
          <w:szCs w:val="28"/>
          <w:u w:val="single"/>
        </w:rPr>
      </w:pPr>
      <w:r>
        <w:rPr>
          <w:rFonts w:hint="eastAsia" w:ascii="仿宋" w:hAnsi="仿宋" w:eastAsia="仿宋" w:cs="仿宋"/>
          <w:sz w:val="28"/>
          <w:szCs w:val="28"/>
        </w:rPr>
        <w:t>签订合同地点：</w:t>
      </w:r>
      <w:r>
        <w:rPr>
          <w:rFonts w:hint="eastAsia" w:ascii="仿宋" w:hAnsi="仿宋" w:eastAsia="仿宋" w:cs="仿宋"/>
          <w:sz w:val="28"/>
          <w:szCs w:val="28"/>
          <w:u w:val="single"/>
        </w:rPr>
        <w:t>河池市人民医院</w:t>
      </w:r>
    </w:p>
    <w:p w14:paraId="50E2A9A4">
      <w:pPr>
        <w:spacing w:line="480" w:lineRule="auto"/>
        <w:ind w:firstLine="1120" w:firstLineChars="400"/>
        <w:rPr>
          <w:rFonts w:ascii="仿宋" w:hAnsi="仿宋" w:eastAsia="仿宋"/>
          <w:sz w:val="32"/>
          <w:szCs w:val="32"/>
        </w:rPr>
        <w:sectPr>
          <w:headerReference r:id="rId17" w:type="default"/>
          <w:footerReference r:id="rId18" w:type="default"/>
          <w:pgSz w:w="11906" w:h="16838"/>
          <w:pgMar w:top="1417" w:right="1417" w:bottom="1417" w:left="1417" w:header="720" w:footer="720" w:gutter="0"/>
          <w:cols w:space="720" w:num="1"/>
          <w:docGrid w:type="lines" w:linePitch="331" w:charSpace="0"/>
        </w:sectPr>
      </w:pPr>
      <w:r>
        <w:rPr>
          <w:rFonts w:hint="eastAsia" w:ascii="仿宋" w:hAnsi="仿宋" w:eastAsia="仿宋" w:cs="仿宋"/>
          <w:sz w:val="28"/>
          <w:szCs w:val="28"/>
        </w:rPr>
        <w:t>合同签订时间：</w:t>
      </w:r>
      <w:r>
        <w:rPr>
          <w:rFonts w:ascii="仿宋" w:hAnsi="仿宋" w:eastAsia="仿宋" w:cs="仿宋"/>
          <w:sz w:val="28"/>
          <w:szCs w:val="28"/>
          <w:u w:val="single"/>
        </w:rPr>
        <w:t xml:space="preserve">              </w:t>
      </w:r>
    </w:p>
    <w:p w14:paraId="41A82BAB">
      <w:pPr>
        <w:snapToGrid w:val="0"/>
        <w:spacing w:line="400" w:lineRule="exact"/>
        <w:jc w:val="center"/>
        <w:rPr>
          <w:rFonts w:ascii="仿宋_GB2312" w:hAnsi="华文中宋" w:eastAsia="仿宋_GB2312" w:cs="Times New Roman"/>
          <w:b/>
          <w:bCs/>
          <w:sz w:val="36"/>
          <w:szCs w:val="36"/>
        </w:rPr>
      </w:pPr>
      <w:r>
        <w:rPr>
          <w:rFonts w:hint="eastAsia" w:ascii="仿宋_GB2312" w:hAnsi="华文中宋" w:eastAsia="仿宋_GB2312" w:cs="仿宋_GB2312"/>
          <w:b/>
          <w:bCs/>
          <w:sz w:val="36"/>
          <w:szCs w:val="36"/>
        </w:rPr>
        <w:t>采</w:t>
      </w:r>
      <w:r>
        <w:rPr>
          <w:rFonts w:ascii="仿宋_GB2312" w:hAnsi="华文中宋" w:eastAsia="仿宋_GB2312" w:cs="仿宋_GB2312"/>
          <w:b/>
          <w:bCs/>
          <w:sz w:val="36"/>
          <w:szCs w:val="36"/>
        </w:rPr>
        <w:t xml:space="preserve"> </w:t>
      </w:r>
      <w:r>
        <w:rPr>
          <w:rFonts w:hint="eastAsia" w:ascii="仿宋_GB2312" w:hAnsi="华文中宋" w:eastAsia="仿宋_GB2312" w:cs="仿宋_GB2312"/>
          <w:b/>
          <w:bCs/>
          <w:sz w:val="36"/>
          <w:szCs w:val="36"/>
        </w:rPr>
        <w:t>购</w:t>
      </w:r>
      <w:r>
        <w:rPr>
          <w:rFonts w:ascii="仿宋_GB2312" w:hAnsi="华文中宋" w:eastAsia="仿宋_GB2312" w:cs="仿宋_GB2312"/>
          <w:b/>
          <w:bCs/>
          <w:sz w:val="36"/>
          <w:szCs w:val="36"/>
        </w:rPr>
        <w:t xml:space="preserve"> </w:t>
      </w:r>
      <w:r>
        <w:rPr>
          <w:rFonts w:hint="eastAsia" w:ascii="仿宋_GB2312" w:hAnsi="华文中宋" w:eastAsia="仿宋_GB2312" w:cs="仿宋_GB2312"/>
          <w:b/>
          <w:bCs/>
          <w:sz w:val="36"/>
          <w:szCs w:val="36"/>
        </w:rPr>
        <w:t>合</w:t>
      </w:r>
      <w:r>
        <w:rPr>
          <w:rFonts w:ascii="仿宋_GB2312" w:hAnsi="华文中宋" w:eastAsia="仿宋_GB2312" w:cs="仿宋_GB2312"/>
          <w:b/>
          <w:bCs/>
          <w:sz w:val="36"/>
          <w:szCs w:val="36"/>
        </w:rPr>
        <w:t xml:space="preserve"> </w:t>
      </w:r>
      <w:r>
        <w:rPr>
          <w:rFonts w:hint="eastAsia" w:ascii="仿宋_GB2312" w:hAnsi="华文中宋" w:eastAsia="仿宋_GB2312" w:cs="仿宋_GB2312"/>
          <w:b/>
          <w:bCs/>
          <w:sz w:val="36"/>
          <w:szCs w:val="36"/>
        </w:rPr>
        <w:t>同</w:t>
      </w:r>
    </w:p>
    <w:p w14:paraId="4C1960E7">
      <w:pPr>
        <w:snapToGrid w:val="0"/>
        <w:spacing w:line="400" w:lineRule="exact"/>
        <w:jc w:val="center"/>
        <w:rPr>
          <w:rFonts w:ascii="仿宋_GB2312" w:hAnsi="Times New Roman" w:eastAsia="仿宋_GB2312" w:cs="Times New Roman"/>
          <w:b/>
          <w:bCs/>
          <w:sz w:val="32"/>
          <w:szCs w:val="32"/>
        </w:rPr>
      </w:pPr>
    </w:p>
    <w:p w14:paraId="4B82A91C">
      <w:pPr>
        <w:snapToGrid w:val="0"/>
        <w:spacing w:line="400" w:lineRule="exact"/>
        <w:ind w:right="480"/>
        <w:rPr>
          <w:rFonts w:ascii="Times New Roman" w:hAnsi="Times New Roman" w:cs="Times New Roman"/>
          <w:sz w:val="24"/>
          <w:u w:val="single"/>
        </w:rPr>
      </w:pPr>
      <w:r>
        <w:rPr>
          <w:rFonts w:hint="eastAsia" w:ascii="Times New Roman" w:hAnsi="Times New Roman" w:cs="宋体"/>
          <w:sz w:val="24"/>
        </w:rPr>
        <w:t>合同编号：</w:t>
      </w:r>
      <w:r>
        <w:rPr>
          <w:rFonts w:ascii="宋体" w:hAnsi="宋体" w:cs="宋体"/>
          <w:sz w:val="24"/>
          <w:u w:val="single"/>
        </w:rPr>
        <w:t xml:space="preserve">SYY-SB2026    </w:t>
      </w:r>
    </w:p>
    <w:p w14:paraId="2EE7D66A">
      <w:pPr>
        <w:snapToGrid w:val="0"/>
        <w:spacing w:line="400" w:lineRule="exact"/>
        <w:rPr>
          <w:rFonts w:ascii="Times New Roman" w:hAnsi="Times New Roman" w:cs="Times New Roman"/>
          <w:sz w:val="24"/>
          <w:u w:val="single"/>
        </w:rPr>
      </w:pPr>
      <w:r>
        <w:rPr>
          <w:rFonts w:hint="eastAsia" w:ascii="Times New Roman" w:hAnsi="Times New Roman" w:cs="宋体"/>
          <w:sz w:val="24"/>
        </w:rPr>
        <w:t>采购单位（甲方）：</w:t>
      </w:r>
      <w:r>
        <w:rPr>
          <w:rFonts w:hint="eastAsia" w:ascii="Times New Roman" w:hAnsi="Times New Roman" w:cs="宋体"/>
          <w:sz w:val="24"/>
          <w:u w:val="single"/>
        </w:rPr>
        <w:t>河池市人民医院</w:t>
      </w:r>
    </w:p>
    <w:p w14:paraId="22A3FE12">
      <w:pPr>
        <w:snapToGrid w:val="0"/>
        <w:spacing w:line="400" w:lineRule="exact"/>
        <w:rPr>
          <w:rFonts w:ascii="Times New Roman" w:hAnsi="Times New Roman" w:cs="Times New Roman"/>
          <w:sz w:val="24"/>
          <w:u w:val="single"/>
        </w:rPr>
      </w:pPr>
      <w:r>
        <w:rPr>
          <w:rFonts w:hint="eastAsia" w:ascii="Times New Roman" w:hAnsi="Times New Roman" w:cs="宋体"/>
          <w:sz w:val="24"/>
        </w:rPr>
        <w:t>供</w:t>
      </w:r>
      <w:r>
        <w:rPr>
          <w:rFonts w:ascii="Times New Roman" w:hAnsi="Times New Roman" w:cs="Times New Roman"/>
          <w:sz w:val="24"/>
        </w:rPr>
        <w:t xml:space="preserve"> </w:t>
      </w:r>
      <w:r>
        <w:rPr>
          <w:rFonts w:hint="eastAsia" w:ascii="Times New Roman" w:hAnsi="Times New Roman" w:cs="宋体"/>
          <w:sz w:val="24"/>
        </w:rPr>
        <w:t>应</w:t>
      </w:r>
      <w:r>
        <w:rPr>
          <w:rFonts w:ascii="Times New Roman" w:hAnsi="Times New Roman" w:cs="Times New Roman"/>
          <w:sz w:val="24"/>
        </w:rPr>
        <w:t xml:space="preserve"> </w:t>
      </w:r>
      <w:r>
        <w:rPr>
          <w:rFonts w:hint="eastAsia" w:ascii="Times New Roman" w:hAnsi="Times New Roman" w:cs="宋体"/>
          <w:sz w:val="24"/>
        </w:rPr>
        <w:t>商（乙方）：</w:t>
      </w:r>
      <w:r>
        <w:rPr>
          <w:rFonts w:hint="eastAsia" w:ascii="Times New Roman" w:hAnsi="Times New Roman" w:cs="宋体"/>
          <w:sz w:val="24"/>
          <w:u w:val="single"/>
          <w:lang w:val="en-US" w:eastAsia="zh-CN"/>
        </w:rPr>
        <w:t xml:space="preserve">             </w:t>
      </w:r>
    </w:p>
    <w:p w14:paraId="6C2A8AE9">
      <w:pPr>
        <w:snapToGrid w:val="0"/>
        <w:spacing w:line="400" w:lineRule="exact"/>
        <w:rPr>
          <w:rFonts w:hint="eastAsia" w:ascii="Times New Roman" w:hAnsi="Times New Roman" w:eastAsia="宋体" w:cs="Times New Roman"/>
          <w:sz w:val="24"/>
          <w:u w:val="single"/>
          <w:lang w:eastAsia="zh-CN"/>
        </w:rPr>
      </w:pPr>
      <w:r>
        <w:rPr>
          <w:rFonts w:hint="eastAsia" w:ascii="Times New Roman" w:hAnsi="Times New Roman" w:cs="宋体"/>
          <w:sz w:val="24"/>
        </w:rPr>
        <w:t>项目名称：</w:t>
      </w:r>
      <w:r>
        <w:rPr>
          <w:rFonts w:hint="eastAsia" w:ascii="Times New Roman" w:hAnsi="Times New Roman" w:cs="宋体"/>
          <w:sz w:val="24"/>
          <w:u w:val="single"/>
        </w:rPr>
        <w:t>河池市人民医院医疗设备采购项目</w:t>
      </w:r>
      <w:r>
        <w:rPr>
          <w:rFonts w:hint="eastAsia" w:ascii="Times New Roman" w:hAnsi="Times New Roman" w:cs="宋体"/>
          <w:sz w:val="24"/>
          <w:u w:val="single"/>
          <w:lang w:eastAsia="zh-CN"/>
        </w:rPr>
        <w:t>（</w:t>
      </w:r>
      <w:r>
        <w:rPr>
          <w:rFonts w:hint="eastAsia" w:ascii="Times New Roman" w:hAnsi="Times New Roman" w:cs="宋体"/>
          <w:sz w:val="24"/>
          <w:u w:val="single"/>
          <w:lang w:val="en-US" w:eastAsia="zh-CN"/>
        </w:rPr>
        <w:t>五</w:t>
      </w:r>
      <w:r>
        <w:rPr>
          <w:rFonts w:hint="eastAsia" w:ascii="Times New Roman" w:hAnsi="Times New Roman" w:cs="宋体"/>
          <w:sz w:val="24"/>
          <w:u w:val="single"/>
          <w:lang w:eastAsia="zh-CN"/>
        </w:rPr>
        <w:t>）</w:t>
      </w:r>
    </w:p>
    <w:p w14:paraId="0A886FE4">
      <w:pPr>
        <w:snapToGrid w:val="0"/>
        <w:spacing w:line="400" w:lineRule="exact"/>
        <w:jc w:val="left"/>
        <w:rPr>
          <w:rFonts w:ascii="Times New Roman" w:hAnsi="Times New Roman" w:cs="Times New Roman"/>
          <w:sz w:val="24"/>
        </w:rPr>
      </w:pPr>
      <w:r>
        <w:rPr>
          <w:rFonts w:hint="eastAsia" w:ascii="Times New Roman" w:hAnsi="Times New Roman" w:cs="宋体"/>
          <w:sz w:val="24"/>
        </w:rPr>
        <w:t>采购计划号：</w:t>
      </w:r>
      <w:r>
        <w:rPr>
          <w:rFonts w:ascii="Times New Roman" w:hAnsi="Times New Roman" w:cs="Times New Roman"/>
          <w:sz w:val="24"/>
        </w:rPr>
        <w:fldChar w:fldCharType="begin"/>
      </w:r>
      <w:r>
        <w:rPr>
          <w:rFonts w:ascii="Times New Roman" w:hAnsi="Times New Roman" w:cs="Times New Roman"/>
          <w:sz w:val="24"/>
        </w:rPr>
        <w:instrText xml:space="preserve"> HYPERLINK "https://middle.gcy.zfcg.gxzf.gov.cn/purchaseplan_front/" \l "/plan/list/view?id=1000000000026070356" </w:instrText>
      </w:r>
      <w:r>
        <w:rPr>
          <w:rFonts w:ascii="Times New Roman" w:hAnsi="Times New Roman" w:cs="Times New Roman"/>
          <w:sz w:val="24"/>
        </w:rPr>
        <w:fldChar w:fldCharType="separate"/>
      </w:r>
      <w:r>
        <w:rPr>
          <w:rFonts w:hint="eastAsia" w:ascii="Times New Roman" w:hAnsi="Times New Roman" w:cs="Times New Roman"/>
          <w:sz w:val="24"/>
          <w:u w:val="single"/>
          <w:lang w:val="en-US" w:eastAsia="zh-CN"/>
        </w:rPr>
        <w:t xml:space="preserve">               </w:t>
      </w:r>
      <w:r>
        <w:rPr>
          <w:rFonts w:ascii="Times New Roman" w:hAnsi="Times New Roman" w:cs="Times New Roman"/>
          <w:sz w:val="24"/>
          <w:u w:val="single"/>
        </w:rPr>
        <w:fldChar w:fldCharType="end"/>
      </w:r>
    </w:p>
    <w:p w14:paraId="1FF0C39E">
      <w:pPr>
        <w:snapToGrid w:val="0"/>
        <w:spacing w:line="400" w:lineRule="exact"/>
        <w:rPr>
          <w:rFonts w:hint="default" w:ascii="Times New Roman" w:hAnsi="Times New Roman" w:eastAsia="宋体" w:cs="Times New Roman"/>
          <w:sz w:val="24"/>
          <w:u w:val="single"/>
          <w:lang w:val="en-US" w:eastAsia="zh-CN"/>
        </w:rPr>
      </w:pPr>
      <w:r>
        <w:rPr>
          <w:rFonts w:hint="eastAsia" w:ascii="Times New Roman" w:hAnsi="Times New Roman" w:cs="宋体"/>
          <w:sz w:val="24"/>
        </w:rPr>
        <w:t>项目编号：</w:t>
      </w:r>
      <w:r>
        <w:rPr>
          <w:rFonts w:hint="eastAsia" w:ascii="宋体" w:hAnsi="宋体" w:cs="宋体"/>
          <w:sz w:val="24"/>
          <w:u w:val="single"/>
          <w:lang w:val="en-US" w:eastAsia="zh-CN"/>
        </w:rPr>
        <w:t xml:space="preserve">                </w:t>
      </w:r>
    </w:p>
    <w:p w14:paraId="7F8E9387">
      <w:pPr>
        <w:snapToGrid w:val="0"/>
        <w:spacing w:line="400" w:lineRule="exact"/>
        <w:ind w:firstLine="480" w:firstLineChars="200"/>
        <w:rPr>
          <w:rFonts w:ascii="Times New Roman" w:hAnsi="Times New Roman" w:cs="Times New Roman"/>
          <w:sz w:val="24"/>
        </w:rPr>
      </w:pPr>
    </w:p>
    <w:p w14:paraId="4A85E399">
      <w:pPr>
        <w:snapToGrid w:val="0"/>
        <w:spacing w:line="400" w:lineRule="exact"/>
        <w:ind w:firstLine="480" w:firstLineChars="200"/>
        <w:rPr>
          <w:rFonts w:ascii="Times New Roman" w:hAnsi="Times New Roman" w:cs="Times New Roman"/>
          <w:sz w:val="24"/>
        </w:rPr>
      </w:pPr>
      <w:r>
        <w:rPr>
          <w:rFonts w:hint="eastAsia" w:ascii="Times New Roman" w:hAnsi="Times New Roman" w:cs="宋体"/>
          <w:sz w:val="24"/>
        </w:rPr>
        <w:t>根据《中华人民共和国政府采购法</w:t>
      </w:r>
      <w:r>
        <w:rPr>
          <w:rFonts w:hint="eastAsia" w:ascii="Times New Roman" w:hAnsi="Times New Roman" w:cs="宋体"/>
          <w:sz w:val="24"/>
          <w:lang w:eastAsia="zh-CN"/>
        </w:rPr>
        <w:t>》《</w:t>
      </w:r>
      <w:r>
        <w:rPr>
          <w:rFonts w:hint="eastAsia" w:ascii="Times New Roman" w:hAnsi="Times New Roman" w:cs="宋体"/>
          <w:sz w:val="24"/>
        </w:rPr>
        <w:t>中华人民共和国民法典》等</w:t>
      </w:r>
      <w:r>
        <w:rPr>
          <w:rFonts w:hint="eastAsia" w:ascii="Times New Roman" w:hAnsi="Times New Roman" w:cs="宋体"/>
          <w:sz w:val="24"/>
          <w:lang w:eastAsia="zh-CN"/>
        </w:rPr>
        <w:t>法律法规</w:t>
      </w:r>
      <w:r>
        <w:rPr>
          <w:rFonts w:hint="eastAsia" w:ascii="Times New Roman" w:hAnsi="Times New Roman" w:cs="宋体"/>
          <w:sz w:val="24"/>
        </w:rPr>
        <w:t>规定，按照招投标文件（采购文件）规定条款和成交供应商承诺，甲乙双方签订本合同。</w:t>
      </w:r>
    </w:p>
    <w:p w14:paraId="03FF7712">
      <w:pPr>
        <w:spacing w:line="400" w:lineRule="exact"/>
        <w:ind w:firstLine="482" w:firstLineChars="200"/>
        <w:rPr>
          <w:rFonts w:ascii="Times New Roman" w:hAnsi="Times New Roman" w:cs="Times New Roman"/>
          <w:b/>
          <w:bCs/>
          <w:sz w:val="24"/>
        </w:rPr>
      </w:pPr>
      <w:r>
        <w:rPr>
          <w:rFonts w:hint="eastAsia" w:ascii="Times New Roman" w:hAnsi="宋体" w:cs="宋体"/>
          <w:b/>
          <w:bCs/>
          <w:sz w:val="24"/>
        </w:rPr>
        <w:t>第一条　合同标的</w:t>
      </w:r>
    </w:p>
    <w:p w14:paraId="00FA9E46">
      <w:pPr>
        <w:snapToGrid w:val="0"/>
        <w:spacing w:line="400" w:lineRule="exact"/>
        <w:ind w:firstLine="480" w:firstLineChars="200"/>
        <w:rPr>
          <w:rFonts w:ascii="Times New Roman" w:hAnsi="Times New Roman" w:cs="Times New Roman"/>
          <w:sz w:val="24"/>
        </w:rPr>
      </w:pPr>
      <w:r>
        <w:rPr>
          <w:rFonts w:ascii="Times New Roman" w:hAnsi="Times New Roman" w:cs="Times New Roman"/>
          <w:sz w:val="24"/>
        </w:rPr>
        <w:t>1.</w:t>
      </w:r>
      <w:r>
        <w:rPr>
          <w:rFonts w:hint="eastAsia" w:ascii="Times New Roman" w:hAnsi="Times New Roman" w:cs="宋体"/>
          <w:sz w:val="24"/>
        </w:rPr>
        <w:t>供货一览表</w:t>
      </w:r>
    </w:p>
    <w:tbl>
      <w:tblPr>
        <w:tblStyle w:val="51"/>
        <w:tblW w:w="9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3"/>
        <w:gridCol w:w="1526"/>
        <w:gridCol w:w="1280"/>
        <w:gridCol w:w="1270"/>
        <w:gridCol w:w="710"/>
        <w:gridCol w:w="1367"/>
        <w:gridCol w:w="2095"/>
      </w:tblGrid>
      <w:tr w14:paraId="24A4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1513" w:type="dxa"/>
            <w:vAlign w:val="center"/>
          </w:tcPr>
          <w:p w14:paraId="61222426">
            <w:pPr>
              <w:snapToGrid w:val="0"/>
              <w:spacing w:line="400" w:lineRule="exact"/>
              <w:jc w:val="center"/>
              <w:rPr>
                <w:rFonts w:ascii="宋体" w:hAnsi="Times New Roman" w:cs="Times New Roman"/>
                <w:b/>
                <w:bCs/>
                <w:sz w:val="21"/>
                <w:szCs w:val="21"/>
              </w:rPr>
            </w:pPr>
            <w:r>
              <w:rPr>
                <w:rFonts w:hint="eastAsia" w:ascii="宋体" w:hAnsi="宋体" w:cs="宋体"/>
                <w:b/>
                <w:bCs/>
                <w:sz w:val="21"/>
                <w:szCs w:val="21"/>
              </w:rPr>
              <w:t>标的名称</w:t>
            </w:r>
          </w:p>
        </w:tc>
        <w:tc>
          <w:tcPr>
            <w:tcW w:w="1526" w:type="dxa"/>
            <w:vAlign w:val="center"/>
          </w:tcPr>
          <w:p w14:paraId="0BDD2506">
            <w:pPr>
              <w:snapToGrid w:val="0"/>
              <w:spacing w:line="400" w:lineRule="exact"/>
              <w:jc w:val="center"/>
              <w:rPr>
                <w:rFonts w:ascii="宋体" w:hAnsi="Times New Roman" w:cs="Times New Roman"/>
                <w:b/>
                <w:bCs/>
                <w:sz w:val="21"/>
                <w:szCs w:val="21"/>
              </w:rPr>
            </w:pPr>
            <w:r>
              <w:rPr>
                <w:rFonts w:hint="eastAsia" w:ascii="宋体" w:hAnsi="宋体" w:cs="宋体"/>
                <w:b/>
                <w:bCs/>
                <w:sz w:val="21"/>
                <w:szCs w:val="21"/>
              </w:rPr>
              <w:t>产品名称</w:t>
            </w:r>
          </w:p>
        </w:tc>
        <w:tc>
          <w:tcPr>
            <w:tcW w:w="1280" w:type="dxa"/>
            <w:vAlign w:val="center"/>
          </w:tcPr>
          <w:p w14:paraId="6F0FB354">
            <w:pPr>
              <w:snapToGrid w:val="0"/>
              <w:spacing w:line="400" w:lineRule="exact"/>
              <w:jc w:val="center"/>
              <w:rPr>
                <w:rFonts w:ascii="宋体" w:hAnsi="Times New Roman" w:cs="Times New Roman"/>
                <w:b/>
                <w:bCs/>
                <w:sz w:val="21"/>
                <w:szCs w:val="21"/>
              </w:rPr>
            </w:pPr>
            <w:r>
              <w:rPr>
                <w:rFonts w:hint="eastAsia" w:ascii="宋体" w:hAnsi="宋体" w:cs="宋体"/>
                <w:b/>
                <w:bCs/>
                <w:sz w:val="21"/>
                <w:szCs w:val="21"/>
              </w:rPr>
              <w:t>规格型号</w:t>
            </w:r>
          </w:p>
        </w:tc>
        <w:tc>
          <w:tcPr>
            <w:tcW w:w="1270" w:type="dxa"/>
            <w:vAlign w:val="center"/>
          </w:tcPr>
          <w:p w14:paraId="479F0664">
            <w:pPr>
              <w:snapToGrid w:val="0"/>
              <w:spacing w:line="400" w:lineRule="exact"/>
              <w:jc w:val="center"/>
              <w:rPr>
                <w:rFonts w:ascii="宋体" w:hAnsi="Times New Roman" w:cs="Times New Roman"/>
                <w:b/>
                <w:bCs/>
                <w:sz w:val="21"/>
                <w:szCs w:val="21"/>
              </w:rPr>
            </w:pPr>
            <w:r>
              <w:rPr>
                <w:rFonts w:hint="eastAsia" w:ascii="宋体" w:hAnsi="宋体" w:cs="宋体"/>
                <w:b/>
                <w:bCs/>
                <w:sz w:val="21"/>
                <w:szCs w:val="21"/>
              </w:rPr>
              <w:t>单价（元）</w:t>
            </w:r>
          </w:p>
        </w:tc>
        <w:tc>
          <w:tcPr>
            <w:tcW w:w="710" w:type="dxa"/>
            <w:vAlign w:val="center"/>
          </w:tcPr>
          <w:p w14:paraId="12FA5C48">
            <w:pPr>
              <w:snapToGrid w:val="0"/>
              <w:spacing w:line="400" w:lineRule="exact"/>
              <w:jc w:val="center"/>
              <w:rPr>
                <w:rFonts w:ascii="宋体" w:hAnsi="Times New Roman" w:cs="Times New Roman"/>
                <w:b/>
                <w:bCs/>
                <w:sz w:val="21"/>
                <w:szCs w:val="21"/>
              </w:rPr>
            </w:pPr>
            <w:r>
              <w:rPr>
                <w:rFonts w:hint="eastAsia" w:ascii="宋体" w:hAnsi="宋体" w:cs="宋体"/>
                <w:b/>
                <w:bCs/>
                <w:sz w:val="21"/>
                <w:szCs w:val="21"/>
              </w:rPr>
              <w:t>数量</w:t>
            </w:r>
          </w:p>
        </w:tc>
        <w:tc>
          <w:tcPr>
            <w:tcW w:w="1367" w:type="dxa"/>
            <w:vAlign w:val="center"/>
          </w:tcPr>
          <w:p w14:paraId="1B16B984">
            <w:pPr>
              <w:snapToGrid w:val="0"/>
              <w:spacing w:line="400" w:lineRule="exact"/>
              <w:jc w:val="center"/>
              <w:rPr>
                <w:rFonts w:ascii="宋体" w:hAnsi="Times New Roman" w:cs="Times New Roman"/>
                <w:b/>
                <w:bCs/>
                <w:sz w:val="21"/>
                <w:szCs w:val="21"/>
              </w:rPr>
            </w:pPr>
            <w:r>
              <w:rPr>
                <w:rFonts w:hint="eastAsia" w:ascii="宋体" w:hAnsi="宋体" w:cs="宋体"/>
                <w:b/>
                <w:bCs/>
                <w:sz w:val="21"/>
                <w:szCs w:val="21"/>
              </w:rPr>
              <w:t>总金额（元）</w:t>
            </w:r>
          </w:p>
        </w:tc>
        <w:tc>
          <w:tcPr>
            <w:tcW w:w="2095" w:type="dxa"/>
            <w:vAlign w:val="center"/>
          </w:tcPr>
          <w:p w14:paraId="70DE5302">
            <w:pPr>
              <w:snapToGrid w:val="0"/>
              <w:spacing w:line="400" w:lineRule="exact"/>
              <w:jc w:val="center"/>
              <w:rPr>
                <w:rFonts w:ascii="宋体" w:hAnsi="Times New Roman" w:cs="Times New Roman"/>
                <w:b/>
                <w:bCs/>
                <w:sz w:val="21"/>
                <w:szCs w:val="21"/>
              </w:rPr>
            </w:pPr>
            <w:r>
              <w:rPr>
                <w:rFonts w:hint="eastAsia" w:ascii="宋体" w:hAnsi="宋体" w:cs="宋体"/>
                <w:b/>
                <w:bCs/>
                <w:sz w:val="21"/>
                <w:szCs w:val="21"/>
              </w:rPr>
              <w:t>生产厂家</w:t>
            </w:r>
          </w:p>
        </w:tc>
      </w:tr>
      <w:tr w14:paraId="00A7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8" w:hRule="atLeast"/>
          <w:jc w:val="center"/>
        </w:trPr>
        <w:tc>
          <w:tcPr>
            <w:tcW w:w="1513" w:type="dxa"/>
            <w:vAlign w:val="center"/>
          </w:tcPr>
          <w:p w14:paraId="5DA1AA95">
            <w:pPr>
              <w:widowControl/>
              <w:wordWrap w:val="0"/>
              <w:snapToGrid w:val="0"/>
              <w:spacing w:line="400" w:lineRule="exact"/>
              <w:jc w:val="center"/>
              <w:rPr>
                <w:rFonts w:ascii="宋体" w:hAnsi="Times New Roman" w:cs="Times New Roman"/>
                <w:sz w:val="21"/>
                <w:szCs w:val="21"/>
              </w:rPr>
            </w:pPr>
          </w:p>
        </w:tc>
        <w:tc>
          <w:tcPr>
            <w:tcW w:w="1526" w:type="dxa"/>
            <w:vAlign w:val="center"/>
          </w:tcPr>
          <w:p w14:paraId="59302676">
            <w:pPr>
              <w:widowControl/>
              <w:wordWrap w:val="0"/>
              <w:snapToGrid w:val="0"/>
              <w:spacing w:line="400" w:lineRule="exact"/>
              <w:jc w:val="center"/>
              <w:rPr>
                <w:rFonts w:ascii="宋体" w:hAnsi="Times New Roman" w:cs="Times New Roman"/>
                <w:sz w:val="21"/>
                <w:szCs w:val="21"/>
              </w:rPr>
            </w:pPr>
          </w:p>
        </w:tc>
        <w:tc>
          <w:tcPr>
            <w:tcW w:w="1280" w:type="dxa"/>
            <w:vAlign w:val="center"/>
          </w:tcPr>
          <w:p w14:paraId="69F46FAE">
            <w:pPr>
              <w:widowControl/>
              <w:wordWrap w:val="0"/>
              <w:snapToGrid w:val="0"/>
              <w:spacing w:line="400" w:lineRule="exact"/>
              <w:jc w:val="center"/>
              <w:rPr>
                <w:rFonts w:ascii="宋体" w:hAnsi="Times New Roman" w:cs="宋体"/>
                <w:sz w:val="21"/>
                <w:szCs w:val="21"/>
              </w:rPr>
            </w:pPr>
          </w:p>
        </w:tc>
        <w:tc>
          <w:tcPr>
            <w:tcW w:w="1270" w:type="dxa"/>
            <w:vAlign w:val="center"/>
          </w:tcPr>
          <w:p w14:paraId="7C9B92DD">
            <w:pPr>
              <w:widowControl/>
              <w:wordWrap w:val="0"/>
              <w:snapToGrid w:val="0"/>
              <w:spacing w:line="400" w:lineRule="exact"/>
              <w:jc w:val="center"/>
              <w:rPr>
                <w:rFonts w:ascii="宋体" w:hAnsi="Times New Roman" w:cs="宋体"/>
                <w:sz w:val="21"/>
                <w:szCs w:val="21"/>
              </w:rPr>
            </w:pPr>
          </w:p>
        </w:tc>
        <w:tc>
          <w:tcPr>
            <w:tcW w:w="710" w:type="dxa"/>
            <w:vAlign w:val="center"/>
          </w:tcPr>
          <w:p w14:paraId="4E16BD63">
            <w:pPr>
              <w:widowControl/>
              <w:wordWrap w:val="0"/>
              <w:snapToGrid w:val="0"/>
              <w:spacing w:line="400" w:lineRule="exact"/>
              <w:jc w:val="center"/>
              <w:rPr>
                <w:rFonts w:ascii="宋体" w:hAnsi="Times New Roman" w:cs="Times New Roman"/>
                <w:sz w:val="21"/>
                <w:szCs w:val="21"/>
              </w:rPr>
            </w:pPr>
          </w:p>
        </w:tc>
        <w:tc>
          <w:tcPr>
            <w:tcW w:w="1367" w:type="dxa"/>
            <w:vAlign w:val="center"/>
          </w:tcPr>
          <w:p w14:paraId="1FA22F89">
            <w:pPr>
              <w:widowControl/>
              <w:wordWrap w:val="0"/>
              <w:snapToGrid w:val="0"/>
              <w:spacing w:line="400" w:lineRule="exact"/>
              <w:jc w:val="center"/>
              <w:rPr>
                <w:rFonts w:ascii="宋体" w:hAnsi="Times New Roman" w:cs="宋体"/>
                <w:sz w:val="21"/>
                <w:szCs w:val="21"/>
              </w:rPr>
            </w:pPr>
          </w:p>
        </w:tc>
        <w:tc>
          <w:tcPr>
            <w:tcW w:w="2095" w:type="dxa"/>
            <w:vAlign w:val="center"/>
          </w:tcPr>
          <w:p w14:paraId="57C56D78">
            <w:pPr>
              <w:keepLines/>
              <w:widowControl/>
              <w:wordWrap w:val="0"/>
              <w:topLinePunct/>
              <w:snapToGrid w:val="0"/>
              <w:spacing w:line="400" w:lineRule="exact"/>
              <w:jc w:val="center"/>
              <w:rPr>
                <w:rFonts w:ascii="宋体" w:hAnsi="Times New Roman" w:cs="Times New Roman"/>
                <w:sz w:val="21"/>
                <w:szCs w:val="21"/>
              </w:rPr>
            </w:pPr>
          </w:p>
        </w:tc>
      </w:tr>
      <w:tr w14:paraId="0E86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9761" w:type="dxa"/>
            <w:gridSpan w:val="7"/>
            <w:vAlign w:val="center"/>
          </w:tcPr>
          <w:p w14:paraId="0733A686">
            <w:pPr>
              <w:snapToGrid w:val="0"/>
              <w:spacing w:line="400" w:lineRule="exact"/>
              <w:rPr>
                <w:rFonts w:ascii="宋体" w:hAnsi="Times New Roman" w:cs="Times New Roman"/>
                <w:sz w:val="21"/>
                <w:szCs w:val="21"/>
              </w:rPr>
            </w:pPr>
            <w:r>
              <w:rPr>
                <w:rFonts w:hint="eastAsia" w:ascii="宋体" w:hAnsi="宋体" w:cs="宋体"/>
                <w:sz w:val="21"/>
                <w:szCs w:val="21"/>
              </w:rPr>
              <w:t>总金额为人民币（大写）：</w:t>
            </w:r>
            <w:r>
              <w:rPr>
                <w:rFonts w:hint="eastAsia" w:ascii="宋体" w:hAnsi="宋体" w:cs="宋体"/>
                <w:sz w:val="21"/>
                <w:szCs w:val="21"/>
                <w:lang w:val="en-US" w:eastAsia="zh-CN"/>
              </w:rPr>
              <w:t xml:space="preserve">    </w:t>
            </w:r>
            <w:r>
              <w:rPr>
                <w:rFonts w:hint="eastAsia" w:ascii="宋体" w:hAnsi="宋体" w:cs="宋体"/>
                <w:sz w:val="21"/>
                <w:szCs w:val="21"/>
              </w:rPr>
              <w:t>元整</w:t>
            </w:r>
            <w:r>
              <w:rPr>
                <w:rFonts w:ascii="宋体" w:hAnsi="宋体" w:cs="宋体"/>
                <w:sz w:val="21"/>
                <w:szCs w:val="21"/>
              </w:rPr>
              <w:t xml:space="preserve">                    </w:t>
            </w:r>
            <w:r>
              <w:rPr>
                <w:rFonts w:hint="eastAsia" w:ascii="宋体" w:hAnsi="宋体" w:cs="宋体"/>
                <w:sz w:val="21"/>
                <w:szCs w:val="21"/>
              </w:rPr>
              <w:t>（小写）</w:t>
            </w:r>
            <w:r>
              <w:rPr>
                <w:rFonts w:ascii="宋体" w:hAnsi="宋体" w:cs="宋体"/>
                <w:sz w:val="21"/>
                <w:szCs w:val="21"/>
              </w:rPr>
              <w:t xml:space="preserve"> </w:t>
            </w:r>
            <w:r>
              <w:rPr>
                <w:rFonts w:hint="eastAsia" w:ascii="宋体" w:hAnsi="宋体" w:cs="宋体"/>
                <w:sz w:val="21"/>
                <w:szCs w:val="21"/>
              </w:rPr>
              <w:t>：</w:t>
            </w:r>
            <w:r>
              <w:rPr>
                <w:rFonts w:hint="eastAsia" w:ascii="宋体" w:hAnsi="宋体" w:cs="宋体"/>
                <w:sz w:val="21"/>
                <w:szCs w:val="21"/>
                <w:lang w:val="en-US" w:eastAsia="zh-CN"/>
              </w:rPr>
              <w:t xml:space="preserve"> </w:t>
            </w:r>
            <w:r>
              <w:rPr>
                <w:rFonts w:ascii="宋体" w:hAnsi="宋体" w:cs="宋体"/>
                <w:sz w:val="21"/>
                <w:szCs w:val="21"/>
              </w:rPr>
              <w:t>000.00</w:t>
            </w:r>
            <w:r>
              <w:rPr>
                <w:rFonts w:hint="eastAsia" w:ascii="宋体" w:hAnsi="宋体" w:cs="宋体"/>
                <w:sz w:val="21"/>
                <w:szCs w:val="21"/>
              </w:rPr>
              <w:t>元（含税）</w:t>
            </w:r>
            <w:r>
              <w:rPr>
                <w:rFonts w:ascii="宋体" w:hAnsi="宋体" w:cs="宋体"/>
                <w:sz w:val="21"/>
                <w:szCs w:val="21"/>
              </w:rPr>
              <w:t xml:space="preserve">          </w:t>
            </w:r>
          </w:p>
        </w:tc>
      </w:tr>
    </w:tbl>
    <w:p w14:paraId="4D18A917">
      <w:pPr>
        <w:spacing w:line="400" w:lineRule="exact"/>
        <w:ind w:firstLine="482" w:firstLineChars="200"/>
        <w:rPr>
          <w:rFonts w:ascii="Times New Roman" w:hAnsi="宋体" w:cs="Times New Roman"/>
          <w:b/>
          <w:bCs/>
          <w:sz w:val="24"/>
        </w:rPr>
      </w:pPr>
      <w:r>
        <w:rPr>
          <w:rFonts w:hint="eastAsia" w:ascii="Times New Roman" w:hAnsi="宋体" w:cs="宋体"/>
          <w:b/>
          <w:bCs/>
          <w:sz w:val="24"/>
        </w:rPr>
        <w:t>第二条　质量保证</w:t>
      </w:r>
      <w:r>
        <w:rPr>
          <w:rFonts w:ascii="Times New Roman" w:hAnsi="宋体" w:cs="Times New Roman"/>
          <w:b/>
          <w:bCs/>
          <w:sz w:val="24"/>
        </w:rPr>
        <w:t xml:space="preserve"> </w:t>
      </w:r>
    </w:p>
    <w:p w14:paraId="6ED92716">
      <w:pPr>
        <w:snapToGrid w:val="0"/>
        <w:spacing w:line="400" w:lineRule="exact"/>
        <w:ind w:firstLine="480" w:firstLineChars="200"/>
        <w:rPr>
          <w:rFonts w:ascii="宋体" w:hAnsi="Times New Roman" w:cs="Times New Roman"/>
          <w:sz w:val="24"/>
        </w:rPr>
      </w:pPr>
      <w:r>
        <w:rPr>
          <w:rFonts w:ascii="宋体" w:hAnsi="宋体" w:cs="宋体"/>
          <w:sz w:val="24"/>
        </w:rPr>
        <w:t>1</w:t>
      </w:r>
      <w:r>
        <w:rPr>
          <w:rFonts w:ascii="宋体" w:hAnsi="Times New Roman" w:cs="宋体"/>
          <w:sz w:val="24"/>
        </w:rPr>
        <w:t>.</w:t>
      </w:r>
      <w:r>
        <w:rPr>
          <w:rFonts w:hint="eastAsia" w:ascii="宋体" w:hAnsi="宋体" w:cs="宋体"/>
          <w:sz w:val="24"/>
        </w:rPr>
        <w:t>乙方所提供的货物型号、技术规格、技术参数等质量必须与招投标文件和承诺相一致。乙方提供的自主创新产品、节能和环保产品必须是列入政府采购清单的产品。</w:t>
      </w:r>
    </w:p>
    <w:p w14:paraId="4E24E87A">
      <w:pPr>
        <w:snapToGrid w:val="0"/>
        <w:spacing w:line="400" w:lineRule="exact"/>
        <w:ind w:firstLine="480" w:firstLineChars="200"/>
        <w:rPr>
          <w:rFonts w:ascii="宋体" w:hAnsi="Times New Roman" w:cs="Times New Roman"/>
          <w:sz w:val="24"/>
        </w:rPr>
      </w:pPr>
      <w:r>
        <w:rPr>
          <w:rFonts w:ascii="宋体" w:hAnsi="宋体" w:cs="宋体"/>
          <w:sz w:val="24"/>
        </w:rPr>
        <w:t>2</w:t>
      </w:r>
      <w:r>
        <w:rPr>
          <w:rFonts w:ascii="宋体" w:hAnsi="Times New Roman" w:cs="宋体"/>
          <w:sz w:val="24"/>
        </w:rPr>
        <w:t>.</w:t>
      </w:r>
      <w:r>
        <w:rPr>
          <w:rFonts w:hint="eastAsia" w:ascii="宋体" w:hAnsi="宋体" w:cs="宋体"/>
          <w:sz w:val="24"/>
        </w:rPr>
        <w:t>乙方所提供的货物必须是全新、未使用的原装产品，且设备出厂日期至安装验收日期间隔不得超过</w:t>
      </w:r>
      <w:r>
        <w:rPr>
          <w:rFonts w:ascii="宋体" w:hAnsi="宋体" w:cs="宋体"/>
          <w:sz w:val="24"/>
        </w:rPr>
        <w:t>12</w:t>
      </w:r>
      <w:r>
        <w:rPr>
          <w:rFonts w:hint="eastAsia" w:ascii="宋体" w:hAnsi="宋体" w:cs="宋体"/>
          <w:sz w:val="24"/>
        </w:rPr>
        <w:t>个月，在正常安装、使用和保养条件下，其使用寿命期内各项指标均达到质量合格要求。</w:t>
      </w:r>
    </w:p>
    <w:p w14:paraId="05708EDA">
      <w:pPr>
        <w:spacing w:line="400" w:lineRule="exact"/>
        <w:ind w:firstLine="482" w:firstLineChars="200"/>
        <w:rPr>
          <w:rFonts w:ascii="Times New Roman" w:hAnsi="宋体" w:cs="Times New Roman"/>
          <w:b/>
          <w:bCs/>
          <w:sz w:val="24"/>
        </w:rPr>
      </w:pPr>
      <w:r>
        <w:rPr>
          <w:rFonts w:hint="eastAsia" w:ascii="Times New Roman" w:hAnsi="宋体" w:cs="宋体"/>
          <w:b/>
          <w:bCs/>
          <w:sz w:val="24"/>
        </w:rPr>
        <w:t>第三条　权利保证</w:t>
      </w:r>
    </w:p>
    <w:p w14:paraId="759F9A73">
      <w:pPr>
        <w:snapToGrid w:val="0"/>
        <w:spacing w:line="400" w:lineRule="exact"/>
        <w:ind w:firstLine="480" w:firstLineChars="200"/>
        <w:rPr>
          <w:rFonts w:ascii="宋体" w:hAnsi="Times New Roman" w:cs="Times New Roman"/>
          <w:sz w:val="24"/>
        </w:rPr>
      </w:pPr>
      <w:r>
        <w:rPr>
          <w:rFonts w:ascii="宋体" w:hAnsi="宋体" w:cs="宋体"/>
          <w:sz w:val="24"/>
        </w:rPr>
        <w:t>1.</w:t>
      </w:r>
      <w:r>
        <w:rPr>
          <w:rFonts w:hint="eastAsia" w:ascii="宋体" w:hAnsi="宋体" w:cs="宋体"/>
          <w:sz w:val="24"/>
        </w:rPr>
        <w:t>乙方应保证所提供货物在使用时不会侵犯任何第三方的专利权、商标权、工业设计权或其他权利。</w:t>
      </w:r>
    </w:p>
    <w:p w14:paraId="0435EFEA">
      <w:pPr>
        <w:snapToGrid w:val="0"/>
        <w:spacing w:line="400" w:lineRule="exact"/>
        <w:ind w:firstLine="480" w:firstLineChars="200"/>
        <w:rPr>
          <w:rFonts w:ascii="宋体" w:hAnsi="Times New Roman" w:cs="Times New Roman"/>
          <w:sz w:val="24"/>
        </w:rPr>
      </w:pPr>
      <w:r>
        <w:rPr>
          <w:rFonts w:ascii="宋体" w:hAnsi="宋体" w:cs="宋体"/>
          <w:sz w:val="24"/>
        </w:rPr>
        <w:t>2.</w:t>
      </w:r>
      <w:r>
        <w:rPr>
          <w:rFonts w:hint="eastAsia" w:ascii="宋体" w:hAnsi="宋体" w:cs="宋体"/>
          <w:sz w:val="24"/>
        </w:rPr>
        <w:t>乙方应按招标文件规定的时间向甲方提供使用货物的有关技术资料。</w:t>
      </w:r>
    </w:p>
    <w:p w14:paraId="58A2CF87">
      <w:pPr>
        <w:snapToGrid w:val="0"/>
        <w:spacing w:line="400" w:lineRule="exact"/>
        <w:ind w:firstLine="480" w:firstLineChars="200"/>
        <w:rPr>
          <w:rFonts w:ascii="宋体" w:hAnsi="Times New Roman" w:cs="Times New Roman"/>
          <w:sz w:val="24"/>
        </w:rPr>
      </w:pPr>
      <w:r>
        <w:rPr>
          <w:rFonts w:ascii="宋体" w:hAnsi="宋体" w:cs="宋体"/>
          <w:sz w:val="24"/>
        </w:rPr>
        <w:t>3.</w:t>
      </w:r>
      <w:r>
        <w:rPr>
          <w:rFonts w:hint="eastAsia" w:ascii="宋体" w:hAnsi="宋体" w:cs="宋体"/>
          <w:sz w:val="24"/>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B619A9A">
      <w:pPr>
        <w:snapToGrid w:val="0"/>
        <w:spacing w:line="400" w:lineRule="exact"/>
        <w:ind w:firstLine="480" w:firstLineChars="200"/>
        <w:rPr>
          <w:rFonts w:ascii="宋体" w:hAnsi="Times New Roman" w:cs="Times New Roman"/>
          <w:sz w:val="24"/>
        </w:rPr>
      </w:pPr>
      <w:r>
        <w:rPr>
          <w:rFonts w:ascii="宋体" w:hAnsi="宋体" w:cs="宋体"/>
          <w:sz w:val="24"/>
        </w:rPr>
        <w:t>4.</w:t>
      </w:r>
      <w:r>
        <w:rPr>
          <w:rFonts w:hint="eastAsia" w:ascii="宋体" w:hAnsi="宋体" w:cs="宋体"/>
          <w:sz w:val="24"/>
        </w:rPr>
        <w:t>乙方保证所交付的货物的所有权完全属于乙方且无任何抵押、质押、查封、租赁等产权瑕疵。</w:t>
      </w:r>
    </w:p>
    <w:p w14:paraId="701507DE">
      <w:pPr>
        <w:spacing w:line="400" w:lineRule="exact"/>
        <w:ind w:firstLine="482" w:firstLineChars="200"/>
        <w:rPr>
          <w:rFonts w:ascii="Times New Roman" w:hAnsi="宋体" w:cs="Times New Roman"/>
          <w:b/>
          <w:bCs/>
          <w:sz w:val="24"/>
        </w:rPr>
      </w:pPr>
      <w:r>
        <w:rPr>
          <w:rFonts w:hint="eastAsia" w:ascii="Times New Roman" w:hAnsi="宋体" w:cs="宋体"/>
          <w:b/>
          <w:bCs/>
          <w:sz w:val="24"/>
        </w:rPr>
        <w:t>第四条　包装和运输</w:t>
      </w:r>
    </w:p>
    <w:p w14:paraId="49A617C0">
      <w:pPr>
        <w:snapToGrid w:val="0"/>
        <w:spacing w:line="400" w:lineRule="exact"/>
        <w:ind w:firstLine="480" w:firstLineChars="200"/>
        <w:rPr>
          <w:rFonts w:ascii="宋体" w:hAnsi="Times New Roman" w:cs="Times New Roman"/>
          <w:sz w:val="24"/>
        </w:rPr>
      </w:pPr>
      <w:r>
        <w:rPr>
          <w:rFonts w:ascii="宋体" w:hAnsi="宋体" w:cs="宋体"/>
          <w:sz w:val="24"/>
        </w:rPr>
        <w:t>1</w:t>
      </w:r>
      <w:r>
        <w:rPr>
          <w:rFonts w:ascii="宋体" w:hAnsi="Times New Roman" w:cs="宋体"/>
          <w:sz w:val="24"/>
        </w:rPr>
        <w:t>.</w:t>
      </w:r>
      <w:r>
        <w:rPr>
          <w:rFonts w:hint="eastAsia" w:ascii="宋体" w:hAnsi="宋体" w:cs="宋体"/>
          <w:sz w:val="24"/>
        </w:rPr>
        <w:t>乙方提供的货物均应按招投标文件要求的包装材料、包装标准、包装方式及运输距离、防潮、防震、防锈和防破损装卸等要求进行包装，以保证货物安全运达甲方指定地点。</w:t>
      </w:r>
    </w:p>
    <w:p w14:paraId="3DA76F84">
      <w:pPr>
        <w:snapToGrid w:val="0"/>
        <w:spacing w:line="400" w:lineRule="exact"/>
        <w:ind w:firstLine="480" w:firstLineChars="200"/>
        <w:rPr>
          <w:rFonts w:ascii="宋体" w:hAnsi="Times New Roman" w:cs="Times New Roman"/>
          <w:sz w:val="24"/>
        </w:rPr>
      </w:pPr>
      <w:r>
        <w:rPr>
          <w:rFonts w:ascii="宋体" w:hAnsi="宋体" w:cs="宋体"/>
          <w:sz w:val="24"/>
        </w:rPr>
        <w:t>2</w:t>
      </w:r>
      <w:r>
        <w:rPr>
          <w:rFonts w:ascii="宋体" w:hAnsi="Times New Roman" w:cs="宋体"/>
          <w:sz w:val="24"/>
        </w:rPr>
        <w:t>.</w:t>
      </w:r>
      <w:r>
        <w:rPr>
          <w:rFonts w:hint="eastAsia" w:ascii="宋体" w:hAnsi="宋体" w:cs="宋体"/>
          <w:sz w:val="24"/>
        </w:rPr>
        <w:t>货物的运输方式：</w:t>
      </w:r>
      <w:r>
        <w:rPr>
          <w:rFonts w:ascii="宋体" w:hAnsi="宋体" w:cs="宋体"/>
          <w:sz w:val="24"/>
        </w:rPr>
        <w:t xml:space="preserve"> </w:t>
      </w:r>
      <w:r>
        <w:rPr>
          <w:rFonts w:hint="eastAsia" w:ascii="宋体" w:hAnsi="宋体" w:cs="宋体"/>
          <w:sz w:val="24"/>
          <w:u w:val="single"/>
        </w:rPr>
        <w:t>不限</w:t>
      </w:r>
      <w:r>
        <w:rPr>
          <w:rFonts w:hint="eastAsia" w:ascii="宋体" w:hAnsi="宋体" w:cs="宋体"/>
          <w:sz w:val="24"/>
        </w:rPr>
        <w:t>。</w:t>
      </w:r>
    </w:p>
    <w:p w14:paraId="7B68473C">
      <w:pPr>
        <w:snapToGrid w:val="0"/>
        <w:spacing w:line="400" w:lineRule="exact"/>
        <w:ind w:firstLine="480" w:firstLineChars="200"/>
        <w:rPr>
          <w:rFonts w:ascii="宋体" w:hAnsi="Times New Roman" w:cs="Times New Roman"/>
          <w:sz w:val="24"/>
        </w:rPr>
      </w:pPr>
      <w:r>
        <w:rPr>
          <w:rFonts w:ascii="宋体" w:hAnsi="宋体" w:cs="宋体"/>
          <w:sz w:val="24"/>
        </w:rPr>
        <w:t>3</w:t>
      </w:r>
      <w:r>
        <w:rPr>
          <w:rFonts w:ascii="宋体" w:hAnsi="Times New Roman" w:cs="宋体"/>
          <w:sz w:val="24"/>
        </w:rPr>
        <w:t>.</w:t>
      </w:r>
      <w:r>
        <w:rPr>
          <w:rFonts w:hint="eastAsia" w:ascii="宋体" w:hAnsi="宋体" w:cs="宋体"/>
          <w:sz w:val="24"/>
        </w:rPr>
        <w:t>乙方负责货物运输，货物运输合理损耗及计算方法：</w:t>
      </w:r>
      <w:r>
        <w:rPr>
          <w:rFonts w:ascii="宋体" w:hAnsi="宋体" w:cs="宋体"/>
          <w:sz w:val="24"/>
        </w:rPr>
        <w:t xml:space="preserve"> </w:t>
      </w:r>
      <w:r>
        <w:rPr>
          <w:rFonts w:hint="eastAsia" w:ascii="宋体" w:hAnsi="宋体" w:cs="宋体"/>
          <w:sz w:val="24"/>
          <w:u w:val="single"/>
        </w:rPr>
        <w:t>无</w:t>
      </w:r>
      <w:r>
        <w:rPr>
          <w:rFonts w:hint="eastAsia" w:ascii="宋体" w:hAnsi="宋体" w:cs="宋体"/>
          <w:sz w:val="24"/>
        </w:rPr>
        <w:t>。</w:t>
      </w:r>
    </w:p>
    <w:p w14:paraId="1638193A">
      <w:pPr>
        <w:snapToGrid w:val="0"/>
        <w:spacing w:line="400" w:lineRule="exact"/>
        <w:ind w:firstLine="480" w:firstLineChars="200"/>
        <w:rPr>
          <w:rFonts w:ascii="宋体" w:hAnsi="Times New Roman" w:cs="Times New Roman"/>
          <w:sz w:val="24"/>
        </w:rPr>
      </w:pPr>
      <w:r>
        <w:rPr>
          <w:rFonts w:ascii="宋体" w:hAnsi="宋体" w:cs="宋体"/>
          <w:sz w:val="24"/>
        </w:rPr>
        <w:t>4.</w:t>
      </w:r>
      <w:r>
        <w:rPr>
          <w:rFonts w:hint="eastAsia" w:ascii="宋体" w:hAnsi="宋体" w:cs="宋体"/>
          <w:sz w:val="24"/>
        </w:rPr>
        <w:t>使用说明书、质量检验证明书、随配附件、工具、详细的装箱单和质量合格证等一并附于货物包装箱内。</w:t>
      </w:r>
    </w:p>
    <w:p w14:paraId="2FB5652B">
      <w:pPr>
        <w:snapToGrid w:val="0"/>
        <w:spacing w:line="400" w:lineRule="exact"/>
        <w:ind w:firstLine="480" w:firstLineChars="200"/>
        <w:rPr>
          <w:rFonts w:ascii="宋体" w:hAnsi="Times New Roman" w:cs="Times New Roman"/>
          <w:sz w:val="24"/>
        </w:rPr>
      </w:pPr>
      <w:r>
        <w:rPr>
          <w:rFonts w:ascii="宋体" w:hAnsi="宋体" w:cs="宋体"/>
          <w:sz w:val="24"/>
        </w:rPr>
        <w:t>5.</w:t>
      </w:r>
      <w:r>
        <w:rPr>
          <w:rFonts w:hint="eastAsia" w:ascii="宋体" w:hAnsi="宋体" w:cs="宋体"/>
          <w:sz w:val="24"/>
        </w:rPr>
        <w:t>乙方在货物发运手续办理完毕后二十四小时内或货到甲方四十八小时前书面通知甲方，以准备接货。</w:t>
      </w:r>
    </w:p>
    <w:p w14:paraId="686E943D">
      <w:pPr>
        <w:snapToGrid w:val="0"/>
        <w:spacing w:line="400" w:lineRule="exact"/>
        <w:ind w:firstLine="480" w:firstLineChars="200"/>
        <w:rPr>
          <w:rFonts w:ascii="宋体" w:hAnsi="Times New Roman" w:cs="Times New Roman"/>
          <w:sz w:val="24"/>
        </w:rPr>
      </w:pPr>
      <w:r>
        <w:rPr>
          <w:rFonts w:ascii="宋体" w:hAnsi="宋体" w:cs="宋体"/>
          <w:sz w:val="24"/>
        </w:rPr>
        <w:t>6.</w:t>
      </w:r>
      <w:r>
        <w:rPr>
          <w:rFonts w:hint="eastAsia" w:ascii="宋体" w:hAnsi="宋体" w:cs="宋体"/>
          <w:sz w:val="24"/>
        </w:rPr>
        <w:t>货物在交付甲方前发生的损毁或者灭失风险均由乙方负责。</w:t>
      </w:r>
    </w:p>
    <w:p w14:paraId="0DFD66E3">
      <w:pPr>
        <w:spacing w:line="400" w:lineRule="exact"/>
        <w:ind w:firstLine="482" w:firstLineChars="200"/>
        <w:rPr>
          <w:rFonts w:ascii="宋体" w:hAnsi="Times New Roman" w:cs="Times New Roman"/>
          <w:b/>
          <w:bCs/>
          <w:sz w:val="24"/>
        </w:rPr>
      </w:pPr>
      <w:r>
        <w:rPr>
          <w:rFonts w:hint="eastAsia" w:ascii="Times New Roman" w:hAnsi="宋体" w:cs="宋体"/>
          <w:b/>
          <w:bCs/>
          <w:sz w:val="24"/>
        </w:rPr>
        <w:t>第五条　交付和验收</w:t>
      </w:r>
    </w:p>
    <w:p w14:paraId="2F8ACDDB">
      <w:pPr>
        <w:snapToGrid w:val="0"/>
        <w:spacing w:line="400" w:lineRule="exact"/>
        <w:ind w:firstLine="480" w:firstLineChars="200"/>
        <w:rPr>
          <w:rFonts w:ascii="宋体" w:hAnsi="Times New Roman" w:cs="Times New Roman"/>
          <w:sz w:val="24"/>
        </w:rPr>
      </w:pPr>
      <w:r>
        <w:rPr>
          <w:rFonts w:ascii="宋体" w:hAnsi="宋体" w:cs="宋体"/>
          <w:sz w:val="24"/>
        </w:rPr>
        <w:t>1</w:t>
      </w:r>
      <w:r>
        <w:rPr>
          <w:rFonts w:ascii="宋体" w:hAnsi="Times New Roman" w:cs="宋体"/>
          <w:sz w:val="24"/>
        </w:rPr>
        <w:t>.</w:t>
      </w:r>
      <w:r>
        <w:rPr>
          <w:rFonts w:hint="eastAsia" w:ascii="宋体" w:hAnsi="宋体" w:cs="宋体"/>
          <w:sz w:val="24"/>
        </w:rPr>
        <w:t>交货时间：合同签订之日起</w:t>
      </w:r>
      <w:r>
        <w:rPr>
          <w:rFonts w:ascii="宋体" w:hAnsi="宋体" w:cs="宋体"/>
          <w:sz w:val="24"/>
        </w:rPr>
        <w:t xml:space="preserve">30 </w:t>
      </w:r>
      <w:r>
        <w:rPr>
          <w:rFonts w:hint="eastAsia" w:ascii="宋体" w:hAnsi="宋体" w:cs="宋体"/>
          <w:sz w:val="24"/>
        </w:rPr>
        <w:t>日内交货并完成安装调试，验收合格后，交付使用。交货地点：</w:t>
      </w:r>
      <w:r>
        <w:rPr>
          <w:rFonts w:hint="eastAsia" w:ascii="宋体" w:hAnsi="宋体" w:cs="宋体"/>
          <w:sz w:val="24"/>
          <w:u w:val="single"/>
        </w:rPr>
        <w:t>河池市人民医院</w:t>
      </w:r>
      <w:r>
        <w:rPr>
          <w:rFonts w:hint="eastAsia" w:ascii="宋体" w:hAnsi="宋体" w:cs="宋体"/>
          <w:sz w:val="24"/>
        </w:rPr>
        <w:t>。</w:t>
      </w:r>
    </w:p>
    <w:p w14:paraId="1018E23E">
      <w:pPr>
        <w:snapToGrid w:val="0"/>
        <w:spacing w:line="400" w:lineRule="exact"/>
        <w:ind w:firstLine="480" w:firstLineChars="200"/>
        <w:rPr>
          <w:rFonts w:ascii="宋体" w:hAnsi="Times New Roman" w:cs="Times New Roman"/>
          <w:sz w:val="24"/>
        </w:rPr>
      </w:pPr>
      <w:r>
        <w:rPr>
          <w:rFonts w:ascii="宋体" w:hAnsi="宋体" w:cs="宋体"/>
          <w:sz w:val="24"/>
        </w:rPr>
        <w:t>2</w:t>
      </w:r>
      <w:r>
        <w:rPr>
          <w:rFonts w:ascii="宋体" w:hAnsi="Times New Roman" w:cs="宋体"/>
          <w:sz w:val="24"/>
        </w:rPr>
        <w:t>.</w:t>
      </w:r>
      <w:r>
        <w:rPr>
          <w:rFonts w:hint="eastAsia" w:ascii="宋体" w:hAnsi="宋体" w:cs="宋体"/>
          <w:sz w:val="24"/>
        </w:rPr>
        <w:t>乙方提供不符合采购文件和本合同规定的货物，甲方有权拒绝</w:t>
      </w:r>
      <w:r>
        <w:rPr>
          <w:rFonts w:hint="eastAsia" w:ascii="宋体" w:hAnsi="宋体" w:cs="宋体"/>
          <w:sz w:val="24"/>
          <w:lang w:eastAsia="zh-CN"/>
        </w:rPr>
        <w:t>接收</w:t>
      </w:r>
      <w:r>
        <w:rPr>
          <w:rFonts w:hint="eastAsia" w:ascii="宋体" w:hAnsi="宋体" w:cs="宋体"/>
          <w:sz w:val="24"/>
        </w:rPr>
        <w:t>，由此产生的一切损失均由乙方自行承担。</w:t>
      </w:r>
    </w:p>
    <w:p w14:paraId="0B86ED02">
      <w:pPr>
        <w:snapToGrid w:val="0"/>
        <w:spacing w:line="400" w:lineRule="exact"/>
        <w:ind w:firstLine="480" w:firstLineChars="200"/>
        <w:rPr>
          <w:rFonts w:ascii="宋体" w:hAnsi="Times New Roman" w:cs="Times New Roman"/>
          <w:sz w:val="24"/>
        </w:rPr>
      </w:pPr>
      <w:r>
        <w:rPr>
          <w:rFonts w:ascii="宋体" w:hAnsi="宋体" w:cs="宋体"/>
          <w:sz w:val="24"/>
        </w:rPr>
        <w:t>3</w:t>
      </w:r>
      <w:r>
        <w:rPr>
          <w:rFonts w:ascii="宋体" w:hAnsi="Times New Roman" w:cs="宋体"/>
          <w:sz w:val="24"/>
        </w:rPr>
        <w:t>.</w:t>
      </w:r>
      <w:r>
        <w:rPr>
          <w:rFonts w:hint="eastAsia" w:ascii="宋体" w:hAnsi="Times New Roman" w:cs="宋体"/>
          <w:sz w:val="24"/>
        </w:rPr>
        <w:t>乙方交货前应对产品作出全面检查和对验收文件进行整理，</w:t>
      </w:r>
      <w:r>
        <w:rPr>
          <w:rFonts w:hint="eastAsia" w:ascii="宋体" w:hAnsi="宋体" w:cs="宋体"/>
          <w:sz w:val="24"/>
        </w:rPr>
        <w:t>应将所提供货物的装箱清单、用户手册、原厂保修卡、随机资料、工具和备品、备件、合格证、检验报告（如有）等附随物品交付给甲方，如有缺失应在甲方要求的期限内及时补齐，否则视为逾期交货。</w:t>
      </w:r>
    </w:p>
    <w:p w14:paraId="39DEABF2">
      <w:pPr>
        <w:snapToGrid w:val="0"/>
        <w:spacing w:line="400" w:lineRule="exact"/>
        <w:ind w:firstLine="480" w:firstLineChars="200"/>
        <w:rPr>
          <w:rFonts w:ascii="宋体" w:hAnsi="Times New Roman" w:cs="Times New Roman"/>
          <w:sz w:val="24"/>
        </w:rPr>
      </w:pPr>
      <w:r>
        <w:rPr>
          <w:rFonts w:ascii="宋体" w:hAnsi="宋体" w:cs="宋体"/>
          <w:sz w:val="24"/>
        </w:rPr>
        <w:t>4.</w:t>
      </w:r>
      <w:r>
        <w:rPr>
          <w:rFonts w:hint="eastAsia" w:ascii="宋体" w:hAnsi="宋体" w:cs="宋体"/>
          <w:sz w:val="24"/>
        </w:rPr>
        <w:t>甲方对乙方提交的货物依据招标文件上的技术规格要求和国家有关质量标准进行现场初步验收，外观、说明书符合招标文件技术要求的，给予签收，初步验收不合格的不予签收。</w:t>
      </w:r>
    </w:p>
    <w:p w14:paraId="742B2529">
      <w:pPr>
        <w:snapToGrid w:val="0"/>
        <w:spacing w:line="400" w:lineRule="exact"/>
        <w:ind w:firstLine="480" w:firstLineChars="200"/>
        <w:rPr>
          <w:rFonts w:ascii="宋体" w:hAnsi="Times New Roman" w:cs="Times New Roman"/>
          <w:sz w:val="24"/>
        </w:rPr>
      </w:pPr>
      <w:r>
        <w:rPr>
          <w:rFonts w:ascii="宋体" w:hAnsi="Times New Roman" w:cs="宋体"/>
          <w:sz w:val="24"/>
        </w:rPr>
        <w:t>5.</w:t>
      </w:r>
      <w:r>
        <w:rPr>
          <w:rFonts w:hint="eastAsia" w:ascii="宋体" w:hAnsi="宋体" w:cs="宋体"/>
          <w:sz w:val="24"/>
        </w:rPr>
        <w:t>甲方应当在到货（安装、调试完成）后七个工作日内进行验收，无正当理由逾期不验收的，乙方可视同验收合格。验收合格后由甲、乙双方签署货物验收单并加盖甲方公章，甲、乙双方各执一份。</w:t>
      </w:r>
    </w:p>
    <w:p w14:paraId="14136557">
      <w:pPr>
        <w:snapToGrid w:val="0"/>
        <w:spacing w:line="400" w:lineRule="exact"/>
        <w:ind w:firstLine="480" w:firstLineChars="200"/>
        <w:rPr>
          <w:rFonts w:ascii="宋体" w:hAnsi="Times New Roman" w:cs="Times New Roman"/>
          <w:sz w:val="24"/>
        </w:rPr>
      </w:pPr>
      <w:r>
        <w:rPr>
          <w:rFonts w:ascii="宋体" w:hAnsi="Times New Roman" w:cs="宋体"/>
          <w:sz w:val="24"/>
        </w:rPr>
        <w:t>6.</w:t>
      </w:r>
      <w:r>
        <w:rPr>
          <w:rFonts w:hint="eastAsia" w:ascii="宋体" w:hAnsi="宋体" w:cs="宋体"/>
          <w:sz w:val="24"/>
        </w:rPr>
        <w:t>甲方委托采购代理机构组织的验收项目，其验收时间以该项目验收方案确定的验收时间为准，验收结果以该项目验收报告结论为准。在验收过程中发现乙方有违约问题，甲方可暂缓资金结算，待违约问题解决后，方可办理资金结算事宜，在此期间，甲方不承担逾期付款责任。</w:t>
      </w:r>
    </w:p>
    <w:p w14:paraId="2FA74E4C">
      <w:pPr>
        <w:snapToGrid w:val="0"/>
        <w:spacing w:line="400" w:lineRule="exact"/>
        <w:ind w:firstLine="480" w:firstLineChars="200"/>
        <w:rPr>
          <w:rFonts w:ascii="宋体" w:hAnsi="Times New Roman" w:cs="Times New Roman"/>
          <w:sz w:val="24"/>
        </w:rPr>
      </w:pPr>
      <w:r>
        <w:rPr>
          <w:rFonts w:ascii="宋体" w:hAnsi="宋体" w:cs="宋体"/>
          <w:sz w:val="24"/>
        </w:rPr>
        <w:t>7.</w:t>
      </w:r>
      <w:r>
        <w:rPr>
          <w:rFonts w:hint="eastAsia" w:ascii="宋体" w:hAnsi="宋体" w:cs="宋体"/>
          <w:sz w:val="24"/>
        </w:rPr>
        <w:t>对技术复杂的货物，甲方应邀请国家认可的专业检测机构参与初步验收及最终验收，并由其出具质量检测报告。验收时乙方必须在现场，验收完毕后作出验收结果报告；相关费用由乙方负担。</w:t>
      </w:r>
    </w:p>
    <w:p w14:paraId="2A42AEF0">
      <w:pPr>
        <w:snapToGrid w:val="0"/>
        <w:spacing w:line="400" w:lineRule="exact"/>
        <w:ind w:firstLine="480" w:firstLineChars="200"/>
        <w:rPr>
          <w:rFonts w:ascii="宋体" w:hAnsi="Times New Roman" w:cs="Times New Roman"/>
          <w:sz w:val="24"/>
        </w:rPr>
      </w:pPr>
      <w:r>
        <w:rPr>
          <w:rFonts w:ascii="宋体" w:hAnsi="Times New Roman" w:cs="宋体"/>
          <w:sz w:val="24"/>
        </w:rPr>
        <w:t>8.</w:t>
      </w:r>
      <w:r>
        <w:rPr>
          <w:rFonts w:hint="eastAsia" w:ascii="宋体" w:hAnsi="宋体" w:cs="宋体"/>
          <w:sz w:val="24"/>
        </w:rPr>
        <w:t>甲方对验收有异议的，在验收完毕后五个工作日内以书面形式向乙方提出，乙方应自收到甲方书面异议后</w:t>
      </w:r>
      <w:r>
        <w:rPr>
          <w:rFonts w:ascii="宋体" w:hAnsi="宋体" w:cs="宋体"/>
          <w:sz w:val="24"/>
          <w:u w:val="single"/>
        </w:rPr>
        <w:t xml:space="preserve"> 5 </w:t>
      </w:r>
      <w:r>
        <w:rPr>
          <w:rFonts w:hint="eastAsia" w:ascii="宋体" w:hAnsi="宋体" w:cs="宋体"/>
          <w:sz w:val="24"/>
        </w:rPr>
        <w:t>日内及时予以解决。</w:t>
      </w:r>
    </w:p>
    <w:p w14:paraId="22FFCE55">
      <w:pPr>
        <w:spacing w:line="400" w:lineRule="exact"/>
        <w:ind w:firstLine="482" w:firstLineChars="200"/>
        <w:rPr>
          <w:rFonts w:ascii="Times New Roman" w:hAnsi="宋体" w:cs="Times New Roman"/>
          <w:b/>
          <w:bCs/>
          <w:sz w:val="24"/>
        </w:rPr>
      </w:pPr>
      <w:r>
        <w:rPr>
          <w:rFonts w:hint="eastAsia" w:ascii="Times New Roman" w:hAnsi="宋体" w:cs="宋体"/>
          <w:b/>
          <w:bCs/>
          <w:sz w:val="24"/>
        </w:rPr>
        <w:t>第六条　安装和培训</w:t>
      </w:r>
    </w:p>
    <w:p w14:paraId="64617C60">
      <w:pPr>
        <w:snapToGrid w:val="0"/>
        <w:spacing w:line="400" w:lineRule="exact"/>
        <w:ind w:firstLine="480" w:firstLineChars="200"/>
        <w:rPr>
          <w:rFonts w:ascii="宋体" w:hAnsi="Times New Roman" w:cs="Times New Roman"/>
          <w:sz w:val="24"/>
        </w:rPr>
      </w:pPr>
      <w:r>
        <w:rPr>
          <w:rFonts w:ascii="宋体" w:hAnsi="宋体" w:cs="宋体"/>
          <w:sz w:val="24"/>
        </w:rPr>
        <w:t>1</w:t>
      </w:r>
      <w:r>
        <w:rPr>
          <w:rFonts w:ascii="宋体" w:hAnsi="Times New Roman" w:cs="宋体"/>
          <w:sz w:val="24"/>
        </w:rPr>
        <w:t>.</w:t>
      </w:r>
      <w:r>
        <w:rPr>
          <w:rFonts w:hint="eastAsia" w:ascii="宋体" w:hAnsi="宋体" w:cs="宋体"/>
          <w:sz w:val="24"/>
        </w:rPr>
        <w:t>甲方应提供必要的安装条件（如场地、电源、水源等）。</w:t>
      </w:r>
    </w:p>
    <w:p w14:paraId="77C79864">
      <w:pPr>
        <w:spacing w:line="400" w:lineRule="exact"/>
        <w:ind w:firstLine="480" w:firstLineChars="200"/>
        <w:rPr>
          <w:rFonts w:ascii="宋体" w:hAnsi="Times New Roman" w:cs="Times New Roman"/>
          <w:sz w:val="24"/>
          <w:u w:val="single"/>
        </w:rPr>
      </w:pPr>
      <w:r>
        <w:rPr>
          <w:rFonts w:ascii="Times New Roman" w:hAnsi="Times New Roman" w:cs="Times New Roman"/>
          <w:sz w:val="24"/>
        </w:rPr>
        <w:t>2.</w:t>
      </w:r>
      <w:r>
        <w:rPr>
          <w:rFonts w:hint="eastAsia" w:ascii="Times New Roman" w:hAnsi="Times New Roman" w:cs="宋体"/>
          <w:sz w:val="24"/>
        </w:rPr>
        <w:t>乙方负责甲方有关人员的培训。培训时间、地点：</w:t>
      </w:r>
      <w:r>
        <w:rPr>
          <w:rFonts w:hint="eastAsia" w:ascii="Times New Roman" w:hAnsi="Times New Roman" w:cs="宋体"/>
          <w:sz w:val="24"/>
          <w:u w:val="single"/>
        </w:rPr>
        <w:t>由甲方指定。</w:t>
      </w:r>
    </w:p>
    <w:p w14:paraId="703629FD">
      <w:pPr>
        <w:spacing w:line="400" w:lineRule="exact"/>
        <w:ind w:firstLine="482" w:firstLineChars="200"/>
        <w:rPr>
          <w:rFonts w:ascii="Times New Roman" w:hAnsi="宋体" w:cs="Times New Roman"/>
          <w:b/>
          <w:bCs/>
          <w:sz w:val="24"/>
        </w:rPr>
      </w:pPr>
      <w:r>
        <w:rPr>
          <w:rFonts w:hint="eastAsia" w:ascii="Times New Roman" w:hAnsi="宋体" w:cs="宋体"/>
          <w:b/>
          <w:bCs/>
          <w:sz w:val="24"/>
        </w:rPr>
        <w:t>第七条</w:t>
      </w:r>
      <w:r>
        <w:rPr>
          <w:rFonts w:ascii="Times New Roman" w:hAnsi="宋体" w:cs="Times New Roman"/>
          <w:b/>
          <w:bCs/>
          <w:sz w:val="24"/>
        </w:rPr>
        <w:t xml:space="preserve">  </w:t>
      </w:r>
      <w:r>
        <w:rPr>
          <w:rFonts w:hint="eastAsia" w:ascii="Times New Roman" w:hAnsi="宋体" w:cs="宋体"/>
          <w:b/>
          <w:bCs/>
          <w:sz w:val="24"/>
        </w:rPr>
        <w:t>售后服务、保修期</w:t>
      </w:r>
    </w:p>
    <w:p w14:paraId="3B17E81E">
      <w:pPr>
        <w:spacing w:line="400" w:lineRule="exact"/>
        <w:ind w:firstLine="480" w:firstLineChars="200"/>
        <w:rPr>
          <w:rFonts w:ascii="宋体" w:hAnsi="Times New Roman" w:cs="Times New Roman"/>
          <w:sz w:val="24"/>
        </w:rPr>
      </w:pPr>
      <w:r>
        <w:rPr>
          <w:rFonts w:ascii="宋体" w:hAnsi="宋体" w:cs="宋体"/>
          <w:sz w:val="24"/>
        </w:rPr>
        <w:t>1</w:t>
      </w:r>
      <w:r>
        <w:rPr>
          <w:rFonts w:ascii="宋体" w:hAnsi="Times New Roman" w:cs="宋体"/>
          <w:sz w:val="24"/>
        </w:rPr>
        <w:t>.</w:t>
      </w:r>
      <w:r>
        <w:rPr>
          <w:rFonts w:hint="eastAsia" w:ascii="宋体" w:hAnsi="宋体" w:cs="宋体"/>
          <w:sz w:val="24"/>
        </w:rPr>
        <w:t>乙方应按照国家有关</w:t>
      </w:r>
      <w:r>
        <w:rPr>
          <w:rFonts w:hint="eastAsia" w:ascii="宋体" w:hAnsi="宋体" w:cs="宋体"/>
          <w:sz w:val="24"/>
          <w:lang w:eastAsia="zh-CN"/>
        </w:rPr>
        <w:t>法律法规</w:t>
      </w:r>
      <w:r>
        <w:rPr>
          <w:rFonts w:hint="eastAsia" w:ascii="宋体" w:hAnsi="宋体" w:cs="宋体"/>
          <w:sz w:val="24"/>
        </w:rPr>
        <w:t>和“三包”规定以及招投标文件和本合同所附的《服务承诺》，为甲方提供售后服务。</w:t>
      </w:r>
    </w:p>
    <w:p w14:paraId="5481C00D">
      <w:pPr>
        <w:spacing w:line="400" w:lineRule="exact"/>
        <w:ind w:firstLine="480" w:firstLineChars="200"/>
        <w:rPr>
          <w:rFonts w:ascii="宋体" w:hAnsi="Times New Roman" w:cs="Times New Roman"/>
          <w:sz w:val="24"/>
        </w:rPr>
      </w:pPr>
      <w:r>
        <w:rPr>
          <w:rFonts w:ascii="宋体" w:hAnsi="宋体" w:cs="宋体"/>
          <w:sz w:val="24"/>
        </w:rPr>
        <w:t>2.</w:t>
      </w:r>
      <w:r>
        <w:rPr>
          <w:rFonts w:hint="eastAsia" w:ascii="宋体" w:hAnsi="宋体" w:cs="宋体"/>
          <w:sz w:val="24"/>
        </w:rPr>
        <w:t>货物保修期：自验收合格之日起，质保</w:t>
      </w:r>
      <w:r>
        <w:rPr>
          <w:rFonts w:hint="eastAsia" w:ascii="宋体" w:hAnsi="宋体" w:cs="宋体"/>
          <w:sz w:val="24"/>
          <w:lang w:eastAsia="zh-CN"/>
        </w:rPr>
        <w:t>期为</w:t>
      </w:r>
      <w:r>
        <w:rPr>
          <w:rFonts w:hint="eastAsia" w:ascii="宋体" w:hAnsi="宋体" w:cs="宋体"/>
          <w:sz w:val="24"/>
          <w:u w:val="single"/>
          <w:lang w:val="en-US" w:eastAsia="zh-CN"/>
        </w:rPr>
        <w:t xml:space="preserve">    </w:t>
      </w:r>
      <w:r>
        <w:rPr>
          <w:rFonts w:hint="eastAsia" w:ascii="宋体" w:hAnsi="宋体" w:cs="宋体"/>
          <w:sz w:val="24"/>
        </w:rPr>
        <w:t>年，保修期内提供原厂保修及更换服务。保修期内，乙方须免费提供零件及服务。因甲方人为因素出现的故障不在保修范围内。</w:t>
      </w:r>
    </w:p>
    <w:p w14:paraId="22C6F1DB">
      <w:pPr>
        <w:spacing w:line="400" w:lineRule="exact"/>
        <w:ind w:firstLine="480" w:firstLineChars="200"/>
        <w:rPr>
          <w:rFonts w:ascii="宋体" w:hAnsi="Times New Roman" w:cs="Times New Roman"/>
          <w:sz w:val="24"/>
        </w:rPr>
      </w:pPr>
      <w:r>
        <w:rPr>
          <w:rFonts w:ascii="宋体" w:hAnsi="宋体" w:cs="宋体"/>
          <w:sz w:val="24"/>
        </w:rPr>
        <w:t>3.</w:t>
      </w:r>
      <w:r>
        <w:rPr>
          <w:rFonts w:hint="eastAsia" w:ascii="宋体" w:hAnsi="宋体" w:cs="宋体"/>
          <w:sz w:val="24"/>
        </w:rPr>
        <w:t>质保期内</w:t>
      </w:r>
      <w:r>
        <w:rPr>
          <w:rFonts w:hint="eastAsia" w:ascii="宋体" w:hAnsi="宋体" w:cs="宋体"/>
          <w:color w:val="339966"/>
          <w:sz w:val="24"/>
        </w:rPr>
        <w:t>乙方</w:t>
      </w:r>
      <w:r>
        <w:rPr>
          <w:rFonts w:hint="eastAsia" w:ascii="宋体" w:hAnsi="宋体" w:cs="宋体"/>
          <w:sz w:val="24"/>
        </w:rPr>
        <w:t>上门维修，升级、维护，定期巡检，该费用已包含在本项目总价中；超过保修期的机器设备，乙方负责终身维修，维修时只收部件成本费。</w:t>
      </w:r>
    </w:p>
    <w:p w14:paraId="1F7B1CEA">
      <w:pPr>
        <w:spacing w:line="400" w:lineRule="exact"/>
        <w:ind w:firstLine="480" w:firstLineChars="200"/>
        <w:rPr>
          <w:rFonts w:ascii="宋体" w:hAnsi="Times New Roman" w:cs="Times New Roman"/>
          <w:sz w:val="24"/>
        </w:rPr>
      </w:pPr>
      <w:r>
        <w:rPr>
          <w:rFonts w:ascii="宋体" w:hAnsi="宋体" w:cs="宋体"/>
          <w:sz w:val="24"/>
        </w:rPr>
        <w:t>4</w:t>
      </w:r>
      <w:r>
        <w:rPr>
          <w:rFonts w:ascii="宋体" w:hAnsi="Times New Roman" w:cs="宋体"/>
          <w:sz w:val="24"/>
        </w:rPr>
        <w:t>.</w:t>
      </w:r>
      <w:r>
        <w:rPr>
          <w:rFonts w:hint="eastAsia" w:ascii="宋体" w:hAnsi="宋体" w:cs="宋体"/>
          <w:sz w:val="24"/>
        </w:rPr>
        <w:t>保修期内，乙方应对货物出现的质量及安全问题负责处理解决并承担一切费用。包括但不限于以下内容：</w:t>
      </w:r>
    </w:p>
    <w:p w14:paraId="15D6999B">
      <w:pPr>
        <w:spacing w:line="400" w:lineRule="exact"/>
        <w:ind w:firstLine="480" w:firstLineChars="200"/>
        <w:rPr>
          <w:rFonts w:ascii="宋体" w:hAnsi="Times New Roman" w:cs="Times New Roman"/>
          <w:sz w:val="24"/>
        </w:rPr>
      </w:pPr>
      <w:r>
        <w:rPr>
          <w:rFonts w:hint="eastAsia" w:ascii="宋体" w:hAnsi="宋体" w:cs="宋体"/>
          <w:sz w:val="24"/>
        </w:rPr>
        <w:t>（</w:t>
      </w:r>
      <w:r>
        <w:rPr>
          <w:rFonts w:ascii="宋体" w:hAnsi="宋体" w:cs="宋体"/>
          <w:sz w:val="24"/>
        </w:rPr>
        <w:t>1</w:t>
      </w:r>
      <w:r>
        <w:rPr>
          <w:rFonts w:hint="eastAsia" w:ascii="宋体" w:hAnsi="宋体" w:cs="宋体"/>
          <w:sz w:val="24"/>
        </w:rPr>
        <w:t>）保修期内，乙方所供货物</w:t>
      </w:r>
      <w:r>
        <w:rPr>
          <w:rFonts w:ascii="宋体" w:hAnsi="宋体" w:cs="宋体"/>
          <w:sz w:val="24"/>
        </w:rPr>
        <w:t>1</w:t>
      </w:r>
      <w:r>
        <w:rPr>
          <w:rFonts w:hint="eastAsia" w:ascii="宋体" w:hAnsi="宋体" w:cs="宋体"/>
          <w:sz w:val="24"/>
        </w:rPr>
        <w:t>年内修理</w:t>
      </w:r>
      <w:r>
        <w:rPr>
          <w:rFonts w:ascii="宋体" w:hAnsi="宋体" w:cs="宋体"/>
          <w:sz w:val="24"/>
        </w:rPr>
        <w:t>5</w:t>
      </w:r>
      <w:r>
        <w:rPr>
          <w:rFonts w:hint="eastAsia" w:ascii="宋体" w:hAnsi="宋体" w:cs="宋体"/>
          <w:sz w:val="24"/>
        </w:rPr>
        <w:t>次后，仍不能正常使用的，甲方有权要求乙方无偿调换同型号、同规格或优于同型号、同规格的全新产品或者退货，因此产生的一切费用由乙方承担。</w:t>
      </w:r>
    </w:p>
    <w:p w14:paraId="5356102A">
      <w:pPr>
        <w:spacing w:line="400" w:lineRule="exact"/>
        <w:ind w:firstLine="480" w:firstLineChars="200"/>
        <w:rPr>
          <w:rFonts w:ascii="宋体" w:hAnsi="Times New Roman" w:cs="Times New Roman"/>
          <w:sz w:val="24"/>
        </w:rPr>
      </w:pPr>
      <w:r>
        <w:rPr>
          <w:rFonts w:hint="eastAsia" w:ascii="宋体" w:hAnsi="宋体" w:cs="宋体"/>
          <w:sz w:val="24"/>
        </w:rPr>
        <w:t>（</w:t>
      </w:r>
      <w:r>
        <w:rPr>
          <w:rFonts w:ascii="宋体" w:hAnsi="宋体" w:cs="宋体"/>
          <w:sz w:val="24"/>
        </w:rPr>
        <w:t>2</w:t>
      </w:r>
      <w:r>
        <w:rPr>
          <w:rFonts w:hint="eastAsia" w:ascii="宋体" w:hAnsi="宋体" w:cs="宋体"/>
          <w:sz w:val="24"/>
        </w:rPr>
        <w:t>）乙方所供货物在保修期起算之日起</w:t>
      </w:r>
      <w:r>
        <w:rPr>
          <w:rFonts w:ascii="宋体" w:hAnsi="宋体" w:cs="宋体"/>
          <w:sz w:val="24"/>
        </w:rPr>
        <w:t xml:space="preserve">15 </w:t>
      </w:r>
      <w:r>
        <w:rPr>
          <w:rFonts w:hint="eastAsia" w:ascii="宋体" w:hAnsi="宋体" w:cs="宋体"/>
          <w:sz w:val="24"/>
        </w:rPr>
        <w:t>天内出现货物质量问题，甲方有权要求乙方无条件无偿更换全部设备。</w:t>
      </w:r>
    </w:p>
    <w:p w14:paraId="0480653E">
      <w:pPr>
        <w:spacing w:line="400" w:lineRule="exact"/>
        <w:ind w:firstLine="480" w:firstLineChars="200"/>
        <w:rPr>
          <w:rFonts w:ascii="宋体" w:hAnsi="Times New Roman" w:cs="Times New Roman"/>
          <w:sz w:val="24"/>
        </w:rPr>
      </w:pPr>
      <w:r>
        <w:rPr>
          <w:rFonts w:hint="eastAsia" w:ascii="宋体" w:hAnsi="宋体" w:cs="宋体"/>
          <w:sz w:val="24"/>
        </w:rPr>
        <w:t>（</w:t>
      </w:r>
      <w:r>
        <w:rPr>
          <w:rFonts w:ascii="宋体" w:hAnsi="宋体" w:cs="宋体"/>
          <w:sz w:val="24"/>
        </w:rPr>
        <w:t>3</w:t>
      </w:r>
      <w:r>
        <w:rPr>
          <w:rFonts w:hint="eastAsia" w:ascii="宋体" w:hAnsi="宋体" w:cs="宋体"/>
          <w:sz w:val="24"/>
        </w:rPr>
        <w:t>）保修期内，乙方提供每年</w:t>
      </w:r>
      <w:r>
        <w:rPr>
          <w:rFonts w:ascii="宋体" w:hAnsi="宋体" w:cs="宋体"/>
          <w:sz w:val="24"/>
        </w:rPr>
        <w:t>2</w:t>
      </w:r>
      <w:r>
        <w:rPr>
          <w:rFonts w:hint="eastAsia" w:ascii="宋体" w:hAnsi="宋体" w:cs="宋体"/>
          <w:sz w:val="24"/>
        </w:rPr>
        <w:t>次厂家专业的巡检保养服务，并提供相应的巡检保养报告。质保期满前</w:t>
      </w:r>
      <w:r>
        <w:rPr>
          <w:rFonts w:ascii="宋体" w:hAnsi="宋体" w:cs="宋体"/>
          <w:sz w:val="24"/>
        </w:rPr>
        <w:t>1</w:t>
      </w:r>
      <w:r>
        <w:rPr>
          <w:rFonts w:hint="eastAsia" w:ascii="宋体" w:hAnsi="宋体" w:cs="宋体"/>
          <w:sz w:val="24"/>
        </w:rPr>
        <w:t>个月内乙方应负责对设备进行一次免费全面检查，如发现潜在问题，应负责排除，保证设备正常运行。</w:t>
      </w:r>
    </w:p>
    <w:p w14:paraId="3F41CEFC">
      <w:pPr>
        <w:spacing w:line="400" w:lineRule="exact"/>
        <w:ind w:firstLine="480" w:firstLineChars="200"/>
        <w:rPr>
          <w:rFonts w:ascii="宋体" w:hAnsi="Times New Roman" w:cs="Times New Roman"/>
          <w:sz w:val="24"/>
        </w:rPr>
      </w:pPr>
      <w:r>
        <w:rPr>
          <w:rFonts w:ascii="宋体" w:hAnsi="宋体" w:cs="宋体"/>
          <w:sz w:val="24"/>
        </w:rPr>
        <w:t>5.</w:t>
      </w:r>
      <w:r>
        <w:rPr>
          <w:rFonts w:hint="eastAsia" w:ascii="宋体" w:hAnsi="宋体" w:cs="宋体"/>
          <w:sz w:val="24"/>
        </w:rPr>
        <w:t>保修期内，乙方提供全天候售后服务（</w:t>
      </w:r>
      <w:r>
        <w:rPr>
          <w:rFonts w:ascii="宋体" w:hAnsi="宋体" w:cs="宋体"/>
          <w:sz w:val="24"/>
        </w:rPr>
        <w:t>7</w:t>
      </w:r>
      <w:r>
        <w:rPr>
          <w:rFonts w:hint="eastAsia" w:ascii="宋体" w:hAnsi="宋体" w:cs="宋体"/>
          <w:sz w:val="24"/>
        </w:rPr>
        <w:t>×</w:t>
      </w:r>
      <w:r>
        <w:rPr>
          <w:rFonts w:ascii="宋体" w:hAnsi="宋体" w:cs="宋体"/>
          <w:sz w:val="24"/>
        </w:rPr>
        <w:t xml:space="preserve">24 </w:t>
      </w:r>
      <w:r>
        <w:rPr>
          <w:rFonts w:hint="eastAsia" w:ascii="宋体" w:hAnsi="宋体" w:cs="宋体"/>
          <w:sz w:val="24"/>
        </w:rPr>
        <w:t>小时），同时设立全年</w:t>
      </w:r>
      <w:r>
        <w:rPr>
          <w:rFonts w:ascii="宋体" w:hAnsi="宋体" w:cs="宋体"/>
          <w:sz w:val="24"/>
        </w:rPr>
        <w:t xml:space="preserve"> 365 </w:t>
      </w:r>
      <w:r>
        <w:rPr>
          <w:rFonts w:hint="eastAsia" w:ascii="宋体" w:hAnsi="宋体" w:cs="宋体"/>
          <w:sz w:val="24"/>
        </w:rPr>
        <w:t>天不间断免费维修服务热线。仪器设备出现故障，乙方在接到甲方电话通知后，</w:t>
      </w:r>
      <w:r>
        <w:rPr>
          <w:rFonts w:hint="eastAsia" w:ascii="宋体" w:hAnsi="宋体" w:cs="宋体"/>
          <w:sz w:val="24"/>
          <w:lang w:val="en-US" w:eastAsia="zh-CN"/>
        </w:rPr>
        <w:t xml:space="preserve"> </w:t>
      </w:r>
      <w:r>
        <w:rPr>
          <w:rFonts w:hint="eastAsia" w:ascii="宋体" w:hAnsi="宋体" w:cs="宋体"/>
          <w:sz w:val="24"/>
          <w:u w:val="single"/>
          <w:lang w:val="en-US" w:eastAsia="zh-CN"/>
        </w:rPr>
        <w:t xml:space="preserve"> </w:t>
      </w:r>
      <w:r>
        <w:rPr>
          <w:rFonts w:hint="eastAsia" w:ascii="宋体" w:hAnsi="宋体" w:cs="宋体"/>
          <w:sz w:val="24"/>
        </w:rPr>
        <w:t>小时内做出实质性响应（远程解决或做出预备维护动作），需维护工程师现场解决的，要求在</w:t>
      </w:r>
      <w:r>
        <w:rPr>
          <w:rFonts w:hint="eastAsia" w:ascii="宋体" w:hAnsi="宋体" w:cs="宋体"/>
          <w:sz w:val="24"/>
          <w:u w:val="single"/>
          <w:lang w:val="en-US" w:eastAsia="zh-CN"/>
        </w:rPr>
        <w:t xml:space="preserve">   </w:t>
      </w:r>
      <w:r>
        <w:rPr>
          <w:rFonts w:hint="eastAsia" w:ascii="宋体" w:hAnsi="宋体" w:cs="宋体"/>
          <w:sz w:val="24"/>
        </w:rPr>
        <w:t>小时内到现场处理，如产生费用由乙方承担。</w:t>
      </w:r>
    </w:p>
    <w:p w14:paraId="6321013A">
      <w:pPr>
        <w:spacing w:line="400" w:lineRule="exact"/>
        <w:ind w:firstLine="480" w:firstLineChars="200"/>
        <w:rPr>
          <w:rFonts w:ascii="宋体" w:hAnsi="Times New Roman" w:cs="Times New Roman"/>
          <w:sz w:val="24"/>
        </w:rPr>
      </w:pPr>
      <w:r>
        <w:rPr>
          <w:rFonts w:ascii="宋体" w:hAnsi="宋体" w:cs="宋体"/>
          <w:sz w:val="24"/>
        </w:rPr>
        <w:t>6.</w:t>
      </w:r>
      <w:r>
        <w:rPr>
          <w:rFonts w:hint="eastAsia" w:ascii="宋体" w:hAnsi="宋体" w:cs="宋体"/>
          <w:sz w:val="24"/>
        </w:rPr>
        <w:t>乙方提供的服务承诺和售后服务及保修期责任等其他具体约定事项。（见合同附件</w:t>
      </w:r>
      <w:r>
        <w:rPr>
          <w:rFonts w:ascii="宋体" w:hAnsi="宋体" w:cs="宋体"/>
          <w:sz w:val="24"/>
        </w:rPr>
        <w:t>3</w:t>
      </w:r>
      <w:r>
        <w:rPr>
          <w:rFonts w:hint="eastAsia" w:ascii="宋体" w:hAnsi="宋体" w:cs="宋体"/>
          <w:sz w:val="24"/>
        </w:rPr>
        <w:t>）</w:t>
      </w:r>
    </w:p>
    <w:p w14:paraId="24252C27">
      <w:pPr>
        <w:spacing w:line="400" w:lineRule="exact"/>
        <w:ind w:firstLine="482" w:firstLineChars="200"/>
        <w:rPr>
          <w:rFonts w:ascii="Times New Roman" w:hAnsi="宋体" w:cs="Times New Roman"/>
          <w:b/>
          <w:bCs/>
          <w:sz w:val="24"/>
        </w:rPr>
      </w:pPr>
      <w:r>
        <w:rPr>
          <w:rFonts w:hint="eastAsia" w:ascii="Times New Roman" w:hAnsi="宋体" w:cs="宋体"/>
          <w:b/>
          <w:bCs/>
          <w:sz w:val="24"/>
        </w:rPr>
        <w:t>第八条</w:t>
      </w:r>
      <w:r>
        <w:rPr>
          <w:rFonts w:ascii="Times New Roman" w:hAnsi="宋体" w:cs="Times New Roman"/>
          <w:b/>
          <w:bCs/>
          <w:sz w:val="24"/>
        </w:rPr>
        <w:t xml:space="preserve">  </w:t>
      </w:r>
      <w:r>
        <w:rPr>
          <w:rFonts w:hint="eastAsia" w:ascii="Times New Roman" w:hAnsi="宋体" w:cs="宋体"/>
          <w:b/>
          <w:bCs/>
          <w:sz w:val="24"/>
        </w:rPr>
        <w:t>付款方式和保证金</w:t>
      </w:r>
    </w:p>
    <w:p w14:paraId="1E1D110B">
      <w:pPr>
        <w:spacing w:line="400" w:lineRule="exact"/>
        <w:ind w:firstLine="480" w:firstLineChars="200"/>
        <w:rPr>
          <w:rFonts w:ascii="宋体" w:hAnsi="Times New Roman" w:cs="Times New Roman"/>
          <w:sz w:val="24"/>
        </w:rPr>
      </w:pPr>
      <w:r>
        <w:rPr>
          <w:rFonts w:ascii="宋体" w:hAnsi="宋体" w:cs="宋体"/>
          <w:sz w:val="24"/>
        </w:rPr>
        <w:t>1</w:t>
      </w:r>
      <w:r>
        <w:rPr>
          <w:rFonts w:ascii="宋体" w:hAnsi="Times New Roman" w:cs="宋体"/>
          <w:sz w:val="24"/>
        </w:rPr>
        <w:t>.</w:t>
      </w:r>
      <w:r>
        <w:rPr>
          <w:rFonts w:hint="eastAsia" w:ascii="宋体" w:hAnsi="宋体" w:cs="宋体"/>
          <w:sz w:val="24"/>
        </w:rPr>
        <w:t>当甲方采购数量与实际使用数量不一致时，乙方应根据甲方实际使用量供货，合同的最终结算金额按甲方实际使用量乘以成交单价进行计算。</w:t>
      </w:r>
    </w:p>
    <w:p w14:paraId="374E3320">
      <w:pPr>
        <w:spacing w:line="400" w:lineRule="exact"/>
        <w:ind w:firstLine="480" w:firstLineChars="200"/>
        <w:rPr>
          <w:rFonts w:ascii="宋体" w:hAnsi="Times New Roman" w:cs="Times New Roman"/>
          <w:sz w:val="24"/>
          <w:u w:val="single"/>
        </w:rPr>
      </w:pPr>
      <w:r>
        <w:rPr>
          <w:rFonts w:ascii="宋体" w:hAnsi="宋体" w:cs="宋体"/>
          <w:sz w:val="24"/>
        </w:rPr>
        <w:t>2</w:t>
      </w:r>
      <w:r>
        <w:rPr>
          <w:rFonts w:ascii="宋体" w:hAnsi="Times New Roman" w:cs="宋体"/>
          <w:sz w:val="24"/>
        </w:rPr>
        <w:t>.</w:t>
      </w:r>
      <w:r>
        <w:rPr>
          <w:rFonts w:hint="eastAsia" w:ascii="宋体" w:hAnsi="宋体" w:cs="宋体"/>
          <w:sz w:val="24"/>
        </w:rPr>
        <w:t>资金性质：</w:t>
      </w:r>
      <w:r>
        <w:rPr>
          <w:rFonts w:hint="eastAsia" w:ascii="宋体" w:hAnsi="宋体" w:cs="宋体"/>
          <w:sz w:val="24"/>
          <w:u w:val="single"/>
        </w:rPr>
        <w:t>未纳入财政专户管理的收入安排的资金</w:t>
      </w:r>
      <w:r>
        <w:rPr>
          <w:rFonts w:hint="eastAsia" w:ascii="宋体" w:hAnsi="宋体" w:cs="宋体"/>
          <w:sz w:val="24"/>
        </w:rPr>
        <w:t>。</w:t>
      </w:r>
    </w:p>
    <w:p w14:paraId="645206A6">
      <w:pPr>
        <w:spacing w:line="400" w:lineRule="exact"/>
        <w:ind w:firstLine="480" w:firstLineChars="200"/>
        <w:rPr>
          <w:rFonts w:ascii="宋体" w:hAnsi="Times New Roman" w:cs="Times New Roman"/>
          <w:sz w:val="24"/>
        </w:rPr>
      </w:pPr>
      <w:r>
        <w:rPr>
          <w:rFonts w:ascii="Times New Roman" w:hAnsi="Times New Roman" w:cs="Times New Roman"/>
          <w:sz w:val="24"/>
        </w:rPr>
        <w:t>3.</w:t>
      </w:r>
      <w:r>
        <w:rPr>
          <w:rFonts w:hint="eastAsia" w:ascii="Times New Roman" w:hAnsi="Times New Roman" w:cs="宋体"/>
          <w:sz w:val="24"/>
        </w:rPr>
        <w:t>付款方式：</w:t>
      </w:r>
      <w:r>
        <w:rPr>
          <w:rFonts w:hint="eastAsia" w:ascii="宋体" w:hAnsi="宋体" w:cs="宋体"/>
          <w:sz w:val="24"/>
        </w:rPr>
        <w:t>设备安装验收合格后凭乙方开具货款全额发票付至合同总金额的</w:t>
      </w:r>
      <w:r>
        <w:rPr>
          <w:rFonts w:ascii="宋体" w:hAnsi="宋体" w:cs="宋体"/>
          <w:sz w:val="24"/>
        </w:rPr>
        <w:t>60%</w:t>
      </w:r>
      <w:r>
        <w:rPr>
          <w:rFonts w:hint="eastAsia" w:ascii="宋体" w:hAnsi="宋体" w:cs="宋体"/>
          <w:color w:val="339966"/>
          <w:sz w:val="24"/>
        </w:rPr>
        <w:t>；</w:t>
      </w:r>
      <w:r>
        <w:rPr>
          <w:rFonts w:hint="eastAsia" w:ascii="宋体" w:hAnsi="宋体" w:cs="宋体"/>
          <w:sz w:val="24"/>
        </w:rPr>
        <w:t>设备正常使用满半年后，甲方支付合同总金额的</w:t>
      </w:r>
      <w:r>
        <w:rPr>
          <w:rFonts w:ascii="宋体" w:hAnsi="宋体" w:cs="宋体"/>
          <w:sz w:val="24"/>
        </w:rPr>
        <w:t>35%</w:t>
      </w:r>
      <w:r>
        <w:rPr>
          <w:rFonts w:hint="eastAsia" w:ascii="宋体" w:hAnsi="宋体" w:cs="宋体"/>
          <w:color w:val="339966"/>
          <w:sz w:val="24"/>
        </w:rPr>
        <w:t>；</w:t>
      </w:r>
      <w:r>
        <w:rPr>
          <w:rFonts w:hint="eastAsia" w:ascii="宋体" w:hAnsi="宋体" w:cs="宋体"/>
          <w:sz w:val="24"/>
        </w:rPr>
        <w:t>设备正常使用满一年后</w:t>
      </w:r>
      <w:r>
        <w:rPr>
          <w:rFonts w:hint="eastAsia" w:ascii="宋体" w:hAnsi="宋体" w:cs="宋体"/>
          <w:color w:val="339966"/>
          <w:sz w:val="24"/>
        </w:rPr>
        <w:t>，</w:t>
      </w:r>
      <w:r>
        <w:rPr>
          <w:rFonts w:hint="eastAsia" w:ascii="宋体" w:hAnsi="宋体" w:cs="宋体"/>
          <w:sz w:val="24"/>
        </w:rPr>
        <w:t>支付合同总金额的</w:t>
      </w:r>
      <w:r>
        <w:rPr>
          <w:rFonts w:ascii="宋体" w:hAnsi="宋体" w:cs="宋体"/>
          <w:sz w:val="24"/>
        </w:rPr>
        <w:t>5%</w:t>
      </w:r>
      <w:r>
        <w:rPr>
          <w:rFonts w:hint="eastAsia" w:ascii="宋体" w:hAnsi="宋体" w:cs="宋体"/>
          <w:sz w:val="24"/>
        </w:rPr>
        <w:t>（无息）（以验收报告日期为准）。</w:t>
      </w:r>
    </w:p>
    <w:p w14:paraId="3D27CC3F">
      <w:pPr>
        <w:spacing w:line="400" w:lineRule="exact"/>
        <w:ind w:firstLine="482" w:firstLineChars="200"/>
        <w:rPr>
          <w:rFonts w:ascii="Times New Roman" w:hAnsi="宋体" w:cs="Times New Roman"/>
          <w:b/>
          <w:bCs/>
          <w:sz w:val="24"/>
        </w:rPr>
      </w:pPr>
      <w:r>
        <w:rPr>
          <w:rFonts w:hint="eastAsia" w:ascii="Times New Roman" w:hAnsi="宋体" w:cs="宋体"/>
          <w:b/>
          <w:bCs/>
          <w:sz w:val="24"/>
        </w:rPr>
        <w:t>第九条　质量保证金</w:t>
      </w:r>
    </w:p>
    <w:p w14:paraId="68ED8393">
      <w:pPr>
        <w:spacing w:line="400" w:lineRule="exact"/>
        <w:ind w:left="-61" w:leftChars="-29" w:firstLine="480" w:firstLineChars="200"/>
        <w:rPr>
          <w:rFonts w:ascii="宋体" w:hAnsi="Times New Roman" w:cs="Times New Roman"/>
          <w:sz w:val="24"/>
        </w:rPr>
      </w:pPr>
      <w:r>
        <w:rPr>
          <w:rFonts w:hint="eastAsia" w:ascii="宋体" w:hAnsi="宋体" w:cs="宋体"/>
          <w:sz w:val="24"/>
        </w:rPr>
        <w:t>乙方应在货物验收合格无异议后五个工作日内按本合同合计金额</w:t>
      </w:r>
      <w:r>
        <w:rPr>
          <w:rFonts w:ascii="宋体" w:hAnsi="宋体" w:cs="宋体"/>
          <w:sz w:val="24"/>
          <w:u w:val="single"/>
        </w:rPr>
        <w:t xml:space="preserve">  /  </w:t>
      </w:r>
      <w:r>
        <w:rPr>
          <w:rFonts w:hint="eastAsia" w:ascii="宋体" w:hAnsi="宋体" w:cs="宋体"/>
          <w:sz w:val="24"/>
        </w:rPr>
        <w:t>比例向甲方提交质量保证金（提交到甲方指定的财政专项账户），质量保证期过后五个工作日内无息返还。</w:t>
      </w:r>
    </w:p>
    <w:p w14:paraId="19962296">
      <w:pPr>
        <w:spacing w:line="400" w:lineRule="exact"/>
        <w:ind w:firstLine="482" w:firstLineChars="200"/>
        <w:rPr>
          <w:rFonts w:ascii="Times New Roman" w:hAnsi="宋体" w:cs="Times New Roman"/>
          <w:b/>
          <w:bCs/>
          <w:sz w:val="24"/>
        </w:rPr>
      </w:pPr>
      <w:r>
        <w:rPr>
          <w:rFonts w:hint="eastAsia" w:ascii="Times New Roman" w:hAnsi="宋体" w:cs="宋体"/>
          <w:b/>
          <w:bCs/>
          <w:sz w:val="24"/>
        </w:rPr>
        <w:t>第十条　税费</w:t>
      </w:r>
    </w:p>
    <w:p w14:paraId="2C005C6A">
      <w:pPr>
        <w:spacing w:line="400" w:lineRule="exact"/>
        <w:ind w:firstLine="480" w:firstLineChars="200"/>
        <w:rPr>
          <w:rFonts w:ascii="宋体" w:hAnsi="Times New Roman" w:cs="Times New Roman"/>
          <w:sz w:val="24"/>
        </w:rPr>
      </w:pPr>
      <w:r>
        <w:rPr>
          <w:rFonts w:hint="eastAsia" w:ascii="宋体" w:hAnsi="宋体" w:cs="宋体"/>
          <w:sz w:val="24"/>
        </w:rPr>
        <w:t>本合同履行中相关的一切税费均由乙方承担。</w:t>
      </w:r>
    </w:p>
    <w:p w14:paraId="094716D2">
      <w:pPr>
        <w:spacing w:line="400" w:lineRule="exact"/>
        <w:ind w:firstLine="482" w:firstLineChars="200"/>
        <w:rPr>
          <w:rFonts w:ascii="Times New Roman" w:hAnsi="宋体" w:cs="Times New Roman"/>
          <w:b/>
          <w:bCs/>
          <w:sz w:val="24"/>
        </w:rPr>
      </w:pPr>
      <w:r>
        <w:rPr>
          <w:rFonts w:hint="eastAsia" w:ascii="Times New Roman" w:hAnsi="宋体" w:cs="宋体"/>
          <w:b/>
          <w:bCs/>
          <w:sz w:val="24"/>
        </w:rPr>
        <w:t>第十一条</w:t>
      </w:r>
      <w:r>
        <w:rPr>
          <w:rFonts w:ascii="Times New Roman" w:hAnsi="宋体" w:cs="Times New Roman"/>
          <w:b/>
          <w:bCs/>
          <w:sz w:val="24"/>
        </w:rPr>
        <w:t xml:space="preserve">  </w:t>
      </w:r>
      <w:r>
        <w:rPr>
          <w:rFonts w:hint="eastAsia" w:ascii="Times New Roman" w:hAnsi="宋体" w:cs="宋体"/>
          <w:b/>
          <w:bCs/>
          <w:sz w:val="24"/>
        </w:rPr>
        <w:t>质量保证</w:t>
      </w:r>
    </w:p>
    <w:p w14:paraId="3CCA3626">
      <w:pPr>
        <w:spacing w:line="400" w:lineRule="exact"/>
        <w:ind w:firstLine="480" w:firstLineChars="200"/>
        <w:rPr>
          <w:rFonts w:ascii="Times New Roman" w:hAnsi="宋体" w:cs="Times New Roman"/>
          <w:sz w:val="24"/>
        </w:rPr>
      </w:pPr>
      <w:r>
        <w:rPr>
          <w:rFonts w:ascii="宋体" w:hAnsi="宋体" w:cs="宋体"/>
          <w:sz w:val="24"/>
        </w:rPr>
        <w:t>1</w:t>
      </w:r>
      <w:r>
        <w:rPr>
          <w:rFonts w:ascii="宋体" w:hAnsi="Times New Roman" w:cs="宋体"/>
          <w:sz w:val="24"/>
        </w:rPr>
        <w:t>.</w:t>
      </w:r>
      <w:r>
        <w:rPr>
          <w:rFonts w:hint="eastAsia" w:ascii="宋体" w:hAnsi="宋体" w:cs="宋体"/>
          <w:sz w:val="24"/>
        </w:rPr>
        <w:t>乙方应按招标文件规定的货物性能、技术要求、质量标准向甲方提供未经使用的全新产品。</w:t>
      </w:r>
      <w:r>
        <w:rPr>
          <w:rFonts w:hint="eastAsia" w:ascii="Times New Roman" w:hAnsi="宋体" w:cs="宋体"/>
          <w:sz w:val="24"/>
        </w:rPr>
        <w:t>对达不到要求者，根据实际情况，经双方协商，可按以下办法处理：</w:t>
      </w:r>
    </w:p>
    <w:p w14:paraId="69722D5C">
      <w:pPr>
        <w:spacing w:line="400" w:lineRule="exact"/>
        <w:ind w:firstLine="480" w:firstLineChars="200"/>
        <w:rPr>
          <w:rFonts w:ascii="Times New Roman" w:hAnsi="宋体" w:cs="Times New Roman"/>
          <w:sz w:val="24"/>
        </w:rPr>
      </w:pPr>
      <w:r>
        <w:rPr>
          <w:rFonts w:hint="eastAsia" w:ascii="Times New Roman" w:hAnsi="宋体" w:cs="宋体"/>
          <w:sz w:val="24"/>
        </w:rPr>
        <w:t>⑴</w:t>
      </w:r>
      <w:r>
        <w:rPr>
          <w:rFonts w:ascii="Times New Roman" w:hAnsi="宋体" w:cs="Times New Roman"/>
          <w:sz w:val="24"/>
        </w:rPr>
        <w:t xml:space="preserve"> </w:t>
      </w:r>
      <w:r>
        <w:rPr>
          <w:rFonts w:hint="eastAsia" w:ascii="Times New Roman" w:hAnsi="宋体" w:cs="宋体"/>
          <w:sz w:val="24"/>
        </w:rPr>
        <w:t>更换：由乙方承担所发生的全部费用。</w:t>
      </w:r>
    </w:p>
    <w:p w14:paraId="53F20921">
      <w:pPr>
        <w:spacing w:line="400" w:lineRule="exact"/>
        <w:ind w:firstLine="480" w:firstLineChars="200"/>
        <w:rPr>
          <w:rFonts w:ascii="Times New Roman" w:hAnsi="宋体" w:cs="Times New Roman"/>
          <w:sz w:val="24"/>
        </w:rPr>
      </w:pPr>
      <w:r>
        <w:rPr>
          <w:rFonts w:hint="eastAsia" w:ascii="Times New Roman" w:hAnsi="宋体" w:cs="宋体"/>
          <w:sz w:val="24"/>
        </w:rPr>
        <w:t>⑵</w:t>
      </w:r>
      <w:r>
        <w:rPr>
          <w:rFonts w:ascii="Times New Roman" w:hAnsi="宋体" w:cs="Times New Roman"/>
          <w:sz w:val="24"/>
        </w:rPr>
        <w:t xml:space="preserve"> </w:t>
      </w:r>
      <w:r>
        <w:rPr>
          <w:rFonts w:hint="eastAsia" w:ascii="Times New Roman" w:hAnsi="宋体" w:cs="宋体"/>
          <w:sz w:val="24"/>
        </w:rPr>
        <w:t>贬值处理：由甲、乙双方合议定价。</w:t>
      </w:r>
    </w:p>
    <w:p w14:paraId="68D56871">
      <w:pPr>
        <w:spacing w:line="400" w:lineRule="exact"/>
        <w:ind w:firstLine="480" w:firstLineChars="200"/>
        <w:rPr>
          <w:rFonts w:ascii="Times New Roman" w:hAnsi="宋体" w:cs="Times New Roman"/>
          <w:sz w:val="24"/>
        </w:rPr>
      </w:pPr>
      <w:r>
        <w:rPr>
          <w:rFonts w:hint="eastAsia" w:ascii="Times New Roman" w:hAnsi="宋体" w:cs="宋体"/>
          <w:sz w:val="24"/>
        </w:rPr>
        <w:t>⑶</w:t>
      </w:r>
      <w:r>
        <w:rPr>
          <w:rFonts w:ascii="Times New Roman" w:hAnsi="宋体" w:cs="Times New Roman"/>
          <w:sz w:val="24"/>
        </w:rPr>
        <w:t xml:space="preserve"> </w:t>
      </w:r>
      <w:r>
        <w:rPr>
          <w:rFonts w:hint="eastAsia" w:ascii="Times New Roman" w:hAnsi="宋体" w:cs="宋体"/>
          <w:sz w:val="24"/>
        </w:rPr>
        <w:t>退货处理：乙方应退还甲方支付的合同</w:t>
      </w:r>
      <w:r>
        <w:rPr>
          <w:rFonts w:hint="eastAsia" w:ascii="Times New Roman" w:hAnsi="宋体" w:cs="宋体"/>
          <w:color w:val="339966"/>
          <w:sz w:val="24"/>
        </w:rPr>
        <w:t>价</w:t>
      </w:r>
      <w:r>
        <w:rPr>
          <w:rFonts w:hint="eastAsia" w:ascii="Times New Roman" w:hAnsi="宋体" w:cs="宋体"/>
          <w:sz w:val="24"/>
        </w:rPr>
        <w:t>款，同时应承担该货物的直接费用（运输、保险、检验、货款利息及银行手续费等）。</w:t>
      </w:r>
    </w:p>
    <w:p w14:paraId="4DB039F6">
      <w:pPr>
        <w:spacing w:line="400" w:lineRule="exact"/>
        <w:ind w:firstLine="480" w:firstLineChars="200"/>
        <w:rPr>
          <w:rFonts w:ascii="Times New Roman" w:hAnsi="宋体" w:cs="Times New Roman"/>
          <w:b/>
          <w:bCs/>
          <w:sz w:val="24"/>
        </w:rPr>
      </w:pPr>
      <w:r>
        <w:rPr>
          <w:rFonts w:ascii="Times New Roman" w:hAnsi="宋体" w:cs="Times New Roman"/>
          <w:sz w:val="24"/>
        </w:rPr>
        <w:t>2.</w:t>
      </w:r>
      <w:r>
        <w:rPr>
          <w:rFonts w:hint="eastAsia" w:ascii="Times New Roman" w:hAnsi="宋体" w:cs="宋体"/>
          <w:sz w:val="24"/>
        </w:rPr>
        <w:t>如在使用过程中发生质量问题，乙方</w:t>
      </w:r>
      <w:r>
        <w:rPr>
          <w:rFonts w:hint="eastAsia" w:ascii="Times New Roman" w:hAnsi="宋体" w:cs="宋体"/>
          <w:color w:val="339966"/>
          <w:sz w:val="24"/>
        </w:rPr>
        <w:t>应</w:t>
      </w:r>
      <w:r>
        <w:rPr>
          <w:rFonts w:hint="eastAsia" w:ascii="Times New Roman" w:hAnsi="宋体" w:cs="宋体"/>
          <w:sz w:val="24"/>
        </w:rPr>
        <w:t>在接到甲方通知后</w:t>
      </w:r>
      <w:r>
        <w:rPr>
          <w:rFonts w:ascii="Times New Roman" w:hAnsi="宋体" w:cs="Times New Roman"/>
          <w:sz w:val="24"/>
        </w:rPr>
        <w:t>24</w:t>
      </w:r>
      <w:r>
        <w:rPr>
          <w:rFonts w:hint="eastAsia" w:ascii="Times New Roman" w:hAnsi="宋体" w:cs="宋体"/>
          <w:sz w:val="24"/>
        </w:rPr>
        <w:t>小时内响应，</w:t>
      </w:r>
      <w:r>
        <w:rPr>
          <w:rFonts w:ascii="Times New Roman" w:hAnsi="宋体" w:cs="Times New Roman"/>
          <w:sz w:val="24"/>
        </w:rPr>
        <w:t>48</w:t>
      </w:r>
      <w:r>
        <w:rPr>
          <w:rFonts w:hint="eastAsia" w:ascii="Times New Roman" w:hAnsi="宋体" w:cs="宋体"/>
          <w:sz w:val="24"/>
        </w:rPr>
        <w:t>小时内到达甲方现场处理，一般故障处理时限不超过</w:t>
      </w:r>
      <w:r>
        <w:rPr>
          <w:rFonts w:ascii="Times New Roman" w:hAnsi="宋体" w:cs="Times New Roman"/>
          <w:sz w:val="24"/>
        </w:rPr>
        <w:t>24</w:t>
      </w:r>
      <w:r>
        <w:rPr>
          <w:rFonts w:hint="eastAsia" w:ascii="Times New Roman" w:hAnsi="宋体" w:cs="宋体"/>
          <w:sz w:val="24"/>
        </w:rPr>
        <w:t>小时修复，重大故障处理时限不超过</w:t>
      </w:r>
      <w:r>
        <w:rPr>
          <w:rFonts w:ascii="Times New Roman" w:hAnsi="宋体" w:cs="Times New Roman"/>
          <w:sz w:val="24"/>
        </w:rPr>
        <w:t>72</w:t>
      </w:r>
      <w:r>
        <w:rPr>
          <w:rFonts w:hint="eastAsia" w:ascii="Times New Roman" w:hAnsi="宋体" w:cs="宋体"/>
          <w:sz w:val="24"/>
        </w:rPr>
        <w:t>小时修复。</w:t>
      </w:r>
    </w:p>
    <w:p w14:paraId="7774D73E">
      <w:pPr>
        <w:spacing w:line="400" w:lineRule="exact"/>
        <w:ind w:firstLine="482" w:firstLineChars="200"/>
        <w:rPr>
          <w:rFonts w:ascii="Times New Roman" w:hAnsi="宋体" w:cs="Times New Roman"/>
          <w:b/>
          <w:bCs/>
          <w:sz w:val="28"/>
          <w:szCs w:val="28"/>
        </w:rPr>
      </w:pPr>
      <w:r>
        <w:rPr>
          <w:rFonts w:hint="eastAsia" w:ascii="Times New Roman" w:hAnsi="宋体" w:cs="宋体"/>
          <w:b/>
          <w:bCs/>
          <w:sz w:val="24"/>
        </w:rPr>
        <w:t>第十二条　违约责任</w:t>
      </w:r>
    </w:p>
    <w:p w14:paraId="53CC11F9">
      <w:pPr>
        <w:spacing w:line="400" w:lineRule="exact"/>
        <w:ind w:firstLine="480" w:firstLineChars="200"/>
        <w:rPr>
          <w:rFonts w:ascii="宋体" w:hAnsi="Times New Roman" w:cs="Times New Roman"/>
          <w:sz w:val="24"/>
        </w:rPr>
      </w:pPr>
      <w:r>
        <w:rPr>
          <w:rFonts w:ascii="宋体" w:hAnsi="宋体" w:cs="宋体"/>
          <w:sz w:val="24"/>
        </w:rPr>
        <w:t>1</w:t>
      </w:r>
      <w:r>
        <w:rPr>
          <w:rFonts w:ascii="宋体" w:hAnsi="Times New Roman" w:cs="宋体"/>
          <w:sz w:val="24"/>
        </w:rPr>
        <w:t>.</w:t>
      </w:r>
      <w:r>
        <w:rPr>
          <w:rFonts w:hint="eastAsia" w:ascii="宋体" w:hAnsi="宋体" w:cs="宋体"/>
          <w:sz w:val="24"/>
        </w:rPr>
        <w:t>乙方所提供的货物规格、技术标准、材料等质量不合格的，应及时更换，更换不及时的按逾期交货处理；因质量问题甲方不同意接收的或特殊情况甲方同意接收的，乙方应向甲方支付合同总金额</w:t>
      </w:r>
      <w:r>
        <w:rPr>
          <w:rFonts w:ascii="宋体" w:hAnsi="宋体" w:cs="宋体"/>
          <w:sz w:val="24"/>
        </w:rPr>
        <w:t xml:space="preserve"> 5%</w:t>
      </w:r>
      <w:r>
        <w:rPr>
          <w:rFonts w:hint="eastAsia" w:ascii="宋体" w:hAnsi="宋体" w:cs="宋体"/>
          <w:sz w:val="24"/>
        </w:rPr>
        <w:t>违约金并赔偿甲方经济损失。</w:t>
      </w:r>
    </w:p>
    <w:p w14:paraId="0863E282">
      <w:pPr>
        <w:spacing w:line="400" w:lineRule="exact"/>
        <w:ind w:firstLine="480" w:firstLineChars="200"/>
        <w:rPr>
          <w:rFonts w:ascii="宋体" w:hAnsi="Times New Roman" w:cs="Times New Roman"/>
          <w:sz w:val="24"/>
        </w:rPr>
      </w:pPr>
      <w:r>
        <w:rPr>
          <w:rFonts w:ascii="宋体" w:hAnsi="宋体" w:cs="宋体"/>
          <w:sz w:val="24"/>
        </w:rPr>
        <w:t>2</w:t>
      </w:r>
      <w:r>
        <w:rPr>
          <w:rFonts w:ascii="宋体" w:hAnsi="Times New Roman" w:cs="宋体"/>
          <w:sz w:val="24"/>
        </w:rPr>
        <w:t>.</w:t>
      </w:r>
      <w:r>
        <w:rPr>
          <w:rFonts w:hint="eastAsia" w:ascii="宋体" w:hAnsi="宋体" w:cs="宋体"/>
          <w:sz w:val="24"/>
        </w:rPr>
        <w:t>乙方提供的货物如侵犯第三方合法权益而引发的任何纠纷或诉讼，均由乙方负责交涉并承担全部责任。</w:t>
      </w:r>
    </w:p>
    <w:p w14:paraId="2F756861">
      <w:pPr>
        <w:spacing w:line="400" w:lineRule="exact"/>
        <w:ind w:firstLine="480" w:firstLineChars="200"/>
        <w:rPr>
          <w:rFonts w:ascii="宋体" w:hAnsi="Times New Roman" w:cs="Times New Roman"/>
          <w:sz w:val="24"/>
        </w:rPr>
      </w:pPr>
      <w:r>
        <w:rPr>
          <w:rFonts w:ascii="宋体" w:hAnsi="宋体" w:cs="宋体"/>
          <w:sz w:val="24"/>
        </w:rPr>
        <w:t>3</w:t>
      </w:r>
      <w:r>
        <w:rPr>
          <w:rFonts w:ascii="宋体" w:hAnsi="Times New Roman" w:cs="宋体"/>
          <w:sz w:val="24"/>
        </w:rPr>
        <w:t>.</w:t>
      </w:r>
      <w:r>
        <w:rPr>
          <w:rFonts w:hint="eastAsia" w:ascii="宋体" w:hAnsi="宋体" w:cs="宋体"/>
          <w:sz w:val="24"/>
        </w:rPr>
        <w:t>因包装、运输引起的货物损坏，按质量不合格处理。</w:t>
      </w:r>
    </w:p>
    <w:p w14:paraId="722C6D18">
      <w:pPr>
        <w:spacing w:line="400" w:lineRule="exact"/>
        <w:ind w:firstLine="480" w:firstLineChars="200"/>
        <w:rPr>
          <w:rFonts w:ascii="Times New Roman" w:hAnsi="宋体" w:cs="Times New Roman"/>
          <w:sz w:val="24"/>
        </w:rPr>
      </w:pPr>
      <w:r>
        <w:rPr>
          <w:rFonts w:ascii="Times New Roman" w:hAnsi="宋体" w:cs="Times New Roman"/>
          <w:sz w:val="24"/>
        </w:rPr>
        <w:t>4.</w:t>
      </w:r>
      <w:r>
        <w:rPr>
          <w:rFonts w:hint="eastAsia" w:ascii="Times New Roman" w:hAnsi="宋体" w:cs="宋体"/>
          <w:sz w:val="24"/>
        </w:rPr>
        <w:t>甲方无正当理由延期接收货物或者乙方逾期交货的，违约方每天向守约方支付合同总金额</w:t>
      </w:r>
      <w:r>
        <w:rPr>
          <w:rFonts w:ascii="Times New Roman" w:hAnsi="宋体" w:cs="Times New Roman"/>
          <w:sz w:val="24"/>
        </w:rPr>
        <w:t>0.03%</w:t>
      </w:r>
      <w:r>
        <w:rPr>
          <w:rFonts w:hint="eastAsia" w:ascii="Times New Roman" w:hAnsi="宋体" w:cs="宋体"/>
          <w:sz w:val="24"/>
        </w:rPr>
        <w:t>的违约金，但违约金累计不得超过合同总金额的</w:t>
      </w:r>
      <w:r>
        <w:rPr>
          <w:rFonts w:ascii="Times New Roman" w:hAnsi="宋体" w:cs="Times New Roman"/>
          <w:sz w:val="24"/>
        </w:rPr>
        <w:t>5%</w:t>
      </w:r>
      <w:r>
        <w:rPr>
          <w:rFonts w:hint="eastAsia" w:ascii="Times New Roman" w:hAnsi="宋体" w:cs="宋体"/>
          <w:sz w:val="24"/>
        </w:rPr>
        <w:t>；</w:t>
      </w:r>
      <w:r>
        <w:rPr>
          <w:rFonts w:hint="eastAsia" w:ascii="Times New Roman" w:hAnsi="宋体" w:cs="宋体"/>
          <w:color w:val="339966"/>
          <w:sz w:val="24"/>
        </w:rPr>
        <w:t>逾期</w:t>
      </w:r>
      <w:r>
        <w:rPr>
          <w:rFonts w:hint="eastAsia" w:ascii="Times New Roman" w:hAnsi="宋体" w:cs="宋体"/>
          <w:sz w:val="24"/>
        </w:rPr>
        <w:t>超过</w:t>
      </w:r>
      <w:r>
        <w:rPr>
          <w:rFonts w:ascii="Times New Roman" w:hAnsi="宋体" w:cs="Times New Roman"/>
          <w:sz w:val="24"/>
        </w:rPr>
        <w:t>10</w:t>
      </w:r>
      <w:r>
        <w:rPr>
          <w:rFonts w:hint="eastAsia" w:ascii="Times New Roman" w:hAnsi="宋体" w:cs="宋体"/>
          <w:sz w:val="24"/>
        </w:rPr>
        <w:t>天的，守约方有权解除合同，违约方承担因此给守约方造成的经济损失；甲方无正当理由延期支付货款的，每天向乙方支付逾期付款金额</w:t>
      </w:r>
      <w:r>
        <w:rPr>
          <w:rFonts w:ascii="Times New Roman" w:hAnsi="宋体" w:cs="Times New Roman"/>
          <w:sz w:val="24"/>
        </w:rPr>
        <w:t>0.03%</w:t>
      </w:r>
      <w:r>
        <w:rPr>
          <w:rFonts w:hint="eastAsia" w:ascii="Times New Roman" w:hAnsi="宋体" w:cs="宋体"/>
          <w:sz w:val="24"/>
        </w:rPr>
        <w:t>的滞纳金，但违约金累计不得超过合同总金额的</w:t>
      </w:r>
      <w:r>
        <w:rPr>
          <w:rFonts w:ascii="Times New Roman" w:hAnsi="宋体" w:cs="Times New Roman"/>
          <w:sz w:val="24"/>
        </w:rPr>
        <w:t>5%</w:t>
      </w:r>
      <w:r>
        <w:rPr>
          <w:rFonts w:hint="eastAsia" w:ascii="Times New Roman" w:hAnsi="宋体" w:cs="宋体"/>
          <w:sz w:val="24"/>
        </w:rPr>
        <w:t>。</w:t>
      </w:r>
    </w:p>
    <w:p w14:paraId="548AC97D">
      <w:pPr>
        <w:spacing w:line="400" w:lineRule="exact"/>
        <w:ind w:firstLine="480" w:firstLineChars="200"/>
        <w:rPr>
          <w:rFonts w:ascii="宋体" w:hAnsi="Times New Roman" w:cs="Times New Roman"/>
          <w:sz w:val="24"/>
        </w:rPr>
      </w:pPr>
      <w:r>
        <w:rPr>
          <w:rFonts w:ascii="宋体" w:hAnsi="宋体" w:cs="宋体"/>
          <w:sz w:val="24"/>
        </w:rPr>
        <w:t>5</w:t>
      </w:r>
      <w:r>
        <w:rPr>
          <w:rFonts w:ascii="宋体" w:hAnsi="Times New Roman" w:cs="宋体"/>
          <w:sz w:val="24"/>
        </w:rPr>
        <w:t>.</w:t>
      </w:r>
      <w:r>
        <w:rPr>
          <w:rFonts w:hint="eastAsia" w:ascii="宋体" w:hAnsi="宋体" w:cs="宋体"/>
          <w:sz w:val="24"/>
        </w:rPr>
        <w:t>乙方未按本合同和投标文件中规定的服务承诺提供售后服务的，乙方应按本合同总金额</w:t>
      </w:r>
      <w:r>
        <w:rPr>
          <w:rFonts w:ascii="宋体" w:hAnsi="宋体" w:cs="宋体"/>
          <w:sz w:val="24"/>
          <w:u w:val="single"/>
        </w:rPr>
        <w:t xml:space="preserve"> 5% </w:t>
      </w:r>
      <w:r>
        <w:rPr>
          <w:rFonts w:hint="eastAsia" w:ascii="宋体" w:hAnsi="宋体" w:cs="宋体"/>
          <w:sz w:val="24"/>
        </w:rPr>
        <w:t>向甲方支付违约金。</w:t>
      </w:r>
    </w:p>
    <w:p w14:paraId="0E7152DA">
      <w:pPr>
        <w:spacing w:line="400" w:lineRule="exact"/>
        <w:ind w:firstLine="480" w:firstLineChars="200"/>
        <w:rPr>
          <w:rFonts w:ascii="宋体" w:hAnsi="Times New Roman" w:cs="Times New Roman"/>
          <w:sz w:val="24"/>
        </w:rPr>
      </w:pPr>
      <w:r>
        <w:rPr>
          <w:rFonts w:ascii="宋体" w:hAnsi="宋体" w:cs="宋体"/>
          <w:sz w:val="24"/>
        </w:rPr>
        <w:t>6</w:t>
      </w:r>
      <w:r>
        <w:rPr>
          <w:rFonts w:ascii="宋体" w:hAnsi="Times New Roman" w:cs="宋体"/>
          <w:sz w:val="24"/>
        </w:rPr>
        <w:t>.</w:t>
      </w:r>
      <w:r>
        <w:rPr>
          <w:rFonts w:hint="eastAsia" w:ascii="宋体" w:hAnsi="宋体" w:cs="宋体"/>
          <w:sz w:val="24"/>
        </w:rPr>
        <w:t>乙方提供的货物在质量保证期内，因设计、工艺或材料的缺陷和其他质量原因造成的损害，由乙方负责，费用从甲方应付乙方货款中扣除，不足由乙方另补。</w:t>
      </w:r>
    </w:p>
    <w:p w14:paraId="52B5F53A">
      <w:pPr>
        <w:spacing w:line="400" w:lineRule="exact"/>
        <w:ind w:firstLine="480" w:firstLineChars="200"/>
        <w:rPr>
          <w:rFonts w:ascii="Times New Roman" w:hAnsi="宋体" w:cs="Times New Roman"/>
          <w:b/>
          <w:bCs/>
          <w:sz w:val="24"/>
        </w:rPr>
      </w:pPr>
      <w:r>
        <w:rPr>
          <w:rFonts w:ascii="宋体" w:hAnsi="宋体" w:cs="宋体"/>
          <w:sz w:val="24"/>
        </w:rPr>
        <w:t>7</w:t>
      </w:r>
      <w:r>
        <w:rPr>
          <w:rFonts w:ascii="宋体" w:hAnsi="Times New Roman" w:cs="宋体"/>
          <w:sz w:val="24"/>
        </w:rPr>
        <w:t>.</w:t>
      </w:r>
      <w:r>
        <w:rPr>
          <w:rFonts w:hint="eastAsia" w:ascii="宋体" w:hAnsi="宋体" w:cs="宋体"/>
          <w:sz w:val="24"/>
        </w:rPr>
        <w:t>其他违约行为按违约货款额</w:t>
      </w:r>
      <w:r>
        <w:rPr>
          <w:rFonts w:ascii="宋体" w:hAnsi="宋体" w:cs="宋体"/>
          <w:sz w:val="24"/>
        </w:rPr>
        <w:t>5%</w:t>
      </w:r>
      <w:r>
        <w:rPr>
          <w:rFonts w:hint="eastAsia" w:ascii="宋体" w:hAnsi="宋体" w:cs="宋体"/>
          <w:color w:val="339966"/>
          <w:sz w:val="24"/>
        </w:rPr>
        <w:t>计付</w:t>
      </w:r>
      <w:r>
        <w:rPr>
          <w:rFonts w:hint="eastAsia" w:ascii="宋体" w:hAnsi="宋体" w:cs="宋体"/>
          <w:sz w:val="24"/>
        </w:rPr>
        <w:t>违约金并赔偿经济损失。</w:t>
      </w:r>
    </w:p>
    <w:p w14:paraId="7363DC13">
      <w:pPr>
        <w:spacing w:line="400" w:lineRule="exact"/>
        <w:ind w:firstLine="482" w:firstLineChars="200"/>
        <w:rPr>
          <w:rFonts w:ascii="Times New Roman" w:hAnsi="宋体" w:cs="Times New Roman"/>
          <w:b/>
          <w:bCs/>
          <w:sz w:val="28"/>
          <w:szCs w:val="28"/>
        </w:rPr>
      </w:pPr>
      <w:r>
        <w:rPr>
          <w:rFonts w:hint="eastAsia" w:ascii="Times New Roman" w:hAnsi="宋体" w:cs="宋体"/>
          <w:b/>
          <w:bCs/>
          <w:sz w:val="24"/>
        </w:rPr>
        <w:t>第十三条</w:t>
      </w:r>
      <w:r>
        <w:rPr>
          <w:rFonts w:ascii="Times New Roman" w:hAnsi="宋体" w:cs="Times New Roman"/>
          <w:b/>
          <w:bCs/>
          <w:sz w:val="24"/>
        </w:rPr>
        <w:t xml:space="preserve">  </w:t>
      </w:r>
      <w:r>
        <w:rPr>
          <w:rFonts w:hint="eastAsia" w:ascii="Times New Roman" w:hAnsi="宋体" w:cs="宋体"/>
          <w:b/>
          <w:bCs/>
          <w:sz w:val="24"/>
        </w:rPr>
        <w:t>不可抗力事件处理</w:t>
      </w:r>
    </w:p>
    <w:p w14:paraId="6568A8D0">
      <w:pPr>
        <w:spacing w:line="400" w:lineRule="exact"/>
        <w:ind w:firstLine="480" w:firstLineChars="200"/>
        <w:rPr>
          <w:rFonts w:ascii="Times New Roman" w:hAnsi="宋体" w:cs="Times New Roman"/>
          <w:sz w:val="24"/>
        </w:rPr>
      </w:pPr>
      <w:r>
        <w:rPr>
          <w:rFonts w:ascii="Times New Roman" w:hAnsi="宋体" w:cs="Times New Roman"/>
          <w:sz w:val="24"/>
        </w:rPr>
        <w:t>1.</w:t>
      </w:r>
      <w:r>
        <w:rPr>
          <w:rFonts w:hint="eastAsia" w:ascii="Times New Roman" w:hAnsi="宋体" w:cs="宋体"/>
          <w:sz w:val="24"/>
        </w:rPr>
        <w:t>在合同有效期内，任何一方因不可抗力事件导致不能履行合同，则合同履行期可延长，其延长期与不可抗力影响期相同。</w:t>
      </w:r>
    </w:p>
    <w:p w14:paraId="07675734">
      <w:pPr>
        <w:spacing w:line="400" w:lineRule="exact"/>
        <w:ind w:firstLine="480" w:firstLineChars="200"/>
        <w:rPr>
          <w:rFonts w:ascii="Times New Roman" w:hAnsi="宋体" w:cs="Times New Roman"/>
          <w:sz w:val="24"/>
        </w:rPr>
      </w:pPr>
      <w:r>
        <w:rPr>
          <w:rFonts w:ascii="Times New Roman" w:hAnsi="宋体" w:cs="Times New Roman"/>
          <w:sz w:val="24"/>
        </w:rPr>
        <w:t>2.</w:t>
      </w:r>
      <w:r>
        <w:rPr>
          <w:rFonts w:hint="eastAsia" w:ascii="Times New Roman" w:hAnsi="宋体" w:cs="宋体"/>
          <w:sz w:val="24"/>
        </w:rPr>
        <w:t>不可抗力事件发生后，遭遇不可抗力事件的一方应立即书面通知对方，并寄送有关权威机构出具发生不可抗力事件的证明。</w:t>
      </w:r>
    </w:p>
    <w:p w14:paraId="77946D9E">
      <w:pPr>
        <w:spacing w:line="400" w:lineRule="exact"/>
        <w:ind w:firstLine="480" w:firstLineChars="200"/>
        <w:rPr>
          <w:rFonts w:ascii="宋体" w:hAnsi="Times New Roman" w:cs="Times New Roman"/>
          <w:sz w:val="24"/>
        </w:rPr>
      </w:pPr>
      <w:r>
        <w:rPr>
          <w:rFonts w:ascii="宋体" w:hAnsi="宋体" w:cs="宋体"/>
          <w:sz w:val="24"/>
        </w:rPr>
        <w:t>3</w:t>
      </w:r>
      <w:r>
        <w:rPr>
          <w:rFonts w:ascii="宋体" w:hAnsi="Times New Roman" w:cs="宋体"/>
          <w:sz w:val="24"/>
        </w:rPr>
        <w:t>.</w:t>
      </w:r>
      <w:r>
        <w:rPr>
          <w:rFonts w:hint="eastAsia" w:ascii="宋体" w:hAnsi="宋体" w:cs="宋体"/>
          <w:sz w:val="24"/>
        </w:rPr>
        <w:t>不可抗力事件延续一百二十天以上，双方应通过友好协商，确定是否继续履行合同。</w:t>
      </w:r>
    </w:p>
    <w:p w14:paraId="58BC0C96">
      <w:pPr>
        <w:spacing w:line="400" w:lineRule="exact"/>
        <w:ind w:firstLine="482" w:firstLineChars="200"/>
        <w:rPr>
          <w:rFonts w:ascii="Times New Roman" w:hAnsi="宋体" w:cs="Times New Roman"/>
          <w:b/>
          <w:bCs/>
          <w:sz w:val="24"/>
        </w:rPr>
      </w:pPr>
      <w:r>
        <w:rPr>
          <w:rFonts w:hint="eastAsia" w:ascii="Times New Roman" w:hAnsi="宋体" w:cs="宋体"/>
          <w:b/>
          <w:bCs/>
          <w:sz w:val="24"/>
        </w:rPr>
        <w:t>第十四条</w:t>
      </w:r>
      <w:r>
        <w:rPr>
          <w:rFonts w:ascii="Times New Roman" w:hAnsi="宋体" w:cs="Times New Roman"/>
          <w:b/>
          <w:bCs/>
          <w:sz w:val="24"/>
        </w:rPr>
        <w:t xml:space="preserve">  </w:t>
      </w:r>
      <w:r>
        <w:rPr>
          <w:rFonts w:hint="eastAsia" w:ascii="Times New Roman" w:hAnsi="宋体" w:cs="宋体"/>
          <w:b/>
          <w:bCs/>
          <w:sz w:val="24"/>
        </w:rPr>
        <w:t>合同争议解决</w:t>
      </w:r>
    </w:p>
    <w:p w14:paraId="187DD1A3">
      <w:pPr>
        <w:spacing w:line="400" w:lineRule="exact"/>
        <w:ind w:firstLine="480" w:firstLineChars="200"/>
        <w:rPr>
          <w:rFonts w:ascii="宋体" w:hAnsi="Times New Roman" w:cs="Times New Roman"/>
          <w:sz w:val="24"/>
        </w:rPr>
      </w:pPr>
      <w:r>
        <w:rPr>
          <w:rFonts w:ascii="宋体" w:hAnsi="宋体" w:cs="宋体"/>
          <w:sz w:val="24"/>
        </w:rPr>
        <w:t>1.</w:t>
      </w:r>
      <w:r>
        <w:rPr>
          <w:rFonts w:hint="eastAsia" w:ascii="宋体" w:hAnsi="宋体" w:cs="宋体"/>
          <w:sz w:val="24"/>
        </w:rPr>
        <w:t>因货物质量问题发生争议的，应邀请国家认可有资质的质量检测机构对货物质量进行鉴定，货物质量符合合格标准的，鉴定费由甲方承担；货物质量不符合合格标准的，鉴定费由乙方承担。</w:t>
      </w:r>
    </w:p>
    <w:p w14:paraId="054DDE28">
      <w:pPr>
        <w:spacing w:line="400" w:lineRule="exact"/>
        <w:ind w:firstLine="480" w:firstLineChars="200"/>
        <w:rPr>
          <w:rFonts w:ascii="宋体" w:hAnsi="Times New Roman" w:cs="Times New Roman"/>
          <w:sz w:val="24"/>
        </w:rPr>
      </w:pPr>
      <w:r>
        <w:rPr>
          <w:rFonts w:ascii="宋体" w:hAnsi="宋体" w:cs="宋体"/>
          <w:sz w:val="24"/>
        </w:rPr>
        <w:t>2.</w:t>
      </w:r>
      <w:r>
        <w:rPr>
          <w:rFonts w:hint="eastAsia" w:ascii="宋体" w:hAnsi="宋体" w:cs="宋体"/>
          <w:sz w:val="24"/>
        </w:rPr>
        <w:t>因履行本合同引起的或与本合同有关的争议，甲、乙双方应首先通过友好协商解决，如果协商不能解决，任何一方均可向河池市金城江区人民法院提起诉讼。</w:t>
      </w:r>
    </w:p>
    <w:p w14:paraId="7A6CE539">
      <w:pPr>
        <w:spacing w:line="400" w:lineRule="exact"/>
        <w:ind w:firstLine="480" w:firstLineChars="200"/>
        <w:rPr>
          <w:rFonts w:ascii="Times New Roman" w:hAnsi="宋体" w:cs="Times New Roman"/>
          <w:b/>
          <w:bCs/>
          <w:sz w:val="24"/>
        </w:rPr>
      </w:pPr>
      <w:r>
        <w:rPr>
          <w:rFonts w:ascii="宋体" w:hAnsi="宋体" w:cs="宋体"/>
          <w:sz w:val="24"/>
        </w:rPr>
        <w:t>3.</w:t>
      </w:r>
      <w:r>
        <w:rPr>
          <w:rFonts w:hint="eastAsia" w:ascii="宋体" w:hAnsi="宋体" w:cs="宋体"/>
          <w:sz w:val="24"/>
        </w:rPr>
        <w:t>诉讼期间，本合同继续履行。</w:t>
      </w:r>
    </w:p>
    <w:p w14:paraId="78EAB268">
      <w:pPr>
        <w:spacing w:line="400" w:lineRule="exact"/>
        <w:ind w:firstLine="482" w:firstLineChars="200"/>
        <w:rPr>
          <w:rFonts w:ascii="Times New Roman" w:hAnsi="宋体" w:cs="Times New Roman"/>
          <w:b/>
          <w:bCs/>
          <w:sz w:val="24"/>
        </w:rPr>
      </w:pPr>
      <w:r>
        <w:rPr>
          <w:rFonts w:hint="eastAsia" w:ascii="Times New Roman" w:hAnsi="宋体" w:cs="宋体"/>
          <w:b/>
          <w:bCs/>
          <w:sz w:val="24"/>
        </w:rPr>
        <w:t>第十五条</w:t>
      </w:r>
      <w:r>
        <w:rPr>
          <w:rFonts w:ascii="Times New Roman" w:hAnsi="宋体" w:cs="Times New Roman"/>
          <w:b/>
          <w:bCs/>
          <w:sz w:val="24"/>
        </w:rPr>
        <w:t xml:space="preserve">  </w:t>
      </w:r>
      <w:r>
        <w:rPr>
          <w:rFonts w:hint="eastAsia" w:ascii="Times New Roman" w:hAnsi="宋体" w:cs="宋体"/>
          <w:b/>
          <w:bCs/>
          <w:sz w:val="24"/>
        </w:rPr>
        <w:t>合同的修订补充</w:t>
      </w:r>
    </w:p>
    <w:p w14:paraId="7C0084FB">
      <w:pPr>
        <w:spacing w:line="400" w:lineRule="exact"/>
        <w:ind w:firstLine="480" w:firstLineChars="200"/>
        <w:rPr>
          <w:rFonts w:ascii="Times New Roman" w:hAnsi="宋体" w:cs="Times New Roman"/>
          <w:sz w:val="24"/>
        </w:rPr>
      </w:pPr>
      <w:r>
        <w:rPr>
          <w:rFonts w:ascii="Times New Roman" w:hAnsi="宋体" w:cs="Times New Roman"/>
          <w:sz w:val="24"/>
        </w:rPr>
        <w:t>1.</w:t>
      </w:r>
      <w:r>
        <w:rPr>
          <w:rFonts w:hint="eastAsia" w:ascii="Times New Roman" w:hAnsi="宋体" w:cs="宋体"/>
          <w:sz w:val="24"/>
        </w:rPr>
        <w:t>合同履行中涉及采购资金或者采购内容修改或补充的，须经甲方同级财政部门审批，并签订书面补充协议报</w:t>
      </w:r>
      <w:r>
        <w:rPr>
          <w:rFonts w:hint="eastAsia" w:ascii="宋体" w:hAnsi="宋体" w:cs="宋体"/>
          <w:sz w:val="24"/>
        </w:rPr>
        <w:t>甲方</w:t>
      </w:r>
      <w:r>
        <w:rPr>
          <w:rFonts w:hint="eastAsia" w:ascii="Times New Roman" w:hAnsi="宋体" w:cs="宋体"/>
          <w:sz w:val="24"/>
        </w:rPr>
        <w:t>同级财政部门备案，补充协议作为主合同不可分割的一部分；</w:t>
      </w:r>
    </w:p>
    <w:p w14:paraId="6317A350">
      <w:pPr>
        <w:spacing w:line="400" w:lineRule="exact"/>
        <w:ind w:firstLine="480" w:firstLineChars="200"/>
        <w:rPr>
          <w:rFonts w:ascii="宋体" w:hAnsi="Times New Roman" w:cs="Times New Roman"/>
          <w:sz w:val="24"/>
        </w:rPr>
      </w:pPr>
      <w:r>
        <w:rPr>
          <w:rFonts w:ascii="宋体" w:hAnsi="宋体" w:cs="宋体"/>
          <w:sz w:val="24"/>
        </w:rPr>
        <w:t>2.</w:t>
      </w:r>
      <w:r>
        <w:rPr>
          <w:rFonts w:hint="eastAsia" w:ascii="宋体" w:hAnsi="宋体" w:cs="宋体"/>
          <w:sz w:val="24"/>
        </w:rPr>
        <w:t>本合同未尽事宜，遵照《中华人民共和国政府采购法》和《中华人民共和国民法典》等有关规定执行。</w:t>
      </w:r>
    </w:p>
    <w:p w14:paraId="0FBE499C">
      <w:pPr>
        <w:spacing w:line="400" w:lineRule="exact"/>
        <w:ind w:firstLine="482" w:firstLineChars="200"/>
        <w:rPr>
          <w:rFonts w:ascii="Times New Roman" w:hAnsi="宋体" w:cs="Times New Roman"/>
          <w:b/>
          <w:bCs/>
          <w:sz w:val="28"/>
          <w:szCs w:val="28"/>
        </w:rPr>
      </w:pPr>
      <w:r>
        <w:rPr>
          <w:rFonts w:hint="eastAsia" w:ascii="Times New Roman" w:hAnsi="宋体" w:cs="宋体"/>
          <w:b/>
          <w:bCs/>
          <w:sz w:val="24"/>
        </w:rPr>
        <w:t>第十六条</w:t>
      </w:r>
      <w:r>
        <w:rPr>
          <w:rFonts w:ascii="Times New Roman" w:hAnsi="宋体" w:cs="Times New Roman"/>
          <w:b/>
          <w:bCs/>
          <w:sz w:val="24"/>
        </w:rPr>
        <w:t xml:space="preserve">  </w:t>
      </w:r>
      <w:r>
        <w:rPr>
          <w:rFonts w:hint="eastAsia" w:ascii="Times New Roman" w:hAnsi="宋体" w:cs="宋体"/>
          <w:b/>
          <w:bCs/>
          <w:sz w:val="24"/>
        </w:rPr>
        <w:t>合同的变更、终止与转让</w:t>
      </w:r>
    </w:p>
    <w:p w14:paraId="053B8FA7">
      <w:pPr>
        <w:spacing w:line="400" w:lineRule="exact"/>
        <w:ind w:firstLine="480" w:firstLineChars="200"/>
        <w:rPr>
          <w:rFonts w:ascii="Times New Roman" w:hAnsi="宋体" w:cs="Times New Roman"/>
          <w:sz w:val="24"/>
        </w:rPr>
      </w:pPr>
      <w:r>
        <w:rPr>
          <w:rFonts w:ascii="Times New Roman" w:hAnsi="宋体" w:cs="Times New Roman"/>
          <w:sz w:val="24"/>
        </w:rPr>
        <w:t>1.</w:t>
      </w:r>
      <w:r>
        <w:rPr>
          <w:rFonts w:hint="eastAsia" w:ascii="Times New Roman" w:hAnsi="宋体" w:cs="宋体"/>
          <w:sz w:val="24"/>
        </w:rPr>
        <w:t>除《中华人民共和国政府采购法》第五十条规定的情形外，本合同一经签订，甲乙双方不得擅自变更、中止、解除或终止。</w:t>
      </w:r>
    </w:p>
    <w:p w14:paraId="0678E391">
      <w:pPr>
        <w:spacing w:line="400" w:lineRule="exact"/>
        <w:ind w:firstLine="480" w:firstLineChars="200"/>
        <w:rPr>
          <w:rFonts w:ascii="Times New Roman" w:hAnsi="Times New Roman" w:cs="Times New Roman"/>
          <w:sz w:val="24"/>
        </w:rPr>
      </w:pPr>
      <w:r>
        <w:rPr>
          <w:rFonts w:ascii="Times New Roman" w:hAnsi="宋体" w:cs="Times New Roman"/>
          <w:sz w:val="24"/>
        </w:rPr>
        <w:t>2.</w:t>
      </w:r>
      <w:r>
        <w:rPr>
          <w:rFonts w:hint="eastAsia" w:ascii="Times New Roman" w:hAnsi="宋体" w:cs="宋体"/>
          <w:sz w:val="24"/>
        </w:rPr>
        <w:t>乙方不得擅自转让其应履行的合同义务（无进口资格的供应商委托进口货物除外）。</w:t>
      </w:r>
    </w:p>
    <w:p w14:paraId="1D6371E7">
      <w:pPr>
        <w:spacing w:line="400" w:lineRule="exact"/>
        <w:ind w:firstLine="482" w:firstLineChars="200"/>
        <w:rPr>
          <w:rFonts w:ascii="Times New Roman" w:hAnsi="宋体" w:cs="Times New Roman"/>
          <w:b/>
          <w:bCs/>
          <w:sz w:val="24"/>
        </w:rPr>
      </w:pPr>
      <w:r>
        <w:rPr>
          <w:rFonts w:hint="eastAsia" w:ascii="Times New Roman" w:hAnsi="宋体" w:cs="宋体"/>
          <w:b/>
          <w:bCs/>
          <w:sz w:val="24"/>
        </w:rPr>
        <w:t>第十七条</w:t>
      </w:r>
      <w:r>
        <w:rPr>
          <w:rFonts w:ascii="Times New Roman" w:hAnsi="宋体" w:cs="Times New Roman"/>
          <w:b/>
          <w:bCs/>
          <w:sz w:val="24"/>
        </w:rPr>
        <w:t xml:space="preserve"> </w:t>
      </w:r>
      <w:r>
        <w:rPr>
          <w:rFonts w:hint="eastAsia" w:ascii="Times New Roman" w:hAnsi="宋体" w:cs="宋体"/>
          <w:b/>
          <w:bCs/>
          <w:sz w:val="24"/>
        </w:rPr>
        <w:t>信息系统对接要求</w:t>
      </w:r>
    </w:p>
    <w:p w14:paraId="3225EDFF">
      <w:pPr>
        <w:spacing w:line="400" w:lineRule="exact"/>
        <w:ind w:firstLine="480" w:firstLineChars="200"/>
        <w:rPr>
          <w:rFonts w:ascii="Times New Roman" w:hAnsi="Times New Roman" w:cs="Times New Roman"/>
          <w:sz w:val="24"/>
        </w:rPr>
      </w:pPr>
      <w:r>
        <w:rPr>
          <w:rFonts w:hint="eastAsia" w:ascii="Times New Roman" w:hAnsi="Times New Roman" w:cs="宋体"/>
          <w:sz w:val="24"/>
        </w:rPr>
        <w:t>如有需要，医疗设备进入甲方医院时需符合甲方医院信息化建设要求的数据标准规范。根据业务需要，乙方需无偿实现通过数据接口接入甲方医院系统平台（不限于接口程序改造）；同时，乙方应无偿提供数据接口标准，并配合完成甲方医院相关系统数据接口交互（包括但不限于接口程序改造），最终实现与甲方医院相关系统数据互联互通，作为验收内容之一。</w:t>
      </w:r>
    </w:p>
    <w:p w14:paraId="4EEA1290">
      <w:pPr>
        <w:spacing w:line="400" w:lineRule="exact"/>
        <w:ind w:firstLine="482" w:firstLineChars="200"/>
        <w:rPr>
          <w:rFonts w:ascii="Times New Roman" w:hAnsi="宋体" w:cs="Times New Roman"/>
          <w:b/>
          <w:bCs/>
          <w:sz w:val="24"/>
        </w:rPr>
      </w:pPr>
      <w:r>
        <w:rPr>
          <w:rFonts w:hint="eastAsia" w:ascii="Times New Roman" w:hAnsi="宋体" w:cs="宋体"/>
          <w:b/>
          <w:bCs/>
          <w:sz w:val="24"/>
        </w:rPr>
        <w:t>第十八条</w:t>
      </w:r>
      <w:r>
        <w:rPr>
          <w:rFonts w:ascii="Times New Roman" w:hAnsi="宋体" w:cs="Times New Roman"/>
          <w:b/>
          <w:bCs/>
          <w:sz w:val="24"/>
        </w:rPr>
        <w:t xml:space="preserve">  </w:t>
      </w:r>
      <w:r>
        <w:rPr>
          <w:rFonts w:hint="eastAsia" w:ascii="Times New Roman" w:hAnsi="宋体" w:cs="宋体"/>
          <w:b/>
          <w:bCs/>
          <w:sz w:val="24"/>
        </w:rPr>
        <w:t>签订本合同依据</w:t>
      </w:r>
    </w:p>
    <w:p w14:paraId="127B9860">
      <w:pPr>
        <w:spacing w:line="400" w:lineRule="exact"/>
        <w:ind w:firstLine="480" w:firstLineChars="200"/>
        <w:rPr>
          <w:rFonts w:ascii="Times New Roman" w:hAnsi="宋体" w:cs="Times New Roman"/>
          <w:sz w:val="24"/>
        </w:rPr>
      </w:pPr>
      <w:r>
        <w:rPr>
          <w:rFonts w:ascii="Times New Roman" w:hAnsi="宋体" w:cs="Times New Roman"/>
          <w:sz w:val="24"/>
        </w:rPr>
        <w:t>1.</w:t>
      </w:r>
      <w:r>
        <w:rPr>
          <w:rFonts w:hint="eastAsia" w:ascii="Times New Roman" w:hAnsi="宋体" w:cs="宋体"/>
          <w:sz w:val="24"/>
        </w:rPr>
        <w:t>政府采购招标文件；</w:t>
      </w:r>
    </w:p>
    <w:p w14:paraId="65D572EB">
      <w:pPr>
        <w:spacing w:line="400" w:lineRule="exact"/>
        <w:ind w:firstLine="480" w:firstLineChars="200"/>
        <w:rPr>
          <w:rFonts w:ascii="Times New Roman" w:hAnsi="宋体" w:cs="Times New Roman"/>
          <w:sz w:val="24"/>
        </w:rPr>
      </w:pPr>
      <w:r>
        <w:rPr>
          <w:rFonts w:ascii="Times New Roman" w:hAnsi="宋体" w:cs="Times New Roman"/>
          <w:sz w:val="24"/>
        </w:rPr>
        <w:t>2.</w:t>
      </w:r>
      <w:r>
        <w:rPr>
          <w:rFonts w:hint="eastAsia" w:ascii="Times New Roman" w:hAnsi="宋体" w:cs="宋体"/>
          <w:sz w:val="24"/>
        </w:rPr>
        <w:t>乙方提供的</w:t>
      </w:r>
      <w:r>
        <w:rPr>
          <w:rFonts w:hint="eastAsia" w:ascii="Times New Roman" w:hAnsi="宋体" w:cs="宋体"/>
          <w:sz w:val="24"/>
          <w:lang w:val="en-US" w:eastAsia="zh-CN"/>
        </w:rPr>
        <w:t>响应</w:t>
      </w:r>
      <w:r>
        <w:rPr>
          <w:rFonts w:hint="eastAsia" w:ascii="Times New Roman" w:hAnsi="宋体" w:cs="宋体"/>
          <w:sz w:val="24"/>
        </w:rPr>
        <w:t>文件；</w:t>
      </w:r>
    </w:p>
    <w:p w14:paraId="062C1C29">
      <w:pPr>
        <w:spacing w:line="400" w:lineRule="exact"/>
        <w:ind w:firstLine="480" w:firstLineChars="200"/>
        <w:rPr>
          <w:rFonts w:ascii="宋体" w:hAnsi="Times New Roman" w:cs="Times New Roman"/>
          <w:sz w:val="24"/>
        </w:rPr>
      </w:pPr>
      <w:r>
        <w:rPr>
          <w:rFonts w:ascii="宋体" w:hAnsi="宋体" w:cs="宋体"/>
          <w:sz w:val="24"/>
        </w:rPr>
        <w:t>3</w:t>
      </w:r>
      <w:r>
        <w:rPr>
          <w:rFonts w:ascii="宋体" w:hAnsi="Times New Roman" w:cs="宋体"/>
          <w:sz w:val="24"/>
        </w:rPr>
        <w:t>.</w:t>
      </w:r>
      <w:r>
        <w:rPr>
          <w:rFonts w:hint="eastAsia" w:ascii="宋体" w:hAnsi="Times New Roman" w:cs="宋体"/>
          <w:sz w:val="24"/>
          <w:lang w:val="en-US" w:eastAsia="zh-CN"/>
        </w:rPr>
        <w:t>响应</w:t>
      </w:r>
      <w:r>
        <w:rPr>
          <w:rFonts w:hint="eastAsia" w:ascii="宋体" w:hAnsi="宋体" w:cs="宋体"/>
          <w:sz w:val="24"/>
        </w:rPr>
        <w:t>承诺书；</w:t>
      </w:r>
    </w:p>
    <w:p w14:paraId="3A5406EB">
      <w:pPr>
        <w:spacing w:line="400" w:lineRule="exact"/>
        <w:ind w:firstLine="480" w:firstLineChars="200"/>
        <w:rPr>
          <w:rFonts w:ascii="宋体" w:hAnsi="Times New Roman" w:cs="Times New Roman"/>
          <w:sz w:val="24"/>
        </w:rPr>
      </w:pPr>
      <w:r>
        <w:rPr>
          <w:rFonts w:ascii="宋体" w:hAnsi="宋体" w:cs="宋体"/>
          <w:sz w:val="24"/>
        </w:rPr>
        <w:t>4</w:t>
      </w:r>
      <w:r>
        <w:rPr>
          <w:rFonts w:ascii="宋体" w:hAnsi="Times New Roman" w:cs="宋体"/>
          <w:sz w:val="24"/>
        </w:rPr>
        <w:t>.</w:t>
      </w:r>
      <w:r>
        <w:rPr>
          <w:rFonts w:hint="eastAsia" w:ascii="宋体" w:hAnsi="Times New Roman" w:cs="宋体"/>
          <w:sz w:val="24"/>
          <w:lang w:val="en-US" w:eastAsia="zh-CN"/>
        </w:rPr>
        <w:t>成交</w:t>
      </w:r>
      <w:r>
        <w:rPr>
          <w:rFonts w:hint="eastAsia" w:ascii="宋体" w:hAnsi="宋体" w:cs="宋体"/>
          <w:sz w:val="24"/>
        </w:rPr>
        <w:t>通知书。</w:t>
      </w:r>
    </w:p>
    <w:p w14:paraId="4E1CC256">
      <w:pPr>
        <w:spacing w:line="400" w:lineRule="exact"/>
        <w:ind w:firstLine="482" w:firstLineChars="200"/>
        <w:rPr>
          <w:rFonts w:ascii="Times New Roman" w:hAnsi="Times New Roman" w:cs="Times New Roman"/>
          <w:b/>
          <w:bCs/>
          <w:sz w:val="24"/>
        </w:rPr>
      </w:pPr>
      <w:r>
        <w:rPr>
          <w:rFonts w:hint="eastAsia" w:ascii="Times New Roman" w:hAnsi="宋体" w:cs="宋体"/>
          <w:b/>
          <w:bCs/>
          <w:sz w:val="24"/>
        </w:rPr>
        <w:t>第十九条</w:t>
      </w:r>
      <w:r>
        <w:rPr>
          <w:rFonts w:ascii="Times New Roman" w:hAnsi="宋体" w:cs="Times New Roman"/>
          <w:b/>
          <w:bCs/>
          <w:sz w:val="24"/>
        </w:rPr>
        <w:t xml:space="preserve">  </w:t>
      </w:r>
      <w:r>
        <w:rPr>
          <w:rFonts w:hint="eastAsia" w:ascii="Times New Roman" w:hAnsi="宋体" w:cs="宋体"/>
          <w:b/>
          <w:bCs/>
          <w:sz w:val="24"/>
        </w:rPr>
        <w:t>合同生效及其它</w:t>
      </w:r>
    </w:p>
    <w:p w14:paraId="14F8B572">
      <w:pPr>
        <w:spacing w:line="400" w:lineRule="exact"/>
        <w:ind w:firstLine="480" w:firstLineChars="200"/>
        <w:rPr>
          <w:rFonts w:ascii="宋体" w:hAnsi="Times New Roman" w:cs="Times New Roman"/>
          <w:sz w:val="24"/>
        </w:rPr>
      </w:pPr>
      <w:r>
        <w:rPr>
          <w:rFonts w:ascii="宋体" w:hAnsi="宋体" w:cs="宋体"/>
          <w:sz w:val="24"/>
        </w:rPr>
        <w:t>1</w:t>
      </w:r>
      <w:r>
        <w:rPr>
          <w:rFonts w:ascii="宋体" w:hAnsi="Times New Roman" w:cs="宋体"/>
          <w:sz w:val="24"/>
        </w:rPr>
        <w:t>.</w:t>
      </w:r>
      <w:r>
        <w:rPr>
          <w:rFonts w:ascii="宋体" w:hAnsi="宋体" w:cs="宋体"/>
          <w:sz w:val="24"/>
        </w:rPr>
        <w:t xml:space="preserve"> </w:t>
      </w:r>
      <w:r>
        <w:rPr>
          <w:rFonts w:hint="eastAsia" w:ascii="宋体" w:hAnsi="宋体" w:cs="宋体"/>
          <w:sz w:val="24"/>
        </w:rPr>
        <w:t>双方一致确认本合同与附件</w:t>
      </w:r>
      <w:r>
        <w:rPr>
          <w:rFonts w:ascii="宋体" w:hAnsi="宋体" w:cs="宋体"/>
          <w:sz w:val="24"/>
        </w:rPr>
        <w:t>1</w:t>
      </w:r>
      <w:r>
        <w:rPr>
          <w:rFonts w:hint="eastAsia" w:ascii="宋体" w:hAnsi="宋体" w:cs="宋体"/>
          <w:sz w:val="24"/>
        </w:rPr>
        <w:t>：《河池市人民医院购销廉洁公约》、附件</w:t>
      </w:r>
      <w:r>
        <w:rPr>
          <w:rFonts w:ascii="宋体" w:hAnsi="宋体" w:cs="宋体"/>
          <w:sz w:val="24"/>
        </w:rPr>
        <w:t>2</w:t>
      </w:r>
      <w:r>
        <w:rPr>
          <w:rFonts w:hint="eastAsia" w:ascii="宋体" w:hAnsi="宋体" w:cs="宋体"/>
          <w:sz w:val="24"/>
        </w:rPr>
        <w:t>：《</w:t>
      </w:r>
      <w:r>
        <w:rPr>
          <w:rFonts w:hint="eastAsia" w:ascii="宋体" w:hAnsi="宋体" w:cs="宋体"/>
          <w:sz w:val="24"/>
          <w:lang w:val="en-US" w:eastAsia="zh-CN"/>
        </w:rPr>
        <w:t>成交</w:t>
      </w:r>
      <w:r>
        <w:rPr>
          <w:rFonts w:hint="eastAsia" w:ascii="宋体" w:hAnsi="宋体" w:cs="宋体"/>
          <w:sz w:val="24"/>
        </w:rPr>
        <w:t>通知书》、附件</w:t>
      </w:r>
      <w:r>
        <w:rPr>
          <w:rFonts w:ascii="宋体" w:hAnsi="宋体" w:cs="宋体"/>
          <w:sz w:val="24"/>
        </w:rPr>
        <w:t>3</w:t>
      </w:r>
      <w:r>
        <w:rPr>
          <w:rFonts w:hint="eastAsia" w:ascii="宋体" w:hAnsi="宋体" w:cs="宋体"/>
          <w:sz w:val="24"/>
        </w:rPr>
        <w:t>：《技术响应表、商务</w:t>
      </w:r>
      <w:r>
        <w:rPr>
          <w:rFonts w:hint="eastAsia" w:ascii="宋体" w:hAnsi="宋体" w:cs="宋体"/>
          <w:sz w:val="24"/>
          <w:lang w:val="en-US" w:eastAsia="zh-CN"/>
        </w:rPr>
        <w:t>条款响应</w:t>
      </w:r>
      <w:r>
        <w:rPr>
          <w:rFonts w:hint="eastAsia" w:ascii="宋体" w:hAnsi="宋体" w:cs="宋体"/>
          <w:sz w:val="24"/>
        </w:rPr>
        <w:t>表》、附件</w:t>
      </w:r>
      <w:r>
        <w:rPr>
          <w:rFonts w:ascii="宋体" w:hAnsi="宋体" w:cs="宋体"/>
          <w:sz w:val="24"/>
        </w:rPr>
        <w:t>4</w:t>
      </w:r>
      <w:r>
        <w:rPr>
          <w:rFonts w:hint="eastAsia" w:ascii="宋体" w:hAnsi="宋体" w:cs="宋体"/>
          <w:sz w:val="24"/>
        </w:rPr>
        <w:t>：《设备配置清单》一起构成合同文书，具有与本合同同等的法律效力。</w:t>
      </w:r>
      <w:r>
        <w:rPr>
          <w:rFonts w:ascii="宋体" w:hAnsi="宋体" w:cs="宋体"/>
          <w:sz w:val="24"/>
        </w:rPr>
        <w:t xml:space="preserve"> </w:t>
      </w:r>
    </w:p>
    <w:p w14:paraId="6B8A8CF6">
      <w:pPr>
        <w:spacing w:line="400" w:lineRule="exact"/>
        <w:ind w:firstLine="480" w:firstLineChars="200"/>
        <w:rPr>
          <w:rFonts w:ascii="宋体" w:hAnsi="Times New Roman" w:cs="Times New Roman"/>
          <w:sz w:val="24"/>
        </w:rPr>
      </w:pPr>
      <w:r>
        <w:rPr>
          <w:rFonts w:ascii="宋体" w:hAnsi="宋体" w:cs="宋体"/>
          <w:sz w:val="24"/>
        </w:rPr>
        <w:t>2</w:t>
      </w:r>
      <w:r>
        <w:rPr>
          <w:rFonts w:ascii="宋体" w:hAnsi="Times New Roman" w:cs="宋体"/>
          <w:sz w:val="24"/>
        </w:rPr>
        <w:t>.</w:t>
      </w:r>
      <w:r>
        <w:rPr>
          <w:rFonts w:hint="eastAsia" w:ascii="宋体" w:hAnsi="宋体" w:cs="宋体"/>
          <w:sz w:val="24"/>
        </w:rPr>
        <w:t>本合同一式五份，甲方执三份，乙方、采购代理机构各执一份。</w:t>
      </w:r>
    </w:p>
    <w:p w14:paraId="2E4A68A7">
      <w:pPr>
        <w:spacing w:line="400" w:lineRule="exact"/>
        <w:ind w:firstLine="480" w:firstLineChars="200"/>
        <w:rPr>
          <w:rFonts w:ascii="宋体" w:hAnsi="Times New Roman" w:cs="Times New Roman"/>
          <w:sz w:val="24"/>
        </w:rPr>
      </w:pPr>
      <w:r>
        <w:rPr>
          <w:rFonts w:ascii="宋体" w:hAnsi="宋体" w:cs="宋体"/>
          <w:sz w:val="24"/>
        </w:rPr>
        <w:t>3.</w:t>
      </w:r>
      <w:r>
        <w:rPr>
          <w:rFonts w:hint="eastAsia" w:ascii="宋体" w:hAnsi="宋体" w:cs="宋体"/>
          <w:sz w:val="24"/>
        </w:rPr>
        <w:t>本合同经甲、乙双方法定代表人或者授权代表签字并加盖合法印章后生效。自签订之日起</w:t>
      </w:r>
      <w:r>
        <w:rPr>
          <w:rFonts w:ascii="宋体" w:hAnsi="宋体" w:cs="宋体"/>
          <w:sz w:val="24"/>
        </w:rPr>
        <w:t>2</w:t>
      </w:r>
      <w:r>
        <w:rPr>
          <w:rFonts w:hint="eastAsia" w:ascii="宋体" w:hAnsi="宋体" w:cs="宋体"/>
          <w:sz w:val="24"/>
        </w:rPr>
        <w:t>个工作日内，甲方或采购代理机构应当将本合同副本报甲方同级财政部门备案。</w:t>
      </w:r>
    </w:p>
    <w:tbl>
      <w:tblPr>
        <w:tblStyle w:val="51"/>
        <w:tblW w:w="95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70"/>
        <w:gridCol w:w="2727"/>
        <w:gridCol w:w="1859"/>
        <w:gridCol w:w="2813"/>
      </w:tblGrid>
      <w:tr w14:paraId="4BFFA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0" w:hRule="atLeast"/>
          <w:jc w:val="center"/>
        </w:trPr>
        <w:tc>
          <w:tcPr>
            <w:tcW w:w="2170" w:type="dxa"/>
            <w:vAlign w:val="center"/>
          </w:tcPr>
          <w:p w14:paraId="709FF8EF">
            <w:pPr>
              <w:spacing w:line="400" w:lineRule="exact"/>
              <w:rPr>
                <w:rFonts w:ascii="Times New Roman" w:hAnsi="宋体" w:cs="Times New Roman"/>
                <w:sz w:val="24"/>
              </w:rPr>
            </w:pPr>
            <w:r>
              <w:rPr>
                <w:rFonts w:hint="eastAsia" w:ascii="Times New Roman" w:hAnsi="宋体" w:cs="宋体"/>
                <w:sz w:val="24"/>
              </w:rPr>
              <w:t>甲方名称（章）：</w:t>
            </w:r>
          </w:p>
        </w:tc>
        <w:tc>
          <w:tcPr>
            <w:tcW w:w="2727" w:type="dxa"/>
            <w:vAlign w:val="center"/>
          </w:tcPr>
          <w:p w14:paraId="23C5B751">
            <w:pPr>
              <w:spacing w:line="400" w:lineRule="exact"/>
              <w:rPr>
                <w:rFonts w:ascii="Times New Roman" w:hAnsi="宋体" w:cs="Times New Roman"/>
                <w:sz w:val="24"/>
              </w:rPr>
            </w:pPr>
            <w:r>
              <w:rPr>
                <w:rFonts w:hint="eastAsia" w:ascii="Times New Roman" w:hAnsi="宋体" w:cs="宋体"/>
                <w:sz w:val="24"/>
              </w:rPr>
              <w:t>河池市人民医院</w:t>
            </w:r>
          </w:p>
        </w:tc>
        <w:tc>
          <w:tcPr>
            <w:tcW w:w="1859" w:type="dxa"/>
            <w:vAlign w:val="center"/>
          </w:tcPr>
          <w:p w14:paraId="3FCD4EB5">
            <w:pPr>
              <w:spacing w:line="400" w:lineRule="exact"/>
              <w:rPr>
                <w:rFonts w:ascii="Times New Roman" w:hAnsi="宋体" w:cs="Times New Roman"/>
                <w:sz w:val="24"/>
              </w:rPr>
            </w:pPr>
            <w:r>
              <w:rPr>
                <w:rFonts w:hint="eastAsia" w:ascii="Times New Roman" w:hAnsi="宋体" w:cs="宋体"/>
                <w:sz w:val="24"/>
              </w:rPr>
              <w:t>乙方名称（章）：</w:t>
            </w:r>
            <w:r>
              <w:rPr>
                <w:rFonts w:ascii="Times New Roman" w:hAnsi="宋体" w:cs="Times New Roman"/>
                <w:sz w:val="24"/>
              </w:rPr>
              <w:t xml:space="preserve"> </w:t>
            </w:r>
          </w:p>
        </w:tc>
        <w:tc>
          <w:tcPr>
            <w:tcW w:w="2813" w:type="dxa"/>
            <w:vAlign w:val="center"/>
          </w:tcPr>
          <w:p w14:paraId="73F3D808">
            <w:pPr>
              <w:spacing w:line="400" w:lineRule="exact"/>
              <w:rPr>
                <w:rFonts w:ascii="Times New Roman" w:hAnsi="宋体" w:cs="Times New Roman"/>
                <w:sz w:val="24"/>
              </w:rPr>
            </w:pPr>
          </w:p>
        </w:tc>
      </w:tr>
      <w:tr w14:paraId="79170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2170" w:type="dxa"/>
            <w:vAlign w:val="center"/>
          </w:tcPr>
          <w:p w14:paraId="3B7F7730">
            <w:pPr>
              <w:spacing w:line="400" w:lineRule="exact"/>
              <w:rPr>
                <w:rFonts w:ascii="Times New Roman" w:hAnsi="宋体" w:cs="Times New Roman"/>
                <w:sz w:val="24"/>
              </w:rPr>
            </w:pPr>
            <w:r>
              <w:rPr>
                <w:rFonts w:hint="eastAsia" w:ascii="Times New Roman" w:hAnsi="宋体" w:cs="宋体"/>
                <w:sz w:val="24"/>
              </w:rPr>
              <w:t>法定代表人：</w:t>
            </w:r>
          </w:p>
        </w:tc>
        <w:tc>
          <w:tcPr>
            <w:tcW w:w="2727" w:type="dxa"/>
            <w:vAlign w:val="center"/>
          </w:tcPr>
          <w:p w14:paraId="34BAC763">
            <w:pPr>
              <w:spacing w:line="400" w:lineRule="exact"/>
              <w:rPr>
                <w:rFonts w:ascii="Times New Roman" w:hAnsi="宋体" w:cs="Times New Roman"/>
                <w:sz w:val="24"/>
              </w:rPr>
            </w:pPr>
          </w:p>
        </w:tc>
        <w:tc>
          <w:tcPr>
            <w:tcW w:w="1859" w:type="dxa"/>
            <w:vAlign w:val="center"/>
          </w:tcPr>
          <w:p w14:paraId="64507A16">
            <w:pPr>
              <w:spacing w:line="400" w:lineRule="exact"/>
              <w:rPr>
                <w:rFonts w:ascii="Times New Roman" w:hAnsi="宋体" w:cs="Times New Roman"/>
                <w:sz w:val="24"/>
              </w:rPr>
            </w:pPr>
            <w:r>
              <w:rPr>
                <w:rFonts w:hint="eastAsia" w:ascii="Times New Roman" w:hAnsi="宋体" w:cs="宋体"/>
                <w:sz w:val="24"/>
              </w:rPr>
              <w:t>法定代表人：</w:t>
            </w:r>
          </w:p>
        </w:tc>
        <w:tc>
          <w:tcPr>
            <w:tcW w:w="2813" w:type="dxa"/>
            <w:vAlign w:val="center"/>
          </w:tcPr>
          <w:p w14:paraId="5608B955">
            <w:pPr>
              <w:spacing w:line="400" w:lineRule="exact"/>
              <w:rPr>
                <w:rFonts w:ascii="Times New Roman" w:hAnsi="宋体" w:cs="Times New Roman"/>
                <w:sz w:val="24"/>
              </w:rPr>
            </w:pPr>
          </w:p>
        </w:tc>
      </w:tr>
      <w:tr w14:paraId="17A8C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1" w:hRule="atLeast"/>
          <w:jc w:val="center"/>
        </w:trPr>
        <w:tc>
          <w:tcPr>
            <w:tcW w:w="2170" w:type="dxa"/>
            <w:vAlign w:val="center"/>
          </w:tcPr>
          <w:p w14:paraId="2DE84606">
            <w:pPr>
              <w:spacing w:line="400" w:lineRule="exact"/>
              <w:rPr>
                <w:rFonts w:ascii="Times New Roman" w:hAnsi="宋体" w:cs="Times New Roman"/>
                <w:sz w:val="24"/>
              </w:rPr>
            </w:pPr>
            <w:r>
              <w:rPr>
                <w:rFonts w:hint="eastAsia" w:ascii="Times New Roman" w:hAnsi="宋体" w:cs="宋体"/>
                <w:sz w:val="24"/>
              </w:rPr>
              <w:t>委托代理人：</w:t>
            </w:r>
          </w:p>
        </w:tc>
        <w:tc>
          <w:tcPr>
            <w:tcW w:w="2727" w:type="dxa"/>
            <w:vAlign w:val="center"/>
          </w:tcPr>
          <w:p w14:paraId="31588556">
            <w:pPr>
              <w:spacing w:line="400" w:lineRule="exact"/>
              <w:rPr>
                <w:rFonts w:ascii="Times New Roman" w:hAnsi="宋体" w:cs="Times New Roman"/>
                <w:sz w:val="24"/>
              </w:rPr>
            </w:pPr>
          </w:p>
        </w:tc>
        <w:tc>
          <w:tcPr>
            <w:tcW w:w="1859" w:type="dxa"/>
            <w:vAlign w:val="center"/>
          </w:tcPr>
          <w:p w14:paraId="414C957C">
            <w:pPr>
              <w:spacing w:line="400" w:lineRule="exact"/>
              <w:rPr>
                <w:rFonts w:ascii="Times New Roman" w:hAnsi="宋体" w:cs="Times New Roman"/>
                <w:sz w:val="24"/>
              </w:rPr>
            </w:pPr>
            <w:r>
              <w:rPr>
                <w:rFonts w:hint="eastAsia" w:ascii="Times New Roman" w:hAnsi="宋体" w:cs="宋体"/>
                <w:sz w:val="24"/>
              </w:rPr>
              <w:t>委托代理人：</w:t>
            </w:r>
          </w:p>
        </w:tc>
        <w:tc>
          <w:tcPr>
            <w:tcW w:w="2813" w:type="dxa"/>
            <w:vAlign w:val="center"/>
          </w:tcPr>
          <w:p w14:paraId="54E84532">
            <w:pPr>
              <w:spacing w:line="400" w:lineRule="exact"/>
              <w:rPr>
                <w:rFonts w:ascii="Times New Roman" w:hAnsi="宋体" w:cs="Times New Roman"/>
                <w:sz w:val="24"/>
              </w:rPr>
            </w:pPr>
          </w:p>
        </w:tc>
      </w:tr>
      <w:tr w14:paraId="31302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0" w:type="dxa"/>
          </w:tcPr>
          <w:p w14:paraId="450D28C8">
            <w:pPr>
              <w:spacing w:line="420" w:lineRule="exact"/>
              <w:rPr>
                <w:rFonts w:ascii="Times New Roman" w:hAnsi="宋体" w:cs="Times New Roman"/>
                <w:sz w:val="24"/>
              </w:rPr>
            </w:pPr>
            <w:r>
              <w:rPr>
                <w:rFonts w:hint="eastAsia" w:ascii="Times New Roman" w:hAnsi="宋体" w:cs="宋体"/>
                <w:sz w:val="24"/>
              </w:rPr>
              <w:t>签订日期：</w:t>
            </w:r>
          </w:p>
        </w:tc>
        <w:tc>
          <w:tcPr>
            <w:tcW w:w="2727" w:type="dxa"/>
          </w:tcPr>
          <w:p w14:paraId="54B0E6C7">
            <w:pPr>
              <w:spacing w:line="420" w:lineRule="exact"/>
              <w:rPr>
                <w:rFonts w:ascii="Times New Roman" w:hAnsi="宋体" w:cs="Times New Roman"/>
                <w:sz w:val="24"/>
              </w:rPr>
            </w:pPr>
            <w:r>
              <w:rPr>
                <w:rFonts w:ascii="Times New Roman" w:hAnsi="宋体" w:cs="Times New Roman"/>
                <w:sz w:val="24"/>
              </w:rPr>
              <w:t xml:space="preserve">        </w:t>
            </w:r>
            <w:r>
              <w:rPr>
                <w:rFonts w:hint="eastAsia" w:ascii="Times New Roman" w:hAnsi="宋体" w:cs="宋体"/>
                <w:sz w:val="24"/>
              </w:rPr>
              <w:t>年</w:t>
            </w:r>
            <w:r>
              <w:rPr>
                <w:rFonts w:ascii="Times New Roman" w:hAnsi="宋体" w:cs="Times New Roman"/>
                <w:sz w:val="24"/>
              </w:rPr>
              <w:t xml:space="preserve">   </w:t>
            </w:r>
            <w:r>
              <w:rPr>
                <w:rFonts w:hint="eastAsia" w:ascii="Times New Roman" w:hAnsi="宋体" w:cs="宋体"/>
                <w:sz w:val="24"/>
              </w:rPr>
              <w:t>月</w:t>
            </w:r>
            <w:r>
              <w:rPr>
                <w:rFonts w:ascii="Times New Roman" w:hAnsi="宋体" w:cs="Times New Roman"/>
                <w:sz w:val="24"/>
              </w:rPr>
              <w:t xml:space="preserve">   </w:t>
            </w:r>
            <w:r>
              <w:rPr>
                <w:rFonts w:hint="eastAsia" w:ascii="Times New Roman" w:hAnsi="宋体" w:cs="宋体"/>
                <w:sz w:val="24"/>
              </w:rPr>
              <w:t>日</w:t>
            </w:r>
          </w:p>
        </w:tc>
        <w:tc>
          <w:tcPr>
            <w:tcW w:w="1859" w:type="dxa"/>
            <w:vAlign w:val="top"/>
          </w:tcPr>
          <w:p w14:paraId="65DD2338">
            <w:pPr>
              <w:spacing w:line="420" w:lineRule="exact"/>
              <w:rPr>
                <w:rFonts w:ascii="Times New Roman" w:hAnsi="宋体" w:cs="Times New Roman"/>
                <w:sz w:val="24"/>
              </w:rPr>
            </w:pPr>
            <w:r>
              <w:rPr>
                <w:rFonts w:hint="eastAsia" w:ascii="Times New Roman" w:hAnsi="宋体" w:cs="宋体"/>
                <w:sz w:val="24"/>
              </w:rPr>
              <w:t>签订日期：</w:t>
            </w:r>
          </w:p>
        </w:tc>
        <w:tc>
          <w:tcPr>
            <w:tcW w:w="2813" w:type="dxa"/>
            <w:vAlign w:val="top"/>
          </w:tcPr>
          <w:p w14:paraId="61AFB1B0">
            <w:pPr>
              <w:spacing w:line="420" w:lineRule="exact"/>
              <w:rPr>
                <w:rFonts w:ascii="Times New Roman" w:hAnsi="宋体" w:cs="Times New Roman"/>
                <w:sz w:val="24"/>
              </w:rPr>
            </w:pPr>
            <w:r>
              <w:rPr>
                <w:rFonts w:ascii="Times New Roman" w:hAnsi="宋体" w:cs="Times New Roman"/>
                <w:sz w:val="24"/>
              </w:rPr>
              <w:t xml:space="preserve">        </w:t>
            </w:r>
            <w:r>
              <w:rPr>
                <w:rFonts w:hint="eastAsia" w:ascii="Times New Roman" w:hAnsi="宋体" w:cs="宋体"/>
                <w:sz w:val="24"/>
              </w:rPr>
              <w:t>年</w:t>
            </w:r>
            <w:r>
              <w:rPr>
                <w:rFonts w:ascii="Times New Roman" w:hAnsi="宋体" w:cs="Times New Roman"/>
                <w:sz w:val="24"/>
              </w:rPr>
              <w:t xml:space="preserve">   </w:t>
            </w:r>
            <w:r>
              <w:rPr>
                <w:rFonts w:hint="eastAsia" w:ascii="Times New Roman" w:hAnsi="宋体" w:cs="宋体"/>
                <w:sz w:val="24"/>
              </w:rPr>
              <w:t>月</w:t>
            </w:r>
            <w:r>
              <w:rPr>
                <w:rFonts w:ascii="Times New Roman" w:hAnsi="宋体" w:cs="Times New Roman"/>
                <w:sz w:val="24"/>
              </w:rPr>
              <w:t xml:space="preserve">   </w:t>
            </w:r>
            <w:r>
              <w:rPr>
                <w:rFonts w:hint="eastAsia" w:ascii="Times New Roman" w:hAnsi="宋体" w:cs="宋体"/>
                <w:sz w:val="24"/>
              </w:rPr>
              <w:t>日</w:t>
            </w:r>
          </w:p>
        </w:tc>
      </w:tr>
      <w:tr w14:paraId="622B8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0" w:type="dxa"/>
          </w:tcPr>
          <w:p w14:paraId="11AE9D9D">
            <w:pPr>
              <w:spacing w:line="400" w:lineRule="exact"/>
              <w:rPr>
                <w:rFonts w:ascii="Times New Roman" w:hAnsi="宋体" w:cs="Times New Roman"/>
                <w:sz w:val="24"/>
              </w:rPr>
            </w:pPr>
            <w:r>
              <w:rPr>
                <w:rFonts w:hint="eastAsia" w:ascii="Times New Roman" w:hAnsi="宋体" w:cs="宋体"/>
                <w:sz w:val="24"/>
              </w:rPr>
              <w:t>地址：</w:t>
            </w:r>
          </w:p>
        </w:tc>
        <w:tc>
          <w:tcPr>
            <w:tcW w:w="2727" w:type="dxa"/>
          </w:tcPr>
          <w:p w14:paraId="1D654C74">
            <w:pPr>
              <w:spacing w:line="400" w:lineRule="exact"/>
              <w:rPr>
                <w:rFonts w:ascii="Times New Roman" w:hAnsi="宋体" w:cs="Times New Roman"/>
                <w:sz w:val="24"/>
              </w:rPr>
            </w:pPr>
            <w:r>
              <w:rPr>
                <w:rFonts w:hint="eastAsia" w:ascii="Times New Roman" w:hAnsi="宋体" w:cs="宋体"/>
                <w:sz w:val="24"/>
              </w:rPr>
              <w:t>河池市金城江区金城中路</w:t>
            </w:r>
            <w:r>
              <w:rPr>
                <w:rFonts w:ascii="Times New Roman" w:hAnsi="宋体" w:cs="Times New Roman"/>
                <w:sz w:val="24"/>
              </w:rPr>
              <w:t>455</w:t>
            </w:r>
            <w:r>
              <w:rPr>
                <w:rFonts w:hint="eastAsia" w:ascii="Times New Roman" w:hAnsi="宋体" w:cs="宋体"/>
                <w:sz w:val="24"/>
              </w:rPr>
              <w:t>号</w:t>
            </w:r>
          </w:p>
        </w:tc>
        <w:tc>
          <w:tcPr>
            <w:tcW w:w="1859" w:type="dxa"/>
          </w:tcPr>
          <w:p w14:paraId="40401CC7">
            <w:pPr>
              <w:spacing w:line="400" w:lineRule="exact"/>
              <w:rPr>
                <w:rFonts w:ascii="Times New Roman" w:hAnsi="宋体" w:cs="Times New Roman"/>
                <w:sz w:val="24"/>
              </w:rPr>
            </w:pPr>
            <w:r>
              <w:rPr>
                <w:rFonts w:hint="eastAsia" w:ascii="Times New Roman" w:hAnsi="宋体" w:cs="宋体"/>
                <w:sz w:val="24"/>
              </w:rPr>
              <w:t>地址：</w:t>
            </w:r>
          </w:p>
        </w:tc>
        <w:tc>
          <w:tcPr>
            <w:tcW w:w="2813" w:type="dxa"/>
          </w:tcPr>
          <w:p w14:paraId="737CEE2F">
            <w:pPr>
              <w:spacing w:line="400" w:lineRule="exact"/>
              <w:rPr>
                <w:rFonts w:ascii="Times New Roman" w:hAnsi="宋体" w:cs="Times New Roman"/>
                <w:sz w:val="24"/>
              </w:rPr>
            </w:pPr>
          </w:p>
        </w:tc>
      </w:tr>
      <w:tr w14:paraId="395B2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0" w:type="dxa"/>
          </w:tcPr>
          <w:p w14:paraId="740FCB14">
            <w:pPr>
              <w:spacing w:line="400" w:lineRule="exact"/>
              <w:rPr>
                <w:rFonts w:ascii="Times New Roman" w:hAnsi="宋体" w:cs="Times New Roman"/>
                <w:sz w:val="24"/>
              </w:rPr>
            </w:pPr>
            <w:r>
              <w:rPr>
                <w:rFonts w:hint="eastAsia" w:ascii="Times New Roman" w:hAnsi="宋体" w:cs="宋体"/>
                <w:sz w:val="24"/>
              </w:rPr>
              <w:t>联系电话：</w:t>
            </w:r>
          </w:p>
        </w:tc>
        <w:tc>
          <w:tcPr>
            <w:tcW w:w="2727" w:type="dxa"/>
          </w:tcPr>
          <w:p w14:paraId="4CFD6844">
            <w:pPr>
              <w:spacing w:line="400" w:lineRule="exact"/>
              <w:rPr>
                <w:rFonts w:ascii="Times New Roman" w:hAnsi="宋体" w:cs="Times New Roman"/>
                <w:sz w:val="24"/>
              </w:rPr>
            </w:pPr>
            <w:r>
              <w:rPr>
                <w:rFonts w:ascii="Times New Roman" w:hAnsi="宋体" w:cs="Times New Roman"/>
                <w:sz w:val="24"/>
              </w:rPr>
              <w:t>0778-2119409</w:t>
            </w:r>
          </w:p>
        </w:tc>
        <w:tc>
          <w:tcPr>
            <w:tcW w:w="1859" w:type="dxa"/>
          </w:tcPr>
          <w:p w14:paraId="27F75D0E">
            <w:pPr>
              <w:spacing w:line="400" w:lineRule="exact"/>
              <w:rPr>
                <w:rFonts w:ascii="Times New Roman" w:hAnsi="宋体" w:cs="Times New Roman"/>
                <w:sz w:val="24"/>
              </w:rPr>
            </w:pPr>
            <w:r>
              <w:rPr>
                <w:rFonts w:hint="eastAsia" w:ascii="Times New Roman" w:hAnsi="宋体" w:cs="宋体"/>
                <w:sz w:val="24"/>
              </w:rPr>
              <w:t>联系电话：</w:t>
            </w:r>
          </w:p>
        </w:tc>
        <w:tc>
          <w:tcPr>
            <w:tcW w:w="2813" w:type="dxa"/>
          </w:tcPr>
          <w:p w14:paraId="50418513">
            <w:pPr>
              <w:spacing w:line="400" w:lineRule="exact"/>
              <w:rPr>
                <w:rFonts w:ascii="Times New Roman" w:hAnsi="宋体" w:cs="Times New Roman"/>
                <w:sz w:val="24"/>
              </w:rPr>
            </w:pPr>
          </w:p>
        </w:tc>
      </w:tr>
      <w:tr w14:paraId="3A50F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0" w:type="dxa"/>
          </w:tcPr>
          <w:p w14:paraId="69DAB213">
            <w:pPr>
              <w:spacing w:line="400" w:lineRule="exact"/>
              <w:rPr>
                <w:rFonts w:ascii="Times New Roman" w:hAnsi="宋体" w:cs="Times New Roman"/>
                <w:sz w:val="24"/>
              </w:rPr>
            </w:pPr>
          </w:p>
        </w:tc>
        <w:tc>
          <w:tcPr>
            <w:tcW w:w="2727" w:type="dxa"/>
          </w:tcPr>
          <w:p w14:paraId="74146250">
            <w:pPr>
              <w:spacing w:line="400" w:lineRule="exact"/>
              <w:rPr>
                <w:rFonts w:ascii="Times New Roman" w:hAnsi="宋体" w:cs="Times New Roman"/>
                <w:sz w:val="24"/>
              </w:rPr>
            </w:pPr>
          </w:p>
        </w:tc>
        <w:tc>
          <w:tcPr>
            <w:tcW w:w="1859" w:type="dxa"/>
          </w:tcPr>
          <w:p w14:paraId="2089A4AA">
            <w:pPr>
              <w:spacing w:line="400" w:lineRule="exact"/>
              <w:rPr>
                <w:rFonts w:ascii="Times New Roman" w:hAnsi="宋体" w:cs="Times New Roman"/>
                <w:sz w:val="24"/>
              </w:rPr>
            </w:pPr>
            <w:r>
              <w:rPr>
                <w:rFonts w:hint="eastAsia" w:ascii="Times New Roman" w:hAnsi="宋体" w:cs="宋体"/>
                <w:sz w:val="24"/>
              </w:rPr>
              <w:t>开户银行：</w:t>
            </w:r>
          </w:p>
        </w:tc>
        <w:tc>
          <w:tcPr>
            <w:tcW w:w="2813" w:type="dxa"/>
          </w:tcPr>
          <w:p w14:paraId="45283EC2">
            <w:pPr>
              <w:spacing w:line="400" w:lineRule="exact"/>
              <w:rPr>
                <w:rFonts w:ascii="Times New Roman" w:hAnsi="宋体" w:cs="Times New Roman"/>
                <w:sz w:val="24"/>
              </w:rPr>
            </w:pPr>
          </w:p>
        </w:tc>
      </w:tr>
      <w:tr w14:paraId="020E1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0" w:type="dxa"/>
          </w:tcPr>
          <w:p w14:paraId="37491A83">
            <w:pPr>
              <w:spacing w:line="400" w:lineRule="exact"/>
              <w:rPr>
                <w:rFonts w:ascii="Times New Roman" w:hAnsi="宋体" w:cs="Times New Roman"/>
                <w:sz w:val="24"/>
              </w:rPr>
            </w:pPr>
          </w:p>
        </w:tc>
        <w:tc>
          <w:tcPr>
            <w:tcW w:w="2727" w:type="dxa"/>
          </w:tcPr>
          <w:p w14:paraId="769B1308">
            <w:pPr>
              <w:spacing w:line="400" w:lineRule="exact"/>
              <w:rPr>
                <w:rFonts w:ascii="Times New Roman" w:hAnsi="宋体" w:cs="Times New Roman"/>
                <w:sz w:val="24"/>
              </w:rPr>
            </w:pPr>
          </w:p>
        </w:tc>
        <w:tc>
          <w:tcPr>
            <w:tcW w:w="1859" w:type="dxa"/>
          </w:tcPr>
          <w:p w14:paraId="730A8076">
            <w:pPr>
              <w:spacing w:line="400" w:lineRule="exact"/>
              <w:rPr>
                <w:rFonts w:ascii="Times New Roman" w:hAnsi="宋体" w:cs="Times New Roman"/>
                <w:sz w:val="24"/>
              </w:rPr>
            </w:pPr>
            <w:r>
              <w:rPr>
                <w:rFonts w:hint="eastAsia" w:ascii="Times New Roman" w:hAnsi="宋体" w:cs="宋体"/>
                <w:sz w:val="24"/>
              </w:rPr>
              <w:t>银行账号：</w:t>
            </w:r>
          </w:p>
        </w:tc>
        <w:tc>
          <w:tcPr>
            <w:tcW w:w="2813" w:type="dxa"/>
          </w:tcPr>
          <w:p w14:paraId="54E7FBA8">
            <w:pPr>
              <w:spacing w:line="400" w:lineRule="exact"/>
              <w:rPr>
                <w:rFonts w:ascii="Times New Roman" w:hAnsi="宋体" w:cs="Times New Roman"/>
                <w:sz w:val="24"/>
              </w:rPr>
            </w:pPr>
          </w:p>
        </w:tc>
      </w:tr>
      <w:tr w14:paraId="0434F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jc w:val="center"/>
        </w:trPr>
        <w:tc>
          <w:tcPr>
            <w:tcW w:w="9569" w:type="dxa"/>
            <w:gridSpan w:val="4"/>
          </w:tcPr>
          <w:p w14:paraId="643A2301">
            <w:pPr>
              <w:spacing w:line="400" w:lineRule="exact"/>
              <w:rPr>
                <w:rFonts w:ascii="Times New Roman" w:hAnsi="宋体" w:cs="Times New Roman"/>
                <w:sz w:val="24"/>
              </w:rPr>
            </w:pPr>
            <w:r>
              <w:rPr>
                <w:rFonts w:hint="eastAsia" w:ascii="Times New Roman" w:hAnsi="宋体" w:cs="宋体"/>
                <w:sz w:val="24"/>
              </w:rPr>
              <w:t>合同签订地点：河池市人民医院</w:t>
            </w:r>
          </w:p>
        </w:tc>
      </w:tr>
    </w:tbl>
    <w:p w14:paraId="55B8436F">
      <w:pPr>
        <w:rPr>
          <w:rFonts w:ascii="Times New Roman" w:hAnsi="Times New Roman" w:cs="Times New Roman"/>
          <w:b/>
          <w:bCs/>
          <w:sz w:val="24"/>
        </w:rPr>
      </w:pPr>
      <w:r>
        <w:rPr>
          <w:rFonts w:ascii="Times New Roman" w:hAnsi="宋体" w:cs="Times New Roman"/>
          <w:b/>
          <w:bCs/>
          <w:sz w:val="24"/>
        </w:rPr>
        <w:br w:type="page"/>
      </w:r>
      <w:r>
        <w:rPr>
          <w:rFonts w:hint="eastAsia" w:ascii="宋体" w:hAnsi="宋体" w:cs="宋体"/>
          <w:b/>
          <w:bCs/>
          <w:sz w:val="22"/>
          <w:szCs w:val="22"/>
        </w:rPr>
        <w:t>附件</w:t>
      </w:r>
      <w:r>
        <w:rPr>
          <w:rFonts w:ascii="宋体" w:hAnsi="宋体" w:cs="宋体"/>
          <w:b/>
          <w:bCs/>
          <w:sz w:val="22"/>
          <w:szCs w:val="22"/>
        </w:rPr>
        <w:t>1</w:t>
      </w:r>
      <w:r>
        <w:rPr>
          <w:rFonts w:hint="eastAsia" w:ascii="宋体" w:hAnsi="宋体" w:cs="宋体"/>
          <w:b/>
          <w:bCs/>
          <w:sz w:val="22"/>
          <w:szCs w:val="22"/>
        </w:rPr>
        <w:t>：《河池市人民医院购销廉洁公约》</w:t>
      </w:r>
    </w:p>
    <w:p w14:paraId="1DF162D6">
      <w:pPr>
        <w:spacing w:line="560" w:lineRule="exact"/>
        <w:ind w:firstLine="1807" w:firstLineChars="500"/>
        <w:rPr>
          <w:rFonts w:ascii="Times New Roman" w:hAnsi="Times New Roman" w:cs="Times New Roman"/>
          <w:b/>
          <w:bCs/>
          <w:sz w:val="36"/>
          <w:szCs w:val="36"/>
        </w:rPr>
      </w:pPr>
    </w:p>
    <w:p w14:paraId="18373EC5">
      <w:pPr>
        <w:snapToGrid w:val="0"/>
        <w:spacing w:line="480" w:lineRule="auto"/>
        <w:jc w:val="center"/>
        <w:rPr>
          <w:rFonts w:ascii="仿宋_GB2312" w:hAnsi="华文中宋" w:eastAsia="仿宋_GB2312" w:cs="Times New Roman"/>
          <w:b/>
          <w:bCs/>
          <w:sz w:val="32"/>
          <w:szCs w:val="32"/>
        </w:rPr>
      </w:pPr>
      <w:r>
        <w:rPr>
          <w:rFonts w:hint="eastAsia" w:ascii="宋体" w:hAnsi="宋体" w:cs="宋体"/>
          <w:b/>
          <w:bCs/>
          <w:sz w:val="36"/>
          <w:szCs w:val="36"/>
        </w:rPr>
        <w:t>河池市人民医院购销廉洁公约</w:t>
      </w:r>
    </w:p>
    <w:p w14:paraId="221329ED">
      <w:pPr>
        <w:spacing w:line="400" w:lineRule="exact"/>
        <w:rPr>
          <w:rFonts w:ascii="宋体" w:hAnsi="Courier New" w:cs="Times New Roman"/>
          <w:kern w:val="0"/>
          <w:sz w:val="24"/>
        </w:rPr>
      </w:pPr>
      <w:r>
        <w:rPr>
          <w:rFonts w:hint="eastAsia" w:ascii="宋体" w:hAnsi="Courier New" w:cs="宋体"/>
          <w:kern w:val="0"/>
          <w:sz w:val="24"/>
        </w:rPr>
        <w:t>甲方（医疗机构）：河池市人民医院</w:t>
      </w:r>
    </w:p>
    <w:p w14:paraId="69BEBA03">
      <w:pPr>
        <w:snapToGrid w:val="0"/>
        <w:spacing w:line="400" w:lineRule="exact"/>
        <w:rPr>
          <w:rFonts w:ascii="宋体" w:hAnsi="Courier New" w:cs="Times New Roman"/>
          <w:kern w:val="0"/>
          <w:sz w:val="24"/>
        </w:rPr>
      </w:pPr>
      <w:r>
        <w:rPr>
          <w:rFonts w:hint="eastAsia" w:ascii="宋体" w:hAnsi="Courier New" w:cs="宋体"/>
          <w:kern w:val="0"/>
          <w:sz w:val="24"/>
        </w:rPr>
        <w:t>乙方（供应商）：</w:t>
      </w:r>
    </w:p>
    <w:p w14:paraId="5521E332">
      <w:pPr>
        <w:spacing w:line="400" w:lineRule="exact"/>
        <w:ind w:firstLine="480" w:firstLineChars="200"/>
        <w:rPr>
          <w:rFonts w:ascii="宋体" w:hAnsi="Courier New" w:cs="Times New Roman"/>
          <w:kern w:val="0"/>
          <w:sz w:val="24"/>
        </w:rPr>
      </w:pPr>
      <w:r>
        <w:rPr>
          <w:rFonts w:hint="eastAsia" w:ascii="宋体" w:hAnsi="Courier New" w:cs="宋体"/>
          <w:kern w:val="0"/>
          <w:sz w:val="24"/>
        </w:rPr>
        <w:t>为贯彻落实国家卫生健康委、国家医保局、国家中医药管理局关于印发《医疗机构工作人员廉洁从业九项准则》及医院《药械购销廉洁公约制度》等要求，为进一步规范医药购销行为，维护正常的医疗秩序和医药产品经营秩序，经双方协商，协议如下：</w:t>
      </w:r>
      <w:r>
        <w:rPr>
          <w:rFonts w:ascii="宋体" w:hAnsi="Courier New" w:cs="Times New Roman"/>
          <w:kern w:val="0"/>
          <w:sz w:val="24"/>
        </w:rPr>
        <w:t> </w:t>
      </w:r>
    </w:p>
    <w:p w14:paraId="4E8333FC">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一、甲乙双方必须自觉遵守国家和地方的有关法律法规，严格执行上级关于纠正医药购销和医疗服务中不正之风和治理商业贿赂的有关文件规定，严格执行药品、医疗设备、医用耗材、医用试剂、信息系统及软件、后勤物资、基建工程招标采购管理制度。</w:t>
      </w:r>
    </w:p>
    <w:p w14:paraId="089ED023">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二、甲乙双方应共同遵守商业道德，严格履行购销合同，不利用非法手段谋取不正当利益，公平公正地处理往来业务。</w:t>
      </w:r>
    </w:p>
    <w:p w14:paraId="42418A5E">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三、甲方须履行的责任：</w:t>
      </w:r>
    </w:p>
    <w:p w14:paraId="541D6227">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（一）不得以任何方式向乙方索取回扣，或者索要、收受乙方产品发票价外的赞助，不得要求乙方代支任何费用开支。</w:t>
      </w:r>
    </w:p>
    <w:p w14:paraId="64E8E9B2">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（二）医护人员不得替乙方代表非法统计销售药品、医用耗材、医用试剂的使用数量，甲方对出现数量异常变动的药品、医用耗材、医用试剂，查实后将停止采购。</w:t>
      </w:r>
    </w:p>
    <w:p w14:paraId="179C919E">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（三）医护人员及行政后勤人员不得利用工作便利以暗示或其他任何形式向乙方索要回扣、提成、有价证券、现金、购物卡等。</w:t>
      </w:r>
    </w:p>
    <w:p w14:paraId="2AA705B5">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如违反以上条款，情节较轻的，按医院医德医风等相关规定进行处理；情节较重构成违纪的，由纪检监察部门处理；情节严重涉嫌犯罪的，移交司法机关处理。</w:t>
      </w:r>
    </w:p>
    <w:p w14:paraId="40D7985E">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四、乙方须履行的责任：</w:t>
      </w:r>
    </w:p>
    <w:p w14:paraId="79939847">
      <w:pPr>
        <w:spacing w:line="400" w:lineRule="exact"/>
        <w:rPr>
          <w:rFonts w:ascii="宋体" w:hAnsi="Courier New" w:cs="宋体"/>
          <w:kern w:val="0"/>
          <w:sz w:val="24"/>
        </w:rPr>
      </w:pPr>
      <w:r>
        <w:rPr>
          <w:rFonts w:ascii="宋体" w:hAnsi="Courier New" w:cs="宋体"/>
          <w:kern w:val="0"/>
          <w:sz w:val="24"/>
        </w:rPr>
        <w:t xml:space="preserve">   </w:t>
      </w:r>
      <w:r>
        <w:rPr>
          <w:rFonts w:hint="eastAsia" w:ascii="宋体" w:hAnsi="Courier New" w:cs="宋体"/>
          <w:kern w:val="0"/>
          <w:sz w:val="24"/>
        </w:rPr>
        <w:t>（一）乙方必须自觉遵守甲方有关药品、医疗设备、医用耗材、医用试剂、信息系统及软件、后勤物资、基建工程的各项管理规定，按程序和流程办理相关业务。</w:t>
      </w:r>
      <w:r>
        <w:rPr>
          <w:rFonts w:ascii="宋体" w:hAnsi="Courier New" w:cs="宋体"/>
          <w:kern w:val="0"/>
          <w:sz w:val="24"/>
        </w:rPr>
        <w:t xml:space="preserve"> </w:t>
      </w:r>
    </w:p>
    <w:p w14:paraId="7BB56935">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（二）不得派代表到甲方，以科研费、开发费、宣传费、推销费等名义推销药品、医疗设备、医用耗材、医用试剂、信息系统及软件、后勤物资等产品。</w:t>
      </w:r>
    </w:p>
    <w:p w14:paraId="46DD128F">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（三）不得以提成和赠送现金、有价证券、信用卡、购物卡，提供宴请、娱乐</w:t>
      </w:r>
      <w:r>
        <w:rPr>
          <w:rFonts w:hint="eastAsia" w:ascii="宋体" w:hAnsi="Courier New" w:cs="宋体"/>
          <w:kern w:val="0"/>
          <w:sz w:val="24"/>
          <w:lang w:eastAsia="zh-CN"/>
        </w:rPr>
        <w:t>，</w:t>
      </w:r>
      <w:r>
        <w:rPr>
          <w:rFonts w:hint="eastAsia" w:ascii="宋体" w:hAnsi="Courier New" w:cs="宋体"/>
          <w:kern w:val="0"/>
          <w:sz w:val="24"/>
        </w:rPr>
        <w:t>资助国内或境外学术活动等手段影响甲方医生使用医药产品的选择权。</w:t>
      </w:r>
    </w:p>
    <w:p w14:paraId="56DF96F3">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（四）不得派代表到甲方临床医技科室进行新药申请、开方提成促销，或以不正当交易手段诱导临床医生使用乙方所供的药品、医疗设备、医用耗材、医用试剂等。</w:t>
      </w:r>
    </w:p>
    <w:p w14:paraId="27661345">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（五）不得向医院领导、行政职能科室、临床医技负责人和其他医护人员及行政后勤人员发放回扣和赠送现金、有价证券、信用卡、购物卡，提供宴请、娱乐等属于商业贿赂的不正当行为，</w:t>
      </w:r>
    </w:p>
    <w:p w14:paraId="56D01FFA">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（六）严格执行合同条款，不以次充好，不降低产品质量，做到诚信经营。</w:t>
      </w:r>
    </w:p>
    <w:p w14:paraId="747195A7">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五、乙方如违反第四条“乙方须履行的责任”所列条款，一经发现，甲方有权终止购销合同，并将乙方列入不良行为记录，记入黑名单；同时禁止乙方在甲方进行经销活动</w:t>
      </w:r>
      <w:r>
        <w:rPr>
          <w:rFonts w:ascii="宋体" w:hAnsi="Courier New" w:cs="宋体"/>
          <w:kern w:val="0"/>
          <w:sz w:val="24"/>
        </w:rPr>
        <w:t>2</w:t>
      </w:r>
      <w:r>
        <w:rPr>
          <w:rFonts w:hint="eastAsia" w:ascii="宋体" w:hAnsi="Courier New" w:cs="宋体"/>
          <w:kern w:val="0"/>
          <w:sz w:val="24"/>
        </w:rPr>
        <w:t>年以上。对甲方造成经济损失的乙方须承担赔偿责任，涉嫌违法的，移交司法机关处理。</w:t>
      </w:r>
    </w:p>
    <w:p w14:paraId="409E0F07">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六、如甲方工作人员暗示或索要回扣等不正当要求，乙方应予拒绝，并有责任如实向甲方纪检监察部门反映情况。</w:t>
      </w:r>
    </w:p>
    <w:p w14:paraId="0CA53CB2">
      <w:pPr>
        <w:spacing w:line="400" w:lineRule="exact"/>
        <w:rPr>
          <w:rFonts w:ascii="宋体" w:hAnsi="Courier New" w:cs="Times New Roman"/>
          <w:kern w:val="0"/>
          <w:sz w:val="24"/>
        </w:rPr>
      </w:pPr>
      <w:r>
        <w:rPr>
          <w:rFonts w:ascii="宋体" w:hAnsi="Courier New" w:cs="宋体"/>
          <w:kern w:val="0"/>
          <w:sz w:val="24"/>
        </w:rPr>
        <w:t xml:space="preserve">    </w:t>
      </w:r>
      <w:r>
        <w:rPr>
          <w:rFonts w:hint="eastAsia" w:ascii="宋体" w:hAnsi="Courier New" w:cs="宋体"/>
          <w:kern w:val="0"/>
          <w:sz w:val="24"/>
        </w:rPr>
        <w:t>七、本公约一式五份，甲方执三份，乙方、采购代理机构各一份，本公约作为购销合同的附件，随购销合同签字之日起生效。</w:t>
      </w:r>
    </w:p>
    <w:p w14:paraId="745FDBF6">
      <w:pPr>
        <w:snapToGrid w:val="0"/>
        <w:spacing w:line="400" w:lineRule="exact"/>
        <w:ind w:firstLine="480" w:firstLineChars="200"/>
        <w:rPr>
          <w:rFonts w:ascii="Times New Roman" w:hAnsi="Times New Roman" w:cs="Times New Roman"/>
          <w:sz w:val="24"/>
        </w:rPr>
      </w:pPr>
    </w:p>
    <w:p w14:paraId="2EB984D6">
      <w:pPr>
        <w:snapToGrid w:val="0"/>
        <w:spacing w:line="400" w:lineRule="exact"/>
        <w:ind w:left="31680" w:hanging="7200" w:hangingChars="3000"/>
        <w:rPr>
          <w:rFonts w:ascii="Times New Roman" w:hAnsi="Times New Roman" w:cs="Times New Roman"/>
          <w:sz w:val="24"/>
        </w:rPr>
      </w:pPr>
      <w:r>
        <w:rPr>
          <w:rFonts w:hint="eastAsia" w:ascii="Times New Roman" w:hAnsi="Times New Roman" w:cs="宋体"/>
          <w:sz w:val="24"/>
        </w:rPr>
        <w:t>甲方（盖章）：河池市人民医院</w:t>
      </w:r>
      <w:r>
        <w:rPr>
          <w:rFonts w:ascii="Times New Roman" w:hAnsi="Times New Roman" w:cs="Times New Roman"/>
          <w:sz w:val="24"/>
        </w:rPr>
        <w:t xml:space="preserve">        </w:t>
      </w:r>
      <w:r>
        <w:rPr>
          <w:rFonts w:hint="eastAsia" w:ascii="Times New Roman" w:hAnsi="Times New Roman" w:cs="宋体"/>
          <w:sz w:val="24"/>
        </w:rPr>
        <w:t>乙方（盖章）：</w:t>
      </w:r>
    </w:p>
    <w:p w14:paraId="30B97993">
      <w:pPr>
        <w:snapToGrid w:val="0"/>
        <w:spacing w:line="400" w:lineRule="exact"/>
        <w:ind w:firstLine="480" w:firstLineChars="200"/>
        <w:rPr>
          <w:rFonts w:ascii="Times New Roman" w:hAnsi="Times New Roman" w:cs="Times New Roman"/>
          <w:sz w:val="24"/>
        </w:rPr>
      </w:pPr>
    </w:p>
    <w:p w14:paraId="38CD9EC9">
      <w:pPr>
        <w:snapToGrid w:val="0"/>
        <w:spacing w:line="400" w:lineRule="exact"/>
        <w:ind w:firstLine="480" w:firstLineChars="200"/>
        <w:rPr>
          <w:rFonts w:ascii="Times New Roman" w:hAnsi="Times New Roman" w:cs="Times New Roman"/>
          <w:sz w:val="24"/>
        </w:rPr>
      </w:pPr>
    </w:p>
    <w:p w14:paraId="3557A404">
      <w:pPr>
        <w:snapToGrid w:val="0"/>
        <w:spacing w:line="400" w:lineRule="exact"/>
        <w:rPr>
          <w:rFonts w:ascii="Times New Roman" w:hAnsi="Times New Roman" w:cs="Times New Roman"/>
          <w:sz w:val="24"/>
        </w:rPr>
      </w:pPr>
      <w:r>
        <w:rPr>
          <w:rFonts w:hint="eastAsia" w:ascii="Times New Roman" w:hAnsi="Times New Roman" w:cs="宋体"/>
          <w:sz w:val="24"/>
        </w:rPr>
        <w:t>法人签章：</w:t>
      </w:r>
      <w:r>
        <w:rPr>
          <w:rFonts w:ascii="Times New Roman" w:hAnsi="Times New Roman" w:cs="Times New Roman"/>
          <w:sz w:val="24"/>
        </w:rPr>
        <w:t xml:space="preserve">                          </w:t>
      </w:r>
      <w:r>
        <w:rPr>
          <w:rFonts w:hint="eastAsia" w:ascii="Times New Roman" w:hAnsi="Times New Roman" w:cs="宋体"/>
          <w:sz w:val="24"/>
        </w:rPr>
        <w:t>法人签章：</w:t>
      </w:r>
    </w:p>
    <w:p w14:paraId="5906206B">
      <w:pPr>
        <w:snapToGrid w:val="0"/>
        <w:spacing w:line="400" w:lineRule="exact"/>
        <w:ind w:firstLine="480" w:firstLineChars="200"/>
        <w:rPr>
          <w:rFonts w:ascii="Times New Roman" w:hAnsi="Times New Roman" w:cs="Times New Roman"/>
          <w:sz w:val="24"/>
        </w:rPr>
      </w:pPr>
    </w:p>
    <w:p w14:paraId="3BE0FDC8">
      <w:pPr>
        <w:snapToGrid w:val="0"/>
        <w:spacing w:line="400" w:lineRule="exact"/>
        <w:ind w:firstLine="480" w:firstLineChars="200"/>
        <w:rPr>
          <w:rFonts w:ascii="Times New Roman" w:hAnsi="Times New Roman" w:cs="Times New Roman"/>
          <w:sz w:val="24"/>
        </w:rPr>
      </w:pPr>
    </w:p>
    <w:p w14:paraId="096AF440">
      <w:pPr>
        <w:snapToGrid w:val="0"/>
        <w:spacing w:line="400" w:lineRule="exact"/>
        <w:rPr>
          <w:rFonts w:ascii="Times New Roman" w:hAnsi="Times New Roman" w:cs="Times New Roman"/>
          <w:sz w:val="24"/>
        </w:rPr>
      </w:pPr>
      <w:r>
        <w:rPr>
          <w:rFonts w:hint="eastAsia" w:ascii="Times New Roman" w:hAnsi="Times New Roman" w:cs="宋体"/>
          <w:sz w:val="24"/>
        </w:rPr>
        <w:t>经办人（签字）：</w:t>
      </w:r>
      <w:r>
        <w:rPr>
          <w:rFonts w:ascii="Times New Roman" w:hAnsi="Times New Roman" w:cs="Times New Roman"/>
          <w:sz w:val="24"/>
        </w:rPr>
        <w:t xml:space="preserve">                    </w:t>
      </w:r>
      <w:r>
        <w:rPr>
          <w:rFonts w:hint="eastAsia" w:ascii="Times New Roman" w:hAnsi="Times New Roman" w:cs="宋体"/>
          <w:sz w:val="24"/>
        </w:rPr>
        <w:t>代理人（签字）：　　　　</w:t>
      </w:r>
    </w:p>
    <w:p w14:paraId="37A75D84">
      <w:pPr>
        <w:snapToGrid w:val="0"/>
        <w:spacing w:line="400" w:lineRule="exact"/>
        <w:ind w:firstLine="480" w:firstLineChars="200"/>
        <w:rPr>
          <w:rFonts w:ascii="Times New Roman" w:hAnsi="Times New Roman" w:cs="Times New Roman"/>
          <w:sz w:val="24"/>
        </w:rPr>
      </w:pPr>
    </w:p>
    <w:p w14:paraId="7ED64EE9">
      <w:pPr>
        <w:snapToGrid w:val="0"/>
        <w:spacing w:line="400" w:lineRule="exact"/>
        <w:ind w:firstLine="480" w:firstLineChars="200"/>
        <w:rPr>
          <w:rFonts w:ascii="Times New Roman" w:hAnsi="Times New Roman" w:cs="Times New Roman"/>
          <w:sz w:val="24"/>
        </w:rPr>
      </w:pPr>
    </w:p>
    <w:p w14:paraId="417A510C">
      <w:pPr>
        <w:snapToGrid w:val="0"/>
        <w:spacing w:line="400" w:lineRule="exact"/>
        <w:rPr>
          <w:rFonts w:ascii="Times New Roman" w:hAnsi="Times New Roman" w:cs="Times New Roman"/>
          <w:sz w:val="21"/>
          <w:szCs w:val="21"/>
        </w:rPr>
      </w:pPr>
      <w:r>
        <w:rPr>
          <w:rFonts w:ascii="Times New Roman" w:hAnsi="Times New Roman" w:cs="Times New Roman"/>
          <w:sz w:val="24"/>
          <w:u w:val="single"/>
        </w:rPr>
        <w:t xml:space="preserve">       </w:t>
      </w:r>
      <w:r>
        <w:rPr>
          <w:rFonts w:hint="eastAsia" w:ascii="Times New Roman" w:hAnsi="Times New Roman" w:cs="宋体"/>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hint="eastAsia" w:ascii="Times New Roman" w:hAnsi="Times New Roman" w:cs="宋体"/>
          <w:sz w:val="24"/>
        </w:rPr>
        <w:t>月</w:t>
      </w:r>
      <w:r>
        <w:rPr>
          <w:rFonts w:ascii="Times New Roman" w:hAnsi="Times New Roman" w:cs="Times New Roman"/>
          <w:sz w:val="24"/>
          <w:u w:val="single"/>
        </w:rPr>
        <w:t xml:space="preserve">    </w:t>
      </w:r>
      <w:r>
        <w:rPr>
          <w:rFonts w:hint="eastAsia" w:ascii="Times New Roman" w:hAnsi="Times New Roman" w:cs="宋体"/>
          <w:sz w:val="24"/>
        </w:rPr>
        <w:t>日</w:t>
      </w:r>
      <w:r>
        <w:rPr>
          <w:rFonts w:ascii="Times New Roman" w:hAnsi="Times New Roman" w:cs="Times New Roman"/>
          <w:sz w:val="24"/>
        </w:rPr>
        <w:t xml:space="preserve">              </w:t>
      </w:r>
      <w:r>
        <w:rPr>
          <w:rFonts w:ascii="Times New Roman" w:hAnsi="Times New Roman" w:cs="Times New Roman"/>
          <w:sz w:val="24"/>
          <w:u w:val="single"/>
        </w:rPr>
        <w:t xml:space="preserve">       </w:t>
      </w:r>
      <w:r>
        <w:rPr>
          <w:rFonts w:hint="eastAsia" w:ascii="Times New Roman" w:hAnsi="Times New Roman" w:cs="宋体"/>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hint="eastAsia" w:ascii="Times New Roman" w:hAnsi="Times New Roman" w:cs="宋体"/>
          <w:sz w:val="24"/>
        </w:rPr>
        <w:t>月</w:t>
      </w:r>
      <w:r>
        <w:rPr>
          <w:rFonts w:ascii="Times New Roman" w:hAnsi="Times New Roman" w:cs="Times New Roman"/>
          <w:sz w:val="24"/>
          <w:u w:val="single"/>
        </w:rPr>
        <w:t xml:space="preserve">    </w:t>
      </w:r>
      <w:r>
        <w:rPr>
          <w:rFonts w:hint="eastAsia" w:ascii="Times New Roman" w:hAnsi="Times New Roman" w:cs="宋体"/>
          <w:sz w:val="24"/>
        </w:rPr>
        <w:t>日</w:t>
      </w:r>
    </w:p>
    <w:p w14:paraId="749255D1">
      <w:pPr>
        <w:spacing w:before="0" w:after="0" w:line="440" w:lineRule="exact"/>
        <w:ind w:left="0" w:right="0"/>
        <w:rPr>
          <w:rFonts w:hint="eastAsia" w:ascii="宋体" w:hAnsi="宋体" w:eastAsia="宋体" w:cs="宋体"/>
          <w:b/>
          <w:color w:val="auto"/>
          <w:sz w:val="22"/>
          <w:szCs w:val="22"/>
          <w:highlight w:val="none"/>
        </w:rPr>
      </w:pPr>
    </w:p>
    <w:p w14:paraId="489CD0F9">
      <w:pPr>
        <w:spacing w:before="0" w:after="0" w:line="440" w:lineRule="exact"/>
        <w:ind w:left="0" w:right="0"/>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rPr>
        <w:t>附件2：《成交通知书》</w:t>
      </w:r>
    </w:p>
    <w:p w14:paraId="12D8ABB3">
      <w:pPr>
        <w:spacing w:before="0" w:after="0" w:line="440" w:lineRule="exact"/>
        <w:ind w:left="0" w:right="0"/>
        <w:rPr>
          <w:rFonts w:hint="eastAsia" w:ascii="宋体" w:hAnsi="宋体" w:eastAsia="宋体" w:cs="宋体"/>
          <w:bCs/>
          <w:color w:val="auto"/>
          <w:sz w:val="21"/>
          <w:szCs w:val="21"/>
          <w:highlight w:val="none"/>
        </w:rPr>
      </w:pPr>
      <w:r>
        <w:rPr>
          <w:rFonts w:hint="eastAsia" w:ascii="宋体" w:hAnsi="宋体" w:eastAsia="宋体" w:cs="宋体"/>
          <w:b/>
          <w:color w:val="auto"/>
          <w:sz w:val="22"/>
          <w:szCs w:val="22"/>
          <w:highlight w:val="none"/>
        </w:rPr>
        <w:t>附件</w:t>
      </w:r>
      <w:r>
        <w:rPr>
          <w:rFonts w:hint="eastAsia" w:ascii="宋体" w:hAnsi="宋体" w:eastAsia="宋体" w:cs="宋体"/>
          <w:b/>
          <w:color w:val="auto"/>
          <w:sz w:val="22"/>
          <w:szCs w:val="22"/>
          <w:highlight w:val="none"/>
          <w:lang w:val="en-US" w:eastAsia="zh-CN"/>
        </w:rPr>
        <w:t>3</w:t>
      </w:r>
      <w:r>
        <w:rPr>
          <w:rFonts w:hint="eastAsia" w:ascii="宋体" w:hAnsi="宋体" w:eastAsia="宋体" w:cs="宋体"/>
          <w:b/>
          <w:color w:val="auto"/>
          <w:sz w:val="22"/>
          <w:szCs w:val="22"/>
          <w:highlight w:val="none"/>
        </w:rPr>
        <w:t>：《技术响应表、商务</w:t>
      </w:r>
      <w:r>
        <w:rPr>
          <w:rFonts w:hint="eastAsia" w:ascii="宋体" w:hAnsi="宋体" w:eastAsia="宋体" w:cs="宋体"/>
          <w:b/>
          <w:color w:val="auto"/>
          <w:sz w:val="22"/>
          <w:szCs w:val="22"/>
          <w:highlight w:val="none"/>
          <w:lang w:val="en-US" w:eastAsia="zh-CN"/>
        </w:rPr>
        <w:t>条款</w:t>
      </w:r>
      <w:r>
        <w:rPr>
          <w:rFonts w:hint="eastAsia" w:ascii="宋体" w:hAnsi="宋体" w:cs="宋体"/>
          <w:b/>
          <w:color w:val="auto"/>
          <w:sz w:val="22"/>
          <w:szCs w:val="22"/>
          <w:highlight w:val="none"/>
          <w:lang w:val="en-US" w:eastAsia="zh-CN"/>
        </w:rPr>
        <w:t>响应</w:t>
      </w:r>
      <w:r>
        <w:rPr>
          <w:rFonts w:hint="eastAsia" w:ascii="宋体" w:hAnsi="宋体" w:eastAsia="宋体" w:cs="宋体"/>
          <w:b/>
          <w:color w:val="auto"/>
          <w:sz w:val="22"/>
          <w:szCs w:val="22"/>
          <w:highlight w:val="none"/>
        </w:rPr>
        <w:t>表》</w:t>
      </w:r>
    </w:p>
    <w:bookmarkEnd w:id="85"/>
    <w:p w14:paraId="466C27E5">
      <w:pPr>
        <w:spacing w:before="0" w:after="0" w:line="440" w:lineRule="exact"/>
        <w:ind w:left="0" w:right="0"/>
        <w:rPr>
          <w:color w:val="auto"/>
          <w:sz w:val="32"/>
          <w:szCs w:val="32"/>
          <w:highlight w:val="none"/>
        </w:rPr>
      </w:pPr>
      <w:r>
        <w:rPr>
          <w:rFonts w:hint="eastAsia" w:ascii="宋体" w:hAnsi="宋体" w:eastAsia="宋体" w:cs="宋体"/>
          <w:b/>
          <w:color w:val="auto"/>
          <w:sz w:val="22"/>
          <w:szCs w:val="22"/>
          <w:highlight w:val="none"/>
        </w:rPr>
        <w:t>附件</w:t>
      </w:r>
      <w:r>
        <w:rPr>
          <w:rFonts w:hint="eastAsia" w:ascii="宋体" w:hAnsi="宋体" w:eastAsia="宋体" w:cs="宋体"/>
          <w:b/>
          <w:color w:val="auto"/>
          <w:sz w:val="22"/>
          <w:szCs w:val="22"/>
          <w:highlight w:val="none"/>
          <w:lang w:val="en-US" w:eastAsia="zh-CN"/>
        </w:rPr>
        <w:t>4</w:t>
      </w:r>
      <w:r>
        <w:rPr>
          <w:rFonts w:hint="eastAsia" w:ascii="宋体" w:hAnsi="宋体" w:eastAsia="宋体" w:cs="宋体"/>
          <w:b/>
          <w:color w:val="auto"/>
          <w:sz w:val="22"/>
          <w:szCs w:val="22"/>
          <w:highlight w:val="none"/>
        </w:rPr>
        <w:t>：《设备配置清单》</w:t>
      </w:r>
    </w:p>
    <w:p w14:paraId="4B37C11A">
      <w:pPr>
        <w:rPr>
          <w:color w:val="auto"/>
          <w:sz w:val="32"/>
          <w:szCs w:val="32"/>
          <w:highlight w:val="none"/>
        </w:rPr>
        <w:sectPr>
          <w:headerReference r:id="rId19" w:type="default"/>
          <w:footerReference r:id="rId2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0"/>
    <w:bookmarkEnd w:id="1"/>
    <w:bookmarkEnd w:id="86"/>
    <w:bookmarkEnd w:id="87"/>
    <w:bookmarkEnd w:id="88"/>
    <w:p w14:paraId="0DA2A90A">
      <w:pPr>
        <w:widowControl/>
        <w:jc w:val="center"/>
        <w:outlineLvl w:val="0"/>
        <w:rPr>
          <w:sz w:val="32"/>
          <w:szCs w:val="32"/>
        </w:rPr>
      </w:pPr>
      <w:bookmarkStart w:id="89" w:name="_Toc489863689"/>
      <w:r>
        <w:rPr>
          <w:sz w:val="32"/>
          <w:szCs w:val="32"/>
        </w:rPr>
        <w:t>第六章  响应文件格式</w:t>
      </w:r>
      <w:bookmarkEnd w:id="89"/>
    </w:p>
    <w:p w14:paraId="23E9B310">
      <w:pPr>
        <w:rPr>
          <w:rFonts w:hint="eastAsia"/>
          <w:sz w:val="28"/>
          <w:szCs w:val="28"/>
        </w:rPr>
      </w:pPr>
      <w:bookmarkStart w:id="90" w:name="_Toc254970697"/>
      <w:bookmarkStart w:id="91" w:name="_Toc254970556"/>
    </w:p>
    <w:p w14:paraId="748C2A15">
      <w:pPr>
        <w:rPr>
          <w:rFonts w:hint="eastAsia"/>
          <w:sz w:val="28"/>
          <w:szCs w:val="28"/>
        </w:rPr>
      </w:pPr>
    </w:p>
    <w:p w14:paraId="1DBE613B">
      <w:pPr>
        <w:spacing w:line="500" w:lineRule="exact"/>
        <w:ind w:firstLine="560" w:firstLineChars="200"/>
        <w:rPr>
          <w:rFonts w:hint="eastAsia"/>
          <w:sz w:val="28"/>
          <w:szCs w:val="28"/>
        </w:rPr>
      </w:pPr>
      <w:bookmarkStart w:id="92" w:name="_Hlk89181132"/>
      <w:r>
        <w:rPr>
          <w:rFonts w:hint="eastAsia"/>
          <w:sz w:val="28"/>
          <w:szCs w:val="28"/>
        </w:rPr>
        <w:t>注：有签字、盖章要求的应按要求签字（签章）、盖章（签章）</w:t>
      </w:r>
      <w:bookmarkEnd w:id="90"/>
      <w:bookmarkEnd w:id="91"/>
      <w:bookmarkEnd w:id="92"/>
    </w:p>
    <w:p w14:paraId="7121E3DB">
      <w:pPr>
        <w:snapToGrid w:val="0"/>
        <w:spacing w:before="120" w:beforeLines="50" w:after="50" w:line="440" w:lineRule="exact"/>
        <w:jc w:val="left"/>
        <w:outlineLvl w:val="1"/>
        <w:rPr>
          <w:b/>
          <w:sz w:val="24"/>
        </w:rPr>
      </w:pPr>
      <w:r>
        <w:rPr>
          <w:sz w:val="24"/>
        </w:rPr>
        <w:br w:type="page"/>
      </w:r>
      <w:r>
        <w:rPr>
          <w:rFonts w:hint="eastAsia"/>
          <w:b w:val="0"/>
          <w:bCs w:val="0"/>
          <w:sz w:val="24"/>
        </w:rPr>
        <w:t>1.</w:t>
      </w:r>
      <w:r>
        <w:rPr>
          <w:b w:val="0"/>
          <w:bCs w:val="0"/>
          <w:sz w:val="24"/>
        </w:rPr>
        <w:t>响应文件封面</w:t>
      </w:r>
      <w:r>
        <w:rPr>
          <w:rFonts w:hint="eastAsia"/>
          <w:b w:val="0"/>
          <w:bCs w:val="0"/>
          <w:sz w:val="24"/>
          <w:lang w:val="en-US" w:eastAsia="zh-CN"/>
        </w:rPr>
        <w:t>参考</w:t>
      </w:r>
      <w:r>
        <w:rPr>
          <w:b w:val="0"/>
          <w:bCs w:val="0"/>
          <w:sz w:val="24"/>
        </w:rPr>
        <w:t>格式</w:t>
      </w:r>
      <w:bookmarkStart w:id="93" w:name="_Hlk92966991"/>
      <w:r>
        <w:rPr>
          <w:rFonts w:hint="eastAsia"/>
          <w:b w:val="0"/>
          <w:bCs w:val="0"/>
          <w:sz w:val="24"/>
        </w:rPr>
        <w:t>（资格证明文件）</w:t>
      </w:r>
      <w:bookmarkEnd w:id="93"/>
      <w:r>
        <w:rPr>
          <w:b w:val="0"/>
          <w:bCs w:val="0"/>
          <w:sz w:val="24"/>
        </w:rPr>
        <w:t>：</w:t>
      </w:r>
      <w:r>
        <w:rPr>
          <w:b/>
          <w:bCs/>
          <w:sz w:val="24"/>
        </w:rPr>
        <w:t xml:space="preserve"> </w:t>
      </w:r>
    </w:p>
    <w:p w14:paraId="784E1E86">
      <w:pPr>
        <w:snapToGrid w:val="0"/>
        <w:spacing w:before="120" w:beforeLines="50" w:after="50" w:line="360" w:lineRule="exact"/>
        <w:rPr>
          <w:sz w:val="24"/>
        </w:rPr>
      </w:pPr>
    </w:p>
    <w:p w14:paraId="5B633CF8">
      <w:pPr>
        <w:snapToGrid w:val="0"/>
        <w:spacing w:before="120" w:beforeLines="50" w:after="50" w:line="360" w:lineRule="exact"/>
        <w:jc w:val="right"/>
        <w:rPr>
          <w:rFonts w:hint="eastAsia"/>
          <w:bCs/>
          <w:sz w:val="24"/>
        </w:rPr>
      </w:pPr>
    </w:p>
    <w:p w14:paraId="057D18B7">
      <w:pPr>
        <w:snapToGrid w:val="0"/>
        <w:spacing w:before="120" w:beforeLines="50" w:after="50" w:line="360" w:lineRule="exact"/>
        <w:jc w:val="center"/>
        <w:rPr>
          <w:bCs/>
          <w:sz w:val="24"/>
        </w:rPr>
      </w:pPr>
      <w:r>
        <w:rPr>
          <w:rFonts w:hint="eastAsia" w:ascii="宋体" w:hAnsi="宋体" w:eastAsia="宋体"/>
          <w:b/>
          <w:sz w:val="44"/>
          <w:szCs w:val="24"/>
        </w:rPr>
        <w:t>电子响应文件</w:t>
      </w:r>
    </w:p>
    <w:p w14:paraId="741F651D">
      <w:pPr>
        <w:snapToGrid w:val="0"/>
        <w:spacing w:before="120" w:beforeLines="50" w:after="50" w:line="360" w:lineRule="exact"/>
        <w:jc w:val="center"/>
        <w:rPr>
          <w:b/>
          <w:bCs/>
          <w:sz w:val="44"/>
          <w:szCs w:val="44"/>
        </w:rPr>
      </w:pPr>
    </w:p>
    <w:p w14:paraId="5E6BAB3F">
      <w:pPr>
        <w:snapToGrid w:val="0"/>
        <w:spacing w:before="120" w:beforeLines="50" w:after="50" w:line="360" w:lineRule="exact"/>
        <w:jc w:val="center"/>
        <w:rPr>
          <w:b/>
          <w:bCs/>
          <w:sz w:val="44"/>
          <w:szCs w:val="44"/>
        </w:rPr>
      </w:pPr>
    </w:p>
    <w:p w14:paraId="030E5CA8">
      <w:pPr>
        <w:snapToGrid w:val="0"/>
        <w:spacing w:before="120" w:beforeLines="50" w:after="50" w:line="360" w:lineRule="exact"/>
        <w:jc w:val="center"/>
        <w:rPr>
          <w:b/>
          <w:bCs/>
          <w:sz w:val="44"/>
          <w:szCs w:val="44"/>
        </w:rPr>
      </w:pPr>
      <w:bookmarkStart w:id="94" w:name="_Hlk92967018"/>
      <w:r>
        <w:rPr>
          <w:b/>
          <w:bCs/>
          <w:sz w:val="44"/>
          <w:szCs w:val="44"/>
        </w:rPr>
        <w:t>资格</w:t>
      </w:r>
      <w:r>
        <w:rPr>
          <w:rFonts w:hint="eastAsia"/>
          <w:b/>
          <w:bCs/>
          <w:sz w:val="44"/>
          <w:szCs w:val="44"/>
        </w:rPr>
        <w:t>证明文件</w:t>
      </w:r>
    </w:p>
    <w:bookmarkEnd w:id="94"/>
    <w:p w14:paraId="15A6840A">
      <w:pPr>
        <w:snapToGrid w:val="0"/>
        <w:spacing w:before="120" w:beforeLines="50" w:after="50" w:line="360" w:lineRule="exact"/>
        <w:jc w:val="center"/>
        <w:rPr>
          <w:b/>
          <w:bCs/>
          <w:sz w:val="44"/>
          <w:szCs w:val="44"/>
        </w:rPr>
      </w:pPr>
    </w:p>
    <w:p w14:paraId="1230F329">
      <w:pPr>
        <w:snapToGrid w:val="0"/>
        <w:spacing w:before="120" w:beforeLines="50" w:after="50" w:line="360" w:lineRule="exact"/>
        <w:rPr>
          <w:bCs/>
          <w:sz w:val="24"/>
        </w:rPr>
      </w:pPr>
    </w:p>
    <w:p w14:paraId="105DCEB8">
      <w:pPr>
        <w:snapToGrid w:val="0"/>
        <w:spacing w:before="120" w:beforeLines="50" w:after="50" w:line="360" w:lineRule="exact"/>
        <w:ind w:firstLine="720" w:firstLineChars="300"/>
        <w:rPr>
          <w:bCs/>
          <w:sz w:val="24"/>
        </w:rPr>
      </w:pPr>
      <w:r>
        <w:rPr>
          <w:bCs/>
          <w:sz w:val="24"/>
        </w:rPr>
        <w:t xml:space="preserve">项目名称： </w:t>
      </w:r>
    </w:p>
    <w:p w14:paraId="01CDD5D3">
      <w:pPr>
        <w:snapToGrid w:val="0"/>
        <w:spacing w:before="120" w:beforeLines="50" w:after="50" w:line="360" w:lineRule="exact"/>
        <w:ind w:firstLine="720" w:firstLineChars="300"/>
        <w:rPr>
          <w:bCs/>
          <w:sz w:val="24"/>
        </w:rPr>
      </w:pPr>
      <w:r>
        <w:rPr>
          <w:bCs/>
          <w:sz w:val="24"/>
        </w:rPr>
        <w:t>项目编号：</w:t>
      </w:r>
    </w:p>
    <w:p w14:paraId="7424F212">
      <w:pPr>
        <w:snapToGrid w:val="0"/>
        <w:spacing w:before="120" w:beforeLines="50" w:after="50" w:line="440" w:lineRule="exact"/>
        <w:ind w:firstLine="720" w:firstLineChars="300"/>
        <w:rPr>
          <w:bCs/>
          <w:sz w:val="24"/>
        </w:rPr>
      </w:pPr>
      <w:r>
        <w:rPr>
          <w:bCs/>
          <w:sz w:val="24"/>
        </w:rPr>
        <w:t>分标号：（若无</w:t>
      </w:r>
      <w:r>
        <w:rPr>
          <w:rFonts w:hint="eastAsia"/>
          <w:bCs/>
          <w:sz w:val="24"/>
        </w:rPr>
        <w:t>留空或写</w:t>
      </w:r>
      <w:r>
        <w:rPr>
          <w:bCs/>
          <w:sz w:val="24"/>
        </w:rPr>
        <w:t>“/”）</w:t>
      </w:r>
    </w:p>
    <w:p w14:paraId="3F7C064A">
      <w:pPr>
        <w:snapToGrid w:val="0"/>
        <w:spacing w:before="120" w:beforeLines="50" w:after="50" w:line="360" w:lineRule="exact"/>
        <w:ind w:firstLine="720" w:firstLineChars="300"/>
        <w:rPr>
          <w:bCs/>
          <w:sz w:val="24"/>
        </w:rPr>
      </w:pPr>
      <w:r>
        <w:rPr>
          <w:bCs/>
          <w:sz w:val="24"/>
        </w:rPr>
        <w:t>供应商名称：</w:t>
      </w:r>
    </w:p>
    <w:p w14:paraId="3366F929">
      <w:pPr>
        <w:snapToGrid w:val="0"/>
        <w:spacing w:before="120" w:beforeLines="50" w:after="50" w:line="360" w:lineRule="exact"/>
        <w:ind w:firstLine="720" w:firstLineChars="300"/>
        <w:rPr>
          <w:bCs/>
          <w:sz w:val="24"/>
        </w:rPr>
      </w:pPr>
      <w:r>
        <w:rPr>
          <w:bCs/>
          <w:sz w:val="24"/>
        </w:rPr>
        <w:t>供应商地址：</w:t>
      </w:r>
    </w:p>
    <w:p w14:paraId="550F73CA">
      <w:pPr>
        <w:pStyle w:val="7"/>
        <w:snapToGrid w:val="0"/>
        <w:spacing w:before="50" w:after="50" w:line="360" w:lineRule="exact"/>
        <w:ind w:firstLine="960" w:firstLineChars="400"/>
        <w:rPr>
          <w:bCs/>
          <w:sz w:val="24"/>
          <w:szCs w:val="24"/>
        </w:rPr>
      </w:pPr>
    </w:p>
    <w:p w14:paraId="0025118B">
      <w:pPr>
        <w:snapToGrid w:val="0"/>
        <w:spacing w:before="120" w:beforeLines="50" w:after="50" w:line="360" w:lineRule="exact"/>
        <w:jc w:val="center"/>
        <w:rPr>
          <w:sz w:val="24"/>
        </w:rPr>
      </w:pPr>
      <w:r>
        <w:rPr>
          <w:sz w:val="24"/>
        </w:rPr>
        <w:t xml:space="preserve">                        年  月  日</w:t>
      </w:r>
    </w:p>
    <w:p w14:paraId="4CAFE78C">
      <w:pPr>
        <w:snapToGrid w:val="0"/>
        <w:spacing w:before="50" w:after="50" w:line="440" w:lineRule="exact"/>
        <w:rPr>
          <w:b/>
          <w:sz w:val="24"/>
        </w:rPr>
      </w:pPr>
      <w:r>
        <w:rPr>
          <w:b/>
          <w:sz w:val="24"/>
        </w:rPr>
        <w:t xml:space="preserve"> </w:t>
      </w:r>
    </w:p>
    <w:p w14:paraId="0A6492EC">
      <w:r>
        <w:t xml:space="preserve"> </w:t>
      </w:r>
    </w:p>
    <w:p w14:paraId="5FF0B149">
      <w:pPr>
        <w:snapToGrid w:val="0"/>
        <w:spacing w:before="120" w:beforeLines="50" w:after="50" w:line="440" w:lineRule="exact"/>
        <w:jc w:val="center"/>
        <w:outlineLvl w:val="9"/>
        <w:rPr>
          <w:b/>
          <w:bCs/>
          <w:sz w:val="24"/>
        </w:rPr>
      </w:pPr>
      <w:bookmarkStart w:id="95" w:name="_Toc254970698"/>
      <w:bookmarkStart w:id="96" w:name="_Toc254970557"/>
      <w:r>
        <w:rPr>
          <w:sz w:val="24"/>
        </w:rPr>
        <w:br w:type="page"/>
      </w:r>
      <w:bookmarkEnd w:id="95"/>
      <w:bookmarkEnd w:id="96"/>
    </w:p>
    <w:p w14:paraId="3A15FDC8">
      <w:pPr>
        <w:snapToGrid w:val="0"/>
        <w:spacing w:before="120" w:beforeLines="50" w:after="50" w:line="440" w:lineRule="exact"/>
        <w:jc w:val="center"/>
        <w:rPr>
          <w:sz w:val="24"/>
        </w:rPr>
      </w:pPr>
    </w:p>
    <w:p w14:paraId="1A8A68A2">
      <w:pPr>
        <w:snapToGrid w:val="0"/>
        <w:spacing w:before="50" w:after="50" w:line="440" w:lineRule="exact"/>
        <w:ind w:firstLine="138" w:firstLineChars="49"/>
        <w:jc w:val="center"/>
        <w:rPr>
          <w:b/>
          <w:sz w:val="28"/>
          <w:szCs w:val="28"/>
        </w:rPr>
      </w:pPr>
      <w:r>
        <w:rPr>
          <w:b/>
          <w:sz w:val="28"/>
          <w:szCs w:val="28"/>
        </w:rPr>
        <w:t>目录</w:t>
      </w:r>
    </w:p>
    <w:p w14:paraId="33C54497">
      <w:pPr>
        <w:snapToGrid w:val="0"/>
        <w:spacing w:before="50" w:after="50" w:line="440" w:lineRule="exact"/>
        <w:ind w:firstLine="118" w:firstLineChars="49"/>
        <w:jc w:val="center"/>
        <w:rPr>
          <w:rFonts w:hint="eastAsia"/>
          <w:b/>
          <w:sz w:val="24"/>
        </w:rPr>
      </w:pPr>
      <w:r>
        <w:rPr>
          <w:b/>
          <w:sz w:val="24"/>
        </w:rPr>
        <w:t>（需有页码）</w:t>
      </w:r>
    </w:p>
    <w:p w14:paraId="124B8BEB">
      <w:pPr>
        <w:snapToGrid w:val="0"/>
        <w:spacing w:before="120" w:beforeLines="50" w:after="50" w:line="440" w:lineRule="exact"/>
        <w:jc w:val="center"/>
        <w:outlineLvl w:val="9"/>
        <w:rPr>
          <w:rStyle w:val="59"/>
          <w:rFonts w:ascii="Times New Roman" w:hAnsi="Times New Roman" w:eastAsia="宋体"/>
        </w:rPr>
      </w:pPr>
      <w:r>
        <w:rPr>
          <w:b/>
          <w:sz w:val="24"/>
        </w:rPr>
        <w:br w:type="page"/>
      </w:r>
      <w:r>
        <w:rPr>
          <w:b/>
          <w:sz w:val="24"/>
        </w:rPr>
        <w:t>第</w:t>
      </w:r>
      <w:r>
        <w:rPr>
          <w:rFonts w:hint="eastAsia"/>
          <w:b/>
          <w:sz w:val="24"/>
          <w:lang w:val="en-US" w:eastAsia="zh-CN"/>
        </w:rPr>
        <w:t>一</w:t>
      </w:r>
      <w:r>
        <w:rPr>
          <w:b/>
          <w:sz w:val="24"/>
        </w:rPr>
        <w:t xml:space="preserve">部分 </w:t>
      </w:r>
      <w:r>
        <w:rPr>
          <w:rFonts w:hint="eastAsia"/>
          <w:b/>
          <w:sz w:val="24"/>
          <w:lang w:val="en-US" w:eastAsia="zh-CN"/>
        </w:rPr>
        <w:t>资格证明</w:t>
      </w:r>
      <w:r>
        <w:rPr>
          <w:b/>
          <w:sz w:val="24"/>
        </w:rPr>
        <w:t>文件</w:t>
      </w:r>
    </w:p>
    <w:p w14:paraId="762DF6BC">
      <w:pPr>
        <w:snapToGrid w:val="0"/>
        <w:spacing w:before="50" w:after="120" w:afterLines="50" w:line="400" w:lineRule="exact"/>
        <w:jc w:val="left"/>
        <w:rPr>
          <w:b/>
          <w:szCs w:val="21"/>
        </w:rPr>
      </w:pPr>
      <w:r>
        <w:rPr>
          <w:b/>
          <w:szCs w:val="21"/>
        </w:rPr>
        <w:t>1．响应声明书格式：</w:t>
      </w:r>
    </w:p>
    <w:p w14:paraId="27B77537">
      <w:pPr>
        <w:snapToGrid w:val="0"/>
        <w:spacing w:before="120" w:beforeLines="50" w:after="50" w:line="360" w:lineRule="exact"/>
        <w:jc w:val="center"/>
        <w:rPr>
          <w:rFonts w:hint="eastAsia"/>
          <w:b/>
          <w:szCs w:val="21"/>
        </w:rPr>
      </w:pPr>
    </w:p>
    <w:p w14:paraId="446C4E7F">
      <w:pPr>
        <w:snapToGrid w:val="0"/>
        <w:spacing w:before="120" w:beforeLines="50" w:after="50" w:line="360" w:lineRule="exact"/>
        <w:jc w:val="center"/>
        <w:rPr>
          <w:rFonts w:hint="eastAsia"/>
          <w:b/>
          <w:szCs w:val="21"/>
        </w:rPr>
      </w:pPr>
      <w:r>
        <w:rPr>
          <w:b/>
          <w:szCs w:val="21"/>
        </w:rPr>
        <w:t>响应声明书</w:t>
      </w:r>
    </w:p>
    <w:p w14:paraId="4450234D">
      <w:pPr>
        <w:snapToGrid w:val="0"/>
        <w:spacing w:before="120" w:beforeLines="50" w:after="50" w:line="360" w:lineRule="exact"/>
        <w:rPr>
          <w:szCs w:val="21"/>
        </w:rPr>
      </w:pPr>
      <w:r>
        <w:rPr>
          <w:szCs w:val="21"/>
        </w:rPr>
        <w:t>致：</w:t>
      </w:r>
      <w:r>
        <w:rPr>
          <w:i/>
          <w:iCs/>
          <w:szCs w:val="21"/>
          <w:u w:val="single"/>
        </w:rPr>
        <w:t>（采购</w:t>
      </w:r>
      <w:r>
        <w:rPr>
          <w:rFonts w:hint="eastAsia"/>
          <w:i/>
          <w:iCs/>
          <w:szCs w:val="21"/>
          <w:u w:val="single"/>
        </w:rPr>
        <w:t>人</w:t>
      </w:r>
      <w:r>
        <w:rPr>
          <w:i/>
          <w:iCs/>
          <w:szCs w:val="21"/>
          <w:u w:val="single"/>
        </w:rPr>
        <w:t>名称）</w:t>
      </w:r>
      <w:r>
        <w:rPr>
          <w:szCs w:val="21"/>
        </w:rPr>
        <w:t>：</w:t>
      </w:r>
    </w:p>
    <w:p w14:paraId="7536FA32">
      <w:pPr>
        <w:snapToGrid w:val="0"/>
        <w:spacing w:before="120" w:beforeLines="50" w:after="50" w:line="360" w:lineRule="exact"/>
        <w:ind w:firstLine="630" w:firstLineChars="300"/>
        <w:rPr>
          <w:szCs w:val="21"/>
        </w:rPr>
      </w:pPr>
      <w:r>
        <w:rPr>
          <w:i/>
          <w:iCs/>
          <w:szCs w:val="21"/>
          <w:u w:val="single"/>
        </w:rPr>
        <w:t>（供应商名称）</w:t>
      </w:r>
      <w:r>
        <w:rPr>
          <w:szCs w:val="21"/>
        </w:rPr>
        <w:t>系中华人民共和国合法企业，</w:t>
      </w:r>
      <w:r>
        <w:rPr>
          <w:rFonts w:hint="eastAsia"/>
          <w:szCs w:val="21"/>
          <w:u w:val="single"/>
        </w:rPr>
        <w:t xml:space="preserve"> </w:t>
      </w:r>
      <w:r>
        <w:rPr>
          <w:i/>
          <w:iCs/>
          <w:szCs w:val="21"/>
          <w:u w:val="single"/>
        </w:rPr>
        <w:t xml:space="preserve"> </w:t>
      </w:r>
      <w:r>
        <w:rPr>
          <w:rFonts w:hint="eastAsia"/>
          <w:i/>
          <w:iCs/>
          <w:szCs w:val="21"/>
          <w:u w:val="single"/>
        </w:rPr>
        <w:t>（</w:t>
      </w:r>
      <w:r>
        <w:rPr>
          <w:i/>
          <w:iCs/>
          <w:szCs w:val="21"/>
          <w:u w:val="single"/>
        </w:rPr>
        <w:t>经营地址</w:t>
      </w:r>
      <w:r>
        <w:rPr>
          <w:rFonts w:hint="eastAsia"/>
          <w:i/>
          <w:iCs/>
          <w:szCs w:val="21"/>
          <w:u w:val="single"/>
        </w:rPr>
        <w:t xml:space="preserve">） </w:t>
      </w:r>
      <w:r>
        <w:rPr>
          <w:i/>
          <w:iCs/>
          <w:szCs w:val="21"/>
          <w:u w:val="single"/>
        </w:rPr>
        <w:t xml:space="preserve"> </w:t>
      </w:r>
      <w:r>
        <w:rPr>
          <w:szCs w:val="21"/>
          <w:u w:val="single"/>
        </w:rPr>
        <w:t xml:space="preserve">  </w:t>
      </w:r>
      <w:r>
        <w:rPr>
          <w:szCs w:val="21"/>
        </w:rPr>
        <w:t>。</w:t>
      </w:r>
    </w:p>
    <w:p w14:paraId="7ED24967">
      <w:pPr>
        <w:snapToGrid w:val="0"/>
        <w:spacing w:before="120" w:beforeLines="50" w:after="50" w:line="360" w:lineRule="exact"/>
        <w:ind w:firstLine="645"/>
        <w:rPr>
          <w:szCs w:val="21"/>
        </w:rPr>
      </w:pPr>
      <w:r>
        <w:rPr>
          <w:szCs w:val="21"/>
        </w:rPr>
        <w:t>我</w:t>
      </w:r>
      <w:r>
        <w:rPr>
          <w:i/>
          <w:iCs/>
          <w:szCs w:val="21"/>
          <w:u w:val="single"/>
        </w:rPr>
        <w:t>（姓名）</w:t>
      </w:r>
      <w:r>
        <w:rPr>
          <w:rFonts w:hint="eastAsia"/>
          <w:i/>
          <w:iCs/>
          <w:szCs w:val="21"/>
          <w:u w:val="single"/>
        </w:rPr>
        <w:t xml:space="preserve"> </w:t>
      </w:r>
      <w:r>
        <w:rPr>
          <w:szCs w:val="21"/>
        </w:rPr>
        <w:t>系</w:t>
      </w:r>
      <w:r>
        <w:rPr>
          <w:i/>
          <w:iCs/>
          <w:szCs w:val="21"/>
          <w:u w:val="single"/>
        </w:rPr>
        <w:t>（供应商名称）</w:t>
      </w:r>
      <w:r>
        <w:rPr>
          <w:szCs w:val="21"/>
        </w:rPr>
        <w:t>的法定代表人，我方愿意参加贵方组织的</w:t>
      </w:r>
      <w:r>
        <w:rPr>
          <w:rFonts w:hint="eastAsia"/>
          <w:i/>
          <w:iCs/>
          <w:szCs w:val="21"/>
          <w:u w:val="single"/>
        </w:rPr>
        <w:t>（项目名称）</w:t>
      </w:r>
      <w:r>
        <w:rPr>
          <w:szCs w:val="21"/>
        </w:rPr>
        <w:t>项目的</w:t>
      </w:r>
      <w:r>
        <w:rPr>
          <w:rFonts w:hint="eastAsia"/>
          <w:szCs w:val="21"/>
        </w:rPr>
        <w:t>谈判</w:t>
      </w:r>
      <w:r>
        <w:rPr>
          <w:szCs w:val="21"/>
        </w:rPr>
        <w:t>，为便于贵方公正、择优地确定成交供应商及其响应产品和服务，我方就本次</w:t>
      </w:r>
      <w:r>
        <w:rPr>
          <w:rFonts w:hint="eastAsia"/>
          <w:szCs w:val="21"/>
        </w:rPr>
        <w:t>谈判</w:t>
      </w:r>
      <w:r>
        <w:rPr>
          <w:szCs w:val="21"/>
        </w:rPr>
        <w:t>有关事项郑重声明如下：</w:t>
      </w:r>
      <w:r>
        <w:rPr>
          <w:rFonts w:hint="eastAsia"/>
          <w:szCs w:val="21"/>
        </w:rPr>
        <w:t xml:space="preserve"> </w:t>
      </w:r>
    </w:p>
    <w:p w14:paraId="574A9424">
      <w:pPr>
        <w:snapToGrid w:val="0"/>
        <w:spacing w:before="120" w:beforeLines="50" w:line="360" w:lineRule="exact"/>
        <w:ind w:firstLine="420" w:firstLineChars="200"/>
        <w:rPr>
          <w:szCs w:val="21"/>
        </w:rPr>
      </w:pPr>
      <w:r>
        <w:rPr>
          <w:szCs w:val="21"/>
        </w:rPr>
        <w:t>（1）我方向贵方提交的所有响应文件、资料都是准确的和真实的。</w:t>
      </w:r>
    </w:p>
    <w:p w14:paraId="1377D8F8">
      <w:pPr>
        <w:snapToGrid w:val="0"/>
        <w:spacing w:before="120" w:beforeLines="50" w:line="360" w:lineRule="exact"/>
        <w:ind w:firstLine="420" w:firstLineChars="200"/>
        <w:rPr>
          <w:szCs w:val="21"/>
        </w:rPr>
      </w:pPr>
      <w:r>
        <w:rPr>
          <w:szCs w:val="21"/>
        </w:rPr>
        <w:t>（2）我方不是采购人的附属机构；也不是为本项目提供整体设计、规范编制或者项目管理、监理、检测等服务的供应商或其附属机构。</w:t>
      </w:r>
    </w:p>
    <w:p w14:paraId="7EB3A63E">
      <w:pPr>
        <w:snapToGrid w:val="0"/>
        <w:spacing w:before="120" w:beforeLines="50" w:line="360" w:lineRule="exact"/>
        <w:ind w:firstLine="420" w:firstLineChars="200"/>
        <w:rPr>
          <w:szCs w:val="21"/>
        </w:rPr>
      </w:pPr>
      <w:r>
        <w:rPr>
          <w:szCs w:val="21"/>
        </w:rPr>
        <w:t>（3） 我方承诺在参加本政府采购项目活动前，没有被纳入政府部门或银行认定的失信名单，我方具有良好的商业信誉。</w:t>
      </w:r>
    </w:p>
    <w:p w14:paraId="7BD2542A">
      <w:pPr>
        <w:snapToGrid w:val="0"/>
        <w:spacing w:before="120" w:beforeLines="50" w:line="360" w:lineRule="exact"/>
        <w:ind w:firstLine="420" w:firstLineChars="200"/>
        <w:rPr>
          <w:rFonts w:hint="eastAsia"/>
          <w:szCs w:val="21"/>
        </w:rPr>
      </w:pPr>
      <w:r>
        <w:rPr>
          <w:szCs w:val="21"/>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18CB7E7C">
      <w:pPr>
        <w:snapToGrid w:val="0"/>
        <w:spacing w:before="120" w:beforeLines="50" w:line="360" w:lineRule="exact"/>
        <w:ind w:firstLine="420" w:firstLineChars="200"/>
        <w:rPr>
          <w:szCs w:val="21"/>
          <w:lang w:val="zh-CN"/>
        </w:rPr>
      </w:pPr>
      <w:r>
        <w:rPr>
          <w:szCs w:val="21"/>
        </w:rPr>
        <w:t>（5）</w:t>
      </w:r>
      <w:r>
        <w:rPr>
          <w:szCs w:val="21"/>
          <w:lang w:val="zh-CN"/>
        </w:rPr>
        <w:t>我方</w:t>
      </w:r>
      <w:r>
        <w:rPr>
          <w:szCs w:val="21"/>
        </w:rPr>
        <w:t>承诺</w:t>
      </w:r>
      <w:r>
        <w:rPr>
          <w:szCs w:val="21"/>
          <w:lang w:val="zh-CN"/>
        </w:rPr>
        <w:t>具有履行本项目合同所必需的设备和专业技术能力。</w:t>
      </w:r>
    </w:p>
    <w:p w14:paraId="167B3140">
      <w:pPr>
        <w:snapToGrid w:val="0"/>
        <w:spacing w:before="120" w:beforeLines="50" w:line="360" w:lineRule="exact"/>
        <w:ind w:firstLine="420" w:firstLineChars="200"/>
        <w:rPr>
          <w:szCs w:val="21"/>
        </w:rPr>
      </w:pPr>
      <w:r>
        <w:rPr>
          <w:rFonts w:hint="eastAsia"/>
          <w:szCs w:val="21"/>
        </w:rPr>
        <w:t>（6）我方承诺</w:t>
      </w:r>
      <w:r>
        <w:rPr>
          <w:szCs w:val="21"/>
        </w:rPr>
        <w:t>未被列入失信被执行人、重大税收违法失信主体、政府采购严重违法失信行为记录名单</w:t>
      </w:r>
      <w:r>
        <w:rPr>
          <w:rFonts w:hint="eastAsia"/>
          <w:szCs w:val="21"/>
        </w:rPr>
        <w:t>，如我方提供的声明不实，则接受本次响应作为否决响应的处理，</w:t>
      </w:r>
      <w:r>
        <w:rPr>
          <w:szCs w:val="21"/>
        </w:rPr>
        <w:t>并根据财库〔2016〕125号《财政部关于在政府采购活动中查询及使用信用记录有关问题的通知》规定接受失信联合惩戒。</w:t>
      </w:r>
    </w:p>
    <w:p w14:paraId="70C7B139">
      <w:pPr>
        <w:snapToGrid w:val="0"/>
        <w:spacing w:before="120" w:beforeLines="50" w:line="360" w:lineRule="exact"/>
        <w:ind w:firstLine="420" w:firstLineChars="200"/>
        <w:rPr>
          <w:rFonts w:hint="eastAsia"/>
          <w:szCs w:val="21"/>
        </w:rPr>
      </w:pPr>
      <w:r>
        <w:rPr>
          <w:rFonts w:hint="eastAsia"/>
          <w:szCs w:val="21"/>
        </w:rPr>
        <w:t>（7）我方承诺成交后按</w:t>
      </w:r>
      <w:r>
        <w:rPr>
          <w:szCs w:val="21"/>
        </w:rPr>
        <w:t>规定缴纳代理服务费</w:t>
      </w:r>
      <w:r>
        <w:rPr>
          <w:rFonts w:hint="eastAsia"/>
          <w:szCs w:val="21"/>
        </w:rPr>
        <w:t>。如未按时缴纳，</w:t>
      </w:r>
      <w:r>
        <w:rPr>
          <w:szCs w:val="21"/>
        </w:rPr>
        <w:t>贵方可</w:t>
      </w:r>
      <w:r>
        <w:rPr>
          <w:rFonts w:hint="eastAsia"/>
          <w:szCs w:val="21"/>
        </w:rPr>
        <w:t>不退还</w:t>
      </w:r>
      <w:r>
        <w:rPr>
          <w:szCs w:val="21"/>
        </w:rPr>
        <w:t>我</w:t>
      </w:r>
      <w:r>
        <w:rPr>
          <w:rFonts w:hint="eastAsia"/>
          <w:szCs w:val="21"/>
        </w:rPr>
        <w:t>方</w:t>
      </w:r>
      <w:r>
        <w:rPr>
          <w:szCs w:val="21"/>
        </w:rPr>
        <w:t>提交的谈判保证金</w:t>
      </w:r>
      <w:r>
        <w:rPr>
          <w:rFonts w:hint="eastAsia"/>
          <w:szCs w:val="21"/>
        </w:rPr>
        <w:t>，并从中</w:t>
      </w:r>
      <w:r>
        <w:rPr>
          <w:szCs w:val="21"/>
        </w:rPr>
        <w:t>扣除</w:t>
      </w:r>
      <w:r>
        <w:rPr>
          <w:rFonts w:hint="eastAsia"/>
          <w:szCs w:val="21"/>
        </w:rPr>
        <w:t>代理服务费。</w:t>
      </w:r>
    </w:p>
    <w:p w14:paraId="562B591A">
      <w:pPr>
        <w:snapToGrid w:val="0"/>
        <w:spacing w:before="120" w:beforeLines="50" w:line="360" w:lineRule="exact"/>
        <w:ind w:firstLine="420" w:firstLineChars="200"/>
        <w:rPr>
          <w:szCs w:val="21"/>
        </w:rPr>
      </w:pPr>
      <w:r>
        <w:rPr>
          <w:szCs w:val="21"/>
        </w:rPr>
        <w:t>我方对以上声明负全部法律责任。如有虚假或隐瞒，我方愿意承担一切后果，并不再寻求任何旨在减轻或免除法律责任的辩解。</w:t>
      </w:r>
    </w:p>
    <w:p w14:paraId="30CD9B8B">
      <w:pPr>
        <w:snapToGrid w:val="0"/>
        <w:spacing w:before="120" w:beforeLines="50" w:line="360" w:lineRule="exact"/>
        <w:ind w:firstLine="420" w:firstLineChars="200"/>
        <w:rPr>
          <w:szCs w:val="21"/>
        </w:rPr>
      </w:pPr>
    </w:p>
    <w:p w14:paraId="3355D954">
      <w:pPr>
        <w:snapToGrid w:val="0"/>
        <w:spacing w:before="120" w:beforeLines="50" w:after="50" w:line="360" w:lineRule="exact"/>
        <w:ind w:firstLine="3570" w:firstLineChars="1700"/>
        <w:rPr>
          <w:szCs w:val="21"/>
        </w:rPr>
      </w:pPr>
      <w:bookmarkStart w:id="97" w:name="_Hlk89181199"/>
      <w:r>
        <w:rPr>
          <w:szCs w:val="21"/>
        </w:rPr>
        <w:t>供应商</w:t>
      </w:r>
      <w:r>
        <w:rPr>
          <w:rFonts w:hint="eastAsia"/>
          <w:szCs w:val="21"/>
        </w:rPr>
        <w:t>名称（电子签章）</w:t>
      </w:r>
      <w:r>
        <w:rPr>
          <w:szCs w:val="21"/>
        </w:rPr>
        <w:t>：</w:t>
      </w:r>
      <w:r>
        <w:rPr>
          <w:szCs w:val="21"/>
          <w:u w:val="single"/>
        </w:rPr>
        <w:t xml:space="preserve">                </w:t>
      </w:r>
    </w:p>
    <w:p w14:paraId="08D3CC3B">
      <w:pPr>
        <w:snapToGrid w:val="0"/>
        <w:spacing w:before="120" w:beforeLines="50" w:after="50" w:line="360" w:lineRule="exact"/>
        <w:ind w:firstLine="210" w:firstLineChars="100"/>
        <w:rPr>
          <w:szCs w:val="21"/>
        </w:rPr>
      </w:pPr>
      <w:r>
        <w:rPr>
          <w:szCs w:val="21"/>
        </w:rPr>
        <w:t xml:space="preserve">                                          年    月    日</w:t>
      </w:r>
    </w:p>
    <w:bookmarkEnd w:id="97"/>
    <w:p w14:paraId="7B35CB4A">
      <w:pPr>
        <w:snapToGrid w:val="0"/>
        <w:spacing w:before="120" w:beforeLines="50" w:after="50" w:line="360" w:lineRule="exact"/>
        <w:ind w:firstLine="210" w:firstLineChars="100"/>
        <w:rPr>
          <w:rFonts w:hint="eastAsia"/>
          <w:szCs w:val="21"/>
        </w:rPr>
      </w:pPr>
    </w:p>
    <w:p w14:paraId="035EDC6A">
      <w:pPr>
        <w:spacing w:line="360" w:lineRule="auto"/>
        <w:rPr>
          <w:rFonts w:hint="eastAsia"/>
        </w:rPr>
      </w:pPr>
      <w:bookmarkStart w:id="98" w:name="_Hlk21623528"/>
    </w:p>
    <w:bookmarkEnd w:id="98"/>
    <w:p w14:paraId="60A0CEB8">
      <w:pPr>
        <w:snapToGrid w:val="0"/>
        <w:spacing w:before="120" w:beforeLines="50" w:after="50" w:line="440" w:lineRule="exact"/>
        <w:rPr>
          <w:szCs w:val="21"/>
        </w:rPr>
      </w:pPr>
      <w:r>
        <w:rPr>
          <w:szCs w:val="21"/>
        </w:rPr>
        <w:br w:type="page"/>
      </w:r>
      <w:r>
        <w:rPr>
          <w:rFonts w:hint="eastAsia"/>
          <w:szCs w:val="21"/>
        </w:rPr>
        <w:t>2</w:t>
      </w:r>
      <w:r>
        <w:rPr>
          <w:szCs w:val="21"/>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w:t>
      </w:r>
      <w:bookmarkStart w:id="99" w:name="_Hlk89181279"/>
      <w:r>
        <w:rPr>
          <w:szCs w:val="21"/>
        </w:rPr>
        <w:t>供应商</w:t>
      </w:r>
      <w:r>
        <w:rPr>
          <w:rFonts w:hint="eastAsia"/>
          <w:szCs w:val="21"/>
        </w:rPr>
        <w:t>电子签章</w:t>
      </w:r>
      <w:bookmarkEnd w:id="99"/>
      <w:r>
        <w:rPr>
          <w:szCs w:val="21"/>
        </w:rPr>
        <w:t>）</w:t>
      </w:r>
      <w:r>
        <w:rPr>
          <w:rFonts w:hint="eastAsia"/>
          <w:szCs w:val="21"/>
        </w:rPr>
        <w:t>。</w:t>
      </w:r>
    </w:p>
    <w:p w14:paraId="31E8DAC1">
      <w:pPr>
        <w:snapToGrid w:val="0"/>
        <w:spacing w:before="120" w:beforeLines="50" w:after="50" w:line="440" w:lineRule="exact"/>
        <w:rPr>
          <w:szCs w:val="21"/>
        </w:rPr>
      </w:pPr>
      <w:bookmarkStart w:id="100" w:name="_Hlk21623558"/>
    </w:p>
    <w:p w14:paraId="2CC00CE0">
      <w:pPr>
        <w:snapToGrid w:val="0"/>
        <w:spacing w:before="120" w:beforeLines="50" w:after="50" w:line="440" w:lineRule="exact"/>
        <w:rPr>
          <w:rFonts w:hint="eastAsia"/>
          <w:b/>
          <w:szCs w:val="21"/>
        </w:rPr>
      </w:pPr>
      <w:r>
        <w:rPr>
          <w:rFonts w:hint="eastAsia"/>
          <w:szCs w:val="21"/>
        </w:rPr>
        <w:t>3</w:t>
      </w:r>
      <w:r>
        <w:rPr>
          <w:szCs w:val="21"/>
        </w:rPr>
        <w:t>．财务状况报告（表）复印件或银行出具的资信证明复印件。</w:t>
      </w:r>
      <w:r>
        <w:t>对于从取得营业执照时间起到</w:t>
      </w:r>
      <w:r>
        <w:rPr>
          <w:rFonts w:hint="eastAsia"/>
          <w:lang w:eastAsia="zh-CN"/>
        </w:rPr>
        <w:t>开启响应文件</w:t>
      </w:r>
      <w:r>
        <w:t>时间为止不足1年的供应商，只需提交</w:t>
      </w:r>
      <w:r>
        <w:rPr>
          <w:rFonts w:hint="eastAsia"/>
          <w:szCs w:val="21"/>
          <w:lang w:eastAsia="zh-CN"/>
        </w:rPr>
        <w:t>开启响应文件</w:t>
      </w:r>
      <w:r>
        <w:rPr>
          <w:szCs w:val="21"/>
        </w:rPr>
        <w:t>时间前一个月的财务状况报告（表）复印件。（按“评审方法及标准” “资格审查表”规定提供）。（加盖供应商</w:t>
      </w:r>
      <w:r>
        <w:rPr>
          <w:rFonts w:hint="eastAsia"/>
          <w:szCs w:val="21"/>
        </w:rPr>
        <w:t>电子签章</w:t>
      </w:r>
      <w:r>
        <w:rPr>
          <w:szCs w:val="21"/>
        </w:rPr>
        <w:t>）</w:t>
      </w:r>
      <w:r>
        <w:rPr>
          <w:rFonts w:hint="eastAsia"/>
          <w:szCs w:val="21"/>
        </w:rPr>
        <w:t>。</w:t>
      </w:r>
    </w:p>
    <w:bookmarkEnd w:id="100"/>
    <w:p w14:paraId="2BFFAF53">
      <w:pPr>
        <w:snapToGrid w:val="0"/>
        <w:spacing w:before="120" w:beforeLines="50" w:after="50" w:line="440" w:lineRule="exact"/>
        <w:rPr>
          <w:szCs w:val="21"/>
        </w:rPr>
      </w:pPr>
    </w:p>
    <w:p w14:paraId="531808CD">
      <w:pPr>
        <w:snapToGrid w:val="0"/>
        <w:spacing w:before="50" w:after="120" w:afterLines="50" w:line="440" w:lineRule="exact"/>
        <w:jc w:val="left"/>
        <w:rPr>
          <w:rFonts w:hint="eastAsia"/>
          <w:b/>
          <w:szCs w:val="21"/>
        </w:rPr>
      </w:pPr>
      <w:r>
        <w:rPr>
          <w:rFonts w:hint="eastAsia"/>
          <w:szCs w:val="21"/>
        </w:rPr>
        <w:t>4</w:t>
      </w:r>
      <w:r>
        <w:rPr>
          <w:szCs w:val="21"/>
        </w:rPr>
        <w:t>．</w:t>
      </w:r>
      <w:r>
        <w:t>依法缴纳税费证明和社会保险缴纳证明材料</w:t>
      </w:r>
      <w:r>
        <w:rPr>
          <w:rFonts w:hint="eastAsia"/>
        </w:rPr>
        <w:t>。</w:t>
      </w:r>
      <w:r>
        <w:t>供应商成立不足</w:t>
      </w:r>
      <w:r>
        <w:rPr>
          <w:rFonts w:hint="eastAsia"/>
        </w:rPr>
        <w:t>1个月的，无须提供</w:t>
      </w:r>
      <w:r>
        <w:t>缴纳税费证明及社保缴费证明</w:t>
      </w:r>
      <w:r>
        <w:rPr>
          <w:rFonts w:hint="eastAsia"/>
        </w:rPr>
        <w:t>。</w:t>
      </w:r>
      <w:r>
        <w:t>依法免税或不需要缴纳社会保障资金的供应商，须提供相应文件证明其依法免税或不需要缴纳社会保障资金。</w:t>
      </w:r>
      <w:r>
        <w:rPr>
          <w:szCs w:val="21"/>
        </w:rPr>
        <w:t>（按“评审方法及标准” “资格性检查表”规定提供）（加盖供应商</w:t>
      </w:r>
      <w:r>
        <w:rPr>
          <w:rFonts w:hint="eastAsia"/>
          <w:szCs w:val="21"/>
        </w:rPr>
        <w:t>电子签章</w:t>
      </w:r>
      <w:r>
        <w:rPr>
          <w:szCs w:val="21"/>
        </w:rPr>
        <w:t>）</w:t>
      </w:r>
      <w:r>
        <w:rPr>
          <w:rFonts w:hint="eastAsia"/>
          <w:szCs w:val="21"/>
        </w:rPr>
        <w:t>。</w:t>
      </w:r>
    </w:p>
    <w:p w14:paraId="4631B9D1">
      <w:pPr>
        <w:snapToGrid w:val="0"/>
        <w:spacing w:before="50" w:after="120" w:afterLines="50" w:line="440" w:lineRule="exact"/>
        <w:jc w:val="left"/>
      </w:pPr>
    </w:p>
    <w:p w14:paraId="2DE05660">
      <w:pPr>
        <w:pStyle w:val="26"/>
        <w:tabs>
          <w:tab w:val="left" w:pos="2127"/>
        </w:tabs>
        <w:spacing w:line="340" w:lineRule="exact"/>
        <w:rPr>
          <w:b/>
        </w:rPr>
      </w:pPr>
      <w:r>
        <w:rPr>
          <w:rFonts w:hint="eastAsia" w:ascii="Times New Roman" w:hAnsi="Times New Roman" w:cs="Times New Roman"/>
        </w:rPr>
        <w:t>5</w:t>
      </w:r>
      <w:r>
        <w:rPr>
          <w:rFonts w:ascii="Times New Roman" w:hAnsi="Times New Roman" w:cs="Times New Roman"/>
        </w:rPr>
        <w:t>．具备法律、行政法规规定的其他要求的证明材料（按“评审方法及标准” “资格性检查表”规定提供）。</w:t>
      </w:r>
      <w:r>
        <w:rPr>
          <w:rFonts w:hint="eastAsia"/>
          <w:b/>
        </w:rPr>
        <w:t>（如采购文件有要求时提供）</w:t>
      </w:r>
    </w:p>
    <w:p w14:paraId="34025D01">
      <w:pPr>
        <w:pStyle w:val="26"/>
        <w:tabs>
          <w:tab w:val="left" w:pos="2127"/>
        </w:tabs>
        <w:spacing w:line="340" w:lineRule="exact"/>
        <w:rPr>
          <w:rFonts w:hint="eastAsia"/>
          <w:b/>
        </w:rPr>
      </w:pPr>
    </w:p>
    <w:p w14:paraId="0DE71BBA">
      <w:pPr>
        <w:snapToGrid w:val="0"/>
        <w:spacing w:before="50" w:after="120" w:afterLines="50" w:line="440" w:lineRule="exact"/>
        <w:jc w:val="left"/>
        <w:rPr>
          <w:rFonts w:hint="eastAsia"/>
          <w:b/>
          <w:szCs w:val="21"/>
        </w:rPr>
      </w:pPr>
      <w:bookmarkStart w:id="101" w:name="_Hlk132792497"/>
      <w:r>
        <w:rPr>
          <w:rFonts w:hint="eastAsia"/>
          <w:szCs w:val="21"/>
        </w:rPr>
        <w:t>6</w:t>
      </w:r>
      <w:r>
        <w:rPr>
          <w:szCs w:val="21"/>
        </w:rPr>
        <w:t>．</w:t>
      </w:r>
      <w:r>
        <w:rPr>
          <w:rFonts w:hint="eastAsia"/>
        </w:rPr>
        <w:t>落实政府采购政策需满足的资格要求</w:t>
      </w:r>
      <w:r>
        <w:t>（</w:t>
      </w:r>
      <w:r>
        <w:rPr>
          <w:szCs w:val="21"/>
        </w:rPr>
        <w:t>按“评审方法及标准” “资格审查表”规定提供</w:t>
      </w:r>
      <w:r>
        <w:t>）。</w:t>
      </w:r>
      <w:r>
        <w:rPr>
          <w:rFonts w:hint="eastAsia"/>
          <w:b/>
          <w:szCs w:val="21"/>
        </w:rPr>
        <w:t>（如采购文件有要求时提供）</w:t>
      </w:r>
      <w:bookmarkEnd w:id="101"/>
    </w:p>
    <w:p w14:paraId="2576E391">
      <w:pPr>
        <w:rPr>
          <w:color w:val="auto"/>
          <w:szCs w:val="21"/>
          <w:highlight w:val="none"/>
        </w:rPr>
      </w:pPr>
      <w:r>
        <w:rPr>
          <w:color w:val="auto"/>
          <w:szCs w:val="21"/>
          <w:highlight w:val="none"/>
        </w:rPr>
        <w:br w:type="page"/>
      </w:r>
    </w:p>
    <w:p w14:paraId="6AA4659D">
      <w:pPr>
        <w:rPr>
          <w:color w:val="auto"/>
          <w:szCs w:val="21"/>
          <w:highlight w:val="none"/>
        </w:rPr>
      </w:pPr>
      <w:r>
        <w:rPr>
          <w:color w:val="auto"/>
          <w:szCs w:val="21"/>
          <w:highlight w:val="none"/>
        </w:rPr>
        <w:t>6.1</w:t>
      </w:r>
      <w:r>
        <w:rPr>
          <w:rFonts w:hint="eastAsia"/>
          <w:bCs/>
          <w:color w:val="auto"/>
          <w:szCs w:val="21"/>
          <w:highlight w:val="none"/>
        </w:rPr>
        <w:t>中小企业声明函</w:t>
      </w:r>
      <w:r>
        <w:rPr>
          <w:color w:val="auto"/>
          <w:szCs w:val="21"/>
          <w:highlight w:val="none"/>
        </w:rPr>
        <w:t>。</w:t>
      </w:r>
    </w:p>
    <w:p w14:paraId="73B6FC0D">
      <w:pPr>
        <w:spacing w:line="360" w:lineRule="auto"/>
        <w:ind w:firstLine="3584" w:firstLineChars="1700"/>
        <w:rPr>
          <w:b/>
          <w:color w:val="auto"/>
          <w:szCs w:val="21"/>
          <w:highlight w:val="none"/>
        </w:rPr>
      </w:pPr>
    </w:p>
    <w:p w14:paraId="7ACA1A42">
      <w:pPr>
        <w:spacing w:line="360" w:lineRule="auto"/>
        <w:ind w:firstLine="3584" w:firstLineChars="1700"/>
        <w:rPr>
          <w:b/>
          <w:color w:val="auto"/>
          <w:szCs w:val="21"/>
          <w:highlight w:val="none"/>
        </w:rPr>
      </w:pPr>
      <w:r>
        <w:rPr>
          <w:rFonts w:hint="eastAsia"/>
          <w:b/>
          <w:color w:val="auto"/>
          <w:szCs w:val="21"/>
          <w:highlight w:val="none"/>
        </w:rPr>
        <w:t>中小企业声明函（货物）</w:t>
      </w:r>
    </w:p>
    <w:p w14:paraId="07FE940D">
      <w:pP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 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采购活动，提供的货物全部由符合政策要求的中小企业制造。相关企业（含联合体中的中小企业、签订分包意向协议的中小企业） 的具体情况如下：</w:t>
      </w:r>
    </w:p>
    <w:p w14:paraId="55178544">
      <w:pP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（招标文件中明确的所属行业）</w:t>
      </w:r>
      <w:r>
        <w:rPr>
          <w:rFonts w:hint="eastAsia"/>
          <w:bCs/>
          <w:color w:val="auto"/>
          <w:szCs w:val="21"/>
          <w:highlight w:val="none"/>
        </w:rPr>
        <w:t>行业；制造商为</w:t>
      </w:r>
      <w:r>
        <w:rPr>
          <w:rFonts w:hint="eastAsia"/>
          <w:bCs/>
          <w:color w:val="auto"/>
          <w:szCs w:val="21"/>
          <w:highlight w:val="none"/>
          <w:u w:val="single"/>
        </w:rPr>
        <w:t>（企业名称）</w:t>
      </w:r>
      <w:r>
        <w:rPr>
          <w:rFonts w:hint="eastAsia"/>
          <w:bCs/>
          <w:color w:val="auto"/>
          <w:szCs w:val="21"/>
          <w:highlight w:val="none"/>
        </w:rPr>
        <w:t>，从业人员</w:t>
      </w:r>
      <w:r>
        <w:rPr>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5553B403">
      <w:pP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（招标文件中明确的所属行业）</w:t>
      </w:r>
      <w:r>
        <w:rPr>
          <w:rFonts w:hint="eastAsia"/>
          <w:bCs/>
          <w:color w:val="auto"/>
          <w:szCs w:val="21"/>
          <w:highlight w:val="none"/>
        </w:rPr>
        <w:t>行业；制造商为</w:t>
      </w:r>
      <w:r>
        <w:rPr>
          <w:rFonts w:hint="eastAsia"/>
          <w:bCs/>
          <w:color w:val="auto"/>
          <w:szCs w:val="21"/>
          <w:highlight w:val="none"/>
          <w:u w:val="single"/>
        </w:rPr>
        <w:t>（企业名称）</w:t>
      </w:r>
      <w:r>
        <w:rPr>
          <w:rFonts w:hint="eastAsia"/>
          <w:bCs/>
          <w:color w:val="auto"/>
          <w:szCs w:val="21"/>
          <w:highlight w:val="none"/>
        </w:rPr>
        <w:t>，从业人员</w:t>
      </w:r>
      <w:r>
        <w:rPr>
          <w:rFonts w:hint="eastAsia"/>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266BE6F5">
      <w:pPr>
        <w:spacing w:line="360" w:lineRule="auto"/>
        <w:ind w:firstLine="420"/>
        <w:rPr>
          <w:bCs/>
          <w:color w:val="auto"/>
          <w:szCs w:val="21"/>
          <w:highlight w:val="none"/>
        </w:rPr>
      </w:pPr>
      <w:r>
        <w:rPr>
          <w:rFonts w:hint="eastAsia"/>
          <w:bCs/>
          <w:color w:val="auto"/>
          <w:szCs w:val="21"/>
          <w:highlight w:val="none"/>
        </w:rPr>
        <w:t>……</w:t>
      </w:r>
    </w:p>
    <w:p w14:paraId="0F84C646">
      <w:pP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2706D05A">
      <w:pP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1FA40616">
      <w:pPr>
        <w:spacing w:line="360" w:lineRule="auto"/>
        <w:ind w:firstLine="3150" w:firstLineChars="1500"/>
        <w:rPr>
          <w:bCs/>
          <w:color w:val="auto"/>
          <w:szCs w:val="21"/>
          <w:highlight w:val="none"/>
        </w:rPr>
      </w:pPr>
      <w:r>
        <w:rPr>
          <w:rFonts w:hint="eastAsia"/>
          <w:bCs/>
          <w:color w:val="auto"/>
          <w:szCs w:val="21"/>
          <w:highlight w:val="none"/>
        </w:rPr>
        <w:t>企业名称</w:t>
      </w:r>
      <w:r>
        <w:rPr>
          <w:rFonts w:hint="eastAsia"/>
          <w:color w:val="auto"/>
          <w:szCs w:val="21"/>
          <w:highlight w:val="none"/>
        </w:rPr>
        <w:t xml:space="preserve"> </w:t>
      </w:r>
      <w:r>
        <w:rPr>
          <w:rFonts w:hint="eastAsia"/>
          <w:color w:val="auto"/>
          <w:szCs w:val="21"/>
          <w:highlight w:val="none"/>
          <w:lang w:eastAsia="zh-CN"/>
        </w:rPr>
        <w:t>（</w:t>
      </w:r>
      <w:r>
        <w:rPr>
          <w:rFonts w:hint="eastAsia"/>
          <w:color w:val="auto"/>
          <w:szCs w:val="21"/>
          <w:highlight w:val="none"/>
        </w:rPr>
        <w:t>电子签章</w:t>
      </w:r>
      <w:r>
        <w:rPr>
          <w:rFonts w:hint="eastAsia"/>
          <w:color w:val="auto"/>
          <w:szCs w:val="21"/>
          <w:highlight w:val="none"/>
          <w:lang w:eastAsia="zh-CN"/>
        </w:rPr>
        <w:t>）</w:t>
      </w:r>
      <w:r>
        <w:rPr>
          <w:rFonts w:hint="eastAsia"/>
          <w:bCs/>
          <w:color w:val="auto"/>
          <w:szCs w:val="21"/>
          <w:highlight w:val="none"/>
        </w:rPr>
        <w:t xml:space="preserve">： </w:t>
      </w:r>
      <w:r>
        <w:rPr>
          <w:bCs/>
          <w:color w:val="auto"/>
          <w:szCs w:val="21"/>
          <w:highlight w:val="none"/>
        </w:rPr>
        <w:t xml:space="preserve">   </w:t>
      </w:r>
      <w:r>
        <w:rPr>
          <w:rFonts w:hint="eastAsia"/>
          <w:bCs/>
          <w:color w:val="auto"/>
          <w:szCs w:val="21"/>
          <w:highlight w:val="none"/>
        </w:rPr>
        <w:t>日期：</w:t>
      </w:r>
    </w:p>
    <w:p w14:paraId="500A1E96">
      <w:pPr>
        <w:spacing w:line="360" w:lineRule="auto"/>
        <w:jc w:val="left"/>
        <w:rPr>
          <w:bCs/>
          <w:color w:val="auto"/>
          <w:szCs w:val="21"/>
          <w:highlight w:val="none"/>
        </w:rPr>
      </w:pPr>
      <w:r>
        <w:rPr>
          <w:rFonts w:hint="eastAsia"/>
          <w:bCs/>
          <w:color w:val="auto"/>
          <w:szCs w:val="21"/>
          <w:highlight w:val="none"/>
        </w:rPr>
        <w:t>注：</w:t>
      </w:r>
    </w:p>
    <w:p w14:paraId="7DB2B0FF">
      <w:pPr>
        <w:spacing w:line="360" w:lineRule="auto"/>
        <w:jc w:val="left"/>
        <w:rPr>
          <w:bCs/>
          <w:color w:val="auto"/>
          <w:szCs w:val="21"/>
          <w:highlight w:val="none"/>
        </w:rPr>
      </w:pPr>
      <w:r>
        <w:rPr>
          <w:rFonts w:hint="eastAsia"/>
          <w:bCs/>
          <w:color w:val="auto"/>
          <w:szCs w:val="21"/>
          <w:highlight w:val="none"/>
        </w:rPr>
        <w:t>（1）标的名称按照第二章采购需求一览表中的货物名称填写，</w:t>
      </w:r>
      <w:r>
        <w:rPr>
          <w:color w:val="auto"/>
          <w:szCs w:val="21"/>
          <w:highlight w:val="none"/>
        </w:rPr>
        <w:t>所属行业标明“/”的</w:t>
      </w:r>
      <w:r>
        <w:rPr>
          <w:rFonts w:hint="eastAsia"/>
          <w:bCs/>
          <w:color w:val="auto"/>
          <w:szCs w:val="21"/>
          <w:highlight w:val="none"/>
        </w:rPr>
        <w:t>，无需在上表填写。</w:t>
      </w:r>
    </w:p>
    <w:p w14:paraId="5903C821">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2FB36E22">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500A12CD">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w:t>
      </w:r>
      <w:r>
        <w:rPr>
          <w:rFonts w:hint="eastAsia"/>
          <w:bCs/>
          <w:color w:val="auto"/>
          <w:szCs w:val="21"/>
          <w:highlight w:val="none"/>
          <w:lang w:eastAsia="zh-CN"/>
        </w:rPr>
        <w:t>《中华人民共和国民法典》</w:t>
      </w:r>
      <w:r>
        <w:rPr>
          <w:rFonts w:hint="eastAsia"/>
          <w:bCs/>
          <w:color w:val="auto"/>
          <w:szCs w:val="21"/>
          <w:highlight w:val="none"/>
        </w:rPr>
        <w:t>、《</w:t>
      </w:r>
      <w:r>
        <w:rPr>
          <w:rFonts w:hint="eastAsia"/>
          <w:bCs/>
          <w:color w:val="auto"/>
          <w:szCs w:val="21"/>
          <w:highlight w:val="none"/>
          <w:lang w:eastAsia="zh-CN"/>
        </w:rPr>
        <w:t>中华人民共和国公司法</w:t>
      </w:r>
      <w:r>
        <w:rPr>
          <w:rFonts w:hint="eastAsia"/>
          <w:bCs/>
          <w:color w:val="auto"/>
          <w:szCs w:val="21"/>
          <w:highlight w:val="none"/>
        </w:rPr>
        <w:t>》等法律规定，分公司不具有法人资格，其民事责任由总公司承担。企业划型时，应将分公司的从业人员、营业收入、资产总额等指标数据纳入合并计算。</w:t>
      </w:r>
    </w:p>
    <w:p w14:paraId="3B730057">
      <w:pPr>
        <w:spacing w:line="360" w:lineRule="auto"/>
        <w:jc w:val="left"/>
        <w:rPr>
          <w:bCs/>
          <w:color w:val="auto"/>
          <w:szCs w:val="21"/>
          <w:highlight w:val="none"/>
        </w:rPr>
      </w:pPr>
      <w:r>
        <w:rPr>
          <w:rFonts w:hint="eastAsia"/>
          <w:bCs/>
          <w:color w:val="auto"/>
          <w:szCs w:val="21"/>
          <w:highlight w:val="none"/>
        </w:rPr>
        <w:t>（5）根据</w:t>
      </w:r>
      <w:r>
        <w:rPr>
          <w:rFonts w:hint="eastAsia"/>
          <w:bCs/>
          <w:color w:val="auto"/>
          <w:szCs w:val="21"/>
          <w:highlight w:val="none"/>
          <w:lang w:eastAsia="zh-CN"/>
        </w:rPr>
        <w:t>国家统计局</w:t>
      </w:r>
      <w:r>
        <w:rPr>
          <w:rFonts w:hint="eastAsia"/>
          <w:bCs/>
          <w:color w:val="auto"/>
          <w:szCs w:val="21"/>
          <w:highlight w:val="none"/>
        </w:rPr>
        <w:t>《劳动工资统计报表制度》，从业人员数是指本单位工作，并取得工资或其他形式劳动报酬的人员数，是在岗职工、劳务派遣人员及其他从业人员之和。</w:t>
      </w:r>
    </w:p>
    <w:p w14:paraId="2001B583">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7BB6F51B">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7E2FD175">
      <w:pPr>
        <w:spacing w:line="360" w:lineRule="auto"/>
        <w:jc w:val="left"/>
        <w:rPr>
          <w:rFonts w:hint="eastAsia"/>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6114FAE">
      <w:pPr>
        <w:spacing w:line="528" w:lineRule="exact"/>
        <w:ind w:firstLine="280" w:firstLineChars="100"/>
        <w:jc w:val="center"/>
        <w:rPr>
          <w:color w:val="auto"/>
          <w:sz w:val="28"/>
          <w:szCs w:val="28"/>
          <w:highlight w:val="none"/>
        </w:rPr>
      </w:pPr>
      <w:r>
        <w:rPr>
          <w:rFonts w:hint="eastAsia"/>
          <w:color w:val="auto"/>
          <w:sz w:val="28"/>
          <w:szCs w:val="28"/>
          <w:highlight w:val="none"/>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783AE847">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31EAA8C5">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60F1E689">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467F635A">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13484D96">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2D499C1B">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4E61F000">
            <w:pPr>
              <w:widowControl/>
              <w:jc w:val="left"/>
              <w:rPr>
                <w:color w:val="auto"/>
                <w:szCs w:val="21"/>
                <w:highlight w:val="none"/>
              </w:rPr>
            </w:pPr>
            <w:r>
              <w:rPr>
                <w:rFonts w:hint="eastAsia"/>
                <w:color w:val="auto"/>
                <w:szCs w:val="21"/>
                <w:highlight w:val="none"/>
              </w:rPr>
              <w:t>微型</w:t>
            </w:r>
          </w:p>
        </w:tc>
      </w:tr>
      <w:tr w14:paraId="29491FD1">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1B6A14CB">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0AAE24DC">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87546D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004D71B">
            <w:pPr>
              <w:widowControl/>
              <w:jc w:val="left"/>
              <w:rPr>
                <w:color w:val="auto"/>
                <w:szCs w:val="21"/>
                <w:highlight w:val="none"/>
              </w:rPr>
            </w:pPr>
            <w:r>
              <w:rPr>
                <w:rFonts w:hint="eastAsia"/>
                <w:color w:val="auto"/>
                <w:szCs w:val="21"/>
                <w:highlight w:val="none"/>
              </w:rPr>
              <w:t>500≤Y</w:t>
            </w:r>
            <w:r>
              <w:rPr>
                <w:rFonts w:hint="eastAsia"/>
                <w:color w:val="auto"/>
                <w:szCs w:val="21"/>
                <w:highlight w:val="none"/>
                <w:lang w:eastAsia="zh-CN"/>
              </w:rPr>
              <w:t>＜</w:t>
            </w:r>
            <w:r>
              <w:rPr>
                <w:rFonts w:hint="eastAsia"/>
                <w:color w:val="auto"/>
                <w:szCs w:val="21"/>
                <w:highlight w:val="none"/>
              </w:rPr>
              <w:t>20000</w:t>
            </w:r>
          </w:p>
        </w:tc>
        <w:tc>
          <w:tcPr>
            <w:tcW w:w="1570" w:type="dxa"/>
            <w:tcBorders>
              <w:top w:val="nil"/>
              <w:left w:val="nil"/>
              <w:bottom w:val="single" w:color="auto" w:sz="4" w:space="0"/>
              <w:right w:val="single" w:color="auto" w:sz="4" w:space="0"/>
            </w:tcBorders>
            <w:noWrap w:val="0"/>
            <w:vAlign w:val="center"/>
          </w:tcPr>
          <w:p w14:paraId="35315341">
            <w:pPr>
              <w:widowControl/>
              <w:jc w:val="left"/>
              <w:rPr>
                <w:color w:val="auto"/>
                <w:szCs w:val="21"/>
                <w:highlight w:val="none"/>
              </w:rPr>
            </w:pPr>
            <w:r>
              <w:rPr>
                <w:rFonts w:hint="eastAsia"/>
                <w:color w:val="auto"/>
                <w:szCs w:val="21"/>
                <w:highlight w:val="none"/>
              </w:rPr>
              <w:t>50≤Y</w:t>
            </w:r>
            <w:r>
              <w:rPr>
                <w:rFonts w:hint="eastAsia"/>
                <w:color w:val="auto"/>
                <w:szCs w:val="21"/>
                <w:highlight w:val="none"/>
                <w:lang w:eastAsia="zh-CN"/>
              </w:rPr>
              <w:t>＜</w:t>
            </w:r>
            <w:r>
              <w:rPr>
                <w:rFonts w:hint="eastAsia"/>
                <w:color w:val="auto"/>
                <w:szCs w:val="21"/>
                <w:highlight w:val="none"/>
              </w:rPr>
              <w:t>500</w:t>
            </w:r>
          </w:p>
        </w:tc>
        <w:tc>
          <w:tcPr>
            <w:tcW w:w="1009" w:type="dxa"/>
            <w:tcBorders>
              <w:top w:val="nil"/>
              <w:left w:val="nil"/>
              <w:bottom w:val="single" w:color="auto" w:sz="4" w:space="0"/>
              <w:right w:val="single" w:color="auto" w:sz="4" w:space="0"/>
            </w:tcBorders>
            <w:noWrap w:val="0"/>
            <w:vAlign w:val="center"/>
          </w:tcPr>
          <w:p w14:paraId="5268DDDE">
            <w:pPr>
              <w:widowControl/>
              <w:jc w:val="left"/>
              <w:rPr>
                <w:color w:val="auto"/>
                <w:szCs w:val="21"/>
                <w:highlight w:val="none"/>
              </w:rPr>
            </w:pPr>
            <w:r>
              <w:rPr>
                <w:rFonts w:hint="eastAsia"/>
                <w:color w:val="auto"/>
                <w:szCs w:val="21"/>
                <w:highlight w:val="none"/>
              </w:rPr>
              <w:t>Y</w:t>
            </w:r>
            <w:r>
              <w:rPr>
                <w:rFonts w:hint="eastAsia"/>
                <w:color w:val="auto"/>
                <w:szCs w:val="21"/>
                <w:highlight w:val="none"/>
                <w:lang w:eastAsia="zh-CN"/>
              </w:rPr>
              <w:t>＜</w:t>
            </w:r>
            <w:r>
              <w:rPr>
                <w:rFonts w:hint="eastAsia"/>
                <w:color w:val="auto"/>
                <w:szCs w:val="21"/>
                <w:highlight w:val="none"/>
              </w:rPr>
              <w:t>50</w:t>
            </w:r>
          </w:p>
        </w:tc>
      </w:tr>
      <w:tr w14:paraId="6886E32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8C7C565">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00545F7">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ACCEF2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D3A3D90">
            <w:pPr>
              <w:widowControl/>
              <w:jc w:val="left"/>
              <w:rPr>
                <w:color w:val="auto"/>
                <w:szCs w:val="21"/>
                <w:highlight w:val="none"/>
              </w:rPr>
            </w:pPr>
            <w:r>
              <w:rPr>
                <w:rFonts w:hint="eastAsia"/>
                <w:color w:val="auto"/>
                <w:szCs w:val="21"/>
                <w:highlight w:val="none"/>
              </w:rPr>
              <w:t>300≤X</w:t>
            </w:r>
            <w:r>
              <w:rPr>
                <w:rFonts w:hint="eastAsia"/>
                <w:color w:val="auto"/>
                <w:szCs w:val="21"/>
                <w:highlight w:val="none"/>
                <w:lang w:eastAsia="zh-CN"/>
              </w:rPr>
              <w:t>＜</w:t>
            </w:r>
            <w:r>
              <w:rPr>
                <w:rFonts w:hint="eastAsia"/>
                <w:color w:val="auto"/>
                <w:szCs w:val="21"/>
                <w:highlight w:val="none"/>
              </w:rPr>
              <w:t>1000</w:t>
            </w:r>
          </w:p>
        </w:tc>
        <w:tc>
          <w:tcPr>
            <w:tcW w:w="1570" w:type="dxa"/>
            <w:tcBorders>
              <w:top w:val="nil"/>
              <w:left w:val="nil"/>
              <w:bottom w:val="single" w:color="auto" w:sz="4" w:space="0"/>
              <w:right w:val="single" w:color="auto" w:sz="4" w:space="0"/>
            </w:tcBorders>
            <w:noWrap w:val="0"/>
            <w:vAlign w:val="center"/>
          </w:tcPr>
          <w:p w14:paraId="748A8F5B">
            <w:pPr>
              <w:widowControl/>
              <w:jc w:val="left"/>
              <w:rPr>
                <w:color w:val="auto"/>
                <w:szCs w:val="21"/>
                <w:highlight w:val="none"/>
              </w:rPr>
            </w:pPr>
            <w:r>
              <w:rPr>
                <w:rFonts w:hint="eastAsia"/>
                <w:color w:val="auto"/>
                <w:szCs w:val="21"/>
                <w:highlight w:val="none"/>
              </w:rPr>
              <w:t>20≤X</w:t>
            </w:r>
            <w:r>
              <w:rPr>
                <w:rFonts w:hint="eastAsia"/>
                <w:color w:val="auto"/>
                <w:szCs w:val="21"/>
                <w:highlight w:val="none"/>
                <w:lang w:eastAsia="zh-CN"/>
              </w:rPr>
              <w:t>＜</w:t>
            </w:r>
            <w:r>
              <w:rPr>
                <w:rFonts w:hint="eastAsia"/>
                <w:color w:val="auto"/>
                <w:szCs w:val="21"/>
                <w:highlight w:val="none"/>
              </w:rPr>
              <w:t>300</w:t>
            </w:r>
          </w:p>
        </w:tc>
        <w:tc>
          <w:tcPr>
            <w:tcW w:w="1009" w:type="dxa"/>
            <w:tcBorders>
              <w:top w:val="nil"/>
              <w:left w:val="nil"/>
              <w:bottom w:val="single" w:color="auto" w:sz="4" w:space="0"/>
              <w:right w:val="single" w:color="auto" w:sz="4" w:space="0"/>
            </w:tcBorders>
            <w:noWrap w:val="0"/>
            <w:vAlign w:val="center"/>
          </w:tcPr>
          <w:p w14:paraId="1F3C7633">
            <w:pPr>
              <w:widowControl/>
              <w:jc w:val="left"/>
              <w:rPr>
                <w:color w:val="auto"/>
                <w:szCs w:val="21"/>
                <w:highlight w:val="none"/>
              </w:rPr>
            </w:pPr>
            <w:r>
              <w:rPr>
                <w:rFonts w:hint="eastAsia"/>
                <w:color w:val="auto"/>
                <w:szCs w:val="21"/>
                <w:highlight w:val="none"/>
              </w:rPr>
              <w:t>X</w:t>
            </w:r>
            <w:r>
              <w:rPr>
                <w:rFonts w:hint="eastAsia"/>
                <w:color w:val="auto"/>
                <w:szCs w:val="21"/>
                <w:highlight w:val="none"/>
                <w:lang w:eastAsia="zh-CN"/>
              </w:rPr>
              <w:t>＜</w:t>
            </w:r>
            <w:r>
              <w:rPr>
                <w:rFonts w:hint="eastAsia"/>
                <w:color w:val="auto"/>
                <w:szCs w:val="21"/>
                <w:highlight w:val="none"/>
              </w:rPr>
              <w:t>20</w:t>
            </w:r>
          </w:p>
        </w:tc>
      </w:tr>
      <w:tr w14:paraId="4803EA9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EA81E81">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507681E">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36DB87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D82E896">
            <w:pPr>
              <w:widowControl/>
              <w:jc w:val="left"/>
              <w:rPr>
                <w:color w:val="auto"/>
                <w:szCs w:val="21"/>
                <w:highlight w:val="none"/>
              </w:rPr>
            </w:pPr>
            <w:r>
              <w:rPr>
                <w:rFonts w:hint="eastAsia"/>
                <w:color w:val="auto"/>
                <w:szCs w:val="21"/>
                <w:highlight w:val="none"/>
              </w:rPr>
              <w:t>2000≤Y</w:t>
            </w:r>
            <w:r>
              <w:rPr>
                <w:rFonts w:hint="eastAsia"/>
                <w:color w:val="auto"/>
                <w:szCs w:val="21"/>
                <w:highlight w:val="none"/>
                <w:lang w:eastAsia="zh-CN"/>
              </w:rPr>
              <w:t>＜</w:t>
            </w:r>
            <w:r>
              <w:rPr>
                <w:rFonts w:hint="eastAsia"/>
                <w:color w:val="auto"/>
                <w:szCs w:val="21"/>
                <w:highlight w:val="none"/>
              </w:rPr>
              <w:t>40000</w:t>
            </w:r>
          </w:p>
        </w:tc>
        <w:tc>
          <w:tcPr>
            <w:tcW w:w="1570" w:type="dxa"/>
            <w:tcBorders>
              <w:top w:val="nil"/>
              <w:left w:val="nil"/>
              <w:bottom w:val="single" w:color="auto" w:sz="4" w:space="0"/>
              <w:right w:val="single" w:color="auto" w:sz="4" w:space="0"/>
            </w:tcBorders>
            <w:noWrap w:val="0"/>
            <w:vAlign w:val="center"/>
          </w:tcPr>
          <w:p w14:paraId="1546948D">
            <w:pPr>
              <w:widowControl/>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0FC1F729">
            <w:pPr>
              <w:widowControl/>
              <w:jc w:val="left"/>
              <w:rPr>
                <w:color w:val="auto"/>
                <w:szCs w:val="21"/>
                <w:highlight w:val="none"/>
              </w:rPr>
            </w:pPr>
            <w:r>
              <w:rPr>
                <w:rFonts w:hint="eastAsia"/>
                <w:color w:val="auto"/>
                <w:szCs w:val="21"/>
                <w:highlight w:val="none"/>
              </w:rPr>
              <w:t>Y＜300</w:t>
            </w:r>
          </w:p>
        </w:tc>
      </w:tr>
      <w:tr w14:paraId="358BB25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E99FF28">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0D5FBFB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B953968">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B70F918">
            <w:pPr>
              <w:widowControl/>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720948DA">
            <w:pPr>
              <w:widowControl/>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63B8F755">
            <w:pPr>
              <w:widowControl/>
              <w:jc w:val="left"/>
              <w:rPr>
                <w:color w:val="auto"/>
                <w:szCs w:val="21"/>
                <w:highlight w:val="none"/>
              </w:rPr>
            </w:pPr>
            <w:r>
              <w:rPr>
                <w:rFonts w:hint="eastAsia"/>
                <w:color w:val="auto"/>
                <w:szCs w:val="21"/>
                <w:highlight w:val="none"/>
              </w:rPr>
              <w:t>Y＜300</w:t>
            </w:r>
          </w:p>
        </w:tc>
      </w:tr>
      <w:tr w14:paraId="031C245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DBA8F3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AD01F50">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2E0DE493">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F11EC2B">
            <w:pPr>
              <w:widowControl/>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6A4D0EF8">
            <w:pPr>
              <w:widowControl/>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5BBAA085">
            <w:pPr>
              <w:widowControl/>
              <w:jc w:val="left"/>
              <w:rPr>
                <w:color w:val="auto"/>
                <w:szCs w:val="21"/>
                <w:highlight w:val="none"/>
              </w:rPr>
            </w:pPr>
            <w:r>
              <w:rPr>
                <w:rFonts w:hint="eastAsia"/>
                <w:color w:val="auto"/>
                <w:szCs w:val="21"/>
                <w:highlight w:val="none"/>
              </w:rPr>
              <w:t>Z＜300</w:t>
            </w:r>
          </w:p>
        </w:tc>
      </w:tr>
      <w:tr w14:paraId="28AD306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81F5099">
            <w:pPr>
              <w:widowControl/>
              <w:ind w:firstLine="315" w:firstLineChars="150"/>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4A1548EF">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930BFDD">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C7F2CD3">
            <w:pPr>
              <w:widowControl/>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39623B11">
            <w:pPr>
              <w:widowControl/>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6A8A4B85">
            <w:pPr>
              <w:widowControl/>
              <w:jc w:val="left"/>
              <w:rPr>
                <w:color w:val="auto"/>
                <w:szCs w:val="21"/>
                <w:highlight w:val="none"/>
              </w:rPr>
            </w:pPr>
            <w:r>
              <w:rPr>
                <w:rFonts w:hint="eastAsia"/>
                <w:color w:val="auto"/>
                <w:szCs w:val="21"/>
                <w:highlight w:val="none"/>
              </w:rPr>
              <w:t>X＜5</w:t>
            </w:r>
          </w:p>
        </w:tc>
      </w:tr>
      <w:tr w14:paraId="7B8FC80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77B42BA">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0C269E4">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6D86B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8D69E32">
            <w:pPr>
              <w:widowControl/>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0B19935E">
            <w:pPr>
              <w:widowControl/>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3395632B">
            <w:pPr>
              <w:widowControl/>
              <w:jc w:val="left"/>
              <w:rPr>
                <w:color w:val="auto"/>
                <w:szCs w:val="21"/>
                <w:highlight w:val="none"/>
              </w:rPr>
            </w:pPr>
            <w:r>
              <w:rPr>
                <w:rFonts w:hint="eastAsia"/>
                <w:color w:val="auto"/>
                <w:szCs w:val="21"/>
                <w:highlight w:val="none"/>
              </w:rPr>
              <w:t>Y＜1000</w:t>
            </w:r>
          </w:p>
        </w:tc>
      </w:tr>
      <w:tr w14:paraId="512D39B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B88A70A">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6FDD9C94">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2E5A8D4">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54A3FF9">
            <w:pPr>
              <w:widowControl/>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7EA3E92D">
            <w:pPr>
              <w:widowControl/>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19AB947B">
            <w:pPr>
              <w:widowControl/>
              <w:jc w:val="left"/>
              <w:rPr>
                <w:color w:val="auto"/>
                <w:szCs w:val="21"/>
                <w:highlight w:val="none"/>
              </w:rPr>
            </w:pPr>
            <w:r>
              <w:rPr>
                <w:rFonts w:hint="eastAsia"/>
                <w:color w:val="auto"/>
                <w:szCs w:val="21"/>
                <w:highlight w:val="none"/>
              </w:rPr>
              <w:t>X＜10</w:t>
            </w:r>
          </w:p>
        </w:tc>
      </w:tr>
      <w:tr w14:paraId="1643436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BE3B2EC">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F72775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61FFC41">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8303C63">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45F4AE42">
            <w:pPr>
              <w:widowControl/>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0C0D653A">
            <w:pPr>
              <w:widowControl/>
              <w:jc w:val="left"/>
              <w:rPr>
                <w:color w:val="auto"/>
                <w:szCs w:val="21"/>
                <w:highlight w:val="none"/>
              </w:rPr>
            </w:pPr>
            <w:r>
              <w:rPr>
                <w:rFonts w:hint="eastAsia"/>
                <w:color w:val="auto"/>
                <w:szCs w:val="21"/>
                <w:highlight w:val="none"/>
              </w:rPr>
              <w:t>Y＜100</w:t>
            </w:r>
          </w:p>
        </w:tc>
      </w:tr>
      <w:tr w14:paraId="5E5E15F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B5178BD">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05D6E516">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9803AFD">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21996A46">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5864C0C8">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16D0FC94">
            <w:pPr>
              <w:widowControl/>
              <w:jc w:val="left"/>
              <w:rPr>
                <w:color w:val="auto"/>
                <w:szCs w:val="21"/>
                <w:highlight w:val="none"/>
              </w:rPr>
            </w:pPr>
            <w:r>
              <w:rPr>
                <w:rFonts w:hint="eastAsia"/>
                <w:color w:val="auto"/>
                <w:szCs w:val="21"/>
                <w:highlight w:val="none"/>
              </w:rPr>
              <w:t>X＜20</w:t>
            </w:r>
          </w:p>
        </w:tc>
      </w:tr>
      <w:tr w14:paraId="04D9CE1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93EB787">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A575B0">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FBB7DE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4FE478E">
            <w:pPr>
              <w:widowControl/>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4C6731C0">
            <w:pPr>
              <w:widowControl/>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14C12B10">
            <w:pPr>
              <w:widowControl/>
              <w:jc w:val="left"/>
              <w:rPr>
                <w:color w:val="auto"/>
                <w:szCs w:val="21"/>
                <w:highlight w:val="none"/>
              </w:rPr>
            </w:pPr>
            <w:r>
              <w:rPr>
                <w:rFonts w:hint="eastAsia"/>
                <w:color w:val="auto"/>
                <w:szCs w:val="21"/>
                <w:highlight w:val="none"/>
              </w:rPr>
              <w:t>Y＜200</w:t>
            </w:r>
          </w:p>
        </w:tc>
      </w:tr>
      <w:tr w14:paraId="4DD5628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CF8AF69">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745511ED">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4CD69EA">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4F369E8">
            <w:pPr>
              <w:widowControl/>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13A284B2">
            <w:pPr>
              <w:widowControl/>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659D0FD">
            <w:pPr>
              <w:widowControl/>
              <w:jc w:val="left"/>
              <w:rPr>
                <w:color w:val="auto"/>
                <w:szCs w:val="21"/>
                <w:highlight w:val="none"/>
              </w:rPr>
            </w:pPr>
            <w:r>
              <w:rPr>
                <w:rFonts w:hint="eastAsia"/>
                <w:color w:val="auto"/>
                <w:szCs w:val="21"/>
                <w:highlight w:val="none"/>
              </w:rPr>
              <w:t>X＜20</w:t>
            </w:r>
          </w:p>
        </w:tc>
      </w:tr>
      <w:tr w14:paraId="08CDC0B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C1F9F12">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F1BD02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253201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CA2977F">
            <w:pPr>
              <w:widowControl/>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24C845E3">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0789ED04">
            <w:pPr>
              <w:widowControl/>
              <w:jc w:val="left"/>
              <w:rPr>
                <w:color w:val="auto"/>
                <w:szCs w:val="21"/>
                <w:highlight w:val="none"/>
              </w:rPr>
            </w:pPr>
            <w:r>
              <w:rPr>
                <w:rFonts w:hint="eastAsia"/>
                <w:color w:val="auto"/>
                <w:szCs w:val="21"/>
                <w:highlight w:val="none"/>
              </w:rPr>
              <w:t>Y＜100</w:t>
            </w:r>
          </w:p>
        </w:tc>
      </w:tr>
      <w:tr w14:paraId="0417351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6CF7095">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3CA2B3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322AE4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DD1A2BD">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DCCF234">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32F662D">
            <w:pPr>
              <w:widowControl/>
              <w:jc w:val="left"/>
              <w:rPr>
                <w:color w:val="auto"/>
                <w:szCs w:val="21"/>
                <w:highlight w:val="none"/>
              </w:rPr>
            </w:pPr>
            <w:r>
              <w:rPr>
                <w:rFonts w:hint="eastAsia"/>
                <w:color w:val="auto"/>
                <w:szCs w:val="21"/>
                <w:highlight w:val="none"/>
              </w:rPr>
              <w:t>X＜20</w:t>
            </w:r>
          </w:p>
        </w:tc>
      </w:tr>
      <w:tr w14:paraId="2014C2B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C6E8282">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BE4755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7080E4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9D658EA">
            <w:pPr>
              <w:widowControl/>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4F9A01C6">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001E827D">
            <w:pPr>
              <w:widowControl/>
              <w:jc w:val="left"/>
              <w:rPr>
                <w:color w:val="auto"/>
                <w:szCs w:val="21"/>
                <w:highlight w:val="none"/>
              </w:rPr>
            </w:pPr>
            <w:r>
              <w:rPr>
                <w:rFonts w:hint="eastAsia"/>
                <w:color w:val="auto"/>
                <w:szCs w:val="21"/>
                <w:highlight w:val="none"/>
              </w:rPr>
              <w:t>Y＜100</w:t>
            </w:r>
          </w:p>
        </w:tc>
      </w:tr>
      <w:tr w14:paraId="70C5BF2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B007CCB">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089C16B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6596247">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09E5851">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14AD76D5">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5D83E78C">
            <w:pPr>
              <w:widowControl/>
              <w:jc w:val="left"/>
              <w:rPr>
                <w:color w:val="auto"/>
                <w:szCs w:val="21"/>
                <w:highlight w:val="none"/>
              </w:rPr>
            </w:pPr>
            <w:r>
              <w:rPr>
                <w:rFonts w:hint="eastAsia"/>
                <w:color w:val="auto"/>
                <w:szCs w:val="21"/>
                <w:highlight w:val="none"/>
              </w:rPr>
              <w:t>X＜10</w:t>
            </w:r>
          </w:p>
        </w:tc>
      </w:tr>
      <w:tr w14:paraId="619E7D2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7E95DB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59B685A">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B2FA05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FFE67AE">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58835D40">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5C15169C">
            <w:pPr>
              <w:widowControl/>
              <w:jc w:val="left"/>
              <w:rPr>
                <w:color w:val="auto"/>
                <w:szCs w:val="21"/>
                <w:highlight w:val="none"/>
              </w:rPr>
            </w:pPr>
            <w:r>
              <w:rPr>
                <w:rFonts w:hint="eastAsia"/>
                <w:color w:val="auto"/>
                <w:szCs w:val="21"/>
                <w:highlight w:val="none"/>
              </w:rPr>
              <w:t>Y＜100</w:t>
            </w:r>
          </w:p>
        </w:tc>
      </w:tr>
      <w:tr w14:paraId="3B6ED6B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0DF4CEA">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7F2397D8">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861EBA8">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06F0582">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1CA1DBA5">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1E7798A8">
            <w:pPr>
              <w:widowControl/>
              <w:jc w:val="left"/>
              <w:rPr>
                <w:color w:val="auto"/>
                <w:szCs w:val="21"/>
                <w:highlight w:val="none"/>
              </w:rPr>
            </w:pPr>
            <w:r>
              <w:rPr>
                <w:rFonts w:hint="eastAsia"/>
                <w:color w:val="auto"/>
                <w:szCs w:val="21"/>
                <w:highlight w:val="none"/>
              </w:rPr>
              <w:t>X＜10</w:t>
            </w:r>
          </w:p>
        </w:tc>
      </w:tr>
      <w:tr w14:paraId="1E3061C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EEF66E3">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A240CD5">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51E65FC">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BE491A1">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59D02254">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585212A2">
            <w:pPr>
              <w:widowControl/>
              <w:jc w:val="left"/>
              <w:rPr>
                <w:color w:val="auto"/>
                <w:szCs w:val="21"/>
                <w:highlight w:val="none"/>
              </w:rPr>
            </w:pPr>
            <w:r>
              <w:rPr>
                <w:rFonts w:hint="eastAsia"/>
                <w:color w:val="auto"/>
                <w:szCs w:val="21"/>
                <w:highlight w:val="none"/>
              </w:rPr>
              <w:t>Y＜100</w:t>
            </w:r>
          </w:p>
        </w:tc>
      </w:tr>
      <w:tr w14:paraId="51ADDF7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D0678FD">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24C5C3AA">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7258EE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2E41B2C">
            <w:pPr>
              <w:widowControl/>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222D7E02">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23659E06">
            <w:pPr>
              <w:widowControl/>
              <w:jc w:val="left"/>
              <w:rPr>
                <w:color w:val="auto"/>
                <w:szCs w:val="21"/>
                <w:highlight w:val="none"/>
              </w:rPr>
            </w:pPr>
            <w:r>
              <w:rPr>
                <w:rFonts w:hint="eastAsia"/>
                <w:color w:val="auto"/>
                <w:szCs w:val="21"/>
                <w:highlight w:val="none"/>
              </w:rPr>
              <w:t>X＜10</w:t>
            </w:r>
          </w:p>
        </w:tc>
      </w:tr>
      <w:tr w14:paraId="54AA4D3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1D5C97F">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C4093EA">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ECFF2B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48B26F6">
            <w:pPr>
              <w:widowControl/>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37C665EA">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3884905C">
            <w:pPr>
              <w:widowControl/>
              <w:jc w:val="left"/>
              <w:rPr>
                <w:color w:val="auto"/>
                <w:szCs w:val="21"/>
                <w:highlight w:val="none"/>
              </w:rPr>
            </w:pPr>
            <w:r>
              <w:rPr>
                <w:rFonts w:hint="eastAsia"/>
                <w:color w:val="auto"/>
                <w:szCs w:val="21"/>
                <w:highlight w:val="none"/>
              </w:rPr>
              <w:t>Y＜100</w:t>
            </w:r>
          </w:p>
        </w:tc>
      </w:tr>
      <w:tr w14:paraId="0FA5386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743F3D5">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2518BD05">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2EB4D7A">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48B82F8">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5C901E96">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5FC84D48">
            <w:pPr>
              <w:widowControl/>
              <w:jc w:val="left"/>
              <w:rPr>
                <w:color w:val="auto"/>
                <w:szCs w:val="21"/>
                <w:highlight w:val="none"/>
              </w:rPr>
            </w:pPr>
            <w:r>
              <w:rPr>
                <w:rFonts w:hint="eastAsia"/>
                <w:color w:val="auto"/>
                <w:szCs w:val="21"/>
                <w:highlight w:val="none"/>
              </w:rPr>
              <w:t>X＜10</w:t>
            </w:r>
          </w:p>
        </w:tc>
      </w:tr>
      <w:tr w14:paraId="0651C9A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7A0D16A">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50856FB">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879CE7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30155E8">
            <w:pPr>
              <w:widowControl/>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1682145D">
            <w:pPr>
              <w:widowControl/>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3029B39D">
            <w:pPr>
              <w:widowControl/>
              <w:jc w:val="left"/>
              <w:rPr>
                <w:color w:val="auto"/>
                <w:szCs w:val="21"/>
                <w:highlight w:val="none"/>
              </w:rPr>
            </w:pPr>
            <w:r>
              <w:rPr>
                <w:rFonts w:hint="eastAsia"/>
                <w:color w:val="auto"/>
                <w:szCs w:val="21"/>
                <w:highlight w:val="none"/>
              </w:rPr>
              <w:t>Y＜50</w:t>
            </w:r>
          </w:p>
        </w:tc>
      </w:tr>
      <w:tr w14:paraId="4DCBDE2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C01A68F">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47E231C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3B42321">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02BC3DC">
            <w:pPr>
              <w:widowControl/>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16639E11">
            <w:pPr>
              <w:widowControl/>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1CBFA800">
            <w:pPr>
              <w:widowControl/>
              <w:jc w:val="left"/>
              <w:rPr>
                <w:color w:val="auto"/>
                <w:szCs w:val="21"/>
                <w:highlight w:val="none"/>
              </w:rPr>
            </w:pPr>
            <w:r>
              <w:rPr>
                <w:rFonts w:hint="eastAsia"/>
                <w:color w:val="auto"/>
                <w:szCs w:val="21"/>
                <w:highlight w:val="none"/>
              </w:rPr>
              <w:t>X＜100</w:t>
            </w:r>
          </w:p>
        </w:tc>
      </w:tr>
      <w:tr w14:paraId="33BD404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793A9DD">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40C322A">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34A84B06">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19CB659">
            <w:pPr>
              <w:widowControl/>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1704E20A">
            <w:pPr>
              <w:widowControl/>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7E539B2B">
            <w:pPr>
              <w:widowControl/>
              <w:jc w:val="left"/>
              <w:rPr>
                <w:color w:val="auto"/>
                <w:szCs w:val="21"/>
                <w:highlight w:val="none"/>
              </w:rPr>
            </w:pPr>
            <w:r>
              <w:rPr>
                <w:rFonts w:hint="eastAsia"/>
                <w:color w:val="auto"/>
                <w:szCs w:val="21"/>
                <w:highlight w:val="none"/>
              </w:rPr>
              <w:t>Y＜2000</w:t>
            </w:r>
          </w:p>
        </w:tc>
      </w:tr>
      <w:tr w14:paraId="0BE9E56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16E919E">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5B2EFC73">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4A32A49">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7D1E3A4">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C627375">
            <w:pPr>
              <w:widowControl/>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42CD48D5">
            <w:pPr>
              <w:widowControl/>
              <w:jc w:val="left"/>
              <w:rPr>
                <w:color w:val="auto"/>
                <w:szCs w:val="21"/>
                <w:highlight w:val="none"/>
              </w:rPr>
            </w:pPr>
            <w:r>
              <w:rPr>
                <w:rFonts w:hint="eastAsia"/>
                <w:color w:val="auto"/>
                <w:szCs w:val="21"/>
                <w:highlight w:val="none"/>
              </w:rPr>
              <w:t>X＜100</w:t>
            </w:r>
          </w:p>
        </w:tc>
      </w:tr>
      <w:tr w14:paraId="6780294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5C1D544">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71EE56A">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04A29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F97662E">
            <w:pPr>
              <w:widowControl/>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477C89EB">
            <w:pPr>
              <w:widowControl/>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3399925D">
            <w:pPr>
              <w:widowControl/>
              <w:jc w:val="left"/>
              <w:rPr>
                <w:color w:val="auto"/>
                <w:szCs w:val="21"/>
                <w:highlight w:val="none"/>
              </w:rPr>
            </w:pPr>
            <w:r>
              <w:rPr>
                <w:rFonts w:hint="eastAsia"/>
                <w:color w:val="auto"/>
                <w:szCs w:val="21"/>
                <w:highlight w:val="none"/>
              </w:rPr>
              <w:t>Y＜500</w:t>
            </w:r>
          </w:p>
        </w:tc>
      </w:tr>
      <w:tr w14:paraId="29F4C34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5D35CFF">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6520B37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EC045AA">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08A7F29">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2F0C9E35">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231F70E">
            <w:pPr>
              <w:widowControl/>
              <w:jc w:val="left"/>
              <w:rPr>
                <w:color w:val="auto"/>
                <w:szCs w:val="21"/>
                <w:highlight w:val="none"/>
              </w:rPr>
            </w:pPr>
            <w:r>
              <w:rPr>
                <w:rFonts w:hint="eastAsia"/>
                <w:color w:val="auto"/>
                <w:szCs w:val="21"/>
                <w:highlight w:val="none"/>
              </w:rPr>
              <w:t>X＜10</w:t>
            </w:r>
          </w:p>
        </w:tc>
      </w:tr>
      <w:tr w14:paraId="43B329D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F7F846F">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C2B3CC6">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B3FA4D6">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B63997A">
            <w:pPr>
              <w:widowControl/>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20991F69">
            <w:pPr>
              <w:widowControl/>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320EFF61">
            <w:pPr>
              <w:widowControl/>
              <w:jc w:val="left"/>
              <w:rPr>
                <w:color w:val="auto"/>
                <w:szCs w:val="21"/>
                <w:highlight w:val="none"/>
              </w:rPr>
            </w:pPr>
            <w:r>
              <w:rPr>
                <w:rFonts w:hint="eastAsia"/>
                <w:color w:val="auto"/>
                <w:szCs w:val="21"/>
                <w:highlight w:val="none"/>
              </w:rPr>
              <w:t>Y＜100</w:t>
            </w:r>
          </w:p>
        </w:tc>
      </w:tr>
      <w:tr w14:paraId="3A07DB02">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35868CD9">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33EB167A">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D938F1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AA520E3">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501DB5E5">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2F33C22A">
            <w:pPr>
              <w:widowControl/>
              <w:jc w:val="left"/>
              <w:rPr>
                <w:color w:val="auto"/>
                <w:szCs w:val="21"/>
                <w:highlight w:val="none"/>
              </w:rPr>
            </w:pPr>
            <w:r>
              <w:rPr>
                <w:rFonts w:hint="eastAsia"/>
                <w:color w:val="auto"/>
                <w:szCs w:val="21"/>
                <w:highlight w:val="none"/>
              </w:rPr>
              <w:t>X＜10</w:t>
            </w:r>
          </w:p>
        </w:tc>
      </w:tr>
    </w:tbl>
    <w:p w14:paraId="670354B4">
      <w:pPr>
        <w:spacing w:line="360" w:lineRule="auto"/>
        <w:ind w:firstLine="525" w:firstLineChars="250"/>
        <w:rPr>
          <w:color w:val="auto"/>
          <w:szCs w:val="21"/>
          <w:highlight w:val="none"/>
        </w:rPr>
      </w:pPr>
      <w:r>
        <w:rPr>
          <w:rFonts w:hint="eastAsia"/>
          <w:color w:val="auto"/>
          <w:szCs w:val="21"/>
          <w:highlight w:val="none"/>
        </w:rPr>
        <w:t>说明：上述标准参照《关于印发中小企业划型标准规定的通知》（工信部联企业</w:t>
      </w:r>
      <w:r>
        <w:rPr>
          <w:rFonts w:hint="eastAsia"/>
          <w:color w:val="auto"/>
          <w:szCs w:val="21"/>
          <w:highlight w:val="none"/>
          <w:lang w:eastAsia="zh-CN"/>
        </w:rPr>
        <w:t>〔2011〕300号</w:t>
      </w:r>
      <w:r>
        <w:rPr>
          <w:rFonts w:hint="eastAsia"/>
          <w:color w:val="auto"/>
          <w:szCs w:val="21"/>
          <w:highlight w:val="none"/>
        </w:rPr>
        <w:t>），大型、中型和小型企业须同时满足所列指标的下限，否则下划一档；微型企业只</w:t>
      </w:r>
      <w:r>
        <w:rPr>
          <w:rFonts w:hint="eastAsia"/>
          <w:color w:val="auto"/>
          <w:szCs w:val="21"/>
          <w:highlight w:val="none"/>
          <w:lang w:eastAsia="zh-CN"/>
        </w:rPr>
        <w:t>需</w:t>
      </w:r>
      <w:r>
        <w:rPr>
          <w:rFonts w:hint="eastAsia"/>
          <w:color w:val="auto"/>
          <w:szCs w:val="21"/>
          <w:highlight w:val="none"/>
        </w:rPr>
        <w:t>满足所列指标中的一项即可。</w:t>
      </w:r>
    </w:p>
    <w:p w14:paraId="5182BC0B">
      <w:pPr>
        <w:spacing w:line="360" w:lineRule="auto"/>
        <w:jc w:val="left"/>
        <w:rPr>
          <w:rFonts w:hint="eastAsia"/>
          <w:bCs/>
          <w:color w:val="auto"/>
          <w:szCs w:val="21"/>
          <w:highlight w:val="none"/>
        </w:rPr>
      </w:pPr>
    </w:p>
    <w:p w14:paraId="2FBBBE3F">
      <w:pPr>
        <w:spacing w:line="360" w:lineRule="auto"/>
        <w:jc w:val="left"/>
        <w:rPr>
          <w:rFonts w:hint="eastAsia"/>
          <w:bCs/>
          <w:color w:val="auto"/>
          <w:szCs w:val="21"/>
          <w:highlight w:val="none"/>
        </w:rPr>
      </w:pPr>
    </w:p>
    <w:p w14:paraId="655B0611">
      <w:pPr>
        <w:spacing w:line="360" w:lineRule="auto"/>
        <w:jc w:val="left"/>
        <w:rPr>
          <w:rFonts w:hint="eastAsia"/>
          <w:bCs/>
          <w:color w:val="auto"/>
          <w:szCs w:val="21"/>
          <w:highlight w:val="none"/>
        </w:rPr>
      </w:pPr>
    </w:p>
    <w:p w14:paraId="54EEC355">
      <w:pPr>
        <w:spacing w:line="360" w:lineRule="auto"/>
        <w:jc w:val="left"/>
        <w:rPr>
          <w:rFonts w:hint="eastAsia"/>
          <w:bCs/>
          <w:color w:val="auto"/>
          <w:szCs w:val="21"/>
          <w:highlight w:val="none"/>
        </w:rPr>
      </w:pPr>
    </w:p>
    <w:p w14:paraId="1BAD347D">
      <w:pPr>
        <w:spacing w:line="360" w:lineRule="auto"/>
        <w:jc w:val="left"/>
        <w:rPr>
          <w:rFonts w:hint="eastAsia"/>
          <w:bCs/>
          <w:color w:val="auto"/>
          <w:szCs w:val="21"/>
          <w:highlight w:val="none"/>
        </w:rPr>
      </w:pPr>
    </w:p>
    <w:p w14:paraId="10200CC2">
      <w:pPr>
        <w:snapToGrid w:val="0"/>
        <w:spacing w:before="50" w:after="120" w:afterLines="50"/>
        <w:jc w:val="left"/>
        <w:rPr>
          <w:color w:val="auto"/>
          <w:szCs w:val="21"/>
          <w:highlight w:val="none"/>
        </w:rPr>
      </w:pPr>
    </w:p>
    <w:p w14:paraId="32E23BF9">
      <w:pPr>
        <w:snapToGrid w:val="0"/>
        <w:spacing w:before="50" w:after="120" w:afterLines="50"/>
        <w:jc w:val="left"/>
        <w:rPr>
          <w:color w:val="auto"/>
          <w:szCs w:val="21"/>
          <w:highlight w:val="none"/>
        </w:rPr>
      </w:pPr>
      <w:r>
        <w:rPr>
          <w:color w:val="auto"/>
          <w:szCs w:val="21"/>
          <w:highlight w:val="none"/>
        </w:rPr>
        <w:t>6.2监狱企业须提供最新一期《XX省监狱企业产品目录》或其他监狱企业证明材料。（非监狱企业无需提供）</w:t>
      </w:r>
    </w:p>
    <w:p w14:paraId="70DD1B4B">
      <w:pPr>
        <w:snapToGrid w:val="0"/>
        <w:spacing w:before="50" w:after="120" w:afterLines="50"/>
        <w:jc w:val="left"/>
        <w:rPr>
          <w:color w:val="auto"/>
          <w:szCs w:val="21"/>
          <w:highlight w:val="none"/>
        </w:rPr>
      </w:pPr>
    </w:p>
    <w:p w14:paraId="328203EE">
      <w:pPr>
        <w:widowControl/>
        <w:jc w:val="left"/>
        <w:rPr>
          <w:color w:val="auto"/>
          <w:szCs w:val="21"/>
          <w:highlight w:val="none"/>
        </w:rPr>
      </w:pPr>
      <w:r>
        <w:rPr>
          <w:color w:val="auto"/>
          <w:szCs w:val="21"/>
          <w:highlight w:val="none"/>
        </w:rPr>
        <w:t>6.3</w:t>
      </w:r>
      <w:r>
        <w:rPr>
          <w:color w:val="auto"/>
          <w:highlight w:val="none"/>
        </w:rPr>
        <w:t>残疾人福利性单位须提供《残疾人福利性单位声明函》，格式如下。</w:t>
      </w:r>
      <w:r>
        <w:rPr>
          <w:color w:val="auto"/>
          <w:szCs w:val="21"/>
          <w:highlight w:val="none"/>
        </w:rPr>
        <w:t>（非残疾人福利性单位无需提供）</w:t>
      </w:r>
    </w:p>
    <w:p w14:paraId="1317F8B9">
      <w:pPr>
        <w:spacing w:line="360" w:lineRule="auto"/>
        <w:jc w:val="center"/>
        <w:rPr>
          <w:b/>
          <w:color w:val="auto"/>
          <w:szCs w:val="21"/>
          <w:highlight w:val="none"/>
        </w:rPr>
      </w:pPr>
      <w:r>
        <w:rPr>
          <w:b/>
          <w:color w:val="auto"/>
          <w:szCs w:val="21"/>
          <w:highlight w:val="none"/>
        </w:rPr>
        <w:t>残疾人福利性单位声明函</w:t>
      </w:r>
    </w:p>
    <w:p w14:paraId="16D3085F">
      <w:pPr>
        <w:spacing w:line="360" w:lineRule="auto"/>
        <w:ind w:firstLine="420"/>
        <w:jc w:val="left"/>
        <w:rPr>
          <w:color w:val="auto"/>
          <w:szCs w:val="21"/>
          <w:highlight w:val="none"/>
        </w:rPr>
      </w:pPr>
      <w:r>
        <w:rPr>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color w:val="auto"/>
          <w:szCs w:val="21"/>
          <w:highlight w:val="none"/>
          <w:u w:val="single"/>
        </w:rPr>
        <w:t xml:space="preserve">        </w:t>
      </w:r>
      <w:r>
        <w:rPr>
          <w:color w:val="auto"/>
          <w:szCs w:val="21"/>
          <w:highlight w:val="none"/>
        </w:rPr>
        <w:t>单位的</w:t>
      </w:r>
      <w:r>
        <w:rPr>
          <w:color w:val="auto"/>
          <w:szCs w:val="21"/>
          <w:highlight w:val="none"/>
          <w:u w:val="single"/>
        </w:rPr>
        <w:t xml:space="preserve">           </w:t>
      </w:r>
      <w:r>
        <w:rPr>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3FBB8C7E">
      <w:pPr>
        <w:spacing w:line="360" w:lineRule="auto"/>
        <w:ind w:firstLine="420"/>
        <w:rPr>
          <w:color w:val="auto"/>
          <w:szCs w:val="21"/>
          <w:highlight w:val="none"/>
        </w:rPr>
      </w:pPr>
      <w:r>
        <w:rPr>
          <w:color w:val="auto"/>
          <w:szCs w:val="21"/>
          <w:highlight w:val="none"/>
        </w:rPr>
        <w:t>本单位对上述声明的真实性负责。如有虚假，将依法承担相应责任。</w:t>
      </w:r>
    </w:p>
    <w:p w14:paraId="690EBD1F">
      <w:pPr>
        <w:spacing w:line="360" w:lineRule="auto"/>
        <w:ind w:firstLine="420"/>
        <w:jc w:val="right"/>
        <w:rPr>
          <w:color w:val="auto"/>
          <w:spacing w:val="6"/>
          <w:szCs w:val="21"/>
          <w:highlight w:val="none"/>
        </w:rPr>
      </w:pPr>
      <w:r>
        <w:rPr>
          <w:color w:val="auto"/>
          <w:spacing w:val="6"/>
          <w:sz w:val="30"/>
          <w:szCs w:val="30"/>
          <w:highlight w:val="none"/>
        </w:rPr>
        <w:t xml:space="preserve"> </w:t>
      </w: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单位名称</w:t>
      </w:r>
      <w:r>
        <w:rPr>
          <w:rFonts w:hint="eastAsia"/>
          <w:color w:val="auto"/>
          <w:spacing w:val="6"/>
          <w:szCs w:val="21"/>
          <w:highlight w:val="none"/>
          <w:lang w:eastAsia="zh-CN"/>
        </w:rPr>
        <w:t>（</w:t>
      </w:r>
      <w:r>
        <w:rPr>
          <w:rFonts w:hint="eastAsia"/>
          <w:color w:val="auto"/>
          <w:szCs w:val="21"/>
          <w:highlight w:val="none"/>
        </w:rPr>
        <w:t>电子签章</w:t>
      </w:r>
      <w:r>
        <w:rPr>
          <w:rFonts w:hint="eastAsia"/>
          <w:color w:val="auto"/>
          <w:szCs w:val="21"/>
          <w:highlight w:val="none"/>
          <w:lang w:eastAsia="zh-CN"/>
        </w:rPr>
        <w:t>）</w:t>
      </w:r>
      <w:r>
        <w:rPr>
          <w:color w:val="auto"/>
          <w:spacing w:val="6"/>
          <w:szCs w:val="21"/>
          <w:highlight w:val="none"/>
        </w:rPr>
        <w:t xml:space="preserve">：          </w:t>
      </w:r>
    </w:p>
    <w:p w14:paraId="7A656D3C">
      <w:pPr>
        <w:snapToGrid w:val="0"/>
        <w:spacing w:before="50" w:after="120" w:afterLines="50" w:line="440" w:lineRule="exact"/>
        <w:jc w:val="left"/>
        <w:rPr>
          <w:rFonts w:hint="eastAsia"/>
          <w:b/>
          <w:szCs w:val="21"/>
        </w:rPr>
      </w:pP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日  期：</w:t>
      </w:r>
    </w:p>
    <w:p w14:paraId="53E6C44C">
      <w:pPr>
        <w:snapToGrid w:val="0"/>
        <w:spacing w:before="50" w:after="120" w:afterLines="50" w:line="440" w:lineRule="exact"/>
        <w:jc w:val="left"/>
        <w:rPr>
          <w:rFonts w:hint="eastAsia"/>
          <w:b/>
        </w:rPr>
      </w:pPr>
      <w:r>
        <w:rPr>
          <w:rFonts w:hint="eastAsia" w:ascii="Times New Roman" w:hAnsi="Times New Roman" w:cs="Times New Roman"/>
        </w:rPr>
        <w:t>7</w:t>
      </w:r>
      <w:r>
        <w:rPr>
          <w:rFonts w:ascii="Times New Roman" w:hAnsi="Times New Roman" w:cs="Times New Roman"/>
        </w:rPr>
        <w:t>．满足供应商特定资格条件的其他证明材料加盖供应商</w:t>
      </w:r>
      <w:r>
        <w:rPr>
          <w:rFonts w:hint="eastAsia" w:ascii="Times New Roman" w:hAnsi="Times New Roman" w:cs="Times New Roman"/>
        </w:rPr>
        <w:t>电子签章</w:t>
      </w:r>
      <w:r>
        <w:rPr>
          <w:rFonts w:ascii="Times New Roman" w:hAnsi="Times New Roman" w:cs="Times New Roman"/>
        </w:rPr>
        <w:t>（按“评审方法及标准” “资格性检查表”规定提供）。</w:t>
      </w:r>
      <w:r>
        <w:rPr>
          <w:rFonts w:hint="eastAsia"/>
          <w:b/>
        </w:rPr>
        <w:t>（如采购文件有要求时提供）</w:t>
      </w:r>
    </w:p>
    <w:p w14:paraId="2852DF79">
      <w:pPr>
        <w:snapToGrid w:val="0"/>
        <w:spacing w:before="50" w:after="120" w:afterLines="50" w:line="360" w:lineRule="auto"/>
        <w:jc w:val="left"/>
        <w:rPr>
          <w:szCs w:val="21"/>
        </w:rPr>
      </w:pPr>
      <w:r>
        <w:br w:type="page"/>
      </w:r>
      <w:r>
        <w:rPr>
          <w:rFonts w:hint="eastAsia"/>
          <w:szCs w:val="21"/>
        </w:rPr>
        <w:t>7</w:t>
      </w:r>
      <w:r>
        <w:rPr>
          <w:szCs w:val="21"/>
        </w:rPr>
        <w:t>.1</w:t>
      </w:r>
      <w:r>
        <w:rPr>
          <w:rFonts w:hint="eastAsia"/>
          <w:szCs w:val="21"/>
        </w:rPr>
        <w:t>供应商直接控股股东信息表</w:t>
      </w:r>
    </w:p>
    <w:tbl>
      <w:tblPr>
        <w:tblStyle w:val="51"/>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64DA6E63">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C78E24D">
            <w:pPr>
              <w:spacing w:line="360" w:lineRule="auto"/>
              <w:jc w:val="center"/>
              <w:rPr>
                <w:szCs w:val="21"/>
              </w:rPr>
            </w:pPr>
            <w:r>
              <w:rPr>
                <w:rFonts w:hint="eastAsia"/>
                <w:szCs w:val="21"/>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70EF5E2">
            <w:pPr>
              <w:spacing w:line="360" w:lineRule="auto"/>
              <w:jc w:val="center"/>
              <w:rPr>
                <w:szCs w:val="21"/>
              </w:rPr>
            </w:pPr>
            <w:r>
              <w:rPr>
                <w:rFonts w:hint="eastAsia"/>
                <w:szCs w:val="21"/>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986A2B">
            <w:pPr>
              <w:spacing w:line="360" w:lineRule="auto"/>
              <w:jc w:val="center"/>
              <w:rPr>
                <w:szCs w:val="21"/>
              </w:rPr>
            </w:pPr>
            <w:r>
              <w:rPr>
                <w:rFonts w:hint="eastAsia"/>
                <w:szCs w:val="21"/>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B079806">
            <w:pPr>
              <w:spacing w:line="360" w:lineRule="auto"/>
              <w:jc w:val="center"/>
              <w:rPr>
                <w:szCs w:val="21"/>
              </w:rPr>
            </w:pPr>
            <w:r>
              <w:rPr>
                <w:rFonts w:hint="eastAsia"/>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7770AC6">
            <w:pPr>
              <w:spacing w:line="360" w:lineRule="auto"/>
              <w:jc w:val="center"/>
              <w:rPr>
                <w:szCs w:val="21"/>
              </w:rPr>
            </w:pPr>
            <w:r>
              <w:rPr>
                <w:rFonts w:hint="eastAsia"/>
                <w:szCs w:val="21"/>
              </w:rPr>
              <w:t>备注</w:t>
            </w:r>
          </w:p>
        </w:tc>
      </w:tr>
      <w:tr w14:paraId="3630E3F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B4096DE">
            <w:pPr>
              <w:spacing w:line="360" w:lineRule="auto"/>
              <w:jc w:val="center"/>
              <w:rPr>
                <w:szCs w:val="21"/>
              </w:rPr>
            </w:pPr>
            <w:r>
              <w:rPr>
                <w:rFonts w:hint="eastAsia"/>
                <w:szCs w:val="21"/>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D9BCFE">
            <w:pPr>
              <w:spacing w:line="360" w:lineRule="auto"/>
              <w:jc w:val="center"/>
              <w:rPr>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FF0B9A7">
            <w:pPr>
              <w:spacing w:line="360" w:lineRule="auto"/>
              <w:jc w:val="center"/>
              <w:rPr>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449844B">
            <w:pPr>
              <w:spacing w:line="360" w:lineRule="auto"/>
              <w:jc w:val="center"/>
              <w:rPr>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5772886">
            <w:pPr>
              <w:spacing w:line="360" w:lineRule="auto"/>
              <w:jc w:val="center"/>
              <w:rPr>
                <w:szCs w:val="21"/>
              </w:rPr>
            </w:pPr>
          </w:p>
        </w:tc>
      </w:tr>
      <w:tr w14:paraId="3A78026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EA66693">
            <w:pPr>
              <w:spacing w:line="360" w:lineRule="auto"/>
              <w:jc w:val="center"/>
              <w:rPr>
                <w:szCs w:val="21"/>
              </w:rPr>
            </w:pPr>
            <w:r>
              <w:rPr>
                <w:rFonts w:hint="eastAsia"/>
                <w:szCs w:val="21"/>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E53F76B">
            <w:pPr>
              <w:spacing w:line="360" w:lineRule="auto"/>
              <w:jc w:val="center"/>
              <w:rPr>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4C71C4">
            <w:pPr>
              <w:spacing w:line="360" w:lineRule="auto"/>
              <w:jc w:val="center"/>
              <w:rPr>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E674E82">
            <w:pPr>
              <w:spacing w:line="360" w:lineRule="auto"/>
              <w:jc w:val="center"/>
              <w:rPr>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79FDF4">
            <w:pPr>
              <w:spacing w:line="360" w:lineRule="auto"/>
              <w:jc w:val="center"/>
              <w:rPr>
                <w:szCs w:val="21"/>
              </w:rPr>
            </w:pPr>
          </w:p>
        </w:tc>
      </w:tr>
      <w:tr w14:paraId="52D7955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8F9C24F">
            <w:pPr>
              <w:spacing w:line="360" w:lineRule="auto"/>
              <w:jc w:val="center"/>
              <w:rPr>
                <w:szCs w:val="21"/>
              </w:rPr>
            </w:pPr>
            <w:r>
              <w:rPr>
                <w:rFonts w:hint="eastAsia"/>
                <w:szCs w:val="21"/>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E83D9E7">
            <w:pPr>
              <w:spacing w:line="360" w:lineRule="auto"/>
              <w:jc w:val="center"/>
              <w:rPr>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AECF8B7">
            <w:pPr>
              <w:spacing w:line="360" w:lineRule="auto"/>
              <w:jc w:val="center"/>
              <w:rPr>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893EEDF">
            <w:pPr>
              <w:spacing w:line="360" w:lineRule="auto"/>
              <w:jc w:val="center"/>
              <w:rPr>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FD24B6C">
            <w:pPr>
              <w:spacing w:line="360" w:lineRule="auto"/>
              <w:jc w:val="center"/>
              <w:rPr>
                <w:szCs w:val="21"/>
              </w:rPr>
            </w:pPr>
          </w:p>
        </w:tc>
      </w:tr>
      <w:tr w14:paraId="730EF24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3812B63">
            <w:pPr>
              <w:spacing w:line="360" w:lineRule="auto"/>
              <w:jc w:val="center"/>
              <w:rPr>
                <w:szCs w:val="21"/>
              </w:rPr>
            </w:pPr>
            <w:r>
              <w:rPr>
                <w:rFonts w:hint="eastAsia"/>
                <w:szCs w:val="21"/>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0B6928">
            <w:pPr>
              <w:spacing w:line="360" w:lineRule="auto"/>
              <w:jc w:val="center"/>
              <w:rPr>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9F46962">
            <w:pPr>
              <w:spacing w:line="360" w:lineRule="auto"/>
              <w:jc w:val="center"/>
              <w:rPr>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F6D8905">
            <w:pPr>
              <w:spacing w:line="360" w:lineRule="auto"/>
              <w:jc w:val="center"/>
              <w:rPr>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386D988">
            <w:pPr>
              <w:spacing w:line="360" w:lineRule="auto"/>
              <w:jc w:val="center"/>
              <w:rPr>
                <w:szCs w:val="21"/>
              </w:rPr>
            </w:pPr>
          </w:p>
        </w:tc>
      </w:tr>
    </w:tbl>
    <w:p w14:paraId="63131377">
      <w:pPr>
        <w:snapToGrid w:val="0"/>
        <w:spacing w:line="360" w:lineRule="auto"/>
        <w:jc w:val="left"/>
        <w:rPr>
          <w:szCs w:val="21"/>
        </w:rPr>
      </w:pPr>
      <w:r>
        <w:rPr>
          <w:rFonts w:hint="eastAsia"/>
          <w:szCs w:val="21"/>
        </w:rPr>
        <w:t>注：</w:t>
      </w:r>
    </w:p>
    <w:p w14:paraId="7836F413">
      <w:pPr>
        <w:snapToGrid w:val="0"/>
        <w:spacing w:line="360" w:lineRule="auto"/>
        <w:jc w:val="left"/>
        <w:rPr>
          <w:szCs w:val="21"/>
        </w:rPr>
      </w:pPr>
      <w:r>
        <w:rPr>
          <w:rFonts w:hint="eastAsia"/>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17482AB">
      <w:pPr>
        <w:snapToGrid w:val="0"/>
        <w:spacing w:line="360" w:lineRule="auto"/>
        <w:jc w:val="left"/>
        <w:rPr>
          <w:szCs w:val="21"/>
        </w:rPr>
      </w:pPr>
      <w:r>
        <w:rPr>
          <w:rFonts w:hint="eastAsia"/>
          <w:szCs w:val="21"/>
        </w:rPr>
        <w:t>2.本表所指的控股关系仅限于直接控股关系，不包括间接的控股关系。公司实际控制人与公司之间的关系不属于本表所指的直接控股关系。</w:t>
      </w:r>
    </w:p>
    <w:p w14:paraId="1F5B8C54">
      <w:pPr>
        <w:snapToGrid w:val="0"/>
        <w:spacing w:line="360" w:lineRule="auto"/>
        <w:jc w:val="left"/>
        <w:rPr>
          <w:szCs w:val="21"/>
        </w:rPr>
      </w:pPr>
      <w:r>
        <w:rPr>
          <w:rFonts w:hint="eastAsia"/>
          <w:szCs w:val="21"/>
        </w:rPr>
        <w:t>3.供应商不存在直接控股股东的，则填“无”。</w:t>
      </w:r>
    </w:p>
    <w:p w14:paraId="5F8E41E4">
      <w:pPr>
        <w:snapToGrid w:val="0"/>
        <w:spacing w:line="360" w:lineRule="auto"/>
        <w:jc w:val="left"/>
        <w:rPr>
          <w:szCs w:val="21"/>
        </w:rPr>
      </w:pPr>
    </w:p>
    <w:p w14:paraId="7C58430C">
      <w:pPr>
        <w:snapToGrid w:val="0"/>
        <w:spacing w:line="360" w:lineRule="auto"/>
        <w:jc w:val="left"/>
        <w:rPr>
          <w:szCs w:val="21"/>
        </w:rPr>
      </w:pPr>
    </w:p>
    <w:p w14:paraId="2CAF6A09">
      <w:pPr>
        <w:snapToGrid w:val="0"/>
        <w:spacing w:line="360" w:lineRule="auto"/>
        <w:jc w:val="left"/>
        <w:rPr>
          <w:szCs w:val="21"/>
        </w:rPr>
      </w:pPr>
    </w:p>
    <w:p w14:paraId="62A648BA">
      <w:pPr>
        <w:snapToGrid w:val="0"/>
        <w:spacing w:line="360" w:lineRule="auto"/>
        <w:jc w:val="left"/>
        <w:rPr>
          <w:szCs w:val="21"/>
        </w:rPr>
      </w:pPr>
    </w:p>
    <w:p w14:paraId="3BB8C595">
      <w:pPr>
        <w:snapToGrid w:val="0"/>
        <w:spacing w:line="360" w:lineRule="auto"/>
        <w:jc w:val="left"/>
        <w:rPr>
          <w:szCs w:val="21"/>
        </w:rPr>
      </w:pPr>
    </w:p>
    <w:p w14:paraId="3CB7E7AE">
      <w:pPr>
        <w:snapToGrid w:val="0"/>
        <w:spacing w:line="360" w:lineRule="auto"/>
        <w:ind w:firstLine="4410" w:firstLineChars="2100"/>
        <w:rPr>
          <w:szCs w:val="21"/>
        </w:rPr>
      </w:pPr>
      <w:r>
        <w:rPr>
          <w:rFonts w:hint="eastAsia"/>
          <w:szCs w:val="21"/>
        </w:rPr>
        <w:t>供应商名称(电子签章)：</w:t>
      </w:r>
    </w:p>
    <w:p w14:paraId="412955EB">
      <w:pPr>
        <w:snapToGrid w:val="0"/>
        <w:spacing w:line="360" w:lineRule="auto"/>
        <w:ind w:firstLine="4515" w:firstLineChars="2150"/>
        <w:rPr>
          <w:szCs w:val="21"/>
        </w:rPr>
      </w:pPr>
      <w:r>
        <w:rPr>
          <w:rFonts w:hint="eastAsia"/>
          <w:szCs w:val="21"/>
        </w:rPr>
        <w:t>日期：  年  月   日</w:t>
      </w:r>
    </w:p>
    <w:p w14:paraId="168A8FC8">
      <w:pPr>
        <w:snapToGrid w:val="0"/>
        <w:rPr>
          <w:rFonts w:ascii="宋体" w:hAnsi="宋体"/>
          <w:b/>
          <w:color w:val="000000"/>
          <w:sz w:val="28"/>
          <w:szCs w:val="28"/>
        </w:rPr>
      </w:pPr>
      <w:r>
        <w:rPr>
          <w:rFonts w:ascii="宋体" w:hAnsi="宋体"/>
          <w:b/>
          <w:color w:val="000000"/>
          <w:sz w:val="28"/>
          <w:szCs w:val="28"/>
        </w:rPr>
        <w:br w:type="page"/>
      </w:r>
      <w:r>
        <w:rPr>
          <w:rFonts w:hint="eastAsia"/>
          <w:szCs w:val="21"/>
        </w:rPr>
        <w:t>7</w:t>
      </w:r>
      <w:r>
        <w:rPr>
          <w:szCs w:val="21"/>
        </w:rPr>
        <w:t>.2</w:t>
      </w:r>
      <w:r>
        <w:rPr>
          <w:rFonts w:hint="eastAsia"/>
          <w:szCs w:val="21"/>
        </w:rPr>
        <w:t>供应商直接管理关系信息表</w:t>
      </w:r>
    </w:p>
    <w:tbl>
      <w:tblPr>
        <w:tblStyle w:val="5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D1448C0">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0160E2C">
            <w:pPr>
              <w:spacing w:line="360" w:lineRule="auto"/>
              <w:jc w:val="center"/>
              <w:rPr>
                <w:szCs w:val="21"/>
              </w:rPr>
            </w:pPr>
            <w:r>
              <w:rPr>
                <w:rFonts w:hint="eastAsia"/>
                <w:szCs w:val="21"/>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D10F37">
            <w:pPr>
              <w:spacing w:line="360" w:lineRule="auto"/>
              <w:jc w:val="center"/>
              <w:rPr>
                <w:szCs w:val="21"/>
              </w:rPr>
            </w:pPr>
            <w:r>
              <w:rPr>
                <w:rFonts w:hint="eastAsia"/>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1EE3A9">
            <w:pPr>
              <w:spacing w:line="360" w:lineRule="auto"/>
              <w:jc w:val="center"/>
              <w:rPr>
                <w:szCs w:val="21"/>
              </w:rPr>
            </w:pPr>
            <w:r>
              <w:rPr>
                <w:rFonts w:hint="eastAsia"/>
                <w:szCs w:val="21"/>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0BDD0B">
            <w:pPr>
              <w:spacing w:line="360" w:lineRule="auto"/>
              <w:jc w:val="center"/>
              <w:rPr>
                <w:szCs w:val="21"/>
              </w:rPr>
            </w:pPr>
            <w:r>
              <w:rPr>
                <w:rFonts w:hint="eastAsia"/>
                <w:szCs w:val="21"/>
              </w:rPr>
              <w:t>备注</w:t>
            </w:r>
          </w:p>
        </w:tc>
      </w:tr>
      <w:tr w14:paraId="27ED481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D763A7">
            <w:pPr>
              <w:spacing w:line="360" w:lineRule="auto"/>
              <w:jc w:val="center"/>
              <w:rPr>
                <w:szCs w:val="21"/>
              </w:rPr>
            </w:pPr>
            <w:r>
              <w:rPr>
                <w:rFonts w:hint="eastAsia"/>
                <w:szCs w:val="21"/>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B0A34A">
            <w:pPr>
              <w:spacing w:line="360" w:lineRule="auto"/>
              <w:jc w:val="center"/>
              <w:rPr>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ABA10F">
            <w:pPr>
              <w:spacing w:line="360" w:lineRule="auto"/>
              <w:jc w:val="center"/>
              <w:rPr>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C17629">
            <w:pPr>
              <w:spacing w:line="360" w:lineRule="auto"/>
              <w:jc w:val="center"/>
              <w:rPr>
                <w:szCs w:val="21"/>
              </w:rPr>
            </w:pPr>
          </w:p>
        </w:tc>
      </w:tr>
      <w:tr w14:paraId="2B0F602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9F238E">
            <w:pPr>
              <w:spacing w:line="360" w:lineRule="auto"/>
              <w:jc w:val="center"/>
              <w:rPr>
                <w:szCs w:val="21"/>
              </w:rPr>
            </w:pPr>
            <w:r>
              <w:rPr>
                <w:rFonts w:hint="eastAsia"/>
                <w:szCs w:val="21"/>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2644E4">
            <w:pPr>
              <w:spacing w:line="360" w:lineRule="auto"/>
              <w:jc w:val="center"/>
              <w:rPr>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3D594B">
            <w:pPr>
              <w:spacing w:line="360" w:lineRule="auto"/>
              <w:jc w:val="center"/>
              <w:rPr>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B54C4F">
            <w:pPr>
              <w:spacing w:line="360" w:lineRule="auto"/>
              <w:jc w:val="center"/>
              <w:rPr>
                <w:szCs w:val="21"/>
              </w:rPr>
            </w:pPr>
          </w:p>
        </w:tc>
      </w:tr>
      <w:tr w14:paraId="009C05E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BD283A">
            <w:pPr>
              <w:spacing w:line="360" w:lineRule="auto"/>
              <w:jc w:val="center"/>
              <w:rPr>
                <w:szCs w:val="21"/>
              </w:rPr>
            </w:pPr>
            <w:r>
              <w:rPr>
                <w:rFonts w:hint="eastAsia"/>
                <w:szCs w:val="21"/>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B59373">
            <w:pPr>
              <w:spacing w:line="360" w:lineRule="auto"/>
              <w:jc w:val="center"/>
              <w:rPr>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7F6810">
            <w:pPr>
              <w:spacing w:line="360" w:lineRule="auto"/>
              <w:jc w:val="center"/>
              <w:rPr>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C14C0E">
            <w:pPr>
              <w:spacing w:line="360" w:lineRule="auto"/>
              <w:jc w:val="center"/>
              <w:rPr>
                <w:szCs w:val="21"/>
              </w:rPr>
            </w:pPr>
          </w:p>
        </w:tc>
      </w:tr>
      <w:tr w14:paraId="687FB8A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E9AB69">
            <w:pPr>
              <w:spacing w:line="360" w:lineRule="auto"/>
              <w:jc w:val="center"/>
              <w:rPr>
                <w:szCs w:val="21"/>
              </w:rPr>
            </w:pPr>
            <w:r>
              <w:rPr>
                <w:rFonts w:hint="eastAsia"/>
                <w:szCs w:val="21"/>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F26863">
            <w:pPr>
              <w:spacing w:line="360" w:lineRule="auto"/>
              <w:jc w:val="center"/>
              <w:rPr>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73C7D8">
            <w:pPr>
              <w:spacing w:line="360" w:lineRule="auto"/>
              <w:jc w:val="center"/>
              <w:rPr>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D87D1A">
            <w:pPr>
              <w:spacing w:line="360" w:lineRule="auto"/>
              <w:jc w:val="center"/>
              <w:rPr>
                <w:szCs w:val="21"/>
              </w:rPr>
            </w:pPr>
          </w:p>
        </w:tc>
      </w:tr>
    </w:tbl>
    <w:p w14:paraId="03AF3E11">
      <w:pPr>
        <w:snapToGrid w:val="0"/>
        <w:spacing w:line="360" w:lineRule="auto"/>
        <w:jc w:val="left"/>
        <w:rPr>
          <w:szCs w:val="21"/>
        </w:rPr>
      </w:pPr>
      <w:r>
        <w:rPr>
          <w:rFonts w:hint="eastAsia"/>
          <w:szCs w:val="21"/>
        </w:rPr>
        <w:t>注：</w:t>
      </w:r>
    </w:p>
    <w:p w14:paraId="4254C34C">
      <w:pPr>
        <w:snapToGrid w:val="0"/>
        <w:spacing w:line="360" w:lineRule="auto"/>
        <w:ind w:firstLine="420" w:firstLineChars="200"/>
        <w:jc w:val="left"/>
        <w:rPr>
          <w:szCs w:val="21"/>
        </w:rPr>
      </w:pPr>
      <w:r>
        <w:rPr>
          <w:rFonts w:hint="eastAsia"/>
          <w:szCs w:val="21"/>
        </w:rPr>
        <w:t>1.管理关系：是指不具有出资持股关系的其他单位之间存在的管理与被管理关系，如一些上下级关系的事业单位和团体组织。</w:t>
      </w:r>
    </w:p>
    <w:p w14:paraId="4C552574">
      <w:pPr>
        <w:snapToGrid w:val="0"/>
        <w:spacing w:line="360" w:lineRule="auto"/>
        <w:ind w:firstLine="420" w:firstLineChars="200"/>
        <w:jc w:val="left"/>
        <w:rPr>
          <w:szCs w:val="21"/>
        </w:rPr>
      </w:pPr>
      <w:r>
        <w:rPr>
          <w:rFonts w:hint="eastAsia"/>
          <w:szCs w:val="21"/>
        </w:rPr>
        <w:t>2.本表所指的管理关系仅限于直接管理关系，不包括间接的管理关系。</w:t>
      </w:r>
    </w:p>
    <w:p w14:paraId="41046CDE">
      <w:pPr>
        <w:snapToGrid w:val="0"/>
        <w:spacing w:line="360" w:lineRule="auto"/>
        <w:ind w:firstLine="420" w:firstLineChars="200"/>
        <w:jc w:val="left"/>
        <w:rPr>
          <w:szCs w:val="21"/>
        </w:rPr>
      </w:pPr>
      <w:r>
        <w:rPr>
          <w:rFonts w:hint="eastAsia"/>
          <w:szCs w:val="21"/>
        </w:rPr>
        <w:t>3.供应商不存在直接管理关系的，则填“无”。</w:t>
      </w:r>
    </w:p>
    <w:p w14:paraId="70C4FA67">
      <w:pPr>
        <w:snapToGrid w:val="0"/>
        <w:spacing w:line="360" w:lineRule="auto"/>
        <w:jc w:val="left"/>
        <w:rPr>
          <w:szCs w:val="21"/>
        </w:rPr>
      </w:pPr>
    </w:p>
    <w:p w14:paraId="773F67BF">
      <w:pPr>
        <w:snapToGrid w:val="0"/>
        <w:spacing w:line="360" w:lineRule="auto"/>
        <w:jc w:val="left"/>
        <w:rPr>
          <w:szCs w:val="21"/>
        </w:rPr>
      </w:pPr>
    </w:p>
    <w:p w14:paraId="022862B3">
      <w:pPr>
        <w:snapToGrid w:val="0"/>
        <w:spacing w:line="360" w:lineRule="auto"/>
        <w:jc w:val="left"/>
        <w:rPr>
          <w:szCs w:val="21"/>
        </w:rPr>
      </w:pPr>
    </w:p>
    <w:p w14:paraId="4B470B14">
      <w:pPr>
        <w:snapToGrid w:val="0"/>
        <w:spacing w:line="360" w:lineRule="auto"/>
        <w:jc w:val="left"/>
        <w:rPr>
          <w:szCs w:val="21"/>
        </w:rPr>
      </w:pPr>
    </w:p>
    <w:p w14:paraId="67B310EE">
      <w:pPr>
        <w:snapToGrid w:val="0"/>
        <w:spacing w:line="360" w:lineRule="auto"/>
        <w:jc w:val="left"/>
        <w:rPr>
          <w:szCs w:val="21"/>
        </w:rPr>
      </w:pPr>
    </w:p>
    <w:p w14:paraId="15DA9B50">
      <w:pPr>
        <w:snapToGrid w:val="0"/>
        <w:spacing w:line="360" w:lineRule="auto"/>
        <w:jc w:val="left"/>
        <w:rPr>
          <w:szCs w:val="21"/>
        </w:rPr>
      </w:pPr>
    </w:p>
    <w:p w14:paraId="76ABC1C3">
      <w:pPr>
        <w:snapToGrid w:val="0"/>
        <w:spacing w:line="360" w:lineRule="auto"/>
        <w:jc w:val="left"/>
        <w:rPr>
          <w:szCs w:val="21"/>
        </w:rPr>
      </w:pPr>
    </w:p>
    <w:p w14:paraId="06035AC1">
      <w:pPr>
        <w:snapToGrid w:val="0"/>
        <w:spacing w:line="360" w:lineRule="auto"/>
        <w:jc w:val="left"/>
        <w:rPr>
          <w:szCs w:val="21"/>
        </w:rPr>
      </w:pPr>
    </w:p>
    <w:p w14:paraId="402460F1">
      <w:pPr>
        <w:snapToGrid w:val="0"/>
        <w:spacing w:line="360" w:lineRule="auto"/>
        <w:ind w:firstLine="4410" w:firstLineChars="2100"/>
        <w:rPr>
          <w:szCs w:val="21"/>
        </w:rPr>
      </w:pPr>
      <w:r>
        <w:rPr>
          <w:rFonts w:hint="eastAsia"/>
          <w:szCs w:val="21"/>
        </w:rPr>
        <w:t>供应商名称(电子签章)：</w:t>
      </w:r>
    </w:p>
    <w:p w14:paraId="31006F41">
      <w:pPr>
        <w:snapToGrid w:val="0"/>
        <w:spacing w:line="360" w:lineRule="auto"/>
        <w:ind w:firstLine="4515" w:firstLineChars="2150"/>
        <w:rPr>
          <w:szCs w:val="21"/>
        </w:rPr>
      </w:pPr>
      <w:r>
        <w:rPr>
          <w:rFonts w:hint="eastAsia"/>
          <w:szCs w:val="21"/>
        </w:rPr>
        <w:t>日期：  年  月   日</w:t>
      </w:r>
    </w:p>
    <w:p w14:paraId="682A6719">
      <w:pPr>
        <w:snapToGrid w:val="0"/>
        <w:spacing w:before="50" w:after="120" w:afterLines="50" w:line="440" w:lineRule="exact"/>
        <w:jc w:val="left"/>
        <w:rPr>
          <w:b/>
          <w:szCs w:val="21"/>
        </w:rPr>
      </w:pPr>
      <w:r>
        <w:rPr>
          <w:rFonts w:ascii="Times New Roman" w:hAnsi="Times New Roman" w:cs="Times New Roman"/>
        </w:rPr>
        <w:br w:type="page"/>
      </w:r>
      <w:bookmarkStart w:id="102" w:name="_Hlk21623591"/>
      <w:r>
        <w:rPr>
          <w:rFonts w:hint="eastAsia"/>
        </w:rPr>
        <w:t>8</w:t>
      </w:r>
      <w:r>
        <w:t>．</w:t>
      </w:r>
      <w:bookmarkEnd w:id="102"/>
      <w:bookmarkStart w:id="103" w:name="_Hlk21623617"/>
      <w:r>
        <w:rPr>
          <w:szCs w:val="21"/>
        </w:rPr>
        <w:t>供应商认为应当要提交的资格证明材料。</w:t>
      </w:r>
      <w:r>
        <w:rPr>
          <w:bCs/>
          <w:sz w:val="24"/>
        </w:rPr>
        <w:t xml:space="preserve"> </w:t>
      </w:r>
    </w:p>
    <w:bookmarkEnd w:id="103"/>
    <w:p w14:paraId="37EAC339">
      <w:pPr>
        <w:spacing w:line="276" w:lineRule="auto"/>
        <w:rPr>
          <w:szCs w:val="21"/>
        </w:rPr>
      </w:pPr>
      <w:bookmarkStart w:id="104" w:name="_Hlk60649396"/>
    </w:p>
    <w:p w14:paraId="516945DB">
      <w:pPr>
        <w:pStyle w:val="7"/>
        <w:overflowPunct w:val="0"/>
        <w:ind w:firstLine="0"/>
        <w:rPr>
          <w:rFonts w:hint="eastAsia"/>
        </w:rPr>
      </w:pPr>
    </w:p>
    <w:p w14:paraId="2AA2638E">
      <w:pPr>
        <w:widowControl/>
        <w:jc w:val="left"/>
        <w:rPr>
          <w:bCs/>
          <w:sz w:val="24"/>
        </w:rPr>
      </w:pPr>
    </w:p>
    <w:bookmarkEnd w:id="104"/>
    <w:p w14:paraId="546D9D40">
      <w:pPr>
        <w:snapToGrid w:val="0"/>
        <w:spacing w:before="120" w:beforeLines="50" w:after="50" w:afterLines="0" w:line="440" w:lineRule="exact"/>
        <w:jc w:val="left"/>
        <w:outlineLvl w:val="1"/>
        <w:rPr>
          <w:rFonts w:hint="default"/>
          <w:b/>
          <w:sz w:val="24"/>
          <w:szCs w:val="24"/>
        </w:rPr>
      </w:pPr>
      <w:r>
        <w:rPr>
          <w:bCs/>
          <w:sz w:val="24"/>
        </w:rPr>
        <w:br w:type="page"/>
      </w:r>
      <w:r>
        <w:rPr>
          <w:rFonts w:hint="eastAsia"/>
          <w:b w:val="0"/>
          <w:bCs w:val="0"/>
          <w:sz w:val="24"/>
          <w:szCs w:val="24"/>
          <w:lang w:val="en-US" w:eastAsia="zh-CN"/>
        </w:rPr>
        <w:t>2</w:t>
      </w:r>
      <w:r>
        <w:rPr>
          <w:rFonts w:hint="default"/>
          <w:b w:val="0"/>
          <w:bCs w:val="0"/>
          <w:sz w:val="24"/>
          <w:szCs w:val="24"/>
        </w:rPr>
        <w:t>.</w:t>
      </w:r>
      <w:r>
        <w:rPr>
          <w:rFonts w:hint="eastAsia" w:ascii="宋体" w:hAnsi="宋体" w:eastAsia="宋体"/>
          <w:b w:val="0"/>
          <w:bCs w:val="0"/>
          <w:sz w:val="24"/>
          <w:szCs w:val="24"/>
        </w:rPr>
        <w:t xml:space="preserve">响应文件封面参考格式（商务技术文件）： </w:t>
      </w:r>
    </w:p>
    <w:p w14:paraId="62DFAD98">
      <w:pPr>
        <w:snapToGrid w:val="0"/>
        <w:spacing w:before="120" w:beforeLines="50" w:after="50" w:afterLines="0" w:line="360" w:lineRule="exact"/>
        <w:rPr>
          <w:rFonts w:hint="default"/>
          <w:sz w:val="24"/>
          <w:szCs w:val="24"/>
        </w:rPr>
      </w:pPr>
    </w:p>
    <w:p w14:paraId="154DE568">
      <w:pPr>
        <w:snapToGrid w:val="0"/>
        <w:spacing w:before="120" w:beforeLines="50" w:after="50" w:afterLines="0" w:line="360" w:lineRule="exact"/>
        <w:jc w:val="right"/>
        <w:rPr>
          <w:rFonts w:hint="default"/>
          <w:sz w:val="24"/>
          <w:szCs w:val="24"/>
        </w:rPr>
      </w:pPr>
    </w:p>
    <w:p w14:paraId="78710B80">
      <w:pPr>
        <w:snapToGrid w:val="0"/>
        <w:spacing w:before="120" w:beforeLines="50" w:after="50" w:afterLines="0" w:line="360" w:lineRule="exact"/>
        <w:jc w:val="center"/>
        <w:rPr>
          <w:rFonts w:hint="default"/>
          <w:sz w:val="24"/>
          <w:szCs w:val="24"/>
        </w:rPr>
      </w:pPr>
      <w:r>
        <w:rPr>
          <w:rFonts w:hint="eastAsia" w:ascii="宋体" w:hAnsi="宋体" w:eastAsia="宋体"/>
          <w:b/>
          <w:sz w:val="44"/>
          <w:szCs w:val="24"/>
        </w:rPr>
        <w:t>电子响应文件</w:t>
      </w:r>
    </w:p>
    <w:p w14:paraId="69CBE39F">
      <w:pPr>
        <w:snapToGrid w:val="0"/>
        <w:spacing w:before="120" w:beforeLines="50" w:after="50" w:afterLines="0" w:line="360" w:lineRule="exact"/>
        <w:jc w:val="center"/>
        <w:rPr>
          <w:rFonts w:hint="default"/>
          <w:b/>
          <w:sz w:val="44"/>
          <w:szCs w:val="24"/>
        </w:rPr>
      </w:pPr>
    </w:p>
    <w:p w14:paraId="3FAD8B39">
      <w:pPr>
        <w:snapToGrid w:val="0"/>
        <w:spacing w:before="120" w:beforeLines="50" w:after="50" w:afterLines="0" w:line="360" w:lineRule="exact"/>
        <w:jc w:val="center"/>
        <w:rPr>
          <w:rFonts w:hint="default"/>
          <w:b/>
          <w:sz w:val="44"/>
          <w:szCs w:val="24"/>
        </w:rPr>
      </w:pPr>
    </w:p>
    <w:p w14:paraId="3FF97BD4">
      <w:pPr>
        <w:snapToGrid w:val="0"/>
        <w:spacing w:before="120" w:beforeLines="50" w:after="50" w:afterLines="0" w:line="360" w:lineRule="exact"/>
        <w:jc w:val="center"/>
        <w:rPr>
          <w:rFonts w:hint="default"/>
          <w:b/>
          <w:sz w:val="44"/>
          <w:szCs w:val="24"/>
        </w:rPr>
      </w:pPr>
      <w:r>
        <w:rPr>
          <w:rFonts w:hint="eastAsia" w:eastAsia="宋体"/>
          <w:b/>
          <w:sz w:val="44"/>
          <w:szCs w:val="24"/>
          <w:lang w:val="en-US" w:eastAsia="zh-CN"/>
        </w:rPr>
        <w:t>商</w:t>
      </w:r>
      <w:r>
        <w:rPr>
          <w:rFonts w:hint="eastAsia" w:eastAsia="宋体"/>
          <w:b/>
          <w:sz w:val="44"/>
          <w:szCs w:val="24"/>
        </w:rPr>
        <w:t>务技术文件</w:t>
      </w:r>
    </w:p>
    <w:p w14:paraId="4D253C33">
      <w:pPr>
        <w:snapToGrid w:val="0"/>
        <w:spacing w:before="120" w:beforeLines="50" w:after="50" w:afterLines="0" w:line="360" w:lineRule="exact"/>
        <w:jc w:val="center"/>
        <w:rPr>
          <w:rFonts w:hint="default"/>
          <w:b/>
          <w:sz w:val="44"/>
          <w:szCs w:val="24"/>
        </w:rPr>
      </w:pPr>
    </w:p>
    <w:p w14:paraId="03BD136D">
      <w:pPr>
        <w:snapToGrid w:val="0"/>
        <w:spacing w:before="120" w:beforeLines="50" w:after="50" w:afterLines="0" w:line="360" w:lineRule="exact"/>
        <w:rPr>
          <w:rFonts w:hint="default"/>
          <w:sz w:val="24"/>
          <w:szCs w:val="24"/>
        </w:rPr>
      </w:pPr>
    </w:p>
    <w:p w14:paraId="640BDD80">
      <w:pPr>
        <w:snapToGrid w:val="0"/>
        <w:spacing w:before="120" w:beforeLines="50" w:after="50" w:afterLines="0" w:line="360" w:lineRule="exact"/>
        <w:ind w:firstLine="720" w:firstLineChars="300"/>
        <w:rPr>
          <w:rFonts w:hint="default"/>
          <w:sz w:val="24"/>
          <w:szCs w:val="24"/>
        </w:rPr>
      </w:pPr>
      <w:r>
        <w:rPr>
          <w:rFonts w:hint="eastAsia" w:eastAsia="宋体"/>
          <w:sz w:val="24"/>
          <w:szCs w:val="24"/>
        </w:rPr>
        <w:t xml:space="preserve">项目名称： </w:t>
      </w:r>
    </w:p>
    <w:p w14:paraId="7CAB75DE">
      <w:pPr>
        <w:snapToGrid w:val="0"/>
        <w:spacing w:before="120" w:beforeLines="50" w:after="50" w:afterLines="0" w:line="360" w:lineRule="exact"/>
        <w:ind w:firstLine="720" w:firstLineChars="300"/>
        <w:rPr>
          <w:rFonts w:hint="default"/>
          <w:sz w:val="24"/>
          <w:szCs w:val="24"/>
        </w:rPr>
      </w:pPr>
      <w:r>
        <w:rPr>
          <w:rFonts w:hint="eastAsia" w:eastAsia="宋体"/>
          <w:sz w:val="24"/>
          <w:szCs w:val="24"/>
        </w:rPr>
        <w:t>项目编号：</w:t>
      </w:r>
    </w:p>
    <w:p w14:paraId="1002D110">
      <w:pPr>
        <w:snapToGrid w:val="0"/>
        <w:spacing w:before="120" w:beforeLines="50" w:after="50" w:afterLines="0" w:line="440" w:lineRule="exact"/>
        <w:ind w:firstLine="720" w:firstLineChars="300"/>
        <w:rPr>
          <w:rFonts w:hint="default"/>
          <w:sz w:val="24"/>
          <w:szCs w:val="24"/>
        </w:rPr>
      </w:pPr>
      <w:r>
        <w:rPr>
          <w:rFonts w:hint="eastAsia" w:eastAsia="宋体"/>
          <w:sz w:val="24"/>
          <w:szCs w:val="24"/>
        </w:rPr>
        <w:t>分标号：（若无留空或写</w:t>
      </w:r>
      <w:r>
        <w:rPr>
          <w:rFonts w:hint="default"/>
          <w:sz w:val="24"/>
          <w:szCs w:val="24"/>
        </w:rPr>
        <w:t>“/”</w:t>
      </w:r>
      <w:r>
        <w:rPr>
          <w:rFonts w:hint="eastAsia" w:eastAsia="宋体"/>
          <w:sz w:val="24"/>
          <w:szCs w:val="24"/>
        </w:rPr>
        <w:t>）</w:t>
      </w:r>
    </w:p>
    <w:p w14:paraId="13AC606B">
      <w:pPr>
        <w:snapToGrid w:val="0"/>
        <w:spacing w:before="120" w:beforeLines="50" w:after="50" w:afterLines="0" w:line="360" w:lineRule="exact"/>
        <w:ind w:firstLine="720" w:firstLineChars="300"/>
        <w:rPr>
          <w:rFonts w:hint="default"/>
          <w:sz w:val="24"/>
          <w:szCs w:val="24"/>
        </w:rPr>
      </w:pPr>
      <w:r>
        <w:rPr>
          <w:rFonts w:hint="eastAsia" w:eastAsia="宋体"/>
          <w:sz w:val="24"/>
          <w:szCs w:val="24"/>
        </w:rPr>
        <w:t>供应商名称：</w:t>
      </w:r>
    </w:p>
    <w:p w14:paraId="0C9D2243">
      <w:pPr>
        <w:snapToGrid w:val="0"/>
        <w:spacing w:before="120" w:beforeLines="50" w:after="50" w:afterLines="0" w:line="360" w:lineRule="exact"/>
        <w:ind w:firstLine="720" w:firstLineChars="300"/>
        <w:rPr>
          <w:rFonts w:hint="default"/>
          <w:sz w:val="24"/>
          <w:szCs w:val="24"/>
        </w:rPr>
      </w:pPr>
      <w:r>
        <w:rPr>
          <w:rFonts w:hint="eastAsia" w:eastAsia="宋体"/>
          <w:sz w:val="24"/>
          <w:szCs w:val="24"/>
        </w:rPr>
        <w:t>供应商地址：</w:t>
      </w:r>
    </w:p>
    <w:p w14:paraId="4ED7F238">
      <w:pPr>
        <w:pStyle w:val="7"/>
        <w:snapToGrid w:val="0"/>
        <w:spacing w:before="50" w:beforeLines="0" w:after="50" w:afterLines="0" w:line="360" w:lineRule="exact"/>
        <w:ind w:firstLine="960" w:firstLineChars="400"/>
        <w:rPr>
          <w:rFonts w:hint="default"/>
          <w:sz w:val="24"/>
          <w:szCs w:val="24"/>
        </w:rPr>
      </w:pPr>
    </w:p>
    <w:p w14:paraId="1AC8BBC3">
      <w:pPr>
        <w:snapToGrid w:val="0"/>
        <w:spacing w:before="120" w:beforeLines="50" w:after="50" w:afterLines="0" w:line="360" w:lineRule="exact"/>
        <w:jc w:val="center"/>
        <w:rPr>
          <w:rFonts w:hint="default"/>
          <w:sz w:val="24"/>
          <w:szCs w:val="24"/>
        </w:rPr>
      </w:pPr>
      <w:r>
        <w:rPr>
          <w:rFonts w:hint="default"/>
          <w:sz w:val="24"/>
          <w:szCs w:val="24"/>
        </w:rPr>
        <w:t xml:space="preserve">                        </w:t>
      </w:r>
      <w:r>
        <w:rPr>
          <w:rFonts w:hint="eastAsia" w:eastAsia="宋体"/>
          <w:sz w:val="24"/>
          <w:szCs w:val="24"/>
        </w:rPr>
        <w:t>年  月  日</w:t>
      </w:r>
    </w:p>
    <w:p w14:paraId="59E58236">
      <w:pPr>
        <w:snapToGrid w:val="0"/>
        <w:spacing w:before="120" w:beforeLines="50" w:after="50" w:line="440" w:lineRule="exact"/>
        <w:jc w:val="center"/>
        <w:outlineLvl w:val="1"/>
        <w:rPr>
          <w:bCs/>
          <w:sz w:val="24"/>
        </w:rPr>
        <w:sectPr>
          <w:headerReference r:id="rId21" w:type="default"/>
          <w:footerReference r:id="rId22" w:type="default"/>
          <w:pgSz w:w="11906" w:h="16838"/>
          <w:pgMar w:top="1418" w:right="1274" w:bottom="1418" w:left="1418" w:header="851" w:footer="992" w:gutter="0"/>
          <w:cols w:space="720" w:num="1"/>
          <w:docGrid w:linePitch="312" w:charSpace="0"/>
        </w:sectPr>
      </w:pPr>
    </w:p>
    <w:p w14:paraId="3C92F6EF">
      <w:pPr>
        <w:snapToGrid w:val="0"/>
        <w:spacing w:before="120" w:beforeLines="50" w:after="50" w:line="440" w:lineRule="exact"/>
        <w:jc w:val="center"/>
        <w:outlineLvl w:val="9"/>
        <w:rPr>
          <w:rFonts w:ascii="Times New Roman" w:hAnsi="Times New Roman" w:eastAsia="宋体" w:cs="Times New Roman"/>
          <w:b/>
          <w:bCs/>
          <w:sz w:val="24"/>
        </w:rPr>
      </w:pPr>
    </w:p>
    <w:p w14:paraId="6FFAA7B2">
      <w:pPr>
        <w:snapToGrid w:val="0"/>
        <w:spacing w:before="120" w:beforeLines="50" w:after="50" w:line="440" w:lineRule="exact"/>
        <w:jc w:val="center"/>
        <w:rPr>
          <w:rFonts w:ascii="Times New Roman" w:hAnsi="Times New Roman" w:eastAsia="宋体" w:cs="Times New Roman"/>
          <w:sz w:val="24"/>
        </w:rPr>
      </w:pPr>
    </w:p>
    <w:p w14:paraId="74175F77">
      <w:pPr>
        <w:snapToGrid w:val="0"/>
        <w:spacing w:before="50" w:after="50" w:line="440" w:lineRule="exact"/>
        <w:ind w:firstLine="138" w:firstLineChars="49"/>
        <w:jc w:val="center"/>
        <w:rPr>
          <w:rFonts w:ascii="Times New Roman" w:hAnsi="Times New Roman" w:eastAsia="宋体" w:cs="Times New Roman"/>
          <w:b/>
          <w:sz w:val="28"/>
          <w:szCs w:val="28"/>
        </w:rPr>
      </w:pPr>
      <w:r>
        <w:rPr>
          <w:rFonts w:ascii="Times New Roman" w:hAnsi="Times New Roman" w:eastAsia="宋体" w:cs="Times New Roman"/>
          <w:b/>
          <w:sz w:val="28"/>
          <w:szCs w:val="28"/>
        </w:rPr>
        <w:t>目录</w:t>
      </w:r>
    </w:p>
    <w:p w14:paraId="0F7433D2">
      <w:pPr>
        <w:snapToGrid w:val="0"/>
        <w:spacing w:before="120" w:beforeLines="50" w:after="50" w:line="440" w:lineRule="exact"/>
        <w:jc w:val="center"/>
        <w:outlineLvl w:val="9"/>
        <w:rPr>
          <w:bCs/>
          <w:sz w:val="24"/>
        </w:rPr>
        <w:sectPr>
          <w:pgSz w:w="11906" w:h="16838"/>
          <w:pgMar w:top="1418" w:right="1274" w:bottom="1418" w:left="1418" w:header="851" w:footer="992" w:gutter="0"/>
          <w:cols w:space="720" w:num="1"/>
          <w:docGrid w:linePitch="312" w:charSpace="0"/>
        </w:sectPr>
      </w:pPr>
      <w:r>
        <w:rPr>
          <w:rFonts w:ascii="Times New Roman" w:hAnsi="Times New Roman" w:eastAsia="宋体" w:cs="Times New Roman"/>
          <w:b/>
          <w:sz w:val="24"/>
        </w:rPr>
        <w:t>（需有页码）</w:t>
      </w:r>
    </w:p>
    <w:p w14:paraId="56B2BB0A">
      <w:pPr>
        <w:snapToGrid w:val="0"/>
        <w:spacing w:before="120" w:beforeLines="50" w:after="50" w:line="440" w:lineRule="exact"/>
        <w:jc w:val="center"/>
        <w:outlineLvl w:val="9"/>
        <w:rPr>
          <w:bCs/>
          <w:sz w:val="24"/>
        </w:rPr>
      </w:pPr>
      <w:r>
        <w:rPr>
          <w:bCs/>
          <w:sz w:val="24"/>
        </w:rPr>
        <w:t>第二部分 商务技术文件</w:t>
      </w:r>
    </w:p>
    <w:p w14:paraId="7A724D25">
      <w:pPr>
        <w:snapToGrid w:val="0"/>
        <w:spacing w:before="120" w:beforeLines="50" w:after="50" w:line="360" w:lineRule="exact"/>
        <w:rPr>
          <w:b/>
          <w:szCs w:val="21"/>
        </w:rPr>
      </w:pPr>
      <w:bookmarkStart w:id="105" w:name="_Toc462320613"/>
      <w:bookmarkStart w:id="106" w:name="_Toc462223472"/>
      <w:bookmarkStart w:id="107" w:name="_Toc455309222"/>
      <w:r>
        <w:rPr>
          <w:rFonts w:hint="eastAsia"/>
          <w:b/>
          <w:szCs w:val="21"/>
        </w:rPr>
        <w:t>1</w:t>
      </w:r>
      <w:r>
        <w:rPr>
          <w:b/>
          <w:szCs w:val="21"/>
        </w:rPr>
        <w:t>．法定代表人身份证明</w:t>
      </w:r>
      <w:r>
        <w:rPr>
          <w:rFonts w:hint="eastAsia"/>
          <w:b/>
          <w:szCs w:val="21"/>
        </w:rPr>
        <w:t>（无授权</w:t>
      </w:r>
      <w:r>
        <w:rPr>
          <w:b/>
          <w:szCs w:val="21"/>
        </w:rPr>
        <w:t>代表</w:t>
      </w:r>
      <w:r>
        <w:rPr>
          <w:rFonts w:hint="eastAsia"/>
          <w:b/>
          <w:szCs w:val="21"/>
        </w:rPr>
        <w:t>时必须提供）</w:t>
      </w:r>
      <w:r>
        <w:rPr>
          <w:b/>
          <w:szCs w:val="21"/>
        </w:rPr>
        <w:t>：</w:t>
      </w:r>
    </w:p>
    <w:p w14:paraId="3835B09A">
      <w:pPr>
        <w:snapToGrid w:val="0"/>
        <w:spacing w:before="120" w:beforeLines="50" w:after="50" w:line="360" w:lineRule="exact"/>
      </w:pPr>
    </w:p>
    <w:p w14:paraId="653DE8C4">
      <w:pPr>
        <w:snapToGrid w:val="0"/>
        <w:spacing w:before="120" w:beforeLines="50" w:after="50" w:line="440" w:lineRule="exact"/>
        <w:jc w:val="center"/>
        <w:rPr>
          <w:b/>
          <w:szCs w:val="21"/>
        </w:rPr>
      </w:pPr>
      <w:r>
        <w:rPr>
          <w:b/>
          <w:szCs w:val="21"/>
        </w:rPr>
        <w:t>法定代表人身份证明</w:t>
      </w:r>
      <w:bookmarkEnd w:id="105"/>
      <w:bookmarkEnd w:id="106"/>
      <w:bookmarkEnd w:id="107"/>
    </w:p>
    <w:p w14:paraId="35FC7351">
      <w:pPr>
        <w:spacing w:line="360" w:lineRule="auto"/>
      </w:pPr>
    </w:p>
    <w:p w14:paraId="55808948">
      <w:pPr>
        <w:spacing w:line="360" w:lineRule="auto"/>
      </w:pPr>
    </w:p>
    <w:p w14:paraId="004C73C7">
      <w:pPr>
        <w:spacing w:line="540" w:lineRule="exact"/>
        <w:rPr>
          <w:szCs w:val="21"/>
        </w:rPr>
      </w:pPr>
      <w:r>
        <w:rPr>
          <w:szCs w:val="21"/>
        </w:rPr>
        <w:t>供应商名称：</w:t>
      </w:r>
      <w:r>
        <w:rPr>
          <w:szCs w:val="21"/>
          <w:u w:val="single"/>
        </w:rPr>
        <w:t xml:space="preserve">                                         </w:t>
      </w:r>
    </w:p>
    <w:p w14:paraId="7D71DCA3">
      <w:pPr>
        <w:spacing w:line="540" w:lineRule="exact"/>
        <w:rPr>
          <w:szCs w:val="21"/>
        </w:rPr>
      </w:pPr>
      <w:r>
        <w:rPr>
          <w:szCs w:val="21"/>
        </w:rPr>
        <w:t>单位性质：</w:t>
      </w:r>
      <w:r>
        <w:rPr>
          <w:szCs w:val="21"/>
          <w:u w:val="single"/>
        </w:rPr>
        <w:t xml:space="preserve">                                           </w:t>
      </w:r>
    </w:p>
    <w:p w14:paraId="3F56229C">
      <w:pPr>
        <w:spacing w:line="540" w:lineRule="exact"/>
        <w:rPr>
          <w:szCs w:val="21"/>
        </w:rPr>
      </w:pPr>
      <w:r>
        <w:rPr>
          <w:szCs w:val="21"/>
        </w:rPr>
        <w:t>地址：</w:t>
      </w:r>
      <w:r>
        <w:rPr>
          <w:szCs w:val="21"/>
          <w:u w:val="single"/>
        </w:rPr>
        <w:t xml:space="preserve">                                               </w:t>
      </w:r>
    </w:p>
    <w:p w14:paraId="7EC397E0">
      <w:pPr>
        <w:spacing w:line="540" w:lineRule="exact"/>
        <w:rPr>
          <w:szCs w:val="21"/>
          <w:u w:val="single"/>
        </w:rPr>
      </w:pPr>
      <w:r>
        <w:rPr>
          <w:szCs w:val="21"/>
        </w:rPr>
        <w:t>成立时间：</w:t>
      </w:r>
      <w:r>
        <w:rPr>
          <w:szCs w:val="21"/>
          <w:u w:val="single"/>
        </w:rPr>
        <w:t xml:space="preserve">          年        月        日</w:t>
      </w:r>
    </w:p>
    <w:p w14:paraId="75457F4D">
      <w:pPr>
        <w:spacing w:line="540" w:lineRule="exact"/>
        <w:rPr>
          <w:szCs w:val="21"/>
        </w:rPr>
      </w:pPr>
      <w:r>
        <w:rPr>
          <w:szCs w:val="21"/>
        </w:rPr>
        <w:t>经营期限：</w:t>
      </w:r>
      <w:r>
        <w:rPr>
          <w:szCs w:val="21"/>
          <w:u w:val="single"/>
        </w:rPr>
        <w:t xml:space="preserve">                                           </w:t>
      </w:r>
    </w:p>
    <w:p w14:paraId="5C617A49">
      <w:pPr>
        <w:spacing w:line="540" w:lineRule="exact"/>
        <w:rPr>
          <w:szCs w:val="21"/>
        </w:rPr>
      </w:pPr>
      <w:r>
        <w:rPr>
          <w:szCs w:val="21"/>
        </w:rPr>
        <w:t>姓名：</w:t>
      </w:r>
      <w:r>
        <w:rPr>
          <w:szCs w:val="21"/>
          <w:u w:val="single"/>
        </w:rPr>
        <w:t xml:space="preserve">                   </w:t>
      </w:r>
      <w:r>
        <w:rPr>
          <w:szCs w:val="21"/>
        </w:rPr>
        <w:t>；性别：</w:t>
      </w:r>
      <w:r>
        <w:rPr>
          <w:szCs w:val="21"/>
          <w:u w:val="single"/>
        </w:rPr>
        <w:t xml:space="preserve">              </w:t>
      </w:r>
      <w:r>
        <w:rPr>
          <w:szCs w:val="21"/>
        </w:rPr>
        <w:t xml:space="preserve">        </w:t>
      </w:r>
    </w:p>
    <w:p w14:paraId="4F378865">
      <w:pPr>
        <w:spacing w:line="540" w:lineRule="exact"/>
        <w:rPr>
          <w:szCs w:val="21"/>
        </w:rPr>
      </w:pPr>
      <w:r>
        <w:rPr>
          <w:szCs w:val="21"/>
        </w:rPr>
        <w:t>年龄：</w:t>
      </w:r>
      <w:r>
        <w:rPr>
          <w:szCs w:val="21"/>
          <w:u w:val="single"/>
        </w:rPr>
        <w:t xml:space="preserve">         </w:t>
      </w:r>
      <w:r>
        <w:rPr>
          <w:szCs w:val="21"/>
        </w:rPr>
        <w:t>；职务：</w:t>
      </w:r>
      <w:r>
        <w:rPr>
          <w:szCs w:val="21"/>
          <w:u w:val="single"/>
        </w:rPr>
        <w:t xml:space="preserve">              </w:t>
      </w:r>
      <w:r>
        <w:rPr>
          <w:szCs w:val="21"/>
        </w:rPr>
        <w:t>；身份证：</w:t>
      </w:r>
      <w:r>
        <w:rPr>
          <w:szCs w:val="21"/>
          <w:u w:val="single"/>
        </w:rPr>
        <w:t xml:space="preserve">                                      </w:t>
      </w:r>
    </w:p>
    <w:p w14:paraId="377CF318">
      <w:pPr>
        <w:spacing w:line="540" w:lineRule="exact"/>
        <w:rPr>
          <w:szCs w:val="21"/>
        </w:rPr>
      </w:pPr>
      <w:r>
        <w:rPr>
          <w:szCs w:val="21"/>
        </w:rPr>
        <w:t>系</w:t>
      </w:r>
      <w:r>
        <w:rPr>
          <w:szCs w:val="21"/>
          <w:u w:val="single"/>
        </w:rPr>
        <w:t xml:space="preserve">                                      （ 供应商名称）</w:t>
      </w:r>
      <w:r>
        <w:rPr>
          <w:szCs w:val="21"/>
        </w:rPr>
        <w:t>的法定代表人。</w:t>
      </w:r>
    </w:p>
    <w:p w14:paraId="0E04B3C1">
      <w:pPr>
        <w:spacing w:line="540" w:lineRule="exact"/>
        <w:rPr>
          <w:color w:val="000000"/>
          <w:szCs w:val="21"/>
        </w:rPr>
      </w:pPr>
    </w:p>
    <w:p w14:paraId="4AB0441D">
      <w:pPr>
        <w:spacing w:line="540" w:lineRule="exact"/>
        <w:ind w:firstLine="420" w:firstLineChars="200"/>
        <w:rPr>
          <w:color w:val="000000"/>
          <w:szCs w:val="21"/>
        </w:rPr>
      </w:pPr>
      <w:r>
        <w:rPr>
          <w:color w:val="000000"/>
          <w:szCs w:val="21"/>
        </w:rPr>
        <w:t>特此证明。</w:t>
      </w:r>
    </w:p>
    <w:p w14:paraId="51BEFC49">
      <w:pPr>
        <w:spacing w:line="360" w:lineRule="auto"/>
        <w:ind w:firstLine="420" w:firstLineChars="200"/>
        <w:rPr>
          <w:rFonts w:hint="eastAsia"/>
          <w:szCs w:val="21"/>
        </w:rPr>
      </w:pPr>
    </w:p>
    <w:p w14:paraId="7306DC61">
      <w:pPr>
        <w:spacing w:line="360" w:lineRule="auto"/>
        <w:ind w:firstLine="4830" w:firstLineChars="2300"/>
        <w:rPr>
          <w:szCs w:val="21"/>
        </w:rPr>
      </w:pPr>
      <w:bookmarkStart w:id="108" w:name="_Hlk89181226"/>
      <w:r>
        <w:rPr>
          <w:szCs w:val="21"/>
        </w:rPr>
        <w:t>供应商</w:t>
      </w:r>
      <w:r>
        <w:rPr>
          <w:rFonts w:hint="eastAsia"/>
          <w:szCs w:val="21"/>
        </w:rPr>
        <w:t>名称（电子签章）</w:t>
      </w:r>
      <w:r>
        <w:rPr>
          <w:szCs w:val="21"/>
        </w:rPr>
        <w:t>：</w:t>
      </w:r>
      <w:r>
        <w:rPr>
          <w:szCs w:val="21"/>
          <w:u w:val="single"/>
        </w:rPr>
        <w:t xml:space="preserve">                </w:t>
      </w:r>
    </w:p>
    <w:p w14:paraId="41B34AD8">
      <w:pPr>
        <w:spacing w:line="360" w:lineRule="auto"/>
        <w:rPr>
          <w:color w:val="000000"/>
          <w:szCs w:val="21"/>
        </w:rPr>
      </w:pPr>
      <w:r>
        <w:rPr>
          <w:color w:val="000000"/>
          <w:szCs w:val="21"/>
        </w:rPr>
        <w:t xml:space="preserve">                                                   年       月       日 </w:t>
      </w:r>
    </w:p>
    <w:bookmarkEnd w:id="108"/>
    <w:p w14:paraId="6092D4C0">
      <w:pPr>
        <w:spacing w:line="360" w:lineRule="auto"/>
        <w:ind w:firstLine="420" w:firstLineChars="200"/>
        <w:rPr>
          <w:szCs w:val="21"/>
        </w:rPr>
      </w:pPr>
    </w:p>
    <w:p w14:paraId="159DDF99">
      <w:pPr>
        <w:spacing w:line="360" w:lineRule="auto"/>
        <w:rPr>
          <w:szCs w:val="21"/>
        </w:rPr>
      </w:pPr>
      <w:r>
        <w:rPr>
          <w:szCs w:val="21"/>
        </w:rPr>
        <w:t>附件：法定代表人身份证复印件</w:t>
      </w:r>
    </w:p>
    <w:p w14:paraId="564C22B4">
      <w:pPr>
        <w:spacing w:line="360" w:lineRule="auto"/>
        <w:rPr>
          <w:color w:val="000000"/>
          <w:szCs w:val="21"/>
        </w:rPr>
      </w:pPr>
    </w:p>
    <w:p w14:paraId="545F5A94">
      <w:pPr>
        <w:snapToGrid w:val="0"/>
        <w:spacing w:before="120" w:beforeLines="50" w:after="50" w:line="360" w:lineRule="exact"/>
        <w:rPr>
          <w:b/>
          <w:szCs w:val="21"/>
        </w:rPr>
      </w:pPr>
      <w:r>
        <w:rPr>
          <w:b/>
          <w:szCs w:val="21"/>
        </w:rPr>
        <w:br w:type="page"/>
      </w:r>
      <w:r>
        <w:rPr>
          <w:rFonts w:hint="eastAsia"/>
          <w:b/>
          <w:szCs w:val="21"/>
        </w:rPr>
        <w:t>1</w:t>
      </w:r>
      <w:r>
        <w:rPr>
          <w:b/>
          <w:szCs w:val="21"/>
        </w:rPr>
        <w:t>．法定代表</w:t>
      </w:r>
      <w:r>
        <w:rPr>
          <w:rFonts w:hint="eastAsia"/>
          <w:b/>
          <w:szCs w:val="21"/>
        </w:rPr>
        <w:t>授权</w:t>
      </w:r>
      <w:r>
        <w:rPr>
          <w:b/>
          <w:szCs w:val="21"/>
        </w:rPr>
        <w:t>委托书</w:t>
      </w:r>
      <w:r>
        <w:rPr>
          <w:rFonts w:hint="eastAsia"/>
          <w:b/>
          <w:szCs w:val="21"/>
        </w:rPr>
        <w:t>（有授权</w:t>
      </w:r>
      <w:r>
        <w:rPr>
          <w:b/>
          <w:szCs w:val="21"/>
        </w:rPr>
        <w:t>代表</w:t>
      </w:r>
      <w:r>
        <w:rPr>
          <w:rFonts w:hint="eastAsia"/>
          <w:b/>
          <w:szCs w:val="21"/>
        </w:rPr>
        <w:t>时提供）</w:t>
      </w:r>
      <w:r>
        <w:rPr>
          <w:b/>
          <w:szCs w:val="21"/>
        </w:rPr>
        <w:t>：</w:t>
      </w:r>
    </w:p>
    <w:p w14:paraId="23C0F8CC">
      <w:pPr>
        <w:snapToGrid w:val="0"/>
        <w:spacing w:before="120" w:beforeLines="50" w:after="50" w:line="360" w:lineRule="exact"/>
        <w:rPr>
          <w:b/>
          <w:szCs w:val="21"/>
        </w:rPr>
      </w:pPr>
    </w:p>
    <w:p w14:paraId="3C993E6F">
      <w:pPr>
        <w:snapToGrid w:val="0"/>
        <w:spacing w:before="120" w:beforeLines="50" w:after="50" w:line="440" w:lineRule="exact"/>
        <w:jc w:val="center"/>
        <w:rPr>
          <w:b/>
          <w:szCs w:val="21"/>
        </w:rPr>
      </w:pPr>
      <w:r>
        <w:rPr>
          <w:b/>
          <w:szCs w:val="21"/>
        </w:rPr>
        <w:t>法定代表人授权委托书</w:t>
      </w:r>
    </w:p>
    <w:p w14:paraId="61999EDE">
      <w:pPr>
        <w:snapToGrid w:val="0"/>
        <w:spacing w:before="120" w:beforeLines="50" w:after="50" w:line="440" w:lineRule="exact"/>
        <w:rPr>
          <w:bCs/>
          <w:szCs w:val="21"/>
        </w:rPr>
      </w:pPr>
    </w:p>
    <w:p w14:paraId="5217BB1C">
      <w:pPr>
        <w:snapToGrid w:val="0"/>
        <w:spacing w:before="120" w:beforeLines="50" w:after="50" w:line="440" w:lineRule="exact"/>
        <w:rPr>
          <w:rFonts w:hint="eastAsia"/>
          <w:b/>
          <w:bCs/>
          <w:szCs w:val="21"/>
        </w:rPr>
      </w:pPr>
      <w:r>
        <w:rPr>
          <w:bCs/>
          <w:szCs w:val="21"/>
        </w:rPr>
        <w:t>致：</w:t>
      </w:r>
      <w:r>
        <w:rPr>
          <w:i/>
          <w:iCs/>
          <w:szCs w:val="21"/>
          <w:u w:val="single"/>
        </w:rPr>
        <w:t>（采购人名称）</w:t>
      </w:r>
    </w:p>
    <w:p w14:paraId="1E1BCCFE">
      <w:pPr>
        <w:snapToGrid w:val="0"/>
        <w:spacing w:before="120" w:beforeLines="50" w:after="50" w:line="440" w:lineRule="exact"/>
        <w:ind w:firstLine="420" w:firstLineChars="200"/>
        <w:rPr>
          <w:szCs w:val="21"/>
        </w:rPr>
      </w:pPr>
      <w:r>
        <w:rPr>
          <w:szCs w:val="21"/>
        </w:rPr>
        <w:t>我</w:t>
      </w:r>
      <w:r>
        <w:rPr>
          <w:rFonts w:hint="eastAsia"/>
          <w:szCs w:val="21"/>
        </w:rPr>
        <w:t xml:space="preserve"> </w:t>
      </w:r>
      <w:r>
        <w:rPr>
          <w:i/>
          <w:iCs/>
          <w:szCs w:val="21"/>
          <w:u w:val="single"/>
        </w:rPr>
        <w:t>（姓名）</w:t>
      </w:r>
      <w:r>
        <w:rPr>
          <w:rFonts w:hint="eastAsia"/>
          <w:szCs w:val="21"/>
          <w:u w:val="single"/>
        </w:rPr>
        <w:t xml:space="preserve"> </w:t>
      </w:r>
      <w:r>
        <w:rPr>
          <w:szCs w:val="21"/>
          <w:u w:val="single"/>
        </w:rPr>
        <w:t xml:space="preserve"> </w:t>
      </w:r>
      <w:r>
        <w:rPr>
          <w:szCs w:val="21"/>
        </w:rPr>
        <w:t>系</w:t>
      </w:r>
      <w:r>
        <w:rPr>
          <w:i/>
          <w:iCs/>
          <w:szCs w:val="21"/>
          <w:u w:val="single"/>
        </w:rPr>
        <w:t>（供应商名称）</w:t>
      </w:r>
      <w:r>
        <w:rPr>
          <w:szCs w:val="21"/>
        </w:rPr>
        <w:t>的法定代表人，现授权委托本单位在职职工</w:t>
      </w:r>
      <w:r>
        <w:rPr>
          <w:i/>
          <w:iCs/>
          <w:szCs w:val="21"/>
          <w:u w:val="single"/>
        </w:rPr>
        <w:t>（姓名）</w:t>
      </w:r>
      <w:r>
        <w:rPr>
          <w:szCs w:val="21"/>
        </w:rPr>
        <w:t>以我方的名义参加</w:t>
      </w:r>
      <w:r>
        <w:rPr>
          <w:rFonts w:hint="eastAsia"/>
          <w:i/>
          <w:iCs/>
          <w:szCs w:val="21"/>
          <w:u w:val="single"/>
        </w:rPr>
        <w:t>（项目名称 ）</w:t>
      </w:r>
      <w:r>
        <w:rPr>
          <w:szCs w:val="21"/>
        </w:rPr>
        <w:t>项目的</w:t>
      </w:r>
      <w:r>
        <w:rPr>
          <w:rFonts w:hint="eastAsia"/>
          <w:szCs w:val="21"/>
        </w:rPr>
        <w:t>谈判</w:t>
      </w:r>
      <w:r>
        <w:rPr>
          <w:szCs w:val="21"/>
        </w:rPr>
        <w:t>活动，并代表我方全权办理针对上述项目的</w:t>
      </w:r>
      <w:r>
        <w:rPr>
          <w:rFonts w:hint="eastAsia"/>
          <w:szCs w:val="21"/>
        </w:rPr>
        <w:t>谈判</w:t>
      </w:r>
      <w:r>
        <w:rPr>
          <w:szCs w:val="21"/>
        </w:rPr>
        <w:t>、</w:t>
      </w:r>
      <w:r>
        <w:rPr>
          <w:rFonts w:hint="eastAsia"/>
          <w:szCs w:val="21"/>
          <w:lang w:eastAsia="zh-CN"/>
        </w:rPr>
        <w:t>开启响应文件</w:t>
      </w:r>
      <w:r>
        <w:rPr>
          <w:szCs w:val="21"/>
        </w:rPr>
        <w:t>、评审、签约等具体事务和签署相关文件。</w:t>
      </w:r>
    </w:p>
    <w:p w14:paraId="79B8B68A">
      <w:pPr>
        <w:snapToGrid w:val="0"/>
        <w:spacing w:before="120" w:beforeLines="50" w:after="50" w:line="440" w:lineRule="exact"/>
        <w:rPr>
          <w:szCs w:val="21"/>
        </w:rPr>
      </w:pPr>
      <w:r>
        <w:rPr>
          <w:szCs w:val="21"/>
        </w:rPr>
        <w:t xml:space="preserve">    我方对被授权人的签名事项负全部责任。</w:t>
      </w:r>
    </w:p>
    <w:p w14:paraId="53C8FEB1">
      <w:pPr>
        <w:snapToGrid w:val="0"/>
        <w:spacing w:before="120" w:beforeLines="50" w:after="50" w:line="440" w:lineRule="exact"/>
        <w:ind w:firstLine="480"/>
        <w:rPr>
          <w:szCs w:val="21"/>
        </w:rPr>
      </w:pPr>
      <w:r>
        <w:rPr>
          <w:szCs w:val="21"/>
        </w:rPr>
        <w:t>在撤销授权的书面通知以前，本授权书一直有效。被授权人在授权书有效期内签署的所有文件不因授权的撤销而失效。</w:t>
      </w:r>
    </w:p>
    <w:p w14:paraId="549F8996">
      <w:pPr>
        <w:snapToGrid w:val="0"/>
        <w:spacing w:before="120" w:beforeLines="50" w:after="50" w:line="440" w:lineRule="exact"/>
        <w:ind w:firstLine="480"/>
        <w:rPr>
          <w:szCs w:val="21"/>
        </w:rPr>
      </w:pPr>
      <w:r>
        <w:rPr>
          <w:szCs w:val="21"/>
        </w:rPr>
        <w:t>被授权人无转委托权，特此委托。</w:t>
      </w:r>
    </w:p>
    <w:p w14:paraId="6B719E4D">
      <w:pPr>
        <w:snapToGrid w:val="0"/>
        <w:spacing w:before="120" w:beforeLines="50" w:after="50" w:line="440" w:lineRule="exact"/>
        <w:rPr>
          <w:szCs w:val="21"/>
          <w:u w:val="single"/>
        </w:rPr>
      </w:pPr>
      <w:r>
        <w:rPr>
          <w:szCs w:val="21"/>
        </w:rPr>
        <w:t>被授权人签名或</w:t>
      </w:r>
      <w:r>
        <w:rPr>
          <w:rFonts w:hint="eastAsia"/>
          <w:szCs w:val="21"/>
        </w:rPr>
        <w:t>签</w:t>
      </w:r>
      <w:r>
        <w:rPr>
          <w:szCs w:val="21"/>
        </w:rPr>
        <w:t>章：</w:t>
      </w:r>
      <w:r>
        <w:rPr>
          <w:szCs w:val="21"/>
          <w:u w:val="single"/>
        </w:rPr>
        <w:t xml:space="preserve">          </w:t>
      </w:r>
      <w:r>
        <w:rPr>
          <w:szCs w:val="21"/>
        </w:rPr>
        <w:t xml:space="preserve">                           法定代表人签名或</w:t>
      </w:r>
      <w:r>
        <w:rPr>
          <w:rFonts w:hint="eastAsia"/>
          <w:szCs w:val="21"/>
        </w:rPr>
        <w:t>签</w:t>
      </w:r>
      <w:r>
        <w:rPr>
          <w:szCs w:val="21"/>
        </w:rPr>
        <w:t>章：</w:t>
      </w:r>
      <w:r>
        <w:rPr>
          <w:szCs w:val="21"/>
          <w:u w:val="single"/>
        </w:rPr>
        <w:t xml:space="preserve">          </w:t>
      </w:r>
    </w:p>
    <w:p w14:paraId="3B3EDA5F">
      <w:pPr>
        <w:snapToGrid w:val="0"/>
        <w:spacing w:before="120" w:beforeLines="50" w:after="50" w:line="440" w:lineRule="exact"/>
        <w:rPr>
          <w:szCs w:val="21"/>
        </w:rPr>
      </w:pPr>
      <w:r>
        <w:rPr>
          <w:szCs w:val="21"/>
        </w:rPr>
        <w:t>职务：</w:t>
      </w:r>
      <w:r>
        <w:rPr>
          <w:szCs w:val="21"/>
          <w:u w:val="single"/>
        </w:rPr>
        <w:t xml:space="preserve">           </w:t>
      </w:r>
      <w:r>
        <w:rPr>
          <w:szCs w:val="21"/>
        </w:rPr>
        <w:t xml:space="preserve">                                  职务：</w:t>
      </w:r>
      <w:r>
        <w:rPr>
          <w:szCs w:val="21"/>
          <w:u w:val="single"/>
        </w:rPr>
        <w:t xml:space="preserve">           </w:t>
      </w:r>
    </w:p>
    <w:p w14:paraId="266FFF1C">
      <w:pPr>
        <w:snapToGrid w:val="0"/>
        <w:spacing w:before="120" w:beforeLines="50" w:after="50" w:line="440" w:lineRule="exact"/>
        <w:rPr>
          <w:szCs w:val="21"/>
        </w:rPr>
      </w:pPr>
      <w:r>
        <w:rPr>
          <w:szCs w:val="21"/>
        </w:rPr>
        <w:t>被授权人身份证号码：</w:t>
      </w:r>
      <w:r>
        <w:rPr>
          <w:szCs w:val="21"/>
          <w:u w:val="single"/>
        </w:rPr>
        <w:t xml:space="preserve">                   </w:t>
      </w:r>
      <w:r>
        <w:rPr>
          <w:szCs w:val="21"/>
        </w:rPr>
        <w:t xml:space="preserve">            授权人身份证号码：</w:t>
      </w:r>
      <w:r>
        <w:rPr>
          <w:szCs w:val="21"/>
          <w:u w:val="single"/>
        </w:rPr>
        <w:t xml:space="preserve">                 </w:t>
      </w:r>
    </w:p>
    <w:p w14:paraId="18B288C8">
      <w:pPr>
        <w:snapToGrid w:val="0"/>
        <w:spacing w:before="120" w:beforeLines="50" w:after="50" w:line="440" w:lineRule="exact"/>
        <w:rPr>
          <w:szCs w:val="21"/>
        </w:rPr>
      </w:pPr>
      <w:r>
        <w:rPr>
          <w:rFonts w:hint="eastAsia"/>
          <w:szCs w:val="21"/>
        </w:rPr>
        <w:t>被授权人手机号码及邮箱：</w:t>
      </w:r>
      <w:r>
        <w:rPr>
          <w:rFonts w:hint="eastAsia"/>
          <w:szCs w:val="21"/>
          <w:u w:val="single"/>
        </w:rPr>
        <w:t xml:space="preserve"> </w:t>
      </w:r>
      <w:r>
        <w:rPr>
          <w:szCs w:val="21"/>
          <w:u w:val="single"/>
        </w:rPr>
        <w:t xml:space="preserve">                      </w:t>
      </w:r>
    </w:p>
    <w:p w14:paraId="1C21AC0E">
      <w:pPr>
        <w:snapToGrid w:val="0"/>
        <w:spacing w:before="120" w:beforeLines="50" w:after="50" w:line="440" w:lineRule="exact"/>
        <w:rPr>
          <w:szCs w:val="21"/>
        </w:rPr>
      </w:pPr>
      <w:r>
        <w:rPr>
          <w:szCs w:val="21"/>
        </w:rPr>
        <w:t xml:space="preserve">                   </w:t>
      </w:r>
    </w:p>
    <w:p w14:paraId="5962444C">
      <w:pPr>
        <w:snapToGrid w:val="0"/>
        <w:spacing w:before="120" w:beforeLines="50" w:after="50" w:line="440" w:lineRule="exact"/>
        <w:ind w:firstLine="5670" w:firstLineChars="2700"/>
        <w:rPr>
          <w:szCs w:val="21"/>
        </w:rPr>
      </w:pPr>
      <w:bookmarkStart w:id="109" w:name="_Hlk89181256"/>
      <w:r>
        <w:rPr>
          <w:szCs w:val="21"/>
        </w:rPr>
        <w:t>供应商</w:t>
      </w:r>
      <w:r>
        <w:rPr>
          <w:rFonts w:hint="eastAsia"/>
          <w:szCs w:val="21"/>
        </w:rPr>
        <w:t>名称（电子签章）</w:t>
      </w:r>
      <w:r>
        <w:rPr>
          <w:szCs w:val="21"/>
        </w:rPr>
        <w:t>：</w:t>
      </w:r>
      <w:r>
        <w:rPr>
          <w:szCs w:val="21"/>
          <w:u w:val="single"/>
        </w:rPr>
        <w:t xml:space="preserve">                </w:t>
      </w:r>
    </w:p>
    <w:p w14:paraId="60D75BC8">
      <w:pPr>
        <w:snapToGrid w:val="0"/>
        <w:spacing w:before="120" w:beforeLines="50" w:after="50" w:line="440" w:lineRule="exact"/>
        <w:jc w:val="center"/>
        <w:rPr>
          <w:szCs w:val="21"/>
        </w:rPr>
      </w:pPr>
      <w:r>
        <w:rPr>
          <w:szCs w:val="21"/>
        </w:rPr>
        <w:t xml:space="preserve">                                        年    月    日</w:t>
      </w:r>
    </w:p>
    <w:bookmarkEnd w:id="109"/>
    <w:p w14:paraId="038A8205">
      <w:pPr>
        <w:spacing w:line="360" w:lineRule="auto"/>
        <w:rPr>
          <w:szCs w:val="21"/>
        </w:rPr>
      </w:pPr>
    </w:p>
    <w:p w14:paraId="0B8D5220">
      <w:pPr>
        <w:spacing w:line="360" w:lineRule="auto"/>
        <w:rPr>
          <w:szCs w:val="21"/>
        </w:rPr>
      </w:pPr>
    </w:p>
    <w:p w14:paraId="13E8616A">
      <w:pPr>
        <w:spacing w:line="360" w:lineRule="auto"/>
        <w:rPr>
          <w:szCs w:val="21"/>
        </w:rPr>
      </w:pPr>
    </w:p>
    <w:p w14:paraId="627259CF">
      <w:pPr>
        <w:spacing w:line="360" w:lineRule="auto"/>
        <w:rPr>
          <w:szCs w:val="21"/>
        </w:rPr>
      </w:pPr>
      <w:r>
        <w:rPr>
          <w:szCs w:val="21"/>
        </w:rPr>
        <w:t>附件：法定代表人身份证复印件及授权代表身份证复印件</w:t>
      </w:r>
    </w:p>
    <w:p w14:paraId="6543E0CD">
      <w:pPr>
        <w:snapToGrid w:val="0"/>
        <w:spacing w:before="120" w:beforeLines="50" w:after="50" w:line="440" w:lineRule="exact"/>
        <w:jc w:val="center"/>
        <w:outlineLvl w:val="9"/>
        <w:rPr>
          <w:rFonts w:hint="eastAsia"/>
          <w:bCs/>
          <w:sz w:val="24"/>
        </w:rPr>
      </w:pPr>
      <w:r>
        <w:rPr>
          <w:bCs/>
          <w:sz w:val="24"/>
        </w:rPr>
        <w:br w:type="page"/>
      </w:r>
      <w:r>
        <w:rPr>
          <w:rFonts w:ascii="Times New Roman" w:hAnsi="Times New Roman" w:eastAsia="宋体" w:cs="Times New Roman"/>
          <w:bCs/>
          <w:sz w:val="24"/>
        </w:rPr>
        <w:t>第</w:t>
      </w:r>
      <w:r>
        <w:rPr>
          <w:rFonts w:hint="eastAsia" w:ascii="Times New Roman" w:hAnsi="Times New Roman" w:eastAsia="宋体" w:cs="Times New Roman"/>
          <w:bCs/>
          <w:sz w:val="24"/>
          <w:lang w:val="en-US" w:eastAsia="zh-CN"/>
        </w:rPr>
        <w:t>二</w:t>
      </w:r>
      <w:r>
        <w:rPr>
          <w:rFonts w:ascii="Times New Roman" w:hAnsi="Times New Roman" w:eastAsia="宋体" w:cs="Times New Roman"/>
          <w:bCs/>
          <w:sz w:val="24"/>
        </w:rPr>
        <w:t xml:space="preserve">部分 </w:t>
      </w:r>
      <w:r>
        <w:rPr>
          <w:rFonts w:hint="eastAsia" w:ascii="Times New Roman" w:hAnsi="Times New Roman" w:eastAsia="宋体" w:cs="Times New Roman"/>
          <w:bCs/>
          <w:sz w:val="24"/>
          <w:lang w:val="en-US" w:eastAsia="zh-CN"/>
        </w:rPr>
        <w:t>技术商务</w:t>
      </w:r>
      <w:r>
        <w:rPr>
          <w:rFonts w:ascii="Times New Roman" w:hAnsi="Times New Roman" w:eastAsia="宋体" w:cs="Times New Roman"/>
          <w:bCs/>
          <w:sz w:val="24"/>
        </w:rPr>
        <w:t>文件</w:t>
      </w:r>
    </w:p>
    <w:p w14:paraId="112066EC">
      <w:pPr>
        <w:snapToGrid w:val="0"/>
        <w:spacing w:before="50" w:after="120" w:afterLines="50" w:line="440" w:lineRule="exact"/>
        <w:jc w:val="center"/>
        <w:rPr>
          <w:color w:val="auto"/>
        </w:rPr>
      </w:pPr>
      <w:r>
        <w:rPr>
          <w:color w:val="auto"/>
        </w:rPr>
        <w:t>（本商务</w:t>
      </w:r>
      <w:r>
        <w:rPr>
          <w:rFonts w:hint="eastAsia"/>
          <w:color w:val="auto"/>
        </w:rPr>
        <w:t>技术</w:t>
      </w:r>
      <w:r>
        <w:rPr>
          <w:color w:val="auto"/>
        </w:rPr>
        <w:t>文件供应商可自行编写，也可参照下述提纲编写）</w:t>
      </w:r>
    </w:p>
    <w:p w14:paraId="567CF577">
      <w:pPr>
        <w:rPr>
          <w:rFonts w:hint="eastAsia"/>
          <w:color w:val="auto"/>
          <w:szCs w:val="21"/>
        </w:rPr>
      </w:pPr>
      <w:bookmarkStart w:id="110" w:name="_Hlk21623674"/>
      <w:r>
        <w:rPr>
          <w:rFonts w:hint="eastAsia"/>
          <w:color w:val="auto"/>
          <w:szCs w:val="21"/>
        </w:rPr>
        <w:t>1</w:t>
      </w:r>
      <w:r>
        <w:rPr>
          <w:color w:val="auto"/>
          <w:szCs w:val="21"/>
        </w:rPr>
        <w:t>．</w:t>
      </w:r>
      <w:r>
        <w:rPr>
          <w:rFonts w:hint="eastAsia"/>
          <w:color w:val="auto"/>
          <w:szCs w:val="21"/>
        </w:rPr>
        <w:t>对</w:t>
      </w:r>
      <w:r>
        <w:rPr>
          <w:color w:val="auto"/>
          <w:szCs w:val="21"/>
        </w:rPr>
        <w:t>本项目第</w:t>
      </w:r>
      <w:r>
        <w:rPr>
          <w:rFonts w:hint="eastAsia"/>
          <w:color w:val="auto"/>
          <w:szCs w:val="21"/>
        </w:rPr>
        <w:t>二</w:t>
      </w:r>
      <w:r>
        <w:rPr>
          <w:color w:val="auto"/>
          <w:szCs w:val="21"/>
        </w:rPr>
        <w:t>章</w:t>
      </w:r>
      <w:r>
        <w:rPr>
          <w:rFonts w:hint="eastAsia"/>
          <w:color w:val="auto"/>
          <w:szCs w:val="21"/>
        </w:rPr>
        <w:t>《</w:t>
      </w:r>
      <w:r>
        <w:rPr>
          <w:color w:val="auto"/>
          <w:szCs w:val="21"/>
        </w:rPr>
        <w:t>采购需求</w:t>
      </w:r>
      <w:r>
        <w:rPr>
          <w:rFonts w:hint="eastAsia"/>
          <w:color w:val="auto"/>
          <w:szCs w:val="21"/>
        </w:rPr>
        <w:t>》技术</w:t>
      </w:r>
      <w:r>
        <w:rPr>
          <w:color w:val="auto"/>
          <w:szCs w:val="21"/>
        </w:rPr>
        <w:t>要求的</w:t>
      </w:r>
      <w:r>
        <w:rPr>
          <w:rFonts w:hint="eastAsia"/>
          <w:color w:val="auto"/>
          <w:szCs w:val="21"/>
        </w:rPr>
        <w:t>响应表</w:t>
      </w:r>
      <w:r>
        <w:rPr>
          <w:color w:val="auto"/>
          <w:szCs w:val="21"/>
        </w:rPr>
        <w:t>：</w:t>
      </w:r>
    </w:p>
    <w:p w14:paraId="493CD27A">
      <w:pPr>
        <w:rPr>
          <w:rFonts w:hint="eastAsia"/>
          <w:color w:val="auto"/>
          <w:szCs w:val="21"/>
        </w:rPr>
      </w:pP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024C39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38903E0">
            <w:pPr>
              <w:snapToGrid w:val="0"/>
              <w:spacing w:before="120" w:beforeLines="50"/>
              <w:jc w:val="center"/>
              <w:rPr>
                <w:color w:val="auto"/>
                <w:szCs w:val="21"/>
              </w:rPr>
            </w:pPr>
            <w:r>
              <w:rPr>
                <w:color w:val="auto"/>
                <w:szCs w:val="21"/>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E7C0BD5">
            <w:pPr>
              <w:snapToGrid w:val="0"/>
              <w:spacing w:before="120" w:beforeLines="50"/>
              <w:jc w:val="center"/>
              <w:rPr>
                <w:rFonts w:hint="eastAsia"/>
                <w:color w:val="auto"/>
                <w:szCs w:val="21"/>
              </w:rPr>
            </w:pPr>
            <w:r>
              <w:rPr>
                <w:rFonts w:hint="eastAsia"/>
                <w:color w:val="auto"/>
                <w:szCs w:val="21"/>
              </w:rPr>
              <w:t>采购文件</w:t>
            </w:r>
            <w:r>
              <w:rPr>
                <w:color w:val="auto"/>
                <w:szCs w:val="21"/>
              </w:rPr>
              <w:t>要求</w:t>
            </w:r>
          </w:p>
          <w:p w14:paraId="3FD0A0AC">
            <w:pPr>
              <w:snapToGrid w:val="0"/>
              <w:spacing w:before="120" w:beforeLines="50"/>
              <w:jc w:val="center"/>
              <w:rPr>
                <w:color w:val="auto"/>
                <w:szCs w:val="21"/>
              </w:rPr>
            </w:pPr>
            <w:r>
              <w:rPr>
                <w:color w:val="auto"/>
                <w:szCs w:val="21"/>
              </w:rPr>
              <w:t>（注明章节及条款号）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97B3932">
            <w:pPr>
              <w:snapToGrid w:val="0"/>
              <w:spacing w:before="120" w:beforeLines="50"/>
              <w:jc w:val="center"/>
              <w:rPr>
                <w:rFonts w:hint="eastAsia"/>
                <w:color w:val="auto"/>
                <w:szCs w:val="21"/>
              </w:rPr>
            </w:pPr>
            <w:r>
              <w:rPr>
                <w:rFonts w:hint="eastAsia"/>
                <w:color w:val="auto"/>
                <w:szCs w:val="21"/>
              </w:rPr>
              <w:t>响应</w:t>
            </w:r>
            <w:r>
              <w:rPr>
                <w:color w:val="auto"/>
                <w:szCs w:val="21"/>
              </w:rPr>
              <w:t>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CEEAE7D">
            <w:pPr>
              <w:snapToGrid w:val="0"/>
              <w:spacing w:before="120" w:beforeLines="50"/>
              <w:jc w:val="center"/>
              <w:rPr>
                <w:color w:val="auto"/>
                <w:szCs w:val="21"/>
              </w:rPr>
            </w:pPr>
            <w:r>
              <w:rPr>
                <w:color w:val="auto"/>
              </w:rPr>
              <w:t>偏离</w:t>
            </w:r>
            <w:r>
              <w:rPr>
                <w:color w:val="auto"/>
                <w:szCs w:val="21"/>
              </w:rPr>
              <w:t>说明</w:t>
            </w:r>
          </w:p>
        </w:tc>
      </w:tr>
      <w:tr w14:paraId="3CDACC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74B0B52">
            <w:pPr>
              <w:snapToGrid w:val="0"/>
              <w:spacing w:before="120" w:beforeLines="50"/>
              <w:jc w:val="center"/>
              <w:rPr>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02E797FC">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250A3C4">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8BD0B61">
            <w:pPr>
              <w:snapToGrid w:val="0"/>
              <w:spacing w:before="120" w:beforeLines="50"/>
              <w:jc w:val="center"/>
              <w:rPr>
                <w:color w:val="auto"/>
                <w:szCs w:val="21"/>
              </w:rPr>
            </w:pPr>
          </w:p>
        </w:tc>
      </w:tr>
      <w:tr w14:paraId="05BA7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0F1A40A">
            <w:pPr>
              <w:snapToGrid w:val="0"/>
              <w:spacing w:before="120" w:beforeLines="50"/>
              <w:jc w:val="center"/>
              <w:rPr>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9114EEF">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530BAFDD">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3D4B218">
            <w:pPr>
              <w:snapToGrid w:val="0"/>
              <w:spacing w:before="120" w:beforeLines="50"/>
              <w:jc w:val="center"/>
              <w:rPr>
                <w:color w:val="auto"/>
                <w:szCs w:val="21"/>
              </w:rPr>
            </w:pPr>
          </w:p>
        </w:tc>
      </w:tr>
      <w:tr w14:paraId="5A66A3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D2952D5">
            <w:pPr>
              <w:snapToGrid w:val="0"/>
              <w:spacing w:before="120" w:beforeLines="50"/>
              <w:jc w:val="center"/>
              <w:rPr>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783FD03">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944C78B">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35F5918">
            <w:pPr>
              <w:snapToGrid w:val="0"/>
              <w:spacing w:before="120" w:beforeLines="50"/>
              <w:jc w:val="center"/>
              <w:rPr>
                <w:color w:val="auto"/>
                <w:szCs w:val="21"/>
              </w:rPr>
            </w:pPr>
          </w:p>
        </w:tc>
      </w:tr>
      <w:tr w14:paraId="5A3ED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716D496">
            <w:pPr>
              <w:snapToGrid w:val="0"/>
              <w:spacing w:before="120" w:beforeLines="50"/>
              <w:jc w:val="center"/>
              <w:rPr>
                <w:color w:val="auto"/>
                <w:szCs w:val="21"/>
              </w:rPr>
            </w:pPr>
            <w:r>
              <w:rPr>
                <w:color w:val="auto"/>
                <w:szCs w:val="21"/>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09F1B7F">
            <w:pPr>
              <w:snapToGrid w:val="0"/>
              <w:spacing w:before="120" w:beforeLines="50"/>
              <w:jc w:val="center"/>
              <w:rPr>
                <w:color w:val="auto"/>
                <w:szCs w:val="21"/>
              </w:rPr>
            </w:pPr>
            <w:r>
              <w:rPr>
                <w:color w:val="auto"/>
                <w:szCs w:val="21"/>
              </w:rPr>
              <w:t>……</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BF9F589">
            <w:pPr>
              <w:snapToGrid w:val="0"/>
              <w:spacing w:before="120" w:beforeLines="50"/>
              <w:jc w:val="center"/>
              <w:rPr>
                <w:color w:val="auto"/>
                <w:szCs w:val="21"/>
              </w:rPr>
            </w:pPr>
            <w:r>
              <w:rPr>
                <w:color w:val="auto"/>
                <w:szCs w:val="21"/>
              </w:rPr>
              <w:t>……</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FEECDC9">
            <w:pPr>
              <w:snapToGrid w:val="0"/>
              <w:spacing w:before="120" w:beforeLines="50"/>
              <w:jc w:val="center"/>
              <w:rPr>
                <w:color w:val="auto"/>
                <w:szCs w:val="21"/>
              </w:rPr>
            </w:pPr>
            <w:r>
              <w:rPr>
                <w:color w:val="auto"/>
                <w:szCs w:val="21"/>
              </w:rPr>
              <w:t>……</w:t>
            </w:r>
          </w:p>
        </w:tc>
      </w:tr>
    </w:tbl>
    <w:p w14:paraId="1E7A6FED">
      <w:pPr>
        <w:rPr>
          <w:color w:val="auto"/>
          <w:szCs w:val="21"/>
        </w:rPr>
      </w:pPr>
    </w:p>
    <w:bookmarkEnd w:id="110"/>
    <w:p w14:paraId="33BC6FD5">
      <w:pPr>
        <w:pStyle w:val="26"/>
        <w:tabs>
          <w:tab w:val="left" w:pos="2127"/>
        </w:tabs>
        <w:spacing w:line="340" w:lineRule="exact"/>
        <w:jc w:val="left"/>
        <w:rPr>
          <w:rFonts w:ascii="Times New Roman" w:hAnsi="Times New Roman" w:cs="Times New Roman"/>
          <w:color w:val="auto"/>
        </w:rPr>
      </w:pPr>
      <w:bookmarkStart w:id="111" w:name="_Hlk89181501"/>
      <w:r>
        <w:rPr>
          <w:color w:val="auto"/>
        </w:rPr>
        <w:t>注：（1）</w:t>
      </w:r>
      <w:r>
        <w:rPr>
          <w:rFonts w:ascii="Times New Roman" w:hAnsi="Times New Roman" w:cs="Times New Roman"/>
          <w:color w:val="auto"/>
        </w:rPr>
        <w:t>本表应对采购文件</w:t>
      </w:r>
      <w:r>
        <w:rPr>
          <w:color w:val="auto"/>
        </w:rPr>
        <w:t>第</w:t>
      </w:r>
      <w:r>
        <w:rPr>
          <w:rFonts w:hint="eastAsia"/>
          <w:color w:val="auto"/>
        </w:rPr>
        <w:t>二</w:t>
      </w:r>
      <w:r>
        <w:rPr>
          <w:color w:val="auto"/>
        </w:rPr>
        <w:t>章</w:t>
      </w:r>
      <w:r>
        <w:rPr>
          <w:rFonts w:hint="eastAsia"/>
          <w:color w:val="auto"/>
        </w:rPr>
        <w:t>《采购需求》</w:t>
      </w:r>
      <w:r>
        <w:rPr>
          <w:rFonts w:ascii="Times New Roman" w:hAnsi="Times New Roman" w:cs="Times New Roman"/>
          <w:color w:val="auto"/>
        </w:rPr>
        <w:t>中所列</w:t>
      </w:r>
      <w:r>
        <w:rPr>
          <w:rFonts w:hint="eastAsia" w:ascii="Times New Roman" w:hAnsi="Times New Roman" w:cs="Times New Roman"/>
          <w:color w:val="auto"/>
        </w:rPr>
        <w:t>技术</w:t>
      </w:r>
      <w:r>
        <w:rPr>
          <w:rFonts w:ascii="Times New Roman" w:hAnsi="Times New Roman" w:cs="Times New Roman"/>
          <w:color w:val="auto"/>
        </w:rPr>
        <w:t>要求进行响应，并根据响应情况在“偏离说明”栏填写正偏离或负偏离及原因，完全符合的填写</w:t>
      </w:r>
      <w:r>
        <w:rPr>
          <w:rFonts w:hint="eastAsia" w:ascii="Times New Roman" w:hAnsi="Times New Roman" w:cs="Times New Roman"/>
          <w:color w:val="auto"/>
        </w:rPr>
        <w:t>“</w:t>
      </w:r>
      <w:r>
        <w:rPr>
          <w:rFonts w:ascii="Times New Roman" w:hAnsi="Times New Roman" w:cs="Times New Roman"/>
          <w:color w:val="auto"/>
        </w:rPr>
        <w:t>无偏离</w:t>
      </w:r>
      <w:r>
        <w:rPr>
          <w:rFonts w:hint="eastAsia" w:ascii="Times New Roman" w:hAnsi="Times New Roman" w:cs="Times New Roman"/>
          <w:color w:val="auto"/>
        </w:rPr>
        <w:t>”</w:t>
      </w:r>
      <w:r>
        <w:rPr>
          <w:rFonts w:ascii="Times New Roman" w:hAnsi="Times New Roman" w:cs="Times New Roman"/>
          <w:color w:val="auto"/>
        </w:rPr>
        <w:t>。</w:t>
      </w:r>
    </w:p>
    <w:p w14:paraId="75E00089">
      <w:pPr>
        <w:rPr>
          <w:color w:val="auto"/>
        </w:rPr>
      </w:pPr>
      <w:r>
        <w:rPr>
          <w:rFonts w:hint="eastAsia"/>
          <w:color w:val="auto"/>
        </w:rPr>
        <w:t>（2）</w:t>
      </w:r>
      <w:r>
        <w:rPr>
          <w:color w:val="auto"/>
        </w:rPr>
        <w:t>第</w:t>
      </w:r>
      <w:r>
        <w:rPr>
          <w:rFonts w:hint="eastAsia"/>
          <w:color w:val="auto"/>
        </w:rPr>
        <w:t>二</w:t>
      </w:r>
      <w:r>
        <w:rPr>
          <w:color w:val="auto"/>
        </w:rPr>
        <w:t>章</w:t>
      </w:r>
      <w:r>
        <w:rPr>
          <w:rFonts w:hint="eastAsia"/>
          <w:color w:val="auto"/>
        </w:rPr>
        <w:t>《采购需求》中的总体要求无需响应。</w:t>
      </w:r>
    </w:p>
    <w:p w14:paraId="7A184505">
      <w:pPr>
        <w:rPr>
          <w:color w:val="auto"/>
        </w:rPr>
      </w:pPr>
      <w:r>
        <w:rPr>
          <w:rFonts w:hint="eastAsia"/>
          <w:color w:val="auto"/>
        </w:rPr>
        <w:t>（</w:t>
      </w:r>
      <w:r>
        <w:rPr>
          <w:color w:val="auto"/>
        </w:rPr>
        <w:t>3</w:t>
      </w:r>
      <w:r>
        <w:rPr>
          <w:rFonts w:hint="eastAsia"/>
          <w:color w:val="auto"/>
        </w:rPr>
        <w:t>）偏离认定说明详见评审方法及标准。</w:t>
      </w:r>
    </w:p>
    <w:p w14:paraId="106A8471">
      <w:pPr>
        <w:rPr>
          <w:color w:val="auto"/>
        </w:rPr>
      </w:pPr>
      <w:r>
        <w:rPr>
          <w:color w:val="auto"/>
        </w:rPr>
        <w:t>（4）本表可扩展。</w:t>
      </w:r>
    </w:p>
    <w:p w14:paraId="5AB2B34D">
      <w:pPr>
        <w:rPr>
          <w:color w:val="auto"/>
          <w:szCs w:val="21"/>
        </w:rPr>
      </w:pPr>
    </w:p>
    <w:p w14:paraId="4607A7A5">
      <w:pPr>
        <w:rPr>
          <w:color w:val="auto"/>
          <w:spacing w:val="20"/>
          <w:szCs w:val="21"/>
          <w:u w:val="single"/>
        </w:rPr>
      </w:pPr>
    </w:p>
    <w:p w14:paraId="435610CD">
      <w:pPr>
        <w:rPr>
          <w:color w:val="auto"/>
          <w:szCs w:val="21"/>
        </w:rPr>
      </w:pPr>
      <w:r>
        <w:rPr>
          <w:color w:val="auto"/>
          <w:szCs w:val="21"/>
        </w:rPr>
        <w:t>供应商</w:t>
      </w:r>
      <w:r>
        <w:rPr>
          <w:rFonts w:hint="eastAsia"/>
          <w:color w:val="auto"/>
          <w:szCs w:val="21"/>
        </w:rPr>
        <w:t>名称(电子签章</w:t>
      </w:r>
      <w:r>
        <w:rPr>
          <w:color w:val="auto"/>
          <w:szCs w:val="21"/>
        </w:rPr>
        <w:t>)</w:t>
      </w:r>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p>
    <w:bookmarkEnd w:id="111"/>
    <w:p w14:paraId="20A419D1">
      <w:pPr>
        <w:rPr>
          <w:rFonts w:hint="eastAsia"/>
          <w:color w:val="auto"/>
          <w:szCs w:val="21"/>
        </w:rPr>
      </w:pPr>
    </w:p>
    <w:p w14:paraId="079C7B6F">
      <w:pPr>
        <w:snapToGrid w:val="0"/>
        <w:spacing w:before="50" w:after="120" w:afterLines="50"/>
        <w:jc w:val="left"/>
        <w:rPr>
          <w:color w:val="auto"/>
          <w:szCs w:val="21"/>
        </w:rPr>
      </w:pPr>
      <w:bookmarkStart w:id="112" w:name="_Hlk21623696"/>
      <w:r>
        <w:rPr>
          <w:color w:val="auto"/>
          <w:szCs w:val="21"/>
        </w:rPr>
        <w:t>2．</w:t>
      </w:r>
      <w:r>
        <w:rPr>
          <w:rFonts w:hint="eastAsia"/>
          <w:color w:val="auto"/>
          <w:szCs w:val="21"/>
        </w:rPr>
        <w:t>货物或产品</w:t>
      </w:r>
      <w:r>
        <w:rPr>
          <w:color w:val="auto"/>
          <w:szCs w:val="21"/>
        </w:rPr>
        <w:t>配置清单格式：</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4"/>
        <w:gridCol w:w="1681"/>
        <w:gridCol w:w="1174"/>
        <w:gridCol w:w="1163"/>
        <w:gridCol w:w="1596"/>
        <w:gridCol w:w="1695"/>
        <w:gridCol w:w="1080"/>
      </w:tblGrid>
      <w:tr w14:paraId="20FF52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0CA6CDED">
            <w:pPr>
              <w:snapToGrid w:val="0"/>
              <w:spacing w:before="50" w:after="50" w:line="440" w:lineRule="exact"/>
              <w:jc w:val="center"/>
              <w:rPr>
                <w:color w:val="auto"/>
                <w:szCs w:val="21"/>
              </w:rPr>
            </w:pPr>
            <w:r>
              <w:rPr>
                <w:color w:val="auto"/>
                <w:szCs w:val="21"/>
              </w:rPr>
              <w:t>序号</w:t>
            </w:r>
          </w:p>
        </w:tc>
        <w:tc>
          <w:tcPr>
            <w:tcW w:w="1681" w:type="dxa"/>
            <w:tcBorders>
              <w:top w:val="single" w:color="auto" w:sz="4" w:space="0"/>
              <w:left w:val="single" w:color="auto" w:sz="4" w:space="0"/>
              <w:bottom w:val="single" w:color="auto" w:sz="4" w:space="0"/>
              <w:right w:val="single" w:color="auto" w:sz="4" w:space="0"/>
            </w:tcBorders>
            <w:noWrap w:val="0"/>
            <w:vAlign w:val="center"/>
          </w:tcPr>
          <w:p w14:paraId="7AE7717E">
            <w:pPr>
              <w:snapToGrid w:val="0"/>
              <w:spacing w:before="50" w:after="50" w:line="440" w:lineRule="exact"/>
              <w:jc w:val="center"/>
              <w:rPr>
                <w:rFonts w:hint="eastAsia"/>
                <w:color w:val="auto"/>
                <w:szCs w:val="21"/>
              </w:rPr>
            </w:pPr>
            <w:r>
              <w:rPr>
                <w:rFonts w:hint="eastAsia"/>
                <w:color w:val="auto"/>
                <w:szCs w:val="21"/>
              </w:rPr>
              <w:t>货物或产品</w:t>
            </w:r>
          </w:p>
          <w:p w14:paraId="7D11019D">
            <w:pPr>
              <w:snapToGrid w:val="0"/>
              <w:spacing w:before="50" w:after="50" w:line="440" w:lineRule="exact"/>
              <w:jc w:val="center"/>
              <w:rPr>
                <w:color w:val="auto"/>
                <w:szCs w:val="21"/>
              </w:rPr>
            </w:pPr>
            <w:r>
              <w:rPr>
                <w:color w:val="auto"/>
                <w:szCs w:val="21"/>
              </w:rPr>
              <w:t>名称</w:t>
            </w:r>
          </w:p>
        </w:tc>
        <w:tc>
          <w:tcPr>
            <w:tcW w:w="1174" w:type="dxa"/>
            <w:tcBorders>
              <w:top w:val="single" w:color="auto" w:sz="4" w:space="0"/>
              <w:left w:val="single" w:color="auto" w:sz="4" w:space="0"/>
              <w:bottom w:val="single" w:color="auto" w:sz="4" w:space="0"/>
              <w:right w:val="single" w:color="auto" w:sz="4" w:space="0"/>
            </w:tcBorders>
            <w:noWrap w:val="0"/>
            <w:vAlign w:val="center"/>
          </w:tcPr>
          <w:p w14:paraId="5639B29A">
            <w:pPr>
              <w:snapToGrid w:val="0"/>
              <w:spacing w:before="50" w:after="50" w:line="440" w:lineRule="exact"/>
              <w:jc w:val="center"/>
              <w:rPr>
                <w:color w:val="auto"/>
                <w:szCs w:val="21"/>
              </w:rPr>
            </w:pPr>
            <w:r>
              <w:rPr>
                <w:color w:val="auto"/>
                <w:szCs w:val="21"/>
              </w:rPr>
              <w:t>品牌或制造商</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D6BC65A">
            <w:pPr>
              <w:snapToGrid w:val="0"/>
              <w:spacing w:before="50" w:after="50" w:line="440" w:lineRule="exact"/>
              <w:jc w:val="center"/>
              <w:rPr>
                <w:color w:val="auto"/>
                <w:szCs w:val="21"/>
              </w:rPr>
            </w:pPr>
            <w:r>
              <w:rPr>
                <w:color w:val="auto"/>
                <w:szCs w:val="21"/>
              </w:rPr>
              <w:t>规格型号</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18A696AC">
            <w:pPr>
              <w:snapToGrid w:val="0"/>
              <w:spacing w:before="50" w:after="50" w:line="440" w:lineRule="exact"/>
              <w:jc w:val="center"/>
              <w:rPr>
                <w:color w:val="auto"/>
                <w:szCs w:val="21"/>
              </w:rPr>
            </w:pPr>
            <w:r>
              <w:rPr>
                <w:color w:val="auto"/>
                <w:szCs w:val="21"/>
              </w:rPr>
              <w:t>单位及数量</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1A82D6B0">
            <w:pPr>
              <w:snapToGrid w:val="0"/>
              <w:spacing w:before="50" w:after="50" w:line="440" w:lineRule="exact"/>
              <w:jc w:val="center"/>
              <w:rPr>
                <w:color w:val="auto"/>
                <w:szCs w:val="21"/>
              </w:rPr>
            </w:pPr>
            <w:r>
              <w:rPr>
                <w:color w:val="auto"/>
                <w:szCs w:val="21"/>
              </w:rPr>
              <w:t>性能及指标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1F6091B">
            <w:pPr>
              <w:snapToGrid w:val="0"/>
              <w:spacing w:before="50" w:after="50" w:line="440" w:lineRule="exact"/>
              <w:jc w:val="center"/>
              <w:rPr>
                <w:color w:val="auto"/>
                <w:szCs w:val="21"/>
              </w:rPr>
            </w:pPr>
            <w:r>
              <w:rPr>
                <w:color w:val="auto"/>
                <w:szCs w:val="21"/>
              </w:rPr>
              <w:t>产地</w:t>
            </w:r>
          </w:p>
        </w:tc>
      </w:tr>
      <w:tr w14:paraId="20B261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2950A229">
            <w:pPr>
              <w:snapToGrid w:val="0"/>
              <w:spacing w:before="50" w:after="50" w:line="440" w:lineRule="exact"/>
              <w:jc w:val="center"/>
              <w:rPr>
                <w:color w:val="auto"/>
                <w:szCs w:val="21"/>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5594DDA9">
            <w:pPr>
              <w:snapToGrid w:val="0"/>
              <w:spacing w:before="50" w:after="50" w:line="440" w:lineRule="exact"/>
              <w:rPr>
                <w:color w:val="auto"/>
                <w:szCs w:val="21"/>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1F649342">
            <w:pPr>
              <w:snapToGrid w:val="0"/>
              <w:spacing w:before="50" w:after="50" w:line="440" w:lineRule="exact"/>
              <w:jc w:val="center"/>
              <w:rPr>
                <w:color w:val="auto"/>
                <w:szCs w:val="21"/>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2B0758CA">
            <w:pPr>
              <w:snapToGrid w:val="0"/>
              <w:spacing w:before="50" w:after="50" w:line="440" w:lineRule="exact"/>
              <w:jc w:val="center"/>
              <w:rPr>
                <w:color w:val="auto"/>
                <w:szCs w:val="21"/>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575BB289">
            <w:pPr>
              <w:snapToGrid w:val="0"/>
              <w:spacing w:before="50" w:after="50" w:line="440" w:lineRule="exact"/>
              <w:jc w:val="center"/>
              <w:rPr>
                <w:color w:val="auto"/>
                <w:szCs w:val="21"/>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36F85704">
            <w:pPr>
              <w:snapToGrid w:val="0"/>
              <w:spacing w:before="50" w:after="50" w:line="440" w:lineRule="exact"/>
              <w:jc w:val="center"/>
              <w:rPr>
                <w:color w:val="auto"/>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2E43F17">
            <w:pPr>
              <w:snapToGrid w:val="0"/>
              <w:spacing w:before="50" w:after="50" w:line="440" w:lineRule="exact"/>
              <w:jc w:val="center"/>
              <w:rPr>
                <w:color w:val="auto"/>
                <w:szCs w:val="21"/>
              </w:rPr>
            </w:pPr>
          </w:p>
        </w:tc>
      </w:tr>
      <w:tr w14:paraId="6904A9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58"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7BBAA2B1">
            <w:pPr>
              <w:snapToGrid w:val="0"/>
              <w:spacing w:before="50" w:after="50" w:line="440" w:lineRule="exact"/>
              <w:jc w:val="center"/>
              <w:rPr>
                <w:color w:val="auto"/>
                <w:szCs w:val="21"/>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494F6838">
            <w:pPr>
              <w:snapToGrid w:val="0"/>
              <w:spacing w:before="50" w:after="50" w:line="440" w:lineRule="exact"/>
              <w:jc w:val="center"/>
              <w:rPr>
                <w:color w:val="auto"/>
                <w:szCs w:val="21"/>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0BCA68D3">
            <w:pPr>
              <w:snapToGrid w:val="0"/>
              <w:spacing w:before="50" w:after="50" w:line="440" w:lineRule="exact"/>
              <w:jc w:val="center"/>
              <w:rPr>
                <w:color w:val="auto"/>
                <w:szCs w:val="21"/>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ADB2DC8">
            <w:pPr>
              <w:snapToGrid w:val="0"/>
              <w:spacing w:before="50" w:after="50" w:line="440" w:lineRule="exact"/>
              <w:jc w:val="center"/>
              <w:rPr>
                <w:color w:val="auto"/>
                <w:szCs w:val="21"/>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419035DE">
            <w:pPr>
              <w:snapToGrid w:val="0"/>
              <w:spacing w:before="50" w:after="50" w:line="440" w:lineRule="exact"/>
              <w:jc w:val="center"/>
              <w:rPr>
                <w:color w:val="auto"/>
                <w:szCs w:val="21"/>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7031A5CE">
            <w:pPr>
              <w:snapToGrid w:val="0"/>
              <w:spacing w:before="50" w:after="50" w:line="440" w:lineRule="exact"/>
              <w:jc w:val="center"/>
              <w:rPr>
                <w:color w:val="auto"/>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B6D9836">
            <w:pPr>
              <w:snapToGrid w:val="0"/>
              <w:spacing w:before="50" w:after="50" w:line="440" w:lineRule="exact"/>
              <w:jc w:val="center"/>
              <w:rPr>
                <w:color w:val="auto"/>
                <w:szCs w:val="21"/>
              </w:rPr>
            </w:pPr>
          </w:p>
        </w:tc>
      </w:tr>
      <w:tr w14:paraId="74DC38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39F874E1">
            <w:pPr>
              <w:snapToGrid w:val="0"/>
              <w:spacing w:before="50" w:after="50" w:line="440" w:lineRule="exact"/>
              <w:jc w:val="center"/>
              <w:rPr>
                <w:color w:val="auto"/>
                <w:szCs w:val="21"/>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2F2234D2">
            <w:pPr>
              <w:snapToGrid w:val="0"/>
              <w:spacing w:before="50" w:after="50" w:line="440" w:lineRule="exact"/>
              <w:jc w:val="center"/>
              <w:rPr>
                <w:color w:val="auto"/>
                <w:szCs w:val="21"/>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42669F92">
            <w:pPr>
              <w:snapToGrid w:val="0"/>
              <w:spacing w:before="50" w:after="50" w:line="440" w:lineRule="exact"/>
              <w:jc w:val="center"/>
              <w:rPr>
                <w:color w:val="auto"/>
                <w:szCs w:val="21"/>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1CFD1D98">
            <w:pPr>
              <w:snapToGrid w:val="0"/>
              <w:spacing w:before="50" w:after="50" w:line="440" w:lineRule="exact"/>
              <w:jc w:val="center"/>
              <w:rPr>
                <w:color w:val="auto"/>
                <w:szCs w:val="21"/>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6C4A9855">
            <w:pPr>
              <w:snapToGrid w:val="0"/>
              <w:spacing w:before="50" w:after="50" w:line="440" w:lineRule="exact"/>
              <w:jc w:val="center"/>
              <w:rPr>
                <w:color w:val="auto"/>
                <w:szCs w:val="21"/>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0B04B965">
            <w:pPr>
              <w:snapToGrid w:val="0"/>
              <w:spacing w:before="50" w:after="50" w:line="440" w:lineRule="exact"/>
              <w:jc w:val="center"/>
              <w:rPr>
                <w:color w:val="auto"/>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4189EF6">
            <w:pPr>
              <w:snapToGrid w:val="0"/>
              <w:spacing w:before="50" w:after="50" w:line="440" w:lineRule="exact"/>
              <w:jc w:val="center"/>
              <w:rPr>
                <w:color w:val="auto"/>
                <w:szCs w:val="21"/>
              </w:rPr>
            </w:pPr>
          </w:p>
        </w:tc>
      </w:tr>
    </w:tbl>
    <w:p w14:paraId="62E40380">
      <w:pPr>
        <w:snapToGrid w:val="0"/>
        <w:spacing w:before="50" w:after="50" w:line="440" w:lineRule="exact"/>
        <w:rPr>
          <w:color w:val="auto"/>
          <w:spacing w:val="20"/>
          <w:szCs w:val="21"/>
          <w:u w:val="single"/>
        </w:rPr>
      </w:pPr>
    </w:p>
    <w:p w14:paraId="3DF03BB1">
      <w:pPr>
        <w:snapToGrid w:val="0"/>
        <w:spacing w:before="50" w:after="50" w:line="440" w:lineRule="exact"/>
        <w:rPr>
          <w:color w:val="auto"/>
          <w:szCs w:val="21"/>
        </w:rPr>
      </w:pPr>
      <w:bookmarkStart w:id="113" w:name="_Hlk89181513"/>
      <w:r>
        <w:rPr>
          <w:color w:val="auto"/>
          <w:szCs w:val="21"/>
        </w:rPr>
        <w:t>供应商</w:t>
      </w:r>
      <w:r>
        <w:rPr>
          <w:rFonts w:hint="eastAsia"/>
          <w:color w:val="auto"/>
          <w:szCs w:val="21"/>
        </w:rPr>
        <w:t>名称(电子签章</w:t>
      </w:r>
      <w:r>
        <w:rPr>
          <w:color w:val="auto"/>
          <w:szCs w:val="21"/>
        </w:rPr>
        <w:t>)</w:t>
      </w:r>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bookmarkEnd w:id="113"/>
    </w:p>
    <w:p w14:paraId="03265656">
      <w:pPr>
        <w:rPr>
          <w:rFonts w:hint="eastAsia"/>
          <w:color w:val="auto"/>
          <w:szCs w:val="21"/>
        </w:rPr>
      </w:pPr>
    </w:p>
    <w:p w14:paraId="1562C874">
      <w:pPr>
        <w:rPr>
          <w:rFonts w:hint="eastAsia"/>
          <w:color w:val="auto"/>
          <w:szCs w:val="21"/>
        </w:rPr>
      </w:pPr>
      <w:bookmarkStart w:id="114" w:name="_Hlk19115689"/>
      <w:r>
        <w:rPr>
          <w:color w:val="auto"/>
          <w:szCs w:val="21"/>
        </w:rPr>
        <w:t>3．</w:t>
      </w:r>
      <w:r>
        <w:rPr>
          <w:rFonts w:hint="eastAsia"/>
          <w:color w:val="auto"/>
          <w:szCs w:val="21"/>
        </w:rPr>
        <w:t>响应货物或产品的质量保证说明</w:t>
      </w:r>
    </w:p>
    <w:p w14:paraId="23184246">
      <w:pPr>
        <w:rPr>
          <w:rFonts w:hint="eastAsia"/>
          <w:color w:val="auto"/>
          <w:szCs w:val="21"/>
        </w:rPr>
      </w:pPr>
    </w:p>
    <w:p w14:paraId="4F6E79CD">
      <w:pPr>
        <w:rPr>
          <w:rFonts w:hint="eastAsia"/>
          <w:color w:val="auto"/>
          <w:szCs w:val="21"/>
        </w:rPr>
      </w:pPr>
    </w:p>
    <w:p w14:paraId="136A2BC0">
      <w:pPr>
        <w:jc w:val="left"/>
        <w:rPr>
          <w:color w:val="auto"/>
          <w:szCs w:val="21"/>
        </w:rPr>
      </w:pPr>
      <w:r>
        <w:rPr>
          <w:rFonts w:hint="eastAsia"/>
          <w:color w:val="auto"/>
          <w:szCs w:val="21"/>
        </w:rPr>
        <w:t>4</w:t>
      </w:r>
      <w:r>
        <w:rPr>
          <w:color w:val="auto"/>
          <w:szCs w:val="21"/>
        </w:rPr>
        <w:t>．质量保证期过后的优惠条件：供应商承诺给予采购人的各种优惠条件，包括</w:t>
      </w:r>
      <w:r>
        <w:rPr>
          <w:rFonts w:hint="eastAsia"/>
          <w:color w:val="auto"/>
          <w:szCs w:val="21"/>
        </w:rPr>
        <w:t>货物或产品的</w:t>
      </w:r>
      <w:r>
        <w:rPr>
          <w:color w:val="auto"/>
          <w:szCs w:val="21"/>
        </w:rPr>
        <w:t>售后服务、备品备件、专用耗材等方面的优惠条件。</w:t>
      </w:r>
    </w:p>
    <w:p w14:paraId="0B1C98A6">
      <w:pPr>
        <w:jc w:val="center"/>
        <w:rPr>
          <w:color w:val="auto"/>
          <w:szCs w:val="21"/>
        </w:rPr>
      </w:pPr>
      <w:r>
        <w:rPr>
          <w:color w:val="auto"/>
          <w:szCs w:val="21"/>
        </w:rPr>
        <w:t>常用的、容易损坏的备品备件及易损件的优惠价格清单</w:t>
      </w:r>
    </w:p>
    <w:tbl>
      <w:tblPr>
        <w:tblStyle w:val="51"/>
        <w:tblW w:w="897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50"/>
        <w:gridCol w:w="3124"/>
        <w:gridCol w:w="2276"/>
        <w:gridCol w:w="1639"/>
        <w:gridCol w:w="1083"/>
      </w:tblGrid>
      <w:tr w14:paraId="2F9FA6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2" w:hRule="atLeast"/>
        </w:trPr>
        <w:tc>
          <w:tcPr>
            <w:tcW w:w="85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725FCC9">
            <w:pPr>
              <w:rPr>
                <w:color w:val="auto"/>
                <w:szCs w:val="21"/>
              </w:rPr>
            </w:pPr>
            <w:r>
              <w:rPr>
                <w:color w:val="auto"/>
                <w:szCs w:val="21"/>
              </w:rPr>
              <w:t>序号</w:t>
            </w:r>
          </w:p>
        </w:tc>
        <w:tc>
          <w:tcPr>
            <w:tcW w:w="3124" w:type="dxa"/>
            <w:tcBorders>
              <w:top w:val="single" w:color="auto" w:sz="4" w:space="0"/>
              <w:left w:val="single" w:color="auto" w:sz="4" w:space="0"/>
              <w:bottom w:val="single" w:color="auto" w:sz="2" w:space="0"/>
              <w:right w:val="single" w:color="auto" w:sz="4" w:space="0"/>
            </w:tcBorders>
            <w:noWrap w:val="0"/>
            <w:vAlign w:val="center"/>
          </w:tcPr>
          <w:p w14:paraId="52DF39BD">
            <w:pPr>
              <w:snapToGrid w:val="0"/>
              <w:spacing w:before="50" w:after="50" w:line="440" w:lineRule="exact"/>
              <w:jc w:val="center"/>
              <w:rPr>
                <w:color w:val="auto"/>
                <w:szCs w:val="21"/>
              </w:rPr>
            </w:pPr>
            <w:r>
              <w:rPr>
                <w:color w:val="auto"/>
                <w:szCs w:val="21"/>
              </w:rPr>
              <w:t>备品备件、专用耗材名称</w:t>
            </w:r>
          </w:p>
        </w:tc>
        <w:tc>
          <w:tcPr>
            <w:tcW w:w="2276" w:type="dxa"/>
            <w:tcBorders>
              <w:top w:val="single" w:color="auto" w:sz="4" w:space="0"/>
              <w:left w:val="single" w:color="auto" w:sz="4" w:space="0"/>
              <w:bottom w:val="single" w:color="auto" w:sz="2" w:space="0"/>
              <w:right w:val="single" w:color="auto" w:sz="4" w:space="0"/>
            </w:tcBorders>
            <w:noWrap w:val="0"/>
            <w:vAlign w:val="center"/>
          </w:tcPr>
          <w:p w14:paraId="3423D35C">
            <w:pPr>
              <w:jc w:val="center"/>
              <w:rPr>
                <w:color w:val="auto"/>
                <w:szCs w:val="21"/>
              </w:rPr>
            </w:pPr>
            <w:r>
              <w:rPr>
                <w:color w:val="auto"/>
                <w:szCs w:val="21"/>
              </w:rPr>
              <w:t>适用于</w:t>
            </w:r>
            <w:r>
              <w:rPr>
                <w:rFonts w:hint="eastAsia"/>
                <w:color w:val="auto"/>
                <w:szCs w:val="21"/>
              </w:rPr>
              <w:t>何种响应货物（产品）名称及规格型号</w:t>
            </w:r>
          </w:p>
        </w:tc>
        <w:tc>
          <w:tcPr>
            <w:tcW w:w="1639" w:type="dxa"/>
            <w:tcBorders>
              <w:top w:val="single" w:color="auto" w:sz="4" w:space="0"/>
              <w:left w:val="single" w:color="auto" w:sz="4" w:space="0"/>
              <w:bottom w:val="single" w:color="auto" w:sz="2" w:space="0"/>
              <w:right w:val="single" w:color="auto" w:sz="4" w:space="0"/>
            </w:tcBorders>
            <w:noWrap w:val="0"/>
            <w:vAlign w:val="center"/>
          </w:tcPr>
          <w:p w14:paraId="2BAD7A23">
            <w:pPr>
              <w:jc w:val="center"/>
              <w:rPr>
                <w:color w:val="auto"/>
                <w:szCs w:val="21"/>
              </w:rPr>
            </w:pPr>
            <w:r>
              <w:rPr>
                <w:color w:val="auto"/>
                <w:szCs w:val="21"/>
              </w:rPr>
              <w:t>优惠内容</w:t>
            </w:r>
          </w:p>
        </w:tc>
        <w:tc>
          <w:tcPr>
            <w:tcW w:w="1083"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14:paraId="34259885">
            <w:pPr>
              <w:jc w:val="center"/>
              <w:rPr>
                <w:color w:val="auto"/>
                <w:szCs w:val="21"/>
              </w:rPr>
            </w:pPr>
            <w:r>
              <w:rPr>
                <w:color w:val="auto"/>
                <w:szCs w:val="21"/>
              </w:rPr>
              <w:t>优惠单价</w:t>
            </w:r>
          </w:p>
        </w:tc>
      </w:tr>
      <w:tr w14:paraId="0B38B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318E8788">
            <w:pPr>
              <w:jc w:val="center"/>
              <w:rPr>
                <w:color w:val="auto"/>
                <w:szCs w:val="21"/>
              </w:rPr>
            </w:pPr>
            <w:r>
              <w:rPr>
                <w:color w:val="auto"/>
                <w:szCs w:val="21"/>
              </w:rPr>
              <w:t>1</w:t>
            </w:r>
          </w:p>
        </w:tc>
        <w:tc>
          <w:tcPr>
            <w:tcW w:w="3124" w:type="dxa"/>
            <w:tcBorders>
              <w:top w:val="single" w:color="auto" w:sz="2" w:space="0"/>
              <w:left w:val="single" w:color="auto" w:sz="2" w:space="0"/>
              <w:bottom w:val="single" w:color="auto" w:sz="6" w:space="0"/>
              <w:right w:val="single" w:color="auto" w:sz="4" w:space="0"/>
            </w:tcBorders>
            <w:noWrap w:val="0"/>
            <w:vAlign w:val="center"/>
          </w:tcPr>
          <w:p w14:paraId="0280CFB5">
            <w:pPr>
              <w:rPr>
                <w:color w:val="auto"/>
                <w:szCs w:val="21"/>
              </w:rPr>
            </w:pPr>
          </w:p>
        </w:tc>
        <w:tc>
          <w:tcPr>
            <w:tcW w:w="2276" w:type="dxa"/>
            <w:tcBorders>
              <w:top w:val="single" w:color="auto" w:sz="2" w:space="0"/>
              <w:left w:val="single" w:color="auto" w:sz="4" w:space="0"/>
              <w:bottom w:val="single" w:color="auto" w:sz="6" w:space="0"/>
              <w:right w:val="single" w:color="auto" w:sz="6" w:space="0"/>
            </w:tcBorders>
            <w:noWrap w:val="0"/>
            <w:vAlign w:val="center"/>
          </w:tcPr>
          <w:p w14:paraId="0F46EBB8">
            <w:pPr>
              <w:rPr>
                <w:color w:val="auto"/>
                <w:szCs w:val="21"/>
              </w:rPr>
            </w:pPr>
          </w:p>
        </w:tc>
        <w:tc>
          <w:tcPr>
            <w:tcW w:w="1639" w:type="dxa"/>
            <w:tcBorders>
              <w:top w:val="single" w:color="auto" w:sz="2" w:space="0"/>
              <w:left w:val="single" w:color="auto" w:sz="6" w:space="0"/>
              <w:bottom w:val="single" w:color="auto" w:sz="6" w:space="0"/>
              <w:right w:val="single" w:color="auto" w:sz="6" w:space="0"/>
            </w:tcBorders>
            <w:noWrap w:val="0"/>
            <w:vAlign w:val="top"/>
          </w:tcPr>
          <w:p w14:paraId="2621205C">
            <w:pPr>
              <w:rPr>
                <w:color w:val="auto"/>
                <w:szCs w:val="21"/>
              </w:rPr>
            </w:pPr>
          </w:p>
        </w:tc>
        <w:tc>
          <w:tcPr>
            <w:tcW w:w="1083"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65B8D39B">
            <w:pPr>
              <w:rPr>
                <w:color w:val="auto"/>
                <w:szCs w:val="21"/>
              </w:rPr>
            </w:pPr>
          </w:p>
        </w:tc>
      </w:tr>
      <w:tr w14:paraId="0A52D8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574219F2">
            <w:pPr>
              <w:jc w:val="center"/>
              <w:rPr>
                <w:color w:val="auto"/>
                <w:szCs w:val="21"/>
              </w:rPr>
            </w:pPr>
            <w:r>
              <w:rPr>
                <w:color w:val="auto"/>
                <w:szCs w:val="21"/>
              </w:rPr>
              <w:t>2</w:t>
            </w:r>
          </w:p>
        </w:tc>
        <w:tc>
          <w:tcPr>
            <w:tcW w:w="3124" w:type="dxa"/>
            <w:tcBorders>
              <w:top w:val="single" w:color="auto" w:sz="6" w:space="0"/>
              <w:left w:val="single" w:color="auto" w:sz="2" w:space="0"/>
              <w:bottom w:val="single" w:color="auto" w:sz="6" w:space="0"/>
              <w:right w:val="single" w:color="auto" w:sz="4" w:space="0"/>
            </w:tcBorders>
            <w:noWrap w:val="0"/>
            <w:vAlign w:val="center"/>
          </w:tcPr>
          <w:p w14:paraId="156FBD0C">
            <w:pPr>
              <w:rPr>
                <w:color w:val="auto"/>
                <w:szCs w:val="21"/>
              </w:rPr>
            </w:pPr>
          </w:p>
        </w:tc>
        <w:tc>
          <w:tcPr>
            <w:tcW w:w="2276" w:type="dxa"/>
            <w:tcBorders>
              <w:top w:val="single" w:color="auto" w:sz="6" w:space="0"/>
              <w:left w:val="single" w:color="auto" w:sz="4" w:space="0"/>
              <w:bottom w:val="single" w:color="auto" w:sz="6" w:space="0"/>
              <w:right w:val="single" w:color="auto" w:sz="6" w:space="0"/>
            </w:tcBorders>
            <w:noWrap w:val="0"/>
            <w:vAlign w:val="center"/>
          </w:tcPr>
          <w:p w14:paraId="3EDAA2C6">
            <w:pPr>
              <w:rPr>
                <w:color w:val="auto"/>
                <w:szCs w:val="21"/>
              </w:rPr>
            </w:pPr>
          </w:p>
        </w:tc>
        <w:tc>
          <w:tcPr>
            <w:tcW w:w="1639" w:type="dxa"/>
            <w:tcBorders>
              <w:top w:val="single" w:color="auto" w:sz="6" w:space="0"/>
              <w:left w:val="single" w:color="auto" w:sz="6" w:space="0"/>
              <w:bottom w:val="single" w:color="auto" w:sz="6" w:space="0"/>
              <w:right w:val="single" w:color="auto" w:sz="6" w:space="0"/>
            </w:tcBorders>
            <w:noWrap w:val="0"/>
            <w:vAlign w:val="top"/>
          </w:tcPr>
          <w:p w14:paraId="28EC66D6">
            <w:pPr>
              <w:rPr>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4550D7DD">
            <w:pPr>
              <w:rPr>
                <w:color w:val="auto"/>
                <w:szCs w:val="21"/>
              </w:rPr>
            </w:pPr>
          </w:p>
        </w:tc>
      </w:tr>
      <w:tr w14:paraId="3B20D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5DE9C69B">
            <w:pPr>
              <w:jc w:val="center"/>
              <w:rPr>
                <w:color w:val="auto"/>
                <w:szCs w:val="21"/>
              </w:rPr>
            </w:pPr>
            <w:r>
              <w:rPr>
                <w:color w:val="auto"/>
                <w:szCs w:val="21"/>
              </w:rPr>
              <w:t>3</w:t>
            </w:r>
          </w:p>
        </w:tc>
        <w:tc>
          <w:tcPr>
            <w:tcW w:w="3124" w:type="dxa"/>
            <w:tcBorders>
              <w:top w:val="single" w:color="auto" w:sz="6" w:space="0"/>
              <w:left w:val="single" w:color="auto" w:sz="2" w:space="0"/>
              <w:bottom w:val="single" w:color="auto" w:sz="6" w:space="0"/>
              <w:right w:val="single" w:color="auto" w:sz="4" w:space="0"/>
            </w:tcBorders>
            <w:noWrap w:val="0"/>
            <w:vAlign w:val="center"/>
          </w:tcPr>
          <w:p w14:paraId="67584771">
            <w:pPr>
              <w:rPr>
                <w:color w:val="auto"/>
                <w:szCs w:val="21"/>
              </w:rPr>
            </w:pPr>
          </w:p>
        </w:tc>
        <w:tc>
          <w:tcPr>
            <w:tcW w:w="2276" w:type="dxa"/>
            <w:tcBorders>
              <w:top w:val="single" w:color="auto" w:sz="6" w:space="0"/>
              <w:left w:val="single" w:color="auto" w:sz="4" w:space="0"/>
              <w:bottom w:val="single" w:color="auto" w:sz="6" w:space="0"/>
              <w:right w:val="single" w:color="auto" w:sz="6" w:space="0"/>
            </w:tcBorders>
            <w:noWrap w:val="0"/>
            <w:vAlign w:val="center"/>
          </w:tcPr>
          <w:p w14:paraId="6963AFB1">
            <w:pPr>
              <w:rPr>
                <w:color w:val="auto"/>
                <w:szCs w:val="21"/>
              </w:rPr>
            </w:pPr>
          </w:p>
        </w:tc>
        <w:tc>
          <w:tcPr>
            <w:tcW w:w="1639" w:type="dxa"/>
            <w:tcBorders>
              <w:top w:val="single" w:color="auto" w:sz="6" w:space="0"/>
              <w:left w:val="single" w:color="auto" w:sz="6" w:space="0"/>
              <w:bottom w:val="single" w:color="auto" w:sz="6" w:space="0"/>
              <w:right w:val="single" w:color="auto" w:sz="6" w:space="0"/>
            </w:tcBorders>
            <w:noWrap w:val="0"/>
            <w:vAlign w:val="top"/>
          </w:tcPr>
          <w:p w14:paraId="6D86403A">
            <w:pPr>
              <w:rPr>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76AF6457">
            <w:pPr>
              <w:rPr>
                <w:color w:val="auto"/>
                <w:szCs w:val="21"/>
              </w:rPr>
            </w:pPr>
          </w:p>
        </w:tc>
      </w:tr>
    </w:tbl>
    <w:p w14:paraId="04B462B5">
      <w:pPr>
        <w:rPr>
          <w:color w:val="auto"/>
          <w:szCs w:val="21"/>
        </w:rPr>
      </w:pPr>
    </w:p>
    <w:p w14:paraId="47845BF3">
      <w:pPr>
        <w:rPr>
          <w:rFonts w:hint="eastAsia"/>
          <w:color w:val="auto"/>
          <w:spacing w:val="20"/>
          <w:szCs w:val="21"/>
          <w:u w:val="single"/>
        </w:rPr>
      </w:pPr>
    </w:p>
    <w:p w14:paraId="61B22F21">
      <w:pPr>
        <w:rPr>
          <w:color w:val="auto"/>
          <w:szCs w:val="21"/>
        </w:rPr>
      </w:pPr>
      <w:bookmarkStart w:id="115" w:name="_Hlk89181539"/>
      <w:r>
        <w:rPr>
          <w:color w:val="auto"/>
          <w:szCs w:val="21"/>
        </w:rPr>
        <w:t>供应商</w:t>
      </w:r>
      <w:r>
        <w:rPr>
          <w:rFonts w:hint="eastAsia"/>
          <w:color w:val="auto"/>
          <w:szCs w:val="21"/>
        </w:rPr>
        <w:t>名称(电子签章</w:t>
      </w:r>
      <w:r>
        <w:rPr>
          <w:color w:val="auto"/>
          <w:szCs w:val="21"/>
        </w:rPr>
        <w:t>)</w:t>
      </w:r>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p>
    <w:bookmarkEnd w:id="114"/>
    <w:bookmarkEnd w:id="115"/>
    <w:p w14:paraId="56F55698">
      <w:pPr>
        <w:snapToGrid w:val="0"/>
        <w:spacing w:before="50" w:after="120" w:afterLines="50" w:line="440" w:lineRule="exact"/>
        <w:jc w:val="left"/>
        <w:rPr>
          <w:rFonts w:hint="eastAsia"/>
          <w:color w:val="auto"/>
        </w:rPr>
      </w:pPr>
    </w:p>
    <w:p w14:paraId="0BE4BC92">
      <w:pPr>
        <w:snapToGrid w:val="0"/>
        <w:spacing w:before="50" w:after="120" w:afterLines="50" w:line="440" w:lineRule="exact"/>
        <w:jc w:val="left"/>
        <w:rPr>
          <w:color w:val="auto"/>
          <w:szCs w:val="21"/>
        </w:rPr>
      </w:pPr>
      <w:r>
        <w:rPr>
          <w:color w:val="auto"/>
          <w:szCs w:val="21"/>
        </w:rPr>
        <w:t>5．</w:t>
      </w:r>
      <w:r>
        <w:rPr>
          <w:rFonts w:hint="eastAsia"/>
          <w:color w:val="auto"/>
          <w:szCs w:val="21"/>
        </w:rPr>
        <w:t>对</w:t>
      </w:r>
      <w:r>
        <w:rPr>
          <w:color w:val="auto"/>
          <w:szCs w:val="21"/>
        </w:rPr>
        <w:t>本项目第</w:t>
      </w:r>
      <w:r>
        <w:rPr>
          <w:rFonts w:hint="eastAsia"/>
          <w:color w:val="auto"/>
          <w:szCs w:val="21"/>
        </w:rPr>
        <w:t>二</w:t>
      </w:r>
      <w:r>
        <w:rPr>
          <w:color w:val="auto"/>
          <w:szCs w:val="21"/>
        </w:rPr>
        <w:t>章</w:t>
      </w:r>
      <w:r>
        <w:rPr>
          <w:rFonts w:hint="eastAsia"/>
          <w:color w:val="auto"/>
          <w:szCs w:val="21"/>
        </w:rPr>
        <w:t>《</w:t>
      </w:r>
      <w:r>
        <w:rPr>
          <w:color w:val="auto"/>
          <w:szCs w:val="21"/>
        </w:rPr>
        <w:t>采购需求</w:t>
      </w:r>
      <w:r>
        <w:rPr>
          <w:rFonts w:hint="eastAsia"/>
          <w:color w:val="auto"/>
          <w:szCs w:val="21"/>
        </w:rPr>
        <w:t>》</w:t>
      </w:r>
      <w:r>
        <w:rPr>
          <w:color w:val="auto"/>
          <w:szCs w:val="21"/>
        </w:rPr>
        <w:t>商务要求的</w:t>
      </w:r>
      <w:r>
        <w:rPr>
          <w:rFonts w:hint="eastAsia"/>
          <w:color w:val="auto"/>
          <w:szCs w:val="21"/>
        </w:rPr>
        <w:t>响应表</w:t>
      </w:r>
      <w:r>
        <w:rPr>
          <w:color w:val="auto"/>
          <w:szCs w:val="21"/>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00B63B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0C062A0">
            <w:pPr>
              <w:snapToGrid w:val="0"/>
              <w:spacing w:before="120" w:beforeLines="50"/>
              <w:jc w:val="center"/>
              <w:rPr>
                <w:color w:val="auto"/>
                <w:szCs w:val="21"/>
              </w:rPr>
            </w:pPr>
            <w:r>
              <w:rPr>
                <w:color w:val="auto"/>
                <w:szCs w:val="21"/>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9BA7BC5">
            <w:pPr>
              <w:snapToGrid w:val="0"/>
              <w:spacing w:before="120" w:beforeLines="50"/>
              <w:jc w:val="center"/>
              <w:rPr>
                <w:color w:val="auto"/>
                <w:szCs w:val="21"/>
              </w:rPr>
            </w:pPr>
            <w:r>
              <w:rPr>
                <w:rFonts w:hint="eastAsia"/>
                <w:color w:val="auto"/>
                <w:szCs w:val="21"/>
              </w:rPr>
              <w:t>采购文件</w:t>
            </w:r>
            <w:r>
              <w:rPr>
                <w:color w:val="auto"/>
                <w:szCs w:val="21"/>
              </w:rPr>
              <w:t>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5AA94E5A">
            <w:pPr>
              <w:snapToGrid w:val="0"/>
              <w:spacing w:before="120" w:beforeLines="50"/>
              <w:jc w:val="center"/>
              <w:rPr>
                <w:color w:val="auto"/>
                <w:szCs w:val="21"/>
              </w:rPr>
            </w:pPr>
            <w:r>
              <w:rPr>
                <w:color w:val="auto"/>
                <w:szCs w:val="21"/>
              </w:rPr>
              <w:t>响应文件响应内容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D56A8CE">
            <w:pPr>
              <w:snapToGrid w:val="0"/>
              <w:spacing w:before="120" w:beforeLines="50"/>
              <w:jc w:val="center"/>
              <w:rPr>
                <w:color w:val="auto"/>
                <w:szCs w:val="21"/>
              </w:rPr>
            </w:pPr>
            <w:r>
              <w:rPr>
                <w:color w:val="auto"/>
              </w:rPr>
              <w:t>偏离</w:t>
            </w:r>
            <w:r>
              <w:rPr>
                <w:color w:val="auto"/>
                <w:szCs w:val="21"/>
              </w:rPr>
              <w:t>说明</w:t>
            </w:r>
          </w:p>
        </w:tc>
      </w:tr>
      <w:tr w14:paraId="21C902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F837F7E">
            <w:pPr>
              <w:snapToGrid w:val="0"/>
              <w:spacing w:before="120" w:beforeLines="50"/>
              <w:jc w:val="center"/>
              <w:rPr>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BBCFD7D">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C5BCB8A">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F4A0B0A">
            <w:pPr>
              <w:snapToGrid w:val="0"/>
              <w:spacing w:before="120" w:beforeLines="50"/>
              <w:jc w:val="center"/>
              <w:rPr>
                <w:color w:val="auto"/>
                <w:szCs w:val="21"/>
              </w:rPr>
            </w:pPr>
          </w:p>
        </w:tc>
      </w:tr>
      <w:tr w14:paraId="6E639D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123240B">
            <w:pPr>
              <w:snapToGrid w:val="0"/>
              <w:spacing w:before="120" w:beforeLines="50"/>
              <w:jc w:val="center"/>
              <w:rPr>
                <w:color w:val="auto"/>
                <w:szCs w:val="21"/>
              </w:rPr>
            </w:pPr>
            <w:r>
              <w:rPr>
                <w:color w:val="auto"/>
                <w:szCs w:val="21"/>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366A36D">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6994310">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64E9328">
            <w:pPr>
              <w:snapToGrid w:val="0"/>
              <w:spacing w:before="120" w:beforeLines="50"/>
              <w:jc w:val="center"/>
              <w:rPr>
                <w:color w:val="auto"/>
                <w:szCs w:val="21"/>
              </w:rPr>
            </w:pPr>
          </w:p>
        </w:tc>
      </w:tr>
      <w:bookmarkEnd w:id="112"/>
    </w:tbl>
    <w:p w14:paraId="4D4DF990">
      <w:pPr>
        <w:pStyle w:val="26"/>
        <w:tabs>
          <w:tab w:val="left" w:pos="2127"/>
        </w:tabs>
        <w:spacing w:line="340" w:lineRule="exact"/>
        <w:ind w:firstLine="420" w:firstLineChars="200"/>
        <w:jc w:val="left"/>
        <w:rPr>
          <w:rFonts w:ascii="Times New Roman" w:hAnsi="Times New Roman" w:cs="Times New Roman"/>
          <w:color w:val="auto"/>
        </w:rPr>
      </w:pPr>
      <w:bookmarkStart w:id="116" w:name="_Hlk48144603"/>
      <w:bookmarkStart w:id="117" w:name="_Hlk89181571"/>
      <w:r>
        <w:rPr>
          <w:rFonts w:ascii="Times New Roman" w:hAnsi="Times New Roman" w:cs="Times New Roman"/>
          <w:color w:val="auto"/>
        </w:rPr>
        <w:t>注：</w:t>
      </w:r>
      <w:bookmarkStart w:id="118" w:name="_Hlk19049081"/>
      <w:r>
        <w:rPr>
          <w:rFonts w:ascii="Times New Roman" w:hAnsi="Times New Roman" w:cs="Times New Roman"/>
          <w:color w:val="auto"/>
        </w:rPr>
        <w:t>（1）本表应对采购文件</w:t>
      </w:r>
      <w:r>
        <w:rPr>
          <w:color w:val="auto"/>
        </w:rPr>
        <w:t>第</w:t>
      </w:r>
      <w:r>
        <w:rPr>
          <w:rFonts w:hint="eastAsia"/>
          <w:color w:val="auto"/>
        </w:rPr>
        <w:t>二</w:t>
      </w:r>
      <w:r>
        <w:rPr>
          <w:color w:val="auto"/>
        </w:rPr>
        <w:t>章</w:t>
      </w:r>
      <w:r>
        <w:rPr>
          <w:rFonts w:hint="eastAsia"/>
          <w:color w:val="auto"/>
        </w:rPr>
        <w:t>《采购需求》</w:t>
      </w:r>
      <w:r>
        <w:rPr>
          <w:rFonts w:ascii="Times New Roman" w:hAnsi="Times New Roman" w:cs="Times New Roman"/>
          <w:color w:val="auto"/>
        </w:rPr>
        <w:t>中所列商务要求进行响应，并根据响应情况在“偏离说明”栏填写正偏离或负偏离及原因，完全符合的填写</w:t>
      </w:r>
      <w:r>
        <w:rPr>
          <w:rFonts w:hint="eastAsia" w:ascii="Times New Roman" w:hAnsi="Times New Roman" w:cs="Times New Roman"/>
          <w:color w:val="auto"/>
        </w:rPr>
        <w:t>“</w:t>
      </w:r>
      <w:r>
        <w:rPr>
          <w:rFonts w:ascii="Times New Roman" w:hAnsi="Times New Roman" w:cs="Times New Roman"/>
          <w:color w:val="auto"/>
        </w:rPr>
        <w:t>无偏离</w:t>
      </w:r>
      <w:r>
        <w:rPr>
          <w:rFonts w:hint="eastAsia" w:ascii="Times New Roman" w:hAnsi="Times New Roman" w:cs="Times New Roman"/>
          <w:color w:val="auto"/>
        </w:rPr>
        <w:t>”</w:t>
      </w:r>
      <w:r>
        <w:rPr>
          <w:rFonts w:ascii="Times New Roman" w:hAnsi="Times New Roman" w:cs="Times New Roman"/>
          <w:color w:val="auto"/>
        </w:rPr>
        <w:t>。</w:t>
      </w:r>
    </w:p>
    <w:p w14:paraId="0EF64CCF">
      <w:pPr>
        <w:pStyle w:val="26"/>
        <w:tabs>
          <w:tab w:val="left" w:pos="2127"/>
        </w:tabs>
        <w:spacing w:line="340" w:lineRule="exact"/>
        <w:ind w:firstLine="420" w:firstLineChars="200"/>
        <w:jc w:val="left"/>
        <w:rPr>
          <w:rFonts w:ascii="Times New Roman" w:hAnsi="Times New Roman" w:cs="Times New Roman"/>
          <w:color w:val="auto"/>
        </w:rPr>
      </w:pPr>
      <w:r>
        <w:rPr>
          <w:rFonts w:hint="eastAsia" w:ascii="Times New Roman" w:hAnsi="Times New Roman" w:cs="Times New Roman"/>
          <w:color w:val="auto"/>
        </w:rPr>
        <w:t>（2）</w:t>
      </w:r>
      <w:r>
        <w:rPr>
          <w:color w:val="auto"/>
        </w:rPr>
        <w:t>第</w:t>
      </w:r>
      <w:r>
        <w:rPr>
          <w:rFonts w:hint="eastAsia"/>
          <w:color w:val="auto"/>
        </w:rPr>
        <w:t>二</w:t>
      </w:r>
      <w:r>
        <w:rPr>
          <w:color w:val="auto"/>
        </w:rPr>
        <w:t>章</w:t>
      </w:r>
      <w:r>
        <w:rPr>
          <w:rFonts w:hint="eastAsia"/>
          <w:color w:val="auto"/>
        </w:rPr>
        <w:t>《采购需求》</w:t>
      </w:r>
      <w:r>
        <w:rPr>
          <w:rFonts w:hint="eastAsia" w:ascii="Times New Roman" w:hAnsi="Times New Roman" w:cs="Times New Roman"/>
          <w:color w:val="auto"/>
        </w:rPr>
        <w:t>中的总体要求无需响应。</w:t>
      </w:r>
    </w:p>
    <w:p w14:paraId="1C611C1B">
      <w:pPr>
        <w:ind w:firstLine="420" w:firstLineChars="200"/>
        <w:rPr>
          <w:color w:val="auto"/>
        </w:rPr>
      </w:pPr>
      <w:r>
        <w:rPr>
          <w:rFonts w:hint="eastAsia"/>
          <w:color w:val="auto"/>
        </w:rPr>
        <w:t>（</w:t>
      </w:r>
      <w:r>
        <w:rPr>
          <w:color w:val="auto"/>
        </w:rPr>
        <w:t>3</w:t>
      </w:r>
      <w:r>
        <w:rPr>
          <w:rFonts w:hint="eastAsia"/>
          <w:color w:val="auto"/>
        </w:rPr>
        <w:t>）偏离认定说明详见评审方法及标准。</w:t>
      </w:r>
    </w:p>
    <w:bookmarkEnd w:id="118"/>
    <w:p w14:paraId="2370DDA8">
      <w:pPr>
        <w:pStyle w:val="26"/>
        <w:tabs>
          <w:tab w:val="left" w:pos="2127"/>
        </w:tabs>
        <w:spacing w:line="340" w:lineRule="exact"/>
        <w:ind w:firstLine="420" w:firstLineChars="200"/>
        <w:jc w:val="left"/>
        <w:rPr>
          <w:rFonts w:ascii="Times New Roman" w:hAnsi="Times New Roman" w:cs="Times New Roman"/>
          <w:color w:val="auto"/>
        </w:rPr>
      </w:pPr>
      <w:r>
        <w:rPr>
          <w:rFonts w:ascii="Times New Roman" w:hAnsi="Times New Roman" w:cs="Times New Roman"/>
          <w:color w:val="auto"/>
        </w:rPr>
        <w:t>（4）本表可扩展。</w:t>
      </w:r>
    </w:p>
    <w:bookmarkEnd w:id="116"/>
    <w:p w14:paraId="17933C7A">
      <w:pPr>
        <w:snapToGrid w:val="0"/>
        <w:spacing w:before="50" w:after="120" w:afterLines="50" w:line="440" w:lineRule="exact"/>
        <w:jc w:val="left"/>
        <w:rPr>
          <w:color w:val="auto"/>
          <w:spacing w:val="20"/>
          <w:szCs w:val="21"/>
          <w:u w:val="single"/>
        </w:rPr>
      </w:pPr>
      <w:r>
        <w:rPr>
          <w:color w:val="auto"/>
          <w:szCs w:val="21"/>
        </w:rPr>
        <w:t>供应商</w:t>
      </w:r>
      <w:r>
        <w:rPr>
          <w:rFonts w:hint="eastAsia"/>
          <w:color w:val="auto"/>
          <w:szCs w:val="21"/>
        </w:rPr>
        <w:t>名称(电子签章</w:t>
      </w:r>
      <w:r>
        <w:rPr>
          <w:color w:val="auto"/>
          <w:szCs w:val="21"/>
        </w:rPr>
        <w:t>)</w:t>
      </w:r>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p>
    <w:bookmarkEnd w:id="117"/>
    <w:p w14:paraId="399D6B93">
      <w:pPr>
        <w:snapToGrid w:val="0"/>
        <w:spacing w:before="50" w:after="120" w:afterLines="50" w:line="440" w:lineRule="exact"/>
        <w:jc w:val="left"/>
        <w:rPr>
          <w:color w:val="auto"/>
          <w:spacing w:val="20"/>
          <w:szCs w:val="21"/>
          <w:u w:val="single"/>
        </w:rPr>
      </w:pPr>
    </w:p>
    <w:p w14:paraId="37525886">
      <w:pPr>
        <w:snapToGrid w:val="0"/>
        <w:spacing w:before="50" w:after="120" w:afterLines="50" w:line="440" w:lineRule="exact"/>
        <w:jc w:val="left"/>
        <w:rPr>
          <w:color w:val="auto"/>
          <w:spacing w:val="20"/>
          <w:szCs w:val="21"/>
          <w:u w:val="single"/>
        </w:rPr>
      </w:pPr>
    </w:p>
    <w:p w14:paraId="345FD2EF">
      <w:pPr>
        <w:snapToGrid w:val="0"/>
        <w:spacing w:before="50" w:after="120" w:afterLines="50"/>
        <w:jc w:val="left"/>
        <w:rPr>
          <w:rFonts w:hint="eastAsia"/>
          <w:color w:val="auto"/>
          <w:szCs w:val="21"/>
        </w:rPr>
      </w:pPr>
      <w:r>
        <w:rPr>
          <w:color w:val="auto"/>
          <w:szCs w:val="21"/>
        </w:rPr>
        <w:t>6．</w:t>
      </w:r>
      <w:r>
        <w:rPr>
          <w:rFonts w:hint="eastAsia"/>
          <w:color w:val="auto"/>
          <w:szCs w:val="21"/>
        </w:rPr>
        <w:t>实施</w:t>
      </w:r>
      <w:r>
        <w:rPr>
          <w:color w:val="auto"/>
          <w:szCs w:val="21"/>
        </w:rPr>
        <w:t>方案。（</w:t>
      </w:r>
      <w:r>
        <w:rPr>
          <w:rFonts w:hint="eastAsia"/>
          <w:color w:val="auto"/>
          <w:szCs w:val="21"/>
        </w:rPr>
        <w:t>如有，</w:t>
      </w:r>
      <w:r>
        <w:rPr>
          <w:color w:val="auto"/>
          <w:szCs w:val="21"/>
        </w:rPr>
        <w:t>自行编写）</w:t>
      </w:r>
    </w:p>
    <w:p w14:paraId="7E3E5B2E">
      <w:pPr>
        <w:snapToGrid w:val="0"/>
        <w:spacing w:before="50" w:after="120" w:afterLines="50"/>
        <w:jc w:val="left"/>
        <w:rPr>
          <w:rFonts w:hint="eastAsia"/>
          <w:color w:val="auto"/>
          <w:szCs w:val="21"/>
        </w:rPr>
      </w:pPr>
    </w:p>
    <w:p w14:paraId="6AD4BAE4">
      <w:pPr>
        <w:snapToGrid w:val="0"/>
        <w:spacing w:before="50" w:after="120" w:afterLines="50"/>
        <w:jc w:val="left"/>
        <w:rPr>
          <w:rFonts w:hint="eastAsia"/>
          <w:color w:val="auto"/>
          <w:szCs w:val="21"/>
        </w:rPr>
      </w:pPr>
    </w:p>
    <w:p w14:paraId="4883ADA0">
      <w:pPr>
        <w:snapToGrid w:val="0"/>
        <w:spacing w:before="50" w:after="120" w:afterLines="50"/>
        <w:jc w:val="left"/>
        <w:rPr>
          <w:color w:val="auto"/>
          <w:szCs w:val="21"/>
        </w:rPr>
      </w:pPr>
    </w:p>
    <w:p w14:paraId="1F90E45C">
      <w:pPr>
        <w:snapToGrid w:val="0"/>
        <w:spacing w:before="50" w:after="120" w:afterLines="50"/>
        <w:jc w:val="left"/>
        <w:rPr>
          <w:color w:val="auto"/>
          <w:szCs w:val="21"/>
        </w:rPr>
      </w:pPr>
      <w:r>
        <w:rPr>
          <w:color w:val="auto"/>
          <w:szCs w:val="21"/>
        </w:rPr>
        <w:t>7．供应商认为需提供的其他材料（根据采购文件要求编写）</w:t>
      </w:r>
    </w:p>
    <w:p w14:paraId="08797165">
      <w:pPr>
        <w:snapToGrid w:val="0"/>
        <w:spacing w:before="50" w:after="120" w:afterLines="50" w:line="440" w:lineRule="exact"/>
        <w:jc w:val="left"/>
        <w:rPr>
          <w:rFonts w:hint="eastAsia"/>
          <w:color w:val="4472C4"/>
          <w:spacing w:val="20"/>
          <w:szCs w:val="21"/>
          <w:u w:val="single"/>
        </w:rPr>
      </w:pPr>
    </w:p>
    <w:p w14:paraId="7A7F78E4">
      <w:pPr>
        <w:snapToGrid w:val="0"/>
        <w:spacing w:before="50" w:after="120" w:afterLines="50"/>
        <w:jc w:val="left"/>
        <w:rPr>
          <w:rFonts w:hint="eastAsia"/>
          <w:spacing w:val="20"/>
          <w:szCs w:val="21"/>
          <w:u w:val="single"/>
        </w:rPr>
      </w:pPr>
    </w:p>
    <w:p w14:paraId="03EA69D4">
      <w:pPr>
        <w:rPr>
          <w:spacing w:val="20"/>
          <w:szCs w:val="21"/>
          <w:u w:val="single"/>
        </w:rPr>
      </w:pPr>
    </w:p>
    <w:p w14:paraId="41BE5322">
      <w:pPr>
        <w:rPr>
          <w:szCs w:val="21"/>
        </w:rPr>
        <w:sectPr>
          <w:pgSz w:w="11906" w:h="16838"/>
          <w:pgMar w:top="1418" w:right="1274" w:bottom="1418" w:left="1418" w:header="851" w:footer="992" w:gutter="0"/>
          <w:cols w:space="720" w:num="1"/>
          <w:docGrid w:linePitch="312" w:charSpace="0"/>
        </w:sectPr>
      </w:pPr>
    </w:p>
    <w:p w14:paraId="3DE93FD8">
      <w:pPr>
        <w:snapToGrid w:val="0"/>
        <w:spacing w:before="50" w:after="120" w:afterLines="50"/>
        <w:jc w:val="left"/>
        <w:rPr>
          <w:rFonts w:hint="eastAsia"/>
          <w:b/>
          <w:szCs w:val="21"/>
        </w:rPr>
      </w:pPr>
      <w:bookmarkStart w:id="119" w:name="_Hlk21623752"/>
      <w:r>
        <w:rPr>
          <w:szCs w:val="21"/>
        </w:rPr>
        <w:t>8．近年供应商类似成功案例的业绩证明</w:t>
      </w:r>
    </w:p>
    <w:p w14:paraId="209763F9">
      <w:pPr>
        <w:snapToGrid w:val="0"/>
        <w:spacing w:before="50" w:after="120" w:afterLines="50"/>
        <w:jc w:val="center"/>
        <w:rPr>
          <w:szCs w:val="21"/>
        </w:rPr>
      </w:pPr>
      <w:r>
        <w:rPr>
          <w:b/>
          <w:szCs w:val="21"/>
        </w:rPr>
        <w:t>类似成功案例业绩一览表</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2"/>
        <w:gridCol w:w="3737"/>
        <w:gridCol w:w="3123"/>
        <w:gridCol w:w="985"/>
        <w:gridCol w:w="985"/>
        <w:gridCol w:w="1314"/>
        <w:gridCol w:w="1971"/>
      </w:tblGrid>
      <w:tr w14:paraId="4B7AC9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67" w:hRule="atLeast"/>
        </w:trPr>
        <w:tc>
          <w:tcPr>
            <w:tcW w:w="1062" w:type="dxa"/>
            <w:tcBorders>
              <w:top w:val="single" w:color="auto" w:sz="4" w:space="0"/>
              <w:left w:val="single" w:color="auto" w:sz="4" w:space="0"/>
              <w:right w:val="single" w:color="auto" w:sz="4" w:space="0"/>
            </w:tcBorders>
            <w:noWrap w:val="0"/>
            <w:vAlign w:val="top"/>
          </w:tcPr>
          <w:p w14:paraId="4EBCEEDC">
            <w:pPr>
              <w:snapToGrid w:val="0"/>
              <w:spacing w:line="240" w:lineRule="exact"/>
              <w:jc w:val="center"/>
              <w:rPr>
                <w:color w:val="auto"/>
                <w:szCs w:val="21"/>
              </w:rPr>
            </w:pPr>
          </w:p>
          <w:p w14:paraId="6CD7C2FB">
            <w:pPr>
              <w:snapToGrid w:val="0"/>
              <w:spacing w:line="240" w:lineRule="exact"/>
              <w:jc w:val="center"/>
              <w:rPr>
                <w:color w:val="auto"/>
                <w:szCs w:val="21"/>
              </w:rPr>
            </w:pPr>
          </w:p>
          <w:p w14:paraId="6864D6DD">
            <w:pPr>
              <w:snapToGrid w:val="0"/>
              <w:spacing w:line="240" w:lineRule="exact"/>
              <w:jc w:val="center"/>
              <w:rPr>
                <w:color w:val="auto"/>
                <w:szCs w:val="21"/>
              </w:rPr>
            </w:pPr>
            <w:r>
              <w:rPr>
                <w:rFonts w:hint="eastAsia"/>
                <w:color w:val="auto"/>
                <w:szCs w:val="21"/>
              </w:rPr>
              <w:t>序号</w:t>
            </w:r>
          </w:p>
        </w:tc>
        <w:tc>
          <w:tcPr>
            <w:tcW w:w="3737" w:type="dxa"/>
            <w:tcBorders>
              <w:top w:val="single" w:color="auto" w:sz="4" w:space="0"/>
              <w:left w:val="single" w:color="auto" w:sz="4" w:space="0"/>
              <w:bottom w:val="single" w:color="auto" w:sz="4" w:space="0"/>
              <w:right w:val="single" w:color="auto" w:sz="4" w:space="0"/>
            </w:tcBorders>
            <w:noWrap w:val="0"/>
            <w:vAlign w:val="center"/>
          </w:tcPr>
          <w:p w14:paraId="549EA079">
            <w:pPr>
              <w:snapToGrid w:val="0"/>
              <w:spacing w:line="240" w:lineRule="exact"/>
              <w:jc w:val="center"/>
              <w:rPr>
                <w:color w:val="auto"/>
                <w:szCs w:val="21"/>
              </w:rPr>
            </w:pPr>
            <w:r>
              <w:rPr>
                <w:color w:val="auto"/>
                <w:szCs w:val="21"/>
              </w:rPr>
              <w:t>采购单位名称</w:t>
            </w:r>
          </w:p>
        </w:tc>
        <w:tc>
          <w:tcPr>
            <w:tcW w:w="3123" w:type="dxa"/>
            <w:tcBorders>
              <w:top w:val="single" w:color="auto" w:sz="4" w:space="0"/>
              <w:left w:val="single" w:color="auto" w:sz="4" w:space="0"/>
              <w:bottom w:val="single" w:color="auto" w:sz="4" w:space="0"/>
              <w:right w:val="single" w:color="auto" w:sz="4" w:space="0"/>
            </w:tcBorders>
            <w:noWrap w:val="0"/>
            <w:vAlign w:val="center"/>
          </w:tcPr>
          <w:p w14:paraId="1DB52A23">
            <w:pPr>
              <w:snapToGrid w:val="0"/>
              <w:spacing w:line="240" w:lineRule="exact"/>
              <w:jc w:val="center"/>
              <w:rPr>
                <w:color w:val="auto"/>
                <w:szCs w:val="21"/>
              </w:rPr>
            </w:pPr>
            <w:r>
              <w:rPr>
                <w:color w:val="auto"/>
                <w:szCs w:val="21"/>
              </w:rPr>
              <w:t>项目名称或服务内容</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099903DE">
            <w:pPr>
              <w:snapToGrid w:val="0"/>
              <w:spacing w:line="240" w:lineRule="exact"/>
              <w:jc w:val="center"/>
              <w:rPr>
                <w:color w:val="auto"/>
                <w:szCs w:val="21"/>
              </w:rPr>
            </w:pPr>
            <w:r>
              <w:rPr>
                <w:color w:val="auto"/>
                <w:szCs w:val="21"/>
              </w:rPr>
              <w:t>服务</w:t>
            </w:r>
          </w:p>
          <w:p w14:paraId="081E83B8">
            <w:pPr>
              <w:snapToGrid w:val="0"/>
              <w:spacing w:line="240" w:lineRule="exact"/>
              <w:jc w:val="center"/>
              <w:rPr>
                <w:color w:val="auto"/>
                <w:szCs w:val="21"/>
              </w:rPr>
            </w:pPr>
            <w:r>
              <w:rPr>
                <w:color w:val="auto"/>
                <w:szCs w:val="21"/>
              </w:rPr>
              <w:t>数量或年限</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3873848C">
            <w:pPr>
              <w:snapToGrid w:val="0"/>
              <w:spacing w:line="240" w:lineRule="exact"/>
              <w:jc w:val="center"/>
              <w:rPr>
                <w:color w:val="auto"/>
                <w:szCs w:val="21"/>
              </w:rPr>
            </w:pPr>
            <w:r>
              <w:rPr>
                <w:color w:val="auto"/>
                <w:szCs w:val="21"/>
              </w:rPr>
              <w:t>单价</w:t>
            </w:r>
            <w:r>
              <w:rPr>
                <w:rFonts w:hint="eastAsia"/>
                <w:color w:val="auto"/>
                <w:szCs w:val="21"/>
              </w:rPr>
              <w:t>（元）</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5907D5A0">
            <w:pPr>
              <w:snapToGrid w:val="0"/>
              <w:spacing w:line="240" w:lineRule="exact"/>
              <w:jc w:val="center"/>
              <w:rPr>
                <w:color w:val="auto"/>
                <w:szCs w:val="21"/>
              </w:rPr>
            </w:pPr>
            <w:r>
              <w:rPr>
                <w:color w:val="auto"/>
                <w:szCs w:val="21"/>
              </w:rPr>
              <w:t>合同</w:t>
            </w:r>
            <w:r>
              <w:rPr>
                <w:rFonts w:hint="eastAsia"/>
                <w:color w:val="auto"/>
                <w:szCs w:val="21"/>
              </w:rPr>
              <w:t>总价</w:t>
            </w:r>
          </w:p>
          <w:p w14:paraId="7DBC3B47">
            <w:pPr>
              <w:snapToGrid w:val="0"/>
              <w:spacing w:line="240" w:lineRule="exact"/>
              <w:jc w:val="center"/>
              <w:rPr>
                <w:color w:val="auto"/>
                <w:szCs w:val="21"/>
              </w:rPr>
            </w:pPr>
            <w:r>
              <w:rPr>
                <w:color w:val="auto"/>
                <w:szCs w:val="21"/>
              </w:rPr>
              <w:t>（元）</w:t>
            </w:r>
          </w:p>
        </w:tc>
        <w:tc>
          <w:tcPr>
            <w:tcW w:w="1971" w:type="dxa"/>
            <w:tcBorders>
              <w:top w:val="single" w:color="auto" w:sz="4" w:space="0"/>
              <w:left w:val="single" w:color="auto" w:sz="4" w:space="0"/>
              <w:bottom w:val="single" w:color="auto" w:sz="4" w:space="0"/>
              <w:right w:val="single" w:color="auto" w:sz="4" w:space="0"/>
            </w:tcBorders>
            <w:noWrap w:val="0"/>
            <w:vAlign w:val="center"/>
          </w:tcPr>
          <w:p w14:paraId="2151238A">
            <w:pPr>
              <w:jc w:val="center"/>
              <w:rPr>
                <w:color w:val="auto"/>
                <w:szCs w:val="21"/>
              </w:rPr>
            </w:pPr>
            <w:r>
              <w:rPr>
                <w:color w:val="auto"/>
                <w:szCs w:val="21"/>
              </w:rPr>
              <w:t>采购单位联系人及联系电话</w:t>
            </w:r>
          </w:p>
        </w:tc>
      </w:tr>
      <w:tr w14:paraId="3D37FE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4952E28A">
            <w:pPr>
              <w:snapToGrid w:val="0"/>
              <w:spacing w:line="240" w:lineRule="exact"/>
              <w:jc w:val="left"/>
              <w:rPr>
                <w:color w:val="auto"/>
                <w:szCs w:val="21"/>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4929C763">
            <w:pPr>
              <w:snapToGrid w:val="0"/>
              <w:spacing w:line="240" w:lineRule="exact"/>
              <w:jc w:val="left"/>
              <w:rPr>
                <w:color w:val="auto"/>
                <w:szCs w:val="21"/>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294C094A">
            <w:pPr>
              <w:snapToGrid w:val="0"/>
              <w:spacing w:line="240" w:lineRule="exact"/>
              <w:jc w:val="left"/>
              <w:rPr>
                <w:color w:val="auto"/>
                <w:szCs w:val="21"/>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CB70C3F">
            <w:pPr>
              <w:snapToGrid w:val="0"/>
              <w:spacing w:line="240" w:lineRule="exact"/>
              <w:jc w:val="left"/>
              <w:rPr>
                <w:color w:val="auto"/>
                <w:szCs w:val="21"/>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AB52F0A">
            <w:pPr>
              <w:snapToGrid w:val="0"/>
              <w:spacing w:line="240" w:lineRule="exact"/>
              <w:jc w:val="left"/>
              <w:rPr>
                <w:color w:val="auto"/>
                <w:szCs w:val="21"/>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0D09F1D9">
            <w:pPr>
              <w:snapToGrid w:val="0"/>
              <w:spacing w:line="240" w:lineRule="exact"/>
              <w:jc w:val="left"/>
              <w:rPr>
                <w:color w:val="auto"/>
                <w:szCs w:val="21"/>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5D111512">
            <w:pPr>
              <w:snapToGrid w:val="0"/>
              <w:spacing w:line="240" w:lineRule="exact"/>
              <w:jc w:val="left"/>
              <w:rPr>
                <w:color w:val="auto"/>
                <w:szCs w:val="21"/>
              </w:rPr>
            </w:pPr>
          </w:p>
        </w:tc>
      </w:tr>
      <w:tr w14:paraId="338C05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1D7822A0">
            <w:pPr>
              <w:snapToGrid w:val="0"/>
              <w:spacing w:before="50" w:after="120" w:afterLines="50" w:line="400" w:lineRule="exact"/>
              <w:jc w:val="left"/>
              <w:rPr>
                <w:color w:val="auto"/>
                <w:szCs w:val="21"/>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22C3A645">
            <w:pPr>
              <w:snapToGrid w:val="0"/>
              <w:spacing w:before="50" w:after="120" w:afterLines="50" w:line="400" w:lineRule="exact"/>
              <w:jc w:val="left"/>
              <w:rPr>
                <w:color w:val="auto"/>
                <w:szCs w:val="21"/>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50A2BA55">
            <w:pPr>
              <w:snapToGrid w:val="0"/>
              <w:spacing w:before="50" w:after="120" w:afterLines="50" w:line="400" w:lineRule="exact"/>
              <w:jc w:val="left"/>
              <w:rPr>
                <w:color w:val="auto"/>
                <w:szCs w:val="21"/>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65BA279">
            <w:pPr>
              <w:snapToGrid w:val="0"/>
              <w:spacing w:before="50" w:after="120" w:afterLines="50" w:line="400" w:lineRule="exact"/>
              <w:jc w:val="left"/>
              <w:rPr>
                <w:color w:val="auto"/>
                <w:szCs w:val="21"/>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4212BA3">
            <w:pPr>
              <w:snapToGrid w:val="0"/>
              <w:spacing w:before="50" w:after="120" w:afterLines="50" w:line="400" w:lineRule="exact"/>
              <w:jc w:val="left"/>
              <w:rPr>
                <w:color w:val="auto"/>
                <w:szCs w:val="21"/>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7DCDBE54">
            <w:pPr>
              <w:snapToGrid w:val="0"/>
              <w:spacing w:before="50" w:after="120" w:afterLines="50" w:line="400" w:lineRule="exact"/>
              <w:jc w:val="left"/>
              <w:rPr>
                <w:color w:val="auto"/>
                <w:szCs w:val="21"/>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0CA31AFB">
            <w:pPr>
              <w:snapToGrid w:val="0"/>
              <w:spacing w:before="50" w:after="120" w:afterLines="50" w:line="400" w:lineRule="exact"/>
              <w:jc w:val="left"/>
              <w:rPr>
                <w:color w:val="auto"/>
                <w:szCs w:val="21"/>
              </w:rPr>
            </w:pPr>
          </w:p>
        </w:tc>
      </w:tr>
      <w:tr w14:paraId="1AE079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2C1EA3E5">
            <w:pPr>
              <w:snapToGrid w:val="0"/>
              <w:spacing w:before="50" w:after="120" w:afterLines="50" w:line="400" w:lineRule="exact"/>
              <w:jc w:val="left"/>
              <w:rPr>
                <w:color w:val="auto"/>
                <w:szCs w:val="21"/>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554EE4E4">
            <w:pPr>
              <w:snapToGrid w:val="0"/>
              <w:spacing w:before="50" w:after="120" w:afterLines="50" w:line="400" w:lineRule="exact"/>
              <w:jc w:val="left"/>
              <w:rPr>
                <w:color w:val="auto"/>
                <w:szCs w:val="21"/>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37A5379E">
            <w:pPr>
              <w:snapToGrid w:val="0"/>
              <w:spacing w:before="50" w:after="120" w:afterLines="50" w:line="400" w:lineRule="exact"/>
              <w:jc w:val="left"/>
              <w:rPr>
                <w:color w:val="auto"/>
                <w:szCs w:val="21"/>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A55B526">
            <w:pPr>
              <w:snapToGrid w:val="0"/>
              <w:spacing w:before="50" w:after="120" w:afterLines="50" w:line="400" w:lineRule="exact"/>
              <w:jc w:val="left"/>
              <w:rPr>
                <w:color w:val="auto"/>
                <w:szCs w:val="21"/>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CC20C75">
            <w:pPr>
              <w:snapToGrid w:val="0"/>
              <w:spacing w:before="50" w:after="120" w:afterLines="50" w:line="400" w:lineRule="exact"/>
              <w:jc w:val="left"/>
              <w:rPr>
                <w:color w:val="auto"/>
                <w:szCs w:val="21"/>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3A49DDB7">
            <w:pPr>
              <w:snapToGrid w:val="0"/>
              <w:spacing w:before="50" w:after="120" w:afterLines="50" w:line="400" w:lineRule="exact"/>
              <w:jc w:val="left"/>
              <w:rPr>
                <w:color w:val="auto"/>
                <w:szCs w:val="21"/>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38E54628">
            <w:pPr>
              <w:snapToGrid w:val="0"/>
              <w:spacing w:before="50" w:after="120" w:afterLines="50" w:line="400" w:lineRule="exact"/>
              <w:jc w:val="left"/>
              <w:rPr>
                <w:color w:val="auto"/>
                <w:szCs w:val="21"/>
              </w:rPr>
            </w:pPr>
          </w:p>
        </w:tc>
      </w:tr>
      <w:tr w14:paraId="541CA1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77DDD16A">
            <w:pPr>
              <w:snapToGrid w:val="0"/>
              <w:spacing w:before="50" w:after="120" w:afterLines="50" w:line="400" w:lineRule="exact"/>
              <w:jc w:val="left"/>
              <w:rPr>
                <w:color w:val="auto"/>
                <w:szCs w:val="21"/>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578122CD">
            <w:pPr>
              <w:snapToGrid w:val="0"/>
              <w:spacing w:before="50" w:after="120" w:afterLines="50" w:line="400" w:lineRule="exact"/>
              <w:jc w:val="left"/>
              <w:rPr>
                <w:color w:val="auto"/>
                <w:szCs w:val="21"/>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13268BB4">
            <w:pPr>
              <w:snapToGrid w:val="0"/>
              <w:spacing w:before="50" w:after="120" w:afterLines="50" w:line="400" w:lineRule="exact"/>
              <w:jc w:val="left"/>
              <w:rPr>
                <w:color w:val="auto"/>
                <w:szCs w:val="21"/>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3118A2E">
            <w:pPr>
              <w:snapToGrid w:val="0"/>
              <w:spacing w:before="50" w:after="120" w:afterLines="50" w:line="400" w:lineRule="exact"/>
              <w:jc w:val="left"/>
              <w:rPr>
                <w:color w:val="auto"/>
                <w:szCs w:val="21"/>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7718543">
            <w:pPr>
              <w:snapToGrid w:val="0"/>
              <w:spacing w:before="50" w:after="120" w:afterLines="50" w:line="400" w:lineRule="exact"/>
              <w:jc w:val="left"/>
              <w:rPr>
                <w:color w:val="auto"/>
                <w:szCs w:val="21"/>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5A61187F">
            <w:pPr>
              <w:snapToGrid w:val="0"/>
              <w:spacing w:before="50" w:after="120" w:afterLines="50" w:line="400" w:lineRule="exact"/>
              <w:jc w:val="left"/>
              <w:rPr>
                <w:color w:val="auto"/>
                <w:szCs w:val="21"/>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5530B486">
            <w:pPr>
              <w:snapToGrid w:val="0"/>
              <w:spacing w:before="50" w:after="120" w:afterLines="50" w:line="400" w:lineRule="exact"/>
              <w:jc w:val="left"/>
              <w:rPr>
                <w:color w:val="auto"/>
                <w:szCs w:val="21"/>
              </w:rPr>
            </w:pPr>
          </w:p>
        </w:tc>
      </w:tr>
      <w:tr w14:paraId="21A7A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059EC182">
            <w:pPr>
              <w:snapToGrid w:val="0"/>
              <w:spacing w:before="50" w:after="120" w:afterLines="50" w:line="400" w:lineRule="exact"/>
              <w:jc w:val="left"/>
              <w:rPr>
                <w:color w:val="auto"/>
                <w:szCs w:val="21"/>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386EA076">
            <w:pPr>
              <w:snapToGrid w:val="0"/>
              <w:spacing w:before="50" w:after="120" w:afterLines="50" w:line="400" w:lineRule="exact"/>
              <w:jc w:val="left"/>
              <w:rPr>
                <w:color w:val="auto"/>
                <w:szCs w:val="21"/>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5DA79A0F">
            <w:pPr>
              <w:snapToGrid w:val="0"/>
              <w:spacing w:before="50" w:after="120" w:afterLines="50" w:line="400" w:lineRule="exact"/>
              <w:jc w:val="left"/>
              <w:rPr>
                <w:color w:val="auto"/>
                <w:szCs w:val="21"/>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0D86BA7">
            <w:pPr>
              <w:snapToGrid w:val="0"/>
              <w:spacing w:before="50" w:after="120" w:afterLines="50" w:line="400" w:lineRule="exact"/>
              <w:jc w:val="left"/>
              <w:rPr>
                <w:color w:val="auto"/>
                <w:szCs w:val="21"/>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A236DDF">
            <w:pPr>
              <w:snapToGrid w:val="0"/>
              <w:spacing w:before="50" w:after="120" w:afterLines="50" w:line="400" w:lineRule="exact"/>
              <w:jc w:val="left"/>
              <w:rPr>
                <w:color w:val="auto"/>
                <w:szCs w:val="21"/>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7BFA520E">
            <w:pPr>
              <w:snapToGrid w:val="0"/>
              <w:spacing w:before="50" w:after="120" w:afterLines="50" w:line="400" w:lineRule="exact"/>
              <w:jc w:val="left"/>
              <w:rPr>
                <w:color w:val="auto"/>
                <w:szCs w:val="21"/>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10F50C78">
            <w:pPr>
              <w:snapToGrid w:val="0"/>
              <w:spacing w:before="50" w:after="120" w:afterLines="50" w:line="400" w:lineRule="exact"/>
              <w:jc w:val="left"/>
              <w:rPr>
                <w:color w:val="auto"/>
                <w:szCs w:val="21"/>
              </w:rPr>
            </w:pPr>
          </w:p>
        </w:tc>
      </w:tr>
    </w:tbl>
    <w:p w14:paraId="39D1D8EA">
      <w:pPr>
        <w:pStyle w:val="15"/>
        <w:snapToGrid w:val="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注：</w:t>
      </w:r>
    </w:p>
    <w:p w14:paraId="185BC975">
      <w:pPr>
        <w:pStyle w:val="15"/>
        <w:snapToGrid w:val="0"/>
        <w:rPr>
          <w:rFonts w:hint="eastAsia" w:ascii="Times New Roman" w:hAnsi="Times New Roman" w:eastAsia="宋体" w:cs="Times New Roman"/>
          <w:color w:val="auto"/>
          <w:sz w:val="21"/>
          <w:szCs w:val="21"/>
        </w:rPr>
      </w:pPr>
      <w:r>
        <w:rPr>
          <w:rFonts w:ascii="Times New Roman" w:hAnsi="Times New Roman" w:eastAsia="宋体" w:cs="Times New Roman"/>
          <w:color w:val="auto"/>
          <w:szCs w:val="21"/>
        </w:rPr>
        <w:t>（1）</w:t>
      </w:r>
      <w:r>
        <w:rPr>
          <w:rFonts w:ascii="Times New Roman" w:hAnsi="Times New Roman" w:eastAsia="宋体" w:cs="Times New Roman"/>
          <w:color w:val="auto"/>
          <w:sz w:val="21"/>
          <w:szCs w:val="21"/>
        </w:rPr>
        <w:t>未附</w:t>
      </w:r>
      <w:r>
        <w:rPr>
          <w:rFonts w:hint="eastAsia" w:ascii="Times New Roman" w:hAnsi="Times New Roman" w:eastAsia="宋体" w:cs="Times New Roman"/>
          <w:color w:val="auto"/>
          <w:sz w:val="21"/>
          <w:szCs w:val="21"/>
        </w:rPr>
        <w:t>证明材料</w:t>
      </w:r>
      <w:r>
        <w:rPr>
          <w:rFonts w:ascii="Times New Roman" w:hAnsi="Times New Roman" w:eastAsia="宋体" w:cs="Times New Roman"/>
          <w:color w:val="auto"/>
          <w:sz w:val="21"/>
          <w:szCs w:val="21"/>
        </w:rPr>
        <w:t>的业绩无效</w:t>
      </w:r>
      <w:r>
        <w:rPr>
          <w:rFonts w:hint="eastAsia" w:ascii="Times New Roman" w:hAnsi="Times New Roman" w:eastAsia="宋体" w:cs="Times New Roman"/>
          <w:color w:val="auto"/>
          <w:sz w:val="21"/>
          <w:szCs w:val="21"/>
        </w:rPr>
        <w:t>，证明材料</w:t>
      </w:r>
      <w:r>
        <w:rPr>
          <w:rFonts w:ascii="Times New Roman" w:hAnsi="Times New Roman" w:eastAsia="宋体" w:cs="Times New Roman"/>
          <w:color w:val="auto"/>
          <w:sz w:val="21"/>
          <w:szCs w:val="21"/>
        </w:rPr>
        <w:t>以</w:t>
      </w:r>
      <w:r>
        <w:rPr>
          <w:rFonts w:hint="eastAsia" w:ascii="Times New Roman" w:hAnsi="Times New Roman" w:eastAsia="宋体" w:cs="Times New Roman"/>
          <w:color w:val="auto"/>
          <w:sz w:val="21"/>
          <w:szCs w:val="21"/>
        </w:rPr>
        <w:t>成交</w:t>
      </w:r>
      <w:r>
        <w:rPr>
          <w:rFonts w:ascii="Times New Roman" w:hAnsi="Times New Roman" w:eastAsia="宋体" w:cs="Times New Roman"/>
          <w:color w:val="auto"/>
          <w:sz w:val="21"/>
          <w:szCs w:val="21"/>
        </w:rPr>
        <w:t>通知书或合同复印件为准</w:t>
      </w:r>
      <w:r>
        <w:rPr>
          <w:rFonts w:hint="eastAsia" w:ascii="Times New Roman" w:hAnsi="Times New Roman" w:eastAsia="宋体" w:cs="Times New Roman"/>
          <w:color w:val="auto"/>
          <w:sz w:val="21"/>
          <w:szCs w:val="21"/>
        </w:rPr>
        <w:t>。</w:t>
      </w:r>
    </w:p>
    <w:p w14:paraId="49FC4D42">
      <w:pPr>
        <w:pStyle w:val="15"/>
        <w:snapToGrid w:val="0"/>
        <w:rPr>
          <w:rFonts w:ascii="Times New Roman" w:hAnsi="Times New Roman" w:eastAsia="宋体" w:cs="Times New Roman"/>
          <w:color w:val="auto"/>
          <w:sz w:val="21"/>
          <w:szCs w:val="21"/>
        </w:rPr>
      </w:pPr>
      <w:r>
        <w:rPr>
          <w:rFonts w:ascii="Times New Roman" w:hAnsi="Times New Roman" w:eastAsia="宋体" w:cs="Times New Roman"/>
          <w:color w:val="auto"/>
          <w:szCs w:val="21"/>
        </w:rPr>
        <w:t>（2）</w:t>
      </w:r>
      <w:r>
        <w:rPr>
          <w:rFonts w:ascii="Times New Roman" w:hAnsi="Times New Roman" w:eastAsia="宋体" w:cs="Times New Roman"/>
          <w:color w:val="auto"/>
          <w:sz w:val="21"/>
          <w:szCs w:val="21"/>
        </w:rPr>
        <w:t>类似项目的定义</w:t>
      </w:r>
      <w:r>
        <w:rPr>
          <w:rFonts w:hint="eastAsia"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u w:val="single"/>
        </w:rPr>
        <w:t xml:space="preserve"> </w:t>
      </w:r>
      <w:r>
        <w:rPr>
          <w:rFonts w:ascii="Times New Roman" w:hAnsi="Times New Roman" w:eastAsia="宋体" w:cs="Times New Roman"/>
          <w:color w:val="auto"/>
          <w:sz w:val="21"/>
          <w:szCs w:val="21"/>
          <w:u w:val="single"/>
        </w:rPr>
        <w:t xml:space="preserve">               </w:t>
      </w:r>
      <w:r>
        <w:rPr>
          <w:rFonts w:ascii="Times New Roman" w:hAnsi="Times New Roman" w:eastAsia="宋体" w:cs="Times New Roman"/>
          <w:color w:val="auto"/>
          <w:sz w:val="21"/>
          <w:szCs w:val="21"/>
        </w:rPr>
        <w:t>。</w:t>
      </w:r>
    </w:p>
    <w:p w14:paraId="644029E9">
      <w:pPr>
        <w:rPr>
          <w:rFonts w:hint="eastAsia"/>
          <w:color w:val="auto"/>
        </w:rPr>
      </w:pPr>
      <w:r>
        <w:rPr>
          <w:color w:val="auto"/>
          <w:szCs w:val="21"/>
        </w:rPr>
        <w:t>（3）</w:t>
      </w:r>
      <w:r>
        <w:rPr>
          <w:color w:val="auto"/>
        </w:rPr>
        <w:t>本表可拓展</w:t>
      </w:r>
      <w:r>
        <w:rPr>
          <w:rFonts w:hint="eastAsia"/>
          <w:color w:val="auto"/>
        </w:rPr>
        <w:t>。</w:t>
      </w:r>
    </w:p>
    <w:p w14:paraId="4278E46B">
      <w:pPr>
        <w:snapToGrid w:val="0"/>
        <w:spacing w:before="50"/>
        <w:jc w:val="left"/>
        <w:rPr>
          <w:color w:val="auto"/>
          <w:szCs w:val="21"/>
        </w:rPr>
      </w:pPr>
    </w:p>
    <w:p w14:paraId="70324D51">
      <w:pPr>
        <w:snapToGrid w:val="0"/>
        <w:spacing w:before="50"/>
        <w:jc w:val="left"/>
        <w:rPr>
          <w:szCs w:val="21"/>
        </w:rPr>
        <w:sectPr>
          <w:pgSz w:w="16838" w:h="11906" w:orient="landscape"/>
          <w:pgMar w:top="1274" w:right="1418" w:bottom="1418" w:left="1418" w:header="851" w:footer="992" w:gutter="0"/>
          <w:cols w:space="720" w:num="1"/>
          <w:docGrid w:linePitch="312" w:charSpace="0"/>
        </w:sectPr>
      </w:pPr>
      <w:bookmarkStart w:id="120" w:name="_Hlk89181592"/>
      <w:r>
        <w:rPr>
          <w:color w:val="auto"/>
          <w:szCs w:val="21"/>
        </w:rPr>
        <w:t>供应商</w:t>
      </w:r>
      <w:r>
        <w:rPr>
          <w:rFonts w:hint="eastAsia"/>
          <w:color w:val="auto"/>
          <w:szCs w:val="21"/>
        </w:rPr>
        <w:t>名称(电子签章</w:t>
      </w:r>
      <w:r>
        <w:rPr>
          <w:color w:val="auto"/>
          <w:szCs w:val="21"/>
        </w:rPr>
        <w:t>)：</w:t>
      </w:r>
      <w:r>
        <w:rPr>
          <w:color w:val="auto"/>
          <w:szCs w:val="21"/>
          <w:u w:val="single"/>
        </w:rPr>
        <w:t xml:space="preserve">                 </w:t>
      </w:r>
      <w:r>
        <w:rPr>
          <w:color w:val="auto"/>
          <w:szCs w:val="21"/>
        </w:rPr>
        <w:t xml:space="preserve">        </w:t>
      </w:r>
      <w:bookmarkEnd w:id="120"/>
      <w:r>
        <w:rPr>
          <w:color w:val="auto"/>
          <w:szCs w:val="21"/>
        </w:rPr>
        <w:t xml:space="preserve">                                   年    月   日</w:t>
      </w:r>
    </w:p>
    <w:bookmarkEnd w:id="119"/>
    <w:p w14:paraId="7543397E">
      <w:pPr>
        <w:snapToGrid w:val="0"/>
        <w:spacing w:before="50" w:after="120" w:afterLines="50"/>
        <w:jc w:val="left"/>
        <w:rPr>
          <w:szCs w:val="21"/>
        </w:rPr>
      </w:pPr>
      <w:bookmarkStart w:id="121" w:name="_Hlk21623918"/>
      <w:r>
        <w:rPr>
          <w:szCs w:val="21"/>
        </w:rPr>
        <w:t>9．</w:t>
      </w:r>
      <w:r>
        <w:rPr>
          <w:rFonts w:hint="eastAsia"/>
          <w:szCs w:val="21"/>
        </w:rPr>
        <w:t>提供响应产品由中共中央网络安全和信息化委员会办公室网站最新发布的《网络关键设备和网络安全专用产品安全认证和安全检测结果》截图证明材料或提供有效期内的《计算机信息系统安全专用产品销售许可证》（采购标的包含时提供）</w:t>
      </w:r>
    </w:p>
    <w:p w14:paraId="56B9D22B">
      <w:pPr>
        <w:snapToGrid w:val="0"/>
        <w:spacing w:before="50" w:after="120" w:afterLines="50"/>
        <w:jc w:val="left"/>
        <w:rPr>
          <w:szCs w:val="21"/>
        </w:rPr>
      </w:pPr>
    </w:p>
    <w:p w14:paraId="4EDD9940">
      <w:pPr>
        <w:snapToGrid w:val="0"/>
        <w:spacing w:before="50" w:after="120" w:afterLines="50"/>
        <w:jc w:val="left"/>
        <w:rPr>
          <w:rFonts w:hint="eastAsia"/>
          <w:szCs w:val="21"/>
        </w:rPr>
      </w:pPr>
      <w:r>
        <w:rPr>
          <w:szCs w:val="21"/>
        </w:rPr>
        <w:t>10．符合政府采购政策</w:t>
      </w:r>
      <w:r>
        <w:rPr>
          <w:rFonts w:hint="eastAsia"/>
          <w:szCs w:val="21"/>
        </w:rPr>
        <w:t>的</w:t>
      </w:r>
      <w:r>
        <w:rPr>
          <w:szCs w:val="21"/>
        </w:rPr>
        <w:t>证明材料。</w:t>
      </w:r>
    </w:p>
    <w:p w14:paraId="0F2E9F8A">
      <w:pPr>
        <w:snapToGrid w:val="0"/>
        <w:spacing w:before="50" w:after="120" w:afterLines="50"/>
        <w:jc w:val="left"/>
        <w:rPr>
          <w:szCs w:val="21"/>
        </w:rPr>
      </w:pPr>
      <w:r>
        <w:rPr>
          <w:szCs w:val="21"/>
        </w:rPr>
        <w:t>10</w:t>
      </w:r>
      <w:r>
        <w:rPr>
          <w:rFonts w:hint="eastAsia"/>
          <w:szCs w:val="21"/>
        </w:rPr>
        <w:t>.1列入节能产品政府采购品目清单及环境标志产品政府采购品目清单的货物清单。</w:t>
      </w:r>
      <w:r>
        <w:rPr>
          <w:rFonts w:hint="eastAsia"/>
          <w:b/>
          <w:szCs w:val="21"/>
        </w:rPr>
        <w:t>（如有，须提供）</w:t>
      </w:r>
    </w:p>
    <w:p w14:paraId="181D8A5C">
      <w:pPr>
        <w:snapToGrid w:val="0"/>
        <w:spacing w:before="50" w:after="120" w:afterLines="50"/>
        <w:jc w:val="left"/>
        <w:rPr>
          <w:szCs w:val="21"/>
        </w:rPr>
      </w:pPr>
      <w:r>
        <w:rPr>
          <w:rFonts w:hint="eastAsia"/>
          <w:szCs w:val="21"/>
          <w:lang w:eastAsia="zh-CN"/>
        </w:rPr>
        <w:t>响应产品</w:t>
      </w:r>
      <w:r>
        <w:rPr>
          <w:rFonts w:hint="eastAsia"/>
          <w:szCs w:val="21"/>
        </w:rPr>
        <w:t>中如有列入节能产品政府采购品目清单及环境标志产品政府采购品目清单的货物，应按下表提供清单。</w:t>
      </w:r>
      <w:r>
        <w:rPr>
          <w:rFonts w:hint="eastAsia"/>
          <w:szCs w:val="21"/>
          <w:lang w:eastAsia="zh-CN"/>
        </w:rPr>
        <w:t>响应文件</w:t>
      </w:r>
      <w:r>
        <w:rPr>
          <w:rFonts w:hint="eastAsia"/>
          <w:szCs w:val="21"/>
        </w:rPr>
        <w:t>中</w:t>
      </w:r>
      <w:r>
        <w:rPr>
          <w:rFonts w:hint="eastAsia"/>
          <w:szCs w:val="21"/>
          <w:lang w:val="en-US" w:eastAsia="zh-CN"/>
        </w:rPr>
        <w:t>同时</w:t>
      </w:r>
      <w:r>
        <w:rPr>
          <w:rFonts w:hint="eastAsia"/>
          <w:szCs w:val="21"/>
        </w:rPr>
        <w:t>提供所</w:t>
      </w:r>
      <w:r>
        <w:rPr>
          <w:rFonts w:hint="eastAsia"/>
          <w:szCs w:val="21"/>
          <w:lang w:eastAsia="zh-CN"/>
        </w:rPr>
        <w:t>响应产品</w:t>
      </w:r>
      <w:r>
        <w:rPr>
          <w:rFonts w:hint="eastAsia"/>
          <w:szCs w:val="21"/>
        </w:rPr>
        <w:t>的节能产品及环境标志认证证书扫描件</w:t>
      </w:r>
    </w:p>
    <w:p w14:paraId="72E44637">
      <w:pPr>
        <w:spacing w:line="360" w:lineRule="auto"/>
        <w:jc w:val="center"/>
        <w:rPr>
          <w:szCs w:val="21"/>
        </w:rPr>
      </w:pPr>
      <w:r>
        <w:rPr>
          <w:rFonts w:hint="eastAsia"/>
          <w:b/>
          <w:szCs w:val="21"/>
        </w:rPr>
        <w:t>节能产品及环境标志产品清单</w:t>
      </w:r>
    </w:p>
    <w:tbl>
      <w:tblPr>
        <w:tblStyle w:val="51"/>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2EE25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53CD865F">
            <w:pPr>
              <w:widowControl/>
              <w:spacing w:before="100" w:beforeAutospacing="1" w:after="100" w:afterAutospacing="1" w:line="376" w:lineRule="atLeast"/>
              <w:jc w:val="center"/>
              <w:rPr>
                <w:kern w:val="0"/>
                <w:szCs w:val="21"/>
              </w:rPr>
            </w:pPr>
            <w:r>
              <w:rPr>
                <w:kern w:val="0"/>
                <w:szCs w:val="21"/>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B7B58CB">
            <w:pPr>
              <w:widowControl/>
              <w:spacing w:before="100" w:beforeAutospacing="1" w:after="100" w:afterAutospacing="1" w:line="376" w:lineRule="atLeast"/>
              <w:jc w:val="center"/>
              <w:rPr>
                <w:kern w:val="0"/>
                <w:szCs w:val="21"/>
              </w:rPr>
            </w:pPr>
            <w:r>
              <w:rPr>
                <w:rFonts w:hint="eastAsia"/>
                <w:kern w:val="0"/>
                <w:szCs w:val="21"/>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133F9ED1">
            <w:pPr>
              <w:widowControl/>
              <w:spacing w:before="100" w:beforeAutospacing="1" w:after="100" w:afterAutospacing="1" w:line="376" w:lineRule="atLeast"/>
              <w:jc w:val="center"/>
              <w:rPr>
                <w:kern w:val="0"/>
                <w:szCs w:val="21"/>
              </w:rPr>
            </w:pPr>
            <w:r>
              <w:rPr>
                <w:rFonts w:hint="eastAsia"/>
                <w:kern w:val="0"/>
                <w:szCs w:val="21"/>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726C62A0">
            <w:pPr>
              <w:widowControl/>
              <w:spacing w:before="100" w:beforeAutospacing="1" w:after="100" w:afterAutospacing="1" w:line="376" w:lineRule="atLeast"/>
              <w:jc w:val="center"/>
              <w:rPr>
                <w:kern w:val="0"/>
                <w:szCs w:val="21"/>
              </w:rPr>
            </w:pPr>
            <w:r>
              <w:rPr>
                <w:rFonts w:hint="eastAsia"/>
                <w:kern w:val="0"/>
                <w:szCs w:val="21"/>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39DF5E06">
            <w:pPr>
              <w:widowControl/>
              <w:spacing w:before="100" w:beforeAutospacing="1" w:after="100" w:afterAutospacing="1" w:line="376" w:lineRule="atLeast"/>
              <w:jc w:val="center"/>
              <w:rPr>
                <w:kern w:val="0"/>
                <w:szCs w:val="21"/>
              </w:rPr>
            </w:pPr>
            <w:r>
              <w:rPr>
                <w:kern w:val="0"/>
                <w:szCs w:val="21"/>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A8A03B1">
            <w:pPr>
              <w:widowControl/>
              <w:spacing w:before="100" w:beforeAutospacing="1" w:after="100" w:afterAutospacing="1" w:line="376" w:lineRule="atLeast"/>
              <w:jc w:val="center"/>
              <w:rPr>
                <w:kern w:val="0"/>
                <w:szCs w:val="21"/>
              </w:rPr>
            </w:pPr>
            <w:r>
              <w:rPr>
                <w:rFonts w:ascii="Helvetica" w:hAnsi="Helvetica" w:cs="Helvetica"/>
                <w:color w:val="333333"/>
                <w:szCs w:val="21"/>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40586D1D">
            <w:pPr>
              <w:widowControl/>
              <w:spacing w:before="100" w:beforeAutospacing="1" w:after="100" w:afterAutospacing="1" w:line="376" w:lineRule="atLeast"/>
              <w:jc w:val="center"/>
              <w:rPr>
                <w:rFonts w:hint="eastAsia"/>
                <w:kern w:val="0"/>
                <w:szCs w:val="21"/>
              </w:rPr>
            </w:pPr>
            <w:r>
              <w:rPr>
                <w:rFonts w:hint="eastAsia"/>
                <w:kern w:val="0"/>
                <w:szCs w:val="21"/>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47396806">
            <w:pPr>
              <w:widowControl/>
              <w:spacing w:before="100" w:beforeAutospacing="1" w:after="100" w:afterAutospacing="1" w:line="376" w:lineRule="atLeast"/>
              <w:jc w:val="center"/>
              <w:rPr>
                <w:kern w:val="0"/>
                <w:szCs w:val="21"/>
              </w:rPr>
            </w:pPr>
            <w:r>
              <w:rPr>
                <w:kern w:val="0"/>
                <w:szCs w:val="21"/>
              </w:rPr>
              <w:t>备注</w:t>
            </w:r>
          </w:p>
        </w:tc>
      </w:tr>
      <w:tr w14:paraId="4AEED1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3CF452BD">
            <w:pPr>
              <w:widowControl/>
              <w:spacing w:before="100" w:beforeAutospacing="1" w:after="100" w:afterAutospacing="1" w:line="376" w:lineRule="atLeast"/>
              <w:jc w:val="center"/>
              <w:rPr>
                <w:kern w:val="0"/>
                <w:szCs w:val="21"/>
              </w:rPr>
            </w:pPr>
            <w:r>
              <w:rPr>
                <w:kern w:val="0"/>
                <w:szCs w:val="21"/>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64B19A7F">
            <w:pPr>
              <w:widowControl/>
              <w:spacing w:before="100" w:beforeAutospacing="1" w:after="100" w:afterAutospacing="1" w:line="376" w:lineRule="atLeast"/>
              <w:jc w:val="center"/>
              <w:rPr>
                <w:rFonts w:hint="eastAsia"/>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31F0BD37">
            <w:pPr>
              <w:widowControl/>
              <w:spacing w:before="100" w:beforeAutospacing="1" w:after="100" w:afterAutospacing="1" w:line="376" w:lineRule="atLeast"/>
              <w:jc w:val="center"/>
              <w:rPr>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877ACCF">
            <w:pPr>
              <w:widowControl/>
              <w:spacing w:before="100" w:beforeAutospacing="1" w:after="100" w:afterAutospacing="1" w:line="376" w:lineRule="atLeast"/>
              <w:jc w:val="center"/>
              <w:rPr>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06730E03">
            <w:pPr>
              <w:widowControl/>
              <w:spacing w:before="100" w:beforeAutospacing="1" w:after="100" w:afterAutospacing="1" w:line="376" w:lineRule="atLeast"/>
              <w:jc w:val="center"/>
              <w:rPr>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BEA45BA">
            <w:pPr>
              <w:widowControl/>
              <w:spacing w:before="100" w:beforeAutospacing="1" w:after="100" w:afterAutospacing="1" w:line="376" w:lineRule="atLeast"/>
              <w:jc w:val="center"/>
              <w:rPr>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8715D6F">
            <w:pPr>
              <w:widowControl/>
              <w:spacing w:before="100" w:beforeAutospacing="1" w:after="100" w:afterAutospacing="1" w:line="376" w:lineRule="atLeast"/>
              <w:jc w:val="center"/>
              <w:rPr>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AEAD909">
            <w:pPr>
              <w:widowControl/>
              <w:spacing w:before="100" w:beforeAutospacing="1" w:after="100" w:afterAutospacing="1" w:line="376" w:lineRule="atLeast"/>
              <w:jc w:val="center"/>
              <w:rPr>
                <w:kern w:val="0"/>
                <w:szCs w:val="21"/>
              </w:rPr>
            </w:pPr>
          </w:p>
        </w:tc>
      </w:tr>
      <w:tr w14:paraId="0EB864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484B8C24">
            <w:pPr>
              <w:widowControl/>
              <w:spacing w:before="100" w:beforeAutospacing="1" w:after="100" w:afterAutospacing="1" w:line="376" w:lineRule="atLeast"/>
              <w:jc w:val="center"/>
              <w:rPr>
                <w:kern w:val="0"/>
                <w:szCs w:val="21"/>
              </w:rPr>
            </w:pPr>
            <w:r>
              <w:rPr>
                <w:kern w:val="0"/>
                <w:szCs w:val="21"/>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F1D4DDA">
            <w:pPr>
              <w:widowControl/>
              <w:spacing w:before="100" w:beforeAutospacing="1" w:after="100" w:afterAutospacing="1" w:line="376" w:lineRule="atLeast"/>
              <w:jc w:val="center"/>
              <w:rPr>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5835007F">
            <w:pPr>
              <w:widowControl/>
              <w:spacing w:before="100" w:beforeAutospacing="1" w:after="100" w:afterAutospacing="1" w:line="376" w:lineRule="atLeast"/>
              <w:jc w:val="center"/>
              <w:rPr>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68C4023F">
            <w:pPr>
              <w:widowControl/>
              <w:spacing w:before="100" w:beforeAutospacing="1" w:after="100" w:afterAutospacing="1" w:line="376" w:lineRule="atLeast"/>
              <w:jc w:val="center"/>
              <w:rPr>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4C871A47">
            <w:pPr>
              <w:widowControl/>
              <w:spacing w:before="100" w:beforeAutospacing="1" w:after="100" w:afterAutospacing="1" w:line="376" w:lineRule="atLeast"/>
              <w:jc w:val="center"/>
              <w:rPr>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54F98A09">
            <w:pPr>
              <w:widowControl/>
              <w:spacing w:before="100" w:beforeAutospacing="1" w:after="100" w:afterAutospacing="1" w:line="376" w:lineRule="atLeast"/>
              <w:jc w:val="center"/>
              <w:rPr>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A00222">
            <w:pPr>
              <w:widowControl/>
              <w:spacing w:before="100" w:beforeAutospacing="1" w:after="100" w:afterAutospacing="1" w:line="376" w:lineRule="atLeast"/>
              <w:jc w:val="center"/>
              <w:rPr>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72E3EC52">
            <w:pPr>
              <w:widowControl/>
              <w:spacing w:before="100" w:beforeAutospacing="1" w:after="100" w:afterAutospacing="1" w:line="376" w:lineRule="atLeast"/>
              <w:jc w:val="center"/>
              <w:rPr>
                <w:kern w:val="0"/>
                <w:szCs w:val="21"/>
              </w:rPr>
            </w:pPr>
          </w:p>
        </w:tc>
      </w:tr>
      <w:tr w14:paraId="10FF2D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0F631F87">
            <w:pPr>
              <w:widowControl/>
              <w:spacing w:before="100" w:beforeAutospacing="1" w:after="100" w:afterAutospacing="1" w:line="376" w:lineRule="atLeast"/>
              <w:jc w:val="center"/>
              <w:rPr>
                <w:kern w:val="0"/>
                <w:szCs w:val="21"/>
              </w:rPr>
            </w:pPr>
            <w:r>
              <w:rPr>
                <w:kern w:val="0"/>
                <w:szCs w:val="21"/>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1D585379">
            <w:pPr>
              <w:widowControl/>
              <w:spacing w:before="100" w:beforeAutospacing="1" w:after="100" w:afterAutospacing="1" w:line="376" w:lineRule="atLeast"/>
              <w:jc w:val="center"/>
              <w:rPr>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0A4EFDDD">
            <w:pPr>
              <w:widowControl/>
              <w:spacing w:before="100" w:beforeAutospacing="1" w:after="100" w:afterAutospacing="1" w:line="376" w:lineRule="atLeast"/>
              <w:jc w:val="center"/>
              <w:rPr>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028280D">
            <w:pPr>
              <w:widowControl/>
              <w:spacing w:before="100" w:beforeAutospacing="1" w:after="100" w:afterAutospacing="1" w:line="376" w:lineRule="atLeast"/>
              <w:jc w:val="center"/>
              <w:rPr>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637C31ED">
            <w:pPr>
              <w:widowControl/>
              <w:spacing w:before="100" w:beforeAutospacing="1" w:after="100" w:afterAutospacing="1" w:line="376" w:lineRule="atLeast"/>
              <w:jc w:val="center"/>
              <w:rPr>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5314AE33">
            <w:pPr>
              <w:widowControl/>
              <w:spacing w:before="100" w:beforeAutospacing="1" w:after="100" w:afterAutospacing="1" w:line="376" w:lineRule="atLeast"/>
              <w:jc w:val="center"/>
              <w:rPr>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5A2EFDC">
            <w:pPr>
              <w:widowControl/>
              <w:spacing w:before="100" w:beforeAutospacing="1" w:after="100" w:afterAutospacing="1" w:line="376" w:lineRule="atLeast"/>
              <w:jc w:val="center"/>
              <w:rPr>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4E76BA37">
            <w:pPr>
              <w:widowControl/>
              <w:spacing w:before="100" w:beforeAutospacing="1" w:after="100" w:afterAutospacing="1" w:line="376" w:lineRule="atLeast"/>
              <w:jc w:val="center"/>
              <w:rPr>
                <w:kern w:val="0"/>
                <w:szCs w:val="21"/>
              </w:rPr>
            </w:pPr>
          </w:p>
        </w:tc>
      </w:tr>
    </w:tbl>
    <w:p w14:paraId="3BAB28A9">
      <w:pPr>
        <w:snapToGrid w:val="0"/>
        <w:spacing w:before="50" w:after="120" w:afterLines="50"/>
        <w:jc w:val="left"/>
        <w:rPr>
          <w:rFonts w:hint="eastAsia"/>
          <w:szCs w:val="21"/>
        </w:rPr>
      </w:pPr>
      <w:r>
        <w:rPr>
          <w:rFonts w:hint="eastAsia"/>
          <w:szCs w:val="21"/>
        </w:rPr>
        <w:t>注：类别填写节能或环境标志，品目填写编号及产品名称如A</w:t>
      </w:r>
      <w:r>
        <w:rPr>
          <w:szCs w:val="21"/>
        </w:rPr>
        <w:t>02010104</w:t>
      </w:r>
      <w:r>
        <w:rPr>
          <w:rFonts w:hint="eastAsia"/>
          <w:szCs w:val="21"/>
        </w:rPr>
        <w:t>台式计算机。</w:t>
      </w:r>
    </w:p>
    <w:p w14:paraId="64D826ED">
      <w:pPr>
        <w:snapToGrid w:val="0"/>
        <w:spacing w:before="50" w:after="120" w:afterLines="50"/>
        <w:jc w:val="left"/>
        <w:rPr>
          <w:rFonts w:hint="eastAsia"/>
          <w:szCs w:val="21"/>
        </w:rPr>
      </w:pPr>
    </w:p>
    <w:bookmarkEnd w:id="121"/>
    <w:p w14:paraId="0947D78A">
      <w:pPr>
        <w:snapToGrid w:val="0"/>
        <w:spacing w:before="50" w:after="120" w:afterLines="50"/>
        <w:jc w:val="left"/>
        <w:rPr>
          <w:szCs w:val="21"/>
        </w:rPr>
      </w:pPr>
    </w:p>
    <w:p w14:paraId="5DAE6C34">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ascii="Calibri" w:hAnsi="Calibri" w:eastAsia="宋体" w:cs="Times New Roman"/>
          <w:kern w:val="0"/>
          <w:sz w:val="28"/>
          <w:szCs w:val="28"/>
          <w:lang w:val="en-US" w:eastAsia="zh-CN" w:bidi="ar"/>
        </w:rPr>
      </w:pPr>
      <w:r>
        <w:rPr>
          <w:szCs w:val="21"/>
        </w:rPr>
        <w:br w:type="page"/>
      </w:r>
      <w:bookmarkStart w:id="122" w:name="_Hlk19115874"/>
      <w:bookmarkStart w:id="123" w:name="_Hlk132793601"/>
      <w:bookmarkStart w:id="124" w:name="_Hlk93046716"/>
      <w:r>
        <w:rPr>
          <w:szCs w:val="21"/>
        </w:rPr>
        <w:t>10.2</w:t>
      </w:r>
      <w:bookmarkEnd w:id="122"/>
      <w:bookmarkEnd w:id="123"/>
      <w:r>
        <w:rPr>
          <w:rFonts w:hint="eastAsia" w:ascii="Times New Roman" w:eastAsia="宋体"/>
          <w:szCs w:val="21"/>
          <w:lang w:val="en-US" w:eastAsia="zh-CN"/>
        </w:rPr>
        <w:t>如供应</w:t>
      </w:r>
      <w:r>
        <w:rPr>
          <w:rFonts w:hint="eastAsia"/>
          <w:szCs w:val="21"/>
          <w:lang w:val="en-US" w:eastAsia="zh-CN"/>
        </w:rPr>
        <w:t>商</w:t>
      </w:r>
      <w:r>
        <w:rPr>
          <w:rFonts w:hint="eastAsia" w:ascii="Times New Roman" w:eastAsia="宋体"/>
          <w:szCs w:val="21"/>
          <w:lang w:val="en-US" w:eastAsia="zh-CN"/>
        </w:rPr>
        <w:t>提供的产品属于本国产品</w:t>
      </w:r>
      <w:r>
        <w:rPr>
          <w:rFonts w:hint="eastAsia"/>
          <w:szCs w:val="21"/>
        </w:rPr>
        <w:t>，按以下格式提供</w:t>
      </w:r>
      <w:r>
        <w:rPr>
          <w:rFonts w:hint="eastAsia" w:ascii="Times New Roman" w:eastAsia="宋体"/>
          <w:szCs w:val="21"/>
          <w:lang w:val="en-US" w:eastAsia="zh-CN"/>
        </w:rPr>
        <w:t>关于符合本国产品标准的声明函</w:t>
      </w:r>
      <w:r>
        <w:rPr>
          <w:rFonts w:hint="eastAsia"/>
          <w:szCs w:val="21"/>
        </w:rPr>
        <w:t>。</w:t>
      </w:r>
      <w:r>
        <w:rPr>
          <w:rFonts w:hint="eastAsia" w:ascii="仿宋" w:hAnsi="仿宋" w:eastAsia="仿宋" w:cs="仿宋"/>
          <w:i w:val="0"/>
          <w:iCs w:val="0"/>
          <w:caps w:val="0"/>
          <w:color w:val="000000"/>
          <w:spacing w:val="0"/>
          <w:kern w:val="0"/>
          <w:sz w:val="28"/>
          <w:szCs w:val="28"/>
          <w:u w:val="none"/>
          <w:shd w:val="clear" w:fill="FFFFFF"/>
          <w:vertAlign w:val="baseline"/>
          <w:lang w:val="en-US" w:eastAsia="zh-CN" w:bidi="ar"/>
        </w:rPr>
        <w:t> </w:t>
      </w:r>
    </w:p>
    <w:p w14:paraId="66FF0805">
      <w:pPr>
        <w:spacing w:line="360" w:lineRule="auto"/>
        <w:ind w:firstLine="3584" w:firstLineChars="1700"/>
        <w:rPr>
          <w:rFonts w:hint="eastAsia"/>
          <w:b/>
          <w:szCs w:val="21"/>
          <w:lang w:val="en-US" w:eastAsia="zh-CN"/>
        </w:rPr>
      </w:pPr>
    </w:p>
    <w:p w14:paraId="594A8CD8">
      <w:pPr>
        <w:spacing w:line="360" w:lineRule="auto"/>
        <w:ind w:firstLine="3584" w:firstLineChars="1700"/>
        <w:rPr>
          <w:rFonts w:hint="eastAsia"/>
          <w:b/>
          <w:szCs w:val="21"/>
          <w:lang w:val="en-US" w:eastAsia="zh-CN"/>
        </w:rPr>
      </w:pPr>
      <w:r>
        <w:rPr>
          <w:rFonts w:hint="eastAsia" w:ascii="Times New Roman" w:eastAsia="宋体"/>
          <w:b/>
          <w:szCs w:val="21"/>
          <w:lang w:val="en-US" w:eastAsia="zh-CN"/>
        </w:rPr>
        <w:t>关于符合本国产品标准的声明函</w:t>
      </w:r>
    </w:p>
    <w:p w14:paraId="5F0BFF7F">
      <w:pPr>
        <w:spacing w:line="360" w:lineRule="auto"/>
        <w:ind w:firstLine="3584" w:firstLineChars="1700"/>
        <w:rPr>
          <w:rFonts w:hint="eastAsia"/>
          <w:b/>
          <w:szCs w:val="21"/>
          <w:lang w:val="en-US" w:eastAsia="zh-CN"/>
        </w:rPr>
      </w:pPr>
    </w:p>
    <w:p w14:paraId="3037E81F">
      <w:pPr>
        <w:spacing w:line="360" w:lineRule="auto"/>
        <w:ind w:firstLine="420" w:firstLineChars="200"/>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0F629E88">
      <w:pPr>
        <w:spacing w:line="360" w:lineRule="auto"/>
        <w:ind w:firstLine="420" w:firstLineChars="200"/>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3BB489E6">
      <w:pPr>
        <w:spacing w:line="360" w:lineRule="auto"/>
        <w:ind w:firstLine="420" w:firstLineChars="200"/>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5FC29288">
      <w:pPr>
        <w:spacing w:line="360" w:lineRule="auto"/>
        <w:ind w:firstLine="420" w:firstLineChars="200"/>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p w14:paraId="42B07A80">
      <w:pPr>
        <w:spacing w:line="360" w:lineRule="auto"/>
        <w:ind w:firstLine="420" w:firstLineChars="200"/>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本公司（单位）对上述声明内容的真实性负责。如有虚假，愿承担相应法律责任。</w:t>
      </w:r>
    </w:p>
    <w:p w14:paraId="35C49BAE">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 </w:t>
      </w:r>
    </w:p>
    <w:p w14:paraId="3123647C">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公司（单位）名称（盖章）：　        </w:t>
      </w:r>
    </w:p>
    <w:p w14:paraId="50B234DB">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ascii="Calibri" w:hAnsi="Calibri" w:eastAsia="宋体" w:cs="Times New Roman"/>
          <w:kern w:val="0"/>
          <w:sz w:val="28"/>
          <w:szCs w:val="28"/>
          <w:lang w:val="en-US" w:eastAsia="zh-CN" w:bidi="ar"/>
        </w:rPr>
      </w:pPr>
      <w:r>
        <w:rPr>
          <w:rFonts w:hint="eastAsia" w:ascii="Times New Roman" w:hAnsi="Times New Roman" w:eastAsia="宋体" w:cs="Times New Roman"/>
          <w:kern w:val="2"/>
          <w:sz w:val="21"/>
          <w:szCs w:val="21"/>
          <w:lang w:val="en-US" w:eastAsia="zh-CN" w:bidi="ar-SA"/>
        </w:rPr>
        <w:t>日期：　     年　  月　  日  </w:t>
      </w:r>
      <w:r>
        <w:rPr>
          <w:rFonts w:hint="eastAsia" w:ascii="仿宋" w:hAnsi="仿宋" w:eastAsia="仿宋" w:cs="仿宋"/>
          <w:i w:val="0"/>
          <w:iCs w:val="0"/>
          <w:caps w:val="0"/>
          <w:color w:val="000000"/>
          <w:spacing w:val="0"/>
          <w:kern w:val="0"/>
          <w:sz w:val="28"/>
          <w:szCs w:val="28"/>
          <w:u w:val="none"/>
          <w:shd w:val="clear" w:fill="FFFFFF"/>
          <w:vertAlign w:val="baseline"/>
          <w:lang w:val="en-US" w:eastAsia="zh-CN" w:bidi="ar"/>
        </w:rPr>
        <w:t>       </w:t>
      </w:r>
    </w:p>
    <w:p w14:paraId="5B638928">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ascii="Calibri" w:hAnsi="Calibri" w:eastAsia="宋体" w:cs="Times New Roman"/>
          <w:kern w:val="0"/>
          <w:sz w:val="28"/>
          <w:szCs w:val="28"/>
          <w:lang w:val="en-US" w:eastAsia="zh-CN" w:bidi="ar"/>
        </w:rPr>
      </w:pPr>
      <w:r>
        <w:rPr>
          <w:rFonts w:hint="eastAsia" w:ascii="仿宋" w:hAnsi="仿宋" w:eastAsia="仿宋" w:cs="仿宋"/>
          <w:i w:val="0"/>
          <w:iCs w:val="0"/>
          <w:caps w:val="0"/>
          <w:color w:val="000000"/>
          <w:spacing w:val="0"/>
          <w:kern w:val="0"/>
          <w:sz w:val="28"/>
          <w:szCs w:val="28"/>
          <w:u w:val="none"/>
          <w:shd w:val="clear" w:fill="FFFFFF"/>
          <w:vertAlign w:val="baseline"/>
          <w:lang w:val="en-US" w:eastAsia="zh-CN" w:bidi="ar"/>
        </w:rPr>
        <w:t>__________________</w:t>
      </w:r>
    </w:p>
    <w:p w14:paraId="40052B96">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1.产品如有型号，请在“产品名称”栏一并填写。</w:t>
      </w:r>
    </w:p>
    <w:p w14:paraId="4D2C0694">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2.生产厂名与厂址应与生产厂营业执照载明的相关信息保持一致。</w:t>
      </w:r>
    </w:p>
    <w:p w14:paraId="57F58A09">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3.该产品的中国境内生产的组件成本占比相关要求实施前，“规定比例”栏可不填，下同。</w:t>
      </w:r>
    </w:p>
    <w:p w14:paraId="5AEB85C0">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4.该产品的关键组件要求实施前，“关键组件”栏可不填，下同。</w:t>
      </w:r>
    </w:p>
    <w:p w14:paraId="410E9DD3">
      <w:pPr>
        <w:snapToGrid w:val="0"/>
        <w:spacing w:before="50" w:after="120" w:afterLines="50"/>
        <w:jc w:val="left"/>
        <w:rPr>
          <w:rFonts w:hint="eastAsia" w:ascii="仿宋" w:hAnsi="仿宋" w:eastAsia="仿宋" w:cs="仿宋"/>
          <w:i w:val="0"/>
          <w:iCs w:val="0"/>
          <w:caps w:val="0"/>
          <w:color w:val="000000"/>
          <w:spacing w:val="0"/>
          <w:kern w:val="0"/>
          <w:sz w:val="21"/>
          <w:szCs w:val="21"/>
          <w:u w:val="none"/>
          <w:shd w:val="clear" w:fill="FFFFFF"/>
          <w:vertAlign w:val="baseline"/>
          <w:lang w:val="en-US" w:eastAsia="zh-CN" w:bidi="ar"/>
        </w:rPr>
        <w:sectPr>
          <w:headerReference r:id="rId23" w:type="default"/>
          <w:pgSz w:w="11906" w:h="16838"/>
          <w:pgMar w:top="1418" w:right="1274" w:bottom="1418" w:left="1418" w:header="851" w:footer="992" w:gutter="0"/>
          <w:cols w:space="720" w:num="1"/>
          <w:docGrid w:linePitch="312" w:charSpace="0"/>
        </w:sectPr>
      </w:pPr>
      <w:r>
        <w:rPr>
          <w:rFonts w:hint="eastAsia" w:ascii="Times New Roman" w:hAnsi="Times New Roman" w:eastAsia="宋体" w:cs="Times New Roman"/>
          <w:kern w:val="2"/>
          <w:sz w:val="21"/>
          <w:szCs w:val="21"/>
          <w:lang w:val="en-US" w:eastAsia="zh-CN" w:bidi="ar-SA"/>
        </w:rPr>
        <w:t>5.该产品的关键工序要求实施前，“关键工序”栏可不填，下同</w:t>
      </w:r>
      <w:r>
        <w:rPr>
          <w:rFonts w:hint="eastAsia" w:ascii="仿宋" w:hAnsi="仿宋" w:eastAsia="仿宋" w:cs="仿宋"/>
          <w:i w:val="0"/>
          <w:iCs w:val="0"/>
          <w:caps w:val="0"/>
          <w:color w:val="000000"/>
          <w:spacing w:val="0"/>
          <w:kern w:val="0"/>
          <w:sz w:val="21"/>
          <w:szCs w:val="21"/>
          <w:u w:val="none"/>
          <w:shd w:val="clear" w:fill="FFFFFF"/>
          <w:vertAlign w:val="baseline"/>
          <w:lang w:val="en-US" w:eastAsia="zh-CN" w:bidi="ar"/>
        </w:rPr>
        <w:t>。</w:t>
      </w:r>
    </w:p>
    <w:p w14:paraId="484FA1A8">
      <w:pPr>
        <w:pStyle w:val="19"/>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w:t>
      </w:r>
      <w:r>
        <w:rPr>
          <w:rFonts w:hint="eastAsia" w:cs="Times New Roman"/>
          <w:kern w:val="2"/>
          <w:sz w:val="21"/>
          <w:szCs w:val="21"/>
          <w:lang w:val="en-US" w:eastAsia="zh-CN" w:bidi="ar-SA"/>
        </w:rPr>
        <w:t>3</w:t>
      </w:r>
      <w:r>
        <w:rPr>
          <w:rFonts w:hint="eastAsia" w:ascii="Times New Roman" w:hAnsi="Times New Roman" w:eastAsia="宋体" w:cs="Times New Roman"/>
          <w:kern w:val="2"/>
          <w:sz w:val="21"/>
          <w:szCs w:val="21"/>
          <w:lang w:val="en-US" w:eastAsia="zh-CN" w:bidi="ar-SA"/>
        </w:rPr>
        <w:t>关于符合本国产品标准</w:t>
      </w:r>
      <w:r>
        <w:rPr>
          <w:rFonts w:hint="eastAsia" w:cs="Times New Roman"/>
          <w:kern w:val="2"/>
          <w:sz w:val="21"/>
          <w:szCs w:val="21"/>
          <w:lang w:val="en-US" w:eastAsia="zh-CN" w:bidi="ar-SA"/>
        </w:rPr>
        <w:t>的</w:t>
      </w:r>
      <w:r>
        <w:rPr>
          <w:rFonts w:hint="eastAsia" w:ascii="Times New Roman" w:hAnsi="Times New Roman" w:eastAsia="宋体" w:cs="Times New Roman"/>
          <w:kern w:val="2"/>
          <w:sz w:val="21"/>
          <w:szCs w:val="21"/>
          <w:lang w:val="en-US" w:eastAsia="zh-CN" w:bidi="ar-SA"/>
        </w:rPr>
        <w:t>成本占比承诺函</w:t>
      </w:r>
      <w:r>
        <w:rPr>
          <w:rFonts w:hint="eastAsia" w:cs="Times New Roman"/>
          <w:kern w:val="2"/>
          <w:sz w:val="21"/>
          <w:szCs w:val="21"/>
          <w:lang w:val="en-US" w:eastAsia="zh-CN" w:bidi="ar-SA"/>
        </w:rPr>
        <w:t>（单一产品采购不填写此函，多产品采购项目或采购包如供应商所有产品均为本国产品且填写《关于符合本国产品标准的声明函》可不填写此函。格式内容仅供参考）</w:t>
      </w:r>
    </w:p>
    <w:p w14:paraId="4DB38418">
      <w:pPr>
        <w:pStyle w:val="19"/>
        <w:rPr>
          <w:rFonts w:hint="eastAsia"/>
          <w:lang w:val="en-US" w:eastAsia="zh-CN"/>
        </w:rPr>
      </w:pPr>
    </w:p>
    <w:p w14:paraId="3F1A113E">
      <w:pPr>
        <w:pStyle w:val="19"/>
        <w:jc w:val="center"/>
        <w:rPr>
          <w:rFonts w:hint="default" w:ascii="Times New Roman" w:hAnsi="Times New Roman" w:eastAsia="宋体" w:cs="Times New Roman"/>
          <w:b/>
          <w:kern w:val="2"/>
          <w:sz w:val="21"/>
          <w:szCs w:val="21"/>
          <w:lang w:val="en-US" w:eastAsia="zh-CN" w:bidi="ar-SA"/>
        </w:rPr>
      </w:pPr>
      <w:r>
        <w:rPr>
          <w:rFonts w:hint="default" w:ascii="Times New Roman" w:hAnsi="Times New Roman" w:eastAsia="宋体" w:cs="Times New Roman"/>
          <w:b/>
          <w:kern w:val="2"/>
          <w:sz w:val="21"/>
          <w:szCs w:val="21"/>
          <w:lang w:val="en-US" w:eastAsia="zh-CN" w:bidi="ar-SA"/>
        </w:rPr>
        <w:t>关于符合本国产品标准</w:t>
      </w:r>
      <w:r>
        <w:rPr>
          <w:rFonts w:hint="eastAsia" w:cs="Times New Roman"/>
          <w:b/>
          <w:kern w:val="2"/>
          <w:sz w:val="21"/>
          <w:szCs w:val="21"/>
          <w:lang w:val="en-US" w:eastAsia="zh-CN" w:bidi="ar-SA"/>
        </w:rPr>
        <w:t>的</w:t>
      </w:r>
      <w:r>
        <w:rPr>
          <w:rFonts w:hint="default" w:ascii="Times New Roman" w:hAnsi="Times New Roman" w:eastAsia="宋体" w:cs="Times New Roman"/>
          <w:b/>
          <w:kern w:val="2"/>
          <w:sz w:val="21"/>
          <w:szCs w:val="21"/>
          <w:lang w:val="en-US" w:eastAsia="zh-CN" w:bidi="ar-SA"/>
        </w:rPr>
        <w:t>成本占比承诺函</w:t>
      </w:r>
    </w:p>
    <w:p w14:paraId="5BC8B74C">
      <w:pPr>
        <w:pStyle w:val="19"/>
        <w:rPr>
          <w:rFonts w:hint="default"/>
          <w:lang w:val="en-US" w:eastAsia="zh-CN"/>
        </w:rPr>
      </w:pPr>
    </w:p>
    <w:p w14:paraId="45761782">
      <w:pPr>
        <w:pStyle w:val="19"/>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致：[采购人/采购代理机构名称]</w:t>
      </w:r>
    </w:p>
    <w:p w14:paraId="252A35D1">
      <w:pPr>
        <w:pStyle w:val="19"/>
        <w:rPr>
          <w:rFonts w:hint="default" w:ascii="Times New Roman" w:hAnsi="Times New Roman" w:eastAsia="宋体" w:cs="Times New Roman"/>
          <w:kern w:val="2"/>
          <w:sz w:val="21"/>
          <w:szCs w:val="21"/>
          <w:lang w:val="en-US" w:eastAsia="zh-CN" w:bidi="ar-SA"/>
        </w:rPr>
      </w:pPr>
    </w:p>
    <w:p w14:paraId="4828E55F">
      <w:pPr>
        <w:pStyle w:val="19"/>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本单位就参与[项目名称、编号]项目，郑重承诺如下：</w:t>
      </w:r>
    </w:p>
    <w:p w14:paraId="17A1542D">
      <w:pPr>
        <w:pStyle w:val="19"/>
        <w:rPr>
          <w:rFonts w:hint="default" w:ascii="Times New Roman" w:hAnsi="Times New Roman" w:eastAsia="宋体" w:cs="Times New Roman"/>
          <w:kern w:val="2"/>
          <w:sz w:val="21"/>
          <w:szCs w:val="21"/>
          <w:lang w:val="en-US" w:eastAsia="zh-CN" w:bidi="ar-SA"/>
        </w:rPr>
      </w:pPr>
    </w:p>
    <w:p w14:paraId="5B81964F">
      <w:pPr>
        <w:pStyle w:val="19"/>
        <w:ind w:firstLine="420" w:firstLineChars="20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本单位为该项目（或采购包）提供的符合本国产品标准的产品成本之和，占所提供全部产品成本之和的比例达到80%以上。本公司（单位）对上述承诺内容的真实性负责。如有虚假，愿承担相应法律责任。</w:t>
      </w:r>
    </w:p>
    <w:p w14:paraId="4648EDD1">
      <w:pPr>
        <w:pStyle w:val="19"/>
        <w:rPr>
          <w:rFonts w:hint="default" w:ascii="Times New Roman" w:hAnsi="Times New Roman" w:eastAsia="宋体" w:cs="Times New Roman"/>
          <w:kern w:val="2"/>
          <w:sz w:val="21"/>
          <w:szCs w:val="21"/>
          <w:lang w:val="en-US" w:eastAsia="zh-CN" w:bidi="ar-SA"/>
        </w:rPr>
      </w:pPr>
    </w:p>
    <w:p w14:paraId="12AE1EC2">
      <w:pPr>
        <w:pStyle w:val="19"/>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 xml:space="preserve"> </w:t>
      </w:r>
    </w:p>
    <w:p w14:paraId="4E579510">
      <w:pPr>
        <w:pStyle w:val="19"/>
        <w:rPr>
          <w:rFonts w:hint="default" w:ascii="Times New Roman" w:hAnsi="Times New Roman" w:eastAsia="宋体" w:cs="Times New Roman"/>
          <w:kern w:val="2"/>
          <w:sz w:val="21"/>
          <w:szCs w:val="21"/>
          <w:lang w:val="en-US" w:eastAsia="zh-CN" w:bidi="ar-SA"/>
        </w:rPr>
      </w:pPr>
    </w:p>
    <w:p w14:paraId="465A066E">
      <w:pPr>
        <w:pStyle w:val="19"/>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 xml:space="preserve"> </w:t>
      </w:r>
    </w:p>
    <w:p w14:paraId="65BF2AFD">
      <w:pPr>
        <w:pStyle w:val="19"/>
        <w:rPr>
          <w:rFonts w:hint="default" w:ascii="Times New Roman" w:hAnsi="Times New Roman" w:eastAsia="宋体" w:cs="Times New Roman"/>
          <w:kern w:val="2"/>
          <w:sz w:val="21"/>
          <w:szCs w:val="21"/>
          <w:lang w:val="en-US" w:eastAsia="zh-CN" w:bidi="ar-SA"/>
        </w:rPr>
      </w:pPr>
    </w:p>
    <w:p w14:paraId="307FFDFD">
      <w:pPr>
        <w:pStyle w:val="19"/>
        <w:jc w:val="right"/>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供应商名称（盖章）：　        </w:t>
      </w:r>
    </w:p>
    <w:p w14:paraId="6E493D88">
      <w:pPr>
        <w:pStyle w:val="19"/>
        <w:jc w:val="right"/>
        <w:sectPr>
          <w:pgSz w:w="11906" w:h="16838"/>
          <w:pgMar w:top="1418" w:right="1274" w:bottom="1418" w:left="1418" w:header="851" w:footer="992" w:gutter="0"/>
          <w:cols w:space="720" w:num="1"/>
          <w:docGrid w:linePitch="312" w:charSpace="0"/>
        </w:sectPr>
      </w:pPr>
      <w:r>
        <w:rPr>
          <w:rFonts w:hint="default" w:ascii="Times New Roman" w:hAnsi="Times New Roman" w:eastAsia="宋体" w:cs="Times New Roman"/>
          <w:kern w:val="2"/>
          <w:sz w:val="21"/>
          <w:szCs w:val="21"/>
          <w:lang w:val="en-US" w:eastAsia="zh-CN" w:bidi="ar-SA"/>
        </w:rPr>
        <w:t>日期：　     年　  月　  日 </w:t>
      </w:r>
    </w:p>
    <w:p w14:paraId="746B0E69">
      <w:pPr>
        <w:snapToGrid w:val="0"/>
        <w:spacing w:before="50" w:after="120" w:afterLines="50"/>
        <w:jc w:val="left"/>
        <w:rPr>
          <w:szCs w:val="21"/>
        </w:rPr>
      </w:pPr>
      <w:r>
        <w:rPr>
          <w:szCs w:val="21"/>
        </w:rPr>
        <w:t>11.</w:t>
      </w:r>
      <w:r>
        <w:rPr>
          <w:rFonts w:hint="eastAsia"/>
        </w:rPr>
        <w:t xml:space="preserve"> </w:t>
      </w:r>
      <w:r>
        <w:rPr>
          <w:rFonts w:hint="eastAsia"/>
          <w:szCs w:val="21"/>
        </w:rPr>
        <w:t>无串标行为承诺函</w:t>
      </w:r>
    </w:p>
    <w:p w14:paraId="7E705821">
      <w:pPr>
        <w:snapToGrid w:val="0"/>
        <w:spacing w:before="50" w:after="120" w:afterLines="50"/>
        <w:jc w:val="center"/>
        <w:rPr>
          <w:szCs w:val="21"/>
        </w:rPr>
      </w:pPr>
    </w:p>
    <w:p w14:paraId="78843D6E">
      <w:pPr>
        <w:snapToGrid w:val="0"/>
        <w:spacing w:before="50" w:after="120" w:afterLines="50"/>
        <w:jc w:val="center"/>
        <w:rPr>
          <w:szCs w:val="21"/>
        </w:rPr>
      </w:pPr>
      <w:r>
        <w:rPr>
          <w:rFonts w:hint="eastAsia"/>
          <w:szCs w:val="21"/>
        </w:rPr>
        <w:t>供应商参加本项目无围标串标行为的承诺函</w:t>
      </w:r>
    </w:p>
    <w:p w14:paraId="795DEC1D">
      <w:pPr>
        <w:snapToGrid w:val="0"/>
        <w:spacing w:before="50" w:after="120" w:afterLines="50"/>
        <w:jc w:val="left"/>
        <w:rPr>
          <w:szCs w:val="21"/>
        </w:rPr>
      </w:pPr>
    </w:p>
    <w:p w14:paraId="55C13E53">
      <w:pPr>
        <w:snapToGrid w:val="0"/>
        <w:spacing w:before="50" w:after="120" w:afterLines="50"/>
        <w:jc w:val="left"/>
        <w:rPr>
          <w:szCs w:val="21"/>
        </w:rPr>
      </w:pPr>
      <w:r>
        <w:rPr>
          <w:rFonts w:hint="eastAsia"/>
          <w:szCs w:val="21"/>
        </w:rPr>
        <w:t>一、我方承诺无下列相互</w:t>
      </w:r>
      <w:r>
        <w:rPr>
          <w:rFonts w:hint="eastAsia"/>
          <w:szCs w:val="21"/>
          <w:lang w:eastAsia="zh-CN"/>
        </w:rPr>
        <w:t>串通响应</w:t>
      </w:r>
      <w:r>
        <w:rPr>
          <w:rFonts w:hint="eastAsia"/>
          <w:szCs w:val="21"/>
        </w:rPr>
        <w:t>的情形：</w:t>
      </w:r>
    </w:p>
    <w:p w14:paraId="17D94B33">
      <w:pPr>
        <w:snapToGrid w:val="0"/>
        <w:spacing w:before="50" w:after="120" w:afterLines="50"/>
        <w:jc w:val="left"/>
        <w:rPr>
          <w:szCs w:val="21"/>
        </w:rPr>
      </w:pPr>
      <w:r>
        <w:rPr>
          <w:rFonts w:hint="eastAsia"/>
          <w:szCs w:val="21"/>
        </w:rPr>
        <w:t>1.不同供应商的响应文件由同一单位或者个人编制；或者不同供应商报名的IP地址一致的；</w:t>
      </w:r>
    </w:p>
    <w:p w14:paraId="1899F9AA">
      <w:pPr>
        <w:snapToGrid w:val="0"/>
        <w:spacing w:before="50" w:after="120" w:afterLines="50"/>
        <w:jc w:val="left"/>
        <w:rPr>
          <w:szCs w:val="21"/>
        </w:rPr>
      </w:pPr>
      <w:r>
        <w:rPr>
          <w:rFonts w:hint="eastAsia"/>
          <w:szCs w:val="21"/>
        </w:rPr>
        <w:t>2.不同供应商委托同一单位或者个人办理投标事宜；</w:t>
      </w:r>
    </w:p>
    <w:p w14:paraId="463EEF56">
      <w:pPr>
        <w:snapToGrid w:val="0"/>
        <w:spacing w:before="50" w:after="120" w:afterLines="50"/>
        <w:jc w:val="left"/>
        <w:rPr>
          <w:szCs w:val="21"/>
        </w:rPr>
      </w:pPr>
      <w:r>
        <w:rPr>
          <w:rFonts w:hint="eastAsia"/>
          <w:szCs w:val="21"/>
        </w:rPr>
        <w:t>3.不同的供应商的响应文件载明的项目管理员为同一个人；</w:t>
      </w:r>
    </w:p>
    <w:p w14:paraId="4FB6E594">
      <w:pPr>
        <w:snapToGrid w:val="0"/>
        <w:spacing w:before="50" w:after="120" w:afterLines="50"/>
        <w:jc w:val="left"/>
        <w:rPr>
          <w:szCs w:val="21"/>
        </w:rPr>
      </w:pPr>
      <w:r>
        <w:rPr>
          <w:rFonts w:hint="eastAsia"/>
          <w:szCs w:val="21"/>
        </w:rPr>
        <w:t>4.不同供应商的响应文件异常一致或者</w:t>
      </w:r>
      <w:r>
        <w:rPr>
          <w:rFonts w:hint="eastAsia"/>
          <w:szCs w:val="21"/>
          <w:lang w:eastAsia="zh-CN"/>
        </w:rPr>
        <w:t>响应报价</w:t>
      </w:r>
      <w:r>
        <w:rPr>
          <w:rFonts w:hint="eastAsia"/>
          <w:szCs w:val="21"/>
        </w:rPr>
        <w:t>呈规律性差异；</w:t>
      </w:r>
    </w:p>
    <w:p w14:paraId="0CD1BBEF">
      <w:pPr>
        <w:snapToGrid w:val="0"/>
        <w:spacing w:before="50" w:after="120" w:afterLines="50"/>
        <w:jc w:val="left"/>
        <w:rPr>
          <w:szCs w:val="21"/>
        </w:rPr>
      </w:pPr>
      <w:r>
        <w:rPr>
          <w:rFonts w:hint="eastAsia"/>
          <w:szCs w:val="21"/>
        </w:rPr>
        <w:t>5.不同供应商的响应文件相互混装；</w:t>
      </w:r>
    </w:p>
    <w:p w14:paraId="01419E1D">
      <w:pPr>
        <w:snapToGrid w:val="0"/>
        <w:spacing w:before="50" w:after="120" w:afterLines="50"/>
        <w:jc w:val="left"/>
        <w:rPr>
          <w:szCs w:val="21"/>
        </w:rPr>
      </w:pPr>
      <w:r>
        <w:rPr>
          <w:rFonts w:hint="eastAsia"/>
          <w:szCs w:val="21"/>
        </w:rPr>
        <w:t>6.不同供应商的谈判保证金从同一单位或者个人账户转出。</w:t>
      </w:r>
    </w:p>
    <w:p w14:paraId="201A4114">
      <w:pPr>
        <w:snapToGrid w:val="0"/>
        <w:spacing w:before="50" w:after="120" w:afterLines="50"/>
        <w:jc w:val="left"/>
        <w:rPr>
          <w:szCs w:val="21"/>
        </w:rPr>
      </w:pPr>
      <w:r>
        <w:rPr>
          <w:rFonts w:hint="eastAsia"/>
          <w:szCs w:val="21"/>
        </w:rPr>
        <w:t>二、我方承诺无下列恶意串通的情形：</w:t>
      </w:r>
    </w:p>
    <w:p w14:paraId="090223CE">
      <w:pPr>
        <w:snapToGrid w:val="0"/>
        <w:spacing w:before="50" w:after="120" w:afterLines="50"/>
        <w:jc w:val="left"/>
        <w:rPr>
          <w:szCs w:val="21"/>
        </w:rPr>
      </w:pPr>
      <w:r>
        <w:rPr>
          <w:rFonts w:hint="eastAsia"/>
          <w:szCs w:val="21"/>
        </w:rPr>
        <w:t>1.供应商直接或者间接从采购人或者采购代理机构处获得其他供应商的相关信息并修改其响应文件或者响应文件；</w:t>
      </w:r>
    </w:p>
    <w:p w14:paraId="305C1081">
      <w:pPr>
        <w:snapToGrid w:val="0"/>
        <w:spacing w:before="50" w:after="120" w:afterLines="50"/>
        <w:jc w:val="left"/>
        <w:rPr>
          <w:szCs w:val="21"/>
        </w:rPr>
      </w:pPr>
      <w:r>
        <w:rPr>
          <w:rFonts w:hint="eastAsia"/>
          <w:szCs w:val="21"/>
        </w:rPr>
        <w:t>2.供应商按照采购人或者采购代理机构的授意撤换、修改响应文件或者响应文件；</w:t>
      </w:r>
    </w:p>
    <w:p w14:paraId="79FAE1C5">
      <w:pPr>
        <w:snapToGrid w:val="0"/>
        <w:spacing w:before="50" w:after="120" w:afterLines="50"/>
        <w:jc w:val="left"/>
        <w:rPr>
          <w:szCs w:val="21"/>
        </w:rPr>
      </w:pPr>
      <w:r>
        <w:rPr>
          <w:rFonts w:hint="eastAsia"/>
          <w:szCs w:val="21"/>
        </w:rPr>
        <w:t>3.供应商之间协商报价、技术方案等响应文件或者响应文件的实质性内容；</w:t>
      </w:r>
    </w:p>
    <w:p w14:paraId="7F09E14C">
      <w:pPr>
        <w:snapToGrid w:val="0"/>
        <w:spacing w:before="50" w:after="120" w:afterLines="50"/>
        <w:jc w:val="left"/>
        <w:rPr>
          <w:szCs w:val="21"/>
        </w:rPr>
      </w:pPr>
      <w:r>
        <w:rPr>
          <w:rFonts w:hint="eastAsia"/>
          <w:szCs w:val="21"/>
        </w:rPr>
        <w:t>4.属于同一集团、协会、商会等组织成员的供应商按照该组织要求协同参加政府采购活动；</w:t>
      </w:r>
    </w:p>
    <w:p w14:paraId="37499667">
      <w:pPr>
        <w:snapToGrid w:val="0"/>
        <w:spacing w:before="50" w:after="120" w:afterLines="50"/>
        <w:jc w:val="left"/>
        <w:rPr>
          <w:szCs w:val="21"/>
        </w:rPr>
      </w:pPr>
      <w:r>
        <w:rPr>
          <w:rFonts w:hint="eastAsia"/>
          <w:szCs w:val="21"/>
        </w:rPr>
        <w:t>5.供应商之间事先约定一致抬高或者压低</w:t>
      </w:r>
      <w:r>
        <w:rPr>
          <w:rFonts w:hint="eastAsia"/>
          <w:szCs w:val="21"/>
          <w:lang w:eastAsia="zh-CN"/>
        </w:rPr>
        <w:t>响应报价</w:t>
      </w:r>
      <w:r>
        <w:rPr>
          <w:rFonts w:hint="eastAsia"/>
          <w:szCs w:val="21"/>
        </w:rPr>
        <w:t>，或者在招标项目中事先约定轮流以高价位或者低价位</w:t>
      </w:r>
      <w:r>
        <w:rPr>
          <w:rFonts w:hint="eastAsia"/>
          <w:szCs w:val="21"/>
          <w:lang w:eastAsia="zh-CN"/>
        </w:rPr>
        <w:t>成交</w:t>
      </w:r>
      <w:r>
        <w:rPr>
          <w:rFonts w:hint="eastAsia"/>
          <w:szCs w:val="21"/>
        </w:rPr>
        <w:t>，或者事先约定由某一特定供应商</w:t>
      </w:r>
      <w:r>
        <w:rPr>
          <w:rFonts w:hint="eastAsia"/>
          <w:szCs w:val="21"/>
          <w:lang w:eastAsia="zh-CN"/>
        </w:rPr>
        <w:t>成交</w:t>
      </w:r>
      <w:r>
        <w:rPr>
          <w:rFonts w:hint="eastAsia"/>
          <w:szCs w:val="21"/>
        </w:rPr>
        <w:t>，然后再参加投标；</w:t>
      </w:r>
    </w:p>
    <w:p w14:paraId="16BB71BA">
      <w:pPr>
        <w:snapToGrid w:val="0"/>
        <w:spacing w:before="50" w:after="120" w:afterLines="50"/>
        <w:jc w:val="left"/>
        <w:rPr>
          <w:szCs w:val="21"/>
        </w:rPr>
      </w:pPr>
      <w:r>
        <w:rPr>
          <w:rFonts w:hint="eastAsia"/>
          <w:szCs w:val="21"/>
        </w:rPr>
        <w:t>6.供应商之间商定部分供应商放弃参加政府采购活动或者放弃</w:t>
      </w:r>
      <w:r>
        <w:rPr>
          <w:rFonts w:hint="eastAsia"/>
          <w:szCs w:val="21"/>
          <w:lang w:eastAsia="zh-CN"/>
        </w:rPr>
        <w:t>成交</w:t>
      </w:r>
      <w:r>
        <w:rPr>
          <w:rFonts w:hint="eastAsia"/>
          <w:szCs w:val="21"/>
        </w:rPr>
        <w:t>；</w:t>
      </w:r>
    </w:p>
    <w:p w14:paraId="0EEF19B2">
      <w:pPr>
        <w:snapToGrid w:val="0"/>
        <w:spacing w:before="50" w:after="120" w:afterLines="50"/>
        <w:jc w:val="left"/>
        <w:rPr>
          <w:szCs w:val="21"/>
        </w:rPr>
      </w:pPr>
      <w:r>
        <w:rPr>
          <w:rFonts w:hint="eastAsia"/>
          <w:szCs w:val="21"/>
        </w:rPr>
        <w:t>7.供应商与采购人或者采购代理机构之间、供应商相互之间，为谋求特定供应商</w:t>
      </w:r>
      <w:r>
        <w:rPr>
          <w:rFonts w:hint="eastAsia"/>
          <w:szCs w:val="21"/>
          <w:lang w:eastAsia="zh-CN"/>
        </w:rPr>
        <w:t>成交</w:t>
      </w:r>
      <w:r>
        <w:rPr>
          <w:rFonts w:hint="eastAsia"/>
          <w:szCs w:val="21"/>
        </w:rPr>
        <w:t>或者排斥其他供应商的其他串通行为。</w:t>
      </w:r>
    </w:p>
    <w:p w14:paraId="6EC30073">
      <w:pPr>
        <w:snapToGrid w:val="0"/>
        <w:spacing w:before="50" w:after="120" w:afterLines="50"/>
        <w:jc w:val="left"/>
        <w:rPr>
          <w:szCs w:val="21"/>
        </w:rPr>
      </w:pPr>
      <w:r>
        <w:rPr>
          <w:rFonts w:hint="eastAsia"/>
          <w:szCs w:val="21"/>
        </w:rPr>
        <w:t>以上情形一经核查属实，我方愿意承担一切后果，并不再寻求任何旨在减轻或者免除法律责任的辩解。</w:t>
      </w:r>
    </w:p>
    <w:p w14:paraId="00CECFA4">
      <w:pPr>
        <w:snapToGrid w:val="0"/>
        <w:spacing w:before="50" w:after="120" w:afterLines="50"/>
        <w:jc w:val="center"/>
        <w:rPr>
          <w:szCs w:val="21"/>
        </w:rPr>
      </w:pPr>
      <w:r>
        <w:rPr>
          <w:rFonts w:hint="eastAsia"/>
          <w:szCs w:val="21"/>
        </w:rPr>
        <w:t xml:space="preserve"> </w:t>
      </w:r>
      <w:r>
        <w:rPr>
          <w:szCs w:val="21"/>
        </w:rPr>
        <w:t xml:space="preserve"> </w:t>
      </w:r>
    </w:p>
    <w:p w14:paraId="12653C69">
      <w:pPr>
        <w:snapToGrid w:val="0"/>
        <w:spacing w:before="50" w:after="120" w:afterLines="50"/>
        <w:jc w:val="center"/>
        <w:rPr>
          <w:szCs w:val="21"/>
        </w:rPr>
      </w:pPr>
    </w:p>
    <w:p w14:paraId="430DD0E7">
      <w:pPr>
        <w:snapToGrid w:val="0"/>
        <w:spacing w:before="50" w:after="120" w:afterLines="50"/>
        <w:jc w:val="center"/>
        <w:rPr>
          <w:szCs w:val="21"/>
        </w:rPr>
      </w:pPr>
    </w:p>
    <w:p w14:paraId="0E6C92D3">
      <w:pPr>
        <w:snapToGrid w:val="0"/>
        <w:spacing w:before="50" w:after="120" w:afterLines="50"/>
        <w:jc w:val="center"/>
        <w:rPr>
          <w:szCs w:val="21"/>
        </w:rPr>
      </w:pPr>
      <w:r>
        <w:rPr>
          <w:szCs w:val="21"/>
        </w:rPr>
        <w:t>供应商</w:t>
      </w:r>
      <w:r>
        <w:rPr>
          <w:rFonts w:hint="eastAsia"/>
          <w:szCs w:val="21"/>
        </w:rPr>
        <w:t>名称(电子签章</w:t>
      </w:r>
      <w:r>
        <w:rPr>
          <w:szCs w:val="21"/>
        </w:rPr>
        <w:t>)</w:t>
      </w:r>
      <w:r>
        <w:rPr>
          <w:rFonts w:hint="eastAsia"/>
          <w:szCs w:val="21"/>
        </w:rPr>
        <w:t>：</w:t>
      </w:r>
    </w:p>
    <w:p w14:paraId="215465C0">
      <w:pPr>
        <w:snapToGrid w:val="0"/>
        <w:spacing w:before="50" w:after="120" w:afterLines="50"/>
        <w:jc w:val="center"/>
        <w:rPr>
          <w:szCs w:val="21"/>
        </w:rPr>
      </w:pPr>
      <w:r>
        <w:rPr>
          <w:rFonts w:hint="eastAsia"/>
          <w:szCs w:val="21"/>
        </w:rPr>
        <w:t>日期：  年  月   日</w:t>
      </w:r>
    </w:p>
    <w:bookmarkEnd w:id="124"/>
    <w:p w14:paraId="011BD0C8">
      <w:pPr>
        <w:snapToGrid w:val="0"/>
        <w:spacing w:before="50" w:after="120" w:afterLines="50"/>
        <w:jc w:val="left"/>
        <w:rPr>
          <w:rFonts w:hint="eastAsia"/>
          <w:szCs w:val="21"/>
        </w:rPr>
      </w:pPr>
    </w:p>
    <w:p w14:paraId="36AB976A">
      <w:pPr>
        <w:spacing w:line="340" w:lineRule="exact"/>
        <w:ind w:firstLine="420" w:firstLineChars="200"/>
        <w:rPr>
          <w:szCs w:val="21"/>
        </w:rPr>
      </w:pPr>
      <w:r>
        <w:rPr>
          <w:szCs w:val="21"/>
        </w:rPr>
        <w:br w:type="page"/>
      </w:r>
    </w:p>
    <w:p w14:paraId="01357061">
      <w:pPr>
        <w:jc w:val="both"/>
        <w:rPr>
          <w:bCs/>
          <w:sz w:val="24"/>
        </w:rPr>
        <w:sectPr>
          <w:pgSz w:w="11906" w:h="16838"/>
          <w:pgMar w:top="1418" w:right="1274" w:bottom="1418" w:left="1418" w:header="851" w:footer="992" w:gutter="0"/>
          <w:cols w:space="720" w:num="1"/>
          <w:docGrid w:linePitch="312" w:charSpace="0"/>
        </w:sectPr>
      </w:pPr>
    </w:p>
    <w:p w14:paraId="372930CD">
      <w:pPr>
        <w:snapToGrid w:val="0"/>
        <w:spacing w:before="120" w:beforeLines="50" w:after="50" w:afterLines="0" w:line="440" w:lineRule="exact"/>
        <w:jc w:val="left"/>
        <w:outlineLvl w:val="1"/>
        <w:rPr>
          <w:rFonts w:hint="default"/>
          <w:sz w:val="24"/>
          <w:szCs w:val="24"/>
        </w:rPr>
      </w:pPr>
      <w:r>
        <w:rPr>
          <w:rFonts w:hint="default"/>
          <w:sz w:val="24"/>
          <w:szCs w:val="24"/>
        </w:rPr>
        <w:t>3</w:t>
      </w:r>
      <w:r>
        <w:rPr>
          <w:rFonts w:hint="eastAsia"/>
          <w:sz w:val="24"/>
          <w:szCs w:val="24"/>
          <w:lang w:val="en-US" w:eastAsia="zh-CN"/>
        </w:rPr>
        <w:t>.响应</w:t>
      </w:r>
      <w:r>
        <w:rPr>
          <w:rFonts w:hint="eastAsia"/>
          <w:sz w:val="24"/>
          <w:szCs w:val="24"/>
        </w:rPr>
        <w:t xml:space="preserve">文件封面参考格式（报价文件）： </w:t>
      </w:r>
    </w:p>
    <w:p w14:paraId="74ED3FEA">
      <w:pPr>
        <w:snapToGrid w:val="0"/>
        <w:spacing w:before="50" w:beforeLines="0" w:after="120" w:afterLines="50" w:line="400" w:lineRule="exact"/>
        <w:jc w:val="left"/>
        <w:rPr>
          <w:rFonts w:hint="default"/>
          <w:sz w:val="24"/>
          <w:szCs w:val="24"/>
        </w:rPr>
      </w:pPr>
    </w:p>
    <w:p w14:paraId="55CC1FF6">
      <w:pPr>
        <w:snapToGrid w:val="0"/>
        <w:spacing w:before="120" w:beforeLines="50" w:after="50" w:afterLines="0" w:line="360" w:lineRule="exact"/>
        <w:rPr>
          <w:rFonts w:hint="default"/>
          <w:sz w:val="24"/>
          <w:szCs w:val="24"/>
        </w:rPr>
      </w:pPr>
    </w:p>
    <w:p w14:paraId="7815919B">
      <w:pPr>
        <w:snapToGrid w:val="0"/>
        <w:spacing w:before="120" w:beforeLines="50" w:after="50" w:afterLines="0" w:line="360" w:lineRule="exact"/>
        <w:jc w:val="center"/>
        <w:rPr>
          <w:rFonts w:hint="default"/>
          <w:color w:val="FF0000"/>
          <w:sz w:val="24"/>
          <w:szCs w:val="24"/>
        </w:rPr>
      </w:pPr>
    </w:p>
    <w:p w14:paraId="7842C2BB">
      <w:pPr>
        <w:snapToGrid w:val="0"/>
        <w:spacing w:before="120" w:beforeLines="50" w:after="50" w:afterLines="0" w:line="360" w:lineRule="exact"/>
        <w:jc w:val="center"/>
        <w:rPr>
          <w:rFonts w:hint="default"/>
          <w:b/>
          <w:sz w:val="44"/>
          <w:szCs w:val="44"/>
        </w:rPr>
      </w:pPr>
      <w:r>
        <w:rPr>
          <w:rFonts w:hint="eastAsia"/>
          <w:b/>
          <w:sz w:val="44"/>
          <w:szCs w:val="44"/>
        </w:rPr>
        <w:t>电子</w:t>
      </w:r>
      <w:r>
        <w:rPr>
          <w:rFonts w:hint="eastAsia"/>
          <w:b/>
          <w:sz w:val="44"/>
          <w:szCs w:val="44"/>
          <w:lang w:val="en-US" w:eastAsia="zh-CN"/>
        </w:rPr>
        <w:t>响应</w:t>
      </w:r>
      <w:r>
        <w:rPr>
          <w:rFonts w:hint="eastAsia"/>
          <w:b/>
          <w:sz w:val="44"/>
          <w:szCs w:val="44"/>
        </w:rPr>
        <w:t>文件</w:t>
      </w:r>
    </w:p>
    <w:p w14:paraId="54346E6C">
      <w:pPr>
        <w:snapToGrid w:val="0"/>
        <w:spacing w:before="120" w:beforeLines="50" w:after="50" w:afterLines="0" w:line="360" w:lineRule="exact"/>
        <w:jc w:val="center"/>
        <w:rPr>
          <w:rFonts w:hint="default"/>
          <w:b/>
          <w:sz w:val="44"/>
          <w:szCs w:val="44"/>
        </w:rPr>
      </w:pPr>
    </w:p>
    <w:p w14:paraId="4E845EFE">
      <w:pPr>
        <w:snapToGrid w:val="0"/>
        <w:spacing w:before="120" w:beforeLines="50" w:after="50" w:afterLines="0" w:line="360" w:lineRule="exact"/>
        <w:jc w:val="center"/>
        <w:rPr>
          <w:rFonts w:hint="default"/>
          <w:b/>
          <w:sz w:val="44"/>
          <w:szCs w:val="44"/>
        </w:rPr>
      </w:pPr>
    </w:p>
    <w:p w14:paraId="41065B8E">
      <w:pPr>
        <w:snapToGrid w:val="0"/>
        <w:spacing w:before="120" w:beforeLines="50" w:after="50" w:afterLines="0" w:line="360" w:lineRule="exact"/>
        <w:jc w:val="center"/>
        <w:rPr>
          <w:rFonts w:hint="default"/>
          <w:b/>
          <w:sz w:val="44"/>
          <w:szCs w:val="44"/>
        </w:rPr>
      </w:pPr>
      <w:r>
        <w:rPr>
          <w:rFonts w:hint="eastAsia"/>
          <w:b/>
          <w:sz w:val="44"/>
          <w:szCs w:val="44"/>
        </w:rPr>
        <w:t>报价文件</w:t>
      </w:r>
    </w:p>
    <w:p w14:paraId="4B2F6FAE">
      <w:pPr>
        <w:snapToGrid w:val="0"/>
        <w:spacing w:before="120" w:beforeLines="50" w:after="50" w:afterLines="0" w:line="360" w:lineRule="exact"/>
        <w:rPr>
          <w:rFonts w:hint="default"/>
          <w:sz w:val="24"/>
          <w:szCs w:val="24"/>
        </w:rPr>
      </w:pPr>
    </w:p>
    <w:p w14:paraId="480AA174">
      <w:pPr>
        <w:snapToGrid w:val="0"/>
        <w:spacing w:before="120" w:beforeLines="50" w:after="50" w:afterLines="0" w:line="360" w:lineRule="exact"/>
        <w:rPr>
          <w:rFonts w:hint="default"/>
          <w:sz w:val="24"/>
          <w:szCs w:val="24"/>
        </w:rPr>
      </w:pPr>
    </w:p>
    <w:p w14:paraId="53110F11">
      <w:pPr>
        <w:snapToGrid w:val="0"/>
        <w:spacing w:before="120" w:beforeLines="50" w:after="50" w:afterLines="0" w:line="360" w:lineRule="exact"/>
        <w:rPr>
          <w:rFonts w:hint="default"/>
          <w:sz w:val="24"/>
          <w:szCs w:val="24"/>
        </w:rPr>
      </w:pPr>
    </w:p>
    <w:p w14:paraId="356B5423">
      <w:pPr>
        <w:snapToGrid w:val="0"/>
        <w:spacing w:before="120" w:beforeLines="50" w:after="50" w:afterLines="0" w:line="360" w:lineRule="exact"/>
        <w:ind w:firstLine="720" w:firstLineChars="300"/>
        <w:rPr>
          <w:rFonts w:hint="default"/>
          <w:sz w:val="24"/>
          <w:szCs w:val="24"/>
        </w:rPr>
      </w:pPr>
      <w:r>
        <w:rPr>
          <w:rFonts w:hint="eastAsia"/>
          <w:sz w:val="24"/>
          <w:szCs w:val="24"/>
        </w:rPr>
        <w:t xml:space="preserve">项目名称： </w:t>
      </w:r>
    </w:p>
    <w:p w14:paraId="37AE0250">
      <w:pPr>
        <w:snapToGrid w:val="0"/>
        <w:spacing w:before="120" w:beforeLines="50" w:after="50" w:afterLines="0" w:line="360" w:lineRule="exact"/>
        <w:ind w:firstLine="720" w:firstLineChars="300"/>
        <w:rPr>
          <w:rFonts w:hint="default"/>
          <w:sz w:val="24"/>
          <w:szCs w:val="24"/>
        </w:rPr>
      </w:pPr>
      <w:r>
        <w:rPr>
          <w:rFonts w:hint="eastAsia"/>
          <w:sz w:val="24"/>
          <w:szCs w:val="24"/>
        </w:rPr>
        <w:t>项目编号：</w:t>
      </w:r>
    </w:p>
    <w:p w14:paraId="09F2E3B1">
      <w:pPr>
        <w:snapToGrid w:val="0"/>
        <w:spacing w:before="120" w:beforeLines="50" w:after="50" w:afterLines="0" w:line="360" w:lineRule="exact"/>
        <w:ind w:firstLine="720" w:firstLineChars="300"/>
        <w:rPr>
          <w:rFonts w:hint="default"/>
          <w:sz w:val="24"/>
          <w:szCs w:val="24"/>
        </w:rPr>
      </w:pPr>
      <w:r>
        <w:rPr>
          <w:rFonts w:hint="eastAsia"/>
          <w:sz w:val="24"/>
          <w:szCs w:val="24"/>
        </w:rPr>
        <w:t>分标号：（若无留空或写</w:t>
      </w:r>
      <w:r>
        <w:rPr>
          <w:rFonts w:hint="default"/>
          <w:sz w:val="24"/>
          <w:szCs w:val="24"/>
        </w:rPr>
        <w:t>“/”</w:t>
      </w:r>
      <w:r>
        <w:rPr>
          <w:rFonts w:hint="eastAsia"/>
          <w:sz w:val="24"/>
          <w:szCs w:val="24"/>
        </w:rPr>
        <w:t>）</w:t>
      </w:r>
    </w:p>
    <w:p w14:paraId="491886DA">
      <w:pPr>
        <w:snapToGrid w:val="0"/>
        <w:spacing w:before="120" w:beforeLines="50" w:after="50" w:afterLines="0" w:line="360" w:lineRule="exact"/>
        <w:ind w:firstLine="720" w:firstLineChars="300"/>
        <w:rPr>
          <w:rFonts w:hint="default"/>
          <w:sz w:val="24"/>
          <w:szCs w:val="24"/>
        </w:rPr>
      </w:pPr>
      <w:r>
        <w:rPr>
          <w:rFonts w:hint="eastAsia"/>
          <w:sz w:val="24"/>
          <w:szCs w:val="24"/>
        </w:rPr>
        <w:t>供应商名称：</w:t>
      </w:r>
    </w:p>
    <w:p w14:paraId="14347C6B">
      <w:pPr>
        <w:snapToGrid w:val="0"/>
        <w:spacing w:before="120" w:beforeLines="50" w:after="50" w:afterLines="0" w:line="360" w:lineRule="exact"/>
        <w:ind w:firstLine="720" w:firstLineChars="300"/>
        <w:rPr>
          <w:rFonts w:hint="eastAsia"/>
          <w:sz w:val="24"/>
          <w:szCs w:val="24"/>
        </w:rPr>
      </w:pPr>
      <w:r>
        <w:rPr>
          <w:rFonts w:hint="eastAsia"/>
          <w:sz w:val="24"/>
          <w:szCs w:val="24"/>
        </w:rPr>
        <w:t>供应商地址：</w:t>
      </w:r>
    </w:p>
    <w:p w14:paraId="6636857C">
      <w:pPr>
        <w:snapToGrid w:val="0"/>
        <w:spacing w:before="120" w:beforeLines="50" w:after="50" w:afterLines="0" w:line="360" w:lineRule="exact"/>
        <w:ind w:firstLine="2160" w:firstLineChars="900"/>
        <w:rPr>
          <w:rFonts w:hint="eastAsia"/>
          <w:sz w:val="24"/>
          <w:szCs w:val="24"/>
        </w:rPr>
      </w:pPr>
      <w:r>
        <w:rPr>
          <w:rFonts w:hint="eastAsia"/>
          <w:sz w:val="24"/>
          <w:szCs w:val="24"/>
        </w:rPr>
        <w:t xml:space="preserve">                        年  月  日</w:t>
      </w:r>
    </w:p>
    <w:p w14:paraId="6B56FB8B">
      <w:pPr>
        <w:snapToGrid w:val="0"/>
        <w:spacing w:before="120" w:beforeLines="50" w:after="50" w:afterLines="0" w:line="360" w:lineRule="exact"/>
        <w:ind w:firstLine="720" w:firstLineChars="300"/>
        <w:rPr>
          <w:rFonts w:hint="default"/>
          <w:sz w:val="24"/>
          <w:szCs w:val="24"/>
        </w:rPr>
      </w:pPr>
    </w:p>
    <w:p w14:paraId="37A83AD2">
      <w:pPr>
        <w:snapToGrid w:val="0"/>
        <w:spacing w:before="120" w:beforeLines="50" w:after="50" w:line="440" w:lineRule="exact"/>
        <w:jc w:val="center"/>
        <w:outlineLvl w:val="1"/>
        <w:rPr>
          <w:bCs/>
          <w:sz w:val="24"/>
        </w:rPr>
        <w:sectPr>
          <w:pgSz w:w="11906" w:h="16838"/>
          <w:pgMar w:top="1418" w:right="1274" w:bottom="1418" w:left="1418" w:header="851" w:footer="992" w:gutter="0"/>
          <w:cols w:space="720" w:num="1"/>
          <w:docGrid w:linePitch="312" w:charSpace="0"/>
        </w:sectPr>
      </w:pPr>
    </w:p>
    <w:p w14:paraId="5E9587AC">
      <w:pPr>
        <w:snapToGrid w:val="0"/>
        <w:spacing w:before="120" w:beforeLines="50" w:after="50" w:line="440" w:lineRule="exact"/>
        <w:jc w:val="center"/>
        <w:outlineLvl w:val="9"/>
        <w:rPr>
          <w:bCs/>
          <w:sz w:val="24"/>
        </w:rPr>
      </w:pPr>
      <w:r>
        <w:rPr>
          <w:bCs/>
          <w:sz w:val="24"/>
        </w:rPr>
        <w:t>第三部分 报价文件</w:t>
      </w:r>
    </w:p>
    <w:p w14:paraId="6E45A2C2">
      <w:pPr>
        <w:jc w:val="center"/>
        <w:rPr>
          <w:b/>
          <w:bCs/>
          <w:szCs w:val="21"/>
        </w:rPr>
      </w:pPr>
    </w:p>
    <w:p w14:paraId="4DD81F06">
      <w:pPr>
        <w:rPr>
          <w:rFonts w:hint="eastAsia"/>
          <w:b/>
          <w:szCs w:val="21"/>
        </w:rPr>
      </w:pPr>
      <w:bookmarkStart w:id="125" w:name="_Hlk21624060"/>
      <w:r>
        <w:rPr>
          <w:b/>
          <w:szCs w:val="21"/>
        </w:rPr>
        <w:t>1．响应函格式：</w:t>
      </w:r>
    </w:p>
    <w:p w14:paraId="206F0FC4">
      <w:pPr>
        <w:rPr>
          <w:b/>
          <w:szCs w:val="21"/>
        </w:rPr>
      </w:pPr>
    </w:p>
    <w:p w14:paraId="51D0EB50">
      <w:pPr>
        <w:jc w:val="center"/>
        <w:rPr>
          <w:b/>
          <w:szCs w:val="21"/>
        </w:rPr>
      </w:pPr>
      <w:r>
        <w:rPr>
          <w:b/>
          <w:szCs w:val="21"/>
        </w:rPr>
        <w:t>响 应 函</w:t>
      </w:r>
    </w:p>
    <w:p w14:paraId="5F40E3B1">
      <w:pPr>
        <w:rPr>
          <w:b/>
          <w:szCs w:val="21"/>
        </w:rPr>
      </w:pPr>
    </w:p>
    <w:p w14:paraId="7C978BD7">
      <w:pPr>
        <w:spacing w:line="360" w:lineRule="auto"/>
        <w:rPr>
          <w:szCs w:val="21"/>
        </w:rPr>
      </w:pPr>
      <w:r>
        <w:rPr>
          <w:szCs w:val="21"/>
        </w:rPr>
        <w:t>致：_</w:t>
      </w:r>
      <w:r>
        <w:rPr>
          <w:i/>
          <w:iCs/>
          <w:szCs w:val="21"/>
          <w:u w:val="single"/>
        </w:rPr>
        <w:t>（采购</w:t>
      </w:r>
      <w:r>
        <w:rPr>
          <w:rFonts w:hint="eastAsia"/>
          <w:i/>
          <w:iCs/>
          <w:szCs w:val="21"/>
          <w:u w:val="single"/>
        </w:rPr>
        <w:t>人</w:t>
      </w:r>
      <w:r>
        <w:rPr>
          <w:i/>
          <w:iCs/>
          <w:szCs w:val="21"/>
          <w:u w:val="single"/>
        </w:rPr>
        <w:t>名称）</w:t>
      </w:r>
      <w:r>
        <w:rPr>
          <w:i/>
          <w:iCs/>
          <w:szCs w:val="21"/>
        </w:rPr>
        <w:t>_</w:t>
      </w:r>
    </w:p>
    <w:p w14:paraId="7AF73104">
      <w:pPr>
        <w:spacing w:line="360" w:lineRule="auto"/>
        <w:ind w:firstLine="420" w:firstLineChars="200"/>
        <w:rPr>
          <w:szCs w:val="21"/>
        </w:rPr>
      </w:pPr>
      <w:r>
        <w:rPr>
          <w:szCs w:val="21"/>
        </w:rPr>
        <w:t>我方已仔细研究了</w:t>
      </w:r>
      <w:r>
        <w:rPr>
          <w:rFonts w:hint="eastAsia"/>
          <w:i/>
          <w:iCs/>
          <w:szCs w:val="21"/>
          <w:u w:val="single"/>
        </w:rPr>
        <w:t>（项目名称）</w:t>
      </w:r>
      <w:r>
        <w:rPr>
          <w:szCs w:val="21"/>
        </w:rPr>
        <w:t>的</w:t>
      </w:r>
      <w:r>
        <w:rPr>
          <w:rFonts w:hint="eastAsia"/>
          <w:szCs w:val="21"/>
        </w:rPr>
        <w:t>采购文件</w:t>
      </w:r>
      <w:r>
        <w:rPr>
          <w:szCs w:val="21"/>
        </w:rPr>
        <w:t>的全部内容</w:t>
      </w:r>
      <w:r>
        <w:rPr>
          <w:rFonts w:hint="eastAsia"/>
          <w:szCs w:val="21"/>
        </w:rPr>
        <w:t>，</w:t>
      </w:r>
      <w:r>
        <w:rPr>
          <w:szCs w:val="21"/>
        </w:rPr>
        <w:t>签字代表</w:t>
      </w:r>
      <w:r>
        <w:rPr>
          <w:rFonts w:hint="eastAsia"/>
          <w:i/>
          <w:iCs/>
          <w:szCs w:val="21"/>
          <w:u w:val="single"/>
        </w:rPr>
        <w:t>（授权代表姓名）</w:t>
      </w:r>
      <w:r>
        <w:rPr>
          <w:szCs w:val="21"/>
        </w:rPr>
        <w:t>经正式授权并代表供应商</w:t>
      </w:r>
      <w:r>
        <w:rPr>
          <w:szCs w:val="21"/>
          <w:u w:val="single"/>
        </w:rPr>
        <w:t xml:space="preserve"> </w:t>
      </w:r>
      <w:r>
        <w:rPr>
          <w:i/>
          <w:iCs/>
          <w:szCs w:val="21"/>
          <w:u w:val="single"/>
        </w:rPr>
        <w:t>（供应商名称）</w:t>
      </w:r>
      <w:r>
        <w:rPr>
          <w:rFonts w:hint="eastAsia"/>
          <w:i/>
          <w:iCs/>
          <w:szCs w:val="21"/>
          <w:u w:val="single"/>
        </w:rPr>
        <w:t xml:space="preserve"> </w:t>
      </w:r>
      <w:r>
        <w:rPr>
          <w:szCs w:val="21"/>
        </w:rPr>
        <w:t>提交响应文件。</w:t>
      </w:r>
    </w:p>
    <w:p w14:paraId="71D912E2">
      <w:pPr>
        <w:spacing w:line="360" w:lineRule="auto"/>
        <w:ind w:firstLine="420" w:firstLineChars="200"/>
        <w:rPr>
          <w:szCs w:val="21"/>
        </w:rPr>
      </w:pPr>
      <w:r>
        <w:rPr>
          <w:szCs w:val="21"/>
        </w:rPr>
        <w:t>据此函，签字代表宣布同意如下：</w:t>
      </w:r>
    </w:p>
    <w:p w14:paraId="49FE48AD">
      <w:pPr>
        <w:spacing w:line="360" w:lineRule="auto"/>
        <w:rPr>
          <w:szCs w:val="21"/>
        </w:rPr>
      </w:pPr>
      <w:r>
        <w:rPr>
          <w:szCs w:val="21"/>
        </w:rPr>
        <w:t>（1）供应商已详细审查全部“采购文件”，包括修改文件（如有的话）以及全部参考资料和有关附件，已经了解我方对于采购文件、采购过程、采购结果有依法进行询问、质疑、投诉的权利及相关渠道和要求。</w:t>
      </w:r>
    </w:p>
    <w:p w14:paraId="2EBACD80">
      <w:pPr>
        <w:spacing w:line="360" w:lineRule="auto"/>
        <w:rPr>
          <w:szCs w:val="21"/>
        </w:rPr>
      </w:pPr>
      <w:r>
        <w:rPr>
          <w:szCs w:val="21"/>
        </w:rPr>
        <w:t>（2）供应商在响应之前已经与贵方进行了充分的沟通，完全理解并接受采购文件的各项规定和要求，对采购文件的合理性、合法性不再有异议。</w:t>
      </w:r>
    </w:p>
    <w:p w14:paraId="2F0170A8">
      <w:pPr>
        <w:spacing w:line="360" w:lineRule="auto"/>
        <w:rPr>
          <w:szCs w:val="21"/>
        </w:rPr>
      </w:pPr>
      <w:r>
        <w:rPr>
          <w:rFonts w:hint="eastAsia"/>
          <w:szCs w:val="21"/>
        </w:rPr>
        <w:t>（3）我方承诺本响应有效期为第三章供应商须知规定的期限。</w:t>
      </w:r>
    </w:p>
    <w:p w14:paraId="54B00F84">
      <w:pPr>
        <w:spacing w:line="360" w:lineRule="auto"/>
        <w:rPr>
          <w:szCs w:val="21"/>
        </w:rPr>
      </w:pPr>
      <w:r>
        <w:rPr>
          <w:szCs w:val="21"/>
        </w:rPr>
        <w:t>（4）如成交，本响应文件至本项目合同履行完毕止均保持有效，本供应商将按“采购文件”及政府采购法律、法规的规定履行合同责任和义务</w:t>
      </w:r>
      <w:r>
        <w:rPr>
          <w:rFonts w:hint="eastAsia"/>
          <w:szCs w:val="21"/>
        </w:rPr>
        <w:t>，并承诺</w:t>
      </w:r>
      <w:r>
        <w:rPr>
          <w:szCs w:val="21"/>
        </w:rPr>
        <w:t>不分包及转包他人。</w:t>
      </w:r>
    </w:p>
    <w:p w14:paraId="11F8C604">
      <w:pPr>
        <w:spacing w:line="360" w:lineRule="auto"/>
        <w:rPr>
          <w:szCs w:val="21"/>
        </w:rPr>
      </w:pPr>
      <w:r>
        <w:rPr>
          <w:szCs w:val="21"/>
        </w:rPr>
        <w:t>（5）供应商同意按照贵方要求提供与谈判有关的一切数据或资料。</w:t>
      </w:r>
    </w:p>
    <w:p w14:paraId="720BBCE1">
      <w:pPr>
        <w:spacing w:line="360" w:lineRule="auto"/>
        <w:rPr>
          <w:szCs w:val="21"/>
        </w:rPr>
      </w:pPr>
      <w:r>
        <w:rPr>
          <w:szCs w:val="21"/>
        </w:rPr>
        <w:t>（6）与本项目有关的一切正式往来信函请寄：</w:t>
      </w:r>
    </w:p>
    <w:p w14:paraId="213D81E2">
      <w:pPr>
        <w:spacing w:line="360" w:lineRule="auto"/>
        <w:rPr>
          <w:szCs w:val="21"/>
        </w:rPr>
      </w:pPr>
      <w:r>
        <w:rPr>
          <w:szCs w:val="21"/>
        </w:rPr>
        <w:t>地址：</w:t>
      </w:r>
      <w:r>
        <w:rPr>
          <w:szCs w:val="21"/>
          <w:u w:val="single"/>
        </w:rPr>
        <w:t xml:space="preserve">                      </w:t>
      </w:r>
      <w:r>
        <w:rPr>
          <w:szCs w:val="21"/>
        </w:rPr>
        <w:t>邮编：</w:t>
      </w:r>
      <w:r>
        <w:rPr>
          <w:szCs w:val="21"/>
          <w:u w:val="single"/>
        </w:rPr>
        <w:t xml:space="preserve">         </w:t>
      </w:r>
      <w:r>
        <w:rPr>
          <w:szCs w:val="21"/>
        </w:rPr>
        <w:t xml:space="preserve">  电话：</w:t>
      </w:r>
      <w:r>
        <w:rPr>
          <w:szCs w:val="21"/>
          <w:u w:val="single"/>
        </w:rPr>
        <w:t xml:space="preserve">            </w:t>
      </w:r>
    </w:p>
    <w:p w14:paraId="3CE3C813">
      <w:pPr>
        <w:spacing w:line="360" w:lineRule="auto"/>
        <w:rPr>
          <w:szCs w:val="21"/>
        </w:rPr>
      </w:pPr>
      <w:r>
        <w:rPr>
          <w:szCs w:val="21"/>
        </w:rPr>
        <w:t>传真：</w:t>
      </w:r>
      <w:r>
        <w:rPr>
          <w:szCs w:val="21"/>
          <w:u w:val="single"/>
        </w:rPr>
        <w:t xml:space="preserve">           </w:t>
      </w:r>
      <w:r>
        <w:rPr>
          <w:szCs w:val="21"/>
        </w:rPr>
        <w:t xml:space="preserve">  </w:t>
      </w:r>
    </w:p>
    <w:p w14:paraId="4E26BE30">
      <w:pPr>
        <w:spacing w:line="360" w:lineRule="auto"/>
        <w:rPr>
          <w:rFonts w:hint="eastAsia"/>
          <w:szCs w:val="21"/>
          <w:u w:val="single"/>
        </w:rPr>
      </w:pPr>
      <w:r>
        <w:rPr>
          <w:szCs w:val="21"/>
        </w:rPr>
        <w:t>供应商代表姓名</w:t>
      </w:r>
      <w:r>
        <w:rPr>
          <w:szCs w:val="21"/>
          <w:u w:val="single"/>
        </w:rPr>
        <w:t xml:space="preserve">         </w:t>
      </w:r>
      <w:r>
        <w:rPr>
          <w:szCs w:val="21"/>
        </w:rPr>
        <w:t xml:space="preserve">  职务：</w:t>
      </w:r>
      <w:r>
        <w:rPr>
          <w:szCs w:val="21"/>
          <w:u w:val="single"/>
        </w:rPr>
        <w:t xml:space="preserve">             </w:t>
      </w:r>
      <w:r>
        <w:rPr>
          <w:rFonts w:hint="eastAsia"/>
          <w:szCs w:val="21"/>
        </w:rPr>
        <w:t>邮箱：</w:t>
      </w:r>
      <w:r>
        <w:rPr>
          <w:rFonts w:hint="eastAsia"/>
          <w:szCs w:val="21"/>
          <w:u w:val="single"/>
        </w:rPr>
        <w:t xml:space="preserve"> </w:t>
      </w:r>
      <w:r>
        <w:rPr>
          <w:szCs w:val="21"/>
          <w:u w:val="single"/>
        </w:rPr>
        <w:t xml:space="preserve">             </w:t>
      </w:r>
    </w:p>
    <w:p w14:paraId="62DC9D41">
      <w:pPr>
        <w:spacing w:line="360" w:lineRule="auto"/>
        <w:rPr>
          <w:rFonts w:hint="eastAsia"/>
          <w:szCs w:val="21"/>
          <w:u w:val="single"/>
        </w:rPr>
      </w:pPr>
    </w:p>
    <w:p w14:paraId="51EAA3CD">
      <w:pPr>
        <w:spacing w:line="360" w:lineRule="auto"/>
        <w:rPr>
          <w:rFonts w:hint="eastAsia"/>
          <w:szCs w:val="21"/>
          <w:u w:val="single"/>
        </w:rPr>
      </w:pPr>
    </w:p>
    <w:p w14:paraId="1F1ED7FC">
      <w:pPr>
        <w:spacing w:line="360" w:lineRule="auto"/>
        <w:rPr>
          <w:szCs w:val="21"/>
        </w:rPr>
      </w:pPr>
    </w:p>
    <w:p w14:paraId="0ED7BE04">
      <w:pPr>
        <w:spacing w:line="360" w:lineRule="auto"/>
        <w:rPr>
          <w:rFonts w:hint="eastAsia"/>
          <w:szCs w:val="21"/>
          <w:u w:val="single"/>
        </w:rPr>
      </w:pPr>
      <w:bookmarkStart w:id="126" w:name="_Hlk89181776"/>
      <w:r>
        <w:rPr>
          <w:szCs w:val="21"/>
        </w:rPr>
        <w:t>供应商</w:t>
      </w:r>
      <w:r>
        <w:rPr>
          <w:rFonts w:hint="eastAsia"/>
          <w:szCs w:val="21"/>
        </w:rPr>
        <w:t>名称(电子签章</w:t>
      </w:r>
      <w:r>
        <w:rPr>
          <w:szCs w:val="21"/>
        </w:rPr>
        <w:t>)：</w:t>
      </w:r>
      <w:r>
        <w:rPr>
          <w:szCs w:val="21"/>
          <w:u w:val="single"/>
        </w:rPr>
        <w:t xml:space="preserve">                  </w:t>
      </w:r>
    </w:p>
    <w:bookmarkEnd w:id="126"/>
    <w:p w14:paraId="6D9ECDC4">
      <w:pPr>
        <w:spacing w:line="360" w:lineRule="auto"/>
        <w:rPr>
          <w:rFonts w:hint="eastAsia"/>
          <w:szCs w:val="21"/>
        </w:rPr>
      </w:pPr>
      <w:r>
        <w:rPr>
          <w:szCs w:val="21"/>
        </w:rPr>
        <w:t xml:space="preserve">       </w:t>
      </w:r>
    </w:p>
    <w:p w14:paraId="6ED270B5">
      <w:pPr>
        <w:spacing w:line="360" w:lineRule="auto"/>
        <w:rPr>
          <w:rFonts w:hint="eastAsia"/>
          <w:szCs w:val="21"/>
        </w:rPr>
      </w:pPr>
    </w:p>
    <w:p w14:paraId="4468CA11">
      <w:pPr>
        <w:spacing w:line="360" w:lineRule="auto"/>
        <w:rPr>
          <w:szCs w:val="21"/>
        </w:rPr>
      </w:pPr>
      <w:r>
        <w:rPr>
          <w:szCs w:val="21"/>
        </w:rPr>
        <w:t>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1EFA5749">
      <w:pPr>
        <w:rPr>
          <w:b/>
          <w:szCs w:val="21"/>
        </w:rPr>
      </w:pPr>
      <w:r>
        <w:rPr>
          <w:b/>
          <w:szCs w:val="21"/>
        </w:rPr>
        <w:br w:type="page"/>
      </w:r>
      <w:bookmarkEnd w:id="125"/>
      <w:r>
        <w:rPr>
          <w:rFonts w:hint="eastAsia"/>
          <w:b/>
          <w:szCs w:val="21"/>
          <w:lang w:val="en-US" w:eastAsia="zh-CN"/>
        </w:rPr>
        <w:t>2.</w:t>
      </w:r>
      <w:r>
        <w:rPr>
          <w:b/>
          <w:szCs w:val="21"/>
        </w:rPr>
        <w:t>谈判报价明细表格式：</w:t>
      </w:r>
    </w:p>
    <w:p w14:paraId="0AE28585">
      <w:pPr>
        <w:jc w:val="center"/>
        <w:rPr>
          <w:b/>
          <w:szCs w:val="21"/>
        </w:rPr>
      </w:pPr>
      <w:r>
        <w:rPr>
          <w:b/>
          <w:szCs w:val="21"/>
        </w:rPr>
        <w:t>谈判报价明细表</w:t>
      </w:r>
    </w:p>
    <w:p w14:paraId="1AF12486">
      <w:pPr>
        <w:ind w:firstLine="2415" w:firstLineChars="1150"/>
        <w:rPr>
          <w:szCs w:val="21"/>
        </w:rPr>
      </w:pPr>
      <w:r>
        <w:rPr>
          <w:szCs w:val="21"/>
        </w:rPr>
        <w:t xml:space="preserve">                            金额单位：人民币（元）</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620"/>
        <w:gridCol w:w="1080"/>
        <w:gridCol w:w="1440"/>
        <w:gridCol w:w="1620"/>
        <w:gridCol w:w="1260"/>
        <w:gridCol w:w="1440"/>
      </w:tblGrid>
      <w:tr w14:paraId="46A300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24715A1F">
            <w:pPr>
              <w:jc w:val="center"/>
              <w:rPr>
                <w:color w:val="auto"/>
                <w:spacing w:val="20"/>
                <w:szCs w:val="21"/>
              </w:rPr>
            </w:pPr>
            <w:r>
              <w:rPr>
                <w:color w:val="auto"/>
                <w:szCs w:val="21"/>
              </w:rPr>
              <w:t>序号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E6F347E">
            <w:pPr>
              <w:jc w:val="center"/>
              <w:rPr>
                <w:color w:val="auto"/>
                <w:szCs w:val="21"/>
              </w:rPr>
            </w:pPr>
            <w:r>
              <w:rPr>
                <w:color w:val="auto"/>
                <w:szCs w:val="21"/>
              </w:rPr>
              <w:t>产品或服务名称</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24943D2">
            <w:pPr>
              <w:jc w:val="center"/>
              <w:rPr>
                <w:color w:val="auto"/>
                <w:szCs w:val="21"/>
              </w:rPr>
            </w:pPr>
            <w:r>
              <w:rPr>
                <w:color w:val="auto"/>
                <w:szCs w:val="21"/>
              </w:rPr>
              <w:t>制造商或服务商</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E4E7505">
            <w:pPr>
              <w:jc w:val="center"/>
              <w:rPr>
                <w:color w:val="auto"/>
                <w:szCs w:val="21"/>
              </w:rPr>
            </w:pPr>
            <w:r>
              <w:rPr>
                <w:color w:val="auto"/>
                <w:szCs w:val="21"/>
              </w:rPr>
              <w:t>规格型号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A0C7FBC">
            <w:pPr>
              <w:jc w:val="center"/>
              <w:rPr>
                <w:color w:val="auto"/>
                <w:szCs w:val="21"/>
              </w:rPr>
            </w:pPr>
            <w:r>
              <w:rPr>
                <w:color w:val="auto"/>
                <w:szCs w:val="21"/>
              </w:rPr>
              <w:t>单位及数量</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68277B1">
            <w:pPr>
              <w:jc w:val="center"/>
              <w:rPr>
                <w:color w:val="auto"/>
                <w:szCs w:val="21"/>
              </w:rPr>
            </w:pPr>
            <w:r>
              <w:rPr>
                <w:color w:val="auto"/>
                <w:szCs w:val="21"/>
              </w:rPr>
              <w:t>单价</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D2FF553">
            <w:pPr>
              <w:jc w:val="center"/>
              <w:rPr>
                <w:rFonts w:hint="eastAsia"/>
                <w:color w:val="auto"/>
                <w:szCs w:val="21"/>
              </w:rPr>
            </w:pPr>
            <w:r>
              <w:rPr>
                <w:rFonts w:hint="eastAsia"/>
                <w:color w:val="auto"/>
                <w:szCs w:val="21"/>
              </w:rPr>
              <w:t>合计</w:t>
            </w:r>
          </w:p>
        </w:tc>
      </w:tr>
      <w:tr w14:paraId="3754BB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41BE19AD">
            <w:pPr>
              <w:jc w:val="center"/>
              <w:rPr>
                <w:color w:val="4472C4"/>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6C5BA05">
            <w:pPr>
              <w:jc w:val="center"/>
              <w:rPr>
                <w:color w:val="4472C4"/>
                <w:spacing w:val="2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703A8AA">
            <w:pPr>
              <w:jc w:val="center"/>
              <w:rPr>
                <w:color w:val="4472C4"/>
                <w:spacing w:val="2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50E0D20">
            <w:pPr>
              <w:jc w:val="center"/>
              <w:rPr>
                <w:color w:val="4472C4"/>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1507D6B">
            <w:pPr>
              <w:jc w:val="center"/>
              <w:rPr>
                <w:color w:val="4472C4"/>
                <w:spacing w:val="20"/>
                <w:szCs w:val="21"/>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455F419">
            <w:pPr>
              <w:jc w:val="center"/>
              <w:rPr>
                <w:color w:val="4472C4"/>
                <w:spacing w:val="2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A8412E3">
            <w:pPr>
              <w:jc w:val="center"/>
              <w:rPr>
                <w:color w:val="4472C4"/>
                <w:spacing w:val="20"/>
                <w:szCs w:val="21"/>
              </w:rPr>
            </w:pPr>
          </w:p>
        </w:tc>
      </w:tr>
      <w:tr w14:paraId="09DAD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3279AE8D">
            <w:pPr>
              <w:jc w:val="center"/>
              <w:rPr>
                <w:color w:val="4472C4"/>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0EC053D">
            <w:pPr>
              <w:jc w:val="center"/>
              <w:rPr>
                <w:color w:val="4472C4"/>
                <w:spacing w:val="2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407B87F">
            <w:pPr>
              <w:jc w:val="center"/>
              <w:rPr>
                <w:color w:val="4472C4"/>
                <w:spacing w:val="2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636EA1D">
            <w:pPr>
              <w:jc w:val="center"/>
              <w:rPr>
                <w:color w:val="4472C4"/>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4E6735F">
            <w:pPr>
              <w:jc w:val="center"/>
              <w:rPr>
                <w:color w:val="4472C4"/>
                <w:spacing w:val="20"/>
                <w:szCs w:val="21"/>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87B98B5">
            <w:pPr>
              <w:jc w:val="center"/>
              <w:rPr>
                <w:color w:val="4472C4"/>
                <w:spacing w:val="2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3F9612B">
            <w:pPr>
              <w:jc w:val="center"/>
              <w:rPr>
                <w:color w:val="4472C4"/>
                <w:spacing w:val="20"/>
                <w:szCs w:val="21"/>
              </w:rPr>
            </w:pPr>
          </w:p>
        </w:tc>
      </w:tr>
      <w:tr w14:paraId="68B9D0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59A54EF9">
            <w:pPr>
              <w:jc w:val="center"/>
              <w:rPr>
                <w:color w:val="4472C4"/>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991BB15">
            <w:pPr>
              <w:jc w:val="center"/>
              <w:rPr>
                <w:color w:val="4472C4"/>
                <w:spacing w:val="20"/>
                <w:szCs w:val="21"/>
              </w:rPr>
            </w:pPr>
            <w:r>
              <w:rPr>
                <w:color w:val="4472C4"/>
                <w:spacing w:val="20"/>
                <w:szCs w:val="21"/>
              </w:rPr>
              <w:t>……</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A6E4083">
            <w:pPr>
              <w:jc w:val="center"/>
              <w:rPr>
                <w:color w:val="4472C4"/>
                <w:spacing w:val="2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721E25E">
            <w:pPr>
              <w:jc w:val="center"/>
              <w:rPr>
                <w:color w:val="4472C4"/>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B7D1A63">
            <w:pPr>
              <w:jc w:val="center"/>
              <w:rPr>
                <w:color w:val="4472C4"/>
                <w:spacing w:val="20"/>
                <w:szCs w:val="21"/>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57C7D20">
            <w:pPr>
              <w:jc w:val="center"/>
              <w:rPr>
                <w:color w:val="4472C4"/>
                <w:spacing w:val="2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4AF0B6E">
            <w:pPr>
              <w:jc w:val="center"/>
              <w:rPr>
                <w:color w:val="4472C4"/>
                <w:spacing w:val="20"/>
                <w:szCs w:val="21"/>
              </w:rPr>
            </w:pPr>
          </w:p>
        </w:tc>
      </w:tr>
    </w:tbl>
    <w:p w14:paraId="0B27B44A">
      <w:pPr>
        <w:rPr>
          <w:spacing w:val="20"/>
          <w:szCs w:val="21"/>
          <w:u w:val="single"/>
        </w:rPr>
      </w:pPr>
    </w:p>
    <w:p w14:paraId="354D53CC">
      <w:pPr>
        <w:spacing w:line="360" w:lineRule="auto"/>
        <w:rPr>
          <w:spacing w:val="20"/>
          <w:szCs w:val="21"/>
        </w:rPr>
      </w:pPr>
      <w:bookmarkStart w:id="127" w:name="_Hlk89181787"/>
    </w:p>
    <w:p w14:paraId="385DB03E">
      <w:pPr>
        <w:pStyle w:val="17"/>
      </w:pPr>
      <w:r>
        <w:rPr>
          <w:szCs w:val="21"/>
        </w:rPr>
        <w:t>注：</w:t>
      </w:r>
      <w:r>
        <w:rPr>
          <w:rFonts w:hint="eastAsia"/>
          <w:szCs w:val="21"/>
        </w:rPr>
        <w:t>本表如</w:t>
      </w:r>
      <w:r>
        <w:rPr>
          <w:rFonts w:hint="eastAsia"/>
        </w:rPr>
        <w:t>与广西政府采购云平台不一致的，以广西政府采购云平台为准。</w:t>
      </w:r>
    </w:p>
    <w:p w14:paraId="5291008B">
      <w:pPr>
        <w:jc w:val="left"/>
        <w:rPr>
          <w:szCs w:val="21"/>
        </w:rPr>
      </w:pPr>
    </w:p>
    <w:p w14:paraId="354E1112">
      <w:pPr>
        <w:spacing w:line="360" w:lineRule="auto"/>
        <w:rPr>
          <w:spacing w:val="20"/>
          <w:szCs w:val="21"/>
        </w:rPr>
      </w:pPr>
    </w:p>
    <w:p w14:paraId="5C17255A">
      <w:pPr>
        <w:spacing w:line="360" w:lineRule="auto"/>
        <w:rPr>
          <w:szCs w:val="21"/>
        </w:rPr>
      </w:pPr>
      <w:r>
        <w:rPr>
          <w:szCs w:val="21"/>
        </w:rPr>
        <w:t>供应商名称（</w:t>
      </w:r>
      <w:r>
        <w:rPr>
          <w:rFonts w:hint="eastAsia"/>
          <w:szCs w:val="21"/>
        </w:rPr>
        <w:t>电子签章</w:t>
      </w:r>
      <w:r>
        <w:rPr>
          <w:szCs w:val="21"/>
        </w:rPr>
        <w:t>）：</w:t>
      </w:r>
      <w:r>
        <w:rPr>
          <w:szCs w:val="21"/>
          <w:u w:val="single"/>
        </w:rPr>
        <w:t xml:space="preserve">                          </w:t>
      </w:r>
    </w:p>
    <w:p w14:paraId="20AC0FA9">
      <w:pPr>
        <w:spacing w:line="360" w:lineRule="auto"/>
        <w:rPr>
          <w:spacing w:val="20"/>
          <w:szCs w:val="21"/>
          <w:u w:val="single"/>
        </w:rPr>
      </w:pPr>
      <w:r>
        <w:rPr>
          <w:szCs w:val="21"/>
        </w:rPr>
        <w:t>日  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 xml:space="preserve">日 </w:t>
      </w:r>
    </w:p>
    <w:bookmarkEnd w:id="127"/>
    <w:p w14:paraId="641F0889">
      <w:pPr>
        <w:snapToGrid w:val="0"/>
        <w:spacing w:before="50" w:after="120" w:afterLines="50"/>
        <w:jc w:val="left"/>
        <w:rPr>
          <w:rFonts w:hint="eastAsia"/>
          <w:szCs w:val="21"/>
        </w:rPr>
      </w:pPr>
    </w:p>
    <w:p w14:paraId="2A0D0953">
      <w:pPr>
        <w:snapToGrid w:val="0"/>
        <w:spacing w:before="120" w:beforeLines="50" w:after="50" w:line="440" w:lineRule="exact"/>
        <w:jc w:val="left"/>
        <w:outlineLvl w:val="1"/>
        <w:rPr>
          <w:szCs w:val="21"/>
        </w:rPr>
        <w:sectPr>
          <w:pgSz w:w="11906" w:h="16838"/>
          <w:pgMar w:top="1418" w:right="1274" w:bottom="1418" w:left="1418" w:header="851" w:footer="992" w:gutter="0"/>
          <w:cols w:space="720" w:num="1"/>
          <w:docGrid w:linePitch="312" w:charSpace="0"/>
        </w:sectPr>
      </w:pPr>
    </w:p>
    <w:p w14:paraId="052B5B6E">
      <w:pPr>
        <w:snapToGrid w:val="0"/>
        <w:spacing w:before="50" w:after="120" w:afterLines="50"/>
        <w:jc w:val="left"/>
        <w:rPr>
          <w:szCs w:val="21"/>
        </w:rPr>
      </w:pPr>
      <w:r>
        <w:rPr>
          <w:rFonts w:hint="eastAsia"/>
          <w:szCs w:val="21"/>
          <w:lang w:val="en-US" w:eastAsia="zh-CN"/>
        </w:rPr>
        <w:t>3.</w:t>
      </w:r>
      <w:r>
        <w:rPr>
          <w:szCs w:val="21"/>
        </w:rPr>
        <w:t>过低报价合理性的说明。（如有）</w:t>
      </w:r>
    </w:p>
    <w:p w14:paraId="7A075A8B">
      <w:pPr>
        <w:spacing w:line="360" w:lineRule="auto"/>
        <w:ind w:firstLine="420" w:firstLineChars="200"/>
        <w:rPr>
          <w:rFonts w:hint="eastAsia"/>
          <w:szCs w:val="21"/>
        </w:rPr>
      </w:pPr>
      <w:bookmarkStart w:id="128" w:name="_Hlk21624143"/>
      <w:r>
        <w:rPr>
          <w:szCs w:val="21"/>
        </w:rPr>
        <w:t>评审委员会认为的报价</w:t>
      </w:r>
      <w:r>
        <w:rPr>
          <w:rFonts w:hint="eastAsia"/>
          <w:szCs w:val="21"/>
          <w:lang w:val="en-US" w:eastAsia="zh-CN"/>
        </w:rPr>
        <w:t>存在异常低价问题的情形</w:t>
      </w:r>
      <w:r>
        <w:rPr>
          <w:szCs w:val="21"/>
        </w:rPr>
        <w:t>，供应商将被要求以书面方式提供</w:t>
      </w:r>
      <w:r>
        <w:rPr>
          <w:rFonts w:hint="eastAsia"/>
          <w:szCs w:val="21"/>
          <w:lang w:val="en-US" w:eastAsia="zh-CN"/>
        </w:rPr>
        <w:t>项目具体成本测算等与报价合理性相关的书面说明及必要的证明材料</w:t>
      </w:r>
      <w:r>
        <w:rPr>
          <w:szCs w:val="21"/>
        </w:rPr>
        <w:t>。为避免在评审现场因未能及时提供说明而导致被评审委员会作为无效</w:t>
      </w:r>
      <w:r>
        <w:rPr>
          <w:rFonts w:hint="eastAsia"/>
          <w:szCs w:val="21"/>
          <w:lang w:eastAsia="zh-CN"/>
        </w:rPr>
        <w:t>响应</w:t>
      </w:r>
      <w:r>
        <w:rPr>
          <w:szCs w:val="21"/>
        </w:rPr>
        <w:t>，供应商</w:t>
      </w:r>
      <w:r>
        <w:rPr>
          <w:rFonts w:hint="eastAsia"/>
        </w:rPr>
        <w:t>自行决定是否</w:t>
      </w:r>
      <w:r>
        <w:rPr>
          <w:kern w:val="1"/>
          <w:szCs w:val="21"/>
        </w:rPr>
        <w:t>直接在</w:t>
      </w:r>
      <w:r>
        <w:rPr>
          <w:szCs w:val="21"/>
        </w:rPr>
        <w:t>此处</w:t>
      </w:r>
      <w:r>
        <w:rPr>
          <w:rFonts w:hint="eastAsia"/>
          <w:szCs w:val="21"/>
        </w:rPr>
        <w:t>进行陈述</w:t>
      </w:r>
      <w:r>
        <w:rPr>
          <w:szCs w:val="21"/>
        </w:rPr>
        <w:t>。格式自拟。</w:t>
      </w:r>
      <w:r>
        <w:rPr>
          <w:rFonts w:hint="eastAsia"/>
          <w:szCs w:val="21"/>
        </w:rPr>
        <w:t>（</w:t>
      </w:r>
      <w:r>
        <w:rPr>
          <w:rFonts w:hint="eastAsia"/>
          <w:kern w:val="1"/>
          <w:szCs w:val="21"/>
        </w:rPr>
        <w:t>具体要求详见第四章评审方法及标准“过低报价合理性的审查”</w:t>
      </w:r>
      <w:r>
        <w:rPr>
          <w:rFonts w:hint="eastAsia"/>
          <w:szCs w:val="21"/>
        </w:rPr>
        <w:t>）</w:t>
      </w:r>
    </w:p>
    <w:p w14:paraId="59C44341">
      <w:pPr>
        <w:pStyle w:val="120"/>
        <w:jc w:val="center"/>
        <w:rPr>
          <w:b/>
          <w:bCs/>
        </w:rPr>
      </w:pPr>
      <w:bookmarkStart w:id="129" w:name="_Hlk211331823"/>
    </w:p>
    <w:p w14:paraId="783E9B9E">
      <w:pPr>
        <w:pStyle w:val="120"/>
        <w:jc w:val="center"/>
      </w:pPr>
      <w:r>
        <w:rPr>
          <w:rFonts w:hint="eastAsia"/>
          <w:b/>
          <w:bCs/>
          <w:lang w:val="en-US" w:eastAsia="zh-CN"/>
        </w:rPr>
        <w:t>产品成本测算表（参考格式）</w:t>
      </w:r>
    </w:p>
    <w:p w14:paraId="2DB889C3">
      <w:pPr>
        <w:spacing w:line="360" w:lineRule="auto"/>
      </w:pPr>
    </w:p>
    <w:bookmarkEnd w:id="129"/>
    <w:tbl>
      <w:tblPr>
        <w:tblStyle w:val="51"/>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cs="宋体"/>
                <w:b/>
              </w:rPr>
            </w:pPr>
            <w:r>
              <w:rPr>
                <w:rFonts w:hint="eastAsia" w:cs="仿宋_GB2312"/>
                <w:b/>
                <w:szCs w:val="24"/>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cs="宋体"/>
                <w:b/>
              </w:rPr>
            </w:pPr>
            <w:r>
              <w:rPr>
                <w:rFonts w:hint="eastAsia" w:cs="宋体"/>
                <w:b/>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cs="宋体"/>
                <w:b/>
              </w:rPr>
            </w:pPr>
            <w:r>
              <w:rPr>
                <w:rFonts w:hint="eastAsia"/>
                <w:b/>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cs="宋体"/>
                <w:b/>
              </w:rPr>
            </w:pPr>
            <w:r>
              <w:rPr>
                <w:rFonts w:hint="eastAsia" w:cs="宋体"/>
                <w:b/>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cs="宋体"/>
                <w:b/>
              </w:rPr>
            </w:pPr>
            <w:r>
              <w:rPr>
                <w:rFonts w:hint="eastAsia" w:cs="宋体"/>
                <w:b/>
                <w:lang w:val="en-US" w:eastAsia="zh-CN"/>
              </w:rPr>
              <w:t>报价</w:t>
            </w:r>
            <w:r>
              <w:rPr>
                <w:rFonts w:hint="eastAsia" w:cs="宋体"/>
                <w:b/>
              </w:rPr>
              <w:t>单价（</w:t>
            </w:r>
            <w:r>
              <w:rPr>
                <w:rFonts w:cs="宋体"/>
                <w:b/>
              </w:rPr>
              <w:t>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hint="default" w:eastAsia="宋体" w:cs="宋体"/>
                <w:b/>
                <w:lang w:val="en-US" w:eastAsia="zh-CN"/>
              </w:rPr>
            </w:pPr>
            <w:r>
              <w:rPr>
                <w:rFonts w:hint="eastAsia" w:cs="宋体"/>
                <w:b/>
                <w:lang w:val="en-US" w:eastAsia="zh-CN"/>
              </w:rPr>
              <w:t>成本项目</w:t>
            </w:r>
          </w:p>
          <w:p w14:paraId="5AD3EE4D">
            <w:pPr>
              <w:spacing w:line="360" w:lineRule="auto"/>
              <w:ind w:right="-65" w:rightChars="-31"/>
              <w:jc w:val="both"/>
              <w:rPr>
                <w:rFonts w:hint="default" w:cs="宋体"/>
                <w:b/>
                <w:lang w:val="en-US" w:eastAsia="zh-CN"/>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hint="eastAsia" w:cs="宋体"/>
                <w:b/>
                <w:lang w:val="en-US" w:eastAsia="zh-CN"/>
              </w:rPr>
            </w:pPr>
            <w:r>
              <w:rPr>
                <w:rFonts w:hint="eastAsia" w:cs="宋体"/>
                <w:b/>
                <w:lang w:val="en-US" w:eastAsia="zh-CN"/>
              </w:rPr>
              <w:t>具体明细</w:t>
            </w:r>
          </w:p>
          <w:p w14:paraId="7EF200FF">
            <w:pPr>
              <w:spacing w:line="360" w:lineRule="auto"/>
              <w:ind w:left="-48" w:leftChars="-23" w:right="-65" w:rightChars="-31"/>
              <w:jc w:val="center"/>
              <w:rPr>
                <w:rFonts w:hint="eastAsia" w:cs="宋体"/>
                <w:b/>
                <w:lang w:val="en-US" w:eastAsia="zh-CN"/>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hint="eastAsia" w:cs="宋体"/>
                <w:b/>
                <w:lang w:val="en-US" w:eastAsia="zh-CN"/>
              </w:rPr>
            </w:pPr>
            <w:r>
              <w:rPr>
                <w:rFonts w:hint="eastAsia" w:cs="宋体"/>
                <w:b/>
                <w:lang w:val="en-US" w:eastAsia="zh-CN"/>
              </w:rPr>
              <w:t>单位产品用量</w:t>
            </w:r>
          </w:p>
          <w:p w14:paraId="27DC558F">
            <w:pPr>
              <w:spacing w:line="360" w:lineRule="auto"/>
              <w:ind w:left="-48" w:leftChars="-23" w:right="-65" w:rightChars="-31"/>
              <w:jc w:val="center"/>
              <w:rPr>
                <w:rFonts w:hint="eastAsia" w:cs="宋体"/>
                <w:b/>
                <w:lang w:val="en-US" w:eastAsia="zh-CN"/>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hint="eastAsia" w:cs="宋体"/>
                <w:b/>
                <w:lang w:val="en-US" w:eastAsia="zh-CN"/>
              </w:rPr>
            </w:pPr>
            <w:r>
              <w:rPr>
                <w:rFonts w:hint="eastAsia" w:cs="宋体"/>
                <w:b/>
                <w:lang w:val="en-US" w:eastAsia="zh-CN"/>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cs="宋体"/>
                <w:b/>
              </w:rPr>
            </w:pPr>
            <w:r>
              <w:rPr>
                <w:rFonts w:hint="eastAsia" w:cs="宋体"/>
                <w:b/>
              </w:rPr>
              <w:t>成本</w:t>
            </w:r>
            <w:r>
              <w:rPr>
                <w:rFonts w:cs="宋体"/>
                <w:b/>
              </w:rPr>
              <w:t>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hint="eastAsia" w:cs="宋体"/>
                <w:b/>
              </w:rPr>
            </w:pPr>
            <w:r>
              <w:rPr>
                <w:rFonts w:hint="eastAsia" w:cs="宋体"/>
                <w:b/>
                <w:lang w:val="en-US" w:eastAsia="zh-CN"/>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31899164">
            <w:pPr>
              <w:numPr>
                <w:ilvl w:val="0"/>
                <w:numId w:val="1"/>
              </w:numPr>
              <w:tabs>
                <w:tab w:val="left" w:pos="61"/>
              </w:tabs>
              <w:jc w:val="center"/>
            </w:pPr>
          </w:p>
        </w:tc>
        <w:tc>
          <w:tcPr>
            <w:tcW w:w="201" w:type="pct"/>
            <w:vMerge w:val="restart"/>
            <w:shd w:val="clear" w:color="auto" w:fill="auto"/>
            <w:vAlign w:val="center"/>
          </w:tcPr>
          <w:p w14:paraId="65B757C2">
            <w:pPr>
              <w:tabs>
                <w:tab w:val="left" w:pos="0"/>
                <w:tab w:val="left" w:pos="56"/>
              </w:tabs>
              <w:ind w:left="547" w:hanging="478" w:hangingChars="228"/>
              <w:jc w:val="center"/>
            </w:pPr>
          </w:p>
        </w:tc>
        <w:tc>
          <w:tcPr>
            <w:tcW w:w="380" w:type="pct"/>
            <w:vMerge w:val="restart"/>
            <w:shd w:val="clear" w:color="auto" w:fill="auto"/>
            <w:vAlign w:val="center"/>
          </w:tcPr>
          <w:p w14:paraId="58C050D9">
            <w:pPr>
              <w:spacing w:line="240" w:lineRule="atLeast"/>
              <w:ind w:left="-48" w:leftChars="-23" w:right="-65" w:rightChars="-31"/>
              <w:jc w:val="left"/>
              <w:rPr>
                <w:rFonts w:cs="宋体"/>
                <w:szCs w:val="24"/>
              </w:rPr>
            </w:pPr>
          </w:p>
        </w:tc>
        <w:tc>
          <w:tcPr>
            <w:tcW w:w="282" w:type="pct"/>
            <w:vMerge w:val="restart"/>
            <w:tcBorders>
              <w:left w:val="single" w:color="auto" w:sz="4" w:space="0"/>
            </w:tcBorders>
            <w:shd w:val="clear" w:color="auto" w:fill="auto"/>
            <w:vAlign w:val="center"/>
          </w:tcPr>
          <w:p w14:paraId="3B157FD4">
            <w:pPr>
              <w:spacing w:line="240" w:lineRule="atLeast"/>
              <w:ind w:left="-48" w:leftChars="-23" w:right="-65" w:rightChars="-31"/>
              <w:jc w:val="left"/>
              <w:rPr>
                <w:rFonts w:cs="宋体"/>
                <w:szCs w:val="24"/>
              </w:rPr>
            </w:pPr>
          </w:p>
        </w:tc>
        <w:tc>
          <w:tcPr>
            <w:tcW w:w="478" w:type="pct"/>
            <w:vMerge w:val="restart"/>
            <w:tcBorders>
              <w:left w:val="single" w:color="auto" w:sz="4" w:space="0"/>
              <w:right w:val="single" w:color="auto" w:sz="4" w:space="0"/>
            </w:tcBorders>
            <w:shd w:val="clear" w:color="auto" w:fill="auto"/>
            <w:vAlign w:val="center"/>
          </w:tcPr>
          <w:p w14:paraId="67F6C6EE">
            <w:pPr>
              <w:spacing w:line="240" w:lineRule="atLeast"/>
              <w:ind w:left="-48" w:leftChars="-23" w:right="-65" w:rightChars="-31"/>
              <w:jc w:val="left"/>
              <w:rPr>
                <w:rFonts w:cs="宋体"/>
                <w:szCs w:val="24"/>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cs="宋体"/>
                <w:szCs w:val="24"/>
              </w:rPr>
            </w:pPr>
            <w:r>
              <w:rPr>
                <w:rFonts w:hint="eastAsia" w:cs="宋体"/>
                <w:szCs w:val="24"/>
              </w:rPr>
              <w:t>原材料成本</w:t>
            </w:r>
          </w:p>
        </w:tc>
        <w:tc>
          <w:tcPr>
            <w:tcW w:w="560" w:type="pct"/>
            <w:tcBorders>
              <w:left w:val="single" w:color="auto" w:sz="4" w:space="0"/>
            </w:tcBorders>
            <w:shd w:val="clear" w:color="auto" w:fill="auto"/>
            <w:vAlign w:val="center"/>
          </w:tcPr>
          <w:p w14:paraId="33003AD0">
            <w:pPr>
              <w:spacing w:line="240" w:lineRule="atLeast"/>
              <w:ind w:left="-48" w:leftChars="-23" w:right="-65" w:rightChars="-31"/>
              <w:jc w:val="left"/>
              <w:rPr>
                <w:rFonts w:cs="宋体"/>
                <w:szCs w:val="24"/>
              </w:rPr>
            </w:pPr>
            <w:r>
              <w:rPr>
                <w:rFonts w:cs="宋体"/>
                <w:szCs w:val="24"/>
                <w:lang w:val="en-US" w:eastAsia="zh-CN"/>
              </w:rPr>
              <w:t>原材料1</w:t>
            </w:r>
          </w:p>
        </w:tc>
        <w:tc>
          <w:tcPr>
            <w:tcW w:w="511" w:type="pct"/>
            <w:tcBorders>
              <w:left w:val="single" w:color="auto" w:sz="4" w:space="0"/>
            </w:tcBorders>
            <w:shd w:val="clear" w:color="auto" w:fill="auto"/>
            <w:vAlign w:val="center"/>
          </w:tcPr>
          <w:p w14:paraId="2A7EE56F">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00318077">
            <w:pPr>
              <w:spacing w:line="240" w:lineRule="atLeast"/>
              <w:ind w:left="-48" w:leftChars="-23" w:right="-65" w:rightChars="-31"/>
              <w:jc w:val="left"/>
              <w:rPr>
                <w:rFonts w:cs="宋体"/>
                <w:szCs w:val="24"/>
              </w:rPr>
            </w:pPr>
          </w:p>
        </w:tc>
        <w:tc>
          <w:tcPr>
            <w:tcW w:w="449" w:type="pct"/>
            <w:vMerge w:val="restart"/>
            <w:tcBorders>
              <w:left w:val="single" w:color="auto" w:sz="4" w:space="0"/>
            </w:tcBorders>
            <w:shd w:val="clear" w:color="auto" w:fill="auto"/>
            <w:vAlign w:val="center"/>
          </w:tcPr>
          <w:p w14:paraId="17873F2F">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71C7FD89">
            <w:pPr>
              <w:spacing w:line="240" w:lineRule="atLeast"/>
              <w:ind w:left="-48" w:leftChars="-23" w:right="-65" w:rightChars="-31"/>
              <w:jc w:val="left"/>
              <w:rPr>
                <w:rFonts w:cs="宋体"/>
                <w:szCs w:val="24"/>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7DA847D1">
            <w:pPr>
              <w:numPr>
                <w:ilvl w:val="0"/>
                <w:numId w:val="1"/>
              </w:numPr>
              <w:tabs>
                <w:tab w:val="left" w:pos="61"/>
              </w:tabs>
              <w:jc w:val="center"/>
            </w:pPr>
          </w:p>
        </w:tc>
        <w:tc>
          <w:tcPr>
            <w:tcW w:w="201" w:type="pct"/>
            <w:vMerge w:val="continue"/>
            <w:shd w:val="clear" w:color="auto" w:fill="auto"/>
            <w:vAlign w:val="center"/>
          </w:tcPr>
          <w:p w14:paraId="462E3DFC">
            <w:pPr>
              <w:tabs>
                <w:tab w:val="left" w:pos="0"/>
                <w:tab w:val="left" w:pos="56"/>
              </w:tabs>
              <w:ind w:left="547" w:hanging="478" w:hangingChars="228"/>
              <w:jc w:val="center"/>
            </w:pPr>
          </w:p>
        </w:tc>
        <w:tc>
          <w:tcPr>
            <w:tcW w:w="380" w:type="pct"/>
            <w:vMerge w:val="continue"/>
            <w:shd w:val="clear" w:color="auto" w:fill="auto"/>
            <w:vAlign w:val="center"/>
          </w:tcPr>
          <w:p w14:paraId="2E160B9A">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38DF83C2">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731170B0">
            <w:pPr>
              <w:spacing w:line="240" w:lineRule="atLeast"/>
              <w:ind w:left="-48" w:leftChars="-23" w:right="-65" w:rightChars="-31"/>
              <w:jc w:val="left"/>
              <w:rPr>
                <w:rFonts w:cs="宋体"/>
                <w:szCs w:val="24"/>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hint="eastAsia" w:cs="宋体"/>
                <w:szCs w:val="24"/>
              </w:rPr>
            </w:pPr>
          </w:p>
        </w:tc>
        <w:tc>
          <w:tcPr>
            <w:tcW w:w="560" w:type="pct"/>
            <w:tcBorders>
              <w:left w:val="single" w:color="auto" w:sz="4" w:space="0"/>
            </w:tcBorders>
            <w:shd w:val="clear" w:color="auto" w:fill="auto"/>
            <w:vAlign w:val="center"/>
          </w:tcPr>
          <w:p w14:paraId="26F1672B">
            <w:pPr>
              <w:spacing w:line="240" w:lineRule="atLeast"/>
              <w:ind w:left="-48" w:leftChars="-23" w:right="-65" w:rightChars="-31"/>
              <w:jc w:val="left"/>
              <w:rPr>
                <w:rFonts w:hint="default" w:eastAsia="宋体" w:cs="宋体"/>
                <w:szCs w:val="24"/>
                <w:lang w:val="en-US" w:eastAsia="zh-CN"/>
              </w:rPr>
            </w:pPr>
            <w:r>
              <w:rPr>
                <w:rFonts w:hint="eastAsia" w:cs="宋体"/>
                <w:szCs w:val="24"/>
                <w:lang w:val="en-US" w:eastAsia="zh-CN"/>
              </w:rPr>
              <w:t>...</w:t>
            </w:r>
          </w:p>
        </w:tc>
        <w:tc>
          <w:tcPr>
            <w:tcW w:w="511" w:type="pct"/>
            <w:tcBorders>
              <w:left w:val="single" w:color="auto" w:sz="4" w:space="0"/>
            </w:tcBorders>
            <w:shd w:val="clear" w:color="auto" w:fill="auto"/>
            <w:vAlign w:val="center"/>
          </w:tcPr>
          <w:p w14:paraId="539CD006">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0960E9F9">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4AF14547">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580CE386">
            <w:pPr>
              <w:spacing w:line="240" w:lineRule="atLeast"/>
              <w:ind w:left="-48" w:leftChars="-23" w:right="-65" w:rightChars="-31"/>
              <w:jc w:val="left"/>
              <w:rPr>
                <w:rFonts w:cs="宋体"/>
                <w:szCs w:val="24"/>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47A0B9B">
            <w:pPr>
              <w:tabs>
                <w:tab w:val="left" w:pos="61"/>
              </w:tabs>
              <w:jc w:val="center"/>
            </w:pPr>
          </w:p>
        </w:tc>
        <w:tc>
          <w:tcPr>
            <w:tcW w:w="201" w:type="pct"/>
            <w:vMerge w:val="continue"/>
            <w:shd w:val="clear" w:color="auto" w:fill="auto"/>
            <w:vAlign w:val="center"/>
          </w:tcPr>
          <w:p w14:paraId="5EEB1F4F">
            <w:pPr>
              <w:tabs>
                <w:tab w:val="left" w:pos="0"/>
                <w:tab w:val="left" w:pos="56"/>
              </w:tabs>
              <w:ind w:left="547" w:hanging="478" w:hangingChars="228"/>
              <w:jc w:val="center"/>
            </w:pPr>
          </w:p>
        </w:tc>
        <w:tc>
          <w:tcPr>
            <w:tcW w:w="380" w:type="pct"/>
            <w:vMerge w:val="continue"/>
            <w:shd w:val="clear" w:color="auto" w:fill="auto"/>
            <w:vAlign w:val="center"/>
          </w:tcPr>
          <w:p w14:paraId="185BAC6B">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5F37CA61">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28855F02">
            <w:pPr>
              <w:spacing w:line="240" w:lineRule="atLeast"/>
              <w:ind w:left="-48" w:leftChars="-23" w:right="-65" w:rightChars="-31"/>
              <w:jc w:val="left"/>
              <w:rPr>
                <w:rFonts w:cs="宋体"/>
                <w:szCs w:val="24"/>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cs="宋体"/>
                <w:szCs w:val="24"/>
              </w:rPr>
            </w:pPr>
            <w:r>
              <w:rPr>
                <w:rFonts w:hint="eastAsia" w:cs="宋体"/>
                <w:szCs w:val="24"/>
              </w:rPr>
              <w:t>人工成本</w:t>
            </w:r>
          </w:p>
        </w:tc>
        <w:tc>
          <w:tcPr>
            <w:tcW w:w="560" w:type="pct"/>
            <w:tcBorders>
              <w:left w:val="single" w:color="auto" w:sz="4" w:space="0"/>
            </w:tcBorders>
            <w:shd w:val="clear" w:color="auto" w:fill="auto"/>
            <w:vAlign w:val="center"/>
          </w:tcPr>
          <w:p w14:paraId="3880182C">
            <w:pPr>
              <w:spacing w:line="240" w:lineRule="atLeast"/>
              <w:ind w:left="-48" w:leftChars="-23" w:right="-65" w:rightChars="-31"/>
              <w:jc w:val="left"/>
              <w:rPr>
                <w:rFonts w:cs="宋体"/>
                <w:szCs w:val="24"/>
              </w:rPr>
            </w:pPr>
            <w:r>
              <w:rPr>
                <w:rFonts w:cs="宋体"/>
                <w:szCs w:val="24"/>
                <w:lang w:val="en-US" w:eastAsia="zh-CN"/>
              </w:rPr>
              <w:t>生产工人工资</w:t>
            </w:r>
          </w:p>
        </w:tc>
        <w:tc>
          <w:tcPr>
            <w:tcW w:w="511" w:type="pct"/>
            <w:tcBorders>
              <w:left w:val="single" w:color="auto" w:sz="4" w:space="0"/>
            </w:tcBorders>
            <w:shd w:val="clear" w:color="auto" w:fill="auto"/>
            <w:vAlign w:val="center"/>
          </w:tcPr>
          <w:p w14:paraId="3FC90750">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6A222EF7">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2CB39DE6">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55657EF1">
            <w:pPr>
              <w:spacing w:line="240" w:lineRule="atLeast"/>
              <w:ind w:left="-48" w:leftChars="-23" w:right="-65" w:rightChars="-31"/>
              <w:jc w:val="left"/>
              <w:rPr>
                <w:rFonts w:cs="宋体"/>
                <w:szCs w:val="24"/>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C5D4CED">
            <w:pPr>
              <w:tabs>
                <w:tab w:val="left" w:pos="61"/>
              </w:tabs>
              <w:jc w:val="center"/>
            </w:pPr>
          </w:p>
        </w:tc>
        <w:tc>
          <w:tcPr>
            <w:tcW w:w="201" w:type="pct"/>
            <w:vMerge w:val="continue"/>
            <w:shd w:val="clear" w:color="auto" w:fill="auto"/>
            <w:vAlign w:val="center"/>
          </w:tcPr>
          <w:p w14:paraId="25F98AE1">
            <w:pPr>
              <w:tabs>
                <w:tab w:val="left" w:pos="0"/>
                <w:tab w:val="left" w:pos="56"/>
              </w:tabs>
              <w:ind w:left="547" w:hanging="478" w:hangingChars="228"/>
              <w:jc w:val="center"/>
            </w:pPr>
          </w:p>
        </w:tc>
        <w:tc>
          <w:tcPr>
            <w:tcW w:w="380" w:type="pct"/>
            <w:vMerge w:val="continue"/>
            <w:shd w:val="clear" w:color="auto" w:fill="auto"/>
            <w:vAlign w:val="center"/>
          </w:tcPr>
          <w:p w14:paraId="71F08945">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6A7BEF54">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6DE32178">
            <w:pPr>
              <w:spacing w:line="240" w:lineRule="atLeast"/>
              <w:ind w:left="-48" w:leftChars="-23" w:right="-65" w:rightChars="-31"/>
              <w:jc w:val="left"/>
              <w:rPr>
                <w:rFonts w:cs="宋体"/>
                <w:szCs w:val="24"/>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hint="eastAsia" w:cs="宋体"/>
                <w:szCs w:val="24"/>
              </w:rPr>
            </w:pPr>
          </w:p>
        </w:tc>
        <w:tc>
          <w:tcPr>
            <w:tcW w:w="560" w:type="pct"/>
            <w:tcBorders>
              <w:left w:val="single" w:color="auto" w:sz="4" w:space="0"/>
            </w:tcBorders>
            <w:shd w:val="clear" w:color="auto" w:fill="auto"/>
            <w:vAlign w:val="center"/>
          </w:tcPr>
          <w:p w14:paraId="7C7461BE">
            <w:pPr>
              <w:spacing w:line="240" w:lineRule="atLeast"/>
              <w:ind w:left="-48" w:leftChars="-23" w:right="-65" w:rightChars="-31"/>
              <w:jc w:val="left"/>
              <w:rPr>
                <w:rFonts w:hint="default" w:eastAsia="宋体" w:cs="宋体"/>
                <w:szCs w:val="24"/>
                <w:lang w:val="en-US" w:eastAsia="zh-CN"/>
              </w:rPr>
            </w:pPr>
            <w:r>
              <w:rPr>
                <w:rFonts w:hint="eastAsia" w:cs="宋体"/>
                <w:szCs w:val="24"/>
                <w:lang w:val="en-US" w:eastAsia="zh-CN"/>
              </w:rPr>
              <w:t>....</w:t>
            </w:r>
          </w:p>
        </w:tc>
        <w:tc>
          <w:tcPr>
            <w:tcW w:w="511" w:type="pct"/>
            <w:tcBorders>
              <w:left w:val="single" w:color="auto" w:sz="4" w:space="0"/>
            </w:tcBorders>
            <w:shd w:val="clear" w:color="auto" w:fill="auto"/>
            <w:vAlign w:val="center"/>
          </w:tcPr>
          <w:p w14:paraId="22BA3532">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7735E1B2">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261E1BF4">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421563FB">
            <w:pPr>
              <w:spacing w:line="240" w:lineRule="atLeast"/>
              <w:ind w:left="-48" w:leftChars="-23" w:right="-65" w:rightChars="-31"/>
              <w:jc w:val="left"/>
              <w:rPr>
                <w:rFonts w:cs="宋体"/>
                <w:szCs w:val="24"/>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05F5DD7">
            <w:pPr>
              <w:tabs>
                <w:tab w:val="left" w:pos="61"/>
              </w:tabs>
              <w:jc w:val="center"/>
            </w:pPr>
          </w:p>
        </w:tc>
        <w:tc>
          <w:tcPr>
            <w:tcW w:w="201" w:type="pct"/>
            <w:vMerge w:val="continue"/>
            <w:shd w:val="clear" w:color="auto" w:fill="auto"/>
            <w:vAlign w:val="center"/>
          </w:tcPr>
          <w:p w14:paraId="49146DB7">
            <w:pPr>
              <w:tabs>
                <w:tab w:val="left" w:pos="0"/>
                <w:tab w:val="left" w:pos="56"/>
              </w:tabs>
              <w:ind w:left="547" w:hanging="478" w:hangingChars="228"/>
              <w:jc w:val="center"/>
            </w:pPr>
          </w:p>
        </w:tc>
        <w:tc>
          <w:tcPr>
            <w:tcW w:w="380" w:type="pct"/>
            <w:vMerge w:val="continue"/>
            <w:shd w:val="clear" w:color="auto" w:fill="auto"/>
            <w:vAlign w:val="center"/>
          </w:tcPr>
          <w:p w14:paraId="23B4217D">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5F08DA06">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75B959EE">
            <w:pPr>
              <w:spacing w:line="240" w:lineRule="atLeast"/>
              <w:ind w:left="-48" w:leftChars="-23" w:right="-65" w:rightChars="-31"/>
              <w:jc w:val="left"/>
              <w:rPr>
                <w:rFonts w:cs="宋体"/>
                <w:szCs w:val="24"/>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hint="eastAsia" w:cs="宋体"/>
                <w:szCs w:val="24"/>
              </w:rPr>
            </w:pPr>
            <w:r>
              <w:rPr>
                <w:rFonts w:hint="eastAsia" w:cs="宋体"/>
                <w:szCs w:val="24"/>
              </w:rPr>
              <w:t>制造费用</w:t>
            </w:r>
          </w:p>
        </w:tc>
        <w:tc>
          <w:tcPr>
            <w:tcW w:w="560" w:type="pct"/>
            <w:tcBorders>
              <w:left w:val="single" w:color="auto" w:sz="4" w:space="0"/>
            </w:tcBorders>
            <w:shd w:val="clear" w:color="auto" w:fill="auto"/>
            <w:vAlign w:val="center"/>
          </w:tcPr>
          <w:p w14:paraId="615956BA">
            <w:pPr>
              <w:spacing w:line="240" w:lineRule="atLeast"/>
              <w:ind w:left="-48" w:leftChars="-23" w:right="-65" w:rightChars="-31"/>
              <w:jc w:val="left"/>
              <w:rPr>
                <w:rFonts w:cs="宋体"/>
                <w:szCs w:val="24"/>
              </w:rPr>
            </w:pPr>
            <w:r>
              <w:rPr>
                <w:rFonts w:cs="宋体"/>
                <w:szCs w:val="24"/>
                <w:lang w:val="en-US" w:eastAsia="zh-CN"/>
              </w:rPr>
              <w:t>设备折旧费</w:t>
            </w:r>
          </w:p>
        </w:tc>
        <w:tc>
          <w:tcPr>
            <w:tcW w:w="511" w:type="pct"/>
            <w:tcBorders>
              <w:left w:val="single" w:color="auto" w:sz="4" w:space="0"/>
            </w:tcBorders>
            <w:shd w:val="clear" w:color="auto" w:fill="auto"/>
            <w:vAlign w:val="center"/>
          </w:tcPr>
          <w:p w14:paraId="03C89923">
            <w:pPr>
              <w:spacing w:line="240" w:lineRule="atLeast"/>
              <w:ind w:left="-48" w:leftChars="-23" w:right="-65" w:rightChars="-31"/>
              <w:jc w:val="left"/>
              <w:rPr>
                <w:rFonts w:hint="eastAsia" w:eastAsia="宋体" w:cs="宋体"/>
                <w:szCs w:val="24"/>
                <w:lang w:val="en-US" w:eastAsia="zh-CN"/>
              </w:rPr>
            </w:pPr>
          </w:p>
        </w:tc>
        <w:tc>
          <w:tcPr>
            <w:tcW w:w="606" w:type="pct"/>
            <w:tcBorders>
              <w:left w:val="single" w:color="auto" w:sz="4" w:space="0"/>
            </w:tcBorders>
            <w:shd w:val="clear" w:color="auto" w:fill="auto"/>
            <w:vAlign w:val="center"/>
          </w:tcPr>
          <w:p w14:paraId="38F9C2E1">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2D67D214">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412E883A">
            <w:pPr>
              <w:spacing w:line="240" w:lineRule="atLeast"/>
              <w:ind w:left="-48" w:leftChars="-23" w:right="-65" w:rightChars="-31"/>
              <w:jc w:val="left"/>
              <w:rPr>
                <w:rFonts w:cs="宋体"/>
                <w:szCs w:val="24"/>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78DF2BD">
            <w:pPr>
              <w:tabs>
                <w:tab w:val="left" w:pos="61"/>
              </w:tabs>
              <w:jc w:val="center"/>
            </w:pPr>
          </w:p>
        </w:tc>
        <w:tc>
          <w:tcPr>
            <w:tcW w:w="201" w:type="pct"/>
            <w:vMerge w:val="continue"/>
            <w:shd w:val="clear" w:color="auto" w:fill="auto"/>
            <w:vAlign w:val="center"/>
          </w:tcPr>
          <w:p w14:paraId="1D439CE3">
            <w:pPr>
              <w:tabs>
                <w:tab w:val="left" w:pos="0"/>
                <w:tab w:val="left" w:pos="56"/>
              </w:tabs>
              <w:ind w:left="547" w:hanging="478" w:hangingChars="228"/>
              <w:jc w:val="center"/>
            </w:pPr>
          </w:p>
        </w:tc>
        <w:tc>
          <w:tcPr>
            <w:tcW w:w="380" w:type="pct"/>
            <w:vMerge w:val="continue"/>
            <w:shd w:val="clear" w:color="auto" w:fill="auto"/>
            <w:vAlign w:val="center"/>
          </w:tcPr>
          <w:p w14:paraId="71BFE9FA">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56D75B0E">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2FB42261">
            <w:pPr>
              <w:spacing w:line="240" w:lineRule="atLeast"/>
              <w:ind w:left="-48" w:leftChars="-23" w:right="-65" w:rightChars="-31"/>
              <w:jc w:val="left"/>
              <w:rPr>
                <w:rFonts w:cs="宋体"/>
                <w:szCs w:val="24"/>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hint="eastAsia" w:cs="宋体"/>
                <w:szCs w:val="24"/>
              </w:rPr>
            </w:pPr>
          </w:p>
        </w:tc>
        <w:tc>
          <w:tcPr>
            <w:tcW w:w="560" w:type="pct"/>
            <w:tcBorders>
              <w:left w:val="single" w:color="auto" w:sz="4" w:space="0"/>
            </w:tcBorders>
            <w:shd w:val="clear" w:color="auto" w:fill="auto"/>
            <w:vAlign w:val="center"/>
          </w:tcPr>
          <w:p w14:paraId="53B24EE4">
            <w:pPr>
              <w:spacing w:line="240" w:lineRule="atLeast"/>
              <w:ind w:left="-48" w:leftChars="-23" w:right="-65" w:rightChars="-31"/>
              <w:jc w:val="left"/>
              <w:rPr>
                <w:rFonts w:hint="default" w:eastAsia="宋体" w:cs="宋体"/>
                <w:szCs w:val="24"/>
                <w:lang w:val="en-US" w:eastAsia="zh-CN"/>
              </w:rPr>
            </w:pPr>
            <w:r>
              <w:rPr>
                <w:rFonts w:hint="eastAsia" w:cs="宋体"/>
                <w:szCs w:val="24"/>
                <w:lang w:val="en-US" w:eastAsia="zh-CN"/>
              </w:rPr>
              <w:t>...</w:t>
            </w:r>
          </w:p>
        </w:tc>
        <w:tc>
          <w:tcPr>
            <w:tcW w:w="511" w:type="pct"/>
            <w:tcBorders>
              <w:left w:val="single" w:color="auto" w:sz="4" w:space="0"/>
            </w:tcBorders>
            <w:shd w:val="clear" w:color="auto" w:fill="auto"/>
            <w:vAlign w:val="center"/>
          </w:tcPr>
          <w:p w14:paraId="2C7EE97E">
            <w:pPr>
              <w:spacing w:line="240" w:lineRule="atLeast"/>
              <w:ind w:left="-48" w:leftChars="-23" w:right="-65" w:rightChars="-31"/>
              <w:jc w:val="left"/>
              <w:rPr>
                <w:rFonts w:hint="eastAsia" w:eastAsia="宋体" w:cs="宋体"/>
                <w:szCs w:val="24"/>
                <w:lang w:val="en-US" w:eastAsia="zh-CN"/>
              </w:rPr>
            </w:pPr>
          </w:p>
        </w:tc>
        <w:tc>
          <w:tcPr>
            <w:tcW w:w="606" w:type="pct"/>
            <w:tcBorders>
              <w:left w:val="single" w:color="auto" w:sz="4" w:space="0"/>
            </w:tcBorders>
            <w:shd w:val="clear" w:color="auto" w:fill="auto"/>
            <w:vAlign w:val="center"/>
          </w:tcPr>
          <w:p w14:paraId="7D55CCBC">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4A3183CF">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689037C1">
            <w:pPr>
              <w:spacing w:line="240" w:lineRule="atLeast"/>
              <w:ind w:left="-48" w:leftChars="-23" w:right="-65" w:rightChars="-31"/>
              <w:jc w:val="left"/>
              <w:rPr>
                <w:rFonts w:cs="宋体"/>
                <w:szCs w:val="24"/>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5818CE3A">
            <w:pPr>
              <w:tabs>
                <w:tab w:val="left" w:pos="61"/>
              </w:tabs>
              <w:jc w:val="center"/>
            </w:pPr>
          </w:p>
        </w:tc>
        <w:tc>
          <w:tcPr>
            <w:tcW w:w="201" w:type="pct"/>
            <w:vMerge w:val="continue"/>
            <w:shd w:val="clear" w:color="auto" w:fill="auto"/>
            <w:vAlign w:val="center"/>
          </w:tcPr>
          <w:p w14:paraId="5530FE59">
            <w:pPr>
              <w:tabs>
                <w:tab w:val="left" w:pos="0"/>
                <w:tab w:val="left" w:pos="56"/>
              </w:tabs>
              <w:ind w:left="547" w:hanging="478" w:hangingChars="228"/>
              <w:jc w:val="center"/>
            </w:pPr>
          </w:p>
        </w:tc>
        <w:tc>
          <w:tcPr>
            <w:tcW w:w="380" w:type="pct"/>
            <w:vMerge w:val="continue"/>
            <w:shd w:val="clear" w:color="auto" w:fill="auto"/>
            <w:vAlign w:val="center"/>
          </w:tcPr>
          <w:p w14:paraId="68A909D4">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3B997D96">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0915F4C3">
            <w:pPr>
              <w:spacing w:line="240" w:lineRule="atLeast"/>
              <w:ind w:left="-48" w:leftChars="-23" w:right="-65" w:rightChars="-31"/>
              <w:jc w:val="left"/>
              <w:rPr>
                <w:rFonts w:cs="宋体"/>
                <w:szCs w:val="24"/>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hint="default" w:eastAsia="宋体" w:cs="宋体"/>
                <w:szCs w:val="24"/>
                <w:lang w:val="en-US" w:eastAsia="zh-CN"/>
              </w:rPr>
            </w:pPr>
            <w:r>
              <w:rPr>
                <w:rFonts w:hint="eastAsia" w:cs="宋体"/>
                <w:szCs w:val="24"/>
                <w:lang w:val="en-US" w:eastAsia="zh-CN"/>
              </w:rPr>
              <w:t>其他成本</w:t>
            </w:r>
          </w:p>
        </w:tc>
        <w:tc>
          <w:tcPr>
            <w:tcW w:w="560" w:type="pct"/>
            <w:tcBorders>
              <w:left w:val="single" w:color="auto" w:sz="4" w:space="0"/>
            </w:tcBorders>
            <w:shd w:val="clear" w:color="auto" w:fill="auto"/>
            <w:vAlign w:val="center"/>
          </w:tcPr>
          <w:p w14:paraId="28AD62CC">
            <w:pPr>
              <w:spacing w:line="240" w:lineRule="atLeast"/>
              <w:ind w:left="-48" w:leftChars="-23" w:right="-65" w:rightChars="-31"/>
              <w:jc w:val="left"/>
              <w:rPr>
                <w:rFonts w:hint="eastAsia" w:eastAsia="宋体" w:cs="宋体"/>
                <w:szCs w:val="24"/>
                <w:lang w:val="en-US" w:eastAsia="zh-CN"/>
              </w:rPr>
            </w:pPr>
          </w:p>
        </w:tc>
        <w:tc>
          <w:tcPr>
            <w:tcW w:w="511" w:type="pct"/>
            <w:tcBorders>
              <w:left w:val="single" w:color="auto" w:sz="4" w:space="0"/>
            </w:tcBorders>
            <w:shd w:val="clear" w:color="auto" w:fill="auto"/>
            <w:vAlign w:val="center"/>
          </w:tcPr>
          <w:p w14:paraId="480F1EE7">
            <w:pPr>
              <w:spacing w:line="240" w:lineRule="atLeast"/>
              <w:ind w:left="-48" w:leftChars="-23" w:right="-65" w:rightChars="-31"/>
              <w:jc w:val="left"/>
              <w:rPr>
                <w:rFonts w:hint="eastAsia" w:eastAsia="宋体" w:cs="宋体"/>
                <w:szCs w:val="24"/>
                <w:lang w:val="en-US" w:eastAsia="zh-CN"/>
              </w:rPr>
            </w:pPr>
          </w:p>
        </w:tc>
        <w:tc>
          <w:tcPr>
            <w:tcW w:w="606" w:type="pct"/>
            <w:tcBorders>
              <w:left w:val="single" w:color="auto" w:sz="4" w:space="0"/>
            </w:tcBorders>
            <w:shd w:val="clear" w:color="auto" w:fill="auto"/>
            <w:vAlign w:val="center"/>
          </w:tcPr>
          <w:p w14:paraId="1DFF4C39">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593452B9">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1EA1D96E">
            <w:pPr>
              <w:spacing w:line="240" w:lineRule="atLeast"/>
              <w:ind w:left="-48" w:leftChars="-23" w:right="-65" w:rightChars="-31"/>
              <w:jc w:val="left"/>
              <w:rPr>
                <w:rFonts w:cs="宋体"/>
                <w:szCs w:val="24"/>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14707BF8">
            <w:pPr>
              <w:tabs>
                <w:tab w:val="left" w:pos="61"/>
              </w:tabs>
              <w:jc w:val="center"/>
              <w:rPr>
                <w:rFonts w:hint="eastAsia" w:eastAsia="宋体"/>
                <w:lang w:val="en-US" w:eastAsia="zh-CN"/>
              </w:rPr>
            </w:pPr>
            <w:r>
              <w:rPr>
                <w:rFonts w:hint="eastAsia"/>
                <w:lang w:val="en-US" w:eastAsia="zh-CN"/>
              </w:rPr>
              <w:t>2</w:t>
            </w:r>
          </w:p>
        </w:tc>
        <w:tc>
          <w:tcPr>
            <w:tcW w:w="201" w:type="pct"/>
            <w:shd w:val="clear" w:color="auto" w:fill="auto"/>
            <w:vAlign w:val="center"/>
          </w:tcPr>
          <w:p w14:paraId="2637B63F">
            <w:pPr>
              <w:tabs>
                <w:tab w:val="left" w:pos="0"/>
                <w:tab w:val="left" w:pos="56"/>
              </w:tabs>
              <w:ind w:left="547" w:hanging="478" w:hangingChars="228"/>
              <w:jc w:val="center"/>
            </w:pPr>
          </w:p>
        </w:tc>
        <w:tc>
          <w:tcPr>
            <w:tcW w:w="380" w:type="pct"/>
            <w:shd w:val="clear" w:color="auto" w:fill="auto"/>
            <w:vAlign w:val="center"/>
          </w:tcPr>
          <w:p w14:paraId="2118CF07">
            <w:pPr>
              <w:spacing w:line="240" w:lineRule="atLeast"/>
              <w:ind w:left="-48" w:leftChars="-23" w:right="-65" w:rightChars="-31"/>
              <w:jc w:val="left"/>
              <w:rPr>
                <w:rFonts w:cs="宋体"/>
                <w:szCs w:val="24"/>
              </w:rPr>
            </w:pPr>
          </w:p>
        </w:tc>
        <w:tc>
          <w:tcPr>
            <w:tcW w:w="282" w:type="pct"/>
            <w:tcBorders>
              <w:left w:val="single" w:color="auto" w:sz="4" w:space="0"/>
            </w:tcBorders>
            <w:shd w:val="clear" w:color="auto" w:fill="auto"/>
            <w:vAlign w:val="center"/>
          </w:tcPr>
          <w:p w14:paraId="1F00C114">
            <w:pPr>
              <w:spacing w:line="240" w:lineRule="atLeast"/>
              <w:ind w:left="-48" w:leftChars="-23" w:right="-65" w:rightChars="-31"/>
              <w:jc w:val="left"/>
              <w:rPr>
                <w:rFonts w:cs="宋体"/>
                <w:szCs w:val="24"/>
              </w:rPr>
            </w:pPr>
          </w:p>
        </w:tc>
        <w:tc>
          <w:tcPr>
            <w:tcW w:w="478" w:type="pct"/>
            <w:tcBorders>
              <w:left w:val="single" w:color="auto" w:sz="4" w:space="0"/>
              <w:right w:val="single" w:color="auto" w:sz="4" w:space="0"/>
            </w:tcBorders>
            <w:shd w:val="clear" w:color="auto" w:fill="auto"/>
            <w:vAlign w:val="center"/>
          </w:tcPr>
          <w:p w14:paraId="39DA2191">
            <w:pPr>
              <w:spacing w:line="240" w:lineRule="atLeast"/>
              <w:ind w:left="-48" w:leftChars="-23" w:right="-65" w:rightChars="-31"/>
              <w:jc w:val="left"/>
              <w:rPr>
                <w:rFonts w:cs="宋体"/>
                <w:szCs w:val="24"/>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hint="eastAsia" w:cs="宋体"/>
                <w:szCs w:val="24"/>
              </w:rPr>
            </w:pPr>
          </w:p>
        </w:tc>
        <w:tc>
          <w:tcPr>
            <w:tcW w:w="560" w:type="pct"/>
            <w:tcBorders>
              <w:left w:val="single" w:color="auto" w:sz="4" w:space="0"/>
            </w:tcBorders>
            <w:shd w:val="clear" w:color="auto" w:fill="auto"/>
            <w:vAlign w:val="center"/>
          </w:tcPr>
          <w:p w14:paraId="488B511B">
            <w:pPr>
              <w:spacing w:line="240" w:lineRule="atLeast"/>
              <w:ind w:left="-48" w:leftChars="-23" w:right="-65" w:rightChars="-31"/>
              <w:jc w:val="left"/>
              <w:rPr>
                <w:rFonts w:cs="宋体"/>
                <w:szCs w:val="24"/>
              </w:rPr>
            </w:pPr>
          </w:p>
        </w:tc>
        <w:tc>
          <w:tcPr>
            <w:tcW w:w="511" w:type="pct"/>
            <w:tcBorders>
              <w:left w:val="single" w:color="auto" w:sz="4" w:space="0"/>
            </w:tcBorders>
            <w:shd w:val="clear" w:color="auto" w:fill="auto"/>
            <w:vAlign w:val="center"/>
          </w:tcPr>
          <w:p w14:paraId="630599EE">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2392663E">
            <w:pPr>
              <w:spacing w:line="240" w:lineRule="atLeast"/>
              <w:ind w:left="-48" w:leftChars="-23" w:right="-65" w:rightChars="-31"/>
              <w:jc w:val="left"/>
              <w:rPr>
                <w:rFonts w:cs="宋体"/>
                <w:szCs w:val="24"/>
              </w:rPr>
            </w:pPr>
          </w:p>
        </w:tc>
        <w:tc>
          <w:tcPr>
            <w:tcW w:w="449" w:type="pct"/>
            <w:tcBorders>
              <w:left w:val="single" w:color="auto" w:sz="4" w:space="0"/>
            </w:tcBorders>
            <w:shd w:val="clear" w:color="auto" w:fill="auto"/>
            <w:vAlign w:val="center"/>
          </w:tcPr>
          <w:p w14:paraId="729BB8DB">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24ACDC09">
            <w:pPr>
              <w:spacing w:line="240" w:lineRule="atLeast"/>
              <w:ind w:left="-48" w:leftChars="-23" w:right="-65" w:rightChars="-31"/>
              <w:jc w:val="left"/>
              <w:rPr>
                <w:rFonts w:cs="宋体"/>
                <w:szCs w:val="24"/>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563A9DFF">
            <w:pPr>
              <w:tabs>
                <w:tab w:val="left" w:pos="82"/>
              </w:tabs>
              <w:jc w:val="center"/>
            </w:pPr>
            <w:r>
              <w:rPr>
                <w:rFonts w:hint="eastAsia"/>
              </w:rPr>
              <w:t>…</w:t>
            </w:r>
          </w:p>
        </w:tc>
        <w:tc>
          <w:tcPr>
            <w:tcW w:w="201" w:type="pct"/>
            <w:tcBorders>
              <w:bottom w:val="single" w:color="auto" w:sz="4" w:space="0"/>
            </w:tcBorders>
            <w:shd w:val="clear" w:color="auto" w:fill="auto"/>
            <w:vAlign w:val="center"/>
          </w:tcPr>
          <w:p w14:paraId="5E924863">
            <w:pPr>
              <w:spacing w:line="240" w:lineRule="atLeast"/>
              <w:ind w:left="-48" w:leftChars="-23" w:right="-65" w:rightChars="-31"/>
              <w:jc w:val="left"/>
              <w:rPr>
                <w:rFonts w:cs="宋体"/>
                <w:szCs w:val="24"/>
              </w:rPr>
            </w:pPr>
          </w:p>
        </w:tc>
        <w:tc>
          <w:tcPr>
            <w:tcW w:w="380" w:type="pct"/>
            <w:tcBorders>
              <w:bottom w:val="single" w:color="auto" w:sz="4" w:space="0"/>
            </w:tcBorders>
            <w:shd w:val="clear" w:color="auto" w:fill="auto"/>
            <w:vAlign w:val="center"/>
          </w:tcPr>
          <w:p w14:paraId="7F8C583D">
            <w:pPr>
              <w:spacing w:line="240" w:lineRule="atLeast"/>
              <w:ind w:left="-48" w:leftChars="-23" w:right="-65" w:rightChars="-31"/>
              <w:jc w:val="left"/>
              <w:rPr>
                <w:rFonts w:cs="宋体"/>
                <w:szCs w:val="24"/>
              </w:rPr>
            </w:pPr>
          </w:p>
        </w:tc>
        <w:tc>
          <w:tcPr>
            <w:tcW w:w="282" w:type="pct"/>
            <w:tcBorders>
              <w:left w:val="single" w:color="auto" w:sz="4" w:space="0"/>
              <w:bottom w:val="single" w:color="auto" w:sz="4" w:space="0"/>
            </w:tcBorders>
            <w:shd w:val="clear" w:color="auto" w:fill="auto"/>
            <w:vAlign w:val="center"/>
          </w:tcPr>
          <w:p w14:paraId="4319768C">
            <w:pPr>
              <w:spacing w:line="240" w:lineRule="atLeast"/>
              <w:ind w:left="-48" w:leftChars="-23" w:right="-65" w:rightChars="-31"/>
              <w:jc w:val="left"/>
              <w:rPr>
                <w:rFonts w:cs="宋体"/>
                <w:szCs w:val="24"/>
              </w:rPr>
            </w:pPr>
          </w:p>
        </w:tc>
        <w:tc>
          <w:tcPr>
            <w:tcW w:w="478" w:type="pct"/>
            <w:tcBorders>
              <w:left w:val="single" w:color="auto" w:sz="4" w:space="0"/>
              <w:bottom w:val="single" w:color="auto" w:sz="4" w:space="0"/>
              <w:right w:val="single" w:color="auto" w:sz="4" w:space="0"/>
            </w:tcBorders>
            <w:shd w:val="clear" w:color="auto" w:fill="auto"/>
            <w:vAlign w:val="center"/>
          </w:tcPr>
          <w:p w14:paraId="33135464">
            <w:pPr>
              <w:spacing w:line="240" w:lineRule="atLeast"/>
              <w:ind w:left="-48" w:leftChars="-23" w:right="-65" w:rightChars="-31"/>
              <w:jc w:val="left"/>
              <w:rPr>
                <w:rFonts w:cs="宋体"/>
                <w:szCs w:val="24"/>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cs="宋体"/>
                <w:szCs w:val="24"/>
              </w:rPr>
            </w:pPr>
          </w:p>
        </w:tc>
        <w:tc>
          <w:tcPr>
            <w:tcW w:w="560" w:type="pct"/>
            <w:tcBorders>
              <w:left w:val="single" w:color="auto" w:sz="4" w:space="0"/>
              <w:bottom w:val="single" w:color="auto" w:sz="4" w:space="0"/>
            </w:tcBorders>
            <w:shd w:val="clear" w:color="auto" w:fill="auto"/>
            <w:vAlign w:val="center"/>
          </w:tcPr>
          <w:p w14:paraId="1B29C270">
            <w:pPr>
              <w:spacing w:line="240" w:lineRule="atLeast"/>
              <w:ind w:left="-48" w:leftChars="-23" w:right="-65" w:rightChars="-31"/>
              <w:jc w:val="left"/>
              <w:rPr>
                <w:rFonts w:cs="宋体"/>
                <w:szCs w:val="24"/>
              </w:rPr>
            </w:pPr>
          </w:p>
        </w:tc>
        <w:tc>
          <w:tcPr>
            <w:tcW w:w="511" w:type="pct"/>
            <w:tcBorders>
              <w:left w:val="single" w:color="auto" w:sz="4" w:space="0"/>
              <w:bottom w:val="single" w:color="auto" w:sz="4" w:space="0"/>
            </w:tcBorders>
            <w:shd w:val="clear" w:color="auto" w:fill="auto"/>
            <w:vAlign w:val="center"/>
          </w:tcPr>
          <w:p w14:paraId="4EC1DCA5">
            <w:pPr>
              <w:spacing w:line="240" w:lineRule="atLeast"/>
              <w:ind w:left="-48" w:leftChars="-23" w:right="-65" w:rightChars="-31"/>
              <w:jc w:val="left"/>
              <w:rPr>
                <w:rFonts w:cs="宋体"/>
                <w:szCs w:val="24"/>
              </w:rPr>
            </w:pPr>
          </w:p>
          <w:p w14:paraId="56BF2198"/>
        </w:tc>
        <w:tc>
          <w:tcPr>
            <w:tcW w:w="606" w:type="pct"/>
            <w:tcBorders>
              <w:left w:val="single" w:color="auto" w:sz="4" w:space="0"/>
              <w:bottom w:val="single" w:color="auto" w:sz="4" w:space="0"/>
            </w:tcBorders>
            <w:shd w:val="clear" w:color="auto" w:fill="auto"/>
            <w:vAlign w:val="center"/>
          </w:tcPr>
          <w:p w14:paraId="6DA7B2EB"/>
        </w:tc>
        <w:tc>
          <w:tcPr>
            <w:tcW w:w="449" w:type="pct"/>
            <w:tcBorders>
              <w:left w:val="single" w:color="auto" w:sz="4" w:space="0"/>
              <w:bottom w:val="single" w:color="auto" w:sz="4" w:space="0"/>
            </w:tcBorders>
            <w:shd w:val="clear" w:color="auto" w:fill="auto"/>
            <w:vAlign w:val="center"/>
          </w:tcPr>
          <w:p w14:paraId="0D352044">
            <w:pPr>
              <w:spacing w:line="240" w:lineRule="atLeast"/>
              <w:ind w:left="-48" w:leftChars="-23" w:right="-65" w:rightChars="-31"/>
              <w:jc w:val="left"/>
              <w:rPr>
                <w:rFonts w:cs="宋体"/>
                <w:szCs w:val="24"/>
              </w:rPr>
            </w:pPr>
          </w:p>
        </w:tc>
        <w:tc>
          <w:tcPr>
            <w:tcW w:w="587" w:type="pct"/>
            <w:tcBorders>
              <w:left w:val="single" w:color="auto" w:sz="4" w:space="0"/>
              <w:bottom w:val="single" w:color="auto" w:sz="4" w:space="0"/>
            </w:tcBorders>
            <w:shd w:val="clear" w:color="auto" w:fill="auto"/>
            <w:vAlign w:val="center"/>
          </w:tcPr>
          <w:p w14:paraId="2EBEC3BF">
            <w:pPr>
              <w:spacing w:line="240" w:lineRule="atLeast"/>
              <w:ind w:left="-48" w:leftChars="-23" w:right="-65" w:rightChars="-31"/>
              <w:jc w:val="left"/>
              <w:rPr>
                <w:rFonts w:cs="宋体"/>
                <w:szCs w:val="24"/>
              </w:rPr>
            </w:pPr>
          </w:p>
        </w:tc>
      </w:tr>
    </w:tbl>
    <w:p w14:paraId="474E7602">
      <w:pPr>
        <w:spacing w:line="360" w:lineRule="auto"/>
        <w:jc w:val="left"/>
        <w:rPr>
          <w:szCs w:val="21"/>
        </w:rPr>
      </w:pPr>
    </w:p>
    <w:p w14:paraId="752808A1">
      <w:pPr>
        <w:spacing w:line="360" w:lineRule="auto"/>
        <w:jc w:val="left"/>
        <w:rPr>
          <w:szCs w:val="21"/>
        </w:rPr>
      </w:pPr>
      <w:r>
        <w:rPr>
          <w:rFonts w:hint="eastAsia"/>
          <w:szCs w:val="21"/>
          <w:lang w:val="en-US" w:eastAsia="zh-CN"/>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szCs w:val="21"/>
        </w:rPr>
      </w:pPr>
      <w:r>
        <w:rPr>
          <w:szCs w:val="21"/>
        </w:rPr>
        <w:t>供应商名称（</w:t>
      </w:r>
      <w:r>
        <w:rPr>
          <w:rFonts w:hint="eastAsia"/>
          <w:szCs w:val="21"/>
        </w:rPr>
        <w:t>电子签章</w:t>
      </w:r>
      <w:r>
        <w:rPr>
          <w:szCs w:val="21"/>
        </w:rPr>
        <w:t>）：</w:t>
      </w:r>
      <w:r>
        <w:rPr>
          <w:szCs w:val="21"/>
          <w:u w:val="single"/>
        </w:rPr>
        <w:t xml:space="preserve">                          </w:t>
      </w:r>
    </w:p>
    <w:p w14:paraId="334743E0">
      <w:pPr>
        <w:spacing w:line="360" w:lineRule="auto"/>
        <w:ind w:firstLine="6090" w:firstLineChars="2900"/>
        <w:jc w:val="left"/>
        <w:rPr>
          <w:szCs w:val="21"/>
        </w:rPr>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r>
        <w:rPr>
          <w:szCs w:val="21"/>
        </w:rPr>
        <w:t>日  期</w:t>
      </w:r>
      <w:r>
        <w:rPr>
          <w:rFonts w:hint="eastAsia" w:eastAsia="宋体"/>
          <w:szCs w:val="21"/>
          <w:lang w:eastAsia="zh-CN"/>
        </w:rPr>
        <w:t>：</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 xml:space="preserve">日 </w:t>
      </w:r>
    </w:p>
    <w:p w14:paraId="041B2402">
      <w:pPr>
        <w:widowControl/>
        <w:jc w:val="left"/>
        <w:outlineLvl w:val="1"/>
        <w:rPr>
          <w:szCs w:val="21"/>
        </w:rPr>
      </w:pPr>
      <w:r>
        <w:rPr>
          <w:rFonts w:hint="eastAsia"/>
          <w:bCs/>
          <w:color w:val="auto"/>
          <w:sz w:val="24"/>
          <w:lang w:val="en-US" w:eastAsia="zh-CN"/>
        </w:rPr>
        <w:t>4</w:t>
      </w:r>
      <w:r>
        <w:rPr>
          <w:rFonts w:hint="eastAsia"/>
          <w:bCs/>
          <w:color w:val="auto"/>
          <w:sz w:val="24"/>
        </w:rPr>
        <w:t>.</w:t>
      </w:r>
      <w:bookmarkStart w:id="130" w:name="_Hlk89184603"/>
      <w:bookmarkStart w:id="131" w:name="_Hlk89181869"/>
      <w:r>
        <w:rPr>
          <w:rFonts w:hint="eastAsia"/>
          <w:szCs w:val="21"/>
        </w:rPr>
        <w:t>开标一览表</w:t>
      </w:r>
    </w:p>
    <w:p w14:paraId="7330D246">
      <w:pPr>
        <w:widowControl/>
        <w:jc w:val="left"/>
        <w:rPr>
          <w:color w:val="4472C4"/>
          <w:szCs w:val="21"/>
        </w:rPr>
      </w:pPr>
    </w:p>
    <w:p w14:paraId="3F920EB1">
      <w:pPr>
        <w:widowControl/>
        <w:jc w:val="left"/>
        <w:rPr>
          <w:color w:val="4472C4"/>
          <w:szCs w:val="21"/>
        </w:rPr>
      </w:pPr>
    </w:p>
    <w:p w14:paraId="053178E5">
      <w:pPr>
        <w:widowControl/>
        <w:jc w:val="left"/>
        <w:rPr>
          <w:color w:val="4472C4"/>
          <w:szCs w:val="21"/>
        </w:rPr>
      </w:pPr>
    </w:p>
    <w:p w14:paraId="05AA8D6B">
      <w:pPr>
        <w:rPr>
          <w:b/>
          <w:szCs w:val="21"/>
        </w:rPr>
      </w:pPr>
    </w:p>
    <w:p w14:paraId="676F7CB6">
      <w:pPr>
        <w:rPr>
          <w:b/>
          <w:szCs w:val="21"/>
        </w:rPr>
      </w:pPr>
    </w:p>
    <w:p w14:paraId="32B68501">
      <w:pPr>
        <w:rPr>
          <w:b/>
          <w:szCs w:val="21"/>
        </w:rPr>
      </w:pPr>
      <w:r>
        <w:rPr>
          <w:rFonts w:hint="eastAsia"/>
          <w:b/>
          <w:szCs w:val="21"/>
        </w:rPr>
        <w:t>格式详见广西政府采购云平台，且仅在广西政府采购云平台填写即可。</w:t>
      </w:r>
    </w:p>
    <w:bookmarkEnd w:id="130"/>
    <w:p w14:paraId="7A45542E">
      <w:pPr>
        <w:spacing w:line="340" w:lineRule="exact"/>
        <w:ind w:firstLine="420" w:firstLineChars="200"/>
        <w:rPr>
          <w:color w:val="4472C4"/>
          <w:szCs w:val="21"/>
        </w:rPr>
      </w:pPr>
    </w:p>
    <w:bookmarkEnd w:id="128"/>
    <w:bookmarkEnd w:id="131"/>
    <w:p w14:paraId="2878269E">
      <w:pPr>
        <w:rPr>
          <w:b/>
          <w:color w:val="4472C4"/>
          <w:szCs w:val="21"/>
        </w:rPr>
      </w:pPr>
    </w:p>
    <w:sectPr>
      <w:pgSz w:w="11906" w:h="16838"/>
      <w:pgMar w:top="1418" w:right="1274"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Helvetica">
    <w:altName w:val="Arial"/>
    <w:panose1 w:val="020B0604020202020204"/>
    <w:charset w:val="00"/>
    <w:family w:val="swiss"/>
    <w:pitch w:val="default"/>
    <w:sig w:usb0="00000000" w:usb1="00000000" w:usb2="00000009" w:usb3="00000000" w:csb0="000001F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9E314">
    <w:pPr>
      <w:pStyle w:val="31"/>
      <w:jc w:val="center"/>
    </w:pPr>
  </w:p>
  <w:p w14:paraId="3F3D0780">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D7DF0">
    <w:pPr>
      <w:pStyle w:val="31"/>
      <w:jc w:val="center"/>
    </w:pPr>
    <w:r>
      <w:fldChar w:fldCharType="begin"/>
    </w:r>
    <w:r>
      <w:instrText xml:space="preserve">PAGE   \* MERGEFORMAT</w:instrText>
    </w:r>
    <w:r>
      <w:fldChar w:fldCharType="separate"/>
    </w:r>
    <w:r>
      <w:rPr>
        <w:lang w:val="zh-CN"/>
      </w:rPr>
      <w:t>24</w:t>
    </w:r>
    <w:r>
      <w:fldChar w:fldCharType="end"/>
    </w:r>
  </w:p>
  <w:p w14:paraId="19F1BFB0">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8ED46">
    <w:pPr>
      <w:pStyle w:val="31"/>
      <w:jc w:val="center"/>
      <w:rPr>
        <w:rFonts w:hint="eastAsia"/>
      </w:rPr>
    </w:pPr>
    <w:r>
      <w:fldChar w:fldCharType="begin"/>
    </w:r>
    <w:r>
      <w:instrText xml:space="preserve">PAGE   \* MERGEFORMAT</w:instrText>
    </w:r>
    <w:r>
      <w:fldChar w:fldCharType="separate"/>
    </w:r>
    <w:r>
      <w:rPr>
        <w:lang w:val="zh-CN"/>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2DD3A">
    <w:pPr>
      <w:pStyle w:val="31"/>
      <w:jc w:val="center"/>
      <w:rPr>
        <w:rFonts w:hint="eastAsia"/>
      </w:rPr>
    </w:pPr>
    <w:r>
      <w:fldChar w:fldCharType="begin"/>
    </w:r>
    <w:r>
      <w:instrText xml:space="preserve">PAGE   \* MERGEFORMAT</w:instrText>
    </w:r>
    <w:r>
      <w:fldChar w:fldCharType="separate"/>
    </w:r>
    <w:r>
      <w:rPr>
        <w:lang w:val="zh-CN"/>
      </w:rPr>
      <w:t>13</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9344B">
    <w:pPr>
      <w:tabs>
        <w:tab w:val="center" w:pos="4153"/>
        <w:tab w:val="right" w:pos="8306"/>
      </w:tabs>
      <w:rPr>
        <w:rFonts w:ascii="Times New Roman" w:hAnsi="Times New Roman" w:cs="Times New Roman"/>
        <w:sz w:val="24"/>
      </w:rPr>
    </w:pPr>
    <w:r>
      <w:rPr>
        <w:rFonts w:ascii="Times New Roman" w:hAnsi="Times New Roman" w:cs="Times New Roman"/>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53035" cy="1752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53035" cy="175260"/>
                      </a:xfrm>
                      <a:prstGeom prst="rect">
                        <a:avLst/>
                      </a:prstGeom>
                      <a:noFill/>
                      <a:ln>
                        <a:noFill/>
                      </a:ln>
                    </wps:spPr>
                    <wps:txbx>
                      <w:txbxContent>
                        <w:p w14:paraId="09D77C77">
                          <w:pPr>
                            <w:tabs>
                              <w:tab w:val="center" w:pos="4153"/>
                              <w:tab w:val="right" w:pos="8306"/>
                            </w:tabs>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8</w:t>
                          </w:r>
                          <w:r>
                            <w:rPr>
                              <w:rFonts w:ascii="Times New Roman" w:hAnsi="Times New Roman" w:cs="Times New Roman"/>
                              <w:sz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3.8pt;width:12.05pt;mso-position-horizontal:center;mso-position-horizontal-relative:margin;mso-wrap-style:none;z-index:251663360;mso-width-relative:page;mso-height-relative:page;" filled="f" stroked="f" coordsize="21600,21600" o:gfxdata="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4tKjR0QAAAAMBAAAPAAAAAAAAAAEAIAAAACIAAABkcnMvZG93&#10;bnJldi54bWxQSwECFAAUAAAACACHTuJAX1+aus4BAACXAwAADgAAAAAAAAABACAAAAAgAQAAZHJz&#10;L2Uyb0RvYy54bWxQSwUGAAAAAAYABgBZAQAAYAUAAAAA&#10;">
              <v:fill on="f" focussize="0,0"/>
              <v:stroke on="f"/>
              <v:imagedata o:title=""/>
              <o:lock v:ext="edit" aspectratio="f"/>
              <v:textbox inset="0mm,0mm,0mm,0mm" style="mso-fit-shape-to-text:t;">
                <w:txbxContent>
                  <w:p w14:paraId="09D77C77">
                    <w:pPr>
                      <w:tabs>
                        <w:tab w:val="center" w:pos="4153"/>
                        <w:tab w:val="right" w:pos="8306"/>
                      </w:tabs>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8</w:t>
                    </w:r>
                    <w:r>
                      <w:rPr>
                        <w:rFonts w:ascii="Times New Roman" w:hAnsi="Times New Roman" w:cs="Times New Roman"/>
                        <w:sz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593CB">
    <w:pPr>
      <w:tabs>
        <w:tab w:val="center" w:pos="4153"/>
        <w:tab w:val="right" w:pos="8306"/>
      </w:tabs>
      <w:rPr>
        <w:rFonts w:ascii="Times New Roman" w:hAnsi="Times New Roman" w:eastAsia="宋体" w:cs="Times New Roman"/>
        <w:sz w:val="24"/>
      </w:rPr>
    </w:pPr>
    <w:r>
      <w:rPr>
        <w:rFonts w:ascii="Times New Roman" w:hAnsi="Times New Roman" w:eastAsia="宋体" w:cs="Times New Roman"/>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76835" cy="17526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FA80D0B">
                          <w:pPr>
                            <w:tabs>
                              <w:tab w:val="center" w:pos="4153"/>
                              <w:tab w:val="right" w:pos="8306"/>
                            </w:tabs>
                            <w:rPr>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PAGE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5</w:t>
                          </w:r>
                          <w:r>
                            <w:rPr>
                              <w:rFonts w:ascii="Times New Roman" w:hAnsi="Times New Roman" w:eastAsia="宋体"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3.8pt;width:6.05pt;mso-position-horizontal:center;mso-position-horizontal-relative:margin;mso-wrap-style:none;z-index:251662336;mso-width-relative:page;mso-height-relative:page;" filled="f" stroked="f" coordsize="21600,21600" o:gfxdata="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tEccdAAAAADAQAADwAAAAAAAAABACAAAAAiAAAAZHJzL2Rvd25y&#10;ZXYueG1sUEsBAhQAFAAAAAgAh07iQAUt7Y3NAQAApwMAAA4AAAAAAAAAAQAgAAAAHwEAAGRycy9l&#10;Mm9Eb2MueG1sUEsFBgAAAAAGAAYAWQEAAF4FAAAAAA==&#10;">
              <v:fill on="f" focussize="0,0"/>
              <v:stroke on="f"/>
              <v:imagedata o:title=""/>
              <o:lock v:ext="edit" aspectratio="f"/>
              <v:textbox inset="0mm,0mm,0mm,0mm" style="mso-fit-shape-to-text:t;">
                <w:txbxContent>
                  <w:p w14:paraId="1FA80D0B">
                    <w:pPr>
                      <w:tabs>
                        <w:tab w:val="center" w:pos="4153"/>
                        <w:tab w:val="right" w:pos="8306"/>
                      </w:tabs>
                      <w:rPr>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PAGE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5</w:t>
                    </w:r>
                    <w:r>
                      <w:rPr>
                        <w:rFonts w:ascii="Times New Roman" w:hAnsi="Times New Roman" w:eastAsia="宋体"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E29DB">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57</w:t>
    </w:r>
    <w:r>
      <w:fldChar w:fldCharType="end"/>
    </w:r>
  </w:p>
  <w:p w14:paraId="42392F87">
    <w:pPr>
      <w:pStyle w:val="31"/>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5245E">
    <w:pPr>
      <w:pStyle w:val="32"/>
      <w:jc w:val="left"/>
    </w:pPr>
    <w:r>
      <w:rPr>
        <w:rFonts w:hint="eastAsia"/>
      </w:rPr>
      <w:t xml:space="preserve">广西机电设备招标有限公司采购文件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33F26">
    <w:pPr>
      <w:pStyle w:val="32"/>
      <w:jc w:val="left"/>
    </w:pPr>
    <w:r>
      <w:rPr>
        <w:rFonts w:hint="eastAsia"/>
      </w:rPr>
      <w:t xml:space="preserve">广西机电设备招标有限公司采购文件                                                     </w:t>
    </w:r>
  </w:p>
  <w:p w14:paraId="40B3D250">
    <w:pPr>
      <w:pStyle w:val="32"/>
      <w:pBdr>
        <w:bottom w:val="none" w:color="auto" w:sz="0" w:space="0"/>
      </w:pBdr>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4198C">
    <w:pPr>
      <w:tabs>
        <w:tab w:val="center" w:pos="4153"/>
        <w:tab w:val="right" w:pos="8306"/>
      </w:tabs>
      <w:rPr>
        <w:rFonts w:ascii="Times New Roman" w:hAnsi="Times New Roman" w:cs="Times New Roman"/>
        <w:sz w:val="2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553C4">
    <w:pPr>
      <w:tabs>
        <w:tab w:val="center" w:pos="4153"/>
        <w:tab w:val="right" w:pos="8306"/>
      </w:tabs>
      <w:rPr>
        <w:rFonts w:ascii="Times New Roman" w:hAnsi="Times New Roman" w:eastAsia="宋体" w:cs="Times New Roman"/>
        <w:sz w:val="2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D1BAD">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33E01">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5236D">
    <w:pPr>
      <w:pStyle w:val="32"/>
      <w:jc w:val="left"/>
    </w:pPr>
    <w:r>
      <w:rPr>
        <w:rFonts w:hint="eastAsia"/>
      </w:rPr>
      <w:t>广西机电设备招标有限公司采购文件                                                              竞争性谈判公告</w:t>
    </w:r>
  </w:p>
  <w:p w14:paraId="2F078FDF">
    <w:pPr>
      <w:pStyle w:val="32"/>
      <w:pBdr>
        <w:bottom w:val="none" w:color="auto" w:sz="0" w:space="0"/>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3FA17">
    <w:pPr>
      <w:pStyle w:val="32"/>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8066E">
    <w:pPr>
      <w:pStyle w:val="32"/>
      <w:pBdr>
        <w:bottom w:val="single" w:color="auto" w:sz="6" w:space="0"/>
      </w:pBdr>
      <w:jc w:val="left"/>
    </w:pPr>
    <w:r>
      <w:rPr>
        <w:rFonts w:hint="eastAsia"/>
      </w:rPr>
      <w:t xml:space="preserve">广西机电设备招标有限公司采购文件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9746F">
    <w:pPr>
      <w:pStyle w:val="32"/>
      <w:jc w:val="left"/>
    </w:pPr>
    <w:r>
      <w:rPr>
        <w:rFonts w:hint="eastAsia"/>
      </w:rPr>
      <w:t xml:space="preserve">广西机电设备招标有限公司招标文件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BE5F2">
    <w:pPr>
      <w:pStyle w:val="32"/>
      <w:jc w:val="left"/>
    </w:pPr>
    <w:r>
      <w:rPr>
        <w:rFonts w:hint="eastAsia"/>
      </w:rPr>
      <w:t xml:space="preserve">广西机电设备招标有限公司招标文件                                                           </w:t>
    </w:r>
  </w:p>
  <w:p w14:paraId="416DEDBB">
    <w:pPr>
      <w:pStyle w:val="32"/>
      <w:pBdr>
        <w:bottom w:val="none" w:color="auto"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A0EB7">
    <w:pPr>
      <w:pStyle w:val="32"/>
      <w:jc w:val="left"/>
    </w:pPr>
    <w:r>
      <w:rPr>
        <w:rFonts w:hint="eastAsia"/>
      </w:rPr>
      <w:t xml:space="preserve">广西机电设备招标有限公司采购文件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B91E9">
    <w:pPr>
      <w:pStyle w:val="32"/>
      <w:jc w:val="left"/>
    </w:pPr>
    <w:r>
      <w:rPr>
        <w:rFonts w:hint="eastAsia"/>
      </w:rPr>
      <w:t xml:space="preserve">广西机电设备招标有限公司采购文件                                                           </w:t>
    </w:r>
  </w:p>
  <w:p w14:paraId="635FF97A">
    <w:pPr>
      <w:pStyle w:val="32"/>
      <w:pBdr>
        <w:bottom w:val="none" w:color="auto" w:sz="0" w:space="0"/>
      </w:pBdr>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D0257">
    <w:pPr>
      <w:pStyle w:val="32"/>
      <w:jc w:val="left"/>
    </w:pPr>
    <w:r>
      <w:rPr>
        <w:rFonts w:hint="eastAsia"/>
      </w:rPr>
      <w:t xml:space="preserve">广西机电设备招标有限公司采购文件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0A"/>
    <w:rsid w:val="000003EF"/>
    <w:rsid w:val="0000091B"/>
    <w:rsid w:val="00000D0A"/>
    <w:rsid w:val="00000D19"/>
    <w:rsid w:val="00000E1A"/>
    <w:rsid w:val="00001B3E"/>
    <w:rsid w:val="00001CD6"/>
    <w:rsid w:val="00002DDA"/>
    <w:rsid w:val="00003D69"/>
    <w:rsid w:val="00003DAE"/>
    <w:rsid w:val="000058D7"/>
    <w:rsid w:val="00005E55"/>
    <w:rsid w:val="00006E2C"/>
    <w:rsid w:val="000079FF"/>
    <w:rsid w:val="00007B0D"/>
    <w:rsid w:val="000102A9"/>
    <w:rsid w:val="000103C7"/>
    <w:rsid w:val="00010B1A"/>
    <w:rsid w:val="00010CAB"/>
    <w:rsid w:val="00011D72"/>
    <w:rsid w:val="00012078"/>
    <w:rsid w:val="0001292D"/>
    <w:rsid w:val="00013139"/>
    <w:rsid w:val="0001371C"/>
    <w:rsid w:val="00013748"/>
    <w:rsid w:val="00013D1E"/>
    <w:rsid w:val="00013D41"/>
    <w:rsid w:val="000143A3"/>
    <w:rsid w:val="00014518"/>
    <w:rsid w:val="00014ADD"/>
    <w:rsid w:val="00014DD6"/>
    <w:rsid w:val="0001598C"/>
    <w:rsid w:val="000160DA"/>
    <w:rsid w:val="00016C31"/>
    <w:rsid w:val="000207AB"/>
    <w:rsid w:val="00020BB1"/>
    <w:rsid w:val="00020BF0"/>
    <w:rsid w:val="000215B7"/>
    <w:rsid w:val="000217BF"/>
    <w:rsid w:val="000217D7"/>
    <w:rsid w:val="00021C98"/>
    <w:rsid w:val="00021CCD"/>
    <w:rsid w:val="00021EE3"/>
    <w:rsid w:val="00022424"/>
    <w:rsid w:val="000228AB"/>
    <w:rsid w:val="000233CA"/>
    <w:rsid w:val="000234FB"/>
    <w:rsid w:val="00023652"/>
    <w:rsid w:val="0002407B"/>
    <w:rsid w:val="00024633"/>
    <w:rsid w:val="00024B89"/>
    <w:rsid w:val="0002560A"/>
    <w:rsid w:val="00025656"/>
    <w:rsid w:val="00025CB2"/>
    <w:rsid w:val="00025DA0"/>
    <w:rsid w:val="0002696D"/>
    <w:rsid w:val="0002754D"/>
    <w:rsid w:val="00027666"/>
    <w:rsid w:val="000276B2"/>
    <w:rsid w:val="00027A46"/>
    <w:rsid w:val="00027AF3"/>
    <w:rsid w:val="00030024"/>
    <w:rsid w:val="00030124"/>
    <w:rsid w:val="000305FD"/>
    <w:rsid w:val="0003084F"/>
    <w:rsid w:val="00030C2F"/>
    <w:rsid w:val="00030DAA"/>
    <w:rsid w:val="000311F9"/>
    <w:rsid w:val="00031757"/>
    <w:rsid w:val="00032686"/>
    <w:rsid w:val="0003274B"/>
    <w:rsid w:val="00032AD8"/>
    <w:rsid w:val="000331CC"/>
    <w:rsid w:val="0003322E"/>
    <w:rsid w:val="000335CC"/>
    <w:rsid w:val="00033927"/>
    <w:rsid w:val="00033B67"/>
    <w:rsid w:val="00035840"/>
    <w:rsid w:val="00035844"/>
    <w:rsid w:val="00035DF4"/>
    <w:rsid w:val="00036BAA"/>
    <w:rsid w:val="00037895"/>
    <w:rsid w:val="00037C63"/>
    <w:rsid w:val="00037C99"/>
    <w:rsid w:val="00037CE4"/>
    <w:rsid w:val="00040187"/>
    <w:rsid w:val="000406A9"/>
    <w:rsid w:val="00040AC1"/>
    <w:rsid w:val="000418B1"/>
    <w:rsid w:val="00042BF9"/>
    <w:rsid w:val="00043295"/>
    <w:rsid w:val="00045069"/>
    <w:rsid w:val="00045194"/>
    <w:rsid w:val="00045947"/>
    <w:rsid w:val="00045B8A"/>
    <w:rsid w:val="000462A8"/>
    <w:rsid w:val="00046360"/>
    <w:rsid w:val="0004653D"/>
    <w:rsid w:val="000465AB"/>
    <w:rsid w:val="00046DC4"/>
    <w:rsid w:val="00046E59"/>
    <w:rsid w:val="000472E6"/>
    <w:rsid w:val="000476C9"/>
    <w:rsid w:val="000479CD"/>
    <w:rsid w:val="00047FA4"/>
    <w:rsid w:val="000500E6"/>
    <w:rsid w:val="000504FE"/>
    <w:rsid w:val="00050E2B"/>
    <w:rsid w:val="00052A50"/>
    <w:rsid w:val="00052CA6"/>
    <w:rsid w:val="00052CE3"/>
    <w:rsid w:val="00053BFC"/>
    <w:rsid w:val="0005428F"/>
    <w:rsid w:val="00054870"/>
    <w:rsid w:val="00054ABD"/>
    <w:rsid w:val="00054F7D"/>
    <w:rsid w:val="00055230"/>
    <w:rsid w:val="00055282"/>
    <w:rsid w:val="00055557"/>
    <w:rsid w:val="000556A1"/>
    <w:rsid w:val="00055A1D"/>
    <w:rsid w:val="00055A8A"/>
    <w:rsid w:val="00055E6D"/>
    <w:rsid w:val="00055F06"/>
    <w:rsid w:val="0005625F"/>
    <w:rsid w:val="000563CB"/>
    <w:rsid w:val="0005649E"/>
    <w:rsid w:val="00056597"/>
    <w:rsid w:val="00056999"/>
    <w:rsid w:val="0005700C"/>
    <w:rsid w:val="00057393"/>
    <w:rsid w:val="00057E45"/>
    <w:rsid w:val="000606B6"/>
    <w:rsid w:val="00060C55"/>
    <w:rsid w:val="000616F0"/>
    <w:rsid w:val="00061DF2"/>
    <w:rsid w:val="00062637"/>
    <w:rsid w:val="000631AC"/>
    <w:rsid w:val="000631B7"/>
    <w:rsid w:val="000639D4"/>
    <w:rsid w:val="00064A48"/>
    <w:rsid w:val="00064C80"/>
    <w:rsid w:val="00065AB2"/>
    <w:rsid w:val="00065AB7"/>
    <w:rsid w:val="00065D71"/>
    <w:rsid w:val="0006667A"/>
    <w:rsid w:val="000673D8"/>
    <w:rsid w:val="00067DE7"/>
    <w:rsid w:val="000706AC"/>
    <w:rsid w:val="00070950"/>
    <w:rsid w:val="000709D3"/>
    <w:rsid w:val="00070B2E"/>
    <w:rsid w:val="00070F5F"/>
    <w:rsid w:val="000710CA"/>
    <w:rsid w:val="000712F8"/>
    <w:rsid w:val="00071A6A"/>
    <w:rsid w:val="00071C4A"/>
    <w:rsid w:val="00071C95"/>
    <w:rsid w:val="00071E9C"/>
    <w:rsid w:val="0007216A"/>
    <w:rsid w:val="00072A95"/>
    <w:rsid w:val="00073F01"/>
    <w:rsid w:val="00074218"/>
    <w:rsid w:val="00074923"/>
    <w:rsid w:val="00074CBD"/>
    <w:rsid w:val="000750EA"/>
    <w:rsid w:val="000753A7"/>
    <w:rsid w:val="00076AA9"/>
    <w:rsid w:val="00077698"/>
    <w:rsid w:val="00077891"/>
    <w:rsid w:val="0007797E"/>
    <w:rsid w:val="000800AA"/>
    <w:rsid w:val="0008017C"/>
    <w:rsid w:val="00080AA6"/>
    <w:rsid w:val="00081C1C"/>
    <w:rsid w:val="00081F2E"/>
    <w:rsid w:val="000820CD"/>
    <w:rsid w:val="000822F0"/>
    <w:rsid w:val="00082611"/>
    <w:rsid w:val="0008264F"/>
    <w:rsid w:val="0008372E"/>
    <w:rsid w:val="00083A64"/>
    <w:rsid w:val="00083B97"/>
    <w:rsid w:val="000866A9"/>
    <w:rsid w:val="00086EC2"/>
    <w:rsid w:val="00087358"/>
    <w:rsid w:val="000873F5"/>
    <w:rsid w:val="00087A48"/>
    <w:rsid w:val="00090053"/>
    <w:rsid w:val="000900DF"/>
    <w:rsid w:val="00090193"/>
    <w:rsid w:val="0009021F"/>
    <w:rsid w:val="00091D8D"/>
    <w:rsid w:val="000923A3"/>
    <w:rsid w:val="00093149"/>
    <w:rsid w:val="00093A83"/>
    <w:rsid w:val="00093DF8"/>
    <w:rsid w:val="000941F6"/>
    <w:rsid w:val="000945C5"/>
    <w:rsid w:val="00094784"/>
    <w:rsid w:val="00094ECF"/>
    <w:rsid w:val="0009592E"/>
    <w:rsid w:val="00096686"/>
    <w:rsid w:val="0009715C"/>
    <w:rsid w:val="000A10DB"/>
    <w:rsid w:val="000A1429"/>
    <w:rsid w:val="000A2075"/>
    <w:rsid w:val="000A2584"/>
    <w:rsid w:val="000A2968"/>
    <w:rsid w:val="000A3515"/>
    <w:rsid w:val="000A3518"/>
    <w:rsid w:val="000A6F1D"/>
    <w:rsid w:val="000A70C7"/>
    <w:rsid w:val="000A7238"/>
    <w:rsid w:val="000A791D"/>
    <w:rsid w:val="000B0698"/>
    <w:rsid w:val="000B09FE"/>
    <w:rsid w:val="000B15EF"/>
    <w:rsid w:val="000B26D6"/>
    <w:rsid w:val="000B28C2"/>
    <w:rsid w:val="000B316D"/>
    <w:rsid w:val="000B3194"/>
    <w:rsid w:val="000B3CFE"/>
    <w:rsid w:val="000B4EF3"/>
    <w:rsid w:val="000B554C"/>
    <w:rsid w:val="000B59FF"/>
    <w:rsid w:val="000B5D87"/>
    <w:rsid w:val="000B6F18"/>
    <w:rsid w:val="000B7E6D"/>
    <w:rsid w:val="000C0269"/>
    <w:rsid w:val="000C350A"/>
    <w:rsid w:val="000C38C8"/>
    <w:rsid w:val="000C3CF9"/>
    <w:rsid w:val="000C4988"/>
    <w:rsid w:val="000C56F1"/>
    <w:rsid w:val="000C59D1"/>
    <w:rsid w:val="000C5D4B"/>
    <w:rsid w:val="000C645C"/>
    <w:rsid w:val="000C6F35"/>
    <w:rsid w:val="000C7045"/>
    <w:rsid w:val="000C7170"/>
    <w:rsid w:val="000C757A"/>
    <w:rsid w:val="000C7D9F"/>
    <w:rsid w:val="000C7FA4"/>
    <w:rsid w:val="000D1B95"/>
    <w:rsid w:val="000D207B"/>
    <w:rsid w:val="000D211B"/>
    <w:rsid w:val="000D3E1B"/>
    <w:rsid w:val="000D4061"/>
    <w:rsid w:val="000D4860"/>
    <w:rsid w:val="000D48FB"/>
    <w:rsid w:val="000D4B4F"/>
    <w:rsid w:val="000D4EC1"/>
    <w:rsid w:val="000D55FD"/>
    <w:rsid w:val="000D6AC8"/>
    <w:rsid w:val="000E01DF"/>
    <w:rsid w:val="000E0E30"/>
    <w:rsid w:val="000E1C04"/>
    <w:rsid w:val="000E2AD1"/>
    <w:rsid w:val="000E2BC5"/>
    <w:rsid w:val="000E3CD3"/>
    <w:rsid w:val="000E3D2F"/>
    <w:rsid w:val="000E4712"/>
    <w:rsid w:val="000E612C"/>
    <w:rsid w:val="000E6D38"/>
    <w:rsid w:val="000E72E7"/>
    <w:rsid w:val="000E72F6"/>
    <w:rsid w:val="000E75B3"/>
    <w:rsid w:val="000E7CC8"/>
    <w:rsid w:val="000F1769"/>
    <w:rsid w:val="000F1B78"/>
    <w:rsid w:val="000F1F2C"/>
    <w:rsid w:val="000F1F51"/>
    <w:rsid w:val="000F1FB0"/>
    <w:rsid w:val="000F2181"/>
    <w:rsid w:val="000F24AC"/>
    <w:rsid w:val="000F2BA5"/>
    <w:rsid w:val="000F2BFA"/>
    <w:rsid w:val="000F2F60"/>
    <w:rsid w:val="000F4B3A"/>
    <w:rsid w:val="000F5331"/>
    <w:rsid w:val="000F55C9"/>
    <w:rsid w:val="000F5AE9"/>
    <w:rsid w:val="000F6242"/>
    <w:rsid w:val="000F6F32"/>
    <w:rsid w:val="000F7264"/>
    <w:rsid w:val="000F75A8"/>
    <w:rsid w:val="000F76E0"/>
    <w:rsid w:val="000F7F50"/>
    <w:rsid w:val="00100331"/>
    <w:rsid w:val="00101255"/>
    <w:rsid w:val="001016BB"/>
    <w:rsid w:val="0010251A"/>
    <w:rsid w:val="00102BC3"/>
    <w:rsid w:val="00103458"/>
    <w:rsid w:val="00104AFF"/>
    <w:rsid w:val="001054C2"/>
    <w:rsid w:val="00105A06"/>
    <w:rsid w:val="001078F4"/>
    <w:rsid w:val="00110797"/>
    <w:rsid w:val="00111D44"/>
    <w:rsid w:val="00111ECD"/>
    <w:rsid w:val="001121DD"/>
    <w:rsid w:val="00112DBF"/>
    <w:rsid w:val="00112DD2"/>
    <w:rsid w:val="00113646"/>
    <w:rsid w:val="0011487E"/>
    <w:rsid w:val="001150C7"/>
    <w:rsid w:val="0011545B"/>
    <w:rsid w:val="00116258"/>
    <w:rsid w:val="0011730E"/>
    <w:rsid w:val="00117559"/>
    <w:rsid w:val="00117694"/>
    <w:rsid w:val="00117CB4"/>
    <w:rsid w:val="0012077F"/>
    <w:rsid w:val="00120813"/>
    <w:rsid w:val="0012099E"/>
    <w:rsid w:val="00120E60"/>
    <w:rsid w:val="0012130E"/>
    <w:rsid w:val="001213B0"/>
    <w:rsid w:val="00121741"/>
    <w:rsid w:val="00121818"/>
    <w:rsid w:val="00121832"/>
    <w:rsid w:val="00121BDD"/>
    <w:rsid w:val="0012235C"/>
    <w:rsid w:val="0012239D"/>
    <w:rsid w:val="00122A75"/>
    <w:rsid w:val="00122C14"/>
    <w:rsid w:val="0012405C"/>
    <w:rsid w:val="001241D1"/>
    <w:rsid w:val="00124985"/>
    <w:rsid w:val="00125609"/>
    <w:rsid w:val="00126655"/>
    <w:rsid w:val="00126707"/>
    <w:rsid w:val="001269E0"/>
    <w:rsid w:val="00130116"/>
    <w:rsid w:val="0013190A"/>
    <w:rsid w:val="00131C94"/>
    <w:rsid w:val="00131DE6"/>
    <w:rsid w:val="00131EAD"/>
    <w:rsid w:val="001326DF"/>
    <w:rsid w:val="00132AD8"/>
    <w:rsid w:val="00132CCE"/>
    <w:rsid w:val="00133D01"/>
    <w:rsid w:val="00134161"/>
    <w:rsid w:val="00134510"/>
    <w:rsid w:val="00134BB0"/>
    <w:rsid w:val="0013590D"/>
    <w:rsid w:val="00136031"/>
    <w:rsid w:val="00136073"/>
    <w:rsid w:val="001361F7"/>
    <w:rsid w:val="00136606"/>
    <w:rsid w:val="00136806"/>
    <w:rsid w:val="001369A6"/>
    <w:rsid w:val="00136BD6"/>
    <w:rsid w:val="00136DBC"/>
    <w:rsid w:val="00136F77"/>
    <w:rsid w:val="00137856"/>
    <w:rsid w:val="00137BD8"/>
    <w:rsid w:val="00137E9D"/>
    <w:rsid w:val="00140291"/>
    <w:rsid w:val="001404CD"/>
    <w:rsid w:val="00141083"/>
    <w:rsid w:val="001422D4"/>
    <w:rsid w:val="001442C2"/>
    <w:rsid w:val="001449E1"/>
    <w:rsid w:val="00144D5F"/>
    <w:rsid w:val="001457CC"/>
    <w:rsid w:val="0014647C"/>
    <w:rsid w:val="00147769"/>
    <w:rsid w:val="00147916"/>
    <w:rsid w:val="0014795D"/>
    <w:rsid w:val="001479AA"/>
    <w:rsid w:val="00147F00"/>
    <w:rsid w:val="00150564"/>
    <w:rsid w:val="001506A7"/>
    <w:rsid w:val="00150882"/>
    <w:rsid w:val="00150A4A"/>
    <w:rsid w:val="00151898"/>
    <w:rsid w:val="001518B5"/>
    <w:rsid w:val="00151BBA"/>
    <w:rsid w:val="0015252D"/>
    <w:rsid w:val="00152656"/>
    <w:rsid w:val="001526A2"/>
    <w:rsid w:val="00152C00"/>
    <w:rsid w:val="00152C2B"/>
    <w:rsid w:val="00152E98"/>
    <w:rsid w:val="00153084"/>
    <w:rsid w:val="001535D0"/>
    <w:rsid w:val="001540CA"/>
    <w:rsid w:val="00154304"/>
    <w:rsid w:val="0015430F"/>
    <w:rsid w:val="0015450A"/>
    <w:rsid w:val="0015477A"/>
    <w:rsid w:val="00154F0A"/>
    <w:rsid w:val="001554C4"/>
    <w:rsid w:val="00155767"/>
    <w:rsid w:val="00156891"/>
    <w:rsid w:val="00156BA3"/>
    <w:rsid w:val="00156BFA"/>
    <w:rsid w:val="00157320"/>
    <w:rsid w:val="001579B9"/>
    <w:rsid w:val="001602EB"/>
    <w:rsid w:val="001610EB"/>
    <w:rsid w:val="00161A22"/>
    <w:rsid w:val="00161BE7"/>
    <w:rsid w:val="00161C1F"/>
    <w:rsid w:val="00161C2F"/>
    <w:rsid w:val="001620B6"/>
    <w:rsid w:val="001621E9"/>
    <w:rsid w:val="00162664"/>
    <w:rsid w:val="00163005"/>
    <w:rsid w:val="00163194"/>
    <w:rsid w:val="00163CE9"/>
    <w:rsid w:val="00163DB9"/>
    <w:rsid w:val="00164C68"/>
    <w:rsid w:val="00164F8F"/>
    <w:rsid w:val="0016529F"/>
    <w:rsid w:val="001658F5"/>
    <w:rsid w:val="00165F38"/>
    <w:rsid w:val="001661B8"/>
    <w:rsid w:val="00166237"/>
    <w:rsid w:val="0016644D"/>
    <w:rsid w:val="00166EE6"/>
    <w:rsid w:val="001672AF"/>
    <w:rsid w:val="001677C3"/>
    <w:rsid w:val="00170A14"/>
    <w:rsid w:val="0017112B"/>
    <w:rsid w:val="0017260F"/>
    <w:rsid w:val="001726CF"/>
    <w:rsid w:val="00172B96"/>
    <w:rsid w:val="00172BAF"/>
    <w:rsid w:val="00172EC0"/>
    <w:rsid w:val="00173191"/>
    <w:rsid w:val="001731C7"/>
    <w:rsid w:val="001737FE"/>
    <w:rsid w:val="00173F09"/>
    <w:rsid w:val="0017426E"/>
    <w:rsid w:val="00176E50"/>
    <w:rsid w:val="00176FB5"/>
    <w:rsid w:val="0017723E"/>
    <w:rsid w:val="001775DA"/>
    <w:rsid w:val="00177959"/>
    <w:rsid w:val="00177AD0"/>
    <w:rsid w:val="00177D53"/>
    <w:rsid w:val="001804A1"/>
    <w:rsid w:val="00181135"/>
    <w:rsid w:val="00181344"/>
    <w:rsid w:val="00181C0B"/>
    <w:rsid w:val="00182382"/>
    <w:rsid w:val="001825DE"/>
    <w:rsid w:val="00182DF8"/>
    <w:rsid w:val="001838B4"/>
    <w:rsid w:val="00185AA7"/>
    <w:rsid w:val="00185D27"/>
    <w:rsid w:val="00187892"/>
    <w:rsid w:val="00187DFB"/>
    <w:rsid w:val="00190463"/>
    <w:rsid w:val="0019075C"/>
    <w:rsid w:val="00191323"/>
    <w:rsid w:val="00191435"/>
    <w:rsid w:val="001919C3"/>
    <w:rsid w:val="00192213"/>
    <w:rsid w:val="001927A2"/>
    <w:rsid w:val="001927AF"/>
    <w:rsid w:val="0019290D"/>
    <w:rsid w:val="00192C82"/>
    <w:rsid w:val="0019335B"/>
    <w:rsid w:val="00193A21"/>
    <w:rsid w:val="0019423A"/>
    <w:rsid w:val="00194BD4"/>
    <w:rsid w:val="00195648"/>
    <w:rsid w:val="001959DC"/>
    <w:rsid w:val="00195F44"/>
    <w:rsid w:val="00196019"/>
    <w:rsid w:val="00196C83"/>
    <w:rsid w:val="00196E92"/>
    <w:rsid w:val="00197054"/>
    <w:rsid w:val="001A0154"/>
    <w:rsid w:val="001A0896"/>
    <w:rsid w:val="001A21A3"/>
    <w:rsid w:val="001A315B"/>
    <w:rsid w:val="001A3856"/>
    <w:rsid w:val="001A3F6D"/>
    <w:rsid w:val="001A43A8"/>
    <w:rsid w:val="001A4C94"/>
    <w:rsid w:val="001A4FDF"/>
    <w:rsid w:val="001A5A97"/>
    <w:rsid w:val="001A5DA1"/>
    <w:rsid w:val="001A5DB5"/>
    <w:rsid w:val="001A5F35"/>
    <w:rsid w:val="001A63AC"/>
    <w:rsid w:val="001A69CB"/>
    <w:rsid w:val="001A775C"/>
    <w:rsid w:val="001A7CBA"/>
    <w:rsid w:val="001B05F1"/>
    <w:rsid w:val="001B1736"/>
    <w:rsid w:val="001B1AE6"/>
    <w:rsid w:val="001B32D3"/>
    <w:rsid w:val="001B32E4"/>
    <w:rsid w:val="001B35B1"/>
    <w:rsid w:val="001B36EB"/>
    <w:rsid w:val="001B3778"/>
    <w:rsid w:val="001B3E30"/>
    <w:rsid w:val="001B3E4A"/>
    <w:rsid w:val="001B4ED3"/>
    <w:rsid w:val="001B50CC"/>
    <w:rsid w:val="001B5355"/>
    <w:rsid w:val="001B6049"/>
    <w:rsid w:val="001B60D4"/>
    <w:rsid w:val="001B6482"/>
    <w:rsid w:val="001B66F9"/>
    <w:rsid w:val="001B6EA5"/>
    <w:rsid w:val="001B7014"/>
    <w:rsid w:val="001B7A12"/>
    <w:rsid w:val="001B7C32"/>
    <w:rsid w:val="001B7CBF"/>
    <w:rsid w:val="001B7F9E"/>
    <w:rsid w:val="001C0D3C"/>
    <w:rsid w:val="001C148A"/>
    <w:rsid w:val="001C15DB"/>
    <w:rsid w:val="001C1814"/>
    <w:rsid w:val="001C1860"/>
    <w:rsid w:val="001C3671"/>
    <w:rsid w:val="001C3B66"/>
    <w:rsid w:val="001C3D80"/>
    <w:rsid w:val="001C4361"/>
    <w:rsid w:val="001C51A3"/>
    <w:rsid w:val="001C5358"/>
    <w:rsid w:val="001C56D1"/>
    <w:rsid w:val="001C59AB"/>
    <w:rsid w:val="001C6154"/>
    <w:rsid w:val="001C6921"/>
    <w:rsid w:val="001C7A8C"/>
    <w:rsid w:val="001C7C8A"/>
    <w:rsid w:val="001D1400"/>
    <w:rsid w:val="001D15D9"/>
    <w:rsid w:val="001D1930"/>
    <w:rsid w:val="001D20E3"/>
    <w:rsid w:val="001D23EF"/>
    <w:rsid w:val="001D3534"/>
    <w:rsid w:val="001D4681"/>
    <w:rsid w:val="001D537F"/>
    <w:rsid w:val="001D678A"/>
    <w:rsid w:val="001D723E"/>
    <w:rsid w:val="001D7681"/>
    <w:rsid w:val="001D7B65"/>
    <w:rsid w:val="001E0464"/>
    <w:rsid w:val="001E131D"/>
    <w:rsid w:val="001E1FA3"/>
    <w:rsid w:val="001E21AC"/>
    <w:rsid w:val="001E24A4"/>
    <w:rsid w:val="001E28CC"/>
    <w:rsid w:val="001E321D"/>
    <w:rsid w:val="001E38B1"/>
    <w:rsid w:val="001E3FEB"/>
    <w:rsid w:val="001E42EC"/>
    <w:rsid w:val="001E43E6"/>
    <w:rsid w:val="001E478C"/>
    <w:rsid w:val="001E4C00"/>
    <w:rsid w:val="001E4D12"/>
    <w:rsid w:val="001E4D56"/>
    <w:rsid w:val="001E5B91"/>
    <w:rsid w:val="001E6426"/>
    <w:rsid w:val="001E697B"/>
    <w:rsid w:val="001E6F9D"/>
    <w:rsid w:val="001E72E0"/>
    <w:rsid w:val="001F0064"/>
    <w:rsid w:val="001F09D1"/>
    <w:rsid w:val="001F16DF"/>
    <w:rsid w:val="001F17B3"/>
    <w:rsid w:val="001F193C"/>
    <w:rsid w:val="001F1960"/>
    <w:rsid w:val="001F1ABD"/>
    <w:rsid w:val="001F2631"/>
    <w:rsid w:val="001F30D8"/>
    <w:rsid w:val="001F3661"/>
    <w:rsid w:val="001F3BF9"/>
    <w:rsid w:val="001F3DAE"/>
    <w:rsid w:val="001F4685"/>
    <w:rsid w:val="001F4A98"/>
    <w:rsid w:val="001F6159"/>
    <w:rsid w:val="001F6680"/>
    <w:rsid w:val="001F6F34"/>
    <w:rsid w:val="001F6FB6"/>
    <w:rsid w:val="001F740D"/>
    <w:rsid w:val="001F792F"/>
    <w:rsid w:val="001F7AC9"/>
    <w:rsid w:val="001F7B97"/>
    <w:rsid w:val="001F7B9E"/>
    <w:rsid w:val="001F7BE1"/>
    <w:rsid w:val="001F7C97"/>
    <w:rsid w:val="00200A84"/>
    <w:rsid w:val="002012B8"/>
    <w:rsid w:val="002014F7"/>
    <w:rsid w:val="00202576"/>
    <w:rsid w:val="00202B50"/>
    <w:rsid w:val="00202EF9"/>
    <w:rsid w:val="00203204"/>
    <w:rsid w:val="00203236"/>
    <w:rsid w:val="002036E8"/>
    <w:rsid w:val="00203894"/>
    <w:rsid w:val="00203999"/>
    <w:rsid w:val="00203B3F"/>
    <w:rsid w:val="00203B81"/>
    <w:rsid w:val="002048AD"/>
    <w:rsid w:val="0020494A"/>
    <w:rsid w:val="00204AC3"/>
    <w:rsid w:val="002051F7"/>
    <w:rsid w:val="0020531C"/>
    <w:rsid w:val="00205536"/>
    <w:rsid w:val="00205C3B"/>
    <w:rsid w:val="00205EF5"/>
    <w:rsid w:val="002067D2"/>
    <w:rsid w:val="0020708A"/>
    <w:rsid w:val="00207642"/>
    <w:rsid w:val="00207AFC"/>
    <w:rsid w:val="00207F6A"/>
    <w:rsid w:val="00210256"/>
    <w:rsid w:val="00210394"/>
    <w:rsid w:val="0021076E"/>
    <w:rsid w:val="00212B08"/>
    <w:rsid w:val="00213289"/>
    <w:rsid w:val="002132DA"/>
    <w:rsid w:val="00213825"/>
    <w:rsid w:val="00213E48"/>
    <w:rsid w:val="00214189"/>
    <w:rsid w:val="002143DA"/>
    <w:rsid w:val="00214ADD"/>
    <w:rsid w:val="00214F82"/>
    <w:rsid w:val="0021525B"/>
    <w:rsid w:val="002153E3"/>
    <w:rsid w:val="00215A0D"/>
    <w:rsid w:val="00216B19"/>
    <w:rsid w:val="00216CCC"/>
    <w:rsid w:val="00216E16"/>
    <w:rsid w:val="0021738B"/>
    <w:rsid w:val="00220082"/>
    <w:rsid w:val="00220248"/>
    <w:rsid w:val="002203BD"/>
    <w:rsid w:val="00220776"/>
    <w:rsid w:val="00222027"/>
    <w:rsid w:val="002221C3"/>
    <w:rsid w:val="002223BA"/>
    <w:rsid w:val="0022299A"/>
    <w:rsid w:val="00222B91"/>
    <w:rsid w:val="002230FD"/>
    <w:rsid w:val="002232B3"/>
    <w:rsid w:val="002242DB"/>
    <w:rsid w:val="00224756"/>
    <w:rsid w:val="00224878"/>
    <w:rsid w:val="0022514D"/>
    <w:rsid w:val="00225366"/>
    <w:rsid w:val="00225495"/>
    <w:rsid w:val="00225AFD"/>
    <w:rsid w:val="00225CEE"/>
    <w:rsid w:val="00226447"/>
    <w:rsid w:val="002266DB"/>
    <w:rsid w:val="00226894"/>
    <w:rsid w:val="002268B0"/>
    <w:rsid w:val="00227577"/>
    <w:rsid w:val="002277E9"/>
    <w:rsid w:val="002301C5"/>
    <w:rsid w:val="002303A6"/>
    <w:rsid w:val="00230894"/>
    <w:rsid w:val="002308E9"/>
    <w:rsid w:val="00231B36"/>
    <w:rsid w:val="00231F9E"/>
    <w:rsid w:val="0023243C"/>
    <w:rsid w:val="00232498"/>
    <w:rsid w:val="0023254E"/>
    <w:rsid w:val="00232918"/>
    <w:rsid w:val="00232D34"/>
    <w:rsid w:val="0023350C"/>
    <w:rsid w:val="00233D7D"/>
    <w:rsid w:val="00233E70"/>
    <w:rsid w:val="00234281"/>
    <w:rsid w:val="00234FD3"/>
    <w:rsid w:val="0023583D"/>
    <w:rsid w:val="002362C4"/>
    <w:rsid w:val="00236B90"/>
    <w:rsid w:val="002371BF"/>
    <w:rsid w:val="00237A87"/>
    <w:rsid w:val="002404C3"/>
    <w:rsid w:val="00240C42"/>
    <w:rsid w:val="00241129"/>
    <w:rsid w:val="00241840"/>
    <w:rsid w:val="00241C36"/>
    <w:rsid w:val="00241CFA"/>
    <w:rsid w:val="002421D6"/>
    <w:rsid w:val="002427EB"/>
    <w:rsid w:val="002427F0"/>
    <w:rsid w:val="002428BD"/>
    <w:rsid w:val="0024294E"/>
    <w:rsid w:val="00242E09"/>
    <w:rsid w:val="00243214"/>
    <w:rsid w:val="002432B7"/>
    <w:rsid w:val="002440B2"/>
    <w:rsid w:val="002458CE"/>
    <w:rsid w:val="00245FBA"/>
    <w:rsid w:val="00246513"/>
    <w:rsid w:val="00246B1D"/>
    <w:rsid w:val="00247439"/>
    <w:rsid w:val="00247BDE"/>
    <w:rsid w:val="0025009E"/>
    <w:rsid w:val="002507C4"/>
    <w:rsid w:val="00250B11"/>
    <w:rsid w:val="00251D1C"/>
    <w:rsid w:val="00251EB3"/>
    <w:rsid w:val="00252473"/>
    <w:rsid w:val="00253254"/>
    <w:rsid w:val="0025329B"/>
    <w:rsid w:val="002538BA"/>
    <w:rsid w:val="00253EC4"/>
    <w:rsid w:val="0025418A"/>
    <w:rsid w:val="00254240"/>
    <w:rsid w:val="00255BC2"/>
    <w:rsid w:val="00256539"/>
    <w:rsid w:val="00256D0C"/>
    <w:rsid w:val="00256DEA"/>
    <w:rsid w:val="00257C49"/>
    <w:rsid w:val="0026072F"/>
    <w:rsid w:val="00260952"/>
    <w:rsid w:val="00261192"/>
    <w:rsid w:val="00261A11"/>
    <w:rsid w:val="00261A67"/>
    <w:rsid w:val="00261CB5"/>
    <w:rsid w:val="002625F2"/>
    <w:rsid w:val="002626D5"/>
    <w:rsid w:val="00263413"/>
    <w:rsid w:val="0026431A"/>
    <w:rsid w:val="002644A4"/>
    <w:rsid w:val="0026452D"/>
    <w:rsid w:val="00265066"/>
    <w:rsid w:val="00265C93"/>
    <w:rsid w:val="00266300"/>
    <w:rsid w:val="002676F9"/>
    <w:rsid w:val="00270BA8"/>
    <w:rsid w:val="00270E35"/>
    <w:rsid w:val="00271150"/>
    <w:rsid w:val="00274025"/>
    <w:rsid w:val="00274041"/>
    <w:rsid w:val="002747CC"/>
    <w:rsid w:val="00274830"/>
    <w:rsid w:val="00274A77"/>
    <w:rsid w:val="00274DF9"/>
    <w:rsid w:val="00275170"/>
    <w:rsid w:val="002756DB"/>
    <w:rsid w:val="00275D77"/>
    <w:rsid w:val="002775AA"/>
    <w:rsid w:val="002778F2"/>
    <w:rsid w:val="00277F52"/>
    <w:rsid w:val="002809A3"/>
    <w:rsid w:val="00280AAE"/>
    <w:rsid w:val="00281664"/>
    <w:rsid w:val="00281979"/>
    <w:rsid w:val="00281E85"/>
    <w:rsid w:val="002837F8"/>
    <w:rsid w:val="00283ACF"/>
    <w:rsid w:val="00283C99"/>
    <w:rsid w:val="0028473D"/>
    <w:rsid w:val="00284850"/>
    <w:rsid w:val="00284AC7"/>
    <w:rsid w:val="00284D22"/>
    <w:rsid w:val="00284EAF"/>
    <w:rsid w:val="00285326"/>
    <w:rsid w:val="00285DE8"/>
    <w:rsid w:val="00286798"/>
    <w:rsid w:val="00290891"/>
    <w:rsid w:val="00291DA9"/>
    <w:rsid w:val="00292097"/>
    <w:rsid w:val="00292773"/>
    <w:rsid w:val="002927AC"/>
    <w:rsid w:val="00292E8B"/>
    <w:rsid w:val="0029469F"/>
    <w:rsid w:val="00294704"/>
    <w:rsid w:val="00294C20"/>
    <w:rsid w:val="00295405"/>
    <w:rsid w:val="002954FB"/>
    <w:rsid w:val="0029618D"/>
    <w:rsid w:val="002965BA"/>
    <w:rsid w:val="00296711"/>
    <w:rsid w:val="00296814"/>
    <w:rsid w:val="00296FE0"/>
    <w:rsid w:val="0029716C"/>
    <w:rsid w:val="002A0C57"/>
    <w:rsid w:val="002A0DD4"/>
    <w:rsid w:val="002A1CD7"/>
    <w:rsid w:val="002A2537"/>
    <w:rsid w:val="002A2AB8"/>
    <w:rsid w:val="002A2B8E"/>
    <w:rsid w:val="002A2FD5"/>
    <w:rsid w:val="002A30B3"/>
    <w:rsid w:val="002A34B0"/>
    <w:rsid w:val="002A413D"/>
    <w:rsid w:val="002A5126"/>
    <w:rsid w:val="002A5948"/>
    <w:rsid w:val="002A64F2"/>
    <w:rsid w:val="002A6590"/>
    <w:rsid w:val="002A66BC"/>
    <w:rsid w:val="002A7059"/>
    <w:rsid w:val="002A7478"/>
    <w:rsid w:val="002A7B26"/>
    <w:rsid w:val="002B01AD"/>
    <w:rsid w:val="002B047F"/>
    <w:rsid w:val="002B2D78"/>
    <w:rsid w:val="002B32C9"/>
    <w:rsid w:val="002B3736"/>
    <w:rsid w:val="002B389E"/>
    <w:rsid w:val="002B4054"/>
    <w:rsid w:val="002B46FF"/>
    <w:rsid w:val="002B497D"/>
    <w:rsid w:val="002B4D0E"/>
    <w:rsid w:val="002B50F2"/>
    <w:rsid w:val="002B542A"/>
    <w:rsid w:val="002B5495"/>
    <w:rsid w:val="002B54C5"/>
    <w:rsid w:val="002B55E5"/>
    <w:rsid w:val="002B60D3"/>
    <w:rsid w:val="002B653E"/>
    <w:rsid w:val="002B6703"/>
    <w:rsid w:val="002B6D69"/>
    <w:rsid w:val="002B6F67"/>
    <w:rsid w:val="002B7411"/>
    <w:rsid w:val="002B7F0B"/>
    <w:rsid w:val="002B7F1B"/>
    <w:rsid w:val="002C0083"/>
    <w:rsid w:val="002C032E"/>
    <w:rsid w:val="002C0788"/>
    <w:rsid w:val="002C081A"/>
    <w:rsid w:val="002C108A"/>
    <w:rsid w:val="002C1553"/>
    <w:rsid w:val="002C2CCD"/>
    <w:rsid w:val="002C2F7F"/>
    <w:rsid w:val="002C2FB4"/>
    <w:rsid w:val="002C2FD3"/>
    <w:rsid w:val="002C30A3"/>
    <w:rsid w:val="002C3337"/>
    <w:rsid w:val="002C3683"/>
    <w:rsid w:val="002C369F"/>
    <w:rsid w:val="002C3A79"/>
    <w:rsid w:val="002C3BA9"/>
    <w:rsid w:val="002C6684"/>
    <w:rsid w:val="002C6840"/>
    <w:rsid w:val="002C6916"/>
    <w:rsid w:val="002C6DC2"/>
    <w:rsid w:val="002C6DDA"/>
    <w:rsid w:val="002C713E"/>
    <w:rsid w:val="002C7F2C"/>
    <w:rsid w:val="002D053D"/>
    <w:rsid w:val="002D0B99"/>
    <w:rsid w:val="002D1936"/>
    <w:rsid w:val="002D1CE8"/>
    <w:rsid w:val="002D2FB2"/>
    <w:rsid w:val="002D3782"/>
    <w:rsid w:val="002D3CE3"/>
    <w:rsid w:val="002D48E6"/>
    <w:rsid w:val="002D4DBC"/>
    <w:rsid w:val="002D5B16"/>
    <w:rsid w:val="002D73F7"/>
    <w:rsid w:val="002D769A"/>
    <w:rsid w:val="002D7789"/>
    <w:rsid w:val="002D77B7"/>
    <w:rsid w:val="002D7CC4"/>
    <w:rsid w:val="002D7DBC"/>
    <w:rsid w:val="002E0C21"/>
    <w:rsid w:val="002E0FA4"/>
    <w:rsid w:val="002E192A"/>
    <w:rsid w:val="002E2471"/>
    <w:rsid w:val="002E2B84"/>
    <w:rsid w:val="002E300A"/>
    <w:rsid w:val="002E30AC"/>
    <w:rsid w:val="002E3543"/>
    <w:rsid w:val="002E3B82"/>
    <w:rsid w:val="002E3C6A"/>
    <w:rsid w:val="002E3C95"/>
    <w:rsid w:val="002E40D7"/>
    <w:rsid w:val="002E4BB3"/>
    <w:rsid w:val="002E5518"/>
    <w:rsid w:val="002E5F0D"/>
    <w:rsid w:val="002E67C6"/>
    <w:rsid w:val="002E6EE7"/>
    <w:rsid w:val="002F0C6B"/>
    <w:rsid w:val="002F1A12"/>
    <w:rsid w:val="002F1CD0"/>
    <w:rsid w:val="002F1D5C"/>
    <w:rsid w:val="002F207F"/>
    <w:rsid w:val="002F24AF"/>
    <w:rsid w:val="002F3259"/>
    <w:rsid w:val="002F32ED"/>
    <w:rsid w:val="002F3799"/>
    <w:rsid w:val="002F43B6"/>
    <w:rsid w:val="002F49F9"/>
    <w:rsid w:val="002F4E60"/>
    <w:rsid w:val="002F515D"/>
    <w:rsid w:val="002F594A"/>
    <w:rsid w:val="002F6673"/>
    <w:rsid w:val="002F66DB"/>
    <w:rsid w:val="002F689E"/>
    <w:rsid w:val="002F7A05"/>
    <w:rsid w:val="002F7EB8"/>
    <w:rsid w:val="00300047"/>
    <w:rsid w:val="0030086D"/>
    <w:rsid w:val="00300D86"/>
    <w:rsid w:val="003017E1"/>
    <w:rsid w:val="00302F6A"/>
    <w:rsid w:val="00303B54"/>
    <w:rsid w:val="003040C0"/>
    <w:rsid w:val="00305CC7"/>
    <w:rsid w:val="00305F62"/>
    <w:rsid w:val="0030688B"/>
    <w:rsid w:val="00306AB8"/>
    <w:rsid w:val="003074FD"/>
    <w:rsid w:val="00307A2D"/>
    <w:rsid w:val="00310204"/>
    <w:rsid w:val="00310272"/>
    <w:rsid w:val="0031058E"/>
    <w:rsid w:val="00310D86"/>
    <w:rsid w:val="00310F34"/>
    <w:rsid w:val="00311FD9"/>
    <w:rsid w:val="00312AF6"/>
    <w:rsid w:val="00312CB7"/>
    <w:rsid w:val="00312E68"/>
    <w:rsid w:val="0031351A"/>
    <w:rsid w:val="00314AF3"/>
    <w:rsid w:val="00315B92"/>
    <w:rsid w:val="003161E5"/>
    <w:rsid w:val="00316C18"/>
    <w:rsid w:val="00317071"/>
    <w:rsid w:val="003170F2"/>
    <w:rsid w:val="0032028C"/>
    <w:rsid w:val="003204DA"/>
    <w:rsid w:val="00320582"/>
    <w:rsid w:val="003206BE"/>
    <w:rsid w:val="00321282"/>
    <w:rsid w:val="0032130E"/>
    <w:rsid w:val="00321461"/>
    <w:rsid w:val="0032187E"/>
    <w:rsid w:val="003218EA"/>
    <w:rsid w:val="00321F93"/>
    <w:rsid w:val="003223D4"/>
    <w:rsid w:val="0032278A"/>
    <w:rsid w:val="0032279E"/>
    <w:rsid w:val="00322A25"/>
    <w:rsid w:val="0032318E"/>
    <w:rsid w:val="0032373F"/>
    <w:rsid w:val="00323BA6"/>
    <w:rsid w:val="003240D0"/>
    <w:rsid w:val="00324A14"/>
    <w:rsid w:val="00325668"/>
    <w:rsid w:val="00326266"/>
    <w:rsid w:val="003262AB"/>
    <w:rsid w:val="0032659C"/>
    <w:rsid w:val="00326E7D"/>
    <w:rsid w:val="00327292"/>
    <w:rsid w:val="003272FD"/>
    <w:rsid w:val="0032744E"/>
    <w:rsid w:val="00327480"/>
    <w:rsid w:val="00327554"/>
    <w:rsid w:val="00330A37"/>
    <w:rsid w:val="00330B81"/>
    <w:rsid w:val="00332EBA"/>
    <w:rsid w:val="00333A15"/>
    <w:rsid w:val="00333A67"/>
    <w:rsid w:val="00333A6D"/>
    <w:rsid w:val="00333F1D"/>
    <w:rsid w:val="00335776"/>
    <w:rsid w:val="00336075"/>
    <w:rsid w:val="003365AA"/>
    <w:rsid w:val="00336AA6"/>
    <w:rsid w:val="0033731A"/>
    <w:rsid w:val="003374B9"/>
    <w:rsid w:val="003375AB"/>
    <w:rsid w:val="003378B1"/>
    <w:rsid w:val="003408E2"/>
    <w:rsid w:val="003415A2"/>
    <w:rsid w:val="0034163B"/>
    <w:rsid w:val="003419D5"/>
    <w:rsid w:val="0034312D"/>
    <w:rsid w:val="0034330F"/>
    <w:rsid w:val="00343669"/>
    <w:rsid w:val="00343C67"/>
    <w:rsid w:val="0034413A"/>
    <w:rsid w:val="00344BA3"/>
    <w:rsid w:val="00344BDC"/>
    <w:rsid w:val="00344D5E"/>
    <w:rsid w:val="00345475"/>
    <w:rsid w:val="00345E41"/>
    <w:rsid w:val="00346AE5"/>
    <w:rsid w:val="00346C56"/>
    <w:rsid w:val="00347159"/>
    <w:rsid w:val="00347782"/>
    <w:rsid w:val="00347D51"/>
    <w:rsid w:val="00347E11"/>
    <w:rsid w:val="00350268"/>
    <w:rsid w:val="00350594"/>
    <w:rsid w:val="00350C56"/>
    <w:rsid w:val="003511D2"/>
    <w:rsid w:val="0035155F"/>
    <w:rsid w:val="003518DC"/>
    <w:rsid w:val="00351DC1"/>
    <w:rsid w:val="00352523"/>
    <w:rsid w:val="00352542"/>
    <w:rsid w:val="00352E7B"/>
    <w:rsid w:val="0035326A"/>
    <w:rsid w:val="0035327A"/>
    <w:rsid w:val="003534CB"/>
    <w:rsid w:val="0035354E"/>
    <w:rsid w:val="00353E65"/>
    <w:rsid w:val="00353FC5"/>
    <w:rsid w:val="00354407"/>
    <w:rsid w:val="00354730"/>
    <w:rsid w:val="003547FD"/>
    <w:rsid w:val="0035516A"/>
    <w:rsid w:val="003555CF"/>
    <w:rsid w:val="00355B59"/>
    <w:rsid w:val="0035620E"/>
    <w:rsid w:val="003564B6"/>
    <w:rsid w:val="0035669E"/>
    <w:rsid w:val="003574FA"/>
    <w:rsid w:val="00357518"/>
    <w:rsid w:val="0035773F"/>
    <w:rsid w:val="00357C05"/>
    <w:rsid w:val="00357DE5"/>
    <w:rsid w:val="003600BF"/>
    <w:rsid w:val="0036071E"/>
    <w:rsid w:val="00360B3F"/>
    <w:rsid w:val="00360B9B"/>
    <w:rsid w:val="00360E9D"/>
    <w:rsid w:val="0036394D"/>
    <w:rsid w:val="00363B12"/>
    <w:rsid w:val="00363DC5"/>
    <w:rsid w:val="0036423C"/>
    <w:rsid w:val="003648BB"/>
    <w:rsid w:val="00364A04"/>
    <w:rsid w:val="00364B4C"/>
    <w:rsid w:val="00364B96"/>
    <w:rsid w:val="00364C38"/>
    <w:rsid w:val="00364D59"/>
    <w:rsid w:val="003654BE"/>
    <w:rsid w:val="003654DD"/>
    <w:rsid w:val="00365D2E"/>
    <w:rsid w:val="00365DBB"/>
    <w:rsid w:val="003673E6"/>
    <w:rsid w:val="003675F0"/>
    <w:rsid w:val="00367A90"/>
    <w:rsid w:val="003703EC"/>
    <w:rsid w:val="00370963"/>
    <w:rsid w:val="00370FF7"/>
    <w:rsid w:val="00371009"/>
    <w:rsid w:val="00371BC4"/>
    <w:rsid w:val="003722E8"/>
    <w:rsid w:val="00372733"/>
    <w:rsid w:val="0037280D"/>
    <w:rsid w:val="003728E1"/>
    <w:rsid w:val="00372C4C"/>
    <w:rsid w:val="003735AF"/>
    <w:rsid w:val="00373B9D"/>
    <w:rsid w:val="003745D0"/>
    <w:rsid w:val="00374EA0"/>
    <w:rsid w:val="00375B8A"/>
    <w:rsid w:val="00375E04"/>
    <w:rsid w:val="0037642E"/>
    <w:rsid w:val="00376D72"/>
    <w:rsid w:val="00377897"/>
    <w:rsid w:val="00377D45"/>
    <w:rsid w:val="003801DC"/>
    <w:rsid w:val="00380E15"/>
    <w:rsid w:val="00380E43"/>
    <w:rsid w:val="00380F51"/>
    <w:rsid w:val="00381993"/>
    <w:rsid w:val="00381B3A"/>
    <w:rsid w:val="00381F75"/>
    <w:rsid w:val="0038248C"/>
    <w:rsid w:val="0038294D"/>
    <w:rsid w:val="003832C2"/>
    <w:rsid w:val="00383E24"/>
    <w:rsid w:val="00383F00"/>
    <w:rsid w:val="00384837"/>
    <w:rsid w:val="003856C6"/>
    <w:rsid w:val="00385E50"/>
    <w:rsid w:val="0038685F"/>
    <w:rsid w:val="00386B43"/>
    <w:rsid w:val="00386CBA"/>
    <w:rsid w:val="00386FC4"/>
    <w:rsid w:val="003878B7"/>
    <w:rsid w:val="00387D7F"/>
    <w:rsid w:val="00391901"/>
    <w:rsid w:val="00391AC1"/>
    <w:rsid w:val="00391B2B"/>
    <w:rsid w:val="003923E6"/>
    <w:rsid w:val="00392F45"/>
    <w:rsid w:val="00393FE9"/>
    <w:rsid w:val="0039476B"/>
    <w:rsid w:val="00394841"/>
    <w:rsid w:val="00395161"/>
    <w:rsid w:val="00396113"/>
    <w:rsid w:val="0039618A"/>
    <w:rsid w:val="00396F26"/>
    <w:rsid w:val="003973FD"/>
    <w:rsid w:val="00397413"/>
    <w:rsid w:val="003976E4"/>
    <w:rsid w:val="00397E21"/>
    <w:rsid w:val="00397FDC"/>
    <w:rsid w:val="003A04AE"/>
    <w:rsid w:val="003A0667"/>
    <w:rsid w:val="003A1549"/>
    <w:rsid w:val="003A19D6"/>
    <w:rsid w:val="003A22AE"/>
    <w:rsid w:val="003A2D4E"/>
    <w:rsid w:val="003A3116"/>
    <w:rsid w:val="003A3999"/>
    <w:rsid w:val="003A3B99"/>
    <w:rsid w:val="003A4462"/>
    <w:rsid w:val="003A4663"/>
    <w:rsid w:val="003A4BFF"/>
    <w:rsid w:val="003A4F4E"/>
    <w:rsid w:val="003A5D90"/>
    <w:rsid w:val="003A62DA"/>
    <w:rsid w:val="003A7B14"/>
    <w:rsid w:val="003A7B7B"/>
    <w:rsid w:val="003A7D2A"/>
    <w:rsid w:val="003A7D38"/>
    <w:rsid w:val="003A7EEA"/>
    <w:rsid w:val="003B08CD"/>
    <w:rsid w:val="003B14FD"/>
    <w:rsid w:val="003B2427"/>
    <w:rsid w:val="003B2465"/>
    <w:rsid w:val="003B2D7D"/>
    <w:rsid w:val="003B3E12"/>
    <w:rsid w:val="003B4696"/>
    <w:rsid w:val="003B4E65"/>
    <w:rsid w:val="003B4EB6"/>
    <w:rsid w:val="003B517A"/>
    <w:rsid w:val="003B6031"/>
    <w:rsid w:val="003B6E81"/>
    <w:rsid w:val="003B77E5"/>
    <w:rsid w:val="003B7E05"/>
    <w:rsid w:val="003C02B7"/>
    <w:rsid w:val="003C052A"/>
    <w:rsid w:val="003C0F8F"/>
    <w:rsid w:val="003C131E"/>
    <w:rsid w:val="003C19A5"/>
    <w:rsid w:val="003C1C85"/>
    <w:rsid w:val="003C1F69"/>
    <w:rsid w:val="003C2450"/>
    <w:rsid w:val="003C2FEB"/>
    <w:rsid w:val="003C3A2A"/>
    <w:rsid w:val="003C3BB8"/>
    <w:rsid w:val="003C3E7F"/>
    <w:rsid w:val="003C4482"/>
    <w:rsid w:val="003C47C6"/>
    <w:rsid w:val="003C5260"/>
    <w:rsid w:val="003C553F"/>
    <w:rsid w:val="003C612F"/>
    <w:rsid w:val="003C6468"/>
    <w:rsid w:val="003C76EF"/>
    <w:rsid w:val="003D0AF6"/>
    <w:rsid w:val="003D0BFD"/>
    <w:rsid w:val="003D11D9"/>
    <w:rsid w:val="003D1E5A"/>
    <w:rsid w:val="003D3990"/>
    <w:rsid w:val="003D42B5"/>
    <w:rsid w:val="003D42CB"/>
    <w:rsid w:val="003D43E2"/>
    <w:rsid w:val="003D4B62"/>
    <w:rsid w:val="003D4E9A"/>
    <w:rsid w:val="003D51F4"/>
    <w:rsid w:val="003D5811"/>
    <w:rsid w:val="003D58C5"/>
    <w:rsid w:val="003D5C4A"/>
    <w:rsid w:val="003D6638"/>
    <w:rsid w:val="003D688E"/>
    <w:rsid w:val="003D7786"/>
    <w:rsid w:val="003D7E89"/>
    <w:rsid w:val="003D7FC4"/>
    <w:rsid w:val="003E0354"/>
    <w:rsid w:val="003E08DC"/>
    <w:rsid w:val="003E1248"/>
    <w:rsid w:val="003E184A"/>
    <w:rsid w:val="003E1887"/>
    <w:rsid w:val="003E18C9"/>
    <w:rsid w:val="003E19E2"/>
    <w:rsid w:val="003E2538"/>
    <w:rsid w:val="003E278F"/>
    <w:rsid w:val="003E2E55"/>
    <w:rsid w:val="003E3370"/>
    <w:rsid w:val="003E4296"/>
    <w:rsid w:val="003E43C8"/>
    <w:rsid w:val="003E450F"/>
    <w:rsid w:val="003E4B5F"/>
    <w:rsid w:val="003E530F"/>
    <w:rsid w:val="003E5A33"/>
    <w:rsid w:val="003E65FD"/>
    <w:rsid w:val="003E69CF"/>
    <w:rsid w:val="003E6DA0"/>
    <w:rsid w:val="003E6F17"/>
    <w:rsid w:val="003E72DA"/>
    <w:rsid w:val="003F02A3"/>
    <w:rsid w:val="003F031C"/>
    <w:rsid w:val="003F0912"/>
    <w:rsid w:val="003F099E"/>
    <w:rsid w:val="003F1622"/>
    <w:rsid w:val="003F1AA3"/>
    <w:rsid w:val="003F25EF"/>
    <w:rsid w:val="003F3277"/>
    <w:rsid w:val="003F3C9B"/>
    <w:rsid w:val="003F4C79"/>
    <w:rsid w:val="003F4E06"/>
    <w:rsid w:val="003F4FA4"/>
    <w:rsid w:val="003F4FF2"/>
    <w:rsid w:val="003F506A"/>
    <w:rsid w:val="003F562C"/>
    <w:rsid w:val="003F5E3F"/>
    <w:rsid w:val="003F6463"/>
    <w:rsid w:val="003F67CB"/>
    <w:rsid w:val="003F6A4A"/>
    <w:rsid w:val="003F759C"/>
    <w:rsid w:val="003F7DBA"/>
    <w:rsid w:val="00401CD0"/>
    <w:rsid w:val="00402608"/>
    <w:rsid w:val="00402A5A"/>
    <w:rsid w:val="00403542"/>
    <w:rsid w:val="00403A15"/>
    <w:rsid w:val="00403B73"/>
    <w:rsid w:val="00405461"/>
    <w:rsid w:val="00405477"/>
    <w:rsid w:val="0040566B"/>
    <w:rsid w:val="0040646A"/>
    <w:rsid w:val="004067F1"/>
    <w:rsid w:val="00406C91"/>
    <w:rsid w:val="00410441"/>
    <w:rsid w:val="0041078F"/>
    <w:rsid w:val="00410B78"/>
    <w:rsid w:val="00410ED9"/>
    <w:rsid w:val="0041102C"/>
    <w:rsid w:val="00411154"/>
    <w:rsid w:val="004125D1"/>
    <w:rsid w:val="004127F9"/>
    <w:rsid w:val="00412BDE"/>
    <w:rsid w:val="004146E5"/>
    <w:rsid w:val="00414DE0"/>
    <w:rsid w:val="004150FE"/>
    <w:rsid w:val="0041522E"/>
    <w:rsid w:val="004158A0"/>
    <w:rsid w:val="00415D69"/>
    <w:rsid w:val="00415FAD"/>
    <w:rsid w:val="0041619C"/>
    <w:rsid w:val="00416E51"/>
    <w:rsid w:val="0041747C"/>
    <w:rsid w:val="00417697"/>
    <w:rsid w:val="00417701"/>
    <w:rsid w:val="004178A6"/>
    <w:rsid w:val="00417C68"/>
    <w:rsid w:val="00417D7A"/>
    <w:rsid w:val="004203AA"/>
    <w:rsid w:val="0042099D"/>
    <w:rsid w:val="00420ABF"/>
    <w:rsid w:val="00420BA6"/>
    <w:rsid w:val="0042110F"/>
    <w:rsid w:val="0042121D"/>
    <w:rsid w:val="0042181C"/>
    <w:rsid w:val="00422508"/>
    <w:rsid w:val="0042267A"/>
    <w:rsid w:val="00422C4F"/>
    <w:rsid w:val="00422C59"/>
    <w:rsid w:val="00422CFC"/>
    <w:rsid w:val="00423B44"/>
    <w:rsid w:val="0042412E"/>
    <w:rsid w:val="0042472D"/>
    <w:rsid w:val="00424995"/>
    <w:rsid w:val="0042505E"/>
    <w:rsid w:val="004257A7"/>
    <w:rsid w:val="00425EF9"/>
    <w:rsid w:val="0042784A"/>
    <w:rsid w:val="00430564"/>
    <w:rsid w:val="004305C5"/>
    <w:rsid w:val="00430686"/>
    <w:rsid w:val="00430FEF"/>
    <w:rsid w:val="004318F9"/>
    <w:rsid w:val="0043202F"/>
    <w:rsid w:val="00432859"/>
    <w:rsid w:val="00432B9E"/>
    <w:rsid w:val="004336BA"/>
    <w:rsid w:val="004342CB"/>
    <w:rsid w:val="00434374"/>
    <w:rsid w:val="0043448E"/>
    <w:rsid w:val="00435197"/>
    <w:rsid w:val="004358F0"/>
    <w:rsid w:val="0043678E"/>
    <w:rsid w:val="004373AE"/>
    <w:rsid w:val="00437B57"/>
    <w:rsid w:val="00437F88"/>
    <w:rsid w:val="00440CFD"/>
    <w:rsid w:val="004410BC"/>
    <w:rsid w:val="00441164"/>
    <w:rsid w:val="004412C4"/>
    <w:rsid w:val="004414D3"/>
    <w:rsid w:val="00441976"/>
    <w:rsid w:val="00441A6C"/>
    <w:rsid w:val="004420F9"/>
    <w:rsid w:val="004435D7"/>
    <w:rsid w:val="00443C09"/>
    <w:rsid w:val="00444188"/>
    <w:rsid w:val="00444473"/>
    <w:rsid w:val="0044482D"/>
    <w:rsid w:val="00444927"/>
    <w:rsid w:val="00444FEA"/>
    <w:rsid w:val="0044517B"/>
    <w:rsid w:val="00445226"/>
    <w:rsid w:val="00445837"/>
    <w:rsid w:val="004458AB"/>
    <w:rsid w:val="00445C9F"/>
    <w:rsid w:val="00446D64"/>
    <w:rsid w:val="00447C52"/>
    <w:rsid w:val="004503A1"/>
    <w:rsid w:val="00450674"/>
    <w:rsid w:val="0045201A"/>
    <w:rsid w:val="00453DB3"/>
    <w:rsid w:val="00454B8F"/>
    <w:rsid w:val="00454C20"/>
    <w:rsid w:val="004558FA"/>
    <w:rsid w:val="00455CAE"/>
    <w:rsid w:val="00455E9B"/>
    <w:rsid w:val="0045683D"/>
    <w:rsid w:val="00456D15"/>
    <w:rsid w:val="004578E3"/>
    <w:rsid w:val="00457B9A"/>
    <w:rsid w:val="004602D4"/>
    <w:rsid w:val="00460A4B"/>
    <w:rsid w:val="00461252"/>
    <w:rsid w:val="0046159B"/>
    <w:rsid w:val="00461A84"/>
    <w:rsid w:val="00461EAE"/>
    <w:rsid w:val="00462286"/>
    <w:rsid w:val="0046249E"/>
    <w:rsid w:val="00462F25"/>
    <w:rsid w:val="004631A1"/>
    <w:rsid w:val="0046330C"/>
    <w:rsid w:val="00463717"/>
    <w:rsid w:val="00463754"/>
    <w:rsid w:val="004637CD"/>
    <w:rsid w:val="004653AD"/>
    <w:rsid w:val="00465498"/>
    <w:rsid w:val="00465A3C"/>
    <w:rsid w:val="00465F55"/>
    <w:rsid w:val="00466065"/>
    <w:rsid w:val="0046615C"/>
    <w:rsid w:val="004665E5"/>
    <w:rsid w:val="00466742"/>
    <w:rsid w:val="00466AE4"/>
    <w:rsid w:val="0046756D"/>
    <w:rsid w:val="00467B68"/>
    <w:rsid w:val="00471361"/>
    <w:rsid w:val="00472834"/>
    <w:rsid w:val="00472ADA"/>
    <w:rsid w:val="00472AF9"/>
    <w:rsid w:val="00472E87"/>
    <w:rsid w:val="00473CE6"/>
    <w:rsid w:val="004741E2"/>
    <w:rsid w:val="00474322"/>
    <w:rsid w:val="00474620"/>
    <w:rsid w:val="0047548C"/>
    <w:rsid w:val="00475B81"/>
    <w:rsid w:val="00476085"/>
    <w:rsid w:val="00476446"/>
    <w:rsid w:val="004768DB"/>
    <w:rsid w:val="004779AB"/>
    <w:rsid w:val="00477FA2"/>
    <w:rsid w:val="004801BA"/>
    <w:rsid w:val="0048028B"/>
    <w:rsid w:val="0048113B"/>
    <w:rsid w:val="00481C87"/>
    <w:rsid w:val="00482785"/>
    <w:rsid w:val="004828B4"/>
    <w:rsid w:val="00482F94"/>
    <w:rsid w:val="0048329D"/>
    <w:rsid w:val="004840B7"/>
    <w:rsid w:val="00485352"/>
    <w:rsid w:val="0048639E"/>
    <w:rsid w:val="004865B6"/>
    <w:rsid w:val="004876C2"/>
    <w:rsid w:val="004878B6"/>
    <w:rsid w:val="00487D66"/>
    <w:rsid w:val="00490831"/>
    <w:rsid w:val="00491095"/>
    <w:rsid w:val="00491554"/>
    <w:rsid w:val="004918B1"/>
    <w:rsid w:val="00492C56"/>
    <w:rsid w:val="00492F1A"/>
    <w:rsid w:val="00493782"/>
    <w:rsid w:val="00493CF5"/>
    <w:rsid w:val="00493D4F"/>
    <w:rsid w:val="00493E2D"/>
    <w:rsid w:val="00494B2E"/>
    <w:rsid w:val="004952A2"/>
    <w:rsid w:val="0049590C"/>
    <w:rsid w:val="00495D9A"/>
    <w:rsid w:val="004966E0"/>
    <w:rsid w:val="0049688D"/>
    <w:rsid w:val="00496FC7"/>
    <w:rsid w:val="00497D9F"/>
    <w:rsid w:val="004A00D5"/>
    <w:rsid w:val="004A05C0"/>
    <w:rsid w:val="004A0ECC"/>
    <w:rsid w:val="004A1246"/>
    <w:rsid w:val="004A1416"/>
    <w:rsid w:val="004A17FA"/>
    <w:rsid w:val="004A25D9"/>
    <w:rsid w:val="004A2B26"/>
    <w:rsid w:val="004A3F18"/>
    <w:rsid w:val="004A40D9"/>
    <w:rsid w:val="004A4606"/>
    <w:rsid w:val="004A4886"/>
    <w:rsid w:val="004A4D06"/>
    <w:rsid w:val="004A4FC8"/>
    <w:rsid w:val="004A5232"/>
    <w:rsid w:val="004A53D2"/>
    <w:rsid w:val="004A59C2"/>
    <w:rsid w:val="004A76F0"/>
    <w:rsid w:val="004B0A5F"/>
    <w:rsid w:val="004B11AD"/>
    <w:rsid w:val="004B15CE"/>
    <w:rsid w:val="004B2630"/>
    <w:rsid w:val="004B4636"/>
    <w:rsid w:val="004B495E"/>
    <w:rsid w:val="004B4990"/>
    <w:rsid w:val="004B51A3"/>
    <w:rsid w:val="004B534E"/>
    <w:rsid w:val="004B59CB"/>
    <w:rsid w:val="004B6901"/>
    <w:rsid w:val="004B6F05"/>
    <w:rsid w:val="004B7582"/>
    <w:rsid w:val="004B7977"/>
    <w:rsid w:val="004C0712"/>
    <w:rsid w:val="004C08EA"/>
    <w:rsid w:val="004C09C3"/>
    <w:rsid w:val="004C0F0D"/>
    <w:rsid w:val="004C1838"/>
    <w:rsid w:val="004C1CE3"/>
    <w:rsid w:val="004C3144"/>
    <w:rsid w:val="004C380C"/>
    <w:rsid w:val="004C3FD7"/>
    <w:rsid w:val="004C4B3E"/>
    <w:rsid w:val="004C5AA1"/>
    <w:rsid w:val="004C600D"/>
    <w:rsid w:val="004C6374"/>
    <w:rsid w:val="004C64D0"/>
    <w:rsid w:val="004C683A"/>
    <w:rsid w:val="004C6B4F"/>
    <w:rsid w:val="004C6D63"/>
    <w:rsid w:val="004C6DF5"/>
    <w:rsid w:val="004C79D9"/>
    <w:rsid w:val="004D118D"/>
    <w:rsid w:val="004D200F"/>
    <w:rsid w:val="004D25E2"/>
    <w:rsid w:val="004D3A17"/>
    <w:rsid w:val="004D48A7"/>
    <w:rsid w:val="004D4AC2"/>
    <w:rsid w:val="004D5038"/>
    <w:rsid w:val="004D53B3"/>
    <w:rsid w:val="004D5EBD"/>
    <w:rsid w:val="004D6314"/>
    <w:rsid w:val="004D645B"/>
    <w:rsid w:val="004D6A67"/>
    <w:rsid w:val="004D7171"/>
    <w:rsid w:val="004D7312"/>
    <w:rsid w:val="004D7420"/>
    <w:rsid w:val="004D79DD"/>
    <w:rsid w:val="004E054D"/>
    <w:rsid w:val="004E07DA"/>
    <w:rsid w:val="004E0B98"/>
    <w:rsid w:val="004E1454"/>
    <w:rsid w:val="004E1DEA"/>
    <w:rsid w:val="004E1F07"/>
    <w:rsid w:val="004E234B"/>
    <w:rsid w:val="004E2921"/>
    <w:rsid w:val="004E2BC5"/>
    <w:rsid w:val="004E305F"/>
    <w:rsid w:val="004E3C85"/>
    <w:rsid w:val="004E3FB6"/>
    <w:rsid w:val="004E41AF"/>
    <w:rsid w:val="004E4277"/>
    <w:rsid w:val="004E4F95"/>
    <w:rsid w:val="004E53FC"/>
    <w:rsid w:val="004E54A3"/>
    <w:rsid w:val="004E578F"/>
    <w:rsid w:val="004E5A30"/>
    <w:rsid w:val="004E5CF5"/>
    <w:rsid w:val="004E7540"/>
    <w:rsid w:val="004E7FC0"/>
    <w:rsid w:val="004F05B8"/>
    <w:rsid w:val="004F0962"/>
    <w:rsid w:val="004F0F05"/>
    <w:rsid w:val="004F1A7E"/>
    <w:rsid w:val="004F2F35"/>
    <w:rsid w:val="004F3442"/>
    <w:rsid w:val="004F3B0D"/>
    <w:rsid w:val="004F3BE6"/>
    <w:rsid w:val="004F3D20"/>
    <w:rsid w:val="004F3F4C"/>
    <w:rsid w:val="004F4978"/>
    <w:rsid w:val="004F4D72"/>
    <w:rsid w:val="004F4F47"/>
    <w:rsid w:val="004F5124"/>
    <w:rsid w:val="004F56ED"/>
    <w:rsid w:val="004F5D56"/>
    <w:rsid w:val="004F5FA0"/>
    <w:rsid w:val="004F6045"/>
    <w:rsid w:val="004F6147"/>
    <w:rsid w:val="004F614F"/>
    <w:rsid w:val="004F636C"/>
    <w:rsid w:val="004F69FE"/>
    <w:rsid w:val="004F752A"/>
    <w:rsid w:val="004F781C"/>
    <w:rsid w:val="004F7918"/>
    <w:rsid w:val="004F7DEC"/>
    <w:rsid w:val="0050084B"/>
    <w:rsid w:val="0050098F"/>
    <w:rsid w:val="00500CC6"/>
    <w:rsid w:val="0050145C"/>
    <w:rsid w:val="005014A0"/>
    <w:rsid w:val="00501507"/>
    <w:rsid w:val="005029F5"/>
    <w:rsid w:val="00503797"/>
    <w:rsid w:val="0050398F"/>
    <w:rsid w:val="00503F6D"/>
    <w:rsid w:val="005042A5"/>
    <w:rsid w:val="00504FA6"/>
    <w:rsid w:val="005058F0"/>
    <w:rsid w:val="00505B35"/>
    <w:rsid w:val="005064B5"/>
    <w:rsid w:val="005067EB"/>
    <w:rsid w:val="00506B64"/>
    <w:rsid w:val="005111E1"/>
    <w:rsid w:val="0051227C"/>
    <w:rsid w:val="0051254F"/>
    <w:rsid w:val="005130A1"/>
    <w:rsid w:val="00513E25"/>
    <w:rsid w:val="0051430B"/>
    <w:rsid w:val="005144B5"/>
    <w:rsid w:val="00514710"/>
    <w:rsid w:val="00514D31"/>
    <w:rsid w:val="005152F9"/>
    <w:rsid w:val="0051578D"/>
    <w:rsid w:val="005162F1"/>
    <w:rsid w:val="00516603"/>
    <w:rsid w:val="005169DD"/>
    <w:rsid w:val="0051788F"/>
    <w:rsid w:val="00517F25"/>
    <w:rsid w:val="005209F7"/>
    <w:rsid w:val="005219BF"/>
    <w:rsid w:val="00521C86"/>
    <w:rsid w:val="0052249E"/>
    <w:rsid w:val="0052275F"/>
    <w:rsid w:val="0052297D"/>
    <w:rsid w:val="00522FD1"/>
    <w:rsid w:val="005234BC"/>
    <w:rsid w:val="00523834"/>
    <w:rsid w:val="00523B2F"/>
    <w:rsid w:val="00523D53"/>
    <w:rsid w:val="00523F12"/>
    <w:rsid w:val="00523FCF"/>
    <w:rsid w:val="00524E5B"/>
    <w:rsid w:val="00525285"/>
    <w:rsid w:val="0052553B"/>
    <w:rsid w:val="00525A51"/>
    <w:rsid w:val="00525BBB"/>
    <w:rsid w:val="00526118"/>
    <w:rsid w:val="0052636C"/>
    <w:rsid w:val="005263EB"/>
    <w:rsid w:val="0052648C"/>
    <w:rsid w:val="0052699C"/>
    <w:rsid w:val="0052700A"/>
    <w:rsid w:val="00527A5E"/>
    <w:rsid w:val="00527BA9"/>
    <w:rsid w:val="00530166"/>
    <w:rsid w:val="00530771"/>
    <w:rsid w:val="00530783"/>
    <w:rsid w:val="00530833"/>
    <w:rsid w:val="00530A18"/>
    <w:rsid w:val="00530A47"/>
    <w:rsid w:val="00530DE9"/>
    <w:rsid w:val="005320EA"/>
    <w:rsid w:val="00532334"/>
    <w:rsid w:val="005330E9"/>
    <w:rsid w:val="0053426D"/>
    <w:rsid w:val="0053625D"/>
    <w:rsid w:val="005368B7"/>
    <w:rsid w:val="00536C47"/>
    <w:rsid w:val="00536F59"/>
    <w:rsid w:val="00537507"/>
    <w:rsid w:val="005378D9"/>
    <w:rsid w:val="00537A32"/>
    <w:rsid w:val="0054020B"/>
    <w:rsid w:val="005404C8"/>
    <w:rsid w:val="0054077E"/>
    <w:rsid w:val="00540889"/>
    <w:rsid w:val="00540997"/>
    <w:rsid w:val="005412F3"/>
    <w:rsid w:val="00541413"/>
    <w:rsid w:val="00541D7A"/>
    <w:rsid w:val="005431F0"/>
    <w:rsid w:val="005431FC"/>
    <w:rsid w:val="00544261"/>
    <w:rsid w:val="00544329"/>
    <w:rsid w:val="00544453"/>
    <w:rsid w:val="005446AA"/>
    <w:rsid w:val="005449AC"/>
    <w:rsid w:val="0054597C"/>
    <w:rsid w:val="00545CEB"/>
    <w:rsid w:val="005461C3"/>
    <w:rsid w:val="0054766B"/>
    <w:rsid w:val="00550AA6"/>
    <w:rsid w:val="005516BD"/>
    <w:rsid w:val="00552F3F"/>
    <w:rsid w:val="005530E3"/>
    <w:rsid w:val="00553457"/>
    <w:rsid w:val="00553854"/>
    <w:rsid w:val="005539EC"/>
    <w:rsid w:val="00553A0B"/>
    <w:rsid w:val="00554607"/>
    <w:rsid w:val="00554627"/>
    <w:rsid w:val="005547FF"/>
    <w:rsid w:val="00555DC4"/>
    <w:rsid w:val="00555E12"/>
    <w:rsid w:val="005563C9"/>
    <w:rsid w:val="005563D0"/>
    <w:rsid w:val="005574F9"/>
    <w:rsid w:val="00560031"/>
    <w:rsid w:val="00560624"/>
    <w:rsid w:val="00560C38"/>
    <w:rsid w:val="00560DE2"/>
    <w:rsid w:val="00560FAC"/>
    <w:rsid w:val="005612D4"/>
    <w:rsid w:val="005613A3"/>
    <w:rsid w:val="005613A7"/>
    <w:rsid w:val="005619B7"/>
    <w:rsid w:val="00561A59"/>
    <w:rsid w:val="00561C1C"/>
    <w:rsid w:val="00562A86"/>
    <w:rsid w:val="00562E3D"/>
    <w:rsid w:val="00563ADB"/>
    <w:rsid w:val="00563BCC"/>
    <w:rsid w:val="00563F75"/>
    <w:rsid w:val="005640EB"/>
    <w:rsid w:val="00565514"/>
    <w:rsid w:val="00565A6B"/>
    <w:rsid w:val="00565D52"/>
    <w:rsid w:val="00565D96"/>
    <w:rsid w:val="00565DB8"/>
    <w:rsid w:val="00566845"/>
    <w:rsid w:val="00566900"/>
    <w:rsid w:val="00570584"/>
    <w:rsid w:val="0057070F"/>
    <w:rsid w:val="005712D6"/>
    <w:rsid w:val="00571548"/>
    <w:rsid w:val="00571812"/>
    <w:rsid w:val="00571DCD"/>
    <w:rsid w:val="0057218C"/>
    <w:rsid w:val="00572C81"/>
    <w:rsid w:val="00572E70"/>
    <w:rsid w:val="00573369"/>
    <w:rsid w:val="00573C20"/>
    <w:rsid w:val="0057418A"/>
    <w:rsid w:val="00574923"/>
    <w:rsid w:val="00574D59"/>
    <w:rsid w:val="00575ACD"/>
    <w:rsid w:val="00575C24"/>
    <w:rsid w:val="00576226"/>
    <w:rsid w:val="005762EA"/>
    <w:rsid w:val="005767AE"/>
    <w:rsid w:val="00580390"/>
    <w:rsid w:val="00581240"/>
    <w:rsid w:val="005817B2"/>
    <w:rsid w:val="005819F7"/>
    <w:rsid w:val="00581C35"/>
    <w:rsid w:val="005824C6"/>
    <w:rsid w:val="00582674"/>
    <w:rsid w:val="0058271E"/>
    <w:rsid w:val="00582761"/>
    <w:rsid w:val="0058283F"/>
    <w:rsid w:val="0058380D"/>
    <w:rsid w:val="00583930"/>
    <w:rsid w:val="00583BFE"/>
    <w:rsid w:val="00583D8A"/>
    <w:rsid w:val="005840EF"/>
    <w:rsid w:val="005845A3"/>
    <w:rsid w:val="005848F8"/>
    <w:rsid w:val="00584E2F"/>
    <w:rsid w:val="00585151"/>
    <w:rsid w:val="0058525B"/>
    <w:rsid w:val="00585C03"/>
    <w:rsid w:val="0058619F"/>
    <w:rsid w:val="00586637"/>
    <w:rsid w:val="005867CF"/>
    <w:rsid w:val="00586E8E"/>
    <w:rsid w:val="00587C46"/>
    <w:rsid w:val="00587F56"/>
    <w:rsid w:val="00587FD9"/>
    <w:rsid w:val="005908B9"/>
    <w:rsid w:val="00591265"/>
    <w:rsid w:val="00591283"/>
    <w:rsid w:val="005915A4"/>
    <w:rsid w:val="005922F4"/>
    <w:rsid w:val="005924D3"/>
    <w:rsid w:val="005924F1"/>
    <w:rsid w:val="005925E3"/>
    <w:rsid w:val="00592F32"/>
    <w:rsid w:val="0059304D"/>
    <w:rsid w:val="005933AE"/>
    <w:rsid w:val="00594550"/>
    <w:rsid w:val="00595156"/>
    <w:rsid w:val="00596129"/>
    <w:rsid w:val="00596832"/>
    <w:rsid w:val="00596CCB"/>
    <w:rsid w:val="00596DB6"/>
    <w:rsid w:val="00597753"/>
    <w:rsid w:val="00597E6F"/>
    <w:rsid w:val="005A0203"/>
    <w:rsid w:val="005A052F"/>
    <w:rsid w:val="005A0EFC"/>
    <w:rsid w:val="005A1018"/>
    <w:rsid w:val="005A1099"/>
    <w:rsid w:val="005A12EF"/>
    <w:rsid w:val="005A167F"/>
    <w:rsid w:val="005A1980"/>
    <w:rsid w:val="005A1A26"/>
    <w:rsid w:val="005A1B43"/>
    <w:rsid w:val="005A1C52"/>
    <w:rsid w:val="005A1F74"/>
    <w:rsid w:val="005A23D2"/>
    <w:rsid w:val="005A2593"/>
    <w:rsid w:val="005A3196"/>
    <w:rsid w:val="005A339E"/>
    <w:rsid w:val="005A408B"/>
    <w:rsid w:val="005A6F80"/>
    <w:rsid w:val="005A7215"/>
    <w:rsid w:val="005A726F"/>
    <w:rsid w:val="005A72E6"/>
    <w:rsid w:val="005A782E"/>
    <w:rsid w:val="005A793B"/>
    <w:rsid w:val="005A79AE"/>
    <w:rsid w:val="005B1731"/>
    <w:rsid w:val="005B1B6F"/>
    <w:rsid w:val="005B1FD1"/>
    <w:rsid w:val="005B2054"/>
    <w:rsid w:val="005B2607"/>
    <w:rsid w:val="005B26FD"/>
    <w:rsid w:val="005B40A1"/>
    <w:rsid w:val="005B429E"/>
    <w:rsid w:val="005B44D0"/>
    <w:rsid w:val="005B4C41"/>
    <w:rsid w:val="005B4CD8"/>
    <w:rsid w:val="005B5179"/>
    <w:rsid w:val="005B5B11"/>
    <w:rsid w:val="005B60BD"/>
    <w:rsid w:val="005B6837"/>
    <w:rsid w:val="005B74F6"/>
    <w:rsid w:val="005B75BF"/>
    <w:rsid w:val="005B78D4"/>
    <w:rsid w:val="005B7BE6"/>
    <w:rsid w:val="005C0607"/>
    <w:rsid w:val="005C0A76"/>
    <w:rsid w:val="005C0F51"/>
    <w:rsid w:val="005C0F98"/>
    <w:rsid w:val="005C11E6"/>
    <w:rsid w:val="005C1F3B"/>
    <w:rsid w:val="005C208C"/>
    <w:rsid w:val="005C2E67"/>
    <w:rsid w:val="005C2E85"/>
    <w:rsid w:val="005C35ED"/>
    <w:rsid w:val="005C35FA"/>
    <w:rsid w:val="005C3CEA"/>
    <w:rsid w:val="005C482F"/>
    <w:rsid w:val="005C48AC"/>
    <w:rsid w:val="005C4D24"/>
    <w:rsid w:val="005C4DD7"/>
    <w:rsid w:val="005C539A"/>
    <w:rsid w:val="005C549E"/>
    <w:rsid w:val="005C5CAB"/>
    <w:rsid w:val="005C6236"/>
    <w:rsid w:val="005C667F"/>
    <w:rsid w:val="005C778A"/>
    <w:rsid w:val="005C794A"/>
    <w:rsid w:val="005C7B1F"/>
    <w:rsid w:val="005D03CD"/>
    <w:rsid w:val="005D074C"/>
    <w:rsid w:val="005D0923"/>
    <w:rsid w:val="005D1034"/>
    <w:rsid w:val="005D12BF"/>
    <w:rsid w:val="005D130B"/>
    <w:rsid w:val="005D14E9"/>
    <w:rsid w:val="005D1B75"/>
    <w:rsid w:val="005D1C71"/>
    <w:rsid w:val="005D21A6"/>
    <w:rsid w:val="005D29D5"/>
    <w:rsid w:val="005D2A36"/>
    <w:rsid w:val="005D3E97"/>
    <w:rsid w:val="005D4095"/>
    <w:rsid w:val="005D4641"/>
    <w:rsid w:val="005D49FF"/>
    <w:rsid w:val="005D4D0A"/>
    <w:rsid w:val="005D5695"/>
    <w:rsid w:val="005D5F69"/>
    <w:rsid w:val="005D63D6"/>
    <w:rsid w:val="005D7ED3"/>
    <w:rsid w:val="005E0862"/>
    <w:rsid w:val="005E1375"/>
    <w:rsid w:val="005E147F"/>
    <w:rsid w:val="005E1CEB"/>
    <w:rsid w:val="005E218F"/>
    <w:rsid w:val="005E2A30"/>
    <w:rsid w:val="005E2FF1"/>
    <w:rsid w:val="005E3850"/>
    <w:rsid w:val="005E3DEF"/>
    <w:rsid w:val="005E4507"/>
    <w:rsid w:val="005E4E97"/>
    <w:rsid w:val="005E5C65"/>
    <w:rsid w:val="005E5DFA"/>
    <w:rsid w:val="005E682E"/>
    <w:rsid w:val="005E6F86"/>
    <w:rsid w:val="005E7479"/>
    <w:rsid w:val="005E7892"/>
    <w:rsid w:val="005E7AE2"/>
    <w:rsid w:val="005F0245"/>
    <w:rsid w:val="005F0652"/>
    <w:rsid w:val="005F07BE"/>
    <w:rsid w:val="005F1146"/>
    <w:rsid w:val="005F3CEA"/>
    <w:rsid w:val="005F42D4"/>
    <w:rsid w:val="005F4A97"/>
    <w:rsid w:val="005F4E85"/>
    <w:rsid w:val="005F546F"/>
    <w:rsid w:val="005F5479"/>
    <w:rsid w:val="005F5B32"/>
    <w:rsid w:val="005F5CD6"/>
    <w:rsid w:val="005F6568"/>
    <w:rsid w:val="005F66DC"/>
    <w:rsid w:val="005F6D4B"/>
    <w:rsid w:val="005F731B"/>
    <w:rsid w:val="005F7D47"/>
    <w:rsid w:val="005F7E3B"/>
    <w:rsid w:val="005F7E8D"/>
    <w:rsid w:val="0060009D"/>
    <w:rsid w:val="006002D9"/>
    <w:rsid w:val="0060130C"/>
    <w:rsid w:val="006013FB"/>
    <w:rsid w:val="00601F1A"/>
    <w:rsid w:val="00602746"/>
    <w:rsid w:val="0060294C"/>
    <w:rsid w:val="00603073"/>
    <w:rsid w:val="00603128"/>
    <w:rsid w:val="006036E2"/>
    <w:rsid w:val="006037C5"/>
    <w:rsid w:val="00604154"/>
    <w:rsid w:val="006041D5"/>
    <w:rsid w:val="00604F65"/>
    <w:rsid w:val="00604F87"/>
    <w:rsid w:val="006052B9"/>
    <w:rsid w:val="00605607"/>
    <w:rsid w:val="00605E4D"/>
    <w:rsid w:val="00606050"/>
    <w:rsid w:val="00606458"/>
    <w:rsid w:val="00606CC5"/>
    <w:rsid w:val="00607141"/>
    <w:rsid w:val="00607B23"/>
    <w:rsid w:val="00611189"/>
    <w:rsid w:val="006125C5"/>
    <w:rsid w:val="006126C4"/>
    <w:rsid w:val="0061278B"/>
    <w:rsid w:val="00612EA9"/>
    <w:rsid w:val="006136B7"/>
    <w:rsid w:val="006144BB"/>
    <w:rsid w:val="00614943"/>
    <w:rsid w:val="00616900"/>
    <w:rsid w:val="00616ACC"/>
    <w:rsid w:val="00616B2A"/>
    <w:rsid w:val="00616B3B"/>
    <w:rsid w:val="0061744E"/>
    <w:rsid w:val="0061780F"/>
    <w:rsid w:val="0061799E"/>
    <w:rsid w:val="00617BBF"/>
    <w:rsid w:val="00617CDA"/>
    <w:rsid w:val="006204D9"/>
    <w:rsid w:val="006205AD"/>
    <w:rsid w:val="00621934"/>
    <w:rsid w:val="00622007"/>
    <w:rsid w:val="00622295"/>
    <w:rsid w:val="006223E7"/>
    <w:rsid w:val="00622B34"/>
    <w:rsid w:val="00623836"/>
    <w:rsid w:val="00623D94"/>
    <w:rsid w:val="00623F1D"/>
    <w:rsid w:val="00624B58"/>
    <w:rsid w:val="00624D93"/>
    <w:rsid w:val="00624E2A"/>
    <w:rsid w:val="006251EF"/>
    <w:rsid w:val="006254B1"/>
    <w:rsid w:val="00630007"/>
    <w:rsid w:val="006305AE"/>
    <w:rsid w:val="00630940"/>
    <w:rsid w:val="00630B6A"/>
    <w:rsid w:val="006312F7"/>
    <w:rsid w:val="006320CB"/>
    <w:rsid w:val="0063262B"/>
    <w:rsid w:val="00632656"/>
    <w:rsid w:val="00632F67"/>
    <w:rsid w:val="00633FD3"/>
    <w:rsid w:val="00634285"/>
    <w:rsid w:val="006345ED"/>
    <w:rsid w:val="006345EE"/>
    <w:rsid w:val="00635971"/>
    <w:rsid w:val="00640005"/>
    <w:rsid w:val="006403E0"/>
    <w:rsid w:val="0064043A"/>
    <w:rsid w:val="0064099A"/>
    <w:rsid w:val="00641627"/>
    <w:rsid w:val="00641758"/>
    <w:rsid w:val="00641DF1"/>
    <w:rsid w:val="00641F32"/>
    <w:rsid w:val="00642B83"/>
    <w:rsid w:val="0064341D"/>
    <w:rsid w:val="00643C4B"/>
    <w:rsid w:val="00645164"/>
    <w:rsid w:val="0064691C"/>
    <w:rsid w:val="006469A2"/>
    <w:rsid w:val="00646AB8"/>
    <w:rsid w:val="00646D0D"/>
    <w:rsid w:val="006471F9"/>
    <w:rsid w:val="006475BE"/>
    <w:rsid w:val="0064768C"/>
    <w:rsid w:val="0064782E"/>
    <w:rsid w:val="006507E9"/>
    <w:rsid w:val="00650822"/>
    <w:rsid w:val="006508E9"/>
    <w:rsid w:val="00650A98"/>
    <w:rsid w:val="00651614"/>
    <w:rsid w:val="00652863"/>
    <w:rsid w:val="0065290E"/>
    <w:rsid w:val="00652921"/>
    <w:rsid w:val="00653C4B"/>
    <w:rsid w:val="00653D6D"/>
    <w:rsid w:val="00654978"/>
    <w:rsid w:val="00655EA5"/>
    <w:rsid w:val="006560A2"/>
    <w:rsid w:val="00656401"/>
    <w:rsid w:val="00656989"/>
    <w:rsid w:val="006572C7"/>
    <w:rsid w:val="00657499"/>
    <w:rsid w:val="006578FA"/>
    <w:rsid w:val="0066025F"/>
    <w:rsid w:val="0066047B"/>
    <w:rsid w:val="00660BD7"/>
    <w:rsid w:val="00660E13"/>
    <w:rsid w:val="0066141F"/>
    <w:rsid w:val="00661B9D"/>
    <w:rsid w:val="0066243B"/>
    <w:rsid w:val="00662E8A"/>
    <w:rsid w:val="00663136"/>
    <w:rsid w:val="00663BB8"/>
    <w:rsid w:val="0066419D"/>
    <w:rsid w:val="0066434A"/>
    <w:rsid w:val="00664610"/>
    <w:rsid w:val="00664DBC"/>
    <w:rsid w:val="006655C3"/>
    <w:rsid w:val="006661AE"/>
    <w:rsid w:val="006661E7"/>
    <w:rsid w:val="0066711D"/>
    <w:rsid w:val="0066735E"/>
    <w:rsid w:val="006674AF"/>
    <w:rsid w:val="00667690"/>
    <w:rsid w:val="00667861"/>
    <w:rsid w:val="00667980"/>
    <w:rsid w:val="00667EF3"/>
    <w:rsid w:val="00667FEE"/>
    <w:rsid w:val="006701A1"/>
    <w:rsid w:val="006707CC"/>
    <w:rsid w:val="00670E7B"/>
    <w:rsid w:val="00670ECD"/>
    <w:rsid w:val="00671D6C"/>
    <w:rsid w:val="00671E51"/>
    <w:rsid w:val="0067398D"/>
    <w:rsid w:val="00673BC8"/>
    <w:rsid w:val="00673BEE"/>
    <w:rsid w:val="006740EF"/>
    <w:rsid w:val="006746D0"/>
    <w:rsid w:val="00675115"/>
    <w:rsid w:val="006757FE"/>
    <w:rsid w:val="00675FA0"/>
    <w:rsid w:val="00676A77"/>
    <w:rsid w:val="00677B79"/>
    <w:rsid w:val="00677FAC"/>
    <w:rsid w:val="006801FA"/>
    <w:rsid w:val="00680580"/>
    <w:rsid w:val="00680B1F"/>
    <w:rsid w:val="00680E20"/>
    <w:rsid w:val="0068129F"/>
    <w:rsid w:val="00681688"/>
    <w:rsid w:val="00681A87"/>
    <w:rsid w:val="00681D97"/>
    <w:rsid w:val="00681F24"/>
    <w:rsid w:val="006826D6"/>
    <w:rsid w:val="00682E85"/>
    <w:rsid w:val="00682F49"/>
    <w:rsid w:val="006838FF"/>
    <w:rsid w:val="00683A6F"/>
    <w:rsid w:val="00683AED"/>
    <w:rsid w:val="006840C7"/>
    <w:rsid w:val="0068441B"/>
    <w:rsid w:val="0068476F"/>
    <w:rsid w:val="00684771"/>
    <w:rsid w:val="00684C89"/>
    <w:rsid w:val="00685028"/>
    <w:rsid w:val="0068553C"/>
    <w:rsid w:val="00686E4A"/>
    <w:rsid w:val="00686F72"/>
    <w:rsid w:val="0068744E"/>
    <w:rsid w:val="00687644"/>
    <w:rsid w:val="00687A58"/>
    <w:rsid w:val="00687A88"/>
    <w:rsid w:val="00687B8D"/>
    <w:rsid w:val="00687CF6"/>
    <w:rsid w:val="00687D00"/>
    <w:rsid w:val="006900BA"/>
    <w:rsid w:val="0069098B"/>
    <w:rsid w:val="006914F0"/>
    <w:rsid w:val="006930F8"/>
    <w:rsid w:val="00693912"/>
    <w:rsid w:val="00693BDB"/>
    <w:rsid w:val="006940D3"/>
    <w:rsid w:val="006940F0"/>
    <w:rsid w:val="00694113"/>
    <w:rsid w:val="006949CD"/>
    <w:rsid w:val="00694BA0"/>
    <w:rsid w:val="00695222"/>
    <w:rsid w:val="00695C9D"/>
    <w:rsid w:val="006966DF"/>
    <w:rsid w:val="006A0747"/>
    <w:rsid w:val="006A18E6"/>
    <w:rsid w:val="006A1DBF"/>
    <w:rsid w:val="006A29F8"/>
    <w:rsid w:val="006A427A"/>
    <w:rsid w:val="006A4C49"/>
    <w:rsid w:val="006A55B0"/>
    <w:rsid w:val="006A6C1F"/>
    <w:rsid w:val="006A7279"/>
    <w:rsid w:val="006A77AB"/>
    <w:rsid w:val="006A7D09"/>
    <w:rsid w:val="006B0723"/>
    <w:rsid w:val="006B0794"/>
    <w:rsid w:val="006B14B4"/>
    <w:rsid w:val="006B1692"/>
    <w:rsid w:val="006B2437"/>
    <w:rsid w:val="006B25B8"/>
    <w:rsid w:val="006B3E1A"/>
    <w:rsid w:val="006B3F37"/>
    <w:rsid w:val="006B51B9"/>
    <w:rsid w:val="006B75B6"/>
    <w:rsid w:val="006B7772"/>
    <w:rsid w:val="006B7896"/>
    <w:rsid w:val="006C0484"/>
    <w:rsid w:val="006C05A9"/>
    <w:rsid w:val="006C067B"/>
    <w:rsid w:val="006C179E"/>
    <w:rsid w:val="006C1850"/>
    <w:rsid w:val="006C231A"/>
    <w:rsid w:val="006C367E"/>
    <w:rsid w:val="006C3AB5"/>
    <w:rsid w:val="006C541F"/>
    <w:rsid w:val="006C562C"/>
    <w:rsid w:val="006C5A85"/>
    <w:rsid w:val="006C61A8"/>
    <w:rsid w:val="006C65A0"/>
    <w:rsid w:val="006C6E11"/>
    <w:rsid w:val="006C6E7A"/>
    <w:rsid w:val="006C70B8"/>
    <w:rsid w:val="006C7607"/>
    <w:rsid w:val="006C76C7"/>
    <w:rsid w:val="006C7EC3"/>
    <w:rsid w:val="006D0598"/>
    <w:rsid w:val="006D0793"/>
    <w:rsid w:val="006D0851"/>
    <w:rsid w:val="006D0C71"/>
    <w:rsid w:val="006D0F97"/>
    <w:rsid w:val="006D348B"/>
    <w:rsid w:val="006D3522"/>
    <w:rsid w:val="006D3530"/>
    <w:rsid w:val="006D3751"/>
    <w:rsid w:val="006D4415"/>
    <w:rsid w:val="006D4716"/>
    <w:rsid w:val="006D47F4"/>
    <w:rsid w:val="006D5683"/>
    <w:rsid w:val="006D5B1D"/>
    <w:rsid w:val="006D60C9"/>
    <w:rsid w:val="006D68DC"/>
    <w:rsid w:val="006D7B59"/>
    <w:rsid w:val="006D7EAC"/>
    <w:rsid w:val="006E0011"/>
    <w:rsid w:val="006E035A"/>
    <w:rsid w:val="006E0F39"/>
    <w:rsid w:val="006E17E8"/>
    <w:rsid w:val="006E1A47"/>
    <w:rsid w:val="006E2F04"/>
    <w:rsid w:val="006E462D"/>
    <w:rsid w:val="006E4782"/>
    <w:rsid w:val="006E530D"/>
    <w:rsid w:val="006E566E"/>
    <w:rsid w:val="006E6469"/>
    <w:rsid w:val="006E6D01"/>
    <w:rsid w:val="006E6FDA"/>
    <w:rsid w:val="006E737E"/>
    <w:rsid w:val="006E74B2"/>
    <w:rsid w:val="006E7CBD"/>
    <w:rsid w:val="006F003B"/>
    <w:rsid w:val="006F179A"/>
    <w:rsid w:val="006F27E3"/>
    <w:rsid w:val="006F28FB"/>
    <w:rsid w:val="006F316D"/>
    <w:rsid w:val="006F39CD"/>
    <w:rsid w:val="006F3DAA"/>
    <w:rsid w:val="006F7DDF"/>
    <w:rsid w:val="00700123"/>
    <w:rsid w:val="007004A0"/>
    <w:rsid w:val="00700E90"/>
    <w:rsid w:val="0070109F"/>
    <w:rsid w:val="00701447"/>
    <w:rsid w:val="007016D3"/>
    <w:rsid w:val="00701979"/>
    <w:rsid w:val="00701F65"/>
    <w:rsid w:val="007021DE"/>
    <w:rsid w:val="007023A5"/>
    <w:rsid w:val="00702F78"/>
    <w:rsid w:val="00702F7F"/>
    <w:rsid w:val="00703C9A"/>
    <w:rsid w:val="00703E2E"/>
    <w:rsid w:val="00703FAC"/>
    <w:rsid w:val="00704A0E"/>
    <w:rsid w:val="00705495"/>
    <w:rsid w:val="007055DE"/>
    <w:rsid w:val="007056E8"/>
    <w:rsid w:val="007058C0"/>
    <w:rsid w:val="00705BC6"/>
    <w:rsid w:val="0070698D"/>
    <w:rsid w:val="00706F45"/>
    <w:rsid w:val="00706FCE"/>
    <w:rsid w:val="00707316"/>
    <w:rsid w:val="007075CF"/>
    <w:rsid w:val="00707892"/>
    <w:rsid w:val="007104DD"/>
    <w:rsid w:val="00710869"/>
    <w:rsid w:val="00711196"/>
    <w:rsid w:val="00711B3F"/>
    <w:rsid w:val="007121B4"/>
    <w:rsid w:val="00712886"/>
    <w:rsid w:val="00714306"/>
    <w:rsid w:val="00714C50"/>
    <w:rsid w:val="007150D4"/>
    <w:rsid w:val="00715DE1"/>
    <w:rsid w:val="00717B75"/>
    <w:rsid w:val="00717ECB"/>
    <w:rsid w:val="00717FE8"/>
    <w:rsid w:val="007203E3"/>
    <w:rsid w:val="00720A06"/>
    <w:rsid w:val="00720C72"/>
    <w:rsid w:val="007213E4"/>
    <w:rsid w:val="0072163E"/>
    <w:rsid w:val="007223EB"/>
    <w:rsid w:val="00723ABC"/>
    <w:rsid w:val="00723F70"/>
    <w:rsid w:val="0072430C"/>
    <w:rsid w:val="0072437A"/>
    <w:rsid w:val="00724531"/>
    <w:rsid w:val="0072578A"/>
    <w:rsid w:val="0072662E"/>
    <w:rsid w:val="00730355"/>
    <w:rsid w:val="00730A23"/>
    <w:rsid w:val="00730CB1"/>
    <w:rsid w:val="0073147D"/>
    <w:rsid w:val="0073158E"/>
    <w:rsid w:val="0073172A"/>
    <w:rsid w:val="00732773"/>
    <w:rsid w:val="00732EBC"/>
    <w:rsid w:val="00733672"/>
    <w:rsid w:val="0073379C"/>
    <w:rsid w:val="00733FFC"/>
    <w:rsid w:val="0073414D"/>
    <w:rsid w:val="00734289"/>
    <w:rsid w:val="007345C7"/>
    <w:rsid w:val="00735263"/>
    <w:rsid w:val="00735626"/>
    <w:rsid w:val="00735AA3"/>
    <w:rsid w:val="00735AB7"/>
    <w:rsid w:val="00735C2D"/>
    <w:rsid w:val="0073604D"/>
    <w:rsid w:val="007363B4"/>
    <w:rsid w:val="00736733"/>
    <w:rsid w:val="00736761"/>
    <w:rsid w:val="00736B6F"/>
    <w:rsid w:val="007371A6"/>
    <w:rsid w:val="00737264"/>
    <w:rsid w:val="00737BA6"/>
    <w:rsid w:val="007409B2"/>
    <w:rsid w:val="00741510"/>
    <w:rsid w:val="00742156"/>
    <w:rsid w:val="00743ADC"/>
    <w:rsid w:val="007443A1"/>
    <w:rsid w:val="00744416"/>
    <w:rsid w:val="00744493"/>
    <w:rsid w:val="00744534"/>
    <w:rsid w:val="0074455E"/>
    <w:rsid w:val="00744C97"/>
    <w:rsid w:val="007462EC"/>
    <w:rsid w:val="00746589"/>
    <w:rsid w:val="0074663B"/>
    <w:rsid w:val="00746766"/>
    <w:rsid w:val="00746DF1"/>
    <w:rsid w:val="00747577"/>
    <w:rsid w:val="0074789C"/>
    <w:rsid w:val="00747A16"/>
    <w:rsid w:val="00750613"/>
    <w:rsid w:val="0075090A"/>
    <w:rsid w:val="00750B94"/>
    <w:rsid w:val="00751195"/>
    <w:rsid w:val="007518EA"/>
    <w:rsid w:val="007522AF"/>
    <w:rsid w:val="00753347"/>
    <w:rsid w:val="007533C9"/>
    <w:rsid w:val="007539CB"/>
    <w:rsid w:val="007544A9"/>
    <w:rsid w:val="0075471A"/>
    <w:rsid w:val="00755D9A"/>
    <w:rsid w:val="00756B31"/>
    <w:rsid w:val="00756D76"/>
    <w:rsid w:val="00756E62"/>
    <w:rsid w:val="007572BA"/>
    <w:rsid w:val="00757425"/>
    <w:rsid w:val="007576A8"/>
    <w:rsid w:val="00760428"/>
    <w:rsid w:val="00760C90"/>
    <w:rsid w:val="00761442"/>
    <w:rsid w:val="00761AC8"/>
    <w:rsid w:val="00761E92"/>
    <w:rsid w:val="0076206F"/>
    <w:rsid w:val="00762CF0"/>
    <w:rsid w:val="00762F5B"/>
    <w:rsid w:val="007632E0"/>
    <w:rsid w:val="00764453"/>
    <w:rsid w:val="00764801"/>
    <w:rsid w:val="00764891"/>
    <w:rsid w:val="00764C4A"/>
    <w:rsid w:val="0076515D"/>
    <w:rsid w:val="007655FA"/>
    <w:rsid w:val="007658E5"/>
    <w:rsid w:val="00765AA7"/>
    <w:rsid w:val="007662DE"/>
    <w:rsid w:val="00766779"/>
    <w:rsid w:val="007679EB"/>
    <w:rsid w:val="00770D94"/>
    <w:rsid w:val="00771631"/>
    <w:rsid w:val="0077193B"/>
    <w:rsid w:val="00771F9B"/>
    <w:rsid w:val="0077261D"/>
    <w:rsid w:val="0077271B"/>
    <w:rsid w:val="00772ADE"/>
    <w:rsid w:val="007735A5"/>
    <w:rsid w:val="007752E2"/>
    <w:rsid w:val="007759FE"/>
    <w:rsid w:val="007762CD"/>
    <w:rsid w:val="0077710D"/>
    <w:rsid w:val="00777290"/>
    <w:rsid w:val="007777C3"/>
    <w:rsid w:val="00780273"/>
    <w:rsid w:val="00780956"/>
    <w:rsid w:val="0078233F"/>
    <w:rsid w:val="00782D8F"/>
    <w:rsid w:val="00782F00"/>
    <w:rsid w:val="00782FC5"/>
    <w:rsid w:val="007834E3"/>
    <w:rsid w:val="0078357E"/>
    <w:rsid w:val="0078385A"/>
    <w:rsid w:val="007839E7"/>
    <w:rsid w:val="00783F2E"/>
    <w:rsid w:val="007841FF"/>
    <w:rsid w:val="00785009"/>
    <w:rsid w:val="00785E26"/>
    <w:rsid w:val="00785EFF"/>
    <w:rsid w:val="007865FC"/>
    <w:rsid w:val="00786824"/>
    <w:rsid w:val="00786C48"/>
    <w:rsid w:val="0078724C"/>
    <w:rsid w:val="007872AD"/>
    <w:rsid w:val="00787C9D"/>
    <w:rsid w:val="007906CA"/>
    <w:rsid w:val="00791503"/>
    <w:rsid w:val="00791C71"/>
    <w:rsid w:val="007934D4"/>
    <w:rsid w:val="00793789"/>
    <w:rsid w:val="007939BD"/>
    <w:rsid w:val="00793C16"/>
    <w:rsid w:val="00793FBD"/>
    <w:rsid w:val="00795610"/>
    <w:rsid w:val="00795792"/>
    <w:rsid w:val="0079630D"/>
    <w:rsid w:val="00796AC3"/>
    <w:rsid w:val="00796C5E"/>
    <w:rsid w:val="0079775B"/>
    <w:rsid w:val="00797D70"/>
    <w:rsid w:val="007A0692"/>
    <w:rsid w:val="007A0A3F"/>
    <w:rsid w:val="007A0B62"/>
    <w:rsid w:val="007A11B0"/>
    <w:rsid w:val="007A1236"/>
    <w:rsid w:val="007A1D32"/>
    <w:rsid w:val="007A21A0"/>
    <w:rsid w:val="007A2A69"/>
    <w:rsid w:val="007A2A6F"/>
    <w:rsid w:val="007A2D6D"/>
    <w:rsid w:val="007A32ED"/>
    <w:rsid w:val="007A39D3"/>
    <w:rsid w:val="007A3BDD"/>
    <w:rsid w:val="007A3E4D"/>
    <w:rsid w:val="007A40B3"/>
    <w:rsid w:val="007A4506"/>
    <w:rsid w:val="007A4EA2"/>
    <w:rsid w:val="007A57AE"/>
    <w:rsid w:val="007A6E20"/>
    <w:rsid w:val="007A737B"/>
    <w:rsid w:val="007A73DA"/>
    <w:rsid w:val="007A74B2"/>
    <w:rsid w:val="007A7922"/>
    <w:rsid w:val="007B07C4"/>
    <w:rsid w:val="007B0B94"/>
    <w:rsid w:val="007B11EC"/>
    <w:rsid w:val="007B1798"/>
    <w:rsid w:val="007B1956"/>
    <w:rsid w:val="007B1F57"/>
    <w:rsid w:val="007B4597"/>
    <w:rsid w:val="007B47A0"/>
    <w:rsid w:val="007B4B28"/>
    <w:rsid w:val="007B4B84"/>
    <w:rsid w:val="007B5174"/>
    <w:rsid w:val="007B5336"/>
    <w:rsid w:val="007B55C5"/>
    <w:rsid w:val="007B57D2"/>
    <w:rsid w:val="007B5E43"/>
    <w:rsid w:val="007B70FB"/>
    <w:rsid w:val="007B74DB"/>
    <w:rsid w:val="007C02CB"/>
    <w:rsid w:val="007C0482"/>
    <w:rsid w:val="007C123C"/>
    <w:rsid w:val="007C1DC9"/>
    <w:rsid w:val="007C1FC0"/>
    <w:rsid w:val="007C20FE"/>
    <w:rsid w:val="007C212C"/>
    <w:rsid w:val="007C2678"/>
    <w:rsid w:val="007C2F6E"/>
    <w:rsid w:val="007C3435"/>
    <w:rsid w:val="007C376A"/>
    <w:rsid w:val="007C39D4"/>
    <w:rsid w:val="007C3E04"/>
    <w:rsid w:val="007C4936"/>
    <w:rsid w:val="007C4A77"/>
    <w:rsid w:val="007C522D"/>
    <w:rsid w:val="007C55BE"/>
    <w:rsid w:val="007C5AB5"/>
    <w:rsid w:val="007C5CCF"/>
    <w:rsid w:val="007C6869"/>
    <w:rsid w:val="007C766F"/>
    <w:rsid w:val="007C7AD6"/>
    <w:rsid w:val="007C7C59"/>
    <w:rsid w:val="007C7DC7"/>
    <w:rsid w:val="007D0BB9"/>
    <w:rsid w:val="007D2593"/>
    <w:rsid w:val="007D2A26"/>
    <w:rsid w:val="007D40F5"/>
    <w:rsid w:val="007D4419"/>
    <w:rsid w:val="007D46D8"/>
    <w:rsid w:val="007D4892"/>
    <w:rsid w:val="007D48E9"/>
    <w:rsid w:val="007D53CB"/>
    <w:rsid w:val="007D564C"/>
    <w:rsid w:val="007D5857"/>
    <w:rsid w:val="007D6380"/>
    <w:rsid w:val="007D6F86"/>
    <w:rsid w:val="007D72EB"/>
    <w:rsid w:val="007D7CD6"/>
    <w:rsid w:val="007D7E01"/>
    <w:rsid w:val="007E06FB"/>
    <w:rsid w:val="007E0C3A"/>
    <w:rsid w:val="007E0F8F"/>
    <w:rsid w:val="007E2DD6"/>
    <w:rsid w:val="007E317C"/>
    <w:rsid w:val="007E3E82"/>
    <w:rsid w:val="007E44F9"/>
    <w:rsid w:val="007E46B8"/>
    <w:rsid w:val="007E5E79"/>
    <w:rsid w:val="007E5ED9"/>
    <w:rsid w:val="007E5EDC"/>
    <w:rsid w:val="007E5F31"/>
    <w:rsid w:val="007E6646"/>
    <w:rsid w:val="007E6C51"/>
    <w:rsid w:val="007E7232"/>
    <w:rsid w:val="007E72AB"/>
    <w:rsid w:val="007E7A42"/>
    <w:rsid w:val="007F0378"/>
    <w:rsid w:val="007F0684"/>
    <w:rsid w:val="007F06B6"/>
    <w:rsid w:val="007F06E8"/>
    <w:rsid w:val="007F08B2"/>
    <w:rsid w:val="007F0AF8"/>
    <w:rsid w:val="007F219A"/>
    <w:rsid w:val="007F226D"/>
    <w:rsid w:val="007F2450"/>
    <w:rsid w:val="007F2841"/>
    <w:rsid w:val="007F2A83"/>
    <w:rsid w:val="007F3A6F"/>
    <w:rsid w:val="007F3F16"/>
    <w:rsid w:val="007F4981"/>
    <w:rsid w:val="007F5C57"/>
    <w:rsid w:val="007F65DB"/>
    <w:rsid w:val="007F6761"/>
    <w:rsid w:val="007F6BC4"/>
    <w:rsid w:val="007F70D4"/>
    <w:rsid w:val="007F76B6"/>
    <w:rsid w:val="0080009A"/>
    <w:rsid w:val="00800120"/>
    <w:rsid w:val="0080073F"/>
    <w:rsid w:val="008009AF"/>
    <w:rsid w:val="008009DA"/>
    <w:rsid w:val="0080123D"/>
    <w:rsid w:val="00801CB1"/>
    <w:rsid w:val="00802AA7"/>
    <w:rsid w:val="00802B6F"/>
    <w:rsid w:val="00802BED"/>
    <w:rsid w:val="00803ACE"/>
    <w:rsid w:val="00805B99"/>
    <w:rsid w:val="0080611F"/>
    <w:rsid w:val="008064DA"/>
    <w:rsid w:val="00806E9B"/>
    <w:rsid w:val="00807090"/>
    <w:rsid w:val="008071F1"/>
    <w:rsid w:val="00807926"/>
    <w:rsid w:val="00807A15"/>
    <w:rsid w:val="00807AB5"/>
    <w:rsid w:val="008100A2"/>
    <w:rsid w:val="008107F5"/>
    <w:rsid w:val="00810E30"/>
    <w:rsid w:val="00810ED7"/>
    <w:rsid w:val="00812164"/>
    <w:rsid w:val="008136E9"/>
    <w:rsid w:val="00813AEB"/>
    <w:rsid w:val="00813FF1"/>
    <w:rsid w:val="00814CAD"/>
    <w:rsid w:val="00814F7D"/>
    <w:rsid w:val="00815CC8"/>
    <w:rsid w:val="00816377"/>
    <w:rsid w:val="008167F3"/>
    <w:rsid w:val="00817D96"/>
    <w:rsid w:val="00817F9A"/>
    <w:rsid w:val="008227FA"/>
    <w:rsid w:val="008229A2"/>
    <w:rsid w:val="00823049"/>
    <w:rsid w:val="0082443D"/>
    <w:rsid w:val="00824A9E"/>
    <w:rsid w:val="00824AA5"/>
    <w:rsid w:val="00825852"/>
    <w:rsid w:val="00825EA0"/>
    <w:rsid w:val="00825F58"/>
    <w:rsid w:val="00826756"/>
    <w:rsid w:val="008268CF"/>
    <w:rsid w:val="008270EE"/>
    <w:rsid w:val="00827497"/>
    <w:rsid w:val="0083026B"/>
    <w:rsid w:val="00830356"/>
    <w:rsid w:val="008313E6"/>
    <w:rsid w:val="00831472"/>
    <w:rsid w:val="008329FF"/>
    <w:rsid w:val="00832ECB"/>
    <w:rsid w:val="00833526"/>
    <w:rsid w:val="008340EC"/>
    <w:rsid w:val="008344B2"/>
    <w:rsid w:val="00834B47"/>
    <w:rsid w:val="00834D0C"/>
    <w:rsid w:val="00835459"/>
    <w:rsid w:val="00836F1A"/>
    <w:rsid w:val="008373A3"/>
    <w:rsid w:val="00837C41"/>
    <w:rsid w:val="00837C92"/>
    <w:rsid w:val="00837F0F"/>
    <w:rsid w:val="008416E5"/>
    <w:rsid w:val="0084210C"/>
    <w:rsid w:val="00842BBA"/>
    <w:rsid w:val="00842CB6"/>
    <w:rsid w:val="00842D41"/>
    <w:rsid w:val="00843029"/>
    <w:rsid w:val="00843420"/>
    <w:rsid w:val="00843B5D"/>
    <w:rsid w:val="008447D4"/>
    <w:rsid w:val="0084506C"/>
    <w:rsid w:val="008454BD"/>
    <w:rsid w:val="00845BDC"/>
    <w:rsid w:val="008463F3"/>
    <w:rsid w:val="00846D76"/>
    <w:rsid w:val="00847B3C"/>
    <w:rsid w:val="0085005F"/>
    <w:rsid w:val="0085062F"/>
    <w:rsid w:val="008506AC"/>
    <w:rsid w:val="00851059"/>
    <w:rsid w:val="00851307"/>
    <w:rsid w:val="008515B1"/>
    <w:rsid w:val="00852508"/>
    <w:rsid w:val="00852B17"/>
    <w:rsid w:val="00852E5B"/>
    <w:rsid w:val="00853677"/>
    <w:rsid w:val="008536B3"/>
    <w:rsid w:val="00853ACD"/>
    <w:rsid w:val="00853ACF"/>
    <w:rsid w:val="00853F1F"/>
    <w:rsid w:val="008544D3"/>
    <w:rsid w:val="008551DC"/>
    <w:rsid w:val="008558A1"/>
    <w:rsid w:val="0085642F"/>
    <w:rsid w:val="008573AF"/>
    <w:rsid w:val="00857645"/>
    <w:rsid w:val="00857D80"/>
    <w:rsid w:val="008602FC"/>
    <w:rsid w:val="0086083C"/>
    <w:rsid w:val="00860989"/>
    <w:rsid w:val="00860CF9"/>
    <w:rsid w:val="00861DDC"/>
    <w:rsid w:val="008622D3"/>
    <w:rsid w:val="0086268A"/>
    <w:rsid w:val="008639A2"/>
    <w:rsid w:val="00863BBB"/>
    <w:rsid w:val="00863D0B"/>
    <w:rsid w:val="008640FD"/>
    <w:rsid w:val="0086426C"/>
    <w:rsid w:val="0086564F"/>
    <w:rsid w:val="00865681"/>
    <w:rsid w:val="00866618"/>
    <w:rsid w:val="008668AB"/>
    <w:rsid w:val="00867985"/>
    <w:rsid w:val="00867B6B"/>
    <w:rsid w:val="00870AFC"/>
    <w:rsid w:val="0087132F"/>
    <w:rsid w:val="008715CC"/>
    <w:rsid w:val="008719F7"/>
    <w:rsid w:val="00872589"/>
    <w:rsid w:val="00872770"/>
    <w:rsid w:val="00873754"/>
    <w:rsid w:val="00873AD5"/>
    <w:rsid w:val="0087455C"/>
    <w:rsid w:val="008751B8"/>
    <w:rsid w:val="008752FC"/>
    <w:rsid w:val="00875FA4"/>
    <w:rsid w:val="008763C8"/>
    <w:rsid w:val="00877D6E"/>
    <w:rsid w:val="00877E35"/>
    <w:rsid w:val="0088014E"/>
    <w:rsid w:val="00880BAB"/>
    <w:rsid w:val="008817FF"/>
    <w:rsid w:val="008819B1"/>
    <w:rsid w:val="00881CC6"/>
    <w:rsid w:val="00881D3D"/>
    <w:rsid w:val="00882284"/>
    <w:rsid w:val="0088239C"/>
    <w:rsid w:val="00882745"/>
    <w:rsid w:val="008828F7"/>
    <w:rsid w:val="00882A65"/>
    <w:rsid w:val="00882E58"/>
    <w:rsid w:val="008835B1"/>
    <w:rsid w:val="00883B3F"/>
    <w:rsid w:val="00884CE3"/>
    <w:rsid w:val="008851BE"/>
    <w:rsid w:val="00885538"/>
    <w:rsid w:val="00885691"/>
    <w:rsid w:val="00886188"/>
    <w:rsid w:val="00886AF1"/>
    <w:rsid w:val="00887063"/>
    <w:rsid w:val="00887F1B"/>
    <w:rsid w:val="008900CF"/>
    <w:rsid w:val="00890ADA"/>
    <w:rsid w:val="00891E35"/>
    <w:rsid w:val="008922CF"/>
    <w:rsid w:val="008923D1"/>
    <w:rsid w:val="008925B9"/>
    <w:rsid w:val="008937CB"/>
    <w:rsid w:val="0089427B"/>
    <w:rsid w:val="0089483C"/>
    <w:rsid w:val="00894A6B"/>
    <w:rsid w:val="00894A7F"/>
    <w:rsid w:val="00895815"/>
    <w:rsid w:val="00895E4B"/>
    <w:rsid w:val="00895E5A"/>
    <w:rsid w:val="00896642"/>
    <w:rsid w:val="00896E3B"/>
    <w:rsid w:val="00897502"/>
    <w:rsid w:val="00897855"/>
    <w:rsid w:val="00897E32"/>
    <w:rsid w:val="008A0432"/>
    <w:rsid w:val="008A0E63"/>
    <w:rsid w:val="008A125D"/>
    <w:rsid w:val="008A173F"/>
    <w:rsid w:val="008A1EFD"/>
    <w:rsid w:val="008A2149"/>
    <w:rsid w:val="008A2790"/>
    <w:rsid w:val="008A2C5D"/>
    <w:rsid w:val="008A3C32"/>
    <w:rsid w:val="008A3CB8"/>
    <w:rsid w:val="008A40AB"/>
    <w:rsid w:val="008A414F"/>
    <w:rsid w:val="008A4F57"/>
    <w:rsid w:val="008A52CE"/>
    <w:rsid w:val="008A574C"/>
    <w:rsid w:val="008A6A25"/>
    <w:rsid w:val="008B0BA7"/>
    <w:rsid w:val="008B0D11"/>
    <w:rsid w:val="008B1E06"/>
    <w:rsid w:val="008B20A4"/>
    <w:rsid w:val="008B2A3F"/>
    <w:rsid w:val="008B2F1A"/>
    <w:rsid w:val="008B31AD"/>
    <w:rsid w:val="008B331F"/>
    <w:rsid w:val="008B3A87"/>
    <w:rsid w:val="008B3C1F"/>
    <w:rsid w:val="008B4243"/>
    <w:rsid w:val="008B4953"/>
    <w:rsid w:val="008B4E19"/>
    <w:rsid w:val="008B4F72"/>
    <w:rsid w:val="008B585B"/>
    <w:rsid w:val="008B5F58"/>
    <w:rsid w:val="008B6367"/>
    <w:rsid w:val="008B63AD"/>
    <w:rsid w:val="008B6F61"/>
    <w:rsid w:val="008B7546"/>
    <w:rsid w:val="008B7636"/>
    <w:rsid w:val="008B79D4"/>
    <w:rsid w:val="008C0557"/>
    <w:rsid w:val="008C0771"/>
    <w:rsid w:val="008C0845"/>
    <w:rsid w:val="008C127F"/>
    <w:rsid w:val="008C1715"/>
    <w:rsid w:val="008C1779"/>
    <w:rsid w:val="008C1DC1"/>
    <w:rsid w:val="008C28B3"/>
    <w:rsid w:val="008C2919"/>
    <w:rsid w:val="008C3434"/>
    <w:rsid w:val="008C3591"/>
    <w:rsid w:val="008C3A88"/>
    <w:rsid w:val="008C3AC1"/>
    <w:rsid w:val="008C4EB8"/>
    <w:rsid w:val="008C61B0"/>
    <w:rsid w:val="008C6FD3"/>
    <w:rsid w:val="008C702F"/>
    <w:rsid w:val="008C70EB"/>
    <w:rsid w:val="008C7A27"/>
    <w:rsid w:val="008C7FA7"/>
    <w:rsid w:val="008D03A3"/>
    <w:rsid w:val="008D155D"/>
    <w:rsid w:val="008D15E6"/>
    <w:rsid w:val="008D229E"/>
    <w:rsid w:val="008D24C5"/>
    <w:rsid w:val="008D25A1"/>
    <w:rsid w:val="008D36D2"/>
    <w:rsid w:val="008D3FE4"/>
    <w:rsid w:val="008D415F"/>
    <w:rsid w:val="008D4B1B"/>
    <w:rsid w:val="008D5506"/>
    <w:rsid w:val="008D56FC"/>
    <w:rsid w:val="008D5744"/>
    <w:rsid w:val="008D5DAB"/>
    <w:rsid w:val="008D5FB0"/>
    <w:rsid w:val="008D6641"/>
    <w:rsid w:val="008D6644"/>
    <w:rsid w:val="008D6847"/>
    <w:rsid w:val="008D6968"/>
    <w:rsid w:val="008D6C68"/>
    <w:rsid w:val="008D71F3"/>
    <w:rsid w:val="008D7AFD"/>
    <w:rsid w:val="008D7E3E"/>
    <w:rsid w:val="008D7EA6"/>
    <w:rsid w:val="008E0029"/>
    <w:rsid w:val="008E01BA"/>
    <w:rsid w:val="008E0219"/>
    <w:rsid w:val="008E08E9"/>
    <w:rsid w:val="008E0DE2"/>
    <w:rsid w:val="008E1A04"/>
    <w:rsid w:val="008E1CA4"/>
    <w:rsid w:val="008E2796"/>
    <w:rsid w:val="008E2BCC"/>
    <w:rsid w:val="008E3B01"/>
    <w:rsid w:val="008E3F5C"/>
    <w:rsid w:val="008E4594"/>
    <w:rsid w:val="008E5A4E"/>
    <w:rsid w:val="008E6D37"/>
    <w:rsid w:val="008E6F6B"/>
    <w:rsid w:val="008E7155"/>
    <w:rsid w:val="008E71FB"/>
    <w:rsid w:val="008E7365"/>
    <w:rsid w:val="008E7B7F"/>
    <w:rsid w:val="008E7E42"/>
    <w:rsid w:val="008E7F33"/>
    <w:rsid w:val="008F0248"/>
    <w:rsid w:val="008F07B8"/>
    <w:rsid w:val="008F0932"/>
    <w:rsid w:val="008F0EF5"/>
    <w:rsid w:val="008F1238"/>
    <w:rsid w:val="008F1B93"/>
    <w:rsid w:val="008F1BA0"/>
    <w:rsid w:val="008F232D"/>
    <w:rsid w:val="008F2435"/>
    <w:rsid w:val="008F257A"/>
    <w:rsid w:val="008F35D9"/>
    <w:rsid w:val="008F3793"/>
    <w:rsid w:val="008F3E4F"/>
    <w:rsid w:val="008F4363"/>
    <w:rsid w:val="008F438C"/>
    <w:rsid w:val="008F465B"/>
    <w:rsid w:val="008F4AA0"/>
    <w:rsid w:val="008F525C"/>
    <w:rsid w:val="008F540C"/>
    <w:rsid w:val="008F57F7"/>
    <w:rsid w:val="008F6060"/>
    <w:rsid w:val="008F6426"/>
    <w:rsid w:val="008F660A"/>
    <w:rsid w:val="008F67F1"/>
    <w:rsid w:val="008F6B8B"/>
    <w:rsid w:val="008F6EA1"/>
    <w:rsid w:val="008F74F0"/>
    <w:rsid w:val="00900C3B"/>
    <w:rsid w:val="00901038"/>
    <w:rsid w:val="009013A1"/>
    <w:rsid w:val="0090146E"/>
    <w:rsid w:val="00901587"/>
    <w:rsid w:val="00901D9F"/>
    <w:rsid w:val="00901E4D"/>
    <w:rsid w:val="0090218B"/>
    <w:rsid w:val="00902295"/>
    <w:rsid w:val="00903424"/>
    <w:rsid w:val="00903553"/>
    <w:rsid w:val="0090368C"/>
    <w:rsid w:val="00904206"/>
    <w:rsid w:val="00904595"/>
    <w:rsid w:val="0090491E"/>
    <w:rsid w:val="009049B3"/>
    <w:rsid w:val="00904D8C"/>
    <w:rsid w:val="00905456"/>
    <w:rsid w:val="009054D6"/>
    <w:rsid w:val="009058F9"/>
    <w:rsid w:val="0090621C"/>
    <w:rsid w:val="00906618"/>
    <w:rsid w:val="00906C4A"/>
    <w:rsid w:val="00910866"/>
    <w:rsid w:val="009110AD"/>
    <w:rsid w:val="009110CA"/>
    <w:rsid w:val="009111CC"/>
    <w:rsid w:val="009114FF"/>
    <w:rsid w:val="00911A79"/>
    <w:rsid w:val="00911D8B"/>
    <w:rsid w:val="00912180"/>
    <w:rsid w:val="009127CC"/>
    <w:rsid w:val="00914099"/>
    <w:rsid w:val="00914797"/>
    <w:rsid w:val="009158B9"/>
    <w:rsid w:val="00915938"/>
    <w:rsid w:val="00915AFA"/>
    <w:rsid w:val="0091620A"/>
    <w:rsid w:val="00916863"/>
    <w:rsid w:val="00916C2B"/>
    <w:rsid w:val="009171B3"/>
    <w:rsid w:val="00917458"/>
    <w:rsid w:val="00917EF4"/>
    <w:rsid w:val="0092096D"/>
    <w:rsid w:val="00921E56"/>
    <w:rsid w:val="009221ED"/>
    <w:rsid w:val="0092259C"/>
    <w:rsid w:val="00922AB8"/>
    <w:rsid w:val="00923106"/>
    <w:rsid w:val="0092330D"/>
    <w:rsid w:val="00923D98"/>
    <w:rsid w:val="00923FFB"/>
    <w:rsid w:val="00924CAD"/>
    <w:rsid w:val="00926F12"/>
    <w:rsid w:val="00927309"/>
    <w:rsid w:val="00927334"/>
    <w:rsid w:val="009278F2"/>
    <w:rsid w:val="00927DE3"/>
    <w:rsid w:val="00930591"/>
    <w:rsid w:val="00930609"/>
    <w:rsid w:val="00930A59"/>
    <w:rsid w:val="00930B72"/>
    <w:rsid w:val="0093196E"/>
    <w:rsid w:val="00931A58"/>
    <w:rsid w:val="00932113"/>
    <w:rsid w:val="00932A8D"/>
    <w:rsid w:val="00932AD7"/>
    <w:rsid w:val="00932E71"/>
    <w:rsid w:val="00933C9E"/>
    <w:rsid w:val="00934C06"/>
    <w:rsid w:val="00934FDD"/>
    <w:rsid w:val="009352C5"/>
    <w:rsid w:val="00935534"/>
    <w:rsid w:val="0093562F"/>
    <w:rsid w:val="00935F61"/>
    <w:rsid w:val="009360BB"/>
    <w:rsid w:val="00936B1F"/>
    <w:rsid w:val="009379F0"/>
    <w:rsid w:val="00937A67"/>
    <w:rsid w:val="00941E03"/>
    <w:rsid w:val="00942B2E"/>
    <w:rsid w:val="009431FA"/>
    <w:rsid w:val="00943238"/>
    <w:rsid w:val="00943CFE"/>
    <w:rsid w:val="00943F96"/>
    <w:rsid w:val="00943FA2"/>
    <w:rsid w:val="0094494D"/>
    <w:rsid w:val="00944E59"/>
    <w:rsid w:val="00945401"/>
    <w:rsid w:val="009459F4"/>
    <w:rsid w:val="00945ABE"/>
    <w:rsid w:val="00945E58"/>
    <w:rsid w:val="00946127"/>
    <w:rsid w:val="00946907"/>
    <w:rsid w:val="009508FB"/>
    <w:rsid w:val="00950CAE"/>
    <w:rsid w:val="00951256"/>
    <w:rsid w:val="009512EC"/>
    <w:rsid w:val="009515E2"/>
    <w:rsid w:val="009519A8"/>
    <w:rsid w:val="00951F0B"/>
    <w:rsid w:val="0095315A"/>
    <w:rsid w:val="009534DD"/>
    <w:rsid w:val="009535C2"/>
    <w:rsid w:val="00953A5D"/>
    <w:rsid w:val="00953A73"/>
    <w:rsid w:val="00954D5A"/>
    <w:rsid w:val="009551A8"/>
    <w:rsid w:val="0095597C"/>
    <w:rsid w:val="00956098"/>
    <w:rsid w:val="00956B6C"/>
    <w:rsid w:val="00957210"/>
    <w:rsid w:val="00957B5B"/>
    <w:rsid w:val="009601CB"/>
    <w:rsid w:val="0096059A"/>
    <w:rsid w:val="0096081E"/>
    <w:rsid w:val="00960D39"/>
    <w:rsid w:val="00960F7E"/>
    <w:rsid w:val="009611A5"/>
    <w:rsid w:val="00961742"/>
    <w:rsid w:val="0096193B"/>
    <w:rsid w:val="00961BF0"/>
    <w:rsid w:val="00961C92"/>
    <w:rsid w:val="00963188"/>
    <w:rsid w:val="00963240"/>
    <w:rsid w:val="00963B82"/>
    <w:rsid w:val="00964338"/>
    <w:rsid w:val="00964475"/>
    <w:rsid w:val="00964A6E"/>
    <w:rsid w:val="00964FB4"/>
    <w:rsid w:val="0096563E"/>
    <w:rsid w:val="00965A82"/>
    <w:rsid w:val="009663B0"/>
    <w:rsid w:val="009666BD"/>
    <w:rsid w:val="0096670E"/>
    <w:rsid w:val="00966BFB"/>
    <w:rsid w:val="009670AC"/>
    <w:rsid w:val="00967CDA"/>
    <w:rsid w:val="00970048"/>
    <w:rsid w:val="00971831"/>
    <w:rsid w:val="0097216D"/>
    <w:rsid w:val="00972D8F"/>
    <w:rsid w:val="0097363C"/>
    <w:rsid w:val="00973C2B"/>
    <w:rsid w:val="0097437B"/>
    <w:rsid w:val="009743E4"/>
    <w:rsid w:val="0097441E"/>
    <w:rsid w:val="0097556A"/>
    <w:rsid w:val="00975FB0"/>
    <w:rsid w:val="009762C7"/>
    <w:rsid w:val="009766E7"/>
    <w:rsid w:val="0097670F"/>
    <w:rsid w:val="00976C61"/>
    <w:rsid w:val="0097729C"/>
    <w:rsid w:val="0098021F"/>
    <w:rsid w:val="009803EC"/>
    <w:rsid w:val="00980D74"/>
    <w:rsid w:val="00981215"/>
    <w:rsid w:val="009812FC"/>
    <w:rsid w:val="009813BF"/>
    <w:rsid w:val="009819CD"/>
    <w:rsid w:val="00981D8D"/>
    <w:rsid w:val="009829F3"/>
    <w:rsid w:val="00982C0D"/>
    <w:rsid w:val="00983D98"/>
    <w:rsid w:val="009844B4"/>
    <w:rsid w:val="0098453B"/>
    <w:rsid w:val="0098462A"/>
    <w:rsid w:val="00984D82"/>
    <w:rsid w:val="009854EF"/>
    <w:rsid w:val="0098572B"/>
    <w:rsid w:val="009859BF"/>
    <w:rsid w:val="00985CDA"/>
    <w:rsid w:val="0098603A"/>
    <w:rsid w:val="00986137"/>
    <w:rsid w:val="00986B96"/>
    <w:rsid w:val="0098740B"/>
    <w:rsid w:val="00987C6F"/>
    <w:rsid w:val="00987E5E"/>
    <w:rsid w:val="0099018C"/>
    <w:rsid w:val="00990708"/>
    <w:rsid w:val="00990C3D"/>
    <w:rsid w:val="0099199D"/>
    <w:rsid w:val="00991B9A"/>
    <w:rsid w:val="009921CE"/>
    <w:rsid w:val="0099331F"/>
    <w:rsid w:val="00993499"/>
    <w:rsid w:val="009934DB"/>
    <w:rsid w:val="009939CB"/>
    <w:rsid w:val="00993CFF"/>
    <w:rsid w:val="00993D95"/>
    <w:rsid w:val="009948FE"/>
    <w:rsid w:val="00994D09"/>
    <w:rsid w:val="00994EAB"/>
    <w:rsid w:val="00995756"/>
    <w:rsid w:val="00995AE2"/>
    <w:rsid w:val="00996AFE"/>
    <w:rsid w:val="00997125"/>
    <w:rsid w:val="009978F4"/>
    <w:rsid w:val="009A0208"/>
    <w:rsid w:val="009A0B05"/>
    <w:rsid w:val="009A0FE2"/>
    <w:rsid w:val="009A1B80"/>
    <w:rsid w:val="009A21EE"/>
    <w:rsid w:val="009A253B"/>
    <w:rsid w:val="009A2F7C"/>
    <w:rsid w:val="009A3C6E"/>
    <w:rsid w:val="009A472B"/>
    <w:rsid w:val="009A4CC5"/>
    <w:rsid w:val="009A640C"/>
    <w:rsid w:val="009A657D"/>
    <w:rsid w:val="009A667C"/>
    <w:rsid w:val="009A6A04"/>
    <w:rsid w:val="009A6A34"/>
    <w:rsid w:val="009A7344"/>
    <w:rsid w:val="009A7741"/>
    <w:rsid w:val="009A78A6"/>
    <w:rsid w:val="009B01AE"/>
    <w:rsid w:val="009B04F2"/>
    <w:rsid w:val="009B074F"/>
    <w:rsid w:val="009B0A43"/>
    <w:rsid w:val="009B123D"/>
    <w:rsid w:val="009B1C1B"/>
    <w:rsid w:val="009B1E55"/>
    <w:rsid w:val="009B35BF"/>
    <w:rsid w:val="009B4C3E"/>
    <w:rsid w:val="009B4D2F"/>
    <w:rsid w:val="009B5038"/>
    <w:rsid w:val="009B55FE"/>
    <w:rsid w:val="009B56BE"/>
    <w:rsid w:val="009B573C"/>
    <w:rsid w:val="009B6E0F"/>
    <w:rsid w:val="009B708C"/>
    <w:rsid w:val="009B7356"/>
    <w:rsid w:val="009B78AF"/>
    <w:rsid w:val="009B7A8A"/>
    <w:rsid w:val="009C099B"/>
    <w:rsid w:val="009C0B86"/>
    <w:rsid w:val="009C1604"/>
    <w:rsid w:val="009C1ADB"/>
    <w:rsid w:val="009C1F3C"/>
    <w:rsid w:val="009C25AE"/>
    <w:rsid w:val="009C37BF"/>
    <w:rsid w:val="009C398A"/>
    <w:rsid w:val="009C442E"/>
    <w:rsid w:val="009C4676"/>
    <w:rsid w:val="009C4D9E"/>
    <w:rsid w:val="009C52A3"/>
    <w:rsid w:val="009C5FC3"/>
    <w:rsid w:val="009C6046"/>
    <w:rsid w:val="009C60E9"/>
    <w:rsid w:val="009C619B"/>
    <w:rsid w:val="009C6629"/>
    <w:rsid w:val="009C7896"/>
    <w:rsid w:val="009D0530"/>
    <w:rsid w:val="009D0C23"/>
    <w:rsid w:val="009D0CF4"/>
    <w:rsid w:val="009D0D52"/>
    <w:rsid w:val="009D140A"/>
    <w:rsid w:val="009D1460"/>
    <w:rsid w:val="009D1A74"/>
    <w:rsid w:val="009D2398"/>
    <w:rsid w:val="009D23B8"/>
    <w:rsid w:val="009D2988"/>
    <w:rsid w:val="009D2B87"/>
    <w:rsid w:val="009D3160"/>
    <w:rsid w:val="009D39E1"/>
    <w:rsid w:val="009D3D90"/>
    <w:rsid w:val="009D43C4"/>
    <w:rsid w:val="009D4760"/>
    <w:rsid w:val="009D484C"/>
    <w:rsid w:val="009D4C5D"/>
    <w:rsid w:val="009D59CA"/>
    <w:rsid w:val="009D6254"/>
    <w:rsid w:val="009D645F"/>
    <w:rsid w:val="009D6D3F"/>
    <w:rsid w:val="009D7410"/>
    <w:rsid w:val="009D7601"/>
    <w:rsid w:val="009D7622"/>
    <w:rsid w:val="009E05DA"/>
    <w:rsid w:val="009E075E"/>
    <w:rsid w:val="009E1908"/>
    <w:rsid w:val="009E1ECF"/>
    <w:rsid w:val="009E2463"/>
    <w:rsid w:val="009E28F8"/>
    <w:rsid w:val="009E2A45"/>
    <w:rsid w:val="009E2B4C"/>
    <w:rsid w:val="009E2C55"/>
    <w:rsid w:val="009E2E3F"/>
    <w:rsid w:val="009E2FAC"/>
    <w:rsid w:val="009E3197"/>
    <w:rsid w:val="009E391D"/>
    <w:rsid w:val="009E44A4"/>
    <w:rsid w:val="009E4A34"/>
    <w:rsid w:val="009E4E3B"/>
    <w:rsid w:val="009E4F7F"/>
    <w:rsid w:val="009E53DF"/>
    <w:rsid w:val="009E59F4"/>
    <w:rsid w:val="009E61B0"/>
    <w:rsid w:val="009E63F0"/>
    <w:rsid w:val="009E716C"/>
    <w:rsid w:val="009E7A47"/>
    <w:rsid w:val="009E7BCD"/>
    <w:rsid w:val="009F012F"/>
    <w:rsid w:val="009F05AC"/>
    <w:rsid w:val="009F086C"/>
    <w:rsid w:val="009F142C"/>
    <w:rsid w:val="009F1443"/>
    <w:rsid w:val="009F14F3"/>
    <w:rsid w:val="009F1778"/>
    <w:rsid w:val="009F1EEE"/>
    <w:rsid w:val="009F239C"/>
    <w:rsid w:val="009F282A"/>
    <w:rsid w:val="009F2E88"/>
    <w:rsid w:val="009F37FA"/>
    <w:rsid w:val="009F4825"/>
    <w:rsid w:val="009F49FF"/>
    <w:rsid w:val="009F5CE6"/>
    <w:rsid w:val="009F60E0"/>
    <w:rsid w:val="009F68A3"/>
    <w:rsid w:val="009F6B75"/>
    <w:rsid w:val="009F6C90"/>
    <w:rsid w:val="009F6DD9"/>
    <w:rsid w:val="009F74DB"/>
    <w:rsid w:val="009F77DF"/>
    <w:rsid w:val="009F7813"/>
    <w:rsid w:val="009F783F"/>
    <w:rsid w:val="009F7CB3"/>
    <w:rsid w:val="00A00221"/>
    <w:rsid w:val="00A00271"/>
    <w:rsid w:val="00A00437"/>
    <w:rsid w:val="00A00DDA"/>
    <w:rsid w:val="00A01385"/>
    <w:rsid w:val="00A01B9D"/>
    <w:rsid w:val="00A02C0A"/>
    <w:rsid w:val="00A03652"/>
    <w:rsid w:val="00A03A2A"/>
    <w:rsid w:val="00A03D17"/>
    <w:rsid w:val="00A0480E"/>
    <w:rsid w:val="00A04844"/>
    <w:rsid w:val="00A064E2"/>
    <w:rsid w:val="00A06ED8"/>
    <w:rsid w:val="00A07570"/>
    <w:rsid w:val="00A07B97"/>
    <w:rsid w:val="00A10103"/>
    <w:rsid w:val="00A10707"/>
    <w:rsid w:val="00A11137"/>
    <w:rsid w:val="00A111EA"/>
    <w:rsid w:val="00A11235"/>
    <w:rsid w:val="00A1135E"/>
    <w:rsid w:val="00A11447"/>
    <w:rsid w:val="00A115F3"/>
    <w:rsid w:val="00A11B67"/>
    <w:rsid w:val="00A11C28"/>
    <w:rsid w:val="00A11DEE"/>
    <w:rsid w:val="00A1240A"/>
    <w:rsid w:val="00A12B28"/>
    <w:rsid w:val="00A12F3C"/>
    <w:rsid w:val="00A137E6"/>
    <w:rsid w:val="00A13C3A"/>
    <w:rsid w:val="00A13EAB"/>
    <w:rsid w:val="00A151EB"/>
    <w:rsid w:val="00A162DF"/>
    <w:rsid w:val="00A16324"/>
    <w:rsid w:val="00A17013"/>
    <w:rsid w:val="00A1745E"/>
    <w:rsid w:val="00A175C6"/>
    <w:rsid w:val="00A17AF1"/>
    <w:rsid w:val="00A17B4D"/>
    <w:rsid w:val="00A17B91"/>
    <w:rsid w:val="00A20220"/>
    <w:rsid w:val="00A20CAE"/>
    <w:rsid w:val="00A216BF"/>
    <w:rsid w:val="00A21A16"/>
    <w:rsid w:val="00A21C7C"/>
    <w:rsid w:val="00A22A9E"/>
    <w:rsid w:val="00A23269"/>
    <w:rsid w:val="00A238E0"/>
    <w:rsid w:val="00A23F95"/>
    <w:rsid w:val="00A24010"/>
    <w:rsid w:val="00A24CF6"/>
    <w:rsid w:val="00A25E6E"/>
    <w:rsid w:val="00A26462"/>
    <w:rsid w:val="00A26700"/>
    <w:rsid w:val="00A26B21"/>
    <w:rsid w:val="00A274E2"/>
    <w:rsid w:val="00A2766F"/>
    <w:rsid w:val="00A27B4F"/>
    <w:rsid w:val="00A30B97"/>
    <w:rsid w:val="00A30BDB"/>
    <w:rsid w:val="00A31193"/>
    <w:rsid w:val="00A312FC"/>
    <w:rsid w:val="00A31F9A"/>
    <w:rsid w:val="00A3288D"/>
    <w:rsid w:val="00A3307A"/>
    <w:rsid w:val="00A34BDA"/>
    <w:rsid w:val="00A358DC"/>
    <w:rsid w:val="00A35AFC"/>
    <w:rsid w:val="00A3607A"/>
    <w:rsid w:val="00A362FE"/>
    <w:rsid w:val="00A37093"/>
    <w:rsid w:val="00A375F6"/>
    <w:rsid w:val="00A400B2"/>
    <w:rsid w:val="00A405AF"/>
    <w:rsid w:val="00A4164A"/>
    <w:rsid w:val="00A417AB"/>
    <w:rsid w:val="00A41898"/>
    <w:rsid w:val="00A4189A"/>
    <w:rsid w:val="00A41C3D"/>
    <w:rsid w:val="00A41F2E"/>
    <w:rsid w:val="00A42475"/>
    <w:rsid w:val="00A42B38"/>
    <w:rsid w:val="00A42D5D"/>
    <w:rsid w:val="00A432A0"/>
    <w:rsid w:val="00A4354B"/>
    <w:rsid w:val="00A43F0A"/>
    <w:rsid w:val="00A43FF9"/>
    <w:rsid w:val="00A44220"/>
    <w:rsid w:val="00A44627"/>
    <w:rsid w:val="00A4578C"/>
    <w:rsid w:val="00A463FC"/>
    <w:rsid w:val="00A463FD"/>
    <w:rsid w:val="00A465E9"/>
    <w:rsid w:val="00A4661A"/>
    <w:rsid w:val="00A46A4B"/>
    <w:rsid w:val="00A47774"/>
    <w:rsid w:val="00A47BC1"/>
    <w:rsid w:val="00A47CAA"/>
    <w:rsid w:val="00A505E0"/>
    <w:rsid w:val="00A5072C"/>
    <w:rsid w:val="00A50899"/>
    <w:rsid w:val="00A512A2"/>
    <w:rsid w:val="00A51DF0"/>
    <w:rsid w:val="00A5216F"/>
    <w:rsid w:val="00A52254"/>
    <w:rsid w:val="00A52401"/>
    <w:rsid w:val="00A5287D"/>
    <w:rsid w:val="00A52AD2"/>
    <w:rsid w:val="00A52BBB"/>
    <w:rsid w:val="00A532D8"/>
    <w:rsid w:val="00A536F1"/>
    <w:rsid w:val="00A53753"/>
    <w:rsid w:val="00A539C0"/>
    <w:rsid w:val="00A550F7"/>
    <w:rsid w:val="00A55E33"/>
    <w:rsid w:val="00A562BE"/>
    <w:rsid w:val="00A56A4F"/>
    <w:rsid w:val="00A56B98"/>
    <w:rsid w:val="00A56DDE"/>
    <w:rsid w:val="00A56EA0"/>
    <w:rsid w:val="00A5787F"/>
    <w:rsid w:val="00A57E73"/>
    <w:rsid w:val="00A60436"/>
    <w:rsid w:val="00A607D9"/>
    <w:rsid w:val="00A60C3A"/>
    <w:rsid w:val="00A621B7"/>
    <w:rsid w:val="00A63037"/>
    <w:rsid w:val="00A6323E"/>
    <w:rsid w:val="00A637BA"/>
    <w:rsid w:val="00A639B6"/>
    <w:rsid w:val="00A63AF3"/>
    <w:rsid w:val="00A63FB6"/>
    <w:rsid w:val="00A6419E"/>
    <w:rsid w:val="00A64E8C"/>
    <w:rsid w:val="00A64EF8"/>
    <w:rsid w:val="00A65E01"/>
    <w:rsid w:val="00A664B6"/>
    <w:rsid w:val="00A6677B"/>
    <w:rsid w:val="00A6771B"/>
    <w:rsid w:val="00A67D1C"/>
    <w:rsid w:val="00A710AC"/>
    <w:rsid w:val="00A717AD"/>
    <w:rsid w:val="00A7186E"/>
    <w:rsid w:val="00A71FC9"/>
    <w:rsid w:val="00A725DB"/>
    <w:rsid w:val="00A72EFB"/>
    <w:rsid w:val="00A72FB6"/>
    <w:rsid w:val="00A73335"/>
    <w:rsid w:val="00A73738"/>
    <w:rsid w:val="00A73D7C"/>
    <w:rsid w:val="00A73E8F"/>
    <w:rsid w:val="00A747DC"/>
    <w:rsid w:val="00A74D4E"/>
    <w:rsid w:val="00A753BD"/>
    <w:rsid w:val="00A761EE"/>
    <w:rsid w:val="00A76B33"/>
    <w:rsid w:val="00A76E5B"/>
    <w:rsid w:val="00A77933"/>
    <w:rsid w:val="00A77F98"/>
    <w:rsid w:val="00A80813"/>
    <w:rsid w:val="00A80EA4"/>
    <w:rsid w:val="00A819BA"/>
    <w:rsid w:val="00A819DD"/>
    <w:rsid w:val="00A81B13"/>
    <w:rsid w:val="00A81B4E"/>
    <w:rsid w:val="00A81C95"/>
    <w:rsid w:val="00A82734"/>
    <w:rsid w:val="00A83A16"/>
    <w:rsid w:val="00A83CA5"/>
    <w:rsid w:val="00A84336"/>
    <w:rsid w:val="00A84863"/>
    <w:rsid w:val="00A84EBD"/>
    <w:rsid w:val="00A84EDD"/>
    <w:rsid w:val="00A84F34"/>
    <w:rsid w:val="00A85382"/>
    <w:rsid w:val="00A857EF"/>
    <w:rsid w:val="00A8620E"/>
    <w:rsid w:val="00A864E9"/>
    <w:rsid w:val="00A86CC9"/>
    <w:rsid w:val="00A87906"/>
    <w:rsid w:val="00A87958"/>
    <w:rsid w:val="00A87E9E"/>
    <w:rsid w:val="00A901BE"/>
    <w:rsid w:val="00A904E2"/>
    <w:rsid w:val="00A90D2E"/>
    <w:rsid w:val="00A912E7"/>
    <w:rsid w:val="00A91E97"/>
    <w:rsid w:val="00A92BCF"/>
    <w:rsid w:val="00A92E1F"/>
    <w:rsid w:val="00A93095"/>
    <w:rsid w:val="00A9407D"/>
    <w:rsid w:val="00A948C8"/>
    <w:rsid w:val="00A96085"/>
    <w:rsid w:val="00A96424"/>
    <w:rsid w:val="00A978D8"/>
    <w:rsid w:val="00A978E7"/>
    <w:rsid w:val="00AA0795"/>
    <w:rsid w:val="00AA19A6"/>
    <w:rsid w:val="00AA1AED"/>
    <w:rsid w:val="00AA20B1"/>
    <w:rsid w:val="00AA262E"/>
    <w:rsid w:val="00AA2C89"/>
    <w:rsid w:val="00AA336E"/>
    <w:rsid w:val="00AA3451"/>
    <w:rsid w:val="00AA3908"/>
    <w:rsid w:val="00AA3FF0"/>
    <w:rsid w:val="00AA43BD"/>
    <w:rsid w:val="00AA46E6"/>
    <w:rsid w:val="00AA48C1"/>
    <w:rsid w:val="00AA60A4"/>
    <w:rsid w:val="00AA6240"/>
    <w:rsid w:val="00AA73A8"/>
    <w:rsid w:val="00AA7B3F"/>
    <w:rsid w:val="00AB006F"/>
    <w:rsid w:val="00AB1A9F"/>
    <w:rsid w:val="00AB3037"/>
    <w:rsid w:val="00AB3184"/>
    <w:rsid w:val="00AB33F9"/>
    <w:rsid w:val="00AB3CEC"/>
    <w:rsid w:val="00AB3E8B"/>
    <w:rsid w:val="00AB4AFF"/>
    <w:rsid w:val="00AB537C"/>
    <w:rsid w:val="00AB5887"/>
    <w:rsid w:val="00AB5B81"/>
    <w:rsid w:val="00AB5C13"/>
    <w:rsid w:val="00AB5D24"/>
    <w:rsid w:val="00AB6154"/>
    <w:rsid w:val="00AB626D"/>
    <w:rsid w:val="00AB64E5"/>
    <w:rsid w:val="00AB6606"/>
    <w:rsid w:val="00AB6B8F"/>
    <w:rsid w:val="00AB6C31"/>
    <w:rsid w:val="00AB703C"/>
    <w:rsid w:val="00AB7213"/>
    <w:rsid w:val="00AB7442"/>
    <w:rsid w:val="00AC0FA9"/>
    <w:rsid w:val="00AC1226"/>
    <w:rsid w:val="00AC1686"/>
    <w:rsid w:val="00AC179A"/>
    <w:rsid w:val="00AC24F6"/>
    <w:rsid w:val="00AC299E"/>
    <w:rsid w:val="00AC2DD1"/>
    <w:rsid w:val="00AC5281"/>
    <w:rsid w:val="00AC52D3"/>
    <w:rsid w:val="00AC5C6A"/>
    <w:rsid w:val="00AC65AF"/>
    <w:rsid w:val="00AC7052"/>
    <w:rsid w:val="00AC7703"/>
    <w:rsid w:val="00AC7E57"/>
    <w:rsid w:val="00AD00D9"/>
    <w:rsid w:val="00AD0558"/>
    <w:rsid w:val="00AD0964"/>
    <w:rsid w:val="00AD10E5"/>
    <w:rsid w:val="00AD1EAE"/>
    <w:rsid w:val="00AD1FF4"/>
    <w:rsid w:val="00AD23CC"/>
    <w:rsid w:val="00AD2719"/>
    <w:rsid w:val="00AD31EC"/>
    <w:rsid w:val="00AD339F"/>
    <w:rsid w:val="00AD35A4"/>
    <w:rsid w:val="00AD37F0"/>
    <w:rsid w:val="00AD3BF1"/>
    <w:rsid w:val="00AD3C2A"/>
    <w:rsid w:val="00AD3E6B"/>
    <w:rsid w:val="00AD4379"/>
    <w:rsid w:val="00AD4659"/>
    <w:rsid w:val="00AD4797"/>
    <w:rsid w:val="00AD4817"/>
    <w:rsid w:val="00AD4FA6"/>
    <w:rsid w:val="00AD5107"/>
    <w:rsid w:val="00AD5162"/>
    <w:rsid w:val="00AD5D9A"/>
    <w:rsid w:val="00AD6676"/>
    <w:rsid w:val="00AD6833"/>
    <w:rsid w:val="00AD6997"/>
    <w:rsid w:val="00AD715B"/>
    <w:rsid w:val="00AD77E3"/>
    <w:rsid w:val="00AD77FA"/>
    <w:rsid w:val="00AE0E90"/>
    <w:rsid w:val="00AE0ED0"/>
    <w:rsid w:val="00AE1212"/>
    <w:rsid w:val="00AE1923"/>
    <w:rsid w:val="00AE1D4C"/>
    <w:rsid w:val="00AE2257"/>
    <w:rsid w:val="00AE24A2"/>
    <w:rsid w:val="00AE252A"/>
    <w:rsid w:val="00AE2D96"/>
    <w:rsid w:val="00AE4168"/>
    <w:rsid w:val="00AE48A4"/>
    <w:rsid w:val="00AE4F38"/>
    <w:rsid w:val="00AE507F"/>
    <w:rsid w:val="00AE6873"/>
    <w:rsid w:val="00AE6D21"/>
    <w:rsid w:val="00AE7F9B"/>
    <w:rsid w:val="00AF0979"/>
    <w:rsid w:val="00AF1DE2"/>
    <w:rsid w:val="00AF2806"/>
    <w:rsid w:val="00AF3277"/>
    <w:rsid w:val="00AF3D49"/>
    <w:rsid w:val="00AF406C"/>
    <w:rsid w:val="00AF428A"/>
    <w:rsid w:val="00AF436B"/>
    <w:rsid w:val="00AF498E"/>
    <w:rsid w:val="00AF4AF0"/>
    <w:rsid w:val="00AF4E90"/>
    <w:rsid w:val="00AF4FCC"/>
    <w:rsid w:val="00AF5912"/>
    <w:rsid w:val="00AF5D8B"/>
    <w:rsid w:val="00AF7135"/>
    <w:rsid w:val="00AF7341"/>
    <w:rsid w:val="00B0063B"/>
    <w:rsid w:val="00B00F17"/>
    <w:rsid w:val="00B01DB9"/>
    <w:rsid w:val="00B01E36"/>
    <w:rsid w:val="00B0346B"/>
    <w:rsid w:val="00B039CC"/>
    <w:rsid w:val="00B04AB9"/>
    <w:rsid w:val="00B04C10"/>
    <w:rsid w:val="00B0575B"/>
    <w:rsid w:val="00B068E4"/>
    <w:rsid w:val="00B068FF"/>
    <w:rsid w:val="00B07451"/>
    <w:rsid w:val="00B10CE6"/>
    <w:rsid w:val="00B115ED"/>
    <w:rsid w:val="00B117CB"/>
    <w:rsid w:val="00B117D7"/>
    <w:rsid w:val="00B11A82"/>
    <w:rsid w:val="00B12211"/>
    <w:rsid w:val="00B12732"/>
    <w:rsid w:val="00B1288F"/>
    <w:rsid w:val="00B13785"/>
    <w:rsid w:val="00B13B8E"/>
    <w:rsid w:val="00B142E0"/>
    <w:rsid w:val="00B150A3"/>
    <w:rsid w:val="00B15237"/>
    <w:rsid w:val="00B15612"/>
    <w:rsid w:val="00B166DD"/>
    <w:rsid w:val="00B17A45"/>
    <w:rsid w:val="00B21AAB"/>
    <w:rsid w:val="00B21F97"/>
    <w:rsid w:val="00B231BC"/>
    <w:rsid w:val="00B23573"/>
    <w:rsid w:val="00B23ABE"/>
    <w:rsid w:val="00B23B67"/>
    <w:rsid w:val="00B24B78"/>
    <w:rsid w:val="00B26443"/>
    <w:rsid w:val="00B26797"/>
    <w:rsid w:val="00B26C98"/>
    <w:rsid w:val="00B26E4F"/>
    <w:rsid w:val="00B271E8"/>
    <w:rsid w:val="00B275D8"/>
    <w:rsid w:val="00B3111B"/>
    <w:rsid w:val="00B313F6"/>
    <w:rsid w:val="00B32506"/>
    <w:rsid w:val="00B32F66"/>
    <w:rsid w:val="00B33678"/>
    <w:rsid w:val="00B33DDF"/>
    <w:rsid w:val="00B33FD6"/>
    <w:rsid w:val="00B34AFD"/>
    <w:rsid w:val="00B3512D"/>
    <w:rsid w:val="00B354E2"/>
    <w:rsid w:val="00B358C1"/>
    <w:rsid w:val="00B36705"/>
    <w:rsid w:val="00B37073"/>
    <w:rsid w:val="00B40037"/>
    <w:rsid w:val="00B40C0D"/>
    <w:rsid w:val="00B41861"/>
    <w:rsid w:val="00B41A1A"/>
    <w:rsid w:val="00B41FDB"/>
    <w:rsid w:val="00B42107"/>
    <w:rsid w:val="00B429CA"/>
    <w:rsid w:val="00B433C5"/>
    <w:rsid w:val="00B437D9"/>
    <w:rsid w:val="00B43D84"/>
    <w:rsid w:val="00B440D1"/>
    <w:rsid w:val="00B44A28"/>
    <w:rsid w:val="00B45088"/>
    <w:rsid w:val="00B453BC"/>
    <w:rsid w:val="00B457F9"/>
    <w:rsid w:val="00B45BBA"/>
    <w:rsid w:val="00B462D8"/>
    <w:rsid w:val="00B46347"/>
    <w:rsid w:val="00B46444"/>
    <w:rsid w:val="00B4762E"/>
    <w:rsid w:val="00B4785D"/>
    <w:rsid w:val="00B507E3"/>
    <w:rsid w:val="00B52633"/>
    <w:rsid w:val="00B528BF"/>
    <w:rsid w:val="00B52EAD"/>
    <w:rsid w:val="00B52F36"/>
    <w:rsid w:val="00B5474A"/>
    <w:rsid w:val="00B54B53"/>
    <w:rsid w:val="00B54B97"/>
    <w:rsid w:val="00B55825"/>
    <w:rsid w:val="00B5594B"/>
    <w:rsid w:val="00B55E9E"/>
    <w:rsid w:val="00B56439"/>
    <w:rsid w:val="00B57320"/>
    <w:rsid w:val="00B574FC"/>
    <w:rsid w:val="00B577AE"/>
    <w:rsid w:val="00B57E55"/>
    <w:rsid w:val="00B60AAA"/>
    <w:rsid w:val="00B60E24"/>
    <w:rsid w:val="00B61068"/>
    <w:rsid w:val="00B61183"/>
    <w:rsid w:val="00B6118D"/>
    <w:rsid w:val="00B6199F"/>
    <w:rsid w:val="00B62312"/>
    <w:rsid w:val="00B63653"/>
    <w:rsid w:val="00B6487A"/>
    <w:rsid w:val="00B64CDE"/>
    <w:rsid w:val="00B652A4"/>
    <w:rsid w:val="00B6563B"/>
    <w:rsid w:val="00B67088"/>
    <w:rsid w:val="00B674BE"/>
    <w:rsid w:val="00B67A5D"/>
    <w:rsid w:val="00B67BF5"/>
    <w:rsid w:val="00B70240"/>
    <w:rsid w:val="00B70478"/>
    <w:rsid w:val="00B706E0"/>
    <w:rsid w:val="00B70A9B"/>
    <w:rsid w:val="00B70E68"/>
    <w:rsid w:val="00B71BEA"/>
    <w:rsid w:val="00B71D0E"/>
    <w:rsid w:val="00B71D2A"/>
    <w:rsid w:val="00B71D57"/>
    <w:rsid w:val="00B7236B"/>
    <w:rsid w:val="00B72616"/>
    <w:rsid w:val="00B731A4"/>
    <w:rsid w:val="00B7351F"/>
    <w:rsid w:val="00B7410C"/>
    <w:rsid w:val="00B743DF"/>
    <w:rsid w:val="00B74B06"/>
    <w:rsid w:val="00B74B6F"/>
    <w:rsid w:val="00B752A3"/>
    <w:rsid w:val="00B75640"/>
    <w:rsid w:val="00B75690"/>
    <w:rsid w:val="00B77355"/>
    <w:rsid w:val="00B77E94"/>
    <w:rsid w:val="00B80265"/>
    <w:rsid w:val="00B80321"/>
    <w:rsid w:val="00B81FA5"/>
    <w:rsid w:val="00B82B5E"/>
    <w:rsid w:val="00B863E7"/>
    <w:rsid w:val="00B8737B"/>
    <w:rsid w:val="00B8778B"/>
    <w:rsid w:val="00B87DD5"/>
    <w:rsid w:val="00B9031C"/>
    <w:rsid w:val="00B90653"/>
    <w:rsid w:val="00B925DB"/>
    <w:rsid w:val="00B92679"/>
    <w:rsid w:val="00B9333B"/>
    <w:rsid w:val="00B93360"/>
    <w:rsid w:val="00B938E4"/>
    <w:rsid w:val="00B93E85"/>
    <w:rsid w:val="00B947BF"/>
    <w:rsid w:val="00B94CF7"/>
    <w:rsid w:val="00B94E55"/>
    <w:rsid w:val="00B94F87"/>
    <w:rsid w:val="00B951C1"/>
    <w:rsid w:val="00B95516"/>
    <w:rsid w:val="00B9556E"/>
    <w:rsid w:val="00B95DC7"/>
    <w:rsid w:val="00B96C53"/>
    <w:rsid w:val="00B975CF"/>
    <w:rsid w:val="00BA0F89"/>
    <w:rsid w:val="00BA1049"/>
    <w:rsid w:val="00BA104D"/>
    <w:rsid w:val="00BA108A"/>
    <w:rsid w:val="00BA179D"/>
    <w:rsid w:val="00BA1AFD"/>
    <w:rsid w:val="00BA217B"/>
    <w:rsid w:val="00BA25A4"/>
    <w:rsid w:val="00BA2A85"/>
    <w:rsid w:val="00BA3CDC"/>
    <w:rsid w:val="00BA4159"/>
    <w:rsid w:val="00BA4525"/>
    <w:rsid w:val="00BA4BFB"/>
    <w:rsid w:val="00BA50C8"/>
    <w:rsid w:val="00BA51F6"/>
    <w:rsid w:val="00BA5B47"/>
    <w:rsid w:val="00BA5ED6"/>
    <w:rsid w:val="00BA648B"/>
    <w:rsid w:val="00BA6818"/>
    <w:rsid w:val="00BA73A7"/>
    <w:rsid w:val="00BA77DE"/>
    <w:rsid w:val="00BA782E"/>
    <w:rsid w:val="00BA7A25"/>
    <w:rsid w:val="00BA7CB5"/>
    <w:rsid w:val="00BB05F4"/>
    <w:rsid w:val="00BB0630"/>
    <w:rsid w:val="00BB12F6"/>
    <w:rsid w:val="00BB13AC"/>
    <w:rsid w:val="00BB1AA6"/>
    <w:rsid w:val="00BB27E2"/>
    <w:rsid w:val="00BB2F06"/>
    <w:rsid w:val="00BB3274"/>
    <w:rsid w:val="00BB3436"/>
    <w:rsid w:val="00BB3A7C"/>
    <w:rsid w:val="00BB3D9E"/>
    <w:rsid w:val="00BB4053"/>
    <w:rsid w:val="00BB48F9"/>
    <w:rsid w:val="00BB4AAA"/>
    <w:rsid w:val="00BB507A"/>
    <w:rsid w:val="00BB51DC"/>
    <w:rsid w:val="00BB5776"/>
    <w:rsid w:val="00BB5B56"/>
    <w:rsid w:val="00BB6157"/>
    <w:rsid w:val="00BB6172"/>
    <w:rsid w:val="00BB62E8"/>
    <w:rsid w:val="00BB6853"/>
    <w:rsid w:val="00BB6B0B"/>
    <w:rsid w:val="00BB6C0B"/>
    <w:rsid w:val="00BB6DEB"/>
    <w:rsid w:val="00BB6F1C"/>
    <w:rsid w:val="00BB725C"/>
    <w:rsid w:val="00BB772D"/>
    <w:rsid w:val="00BC091B"/>
    <w:rsid w:val="00BC0969"/>
    <w:rsid w:val="00BC13E1"/>
    <w:rsid w:val="00BC23C0"/>
    <w:rsid w:val="00BC24B2"/>
    <w:rsid w:val="00BC265E"/>
    <w:rsid w:val="00BC2978"/>
    <w:rsid w:val="00BC3563"/>
    <w:rsid w:val="00BC3677"/>
    <w:rsid w:val="00BC39D7"/>
    <w:rsid w:val="00BC6480"/>
    <w:rsid w:val="00BC6725"/>
    <w:rsid w:val="00BC6794"/>
    <w:rsid w:val="00BC68F0"/>
    <w:rsid w:val="00BC730B"/>
    <w:rsid w:val="00BC7C23"/>
    <w:rsid w:val="00BD0750"/>
    <w:rsid w:val="00BD0E33"/>
    <w:rsid w:val="00BD1B59"/>
    <w:rsid w:val="00BD1D83"/>
    <w:rsid w:val="00BD2555"/>
    <w:rsid w:val="00BD35F1"/>
    <w:rsid w:val="00BD37BA"/>
    <w:rsid w:val="00BD383C"/>
    <w:rsid w:val="00BD3897"/>
    <w:rsid w:val="00BD4A43"/>
    <w:rsid w:val="00BD4CCC"/>
    <w:rsid w:val="00BD4D8D"/>
    <w:rsid w:val="00BD5A96"/>
    <w:rsid w:val="00BD5F56"/>
    <w:rsid w:val="00BD601C"/>
    <w:rsid w:val="00BD673C"/>
    <w:rsid w:val="00BD70AE"/>
    <w:rsid w:val="00BD7B76"/>
    <w:rsid w:val="00BD7FDA"/>
    <w:rsid w:val="00BE0398"/>
    <w:rsid w:val="00BE057C"/>
    <w:rsid w:val="00BE0DCB"/>
    <w:rsid w:val="00BE1859"/>
    <w:rsid w:val="00BE1BF8"/>
    <w:rsid w:val="00BE24E9"/>
    <w:rsid w:val="00BE2D0C"/>
    <w:rsid w:val="00BE3B5B"/>
    <w:rsid w:val="00BE3D89"/>
    <w:rsid w:val="00BE5199"/>
    <w:rsid w:val="00BE538C"/>
    <w:rsid w:val="00BE638D"/>
    <w:rsid w:val="00BE6738"/>
    <w:rsid w:val="00BE756C"/>
    <w:rsid w:val="00BE7822"/>
    <w:rsid w:val="00BE7934"/>
    <w:rsid w:val="00BE7AC2"/>
    <w:rsid w:val="00BF01F1"/>
    <w:rsid w:val="00BF04AD"/>
    <w:rsid w:val="00BF07D6"/>
    <w:rsid w:val="00BF1740"/>
    <w:rsid w:val="00BF183E"/>
    <w:rsid w:val="00BF2184"/>
    <w:rsid w:val="00BF381C"/>
    <w:rsid w:val="00BF3CF1"/>
    <w:rsid w:val="00BF4733"/>
    <w:rsid w:val="00BF498B"/>
    <w:rsid w:val="00BF4EB8"/>
    <w:rsid w:val="00BF5D42"/>
    <w:rsid w:val="00BF6690"/>
    <w:rsid w:val="00BF7E99"/>
    <w:rsid w:val="00C00469"/>
    <w:rsid w:val="00C0047B"/>
    <w:rsid w:val="00C010FA"/>
    <w:rsid w:val="00C01BB0"/>
    <w:rsid w:val="00C03B67"/>
    <w:rsid w:val="00C03FC3"/>
    <w:rsid w:val="00C042FB"/>
    <w:rsid w:val="00C05422"/>
    <w:rsid w:val="00C05541"/>
    <w:rsid w:val="00C0591B"/>
    <w:rsid w:val="00C05BBD"/>
    <w:rsid w:val="00C0643E"/>
    <w:rsid w:val="00C06FD8"/>
    <w:rsid w:val="00C07AE4"/>
    <w:rsid w:val="00C10E4A"/>
    <w:rsid w:val="00C10F84"/>
    <w:rsid w:val="00C11958"/>
    <w:rsid w:val="00C11E76"/>
    <w:rsid w:val="00C1213D"/>
    <w:rsid w:val="00C129C1"/>
    <w:rsid w:val="00C12C2C"/>
    <w:rsid w:val="00C13EC6"/>
    <w:rsid w:val="00C14145"/>
    <w:rsid w:val="00C14D49"/>
    <w:rsid w:val="00C15346"/>
    <w:rsid w:val="00C153CC"/>
    <w:rsid w:val="00C15E18"/>
    <w:rsid w:val="00C161D2"/>
    <w:rsid w:val="00C16A23"/>
    <w:rsid w:val="00C16DA8"/>
    <w:rsid w:val="00C175F1"/>
    <w:rsid w:val="00C17671"/>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3CD"/>
    <w:rsid w:val="00C247FF"/>
    <w:rsid w:val="00C24886"/>
    <w:rsid w:val="00C24A19"/>
    <w:rsid w:val="00C24A20"/>
    <w:rsid w:val="00C24A93"/>
    <w:rsid w:val="00C25770"/>
    <w:rsid w:val="00C26063"/>
    <w:rsid w:val="00C262DD"/>
    <w:rsid w:val="00C2636E"/>
    <w:rsid w:val="00C268C6"/>
    <w:rsid w:val="00C26F90"/>
    <w:rsid w:val="00C27BD1"/>
    <w:rsid w:val="00C27BEB"/>
    <w:rsid w:val="00C27F83"/>
    <w:rsid w:val="00C3003D"/>
    <w:rsid w:val="00C3074B"/>
    <w:rsid w:val="00C30904"/>
    <w:rsid w:val="00C318AF"/>
    <w:rsid w:val="00C321FC"/>
    <w:rsid w:val="00C324F0"/>
    <w:rsid w:val="00C3267E"/>
    <w:rsid w:val="00C327BC"/>
    <w:rsid w:val="00C3385B"/>
    <w:rsid w:val="00C34193"/>
    <w:rsid w:val="00C35323"/>
    <w:rsid w:val="00C35747"/>
    <w:rsid w:val="00C35A2D"/>
    <w:rsid w:val="00C35E84"/>
    <w:rsid w:val="00C3671C"/>
    <w:rsid w:val="00C368B2"/>
    <w:rsid w:val="00C368FB"/>
    <w:rsid w:val="00C36FB7"/>
    <w:rsid w:val="00C37102"/>
    <w:rsid w:val="00C37709"/>
    <w:rsid w:val="00C37A49"/>
    <w:rsid w:val="00C40622"/>
    <w:rsid w:val="00C4227F"/>
    <w:rsid w:val="00C434FF"/>
    <w:rsid w:val="00C43770"/>
    <w:rsid w:val="00C43DB2"/>
    <w:rsid w:val="00C43F3C"/>
    <w:rsid w:val="00C44B2F"/>
    <w:rsid w:val="00C4508E"/>
    <w:rsid w:val="00C46905"/>
    <w:rsid w:val="00C46B0A"/>
    <w:rsid w:val="00C4786D"/>
    <w:rsid w:val="00C47DE2"/>
    <w:rsid w:val="00C50543"/>
    <w:rsid w:val="00C505BA"/>
    <w:rsid w:val="00C5092D"/>
    <w:rsid w:val="00C50D2A"/>
    <w:rsid w:val="00C512A3"/>
    <w:rsid w:val="00C5157D"/>
    <w:rsid w:val="00C52CEE"/>
    <w:rsid w:val="00C530B7"/>
    <w:rsid w:val="00C53C97"/>
    <w:rsid w:val="00C53EE3"/>
    <w:rsid w:val="00C5409B"/>
    <w:rsid w:val="00C55138"/>
    <w:rsid w:val="00C56DA7"/>
    <w:rsid w:val="00C56EA1"/>
    <w:rsid w:val="00C56EEA"/>
    <w:rsid w:val="00C57A60"/>
    <w:rsid w:val="00C57AE0"/>
    <w:rsid w:val="00C57C31"/>
    <w:rsid w:val="00C61102"/>
    <w:rsid w:val="00C617AE"/>
    <w:rsid w:val="00C61CEC"/>
    <w:rsid w:val="00C620C3"/>
    <w:rsid w:val="00C62211"/>
    <w:rsid w:val="00C624A9"/>
    <w:rsid w:val="00C62B22"/>
    <w:rsid w:val="00C63304"/>
    <w:rsid w:val="00C63BC0"/>
    <w:rsid w:val="00C63D7F"/>
    <w:rsid w:val="00C64BB8"/>
    <w:rsid w:val="00C64D09"/>
    <w:rsid w:val="00C6554F"/>
    <w:rsid w:val="00C6582D"/>
    <w:rsid w:val="00C65AE0"/>
    <w:rsid w:val="00C661CD"/>
    <w:rsid w:val="00C66925"/>
    <w:rsid w:val="00C66FFA"/>
    <w:rsid w:val="00C6779C"/>
    <w:rsid w:val="00C67A83"/>
    <w:rsid w:val="00C67BA4"/>
    <w:rsid w:val="00C7042B"/>
    <w:rsid w:val="00C7112E"/>
    <w:rsid w:val="00C71A7E"/>
    <w:rsid w:val="00C71C06"/>
    <w:rsid w:val="00C7346A"/>
    <w:rsid w:val="00C736A6"/>
    <w:rsid w:val="00C73BEB"/>
    <w:rsid w:val="00C73F09"/>
    <w:rsid w:val="00C74352"/>
    <w:rsid w:val="00C75061"/>
    <w:rsid w:val="00C7524C"/>
    <w:rsid w:val="00C766FC"/>
    <w:rsid w:val="00C76D6D"/>
    <w:rsid w:val="00C77636"/>
    <w:rsid w:val="00C776FD"/>
    <w:rsid w:val="00C80129"/>
    <w:rsid w:val="00C8020F"/>
    <w:rsid w:val="00C804E2"/>
    <w:rsid w:val="00C81842"/>
    <w:rsid w:val="00C8225E"/>
    <w:rsid w:val="00C83948"/>
    <w:rsid w:val="00C83C7D"/>
    <w:rsid w:val="00C83FC0"/>
    <w:rsid w:val="00C84351"/>
    <w:rsid w:val="00C848BA"/>
    <w:rsid w:val="00C84F98"/>
    <w:rsid w:val="00C852CD"/>
    <w:rsid w:val="00C85810"/>
    <w:rsid w:val="00C85A03"/>
    <w:rsid w:val="00C85DF0"/>
    <w:rsid w:val="00C86128"/>
    <w:rsid w:val="00C86A07"/>
    <w:rsid w:val="00C8751E"/>
    <w:rsid w:val="00C8799A"/>
    <w:rsid w:val="00C901FF"/>
    <w:rsid w:val="00C903B9"/>
    <w:rsid w:val="00C906AF"/>
    <w:rsid w:val="00C91C46"/>
    <w:rsid w:val="00C92372"/>
    <w:rsid w:val="00C93087"/>
    <w:rsid w:val="00C93944"/>
    <w:rsid w:val="00C9424C"/>
    <w:rsid w:val="00C94660"/>
    <w:rsid w:val="00C94796"/>
    <w:rsid w:val="00C94C8D"/>
    <w:rsid w:val="00C953D7"/>
    <w:rsid w:val="00C955D7"/>
    <w:rsid w:val="00C95C81"/>
    <w:rsid w:val="00C95D19"/>
    <w:rsid w:val="00C95F4E"/>
    <w:rsid w:val="00C96502"/>
    <w:rsid w:val="00C971AB"/>
    <w:rsid w:val="00CA043B"/>
    <w:rsid w:val="00CA062B"/>
    <w:rsid w:val="00CA0CFC"/>
    <w:rsid w:val="00CA1D40"/>
    <w:rsid w:val="00CA2076"/>
    <w:rsid w:val="00CA2E6A"/>
    <w:rsid w:val="00CA301A"/>
    <w:rsid w:val="00CA3981"/>
    <w:rsid w:val="00CA4024"/>
    <w:rsid w:val="00CA4192"/>
    <w:rsid w:val="00CA46A4"/>
    <w:rsid w:val="00CA4B8E"/>
    <w:rsid w:val="00CA4CB1"/>
    <w:rsid w:val="00CA59F3"/>
    <w:rsid w:val="00CA5A78"/>
    <w:rsid w:val="00CA68D4"/>
    <w:rsid w:val="00CA71A9"/>
    <w:rsid w:val="00CA7BBD"/>
    <w:rsid w:val="00CB0479"/>
    <w:rsid w:val="00CB0705"/>
    <w:rsid w:val="00CB0A16"/>
    <w:rsid w:val="00CB100F"/>
    <w:rsid w:val="00CB1696"/>
    <w:rsid w:val="00CB1DCD"/>
    <w:rsid w:val="00CB1E2D"/>
    <w:rsid w:val="00CB2774"/>
    <w:rsid w:val="00CB2A32"/>
    <w:rsid w:val="00CB4562"/>
    <w:rsid w:val="00CB4650"/>
    <w:rsid w:val="00CB47F9"/>
    <w:rsid w:val="00CB486A"/>
    <w:rsid w:val="00CB5079"/>
    <w:rsid w:val="00CB5679"/>
    <w:rsid w:val="00CB5713"/>
    <w:rsid w:val="00CB68A2"/>
    <w:rsid w:val="00CB6A96"/>
    <w:rsid w:val="00CB731B"/>
    <w:rsid w:val="00CB7F3B"/>
    <w:rsid w:val="00CC01EB"/>
    <w:rsid w:val="00CC0A7F"/>
    <w:rsid w:val="00CC150E"/>
    <w:rsid w:val="00CC1EB3"/>
    <w:rsid w:val="00CC25FD"/>
    <w:rsid w:val="00CC27B8"/>
    <w:rsid w:val="00CC2CA2"/>
    <w:rsid w:val="00CC31EA"/>
    <w:rsid w:val="00CC327F"/>
    <w:rsid w:val="00CC474A"/>
    <w:rsid w:val="00CC4C03"/>
    <w:rsid w:val="00CC4DEB"/>
    <w:rsid w:val="00CC4E98"/>
    <w:rsid w:val="00CC61AA"/>
    <w:rsid w:val="00CC71A0"/>
    <w:rsid w:val="00CC75C2"/>
    <w:rsid w:val="00CC778A"/>
    <w:rsid w:val="00CC7F41"/>
    <w:rsid w:val="00CD0246"/>
    <w:rsid w:val="00CD0842"/>
    <w:rsid w:val="00CD0F57"/>
    <w:rsid w:val="00CD157B"/>
    <w:rsid w:val="00CD23D6"/>
    <w:rsid w:val="00CD24F6"/>
    <w:rsid w:val="00CD2656"/>
    <w:rsid w:val="00CD365A"/>
    <w:rsid w:val="00CD3F18"/>
    <w:rsid w:val="00CD3F88"/>
    <w:rsid w:val="00CD45E3"/>
    <w:rsid w:val="00CD4B8D"/>
    <w:rsid w:val="00CD5857"/>
    <w:rsid w:val="00CD5A3F"/>
    <w:rsid w:val="00CD5FFD"/>
    <w:rsid w:val="00CD688F"/>
    <w:rsid w:val="00CE02E6"/>
    <w:rsid w:val="00CE0C9A"/>
    <w:rsid w:val="00CE0E91"/>
    <w:rsid w:val="00CE1043"/>
    <w:rsid w:val="00CE1724"/>
    <w:rsid w:val="00CE1A3B"/>
    <w:rsid w:val="00CE1A6D"/>
    <w:rsid w:val="00CE1F54"/>
    <w:rsid w:val="00CE26DC"/>
    <w:rsid w:val="00CE30FD"/>
    <w:rsid w:val="00CE31E5"/>
    <w:rsid w:val="00CE3564"/>
    <w:rsid w:val="00CE381B"/>
    <w:rsid w:val="00CE4819"/>
    <w:rsid w:val="00CE4935"/>
    <w:rsid w:val="00CE6342"/>
    <w:rsid w:val="00CE6528"/>
    <w:rsid w:val="00CE6B16"/>
    <w:rsid w:val="00CE6BB0"/>
    <w:rsid w:val="00CE6F27"/>
    <w:rsid w:val="00CE79FE"/>
    <w:rsid w:val="00CE7E16"/>
    <w:rsid w:val="00CF010F"/>
    <w:rsid w:val="00CF022E"/>
    <w:rsid w:val="00CF072B"/>
    <w:rsid w:val="00CF0ADD"/>
    <w:rsid w:val="00CF0AFE"/>
    <w:rsid w:val="00CF0D20"/>
    <w:rsid w:val="00CF1AA8"/>
    <w:rsid w:val="00CF28EE"/>
    <w:rsid w:val="00CF3159"/>
    <w:rsid w:val="00CF402D"/>
    <w:rsid w:val="00CF431B"/>
    <w:rsid w:val="00CF548A"/>
    <w:rsid w:val="00CF5577"/>
    <w:rsid w:val="00CF62A8"/>
    <w:rsid w:val="00CF6DF4"/>
    <w:rsid w:val="00CF6EA7"/>
    <w:rsid w:val="00CF7020"/>
    <w:rsid w:val="00CF7244"/>
    <w:rsid w:val="00CF7654"/>
    <w:rsid w:val="00CF7684"/>
    <w:rsid w:val="00D00DEF"/>
    <w:rsid w:val="00D01366"/>
    <w:rsid w:val="00D0212E"/>
    <w:rsid w:val="00D02657"/>
    <w:rsid w:val="00D04F62"/>
    <w:rsid w:val="00D04F7B"/>
    <w:rsid w:val="00D0512C"/>
    <w:rsid w:val="00D05B9C"/>
    <w:rsid w:val="00D06211"/>
    <w:rsid w:val="00D06E9F"/>
    <w:rsid w:val="00D06FFF"/>
    <w:rsid w:val="00D0757E"/>
    <w:rsid w:val="00D07B7D"/>
    <w:rsid w:val="00D109A9"/>
    <w:rsid w:val="00D10CDF"/>
    <w:rsid w:val="00D113E7"/>
    <w:rsid w:val="00D116F0"/>
    <w:rsid w:val="00D119B8"/>
    <w:rsid w:val="00D11B26"/>
    <w:rsid w:val="00D122BD"/>
    <w:rsid w:val="00D12A77"/>
    <w:rsid w:val="00D12E24"/>
    <w:rsid w:val="00D13CD4"/>
    <w:rsid w:val="00D13FF6"/>
    <w:rsid w:val="00D14332"/>
    <w:rsid w:val="00D15178"/>
    <w:rsid w:val="00D1522A"/>
    <w:rsid w:val="00D15337"/>
    <w:rsid w:val="00D15B0C"/>
    <w:rsid w:val="00D167E6"/>
    <w:rsid w:val="00D16F9B"/>
    <w:rsid w:val="00D17611"/>
    <w:rsid w:val="00D17D94"/>
    <w:rsid w:val="00D17E36"/>
    <w:rsid w:val="00D17F53"/>
    <w:rsid w:val="00D203A5"/>
    <w:rsid w:val="00D21482"/>
    <w:rsid w:val="00D21A5A"/>
    <w:rsid w:val="00D22170"/>
    <w:rsid w:val="00D22491"/>
    <w:rsid w:val="00D225E0"/>
    <w:rsid w:val="00D22863"/>
    <w:rsid w:val="00D22A36"/>
    <w:rsid w:val="00D23502"/>
    <w:rsid w:val="00D23F03"/>
    <w:rsid w:val="00D23F9F"/>
    <w:rsid w:val="00D24213"/>
    <w:rsid w:val="00D24778"/>
    <w:rsid w:val="00D25322"/>
    <w:rsid w:val="00D25ADF"/>
    <w:rsid w:val="00D25BE6"/>
    <w:rsid w:val="00D25C2E"/>
    <w:rsid w:val="00D25FFA"/>
    <w:rsid w:val="00D2620A"/>
    <w:rsid w:val="00D264A4"/>
    <w:rsid w:val="00D269E6"/>
    <w:rsid w:val="00D26DF4"/>
    <w:rsid w:val="00D26E87"/>
    <w:rsid w:val="00D27086"/>
    <w:rsid w:val="00D2765A"/>
    <w:rsid w:val="00D27CDB"/>
    <w:rsid w:val="00D30458"/>
    <w:rsid w:val="00D30B67"/>
    <w:rsid w:val="00D30D2F"/>
    <w:rsid w:val="00D30E9F"/>
    <w:rsid w:val="00D31529"/>
    <w:rsid w:val="00D3190D"/>
    <w:rsid w:val="00D329FC"/>
    <w:rsid w:val="00D3345B"/>
    <w:rsid w:val="00D33974"/>
    <w:rsid w:val="00D33C7E"/>
    <w:rsid w:val="00D346EB"/>
    <w:rsid w:val="00D35DEF"/>
    <w:rsid w:val="00D362D1"/>
    <w:rsid w:val="00D36FEC"/>
    <w:rsid w:val="00D3723B"/>
    <w:rsid w:val="00D377B1"/>
    <w:rsid w:val="00D37996"/>
    <w:rsid w:val="00D37DF7"/>
    <w:rsid w:val="00D405B2"/>
    <w:rsid w:val="00D4101C"/>
    <w:rsid w:val="00D4115A"/>
    <w:rsid w:val="00D411AB"/>
    <w:rsid w:val="00D41602"/>
    <w:rsid w:val="00D41BD7"/>
    <w:rsid w:val="00D41E32"/>
    <w:rsid w:val="00D41F47"/>
    <w:rsid w:val="00D42078"/>
    <w:rsid w:val="00D421C9"/>
    <w:rsid w:val="00D42731"/>
    <w:rsid w:val="00D42CC1"/>
    <w:rsid w:val="00D42F6C"/>
    <w:rsid w:val="00D43A1F"/>
    <w:rsid w:val="00D44755"/>
    <w:rsid w:val="00D45EB8"/>
    <w:rsid w:val="00D45EDA"/>
    <w:rsid w:val="00D46126"/>
    <w:rsid w:val="00D46268"/>
    <w:rsid w:val="00D465EF"/>
    <w:rsid w:val="00D508A9"/>
    <w:rsid w:val="00D50DFF"/>
    <w:rsid w:val="00D512A4"/>
    <w:rsid w:val="00D5138A"/>
    <w:rsid w:val="00D51A7A"/>
    <w:rsid w:val="00D52002"/>
    <w:rsid w:val="00D521C2"/>
    <w:rsid w:val="00D52582"/>
    <w:rsid w:val="00D52BC1"/>
    <w:rsid w:val="00D53401"/>
    <w:rsid w:val="00D5370C"/>
    <w:rsid w:val="00D53A72"/>
    <w:rsid w:val="00D53B37"/>
    <w:rsid w:val="00D54213"/>
    <w:rsid w:val="00D54F96"/>
    <w:rsid w:val="00D5509A"/>
    <w:rsid w:val="00D55A92"/>
    <w:rsid w:val="00D57027"/>
    <w:rsid w:val="00D57380"/>
    <w:rsid w:val="00D57713"/>
    <w:rsid w:val="00D578DF"/>
    <w:rsid w:val="00D57D43"/>
    <w:rsid w:val="00D57D99"/>
    <w:rsid w:val="00D60147"/>
    <w:rsid w:val="00D60DEF"/>
    <w:rsid w:val="00D611D1"/>
    <w:rsid w:val="00D61D9D"/>
    <w:rsid w:val="00D6217D"/>
    <w:rsid w:val="00D6231B"/>
    <w:rsid w:val="00D62D79"/>
    <w:rsid w:val="00D62DFA"/>
    <w:rsid w:val="00D63ACC"/>
    <w:rsid w:val="00D65822"/>
    <w:rsid w:val="00D6664E"/>
    <w:rsid w:val="00D66949"/>
    <w:rsid w:val="00D670F8"/>
    <w:rsid w:val="00D672E0"/>
    <w:rsid w:val="00D67A60"/>
    <w:rsid w:val="00D67CAF"/>
    <w:rsid w:val="00D70016"/>
    <w:rsid w:val="00D70178"/>
    <w:rsid w:val="00D701D4"/>
    <w:rsid w:val="00D7100B"/>
    <w:rsid w:val="00D71336"/>
    <w:rsid w:val="00D71461"/>
    <w:rsid w:val="00D71471"/>
    <w:rsid w:val="00D71C56"/>
    <w:rsid w:val="00D71FF8"/>
    <w:rsid w:val="00D72473"/>
    <w:rsid w:val="00D72E14"/>
    <w:rsid w:val="00D73C72"/>
    <w:rsid w:val="00D73DDB"/>
    <w:rsid w:val="00D7519D"/>
    <w:rsid w:val="00D75281"/>
    <w:rsid w:val="00D756DF"/>
    <w:rsid w:val="00D75B25"/>
    <w:rsid w:val="00D75FC5"/>
    <w:rsid w:val="00D7657C"/>
    <w:rsid w:val="00D76BAD"/>
    <w:rsid w:val="00D76E8B"/>
    <w:rsid w:val="00D7706C"/>
    <w:rsid w:val="00D77433"/>
    <w:rsid w:val="00D776E4"/>
    <w:rsid w:val="00D80F0E"/>
    <w:rsid w:val="00D810BB"/>
    <w:rsid w:val="00D81801"/>
    <w:rsid w:val="00D8205D"/>
    <w:rsid w:val="00D82A69"/>
    <w:rsid w:val="00D844C1"/>
    <w:rsid w:val="00D846EA"/>
    <w:rsid w:val="00D846FB"/>
    <w:rsid w:val="00D84E58"/>
    <w:rsid w:val="00D8567A"/>
    <w:rsid w:val="00D860C6"/>
    <w:rsid w:val="00D8643D"/>
    <w:rsid w:val="00D86512"/>
    <w:rsid w:val="00D86695"/>
    <w:rsid w:val="00D867A8"/>
    <w:rsid w:val="00D86A06"/>
    <w:rsid w:val="00D86ABB"/>
    <w:rsid w:val="00D86AD8"/>
    <w:rsid w:val="00D87080"/>
    <w:rsid w:val="00D87115"/>
    <w:rsid w:val="00D879C1"/>
    <w:rsid w:val="00D87C32"/>
    <w:rsid w:val="00D901C9"/>
    <w:rsid w:val="00D90A77"/>
    <w:rsid w:val="00D90BA1"/>
    <w:rsid w:val="00D90EA9"/>
    <w:rsid w:val="00D91911"/>
    <w:rsid w:val="00D91B8A"/>
    <w:rsid w:val="00D91D48"/>
    <w:rsid w:val="00D9376B"/>
    <w:rsid w:val="00D93E53"/>
    <w:rsid w:val="00D93F56"/>
    <w:rsid w:val="00D9449B"/>
    <w:rsid w:val="00D94A33"/>
    <w:rsid w:val="00D952A7"/>
    <w:rsid w:val="00D97CB3"/>
    <w:rsid w:val="00DA037D"/>
    <w:rsid w:val="00DA182E"/>
    <w:rsid w:val="00DA1E23"/>
    <w:rsid w:val="00DA32AF"/>
    <w:rsid w:val="00DA33EF"/>
    <w:rsid w:val="00DA35AD"/>
    <w:rsid w:val="00DA3A33"/>
    <w:rsid w:val="00DA3EAD"/>
    <w:rsid w:val="00DA4370"/>
    <w:rsid w:val="00DA43C4"/>
    <w:rsid w:val="00DA44F1"/>
    <w:rsid w:val="00DA477A"/>
    <w:rsid w:val="00DA4973"/>
    <w:rsid w:val="00DA4FAC"/>
    <w:rsid w:val="00DA5172"/>
    <w:rsid w:val="00DA5259"/>
    <w:rsid w:val="00DA545B"/>
    <w:rsid w:val="00DA56A9"/>
    <w:rsid w:val="00DA6381"/>
    <w:rsid w:val="00DA65CE"/>
    <w:rsid w:val="00DA67B4"/>
    <w:rsid w:val="00DA6B61"/>
    <w:rsid w:val="00DA6CF4"/>
    <w:rsid w:val="00DA70E8"/>
    <w:rsid w:val="00DA73AF"/>
    <w:rsid w:val="00DA7CFE"/>
    <w:rsid w:val="00DB0056"/>
    <w:rsid w:val="00DB016D"/>
    <w:rsid w:val="00DB0DD9"/>
    <w:rsid w:val="00DB149A"/>
    <w:rsid w:val="00DB30F4"/>
    <w:rsid w:val="00DB3A12"/>
    <w:rsid w:val="00DB3AC3"/>
    <w:rsid w:val="00DB3D95"/>
    <w:rsid w:val="00DB49CD"/>
    <w:rsid w:val="00DB59FC"/>
    <w:rsid w:val="00DB6E07"/>
    <w:rsid w:val="00DB6E98"/>
    <w:rsid w:val="00DB73D7"/>
    <w:rsid w:val="00DB7E6A"/>
    <w:rsid w:val="00DB7ED2"/>
    <w:rsid w:val="00DC0D2B"/>
    <w:rsid w:val="00DC1528"/>
    <w:rsid w:val="00DC168D"/>
    <w:rsid w:val="00DC1926"/>
    <w:rsid w:val="00DC1C01"/>
    <w:rsid w:val="00DC1DE3"/>
    <w:rsid w:val="00DC1E36"/>
    <w:rsid w:val="00DC2886"/>
    <w:rsid w:val="00DC390F"/>
    <w:rsid w:val="00DC3A85"/>
    <w:rsid w:val="00DC5DB6"/>
    <w:rsid w:val="00DC6B92"/>
    <w:rsid w:val="00DC7465"/>
    <w:rsid w:val="00DC7C54"/>
    <w:rsid w:val="00DD2301"/>
    <w:rsid w:val="00DD2520"/>
    <w:rsid w:val="00DD28FB"/>
    <w:rsid w:val="00DD2AC9"/>
    <w:rsid w:val="00DD30CB"/>
    <w:rsid w:val="00DD3791"/>
    <w:rsid w:val="00DD3820"/>
    <w:rsid w:val="00DD38C1"/>
    <w:rsid w:val="00DD3A1E"/>
    <w:rsid w:val="00DD4752"/>
    <w:rsid w:val="00DD488F"/>
    <w:rsid w:val="00DD4D46"/>
    <w:rsid w:val="00DD4DAF"/>
    <w:rsid w:val="00DD52AB"/>
    <w:rsid w:val="00DD5948"/>
    <w:rsid w:val="00DD5CE2"/>
    <w:rsid w:val="00DD6294"/>
    <w:rsid w:val="00DD67E5"/>
    <w:rsid w:val="00DD6A57"/>
    <w:rsid w:val="00DD6DE4"/>
    <w:rsid w:val="00DD72B7"/>
    <w:rsid w:val="00DD7848"/>
    <w:rsid w:val="00DD7EAF"/>
    <w:rsid w:val="00DE0FBE"/>
    <w:rsid w:val="00DE14EC"/>
    <w:rsid w:val="00DE1B18"/>
    <w:rsid w:val="00DE1D5F"/>
    <w:rsid w:val="00DE20F1"/>
    <w:rsid w:val="00DE21F5"/>
    <w:rsid w:val="00DE2445"/>
    <w:rsid w:val="00DE2792"/>
    <w:rsid w:val="00DE2EB4"/>
    <w:rsid w:val="00DE2F3D"/>
    <w:rsid w:val="00DE3203"/>
    <w:rsid w:val="00DE34E7"/>
    <w:rsid w:val="00DE357C"/>
    <w:rsid w:val="00DE38E9"/>
    <w:rsid w:val="00DE3A21"/>
    <w:rsid w:val="00DE3CE5"/>
    <w:rsid w:val="00DE4063"/>
    <w:rsid w:val="00DE472C"/>
    <w:rsid w:val="00DE6EB9"/>
    <w:rsid w:val="00DE7B6E"/>
    <w:rsid w:val="00DF074F"/>
    <w:rsid w:val="00DF0A20"/>
    <w:rsid w:val="00DF12B3"/>
    <w:rsid w:val="00DF1A16"/>
    <w:rsid w:val="00DF1ACA"/>
    <w:rsid w:val="00DF1C08"/>
    <w:rsid w:val="00DF21F4"/>
    <w:rsid w:val="00DF2583"/>
    <w:rsid w:val="00DF26B1"/>
    <w:rsid w:val="00DF2CE5"/>
    <w:rsid w:val="00DF2E7F"/>
    <w:rsid w:val="00DF3158"/>
    <w:rsid w:val="00DF3219"/>
    <w:rsid w:val="00DF3DA5"/>
    <w:rsid w:val="00DF4355"/>
    <w:rsid w:val="00DF4FB9"/>
    <w:rsid w:val="00DF553C"/>
    <w:rsid w:val="00DF6037"/>
    <w:rsid w:val="00DF6922"/>
    <w:rsid w:val="00E0085F"/>
    <w:rsid w:val="00E00B69"/>
    <w:rsid w:val="00E01CA7"/>
    <w:rsid w:val="00E02E95"/>
    <w:rsid w:val="00E033BA"/>
    <w:rsid w:val="00E03692"/>
    <w:rsid w:val="00E0382F"/>
    <w:rsid w:val="00E03980"/>
    <w:rsid w:val="00E041EC"/>
    <w:rsid w:val="00E04715"/>
    <w:rsid w:val="00E047AD"/>
    <w:rsid w:val="00E056A7"/>
    <w:rsid w:val="00E058EE"/>
    <w:rsid w:val="00E061C0"/>
    <w:rsid w:val="00E06220"/>
    <w:rsid w:val="00E06676"/>
    <w:rsid w:val="00E06A0D"/>
    <w:rsid w:val="00E06DF1"/>
    <w:rsid w:val="00E06EFB"/>
    <w:rsid w:val="00E073D9"/>
    <w:rsid w:val="00E075DE"/>
    <w:rsid w:val="00E07AA3"/>
    <w:rsid w:val="00E07AB5"/>
    <w:rsid w:val="00E11DB0"/>
    <w:rsid w:val="00E1213E"/>
    <w:rsid w:val="00E1249C"/>
    <w:rsid w:val="00E12CBB"/>
    <w:rsid w:val="00E12D6C"/>
    <w:rsid w:val="00E12EDF"/>
    <w:rsid w:val="00E1448C"/>
    <w:rsid w:val="00E14B7B"/>
    <w:rsid w:val="00E14D04"/>
    <w:rsid w:val="00E1520B"/>
    <w:rsid w:val="00E15B76"/>
    <w:rsid w:val="00E15F03"/>
    <w:rsid w:val="00E16150"/>
    <w:rsid w:val="00E16787"/>
    <w:rsid w:val="00E16B28"/>
    <w:rsid w:val="00E16D2F"/>
    <w:rsid w:val="00E17B40"/>
    <w:rsid w:val="00E17D6E"/>
    <w:rsid w:val="00E17F71"/>
    <w:rsid w:val="00E21224"/>
    <w:rsid w:val="00E22E87"/>
    <w:rsid w:val="00E2360B"/>
    <w:rsid w:val="00E23C52"/>
    <w:rsid w:val="00E23C67"/>
    <w:rsid w:val="00E23CEF"/>
    <w:rsid w:val="00E240A6"/>
    <w:rsid w:val="00E24BE7"/>
    <w:rsid w:val="00E2574A"/>
    <w:rsid w:val="00E2631F"/>
    <w:rsid w:val="00E26A6B"/>
    <w:rsid w:val="00E27665"/>
    <w:rsid w:val="00E278AC"/>
    <w:rsid w:val="00E27BEE"/>
    <w:rsid w:val="00E3052B"/>
    <w:rsid w:val="00E314C0"/>
    <w:rsid w:val="00E31710"/>
    <w:rsid w:val="00E31AD7"/>
    <w:rsid w:val="00E32188"/>
    <w:rsid w:val="00E32490"/>
    <w:rsid w:val="00E32616"/>
    <w:rsid w:val="00E328D8"/>
    <w:rsid w:val="00E32CE2"/>
    <w:rsid w:val="00E32D37"/>
    <w:rsid w:val="00E33C12"/>
    <w:rsid w:val="00E33C67"/>
    <w:rsid w:val="00E33F65"/>
    <w:rsid w:val="00E34142"/>
    <w:rsid w:val="00E3420B"/>
    <w:rsid w:val="00E3495E"/>
    <w:rsid w:val="00E35F46"/>
    <w:rsid w:val="00E37667"/>
    <w:rsid w:val="00E4022B"/>
    <w:rsid w:val="00E406DA"/>
    <w:rsid w:val="00E40ADA"/>
    <w:rsid w:val="00E40B89"/>
    <w:rsid w:val="00E415FC"/>
    <w:rsid w:val="00E4170E"/>
    <w:rsid w:val="00E41BE9"/>
    <w:rsid w:val="00E41D81"/>
    <w:rsid w:val="00E43398"/>
    <w:rsid w:val="00E435C9"/>
    <w:rsid w:val="00E43FB8"/>
    <w:rsid w:val="00E44214"/>
    <w:rsid w:val="00E44A83"/>
    <w:rsid w:val="00E44BFF"/>
    <w:rsid w:val="00E44C59"/>
    <w:rsid w:val="00E44E8D"/>
    <w:rsid w:val="00E4549D"/>
    <w:rsid w:val="00E45BF2"/>
    <w:rsid w:val="00E45DEA"/>
    <w:rsid w:val="00E47684"/>
    <w:rsid w:val="00E50C4C"/>
    <w:rsid w:val="00E51829"/>
    <w:rsid w:val="00E51E11"/>
    <w:rsid w:val="00E528AD"/>
    <w:rsid w:val="00E5372D"/>
    <w:rsid w:val="00E54291"/>
    <w:rsid w:val="00E5459C"/>
    <w:rsid w:val="00E549C2"/>
    <w:rsid w:val="00E557B5"/>
    <w:rsid w:val="00E559A7"/>
    <w:rsid w:val="00E56127"/>
    <w:rsid w:val="00E56BD8"/>
    <w:rsid w:val="00E56DC2"/>
    <w:rsid w:val="00E56F3C"/>
    <w:rsid w:val="00E56F48"/>
    <w:rsid w:val="00E57B6A"/>
    <w:rsid w:val="00E60952"/>
    <w:rsid w:val="00E60DB2"/>
    <w:rsid w:val="00E61E23"/>
    <w:rsid w:val="00E620A6"/>
    <w:rsid w:val="00E6210D"/>
    <w:rsid w:val="00E62171"/>
    <w:rsid w:val="00E62768"/>
    <w:rsid w:val="00E6462C"/>
    <w:rsid w:val="00E658EB"/>
    <w:rsid w:val="00E65BCA"/>
    <w:rsid w:val="00E66365"/>
    <w:rsid w:val="00E666EB"/>
    <w:rsid w:val="00E66F2C"/>
    <w:rsid w:val="00E6726B"/>
    <w:rsid w:val="00E676F1"/>
    <w:rsid w:val="00E676F9"/>
    <w:rsid w:val="00E67882"/>
    <w:rsid w:val="00E70455"/>
    <w:rsid w:val="00E71702"/>
    <w:rsid w:val="00E719D3"/>
    <w:rsid w:val="00E71D9C"/>
    <w:rsid w:val="00E71E37"/>
    <w:rsid w:val="00E720FE"/>
    <w:rsid w:val="00E72A86"/>
    <w:rsid w:val="00E72C29"/>
    <w:rsid w:val="00E73583"/>
    <w:rsid w:val="00E74EE7"/>
    <w:rsid w:val="00E76782"/>
    <w:rsid w:val="00E76956"/>
    <w:rsid w:val="00E76B49"/>
    <w:rsid w:val="00E77030"/>
    <w:rsid w:val="00E777A7"/>
    <w:rsid w:val="00E779CB"/>
    <w:rsid w:val="00E8050E"/>
    <w:rsid w:val="00E80B80"/>
    <w:rsid w:val="00E811AD"/>
    <w:rsid w:val="00E814BC"/>
    <w:rsid w:val="00E81603"/>
    <w:rsid w:val="00E81A4E"/>
    <w:rsid w:val="00E81C41"/>
    <w:rsid w:val="00E81D46"/>
    <w:rsid w:val="00E83B3D"/>
    <w:rsid w:val="00E83D1B"/>
    <w:rsid w:val="00E8420B"/>
    <w:rsid w:val="00E84AB4"/>
    <w:rsid w:val="00E84B48"/>
    <w:rsid w:val="00E84EBF"/>
    <w:rsid w:val="00E8590A"/>
    <w:rsid w:val="00E85F38"/>
    <w:rsid w:val="00E85F64"/>
    <w:rsid w:val="00E861A8"/>
    <w:rsid w:val="00E86216"/>
    <w:rsid w:val="00E86A89"/>
    <w:rsid w:val="00E86ED2"/>
    <w:rsid w:val="00E8754C"/>
    <w:rsid w:val="00E87629"/>
    <w:rsid w:val="00E87846"/>
    <w:rsid w:val="00E87853"/>
    <w:rsid w:val="00E90423"/>
    <w:rsid w:val="00E9047F"/>
    <w:rsid w:val="00E90630"/>
    <w:rsid w:val="00E90C42"/>
    <w:rsid w:val="00E91621"/>
    <w:rsid w:val="00E91759"/>
    <w:rsid w:val="00E91C47"/>
    <w:rsid w:val="00E91D47"/>
    <w:rsid w:val="00E92935"/>
    <w:rsid w:val="00E936FA"/>
    <w:rsid w:val="00E94496"/>
    <w:rsid w:val="00E949D3"/>
    <w:rsid w:val="00E94C45"/>
    <w:rsid w:val="00E953C0"/>
    <w:rsid w:val="00E95E30"/>
    <w:rsid w:val="00E96473"/>
    <w:rsid w:val="00E9686D"/>
    <w:rsid w:val="00E97928"/>
    <w:rsid w:val="00E97A5E"/>
    <w:rsid w:val="00EA0D57"/>
    <w:rsid w:val="00EA0E45"/>
    <w:rsid w:val="00EA1EAD"/>
    <w:rsid w:val="00EA205B"/>
    <w:rsid w:val="00EA4907"/>
    <w:rsid w:val="00EA4974"/>
    <w:rsid w:val="00EA4A2E"/>
    <w:rsid w:val="00EA5490"/>
    <w:rsid w:val="00EA5618"/>
    <w:rsid w:val="00EA5CB4"/>
    <w:rsid w:val="00EA5FF7"/>
    <w:rsid w:val="00EA6303"/>
    <w:rsid w:val="00EA6872"/>
    <w:rsid w:val="00EA6B90"/>
    <w:rsid w:val="00EA6EA1"/>
    <w:rsid w:val="00EA7A0F"/>
    <w:rsid w:val="00EA7FDA"/>
    <w:rsid w:val="00EB01A1"/>
    <w:rsid w:val="00EB04B5"/>
    <w:rsid w:val="00EB0B41"/>
    <w:rsid w:val="00EB1073"/>
    <w:rsid w:val="00EB199B"/>
    <w:rsid w:val="00EB19BD"/>
    <w:rsid w:val="00EB210B"/>
    <w:rsid w:val="00EB269D"/>
    <w:rsid w:val="00EB2979"/>
    <w:rsid w:val="00EB2D46"/>
    <w:rsid w:val="00EB39F9"/>
    <w:rsid w:val="00EB3BCE"/>
    <w:rsid w:val="00EB47E5"/>
    <w:rsid w:val="00EB5877"/>
    <w:rsid w:val="00EB5CAD"/>
    <w:rsid w:val="00EB621E"/>
    <w:rsid w:val="00EB65A1"/>
    <w:rsid w:val="00EB6633"/>
    <w:rsid w:val="00EB6833"/>
    <w:rsid w:val="00EB684B"/>
    <w:rsid w:val="00EB7939"/>
    <w:rsid w:val="00EB7C89"/>
    <w:rsid w:val="00EC04FD"/>
    <w:rsid w:val="00EC0DD2"/>
    <w:rsid w:val="00EC0E73"/>
    <w:rsid w:val="00EC1543"/>
    <w:rsid w:val="00EC23B5"/>
    <w:rsid w:val="00EC25DC"/>
    <w:rsid w:val="00EC2C2F"/>
    <w:rsid w:val="00EC2CF2"/>
    <w:rsid w:val="00EC3159"/>
    <w:rsid w:val="00EC323A"/>
    <w:rsid w:val="00EC34E3"/>
    <w:rsid w:val="00EC3D4A"/>
    <w:rsid w:val="00EC4304"/>
    <w:rsid w:val="00EC4820"/>
    <w:rsid w:val="00EC56F1"/>
    <w:rsid w:val="00EC5DD1"/>
    <w:rsid w:val="00EC70F7"/>
    <w:rsid w:val="00EC7EB7"/>
    <w:rsid w:val="00ED053F"/>
    <w:rsid w:val="00ED1A2D"/>
    <w:rsid w:val="00ED1CAE"/>
    <w:rsid w:val="00ED21B4"/>
    <w:rsid w:val="00ED241C"/>
    <w:rsid w:val="00ED28D4"/>
    <w:rsid w:val="00ED2F2E"/>
    <w:rsid w:val="00ED3A50"/>
    <w:rsid w:val="00ED4235"/>
    <w:rsid w:val="00ED45A5"/>
    <w:rsid w:val="00ED46D7"/>
    <w:rsid w:val="00ED542F"/>
    <w:rsid w:val="00ED6A8D"/>
    <w:rsid w:val="00ED6B2E"/>
    <w:rsid w:val="00ED710B"/>
    <w:rsid w:val="00ED7133"/>
    <w:rsid w:val="00ED788F"/>
    <w:rsid w:val="00EE0223"/>
    <w:rsid w:val="00EE11F8"/>
    <w:rsid w:val="00EE27E2"/>
    <w:rsid w:val="00EE2819"/>
    <w:rsid w:val="00EE2AE0"/>
    <w:rsid w:val="00EE2EC4"/>
    <w:rsid w:val="00EE31A8"/>
    <w:rsid w:val="00EE33D3"/>
    <w:rsid w:val="00EE38B4"/>
    <w:rsid w:val="00EE392A"/>
    <w:rsid w:val="00EE3F23"/>
    <w:rsid w:val="00EE526B"/>
    <w:rsid w:val="00EE59ED"/>
    <w:rsid w:val="00EE60CE"/>
    <w:rsid w:val="00EE6168"/>
    <w:rsid w:val="00EE6853"/>
    <w:rsid w:val="00EE6C9F"/>
    <w:rsid w:val="00EE7E5F"/>
    <w:rsid w:val="00EF0038"/>
    <w:rsid w:val="00EF04B9"/>
    <w:rsid w:val="00EF067D"/>
    <w:rsid w:val="00EF1038"/>
    <w:rsid w:val="00EF105D"/>
    <w:rsid w:val="00EF24F5"/>
    <w:rsid w:val="00EF2565"/>
    <w:rsid w:val="00EF27D0"/>
    <w:rsid w:val="00EF28B1"/>
    <w:rsid w:val="00EF2DE8"/>
    <w:rsid w:val="00EF32F6"/>
    <w:rsid w:val="00EF4580"/>
    <w:rsid w:val="00EF539F"/>
    <w:rsid w:val="00EF5810"/>
    <w:rsid w:val="00EF5C4F"/>
    <w:rsid w:val="00EF662C"/>
    <w:rsid w:val="00EF6928"/>
    <w:rsid w:val="00F016E4"/>
    <w:rsid w:val="00F038E3"/>
    <w:rsid w:val="00F03C06"/>
    <w:rsid w:val="00F04097"/>
    <w:rsid w:val="00F045E2"/>
    <w:rsid w:val="00F04F56"/>
    <w:rsid w:val="00F05409"/>
    <w:rsid w:val="00F0550C"/>
    <w:rsid w:val="00F063ED"/>
    <w:rsid w:val="00F0689B"/>
    <w:rsid w:val="00F06E52"/>
    <w:rsid w:val="00F06F62"/>
    <w:rsid w:val="00F07279"/>
    <w:rsid w:val="00F07EC3"/>
    <w:rsid w:val="00F100E0"/>
    <w:rsid w:val="00F10625"/>
    <w:rsid w:val="00F1079D"/>
    <w:rsid w:val="00F10A53"/>
    <w:rsid w:val="00F11209"/>
    <w:rsid w:val="00F11C39"/>
    <w:rsid w:val="00F11CEB"/>
    <w:rsid w:val="00F1239B"/>
    <w:rsid w:val="00F1248F"/>
    <w:rsid w:val="00F1264C"/>
    <w:rsid w:val="00F13573"/>
    <w:rsid w:val="00F14673"/>
    <w:rsid w:val="00F1469A"/>
    <w:rsid w:val="00F147BE"/>
    <w:rsid w:val="00F1480E"/>
    <w:rsid w:val="00F149A3"/>
    <w:rsid w:val="00F14FB0"/>
    <w:rsid w:val="00F15443"/>
    <w:rsid w:val="00F159C3"/>
    <w:rsid w:val="00F15BD1"/>
    <w:rsid w:val="00F1677E"/>
    <w:rsid w:val="00F1767B"/>
    <w:rsid w:val="00F20E6E"/>
    <w:rsid w:val="00F20F17"/>
    <w:rsid w:val="00F20FC7"/>
    <w:rsid w:val="00F211C1"/>
    <w:rsid w:val="00F21EEB"/>
    <w:rsid w:val="00F23077"/>
    <w:rsid w:val="00F234F2"/>
    <w:rsid w:val="00F23B62"/>
    <w:rsid w:val="00F23BCE"/>
    <w:rsid w:val="00F25F15"/>
    <w:rsid w:val="00F26877"/>
    <w:rsid w:val="00F26C20"/>
    <w:rsid w:val="00F27165"/>
    <w:rsid w:val="00F27A80"/>
    <w:rsid w:val="00F27D16"/>
    <w:rsid w:val="00F30562"/>
    <w:rsid w:val="00F30CB3"/>
    <w:rsid w:val="00F312E0"/>
    <w:rsid w:val="00F3163A"/>
    <w:rsid w:val="00F31A97"/>
    <w:rsid w:val="00F31E33"/>
    <w:rsid w:val="00F320EB"/>
    <w:rsid w:val="00F32803"/>
    <w:rsid w:val="00F3289C"/>
    <w:rsid w:val="00F32E30"/>
    <w:rsid w:val="00F3344A"/>
    <w:rsid w:val="00F3372C"/>
    <w:rsid w:val="00F33FEC"/>
    <w:rsid w:val="00F35842"/>
    <w:rsid w:val="00F36501"/>
    <w:rsid w:val="00F36694"/>
    <w:rsid w:val="00F36CD4"/>
    <w:rsid w:val="00F36EE4"/>
    <w:rsid w:val="00F3767D"/>
    <w:rsid w:val="00F37B21"/>
    <w:rsid w:val="00F37E07"/>
    <w:rsid w:val="00F4093E"/>
    <w:rsid w:val="00F4170C"/>
    <w:rsid w:val="00F41879"/>
    <w:rsid w:val="00F41CFF"/>
    <w:rsid w:val="00F4207A"/>
    <w:rsid w:val="00F4243B"/>
    <w:rsid w:val="00F424F1"/>
    <w:rsid w:val="00F42646"/>
    <w:rsid w:val="00F42EA6"/>
    <w:rsid w:val="00F43598"/>
    <w:rsid w:val="00F43A0D"/>
    <w:rsid w:val="00F43F6D"/>
    <w:rsid w:val="00F43FDE"/>
    <w:rsid w:val="00F45A39"/>
    <w:rsid w:val="00F4667C"/>
    <w:rsid w:val="00F46963"/>
    <w:rsid w:val="00F47047"/>
    <w:rsid w:val="00F4722A"/>
    <w:rsid w:val="00F501D2"/>
    <w:rsid w:val="00F50392"/>
    <w:rsid w:val="00F50828"/>
    <w:rsid w:val="00F50A95"/>
    <w:rsid w:val="00F50AA7"/>
    <w:rsid w:val="00F511C1"/>
    <w:rsid w:val="00F51C83"/>
    <w:rsid w:val="00F52B07"/>
    <w:rsid w:val="00F53002"/>
    <w:rsid w:val="00F54714"/>
    <w:rsid w:val="00F54BA2"/>
    <w:rsid w:val="00F54BD5"/>
    <w:rsid w:val="00F54F48"/>
    <w:rsid w:val="00F558D4"/>
    <w:rsid w:val="00F55FFC"/>
    <w:rsid w:val="00F56F60"/>
    <w:rsid w:val="00F571CE"/>
    <w:rsid w:val="00F577C6"/>
    <w:rsid w:val="00F57800"/>
    <w:rsid w:val="00F603F5"/>
    <w:rsid w:val="00F6185D"/>
    <w:rsid w:val="00F62238"/>
    <w:rsid w:val="00F62391"/>
    <w:rsid w:val="00F62A2D"/>
    <w:rsid w:val="00F6306A"/>
    <w:rsid w:val="00F6350B"/>
    <w:rsid w:val="00F63856"/>
    <w:rsid w:val="00F63A0E"/>
    <w:rsid w:val="00F642E8"/>
    <w:rsid w:val="00F64B72"/>
    <w:rsid w:val="00F64FC3"/>
    <w:rsid w:val="00F6516D"/>
    <w:rsid w:val="00F65A96"/>
    <w:rsid w:val="00F65B4B"/>
    <w:rsid w:val="00F66F43"/>
    <w:rsid w:val="00F679A1"/>
    <w:rsid w:val="00F7113A"/>
    <w:rsid w:val="00F7132A"/>
    <w:rsid w:val="00F71859"/>
    <w:rsid w:val="00F721EA"/>
    <w:rsid w:val="00F72B0E"/>
    <w:rsid w:val="00F72BF8"/>
    <w:rsid w:val="00F72D40"/>
    <w:rsid w:val="00F72F42"/>
    <w:rsid w:val="00F731D2"/>
    <w:rsid w:val="00F73A5D"/>
    <w:rsid w:val="00F73C9D"/>
    <w:rsid w:val="00F73CF7"/>
    <w:rsid w:val="00F73E94"/>
    <w:rsid w:val="00F7493A"/>
    <w:rsid w:val="00F74FA0"/>
    <w:rsid w:val="00F75320"/>
    <w:rsid w:val="00F75913"/>
    <w:rsid w:val="00F76222"/>
    <w:rsid w:val="00F766A0"/>
    <w:rsid w:val="00F76D63"/>
    <w:rsid w:val="00F77748"/>
    <w:rsid w:val="00F77E2A"/>
    <w:rsid w:val="00F8050A"/>
    <w:rsid w:val="00F80C8A"/>
    <w:rsid w:val="00F81169"/>
    <w:rsid w:val="00F8129E"/>
    <w:rsid w:val="00F81908"/>
    <w:rsid w:val="00F8204F"/>
    <w:rsid w:val="00F82251"/>
    <w:rsid w:val="00F83339"/>
    <w:rsid w:val="00F83651"/>
    <w:rsid w:val="00F84776"/>
    <w:rsid w:val="00F84CA9"/>
    <w:rsid w:val="00F85A8A"/>
    <w:rsid w:val="00F85E5F"/>
    <w:rsid w:val="00F8681C"/>
    <w:rsid w:val="00F86A87"/>
    <w:rsid w:val="00F86C07"/>
    <w:rsid w:val="00F86FC8"/>
    <w:rsid w:val="00F87678"/>
    <w:rsid w:val="00F87A7C"/>
    <w:rsid w:val="00F90622"/>
    <w:rsid w:val="00F912FF"/>
    <w:rsid w:val="00F91577"/>
    <w:rsid w:val="00F91AC5"/>
    <w:rsid w:val="00F933AD"/>
    <w:rsid w:val="00F9431A"/>
    <w:rsid w:val="00F94CF3"/>
    <w:rsid w:val="00F957C9"/>
    <w:rsid w:val="00F96182"/>
    <w:rsid w:val="00F963DA"/>
    <w:rsid w:val="00F9643D"/>
    <w:rsid w:val="00F96646"/>
    <w:rsid w:val="00F967F7"/>
    <w:rsid w:val="00F969B9"/>
    <w:rsid w:val="00F973D4"/>
    <w:rsid w:val="00FA106A"/>
    <w:rsid w:val="00FA1EC5"/>
    <w:rsid w:val="00FA2240"/>
    <w:rsid w:val="00FA27B3"/>
    <w:rsid w:val="00FA5B44"/>
    <w:rsid w:val="00FA6223"/>
    <w:rsid w:val="00FA68B5"/>
    <w:rsid w:val="00FA711F"/>
    <w:rsid w:val="00FA7753"/>
    <w:rsid w:val="00FA77BD"/>
    <w:rsid w:val="00FB023F"/>
    <w:rsid w:val="00FB0560"/>
    <w:rsid w:val="00FB1834"/>
    <w:rsid w:val="00FB188E"/>
    <w:rsid w:val="00FB20FB"/>
    <w:rsid w:val="00FB21C9"/>
    <w:rsid w:val="00FB240E"/>
    <w:rsid w:val="00FB280F"/>
    <w:rsid w:val="00FB3415"/>
    <w:rsid w:val="00FB35FD"/>
    <w:rsid w:val="00FB416C"/>
    <w:rsid w:val="00FB44B4"/>
    <w:rsid w:val="00FB5009"/>
    <w:rsid w:val="00FB5309"/>
    <w:rsid w:val="00FB536C"/>
    <w:rsid w:val="00FB5814"/>
    <w:rsid w:val="00FB645F"/>
    <w:rsid w:val="00FB6F5B"/>
    <w:rsid w:val="00FB791F"/>
    <w:rsid w:val="00FB7943"/>
    <w:rsid w:val="00FB7C6D"/>
    <w:rsid w:val="00FB7F47"/>
    <w:rsid w:val="00FC0C9A"/>
    <w:rsid w:val="00FC1B2C"/>
    <w:rsid w:val="00FC2034"/>
    <w:rsid w:val="00FC247E"/>
    <w:rsid w:val="00FC24E9"/>
    <w:rsid w:val="00FC251E"/>
    <w:rsid w:val="00FC2C6F"/>
    <w:rsid w:val="00FC2DF9"/>
    <w:rsid w:val="00FC317E"/>
    <w:rsid w:val="00FC3FA0"/>
    <w:rsid w:val="00FC49E2"/>
    <w:rsid w:val="00FC4C5F"/>
    <w:rsid w:val="00FC503A"/>
    <w:rsid w:val="00FC58F4"/>
    <w:rsid w:val="00FC6D9B"/>
    <w:rsid w:val="00FC74D0"/>
    <w:rsid w:val="00FC7517"/>
    <w:rsid w:val="00FC799F"/>
    <w:rsid w:val="00FD0020"/>
    <w:rsid w:val="00FD007A"/>
    <w:rsid w:val="00FD071E"/>
    <w:rsid w:val="00FD11D9"/>
    <w:rsid w:val="00FD11F8"/>
    <w:rsid w:val="00FD1613"/>
    <w:rsid w:val="00FD18ED"/>
    <w:rsid w:val="00FD1B7C"/>
    <w:rsid w:val="00FD335A"/>
    <w:rsid w:val="00FD36F8"/>
    <w:rsid w:val="00FD3A87"/>
    <w:rsid w:val="00FD3E09"/>
    <w:rsid w:val="00FD3F57"/>
    <w:rsid w:val="00FD4326"/>
    <w:rsid w:val="00FD4BC6"/>
    <w:rsid w:val="00FD54D1"/>
    <w:rsid w:val="00FD56DD"/>
    <w:rsid w:val="00FD5C7D"/>
    <w:rsid w:val="00FD6A99"/>
    <w:rsid w:val="00FD6EFD"/>
    <w:rsid w:val="00FD70DF"/>
    <w:rsid w:val="00FE084A"/>
    <w:rsid w:val="00FE098C"/>
    <w:rsid w:val="00FE0AF5"/>
    <w:rsid w:val="00FE0BAC"/>
    <w:rsid w:val="00FE0D21"/>
    <w:rsid w:val="00FE162B"/>
    <w:rsid w:val="00FE21E9"/>
    <w:rsid w:val="00FE28DD"/>
    <w:rsid w:val="00FE2D16"/>
    <w:rsid w:val="00FE31B2"/>
    <w:rsid w:val="00FE3665"/>
    <w:rsid w:val="00FE3716"/>
    <w:rsid w:val="00FE3D20"/>
    <w:rsid w:val="00FE4D74"/>
    <w:rsid w:val="00FE4FCE"/>
    <w:rsid w:val="00FE5172"/>
    <w:rsid w:val="00FE5355"/>
    <w:rsid w:val="00FE559F"/>
    <w:rsid w:val="00FE6B63"/>
    <w:rsid w:val="00FE6C1B"/>
    <w:rsid w:val="00FE7473"/>
    <w:rsid w:val="00FE77A6"/>
    <w:rsid w:val="00FE78C0"/>
    <w:rsid w:val="00FE7B51"/>
    <w:rsid w:val="00FE7E3F"/>
    <w:rsid w:val="00FE7EED"/>
    <w:rsid w:val="00FF032A"/>
    <w:rsid w:val="00FF0CD1"/>
    <w:rsid w:val="00FF0F4C"/>
    <w:rsid w:val="00FF2079"/>
    <w:rsid w:val="00FF2648"/>
    <w:rsid w:val="00FF2CF2"/>
    <w:rsid w:val="00FF33A9"/>
    <w:rsid w:val="00FF3582"/>
    <w:rsid w:val="00FF3907"/>
    <w:rsid w:val="00FF3BC9"/>
    <w:rsid w:val="00FF42B1"/>
    <w:rsid w:val="00FF4F68"/>
    <w:rsid w:val="00FF5044"/>
    <w:rsid w:val="00FF52DE"/>
    <w:rsid w:val="00FF565C"/>
    <w:rsid w:val="00FF5F0C"/>
    <w:rsid w:val="00FF601C"/>
    <w:rsid w:val="00FF61B2"/>
    <w:rsid w:val="00FF64BE"/>
    <w:rsid w:val="00FF70B5"/>
    <w:rsid w:val="00FF7189"/>
    <w:rsid w:val="00FF7721"/>
    <w:rsid w:val="00FF7B15"/>
    <w:rsid w:val="00FF7F30"/>
    <w:rsid w:val="011A11A4"/>
    <w:rsid w:val="014B5B44"/>
    <w:rsid w:val="018C5F7F"/>
    <w:rsid w:val="01BE4069"/>
    <w:rsid w:val="01BE5800"/>
    <w:rsid w:val="01C66FA2"/>
    <w:rsid w:val="01E46F65"/>
    <w:rsid w:val="02E536DD"/>
    <w:rsid w:val="03F06C42"/>
    <w:rsid w:val="041B3357"/>
    <w:rsid w:val="04334135"/>
    <w:rsid w:val="04C34346"/>
    <w:rsid w:val="04E30437"/>
    <w:rsid w:val="05F41FAA"/>
    <w:rsid w:val="063A1C66"/>
    <w:rsid w:val="063B78DC"/>
    <w:rsid w:val="076E0F6D"/>
    <w:rsid w:val="07E84F31"/>
    <w:rsid w:val="0839529D"/>
    <w:rsid w:val="08A56D4F"/>
    <w:rsid w:val="08BB2B43"/>
    <w:rsid w:val="09974C33"/>
    <w:rsid w:val="09B82947"/>
    <w:rsid w:val="0A6B5FA5"/>
    <w:rsid w:val="0AB5719A"/>
    <w:rsid w:val="0B5A5032"/>
    <w:rsid w:val="0BF958C7"/>
    <w:rsid w:val="0C143CD0"/>
    <w:rsid w:val="0C395F54"/>
    <w:rsid w:val="0C3F3332"/>
    <w:rsid w:val="0C5A09A9"/>
    <w:rsid w:val="0CDB719E"/>
    <w:rsid w:val="0E0812B7"/>
    <w:rsid w:val="0EAB6A73"/>
    <w:rsid w:val="0F4D0707"/>
    <w:rsid w:val="0FBA2A45"/>
    <w:rsid w:val="0FC41654"/>
    <w:rsid w:val="0FDE7285"/>
    <w:rsid w:val="11280AE6"/>
    <w:rsid w:val="118C2ED5"/>
    <w:rsid w:val="11B83D31"/>
    <w:rsid w:val="123F6BB3"/>
    <w:rsid w:val="12795B29"/>
    <w:rsid w:val="12F62B63"/>
    <w:rsid w:val="131947E1"/>
    <w:rsid w:val="13696837"/>
    <w:rsid w:val="13B31AEC"/>
    <w:rsid w:val="13FE3FBA"/>
    <w:rsid w:val="140E1568"/>
    <w:rsid w:val="14404369"/>
    <w:rsid w:val="145A1B30"/>
    <w:rsid w:val="14930855"/>
    <w:rsid w:val="175D674F"/>
    <w:rsid w:val="17CD2550"/>
    <w:rsid w:val="18114189"/>
    <w:rsid w:val="18454928"/>
    <w:rsid w:val="187C6497"/>
    <w:rsid w:val="18F06F2D"/>
    <w:rsid w:val="19421A22"/>
    <w:rsid w:val="19AD7F51"/>
    <w:rsid w:val="19E46B61"/>
    <w:rsid w:val="1AB94245"/>
    <w:rsid w:val="1BA50D14"/>
    <w:rsid w:val="1BA677E7"/>
    <w:rsid w:val="1BAC0501"/>
    <w:rsid w:val="1BC81072"/>
    <w:rsid w:val="1C625D30"/>
    <w:rsid w:val="1C7671E3"/>
    <w:rsid w:val="1C777601"/>
    <w:rsid w:val="1C797204"/>
    <w:rsid w:val="1C8A493E"/>
    <w:rsid w:val="1C9E0249"/>
    <w:rsid w:val="1CCB6998"/>
    <w:rsid w:val="1CD6623F"/>
    <w:rsid w:val="1CF90898"/>
    <w:rsid w:val="1CFA0FE7"/>
    <w:rsid w:val="1D082136"/>
    <w:rsid w:val="1D0D31E0"/>
    <w:rsid w:val="1D1B1375"/>
    <w:rsid w:val="1D3E7F90"/>
    <w:rsid w:val="1D8C69C4"/>
    <w:rsid w:val="1DCD6699"/>
    <w:rsid w:val="1E1C7C6C"/>
    <w:rsid w:val="1E786F00"/>
    <w:rsid w:val="1F1F65F5"/>
    <w:rsid w:val="1F343C02"/>
    <w:rsid w:val="1FAC7E53"/>
    <w:rsid w:val="1FB7496C"/>
    <w:rsid w:val="1FC517F2"/>
    <w:rsid w:val="203E7119"/>
    <w:rsid w:val="20517FE3"/>
    <w:rsid w:val="205E17D1"/>
    <w:rsid w:val="20CE2C18"/>
    <w:rsid w:val="217C1DAF"/>
    <w:rsid w:val="218220DE"/>
    <w:rsid w:val="21D53029"/>
    <w:rsid w:val="22130B27"/>
    <w:rsid w:val="222C76C6"/>
    <w:rsid w:val="22466CF3"/>
    <w:rsid w:val="22A344E7"/>
    <w:rsid w:val="22DE3197"/>
    <w:rsid w:val="230E0741"/>
    <w:rsid w:val="23F63E16"/>
    <w:rsid w:val="243A32C2"/>
    <w:rsid w:val="25093A3B"/>
    <w:rsid w:val="25236D0D"/>
    <w:rsid w:val="252F645D"/>
    <w:rsid w:val="258858A9"/>
    <w:rsid w:val="259B2015"/>
    <w:rsid w:val="26757E2C"/>
    <w:rsid w:val="26790701"/>
    <w:rsid w:val="273508EE"/>
    <w:rsid w:val="27483692"/>
    <w:rsid w:val="276F6E45"/>
    <w:rsid w:val="278066D7"/>
    <w:rsid w:val="27827B0F"/>
    <w:rsid w:val="27886287"/>
    <w:rsid w:val="27F53526"/>
    <w:rsid w:val="27FA5E76"/>
    <w:rsid w:val="28690FE5"/>
    <w:rsid w:val="288E2BD2"/>
    <w:rsid w:val="28DC50AB"/>
    <w:rsid w:val="28E55271"/>
    <w:rsid w:val="2923374B"/>
    <w:rsid w:val="29946A38"/>
    <w:rsid w:val="29BD796F"/>
    <w:rsid w:val="29D83704"/>
    <w:rsid w:val="2AAC3644"/>
    <w:rsid w:val="2AD5731A"/>
    <w:rsid w:val="2B563448"/>
    <w:rsid w:val="2B8946FF"/>
    <w:rsid w:val="2BBB13C5"/>
    <w:rsid w:val="2C0A4741"/>
    <w:rsid w:val="2CF86E08"/>
    <w:rsid w:val="2D9B15EF"/>
    <w:rsid w:val="2E304308"/>
    <w:rsid w:val="2EB26D79"/>
    <w:rsid w:val="2F180BE3"/>
    <w:rsid w:val="2F7145F4"/>
    <w:rsid w:val="30580298"/>
    <w:rsid w:val="30646F90"/>
    <w:rsid w:val="30CB0402"/>
    <w:rsid w:val="31B059BE"/>
    <w:rsid w:val="31E26B4F"/>
    <w:rsid w:val="324D2681"/>
    <w:rsid w:val="328E7E27"/>
    <w:rsid w:val="32CC59DA"/>
    <w:rsid w:val="330B1488"/>
    <w:rsid w:val="333839CA"/>
    <w:rsid w:val="34457450"/>
    <w:rsid w:val="345346F9"/>
    <w:rsid w:val="35373F98"/>
    <w:rsid w:val="363B7932"/>
    <w:rsid w:val="36D15C2A"/>
    <w:rsid w:val="36FA4BBC"/>
    <w:rsid w:val="370337C1"/>
    <w:rsid w:val="371D61FE"/>
    <w:rsid w:val="374B5AC3"/>
    <w:rsid w:val="3793414D"/>
    <w:rsid w:val="38187E4F"/>
    <w:rsid w:val="3820445B"/>
    <w:rsid w:val="38210467"/>
    <w:rsid w:val="38401B73"/>
    <w:rsid w:val="384B1D2A"/>
    <w:rsid w:val="39496861"/>
    <w:rsid w:val="39780BBB"/>
    <w:rsid w:val="39D617F2"/>
    <w:rsid w:val="3A0844B9"/>
    <w:rsid w:val="3A1E77FC"/>
    <w:rsid w:val="3A8A1884"/>
    <w:rsid w:val="3AA107FF"/>
    <w:rsid w:val="3B731AB5"/>
    <w:rsid w:val="3B833738"/>
    <w:rsid w:val="3B874762"/>
    <w:rsid w:val="3BE463D9"/>
    <w:rsid w:val="3C2527C5"/>
    <w:rsid w:val="3D3F3F96"/>
    <w:rsid w:val="3D6F75C9"/>
    <w:rsid w:val="3DE90F01"/>
    <w:rsid w:val="3E266E35"/>
    <w:rsid w:val="3F014E8A"/>
    <w:rsid w:val="3F7F04D5"/>
    <w:rsid w:val="40A005F0"/>
    <w:rsid w:val="417E1386"/>
    <w:rsid w:val="422B6BF4"/>
    <w:rsid w:val="42347713"/>
    <w:rsid w:val="42654C09"/>
    <w:rsid w:val="43B00A8F"/>
    <w:rsid w:val="45511B47"/>
    <w:rsid w:val="45A15DDB"/>
    <w:rsid w:val="45B22926"/>
    <w:rsid w:val="45E37C00"/>
    <w:rsid w:val="4681712C"/>
    <w:rsid w:val="468B6718"/>
    <w:rsid w:val="473B23EB"/>
    <w:rsid w:val="47B32EAB"/>
    <w:rsid w:val="47C40E8C"/>
    <w:rsid w:val="481F156E"/>
    <w:rsid w:val="482A664E"/>
    <w:rsid w:val="48B1218F"/>
    <w:rsid w:val="48B14AB0"/>
    <w:rsid w:val="48D6123C"/>
    <w:rsid w:val="49150F51"/>
    <w:rsid w:val="49480BD4"/>
    <w:rsid w:val="499F04DF"/>
    <w:rsid w:val="49CB3BFF"/>
    <w:rsid w:val="4A2E50F5"/>
    <w:rsid w:val="4AA4619B"/>
    <w:rsid w:val="4B284D77"/>
    <w:rsid w:val="4BEC1507"/>
    <w:rsid w:val="4C5B334F"/>
    <w:rsid w:val="4CC91D6B"/>
    <w:rsid w:val="4CD363C9"/>
    <w:rsid w:val="4D7F6702"/>
    <w:rsid w:val="4F123950"/>
    <w:rsid w:val="4F134C73"/>
    <w:rsid w:val="50646C06"/>
    <w:rsid w:val="507519D9"/>
    <w:rsid w:val="50EC442B"/>
    <w:rsid w:val="52127D7D"/>
    <w:rsid w:val="52412A63"/>
    <w:rsid w:val="52DB291F"/>
    <w:rsid w:val="53763D4D"/>
    <w:rsid w:val="54135280"/>
    <w:rsid w:val="5526139C"/>
    <w:rsid w:val="552B2D26"/>
    <w:rsid w:val="554E1470"/>
    <w:rsid w:val="55986D51"/>
    <w:rsid w:val="55D42624"/>
    <w:rsid w:val="55DB4F23"/>
    <w:rsid w:val="56133CA0"/>
    <w:rsid w:val="56DD4ABD"/>
    <w:rsid w:val="5703231E"/>
    <w:rsid w:val="57116442"/>
    <w:rsid w:val="573D0CDB"/>
    <w:rsid w:val="578D3493"/>
    <w:rsid w:val="57FD1D82"/>
    <w:rsid w:val="586A7A45"/>
    <w:rsid w:val="588F7387"/>
    <w:rsid w:val="58914C8B"/>
    <w:rsid w:val="58E3423E"/>
    <w:rsid w:val="58F23ED5"/>
    <w:rsid w:val="593B5F4A"/>
    <w:rsid w:val="5956205C"/>
    <w:rsid w:val="59774744"/>
    <w:rsid w:val="599E6CB8"/>
    <w:rsid w:val="59C72015"/>
    <w:rsid w:val="59E031E2"/>
    <w:rsid w:val="5AA974E8"/>
    <w:rsid w:val="5B8340E7"/>
    <w:rsid w:val="5B8D0599"/>
    <w:rsid w:val="5B937814"/>
    <w:rsid w:val="5BA627EA"/>
    <w:rsid w:val="5BAA125C"/>
    <w:rsid w:val="5C6E79F1"/>
    <w:rsid w:val="5C8657B1"/>
    <w:rsid w:val="5CA73484"/>
    <w:rsid w:val="5CE5499C"/>
    <w:rsid w:val="5D77243C"/>
    <w:rsid w:val="5DBD16F0"/>
    <w:rsid w:val="5E2F13E4"/>
    <w:rsid w:val="5EC546B7"/>
    <w:rsid w:val="5EE01513"/>
    <w:rsid w:val="5FA9036D"/>
    <w:rsid w:val="5FE20A6A"/>
    <w:rsid w:val="5FE5609B"/>
    <w:rsid w:val="5FE80DF1"/>
    <w:rsid w:val="5FF57CCC"/>
    <w:rsid w:val="60394F33"/>
    <w:rsid w:val="607A028C"/>
    <w:rsid w:val="60F46D90"/>
    <w:rsid w:val="61904268"/>
    <w:rsid w:val="61922827"/>
    <w:rsid w:val="61985AAE"/>
    <w:rsid w:val="619B21A0"/>
    <w:rsid w:val="61C95215"/>
    <w:rsid w:val="620863D2"/>
    <w:rsid w:val="626058BD"/>
    <w:rsid w:val="62D70238"/>
    <w:rsid w:val="634E5810"/>
    <w:rsid w:val="63862B63"/>
    <w:rsid w:val="63A81226"/>
    <w:rsid w:val="63A85CAB"/>
    <w:rsid w:val="63E44C6E"/>
    <w:rsid w:val="647C485B"/>
    <w:rsid w:val="650A079C"/>
    <w:rsid w:val="651D2E62"/>
    <w:rsid w:val="65E5355A"/>
    <w:rsid w:val="674A3D4F"/>
    <w:rsid w:val="679006E0"/>
    <w:rsid w:val="6864772D"/>
    <w:rsid w:val="68BA7AE6"/>
    <w:rsid w:val="68BC6A3B"/>
    <w:rsid w:val="69A21BA5"/>
    <w:rsid w:val="6A121AD7"/>
    <w:rsid w:val="6A3C248C"/>
    <w:rsid w:val="6A7B6A1C"/>
    <w:rsid w:val="6AD23B35"/>
    <w:rsid w:val="6B385C9F"/>
    <w:rsid w:val="6C176453"/>
    <w:rsid w:val="6C3226C6"/>
    <w:rsid w:val="6C545FF5"/>
    <w:rsid w:val="6C591BE2"/>
    <w:rsid w:val="6D0C6D61"/>
    <w:rsid w:val="6DEB533E"/>
    <w:rsid w:val="6E0A4A26"/>
    <w:rsid w:val="6E5E1B6C"/>
    <w:rsid w:val="6EEF71D1"/>
    <w:rsid w:val="6F021A16"/>
    <w:rsid w:val="6F1D40CE"/>
    <w:rsid w:val="700D7F77"/>
    <w:rsid w:val="7051517A"/>
    <w:rsid w:val="70D85BD1"/>
    <w:rsid w:val="71003FE0"/>
    <w:rsid w:val="71124305"/>
    <w:rsid w:val="715B338A"/>
    <w:rsid w:val="716A7ADC"/>
    <w:rsid w:val="71DE2E53"/>
    <w:rsid w:val="72014278"/>
    <w:rsid w:val="721F39FF"/>
    <w:rsid w:val="72887B8E"/>
    <w:rsid w:val="729E121E"/>
    <w:rsid w:val="72CD0809"/>
    <w:rsid w:val="72E23A7A"/>
    <w:rsid w:val="72F6179B"/>
    <w:rsid w:val="738003CA"/>
    <w:rsid w:val="73C56EED"/>
    <w:rsid w:val="73F2038F"/>
    <w:rsid w:val="74B3343C"/>
    <w:rsid w:val="758D4AB4"/>
    <w:rsid w:val="75A569F5"/>
    <w:rsid w:val="75D12961"/>
    <w:rsid w:val="763B5101"/>
    <w:rsid w:val="765941C5"/>
    <w:rsid w:val="773B6CD4"/>
    <w:rsid w:val="77E30949"/>
    <w:rsid w:val="77F06BBC"/>
    <w:rsid w:val="77F16A53"/>
    <w:rsid w:val="783525A0"/>
    <w:rsid w:val="786F12BD"/>
    <w:rsid w:val="786F1AA9"/>
    <w:rsid w:val="7872551D"/>
    <w:rsid w:val="7920071D"/>
    <w:rsid w:val="79C52BC7"/>
    <w:rsid w:val="79C747F6"/>
    <w:rsid w:val="7A36659D"/>
    <w:rsid w:val="7A6027C1"/>
    <w:rsid w:val="7A854A12"/>
    <w:rsid w:val="7AE64955"/>
    <w:rsid w:val="7B237820"/>
    <w:rsid w:val="7B974622"/>
    <w:rsid w:val="7BDE67A2"/>
    <w:rsid w:val="7D4E72F0"/>
    <w:rsid w:val="7DA34510"/>
    <w:rsid w:val="7E9219F9"/>
    <w:rsid w:val="7EB50A4D"/>
    <w:rsid w:val="7EF87B3E"/>
    <w:rsid w:val="7F1144F9"/>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0"/>
    <w:qFormat/>
    <w:uiPriority w:val="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59"/>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1"/>
    <w:qFormat/>
    <w:uiPriority w:val="0"/>
    <w:pPr>
      <w:keepNext/>
      <w:keepLines/>
      <w:spacing w:before="260" w:beforeLines="0" w:after="260" w:afterLines="0" w:line="413" w:lineRule="auto"/>
      <w:outlineLvl w:val="2"/>
    </w:pPr>
    <w:rPr>
      <w:b/>
      <w:bCs/>
      <w:sz w:val="32"/>
      <w:szCs w:val="32"/>
    </w:rPr>
  </w:style>
  <w:style w:type="paragraph" w:styleId="5">
    <w:name w:val="heading 4"/>
    <w:basedOn w:val="1"/>
    <w:next w:val="1"/>
    <w:link w:val="62"/>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3"/>
    <w:qFormat/>
    <w:uiPriority w:val="0"/>
    <w:pPr>
      <w:keepNext/>
      <w:keepLines/>
      <w:spacing w:before="280" w:after="290" w:line="372" w:lineRule="auto"/>
      <w:outlineLvl w:val="4"/>
    </w:pPr>
    <w:rPr>
      <w:b/>
      <w:sz w:val="28"/>
    </w:rPr>
  </w:style>
  <w:style w:type="paragraph" w:styleId="8">
    <w:name w:val="heading 6"/>
    <w:basedOn w:val="1"/>
    <w:next w:val="7"/>
    <w:link w:val="64"/>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5"/>
    <w:qFormat/>
    <w:uiPriority w:val="0"/>
    <w:pPr>
      <w:keepNext/>
      <w:keepLines/>
      <w:spacing w:before="240" w:after="64" w:line="317" w:lineRule="auto"/>
      <w:outlineLvl w:val="6"/>
    </w:pPr>
    <w:rPr>
      <w:b/>
      <w:sz w:val="24"/>
    </w:rPr>
  </w:style>
  <w:style w:type="paragraph" w:styleId="10">
    <w:name w:val="heading 8"/>
    <w:basedOn w:val="1"/>
    <w:next w:val="7"/>
    <w:link w:val="66"/>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67"/>
    <w:qFormat/>
    <w:uiPriority w:val="0"/>
    <w:pPr>
      <w:keepNext/>
      <w:keepLines/>
      <w:spacing w:before="240" w:after="64" w:line="317" w:lineRule="auto"/>
      <w:outlineLvl w:val="8"/>
    </w:pPr>
    <w:rPr>
      <w:rFonts w:ascii="Arial" w:hAnsi="Arial" w:eastAsia="黑体"/>
    </w:rPr>
  </w:style>
  <w:style w:type="character" w:default="1" w:styleId="53">
    <w:name w:val="Default Paragraph Font"/>
    <w:qFormat/>
    <w:uiPriority w:val="0"/>
  </w:style>
  <w:style w:type="table" w:default="1" w:styleId="51">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beforeLines="0" w:after="160" w:afterLines="0"/>
    </w:pPr>
    <w:rPr>
      <w:rFonts w:ascii="Arial" w:hAnsi="Arial" w:eastAsia="黑体" w:cs="Arial"/>
      <w:sz w:val="20"/>
      <w:szCs w:val="20"/>
    </w:rPr>
  </w:style>
  <w:style w:type="paragraph" w:styleId="16">
    <w:name w:val="Document Map"/>
    <w:basedOn w:val="1"/>
    <w:link w:val="68"/>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69"/>
    <w:qFormat/>
    <w:uiPriority w:val="0"/>
    <w:pPr>
      <w:jc w:val="left"/>
    </w:pPr>
  </w:style>
  <w:style w:type="paragraph" w:styleId="18">
    <w:name w:val="Body Text 3"/>
    <w:basedOn w:val="1"/>
    <w:link w:val="70"/>
    <w:qFormat/>
    <w:uiPriority w:val="0"/>
    <w:pPr>
      <w:spacing w:line="500" w:lineRule="exact"/>
    </w:pPr>
    <w:rPr>
      <w:b/>
      <w:bCs/>
      <w:sz w:val="24"/>
    </w:rPr>
  </w:style>
  <w:style w:type="paragraph" w:styleId="19">
    <w:name w:val="Body Text"/>
    <w:basedOn w:val="1"/>
    <w:link w:val="71"/>
    <w:qFormat/>
    <w:uiPriority w:val="0"/>
    <w:pPr>
      <w:spacing w:line="380" w:lineRule="exact"/>
    </w:pPr>
    <w:rPr>
      <w:sz w:val="24"/>
    </w:rPr>
  </w:style>
  <w:style w:type="paragraph" w:styleId="20">
    <w:name w:val="Body Text Indent"/>
    <w:basedOn w:val="1"/>
    <w:link w:val="72"/>
    <w:qFormat/>
    <w:uiPriority w:val="0"/>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link w:val="73"/>
    <w:qFormat/>
    <w:uiPriority w:val="0"/>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74"/>
    <w:qFormat/>
    <w:uiPriority w:val="0"/>
    <w:pPr>
      <w:ind w:left="100" w:leftChars="2500"/>
    </w:pPr>
    <w:rPr>
      <w:rFonts w:ascii="宋体" w:hAnsi="Courier New"/>
      <w:szCs w:val="21"/>
    </w:rPr>
  </w:style>
  <w:style w:type="paragraph" w:styleId="29">
    <w:name w:val="Body Text Indent 2"/>
    <w:basedOn w:val="1"/>
    <w:link w:val="75"/>
    <w:qFormat/>
    <w:uiPriority w:val="0"/>
    <w:pPr>
      <w:ind w:firstLine="630"/>
    </w:pPr>
    <w:rPr>
      <w:sz w:val="32"/>
      <w:szCs w:val="20"/>
    </w:rPr>
  </w:style>
  <w:style w:type="paragraph" w:styleId="30">
    <w:name w:val="Balloon Text"/>
    <w:basedOn w:val="1"/>
    <w:link w:val="76"/>
    <w:qFormat/>
    <w:uiPriority w:val="0"/>
    <w:rPr>
      <w:sz w:val="18"/>
      <w:szCs w:val="18"/>
    </w:rPr>
  </w:style>
  <w:style w:type="paragraph" w:styleId="31">
    <w:name w:val="footer"/>
    <w:basedOn w:val="1"/>
    <w:link w:val="77"/>
    <w:qFormat/>
    <w:uiPriority w:val="0"/>
    <w:pPr>
      <w:tabs>
        <w:tab w:val="center" w:pos="4153"/>
        <w:tab w:val="right" w:pos="8306"/>
      </w:tabs>
      <w:snapToGrid w:val="0"/>
      <w:jc w:val="left"/>
    </w:pPr>
    <w:rPr>
      <w:sz w:val="18"/>
      <w:szCs w:val="18"/>
    </w:rPr>
  </w:style>
  <w:style w:type="paragraph" w:styleId="32">
    <w:name w:val="header"/>
    <w:basedOn w:val="1"/>
    <w:link w:val="78"/>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79"/>
    <w:qFormat/>
    <w:uiPriority w:val="0"/>
    <w:pPr>
      <w:spacing w:after="120" w:afterLines="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0"/>
    <w:qFormat/>
    <w:uiPriority w:val="0"/>
    <w:pPr>
      <w:spacing w:after="120" w:afterLines="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afterLines="0"/>
      <w:ind w:left="840" w:leftChars="400"/>
    </w:pPr>
  </w:style>
  <w:style w:type="paragraph" w:styleId="44">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82"/>
    <w:qFormat/>
    <w:uiPriority w:val="0"/>
    <w:pPr>
      <w:jc w:val="center"/>
    </w:pPr>
    <w:rPr>
      <w:sz w:val="30"/>
    </w:rPr>
  </w:style>
  <w:style w:type="paragraph" w:styleId="48">
    <w:name w:val="annotation subject"/>
    <w:basedOn w:val="17"/>
    <w:next w:val="17"/>
    <w:link w:val="83"/>
    <w:qFormat/>
    <w:uiPriority w:val="0"/>
    <w:rPr>
      <w:b/>
      <w:bCs/>
    </w:rPr>
  </w:style>
  <w:style w:type="paragraph" w:styleId="49">
    <w:name w:val="Body Text First Indent"/>
    <w:basedOn w:val="19"/>
    <w:link w:val="84"/>
    <w:qFormat/>
    <w:uiPriority w:val="0"/>
    <w:pPr>
      <w:spacing w:after="120" w:afterLines="0" w:line="240" w:lineRule="auto"/>
      <w:ind w:firstLine="420" w:firstLineChars="100"/>
    </w:pPr>
    <w:rPr>
      <w:sz w:val="21"/>
    </w:rPr>
  </w:style>
  <w:style w:type="paragraph" w:styleId="50">
    <w:name w:val="Body Text First Indent 2"/>
    <w:basedOn w:val="20"/>
    <w:link w:val="85"/>
    <w:qFormat/>
    <w:uiPriority w:val="0"/>
    <w:pPr>
      <w:spacing w:after="120" w:afterLines="0"/>
      <w:ind w:left="420" w:leftChars="200" w:firstLine="420" w:firstLineChars="200"/>
    </w:pPr>
    <w:rPr>
      <w:rFonts w:ascii="Times New Roman" w:eastAsia="宋体"/>
      <w:sz w:val="21"/>
      <w:szCs w:val="24"/>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2 Char"/>
    <w:link w:val="3"/>
    <w:qFormat/>
    <w:uiPriority w:val="0"/>
    <w:rPr>
      <w:rFonts w:ascii="Arial" w:hAnsi="Arial" w:eastAsia="黑体"/>
      <w:b/>
      <w:bCs/>
      <w:kern w:val="2"/>
      <w:sz w:val="32"/>
      <w:szCs w:val="32"/>
    </w:rPr>
  </w:style>
  <w:style w:type="character" w:customStyle="1" w:styleId="60">
    <w:name w:val="标题 1 Char"/>
    <w:link w:val="2"/>
    <w:qFormat/>
    <w:uiPriority w:val="9"/>
    <w:rPr>
      <w:rFonts w:eastAsia="宋体"/>
      <w:b/>
      <w:bCs/>
      <w:kern w:val="44"/>
      <w:sz w:val="44"/>
      <w:szCs w:val="44"/>
      <w:lang w:val="en-US" w:eastAsia="zh-CN" w:bidi="ar-SA"/>
    </w:rPr>
  </w:style>
  <w:style w:type="character" w:customStyle="1" w:styleId="61">
    <w:name w:val="标题 3 Char"/>
    <w:link w:val="4"/>
    <w:qFormat/>
    <w:uiPriority w:val="0"/>
    <w:rPr>
      <w:b/>
      <w:bCs/>
      <w:kern w:val="2"/>
      <w:sz w:val="32"/>
      <w:szCs w:val="32"/>
    </w:rPr>
  </w:style>
  <w:style w:type="character" w:customStyle="1" w:styleId="62">
    <w:name w:val="标题 4 Char"/>
    <w:link w:val="5"/>
    <w:qFormat/>
    <w:uiPriority w:val="0"/>
    <w:rPr>
      <w:rFonts w:ascii="Arial" w:hAnsi="Arial" w:eastAsia="黑体"/>
      <w:sz w:val="28"/>
    </w:rPr>
  </w:style>
  <w:style w:type="character" w:customStyle="1" w:styleId="63">
    <w:name w:val="标题 5 Char"/>
    <w:link w:val="6"/>
    <w:qFormat/>
    <w:uiPriority w:val="0"/>
    <w:rPr>
      <w:b/>
      <w:kern w:val="2"/>
      <w:sz w:val="28"/>
      <w:szCs w:val="24"/>
    </w:rPr>
  </w:style>
  <w:style w:type="character" w:customStyle="1" w:styleId="64">
    <w:name w:val="标题 6 Char"/>
    <w:link w:val="8"/>
    <w:qFormat/>
    <w:uiPriority w:val="0"/>
    <w:rPr>
      <w:rFonts w:ascii="Arial" w:hAnsi="Arial" w:eastAsia="黑体"/>
      <w:b/>
      <w:kern w:val="2"/>
      <w:sz w:val="24"/>
      <w:szCs w:val="24"/>
    </w:rPr>
  </w:style>
  <w:style w:type="character" w:customStyle="1" w:styleId="65">
    <w:name w:val="标题 7 Char"/>
    <w:link w:val="9"/>
    <w:qFormat/>
    <w:uiPriority w:val="0"/>
    <w:rPr>
      <w:b/>
      <w:kern w:val="2"/>
      <w:sz w:val="24"/>
      <w:szCs w:val="24"/>
    </w:rPr>
  </w:style>
  <w:style w:type="character" w:customStyle="1" w:styleId="66">
    <w:name w:val="标题 8 Char"/>
    <w:link w:val="10"/>
    <w:qFormat/>
    <w:uiPriority w:val="0"/>
    <w:rPr>
      <w:rFonts w:ascii="Arial" w:hAnsi="Arial" w:eastAsia="黑体"/>
      <w:kern w:val="2"/>
      <w:sz w:val="24"/>
      <w:szCs w:val="24"/>
    </w:rPr>
  </w:style>
  <w:style w:type="character" w:customStyle="1" w:styleId="67">
    <w:name w:val="标题 9 Char"/>
    <w:link w:val="11"/>
    <w:qFormat/>
    <w:uiPriority w:val="0"/>
    <w:rPr>
      <w:rFonts w:ascii="Arial" w:hAnsi="Arial" w:eastAsia="黑体"/>
      <w:kern w:val="2"/>
      <w:sz w:val="21"/>
      <w:szCs w:val="24"/>
    </w:rPr>
  </w:style>
  <w:style w:type="character" w:customStyle="1" w:styleId="68">
    <w:name w:val="文档结构图 Char"/>
    <w:link w:val="16"/>
    <w:qFormat/>
    <w:uiPriority w:val="0"/>
    <w:rPr>
      <w:sz w:val="21"/>
      <w:shd w:val="clear" w:color="auto" w:fill="000080"/>
    </w:rPr>
  </w:style>
  <w:style w:type="character" w:customStyle="1" w:styleId="69">
    <w:name w:val="批注文字 Char"/>
    <w:link w:val="17"/>
    <w:qFormat/>
    <w:uiPriority w:val="0"/>
    <w:rPr>
      <w:kern w:val="2"/>
      <w:sz w:val="21"/>
      <w:szCs w:val="24"/>
    </w:rPr>
  </w:style>
  <w:style w:type="character" w:customStyle="1" w:styleId="70">
    <w:name w:val="正文文本 3 Char"/>
    <w:link w:val="18"/>
    <w:qFormat/>
    <w:uiPriority w:val="0"/>
    <w:rPr>
      <w:b/>
      <w:bCs/>
      <w:kern w:val="2"/>
      <w:sz w:val="24"/>
      <w:szCs w:val="24"/>
    </w:rPr>
  </w:style>
  <w:style w:type="character" w:customStyle="1" w:styleId="71">
    <w:name w:val="正文文本 Char"/>
    <w:link w:val="19"/>
    <w:qFormat/>
    <w:uiPriority w:val="99"/>
    <w:rPr>
      <w:kern w:val="2"/>
      <w:sz w:val="24"/>
      <w:szCs w:val="24"/>
    </w:rPr>
  </w:style>
  <w:style w:type="character" w:customStyle="1" w:styleId="72">
    <w:name w:val="正文文本缩进 Char"/>
    <w:link w:val="20"/>
    <w:qFormat/>
    <w:uiPriority w:val="99"/>
    <w:rPr>
      <w:rFonts w:ascii="仿宋_GB2312" w:eastAsia="仿宋_GB2312"/>
      <w:kern w:val="2"/>
      <w:sz w:val="32"/>
    </w:rPr>
  </w:style>
  <w:style w:type="character" w:customStyle="1" w:styleId="73">
    <w:name w:val="纯文本 Char"/>
    <w:link w:val="26"/>
    <w:qFormat/>
    <w:uiPriority w:val="99"/>
    <w:rPr>
      <w:rFonts w:ascii="宋体" w:hAnsi="Courier New" w:eastAsia="宋体" w:cs="Courier New"/>
      <w:kern w:val="2"/>
      <w:sz w:val="21"/>
      <w:szCs w:val="21"/>
      <w:lang w:val="en-US" w:eastAsia="zh-CN" w:bidi="ar-SA"/>
    </w:rPr>
  </w:style>
  <w:style w:type="character" w:customStyle="1" w:styleId="74">
    <w:name w:val="日期 Char"/>
    <w:link w:val="28"/>
    <w:qFormat/>
    <w:uiPriority w:val="0"/>
    <w:rPr>
      <w:rFonts w:ascii="宋体" w:hAnsi="Courier New" w:cs="Courier New"/>
      <w:kern w:val="2"/>
      <w:sz w:val="21"/>
      <w:szCs w:val="21"/>
    </w:rPr>
  </w:style>
  <w:style w:type="character" w:customStyle="1" w:styleId="75">
    <w:name w:val="正文文本缩进 2 Char"/>
    <w:link w:val="29"/>
    <w:qFormat/>
    <w:uiPriority w:val="0"/>
    <w:rPr>
      <w:kern w:val="2"/>
      <w:sz w:val="32"/>
    </w:rPr>
  </w:style>
  <w:style w:type="character" w:customStyle="1" w:styleId="76">
    <w:name w:val="批注框文本 Char"/>
    <w:link w:val="30"/>
    <w:qFormat/>
    <w:uiPriority w:val="0"/>
    <w:rPr>
      <w:kern w:val="2"/>
      <w:sz w:val="18"/>
      <w:szCs w:val="18"/>
    </w:rPr>
  </w:style>
  <w:style w:type="character" w:customStyle="1" w:styleId="77">
    <w:name w:val="页脚 Char"/>
    <w:link w:val="31"/>
    <w:qFormat/>
    <w:uiPriority w:val="0"/>
    <w:rPr>
      <w:kern w:val="2"/>
      <w:sz w:val="18"/>
      <w:szCs w:val="18"/>
    </w:rPr>
  </w:style>
  <w:style w:type="character" w:customStyle="1" w:styleId="78">
    <w:name w:val="页眉 Char"/>
    <w:link w:val="32"/>
    <w:qFormat/>
    <w:uiPriority w:val="99"/>
    <w:rPr>
      <w:kern w:val="2"/>
      <w:sz w:val="18"/>
      <w:szCs w:val="18"/>
    </w:rPr>
  </w:style>
  <w:style w:type="character" w:customStyle="1" w:styleId="79">
    <w:name w:val="正文文本缩进 3 Char"/>
    <w:link w:val="38"/>
    <w:qFormat/>
    <w:uiPriority w:val="0"/>
    <w:rPr>
      <w:kern w:val="2"/>
      <w:sz w:val="16"/>
      <w:szCs w:val="16"/>
    </w:rPr>
  </w:style>
  <w:style w:type="character" w:customStyle="1" w:styleId="80">
    <w:name w:val="正文文本 2 Char"/>
    <w:link w:val="41"/>
    <w:qFormat/>
    <w:uiPriority w:val="0"/>
    <w:rPr>
      <w:kern w:val="2"/>
      <w:sz w:val="21"/>
      <w:szCs w:val="24"/>
    </w:rPr>
  </w:style>
  <w:style w:type="character" w:customStyle="1" w:styleId="81">
    <w:name w:val="HTML 预设格式 Char"/>
    <w:link w:val="44"/>
    <w:qFormat/>
    <w:uiPriority w:val="0"/>
    <w:rPr>
      <w:rFonts w:ascii="黑体" w:hAnsi="Courier New" w:eastAsia="黑体" w:cs="Courier New"/>
    </w:rPr>
  </w:style>
  <w:style w:type="character" w:customStyle="1" w:styleId="82">
    <w:name w:val="标题 Char"/>
    <w:link w:val="47"/>
    <w:qFormat/>
    <w:uiPriority w:val="0"/>
    <w:rPr>
      <w:kern w:val="2"/>
      <w:sz w:val="30"/>
      <w:szCs w:val="24"/>
    </w:rPr>
  </w:style>
  <w:style w:type="character" w:customStyle="1" w:styleId="83">
    <w:name w:val="批注主题 Char"/>
    <w:link w:val="48"/>
    <w:qFormat/>
    <w:uiPriority w:val="0"/>
    <w:rPr>
      <w:b/>
      <w:bCs/>
      <w:kern w:val="2"/>
      <w:sz w:val="21"/>
      <w:szCs w:val="24"/>
    </w:rPr>
  </w:style>
  <w:style w:type="character" w:customStyle="1" w:styleId="84">
    <w:name w:val="正文首行缩进 Char"/>
    <w:link w:val="49"/>
    <w:qFormat/>
    <w:uiPriority w:val="0"/>
    <w:rPr>
      <w:kern w:val="2"/>
      <w:sz w:val="21"/>
      <w:szCs w:val="24"/>
    </w:rPr>
  </w:style>
  <w:style w:type="character" w:customStyle="1" w:styleId="85">
    <w:name w:val="正文首行缩进 2 Char"/>
    <w:link w:val="50"/>
    <w:qFormat/>
    <w:uiPriority w:val="0"/>
    <w:rPr>
      <w:kern w:val="2"/>
      <w:sz w:val="21"/>
      <w:szCs w:val="24"/>
    </w:rPr>
  </w:style>
  <w:style w:type="character" w:customStyle="1" w:styleId="86">
    <w:name w:val="white"/>
    <w:basedOn w:val="53"/>
    <w:qFormat/>
    <w:uiPriority w:val="0"/>
  </w:style>
  <w:style w:type="character" w:customStyle="1" w:styleId="87">
    <w:name w:val="style11"/>
    <w:qFormat/>
    <w:uiPriority w:val="0"/>
    <w:rPr>
      <w:rFonts w:hint="default" w:ascii="Arial" w:hAnsi="Arial" w:cs="Arial"/>
    </w:rPr>
  </w:style>
  <w:style w:type="character" w:customStyle="1" w:styleId="88">
    <w:name w:val="z-窗体顶端 Char"/>
    <w:link w:val="89"/>
    <w:qFormat/>
    <w:uiPriority w:val="0"/>
    <w:rPr>
      <w:rFonts w:ascii="Arial"/>
      <w:vanish/>
      <w:kern w:val="2"/>
      <w:sz w:val="16"/>
      <w:szCs w:val="24"/>
    </w:rPr>
  </w:style>
  <w:style w:type="paragraph" w:customStyle="1" w:styleId="89">
    <w:name w:val="_Style 88"/>
    <w:basedOn w:val="1"/>
    <w:next w:val="1"/>
    <w:link w:val="88"/>
    <w:qFormat/>
    <w:uiPriority w:val="0"/>
    <w:pPr>
      <w:pBdr>
        <w:bottom w:val="single" w:color="auto" w:sz="6" w:space="1"/>
      </w:pBdr>
      <w:jc w:val="center"/>
    </w:pPr>
    <w:rPr>
      <w:rFonts w:ascii="Arial"/>
      <w:vanish/>
      <w:sz w:val="16"/>
    </w:rPr>
  </w:style>
  <w:style w:type="character" w:customStyle="1" w:styleId="90">
    <w:name w:val="f151"/>
    <w:qFormat/>
    <w:uiPriority w:val="0"/>
    <w:rPr>
      <w:sz w:val="23"/>
      <w:szCs w:val="23"/>
    </w:rPr>
  </w:style>
  <w:style w:type="character" w:customStyle="1" w:styleId="91">
    <w:name w:val="1ji Char"/>
    <w:link w:val="92"/>
    <w:qFormat/>
    <w:uiPriority w:val="0"/>
    <w:rPr>
      <w:rFonts w:ascii="宋体" w:hAnsi="宋体" w:eastAsia="宋体"/>
      <w:b/>
      <w:bCs/>
      <w:kern w:val="44"/>
      <w:sz w:val="36"/>
      <w:szCs w:val="44"/>
      <w:lang w:val="en-US" w:eastAsia="zh-CN" w:bidi="ar-SA"/>
    </w:rPr>
  </w:style>
  <w:style w:type="paragraph" w:customStyle="1" w:styleId="92">
    <w:name w:val="1ji"/>
    <w:basedOn w:val="2"/>
    <w:link w:val="91"/>
    <w:qFormat/>
    <w:uiPriority w:val="0"/>
    <w:pPr>
      <w:keepLines w:val="0"/>
      <w:widowControl/>
      <w:spacing w:before="0" w:beforeLines="0" w:after="0" w:afterLines="0" w:line="240" w:lineRule="auto"/>
      <w:jc w:val="center"/>
    </w:pPr>
    <w:rPr>
      <w:rFonts w:ascii="宋体" w:hAnsi="宋体"/>
      <w:sz w:val="36"/>
    </w:rPr>
  </w:style>
  <w:style w:type="character" w:customStyle="1" w:styleId="93">
    <w:name w:val="apple-converted-space"/>
    <w:qFormat/>
    <w:uiPriority w:val="0"/>
  </w:style>
  <w:style w:type="character" w:customStyle="1" w:styleId="94">
    <w:name w:val="unnamed3"/>
    <w:basedOn w:val="53"/>
    <w:qFormat/>
    <w:uiPriority w:val="0"/>
  </w:style>
  <w:style w:type="character" w:customStyle="1" w:styleId="95">
    <w:name w:val="case31"/>
    <w:qFormat/>
    <w:uiPriority w:val="0"/>
    <w:rPr>
      <w:rFonts w:hint="default" w:ascii="_x000B__x000C_" w:hAnsi="_x000B__x000C_"/>
      <w:sz w:val="21"/>
      <w:szCs w:val="21"/>
    </w:rPr>
  </w:style>
  <w:style w:type="character" w:customStyle="1" w:styleId="96">
    <w:name w:val="gray12"/>
    <w:basedOn w:val="53"/>
    <w:qFormat/>
    <w:uiPriority w:val="0"/>
  </w:style>
  <w:style w:type="character" w:customStyle="1" w:styleId="97">
    <w:name w:val="text11"/>
    <w:qFormat/>
    <w:uiPriority w:val="0"/>
    <w:rPr>
      <w:rFonts w:hint="default" w:ascii="Verdana" w:hAnsi="Verdana"/>
      <w:color w:val="4E4E4E"/>
      <w:sz w:val="18"/>
      <w:szCs w:val="18"/>
    </w:rPr>
  </w:style>
  <w:style w:type="character" w:customStyle="1" w:styleId="98">
    <w:name w:val="style21"/>
    <w:qFormat/>
    <w:uiPriority w:val="0"/>
    <w:rPr>
      <w:sz w:val="17"/>
      <w:szCs w:val="17"/>
    </w:rPr>
  </w:style>
  <w:style w:type="character" w:customStyle="1" w:styleId="99">
    <w:name w:val="mark8"/>
    <w:qFormat/>
    <w:uiPriority w:val="0"/>
    <w:rPr>
      <w:b/>
      <w:bCs/>
      <w:sz w:val="21"/>
      <w:szCs w:val="21"/>
    </w:rPr>
  </w:style>
  <w:style w:type="character" w:customStyle="1" w:styleId="100">
    <w:name w:val="font01"/>
    <w:qFormat/>
    <w:uiPriority w:val="0"/>
    <w:rPr>
      <w:rFonts w:hint="eastAsia" w:ascii="宋体" w:hAnsi="宋体" w:eastAsia="宋体"/>
      <w:color w:val="000000"/>
      <w:sz w:val="22"/>
      <w:szCs w:val="22"/>
      <w:u w:val="none"/>
    </w:rPr>
  </w:style>
  <w:style w:type="character" w:customStyle="1" w:styleId="101">
    <w:name w:val="content2"/>
    <w:basedOn w:val="53"/>
    <w:qFormat/>
    <w:uiPriority w:val="0"/>
  </w:style>
  <w:style w:type="character" w:customStyle="1" w:styleId="102">
    <w:name w:val="1051"/>
    <w:qFormat/>
    <w:uiPriority w:val="0"/>
    <w:rPr>
      <w:sz w:val="21"/>
      <w:szCs w:val="21"/>
    </w:rPr>
  </w:style>
  <w:style w:type="character" w:customStyle="1" w:styleId="103">
    <w:name w:val="062"/>
    <w:qFormat/>
    <w:uiPriority w:val="0"/>
    <w:rPr>
      <w:rFonts w:ascii="宋体" w:hAnsi="宋体"/>
      <w:b/>
      <w:bCs/>
      <w:sz w:val="32"/>
    </w:rPr>
  </w:style>
  <w:style w:type="character" w:customStyle="1" w:styleId="104">
    <w:name w:val="标题3 Char"/>
    <w:link w:val="105"/>
    <w:qFormat/>
    <w:uiPriority w:val="0"/>
    <w:rPr>
      <w:rFonts w:ascii="宋体" w:hAnsi="宋体"/>
      <w:b/>
      <w:bCs/>
      <w:kern w:val="44"/>
      <w:sz w:val="24"/>
      <w:szCs w:val="24"/>
    </w:rPr>
  </w:style>
  <w:style w:type="paragraph" w:customStyle="1" w:styleId="105">
    <w:name w:val="标题3"/>
    <w:basedOn w:val="2"/>
    <w:link w:val="104"/>
    <w:qFormat/>
    <w:uiPriority w:val="0"/>
    <w:pPr>
      <w:spacing w:before="0" w:beforeLines="50" w:after="0" w:afterLines="50" w:line="400" w:lineRule="exact"/>
    </w:pPr>
    <w:rPr>
      <w:rFonts w:ascii="宋体" w:hAnsi="宋体"/>
      <w:sz w:val="24"/>
      <w:szCs w:val="24"/>
    </w:rPr>
  </w:style>
  <w:style w:type="character" w:customStyle="1" w:styleId="106">
    <w:name w:val="small"/>
    <w:basedOn w:val="53"/>
    <w:qFormat/>
    <w:uiPriority w:val="0"/>
  </w:style>
  <w:style w:type="character" w:customStyle="1" w:styleId="107">
    <w:name w:val="纯文本 Char1"/>
    <w:qFormat/>
    <w:uiPriority w:val="0"/>
    <w:rPr>
      <w:rFonts w:ascii="宋体" w:hAnsi="Courier New" w:eastAsia="宋体" w:cs="Courier New"/>
      <w:kern w:val="2"/>
      <w:sz w:val="21"/>
      <w:szCs w:val="21"/>
      <w:lang w:val="en-US" w:eastAsia="zh-CN" w:bidi="ar-SA"/>
    </w:rPr>
  </w:style>
  <w:style w:type="character" w:customStyle="1" w:styleId="108">
    <w:name w:val="short_text1"/>
    <w:qFormat/>
    <w:uiPriority w:val="0"/>
    <w:rPr>
      <w:sz w:val="26"/>
    </w:rPr>
  </w:style>
  <w:style w:type="character" w:customStyle="1" w:styleId="109">
    <w:name w:val="graytext1"/>
    <w:qFormat/>
    <w:uiPriority w:val="0"/>
    <w:rPr>
      <w:color w:val="666666"/>
    </w:rPr>
  </w:style>
  <w:style w:type="paragraph" w:customStyle="1" w:styleId="110">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11">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1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14">
    <w:name w:val="样式 首行缩进:  2 字符"/>
    <w:basedOn w:val="1"/>
    <w:qFormat/>
    <w:uiPriority w:val="0"/>
    <w:pPr>
      <w:spacing w:line="400" w:lineRule="exact"/>
      <w:ind w:firstLine="200" w:firstLineChars="200"/>
    </w:pPr>
    <w:rPr>
      <w:rFonts w:cs="宋体"/>
      <w:sz w:val="24"/>
    </w:rPr>
  </w:style>
  <w:style w:type="paragraph" w:customStyle="1" w:styleId="115">
    <w:name w:val="_Style 114"/>
    <w:unhideWhenUsed/>
    <w:qFormat/>
    <w:uiPriority w:val="99"/>
    <w:rPr>
      <w:rFonts w:ascii="Times New Roman" w:hAnsi="Times New Roman" w:eastAsia="宋体" w:cs="Times New Roman"/>
      <w:kern w:val="2"/>
      <w:sz w:val="21"/>
      <w:szCs w:val="24"/>
      <w:lang w:val="en-US" w:eastAsia="zh-CN" w:bidi="ar-SA"/>
    </w:rPr>
  </w:style>
  <w:style w:type="paragraph" w:customStyle="1" w:styleId="116">
    <w:name w:val="_Style 115"/>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styleId="117">
    <w:name w:val="List Paragraph"/>
    <w:basedOn w:val="1"/>
    <w:qFormat/>
    <w:uiPriority w:val="99"/>
    <w:pPr>
      <w:ind w:firstLine="420" w:firstLineChars="200"/>
    </w:pPr>
    <w:rPr>
      <w:rFonts w:ascii="Calibri" w:hAnsi="Calibri"/>
      <w:szCs w:val="22"/>
    </w:rPr>
  </w:style>
  <w:style w:type="paragraph" w:customStyle="1" w:styleId="118">
    <w:name w:val="缺省文本"/>
    <w:basedOn w:val="1"/>
    <w:qFormat/>
    <w:uiPriority w:val="0"/>
    <w:pPr>
      <w:autoSpaceDE w:val="0"/>
      <w:autoSpaceDN w:val="0"/>
      <w:adjustRightInd w:val="0"/>
      <w:spacing w:line="360" w:lineRule="auto"/>
      <w:jc w:val="left"/>
    </w:pPr>
    <w:rPr>
      <w:kern w:val="0"/>
      <w:sz w:val="24"/>
      <w:szCs w:val="20"/>
    </w:rPr>
  </w:style>
  <w:style w:type="paragraph" w:customStyle="1" w:styleId="119">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0">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23">
    <w:name w:val="Char1"/>
    <w:basedOn w:val="1"/>
    <w:qFormat/>
    <w:uiPriority w:val="0"/>
    <w:rPr>
      <w:szCs w:val="21"/>
    </w:rPr>
  </w:style>
  <w:style w:type="paragraph" w:customStyle="1" w:styleId="124">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5">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6">
    <w:name w:val="正文首行缩进两字符"/>
    <w:basedOn w:val="1"/>
    <w:qFormat/>
    <w:uiPriority w:val="0"/>
    <w:pPr>
      <w:spacing w:line="360" w:lineRule="auto"/>
      <w:ind w:firstLine="200" w:firstLineChars="200"/>
    </w:pPr>
  </w:style>
  <w:style w:type="paragraph" w:customStyle="1" w:styleId="127">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2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29">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0">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31">
    <w:name w:val="Char Char Char"/>
    <w:basedOn w:val="1"/>
    <w:qFormat/>
    <w:uiPriority w:val="0"/>
    <w:rPr>
      <w:rFonts w:ascii="Tahoma" w:hAnsi="Tahoma"/>
      <w:sz w:val="24"/>
      <w:szCs w:val="20"/>
    </w:rPr>
  </w:style>
  <w:style w:type="paragraph" w:customStyle="1" w:styleId="132">
    <w:name w:val="表格"/>
    <w:basedOn w:val="1"/>
    <w:qFormat/>
    <w:uiPriority w:val="0"/>
    <w:pPr>
      <w:spacing w:line="400" w:lineRule="exact"/>
    </w:pPr>
    <w:rPr>
      <w:sz w:val="24"/>
    </w:rPr>
  </w:style>
  <w:style w:type="paragraph" w:customStyle="1" w:styleId="1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4">
    <w:name w:val=" Char Char Char Char Char Char Char"/>
    <w:basedOn w:val="1"/>
    <w:qFormat/>
    <w:uiPriority w:val="0"/>
  </w:style>
  <w:style w:type="paragraph" w:customStyle="1" w:styleId="135">
    <w:name w:val=" Char"/>
    <w:basedOn w:val="1"/>
    <w:qFormat/>
    <w:uiPriority w:val="0"/>
    <w:pPr>
      <w:tabs>
        <w:tab w:val="left" w:pos="360"/>
      </w:tabs>
      <w:ind w:left="252" w:hanging="252" w:hangingChars="140"/>
    </w:pPr>
    <w:rPr>
      <w:rFonts w:ascii="宋体"/>
      <w:sz w:val="18"/>
      <w:szCs w:val="18"/>
    </w:rPr>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0"/>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0"/>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0">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1">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2">
    <w:name w:val="F2"/>
    <w:basedOn w:val="1"/>
    <w:qFormat/>
    <w:uiPriority w:val="0"/>
    <w:pPr>
      <w:autoSpaceDE w:val="0"/>
      <w:autoSpaceDN w:val="0"/>
      <w:adjustRightInd w:val="0"/>
      <w:ind w:firstLine="601"/>
      <w:textAlignment w:val="baseline"/>
    </w:pPr>
    <w:rPr>
      <w:kern w:val="0"/>
      <w:sz w:val="24"/>
      <w:szCs w:val="20"/>
    </w:rPr>
  </w:style>
  <w:style w:type="paragraph" w:customStyle="1" w:styleId="153">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4">
    <w:name w:val="List Paragraph1"/>
    <w:basedOn w:val="1"/>
    <w:qFormat/>
    <w:uiPriority w:val="0"/>
    <w:pPr>
      <w:ind w:firstLine="420" w:firstLineChars="200"/>
    </w:pPr>
    <w:rPr>
      <w:rFonts w:ascii="Calibri" w:hAnsi="Calibri"/>
      <w:szCs w:val="22"/>
    </w:rPr>
  </w:style>
  <w:style w:type="paragraph" w:customStyle="1" w:styleId="155">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6">
    <w:name w:val="默认段落字体 Para Char"/>
    <w:basedOn w:val="1"/>
    <w:qFormat/>
    <w:uiPriority w:val="0"/>
    <w:pPr>
      <w:adjustRightInd w:val="0"/>
      <w:spacing w:line="360" w:lineRule="auto"/>
    </w:pPr>
    <w:rPr>
      <w:kern w:val="0"/>
      <w:sz w:val="24"/>
      <w:szCs w:val="20"/>
    </w:rPr>
  </w:style>
  <w:style w:type="paragraph" w:customStyle="1" w:styleId="15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5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9">
    <w:name w:val="tgt1"/>
    <w:basedOn w:val="1"/>
    <w:qFormat/>
    <w:uiPriority w:val="0"/>
    <w:pPr>
      <w:widowControl/>
      <w:spacing w:after="150" w:afterLines="0"/>
      <w:jc w:val="left"/>
    </w:pPr>
    <w:rPr>
      <w:rFonts w:ascii="宋体" w:hAnsi="宋体" w:cs="宋体"/>
      <w:kern w:val="0"/>
      <w:sz w:val="24"/>
    </w:rPr>
  </w:style>
  <w:style w:type="paragraph" w:customStyle="1" w:styleId="160">
    <w:name w:val="正文段"/>
    <w:basedOn w:val="1"/>
    <w:qFormat/>
    <w:uiPriority w:val="0"/>
    <w:pPr>
      <w:widowControl/>
      <w:snapToGrid w:val="0"/>
      <w:spacing w:after="156" w:afterLines="50"/>
      <w:ind w:firstLine="200" w:firstLineChars="200"/>
    </w:pPr>
    <w:rPr>
      <w:kern w:val="0"/>
      <w:sz w:val="24"/>
      <w:szCs w:val="20"/>
    </w:rPr>
  </w:style>
  <w:style w:type="paragraph" w:customStyle="1" w:styleId="161">
    <w:name w:val="1"/>
    <w:basedOn w:val="1"/>
    <w:next w:val="26"/>
    <w:qFormat/>
    <w:uiPriority w:val="0"/>
    <w:rPr>
      <w:rFonts w:ascii="宋体" w:hAnsi="Courier New"/>
      <w:szCs w:val="20"/>
    </w:rPr>
  </w:style>
  <w:style w:type="paragraph" w:customStyle="1" w:styleId="162">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3">
    <w:name w:val="2-2ji"/>
    <w:basedOn w:val="3"/>
    <w:qFormat/>
    <w:uiPriority w:val="0"/>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4">
    <w:name w:val="444"/>
    <w:basedOn w:val="1"/>
    <w:qFormat/>
    <w:uiPriority w:val="0"/>
    <w:pPr>
      <w:adjustRightInd w:val="0"/>
      <w:spacing w:line="312" w:lineRule="atLeast"/>
      <w:jc w:val="center"/>
      <w:textAlignment w:val="baseline"/>
    </w:pPr>
    <w:rPr>
      <w:b/>
      <w:kern w:val="0"/>
      <w:sz w:val="36"/>
      <w:szCs w:val="36"/>
    </w:rPr>
  </w:style>
  <w:style w:type="character" w:customStyle="1" w:styleId="165">
    <w:name w:val="_Style 164"/>
    <w:unhideWhenUsed/>
    <w:qFormat/>
    <w:uiPriority w:val="99"/>
    <w:rPr>
      <w:color w:val="605E5C"/>
      <w:shd w:val="clear" w:color="auto" w:fill="E1DFDD"/>
    </w:rPr>
  </w:style>
  <w:style w:type="character" w:customStyle="1" w:styleId="166">
    <w:name w:val="批注文字 字符1"/>
    <w:qFormat/>
    <w:uiPriority w:val="0"/>
    <w:rPr>
      <w:kern w:val="2"/>
      <w:sz w:val="21"/>
      <w:szCs w:val="24"/>
    </w:rPr>
  </w:style>
  <w:style w:type="character" w:customStyle="1" w:styleId="167">
    <w:name w:val="纯文本 字符1"/>
    <w:qFormat/>
    <w:uiPriority w:val="99"/>
    <w:rPr>
      <w:rFonts w:ascii="宋体" w:hAnsi="Courier New" w:eastAsia="宋体" w:cs="Courier New"/>
      <w:kern w:val="2"/>
      <w:sz w:val="21"/>
      <w:szCs w:val="21"/>
      <w:lang w:val="en-US" w:eastAsia="zh-CN" w:bidi="ar-SA"/>
    </w:rPr>
  </w:style>
  <w:style w:type="character" w:customStyle="1" w:styleId="168">
    <w:name w:val="正文文本 字符1"/>
    <w:qFormat/>
    <w:uiPriority w:val="99"/>
    <w:rPr>
      <w:kern w:val="2"/>
      <w:sz w:val="24"/>
      <w:szCs w:val="24"/>
    </w:rPr>
  </w:style>
  <w:style w:type="paragraph" w:customStyle="1" w:styleId="169">
    <w:name w:val="正文-2字符首行缩进"/>
    <w:basedOn w:val="1"/>
    <w:link w:val="170"/>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0">
    <w:name w:val="正文-2字符首行缩进 Char"/>
    <w:link w:val="169"/>
    <w:qFormat/>
    <w:uiPriority w:val="0"/>
    <w:rPr>
      <w:rFonts w:ascii="仿宋_GB2312" w:hAnsi="Calibri" w:eastAsia="仿宋_GB2312"/>
      <w:sz w:val="28"/>
      <w:szCs w:val="22"/>
    </w:rPr>
  </w:style>
  <w:style w:type="character" w:customStyle="1" w:styleId="171">
    <w:name w:val="标题 5 字符"/>
    <w:semiHidden/>
    <w:qFormat/>
    <w:uiPriority w:val="9"/>
    <w:rPr>
      <w:b/>
      <w:bCs/>
      <w:kern w:val="2"/>
      <w:sz w:val="28"/>
      <w:szCs w:val="28"/>
    </w:rPr>
  </w:style>
  <w:style w:type="paragraph" w:customStyle="1" w:styleId="172">
    <w:name w:val="列出段落1"/>
    <w:basedOn w:val="1"/>
    <w:qFormat/>
    <w:uiPriority w:val="99"/>
    <w:pPr>
      <w:ind w:firstLine="420" w:firstLineChars="200"/>
    </w:pPr>
    <w:rPr>
      <w:rFonts w:ascii="等线" w:hAnsi="等线" w:eastAsia="等线" w:cs="Times New Roman"/>
    </w:rPr>
  </w:style>
  <w:style w:type="character" w:customStyle="1" w:styleId="173">
    <w:name w:val="标题 3 字符1"/>
    <w:qFormat/>
    <w:uiPriority w:val="0"/>
    <w:rPr>
      <w:b/>
      <w:bCs/>
      <w:kern w:val="2"/>
      <w:sz w:val="32"/>
      <w:szCs w:val="32"/>
    </w:rPr>
  </w:style>
  <w:style w:type="character" w:customStyle="1" w:styleId="174">
    <w:name w:val="正文文本 3 字符1"/>
    <w:qFormat/>
    <w:uiPriority w:val="0"/>
    <w:rPr>
      <w:b/>
      <w:bCs/>
      <w:kern w:val="2"/>
      <w:sz w:val="24"/>
      <w:szCs w:val="24"/>
    </w:rPr>
  </w:style>
  <w:style w:type="character" w:customStyle="1" w:styleId="175">
    <w:name w:val="正文文本缩进 字符1"/>
    <w:qFormat/>
    <w:uiPriority w:val="99"/>
    <w:rPr>
      <w:rFonts w:ascii="仿宋_GB2312" w:eastAsia="仿宋_GB2312"/>
      <w:kern w:val="2"/>
      <w:sz w:val="32"/>
    </w:rPr>
  </w:style>
  <w:style w:type="character" w:customStyle="1" w:styleId="176">
    <w:name w:val="标题 4 字符"/>
    <w:semiHidden/>
    <w:qFormat/>
    <w:uiPriority w:val="9"/>
    <w:rPr>
      <w:rFonts w:ascii="等线 Light" w:hAnsi="等线 Light" w:eastAsia="等线 Light" w:cs="Times New Roman"/>
      <w:b/>
      <w:bCs/>
      <w:kern w:val="2"/>
      <w:sz w:val="28"/>
      <w:szCs w:val="28"/>
    </w:rPr>
  </w:style>
  <w:style w:type="character" w:customStyle="1" w:styleId="177">
    <w:name w:val="HTML 预设格式 字符"/>
    <w:semiHidden/>
    <w:qFormat/>
    <w:uiPriority w:val="99"/>
    <w:rPr>
      <w:rFonts w:ascii="Courier New" w:hAnsi="Courier New" w:cs="Courier New"/>
      <w:kern w:val="2"/>
    </w:rPr>
  </w:style>
  <w:style w:type="character" w:customStyle="1" w:styleId="178">
    <w:name w:val="日期 字符1"/>
    <w:qFormat/>
    <w:uiPriority w:val="0"/>
    <w:rPr>
      <w:rFonts w:ascii="宋体" w:hAnsi="Courier New" w:cs="Courier New"/>
      <w:kern w:val="2"/>
      <w:sz w:val="21"/>
      <w:szCs w:val="21"/>
    </w:rPr>
  </w:style>
  <w:style w:type="character" w:customStyle="1" w:styleId="179">
    <w:name w:val="标题 8 字符1"/>
    <w:qFormat/>
    <w:uiPriority w:val="0"/>
    <w:rPr>
      <w:rFonts w:ascii="Arial" w:hAnsi="Arial" w:eastAsia="黑体"/>
      <w:kern w:val="2"/>
      <w:sz w:val="24"/>
      <w:szCs w:val="24"/>
    </w:rPr>
  </w:style>
  <w:style w:type="character" w:customStyle="1" w:styleId="180">
    <w:name w:val="标题 6 字符"/>
    <w:semiHidden/>
    <w:qFormat/>
    <w:uiPriority w:val="9"/>
    <w:rPr>
      <w:rFonts w:ascii="等线 Light" w:hAnsi="等线 Light" w:eastAsia="等线 Light" w:cs="Times New Roman"/>
      <w:b/>
      <w:bCs/>
      <w:kern w:val="2"/>
      <w:sz w:val="24"/>
      <w:szCs w:val="24"/>
    </w:rPr>
  </w:style>
  <w:style w:type="character" w:customStyle="1" w:styleId="181">
    <w:name w:val="标题 7 字符1"/>
    <w:qFormat/>
    <w:uiPriority w:val="0"/>
    <w:rPr>
      <w:b/>
      <w:kern w:val="2"/>
      <w:sz w:val="24"/>
      <w:szCs w:val="24"/>
    </w:rPr>
  </w:style>
  <w:style w:type="character" w:customStyle="1" w:styleId="182">
    <w:name w:val="标题 4 字符1"/>
    <w:qFormat/>
    <w:uiPriority w:val="0"/>
    <w:rPr>
      <w:rFonts w:ascii="Arial" w:hAnsi="Arial" w:eastAsia="黑体"/>
      <w:sz w:val="28"/>
    </w:rPr>
  </w:style>
  <w:style w:type="character" w:customStyle="1" w:styleId="183">
    <w:name w:val="正文文本首行缩进 2 字符1"/>
    <w:qFormat/>
    <w:uiPriority w:val="0"/>
    <w:rPr>
      <w:kern w:val="2"/>
      <w:sz w:val="21"/>
      <w:szCs w:val="24"/>
    </w:rPr>
  </w:style>
  <w:style w:type="character" w:customStyle="1" w:styleId="184">
    <w:name w:val="标题 7 字符"/>
    <w:semiHidden/>
    <w:qFormat/>
    <w:uiPriority w:val="9"/>
    <w:rPr>
      <w:b/>
      <w:bCs/>
      <w:kern w:val="2"/>
      <w:sz w:val="24"/>
      <w:szCs w:val="24"/>
    </w:rPr>
  </w:style>
  <w:style w:type="character" w:customStyle="1" w:styleId="185">
    <w:name w:val="批注主题 字符"/>
    <w:qFormat/>
    <w:uiPriority w:val="0"/>
    <w:rPr>
      <w:b/>
      <w:bCs/>
      <w:kern w:val="2"/>
      <w:sz w:val="21"/>
      <w:szCs w:val="24"/>
    </w:rPr>
  </w:style>
  <w:style w:type="character" w:customStyle="1" w:styleId="186">
    <w:name w:val="批注主题 字符1"/>
    <w:qFormat/>
    <w:uiPriority w:val="0"/>
    <w:rPr>
      <w:b/>
      <w:bCs/>
      <w:kern w:val="2"/>
      <w:sz w:val="21"/>
      <w:szCs w:val="24"/>
    </w:rPr>
  </w:style>
  <w:style w:type="character" w:customStyle="1" w:styleId="187">
    <w:name w:val="正文文本首行缩进 字符"/>
    <w:semiHidden/>
    <w:qFormat/>
    <w:uiPriority w:val="99"/>
  </w:style>
  <w:style w:type="character" w:customStyle="1" w:styleId="188">
    <w:name w:val="正文文本缩进 字符"/>
    <w:semiHidden/>
    <w:qFormat/>
    <w:uiPriority w:val="99"/>
    <w:rPr>
      <w:kern w:val="2"/>
      <w:sz w:val="21"/>
      <w:szCs w:val="24"/>
    </w:rPr>
  </w:style>
  <w:style w:type="character" w:customStyle="1" w:styleId="189">
    <w:name w:val="页眉 字符"/>
    <w:semiHidden/>
    <w:qFormat/>
    <w:uiPriority w:val="99"/>
    <w:rPr>
      <w:kern w:val="2"/>
      <w:sz w:val="18"/>
      <w:szCs w:val="18"/>
    </w:rPr>
  </w:style>
  <w:style w:type="character" w:customStyle="1" w:styleId="190">
    <w:name w:val="标题 字符"/>
    <w:qFormat/>
    <w:uiPriority w:val="10"/>
    <w:rPr>
      <w:rFonts w:ascii="等线 Light" w:hAnsi="等线 Light" w:eastAsia="等线 Light" w:cs="Times New Roman"/>
      <w:b/>
      <w:bCs/>
      <w:kern w:val="2"/>
      <w:sz w:val="32"/>
      <w:szCs w:val="32"/>
    </w:rPr>
  </w:style>
  <w:style w:type="character" w:customStyle="1" w:styleId="191">
    <w:name w:val="批注框文本 字符1"/>
    <w:qFormat/>
    <w:uiPriority w:val="0"/>
    <w:rPr>
      <w:kern w:val="2"/>
      <w:sz w:val="18"/>
      <w:szCs w:val="18"/>
    </w:rPr>
  </w:style>
  <w:style w:type="character" w:customStyle="1" w:styleId="192">
    <w:name w:val="页脚 字符1"/>
    <w:qFormat/>
    <w:uiPriority w:val="0"/>
    <w:rPr>
      <w:kern w:val="2"/>
      <w:sz w:val="18"/>
      <w:szCs w:val="18"/>
    </w:rPr>
  </w:style>
  <w:style w:type="character" w:customStyle="1" w:styleId="193">
    <w:name w:val="批注文字 字符"/>
    <w:qFormat/>
    <w:uiPriority w:val="0"/>
    <w:rPr>
      <w:kern w:val="2"/>
      <w:sz w:val="21"/>
      <w:szCs w:val="24"/>
    </w:rPr>
  </w:style>
  <w:style w:type="character" w:customStyle="1" w:styleId="194">
    <w:name w:val="标题 2 字符"/>
    <w:semiHidden/>
    <w:qFormat/>
    <w:uiPriority w:val="9"/>
    <w:rPr>
      <w:rFonts w:ascii="等线 Light" w:hAnsi="等线 Light" w:eastAsia="等线 Light" w:cs="Times New Roman"/>
      <w:b/>
      <w:bCs/>
      <w:kern w:val="2"/>
      <w:sz w:val="32"/>
      <w:szCs w:val="32"/>
    </w:rPr>
  </w:style>
  <w:style w:type="character" w:customStyle="1" w:styleId="195">
    <w:name w:val="文档结构图 字符"/>
    <w:semiHidden/>
    <w:qFormat/>
    <w:uiPriority w:val="99"/>
    <w:rPr>
      <w:rFonts w:ascii="Microsoft YaHei UI" w:eastAsia="Microsoft YaHei UI"/>
      <w:kern w:val="2"/>
      <w:sz w:val="18"/>
      <w:szCs w:val="18"/>
    </w:rPr>
  </w:style>
  <w:style w:type="character" w:customStyle="1" w:styleId="196">
    <w:name w:val="z-窗体顶端 字符1"/>
    <w:link w:val="197"/>
    <w:qFormat/>
    <w:uiPriority w:val="0"/>
    <w:rPr>
      <w:rFonts w:ascii="Arial"/>
      <w:vanish/>
      <w:kern w:val="2"/>
      <w:sz w:val="16"/>
      <w:szCs w:val="24"/>
    </w:rPr>
  </w:style>
  <w:style w:type="paragraph" w:customStyle="1" w:styleId="197">
    <w:name w:val="z-窗体顶端1"/>
    <w:basedOn w:val="1"/>
    <w:next w:val="1"/>
    <w:link w:val="196"/>
    <w:qFormat/>
    <w:uiPriority w:val="0"/>
    <w:pPr>
      <w:pBdr>
        <w:bottom w:val="single" w:color="auto" w:sz="6" w:space="1"/>
      </w:pBdr>
      <w:jc w:val="center"/>
    </w:pPr>
    <w:rPr>
      <w:rFonts w:ascii="Arial"/>
      <w:vanish/>
      <w:sz w:val="16"/>
    </w:rPr>
  </w:style>
  <w:style w:type="character" w:customStyle="1" w:styleId="198">
    <w:name w:val="highlight"/>
    <w:qFormat/>
    <w:uiPriority w:val="0"/>
  </w:style>
  <w:style w:type="character" w:customStyle="1" w:styleId="199">
    <w:name w:val="标题 字符1"/>
    <w:qFormat/>
    <w:uiPriority w:val="0"/>
    <w:rPr>
      <w:kern w:val="2"/>
      <w:sz w:val="30"/>
      <w:szCs w:val="24"/>
    </w:rPr>
  </w:style>
  <w:style w:type="character" w:customStyle="1" w:styleId="200">
    <w:name w:val="标题 1 字符1"/>
    <w:qFormat/>
    <w:uiPriority w:val="9"/>
    <w:rPr>
      <w:rFonts w:eastAsia="宋体"/>
      <w:b/>
      <w:bCs/>
      <w:kern w:val="44"/>
      <w:sz w:val="44"/>
      <w:szCs w:val="44"/>
      <w:lang w:val="en-US" w:eastAsia="zh-CN" w:bidi="ar-SA"/>
    </w:rPr>
  </w:style>
  <w:style w:type="character" w:customStyle="1" w:styleId="201">
    <w:name w:val="HTML 预设格式 字符1"/>
    <w:qFormat/>
    <w:uiPriority w:val="0"/>
    <w:rPr>
      <w:rFonts w:ascii="黑体" w:hAnsi="Courier New" w:eastAsia="黑体" w:cs="Courier New"/>
    </w:rPr>
  </w:style>
  <w:style w:type="character" w:customStyle="1" w:styleId="202">
    <w:name w:val="批注框文本 字符"/>
    <w:semiHidden/>
    <w:qFormat/>
    <w:uiPriority w:val="99"/>
    <w:rPr>
      <w:kern w:val="2"/>
      <w:sz w:val="18"/>
      <w:szCs w:val="18"/>
    </w:rPr>
  </w:style>
  <w:style w:type="character" w:customStyle="1" w:styleId="203">
    <w:name w:val="正文文本 3 字符"/>
    <w:semiHidden/>
    <w:qFormat/>
    <w:uiPriority w:val="99"/>
    <w:rPr>
      <w:kern w:val="2"/>
      <w:sz w:val="16"/>
      <w:szCs w:val="16"/>
    </w:rPr>
  </w:style>
  <w:style w:type="character" w:customStyle="1" w:styleId="204">
    <w:name w:val="正文文本缩进 3 字符1"/>
    <w:qFormat/>
    <w:uiPriority w:val="0"/>
    <w:rPr>
      <w:kern w:val="2"/>
      <w:sz w:val="16"/>
      <w:szCs w:val="16"/>
    </w:rPr>
  </w:style>
  <w:style w:type="character" w:customStyle="1" w:styleId="205">
    <w:name w:val="fd"/>
    <w:qFormat/>
    <w:uiPriority w:val="0"/>
  </w:style>
  <w:style w:type="character" w:customStyle="1" w:styleId="206">
    <w:name w:val="标题 9 字符"/>
    <w:semiHidden/>
    <w:qFormat/>
    <w:uiPriority w:val="9"/>
    <w:rPr>
      <w:rFonts w:ascii="等线 Light" w:hAnsi="等线 Light" w:eastAsia="等线 Light" w:cs="Times New Roman"/>
      <w:kern w:val="2"/>
      <w:sz w:val="21"/>
      <w:szCs w:val="21"/>
    </w:rPr>
  </w:style>
  <w:style w:type="character" w:customStyle="1" w:styleId="207">
    <w:name w:val="标题 5 字符1"/>
    <w:qFormat/>
    <w:uiPriority w:val="0"/>
    <w:rPr>
      <w:b/>
      <w:kern w:val="2"/>
      <w:sz w:val="28"/>
      <w:szCs w:val="24"/>
    </w:rPr>
  </w:style>
  <w:style w:type="character" w:customStyle="1" w:styleId="208">
    <w:name w:val="标题 2 字符1"/>
    <w:qFormat/>
    <w:uiPriority w:val="0"/>
    <w:rPr>
      <w:rFonts w:ascii="Arial" w:hAnsi="Arial" w:eastAsia="黑体"/>
      <w:b/>
      <w:bCs/>
      <w:kern w:val="2"/>
      <w:sz w:val="32"/>
      <w:szCs w:val="32"/>
    </w:rPr>
  </w:style>
  <w:style w:type="character" w:customStyle="1" w:styleId="209">
    <w:name w:val="正文文本缩进 2 字符"/>
    <w:semiHidden/>
    <w:qFormat/>
    <w:uiPriority w:val="99"/>
    <w:rPr>
      <w:kern w:val="2"/>
      <w:sz w:val="21"/>
      <w:szCs w:val="24"/>
    </w:rPr>
  </w:style>
  <w:style w:type="character" w:customStyle="1" w:styleId="210">
    <w:name w:val="z-窗体顶端 字符"/>
    <w:semiHidden/>
    <w:qFormat/>
    <w:uiPriority w:val="99"/>
    <w:rPr>
      <w:rFonts w:ascii="Arial" w:hAnsi="Arial" w:cs="Arial"/>
      <w:vanish/>
      <w:kern w:val="2"/>
      <w:sz w:val="16"/>
      <w:szCs w:val="16"/>
    </w:rPr>
  </w:style>
  <w:style w:type="character" w:customStyle="1" w:styleId="211">
    <w:name w:val="标题 6 字符1"/>
    <w:qFormat/>
    <w:uiPriority w:val="0"/>
    <w:rPr>
      <w:rFonts w:ascii="Arial" w:hAnsi="Arial" w:eastAsia="黑体"/>
      <w:b/>
      <w:kern w:val="2"/>
      <w:sz w:val="24"/>
      <w:szCs w:val="24"/>
    </w:rPr>
  </w:style>
  <w:style w:type="character" w:customStyle="1" w:styleId="212">
    <w:name w:val="正文文本 2 字符1"/>
    <w:qFormat/>
    <w:uiPriority w:val="0"/>
    <w:rPr>
      <w:kern w:val="2"/>
      <w:sz w:val="21"/>
      <w:szCs w:val="24"/>
    </w:rPr>
  </w:style>
  <w:style w:type="character" w:customStyle="1" w:styleId="213">
    <w:name w:val="标题 3 字符"/>
    <w:semiHidden/>
    <w:qFormat/>
    <w:uiPriority w:val="9"/>
    <w:rPr>
      <w:b/>
      <w:bCs/>
      <w:kern w:val="2"/>
      <w:sz w:val="32"/>
      <w:szCs w:val="32"/>
    </w:rPr>
  </w:style>
  <w:style w:type="character" w:customStyle="1" w:styleId="214">
    <w:name w:val="正文文本 2 字符"/>
    <w:semiHidden/>
    <w:qFormat/>
    <w:uiPriority w:val="99"/>
    <w:rPr>
      <w:kern w:val="2"/>
      <w:sz w:val="21"/>
      <w:szCs w:val="24"/>
    </w:rPr>
  </w:style>
  <w:style w:type="character" w:customStyle="1" w:styleId="215">
    <w:name w:val="标题 1 字符"/>
    <w:qFormat/>
    <w:uiPriority w:val="9"/>
    <w:rPr>
      <w:b/>
      <w:bCs/>
      <w:kern w:val="44"/>
      <w:sz w:val="44"/>
      <w:szCs w:val="44"/>
    </w:rPr>
  </w:style>
  <w:style w:type="character" w:customStyle="1" w:styleId="216">
    <w:name w:val="页脚 字符"/>
    <w:qFormat/>
    <w:uiPriority w:val="99"/>
    <w:rPr>
      <w:kern w:val="2"/>
      <w:sz w:val="18"/>
      <w:szCs w:val="18"/>
    </w:rPr>
  </w:style>
  <w:style w:type="character" w:customStyle="1" w:styleId="217">
    <w:name w:val="正文文本首行缩进 2 字符"/>
    <w:semiHidden/>
    <w:qFormat/>
    <w:uiPriority w:val="99"/>
  </w:style>
  <w:style w:type="character" w:customStyle="1" w:styleId="218">
    <w:name w:val="文档结构图 字符1"/>
    <w:qFormat/>
    <w:uiPriority w:val="0"/>
    <w:rPr>
      <w:sz w:val="21"/>
      <w:shd w:val="clear" w:color="auto" w:fill="000080"/>
    </w:rPr>
  </w:style>
  <w:style w:type="character" w:customStyle="1" w:styleId="219">
    <w:name w:val="正文文本首行缩进 字符1"/>
    <w:qFormat/>
    <w:uiPriority w:val="0"/>
    <w:rPr>
      <w:kern w:val="2"/>
      <w:sz w:val="21"/>
      <w:szCs w:val="24"/>
    </w:rPr>
  </w:style>
  <w:style w:type="character" w:customStyle="1" w:styleId="220">
    <w:name w:val="日期 字符"/>
    <w:semiHidden/>
    <w:qFormat/>
    <w:uiPriority w:val="99"/>
    <w:rPr>
      <w:kern w:val="2"/>
      <w:sz w:val="21"/>
      <w:szCs w:val="24"/>
    </w:rPr>
  </w:style>
  <w:style w:type="character" w:customStyle="1" w:styleId="221">
    <w:name w:val="纯文本 字符"/>
    <w:qFormat/>
    <w:uiPriority w:val="99"/>
    <w:rPr>
      <w:rFonts w:ascii="等线" w:hAnsi="Courier New" w:eastAsia="等线" w:cs="Courier New"/>
      <w:kern w:val="2"/>
      <w:sz w:val="21"/>
      <w:szCs w:val="24"/>
    </w:rPr>
  </w:style>
  <w:style w:type="character" w:customStyle="1" w:styleId="222">
    <w:name w:val="正文文本缩进 2 字符1"/>
    <w:qFormat/>
    <w:uiPriority w:val="0"/>
    <w:rPr>
      <w:kern w:val="2"/>
      <w:sz w:val="32"/>
    </w:rPr>
  </w:style>
  <w:style w:type="character" w:customStyle="1" w:styleId="223">
    <w:name w:val="标题 9 字符1"/>
    <w:qFormat/>
    <w:uiPriority w:val="0"/>
    <w:rPr>
      <w:rFonts w:ascii="Arial" w:hAnsi="Arial" w:eastAsia="黑体"/>
      <w:kern w:val="2"/>
      <w:sz w:val="21"/>
      <w:szCs w:val="24"/>
    </w:rPr>
  </w:style>
  <w:style w:type="character" w:customStyle="1" w:styleId="224">
    <w:name w:val="页眉 字符1"/>
    <w:qFormat/>
    <w:uiPriority w:val="99"/>
    <w:rPr>
      <w:kern w:val="2"/>
      <w:sz w:val="18"/>
      <w:szCs w:val="18"/>
    </w:rPr>
  </w:style>
  <w:style w:type="character" w:customStyle="1" w:styleId="225">
    <w:name w:val="标题 8 字符"/>
    <w:semiHidden/>
    <w:qFormat/>
    <w:uiPriority w:val="9"/>
    <w:rPr>
      <w:rFonts w:ascii="等线 Light" w:hAnsi="等线 Light" w:eastAsia="等线 Light" w:cs="Times New Roman"/>
      <w:kern w:val="2"/>
      <w:sz w:val="24"/>
      <w:szCs w:val="24"/>
    </w:rPr>
  </w:style>
  <w:style w:type="character" w:customStyle="1" w:styleId="226">
    <w:name w:val="正文文本缩进 3 字符"/>
    <w:semiHidden/>
    <w:qFormat/>
    <w:uiPriority w:val="99"/>
    <w:rPr>
      <w:kern w:val="2"/>
      <w:sz w:val="16"/>
      <w:szCs w:val="16"/>
    </w:rPr>
  </w:style>
  <w:style w:type="character" w:customStyle="1" w:styleId="227">
    <w:name w:val="正文文本 字符"/>
    <w:semiHidden/>
    <w:qFormat/>
    <w:uiPriority w:val="99"/>
    <w:rPr>
      <w:kern w:val="2"/>
      <w:sz w:val="21"/>
      <w:szCs w:val="24"/>
    </w:rPr>
  </w:style>
  <w:style w:type="paragraph" w:customStyle="1" w:styleId="22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29">
    <w:name w:val="paragraphindent"/>
    <w:basedOn w:val="1"/>
    <w:qFormat/>
    <w:uiPriority w:val="0"/>
    <w:pPr>
      <w:widowControl/>
      <w:spacing w:before="100" w:beforeAutospacing="1" w:after="100" w:afterAutospacing="1"/>
      <w:jc w:val="left"/>
    </w:pPr>
    <w:rPr>
      <w:rFonts w:ascii="宋体" w:hAnsi="宋体" w:cs="宋体"/>
      <w:kern w:val="0"/>
      <w:sz w:val="24"/>
    </w:rPr>
  </w:style>
  <w:style w:type="paragraph" w:customStyle="1" w:styleId="230">
    <w:name w:val="_Style 109"/>
    <w:basedOn w:val="1"/>
    <w:next w:val="117"/>
    <w:qFormat/>
    <w:uiPriority w:val="34"/>
    <w:pPr>
      <w:ind w:firstLine="420" w:firstLineChars="200"/>
    </w:pPr>
    <w:rPr>
      <w:rFonts w:ascii="Calibri" w:hAnsi="Calibri"/>
      <w:szCs w:val="22"/>
    </w:rPr>
  </w:style>
  <w:style w:type="paragraph" w:customStyle="1" w:styleId="231">
    <w:name w:val="Char Char Char Char Char Char Char1"/>
    <w:basedOn w:val="1"/>
    <w:qFormat/>
    <w:uiPriority w:val="0"/>
  </w:style>
  <w:style w:type="paragraph" w:customStyle="1" w:styleId="232">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3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34">
    <w:name w:val="Char Char Char Char Char Char Char Char Char Char Char Char Char1"/>
    <w:basedOn w:val="16"/>
    <w:qFormat/>
    <w:uiPriority w:val="0"/>
    <w:pPr>
      <w:adjustRightInd/>
      <w:spacing w:line="240" w:lineRule="auto"/>
      <w:textAlignment w:val="auto"/>
    </w:pPr>
    <w:rPr>
      <w:rFonts w:ascii="Tahoma" w:hAnsi="Tahoma"/>
      <w:kern w:val="2"/>
      <w:sz w:val="24"/>
      <w:szCs w:val="24"/>
    </w:rPr>
  </w:style>
  <w:style w:type="paragraph" w:customStyle="1" w:styleId="235">
    <w:name w:val="Char4"/>
    <w:basedOn w:val="1"/>
    <w:qFormat/>
    <w:uiPriority w:val="0"/>
    <w:pPr>
      <w:tabs>
        <w:tab w:val="left" w:pos="360"/>
      </w:tabs>
      <w:ind w:left="252" w:hanging="252" w:hangingChars="140"/>
    </w:pPr>
    <w:rPr>
      <w:rFonts w:ascii="宋体"/>
      <w:sz w:val="18"/>
      <w:szCs w:val="18"/>
    </w:rPr>
  </w:style>
  <w:style w:type="paragraph" w:customStyle="1" w:styleId="236">
    <w:name w:val="Char Char Char2"/>
    <w:basedOn w:val="1"/>
    <w:qFormat/>
    <w:uiPriority w:val="0"/>
    <w:rPr>
      <w:rFonts w:ascii="Tahoma" w:hAnsi="Tahoma"/>
      <w:sz w:val="24"/>
      <w:szCs w:val="20"/>
    </w:rPr>
  </w:style>
  <w:style w:type="paragraph" w:customStyle="1" w:styleId="23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39">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240">
    <w:name w:val="未处理的提及1"/>
    <w:unhideWhenUsed/>
    <w:qFormat/>
    <w:uiPriority w:val="99"/>
    <w:rPr>
      <w:color w:val="605E5C"/>
      <w:shd w:val="clear" w:color="auto" w:fill="E1DFDD"/>
    </w:rPr>
  </w:style>
  <w:style w:type="character" w:styleId="241">
    <w:name w:val="Placeholder Text"/>
    <w:unhideWhenUsed/>
    <w:qFormat/>
    <w:uiPriority w:val="99"/>
    <w:rPr>
      <w:color w:val="808080"/>
    </w:rPr>
  </w:style>
  <w:style w:type="character" w:customStyle="1" w:styleId="242">
    <w:name w:val="未处理的提及2"/>
    <w:unhideWhenUsed/>
    <w:qFormat/>
    <w:uiPriority w:val="99"/>
    <w:rPr>
      <w:color w:val="605E5C"/>
      <w:shd w:val="clear" w:color="auto" w:fill="E1DFDD"/>
    </w:rPr>
  </w:style>
  <w:style w:type="character" w:customStyle="1" w:styleId="243">
    <w:name w:val="15"/>
    <w:qFormat/>
    <w:uiPriority w:val="0"/>
    <w:rPr>
      <w:rFonts w:hint="eastAsia" w:ascii="宋体" w:hAnsi="宋体" w:eastAsia="宋体"/>
      <w:color w:val="000000"/>
      <w:spacing w:val="0"/>
      <w:sz w:val="22"/>
      <w:szCs w:val="22"/>
    </w:rPr>
  </w:style>
  <w:style w:type="character" w:customStyle="1" w:styleId="244">
    <w:name w:val="批注文字 字符2"/>
    <w:qFormat/>
    <w:uiPriority w:val="0"/>
    <w:rPr>
      <w:kern w:val="2"/>
      <w:sz w:val="21"/>
      <w:szCs w:val="24"/>
    </w:rPr>
  </w:style>
  <w:style w:type="paragraph" w:customStyle="1" w:styleId="24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4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47">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248">
    <w:name w:val="Table Text"/>
    <w:basedOn w:val="1"/>
    <w:semiHidden/>
    <w:qFormat/>
    <w:uiPriority w:val="0"/>
    <w:rPr>
      <w:rFonts w:ascii="宋体" w:hAnsi="宋体" w:eastAsia="宋体" w:cs="宋体"/>
      <w:sz w:val="18"/>
      <w:szCs w:val="18"/>
      <w:lang w:val="en-US" w:eastAsia="en-US" w:bidi="ar-SA"/>
    </w:rPr>
  </w:style>
  <w:style w:type="table" w:customStyle="1" w:styleId="249">
    <w:name w:val="Table Normal"/>
    <w:semiHidden/>
    <w:unhideWhenUsed/>
    <w:qFormat/>
    <w:uiPriority w:val="0"/>
    <w:tblPr>
      <w:tblCellMar>
        <w:top w:w="0" w:type="dxa"/>
        <w:left w:w="0" w:type="dxa"/>
        <w:bottom w:w="0" w:type="dxa"/>
        <w:right w:w="0" w:type="dxa"/>
      </w:tblCellMar>
    </w:tblPr>
  </w:style>
  <w:style w:type="character" w:customStyle="1" w:styleId="250">
    <w:name w:val="font21"/>
    <w:basedOn w:val="5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3.emf"/><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header" Target="header14.xml"/><Relationship Id="rId22" Type="http://schemas.openxmlformats.org/officeDocument/2006/relationships/footer" Target="footer7.xml"/><Relationship Id="rId21" Type="http://schemas.openxmlformats.org/officeDocument/2006/relationships/header" Target="header13.xml"/><Relationship Id="rId20" Type="http://schemas.openxmlformats.org/officeDocument/2006/relationships/footer" Target="footer6.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footer" Target="footer5.xml"/><Relationship Id="rId17" Type="http://schemas.openxmlformats.org/officeDocument/2006/relationships/header" Target="header11.xml"/><Relationship Id="rId16" Type="http://schemas.openxmlformats.org/officeDocument/2006/relationships/header" Target="header10.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77</Pages>
  <Words>8049</Words>
  <Characters>8877</Characters>
  <Lines>638</Lines>
  <Paragraphs>179</Paragraphs>
  <TotalTime>2</TotalTime>
  <ScaleCrop>false</ScaleCrop>
  <LinksUpToDate>false</LinksUpToDate>
  <CharactersWithSpaces>9022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2020-09-14T09:21:00Z</dcterms:created>
  <dc:creator>微软用户</dc:creator>
  <cp:lastModifiedBy>NTKO</cp:lastModifiedBy>
  <cp:lastPrinted>2016-03-22T07:52:00Z</cp:lastPrinted>
  <dcterms:modified xsi:type="dcterms:W3CDTF">2026-09-03T09:22:32Z</dcterms:modified>
  <dc:title>桂财采〔2009〕 号</dc:title>
  <cp:revision>482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KSOTemplateDocerSaveRecord">
    <vt:lpwstr>eyJoZGlkIjoiMDk2NTg3ZmFiYWI0NGY1ZmM3Y2EyNzY3NGY4YmMxMjAiLCJ1c2VySWQiOiI2MTMzNjA4NDIifQ==</vt:lpwstr>
  </property>
  <property fmtid="{D5CDD505-2E9C-101B-9397-08002B2CF9AE}" pid="13" name="ICV">
    <vt:lpwstr>C5C3EE8BC63A492B89EA7664894060EB_13</vt:lpwstr>
  </property>
</Properties>
</file>